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73ADD" w14:textId="77777777" w:rsidR="00591E03" w:rsidRDefault="00F002B7">
      <w:pPr>
        <w:pStyle w:val="Cuerpo"/>
        <w:spacing w:line="240" w:lineRule="auto"/>
        <w:jc w:val="center"/>
        <w:rPr>
          <w:rStyle w:val="Ninguno"/>
          <w:rFonts w:ascii="Times New Roman" w:eastAsia="Times New Roman" w:hAnsi="Times New Roman" w:cs="Times New Roman"/>
          <w:b/>
          <w:bCs/>
          <w:sz w:val="28"/>
          <w:szCs w:val="28"/>
        </w:rPr>
      </w:pPr>
      <w:r>
        <w:rPr>
          <w:rStyle w:val="Ninguno"/>
          <w:rFonts w:ascii="Times New Roman" w:hAnsi="Times New Roman"/>
          <w:b/>
          <w:bCs/>
          <w:sz w:val="28"/>
          <w:szCs w:val="28"/>
        </w:rPr>
        <w:t xml:space="preserve">Actualización de la Información Complementaria presentada por Uruguay el 19 de julio de 2019 con arreglo al artículo 29.4 de la </w:t>
      </w:r>
      <w:r>
        <w:rPr>
          <w:rStyle w:val="Ninguno"/>
          <w:rFonts w:ascii="Times New Roman" w:hAnsi="Times New Roman"/>
          <w:b/>
          <w:bCs/>
          <w:spacing w:val="4"/>
          <w:sz w:val="27"/>
          <w:szCs w:val="27"/>
        </w:rPr>
        <w:t>Convención Internacional para la Protección de todas las Personas contra las Desapariciones Forzadas</w:t>
      </w:r>
    </w:p>
    <w:p w14:paraId="008A21E1" w14:textId="77777777" w:rsidR="00591E03" w:rsidRDefault="00591E03">
      <w:pPr>
        <w:pStyle w:val="Cuerpo"/>
        <w:spacing w:line="240" w:lineRule="auto"/>
        <w:jc w:val="both"/>
        <w:rPr>
          <w:rStyle w:val="Ninguno"/>
          <w:rFonts w:ascii="Times New Roman" w:eastAsia="Times New Roman" w:hAnsi="Times New Roman" w:cs="Times New Roman"/>
          <w:b/>
          <w:bCs/>
          <w:sz w:val="24"/>
          <w:szCs w:val="24"/>
        </w:rPr>
      </w:pPr>
    </w:p>
    <w:p w14:paraId="4E42764D"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66C13F57" w14:textId="77777777" w:rsidR="00591E03" w:rsidRDefault="00F002B7">
      <w:pPr>
        <w:pStyle w:val="ListParagraph"/>
        <w:numPr>
          <w:ilvl w:val="0"/>
          <w:numId w:val="2"/>
        </w:numPr>
        <w:spacing w:line="240" w:lineRule="auto"/>
        <w:jc w:val="both"/>
        <w:rPr>
          <w:rFonts w:ascii="Times New Roman" w:hAnsi="Times New Roman"/>
          <w:b/>
          <w:bCs/>
          <w:sz w:val="24"/>
          <w:szCs w:val="24"/>
        </w:rPr>
      </w:pPr>
      <w:r>
        <w:rPr>
          <w:rStyle w:val="Ninguno"/>
          <w:rFonts w:ascii="Times New Roman" w:hAnsi="Times New Roman"/>
          <w:b/>
          <w:bCs/>
          <w:sz w:val="24"/>
          <w:szCs w:val="24"/>
        </w:rPr>
        <w:t xml:space="preserve">Armonización legislativa </w:t>
      </w:r>
      <w:r>
        <w:rPr>
          <w:rStyle w:val="Ninguno"/>
          <w:rFonts w:ascii="Times New Roman" w:hAnsi="Times New Roman"/>
          <w:b/>
          <w:bCs/>
          <w:sz w:val="24"/>
          <w:szCs w:val="24"/>
        </w:rPr>
        <w:t>para dar cumplimiento a los mandatos de la Convención</w:t>
      </w:r>
    </w:p>
    <w:p w14:paraId="1EA7C9F8" w14:textId="77777777" w:rsidR="00591E03" w:rsidRDefault="00591E03">
      <w:pPr>
        <w:pStyle w:val="ListParagraph"/>
        <w:spacing w:line="240" w:lineRule="auto"/>
        <w:ind w:left="1080"/>
        <w:jc w:val="both"/>
        <w:rPr>
          <w:rStyle w:val="Ninguno"/>
          <w:rFonts w:ascii="Times New Roman" w:eastAsia="Times New Roman" w:hAnsi="Times New Roman" w:cs="Times New Roman"/>
          <w:b/>
          <w:bCs/>
          <w:sz w:val="24"/>
          <w:szCs w:val="24"/>
        </w:rPr>
      </w:pPr>
    </w:p>
    <w:p w14:paraId="25FBEF02" w14:textId="77777777" w:rsidR="00591E03" w:rsidRDefault="00F002B7">
      <w:pPr>
        <w:pStyle w:val="NormalWeb"/>
        <w:spacing w:before="0" w:after="160"/>
        <w:jc w:val="both"/>
        <w:rPr>
          <w:rStyle w:val="Ninguno"/>
          <w:b/>
          <w:bCs/>
          <w:lang w:val="es-ES_tradnl"/>
        </w:rPr>
      </w:pPr>
      <w:r>
        <w:rPr>
          <w:rStyle w:val="Ninguno"/>
          <w:b/>
          <w:bCs/>
          <w:lang w:val="es-ES_tradnl"/>
        </w:rPr>
        <w:t>Párrafo 6</w:t>
      </w:r>
    </w:p>
    <w:p w14:paraId="4D0CF73E" w14:textId="77777777" w:rsidR="00591E03" w:rsidRDefault="00591E03">
      <w:pPr>
        <w:pStyle w:val="NormalWeb"/>
        <w:spacing w:before="0" w:after="0"/>
        <w:jc w:val="both"/>
        <w:rPr>
          <w:rStyle w:val="Ninguno"/>
          <w:lang w:val="es-ES_tradnl"/>
        </w:rPr>
      </w:pPr>
    </w:p>
    <w:p w14:paraId="0575E55C" w14:textId="77777777" w:rsidR="00591E03" w:rsidRDefault="00F002B7">
      <w:pPr>
        <w:pStyle w:val="Cuerpo"/>
        <w:spacing w:line="240" w:lineRule="auto"/>
        <w:jc w:val="both"/>
        <w:rPr>
          <w:rStyle w:val="Ninguno"/>
          <w:rFonts w:ascii="Times New Roman" w:eastAsia="Times New Roman" w:hAnsi="Times New Roman" w:cs="Times New Roman"/>
          <w:b/>
          <w:bCs/>
          <w:sz w:val="24"/>
          <w:szCs w:val="24"/>
        </w:rPr>
      </w:pPr>
      <w:r>
        <w:rPr>
          <w:rStyle w:val="Ninguno"/>
          <w:rFonts w:ascii="Times New Roman" w:hAnsi="Times New Roman"/>
          <w:sz w:val="24"/>
          <w:szCs w:val="24"/>
        </w:rPr>
        <w:t xml:space="preserve">En lo que refiere a la adopción de medidas legislativas, efectivamente, existe un margen importante entre la pena mínima y máxima previstas tanto por el Código Penal (de dos a treinta años) </w:t>
      </w:r>
      <w:r>
        <w:rPr>
          <w:rStyle w:val="Ninguno"/>
          <w:rFonts w:ascii="Times New Roman" w:hAnsi="Times New Roman"/>
          <w:sz w:val="24"/>
          <w:szCs w:val="24"/>
        </w:rPr>
        <w:t xml:space="preserve">como por la Ley Nº18.026 (de dos a veinticinco años). La pena máxima aplicable en el país es de treinta años. Debe indicarse, sin embargo, que este margen permite al juez evaluar la gravedad de la conducta y, </w:t>
      </w:r>
      <w:r w:rsidRPr="00095F15">
        <w:rPr>
          <w:rStyle w:val="Ninguno"/>
          <w:rFonts w:ascii="Times New Roman" w:hAnsi="Times New Roman"/>
          <w:sz w:val="24"/>
          <w:szCs w:val="24"/>
          <w:lang w:val="es-ES"/>
        </w:rPr>
        <w:t>en función de lo que solicite el fiscal en el c</w:t>
      </w:r>
      <w:r w:rsidRPr="00095F15">
        <w:rPr>
          <w:rStyle w:val="Ninguno"/>
          <w:rFonts w:ascii="Times New Roman" w:hAnsi="Times New Roman"/>
          <w:sz w:val="24"/>
          <w:szCs w:val="24"/>
          <w:lang w:val="es-ES"/>
        </w:rPr>
        <w:t xml:space="preserve">aso, aplicar </w:t>
      </w:r>
      <w:r>
        <w:rPr>
          <w:rStyle w:val="Ninguno"/>
          <w:rFonts w:ascii="Times New Roman" w:hAnsi="Times New Roman"/>
          <w:sz w:val="24"/>
          <w:szCs w:val="24"/>
        </w:rPr>
        <w:t xml:space="preserve">la pena máxima en los casos más graves, tal como podrá apreciarse más abajo en la información que se proporciona sobre causas judiciales en curso y laudadas. </w:t>
      </w:r>
    </w:p>
    <w:p w14:paraId="16ECBA1D"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La legislación nacional no prevé procedimientos específicos para anular adopciones o</w:t>
      </w:r>
      <w:r>
        <w:rPr>
          <w:rStyle w:val="Ninguno"/>
          <w:rFonts w:ascii="Times New Roman" w:hAnsi="Times New Roman"/>
          <w:sz w:val="24"/>
          <w:szCs w:val="24"/>
        </w:rPr>
        <w:t xml:space="preserve"> guardas seguidos de un caso de desaparición forzada. Existe, como legislación general, y que</w:t>
      </w:r>
      <w:r w:rsidRPr="00095F15">
        <w:rPr>
          <w:rStyle w:val="Ninguno"/>
          <w:rFonts w:ascii="Times New Roman" w:hAnsi="Times New Roman"/>
          <w:sz w:val="24"/>
          <w:szCs w:val="24"/>
          <w:lang w:val="es-ES"/>
        </w:rPr>
        <w:t xml:space="preserve"> podría aplicarse </w:t>
      </w:r>
      <w:r>
        <w:rPr>
          <w:rStyle w:val="Ninguno"/>
          <w:rFonts w:ascii="Times New Roman" w:hAnsi="Times New Roman"/>
          <w:sz w:val="24"/>
          <w:szCs w:val="24"/>
        </w:rPr>
        <w:t>de presentarse situaciones como las mencionadas, el recurso de revisión ante la Suprema Corte de Justicia. Este instituto se encuentra regulado e</w:t>
      </w:r>
      <w:r>
        <w:rPr>
          <w:rStyle w:val="Ninguno"/>
          <w:rFonts w:ascii="Times New Roman" w:hAnsi="Times New Roman"/>
          <w:sz w:val="24"/>
          <w:szCs w:val="24"/>
        </w:rPr>
        <w:t>n el artículo 381 y siguientes del Código General del Proceso, estableciendo que procede la revisión de una sentencia definitiva,</w:t>
      </w:r>
      <w:r w:rsidRPr="00095F15">
        <w:rPr>
          <w:rStyle w:val="Ninguno"/>
          <w:rFonts w:ascii="Times New Roman" w:hAnsi="Times New Roman"/>
          <w:sz w:val="24"/>
          <w:szCs w:val="24"/>
          <w:lang w:val="es-ES"/>
        </w:rPr>
        <w:t xml:space="preserve"> entre otras, </w:t>
      </w:r>
      <w:r>
        <w:rPr>
          <w:rStyle w:val="Ninguno"/>
          <w:rFonts w:ascii="Times New Roman" w:hAnsi="Times New Roman"/>
          <w:sz w:val="24"/>
          <w:szCs w:val="24"/>
        </w:rPr>
        <w:t xml:space="preserve">cuando esta se hubiere producido por violencia, intimidación o dolo. Esta redacción permite interpretar que, sin </w:t>
      </w:r>
      <w:r>
        <w:rPr>
          <w:rStyle w:val="Ninguno"/>
          <w:rFonts w:ascii="Times New Roman" w:hAnsi="Times New Roman"/>
          <w:sz w:val="24"/>
          <w:szCs w:val="24"/>
        </w:rPr>
        <w:t>mencionarlo específicamente, la legislación nacional contiene los resortes necesarios para actuar que</w:t>
      </w:r>
      <w:r w:rsidRPr="00095F15">
        <w:rPr>
          <w:rStyle w:val="Ninguno"/>
          <w:rFonts w:ascii="Times New Roman" w:hAnsi="Times New Roman"/>
          <w:sz w:val="24"/>
          <w:szCs w:val="24"/>
          <w:lang w:val="es-ES"/>
        </w:rPr>
        <w:t xml:space="preserve"> permitirían </w:t>
      </w:r>
      <w:r>
        <w:rPr>
          <w:rStyle w:val="Ninguno"/>
          <w:rFonts w:ascii="Times New Roman" w:hAnsi="Times New Roman"/>
          <w:sz w:val="24"/>
          <w:szCs w:val="24"/>
        </w:rPr>
        <w:t>revocar sentencias de adopción de menores de surgir elementos probatorios relacionados con la desaparición forzada.</w:t>
      </w:r>
    </w:p>
    <w:p w14:paraId="12ACAD26" w14:textId="77777777" w:rsidR="00591E03" w:rsidRDefault="00591E03">
      <w:pPr>
        <w:pStyle w:val="Cuerpo"/>
        <w:spacing w:line="240" w:lineRule="auto"/>
        <w:jc w:val="both"/>
        <w:rPr>
          <w:rStyle w:val="Ninguno"/>
          <w:rFonts w:ascii="Times New Roman" w:eastAsia="Times New Roman" w:hAnsi="Times New Roman" w:cs="Times New Roman"/>
          <w:b/>
          <w:bCs/>
          <w:sz w:val="24"/>
          <w:szCs w:val="24"/>
        </w:rPr>
      </w:pPr>
    </w:p>
    <w:p w14:paraId="057B50A4" w14:textId="77777777" w:rsidR="00591E03" w:rsidRDefault="00F002B7">
      <w:pPr>
        <w:pStyle w:val="Cuerpo"/>
        <w:spacing w:line="240" w:lineRule="auto"/>
        <w:jc w:val="both"/>
        <w:rPr>
          <w:rStyle w:val="Ninguno"/>
          <w:rFonts w:ascii="Times New Roman" w:eastAsia="Times New Roman" w:hAnsi="Times New Roman" w:cs="Times New Roman"/>
          <w:b/>
          <w:bCs/>
          <w:sz w:val="24"/>
          <w:szCs w:val="24"/>
        </w:rPr>
      </w:pPr>
      <w:r>
        <w:rPr>
          <w:rStyle w:val="Ninguno"/>
          <w:rFonts w:ascii="Times New Roman" w:hAnsi="Times New Roman"/>
          <w:b/>
          <w:bCs/>
          <w:sz w:val="24"/>
          <w:szCs w:val="24"/>
        </w:rPr>
        <w:t>Párrafo 8</w:t>
      </w:r>
    </w:p>
    <w:p w14:paraId="66D16224"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proyecto de </w:t>
      </w:r>
      <w:r>
        <w:rPr>
          <w:rStyle w:val="Ninguno"/>
          <w:rFonts w:ascii="Times New Roman" w:hAnsi="Times New Roman"/>
          <w:sz w:val="24"/>
          <w:szCs w:val="24"/>
        </w:rPr>
        <w:t xml:space="preserve">ley vinculado al </w:t>
      </w:r>
      <w:proofErr w:type="spellStart"/>
      <w:r>
        <w:rPr>
          <w:rStyle w:val="Ninguno"/>
          <w:rFonts w:ascii="Times New Roman" w:hAnsi="Times New Roman"/>
          <w:sz w:val="24"/>
          <w:szCs w:val="24"/>
        </w:rPr>
        <w:t>ré</w:t>
      </w:r>
      <w:proofErr w:type="spellEnd"/>
      <w:r w:rsidRPr="00095F15">
        <w:rPr>
          <w:rStyle w:val="Ninguno"/>
          <w:rFonts w:ascii="Times New Roman" w:hAnsi="Times New Roman"/>
          <w:sz w:val="24"/>
          <w:szCs w:val="24"/>
          <w:lang w:val="es-ES"/>
        </w:rPr>
        <w:t xml:space="preserve">gimen de </w:t>
      </w:r>
      <w:proofErr w:type="spellStart"/>
      <w:r w:rsidRPr="00095F15">
        <w:rPr>
          <w:rStyle w:val="Ninguno"/>
          <w:rFonts w:ascii="Times New Roman" w:hAnsi="Times New Roman"/>
          <w:sz w:val="24"/>
          <w:szCs w:val="24"/>
          <w:lang w:val="es-ES"/>
        </w:rPr>
        <w:t>prisi</w:t>
      </w:r>
      <w:r>
        <w:rPr>
          <w:rStyle w:val="Ninguno"/>
          <w:rFonts w:ascii="Times New Roman" w:hAnsi="Times New Roman"/>
          <w:sz w:val="24"/>
          <w:szCs w:val="24"/>
        </w:rPr>
        <w:t>ón</w:t>
      </w:r>
      <w:proofErr w:type="spellEnd"/>
      <w:r>
        <w:rPr>
          <w:rStyle w:val="Ninguno"/>
          <w:rFonts w:ascii="Times New Roman" w:hAnsi="Times New Roman"/>
          <w:sz w:val="24"/>
          <w:szCs w:val="24"/>
        </w:rPr>
        <w:t xml:space="preserve"> domiciliaria para procesados y condenados de más de sesenta y cinco años propone sustituir la pena a recaer en caso de condenas firmes por delitos cometidos cuando esta implique una privación de libertad a cumplir en un </w:t>
      </w:r>
      <w:r>
        <w:rPr>
          <w:rStyle w:val="Ninguno"/>
          <w:rFonts w:ascii="Times New Roman" w:hAnsi="Times New Roman"/>
          <w:sz w:val="24"/>
          <w:szCs w:val="24"/>
        </w:rPr>
        <w:t xml:space="preserve">establecimiento de reclusión penitenciaria por una pena de privación de libertad domiciliaria. </w:t>
      </w:r>
    </w:p>
    <w:p w14:paraId="09AEF29F"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El proyecto fue presentado por un grupo de legisladores al Parlamento nacional el día 4 de agosto de 2021, recibiendo desde entonces trámite parlamentario</w:t>
      </w:r>
      <w:r>
        <w:rPr>
          <w:rStyle w:val="Ninguno"/>
          <w:rFonts w:ascii="Times New Roman" w:eastAsia="Times New Roman" w:hAnsi="Times New Roman" w:cs="Times New Roman"/>
          <w:sz w:val="24"/>
          <w:szCs w:val="24"/>
          <w:vertAlign w:val="superscript"/>
        </w:rPr>
        <w:footnoteReference w:id="2"/>
      </w:r>
      <w:r>
        <w:rPr>
          <w:rStyle w:val="Ninguno"/>
          <w:rFonts w:ascii="Times New Roman" w:hAnsi="Times New Roman"/>
          <w:sz w:val="24"/>
          <w:szCs w:val="24"/>
        </w:rPr>
        <w:t xml:space="preserve"> en los mismos términos formales que cualquier otro proyecto de ley. Desde su ingreso al Poder Legislativo, el proyecto de ley se encuentra en la Comisión de Constitución y </w:t>
      </w:r>
      <w:proofErr w:type="spellStart"/>
      <w:r>
        <w:rPr>
          <w:rStyle w:val="Ninguno"/>
          <w:rFonts w:ascii="Times New Roman" w:hAnsi="Times New Roman"/>
          <w:sz w:val="24"/>
          <w:szCs w:val="24"/>
        </w:rPr>
        <w:t>Legislació</w:t>
      </w:r>
      <w:proofErr w:type="spellEnd"/>
      <w:r w:rsidRPr="00095F15">
        <w:rPr>
          <w:rStyle w:val="Ninguno"/>
          <w:rFonts w:ascii="Times New Roman" w:hAnsi="Times New Roman"/>
          <w:sz w:val="24"/>
          <w:szCs w:val="24"/>
          <w:lang w:val="es-ES"/>
        </w:rPr>
        <w:t>n de la C</w:t>
      </w:r>
      <w:proofErr w:type="spellStart"/>
      <w:r>
        <w:rPr>
          <w:rStyle w:val="Ninguno"/>
          <w:rFonts w:ascii="Times New Roman" w:hAnsi="Times New Roman"/>
          <w:sz w:val="24"/>
          <w:szCs w:val="24"/>
        </w:rPr>
        <w:t>ámara</w:t>
      </w:r>
      <w:proofErr w:type="spellEnd"/>
      <w:r>
        <w:rPr>
          <w:rStyle w:val="Ninguno"/>
          <w:rFonts w:ascii="Times New Roman" w:hAnsi="Times New Roman"/>
          <w:sz w:val="24"/>
          <w:szCs w:val="24"/>
        </w:rPr>
        <w:t xml:space="preserve"> de Senadores que ha convocado y recibido a diversos actore</w:t>
      </w:r>
      <w:r>
        <w:rPr>
          <w:rStyle w:val="Ninguno"/>
          <w:rFonts w:ascii="Times New Roman" w:hAnsi="Times New Roman"/>
          <w:sz w:val="24"/>
          <w:szCs w:val="24"/>
        </w:rPr>
        <w:t xml:space="preserve">s académicos y </w:t>
      </w:r>
      <w:r>
        <w:rPr>
          <w:rStyle w:val="Ninguno"/>
          <w:rFonts w:ascii="Times New Roman" w:hAnsi="Times New Roman"/>
          <w:sz w:val="24"/>
          <w:szCs w:val="24"/>
        </w:rPr>
        <w:lastRenderedPageBreak/>
        <w:t xml:space="preserve">organizaciones de la sociedad civil a efectos de conocer su opinión y eventuales acuerdos o discrepancias al respecto. </w:t>
      </w:r>
    </w:p>
    <w:p w14:paraId="179E74B0" w14:textId="35CD057C" w:rsidR="00591E03" w:rsidRDefault="00F002B7">
      <w:pPr>
        <w:pStyle w:val="Cuerpo"/>
        <w:spacing w:line="240" w:lineRule="auto"/>
        <w:jc w:val="both"/>
        <w:rPr>
          <w:rStyle w:val="Ninguno"/>
          <w:rFonts w:ascii="Times New Roman" w:eastAsia="Times New Roman" w:hAnsi="Times New Roman" w:cs="Times New Roman"/>
          <w:sz w:val="24"/>
          <w:szCs w:val="24"/>
        </w:rPr>
      </w:pPr>
      <w:r w:rsidRPr="00095F15">
        <w:rPr>
          <w:rStyle w:val="Ninguno"/>
          <w:rFonts w:ascii="Times New Roman" w:hAnsi="Times New Roman"/>
          <w:sz w:val="24"/>
          <w:szCs w:val="24"/>
          <w:lang w:val="es-ES"/>
        </w:rPr>
        <w:t xml:space="preserve">La </w:t>
      </w:r>
      <w:r>
        <w:rPr>
          <w:rStyle w:val="Ninguno"/>
          <w:rFonts w:ascii="Times New Roman" w:hAnsi="Times New Roman"/>
          <w:sz w:val="24"/>
          <w:szCs w:val="24"/>
        </w:rPr>
        <w:t>última sesión en la que el proyecto de Ley recibió tratamiento en la mencionada Comisión fue el 14 de diciembre de 202</w:t>
      </w:r>
      <w:r>
        <w:rPr>
          <w:rStyle w:val="Ninguno"/>
          <w:rFonts w:ascii="Times New Roman" w:hAnsi="Times New Roman"/>
          <w:sz w:val="24"/>
          <w:szCs w:val="24"/>
        </w:rPr>
        <w:t xml:space="preserve">1, sin haberse alcanzado definición alguna. Considerando esta circunstancia y que el trámite parlamentario requiere varias etapas donde el proyecto de ley puede ser modificado, resulta difícil estimar cual podría ser el documento final y, en consecuencia, </w:t>
      </w:r>
      <w:r>
        <w:rPr>
          <w:rStyle w:val="Ninguno"/>
          <w:rFonts w:ascii="Times New Roman" w:hAnsi="Times New Roman"/>
          <w:sz w:val="24"/>
          <w:szCs w:val="24"/>
        </w:rPr>
        <w:t>su impacto o incidencia en el régimen de cumplimiento de penas en caso de personas procesadas o condenadas por hechos que constituyen el delito de desaparición</w:t>
      </w:r>
      <w:r>
        <w:rPr>
          <w:rStyle w:val="Ninguno"/>
          <w:rFonts w:ascii="Times New Roman" w:hAnsi="Times New Roman"/>
          <w:sz w:val="24"/>
          <w:szCs w:val="24"/>
          <w:lang w:val="it-IT"/>
        </w:rPr>
        <w:t xml:space="preserve"> forzada. </w:t>
      </w:r>
    </w:p>
    <w:p w14:paraId="34EF3CE2" w14:textId="77777777" w:rsidR="00591E03" w:rsidRDefault="00591E03">
      <w:pPr>
        <w:pStyle w:val="Cuerpo"/>
        <w:spacing w:line="240" w:lineRule="auto"/>
        <w:jc w:val="both"/>
        <w:rPr>
          <w:rStyle w:val="Ninguno"/>
          <w:rFonts w:ascii="Times New Roman" w:eastAsia="Times New Roman" w:hAnsi="Times New Roman" w:cs="Times New Roman"/>
          <w:b/>
          <w:bCs/>
          <w:sz w:val="24"/>
          <w:szCs w:val="24"/>
        </w:rPr>
      </w:pPr>
    </w:p>
    <w:p w14:paraId="58FF85BD" w14:textId="77777777" w:rsidR="00591E03" w:rsidRDefault="00F002B7">
      <w:pPr>
        <w:pStyle w:val="Cuerpo"/>
        <w:spacing w:line="240" w:lineRule="auto"/>
        <w:jc w:val="both"/>
        <w:rPr>
          <w:rStyle w:val="Ninguno"/>
          <w:rFonts w:ascii="Times New Roman" w:eastAsia="Times New Roman" w:hAnsi="Times New Roman" w:cs="Times New Roman"/>
          <w:b/>
          <w:bCs/>
          <w:sz w:val="24"/>
          <w:szCs w:val="24"/>
        </w:rPr>
      </w:pPr>
      <w:r>
        <w:rPr>
          <w:rStyle w:val="Ninguno"/>
          <w:rFonts w:ascii="Times New Roman" w:hAnsi="Times New Roman"/>
          <w:b/>
          <w:bCs/>
          <w:sz w:val="24"/>
          <w:szCs w:val="24"/>
        </w:rPr>
        <w:t>Párrafo 10</w:t>
      </w:r>
    </w:p>
    <w:p w14:paraId="5DBA831E" w14:textId="73DFECEC"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En relación a la garantía del habeas corpus y su aplicación cuando la priv</w:t>
      </w:r>
      <w:r>
        <w:rPr>
          <w:rStyle w:val="Ninguno"/>
          <w:rFonts w:ascii="Times New Roman" w:hAnsi="Times New Roman"/>
          <w:sz w:val="24"/>
          <w:szCs w:val="24"/>
        </w:rPr>
        <w:t>ación de libertad se produce en el marco de una actuación de cara</w:t>
      </w:r>
      <w:r>
        <w:rPr>
          <w:rStyle w:val="Ninguno"/>
          <w:rFonts w:ascii="Times New Roman" w:hAnsi="Times New Roman"/>
          <w:sz w:val="24"/>
          <w:szCs w:val="24"/>
          <w:lang w:val="pt-PT"/>
        </w:rPr>
        <w:t>cter no penal, se indica que por mandato constitucional (art</w:t>
      </w:r>
      <w:proofErr w:type="spellStart"/>
      <w:r>
        <w:rPr>
          <w:rStyle w:val="Ninguno"/>
          <w:rFonts w:ascii="Times New Roman" w:hAnsi="Times New Roman"/>
          <w:sz w:val="24"/>
          <w:szCs w:val="24"/>
        </w:rPr>
        <w:t>ículo</w:t>
      </w:r>
      <w:proofErr w:type="spellEnd"/>
      <w:r>
        <w:rPr>
          <w:rStyle w:val="Ninguno"/>
          <w:rFonts w:ascii="Times New Roman" w:hAnsi="Times New Roman"/>
          <w:sz w:val="24"/>
          <w:szCs w:val="24"/>
        </w:rPr>
        <w:t xml:space="preserve"> 17 de la Constitución de la República Oriental del Uruguay) la ley solo ha reglamentado la presentación del recurso para el á</w:t>
      </w:r>
      <w:r>
        <w:rPr>
          <w:rStyle w:val="Ninguno"/>
          <w:rFonts w:ascii="Times New Roman" w:hAnsi="Times New Roman"/>
          <w:sz w:val="24"/>
          <w:szCs w:val="24"/>
        </w:rPr>
        <w:t xml:space="preserve">mbito carcelario. Sin embargo, nada impide que, en atención a los tratados internacionales de derechos humanos y su </w:t>
      </w:r>
      <w:proofErr w:type="spellStart"/>
      <w:r>
        <w:rPr>
          <w:rStyle w:val="Ninguno"/>
          <w:rFonts w:ascii="Times New Roman" w:hAnsi="Times New Roman"/>
          <w:sz w:val="24"/>
          <w:szCs w:val="24"/>
        </w:rPr>
        <w:t>jerarquí</w:t>
      </w:r>
      <w:proofErr w:type="spellEnd"/>
      <w:r>
        <w:rPr>
          <w:rStyle w:val="Ninguno"/>
          <w:rFonts w:ascii="Times New Roman" w:hAnsi="Times New Roman"/>
          <w:sz w:val="24"/>
          <w:szCs w:val="24"/>
          <w:lang w:val="it-IT"/>
        </w:rPr>
        <w:t>a dentro del sistema jur</w:t>
      </w:r>
      <w:proofErr w:type="spellStart"/>
      <w:r>
        <w:rPr>
          <w:rStyle w:val="Ninguno"/>
          <w:rFonts w:ascii="Times New Roman" w:hAnsi="Times New Roman"/>
          <w:sz w:val="24"/>
          <w:szCs w:val="24"/>
        </w:rPr>
        <w:t>ídico</w:t>
      </w:r>
      <w:proofErr w:type="spellEnd"/>
      <w:r>
        <w:rPr>
          <w:rStyle w:val="Ninguno"/>
          <w:rFonts w:ascii="Times New Roman" w:hAnsi="Times New Roman"/>
          <w:sz w:val="24"/>
          <w:szCs w:val="24"/>
        </w:rPr>
        <w:t>, las personas puedan presentarse ante los tribunales nacionales en hipótesis como las indicadas por el</w:t>
      </w:r>
      <w:r>
        <w:rPr>
          <w:rStyle w:val="Ninguno"/>
          <w:rFonts w:ascii="Times New Roman" w:hAnsi="Times New Roman"/>
          <w:sz w:val="24"/>
          <w:szCs w:val="24"/>
        </w:rPr>
        <w:t xml:space="preserve"> Comité</w:t>
      </w:r>
      <w:r>
        <w:rPr>
          <w:rStyle w:val="Ninguno"/>
          <w:rFonts w:ascii="Times New Roman" w:hAnsi="Times New Roman"/>
          <w:sz w:val="24"/>
          <w:szCs w:val="24"/>
          <w:lang w:val="it-IT"/>
        </w:rPr>
        <w:t>. La decisi</w:t>
      </w:r>
      <w:proofErr w:type="spellStart"/>
      <w:r>
        <w:rPr>
          <w:rStyle w:val="Ninguno"/>
          <w:rFonts w:ascii="Times New Roman" w:hAnsi="Times New Roman"/>
          <w:sz w:val="24"/>
          <w:szCs w:val="24"/>
        </w:rPr>
        <w:t>ón</w:t>
      </w:r>
      <w:proofErr w:type="spellEnd"/>
      <w:r>
        <w:rPr>
          <w:rStyle w:val="Ninguno"/>
          <w:rFonts w:ascii="Times New Roman" w:hAnsi="Times New Roman"/>
          <w:sz w:val="24"/>
          <w:szCs w:val="24"/>
        </w:rPr>
        <w:t xml:space="preserve"> de dar trámite al recurso, dependerá de cada juez y su autonomía técnica en el caso concreto. </w:t>
      </w:r>
    </w:p>
    <w:p w14:paraId="5744FF79" w14:textId="77777777" w:rsidR="00591E03" w:rsidRDefault="00591E03">
      <w:pPr>
        <w:pStyle w:val="Cuerpo"/>
        <w:spacing w:line="240" w:lineRule="auto"/>
        <w:jc w:val="both"/>
        <w:rPr>
          <w:rStyle w:val="Ninguno"/>
          <w:rFonts w:ascii="Times New Roman" w:eastAsia="Times New Roman" w:hAnsi="Times New Roman" w:cs="Times New Roman"/>
          <w:b/>
          <w:bCs/>
          <w:sz w:val="24"/>
          <w:szCs w:val="24"/>
        </w:rPr>
      </w:pPr>
    </w:p>
    <w:p w14:paraId="0D099C2D" w14:textId="77777777" w:rsidR="00591E03" w:rsidRDefault="00F002B7">
      <w:pPr>
        <w:pStyle w:val="Cuerpo"/>
        <w:spacing w:line="240" w:lineRule="auto"/>
        <w:jc w:val="both"/>
        <w:rPr>
          <w:rStyle w:val="Ninguno"/>
          <w:rFonts w:ascii="Times New Roman" w:eastAsia="Times New Roman" w:hAnsi="Times New Roman" w:cs="Times New Roman"/>
          <w:b/>
          <w:bCs/>
          <w:sz w:val="24"/>
          <w:szCs w:val="24"/>
        </w:rPr>
      </w:pPr>
      <w:proofErr w:type="spellStart"/>
      <w:r>
        <w:rPr>
          <w:rStyle w:val="Ninguno"/>
          <w:rFonts w:ascii="Times New Roman" w:hAnsi="Times New Roman"/>
          <w:b/>
          <w:bCs/>
          <w:sz w:val="24"/>
          <w:szCs w:val="24"/>
        </w:rPr>
        <w:t>Parrafo</w:t>
      </w:r>
      <w:proofErr w:type="spellEnd"/>
      <w:r>
        <w:rPr>
          <w:rStyle w:val="Ninguno"/>
          <w:rFonts w:ascii="Times New Roman" w:hAnsi="Times New Roman"/>
          <w:b/>
          <w:bCs/>
          <w:sz w:val="24"/>
          <w:szCs w:val="24"/>
        </w:rPr>
        <w:t xml:space="preserve"> 12 </w:t>
      </w:r>
    </w:p>
    <w:p w14:paraId="44B92E4F" w14:textId="4ED414A4" w:rsidR="00591E03" w:rsidRDefault="00F002B7">
      <w:pPr>
        <w:pStyle w:val="HTMLPreformatted"/>
        <w:shd w:val="clear" w:color="auto" w:fill="FFFFFF"/>
        <w:tabs>
          <w:tab w:val="clear" w:pos="8244"/>
          <w:tab w:val="clear" w:pos="9160"/>
          <w:tab w:val="clear" w:pos="10076"/>
          <w:tab w:val="clear" w:pos="10992"/>
          <w:tab w:val="clear" w:pos="11908"/>
          <w:tab w:val="clear" w:pos="12824"/>
          <w:tab w:val="clear" w:pos="13740"/>
          <w:tab w:val="clear" w:pos="14656"/>
          <w:tab w:val="left" w:pos="7998"/>
          <w:tab w:val="left" w:pos="7998"/>
          <w:tab w:val="left" w:pos="7998"/>
          <w:tab w:val="left" w:pos="7998"/>
          <w:tab w:val="left" w:pos="7998"/>
          <w:tab w:val="left" w:pos="7998"/>
          <w:tab w:val="left" w:pos="7998"/>
          <w:tab w:val="left" w:pos="7998"/>
        </w:tabs>
        <w:spacing w:after="150"/>
        <w:jc w:val="both"/>
        <w:rPr>
          <w:rStyle w:val="Ninguno"/>
          <w:rFonts w:ascii="Times New Roman" w:eastAsia="Times New Roman" w:hAnsi="Times New Roman" w:cs="Times New Roman"/>
          <w:sz w:val="24"/>
          <w:szCs w:val="24"/>
          <w:lang w:val="es-ES_tradnl"/>
        </w:rPr>
      </w:pPr>
      <w:r>
        <w:rPr>
          <w:rStyle w:val="Ninguno"/>
          <w:rFonts w:ascii="Times New Roman" w:hAnsi="Times New Roman"/>
          <w:sz w:val="24"/>
          <w:szCs w:val="24"/>
          <w:lang w:val="es-ES_tradnl"/>
        </w:rPr>
        <w:t>El artículo 79.1 del Código del Proceso Penal (CPP) vigente define como víctima</w:t>
      </w:r>
      <w:r>
        <w:rPr>
          <w:rStyle w:val="Ninguno"/>
          <w:rFonts w:ascii="Times New Roman" w:hAnsi="Times New Roman"/>
          <w:sz w:val="24"/>
          <w:szCs w:val="24"/>
          <w:lang w:val="es-ES_tradnl"/>
        </w:rPr>
        <w:t xml:space="preserve">   a “la persona ofendida por el delito”. </w:t>
      </w:r>
      <w:r>
        <w:rPr>
          <w:rStyle w:val="Ninguno"/>
          <w:rFonts w:ascii="Times New Roman" w:hAnsi="Times New Roman"/>
          <w:sz w:val="24"/>
          <w:szCs w:val="24"/>
          <w:lang w:val="es-ES_tradnl"/>
        </w:rPr>
        <w:t xml:space="preserve">Tratándose de un concepto  amplio y </w:t>
      </w:r>
      <w:proofErr w:type="spellStart"/>
      <w:r>
        <w:rPr>
          <w:rStyle w:val="Ninguno"/>
          <w:rFonts w:ascii="Times New Roman" w:hAnsi="Times New Roman"/>
          <w:sz w:val="24"/>
          <w:szCs w:val="24"/>
          <w:lang w:val="es-ES_tradnl"/>
        </w:rPr>
        <w:t>abarcativo</w:t>
      </w:r>
      <w:proofErr w:type="spellEnd"/>
      <w:r>
        <w:rPr>
          <w:rStyle w:val="Ninguno"/>
          <w:rFonts w:ascii="Times New Roman" w:hAnsi="Times New Roman"/>
          <w:sz w:val="24"/>
          <w:szCs w:val="24"/>
          <w:lang w:val="es-ES_tradnl"/>
        </w:rPr>
        <w:t xml:space="preserve">, se entiende que, en consecuencia incluye </w:t>
      </w:r>
      <w:r>
        <w:rPr>
          <w:rStyle w:val="Ninguno"/>
          <w:rFonts w:ascii="Times New Roman" w:hAnsi="Times New Roman"/>
          <w:color w:val="FF0000"/>
          <w:sz w:val="24"/>
          <w:szCs w:val="24"/>
          <w:u w:color="FF0000"/>
          <w:lang w:val="es-ES_tradnl"/>
        </w:rPr>
        <w:t xml:space="preserve"> </w:t>
      </w:r>
      <w:r>
        <w:rPr>
          <w:rStyle w:val="Ninguno"/>
          <w:rFonts w:ascii="Times New Roman" w:hAnsi="Times New Roman"/>
          <w:sz w:val="24"/>
          <w:szCs w:val="24"/>
          <w:lang w:val="es-ES_tradnl"/>
        </w:rPr>
        <w:t>la definición contenida en el artículo 24, pár</w:t>
      </w:r>
      <w:r>
        <w:rPr>
          <w:rStyle w:val="Ninguno"/>
          <w:rFonts w:ascii="Times New Roman" w:hAnsi="Times New Roman"/>
          <w:sz w:val="24"/>
          <w:szCs w:val="24"/>
          <w:lang w:val="es-ES_tradnl"/>
        </w:rPr>
        <w:t>rafo 1 de la Convención.</w:t>
      </w:r>
    </w:p>
    <w:p w14:paraId="0F325CE0" w14:textId="77777777" w:rsidR="00591E03" w:rsidRDefault="00F002B7">
      <w:pPr>
        <w:pStyle w:val="HTMLPreformatted"/>
        <w:shd w:val="clear" w:color="auto" w:fill="FFFFFF"/>
        <w:tabs>
          <w:tab w:val="clear" w:pos="8244"/>
          <w:tab w:val="clear" w:pos="9160"/>
          <w:tab w:val="clear" w:pos="10076"/>
          <w:tab w:val="clear" w:pos="10992"/>
          <w:tab w:val="clear" w:pos="11908"/>
          <w:tab w:val="clear" w:pos="12824"/>
          <w:tab w:val="clear" w:pos="13740"/>
          <w:tab w:val="clear" w:pos="14656"/>
          <w:tab w:val="left" w:pos="7998"/>
          <w:tab w:val="left" w:pos="7998"/>
          <w:tab w:val="left" w:pos="7998"/>
          <w:tab w:val="left" w:pos="7998"/>
          <w:tab w:val="left" w:pos="7998"/>
          <w:tab w:val="left" w:pos="7998"/>
          <w:tab w:val="left" w:pos="7998"/>
          <w:tab w:val="left" w:pos="7998"/>
        </w:tabs>
        <w:spacing w:after="150"/>
        <w:jc w:val="both"/>
        <w:rPr>
          <w:rStyle w:val="Ninguno"/>
          <w:rFonts w:ascii="Times New Roman" w:eastAsia="Times New Roman" w:hAnsi="Times New Roman" w:cs="Times New Roman"/>
          <w:sz w:val="24"/>
          <w:szCs w:val="24"/>
          <w:lang w:val="es-ES_tradnl"/>
        </w:rPr>
      </w:pPr>
      <w:r>
        <w:rPr>
          <w:rStyle w:val="Ninguno"/>
          <w:rFonts w:ascii="Times New Roman" w:hAnsi="Times New Roman"/>
          <w:sz w:val="24"/>
          <w:szCs w:val="24"/>
          <w:lang w:val="es-ES_tradnl"/>
        </w:rPr>
        <w:t xml:space="preserve">Debe agregarse que el artículo siguiente del CPP, en su párrafo 1, indica que en los casos donde “haya ocurrido la muerte de la víctima, o en los casos en que esta, siendo legalmente capaz, no pueda ejercer por sí los derechos que </w:t>
      </w:r>
      <w:r>
        <w:rPr>
          <w:rStyle w:val="Ninguno"/>
          <w:rFonts w:ascii="Times New Roman" w:hAnsi="Times New Roman"/>
          <w:sz w:val="24"/>
          <w:szCs w:val="24"/>
          <w:lang w:val="es-ES_tradnl"/>
        </w:rPr>
        <w:t>este Código le otorga, podrán comparecer las siguientes personas, quienes ejercerán como suyos el derecho e interés que hubieran correspondido a la víctima fallecida o, en su caso, actuarán en su representación”, enumerando, entre otros, a padres, cónyuges</w:t>
      </w:r>
      <w:r>
        <w:rPr>
          <w:rStyle w:val="Ninguno"/>
          <w:rFonts w:ascii="Times New Roman" w:hAnsi="Times New Roman"/>
          <w:sz w:val="24"/>
          <w:szCs w:val="24"/>
          <w:lang w:val="es-ES_tradnl"/>
        </w:rPr>
        <w:t>, hijos adultos, hermanos, tutores y abuelos.</w:t>
      </w:r>
    </w:p>
    <w:p w14:paraId="1A21BE7E"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1B959555" w14:textId="77777777" w:rsidR="00591E03" w:rsidRDefault="00F002B7">
      <w:pPr>
        <w:pStyle w:val="ListParagraph"/>
        <w:numPr>
          <w:ilvl w:val="0"/>
          <w:numId w:val="2"/>
        </w:numPr>
        <w:spacing w:line="240" w:lineRule="auto"/>
        <w:jc w:val="both"/>
        <w:rPr>
          <w:rFonts w:ascii="Times New Roman" w:hAnsi="Times New Roman"/>
          <w:b/>
          <w:bCs/>
          <w:sz w:val="24"/>
          <w:szCs w:val="24"/>
        </w:rPr>
      </w:pPr>
      <w:r>
        <w:rPr>
          <w:rStyle w:val="Ninguno"/>
          <w:rFonts w:ascii="Times New Roman" w:hAnsi="Times New Roman"/>
          <w:sz w:val="24"/>
          <w:szCs w:val="24"/>
        </w:rPr>
        <w:t xml:space="preserve"> </w:t>
      </w:r>
      <w:r>
        <w:rPr>
          <w:rStyle w:val="Ninguno"/>
          <w:rFonts w:ascii="Times New Roman" w:hAnsi="Times New Roman"/>
          <w:b/>
          <w:bCs/>
          <w:sz w:val="24"/>
          <w:szCs w:val="24"/>
        </w:rPr>
        <w:t xml:space="preserve">La búsqueda de las personas desaparecidas y la investigación de los casos de desaparición forzada </w:t>
      </w:r>
    </w:p>
    <w:p w14:paraId="548EA223" w14:textId="77777777" w:rsidR="00591E03" w:rsidRDefault="00591E03">
      <w:pPr>
        <w:pStyle w:val="ListParagraph"/>
        <w:spacing w:line="240" w:lineRule="auto"/>
        <w:ind w:left="1080"/>
        <w:jc w:val="both"/>
        <w:rPr>
          <w:rStyle w:val="Ninguno"/>
          <w:rFonts w:ascii="Times New Roman" w:eastAsia="Times New Roman" w:hAnsi="Times New Roman" w:cs="Times New Roman"/>
          <w:b/>
          <w:bCs/>
          <w:sz w:val="24"/>
          <w:szCs w:val="24"/>
        </w:rPr>
      </w:pPr>
    </w:p>
    <w:p w14:paraId="7EEF04C2" w14:textId="77777777" w:rsidR="00591E03" w:rsidRDefault="00F002B7">
      <w:pPr>
        <w:pStyle w:val="Default"/>
        <w:jc w:val="both"/>
        <w:rPr>
          <w:rStyle w:val="Ninguno"/>
          <w:b/>
          <w:bCs/>
        </w:rPr>
      </w:pPr>
      <w:r>
        <w:rPr>
          <w:rStyle w:val="Ninguno"/>
          <w:b/>
          <w:bCs/>
        </w:rPr>
        <w:t>Párrafos 14, 15 y 16</w:t>
      </w:r>
    </w:p>
    <w:p w14:paraId="329683D5" w14:textId="77777777" w:rsidR="00591E03" w:rsidRDefault="00591E03">
      <w:pPr>
        <w:pStyle w:val="Default"/>
        <w:jc w:val="both"/>
        <w:rPr>
          <w:rStyle w:val="Ninguno"/>
        </w:rPr>
      </w:pPr>
    </w:p>
    <w:p w14:paraId="534C57DF"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Se proporciona información actualizada a la fecha acerca de los párrafos de referencia.  </w:t>
      </w:r>
    </w:p>
    <w:p w14:paraId="32D3E985"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Como señaló </w:t>
      </w:r>
      <w:r>
        <w:rPr>
          <w:rStyle w:val="Ninguno"/>
          <w:rFonts w:ascii="Times New Roman" w:hAnsi="Times New Roman"/>
          <w:sz w:val="24"/>
          <w:szCs w:val="24"/>
          <w:lang w:val="it-IT"/>
        </w:rPr>
        <w:t>el Comit</w:t>
      </w:r>
      <w:r>
        <w:rPr>
          <w:rStyle w:val="Ninguno"/>
          <w:rFonts w:ascii="Times New Roman" w:hAnsi="Times New Roman"/>
          <w:sz w:val="24"/>
          <w:szCs w:val="24"/>
        </w:rPr>
        <w:t>é, el 18 de setiembre de 2019 se promulgó la ley que encargó a la Institución Nacional de Derechos Humanos (INDDHH) la búsqueda de las personas de</w:t>
      </w:r>
      <w:r>
        <w:rPr>
          <w:rStyle w:val="Ninguno"/>
          <w:rFonts w:ascii="Times New Roman" w:hAnsi="Times New Roman"/>
          <w:sz w:val="24"/>
          <w:szCs w:val="24"/>
        </w:rPr>
        <w:t xml:space="preserve">tenidas desaparecidas en el marco de la actuación ilegítima del Estado ocurrida entre el 13 de junio de 1968 y el 28 de febrero de 1985. </w:t>
      </w:r>
    </w:p>
    <w:p w14:paraId="06B24F30"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lastRenderedPageBreak/>
        <w:t>La Ley N°19.822 encomienda a la INDDHH la búsqueda de las personas detenidas desaparecidas dentro y fuera del Uruguay,</w:t>
      </w:r>
      <w:r>
        <w:rPr>
          <w:rStyle w:val="Ninguno"/>
          <w:rFonts w:ascii="Times New Roman" w:hAnsi="Times New Roman"/>
          <w:sz w:val="24"/>
          <w:szCs w:val="24"/>
        </w:rPr>
        <w:t xml:space="preserve"> e incluye tanto la ubicación de los restos como la investigación de las circunstancias en que se produjeron las desapariciones. En este sentido, Uruguay hace sus mayores esfuerzos para favorecer e intensificar las labores de búsqueda y ubicación, en conco</w:t>
      </w:r>
      <w:r>
        <w:rPr>
          <w:rStyle w:val="Ninguno"/>
          <w:rFonts w:ascii="Times New Roman" w:hAnsi="Times New Roman"/>
          <w:sz w:val="24"/>
          <w:szCs w:val="24"/>
        </w:rPr>
        <w:t>rdancia con los Principios Rectores para la Búsqueda de Personas Desaparecidas del Comité, enmarcando la política de Estado en una institución independiente y con permanencia en el futuro.</w:t>
      </w:r>
    </w:p>
    <w:p w14:paraId="01949CF0"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La Ley confiere a la INDDHH poderes jurídicos especiales, como el a</w:t>
      </w:r>
      <w:r>
        <w:rPr>
          <w:rStyle w:val="Ninguno"/>
          <w:rFonts w:ascii="Times New Roman" w:hAnsi="Times New Roman"/>
          <w:sz w:val="24"/>
          <w:szCs w:val="24"/>
        </w:rPr>
        <w:t>cceso irrestricto a los archivos de los servicios de inteligencia, archivos de instituciones públicas o privadas y a todos los lugares y establecimientos públicos o privados que considere relevantes. La faculta a citar a funcionarios del Estado y a particu</w:t>
      </w:r>
      <w:r>
        <w:rPr>
          <w:rStyle w:val="Ninguno"/>
          <w:rFonts w:ascii="Times New Roman" w:hAnsi="Times New Roman"/>
          <w:sz w:val="24"/>
          <w:szCs w:val="24"/>
        </w:rPr>
        <w:t>lares para prestar declaración y su no concurrencia o negativa de acceso a los archivos, documentos o establecimientos, será considerada un delito y sancionada penalmente con tres a dieciocho meses de prisión. Debe indicarse que la INDDHH deberá mantener e</w:t>
      </w:r>
      <w:r>
        <w:rPr>
          <w:rStyle w:val="Ninguno"/>
          <w:rFonts w:ascii="Times New Roman" w:hAnsi="Times New Roman"/>
          <w:sz w:val="24"/>
          <w:szCs w:val="24"/>
        </w:rPr>
        <w:t xml:space="preserve">stricta reserva respecto a las personas de las que ha recibido colaboración y sobre cualquier otra </w:t>
      </w:r>
      <w:proofErr w:type="spellStart"/>
      <w:r>
        <w:rPr>
          <w:rStyle w:val="Ninguno"/>
          <w:rFonts w:ascii="Times New Roman" w:hAnsi="Times New Roman"/>
          <w:sz w:val="24"/>
          <w:szCs w:val="24"/>
        </w:rPr>
        <w:t>informació</w:t>
      </w:r>
      <w:proofErr w:type="spellEnd"/>
      <w:r>
        <w:rPr>
          <w:rStyle w:val="Ninguno"/>
          <w:rFonts w:ascii="Times New Roman" w:hAnsi="Times New Roman"/>
          <w:sz w:val="24"/>
          <w:szCs w:val="24"/>
          <w:lang w:val="pt-PT"/>
        </w:rPr>
        <w:t xml:space="preserve">n no relevante.  </w:t>
      </w:r>
    </w:p>
    <w:p w14:paraId="3D555504"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Una primera etapa de la puesta en marcha de los mencionados cometidos a la INDDHH comenzó en setiembre de 2019, a través de la tr</w:t>
      </w:r>
      <w:r>
        <w:rPr>
          <w:rStyle w:val="Ninguno"/>
          <w:rFonts w:ascii="Times New Roman" w:hAnsi="Times New Roman"/>
          <w:sz w:val="24"/>
          <w:szCs w:val="24"/>
        </w:rPr>
        <w:t>ansferencia de información, documentación y conocimientos que se encontraban en poder del Grupo de Trabajo por Verdad y Justicia (GTVJ), que dio por culminado su mandato con la presentación del informe final de su gestión 2015-2019, el 6 de noviembre de 20</w:t>
      </w:r>
      <w:r>
        <w:rPr>
          <w:rStyle w:val="Ninguno"/>
          <w:rFonts w:ascii="Times New Roman" w:hAnsi="Times New Roman"/>
          <w:sz w:val="24"/>
          <w:szCs w:val="24"/>
        </w:rPr>
        <w:t xml:space="preserve">19. </w:t>
      </w:r>
    </w:p>
    <w:p w14:paraId="0DAB4C48"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Asimismo, en el último trimestre de 2019 y primero de 2020, la INDDHH mantuvo entrevistas con altas autoridades del gobierno saliente (Presidente de la República, Pro-Secretario de la Presidencia, Director de la Oficina de Planeamiento y Presupuesto y</w:t>
      </w:r>
      <w:r>
        <w:rPr>
          <w:rStyle w:val="Ninguno"/>
          <w:rFonts w:ascii="Times New Roman" w:hAnsi="Times New Roman"/>
          <w:sz w:val="24"/>
          <w:szCs w:val="24"/>
        </w:rPr>
        <w:t xml:space="preserve"> Ministro de Defensa Nacional) así como del gobierno entrante (Vicepresidenta de la República y Presidenta de la Asamblea General, Ministro de Defensa Nacional, y Comandante en Jefe del Ejército).  El objetivo, principalmente con las nuevas autoridades, fu</w:t>
      </w:r>
      <w:r>
        <w:rPr>
          <w:rStyle w:val="Ninguno"/>
          <w:rFonts w:ascii="Times New Roman" w:hAnsi="Times New Roman"/>
          <w:sz w:val="24"/>
          <w:szCs w:val="24"/>
        </w:rPr>
        <w:t>e establecer la base institucional, logística y de recursos materiales y humanos necesarios para llevar adelante la tarea. Con este fin se desarrolló una amplia ronda de diálogo con las autoridades gubernamentales, tendiente a asegurar la continuidad del t</w:t>
      </w:r>
      <w:r>
        <w:rPr>
          <w:rStyle w:val="Ninguno"/>
          <w:rFonts w:ascii="Times New Roman" w:hAnsi="Times New Roman"/>
          <w:sz w:val="24"/>
          <w:szCs w:val="24"/>
        </w:rPr>
        <w:t xml:space="preserve">rabajo en curso y las asignaciones presupuestales necesarias. </w:t>
      </w:r>
    </w:p>
    <w:p w14:paraId="7F9A0C37"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sidRPr="00095F15">
        <w:rPr>
          <w:rStyle w:val="Ninguno"/>
          <w:rFonts w:ascii="Times New Roman" w:hAnsi="Times New Roman"/>
          <w:sz w:val="24"/>
          <w:szCs w:val="24"/>
          <w:lang w:val="es-ES"/>
        </w:rPr>
        <w:t xml:space="preserve">Concomitantemente, la INDDHH </w:t>
      </w:r>
      <w:proofErr w:type="spellStart"/>
      <w:r w:rsidRPr="00095F15">
        <w:rPr>
          <w:rStyle w:val="Ninguno"/>
          <w:rFonts w:ascii="Times New Roman" w:hAnsi="Times New Roman"/>
          <w:sz w:val="24"/>
          <w:szCs w:val="24"/>
          <w:lang w:val="es-ES"/>
        </w:rPr>
        <w:t>elabor</w:t>
      </w:r>
      <w:r>
        <w:rPr>
          <w:rStyle w:val="Ninguno"/>
          <w:rFonts w:ascii="Times New Roman" w:hAnsi="Times New Roman"/>
          <w:sz w:val="24"/>
          <w:szCs w:val="24"/>
        </w:rPr>
        <w:t>ó</w:t>
      </w:r>
      <w:proofErr w:type="spellEnd"/>
      <w:r>
        <w:rPr>
          <w:rStyle w:val="Ninguno"/>
          <w:rFonts w:ascii="Times New Roman" w:hAnsi="Times New Roman"/>
          <w:sz w:val="24"/>
          <w:szCs w:val="24"/>
        </w:rPr>
        <w:t xml:space="preserve"> los “Lineamientos Estratégicos para dar cumplimiento al mandato de la Ley 19.822” que definen los principios que orientarán su trabajo de búsqueda:  i. Cent</w:t>
      </w:r>
      <w:r>
        <w:rPr>
          <w:rStyle w:val="Ninguno"/>
          <w:rFonts w:ascii="Times New Roman" w:hAnsi="Times New Roman"/>
          <w:sz w:val="24"/>
          <w:szCs w:val="24"/>
        </w:rPr>
        <w:t xml:space="preserve">ralidad de las </w:t>
      </w:r>
      <w:proofErr w:type="spellStart"/>
      <w:r>
        <w:rPr>
          <w:rStyle w:val="Ninguno"/>
          <w:rFonts w:ascii="Times New Roman" w:hAnsi="Times New Roman"/>
          <w:sz w:val="24"/>
          <w:szCs w:val="24"/>
        </w:rPr>
        <w:t>ví</w:t>
      </w:r>
      <w:proofErr w:type="spellEnd"/>
      <w:r>
        <w:rPr>
          <w:rStyle w:val="Ninguno"/>
          <w:rFonts w:ascii="Times New Roman" w:hAnsi="Times New Roman"/>
          <w:sz w:val="24"/>
          <w:szCs w:val="24"/>
          <w:lang w:val="pt-PT"/>
        </w:rPr>
        <w:t>ctimas; ii. Autonom</w:t>
      </w:r>
      <w:r>
        <w:rPr>
          <w:rStyle w:val="Ninguno"/>
          <w:rFonts w:ascii="Times New Roman" w:hAnsi="Times New Roman"/>
          <w:sz w:val="24"/>
          <w:szCs w:val="24"/>
        </w:rPr>
        <w:t>í</w:t>
      </w:r>
      <w:r>
        <w:rPr>
          <w:rStyle w:val="Ninguno"/>
          <w:rFonts w:ascii="Times New Roman" w:hAnsi="Times New Roman"/>
          <w:sz w:val="24"/>
          <w:szCs w:val="24"/>
          <w:lang w:val="pt-PT"/>
        </w:rPr>
        <w:t>a operacional; iii. Imparcialidad; iv. Rendici</w:t>
      </w:r>
      <w:proofErr w:type="spellStart"/>
      <w:r>
        <w:rPr>
          <w:rStyle w:val="Ninguno"/>
          <w:rFonts w:ascii="Times New Roman" w:hAnsi="Times New Roman"/>
          <w:sz w:val="24"/>
          <w:szCs w:val="24"/>
        </w:rPr>
        <w:t>ón</w:t>
      </w:r>
      <w:proofErr w:type="spellEnd"/>
      <w:r>
        <w:rPr>
          <w:rStyle w:val="Ninguno"/>
          <w:rFonts w:ascii="Times New Roman" w:hAnsi="Times New Roman"/>
          <w:sz w:val="24"/>
          <w:szCs w:val="24"/>
        </w:rPr>
        <w:t xml:space="preserve"> de cuentas; v. Profesionalismo y proactividad, vi. Transparencia. </w:t>
      </w:r>
    </w:p>
    <w:p w14:paraId="53D3A4AC"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En materia de infraestructura y logística, debe señalarse que durante el período de transición se asign</w:t>
      </w:r>
      <w:r>
        <w:rPr>
          <w:rStyle w:val="Ninguno"/>
          <w:rFonts w:ascii="Times New Roman" w:hAnsi="Times New Roman"/>
          <w:sz w:val="24"/>
          <w:szCs w:val="24"/>
        </w:rPr>
        <w:t xml:space="preserve">aron los recursos suficientes a través de un fideicomiso administrado por la propia INDDHH para cubrir sueldos de personal y gastos logísticos; se cedió </w:t>
      </w:r>
      <w:r>
        <w:rPr>
          <w:rStyle w:val="Ninguno"/>
          <w:rFonts w:ascii="Times New Roman" w:hAnsi="Times New Roman"/>
          <w:sz w:val="24"/>
          <w:szCs w:val="24"/>
          <w:lang w:val="it-IT"/>
        </w:rPr>
        <w:t>en comodato un inmueble amoblado, un veh</w:t>
      </w:r>
      <w:proofErr w:type="spellStart"/>
      <w:r>
        <w:rPr>
          <w:rStyle w:val="Ninguno"/>
          <w:rFonts w:ascii="Times New Roman" w:hAnsi="Times New Roman"/>
          <w:sz w:val="24"/>
          <w:szCs w:val="24"/>
        </w:rPr>
        <w:t>ículo</w:t>
      </w:r>
      <w:proofErr w:type="spellEnd"/>
      <w:r>
        <w:rPr>
          <w:rStyle w:val="Ninguno"/>
          <w:rFonts w:ascii="Times New Roman" w:hAnsi="Times New Roman"/>
          <w:sz w:val="24"/>
          <w:szCs w:val="24"/>
        </w:rPr>
        <w:t xml:space="preserve"> destinados a las excavaciones y otro cuyo arriendo se ren</w:t>
      </w:r>
      <w:r>
        <w:rPr>
          <w:rStyle w:val="Ninguno"/>
          <w:rFonts w:ascii="Times New Roman" w:hAnsi="Times New Roman"/>
          <w:sz w:val="24"/>
          <w:szCs w:val="24"/>
        </w:rPr>
        <w:t xml:space="preserve">ueva, además de otros apoyos logísticos y de personal proporcionados por empresas privadas y gobiernos departamentales. </w:t>
      </w:r>
    </w:p>
    <w:p w14:paraId="79613CB6"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En materia de recursos humanos, se resalta que parte del personal del GTVJ, incluyendo el grupo de antropólogos del Grupo de </w:t>
      </w:r>
      <w:proofErr w:type="spellStart"/>
      <w:r>
        <w:rPr>
          <w:rStyle w:val="Ninguno"/>
          <w:rFonts w:ascii="Times New Roman" w:hAnsi="Times New Roman"/>
          <w:sz w:val="24"/>
          <w:szCs w:val="24"/>
        </w:rPr>
        <w:t>Investigac</w:t>
      </w:r>
      <w:r>
        <w:rPr>
          <w:rStyle w:val="Ninguno"/>
          <w:rFonts w:ascii="Times New Roman" w:hAnsi="Times New Roman"/>
          <w:sz w:val="24"/>
          <w:szCs w:val="24"/>
        </w:rPr>
        <w:t>ió</w:t>
      </w:r>
      <w:proofErr w:type="spellEnd"/>
      <w:r>
        <w:rPr>
          <w:rStyle w:val="Ninguno"/>
          <w:rFonts w:ascii="Times New Roman" w:hAnsi="Times New Roman"/>
          <w:sz w:val="24"/>
          <w:szCs w:val="24"/>
          <w:lang w:val="nl-NL"/>
        </w:rPr>
        <w:t>n en Antropolog</w:t>
      </w:r>
      <w:proofErr w:type="spellStart"/>
      <w:r>
        <w:rPr>
          <w:rStyle w:val="Ninguno"/>
          <w:rFonts w:ascii="Times New Roman" w:hAnsi="Times New Roman"/>
          <w:sz w:val="24"/>
          <w:szCs w:val="24"/>
        </w:rPr>
        <w:t>ía</w:t>
      </w:r>
      <w:proofErr w:type="spellEnd"/>
      <w:r>
        <w:rPr>
          <w:rStyle w:val="Ninguno"/>
          <w:rFonts w:ascii="Times New Roman" w:hAnsi="Times New Roman"/>
          <w:sz w:val="24"/>
          <w:szCs w:val="24"/>
        </w:rPr>
        <w:t xml:space="preserve"> Forense (GIAF) afectados a la búsqueda de las personas desaparecidas, pasaron a la INDDHH.</w:t>
      </w:r>
    </w:p>
    <w:p w14:paraId="22631758"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Completada la etapa de transición, la INDDHH se hizo cargo plenamente de la ejecución del mandato legal asignado y el presupuesto correspondiente</w:t>
      </w:r>
      <w:r>
        <w:rPr>
          <w:rStyle w:val="Ninguno"/>
          <w:rFonts w:ascii="Times New Roman" w:hAnsi="Times New Roman"/>
          <w:sz w:val="24"/>
          <w:szCs w:val="24"/>
        </w:rPr>
        <w:t xml:space="preserve"> a esta nueva función -</w:t>
      </w:r>
      <w:r>
        <w:rPr>
          <w:rStyle w:val="Ninguno"/>
          <w:rFonts w:ascii="Times New Roman" w:hAnsi="Times New Roman"/>
          <w:sz w:val="24"/>
          <w:szCs w:val="24"/>
        </w:rPr>
        <w:lastRenderedPageBreak/>
        <w:t xml:space="preserve">incorporado a su presupuesto general- fue aprobado sin modificaciones a </w:t>
      </w:r>
      <w:proofErr w:type="spellStart"/>
      <w:r>
        <w:rPr>
          <w:rStyle w:val="Ninguno"/>
          <w:rFonts w:ascii="Times New Roman" w:hAnsi="Times New Roman"/>
          <w:sz w:val="24"/>
          <w:szCs w:val="24"/>
        </w:rPr>
        <w:t>travé</w:t>
      </w:r>
      <w:proofErr w:type="spellEnd"/>
      <w:r w:rsidRPr="00095F15">
        <w:rPr>
          <w:rStyle w:val="Ninguno"/>
          <w:rFonts w:ascii="Times New Roman" w:hAnsi="Times New Roman"/>
          <w:sz w:val="24"/>
          <w:szCs w:val="24"/>
          <w:lang w:val="es-ES"/>
        </w:rPr>
        <w:t xml:space="preserve">s de la </w:t>
      </w:r>
      <w:proofErr w:type="spellStart"/>
      <w:r w:rsidRPr="00095F15">
        <w:rPr>
          <w:rStyle w:val="Ninguno"/>
          <w:rFonts w:ascii="Times New Roman" w:hAnsi="Times New Roman"/>
          <w:sz w:val="24"/>
          <w:szCs w:val="24"/>
          <w:lang w:val="es-ES"/>
        </w:rPr>
        <w:t>rendici</w:t>
      </w:r>
      <w:r>
        <w:rPr>
          <w:rStyle w:val="Ninguno"/>
          <w:rFonts w:ascii="Times New Roman" w:hAnsi="Times New Roman"/>
          <w:sz w:val="24"/>
          <w:szCs w:val="24"/>
        </w:rPr>
        <w:t>ón</w:t>
      </w:r>
      <w:proofErr w:type="spellEnd"/>
      <w:r>
        <w:rPr>
          <w:rStyle w:val="Ninguno"/>
          <w:rFonts w:ascii="Times New Roman" w:hAnsi="Times New Roman"/>
          <w:sz w:val="24"/>
          <w:szCs w:val="24"/>
        </w:rPr>
        <w:t xml:space="preserve"> de cuentas del año 2021. Debe indicarse que el proyecto de inversión que elaboró la INDDHH tiene como objetivos garantizar la coherencia y continuidad de los trabajos de búsqueda tanto en el territorio nacional como en el exterior durante los </w:t>
      </w:r>
      <w:proofErr w:type="spellStart"/>
      <w:r>
        <w:rPr>
          <w:rStyle w:val="Ninguno"/>
          <w:rFonts w:ascii="Times New Roman" w:hAnsi="Times New Roman"/>
          <w:sz w:val="24"/>
          <w:szCs w:val="24"/>
        </w:rPr>
        <w:t>pró</w:t>
      </w:r>
      <w:proofErr w:type="spellEnd"/>
      <w:r>
        <w:rPr>
          <w:rStyle w:val="Ninguno"/>
          <w:rFonts w:ascii="Times New Roman" w:hAnsi="Times New Roman"/>
          <w:sz w:val="24"/>
          <w:szCs w:val="24"/>
          <w:lang w:val="pt-PT"/>
        </w:rPr>
        <w:t>ximos 5 a</w:t>
      </w:r>
      <w:proofErr w:type="spellStart"/>
      <w:r>
        <w:rPr>
          <w:rStyle w:val="Ninguno"/>
          <w:rFonts w:ascii="Times New Roman" w:hAnsi="Times New Roman"/>
          <w:sz w:val="24"/>
          <w:szCs w:val="24"/>
        </w:rPr>
        <w:t>ños</w:t>
      </w:r>
      <w:proofErr w:type="spellEnd"/>
      <w:r>
        <w:rPr>
          <w:rStyle w:val="Ninguno"/>
          <w:rFonts w:ascii="Times New Roman" w:hAnsi="Times New Roman"/>
          <w:sz w:val="24"/>
          <w:szCs w:val="24"/>
        </w:rPr>
        <w:t>, y mantener los recursos humanos y materiales asignados en el mismo nivel que se encontraban al momento en que la INDDHH asumió la tarea asignada por la Ley Nº19.822.</w:t>
      </w:r>
    </w:p>
    <w:p w14:paraId="4E833CF2"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Finalmente, en relación a la coordinación interinstitucional, la INDDHH mantiene comu</w:t>
      </w:r>
      <w:r>
        <w:rPr>
          <w:rStyle w:val="Ninguno"/>
          <w:rFonts w:ascii="Times New Roman" w:hAnsi="Times New Roman"/>
          <w:sz w:val="24"/>
          <w:szCs w:val="24"/>
        </w:rPr>
        <w:t xml:space="preserve">nicaciones con altas autoridades de las instituciones nacionales relevantes para el logro de los cometidos establecidos por la Ley. El diálogo e intercambio con el Poder Legislativo, sedes judiciales, el Ministerio de Defensa Nacional, diferentes unidades </w:t>
      </w:r>
      <w:r>
        <w:rPr>
          <w:rStyle w:val="Ninguno"/>
          <w:rFonts w:ascii="Times New Roman" w:hAnsi="Times New Roman"/>
          <w:sz w:val="24"/>
          <w:szCs w:val="24"/>
        </w:rPr>
        <w:t>del Ejército Nacional, autoridades departamentales y la Fiscalía Especializada en Crímenes de Lesa Humanidad, es constante. Debe indicarse que el vínculo de la INDDHH con esta última incluye la transferencia de materiales y documentación relativa a la búsq</w:t>
      </w:r>
      <w:r>
        <w:rPr>
          <w:rStyle w:val="Ninguno"/>
          <w:rFonts w:ascii="Times New Roman" w:hAnsi="Times New Roman"/>
          <w:sz w:val="24"/>
          <w:szCs w:val="24"/>
        </w:rPr>
        <w:t xml:space="preserve">ueda, la solicitud de medidas cautelares judiciales necesarias para asegurar la intangibilidad de las áreas que serán sometidas a excavaciones, y otras acciones tendientes a asegurar el cumplimiento del mandato legal. </w:t>
      </w:r>
    </w:p>
    <w:p w14:paraId="1BC5EFAD"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En relación al cumplimiento de sus co</w:t>
      </w:r>
      <w:r>
        <w:rPr>
          <w:rStyle w:val="Ninguno"/>
          <w:rFonts w:ascii="Times New Roman" w:hAnsi="Times New Roman"/>
          <w:sz w:val="24"/>
          <w:szCs w:val="24"/>
        </w:rPr>
        <w:t xml:space="preserve">metidos de </w:t>
      </w:r>
      <w:proofErr w:type="spellStart"/>
      <w:r>
        <w:rPr>
          <w:rStyle w:val="Ninguno"/>
          <w:rFonts w:ascii="Times New Roman" w:hAnsi="Times New Roman"/>
          <w:sz w:val="24"/>
          <w:szCs w:val="24"/>
        </w:rPr>
        <w:t>bú</w:t>
      </w:r>
      <w:proofErr w:type="spellEnd"/>
      <w:r>
        <w:rPr>
          <w:rStyle w:val="Ninguno"/>
          <w:rFonts w:ascii="Times New Roman" w:hAnsi="Times New Roman"/>
          <w:sz w:val="24"/>
          <w:szCs w:val="24"/>
          <w:lang w:val="pt-PT"/>
        </w:rPr>
        <w:t>squeda e investigaci</w:t>
      </w:r>
      <w:proofErr w:type="spellStart"/>
      <w:r>
        <w:rPr>
          <w:rStyle w:val="Ninguno"/>
          <w:rFonts w:ascii="Times New Roman" w:hAnsi="Times New Roman"/>
          <w:sz w:val="24"/>
          <w:szCs w:val="24"/>
        </w:rPr>
        <w:t>ón</w:t>
      </w:r>
      <w:proofErr w:type="spellEnd"/>
      <w:r>
        <w:rPr>
          <w:rStyle w:val="Ninguno"/>
          <w:rFonts w:ascii="Times New Roman" w:hAnsi="Times New Roman"/>
          <w:sz w:val="24"/>
          <w:szCs w:val="24"/>
        </w:rPr>
        <w:t xml:space="preserve">, en abril de 2021 la INDDHH remitió un informe a la Corte Interamericana de Derechos Humanos donde señala que “el </w:t>
      </w:r>
      <w:proofErr w:type="spellStart"/>
      <w:r>
        <w:rPr>
          <w:rStyle w:val="Ninguno"/>
          <w:rFonts w:ascii="Times New Roman" w:hAnsi="Times New Roman"/>
          <w:sz w:val="24"/>
          <w:szCs w:val="24"/>
        </w:rPr>
        <w:t>obstá</w:t>
      </w:r>
      <w:proofErr w:type="spellEnd"/>
      <w:r>
        <w:rPr>
          <w:rStyle w:val="Ninguno"/>
          <w:rFonts w:ascii="Times New Roman" w:hAnsi="Times New Roman"/>
          <w:sz w:val="24"/>
          <w:szCs w:val="24"/>
          <w:lang w:val="pt-PT"/>
        </w:rPr>
        <w:t>culo m</w:t>
      </w:r>
      <w:proofErr w:type="spellStart"/>
      <w:r>
        <w:rPr>
          <w:rStyle w:val="Ninguno"/>
          <w:rFonts w:ascii="Times New Roman" w:hAnsi="Times New Roman"/>
          <w:sz w:val="24"/>
          <w:szCs w:val="24"/>
        </w:rPr>
        <w:t>ás</w:t>
      </w:r>
      <w:proofErr w:type="spellEnd"/>
      <w:r>
        <w:rPr>
          <w:rStyle w:val="Ninguno"/>
          <w:rFonts w:ascii="Times New Roman" w:hAnsi="Times New Roman"/>
          <w:sz w:val="24"/>
          <w:szCs w:val="24"/>
        </w:rPr>
        <w:t xml:space="preserve"> grave para la búsqueda de las personas detenidas desaparecidas es la negativa a brindar info</w:t>
      </w:r>
      <w:r>
        <w:rPr>
          <w:rStyle w:val="Ninguno"/>
          <w:rFonts w:ascii="Times New Roman" w:hAnsi="Times New Roman"/>
          <w:sz w:val="24"/>
          <w:szCs w:val="24"/>
        </w:rPr>
        <w:t xml:space="preserve">rmación por parte de ex militares de alto rango”, indicando también como otra de sus preocupaciones “el lento y dificultoso traspaso a la INDDHH de los archivos hallados </w:t>
      </w:r>
      <w:proofErr w:type="spellStart"/>
      <w:r>
        <w:rPr>
          <w:rStyle w:val="Ninguno"/>
          <w:rFonts w:ascii="Times New Roman" w:hAnsi="Times New Roman"/>
          <w:sz w:val="24"/>
          <w:szCs w:val="24"/>
        </w:rPr>
        <w:t>añ</w:t>
      </w:r>
      <w:proofErr w:type="spellEnd"/>
      <w:r>
        <w:rPr>
          <w:rStyle w:val="Ninguno"/>
          <w:rFonts w:ascii="Times New Roman" w:hAnsi="Times New Roman"/>
          <w:sz w:val="24"/>
          <w:szCs w:val="24"/>
          <w:lang w:val="pt-PT"/>
        </w:rPr>
        <w:t>os atr</w:t>
      </w:r>
      <w:proofErr w:type="spellStart"/>
      <w:r>
        <w:rPr>
          <w:rStyle w:val="Ninguno"/>
          <w:rFonts w:ascii="Times New Roman" w:hAnsi="Times New Roman"/>
          <w:sz w:val="24"/>
          <w:szCs w:val="24"/>
        </w:rPr>
        <w:t>ás</w:t>
      </w:r>
      <w:proofErr w:type="spellEnd"/>
      <w:r>
        <w:rPr>
          <w:rStyle w:val="Ninguno"/>
          <w:rFonts w:ascii="Times New Roman" w:hAnsi="Times New Roman"/>
          <w:sz w:val="24"/>
          <w:szCs w:val="24"/>
        </w:rPr>
        <w:t xml:space="preserve"> en dependencias del Ministerio de Defensa.</w:t>
      </w:r>
    </w:p>
    <w:p w14:paraId="13887892" w14:textId="77777777" w:rsidR="00591E03" w:rsidRDefault="00591E03">
      <w:pPr>
        <w:pStyle w:val="Cuerpo"/>
        <w:spacing w:line="240" w:lineRule="auto"/>
        <w:jc w:val="both"/>
        <w:rPr>
          <w:rStyle w:val="Ninguno"/>
          <w:rFonts w:ascii="Times New Roman" w:eastAsia="Times New Roman" w:hAnsi="Times New Roman" w:cs="Times New Roman"/>
          <w:color w:val="2F5496"/>
          <w:sz w:val="24"/>
          <w:szCs w:val="24"/>
          <w:u w:color="2F5496"/>
        </w:rPr>
      </w:pPr>
    </w:p>
    <w:p w14:paraId="75863FC5" w14:textId="77777777" w:rsidR="00591E03" w:rsidRDefault="00F002B7">
      <w:pPr>
        <w:pStyle w:val="Cuerpo"/>
        <w:spacing w:line="240" w:lineRule="auto"/>
        <w:jc w:val="both"/>
        <w:rPr>
          <w:rStyle w:val="Ninguno"/>
          <w:rFonts w:ascii="Times New Roman" w:eastAsia="Times New Roman" w:hAnsi="Times New Roman" w:cs="Times New Roman"/>
          <w:b/>
          <w:bCs/>
          <w:i/>
          <w:iCs/>
          <w:sz w:val="24"/>
          <w:szCs w:val="24"/>
        </w:rPr>
      </w:pPr>
      <w:r>
        <w:rPr>
          <w:rStyle w:val="Ninguno"/>
          <w:rFonts w:ascii="Times New Roman" w:hAnsi="Times New Roman"/>
          <w:b/>
          <w:bCs/>
          <w:i/>
          <w:iCs/>
          <w:sz w:val="24"/>
          <w:szCs w:val="24"/>
        </w:rPr>
        <w:t>Actuaciones desarrolladas por l</w:t>
      </w:r>
      <w:r>
        <w:rPr>
          <w:rStyle w:val="Ninguno"/>
          <w:rFonts w:ascii="Times New Roman" w:hAnsi="Times New Roman"/>
          <w:b/>
          <w:bCs/>
          <w:i/>
          <w:iCs/>
          <w:sz w:val="24"/>
          <w:szCs w:val="24"/>
        </w:rPr>
        <w:t>a INDDHH</w:t>
      </w:r>
    </w:p>
    <w:p w14:paraId="3A495464"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2A37427E"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trabajo de búsqueda de las personas detenidas desaparecidas se divide en dos áreas operativas interrelacionadas: la investigación y las excavaciones. </w:t>
      </w:r>
    </w:p>
    <w:p w14:paraId="24FE9E29"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El trabajo de investigación consiste en analizar información que pueda ser útil para la localización d</w:t>
      </w:r>
      <w:r>
        <w:rPr>
          <w:rStyle w:val="Ninguno"/>
          <w:rFonts w:ascii="Times New Roman" w:hAnsi="Times New Roman"/>
          <w:sz w:val="24"/>
          <w:szCs w:val="24"/>
        </w:rPr>
        <w:t xml:space="preserve">e zonas de enterramientos de personas detenidas desaparecidas, así como para alcanzar la verdad sobre las circunstancias de la desaparición. Para eso se trabaja sobre documentos y testimonios ya recabados profundizando en la información existente, y en la </w:t>
      </w:r>
      <w:r>
        <w:rPr>
          <w:rStyle w:val="Ninguno"/>
          <w:rFonts w:ascii="Times New Roman" w:hAnsi="Times New Roman"/>
          <w:sz w:val="24"/>
          <w:szCs w:val="24"/>
        </w:rPr>
        <w:t xml:space="preserve">obtención de otros testimonios y materiales que permitan incrementar los datos existentes. </w:t>
      </w:r>
    </w:p>
    <w:p w14:paraId="5706622F"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En los primeros meses de trabajo, el equipo de investigación realizó </w:t>
      </w:r>
      <w:r>
        <w:rPr>
          <w:rStyle w:val="Ninguno"/>
          <w:rFonts w:ascii="Times New Roman" w:hAnsi="Times New Roman"/>
          <w:sz w:val="24"/>
          <w:szCs w:val="24"/>
          <w:lang w:val="it-IT"/>
        </w:rPr>
        <w:t>una revisi</w:t>
      </w:r>
      <w:proofErr w:type="spellStart"/>
      <w:r>
        <w:rPr>
          <w:rStyle w:val="Ninguno"/>
          <w:rFonts w:ascii="Times New Roman" w:hAnsi="Times New Roman"/>
          <w:sz w:val="24"/>
          <w:szCs w:val="24"/>
        </w:rPr>
        <w:t>ón</w:t>
      </w:r>
      <w:proofErr w:type="spellEnd"/>
      <w:r>
        <w:rPr>
          <w:rStyle w:val="Ninguno"/>
          <w:rFonts w:ascii="Times New Roman" w:hAnsi="Times New Roman"/>
          <w:sz w:val="24"/>
          <w:szCs w:val="24"/>
        </w:rPr>
        <w:t xml:space="preserve"> documental relativa a ciertas zonas de búsqueda con el objetivo de obtener informa</w:t>
      </w:r>
      <w:r>
        <w:rPr>
          <w:rStyle w:val="Ninguno"/>
          <w:rFonts w:ascii="Times New Roman" w:hAnsi="Times New Roman"/>
          <w:sz w:val="24"/>
          <w:szCs w:val="24"/>
        </w:rPr>
        <w:t xml:space="preserve">ción que facilitara el trabajo antropológico en el territorio. A partir de esa tarea se elaboró </w:t>
      </w:r>
      <w:r>
        <w:rPr>
          <w:rStyle w:val="Ninguno"/>
          <w:rFonts w:ascii="Times New Roman" w:hAnsi="Times New Roman"/>
          <w:sz w:val="24"/>
          <w:szCs w:val="24"/>
          <w:lang w:val="it-IT"/>
        </w:rPr>
        <w:t>un plan macro, con hip</w:t>
      </w:r>
      <w:proofErr w:type="spellStart"/>
      <w:r>
        <w:rPr>
          <w:rStyle w:val="Ninguno"/>
          <w:rFonts w:ascii="Times New Roman" w:hAnsi="Times New Roman"/>
          <w:sz w:val="24"/>
          <w:szCs w:val="24"/>
        </w:rPr>
        <w:t>ótesis</w:t>
      </w:r>
      <w:proofErr w:type="spellEnd"/>
      <w:r>
        <w:rPr>
          <w:rStyle w:val="Ninguno"/>
          <w:rFonts w:ascii="Times New Roman" w:hAnsi="Times New Roman"/>
          <w:sz w:val="24"/>
          <w:szCs w:val="24"/>
        </w:rPr>
        <w:t xml:space="preserve"> que abren diversas líneas de investigación para la búsqueda de restos de personas detenidas desaparecidas en Uruguay, pero también </w:t>
      </w:r>
      <w:r>
        <w:rPr>
          <w:rStyle w:val="Ninguno"/>
          <w:rFonts w:ascii="Times New Roman" w:hAnsi="Times New Roman"/>
          <w:sz w:val="24"/>
          <w:szCs w:val="24"/>
        </w:rPr>
        <w:t xml:space="preserve">en otros países, particularmente en Argentina en el contexto del Plan Cóndor o del terrorismo de Estado de aquel país. Se cuenta con un investigador en Argentina, coordina el apoyo de autoridades, técnicos, y profesionales de aquel país, de acuerdo con la </w:t>
      </w:r>
      <w:r>
        <w:rPr>
          <w:rStyle w:val="Ninguno"/>
          <w:rFonts w:ascii="Times New Roman" w:hAnsi="Times New Roman"/>
          <w:sz w:val="24"/>
          <w:szCs w:val="24"/>
        </w:rPr>
        <w:t>pertinencia concreta de la tarea que se despliega. Durante varios meses las investigaciones fuera de fronteras se vieron interrumpidas por la pandemia de COVID-19. Durante 2020 se recibieron nuevos testimonios respecto de á</w:t>
      </w:r>
      <w:r>
        <w:rPr>
          <w:rStyle w:val="Ninguno"/>
          <w:rFonts w:ascii="Times New Roman" w:hAnsi="Times New Roman"/>
          <w:sz w:val="24"/>
          <w:szCs w:val="24"/>
          <w:lang w:val="pt-PT"/>
        </w:rPr>
        <w:t>reas de inter</w:t>
      </w:r>
      <w:proofErr w:type="spellStart"/>
      <w:r>
        <w:rPr>
          <w:rStyle w:val="Ninguno"/>
          <w:rFonts w:ascii="Times New Roman" w:hAnsi="Times New Roman"/>
          <w:sz w:val="24"/>
          <w:szCs w:val="24"/>
        </w:rPr>
        <w:t>és</w:t>
      </w:r>
      <w:proofErr w:type="spellEnd"/>
      <w:r>
        <w:rPr>
          <w:rStyle w:val="Ninguno"/>
          <w:rFonts w:ascii="Times New Roman" w:hAnsi="Times New Roman"/>
          <w:sz w:val="24"/>
          <w:szCs w:val="24"/>
        </w:rPr>
        <w:t xml:space="preserve"> en diferentes uni</w:t>
      </w:r>
      <w:r>
        <w:rPr>
          <w:rStyle w:val="Ninguno"/>
          <w:rFonts w:ascii="Times New Roman" w:hAnsi="Times New Roman"/>
          <w:sz w:val="24"/>
          <w:szCs w:val="24"/>
        </w:rPr>
        <w:t xml:space="preserve">dades </w:t>
      </w:r>
      <w:r>
        <w:rPr>
          <w:rStyle w:val="Ninguno"/>
          <w:rFonts w:ascii="Times New Roman" w:hAnsi="Times New Roman"/>
          <w:sz w:val="24"/>
          <w:szCs w:val="24"/>
        </w:rPr>
        <w:lastRenderedPageBreak/>
        <w:t xml:space="preserve">militares y sitios no militares de Montevideo y Canelones. En dos ocasiones la información fue proporcionada por el Ministerio de Defensa Nacional. </w:t>
      </w:r>
    </w:p>
    <w:p w14:paraId="2AF1965E"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Se dio por concluida provisoriamente una línea de investigación que hacía hecho foco en la Escuela Na</w:t>
      </w:r>
      <w:r>
        <w:rPr>
          <w:rStyle w:val="Ninguno"/>
          <w:rFonts w:ascii="Times New Roman" w:hAnsi="Times New Roman"/>
          <w:sz w:val="24"/>
          <w:szCs w:val="24"/>
        </w:rPr>
        <w:t>cional Naval a partir de testimonios que referían, entre otras cosas, a posibles enterramientos clandestinos y la ubicación de los calabozos que podrían haber sido utilizados para la privación ilegítima de libertad de presos políticos durante la dictadura.</w:t>
      </w:r>
      <w:r>
        <w:rPr>
          <w:rStyle w:val="Ninguno"/>
          <w:rFonts w:ascii="Times New Roman" w:hAnsi="Times New Roman"/>
          <w:sz w:val="24"/>
          <w:szCs w:val="24"/>
        </w:rPr>
        <w:t xml:space="preserve"> Dicha línea de </w:t>
      </w:r>
      <w:proofErr w:type="spellStart"/>
      <w:r>
        <w:rPr>
          <w:rStyle w:val="Ninguno"/>
          <w:rFonts w:ascii="Times New Roman" w:hAnsi="Times New Roman"/>
          <w:sz w:val="24"/>
          <w:szCs w:val="24"/>
        </w:rPr>
        <w:t>investigació</w:t>
      </w:r>
      <w:proofErr w:type="spellEnd"/>
      <w:r>
        <w:rPr>
          <w:rStyle w:val="Ninguno"/>
          <w:rFonts w:ascii="Times New Roman" w:hAnsi="Times New Roman"/>
          <w:sz w:val="24"/>
          <w:szCs w:val="24"/>
          <w:lang w:val="de-DE"/>
        </w:rPr>
        <w:t>n hab</w:t>
      </w:r>
      <w:proofErr w:type="spellStart"/>
      <w:r>
        <w:rPr>
          <w:rStyle w:val="Ninguno"/>
          <w:rFonts w:ascii="Times New Roman" w:hAnsi="Times New Roman"/>
          <w:sz w:val="24"/>
          <w:szCs w:val="24"/>
        </w:rPr>
        <w:t>ía</w:t>
      </w:r>
      <w:proofErr w:type="spellEnd"/>
      <w:r>
        <w:rPr>
          <w:rStyle w:val="Ninguno"/>
          <w:rFonts w:ascii="Times New Roman" w:hAnsi="Times New Roman"/>
          <w:sz w:val="24"/>
          <w:szCs w:val="24"/>
        </w:rPr>
        <w:t xml:space="preserve"> conducido a la entrevista de testigos y la realización de una inspección ocular en un establecimiento en octubre de 2020. La información inicial para esta investigación fue obtenida por conducto del Ministro de Defensa. </w:t>
      </w:r>
    </w:p>
    <w:p w14:paraId="11226034"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sidRPr="00095F15">
        <w:rPr>
          <w:rStyle w:val="Ninguno"/>
          <w:rFonts w:ascii="Times New Roman" w:hAnsi="Times New Roman"/>
          <w:sz w:val="24"/>
          <w:szCs w:val="24"/>
          <w:lang w:val="es-ES"/>
        </w:rPr>
        <w:t xml:space="preserve">Se </w:t>
      </w:r>
      <w:proofErr w:type="spellStart"/>
      <w:r w:rsidRPr="00095F15">
        <w:rPr>
          <w:rStyle w:val="Ninguno"/>
          <w:rFonts w:ascii="Times New Roman" w:hAnsi="Times New Roman"/>
          <w:sz w:val="24"/>
          <w:szCs w:val="24"/>
          <w:lang w:val="es-ES"/>
        </w:rPr>
        <w:t>retom</w:t>
      </w:r>
      <w:r>
        <w:rPr>
          <w:rStyle w:val="Ninguno"/>
          <w:rFonts w:ascii="Times New Roman" w:hAnsi="Times New Roman"/>
          <w:sz w:val="24"/>
          <w:szCs w:val="24"/>
        </w:rPr>
        <w:t>ó</w:t>
      </w:r>
      <w:proofErr w:type="spellEnd"/>
      <w:r>
        <w:rPr>
          <w:rStyle w:val="Ninguno"/>
          <w:rFonts w:ascii="Times New Roman" w:hAnsi="Times New Roman"/>
          <w:sz w:val="24"/>
          <w:szCs w:val="24"/>
        </w:rPr>
        <w:t xml:space="preserve"> una investigación sobre las hipótesis de enterramientos clandestinos de personas “</w:t>
      </w:r>
      <w:r>
        <w:rPr>
          <w:rStyle w:val="Ninguno"/>
          <w:rFonts w:ascii="Times New Roman" w:hAnsi="Times New Roman"/>
          <w:sz w:val="24"/>
          <w:szCs w:val="24"/>
          <w:lang w:val="de-DE"/>
        </w:rPr>
        <w:t>NN</w:t>
      </w:r>
      <w:r>
        <w:rPr>
          <w:rStyle w:val="Ninguno"/>
          <w:rFonts w:ascii="Times New Roman" w:hAnsi="Times New Roman"/>
          <w:sz w:val="24"/>
          <w:szCs w:val="24"/>
        </w:rPr>
        <w:t xml:space="preserve">” en distintas necrópolis del </w:t>
      </w:r>
      <w:proofErr w:type="spellStart"/>
      <w:r>
        <w:rPr>
          <w:rStyle w:val="Ninguno"/>
          <w:rFonts w:ascii="Times New Roman" w:hAnsi="Times New Roman"/>
          <w:sz w:val="24"/>
          <w:szCs w:val="24"/>
        </w:rPr>
        <w:t>paí</w:t>
      </w:r>
      <w:proofErr w:type="spellEnd"/>
      <w:r>
        <w:rPr>
          <w:rStyle w:val="Ninguno"/>
          <w:rFonts w:ascii="Times New Roman" w:hAnsi="Times New Roman"/>
          <w:sz w:val="24"/>
          <w:szCs w:val="24"/>
          <w:lang w:val="pt-PT"/>
        </w:rPr>
        <w:t>s. Tambi</w:t>
      </w:r>
      <w:proofErr w:type="spellStart"/>
      <w:r>
        <w:rPr>
          <w:rStyle w:val="Ninguno"/>
          <w:rFonts w:ascii="Times New Roman" w:hAnsi="Times New Roman"/>
          <w:sz w:val="24"/>
          <w:szCs w:val="24"/>
        </w:rPr>
        <w:t>én</w:t>
      </w:r>
      <w:proofErr w:type="spellEnd"/>
      <w:r>
        <w:rPr>
          <w:rStyle w:val="Ninguno"/>
          <w:rFonts w:ascii="Times New Roman" w:hAnsi="Times New Roman"/>
          <w:sz w:val="24"/>
          <w:szCs w:val="24"/>
        </w:rPr>
        <w:t xml:space="preserve"> se examinan los casos de personas “</w:t>
      </w:r>
      <w:r>
        <w:rPr>
          <w:rStyle w:val="Ninguno"/>
          <w:rFonts w:ascii="Times New Roman" w:hAnsi="Times New Roman"/>
          <w:sz w:val="24"/>
          <w:szCs w:val="24"/>
          <w:lang w:val="de-DE"/>
        </w:rPr>
        <w:t>NN</w:t>
      </w:r>
      <w:r>
        <w:rPr>
          <w:rStyle w:val="Ninguno"/>
          <w:rFonts w:ascii="Times New Roman" w:hAnsi="Times New Roman"/>
          <w:sz w:val="24"/>
          <w:szCs w:val="24"/>
        </w:rPr>
        <w:t xml:space="preserve">” encontradas en las costas uruguayas durante los años de la dictadura. </w:t>
      </w:r>
    </w:p>
    <w:p w14:paraId="6ED16C60"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A pedido de la INDDHH, el Fiscal Especializado en Crímenes de Lesa Humanidad, Dr. Ricardo </w:t>
      </w:r>
      <w:proofErr w:type="spellStart"/>
      <w:r>
        <w:rPr>
          <w:rStyle w:val="Ninguno"/>
          <w:rFonts w:ascii="Times New Roman" w:hAnsi="Times New Roman"/>
          <w:sz w:val="24"/>
          <w:szCs w:val="24"/>
        </w:rPr>
        <w:t>Perciballe</w:t>
      </w:r>
      <w:proofErr w:type="spellEnd"/>
      <w:r>
        <w:rPr>
          <w:rStyle w:val="Ninguno"/>
          <w:rFonts w:ascii="Times New Roman" w:hAnsi="Times New Roman"/>
          <w:sz w:val="24"/>
          <w:szCs w:val="24"/>
        </w:rPr>
        <w:t>, peticionó y la sede penal dispuso un allanamiento a la Base Aérea N°1 de la Fuerza Aérea Uruguaya (FAU), ubicada en la ruta 101 Km. 19,300. El mismo se ll</w:t>
      </w:r>
      <w:r>
        <w:rPr>
          <w:rStyle w:val="Ninguno"/>
          <w:rFonts w:ascii="Times New Roman" w:hAnsi="Times New Roman"/>
          <w:sz w:val="24"/>
          <w:szCs w:val="24"/>
        </w:rPr>
        <w:t>evó a cabo con la participación del Fiscal, de un investigador de la INDDHH y efectivos del Ministerio del Interior. En el procedimiento se incautaron libros de vuelo de distintas brigadas de la FAU, con actividad registrada entre los años 1973 y 1985. Tam</w:t>
      </w:r>
      <w:r>
        <w:rPr>
          <w:rStyle w:val="Ninguno"/>
          <w:rFonts w:ascii="Times New Roman" w:hAnsi="Times New Roman"/>
          <w:sz w:val="24"/>
          <w:szCs w:val="24"/>
        </w:rPr>
        <w:t xml:space="preserve">bién se incautaron libros con registro de actividades, así como algunos libros personales de vuelo de efectivos de la FAU y varias fojas de un registro personal de vuelo. La INDDHH elaboró un informe preliminar sobre los hallazgos que fue entregado al Dr. </w:t>
      </w:r>
      <w:proofErr w:type="spellStart"/>
      <w:r>
        <w:rPr>
          <w:rStyle w:val="Ninguno"/>
          <w:rFonts w:ascii="Times New Roman" w:hAnsi="Times New Roman"/>
          <w:sz w:val="24"/>
          <w:szCs w:val="24"/>
        </w:rPr>
        <w:t>Perciballe</w:t>
      </w:r>
      <w:proofErr w:type="spellEnd"/>
      <w:r>
        <w:rPr>
          <w:rStyle w:val="Ninguno"/>
          <w:rFonts w:ascii="Times New Roman" w:hAnsi="Times New Roman"/>
          <w:sz w:val="24"/>
          <w:szCs w:val="24"/>
        </w:rPr>
        <w:t xml:space="preserve"> en mayo de 2021. </w:t>
      </w:r>
    </w:p>
    <w:p w14:paraId="733795A2"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it-IT"/>
        </w:rPr>
        <w:t>Otra l</w:t>
      </w:r>
      <w:proofErr w:type="spellStart"/>
      <w:r>
        <w:rPr>
          <w:rStyle w:val="Ninguno"/>
          <w:rFonts w:ascii="Times New Roman" w:hAnsi="Times New Roman"/>
          <w:sz w:val="24"/>
          <w:szCs w:val="24"/>
        </w:rPr>
        <w:t>ínea</w:t>
      </w:r>
      <w:proofErr w:type="spellEnd"/>
      <w:r>
        <w:rPr>
          <w:rStyle w:val="Ninguno"/>
          <w:rFonts w:ascii="Times New Roman" w:hAnsi="Times New Roman"/>
          <w:sz w:val="24"/>
          <w:szCs w:val="24"/>
        </w:rPr>
        <w:t xml:space="preserve"> de trabajo consiste en la actuación en sedes judiciales en lo referente a la concesión y levantamiento de cautelas, seguimiento de causas judiciales vinculadas a los predios objeto de la búsqueda y como fuente de inf</w:t>
      </w:r>
      <w:r>
        <w:rPr>
          <w:rStyle w:val="Ninguno"/>
          <w:rFonts w:ascii="Times New Roman" w:hAnsi="Times New Roman"/>
          <w:sz w:val="24"/>
          <w:szCs w:val="24"/>
        </w:rPr>
        <w:t xml:space="preserve">ormación relevante para las investigaciones que están en curso. </w:t>
      </w:r>
    </w:p>
    <w:p w14:paraId="3674644F"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it-IT"/>
        </w:rPr>
        <w:t>Se avanz</w:t>
      </w:r>
      <w:proofErr w:type="spellStart"/>
      <w:r>
        <w:rPr>
          <w:rStyle w:val="Ninguno"/>
          <w:rFonts w:ascii="Times New Roman" w:hAnsi="Times New Roman"/>
          <w:sz w:val="24"/>
          <w:szCs w:val="24"/>
        </w:rPr>
        <w:t>ó</w:t>
      </w:r>
      <w:proofErr w:type="spellEnd"/>
      <w:r>
        <w:rPr>
          <w:rStyle w:val="Ninguno"/>
          <w:rFonts w:ascii="Times New Roman" w:hAnsi="Times New Roman"/>
          <w:sz w:val="24"/>
          <w:szCs w:val="24"/>
        </w:rPr>
        <w:t xml:space="preserve"> en el análisis de la documentación entregada por la Presidencia de la República a la INDDHH el día 11 de mayo de 2021 con archivos militares recuperados en el Batallón de Artillería</w:t>
      </w:r>
      <w:r>
        <w:rPr>
          <w:rStyle w:val="Ninguno"/>
          <w:rFonts w:ascii="Times New Roman" w:hAnsi="Times New Roman"/>
          <w:sz w:val="24"/>
          <w:szCs w:val="24"/>
        </w:rPr>
        <w:t xml:space="preserve"> N°5 del Ejército Nacional. Los documentos no permiten abrir una línea de investigación específica ni aportan, por sí mismos, información conducente al esclarecimiento de las circunstancias de desaparición y/o el conocimiento del paradero de personas deten</w:t>
      </w:r>
      <w:r>
        <w:rPr>
          <w:rStyle w:val="Ninguno"/>
          <w:rFonts w:ascii="Times New Roman" w:hAnsi="Times New Roman"/>
          <w:sz w:val="24"/>
          <w:szCs w:val="24"/>
        </w:rPr>
        <w:t>idas desaparecidas. No obstante, como todo acervo de documentos militares, no debe descartarse como material de consulta para futuras líneas de investigación.</w:t>
      </w:r>
    </w:p>
    <w:p w14:paraId="2A38F94D"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Finalmente, se llevó adelante una campaña de difusión pública en redes sociales y otros medios so</w:t>
      </w:r>
      <w:r>
        <w:rPr>
          <w:rStyle w:val="Ninguno"/>
          <w:rFonts w:ascii="Times New Roman" w:hAnsi="Times New Roman"/>
          <w:sz w:val="24"/>
          <w:szCs w:val="24"/>
        </w:rPr>
        <w:t>bre el mandato dado a la INDDHH por la Ley Nº19.822 y especifica las posibilidades que están abiertas para brindar información.</w:t>
      </w:r>
    </w:p>
    <w:p w14:paraId="66C0C734"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Las excavaciones, por su parte, constituyen la etapa final de un proceso que inicia con la recepción de información relativa al </w:t>
      </w:r>
      <w:r>
        <w:rPr>
          <w:rStyle w:val="Ninguno"/>
          <w:rFonts w:ascii="Times New Roman" w:hAnsi="Times New Roman"/>
          <w:sz w:val="24"/>
          <w:szCs w:val="24"/>
        </w:rPr>
        <w:t>destino de personas detenidas y desaparecidas. La información es analizada, se procura su ampliación con otros elementos testimoniales y documentales que permitan concluir en la necesidad de iniciar procesos de prospección del terreno, su delimitación conf</w:t>
      </w:r>
      <w:r>
        <w:rPr>
          <w:rStyle w:val="Ninguno"/>
          <w:rFonts w:ascii="Times New Roman" w:hAnsi="Times New Roman"/>
          <w:sz w:val="24"/>
          <w:szCs w:val="24"/>
        </w:rPr>
        <w:t xml:space="preserve">orme las necesidades del trabajo antropológico y finalmente la solicitud de la cautela judicial. Las áreas que se han excavado siguen estos pasos previos que pueden requerir en ocasiones un estudio por medio de aparatos que aporten información de posibles </w:t>
      </w:r>
      <w:r>
        <w:rPr>
          <w:rStyle w:val="Ninguno"/>
          <w:rFonts w:ascii="Times New Roman" w:hAnsi="Times New Roman"/>
          <w:sz w:val="24"/>
          <w:szCs w:val="24"/>
        </w:rPr>
        <w:t xml:space="preserve">anomalías que guíen los lugares de excavación. </w:t>
      </w:r>
    </w:p>
    <w:p w14:paraId="0CA6F3A1"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eastAsia="Times New Roman" w:hAnsi="Times New Roman" w:cs="Times New Roman"/>
          <w:noProof/>
          <w:sz w:val="24"/>
          <w:szCs w:val="24"/>
        </w:rPr>
        <w:lastRenderedPageBreak/>
        <mc:AlternateContent>
          <mc:Choice Requires="wpg">
            <w:drawing>
              <wp:anchor distT="57150" distB="57150" distL="57150" distR="57150" simplePos="0" relativeHeight="251659264" behindDoc="0" locked="0" layoutInCell="1" allowOverlap="1" wp14:anchorId="2BFD23DE" wp14:editId="2955C9BA">
                <wp:simplePos x="0" y="0"/>
                <wp:positionH relativeFrom="page">
                  <wp:posOffset>1057275</wp:posOffset>
                </wp:positionH>
                <wp:positionV relativeFrom="line">
                  <wp:posOffset>1110614</wp:posOffset>
                </wp:positionV>
                <wp:extent cx="5400041" cy="3848100"/>
                <wp:effectExtent l="0" t="0" r="0" b="0"/>
                <wp:wrapThrough wrapText="bothSides" distL="57150" distR="57150">
                  <wp:wrapPolygon edited="1">
                    <wp:start x="0" y="0"/>
                    <wp:lineTo x="21600" y="0"/>
                    <wp:lineTo x="21600" y="21600"/>
                    <wp:lineTo x="0" y="21600"/>
                    <wp:lineTo x="0" y="0"/>
                  </wp:wrapPolygon>
                </wp:wrapThrough>
                <wp:docPr id="1073741827" name="officeArt object" descr="Grupo 3"/>
                <wp:cNvGraphicFramePr/>
                <a:graphic xmlns:a="http://schemas.openxmlformats.org/drawingml/2006/main">
                  <a:graphicData uri="http://schemas.microsoft.com/office/word/2010/wordprocessingGroup">
                    <wpg:wgp>
                      <wpg:cNvGrpSpPr/>
                      <wpg:grpSpPr>
                        <a:xfrm>
                          <a:off x="0" y="0"/>
                          <a:ext cx="5400041" cy="3848100"/>
                          <a:chOff x="0" y="0"/>
                          <a:chExt cx="5400040" cy="3848100"/>
                        </a:xfrm>
                      </wpg:grpSpPr>
                      <pic:pic xmlns:pic="http://schemas.openxmlformats.org/drawingml/2006/picture">
                        <pic:nvPicPr>
                          <pic:cNvPr id="1073741825" name="Imagen 2" descr="Imagen 2"/>
                          <pic:cNvPicPr>
                            <a:picLocks noChangeAspect="1"/>
                          </pic:cNvPicPr>
                        </pic:nvPicPr>
                        <pic:blipFill>
                          <a:blip r:embed="rId7"/>
                          <a:stretch>
                            <a:fillRect/>
                          </a:stretch>
                        </pic:blipFill>
                        <pic:spPr>
                          <a:xfrm>
                            <a:off x="205740" y="2613660"/>
                            <a:ext cx="5029201" cy="1234441"/>
                          </a:xfrm>
                          <a:prstGeom prst="rect">
                            <a:avLst/>
                          </a:prstGeom>
                          <a:ln w="12700" cap="flat">
                            <a:noFill/>
                            <a:miter lim="400000"/>
                          </a:ln>
                          <a:effectLst/>
                        </pic:spPr>
                      </pic:pic>
                      <pic:pic xmlns:pic="http://schemas.openxmlformats.org/drawingml/2006/picture">
                        <pic:nvPicPr>
                          <pic:cNvPr id="1073741826" name="Imagen 1" descr="Imagen 1"/>
                          <pic:cNvPicPr>
                            <a:picLocks noChangeAspect="1"/>
                          </pic:cNvPicPr>
                        </pic:nvPicPr>
                        <pic:blipFill>
                          <a:blip r:embed="rId8"/>
                          <a:stretch>
                            <a:fillRect/>
                          </a:stretch>
                        </pic:blipFill>
                        <pic:spPr>
                          <a:xfrm>
                            <a:off x="0" y="-1"/>
                            <a:ext cx="5400041" cy="2683512"/>
                          </a:xfrm>
                          <a:prstGeom prst="rect">
                            <a:avLst/>
                          </a:prstGeom>
                          <a:ln w="12700" cap="flat">
                            <a:noFill/>
                            <a:miter lim="400000"/>
                          </a:ln>
                          <a:effectLst/>
                        </pic:spPr>
                      </pic:pic>
                    </wpg:wgp>
                  </a:graphicData>
                </a:graphic>
              </wp:anchor>
            </w:drawing>
          </mc:Choice>
          <mc:Fallback>
            <w:pict>
              <v:group id="_x0000_s1026" style="visibility:visible;position:absolute;margin-left:83.2pt;margin-top:87.4pt;width:425.2pt;height:303.0pt;z-index:251659264;mso-position-horizontal:absolute;mso-position-horizontal-relative:page;mso-position-vertical:absolute;mso-position-vertical-relative:line;mso-wrap-distance-left:4.5pt;mso-wrap-distance-top:4.5pt;mso-wrap-distance-right:4.5pt;mso-wrap-distance-bottom:4.5pt;" coordorigin="0,0" coordsize="5400040,3848100">
                <w10:wrap type="through" side="bothSides" anchorx="page"/>
                <v:shape id="_x0000_s1027" type="#_x0000_t75" style="position:absolute;left:205740;top:2613660;width:5029200;height:1234440;">
                  <v:imagedata r:id="rId9" o:title="image1.png"/>
                </v:shape>
                <v:shape id="_x0000_s1028" type="#_x0000_t75" style="position:absolute;left:0;top:0;width:5400040;height:2683510;">
                  <v:imagedata r:id="rId10" o:title="image2.png"/>
                </v:shape>
              </v:group>
            </w:pict>
          </mc:Fallback>
        </mc:AlternateContent>
      </w:r>
      <w:r>
        <w:rPr>
          <w:rStyle w:val="Ninguno"/>
          <w:rFonts w:ascii="Times New Roman" w:hAnsi="Times New Roman"/>
          <w:sz w:val="24"/>
          <w:szCs w:val="24"/>
        </w:rPr>
        <w:t>En la primera etapa, los esfuerzos de la INDDHH se concentraron en continuar con las acciones de búsqueda de restos que estaban en curso al asumir su mandato. Las zonas de excavaciones en las que se ha traba</w:t>
      </w:r>
      <w:r>
        <w:rPr>
          <w:rStyle w:val="Ninguno"/>
          <w:rFonts w:ascii="Times New Roman" w:hAnsi="Times New Roman"/>
          <w:sz w:val="24"/>
          <w:szCs w:val="24"/>
        </w:rPr>
        <w:t>jado hasta la fecha son: Ex Batallón No. 13; Servicio de Material y Armamento; Batalló</w:t>
      </w:r>
      <w:r>
        <w:rPr>
          <w:rStyle w:val="Ninguno"/>
          <w:rFonts w:ascii="Times New Roman" w:hAnsi="Times New Roman"/>
          <w:sz w:val="24"/>
          <w:szCs w:val="24"/>
          <w:lang w:val="nl-NL"/>
        </w:rPr>
        <w:t>n de Infanter</w:t>
      </w:r>
      <w:proofErr w:type="spellStart"/>
      <w:r>
        <w:rPr>
          <w:rStyle w:val="Ninguno"/>
          <w:rFonts w:ascii="Times New Roman" w:hAnsi="Times New Roman"/>
          <w:sz w:val="24"/>
          <w:szCs w:val="24"/>
        </w:rPr>
        <w:t>ía</w:t>
      </w:r>
      <w:proofErr w:type="spellEnd"/>
      <w:r>
        <w:rPr>
          <w:rStyle w:val="Ninguno"/>
          <w:rFonts w:ascii="Times New Roman" w:hAnsi="Times New Roman"/>
          <w:sz w:val="24"/>
          <w:szCs w:val="24"/>
        </w:rPr>
        <w:t xml:space="preserve"> Paracaidista No. 14; Chacra de Pando; La Tablada; Brigada de Comunicaciones No.1</w:t>
      </w:r>
    </w:p>
    <w:p w14:paraId="7BDD23E1"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En el Servicio de Material y Armamento del </w:t>
      </w:r>
      <w:proofErr w:type="spellStart"/>
      <w:r>
        <w:rPr>
          <w:rStyle w:val="Ninguno"/>
          <w:rFonts w:ascii="Times New Roman" w:hAnsi="Times New Roman"/>
          <w:sz w:val="24"/>
          <w:szCs w:val="24"/>
        </w:rPr>
        <w:t>Ejé</w:t>
      </w:r>
      <w:proofErr w:type="spellEnd"/>
      <w:r>
        <w:rPr>
          <w:rStyle w:val="Ninguno"/>
          <w:rFonts w:ascii="Times New Roman" w:hAnsi="Times New Roman"/>
          <w:sz w:val="24"/>
          <w:szCs w:val="24"/>
          <w:lang w:val="it-IT"/>
        </w:rPr>
        <w:t>rcito (SMA), predio contigu</w:t>
      </w:r>
      <w:r>
        <w:rPr>
          <w:rStyle w:val="Ninguno"/>
          <w:rFonts w:ascii="Times New Roman" w:hAnsi="Times New Roman"/>
          <w:sz w:val="24"/>
          <w:szCs w:val="24"/>
          <w:lang w:val="it-IT"/>
        </w:rPr>
        <w:t>o al ex Batall</w:t>
      </w:r>
      <w:proofErr w:type="spellStart"/>
      <w:r>
        <w:rPr>
          <w:rStyle w:val="Ninguno"/>
          <w:rFonts w:ascii="Times New Roman" w:hAnsi="Times New Roman"/>
          <w:sz w:val="24"/>
          <w:szCs w:val="24"/>
        </w:rPr>
        <w:t>ó</w:t>
      </w:r>
      <w:proofErr w:type="spellEnd"/>
      <w:r>
        <w:rPr>
          <w:rStyle w:val="Ninguno"/>
          <w:rFonts w:ascii="Times New Roman" w:hAnsi="Times New Roman"/>
          <w:sz w:val="24"/>
          <w:szCs w:val="24"/>
          <w:lang w:val="pt-PT"/>
        </w:rPr>
        <w:t>n 13, funcion</w:t>
      </w:r>
      <w:proofErr w:type="spellStart"/>
      <w:r>
        <w:rPr>
          <w:rStyle w:val="Ninguno"/>
          <w:rFonts w:ascii="Times New Roman" w:hAnsi="Times New Roman"/>
          <w:sz w:val="24"/>
          <w:szCs w:val="24"/>
        </w:rPr>
        <w:t>ó</w:t>
      </w:r>
      <w:proofErr w:type="spellEnd"/>
      <w:r>
        <w:rPr>
          <w:rStyle w:val="Ninguno"/>
          <w:rFonts w:ascii="Times New Roman" w:hAnsi="Times New Roman"/>
          <w:sz w:val="24"/>
          <w:szCs w:val="24"/>
        </w:rPr>
        <w:t xml:space="preserve"> desde 1975 hasta 1977 un centro clandestino de detención y tortura conocido como “300 Carlos”. El 11 de junio de 2021 se realizó </w:t>
      </w:r>
      <w:r>
        <w:rPr>
          <w:rStyle w:val="Ninguno"/>
          <w:rFonts w:ascii="Times New Roman" w:hAnsi="Times New Roman"/>
          <w:sz w:val="24"/>
          <w:szCs w:val="24"/>
          <w:lang w:val="it-IT"/>
        </w:rPr>
        <w:t>una inspecci</w:t>
      </w:r>
      <w:proofErr w:type="spellStart"/>
      <w:r>
        <w:rPr>
          <w:rStyle w:val="Ninguno"/>
          <w:rFonts w:ascii="Times New Roman" w:hAnsi="Times New Roman"/>
          <w:sz w:val="24"/>
          <w:szCs w:val="24"/>
        </w:rPr>
        <w:t>ón</w:t>
      </w:r>
      <w:proofErr w:type="spellEnd"/>
      <w:r>
        <w:rPr>
          <w:rStyle w:val="Ninguno"/>
          <w:rFonts w:ascii="Times New Roman" w:hAnsi="Times New Roman"/>
          <w:sz w:val="24"/>
          <w:szCs w:val="24"/>
        </w:rPr>
        <w:t xml:space="preserve"> ocular para determinar la necesidad de trabajos puntuales en torno a dos lugares u</w:t>
      </w:r>
      <w:r>
        <w:rPr>
          <w:rStyle w:val="Ninguno"/>
          <w:rFonts w:ascii="Times New Roman" w:hAnsi="Times New Roman"/>
          <w:sz w:val="24"/>
          <w:szCs w:val="24"/>
        </w:rPr>
        <w:t xml:space="preserve">bicados sobre el Polvorín que se encuentra cercano al galpón que funcionó como centro de detención. A la fecha se ha completado el 100% de cuatro áreas cauteladas sin hallazgos relevantes. Resta el abordaje de una quinta área de 296 m2. </w:t>
      </w:r>
    </w:p>
    <w:p w14:paraId="6DB65803"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En el predio perte</w:t>
      </w:r>
      <w:r>
        <w:rPr>
          <w:rStyle w:val="Ninguno"/>
          <w:rFonts w:ascii="Times New Roman" w:hAnsi="Times New Roman"/>
          <w:sz w:val="24"/>
          <w:szCs w:val="24"/>
        </w:rPr>
        <w:t>neciente al Batallón de Paracaidistas Nº14 ubicado en la localidad de Toledo, fueron hallados los restos de dos personas detenidas y desaparecidas: en 2011 los restos de Julio Castro Pérez y en 2012 los de Ricardo Blanco Valiente. La Intendencia de Canelon</w:t>
      </w:r>
      <w:r>
        <w:rPr>
          <w:rStyle w:val="Ninguno"/>
          <w:rFonts w:ascii="Times New Roman" w:hAnsi="Times New Roman"/>
          <w:sz w:val="24"/>
          <w:szCs w:val="24"/>
        </w:rPr>
        <w:t>es ha aportado materiales, tales como la retroexcavadora y apoyo personal y logístico para la operación. Para iniciar las excavaciones se solicitó la cautela judicial de tres á</w:t>
      </w:r>
      <w:r>
        <w:rPr>
          <w:rStyle w:val="Ninguno"/>
          <w:rFonts w:ascii="Times New Roman" w:hAnsi="Times New Roman"/>
          <w:sz w:val="24"/>
          <w:szCs w:val="24"/>
          <w:lang w:val="pt-PT"/>
        </w:rPr>
        <w:t>reas de inter</w:t>
      </w:r>
      <w:r>
        <w:rPr>
          <w:rStyle w:val="Ninguno"/>
          <w:rFonts w:ascii="Times New Roman" w:hAnsi="Times New Roman"/>
          <w:sz w:val="24"/>
          <w:szCs w:val="24"/>
        </w:rPr>
        <w:t>é</w:t>
      </w:r>
      <w:r>
        <w:rPr>
          <w:rStyle w:val="Ninguno"/>
          <w:rFonts w:ascii="Times New Roman" w:hAnsi="Times New Roman"/>
          <w:sz w:val="24"/>
          <w:szCs w:val="24"/>
          <w:lang w:val="it-IT"/>
        </w:rPr>
        <w:t>s dentro del predio del Batall</w:t>
      </w:r>
      <w:proofErr w:type="spellStart"/>
      <w:r>
        <w:rPr>
          <w:rStyle w:val="Ninguno"/>
          <w:rFonts w:ascii="Times New Roman" w:hAnsi="Times New Roman"/>
          <w:sz w:val="24"/>
          <w:szCs w:val="24"/>
        </w:rPr>
        <w:t>ón</w:t>
      </w:r>
      <w:proofErr w:type="spellEnd"/>
      <w:r>
        <w:rPr>
          <w:rStyle w:val="Ninguno"/>
          <w:rFonts w:ascii="Times New Roman" w:hAnsi="Times New Roman"/>
          <w:sz w:val="24"/>
          <w:szCs w:val="24"/>
        </w:rPr>
        <w:t>. En marzo de 2020 y como consecue</w:t>
      </w:r>
      <w:r>
        <w:rPr>
          <w:rStyle w:val="Ninguno"/>
          <w:rFonts w:ascii="Times New Roman" w:hAnsi="Times New Roman"/>
          <w:sz w:val="24"/>
          <w:szCs w:val="24"/>
        </w:rPr>
        <w:t>ncia de la pandemia COVID 19, las excavaciones fueron suspendidas para ser retomadas el día 12 de mayo. A fines de setiembre de 2020 se ingresó con testigos cuya identidad se mantiene reservada y como resultado de esta visita se ha solicitado y obtenido la</w:t>
      </w:r>
      <w:r>
        <w:rPr>
          <w:rStyle w:val="Ninguno"/>
          <w:rFonts w:ascii="Times New Roman" w:hAnsi="Times New Roman"/>
          <w:sz w:val="24"/>
          <w:szCs w:val="24"/>
        </w:rPr>
        <w:t xml:space="preserve"> cautela de tres nuevas áreas, que fueron excavadas en su totalidad, sin hallazgos relevantes. A la fecha se continúa trabajando sobre el resto de las á</w:t>
      </w:r>
      <w:r>
        <w:rPr>
          <w:rStyle w:val="Ninguno"/>
          <w:rFonts w:ascii="Times New Roman" w:hAnsi="Times New Roman"/>
          <w:sz w:val="24"/>
          <w:szCs w:val="24"/>
          <w:lang w:val="pt-PT"/>
        </w:rPr>
        <w:t>reas cauteladas.</w:t>
      </w:r>
    </w:p>
    <w:p w14:paraId="075B4CE0"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En La Tablada funcionó, desde enero de 1977 hasta 1983 inclusive un centro clandestino </w:t>
      </w:r>
      <w:r>
        <w:rPr>
          <w:rStyle w:val="Ninguno"/>
          <w:rFonts w:ascii="Times New Roman" w:hAnsi="Times New Roman"/>
          <w:sz w:val="24"/>
          <w:szCs w:val="24"/>
        </w:rPr>
        <w:t xml:space="preserve">de detención y tortura. El 17 de noviembre de 2020, luego de establecer la respectiva </w:t>
      </w:r>
      <w:r>
        <w:rPr>
          <w:rStyle w:val="Ninguno"/>
          <w:rFonts w:ascii="Times New Roman" w:hAnsi="Times New Roman"/>
          <w:sz w:val="24"/>
          <w:szCs w:val="24"/>
        </w:rPr>
        <w:lastRenderedPageBreak/>
        <w:t>cautela judicial y solicitar y obtener apoyo del MI para asegurar la intangibilidad de la zona, la INDDHH reinició excavaciones en un predio aledaño, en un área de aproxi</w:t>
      </w:r>
      <w:r>
        <w:rPr>
          <w:rStyle w:val="Ninguno"/>
          <w:rFonts w:ascii="Times New Roman" w:hAnsi="Times New Roman"/>
          <w:sz w:val="24"/>
          <w:szCs w:val="24"/>
        </w:rPr>
        <w:t xml:space="preserve">madamente 350 m2, sin hallazgos de relevancia. </w:t>
      </w:r>
    </w:p>
    <w:p w14:paraId="54A0E280"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La Brigada de Comunicaciones No. 1 es de interés por encontrarse contigua al SMA y al ex Batallón 13 sobre el Arroyo Miguelete donde, como ya fue mencionado, se hallaron los restos de Fernando Miranda en 2005</w:t>
      </w:r>
      <w:r>
        <w:rPr>
          <w:rStyle w:val="Ninguno"/>
          <w:rFonts w:ascii="Times New Roman" w:hAnsi="Times New Roman"/>
          <w:sz w:val="24"/>
          <w:szCs w:val="24"/>
        </w:rPr>
        <w:t xml:space="preserve"> y Eduardo Bleier en 2019. Se solicitaron y dispusieron dos nuevas cautelas judiciales y en setiembre de 2020 comenzó la actividad del equipo de antropología forense con tareas de inspección del terreno previas al abordaje arqueológico. Las excavaciones co</w:t>
      </w:r>
      <w:r>
        <w:rPr>
          <w:rStyle w:val="Ninguno"/>
          <w:rFonts w:ascii="Times New Roman" w:hAnsi="Times New Roman"/>
          <w:sz w:val="24"/>
          <w:szCs w:val="24"/>
        </w:rPr>
        <w:t xml:space="preserve">menzaron el 6 de octubre de 2020 en la segunda área, luego de completarse las tareas de desmalezamiento, grillado y registro planimétrico. Los trabajos de excavación finalizaron sin hallazgos relevantes. </w:t>
      </w:r>
    </w:p>
    <w:p w14:paraId="3B1E1A06"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En marzo de 2022, y en base a el testimonio de una </w:t>
      </w:r>
      <w:r>
        <w:rPr>
          <w:rStyle w:val="Ninguno"/>
          <w:rFonts w:ascii="Times New Roman" w:hAnsi="Times New Roman"/>
          <w:sz w:val="24"/>
          <w:szCs w:val="24"/>
        </w:rPr>
        <w:t xml:space="preserve">persona que realizó trabajos en el lugar en la década del 90, se concretó </w:t>
      </w:r>
      <w:r>
        <w:rPr>
          <w:rStyle w:val="Ninguno"/>
          <w:rFonts w:ascii="Times New Roman" w:hAnsi="Times New Roman"/>
          <w:sz w:val="24"/>
          <w:szCs w:val="24"/>
          <w:lang w:val="pt-PT"/>
        </w:rPr>
        <w:t>la excavaci</w:t>
      </w:r>
      <w:proofErr w:type="spellStart"/>
      <w:r>
        <w:rPr>
          <w:rStyle w:val="Ninguno"/>
          <w:rFonts w:ascii="Times New Roman" w:hAnsi="Times New Roman"/>
          <w:sz w:val="24"/>
          <w:szCs w:val="24"/>
        </w:rPr>
        <w:t>ón</w:t>
      </w:r>
      <w:proofErr w:type="spellEnd"/>
      <w:r>
        <w:rPr>
          <w:rStyle w:val="Ninguno"/>
          <w:rFonts w:ascii="Times New Roman" w:hAnsi="Times New Roman"/>
          <w:sz w:val="24"/>
          <w:szCs w:val="24"/>
        </w:rPr>
        <w:t xml:space="preserve"> en un edificio del Correo Uruguayo ubicado en la ciudad de Montevideo, que fuera estacionamiento de la Presidencia de la Republica durante la dictadura. Las excavacione</w:t>
      </w:r>
      <w:r>
        <w:rPr>
          <w:rStyle w:val="Ninguno"/>
          <w:rFonts w:ascii="Times New Roman" w:hAnsi="Times New Roman"/>
          <w:sz w:val="24"/>
          <w:szCs w:val="24"/>
        </w:rPr>
        <w:t>s finalizaron sin resultados relevantes.</w:t>
      </w:r>
    </w:p>
    <w:p w14:paraId="0CD923A3"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La INDDHH fue informada en 24 de julio de 2021 sobre un incidente en los predios de excavación en el cual personas desconocidas intentaron ingresar en dos oportunidades a predios afectados por las cautelas judiciale</w:t>
      </w:r>
      <w:r>
        <w:rPr>
          <w:rStyle w:val="Ninguno"/>
          <w:rFonts w:ascii="Times New Roman" w:hAnsi="Times New Roman"/>
          <w:sz w:val="24"/>
          <w:szCs w:val="24"/>
        </w:rPr>
        <w:t xml:space="preserve">s en el ex Batallón 13. El Ministerio de Defensa Nacional dispuso el refuerzo del personal asignado a la guardia en el Batallón 14 a raíz de alertas de seguridad transmitidas por el Ministerio del Interior. Los trabajos continuaron </w:t>
      </w:r>
      <w:proofErr w:type="spellStart"/>
      <w:r>
        <w:rPr>
          <w:rStyle w:val="Ninguno"/>
          <w:rFonts w:ascii="Times New Roman" w:hAnsi="Times New Roman"/>
          <w:sz w:val="24"/>
          <w:szCs w:val="24"/>
        </w:rPr>
        <w:t>desarrollá</w:t>
      </w:r>
      <w:proofErr w:type="spellEnd"/>
      <w:r>
        <w:rPr>
          <w:rStyle w:val="Ninguno"/>
          <w:rFonts w:ascii="Times New Roman" w:hAnsi="Times New Roman"/>
          <w:sz w:val="24"/>
          <w:szCs w:val="24"/>
          <w:lang w:val="it-IT"/>
        </w:rPr>
        <w:t>ndose normalme</w:t>
      </w:r>
      <w:r>
        <w:rPr>
          <w:rStyle w:val="Ninguno"/>
          <w:rFonts w:ascii="Times New Roman" w:hAnsi="Times New Roman"/>
          <w:sz w:val="24"/>
          <w:szCs w:val="24"/>
          <w:lang w:val="it-IT"/>
        </w:rPr>
        <w:t>nte.</w:t>
      </w:r>
    </w:p>
    <w:p w14:paraId="0138D453" w14:textId="77777777" w:rsidR="00591E03" w:rsidRDefault="00F002B7">
      <w:pPr>
        <w:pStyle w:val="Cuerpo"/>
        <w:spacing w:line="240" w:lineRule="auto"/>
        <w:jc w:val="both"/>
        <w:rPr>
          <w:rStyle w:val="Ninguno"/>
          <w:rFonts w:ascii="Times New Roman" w:eastAsia="Times New Roman" w:hAnsi="Times New Roman" w:cs="Times New Roman"/>
          <w:strike/>
          <w:sz w:val="24"/>
          <w:szCs w:val="24"/>
        </w:rPr>
      </w:pPr>
      <w:r>
        <w:rPr>
          <w:rStyle w:val="Ninguno"/>
          <w:rFonts w:ascii="Times New Roman" w:hAnsi="Times New Roman"/>
          <w:sz w:val="24"/>
          <w:szCs w:val="24"/>
          <w:lang w:val="pt-PT"/>
        </w:rPr>
        <w:t>Seg</w:t>
      </w:r>
      <w:proofErr w:type="spellStart"/>
      <w:r>
        <w:rPr>
          <w:rStyle w:val="Ninguno"/>
          <w:rFonts w:ascii="Times New Roman" w:hAnsi="Times New Roman"/>
          <w:sz w:val="24"/>
          <w:szCs w:val="24"/>
        </w:rPr>
        <w:t>ún</w:t>
      </w:r>
      <w:proofErr w:type="spellEnd"/>
      <w:r>
        <w:rPr>
          <w:rStyle w:val="Ninguno"/>
          <w:rFonts w:ascii="Times New Roman" w:hAnsi="Times New Roman"/>
          <w:sz w:val="24"/>
          <w:szCs w:val="24"/>
        </w:rPr>
        <w:t xml:space="preserve"> lo informado por la INDDHH, durante distintos momentos en 2020 y 2021, los trabajos fueron condicionados por el impacto de la pandemia del COVID 19, siendo el </w:t>
      </w:r>
      <w:proofErr w:type="spellStart"/>
      <w:r>
        <w:rPr>
          <w:rStyle w:val="Ninguno"/>
          <w:rFonts w:ascii="Times New Roman" w:hAnsi="Times New Roman"/>
          <w:sz w:val="24"/>
          <w:szCs w:val="24"/>
        </w:rPr>
        <w:t>obstá</w:t>
      </w:r>
      <w:proofErr w:type="spellEnd"/>
      <w:r>
        <w:rPr>
          <w:rStyle w:val="Ninguno"/>
          <w:rFonts w:ascii="Times New Roman" w:hAnsi="Times New Roman"/>
          <w:sz w:val="24"/>
          <w:szCs w:val="24"/>
          <w:lang w:val="pt-PT"/>
        </w:rPr>
        <w:t>culo m</w:t>
      </w:r>
      <w:proofErr w:type="spellStart"/>
      <w:r>
        <w:rPr>
          <w:rStyle w:val="Ninguno"/>
          <w:rFonts w:ascii="Times New Roman" w:hAnsi="Times New Roman"/>
          <w:sz w:val="24"/>
          <w:szCs w:val="24"/>
        </w:rPr>
        <w:t>ás</w:t>
      </w:r>
      <w:proofErr w:type="spellEnd"/>
      <w:r>
        <w:rPr>
          <w:rStyle w:val="Ninguno"/>
          <w:rFonts w:ascii="Times New Roman" w:hAnsi="Times New Roman"/>
          <w:sz w:val="24"/>
          <w:szCs w:val="24"/>
        </w:rPr>
        <w:t xml:space="preserve"> importante a su juicio la falta de información de parte de los perpetrad</w:t>
      </w:r>
      <w:r>
        <w:rPr>
          <w:rStyle w:val="Ninguno"/>
          <w:rFonts w:ascii="Times New Roman" w:hAnsi="Times New Roman"/>
          <w:sz w:val="24"/>
          <w:szCs w:val="24"/>
        </w:rPr>
        <w:t xml:space="preserve">ores o testigos directos de los hechos, indicando también la posibilidad de que existan otros repositorios de </w:t>
      </w:r>
      <w:proofErr w:type="spellStart"/>
      <w:r>
        <w:rPr>
          <w:rStyle w:val="Ninguno"/>
          <w:rFonts w:ascii="Times New Roman" w:hAnsi="Times New Roman"/>
          <w:sz w:val="24"/>
          <w:szCs w:val="24"/>
        </w:rPr>
        <w:t>documentacicón</w:t>
      </w:r>
      <w:proofErr w:type="spellEnd"/>
      <w:r>
        <w:rPr>
          <w:rStyle w:val="Ninguno"/>
          <w:rFonts w:ascii="Times New Roman" w:hAnsi="Times New Roman"/>
          <w:sz w:val="24"/>
          <w:szCs w:val="24"/>
        </w:rPr>
        <w:t xml:space="preserve"> o archivos que puedan contribuir al esclarecimiento de las desapariciones forzadas en Uruguay. </w:t>
      </w:r>
    </w:p>
    <w:p w14:paraId="7C3618CA"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La ejecución del programa de búsque</w:t>
      </w:r>
      <w:r>
        <w:rPr>
          <w:rStyle w:val="Ninguno"/>
          <w:rFonts w:ascii="Times New Roman" w:hAnsi="Times New Roman"/>
          <w:sz w:val="24"/>
          <w:szCs w:val="24"/>
        </w:rPr>
        <w:t>da será sometida a evaluación durante el segundo semestre de 2022, a los efectos de definir las modalidades de su continuidad y ejecución futura, y los resultados de tal evaluación serán elevados a conocimiento de la Presidencia de la Asamblea General, a s</w:t>
      </w:r>
      <w:r>
        <w:rPr>
          <w:rStyle w:val="Ninguno"/>
          <w:rFonts w:ascii="Times New Roman" w:hAnsi="Times New Roman"/>
          <w:sz w:val="24"/>
          <w:szCs w:val="24"/>
        </w:rPr>
        <w:t>us efectos.</w:t>
      </w:r>
    </w:p>
    <w:p w14:paraId="4261F6C5"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4344AC79" w14:textId="77777777" w:rsidR="00591E03" w:rsidRDefault="00F002B7">
      <w:pPr>
        <w:pStyle w:val="Cuerpo"/>
        <w:spacing w:line="240" w:lineRule="auto"/>
        <w:jc w:val="both"/>
        <w:rPr>
          <w:rStyle w:val="Ninguno"/>
          <w:rFonts w:ascii="Times New Roman" w:eastAsia="Times New Roman" w:hAnsi="Times New Roman" w:cs="Times New Roman"/>
          <w:b/>
          <w:bCs/>
          <w:sz w:val="24"/>
          <w:szCs w:val="24"/>
        </w:rPr>
      </w:pPr>
      <w:r>
        <w:rPr>
          <w:rStyle w:val="Ninguno"/>
          <w:rFonts w:ascii="Times New Roman" w:hAnsi="Times New Roman"/>
          <w:b/>
          <w:bCs/>
          <w:sz w:val="24"/>
          <w:szCs w:val="24"/>
        </w:rPr>
        <w:t>Párrafos 18, 20 y 22</w:t>
      </w:r>
    </w:p>
    <w:p w14:paraId="3C996DAE"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Al momento de presentar esta actualización, existen numerosas causas judiciales que refieren a investigaciones sobre desapariciones forzadas, en etapas de </w:t>
      </w:r>
      <w:proofErr w:type="spellStart"/>
      <w:r>
        <w:rPr>
          <w:rStyle w:val="Ninguno"/>
          <w:rFonts w:ascii="Times New Roman" w:hAnsi="Times New Roman"/>
          <w:sz w:val="24"/>
          <w:szCs w:val="24"/>
        </w:rPr>
        <w:t>presumario</w:t>
      </w:r>
      <w:proofErr w:type="spellEnd"/>
      <w:r>
        <w:rPr>
          <w:rStyle w:val="Ninguno"/>
          <w:rFonts w:ascii="Times New Roman" w:hAnsi="Times New Roman"/>
          <w:sz w:val="24"/>
          <w:szCs w:val="24"/>
        </w:rPr>
        <w:t xml:space="preserve"> (la mayoría), pedidos de procesamientos o de formalizaciones y, en menor medida, con proce</w:t>
      </w:r>
      <w:r>
        <w:rPr>
          <w:rStyle w:val="Ninguno"/>
          <w:rFonts w:ascii="Times New Roman" w:hAnsi="Times New Roman"/>
          <w:sz w:val="24"/>
          <w:szCs w:val="24"/>
        </w:rPr>
        <w:t>samiento.</w:t>
      </w:r>
    </w:p>
    <w:p w14:paraId="6511903D"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De la misma forma, no ha existido aún condena por delito de desaparición </w:t>
      </w:r>
      <w:proofErr w:type="gramStart"/>
      <w:r>
        <w:rPr>
          <w:rStyle w:val="Ninguno"/>
          <w:rFonts w:ascii="Times New Roman" w:hAnsi="Times New Roman"/>
          <w:sz w:val="24"/>
          <w:szCs w:val="24"/>
        </w:rPr>
        <w:t>forzada</w:t>
      </w:r>
      <w:proofErr w:type="gramEnd"/>
      <w:r>
        <w:rPr>
          <w:rStyle w:val="Ninguno"/>
          <w:rFonts w:ascii="Times New Roman" w:hAnsi="Times New Roman"/>
          <w:sz w:val="24"/>
          <w:szCs w:val="24"/>
        </w:rPr>
        <w:t xml:space="preserve"> pero resulta importante recordar que aún no se han dado sentencias con la participación de la Fiscalía especializada. Es dable resaltar que esta última, al momento d</w:t>
      </w:r>
      <w:r>
        <w:rPr>
          <w:rStyle w:val="Ninguno"/>
          <w:rFonts w:ascii="Times New Roman" w:hAnsi="Times New Roman"/>
          <w:sz w:val="24"/>
          <w:szCs w:val="24"/>
        </w:rPr>
        <w:t>e acusar, lo realiza mediante el instituto de la acusación alternativa, es decir que solicita se condene a la persona por el crimen de desaparición forzada (explicitando las razones para ello) y en forma alternativa por el delito de homicidio muy especialm</w:t>
      </w:r>
      <w:r>
        <w:rPr>
          <w:rStyle w:val="Ninguno"/>
          <w:rFonts w:ascii="Times New Roman" w:hAnsi="Times New Roman"/>
          <w:sz w:val="24"/>
          <w:szCs w:val="24"/>
        </w:rPr>
        <w:t xml:space="preserve">ente agravado. </w:t>
      </w:r>
    </w:p>
    <w:p w14:paraId="6DD760CE"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lastRenderedPageBreak/>
        <w:t>A continuación, se distinguen los procesos en los que se presentó solicitud de procesamiento; aquellos en los hay procesados y se tratan por el Código del Proceso Penal anterior, y los que hay formalizados de acuerdo con el nuevo proceso. A</w:t>
      </w:r>
      <w:r>
        <w:rPr>
          <w:rStyle w:val="Ninguno"/>
          <w:rFonts w:ascii="Times New Roman" w:hAnsi="Times New Roman"/>
          <w:sz w:val="24"/>
          <w:szCs w:val="24"/>
        </w:rPr>
        <w:t xml:space="preserve">simismo, se </w:t>
      </w:r>
      <w:proofErr w:type="spellStart"/>
      <w:r>
        <w:rPr>
          <w:rStyle w:val="Ninguno"/>
          <w:rFonts w:ascii="Times New Roman" w:hAnsi="Times New Roman"/>
          <w:sz w:val="24"/>
          <w:szCs w:val="24"/>
        </w:rPr>
        <w:t>prové</w:t>
      </w:r>
      <w:proofErr w:type="spellEnd"/>
      <w:r>
        <w:rPr>
          <w:rStyle w:val="Ninguno"/>
          <w:rFonts w:ascii="Times New Roman" w:hAnsi="Times New Roman"/>
          <w:sz w:val="24"/>
          <w:szCs w:val="24"/>
        </w:rPr>
        <w:t xml:space="preserve"> información acerca de los condenados con las aclaraciones formuladas en el </w:t>
      </w:r>
      <w:proofErr w:type="spellStart"/>
      <w:r>
        <w:rPr>
          <w:rStyle w:val="Ninguno"/>
          <w:rFonts w:ascii="Times New Roman" w:hAnsi="Times New Roman"/>
          <w:sz w:val="24"/>
          <w:szCs w:val="24"/>
        </w:rPr>
        <w:t>pá</w:t>
      </w:r>
      <w:proofErr w:type="spellEnd"/>
      <w:r>
        <w:rPr>
          <w:rStyle w:val="Ninguno"/>
          <w:rFonts w:ascii="Times New Roman" w:hAnsi="Times New Roman"/>
          <w:sz w:val="24"/>
          <w:szCs w:val="24"/>
          <w:lang w:val="it-IT"/>
        </w:rPr>
        <w:t xml:space="preserve">rrafo precedente. </w:t>
      </w:r>
    </w:p>
    <w:p w14:paraId="7AA9A735"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59809D81" w14:textId="77777777" w:rsidR="00591E03" w:rsidRDefault="00F002B7">
      <w:pPr>
        <w:pStyle w:val="Cuerpo"/>
        <w:spacing w:line="240" w:lineRule="auto"/>
        <w:jc w:val="both"/>
        <w:rPr>
          <w:rStyle w:val="Ninguno"/>
          <w:rFonts w:ascii="Times New Roman" w:eastAsia="Times New Roman" w:hAnsi="Times New Roman" w:cs="Times New Roman"/>
          <w:b/>
          <w:bCs/>
          <w:i/>
          <w:iCs/>
          <w:sz w:val="24"/>
          <w:szCs w:val="24"/>
        </w:rPr>
      </w:pPr>
      <w:r>
        <w:rPr>
          <w:rStyle w:val="Ninguno"/>
          <w:rFonts w:ascii="Times New Roman" w:hAnsi="Times New Roman"/>
          <w:b/>
          <w:bCs/>
          <w:i/>
          <w:iCs/>
          <w:sz w:val="24"/>
          <w:szCs w:val="24"/>
        </w:rPr>
        <w:t>Solicitudes de procesamiento</w:t>
      </w:r>
    </w:p>
    <w:p w14:paraId="36274471" w14:textId="77777777" w:rsidR="00591E03" w:rsidRDefault="00591E03">
      <w:pPr>
        <w:pStyle w:val="ListParagraph"/>
        <w:spacing w:line="240" w:lineRule="auto"/>
        <w:ind w:left="2160"/>
        <w:jc w:val="both"/>
        <w:rPr>
          <w:rStyle w:val="Ninguno"/>
          <w:rFonts w:ascii="Times New Roman" w:eastAsia="Times New Roman" w:hAnsi="Times New Roman" w:cs="Times New Roman"/>
          <w:i/>
          <w:iCs/>
          <w:sz w:val="24"/>
          <w:szCs w:val="24"/>
        </w:rPr>
      </w:pPr>
    </w:p>
    <w:p w14:paraId="1B797014" w14:textId="77777777" w:rsidR="00591E03" w:rsidRDefault="00F002B7">
      <w:pPr>
        <w:pStyle w:val="ListParagraph"/>
        <w:numPr>
          <w:ilvl w:val="0"/>
          <w:numId w:val="4"/>
        </w:numPr>
        <w:spacing w:after="0" w:line="240" w:lineRule="auto"/>
        <w:jc w:val="both"/>
        <w:rPr>
          <w:rFonts w:ascii="Times New Roman" w:hAnsi="Times New Roman"/>
          <w:sz w:val="24"/>
          <w:szCs w:val="24"/>
        </w:rPr>
      </w:pPr>
      <w:r>
        <w:rPr>
          <w:rStyle w:val="Ninguno"/>
          <w:rFonts w:ascii="Times New Roman" w:hAnsi="Times New Roman"/>
          <w:sz w:val="24"/>
          <w:szCs w:val="24"/>
        </w:rPr>
        <w:t>IUE 88-208/2011 Penal 23º T. Homicidio por torturas de Oscar Fernández Mendieta.</w:t>
      </w:r>
    </w:p>
    <w:p w14:paraId="1CCD7E9E"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it-IT"/>
        </w:rPr>
        <w:t xml:space="preserve">Solicitud 2 de junio del </w:t>
      </w:r>
      <w:r>
        <w:rPr>
          <w:rStyle w:val="Ninguno"/>
          <w:rFonts w:ascii="Times New Roman" w:hAnsi="Times New Roman"/>
          <w:sz w:val="24"/>
          <w:szCs w:val="24"/>
          <w:lang w:val="it-IT"/>
        </w:rPr>
        <w:t>2017</w:t>
      </w:r>
    </w:p>
    <w:p w14:paraId="127F3497"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proofErr w:type="spellStart"/>
      <w:r>
        <w:rPr>
          <w:rStyle w:val="Ninguno"/>
          <w:rFonts w:ascii="Times New Roman" w:hAnsi="Times New Roman"/>
          <w:sz w:val="24"/>
          <w:szCs w:val="24"/>
        </w:rPr>
        <w:t>Ratificació</w:t>
      </w:r>
      <w:proofErr w:type="spellEnd"/>
      <w:r>
        <w:rPr>
          <w:rStyle w:val="Ninguno"/>
          <w:rFonts w:ascii="Times New Roman" w:hAnsi="Times New Roman"/>
          <w:sz w:val="24"/>
          <w:szCs w:val="24"/>
          <w:lang w:val="it-IT"/>
        </w:rPr>
        <w:t>n 9 de abril del 2018</w:t>
      </w:r>
    </w:p>
    <w:p w14:paraId="35113962"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4 imputados</w:t>
      </w:r>
    </w:p>
    <w:p w14:paraId="70D324BD"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6F355314"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288- 835/2011 3er. T.  Maldonado. Tortura a jóvenes de 18 a 25 años en Batallón de Ingenieros 4º de Laguna del Sauce</w:t>
      </w:r>
    </w:p>
    <w:p w14:paraId="6BC1202C"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La solicitud fiscal fue efectuada el 30 de abril del 2018 respecto de 6 imputados. D</w:t>
      </w:r>
      <w:r>
        <w:rPr>
          <w:rStyle w:val="Ninguno"/>
          <w:rFonts w:ascii="Times New Roman" w:hAnsi="Times New Roman"/>
          <w:sz w:val="24"/>
          <w:szCs w:val="24"/>
        </w:rPr>
        <w:t>e igual forma se requirió que continuara respecto de otros y se ordenara la captura nacional e internacional sobre otro indagado. En este caso, se dispuso el procesamiento con prisión de dos imputados. Sobre dos de los imputados no se pudo acceder a lo pet</w:t>
      </w:r>
      <w:r>
        <w:rPr>
          <w:rStyle w:val="Ninguno"/>
          <w:rFonts w:ascii="Times New Roman" w:hAnsi="Times New Roman"/>
          <w:sz w:val="24"/>
          <w:szCs w:val="24"/>
        </w:rPr>
        <w:t>icionado, por cuanto ínterin fallecieron. Por último, respecto de los restantes, en un caso la Juez admitió la prueba solicitada por la Defensa y en otro elevó las actuaciones a la Suprema Corte de Justicia, al haber interpuesto excepción de inconstitucion</w:t>
      </w:r>
      <w:r>
        <w:rPr>
          <w:rStyle w:val="Ninguno"/>
          <w:rFonts w:ascii="Times New Roman" w:hAnsi="Times New Roman"/>
          <w:sz w:val="24"/>
          <w:szCs w:val="24"/>
        </w:rPr>
        <w:t>alidad por Ley Nº19.550.</w:t>
      </w:r>
    </w:p>
    <w:p w14:paraId="6AFC2634"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66527A38" w14:textId="77777777" w:rsidR="00591E03" w:rsidRDefault="00F002B7">
      <w:pPr>
        <w:pStyle w:val="ListParagraph"/>
        <w:numPr>
          <w:ilvl w:val="0"/>
          <w:numId w:val="4"/>
        </w:numPr>
        <w:spacing w:after="0" w:line="240" w:lineRule="auto"/>
        <w:jc w:val="both"/>
        <w:rPr>
          <w:rFonts w:ascii="Times New Roman" w:hAnsi="Times New Roman"/>
          <w:sz w:val="24"/>
          <w:szCs w:val="24"/>
        </w:rPr>
      </w:pPr>
      <w:r>
        <w:rPr>
          <w:rStyle w:val="Ninguno"/>
          <w:rFonts w:ascii="Times New Roman" w:hAnsi="Times New Roman"/>
          <w:sz w:val="24"/>
          <w:szCs w:val="24"/>
        </w:rPr>
        <w:t>IUE 103-244/2011 Penal 22º T.  Torturas en el Centro clandestino de detención “300 Carlos”</w:t>
      </w:r>
    </w:p>
    <w:p w14:paraId="0527B4C0"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10 de mayo del 2018</w:t>
      </w:r>
    </w:p>
    <w:p w14:paraId="5F4DEDA2"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3 imputados.</w:t>
      </w:r>
    </w:p>
    <w:p w14:paraId="4BA24F6B"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2CCDA778"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 xml:space="preserve">IUE 88-361/1984 Penal 23º T. Privación de libertad y torturas respecto de U. Rodríguez y </w:t>
      </w:r>
      <w:proofErr w:type="spellStart"/>
      <w:r>
        <w:rPr>
          <w:rStyle w:val="Ninguno"/>
          <w:rFonts w:ascii="Times New Roman" w:hAnsi="Times New Roman"/>
          <w:sz w:val="24"/>
          <w:szCs w:val="24"/>
        </w:rPr>
        <w:t>Celibe</w:t>
      </w:r>
      <w:r>
        <w:rPr>
          <w:rStyle w:val="Ninguno"/>
          <w:rFonts w:ascii="Times New Roman" w:hAnsi="Times New Roman"/>
          <w:sz w:val="24"/>
          <w:szCs w:val="24"/>
        </w:rPr>
        <w:t>rtti</w:t>
      </w:r>
      <w:proofErr w:type="spellEnd"/>
    </w:p>
    <w:p w14:paraId="689E7A23"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inicial 14 de setiembre del 2016</w:t>
      </w:r>
    </w:p>
    <w:p w14:paraId="22C07EDD"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Ratificación 23 de mayo del 2018</w:t>
      </w:r>
    </w:p>
    <w:p w14:paraId="4DCF9836"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4 imputados</w:t>
      </w:r>
    </w:p>
    <w:p w14:paraId="300F24BD"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50012753"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2-104481/2011 Penal 22º T. Torturas en la Dirección Nacional de Información e Inteligencia.</w:t>
      </w:r>
    </w:p>
    <w:p w14:paraId="574E6BA0"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Solicitudes iniciales 11 de marzo del 2016 y 25 de mayo del </w:t>
      </w:r>
      <w:r>
        <w:rPr>
          <w:rStyle w:val="Ninguno"/>
          <w:rFonts w:ascii="Times New Roman" w:hAnsi="Times New Roman"/>
          <w:sz w:val="24"/>
          <w:szCs w:val="24"/>
        </w:rPr>
        <w:t>2016</w:t>
      </w:r>
    </w:p>
    <w:p w14:paraId="7683B61C"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proofErr w:type="spellStart"/>
      <w:r>
        <w:rPr>
          <w:rStyle w:val="Ninguno"/>
          <w:rFonts w:ascii="Times New Roman" w:hAnsi="Times New Roman"/>
          <w:sz w:val="24"/>
          <w:szCs w:val="24"/>
        </w:rPr>
        <w:t>Ratificació</w:t>
      </w:r>
      <w:proofErr w:type="spellEnd"/>
      <w:r>
        <w:rPr>
          <w:rStyle w:val="Ninguno"/>
          <w:rFonts w:ascii="Times New Roman" w:hAnsi="Times New Roman"/>
          <w:sz w:val="24"/>
          <w:szCs w:val="24"/>
          <w:lang w:val="it-IT"/>
        </w:rPr>
        <w:t>n 11 de junio del 2018</w:t>
      </w:r>
    </w:p>
    <w:p w14:paraId="35EE39F9"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Nueva ratificación 9 de marzo de 2020</w:t>
      </w:r>
    </w:p>
    <w:p w14:paraId="0F32CB38"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2 imputados</w:t>
      </w:r>
    </w:p>
    <w:p w14:paraId="2AAADAF1"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779E20D8"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97-78/2012 Penal 27º T.   Homicidio de Nelson Berreta Hernández</w:t>
      </w:r>
    </w:p>
    <w:p w14:paraId="085F01BF"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lastRenderedPageBreak/>
        <w:t>Solicitud 20 de junio del 2018</w:t>
      </w:r>
    </w:p>
    <w:p w14:paraId="3FD2B8DB"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1 imputado.</w:t>
      </w:r>
    </w:p>
    <w:p w14:paraId="120A7371"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Ratificación de la solicitud de </w:t>
      </w:r>
      <w:r>
        <w:rPr>
          <w:rStyle w:val="Ninguno"/>
          <w:rFonts w:ascii="Times New Roman" w:hAnsi="Times New Roman"/>
          <w:sz w:val="24"/>
          <w:szCs w:val="24"/>
        </w:rPr>
        <w:t>procesamiento 12 de marzo del 2020.</w:t>
      </w:r>
    </w:p>
    <w:p w14:paraId="35FB6D46" w14:textId="77777777" w:rsidR="00591E03" w:rsidRDefault="00591E03">
      <w:pPr>
        <w:pStyle w:val="Cuerpo"/>
        <w:spacing w:after="0" w:line="240" w:lineRule="auto"/>
        <w:ind w:left="709"/>
        <w:jc w:val="both"/>
        <w:rPr>
          <w:rStyle w:val="Ninguno"/>
          <w:rFonts w:ascii="Times New Roman" w:eastAsia="Times New Roman" w:hAnsi="Times New Roman" w:cs="Times New Roman"/>
          <w:sz w:val="24"/>
          <w:szCs w:val="24"/>
        </w:rPr>
      </w:pPr>
    </w:p>
    <w:p w14:paraId="099BEB41"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2-109971/2011 Penal 28º T. Torturas en el Centro clandestino de detención “300 Carlos” e Infantería 13</w:t>
      </w:r>
    </w:p>
    <w:p w14:paraId="3D9CC167"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it-IT"/>
        </w:rPr>
        <w:t>Solicitud 24 de julio del 2018</w:t>
      </w:r>
    </w:p>
    <w:p w14:paraId="41B46D60"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8 imputados.</w:t>
      </w:r>
    </w:p>
    <w:p w14:paraId="41D4D75D"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Solicitud 8 de junio de 2022</w:t>
      </w:r>
    </w:p>
    <w:p w14:paraId="1D56DC4F"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1 imputado.</w:t>
      </w:r>
    </w:p>
    <w:p w14:paraId="284E8E27"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68B044A2"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88-98/2010 Penal 23° T</w:t>
      </w:r>
      <w:r>
        <w:rPr>
          <w:rStyle w:val="Ninguno"/>
          <w:rFonts w:ascii="Times New Roman" w:hAnsi="Times New Roman"/>
          <w:sz w:val="24"/>
          <w:szCs w:val="24"/>
        </w:rPr>
        <w:t xml:space="preserve">. Desaparición Forzada de Horacio </w:t>
      </w:r>
      <w:proofErr w:type="spellStart"/>
      <w:r>
        <w:rPr>
          <w:rStyle w:val="Ninguno"/>
          <w:rFonts w:ascii="Times New Roman" w:hAnsi="Times New Roman"/>
          <w:sz w:val="24"/>
          <w:szCs w:val="24"/>
        </w:rPr>
        <w:t>Gelos</w:t>
      </w:r>
      <w:proofErr w:type="spellEnd"/>
      <w:r>
        <w:rPr>
          <w:rStyle w:val="Ninguno"/>
          <w:rFonts w:ascii="Times New Roman" w:hAnsi="Times New Roman"/>
          <w:sz w:val="24"/>
          <w:szCs w:val="24"/>
        </w:rPr>
        <w:t xml:space="preserve"> Bonilla</w:t>
      </w:r>
    </w:p>
    <w:p w14:paraId="4D45EC38"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Solicitud inicial 3 de agosto de 2011.</w:t>
      </w:r>
    </w:p>
    <w:p w14:paraId="0E83F35E"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Nueva solicitud, sin ratificar lo anterior 17 de octubre de 2018.</w:t>
      </w:r>
    </w:p>
    <w:p w14:paraId="771C1A83"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2 imputados</w:t>
      </w:r>
    </w:p>
    <w:p w14:paraId="0C320ABB"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76D25437"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 xml:space="preserve">IUE 88-209/2011 Penal 23° T Muerte por torturas de </w:t>
      </w:r>
      <w:proofErr w:type="spellStart"/>
      <w:r>
        <w:rPr>
          <w:rStyle w:val="Ninguno"/>
          <w:rFonts w:ascii="Times New Roman" w:hAnsi="Times New Roman"/>
          <w:sz w:val="24"/>
          <w:szCs w:val="24"/>
        </w:rPr>
        <w:t>Ivan</w:t>
      </w:r>
      <w:proofErr w:type="spellEnd"/>
      <w:r>
        <w:rPr>
          <w:rStyle w:val="Ninguno"/>
          <w:rFonts w:ascii="Times New Roman" w:hAnsi="Times New Roman"/>
          <w:sz w:val="24"/>
          <w:szCs w:val="24"/>
        </w:rPr>
        <w:t xml:space="preserve"> Morales Generali</w:t>
      </w:r>
    </w:p>
    <w:p w14:paraId="7DF5A93A"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de proc</w:t>
      </w:r>
      <w:r>
        <w:rPr>
          <w:rStyle w:val="Ninguno"/>
          <w:rFonts w:ascii="Times New Roman" w:hAnsi="Times New Roman"/>
          <w:sz w:val="24"/>
          <w:szCs w:val="24"/>
        </w:rPr>
        <w:t>esamiento 10 de febrero de 2017</w:t>
      </w:r>
    </w:p>
    <w:p w14:paraId="546A21F6"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Ratificación de la solicitud 26 de noviembre del 2019.</w:t>
      </w:r>
    </w:p>
    <w:p w14:paraId="06A5B901"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1 imputado.</w:t>
      </w:r>
    </w:p>
    <w:p w14:paraId="1EB71EA7"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721FA47D"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2-110255/2011 Penal 29° T. Denuncia de apremios físicos y abusos sexuales a mujeres</w:t>
      </w:r>
    </w:p>
    <w:p w14:paraId="42F6359D"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de Procesamiento 10 de diciembre de 2018</w:t>
      </w:r>
    </w:p>
    <w:p w14:paraId="7A739894"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 xml:space="preserve">4 </w:t>
      </w:r>
      <w:r>
        <w:rPr>
          <w:rStyle w:val="Ninguno"/>
          <w:rFonts w:ascii="Times New Roman" w:hAnsi="Times New Roman"/>
          <w:sz w:val="24"/>
          <w:szCs w:val="24"/>
          <w:lang w:val="pt-PT"/>
        </w:rPr>
        <w:t>imputados.</w:t>
      </w:r>
    </w:p>
    <w:p w14:paraId="3FB17015"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1525BB76"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-20548/2008 Penal 25° T. Privación de libertad, supresión de estado civil y abandono de menores de los hermanitos Julien-Grisonas.</w:t>
      </w:r>
    </w:p>
    <w:p w14:paraId="63954B92"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de procesamiento 21 de febrero del 2019</w:t>
      </w:r>
    </w:p>
    <w:p w14:paraId="71811899"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5 imputados</w:t>
      </w:r>
    </w:p>
    <w:p w14:paraId="00998964"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1D3872B5"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2-21986/2006 Penal 23° T. Muerte por tortu</w:t>
      </w:r>
      <w:r>
        <w:rPr>
          <w:rStyle w:val="Ninguno"/>
          <w:rFonts w:ascii="Times New Roman" w:hAnsi="Times New Roman"/>
          <w:sz w:val="24"/>
          <w:szCs w:val="24"/>
        </w:rPr>
        <w:t>ras de Hugo Leonardo De los Santos</w:t>
      </w:r>
    </w:p>
    <w:p w14:paraId="19955822"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de procesamiento 27 de febrero de 2019</w:t>
      </w:r>
    </w:p>
    <w:p w14:paraId="1162CF2F"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3 imputados</w:t>
      </w:r>
    </w:p>
    <w:p w14:paraId="16B2EA19"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Procesados 2 el 14 de setiembre de 2021</w:t>
      </w:r>
    </w:p>
    <w:p w14:paraId="68CB7CC3"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617E2575"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 xml:space="preserve">IUE 88- 384/2010 Penal 23° T. Torturas en </w:t>
      </w:r>
      <w:proofErr w:type="spellStart"/>
      <w:r>
        <w:rPr>
          <w:rStyle w:val="Ninguno"/>
          <w:rFonts w:ascii="Times New Roman" w:hAnsi="Times New Roman"/>
          <w:sz w:val="24"/>
          <w:szCs w:val="24"/>
        </w:rPr>
        <w:t>Boiso</w:t>
      </w:r>
      <w:proofErr w:type="spellEnd"/>
      <w:r>
        <w:rPr>
          <w:rStyle w:val="Ninguno"/>
          <w:rFonts w:ascii="Times New Roman" w:hAnsi="Times New Roman"/>
          <w:sz w:val="24"/>
          <w:szCs w:val="24"/>
        </w:rPr>
        <w:t xml:space="preserve"> Lanza</w:t>
      </w:r>
    </w:p>
    <w:p w14:paraId="3F6FEF24"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de procesamiento 14 de marzo de 2019</w:t>
      </w:r>
    </w:p>
    <w:p w14:paraId="443618A9"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 xml:space="preserve">7 </w:t>
      </w:r>
      <w:r>
        <w:rPr>
          <w:rStyle w:val="Ninguno"/>
          <w:rFonts w:ascii="Times New Roman" w:hAnsi="Times New Roman"/>
          <w:sz w:val="24"/>
          <w:szCs w:val="24"/>
          <w:lang w:val="pt-PT"/>
        </w:rPr>
        <w:t>imputados</w:t>
      </w:r>
    </w:p>
    <w:p w14:paraId="6A5CEA67"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0999578D"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94-10114/1986 Penal 25° T. Muerte por torturas Luis Carlos Batalla</w:t>
      </w:r>
    </w:p>
    <w:p w14:paraId="5AC05F70"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lastRenderedPageBreak/>
        <w:t>Solicitud de procesamiento 22 de marzo de 2019</w:t>
      </w:r>
    </w:p>
    <w:p w14:paraId="211A33C4"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2 imputados.</w:t>
      </w:r>
    </w:p>
    <w:p w14:paraId="0540A526"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Procesados el día 20 de junio de 2022 en los autos 547-30/2022</w:t>
      </w:r>
    </w:p>
    <w:p w14:paraId="1C0C4619"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1DE9F5C4"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91-250/2008 Penal 26° T. Muertes del “Escuadró</w:t>
      </w:r>
      <w:r>
        <w:rPr>
          <w:rStyle w:val="Ninguno"/>
          <w:rFonts w:ascii="Times New Roman" w:hAnsi="Times New Roman"/>
          <w:sz w:val="24"/>
          <w:szCs w:val="24"/>
        </w:rPr>
        <w:t>n de la Muerte”</w:t>
      </w:r>
    </w:p>
    <w:p w14:paraId="33861B06"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it-IT"/>
        </w:rPr>
        <w:t>Solicitud Abril del 2009.</w:t>
      </w:r>
    </w:p>
    <w:p w14:paraId="3AC77F36"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1 imputado.</w:t>
      </w:r>
    </w:p>
    <w:p w14:paraId="1267FFC7" w14:textId="77777777" w:rsidR="00591E03" w:rsidRDefault="00F002B7">
      <w:pPr>
        <w:pStyle w:val="Cuerpo"/>
        <w:spacing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En este caso existen dos personas condenadas, empero una de ellas se encontraba prófuga. En enero pasado se lo detuvo, y en la actualidad se encuentra en prisión preventiva, a la espera de la resolución</w:t>
      </w:r>
      <w:r>
        <w:rPr>
          <w:rStyle w:val="Ninguno"/>
          <w:rFonts w:ascii="Times New Roman" w:hAnsi="Times New Roman"/>
          <w:sz w:val="24"/>
          <w:szCs w:val="24"/>
        </w:rPr>
        <w:t xml:space="preserve"> de la excepción de inconstitucionalidad de la Ley Nº18.831.</w:t>
      </w:r>
    </w:p>
    <w:p w14:paraId="3ACC41DF" w14:textId="77777777" w:rsidR="00591E03" w:rsidRDefault="00591E03">
      <w:pPr>
        <w:pStyle w:val="Cuerpo"/>
        <w:spacing w:line="240" w:lineRule="auto"/>
        <w:ind w:left="709"/>
        <w:jc w:val="both"/>
        <w:rPr>
          <w:rStyle w:val="Ninguno"/>
          <w:rFonts w:ascii="Times New Roman" w:eastAsia="Times New Roman" w:hAnsi="Times New Roman" w:cs="Times New Roman"/>
          <w:sz w:val="24"/>
          <w:szCs w:val="24"/>
        </w:rPr>
      </w:pPr>
    </w:p>
    <w:p w14:paraId="4907D3EA"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96-302/2011 Penal 27° T. Muerte por torturas de Gerardo Alter</w:t>
      </w:r>
    </w:p>
    <w:p w14:paraId="4C5991EC"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24 de octubre de 2011</w:t>
      </w:r>
    </w:p>
    <w:p w14:paraId="233FE360"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proofErr w:type="spellStart"/>
      <w:r>
        <w:rPr>
          <w:rStyle w:val="Ninguno"/>
          <w:rFonts w:ascii="Times New Roman" w:hAnsi="Times New Roman"/>
          <w:sz w:val="24"/>
          <w:szCs w:val="24"/>
        </w:rPr>
        <w:t>Pró</w:t>
      </w:r>
      <w:proofErr w:type="spellEnd"/>
      <w:r>
        <w:rPr>
          <w:rStyle w:val="Ninguno"/>
          <w:rFonts w:ascii="Times New Roman" w:hAnsi="Times New Roman"/>
          <w:sz w:val="24"/>
          <w:szCs w:val="24"/>
          <w:lang w:val="it-IT"/>
        </w:rPr>
        <w:t>fugo Hermes Tarigo Giordano.</w:t>
      </w:r>
    </w:p>
    <w:p w14:paraId="6502AF24"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3305ED0B"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 xml:space="preserve">IUE 2-61201/2012 Penal 22° T. Torturas en la Guardia </w:t>
      </w:r>
      <w:r>
        <w:rPr>
          <w:rStyle w:val="Ninguno"/>
          <w:rFonts w:ascii="Times New Roman" w:hAnsi="Times New Roman"/>
          <w:sz w:val="24"/>
          <w:szCs w:val="24"/>
        </w:rPr>
        <w:t>Metropolitana.</w:t>
      </w:r>
    </w:p>
    <w:p w14:paraId="0563873B"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de procesamiento junio de 2019.</w:t>
      </w:r>
    </w:p>
    <w:p w14:paraId="564799CE"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1 imputado</w:t>
      </w:r>
    </w:p>
    <w:p w14:paraId="13E45698"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Nueva solicitud de procesamiento 27 de setiembre del 2019</w:t>
      </w:r>
    </w:p>
    <w:p w14:paraId="39DAC821"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1 imputado</w:t>
      </w:r>
    </w:p>
    <w:p w14:paraId="193C7BB3"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4062301C"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88-218/2011 Penal 23° T. Muerte por torturas Julián Basilio López Artillería I.</w:t>
      </w:r>
    </w:p>
    <w:p w14:paraId="11DC70DA"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de procesamiento 16 de f</w:t>
      </w:r>
      <w:r>
        <w:rPr>
          <w:rStyle w:val="Ninguno"/>
          <w:rFonts w:ascii="Times New Roman" w:hAnsi="Times New Roman"/>
          <w:sz w:val="24"/>
          <w:szCs w:val="24"/>
        </w:rPr>
        <w:t>ebrero del 2017 y ratificado el 4 de octubre del 2019.</w:t>
      </w:r>
    </w:p>
    <w:p w14:paraId="50E20408"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2 imputados</w:t>
      </w:r>
    </w:p>
    <w:p w14:paraId="09C18086"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5F6C5172"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2-65903/2019 Juzgado Canelones 1er. Turno. Torturas en el CCD Los Vagones.</w:t>
      </w:r>
    </w:p>
    <w:p w14:paraId="597D682A"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y formalización día 19 de noviembre del 2019</w:t>
      </w:r>
    </w:p>
    <w:p w14:paraId="3B1206B9"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3 imputados</w:t>
      </w:r>
    </w:p>
    <w:p w14:paraId="3D98BD86"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27ABA11D"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177-450/2011 Juzgado Florida 1er. Tur</w:t>
      </w:r>
      <w:r>
        <w:rPr>
          <w:rStyle w:val="Ninguno"/>
          <w:rFonts w:ascii="Times New Roman" w:hAnsi="Times New Roman"/>
          <w:sz w:val="24"/>
          <w:szCs w:val="24"/>
        </w:rPr>
        <w:t>no.</w:t>
      </w:r>
    </w:p>
    <w:p w14:paraId="7E508A6E"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de procesamiento 4 de febrero del 2020</w:t>
      </w:r>
    </w:p>
    <w:p w14:paraId="72DBA74D"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2 imputados.</w:t>
      </w:r>
    </w:p>
    <w:p w14:paraId="6FAE3339"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08F01476"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87-697/1986 Penal 22° T. Torturas Batallón de Infantería N.º 1 Florida.</w:t>
      </w:r>
    </w:p>
    <w:p w14:paraId="7D4DA4FE"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de procesamiento 11 de febrero de 2020.</w:t>
      </w:r>
    </w:p>
    <w:p w14:paraId="26BF91F8"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4 imputados.</w:t>
      </w:r>
    </w:p>
    <w:p w14:paraId="1E4FADF0"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71D097AB"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lastRenderedPageBreak/>
        <w:t xml:space="preserve">IUE 96-268/2014 Penal 27° T. Muerte por </w:t>
      </w:r>
      <w:r>
        <w:rPr>
          <w:rStyle w:val="Ninguno"/>
          <w:rFonts w:ascii="Times New Roman" w:hAnsi="Times New Roman"/>
          <w:sz w:val="24"/>
          <w:szCs w:val="24"/>
        </w:rPr>
        <w:t>torturas de Gerardo Moisés Alter Batallón de Infantería N.º 1 Florida.</w:t>
      </w:r>
    </w:p>
    <w:p w14:paraId="6A575FE6"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de procesamiento 25 de setiembre de 2020.</w:t>
      </w:r>
    </w:p>
    <w:p w14:paraId="3506E03C"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5 imputados.</w:t>
      </w:r>
    </w:p>
    <w:p w14:paraId="63D523EE"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02D03BE7"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2-110507/2011 Penal 26° T. Torturas en el CCD La Tablada</w:t>
      </w:r>
    </w:p>
    <w:p w14:paraId="0996C99D"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de procesamiento 23 de noviembre de 2020</w:t>
      </w:r>
    </w:p>
    <w:p w14:paraId="78C14475"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1 imput</w:t>
      </w:r>
      <w:r>
        <w:rPr>
          <w:rStyle w:val="Ninguno"/>
          <w:rFonts w:ascii="Times New Roman" w:hAnsi="Times New Roman"/>
          <w:sz w:val="24"/>
          <w:szCs w:val="24"/>
          <w:lang w:val="pt-PT"/>
        </w:rPr>
        <w:t>ado.</w:t>
      </w:r>
    </w:p>
    <w:p w14:paraId="296C24B9"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34C98AE0"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 xml:space="preserve">IUE 91-841/1986 Penal 26° T. Asesinato de las jóvenes Laura Raggio, Silvia Reyes y Diana </w:t>
      </w:r>
      <w:proofErr w:type="spellStart"/>
      <w:r>
        <w:rPr>
          <w:rStyle w:val="Ninguno"/>
          <w:rFonts w:ascii="Times New Roman" w:hAnsi="Times New Roman"/>
          <w:sz w:val="24"/>
          <w:szCs w:val="24"/>
        </w:rPr>
        <w:t>Maidanik</w:t>
      </w:r>
      <w:proofErr w:type="spellEnd"/>
    </w:p>
    <w:p w14:paraId="32E179A9"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de procesamiento 17 de diciembre del 2020</w:t>
      </w:r>
    </w:p>
    <w:p w14:paraId="0F050A69"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3 imputados</w:t>
      </w:r>
    </w:p>
    <w:p w14:paraId="4F6D1298"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El día 22 de Julio de 2022 fue procesado Juan Rebollo. Los otros dos imputados fallecier</w:t>
      </w:r>
      <w:r>
        <w:rPr>
          <w:rStyle w:val="Ninguno"/>
          <w:rFonts w:ascii="Times New Roman" w:hAnsi="Times New Roman"/>
          <w:sz w:val="24"/>
          <w:szCs w:val="24"/>
        </w:rPr>
        <w:t xml:space="preserve">on antes de esta instancia. </w:t>
      </w:r>
    </w:p>
    <w:p w14:paraId="266F30C1"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12AE264C"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90-334/2017 Penal 27° T. Torturas en el CCD 300 Carlos R y el SID</w:t>
      </w:r>
    </w:p>
    <w:p w14:paraId="3DFFDE58"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de procesamiento 22 de diciembre de 2020</w:t>
      </w:r>
    </w:p>
    <w:p w14:paraId="1C019A4E"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1 imputado.</w:t>
      </w:r>
    </w:p>
    <w:p w14:paraId="04896EFE"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2773B2C8"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88-151/2011 Penal 23° t. Muerte de Walter Arteche en el Batallón de Infantería N.º 1.</w:t>
      </w:r>
    </w:p>
    <w:p w14:paraId="1C9E7874"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w:t>
      </w:r>
      <w:r>
        <w:rPr>
          <w:rStyle w:val="Ninguno"/>
          <w:rFonts w:ascii="Times New Roman" w:hAnsi="Times New Roman"/>
          <w:sz w:val="24"/>
          <w:szCs w:val="24"/>
        </w:rPr>
        <w:t>licitud de procesamiento inicial 3 de noviembre de 2016.</w:t>
      </w:r>
    </w:p>
    <w:p w14:paraId="067FACCC"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Ratificación por dos de los anteriores y uno nuevo el 21 de junio de 2021.</w:t>
      </w:r>
    </w:p>
    <w:p w14:paraId="6B14B97E"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3 imputados</w:t>
      </w:r>
    </w:p>
    <w:p w14:paraId="151CF722"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13419D9C"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 xml:space="preserve">IUE 127,129,138,139,140/2012 ante el Juzgado de Tacuarembó de 5° turno. Torturas en Caballería </w:t>
      </w:r>
      <w:r>
        <w:rPr>
          <w:rStyle w:val="Ninguno"/>
          <w:rFonts w:ascii="Times New Roman" w:hAnsi="Times New Roman"/>
          <w:sz w:val="24"/>
          <w:szCs w:val="24"/>
        </w:rPr>
        <w:t>Mecanizada N.º 5 Tacuarembó</w:t>
      </w:r>
    </w:p>
    <w:p w14:paraId="57481D5F"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Solicitud 13 de agosto de 2021.</w:t>
      </w:r>
    </w:p>
    <w:p w14:paraId="049BAC18"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Un imputado</w:t>
      </w:r>
    </w:p>
    <w:p w14:paraId="6325BB61"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39926DF4"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2-121599/2011 ante el Juzgado Fray Bentos 1° turno. Torturas en el Batallón de Infantería N.º 9 Fray Bentos.</w:t>
      </w:r>
    </w:p>
    <w:p w14:paraId="4190EAD4"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Solicitud 18 de agosto de 2021</w:t>
      </w:r>
    </w:p>
    <w:p w14:paraId="6F8DA1E7"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Un imputado.</w:t>
      </w:r>
    </w:p>
    <w:p w14:paraId="2789016C"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4E08524B"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302-588/2011 ante Juz</w:t>
      </w:r>
      <w:r>
        <w:rPr>
          <w:rStyle w:val="Ninguno"/>
          <w:rFonts w:ascii="Times New Roman" w:hAnsi="Times New Roman"/>
          <w:sz w:val="24"/>
          <w:szCs w:val="24"/>
        </w:rPr>
        <w:t>gado Paysandú 2° turno. Torturas en el Batallón de Infantería N.º 8</w:t>
      </w:r>
    </w:p>
    <w:p w14:paraId="3049DAB8"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Solicitud 20 de agosto de 2021</w:t>
      </w:r>
    </w:p>
    <w:p w14:paraId="1C5885A9"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Un imputado</w:t>
      </w:r>
    </w:p>
    <w:p w14:paraId="0B0C5C72"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74432FCB"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lastRenderedPageBreak/>
        <w:t>IUE 287-344/2009 ante Juzgado Maldonado 10° turno. Muerte por torturas de Francisco Chocho Ingenieros N.º 4 Maldonado</w:t>
      </w:r>
    </w:p>
    <w:p w14:paraId="508D694B"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2 de setiembre d</w:t>
      </w:r>
      <w:r>
        <w:rPr>
          <w:rStyle w:val="Ninguno"/>
          <w:rFonts w:ascii="Times New Roman" w:hAnsi="Times New Roman"/>
          <w:sz w:val="24"/>
          <w:szCs w:val="24"/>
        </w:rPr>
        <w:t>e 2021</w:t>
      </w:r>
    </w:p>
    <w:p w14:paraId="5C0D4779"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1imputado.</w:t>
      </w:r>
    </w:p>
    <w:p w14:paraId="047BD603" w14:textId="77777777" w:rsidR="00591E03" w:rsidRDefault="00591E03">
      <w:pPr>
        <w:pStyle w:val="Cuerpo"/>
        <w:spacing w:after="0" w:line="240" w:lineRule="auto"/>
        <w:ind w:left="709"/>
        <w:jc w:val="both"/>
        <w:rPr>
          <w:rStyle w:val="Ninguno"/>
          <w:rFonts w:ascii="Times New Roman" w:eastAsia="Times New Roman" w:hAnsi="Times New Roman" w:cs="Times New Roman"/>
          <w:sz w:val="24"/>
          <w:szCs w:val="24"/>
        </w:rPr>
      </w:pPr>
    </w:p>
    <w:p w14:paraId="1DCDD788"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354-106/2012 ante el Juzgado Penal 23° turno. Torturas en el Grupo Artillería N.º 5.</w:t>
      </w:r>
    </w:p>
    <w:p w14:paraId="7CD236D9"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27 de setiembre de 2021</w:t>
      </w:r>
    </w:p>
    <w:p w14:paraId="278F16BF"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2 imputados</w:t>
      </w:r>
    </w:p>
    <w:p w14:paraId="3768773A"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3DB2BDBE"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93-469/2016 ante el Juzgado Penal 27° turno. Torturas en el Batallón de Transmisiones N.º 1.</w:t>
      </w:r>
    </w:p>
    <w:p w14:paraId="0D25FB6B"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27 de octubre de 2021</w:t>
      </w:r>
    </w:p>
    <w:p w14:paraId="052ADFBD"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2 imputados.</w:t>
      </w:r>
    </w:p>
    <w:p w14:paraId="58D5FB0C"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240CEDB4"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523-193/2018 ante el Juzgado de 10º T. de Maldonado. Torturas en Ingenieros N.º 4 Laguna del Sauce.</w:t>
      </w:r>
    </w:p>
    <w:p w14:paraId="1F07CCE9"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Solicitud 23 de noviembre de 2021</w:t>
      </w:r>
    </w:p>
    <w:p w14:paraId="094CDB2B"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1 imputado</w:t>
      </w:r>
    </w:p>
    <w:p w14:paraId="6480AFE6"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37E8FBFF"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 xml:space="preserve">IUE 355-537/2011 ante el Juzgado de Salto de 2º turno. </w:t>
      </w:r>
      <w:r>
        <w:rPr>
          <w:rStyle w:val="Ninguno"/>
          <w:rFonts w:ascii="Times New Roman" w:hAnsi="Times New Roman"/>
          <w:sz w:val="24"/>
          <w:szCs w:val="24"/>
        </w:rPr>
        <w:t>Torturas y privación de libertad en Infantería N.º 7 Salto.</w:t>
      </w:r>
    </w:p>
    <w:p w14:paraId="00183FA1"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Solicitud 22 de febrero de 2022</w:t>
      </w:r>
    </w:p>
    <w:p w14:paraId="3D4DBCBC"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1 imputado</w:t>
      </w:r>
    </w:p>
    <w:p w14:paraId="6A4E4971"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58647706"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177-448/2011ante el Juzgado Penal de 23º turno. Torturas y privación de libertad en el FUSNA</w:t>
      </w:r>
    </w:p>
    <w:p w14:paraId="21370E81"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Solicitud 25 de febrero de 2022</w:t>
      </w:r>
    </w:p>
    <w:p w14:paraId="58341EDD"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1 imputado</w:t>
      </w:r>
    </w:p>
    <w:p w14:paraId="6290E05F"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6AFC7F6A"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90-190</w:t>
      </w:r>
      <w:r>
        <w:rPr>
          <w:rStyle w:val="Ninguno"/>
          <w:rFonts w:ascii="Times New Roman" w:hAnsi="Times New Roman"/>
          <w:sz w:val="24"/>
          <w:szCs w:val="24"/>
        </w:rPr>
        <w:t>/1984 ante Penal 27º turno. Torturas y traslado clandestino a Uruguay “Primer vuelo”</w:t>
      </w:r>
    </w:p>
    <w:p w14:paraId="73B0FCB7"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Solicitud 4 de abril de 2022</w:t>
      </w:r>
    </w:p>
    <w:p w14:paraId="67DBF862"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4 imputados</w:t>
      </w:r>
    </w:p>
    <w:p w14:paraId="7CD4A3D6"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049E3997"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2-15129/2012 Juzgado 4º Turno Colonia. Torturas y Privación de libertad contra Montoneros</w:t>
      </w:r>
    </w:p>
    <w:p w14:paraId="4513F83F"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Solicitud 8 de junio de 2022</w:t>
      </w:r>
    </w:p>
    <w:p w14:paraId="2A27710A"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2 impu</w:t>
      </w:r>
      <w:r>
        <w:rPr>
          <w:rStyle w:val="Ninguno"/>
          <w:rFonts w:ascii="Times New Roman" w:hAnsi="Times New Roman"/>
          <w:sz w:val="24"/>
          <w:szCs w:val="24"/>
          <w:lang w:val="pt-PT"/>
        </w:rPr>
        <w:t>tados</w:t>
      </w:r>
    </w:p>
    <w:p w14:paraId="4628528A"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13F36408" w14:textId="77777777" w:rsidR="00591E03" w:rsidRDefault="00F002B7">
      <w:pPr>
        <w:pStyle w:val="ListParagraph"/>
        <w:numPr>
          <w:ilvl w:val="0"/>
          <w:numId w:val="4"/>
        </w:numPr>
        <w:spacing w:line="240" w:lineRule="auto"/>
        <w:jc w:val="both"/>
        <w:rPr>
          <w:rFonts w:ascii="Times New Roman" w:hAnsi="Times New Roman"/>
          <w:sz w:val="24"/>
          <w:szCs w:val="24"/>
        </w:rPr>
      </w:pPr>
      <w:r>
        <w:rPr>
          <w:rStyle w:val="Ninguno"/>
          <w:rFonts w:ascii="Times New Roman" w:hAnsi="Times New Roman"/>
          <w:sz w:val="24"/>
          <w:szCs w:val="24"/>
        </w:rPr>
        <w:t>IUE 88-220/2011 Juzgado Penal 23º turno. Torturas y privación de libertad contra Gilberto Coghlan y otros en Caballería N.º 4.</w:t>
      </w:r>
    </w:p>
    <w:p w14:paraId="7B514FF5"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lastRenderedPageBreak/>
        <w:t>Solicitud 27 de junio de 2022</w:t>
      </w:r>
    </w:p>
    <w:p w14:paraId="79756E06" w14:textId="77777777" w:rsidR="00591E03" w:rsidRDefault="00F002B7">
      <w:pPr>
        <w:pStyle w:val="Cuerpo"/>
        <w:spacing w:after="0" w:line="240" w:lineRule="auto"/>
        <w:ind w:left="709"/>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pt-PT"/>
        </w:rPr>
        <w:t>1 imputado</w:t>
      </w:r>
    </w:p>
    <w:p w14:paraId="290ADE7B"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2105E9BB" w14:textId="77777777" w:rsidR="00591E03" w:rsidRDefault="00F002B7">
      <w:pPr>
        <w:pStyle w:val="Cuerpo"/>
        <w:spacing w:line="240" w:lineRule="auto"/>
        <w:jc w:val="both"/>
        <w:rPr>
          <w:rStyle w:val="Ninguno"/>
          <w:rFonts w:ascii="Times New Roman" w:eastAsia="Times New Roman" w:hAnsi="Times New Roman" w:cs="Times New Roman"/>
          <w:b/>
          <w:bCs/>
          <w:i/>
          <w:iCs/>
          <w:sz w:val="24"/>
          <w:szCs w:val="24"/>
        </w:rPr>
      </w:pPr>
      <w:r>
        <w:rPr>
          <w:rStyle w:val="Ninguno"/>
          <w:rFonts w:ascii="Times New Roman" w:hAnsi="Times New Roman"/>
          <w:b/>
          <w:bCs/>
          <w:i/>
          <w:iCs/>
          <w:sz w:val="24"/>
          <w:szCs w:val="24"/>
        </w:rPr>
        <w:t>Procesados conforme al Código del Proceso Penal anterior (Decreto-Ley Nº15.032)</w:t>
      </w:r>
    </w:p>
    <w:p w14:paraId="7AE464A0" w14:textId="77777777" w:rsidR="00591E03" w:rsidRDefault="00591E03">
      <w:pPr>
        <w:pStyle w:val="ListParagraph"/>
        <w:spacing w:line="240" w:lineRule="auto"/>
        <w:ind w:left="2160"/>
        <w:jc w:val="both"/>
        <w:rPr>
          <w:rStyle w:val="Ninguno"/>
          <w:rFonts w:ascii="Times New Roman" w:eastAsia="Times New Roman" w:hAnsi="Times New Roman" w:cs="Times New Roman"/>
          <w:i/>
          <w:iCs/>
          <w:sz w:val="24"/>
          <w:szCs w:val="24"/>
        </w:rPr>
      </w:pPr>
    </w:p>
    <w:p w14:paraId="26F54916"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288-835/2011 Maldonado 10° T</w:t>
      </w:r>
    </w:p>
    <w:p w14:paraId="2B018751"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18 de febrero de 2019 fueron procesados Artigas W. Rivera Bianchi </w:t>
      </w:r>
      <w:proofErr w:type="spellStart"/>
      <w:r>
        <w:rPr>
          <w:rStyle w:val="Ninguno"/>
          <w:rFonts w:ascii="Times New Roman" w:hAnsi="Times New Roman"/>
          <w:sz w:val="24"/>
          <w:szCs w:val="24"/>
        </w:rPr>
        <w:t>Chiazzaro</w:t>
      </w:r>
      <w:proofErr w:type="spellEnd"/>
      <w:r>
        <w:rPr>
          <w:rStyle w:val="Ninguno"/>
          <w:rFonts w:ascii="Times New Roman" w:hAnsi="Times New Roman"/>
          <w:sz w:val="24"/>
          <w:szCs w:val="24"/>
        </w:rPr>
        <w:t xml:space="preserve"> y Plácido Gregorio Amorín Eraso por un delito continuado de abuso de autoridad contra los detenidos. (art. 286 del C.P.)</w:t>
      </w:r>
    </w:p>
    <w:p w14:paraId="74B0FC59"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4 de agosto del 2020 fue procesado Víctor </w:t>
      </w:r>
      <w:proofErr w:type="spellStart"/>
      <w:r>
        <w:rPr>
          <w:rStyle w:val="Ninguno"/>
          <w:rFonts w:ascii="Times New Roman" w:hAnsi="Times New Roman"/>
          <w:sz w:val="24"/>
          <w:szCs w:val="24"/>
        </w:rPr>
        <w:t>Stocco</w:t>
      </w:r>
      <w:proofErr w:type="spellEnd"/>
      <w:r>
        <w:rPr>
          <w:rStyle w:val="Ninguno"/>
          <w:rFonts w:ascii="Times New Roman" w:hAnsi="Times New Roman"/>
          <w:sz w:val="24"/>
          <w:szCs w:val="24"/>
        </w:rPr>
        <w:t xml:space="preserve"> </w:t>
      </w:r>
      <w:proofErr w:type="spellStart"/>
      <w:r>
        <w:rPr>
          <w:rStyle w:val="Ninguno"/>
          <w:rFonts w:ascii="Times New Roman" w:hAnsi="Times New Roman"/>
          <w:sz w:val="24"/>
          <w:szCs w:val="24"/>
        </w:rPr>
        <w:t>Anglet</w:t>
      </w:r>
      <w:proofErr w:type="spellEnd"/>
      <w:r>
        <w:rPr>
          <w:rStyle w:val="Ninguno"/>
          <w:rFonts w:ascii="Times New Roman" w:hAnsi="Times New Roman"/>
          <w:sz w:val="24"/>
          <w:szCs w:val="24"/>
        </w:rPr>
        <w:t xml:space="preserve"> por abuso de autoridad contra los detenidos. (art. 286 del C.P.) y privación de libertad en Batallón de Ingenieros 4° Laguna del Sauce.</w:t>
      </w:r>
    </w:p>
    <w:p w14:paraId="44CDDEF0"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El 27 de octubre de 2021 Amorín Eraso fue condenado a una</w:t>
      </w:r>
      <w:r>
        <w:rPr>
          <w:rStyle w:val="Ninguno"/>
          <w:rFonts w:ascii="Times New Roman" w:hAnsi="Times New Roman"/>
          <w:sz w:val="24"/>
          <w:szCs w:val="24"/>
        </w:rPr>
        <w:t xml:space="preserve"> pena de 3 años y 6 meses de penitenciaría y </w:t>
      </w:r>
      <w:proofErr w:type="spellStart"/>
      <w:r>
        <w:rPr>
          <w:rStyle w:val="Ninguno"/>
          <w:rFonts w:ascii="Times New Roman" w:hAnsi="Times New Roman"/>
          <w:sz w:val="24"/>
          <w:szCs w:val="24"/>
        </w:rPr>
        <w:t>Stocco</w:t>
      </w:r>
      <w:proofErr w:type="spellEnd"/>
      <w:r>
        <w:rPr>
          <w:rStyle w:val="Ninguno"/>
          <w:rFonts w:ascii="Times New Roman" w:hAnsi="Times New Roman"/>
          <w:sz w:val="24"/>
          <w:szCs w:val="24"/>
        </w:rPr>
        <w:t xml:space="preserve"> a una pena de 6 años de penitenciaría.</w:t>
      </w:r>
    </w:p>
    <w:p w14:paraId="28EE79BA"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Rivera Bianchi no pudo afrontar el proceso por su incapacidad mental por lo que se clausuró la causa a sus efectos.</w:t>
      </w:r>
    </w:p>
    <w:p w14:paraId="5FC0948F"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proofErr w:type="spellStart"/>
      <w:r>
        <w:rPr>
          <w:rStyle w:val="Ninguno"/>
          <w:rFonts w:ascii="Times New Roman" w:hAnsi="Times New Roman"/>
          <w:sz w:val="24"/>
          <w:szCs w:val="24"/>
        </w:rPr>
        <w:t>Stocco</w:t>
      </w:r>
      <w:proofErr w:type="spellEnd"/>
      <w:r>
        <w:rPr>
          <w:rStyle w:val="Ninguno"/>
          <w:rFonts w:ascii="Times New Roman" w:hAnsi="Times New Roman"/>
          <w:sz w:val="24"/>
          <w:szCs w:val="24"/>
        </w:rPr>
        <w:t xml:space="preserve"> fue condenado a la pena de 6 años de penit</w:t>
      </w:r>
      <w:r>
        <w:rPr>
          <w:rStyle w:val="Ninguno"/>
          <w:rFonts w:ascii="Times New Roman" w:hAnsi="Times New Roman"/>
          <w:sz w:val="24"/>
          <w:szCs w:val="24"/>
        </w:rPr>
        <w:t>enciaría como autor de seis delitos de abuso de autoridad contra los detenidos en concurso formal con seis delitos de lesiones graves.</w:t>
      </w:r>
    </w:p>
    <w:p w14:paraId="7A10106E"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Amorín fue condenado a la pena de 3 años y 6 meses de penitenciaría como autor de seis delitos de abuso de autoridad cont</w:t>
      </w:r>
      <w:r>
        <w:rPr>
          <w:rStyle w:val="Ninguno"/>
          <w:rFonts w:ascii="Times New Roman" w:hAnsi="Times New Roman"/>
          <w:sz w:val="24"/>
          <w:szCs w:val="24"/>
        </w:rPr>
        <w:t>ra los detenidos</w:t>
      </w:r>
    </w:p>
    <w:p w14:paraId="55534E09"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88-209/2011 Penal 23° T.</w:t>
      </w:r>
    </w:p>
    <w:p w14:paraId="77E595B2"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26 de marzo de 2020 fue procesado </w:t>
      </w:r>
      <w:proofErr w:type="spellStart"/>
      <w:r>
        <w:rPr>
          <w:rStyle w:val="Ninguno"/>
          <w:rFonts w:ascii="Times New Roman" w:hAnsi="Times New Roman"/>
          <w:sz w:val="24"/>
          <w:szCs w:val="24"/>
        </w:rPr>
        <w:t>Lawrie</w:t>
      </w:r>
      <w:proofErr w:type="spellEnd"/>
      <w:r>
        <w:rPr>
          <w:rStyle w:val="Ninguno"/>
          <w:rFonts w:ascii="Times New Roman" w:hAnsi="Times New Roman"/>
          <w:sz w:val="24"/>
          <w:szCs w:val="24"/>
        </w:rPr>
        <w:t xml:space="preserve"> Rodríguez como coautor de un delito de Homicidio muy especialmente agravado por la muerte de Iván Morales </w:t>
      </w:r>
      <w:proofErr w:type="spellStart"/>
      <w:r>
        <w:rPr>
          <w:rStyle w:val="Ninguno"/>
          <w:rFonts w:ascii="Times New Roman" w:hAnsi="Times New Roman"/>
          <w:sz w:val="24"/>
          <w:szCs w:val="24"/>
        </w:rPr>
        <w:t>Generalli</w:t>
      </w:r>
      <w:proofErr w:type="spellEnd"/>
      <w:r>
        <w:rPr>
          <w:rStyle w:val="Ninguno"/>
          <w:rFonts w:ascii="Times New Roman" w:hAnsi="Times New Roman"/>
          <w:sz w:val="24"/>
          <w:szCs w:val="24"/>
        </w:rPr>
        <w:t>. La sentencia de primer grado fue confirmada</w:t>
      </w:r>
      <w:r>
        <w:rPr>
          <w:rStyle w:val="Ninguno"/>
          <w:rFonts w:ascii="Times New Roman" w:hAnsi="Times New Roman"/>
          <w:sz w:val="24"/>
          <w:szCs w:val="24"/>
        </w:rPr>
        <w:t xml:space="preserve"> por el Tribunal de Apelaciones Penal de 2° turno con fecha 28 de octubre del 2020.</w:t>
      </w:r>
    </w:p>
    <w:p w14:paraId="3DACB31E"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Rodríguez fue condenado a la pena de 20 años de penitenciaría como coautor de un delito de homicidio muy especialmente agravado.</w:t>
      </w:r>
    </w:p>
    <w:p w14:paraId="25605DA4"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177-450/2011 Florida 1° T.</w:t>
      </w:r>
    </w:p>
    <w:p w14:paraId="7CF52AF3"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22 </w:t>
      </w:r>
      <w:r>
        <w:rPr>
          <w:rStyle w:val="Ninguno"/>
          <w:rFonts w:ascii="Times New Roman" w:hAnsi="Times New Roman"/>
          <w:sz w:val="24"/>
          <w:szCs w:val="24"/>
        </w:rPr>
        <w:t>de mayo de 2020 fueron procesados sin prisión José María Cabrera Rivas y Andrés Daniel Quintana García por un delito continuado de abuso de autoridad contra los detenidos. La Fiscalía especializada recurrió el procesamiento sin prisión.</w:t>
      </w:r>
    </w:p>
    <w:p w14:paraId="647DAC54"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El Tribunal confirm</w:t>
      </w:r>
      <w:r>
        <w:rPr>
          <w:rStyle w:val="Ninguno"/>
          <w:rFonts w:ascii="Times New Roman" w:hAnsi="Times New Roman"/>
          <w:sz w:val="24"/>
          <w:szCs w:val="24"/>
        </w:rPr>
        <w:t>ó el procesamiento y dispuso la prisión preventiva de los encausados.</w:t>
      </w:r>
    </w:p>
    <w:p w14:paraId="4448FCB0"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Cabrera y Quintana fueron condenados a la pena de 6 años y 8 meses de penitenciaría como autores de un delito continuado de privación de libertad, un delito continuado de abuso de autori</w:t>
      </w:r>
      <w:r>
        <w:rPr>
          <w:rStyle w:val="Ninguno"/>
          <w:rFonts w:ascii="Times New Roman" w:hAnsi="Times New Roman"/>
          <w:sz w:val="24"/>
          <w:szCs w:val="24"/>
        </w:rPr>
        <w:t>dad contra los detenidos y estos en concurso formal con un delito continuado de lesiones graves y los anteriores en concurrencia fuera de la reiteración con un delito continuado de privación de libertad en calidad de coautores.</w:t>
      </w:r>
    </w:p>
    <w:p w14:paraId="3F12D48A"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97-78/2012 Penal 27° T</w:t>
      </w:r>
      <w:r>
        <w:rPr>
          <w:rStyle w:val="Ninguno"/>
          <w:rFonts w:ascii="Times New Roman" w:hAnsi="Times New Roman"/>
          <w:sz w:val="24"/>
          <w:szCs w:val="24"/>
        </w:rPr>
        <w:t>.</w:t>
      </w:r>
    </w:p>
    <w:p w14:paraId="50707B7D"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lastRenderedPageBreak/>
        <w:t>El día 10 de junio de 2020 fue procesado Leonardo Vidal Antúnez como autor de un delito de homicidio por la muerte de Nelson Berreta. La sentencia de primer grado fue confirmada por el Tribunal de Apelaciones Penal de 1er. turno con fecha 11 de setiembre</w:t>
      </w:r>
      <w:r>
        <w:rPr>
          <w:rStyle w:val="Ninguno"/>
          <w:rFonts w:ascii="Times New Roman" w:hAnsi="Times New Roman"/>
          <w:sz w:val="24"/>
          <w:szCs w:val="24"/>
        </w:rPr>
        <w:t xml:space="preserve"> del 2020.</w:t>
      </w:r>
    </w:p>
    <w:p w14:paraId="063E3D96"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El día 24 de agosto de 2021 fue condenado a una pena de 8 años de penitenciaría. Posteriormente falleció estando preso.</w:t>
      </w:r>
    </w:p>
    <w:p w14:paraId="1CCD486F"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91-250/2008 Penal 24 T.</w:t>
      </w:r>
    </w:p>
    <w:p w14:paraId="0A6092DC"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10 de julio de 2020 fue procesado Miguel Sofía </w:t>
      </w:r>
      <w:proofErr w:type="spellStart"/>
      <w:r>
        <w:rPr>
          <w:rStyle w:val="Ninguno"/>
          <w:rFonts w:ascii="Times New Roman" w:hAnsi="Times New Roman"/>
          <w:sz w:val="24"/>
          <w:szCs w:val="24"/>
        </w:rPr>
        <w:t>Abeleira</w:t>
      </w:r>
      <w:proofErr w:type="spellEnd"/>
      <w:r>
        <w:rPr>
          <w:rStyle w:val="Ninguno"/>
          <w:rFonts w:ascii="Times New Roman" w:hAnsi="Times New Roman"/>
          <w:sz w:val="24"/>
          <w:szCs w:val="24"/>
        </w:rPr>
        <w:t xml:space="preserve"> como autor de un delito de asoci</w:t>
      </w:r>
      <w:r>
        <w:rPr>
          <w:rStyle w:val="Ninguno"/>
          <w:rFonts w:ascii="Times New Roman" w:hAnsi="Times New Roman"/>
          <w:sz w:val="24"/>
          <w:szCs w:val="24"/>
        </w:rPr>
        <w:t xml:space="preserve">ación para delinquir en concurrencia fuera de la reiteración con un delito de Homicidio muy especialmente agravado en calidad de coautor. Por su participación en el escuadrón de la muerte y la desaparición forzada de Héctor </w:t>
      </w:r>
      <w:proofErr w:type="spellStart"/>
      <w:r>
        <w:rPr>
          <w:rStyle w:val="Ninguno"/>
          <w:rFonts w:ascii="Times New Roman" w:hAnsi="Times New Roman"/>
          <w:sz w:val="24"/>
          <w:szCs w:val="24"/>
        </w:rPr>
        <w:t>Castagnetto</w:t>
      </w:r>
      <w:proofErr w:type="spellEnd"/>
      <w:r>
        <w:rPr>
          <w:rStyle w:val="Ninguno"/>
          <w:rFonts w:ascii="Times New Roman" w:hAnsi="Times New Roman"/>
          <w:sz w:val="24"/>
          <w:szCs w:val="24"/>
        </w:rPr>
        <w:t>.</w:t>
      </w:r>
    </w:p>
    <w:p w14:paraId="35EEAECE"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El procesamiento fu</w:t>
      </w:r>
      <w:r>
        <w:rPr>
          <w:rStyle w:val="Ninguno"/>
          <w:rFonts w:ascii="Times New Roman" w:hAnsi="Times New Roman"/>
          <w:sz w:val="24"/>
          <w:szCs w:val="24"/>
        </w:rPr>
        <w:t>e confirmado por el Tribunal de Apelaciones.</w:t>
      </w:r>
    </w:p>
    <w:p w14:paraId="20B4E71C"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2-61201/2012 Penal 22° T. Causa 542-140/2019</w:t>
      </w:r>
    </w:p>
    <w:p w14:paraId="5712E195"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13 de julio del 2020 fue procesado Tabaré Sartorio </w:t>
      </w:r>
      <w:proofErr w:type="spellStart"/>
      <w:r>
        <w:rPr>
          <w:rStyle w:val="Ninguno"/>
          <w:rFonts w:ascii="Times New Roman" w:hAnsi="Times New Roman"/>
          <w:sz w:val="24"/>
          <w:szCs w:val="24"/>
        </w:rPr>
        <w:t>Guimaraens</w:t>
      </w:r>
      <w:proofErr w:type="spellEnd"/>
      <w:r>
        <w:rPr>
          <w:rStyle w:val="Ninguno"/>
          <w:rFonts w:ascii="Times New Roman" w:hAnsi="Times New Roman"/>
          <w:sz w:val="24"/>
          <w:szCs w:val="24"/>
        </w:rPr>
        <w:t xml:space="preserve"> por tres delitos de privación de libertad en concurrencia fuera de la reiteración con cuatr</w:t>
      </w:r>
      <w:r>
        <w:rPr>
          <w:rStyle w:val="Ninguno"/>
          <w:rFonts w:ascii="Times New Roman" w:hAnsi="Times New Roman"/>
          <w:sz w:val="24"/>
          <w:szCs w:val="24"/>
        </w:rPr>
        <w:t>o delitos de abuso de autoridad contra los detenidos. Falleció luego de su procesamiento.</w:t>
      </w:r>
    </w:p>
    <w:p w14:paraId="0A64E4C1"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13 de marzo de 2021 fue procesado </w:t>
      </w:r>
      <w:proofErr w:type="spellStart"/>
      <w:r>
        <w:rPr>
          <w:rStyle w:val="Ninguno"/>
          <w:rFonts w:ascii="Times New Roman" w:hAnsi="Times New Roman"/>
          <w:sz w:val="24"/>
          <w:szCs w:val="24"/>
        </w:rPr>
        <w:t>Ayelmiro</w:t>
      </w:r>
      <w:proofErr w:type="spellEnd"/>
      <w:r>
        <w:rPr>
          <w:rStyle w:val="Ninguno"/>
          <w:rFonts w:ascii="Times New Roman" w:hAnsi="Times New Roman"/>
          <w:sz w:val="24"/>
          <w:szCs w:val="24"/>
        </w:rPr>
        <w:t xml:space="preserve"> José Pereira Silveira por tres delitos de privación de libertad en concurrencia fuera de la reiteración con cuatro d</w:t>
      </w:r>
      <w:r>
        <w:rPr>
          <w:rStyle w:val="Ninguno"/>
          <w:rFonts w:ascii="Times New Roman" w:hAnsi="Times New Roman"/>
          <w:sz w:val="24"/>
          <w:szCs w:val="24"/>
        </w:rPr>
        <w:t>elitos de abuso de autoridad contra los detenidos. Falleció luego de su procesamiento.</w:t>
      </w:r>
    </w:p>
    <w:p w14:paraId="5BA86880"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2-104481/2011 Penal 22° T.</w:t>
      </w:r>
    </w:p>
    <w:p w14:paraId="66BDCCAA"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15 de Julio de 2020 fueron procesados José </w:t>
      </w:r>
      <w:proofErr w:type="spellStart"/>
      <w:r>
        <w:rPr>
          <w:rStyle w:val="Ninguno"/>
          <w:rFonts w:ascii="Times New Roman" w:hAnsi="Times New Roman"/>
          <w:sz w:val="24"/>
          <w:szCs w:val="24"/>
        </w:rPr>
        <w:t>Felisberto</w:t>
      </w:r>
      <w:proofErr w:type="spellEnd"/>
      <w:r>
        <w:rPr>
          <w:rStyle w:val="Ninguno"/>
          <w:rFonts w:ascii="Times New Roman" w:hAnsi="Times New Roman"/>
          <w:sz w:val="24"/>
          <w:szCs w:val="24"/>
        </w:rPr>
        <w:t xml:space="preserve"> Lemos Pintos y Jorge Carlos </w:t>
      </w:r>
      <w:proofErr w:type="spellStart"/>
      <w:r>
        <w:rPr>
          <w:rStyle w:val="Ninguno"/>
          <w:rFonts w:ascii="Times New Roman" w:hAnsi="Times New Roman"/>
          <w:sz w:val="24"/>
          <w:szCs w:val="24"/>
        </w:rPr>
        <w:t>Guldenzoph</w:t>
      </w:r>
      <w:proofErr w:type="spellEnd"/>
      <w:r>
        <w:rPr>
          <w:rStyle w:val="Ninguno"/>
          <w:rFonts w:ascii="Times New Roman" w:hAnsi="Times New Roman"/>
          <w:sz w:val="24"/>
          <w:szCs w:val="24"/>
        </w:rPr>
        <w:t xml:space="preserve"> Núñez   por abuso de autoridad contr</w:t>
      </w:r>
      <w:r>
        <w:rPr>
          <w:rStyle w:val="Ninguno"/>
          <w:rFonts w:ascii="Times New Roman" w:hAnsi="Times New Roman"/>
          <w:sz w:val="24"/>
          <w:szCs w:val="24"/>
        </w:rPr>
        <w:t>a los detenidos y privación de libertad en la DNII. Lemos Pintos falleció luego de su procesamiento.</w:t>
      </w:r>
    </w:p>
    <w:p w14:paraId="1A61919E"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2-21986/2006 Penal 23° T.</w:t>
      </w:r>
    </w:p>
    <w:p w14:paraId="2C1C178B"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28 de julio del 2020 fueron procesados Nelson Heber </w:t>
      </w:r>
      <w:proofErr w:type="spellStart"/>
      <w:r>
        <w:rPr>
          <w:rStyle w:val="Ninguno"/>
          <w:rFonts w:ascii="Times New Roman" w:hAnsi="Times New Roman"/>
          <w:sz w:val="24"/>
          <w:szCs w:val="24"/>
        </w:rPr>
        <w:t>Coitinho</w:t>
      </w:r>
      <w:proofErr w:type="spellEnd"/>
      <w:r>
        <w:rPr>
          <w:rStyle w:val="Ninguno"/>
          <w:rFonts w:ascii="Times New Roman" w:hAnsi="Times New Roman"/>
          <w:sz w:val="24"/>
          <w:szCs w:val="24"/>
        </w:rPr>
        <w:t xml:space="preserve"> y Hugo A. </w:t>
      </w:r>
      <w:proofErr w:type="spellStart"/>
      <w:r>
        <w:rPr>
          <w:rStyle w:val="Ninguno"/>
          <w:rFonts w:ascii="Times New Roman" w:hAnsi="Times New Roman"/>
          <w:sz w:val="24"/>
          <w:szCs w:val="24"/>
        </w:rPr>
        <w:t>Garcíacelay</w:t>
      </w:r>
      <w:proofErr w:type="spellEnd"/>
      <w:r>
        <w:rPr>
          <w:rStyle w:val="Ninguno"/>
          <w:rFonts w:ascii="Times New Roman" w:hAnsi="Times New Roman"/>
          <w:sz w:val="24"/>
          <w:szCs w:val="24"/>
        </w:rPr>
        <w:t xml:space="preserve"> </w:t>
      </w:r>
      <w:proofErr w:type="spellStart"/>
      <w:r>
        <w:rPr>
          <w:rStyle w:val="Ninguno"/>
          <w:rFonts w:ascii="Times New Roman" w:hAnsi="Times New Roman"/>
          <w:sz w:val="24"/>
          <w:szCs w:val="24"/>
        </w:rPr>
        <w:t>Odera</w:t>
      </w:r>
      <w:proofErr w:type="spellEnd"/>
      <w:r>
        <w:rPr>
          <w:rStyle w:val="Ninguno"/>
          <w:rFonts w:ascii="Times New Roman" w:hAnsi="Times New Roman"/>
          <w:sz w:val="24"/>
          <w:szCs w:val="24"/>
        </w:rPr>
        <w:t xml:space="preserve"> por el delito de homicidio muy especialmente agravado por la muerte de Julián </w:t>
      </w:r>
      <w:proofErr w:type="spellStart"/>
      <w:r>
        <w:rPr>
          <w:rStyle w:val="Ninguno"/>
          <w:rFonts w:ascii="Times New Roman" w:hAnsi="Times New Roman"/>
          <w:sz w:val="24"/>
          <w:szCs w:val="24"/>
        </w:rPr>
        <w:t>Basilicio</w:t>
      </w:r>
      <w:proofErr w:type="spellEnd"/>
      <w:r>
        <w:rPr>
          <w:rStyle w:val="Ninguno"/>
          <w:rFonts w:ascii="Times New Roman" w:hAnsi="Times New Roman"/>
          <w:sz w:val="24"/>
          <w:szCs w:val="24"/>
        </w:rPr>
        <w:t xml:space="preserve"> Muñoz.</w:t>
      </w:r>
    </w:p>
    <w:p w14:paraId="4CBFEB5D"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Su procesamiento fue confirmado por el Tribunal de Apelaciones.</w:t>
      </w:r>
    </w:p>
    <w:p w14:paraId="79B52DA4"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253-85/1986 Juzgado Ldo. Flores 3er. T.</w:t>
      </w:r>
    </w:p>
    <w:p w14:paraId="36A4EB22"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El día 14 de diciembre de 2020 fueron procesados c</w:t>
      </w:r>
      <w:r>
        <w:rPr>
          <w:rStyle w:val="Ninguno"/>
          <w:rFonts w:ascii="Times New Roman" w:hAnsi="Times New Roman"/>
          <w:sz w:val="24"/>
          <w:szCs w:val="24"/>
        </w:rPr>
        <w:t>on prisión Mario Simón Ramos Villanueva y el Dr. Nelson Fornos Vera por abuso de autoridad contra los detenidos en el Grupo de Artillería N.º 2 de la ciudad de Flores.</w:t>
      </w:r>
    </w:p>
    <w:p w14:paraId="6FDD493F"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Nelson Fornos falleció con posterioridad a su procesamiento.</w:t>
      </w:r>
    </w:p>
    <w:p w14:paraId="174FE42F"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Mario Ramos fue condenado a</w:t>
      </w:r>
      <w:r>
        <w:rPr>
          <w:rStyle w:val="Ninguno"/>
          <w:rFonts w:ascii="Times New Roman" w:hAnsi="Times New Roman"/>
          <w:sz w:val="24"/>
          <w:szCs w:val="24"/>
        </w:rPr>
        <w:t xml:space="preserve"> la pena de 14 años y 6 meses de penitenciaría por reiterados delitos de privación de libertad, reiterados delitos de abuso de autoridad contra los detenidos y estos en concurso formal con reiterados delitos de lesiones graves y un delito de atentado viole</w:t>
      </w:r>
      <w:r>
        <w:rPr>
          <w:rStyle w:val="Ninguno"/>
          <w:rFonts w:ascii="Times New Roman" w:hAnsi="Times New Roman"/>
          <w:sz w:val="24"/>
          <w:szCs w:val="24"/>
        </w:rPr>
        <w:t>nto al pudor y los anteriores en concurrencia fuera de la reiteración con reiterados delitos de privación de libertad en calidad de coautor.</w:t>
      </w:r>
    </w:p>
    <w:p w14:paraId="6EF1A0EF"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2- 110255/2011 – 549-508/2018 Juzgado Penal 27° T.</w:t>
      </w:r>
    </w:p>
    <w:p w14:paraId="46B7E410"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lastRenderedPageBreak/>
        <w:t xml:space="preserve">El día 19 de marzo del 2021 fueron procesados </w:t>
      </w:r>
      <w:proofErr w:type="spellStart"/>
      <w:r>
        <w:rPr>
          <w:rStyle w:val="Ninguno"/>
          <w:rFonts w:ascii="Times New Roman" w:hAnsi="Times New Roman"/>
          <w:sz w:val="24"/>
          <w:szCs w:val="24"/>
        </w:rPr>
        <w:t>Antraning</w:t>
      </w:r>
      <w:proofErr w:type="spellEnd"/>
      <w:r>
        <w:rPr>
          <w:rStyle w:val="Ninguno"/>
          <w:rFonts w:ascii="Times New Roman" w:hAnsi="Times New Roman"/>
          <w:sz w:val="24"/>
          <w:szCs w:val="24"/>
        </w:rPr>
        <w:t xml:space="preserve"> </w:t>
      </w:r>
      <w:proofErr w:type="spellStart"/>
      <w:r>
        <w:rPr>
          <w:rStyle w:val="Ninguno"/>
          <w:rFonts w:ascii="Times New Roman" w:hAnsi="Times New Roman"/>
          <w:sz w:val="24"/>
          <w:szCs w:val="24"/>
        </w:rPr>
        <w:t>Oh</w:t>
      </w:r>
      <w:r>
        <w:rPr>
          <w:rStyle w:val="Ninguno"/>
          <w:rFonts w:ascii="Times New Roman" w:hAnsi="Times New Roman"/>
          <w:sz w:val="24"/>
          <w:szCs w:val="24"/>
        </w:rPr>
        <w:t>annessian</w:t>
      </w:r>
      <w:proofErr w:type="spellEnd"/>
      <w:r>
        <w:rPr>
          <w:rStyle w:val="Ninguno"/>
          <w:rFonts w:ascii="Times New Roman" w:hAnsi="Times New Roman"/>
          <w:sz w:val="24"/>
          <w:szCs w:val="24"/>
        </w:rPr>
        <w:t xml:space="preserve"> </w:t>
      </w:r>
      <w:proofErr w:type="spellStart"/>
      <w:r>
        <w:rPr>
          <w:rStyle w:val="Ninguno"/>
          <w:rFonts w:ascii="Times New Roman" w:hAnsi="Times New Roman"/>
          <w:sz w:val="24"/>
          <w:szCs w:val="24"/>
        </w:rPr>
        <w:t>Ohannian</w:t>
      </w:r>
      <w:proofErr w:type="spellEnd"/>
      <w:r>
        <w:rPr>
          <w:rStyle w:val="Ninguno"/>
          <w:rFonts w:ascii="Times New Roman" w:hAnsi="Times New Roman"/>
          <w:sz w:val="24"/>
          <w:szCs w:val="24"/>
        </w:rPr>
        <w:t xml:space="preserve"> y Jorge Silveira Quesada por privación de libertad, lesiones graves, violencia privada y respecto de </w:t>
      </w:r>
      <w:proofErr w:type="gramStart"/>
      <w:r>
        <w:rPr>
          <w:rStyle w:val="Ninguno"/>
          <w:rFonts w:ascii="Times New Roman" w:hAnsi="Times New Roman"/>
          <w:sz w:val="24"/>
          <w:szCs w:val="24"/>
        </w:rPr>
        <w:t>éste</w:t>
      </w:r>
      <w:proofErr w:type="gramEnd"/>
      <w:r>
        <w:rPr>
          <w:rStyle w:val="Ninguno"/>
          <w:rFonts w:ascii="Times New Roman" w:hAnsi="Times New Roman"/>
          <w:sz w:val="24"/>
          <w:szCs w:val="24"/>
        </w:rPr>
        <w:t xml:space="preserve"> último también por abusos sexuales.</w:t>
      </w:r>
    </w:p>
    <w:p w14:paraId="17B521BE"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proofErr w:type="spellStart"/>
      <w:r>
        <w:rPr>
          <w:rStyle w:val="Ninguno"/>
          <w:rFonts w:ascii="Times New Roman" w:hAnsi="Times New Roman"/>
          <w:sz w:val="24"/>
          <w:szCs w:val="24"/>
        </w:rPr>
        <w:t>Ohannessian</w:t>
      </w:r>
      <w:proofErr w:type="spellEnd"/>
      <w:r>
        <w:rPr>
          <w:rStyle w:val="Ninguno"/>
          <w:rFonts w:ascii="Times New Roman" w:hAnsi="Times New Roman"/>
          <w:sz w:val="24"/>
          <w:szCs w:val="24"/>
        </w:rPr>
        <w:t xml:space="preserve"> fue condenado a 8 años y 6 meses de penitenciaría como autor de un delito de privac</w:t>
      </w:r>
      <w:r>
        <w:rPr>
          <w:rStyle w:val="Ninguno"/>
          <w:rFonts w:ascii="Times New Roman" w:hAnsi="Times New Roman"/>
          <w:sz w:val="24"/>
          <w:szCs w:val="24"/>
        </w:rPr>
        <w:t>ión de libertad en concurrencia fuera de la reiteración con un delito de lesiones graves y un delito de violencia privada.</w:t>
      </w:r>
    </w:p>
    <w:p w14:paraId="1ADC2707"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Silveira fue condenado a 12 años y 6 meses de penitenciaría como autor de seis delitos de privación de libertad en concurrencia fuera</w:t>
      </w:r>
      <w:r>
        <w:rPr>
          <w:rStyle w:val="Ninguno"/>
          <w:rFonts w:ascii="Times New Roman" w:hAnsi="Times New Roman"/>
          <w:sz w:val="24"/>
          <w:szCs w:val="24"/>
        </w:rPr>
        <w:t xml:space="preserve"> de la reiteración con seis delitos de lesiones graves, seis delitos de atentado violento al pudor y seis delitos de violencia privada.</w:t>
      </w:r>
    </w:p>
    <w:p w14:paraId="0AD20971"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547-17/2021 derivada de IUE 97-10149/1985 Juzgado Penal 27° T.</w:t>
      </w:r>
    </w:p>
    <w:p w14:paraId="36C0FBFC"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El día 29 de abril del 2021 en la causa por la desa</w:t>
      </w:r>
      <w:r>
        <w:rPr>
          <w:rStyle w:val="Ninguno"/>
          <w:rFonts w:ascii="Times New Roman" w:hAnsi="Times New Roman"/>
          <w:sz w:val="24"/>
          <w:szCs w:val="24"/>
        </w:rPr>
        <w:t xml:space="preserve">parición forzada de Oscar </w:t>
      </w:r>
      <w:proofErr w:type="spellStart"/>
      <w:r>
        <w:rPr>
          <w:rStyle w:val="Ninguno"/>
          <w:rFonts w:ascii="Times New Roman" w:hAnsi="Times New Roman"/>
          <w:sz w:val="24"/>
          <w:szCs w:val="24"/>
        </w:rPr>
        <w:t>Tassino</w:t>
      </w:r>
      <w:proofErr w:type="spellEnd"/>
      <w:r>
        <w:rPr>
          <w:rStyle w:val="Ninguno"/>
          <w:rFonts w:ascii="Times New Roman" w:hAnsi="Times New Roman"/>
          <w:sz w:val="24"/>
          <w:szCs w:val="24"/>
        </w:rPr>
        <w:t xml:space="preserve">, fue procesado Eduardo Ferro </w:t>
      </w:r>
      <w:proofErr w:type="spellStart"/>
      <w:r>
        <w:rPr>
          <w:rStyle w:val="Ninguno"/>
          <w:rFonts w:ascii="Times New Roman" w:hAnsi="Times New Roman"/>
          <w:sz w:val="24"/>
          <w:szCs w:val="24"/>
        </w:rPr>
        <w:t>Bizzozero</w:t>
      </w:r>
      <w:proofErr w:type="spellEnd"/>
      <w:r>
        <w:rPr>
          <w:rStyle w:val="Ninguno"/>
          <w:rFonts w:ascii="Times New Roman" w:hAnsi="Times New Roman"/>
          <w:sz w:val="24"/>
          <w:szCs w:val="24"/>
        </w:rPr>
        <w:t xml:space="preserve"> por dos delitos de privación de libertad, uno de violencia privada y un delito de homicidio muy especialmente agravado. El procesamiento fue confirmado por el Tribunal de Apelaciones </w:t>
      </w:r>
      <w:r>
        <w:rPr>
          <w:rStyle w:val="Ninguno"/>
          <w:rFonts w:ascii="Times New Roman" w:hAnsi="Times New Roman"/>
          <w:sz w:val="24"/>
          <w:szCs w:val="24"/>
        </w:rPr>
        <w:t>Penal.</w:t>
      </w:r>
    </w:p>
    <w:p w14:paraId="248FB469"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542-7/2019 Juzgado Penal de 22° T.</w:t>
      </w:r>
    </w:p>
    <w:p w14:paraId="3808ED06"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16 de abril de 2021 fueron procesados José </w:t>
      </w:r>
      <w:proofErr w:type="spellStart"/>
      <w:r>
        <w:rPr>
          <w:rStyle w:val="Ninguno"/>
          <w:rFonts w:ascii="Times New Roman" w:hAnsi="Times New Roman"/>
          <w:sz w:val="24"/>
          <w:szCs w:val="24"/>
        </w:rPr>
        <w:t>Gavazzo</w:t>
      </w:r>
      <w:proofErr w:type="spellEnd"/>
      <w:r>
        <w:rPr>
          <w:rStyle w:val="Ninguno"/>
          <w:rFonts w:ascii="Times New Roman" w:hAnsi="Times New Roman"/>
          <w:sz w:val="24"/>
          <w:szCs w:val="24"/>
        </w:rPr>
        <w:t xml:space="preserve">, </w:t>
      </w:r>
      <w:proofErr w:type="spellStart"/>
      <w:r>
        <w:rPr>
          <w:rStyle w:val="Ninguno"/>
          <w:rFonts w:ascii="Times New Roman" w:hAnsi="Times New Roman"/>
          <w:sz w:val="24"/>
          <w:szCs w:val="24"/>
        </w:rPr>
        <w:t>Erensto</w:t>
      </w:r>
      <w:proofErr w:type="spellEnd"/>
      <w:r>
        <w:rPr>
          <w:rStyle w:val="Ninguno"/>
          <w:rFonts w:ascii="Times New Roman" w:hAnsi="Times New Roman"/>
          <w:sz w:val="24"/>
          <w:szCs w:val="24"/>
        </w:rPr>
        <w:t xml:space="preserve"> Ramas y Jorge Silveira por privación de libertad y abuso de autoridad contra los detenidos. El procesamiento fue confirmado por el Tribunal d</w:t>
      </w:r>
      <w:r>
        <w:rPr>
          <w:rStyle w:val="Ninguno"/>
          <w:rFonts w:ascii="Times New Roman" w:hAnsi="Times New Roman"/>
          <w:sz w:val="24"/>
          <w:szCs w:val="24"/>
        </w:rPr>
        <w:t>e Apelaciones Penal.</w:t>
      </w:r>
    </w:p>
    <w:p w14:paraId="4979C098"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2-109971/2011 Penal 27° T.</w:t>
      </w:r>
    </w:p>
    <w:p w14:paraId="5EDE50A6"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7 de junio 2021 fueron procesados Mario Julio Aguerrondo </w:t>
      </w:r>
      <w:proofErr w:type="spellStart"/>
      <w:r>
        <w:rPr>
          <w:rStyle w:val="Ninguno"/>
          <w:rFonts w:ascii="Times New Roman" w:hAnsi="Times New Roman"/>
          <w:sz w:val="24"/>
          <w:szCs w:val="24"/>
        </w:rPr>
        <w:t>Gavazzo</w:t>
      </w:r>
      <w:proofErr w:type="spellEnd"/>
      <w:r>
        <w:rPr>
          <w:rStyle w:val="Ninguno"/>
          <w:rFonts w:ascii="Times New Roman" w:hAnsi="Times New Roman"/>
          <w:sz w:val="24"/>
          <w:szCs w:val="24"/>
        </w:rPr>
        <w:t xml:space="preserve">, Silveira y Ramas Mario </w:t>
      </w:r>
      <w:proofErr w:type="spellStart"/>
      <w:r>
        <w:rPr>
          <w:rStyle w:val="Ninguno"/>
          <w:rFonts w:ascii="Times New Roman" w:hAnsi="Times New Roman"/>
          <w:sz w:val="24"/>
          <w:szCs w:val="24"/>
        </w:rPr>
        <w:t>Frachelle</w:t>
      </w:r>
      <w:proofErr w:type="spellEnd"/>
      <w:r>
        <w:rPr>
          <w:rStyle w:val="Ninguno"/>
          <w:rFonts w:ascii="Times New Roman" w:hAnsi="Times New Roman"/>
          <w:sz w:val="24"/>
          <w:szCs w:val="24"/>
        </w:rPr>
        <w:t xml:space="preserve">, Rudyard Scioscia y Mario Cola por abuso de autoridad y privación de libertad en el Batallón de </w:t>
      </w:r>
      <w:r>
        <w:rPr>
          <w:rStyle w:val="Ninguno"/>
          <w:rFonts w:ascii="Times New Roman" w:hAnsi="Times New Roman"/>
          <w:sz w:val="24"/>
          <w:szCs w:val="24"/>
        </w:rPr>
        <w:t>Infantería N.º 13 y en el C.C.D. “300 Carlos” El procesamiento fue confirmado por el Tribunal de Apelaciones Penal.</w:t>
      </w:r>
    </w:p>
    <w:p w14:paraId="11C8CA72"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96-268/2014 Penal 27° T.</w:t>
      </w:r>
    </w:p>
    <w:p w14:paraId="5F0B3E98"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9 de junio de 2021 fueron procesados Néstor Silvera, </w:t>
      </w:r>
      <w:proofErr w:type="spellStart"/>
      <w:r>
        <w:rPr>
          <w:rStyle w:val="Ninguno"/>
          <w:rFonts w:ascii="Times New Roman" w:hAnsi="Times New Roman"/>
          <w:sz w:val="24"/>
          <w:szCs w:val="24"/>
        </w:rPr>
        <w:t>Antranig</w:t>
      </w:r>
      <w:proofErr w:type="spellEnd"/>
      <w:r>
        <w:rPr>
          <w:rStyle w:val="Ninguno"/>
          <w:rFonts w:ascii="Times New Roman" w:hAnsi="Times New Roman"/>
          <w:sz w:val="24"/>
          <w:szCs w:val="24"/>
        </w:rPr>
        <w:t xml:space="preserve"> </w:t>
      </w:r>
      <w:proofErr w:type="spellStart"/>
      <w:r>
        <w:rPr>
          <w:rStyle w:val="Ninguno"/>
          <w:rFonts w:ascii="Times New Roman" w:hAnsi="Times New Roman"/>
          <w:sz w:val="24"/>
          <w:szCs w:val="24"/>
        </w:rPr>
        <w:t>Ohannessian</w:t>
      </w:r>
      <w:proofErr w:type="spellEnd"/>
      <w:r>
        <w:rPr>
          <w:rStyle w:val="Ninguno"/>
          <w:rFonts w:ascii="Times New Roman" w:hAnsi="Times New Roman"/>
          <w:sz w:val="24"/>
          <w:szCs w:val="24"/>
        </w:rPr>
        <w:t>, Pedro Buzó por la muerte de</w:t>
      </w:r>
      <w:r>
        <w:rPr>
          <w:rStyle w:val="Ninguno"/>
          <w:rFonts w:ascii="Times New Roman" w:hAnsi="Times New Roman"/>
          <w:sz w:val="24"/>
          <w:szCs w:val="24"/>
        </w:rPr>
        <w:t xml:space="preserve"> Moisés Alter en el Batallón Florida. (Ver IUE 547-7/2021 Juzgado Penal de 27° T. Es la misma causa, pero se formó pieza aparte por Armando Méndez.). El procesamiento fue confirmado por el Tribunal de Apelaciones Penal.</w:t>
      </w:r>
    </w:p>
    <w:p w14:paraId="4D6D3C7D"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97-10149/1985 Penal 27° T.</w:t>
      </w:r>
    </w:p>
    <w:p w14:paraId="72B65722"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23 de junio de 2021 fueron procesados Ernesto Ramas y Jorge Silveira por la desaparición forzada de Oscar </w:t>
      </w:r>
      <w:proofErr w:type="spellStart"/>
      <w:r>
        <w:rPr>
          <w:rStyle w:val="Ninguno"/>
          <w:rFonts w:ascii="Times New Roman" w:hAnsi="Times New Roman"/>
          <w:sz w:val="24"/>
          <w:szCs w:val="24"/>
        </w:rPr>
        <w:t>Tassino</w:t>
      </w:r>
      <w:proofErr w:type="spellEnd"/>
      <w:r>
        <w:rPr>
          <w:rStyle w:val="Ninguno"/>
          <w:rFonts w:ascii="Times New Roman" w:hAnsi="Times New Roman"/>
          <w:sz w:val="24"/>
          <w:szCs w:val="24"/>
        </w:rPr>
        <w:t xml:space="preserve">, empero se le tipificó el delito de homicidio muy especialmente agravado, y el abuso de autoridad y privación de libertad contra otras </w:t>
      </w:r>
      <w:r>
        <w:rPr>
          <w:rStyle w:val="Ninguno"/>
          <w:rFonts w:ascii="Times New Roman" w:hAnsi="Times New Roman"/>
          <w:sz w:val="24"/>
          <w:szCs w:val="24"/>
        </w:rPr>
        <w:t>víctimas. El procesamiento fue confirmado por el Tribunal de Apelaciones Penal.</w:t>
      </w:r>
    </w:p>
    <w:p w14:paraId="58399761"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2-20548/2008 Penal 26° T.</w:t>
      </w:r>
    </w:p>
    <w:p w14:paraId="347150F6"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6 de Julio de 2021 fueron procesados Jorge Silveira, Luis </w:t>
      </w:r>
      <w:proofErr w:type="spellStart"/>
      <w:r>
        <w:rPr>
          <w:rStyle w:val="Ninguno"/>
          <w:rFonts w:ascii="Times New Roman" w:hAnsi="Times New Roman"/>
          <w:sz w:val="24"/>
          <w:szCs w:val="24"/>
        </w:rPr>
        <w:t>Maurente</w:t>
      </w:r>
      <w:proofErr w:type="spellEnd"/>
      <w:r>
        <w:rPr>
          <w:rStyle w:val="Ninguno"/>
          <w:rFonts w:ascii="Times New Roman" w:hAnsi="Times New Roman"/>
          <w:sz w:val="24"/>
          <w:szCs w:val="24"/>
        </w:rPr>
        <w:t xml:space="preserve">, Gilberto Vázquez y Ricardo </w:t>
      </w:r>
      <w:proofErr w:type="spellStart"/>
      <w:r>
        <w:rPr>
          <w:rStyle w:val="Ninguno"/>
          <w:rFonts w:ascii="Times New Roman" w:hAnsi="Times New Roman"/>
          <w:sz w:val="24"/>
          <w:szCs w:val="24"/>
        </w:rPr>
        <w:t>Arab</w:t>
      </w:r>
      <w:proofErr w:type="spellEnd"/>
      <w:r>
        <w:rPr>
          <w:rStyle w:val="Ninguno"/>
          <w:rFonts w:ascii="Times New Roman" w:hAnsi="Times New Roman"/>
          <w:sz w:val="24"/>
          <w:szCs w:val="24"/>
        </w:rPr>
        <w:t xml:space="preserve"> por la privación de libertad, supresi</w:t>
      </w:r>
      <w:r>
        <w:rPr>
          <w:rStyle w:val="Ninguno"/>
          <w:rFonts w:ascii="Times New Roman" w:hAnsi="Times New Roman"/>
          <w:sz w:val="24"/>
          <w:szCs w:val="24"/>
        </w:rPr>
        <w:t>ón de estado civil y abandono de niños. En el caso de los hermanitos Julien/Grisonas.</w:t>
      </w:r>
    </w:p>
    <w:p w14:paraId="7A3BB658"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88-208/2011 Penal 23T.</w:t>
      </w:r>
    </w:p>
    <w:p w14:paraId="5FCF4B06"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10 de agosto de 2021 fueron procesados Gustavo Mieres y Alberto </w:t>
      </w:r>
      <w:proofErr w:type="spellStart"/>
      <w:r>
        <w:rPr>
          <w:rStyle w:val="Ninguno"/>
          <w:rFonts w:ascii="Times New Roman" w:hAnsi="Times New Roman"/>
          <w:sz w:val="24"/>
          <w:szCs w:val="24"/>
        </w:rPr>
        <w:t>Ballestrino</w:t>
      </w:r>
      <w:proofErr w:type="spellEnd"/>
      <w:r>
        <w:rPr>
          <w:rStyle w:val="Ninguno"/>
          <w:rFonts w:ascii="Times New Roman" w:hAnsi="Times New Roman"/>
          <w:sz w:val="24"/>
          <w:szCs w:val="24"/>
        </w:rPr>
        <w:t xml:space="preserve"> por la muerte por torturas de Oscar Fernández Mendieta. El</w:t>
      </w:r>
      <w:r>
        <w:rPr>
          <w:rStyle w:val="Ninguno"/>
          <w:rFonts w:ascii="Times New Roman" w:hAnsi="Times New Roman"/>
          <w:sz w:val="24"/>
          <w:szCs w:val="24"/>
        </w:rPr>
        <w:t xml:space="preserve"> procesamiento fue confirmado por el Tribunal de Apelaciones Penal.</w:t>
      </w:r>
    </w:p>
    <w:p w14:paraId="2E7E052A"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lastRenderedPageBreak/>
        <w:t>Causa 2-21986/2006 Penal 23° T.</w:t>
      </w:r>
    </w:p>
    <w:p w14:paraId="3398E9E2"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14 de septiembre de 2021 fueron procesados </w:t>
      </w:r>
      <w:proofErr w:type="spellStart"/>
      <w:r>
        <w:rPr>
          <w:rStyle w:val="Ninguno"/>
          <w:rFonts w:ascii="Times New Roman" w:hAnsi="Times New Roman"/>
          <w:sz w:val="24"/>
          <w:szCs w:val="24"/>
        </w:rPr>
        <w:t>Lawrie</w:t>
      </w:r>
      <w:proofErr w:type="spellEnd"/>
      <w:r>
        <w:rPr>
          <w:rStyle w:val="Ninguno"/>
          <w:rFonts w:ascii="Times New Roman" w:hAnsi="Times New Roman"/>
          <w:sz w:val="24"/>
          <w:szCs w:val="24"/>
        </w:rPr>
        <w:t xml:space="preserve"> Rodríguez y Ariel Ubillos por la muerte por torturas de Hugo de los Santos.</w:t>
      </w:r>
    </w:p>
    <w:p w14:paraId="0C5163D6"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 xml:space="preserve">Causa </w:t>
      </w:r>
      <w:r>
        <w:rPr>
          <w:rStyle w:val="Ninguno"/>
          <w:rFonts w:ascii="Times New Roman" w:hAnsi="Times New Roman"/>
          <w:sz w:val="24"/>
          <w:szCs w:val="24"/>
        </w:rPr>
        <w:t>2-110507/2011 Penal 26° T.</w:t>
      </w:r>
    </w:p>
    <w:p w14:paraId="296FCF54"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23 de Septiembre de 2021 fue procesado Enrique </w:t>
      </w:r>
      <w:proofErr w:type="spellStart"/>
      <w:r>
        <w:rPr>
          <w:rStyle w:val="Ninguno"/>
          <w:rFonts w:ascii="Times New Roman" w:hAnsi="Times New Roman"/>
          <w:sz w:val="24"/>
          <w:szCs w:val="24"/>
        </w:rPr>
        <w:t>Uyterhoeven</w:t>
      </w:r>
      <w:proofErr w:type="spellEnd"/>
      <w:r>
        <w:rPr>
          <w:rStyle w:val="Ninguno"/>
          <w:rFonts w:ascii="Times New Roman" w:hAnsi="Times New Roman"/>
          <w:sz w:val="24"/>
          <w:szCs w:val="24"/>
        </w:rPr>
        <w:t xml:space="preserve"> </w:t>
      </w:r>
      <w:proofErr w:type="spellStart"/>
      <w:r>
        <w:rPr>
          <w:rStyle w:val="Ninguno"/>
          <w:rFonts w:ascii="Times New Roman" w:hAnsi="Times New Roman"/>
          <w:sz w:val="24"/>
          <w:szCs w:val="24"/>
        </w:rPr>
        <w:t>Castiglioni</w:t>
      </w:r>
      <w:proofErr w:type="spellEnd"/>
      <w:r>
        <w:rPr>
          <w:rStyle w:val="Ninguno"/>
          <w:rFonts w:ascii="Times New Roman" w:hAnsi="Times New Roman"/>
          <w:sz w:val="24"/>
          <w:szCs w:val="24"/>
        </w:rPr>
        <w:t xml:space="preserve"> por abuso de autoridad contra los detenidos y privación de libertad en el CCD La Tablada. El procesamiento fue confirmado por el Tribunal de Apelacione</w:t>
      </w:r>
      <w:r>
        <w:rPr>
          <w:rStyle w:val="Ninguno"/>
          <w:rFonts w:ascii="Times New Roman" w:hAnsi="Times New Roman"/>
          <w:sz w:val="24"/>
          <w:szCs w:val="24"/>
        </w:rPr>
        <w:t>s Penal.</w:t>
      </w:r>
    </w:p>
    <w:p w14:paraId="4171810A"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302-588/2011 Paysandú 2° T.</w:t>
      </w:r>
    </w:p>
    <w:p w14:paraId="3A7026F6"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4 de octubre de 2021 fue procesado Ramón Larrosa </w:t>
      </w:r>
      <w:proofErr w:type="spellStart"/>
      <w:r>
        <w:rPr>
          <w:rStyle w:val="Ninguno"/>
          <w:rFonts w:ascii="Times New Roman" w:hAnsi="Times New Roman"/>
          <w:sz w:val="24"/>
          <w:szCs w:val="24"/>
        </w:rPr>
        <w:t>Santosmauro</w:t>
      </w:r>
      <w:proofErr w:type="spellEnd"/>
      <w:r>
        <w:rPr>
          <w:rStyle w:val="Ninguno"/>
          <w:rFonts w:ascii="Times New Roman" w:hAnsi="Times New Roman"/>
          <w:sz w:val="24"/>
          <w:szCs w:val="24"/>
        </w:rPr>
        <w:t xml:space="preserve"> por abuso de autoridad contra los detenidos y privación de libertad en el Batallón de Infantería N.º 8.</w:t>
      </w:r>
    </w:p>
    <w:p w14:paraId="7B938C65"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El procesamiento fue confirmado por el Tr</w:t>
      </w:r>
      <w:r>
        <w:rPr>
          <w:rStyle w:val="Ninguno"/>
          <w:rFonts w:ascii="Times New Roman" w:hAnsi="Times New Roman"/>
          <w:sz w:val="24"/>
          <w:szCs w:val="24"/>
        </w:rPr>
        <w:t>ibunal de Apelaciones Penal.</w:t>
      </w:r>
    </w:p>
    <w:p w14:paraId="667E0782"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395-127/2012 Tacuarembó 5° T.</w:t>
      </w:r>
    </w:p>
    <w:p w14:paraId="0BF2FA25"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El día 6 de octubre de 2021 fue procesado Carlos Raúl Chaine por abuso de autoridad contra los detenidos y privación de libertad en el Regimiento de Caballería N.º 5</w:t>
      </w:r>
    </w:p>
    <w:p w14:paraId="037310D9"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El procesamiento fue conf</w:t>
      </w:r>
      <w:r>
        <w:rPr>
          <w:rStyle w:val="Ninguno"/>
          <w:rFonts w:ascii="Times New Roman" w:hAnsi="Times New Roman"/>
          <w:sz w:val="24"/>
          <w:szCs w:val="24"/>
        </w:rPr>
        <w:t>irmado por el Tribunal de Apelaciones Penal.</w:t>
      </w:r>
    </w:p>
    <w:p w14:paraId="7059F92B"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547-7/2021 Juzgado Penal de 27° T.</w:t>
      </w:r>
    </w:p>
    <w:p w14:paraId="46B8EA7F"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El día 21 de octubre de 2021 fue procesado Armando Méndez Caban por la muerte por torturas de Moisés Alter en el Batallón de Infantería N.º 1. Confirmado por el Tribual d</w:t>
      </w:r>
      <w:r>
        <w:rPr>
          <w:rStyle w:val="Ninguno"/>
          <w:rFonts w:ascii="Times New Roman" w:hAnsi="Times New Roman"/>
          <w:sz w:val="24"/>
          <w:szCs w:val="24"/>
        </w:rPr>
        <w:t>e Apelaciones Penal de 4º turno.</w:t>
      </w:r>
    </w:p>
    <w:p w14:paraId="3F08D7FD"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547-25/2022 testimonio de 96-10094/1985 Juzgado Penal 27º T.</w:t>
      </w:r>
    </w:p>
    <w:p w14:paraId="5152D42F"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5 de abril de 2022 fue procesado Ernesto Avelino Ramas Pereyra como coautor de dos delitos de homicidio por las muertes de Eduardo Bleier y Fernando </w:t>
      </w:r>
      <w:r>
        <w:rPr>
          <w:rStyle w:val="Ninguno"/>
          <w:rFonts w:ascii="Times New Roman" w:hAnsi="Times New Roman"/>
          <w:sz w:val="24"/>
          <w:szCs w:val="24"/>
        </w:rPr>
        <w:t>Miranda en el CCD y T “300 Carlos)</w:t>
      </w:r>
    </w:p>
    <w:p w14:paraId="71A2EFA7"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547-30/2022 Juzgado Penal de 27º T.</w:t>
      </w:r>
    </w:p>
    <w:p w14:paraId="12D0DF0B"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20 de junio de 2022 fueron procesados Héctor </w:t>
      </w:r>
      <w:proofErr w:type="spellStart"/>
      <w:r>
        <w:rPr>
          <w:rStyle w:val="Ninguno"/>
          <w:rFonts w:ascii="Times New Roman" w:hAnsi="Times New Roman"/>
          <w:sz w:val="24"/>
          <w:szCs w:val="24"/>
        </w:rPr>
        <w:t>Rombys</w:t>
      </w:r>
      <w:proofErr w:type="spellEnd"/>
      <w:r>
        <w:rPr>
          <w:rStyle w:val="Ninguno"/>
          <w:rFonts w:ascii="Times New Roman" w:hAnsi="Times New Roman"/>
          <w:sz w:val="24"/>
          <w:szCs w:val="24"/>
        </w:rPr>
        <w:t xml:space="preserve"> y Arquímedes Maciel como autores de un delito de homicidio muy especialmente agravado por la muerte de Carlos Batalla </w:t>
      </w:r>
      <w:r>
        <w:rPr>
          <w:rStyle w:val="Ninguno"/>
          <w:rFonts w:ascii="Times New Roman" w:hAnsi="Times New Roman"/>
          <w:sz w:val="24"/>
          <w:szCs w:val="24"/>
        </w:rPr>
        <w:t>en reiteración real con reiterados delitos de abuso de autoridad contra los detenidos.</w:t>
      </w:r>
    </w:p>
    <w:p w14:paraId="720968C2"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IUE 91-841/1986 Juzgado Penal 23° T.</w:t>
      </w:r>
    </w:p>
    <w:p w14:paraId="6E04CA6B"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22 de Julio de 2022 fue procesado con prisión Juan Modesto Rebollo García por tres delitos de homicidio en reiteración </w:t>
      </w:r>
      <w:r>
        <w:rPr>
          <w:rStyle w:val="Ninguno"/>
          <w:rFonts w:ascii="Times New Roman" w:hAnsi="Times New Roman"/>
          <w:sz w:val="24"/>
          <w:szCs w:val="24"/>
        </w:rPr>
        <w:t xml:space="preserve">real, por las muertes de Sylvia Reyes, Diana </w:t>
      </w:r>
      <w:proofErr w:type="spellStart"/>
      <w:r>
        <w:rPr>
          <w:rStyle w:val="Ninguno"/>
          <w:rFonts w:ascii="Times New Roman" w:hAnsi="Times New Roman"/>
          <w:sz w:val="24"/>
          <w:szCs w:val="24"/>
        </w:rPr>
        <w:t>Maidanik</w:t>
      </w:r>
      <w:proofErr w:type="spellEnd"/>
      <w:r>
        <w:rPr>
          <w:rStyle w:val="Ninguno"/>
          <w:rFonts w:ascii="Times New Roman" w:hAnsi="Times New Roman"/>
          <w:sz w:val="24"/>
          <w:szCs w:val="24"/>
        </w:rPr>
        <w:t xml:space="preserve"> y Laura Raggio.</w:t>
      </w:r>
    </w:p>
    <w:p w14:paraId="48D65319" w14:textId="77777777" w:rsidR="00591E03" w:rsidRDefault="00591E03">
      <w:pPr>
        <w:pStyle w:val="Cuerpo"/>
        <w:spacing w:line="240" w:lineRule="auto"/>
        <w:jc w:val="both"/>
        <w:rPr>
          <w:rStyle w:val="Ninguno"/>
          <w:rFonts w:ascii="Times New Roman" w:eastAsia="Times New Roman" w:hAnsi="Times New Roman" w:cs="Times New Roman"/>
          <w:i/>
          <w:iCs/>
          <w:sz w:val="24"/>
          <w:szCs w:val="24"/>
        </w:rPr>
      </w:pPr>
    </w:p>
    <w:p w14:paraId="613EB308" w14:textId="77777777" w:rsidR="00591E03" w:rsidRDefault="00F002B7">
      <w:pPr>
        <w:pStyle w:val="Cuerpo"/>
        <w:spacing w:line="240" w:lineRule="auto"/>
        <w:jc w:val="both"/>
        <w:rPr>
          <w:rStyle w:val="Ninguno"/>
          <w:rFonts w:ascii="Times New Roman" w:eastAsia="Times New Roman" w:hAnsi="Times New Roman" w:cs="Times New Roman"/>
          <w:b/>
          <w:bCs/>
          <w:i/>
          <w:iCs/>
          <w:sz w:val="24"/>
          <w:szCs w:val="24"/>
        </w:rPr>
      </w:pPr>
      <w:r>
        <w:rPr>
          <w:rStyle w:val="Ninguno"/>
          <w:rFonts w:ascii="Times New Roman" w:hAnsi="Times New Roman"/>
          <w:b/>
          <w:bCs/>
          <w:i/>
          <w:iCs/>
          <w:sz w:val="24"/>
          <w:szCs w:val="24"/>
        </w:rPr>
        <w:t>Formalizados por el Código del Proceso Penal vigente (Ley Nº19.293)</w:t>
      </w:r>
    </w:p>
    <w:p w14:paraId="3D6728A7" w14:textId="77777777" w:rsidR="00591E03" w:rsidRDefault="00591E03">
      <w:pPr>
        <w:pStyle w:val="ListParagraph"/>
        <w:spacing w:line="240" w:lineRule="auto"/>
        <w:ind w:left="2160"/>
        <w:jc w:val="both"/>
        <w:rPr>
          <w:rStyle w:val="Ninguno"/>
          <w:rFonts w:ascii="Times New Roman" w:eastAsia="Times New Roman" w:hAnsi="Times New Roman" w:cs="Times New Roman"/>
          <w:i/>
          <w:iCs/>
          <w:sz w:val="24"/>
          <w:szCs w:val="24"/>
        </w:rPr>
      </w:pPr>
    </w:p>
    <w:p w14:paraId="398F53FA"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IUE 2-65903/2019 Juzgado Letrado Canelones 1</w:t>
      </w:r>
      <w:r>
        <w:rPr>
          <w:rStyle w:val="Ninguno"/>
          <w:rFonts w:ascii="Times New Roman" w:hAnsi="Times New Roman"/>
          <w:sz w:val="24"/>
          <w:szCs w:val="24"/>
          <w:vertAlign w:val="superscript"/>
        </w:rPr>
        <w:t>er</w:t>
      </w:r>
      <w:r>
        <w:rPr>
          <w:rStyle w:val="Ninguno"/>
          <w:rFonts w:ascii="Times New Roman" w:hAnsi="Times New Roman"/>
          <w:sz w:val="24"/>
          <w:szCs w:val="24"/>
        </w:rPr>
        <w:t>. T.</w:t>
      </w:r>
    </w:p>
    <w:p w14:paraId="4A957855"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lastRenderedPageBreak/>
        <w:t xml:space="preserve">El día 29 de noviembre de 2019 fueron formalizados con prisión Hugo Orestes Guillen, </w:t>
      </w:r>
      <w:proofErr w:type="spellStart"/>
      <w:r>
        <w:rPr>
          <w:rStyle w:val="Ninguno"/>
          <w:rFonts w:ascii="Times New Roman" w:hAnsi="Times New Roman"/>
          <w:sz w:val="24"/>
          <w:szCs w:val="24"/>
        </w:rPr>
        <w:t>Whiston</w:t>
      </w:r>
      <w:proofErr w:type="spellEnd"/>
      <w:r>
        <w:rPr>
          <w:rStyle w:val="Ninguno"/>
          <w:rFonts w:ascii="Times New Roman" w:hAnsi="Times New Roman"/>
          <w:sz w:val="24"/>
          <w:szCs w:val="24"/>
        </w:rPr>
        <w:t xml:space="preserve"> Mario </w:t>
      </w:r>
      <w:proofErr w:type="spellStart"/>
      <w:r>
        <w:rPr>
          <w:rStyle w:val="Ninguno"/>
          <w:rFonts w:ascii="Times New Roman" w:hAnsi="Times New Roman"/>
          <w:sz w:val="24"/>
          <w:szCs w:val="24"/>
        </w:rPr>
        <w:t>Vitale</w:t>
      </w:r>
      <w:proofErr w:type="spellEnd"/>
      <w:r>
        <w:rPr>
          <w:rStyle w:val="Ninguno"/>
          <w:rFonts w:ascii="Times New Roman" w:hAnsi="Times New Roman"/>
          <w:sz w:val="24"/>
          <w:szCs w:val="24"/>
        </w:rPr>
        <w:t xml:space="preserve"> y Alejandro Ariel Ferreira por abuso de autoridad contra los detenidos, privación de libertad y lesiones graves.</w:t>
      </w:r>
    </w:p>
    <w:p w14:paraId="63363EE7"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Guillen y </w:t>
      </w:r>
      <w:proofErr w:type="spellStart"/>
      <w:r>
        <w:rPr>
          <w:rStyle w:val="Ninguno"/>
          <w:rFonts w:ascii="Times New Roman" w:hAnsi="Times New Roman"/>
          <w:sz w:val="24"/>
          <w:szCs w:val="24"/>
        </w:rPr>
        <w:t>Vitale</w:t>
      </w:r>
      <w:proofErr w:type="spellEnd"/>
      <w:r>
        <w:rPr>
          <w:rStyle w:val="Ninguno"/>
          <w:rFonts w:ascii="Times New Roman" w:hAnsi="Times New Roman"/>
          <w:sz w:val="24"/>
          <w:szCs w:val="24"/>
        </w:rPr>
        <w:t xml:space="preserve"> fallecieron en el cu</w:t>
      </w:r>
      <w:r>
        <w:rPr>
          <w:rStyle w:val="Ninguno"/>
          <w:rFonts w:ascii="Times New Roman" w:hAnsi="Times New Roman"/>
          <w:sz w:val="24"/>
          <w:szCs w:val="24"/>
        </w:rPr>
        <w:t>rso del proceso. Ferreira en la actualidad se encuentra en libertad.</w:t>
      </w:r>
    </w:p>
    <w:p w14:paraId="3317FE95"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La Fiscalía acuso en febrero de 2020, pero recién se fijó audiencia de control de acusación para el día 21 de junio de 2022.</w:t>
      </w:r>
    </w:p>
    <w:p w14:paraId="3A8E6BBA" w14:textId="77777777" w:rsidR="00591E03" w:rsidRDefault="00F002B7">
      <w:pPr>
        <w:pStyle w:val="ListParagraph"/>
        <w:numPr>
          <w:ilvl w:val="0"/>
          <w:numId w:val="6"/>
        </w:numPr>
        <w:spacing w:line="240" w:lineRule="auto"/>
        <w:jc w:val="both"/>
        <w:rPr>
          <w:rFonts w:ascii="Times New Roman" w:hAnsi="Times New Roman"/>
          <w:sz w:val="24"/>
          <w:szCs w:val="24"/>
        </w:rPr>
      </w:pPr>
      <w:r>
        <w:rPr>
          <w:rStyle w:val="Ninguno"/>
          <w:rFonts w:ascii="Times New Roman" w:hAnsi="Times New Roman"/>
          <w:sz w:val="24"/>
          <w:szCs w:val="24"/>
        </w:rPr>
        <w:t>Causa IUE 2-46577/2021 Juzgado Letrado de San José de 5º Turno</w:t>
      </w:r>
      <w:r>
        <w:rPr>
          <w:rStyle w:val="Ninguno"/>
          <w:rFonts w:ascii="Times New Roman" w:hAnsi="Times New Roman"/>
          <w:sz w:val="24"/>
          <w:szCs w:val="24"/>
        </w:rPr>
        <w:t>.</w:t>
      </w:r>
    </w:p>
    <w:p w14:paraId="04C790FF"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El día 30 de junio de 2022 fueron formalizados con prisión domiciliaria Rubens Darío Francia y Francisco Rafael </w:t>
      </w:r>
      <w:proofErr w:type="spellStart"/>
      <w:r>
        <w:rPr>
          <w:rStyle w:val="Ninguno"/>
          <w:rFonts w:ascii="Times New Roman" w:hAnsi="Times New Roman"/>
          <w:sz w:val="24"/>
          <w:szCs w:val="24"/>
        </w:rPr>
        <w:t>Macaluso</w:t>
      </w:r>
      <w:proofErr w:type="spellEnd"/>
      <w:r>
        <w:rPr>
          <w:rStyle w:val="Ninguno"/>
          <w:rFonts w:ascii="Times New Roman" w:hAnsi="Times New Roman"/>
          <w:sz w:val="24"/>
          <w:szCs w:val="24"/>
        </w:rPr>
        <w:t xml:space="preserve"> por abuso de autoridad contra los detenidos, privación de libertad y lesiones graves.</w:t>
      </w:r>
    </w:p>
    <w:p w14:paraId="7712329E"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102CC925" w14:textId="77777777" w:rsidR="00591E03" w:rsidRDefault="00F002B7">
      <w:pPr>
        <w:pStyle w:val="Cuerpo"/>
        <w:spacing w:line="240" w:lineRule="auto"/>
        <w:jc w:val="both"/>
        <w:rPr>
          <w:rStyle w:val="Ninguno"/>
          <w:rFonts w:ascii="Times New Roman" w:eastAsia="Times New Roman" w:hAnsi="Times New Roman" w:cs="Times New Roman"/>
          <w:b/>
          <w:bCs/>
          <w:i/>
          <w:iCs/>
          <w:sz w:val="24"/>
          <w:szCs w:val="24"/>
        </w:rPr>
      </w:pPr>
      <w:r>
        <w:rPr>
          <w:rStyle w:val="Ninguno"/>
          <w:rFonts w:ascii="Times New Roman" w:hAnsi="Times New Roman"/>
          <w:b/>
          <w:bCs/>
          <w:i/>
          <w:iCs/>
          <w:sz w:val="24"/>
          <w:szCs w:val="24"/>
          <w:lang w:val="pt-PT"/>
        </w:rPr>
        <w:t xml:space="preserve">Condenados </w:t>
      </w:r>
    </w:p>
    <w:p w14:paraId="212D39BB"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5F0C71A1"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En la causa IUE 97-78/2012 referente a la muerte de Nelson Berreta Hernández fue condenado el soldado Leonardo Vidal Antúnez la pena de 8 años de penitenciaría como autor de un delito de homicidio. </w:t>
      </w:r>
      <w:r>
        <w:rPr>
          <w:rStyle w:val="Ninguno"/>
          <w:rFonts w:ascii="Times New Roman" w:hAnsi="Times New Roman"/>
          <w:sz w:val="24"/>
          <w:szCs w:val="24"/>
          <w:lang w:val="pt-PT"/>
        </w:rPr>
        <w:t>Sentencia N°19/2021 de fecha 24 de agosto de 2021. Penal 2</w:t>
      </w:r>
      <w:r>
        <w:rPr>
          <w:rStyle w:val="Ninguno"/>
          <w:rFonts w:ascii="Times New Roman" w:hAnsi="Times New Roman"/>
          <w:sz w:val="24"/>
          <w:szCs w:val="24"/>
          <w:lang w:val="pt-PT"/>
        </w:rPr>
        <w:t xml:space="preserve">7º turno. </w:t>
      </w:r>
      <w:r>
        <w:rPr>
          <w:rStyle w:val="Ninguno"/>
          <w:rFonts w:ascii="Times New Roman" w:hAnsi="Times New Roman"/>
          <w:sz w:val="24"/>
          <w:szCs w:val="24"/>
        </w:rPr>
        <w:t>Falleció luego de la condena de primera instancia.</w:t>
      </w:r>
    </w:p>
    <w:p w14:paraId="7B701E41"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En la causa 288-835/2011 referente a torturas en el Batallón de Ingenieros N.º 4 de Maldonado por sentencia N.º 37/2021 del 27 de Octubre de 2021 del Juzgado Letrado de 10º turno de Maldonado fue</w:t>
      </w:r>
      <w:r>
        <w:rPr>
          <w:rStyle w:val="Ninguno"/>
          <w:rFonts w:ascii="Times New Roman" w:hAnsi="Times New Roman"/>
          <w:sz w:val="24"/>
          <w:szCs w:val="24"/>
        </w:rPr>
        <w:t xml:space="preserve">ron condenados Héctor </w:t>
      </w:r>
      <w:proofErr w:type="spellStart"/>
      <w:r>
        <w:rPr>
          <w:rStyle w:val="Ninguno"/>
          <w:rFonts w:ascii="Times New Roman" w:hAnsi="Times New Roman"/>
          <w:sz w:val="24"/>
          <w:szCs w:val="24"/>
        </w:rPr>
        <w:t>Stocco</w:t>
      </w:r>
      <w:proofErr w:type="spellEnd"/>
      <w:r>
        <w:rPr>
          <w:rStyle w:val="Ninguno"/>
          <w:rFonts w:ascii="Times New Roman" w:hAnsi="Times New Roman"/>
          <w:sz w:val="24"/>
          <w:szCs w:val="24"/>
        </w:rPr>
        <w:t xml:space="preserve"> </w:t>
      </w:r>
      <w:proofErr w:type="spellStart"/>
      <w:r>
        <w:rPr>
          <w:rStyle w:val="Ninguno"/>
          <w:rFonts w:ascii="Times New Roman" w:hAnsi="Times New Roman"/>
          <w:sz w:val="24"/>
          <w:szCs w:val="24"/>
        </w:rPr>
        <w:t>Anglet</w:t>
      </w:r>
      <w:proofErr w:type="spellEnd"/>
      <w:r>
        <w:rPr>
          <w:rStyle w:val="Ninguno"/>
          <w:rFonts w:ascii="Times New Roman" w:hAnsi="Times New Roman"/>
          <w:sz w:val="24"/>
          <w:szCs w:val="24"/>
        </w:rPr>
        <w:t xml:space="preserve"> como autor de 6 delitos de abuso de autoridad contra los detenidos en concurso formal con 6 delitos de lesiones graves a la pena de 6 años de penitenciaría y Placido Gregorio Amorín Eraso como autor de un delito continua</w:t>
      </w:r>
      <w:r>
        <w:rPr>
          <w:rStyle w:val="Ninguno"/>
          <w:rFonts w:ascii="Times New Roman" w:hAnsi="Times New Roman"/>
          <w:sz w:val="24"/>
          <w:szCs w:val="24"/>
        </w:rPr>
        <w:t>do de abuso de autoridad contra los detenidos a la pena de 3 años y 6 meses de penitenciaría.</w:t>
      </w:r>
    </w:p>
    <w:p w14:paraId="17458B9E"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En la causa 88-209/2011 ante Penal 23º turno fue condenado </w:t>
      </w:r>
      <w:proofErr w:type="spellStart"/>
      <w:r>
        <w:rPr>
          <w:rStyle w:val="Ninguno"/>
          <w:rFonts w:ascii="Times New Roman" w:hAnsi="Times New Roman"/>
          <w:sz w:val="24"/>
          <w:szCs w:val="24"/>
        </w:rPr>
        <w:t>Lawrie</w:t>
      </w:r>
      <w:proofErr w:type="spellEnd"/>
      <w:r>
        <w:rPr>
          <w:rStyle w:val="Ninguno"/>
          <w:rFonts w:ascii="Times New Roman" w:hAnsi="Times New Roman"/>
          <w:sz w:val="24"/>
          <w:szCs w:val="24"/>
        </w:rPr>
        <w:t xml:space="preserve"> Rodríguez Freire como coautor de un delito de homicidio muy especialmente agravado a la pena de </w:t>
      </w:r>
      <w:r>
        <w:rPr>
          <w:rStyle w:val="Ninguno"/>
          <w:rFonts w:ascii="Times New Roman" w:hAnsi="Times New Roman"/>
          <w:sz w:val="24"/>
          <w:szCs w:val="24"/>
        </w:rPr>
        <w:t xml:space="preserve">20 años de penitenciaría por la muerte de Iván Morales </w:t>
      </w:r>
      <w:proofErr w:type="spellStart"/>
      <w:r>
        <w:rPr>
          <w:rStyle w:val="Ninguno"/>
          <w:rFonts w:ascii="Times New Roman" w:hAnsi="Times New Roman"/>
          <w:sz w:val="24"/>
          <w:szCs w:val="24"/>
        </w:rPr>
        <w:t>Generalli</w:t>
      </w:r>
      <w:proofErr w:type="spellEnd"/>
      <w:r>
        <w:rPr>
          <w:rStyle w:val="Ninguno"/>
          <w:rFonts w:ascii="Times New Roman" w:hAnsi="Times New Roman"/>
          <w:sz w:val="24"/>
          <w:szCs w:val="24"/>
        </w:rPr>
        <w:t>. Sentencia N.º 17/2022 de fecha 21 de marzo de 2022.</w:t>
      </w:r>
    </w:p>
    <w:p w14:paraId="6209E45E"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En la causa IUE 549-58/2018 derivada de la principal IUE 2-110255/2011 fueron condenados por sentencia N.º 7/2022 de fecha 22/3/2022 ante </w:t>
      </w:r>
      <w:r>
        <w:rPr>
          <w:rStyle w:val="Ninguno"/>
          <w:rFonts w:ascii="Times New Roman" w:hAnsi="Times New Roman"/>
          <w:sz w:val="24"/>
          <w:szCs w:val="24"/>
        </w:rPr>
        <w:t>Penal 27º turno:</w:t>
      </w:r>
    </w:p>
    <w:p w14:paraId="308ADE4A"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a.-Jorge Silveira Quesada como autor de 6 delitos de privación de libertad en concurrencia fuera de la reiteración con 6 delitos de lesiones graves, 6 de atentado violento al pudor y 6 de violencia privada a la pena de 12 años y 6 meses.</w:t>
      </w:r>
    </w:p>
    <w:p w14:paraId="5A7E8530"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b</w:t>
      </w:r>
      <w:r>
        <w:rPr>
          <w:rStyle w:val="Ninguno"/>
          <w:rFonts w:ascii="Times New Roman" w:hAnsi="Times New Roman"/>
          <w:sz w:val="24"/>
          <w:szCs w:val="24"/>
        </w:rPr>
        <w:t xml:space="preserve">.- </w:t>
      </w:r>
      <w:proofErr w:type="spellStart"/>
      <w:r>
        <w:rPr>
          <w:rStyle w:val="Ninguno"/>
          <w:rFonts w:ascii="Times New Roman" w:hAnsi="Times New Roman"/>
          <w:sz w:val="24"/>
          <w:szCs w:val="24"/>
        </w:rPr>
        <w:t>Antraning</w:t>
      </w:r>
      <w:proofErr w:type="spellEnd"/>
      <w:r>
        <w:rPr>
          <w:rStyle w:val="Ninguno"/>
          <w:rFonts w:ascii="Times New Roman" w:hAnsi="Times New Roman"/>
          <w:sz w:val="24"/>
          <w:szCs w:val="24"/>
        </w:rPr>
        <w:t xml:space="preserve"> </w:t>
      </w:r>
      <w:proofErr w:type="spellStart"/>
      <w:r>
        <w:rPr>
          <w:rStyle w:val="Ninguno"/>
          <w:rFonts w:ascii="Times New Roman" w:hAnsi="Times New Roman"/>
          <w:sz w:val="24"/>
          <w:szCs w:val="24"/>
        </w:rPr>
        <w:t>Ohannessian</w:t>
      </w:r>
      <w:proofErr w:type="spellEnd"/>
      <w:r>
        <w:rPr>
          <w:rStyle w:val="Ninguno"/>
          <w:rFonts w:ascii="Times New Roman" w:hAnsi="Times New Roman"/>
          <w:sz w:val="24"/>
          <w:szCs w:val="24"/>
        </w:rPr>
        <w:t xml:space="preserve"> como autor de un delito de privación de libertad en concurrencia fuera de la reiteración con un delito de lesiones graves y un delito de violencia privada a la pena de 8 años y 6 meses de penitenciaría.</w:t>
      </w:r>
    </w:p>
    <w:p w14:paraId="42C86724"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En la causa  IUE 177-450/201</w:t>
      </w:r>
      <w:r>
        <w:rPr>
          <w:rStyle w:val="Ninguno"/>
          <w:rFonts w:ascii="Times New Roman" w:hAnsi="Times New Roman"/>
          <w:sz w:val="24"/>
          <w:szCs w:val="24"/>
        </w:rPr>
        <w:t xml:space="preserve">1 ante el Juzgado de Florida de 1º turno fueron condenados por sentencia N.º 2/2022 de fecha 4/4/2022  José María Cabrera Rivas y Andrés Daniel Quintana García como autores de un delito continuado de privación de libertad, un delito continuado de abuso de </w:t>
      </w:r>
      <w:r>
        <w:rPr>
          <w:rStyle w:val="Ninguno"/>
          <w:rFonts w:ascii="Times New Roman" w:hAnsi="Times New Roman"/>
          <w:sz w:val="24"/>
          <w:szCs w:val="24"/>
        </w:rPr>
        <w:t xml:space="preserve">autoridad contra los detenidos y estos en concurso formal con un delito continuado de lesiones graves y estos en concurrencia fuera de la reiteración con </w:t>
      </w:r>
      <w:r>
        <w:rPr>
          <w:rStyle w:val="Ninguno"/>
          <w:rFonts w:ascii="Times New Roman" w:hAnsi="Times New Roman"/>
          <w:sz w:val="24"/>
          <w:szCs w:val="24"/>
        </w:rPr>
        <w:lastRenderedPageBreak/>
        <w:t>un delito de privación de libertad en calidad de coautores a la pena de 6 años y 8 meses de penitencia</w:t>
      </w:r>
      <w:r>
        <w:rPr>
          <w:rStyle w:val="Ninguno"/>
          <w:rFonts w:ascii="Times New Roman" w:hAnsi="Times New Roman"/>
          <w:sz w:val="24"/>
          <w:szCs w:val="24"/>
        </w:rPr>
        <w:t>ría.</w:t>
      </w:r>
    </w:p>
    <w:p w14:paraId="1D29AEB7"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En la causa 253-85/1986 ante el Juzgado Letrado de Flores de 3er. Turno fue condenado por sentencia N.º 2/2022 de fecha 2 de mayo de 2022 Mario Simón Ramos Villanueva como coautor de reiterados delitos de privación de libertad, reiterados delitos de a</w:t>
      </w:r>
      <w:r>
        <w:rPr>
          <w:rStyle w:val="Ninguno"/>
          <w:rFonts w:ascii="Times New Roman" w:hAnsi="Times New Roman"/>
          <w:sz w:val="24"/>
          <w:szCs w:val="24"/>
        </w:rPr>
        <w:t>buso de autoridad contra los detenidos en concurso formal con reiterados delitos de lesiones graves y estos en concurrencia fuera de la reiteración con reiterados delitos de privación de libertad a la pena de 14 años y 6 meses de penitenciaría.</w:t>
      </w:r>
    </w:p>
    <w:p w14:paraId="632065C4"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Debe indica</w:t>
      </w:r>
      <w:r>
        <w:rPr>
          <w:rStyle w:val="Ninguno"/>
          <w:rFonts w:ascii="Times New Roman" w:hAnsi="Times New Roman"/>
          <w:sz w:val="24"/>
          <w:szCs w:val="24"/>
        </w:rPr>
        <w:t>rse que no se ha solicitado la extradición de ninguna de las personas condenadas por las autoridades italianas. Tales personas se encuentran condenados y presos en Uruguay por los hechos juzgados en dicho país.</w:t>
      </w:r>
    </w:p>
    <w:p w14:paraId="6CECEE63"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5882322A" w14:textId="77777777" w:rsidR="00591E03" w:rsidRDefault="00F002B7">
      <w:pPr>
        <w:pStyle w:val="Cuerpo"/>
        <w:spacing w:line="240" w:lineRule="auto"/>
        <w:jc w:val="both"/>
        <w:rPr>
          <w:rStyle w:val="Ninguno"/>
          <w:rFonts w:ascii="Times New Roman" w:eastAsia="Times New Roman" w:hAnsi="Times New Roman" w:cs="Times New Roman"/>
          <w:b/>
          <w:bCs/>
          <w:i/>
          <w:iCs/>
          <w:sz w:val="24"/>
          <w:szCs w:val="24"/>
        </w:rPr>
      </w:pPr>
      <w:r>
        <w:rPr>
          <w:rStyle w:val="Ninguno"/>
          <w:rFonts w:ascii="Times New Roman" w:hAnsi="Times New Roman"/>
          <w:b/>
          <w:bCs/>
          <w:i/>
          <w:iCs/>
          <w:sz w:val="24"/>
          <w:szCs w:val="24"/>
        </w:rPr>
        <w:t>Exhortos</w:t>
      </w:r>
    </w:p>
    <w:p w14:paraId="15CB6C2C"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Resulta relevante destacar que, en </w:t>
      </w:r>
      <w:r>
        <w:rPr>
          <w:rStyle w:val="Ninguno"/>
          <w:rFonts w:ascii="Times New Roman" w:hAnsi="Times New Roman"/>
          <w:sz w:val="24"/>
          <w:szCs w:val="24"/>
        </w:rPr>
        <w:t>el período 2019-2022) se han tramitado tres exhortos a través de la Suprema Corte de Justicia (vía Ministerio de Relaciones Exteriores- vinculados a investigaciones o procesos relacionados con violaciones de derechos humanos:</w:t>
      </w:r>
    </w:p>
    <w:p w14:paraId="38019194"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de-DE"/>
        </w:rPr>
        <w:t>- Ficha SCJ N</w:t>
      </w:r>
      <w:r>
        <w:rPr>
          <w:rStyle w:val="Ninguno"/>
          <w:rFonts w:ascii="Times New Roman" w:hAnsi="Times New Roman"/>
          <w:sz w:val="24"/>
          <w:szCs w:val="24"/>
        </w:rPr>
        <w:t>°</w:t>
      </w:r>
      <w:r>
        <w:rPr>
          <w:rStyle w:val="Ninguno"/>
          <w:rFonts w:ascii="Times New Roman" w:hAnsi="Times New Roman"/>
          <w:sz w:val="24"/>
          <w:szCs w:val="24"/>
          <w:lang w:val="pt-PT"/>
        </w:rPr>
        <w:t xml:space="preserve"> 270/2019. Autos</w:t>
      </w:r>
      <w:r>
        <w:rPr>
          <w:rStyle w:val="Ninguno"/>
          <w:rFonts w:ascii="Times New Roman" w:hAnsi="Times New Roman"/>
          <w:sz w:val="24"/>
          <w:szCs w:val="24"/>
          <w:lang w:val="pt-PT"/>
        </w:rPr>
        <w:t xml:space="preserve"> caratulados: </w:t>
      </w:r>
      <w:r>
        <w:rPr>
          <w:rStyle w:val="Ninguno"/>
          <w:rFonts w:ascii="Times New Roman" w:hAnsi="Times New Roman"/>
          <w:sz w:val="24"/>
          <w:szCs w:val="24"/>
        </w:rPr>
        <w:t>«</w:t>
      </w:r>
      <w:r>
        <w:rPr>
          <w:rStyle w:val="Ninguno"/>
          <w:rFonts w:ascii="Times New Roman" w:hAnsi="Times New Roman"/>
          <w:sz w:val="24"/>
          <w:szCs w:val="24"/>
          <w:lang w:val="it-IT"/>
        </w:rPr>
        <w:t xml:space="preserve">Procura della Repubblica presso il </w:t>
      </w:r>
      <w:proofErr w:type="spellStart"/>
      <w:r>
        <w:rPr>
          <w:rStyle w:val="Ninguno"/>
          <w:rFonts w:ascii="Times New Roman" w:hAnsi="Times New Roman"/>
          <w:sz w:val="24"/>
          <w:szCs w:val="24"/>
        </w:rPr>
        <w:t>Tribunale</w:t>
      </w:r>
      <w:proofErr w:type="spellEnd"/>
      <w:r>
        <w:rPr>
          <w:rStyle w:val="Ninguno"/>
          <w:rFonts w:ascii="Times New Roman" w:hAnsi="Times New Roman"/>
          <w:sz w:val="24"/>
          <w:szCs w:val="24"/>
        </w:rPr>
        <w:t xml:space="preserve"> di Roma – Italia – solicita notificación de citaciones, y autorizar y detectar disponibilidad de las oficinas judiciales para la preparación de videoconferencias - exhorto». Recibido el 16 de agos</w:t>
      </w:r>
      <w:r>
        <w:rPr>
          <w:rStyle w:val="Ninguno"/>
          <w:rFonts w:ascii="Times New Roman" w:hAnsi="Times New Roman"/>
          <w:sz w:val="24"/>
          <w:szCs w:val="24"/>
        </w:rPr>
        <w:t>to de 2019 procedente de Italia. Organismo exhortante: Fiscalía de la República ante el Tribunal de Roma. Juzgado uruguayo donde se tramitó la solicitud: Juzgado Letrado de Primera Instancia en lo Penal de 41° Turno. Objeto: declaración de siete testigos e</w:t>
      </w:r>
      <w:r>
        <w:rPr>
          <w:rStyle w:val="Ninguno"/>
          <w:rFonts w:ascii="Times New Roman" w:hAnsi="Times New Roman"/>
          <w:sz w:val="24"/>
          <w:szCs w:val="24"/>
        </w:rPr>
        <w:t>n audiencia mediante videoconferencia en el proceso penal contra Da Silva Reis Marco Valerio por los delitos de masacre, secuestro de persona y homicidio agravado. Estado: la audiencia por videoconferencia fijada para el día 04/12/2019 fue cancelada a soli</w:t>
      </w:r>
      <w:r>
        <w:rPr>
          <w:rStyle w:val="Ninguno"/>
          <w:rFonts w:ascii="Times New Roman" w:hAnsi="Times New Roman"/>
          <w:sz w:val="24"/>
          <w:szCs w:val="24"/>
        </w:rPr>
        <w:t>citud de Italia, estando pendiente fijar nueva fecha de celebración, la que al 16/03/2022 no fue solicitada.</w:t>
      </w:r>
    </w:p>
    <w:p w14:paraId="2F3A9A15" w14:textId="0F33DE5D"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de-DE"/>
        </w:rPr>
        <w:t>- Ficha SCJ N</w:t>
      </w:r>
      <w:r>
        <w:rPr>
          <w:rStyle w:val="Ninguno"/>
          <w:rFonts w:ascii="Times New Roman" w:hAnsi="Times New Roman"/>
          <w:sz w:val="24"/>
          <w:szCs w:val="24"/>
        </w:rPr>
        <w:t>°</w:t>
      </w:r>
      <w:r>
        <w:rPr>
          <w:rStyle w:val="Ninguno"/>
          <w:rFonts w:ascii="Times New Roman" w:hAnsi="Times New Roman"/>
          <w:sz w:val="24"/>
          <w:szCs w:val="24"/>
          <w:lang w:val="pt-PT"/>
        </w:rPr>
        <w:t xml:space="preserve"> 10/2020. Autos caratulados: </w:t>
      </w:r>
      <w:r>
        <w:rPr>
          <w:rStyle w:val="Ninguno"/>
          <w:rFonts w:ascii="Times New Roman" w:hAnsi="Times New Roman"/>
          <w:sz w:val="24"/>
          <w:szCs w:val="24"/>
        </w:rPr>
        <w:t>«</w:t>
      </w:r>
      <w:r>
        <w:rPr>
          <w:rStyle w:val="Ninguno"/>
          <w:rFonts w:ascii="Times New Roman" w:hAnsi="Times New Roman"/>
          <w:sz w:val="24"/>
          <w:szCs w:val="24"/>
          <w:lang w:val="it-IT"/>
        </w:rPr>
        <w:t>Procura della Repubblica presso il T</w:t>
      </w:r>
      <w:proofErr w:type="spellStart"/>
      <w:r>
        <w:rPr>
          <w:rStyle w:val="Ninguno"/>
          <w:rFonts w:ascii="Times New Roman" w:hAnsi="Times New Roman"/>
          <w:sz w:val="24"/>
          <w:szCs w:val="24"/>
        </w:rPr>
        <w:t>ribunale</w:t>
      </w:r>
      <w:proofErr w:type="spellEnd"/>
      <w:r>
        <w:rPr>
          <w:rStyle w:val="Ninguno"/>
          <w:rFonts w:ascii="Times New Roman" w:hAnsi="Times New Roman"/>
          <w:sz w:val="24"/>
          <w:szCs w:val="24"/>
        </w:rPr>
        <w:t xml:space="preserve"> di Roma – República Italiana – Solicita audición de testigos y obtener copias de todas las actas de la investigación - exhorto». Recibido el 29 de enero de 2020 procedente de Italia. Organismo exhortante: Fiscalía de la República ante el Tribunal de Roma.</w:t>
      </w:r>
      <w:r>
        <w:rPr>
          <w:rStyle w:val="Ninguno"/>
          <w:rFonts w:ascii="Times New Roman" w:hAnsi="Times New Roman"/>
          <w:sz w:val="24"/>
          <w:szCs w:val="24"/>
        </w:rPr>
        <w:t xml:space="preserve"> Juzgado uruguayo donde se tramitó la solicitud: Juzgado Letrado de Primera Instancia en lo Penal de 32° Turno. Objeto: solicitud de audición de testigos, copias de todas las actas de la investigación desarrollada en Uruguay, respecto al procedimiento pena</w:t>
      </w:r>
      <w:r>
        <w:rPr>
          <w:rStyle w:val="Ninguno"/>
          <w:rFonts w:ascii="Times New Roman" w:hAnsi="Times New Roman"/>
          <w:sz w:val="24"/>
          <w:szCs w:val="24"/>
        </w:rPr>
        <w:t xml:space="preserve">l contra Jorge </w:t>
      </w:r>
      <w:proofErr w:type="spellStart"/>
      <w:r>
        <w:rPr>
          <w:rStyle w:val="Ninguno"/>
          <w:rFonts w:ascii="Times New Roman" w:hAnsi="Times New Roman"/>
          <w:sz w:val="24"/>
          <w:szCs w:val="24"/>
        </w:rPr>
        <w:t>Nestor</w:t>
      </w:r>
      <w:proofErr w:type="spellEnd"/>
      <w:r>
        <w:rPr>
          <w:rStyle w:val="Ninguno"/>
          <w:rFonts w:ascii="Times New Roman" w:hAnsi="Times New Roman"/>
          <w:sz w:val="24"/>
          <w:szCs w:val="24"/>
        </w:rPr>
        <w:t xml:space="preserve"> </w:t>
      </w:r>
      <w:proofErr w:type="spellStart"/>
      <w:r>
        <w:rPr>
          <w:rStyle w:val="Ninguno"/>
          <w:rFonts w:ascii="Times New Roman" w:hAnsi="Times New Roman"/>
          <w:sz w:val="24"/>
          <w:szCs w:val="24"/>
        </w:rPr>
        <w:t>Troccoli</w:t>
      </w:r>
      <w:proofErr w:type="spellEnd"/>
      <w:r>
        <w:rPr>
          <w:rStyle w:val="Ninguno"/>
          <w:rFonts w:ascii="Times New Roman" w:hAnsi="Times New Roman"/>
          <w:sz w:val="24"/>
          <w:szCs w:val="24"/>
        </w:rPr>
        <w:t xml:space="preserve"> Fernández y Juan Carlos </w:t>
      </w:r>
      <w:proofErr w:type="spellStart"/>
      <w:r>
        <w:rPr>
          <w:rStyle w:val="Ninguno"/>
          <w:rFonts w:ascii="Times New Roman" w:hAnsi="Times New Roman"/>
          <w:sz w:val="24"/>
          <w:szCs w:val="24"/>
        </w:rPr>
        <w:t>Larcebeau</w:t>
      </w:r>
      <w:proofErr w:type="spellEnd"/>
      <w:r>
        <w:rPr>
          <w:rStyle w:val="Ninguno"/>
          <w:rFonts w:ascii="Times New Roman" w:hAnsi="Times New Roman"/>
          <w:sz w:val="24"/>
          <w:szCs w:val="24"/>
        </w:rPr>
        <w:t xml:space="preserve"> </w:t>
      </w:r>
      <w:proofErr w:type="spellStart"/>
      <w:r>
        <w:rPr>
          <w:rStyle w:val="Ninguno"/>
          <w:rFonts w:ascii="Times New Roman" w:hAnsi="Times New Roman"/>
          <w:sz w:val="24"/>
          <w:szCs w:val="24"/>
        </w:rPr>
        <w:t>Aguirregaray</w:t>
      </w:r>
      <w:proofErr w:type="spellEnd"/>
      <w:r>
        <w:rPr>
          <w:rStyle w:val="Ninguno"/>
          <w:rFonts w:ascii="Times New Roman" w:hAnsi="Times New Roman"/>
          <w:sz w:val="24"/>
          <w:szCs w:val="24"/>
        </w:rPr>
        <w:t xml:space="preserve">, sometidos a una investigación por el delito de homicidio en perjuicio de la ciudadana italiana Rafaela </w:t>
      </w:r>
      <w:proofErr w:type="spellStart"/>
      <w:r>
        <w:rPr>
          <w:rStyle w:val="Ninguno"/>
          <w:rFonts w:ascii="Times New Roman" w:hAnsi="Times New Roman"/>
          <w:sz w:val="24"/>
          <w:szCs w:val="24"/>
        </w:rPr>
        <w:t>Filipazzi</w:t>
      </w:r>
      <w:proofErr w:type="spellEnd"/>
      <w:r>
        <w:rPr>
          <w:rStyle w:val="Ninguno"/>
          <w:rFonts w:ascii="Times New Roman" w:hAnsi="Times New Roman"/>
          <w:sz w:val="24"/>
          <w:szCs w:val="24"/>
        </w:rPr>
        <w:t xml:space="preserve"> y de la ciudadana uruguaya Elena Quintero. Estado: archivado. Se</w:t>
      </w:r>
      <w:r>
        <w:rPr>
          <w:rStyle w:val="Ninguno"/>
          <w:rFonts w:ascii="Times New Roman" w:hAnsi="Times New Roman"/>
          <w:sz w:val="24"/>
          <w:szCs w:val="24"/>
        </w:rPr>
        <w:t xml:space="preserve"> cumplió con la totalidad de lo requerido.</w:t>
      </w:r>
    </w:p>
    <w:p w14:paraId="7635DDC2"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lang w:val="de-DE"/>
        </w:rPr>
        <w:t>- Ficha SCJ N</w:t>
      </w:r>
      <w:r>
        <w:rPr>
          <w:rStyle w:val="Ninguno"/>
          <w:rFonts w:ascii="Times New Roman" w:hAnsi="Times New Roman"/>
          <w:sz w:val="24"/>
          <w:szCs w:val="24"/>
        </w:rPr>
        <w:t>°</w:t>
      </w:r>
      <w:r>
        <w:rPr>
          <w:rStyle w:val="Ninguno"/>
          <w:rFonts w:ascii="Times New Roman" w:hAnsi="Times New Roman"/>
          <w:sz w:val="24"/>
          <w:szCs w:val="24"/>
          <w:lang w:val="pt-PT"/>
        </w:rPr>
        <w:t xml:space="preserve"> 10/2020. Autos caratulados: </w:t>
      </w:r>
      <w:r>
        <w:rPr>
          <w:rStyle w:val="Ninguno"/>
          <w:rFonts w:ascii="Times New Roman" w:hAnsi="Times New Roman"/>
          <w:sz w:val="24"/>
          <w:szCs w:val="24"/>
        </w:rPr>
        <w:t>«</w:t>
      </w:r>
      <w:r>
        <w:rPr>
          <w:rStyle w:val="Ninguno"/>
          <w:rFonts w:ascii="Times New Roman" w:hAnsi="Times New Roman"/>
          <w:sz w:val="24"/>
          <w:szCs w:val="24"/>
          <w:lang w:val="it-IT"/>
        </w:rPr>
        <w:t xml:space="preserve">Procura della Repubblica presso il </w:t>
      </w:r>
      <w:proofErr w:type="spellStart"/>
      <w:r>
        <w:rPr>
          <w:rStyle w:val="Ninguno"/>
          <w:rFonts w:ascii="Times New Roman" w:hAnsi="Times New Roman"/>
          <w:sz w:val="24"/>
          <w:szCs w:val="24"/>
        </w:rPr>
        <w:t>Tribunale</w:t>
      </w:r>
      <w:proofErr w:type="spellEnd"/>
      <w:r>
        <w:rPr>
          <w:rStyle w:val="Ninguno"/>
          <w:rFonts w:ascii="Times New Roman" w:hAnsi="Times New Roman"/>
          <w:sz w:val="24"/>
          <w:szCs w:val="24"/>
        </w:rPr>
        <w:t xml:space="preserve"> di Roma – República Italiana – solicita audición de testigos y obtener copias de todas las actas de la investigación - exhor</w:t>
      </w:r>
      <w:r>
        <w:rPr>
          <w:rStyle w:val="Ninguno"/>
          <w:rFonts w:ascii="Times New Roman" w:hAnsi="Times New Roman"/>
          <w:sz w:val="24"/>
          <w:szCs w:val="24"/>
        </w:rPr>
        <w:t>to» *Se hace constar que fue recibida una nueva solicitud en el mismo procedimiento penal, por lo que ésta se agregó al expediente que tramitó con anterioridad. Recibido el 22 de marzo de 2021 procedente de Italia. Organismo exhortante: Fiscalía de la Repú</w:t>
      </w:r>
      <w:r>
        <w:rPr>
          <w:rStyle w:val="Ninguno"/>
          <w:rFonts w:ascii="Times New Roman" w:hAnsi="Times New Roman"/>
          <w:sz w:val="24"/>
          <w:szCs w:val="24"/>
        </w:rPr>
        <w:t xml:space="preserve">blica ante el Tribunal de Roma. Juzgado uruguayo donde se tramitó la solicitud: Juzgado Letrado de Primera Instancia en lo Penal de 32° Turno. </w:t>
      </w:r>
      <w:r>
        <w:rPr>
          <w:rStyle w:val="Ninguno"/>
          <w:rFonts w:ascii="Times New Roman" w:hAnsi="Times New Roman"/>
          <w:sz w:val="24"/>
          <w:szCs w:val="24"/>
        </w:rPr>
        <w:lastRenderedPageBreak/>
        <w:t xml:space="preserve">Objeto: notificar a Juan Carlos </w:t>
      </w:r>
      <w:proofErr w:type="spellStart"/>
      <w:r>
        <w:rPr>
          <w:rStyle w:val="Ninguno"/>
          <w:rFonts w:ascii="Times New Roman" w:hAnsi="Times New Roman"/>
          <w:sz w:val="24"/>
          <w:szCs w:val="24"/>
        </w:rPr>
        <w:t>Larcebeau</w:t>
      </w:r>
      <w:proofErr w:type="spellEnd"/>
      <w:r>
        <w:rPr>
          <w:rStyle w:val="Ninguno"/>
          <w:rFonts w:ascii="Times New Roman" w:hAnsi="Times New Roman"/>
          <w:sz w:val="24"/>
          <w:szCs w:val="24"/>
        </w:rPr>
        <w:t xml:space="preserve"> </w:t>
      </w:r>
      <w:proofErr w:type="spellStart"/>
      <w:r>
        <w:rPr>
          <w:rStyle w:val="Ninguno"/>
          <w:rFonts w:ascii="Times New Roman" w:hAnsi="Times New Roman"/>
          <w:sz w:val="24"/>
          <w:szCs w:val="24"/>
        </w:rPr>
        <w:t>Aguirregaray</w:t>
      </w:r>
      <w:proofErr w:type="spellEnd"/>
      <w:r>
        <w:rPr>
          <w:rStyle w:val="Ninguno"/>
          <w:rFonts w:ascii="Times New Roman" w:hAnsi="Times New Roman"/>
          <w:sz w:val="24"/>
          <w:szCs w:val="24"/>
        </w:rPr>
        <w:t xml:space="preserve"> y adquirir del mismo la declaración de un domicilio en ter</w:t>
      </w:r>
      <w:r>
        <w:rPr>
          <w:rStyle w:val="Ninguno"/>
          <w:rFonts w:ascii="Times New Roman" w:hAnsi="Times New Roman"/>
          <w:sz w:val="24"/>
          <w:szCs w:val="24"/>
        </w:rPr>
        <w:t xml:space="preserve">ritorio italiano y la designación de abogado defensor; respecto al procedimiento penal contra Jorge </w:t>
      </w:r>
      <w:proofErr w:type="spellStart"/>
      <w:r>
        <w:rPr>
          <w:rStyle w:val="Ninguno"/>
          <w:rFonts w:ascii="Times New Roman" w:hAnsi="Times New Roman"/>
          <w:sz w:val="24"/>
          <w:szCs w:val="24"/>
        </w:rPr>
        <w:t>Nestor</w:t>
      </w:r>
      <w:proofErr w:type="spellEnd"/>
      <w:r>
        <w:rPr>
          <w:rStyle w:val="Ninguno"/>
          <w:rFonts w:ascii="Times New Roman" w:hAnsi="Times New Roman"/>
          <w:sz w:val="24"/>
          <w:szCs w:val="24"/>
        </w:rPr>
        <w:t xml:space="preserve"> </w:t>
      </w:r>
      <w:proofErr w:type="spellStart"/>
      <w:r>
        <w:rPr>
          <w:rStyle w:val="Ninguno"/>
          <w:rFonts w:ascii="Times New Roman" w:hAnsi="Times New Roman"/>
          <w:sz w:val="24"/>
          <w:szCs w:val="24"/>
        </w:rPr>
        <w:t>Troccoli</w:t>
      </w:r>
      <w:proofErr w:type="spellEnd"/>
      <w:r>
        <w:rPr>
          <w:rStyle w:val="Ninguno"/>
          <w:rFonts w:ascii="Times New Roman" w:hAnsi="Times New Roman"/>
          <w:sz w:val="24"/>
          <w:szCs w:val="24"/>
        </w:rPr>
        <w:t xml:space="preserve"> Fernández y Juan Carlos </w:t>
      </w:r>
      <w:proofErr w:type="spellStart"/>
      <w:r>
        <w:rPr>
          <w:rStyle w:val="Ninguno"/>
          <w:rFonts w:ascii="Times New Roman" w:hAnsi="Times New Roman"/>
          <w:sz w:val="24"/>
          <w:szCs w:val="24"/>
        </w:rPr>
        <w:t>Larcebeau</w:t>
      </w:r>
      <w:proofErr w:type="spellEnd"/>
      <w:r>
        <w:rPr>
          <w:rStyle w:val="Ninguno"/>
          <w:rFonts w:ascii="Times New Roman" w:hAnsi="Times New Roman"/>
          <w:sz w:val="24"/>
          <w:szCs w:val="24"/>
        </w:rPr>
        <w:t xml:space="preserve"> </w:t>
      </w:r>
      <w:proofErr w:type="spellStart"/>
      <w:r>
        <w:rPr>
          <w:rStyle w:val="Ninguno"/>
          <w:rFonts w:ascii="Times New Roman" w:hAnsi="Times New Roman"/>
          <w:sz w:val="24"/>
          <w:szCs w:val="24"/>
        </w:rPr>
        <w:t>Aguirregaray</w:t>
      </w:r>
      <w:proofErr w:type="spellEnd"/>
      <w:r>
        <w:rPr>
          <w:rStyle w:val="Ninguno"/>
          <w:rFonts w:ascii="Times New Roman" w:hAnsi="Times New Roman"/>
          <w:sz w:val="24"/>
          <w:szCs w:val="24"/>
        </w:rPr>
        <w:t>, sometidos a una investigación por el delito de homicidio en perjuicio de la ciudadana italia</w:t>
      </w:r>
      <w:r>
        <w:rPr>
          <w:rStyle w:val="Ninguno"/>
          <w:rFonts w:ascii="Times New Roman" w:hAnsi="Times New Roman"/>
          <w:sz w:val="24"/>
          <w:szCs w:val="24"/>
        </w:rPr>
        <w:t xml:space="preserve">na Rafaela </w:t>
      </w:r>
      <w:proofErr w:type="spellStart"/>
      <w:r>
        <w:rPr>
          <w:rStyle w:val="Ninguno"/>
          <w:rFonts w:ascii="Times New Roman" w:hAnsi="Times New Roman"/>
          <w:sz w:val="24"/>
          <w:szCs w:val="24"/>
        </w:rPr>
        <w:t>Filipazzi</w:t>
      </w:r>
      <w:proofErr w:type="spellEnd"/>
      <w:r>
        <w:rPr>
          <w:rStyle w:val="Ninguno"/>
          <w:rFonts w:ascii="Times New Roman" w:hAnsi="Times New Roman"/>
          <w:sz w:val="24"/>
          <w:szCs w:val="24"/>
        </w:rPr>
        <w:t xml:space="preserve"> y de la ciudadana uruguaya Elena Quinteros. Estado: archivado. No se cumplió con lo solicitado en atención al fallecimiento del Sr. </w:t>
      </w:r>
      <w:proofErr w:type="spellStart"/>
      <w:r>
        <w:rPr>
          <w:rStyle w:val="Ninguno"/>
          <w:rFonts w:ascii="Times New Roman" w:hAnsi="Times New Roman"/>
          <w:sz w:val="24"/>
          <w:szCs w:val="24"/>
        </w:rPr>
        <w:t>Lacerbeau</w:t>
      </w:r>
      <w:proofErr w:type="spellEnd"/>
      <w:r>
        <w:rPr>
          <w:rStyle w:val="Ninguno"/>
          <w:rFonts w:ascii="Times New Roman" w:hAnsi="Times New Roman"/>
          <w:sz w:val="24"/>
          <w:szCs w:val="24"/>
        </w:rPr>
        <w:t>.</w:t>
      </w:r>
    </w:p>
    <w:p w14:paraId="0B895C48"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Por otro lado, se indica que la Fiscalía especializada cuenta con el apoyo de la Unidad de V</w:t>
      </w:r>
      <w:r>
        <w:rPr>
          <w:rStyle w:val="Ninguno"/>
          <w:rFonts w:ascii="Times New Roman" w:hAnsi="Times New Roman"/>
          <w:sz w:val="24"/>
          <w:szCs w:val="24"/>
        </w:rPr>
        <w:t xml:space="preserve">íctimas y Testigos de la Fiscalía General de la Nación que es consultada para los casos del Código del Proceso Penal vigente y ha participado con distintas víctimas de crímenes de Lesa Humanidad. </w:t>
      </w:r>
    </w:p>
    <w:p w14:paraId="2FA5F2ED"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Finalmente, en relación a la separación de la investigación</w:t>
      </w:r>
      <w:r>
        <w:rPr>
          <w:rStyle w:val="Ninguno"/>
          <w:rFonts w:ascii="Times New Roman" w:hAnsi="Times New Roman"/>
          <w:sz w:val="24"/>
          <w:szCs w:val="24"/>
        </w:rPr>
        <w:t xml:space="preserve"> de los funcionarios que se encuentren relacionados a los hechos, actualmente ninguna de estas personas se encuentra en funciones.</w:t>
      </w:r>
      <w:r>
        <w:rPr>
          <w:rStyle w:val="Ninguno"/>
          <w:rFonts w:ascii="Times New Roman" w:hAnsi="Times New Roman"/>
          <w:sz w:val="24"/>
          <w:szCs w:val="24"/>
        </w:rPr>
        <w:tab/>
      </w:r>
      <w:r>
        <w:rPr>
          <w:rStyle w:val="Ninguno"/>
          <w:rFonts w:ascii="Times New Roman" w:hAnsi="Times New Roman"/>
          <w:sz w:val="24"/>
          <w:szCs w:val="24"/>
        </w:rPr>
        <w:tab/>
      </w:r>
    </w:p>
    <w:p w14:paraId="0C652D7E"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208EE183" w14:textId="77777777" w:rsidR="00591E03" w:rsidRDefault="00F002B7">
      <w:pPr>
        <w:pStyle w:val="ListParagraph"/>
        <w:numPr>
          <w:ilvl w:val="0"/>
          <w:numId w:val="7"/>
        </w:numPr>
        <w:spacing w:line="240" w:lineRule="auto"/>
        <w:jc w:val="both"/>
        <w:rPr>
          <w:rFonts w:ascii="Times New Roman" w:hAnsi="Times New Roman"/>
          <w:b/>
          <w:bCs/>
          <w:sz w:val="24"/>
          <w:szCs w:val="24"/>
        </w:rPr>
      </w:pPr>
      <w:r>
        <w:rPr>
          <w:rStyle w:val="Ninguno"/>
          <w:rFonts w:ascii="Times New Roman" w:hAnsi="Times New Roman"/>
          <w:b/>
          <w:bCs/>
          <w:sz w:val="24"/>
          <w:szCs w:val="24"/>
        </w:rPr>
        <w:t xml:space="preserve">Reparación integral de las víctimas de las desapariciones forzadas </w:t>
      </w:r>
    </w:p>
    <w:p w14:paraId="246E34E9"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32F08BB6" w14:textId="77777777" w:rsidR="00591E03" w:rsidRDefault="00F002B7">
      <w:pPr>
        <w:pStyle w:val="Cuerpo"/>
        <w:spacing w:line="240" w:lineRule="auto"/>
        <w:jc w:val="both"/>
        <w:rPr>
          <w:rStyle w:val="Ninguno"/>
          <w:rFonts w:ascii="Times New Roman" w:eastAsia="Times New Roman" w:hAnsi="Times New Roman" w:cs="Times New Roman"/>
          <w:b/>
          <w:bCs/>
          <w:sz w:val="24"/>
          <w:szCs w:val="24"/>
        </w:rPr>
      </w:pPr>
      <w:r>
        <w:rPr>
          <w:rStyle w:val="Ninguno"/>
          <w:rFonts w:ascii="Times New Roman" w:hAnsi="Times New Roman"/>
          <w:b/>
          <w:bCs/>
          <w:sz w:val="24"/>
          <w:szCs w:val="24"/>
        </w:rPr>
        <w:t>Párrafo 24</w:t>
      </w:r>
    </w:p>
    <w:p w14:paraId="512CA061"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A efectos de proveer información adecuada </w:t>
      </w:r>
      <w:r>
        <w:rPr>
          <w:rStyle w:val="Ninguno"/>
          <w:rFonts w:ascii="Times New Roman" w:hAnsi="Times New Roman"/>
          <w:sz w:val="24"/>
          <w:szCs w:val="24"/>
        </w:rPr>
        <w:t>corresponde informar que fue promulgada la Ley N°19.859 (2019) que declara por vía interpretativa que el derecho a recibir atención integral de salud gratuita y vitalicia en el marco del Sistema Nacional Integrado de Salud, previsto en el artículo 10 de la</w:t>
      </w:r>
      <w:r>
        <w:rPr>
          <w:rStyle w:val="Ninguno"/>
          <w:rFonts w:ascii="Times New Roman" w:hAnsi="Times New Roman"/>
          <w:sz w:val="24"/>
          <w:szCs w:val="24"/>
        </w:rPr>
        <w:t xml:space="preserve"> Ley N°18.596(2009), comprende a las personas beneficiarias de la Ley N°18.033(2006), sus hijos y nietos, sean </w:t>
      </w:r>
      <w:proofErr w:type="spellStart"/>
      <w:r>
        <w:rPr>
          <w:rStyle w:val="Ninguno"/>
          <w:rFonts w:ascii="Times New Roman" w:hAnsi="Times New Roman"/>
          <w:sz w:val="24"/>
          <w:szCs w:val="24"/>
        </w:rPr>
        <w:t>bioló</w:t>
      </w:r>
      <w:proofErr w:type="spellEnd"/>
      <w:r>
        <w:rPr>
          <w:rStyle w:val="Ninguno"/>
          <w:rFonts w:ascii="Times New Roman" w:hAnsi="Times New Roman"/>
          <w:sz w:val="24"/>
          <w:szCs w:val="24"/>
          <w:lang w:val="pt-PT"/>
        </w:rPr>
        <w:t>gicos o adoptivos.</w:t>
      </w:r>
    </w:p>
    <w:p w14:paraId="38118C38" w14:textId="77777777" w:rsidR="00591E03" w:rsidRDefault="00F002B7">
      <w:pPr>
        <w:pStyle w:val="Cuerpo"/>
        <w:suppressAutoHyphens/>
        <w:spacing w:after="0" w:line="240" w:lineRule="auto"/>
        <w:jc w:val="both"/>
        <w:rPr>
          <w:rStyle w:val="Ninguno"/>
          <w:rFonts w:ascii="Times New Roman" w:eastAsia="Times New Roman" w:hAnsi="Times New Roman" w:cs="Times New Roman"/>
          <w:kern w:val="2"/>
          <w:sz w:val="24"/>
          <w:szCs w:val="24"/>
        </w:rPr>
      </w:pPr>
      <w:r>
        <w:rPr>
          <w:rStyle w:val="Ninguno"/>
          <w:rFonts w:ascii="Times New Roman" w:hAnsi="Times New Roman"/>
          <w:kern w:val="2"/>
          <w:sz w:val="24"/>
          <w:szCs w:val="24"/>
        </w:rPr>
        <w:t>Por su parte, se indican las reparaciones otorgadas en el marco de la Ley N°18.596 (2009) al mes de julio del presente añ</w:t>
      </w:r>
      <w:r>
        <w:rPr>
          <w:rStyle w:val="Ninguno"/>
          <w:rFonts w:ascii="Times New Roman" w:hAnsi="Times New Roman"/>
          <w:kern w:val="2"/>
          <w:sz w:val="24"/>
          <w:szCs w:val="24"/>
        </w:rPr>
        <w:t xml:space="preserve">o. Los valores se expresan en Unidades Indexadas (UI) siendo su valor individual en pesos uruguayos </w:t>
      </w:r>
      <w:r>
        <w:rPr>
          <w:rStyle w:val="Ninguno"/>
          <w:rFonts w:ascii="Times New Roman" w:hAnsi="Times New Roman"/>
          <w:kern w:val="2"/>
          <w:sz w:val="24"/>
          <w:szCs w:val="24"/>
          <w:shd w:val="clear" w:color="auto" w:fill="FFFFFF"/>
        </w:rPr>
        <w:t xml:space="preserve">$5,4338. A efectos de facilitar la comprensión de los montos, se incluye entre paréntesis el valor aproximado en </w:t>
      </w:r>
      <w:proofErr w:type="spellStart"/>
      <w:r>
        <w:rPr>
          <w:rStyle w:val="Ninguno"/>
          <w:rFonts w:ascii="Times New Roman" w:hAnsi="Times New Roman"/>
          <w:kern w:val="2"/>
          <w:sz w:val="24"/>
          <w:szCs w:val="24"/>
          <w:shd w:val="clear" w:color="auto" w:fill="FFFFFF"/>
        </w:rPr>
        <w:t>dó</w:t>
      </w:r>
      <w:proofErr w:type="spellEnd"/>
      <w:r>
        <w:rPr>
          <w:rStyle w:val="Ninguno"/>
          <w:rFonts w:ascii="Times New Roman" w:hAnsi="Times New Roman"/>
          <w:kern w:val="2"/>
          <w:sz w:val="24"/>
          <w:szCs w:val="24"/>
          <w:shd w:val="clear" w:color="auto" w:fill="FFFFFF"/>
          <w:lang w:val="pt-PT"/>
        </w:rPr>
        <w:t>lares americanos</w:t>
      </w:r>
      <w:r>
        <w:rPr>
          <w:rStyle w:val="Ninguno"/>
          <w:rFonts w:ascii="Times New Roman" w:hAnsi="Times New Roman"/>
          <w:kern w:val="2"/>
          <w:sz w:val="24"/>
          <w:szCs w:val="24"/>
        </w:rPr>
        <w:t>.</w:t>
      </w:r>
      <w:r>
        <w:rPr>
          <w:rStyle w:val="Ninguno"/>
          <w:rFonts w:ascii="Times New Roman" w:hAnsi="Times New Roman"/>
          <w:kern w:val="2"/>
          <w:sz w:val="24"/>
          <w:szCs w:val="24"/>
          <w:shd w:val="clear" w:color="auto" w:fill="FFFFFF"/>
        </w:rPr>
        <w:t xml:space="preserve"> </w:t>
      </w:r>
    </w:p>
    <w:p w14:paraId="143D182A" w14:textId="77777777" w:rsidR="00591E03" w:rsidRDefault="00591E03">
      <w:pPr>
        <w:pStyle w:val="Cuerpo"/>
        <w:suppressAutoHyphens/>
        <w:spacing w:after="0" w:line="240" w:lineRule="auto"/>
        <w:jc w:val="both"/>
        <w:rPr>
          <w:rStyle w:val="Ninguno"/>
          <w:rFonts w:ascii="Times New Roman" w:eastAsia="Times New Roman" w:hAnsi="Times New Roman" w:cs="Times New Roman"/>
          <w:kern w:val="2"/>
          <w:sz w:val="24"/>
          <w:szCs w:val="24"/>
          <w:shd w:val="clear" w:color="auto" w:fill="FFFFFF"/>
        </w:rPr>
      </w:pPr>
    </w:p>
    <w:p w14:paraId="06D4B23E" w14:textId="77777777" w:rsidR="00591E03" w:rsidRDefault="00F002B7">
      <w:pPr>
        <w:pStyle w:val="Cuerpo"/>
        <w:shd w:val="clear" w:color="auto" w:fill="FFFFFF"/>
        <w:suppressAutoHyphens/>
        <w:spacing w:after="0" w:line="240" w:lineRule="auto"/>
        <w:jc w:val="both"/>
        <w:rPr>
          <w:rStyle w:val="Ninguno"/>
          <w:rFonts w:ascii="Times New Roman" w:eastAsia="Times New Roman" w:hAnsi="Times New Roman" w:cs="Times New Roman"/>
          <w:b/>
          <w:bCs/>
          <w:i/>
          <w:iCs/>
          <w:kern w:val="2"/>
          <w:sz w:val="24"/>
          <w:szCs w:val="24"/>
        </w:rPr>
      </w:pPr>
      <w:proofErr w:type="spellStart"/>
      <w:r>
        <w:rPr>
          <w:rStyle w:val="Ninguno"/>
          <w:rFonts w:ascii="Times New Roman" w:hAnsi="Times New Roman"/>
          <w:b/>
          <w:bCs/>
          <w:i/>
          <w:iCs/>
          <w:kern w:val="2"/>
          <w:sz w:val="24"/>
          <w:szCs w:val="24"/>
        </w:rPr>
        <w:t>Reparació</w:t>
      </w:r>
      <w:proofErr w:type="spellEnd"/>
      <w:r w:rsidRPr="00095F15">
        <w:rPr>
          <w:rStyle w:val="Ninguno"/>
          <w:rFonts w:ascii="Times New Roman" w:hAnsi="Times New Roman"/>
          <w:b/>
          <w:bCs/>
          <w:i/>
          <w:iCs/>
          <w:kern w:val="2"/>
          <w:sz w:val="24"/>
          <w:szCs w:val="24"/>
          <w:lang w:val="es-ES"/>
        </w:rPr>
        <w:t xml:space="preserve">n a </w:t>
      </w:r>
      <w:proofErr w:type="spellStart"/>
      <w:r w:rsidRPr="00095F15">
        <w:rPr>
          <w:rStyle w:val="Ninguno"/>
          <w:rFonts w:ascii="Times New Roman" w:hAnsi="Times New Roman"/>
          <w:b/>
          <w:bCs/>
          <w:i/>
          <w:iCs/>
          <w:kern w:val="2"/>
          <w:sz w:val="24"/>
          <w:szCs w:val="24"/>
          <w:lang w:val="es-ES"/>
        </w:rPr>
        <w:t>trav</w:t>
      </w:r>
      <w:r>
        <w:rPr>
          <w:rStyle w:val="Ninguno"/>
          <w:rFonts w:ascii="Times New Roman" w:hAnsi="Times New Roman"/>
          <w:b/>
          <w:bCs/>
          <w:i/>
          <w:iCs/>
          <w:kern w:val="2"/>
          <w:sz w:val="24"/>
          <w:szCs w:val="24"/>
        </w:rPr>
        <w:t>és</w:t>
      </w:r>
      <w:proofErr w:type="spellEnd"/>
      <w:r>
        <w:rPr>
          <w:rStyle w:val="Ninguno"/>
          <w:rFonts w:ascii="Times New Roman" w:hAnsi="Times New Roman"/>
          <w:b/>
          <w:bCs/>
          <w:i/>
          <w:iCs/>
          <w:kern w:val="2"/>
          <w:sz w:val="24"/>
          <w:szCs w:val="24"/>
        </w:rPr>
        <w:t xml:space="preserve"> de </w:t>
      </w:r>
      <w:proofErr w:type="spellStart"/>
      <w:r>
        <w:rPr>
          <w:rStyle w:val="Ninguno"/>
          <w:rFonts w:ascii="Times New Roman" w:hAnsi="Times New Roman"/>
          <w:b/>
          <w:bCs/>
          <w:i/>
          <w:iCs/>
          <w:kern w:val="2"/>
          <w:sz w:val="24"/>
          <w:szCs w:val="24"/>
        </w:rPr>
        <w:t>indemnizació</w:t>
      </w:r>
      <w:proofErr w:type="spellEnd"/>
      <w:r>
        <w:rPr>
          <w:rStyle w:val="Ninguno"/>
          <w:rFonts w:ascii="Times New Roman" w:hAnsi="Times New Roman"/>
          <w:b/>
          <w:bCs/>
          <w:i/>
          <w:iCs/>
          <w:kern w:val="2"/>
          <w:sz w:val="24"/>
          <w:szCs w:val="24"/>
          <w:lang w:val="pt-PT"/>
        </w:rPr>
        <w:t>n econ</w:t>
      </w:r>
      <w:proofErr w:type="spellStart"/>
      <w:r>
        <w:rPr>
          <w:rStyle w:val="Ninguno"/>
          <w:rFonts w:ascii="Times New Roman" w:hAnsi="Times New Roman"/>
          <w:b/>
          <w:bCs/>
          <w:i/>
          <w:iCs/>
          <w:kern w:val="2"/>
          <w:sz w:val="24"/>
          <w:szCs w:val="24"/>
        </w:rPr>
        <w:t>ó</w:t>
      </w:r>
      <w:proofErr w:type="spellEnd"/>
      <w:r>
        <w:rPr>
          <w:rStyle w:val="Ninguno"/>
          <w:rFonts w:ascii="Times New Roman" w:hAnsi="Times New Roman"/>
          <w:b/>
          <w:bCs/>
          <w:i/>
          <w:iCs/>
          <w:kern w:val="2"/>
          <w:sz w:val="24"/>
          <w:szCs w:val="24"/>
          <w:lang w:val="it-IT"/>
        </w:rPr>
        <w:t>mica</w:t>
      </w:r>
    </w:p>
    <w:p w14:paraId="28C6A3BB" w14:textId="77777777" w:rsidR="00591E03" w:rsidRDefault="00591E03">
      <w:pPr>
        <w:pStyle w:val="Cuerpo"/>
        <w:shd w:val="clear" w:color="auto" w:fill="FFFFFF"/>
        <w:suppressAutoHyphens/>
        <w:spacing w:after="0" w:line="240" w:lineRule="auto"/>
        <w:jc w:val="both"/>
        <w:rPr>
          <w:rStyle w:val="Ninguno"/>
          <w:rFonts w:ascii="Times New Roman" w:eastAsia="Times New Roman" w:hAnsi="Times New Roman" w:cs="Times New Roman"/>
          <w:i/>
          <w:iCs/>
          <w:kern w:val="2"/>
          <w:sz w:val="24"/>
          <w:szCs w:val="24"/>
        </w:rPr>
      </w:pPr>
    </w:p>
    <w:p w14:paraId="6784010B" w14:textId="77777777" w:rsidR="00591E03" w:rsidRDefault="00F002B7">
      <w:pPr>
        <w:pStyle w:val="Cuerpo"/>
        <w:numPr>
          <w:ilvl w:val="0"/>
          <w:numId w:val="9"/>
        </w:numPr>
        <w:shd w:val="clear" w:color="auto" w:fill="FFFFFF"/>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u w:val="single"/>
        </w:rPr>
        <w:t>Art. 11 literal A</w:t>
      </w:r>
      <w:r>
        <w:rPr>
          <w:rStyle w:val="Ninguno"/>
          <w:rFonts w:ascii="Times New Roman" w:hAnsi="Times New Roman"/>
          <w:kern w:val="2"/>
          <w:sz w:val="24"/>
          <w:szCs w:val="24"/>
          <w:lang w:val="pt-PT"/>
        </w:rPr>
        <w:t>. A familiares de desaparecidos o fallecidos a ra</w:t>
      </w:r>
      <w:proofErr w:type="spellStart"/>
      <w:r>
        <w:rPr>
          <w:rStyle w:val="Ninguno"/>
          <w:rFonts w:ascii="Times New Roman" w:hAnsi="Times New Roman"/>
          <w:kern w:val="2"/>
          <w:sz w:val="24"/>
          <w:szCs w:val="24"/>
        </w:rPr>
        <w:t>íz</w:t>
      </w:r>
      <w:proofErr w:type="spellEnd"/>
      <w:r>
        <w:rPr>
          <w:rStyle w:val="Ninguno"/>
          <w:rFonts w:ascii="Times New Roman" w:hAnsi="Times New Roman"/>
          <w:kern w:val="2"/>
          <w:sz w:val="24"/>
          <w:szCs w:val="24"/>
        </w:rPr>
        <w:t xml:space="preserve"> o en ocasión del accionar ilegítimo del Estado, se otorgaron 247 y el monto previsto por la ley es de 500.000 Unidades Indexadas (U$S67.750). </w:t>
      </w:r>
    </w:p>
    <w:p w14:paraId="4E28E11B" w14:textId="77777777" w:rsidR="00591E03" w:rsidRDefault="00F002B7">
      <w:pPr>
        <w:pStyle w:val="Cuerpo"/>
        <w:numPr>
          <w:ilvl w:val="0"/>
          <w:numId w:val="11"/>
        </w:numPr>
        <w:shd w:val="clear" w:color="auto" w:fill="FFFFFF"/>
        <w:suppressAutoHyphens/>
        <w:spacing w:after="0" w:line="240" w:lineRule="auto"/>
        <w:jc w:val="both"/>
        <w:rPr>
          <w:rFonts w:ascii="Times New Roman" w:hAnsi="Times New Roman"/>
          <w:sz w:val="24"/>
          <w:szCs w:val="24"/>
        </w:rPr>
      </w:pPr>
      <w:r>
        <w:rPr>
          <w:rStyle w:val="Ninguno"/>
          <w:rFonts w:ascii="Times New Roman" w:hAnsi="Times New Roman"/>
          <w:sz w:val="24"/>
          <w:szCs w:val="24"/>
          <w:u w:val="single"/>
        </w:rPr>
        <w:t>Art. 11 literal B.</w:t>
      </w:r>
      <w:r>
        <w:rPr>
          <w:rStyle w:val="Ninguno"/>
          <w:rFonts w:ascii="Times New Roman" w:hAnsi="Times New Roman"/>
          <w:sz w:val="24"/>
          <w:szCs w:val="24"/>
        </w:rPr>
        <w:t xml:space="preserve"> Personas que sufrieron lesiones gravísimas como consecuencia del accionar de agentes de Estad</w:t>
      </w:r>
      <w:r>
        <w:rPr>
          <w:rStyle w:val="Ninguno"/>
          <w:rFonts w:ascii="Times New Roman" w:hAnsi="Times New Roman"/>
          <w:sz w:val="24"/>
          <w:szCs w:val="24"/>
        </w:rPr>
        <w:t>o Se otorgaron 130 y el monto previsto por la ley es de 250.000 Unidades Indexadas (</w:t>
      </w:r>
      <w:r w:rsidRPr="00095F15">
        <w:rPr>
          <w:rStyle w:val="Ninguno"/>
          <w:rFonts w:ascii="Times New Roman" w:hAnsi="Times New Roman"/>
          <w:kern w:val="2"/>
          <w:sz w:val="24"/>
          <w:szCs w:val="24"/>
          <w:lang w:val="es-ES"/>
        </w:rPr>
        <w:t>U$S33.875</w:t>
      </w:r>
      <w:r>
        <w:rPr>
          <w:rStyle w:val="Ninguno"/>
          <w:rFonts w:ascii="Times New Roman" w:hAnsi="Times New Roman"/>
          <w:sz w:val="24"/>
          <w:szCs w:val="24"/>
        </w:rPr>
        <w:t>).</w:t>
      </w:r>
    </w:p>
    <w:p w14:paraId="1150A80C" w14:textId="77777777" w:rsidR="00591E03" w:rsidRDefault="00F002B7">
      <w:pPr>
        <w:pStyle w:val="Cuerpo"/>
        <w:numPr>
          <w:ilvl w:val="0"/>
          <w:numId w:val="11"/>
        </w:numPr>
        <w:shd w:val="clear" w:color="auto" w:fill="FFFFFF"/>
        <w:suppressAutoHyphens/>
        <w:spacing w:after="0" w:line="240" w:lineRule="auto"/>
        <w:jc w:val="both"/>
        <w:rPr>
          <w:rFonts w:ascii="Times New Roman" w:hAnsi="Times New Roman"/>
          <w:sz w:val="24"/>
          <w:szCs w:val="24"/>
        </w:rPr>
      </w:pPr>
      <w:r>
        <w:rPr>
          <w:rStyle w:val="Ninguno"/>
          <w:rFonts w:ascii="Times New Roman" w:hAnsi="Times New Roman"/>
          <w:sz w:val="24"/>
          <w:szCs w:val="24"/>
          <w:u w:val="single"/>
        </w:rPr>
        <w:t>Art. 11 literal C.</w:t>
      </w:r>
      <w:r>
        <w:rPr>
          <w:rStyle w:val="Ninguno"/>
          <w:rFonts w:ascii="Times New Roman" w:hAnsi="Times New Roman"/>
          <w:sz w:val="24"/>
          <w:szCs w:val="24"/>
        </w:rPr>
        <w:t xml:space="preserve"> Niños secuestrados por </w:t>
      </w:r>
      <w:proofErr w:type="spellStart"/>
      <w:r>
        <w:rPr>
          <w:rStyle w:val="Ninguno"/>
          <w:rFonts w:ascii="Times New Roman" w:hAnsi="Times New Roman"/>
          <w:sz w:val="24"/>
          <w:szCs w:val="24"/>
        </w:rPr>
        <w:t>má</w:t>
      </w:r>
      <w:proofErr w:type="spellEnd"/>
      <w:r>
        <w:rPr>
          <w:rStyle w:val="Ninguno"/>
          <w:rFonts w:ascii="Times New Roman" w:hAnsi="Times New Roman"/>
          <w:sz w:val="24"/>
          <w:szCs w:val="24"/>
          <w:lang w:val="pt-PT"/>
        </w:rPr>
        <w:t>s de 30 d</w:t>
      </w:r>
      <w:proofErr w:type="spellStart"/>
      <w:r>
        <w:rPr>
          <w:rStyle w:val="Ninguno"/>
          <w:rFonts w:ascii="Times New Roman" w:hAnsi="Times New Roman"/>
          <w:sz w:val="24"/>
          <w:szCs w:val="24"/>
        </w:rPr>
        <w:t>ías</w:t>
      </w:r>
      <w:proofErr w:type="spellEnd"/>
      <w:r>
        <w:rPr>
          <w:rStyle w:val="Ninguno"/>
          <w:rFonts w:ascii="Times New Roman" w:hAnsi="Times New Roman"/>
          <w:sz w:val="24"/>
          <w:szCs w:val="24"/>
        </w:rPr>
        <w:t>, se otorgaron 10 y el monto previsto por la ley es de 375.000 Unidades Indexadas (</w:t>
      </w:r>
      <w:r w:rsidRPr="00095F15">
        <w:rPr>
          <w:rStyle w:val="Ninguno"/>
          <w:rFonts w:ascii="Times New Roman" w:hAnsi="Times New Roman"/>
          <w:kern w:val="2"/>
          <w:sz w:val="24"/>
          <w:szCs w:val="24"/>
          <w:lang w:val="es-ES"/>
        </w:rPr>
        <w:t>U$S50.906</w:t>
      </w:r>
      <w:r>
        <w:rPr>
          <w:rStyle w:val="Ninguno"/>
          <w:rFonts w:ascii="Times New Roman" w:hAnsi="Times New Roman"/>
          <w:sz w:val="24"/>
          <w:szCs w:val="24"/>
        </w:rPr>
        <w:t>).</w:t>
      </w:r>
    </w:p>
    <w:p w14:paraId="5E4B82AA" w14:textId="77777777" w:rsidR="00591E03" w:rsidRDefault="00F002B7">
      <w:pPr>
        <w:pStyle w:val="Cuerpo"/>
        <w:numPr>
          <w:ilvl w:val="0"/>
          <w:numId w:val="11"/>
        </w:numPr>
        <w:shd w:val="clear" w:color="auto" w:fill="FFFFFF"/>
        <w:suppressAutoHyphens/>
        <w:spacing w:after="0" w:line="240" w:lineRule="auto"/>
        <w:jc w:val="both"/>
        <w:rPr>
          <w:rFonts w:ascii="Times New Roman" w:hAnsi="Times New Roman"/>
          <w:sz w:val="24"/>
          <w:szCs w:val="24"/>
        </w:rPr>
      </w:pPr>
      <w:r>
        <w:rPr>
          <w:rStyle w:val="Ninguno"/>
          <w:rFonts w:ascii="Times New Roman" w:hAnsi="Times New Roman"/>
          <w:sz w:val="24"/>
          <w:szCs w:val="24"/>
          <w:u w:val="single"/>
        </w:rPr>
        <w:t>Art. 11 l</w:t>
      </w:r>
      <w:r>
        <w:rPr>
          <w:rStyle w:val="Ninguno"/>
          <w:rFonts w:ascii="Times New Roman" w:hAnsi="Times New Roman"/>
          <w:sz w:val="24"/>
          <w:szCs w:val="24"/>
          <w:u w:val="single"/>
        </w:rPr>
        <w:t>iteral D.</w:t>
      </w:r>
      <w:r>
        <w:rPr>
          <w:rStyle w:val="Ninguno"/>
          <w:rFonts w:ascii="Times New Roman" w:hAnsi="Times New Roman"/>
          <w:sz w:val="24"/>
          <w:szCs w:val="24"/>
        </w:rPr>
        <w:t xml:space="preserve"> Nacidos en cautiverio o detenidos con su madre o padre por </w:t>
      </w:r>
      <w:proofErr w:type="spellStart"/>
      <w:r>
        <w:rPr>
          <w:rStyle w:val="Ninguno"/>
          <w:rFonts w:ascii="Times New Roman" w:hAnsi="Times New Roman"/>
          <w:sz w:val="24"/>
          <w:szCs w:val="24"/>
        </w:rPr>
        <w:t>má</w:t>
      </w:r>
      <w:proofErr w:type="spellEnd"/>
      <w:r>
        <w:rPr>
          <w:rStyle w:val="Ninguno"/>
          <w:rFonts w:ascii="Times New Roman" w:hAnsi="Times New Roman"/>
          <w:sz w:val="24"/>
          <w:szCs w:val="24"/>
          <w:lang w:val="pt-PT"/>
        </w:rPr>
        <w:t>s de 180 d</w:t>
      </w:r>
      <w:proofErr w:type="spellStart"/>
      <w:r>
        <w:rPr>
          <w:rStyle w:val="Ninguno"/>
          <w:rFonts w:ascii="Times New Roman" w:hAnsi="Times New Roman"/>
          <w:sz w:val="24"/>
          <w:szCs w:val="24"/>
        </w:rPr>
        <w:t>ías</w:t>
      </w:r>
      <w:proofErr w:type="spellEnd"/>
      <w:r>
        <w:rPr>
          <w:rStyle w:val="Ninguno"/>
          <w:rFonts w:ascii="Times New Roman" w:hAnsi="Times New Roman"/>
          <w:sz w:val="24"/>
          <w:szCs w:val="24"/>
        </w:rPr>
        <w:t>. Se otorgaron 90 y el monto previsto por la ley es de 200.000 Unidades Indexadas (</w:t>
      </w:r>
      <w:r w:rsidRPr="00095F15">
        <w:rPr>
          <w:rStyle w:val="Ninguno"/>
          <w:rFonts w:ascii="Times New Roman" w:hAnsi="Times New Roman"/>
          <w:kern w:val="2"/>
          <w:sz w:val="24"/>
          <w:szCs w:val="24"/>
          <w:lang w:val="es-ES"/>
        </w:rPr>
        <w:t>U$S27.150</w:t>
      </w:r>
      <w:r>
        <w:rPr>
          <w:rStyle w:val="Ninguno"/>
          <w:rFonts w:ascii="Times New Roman" w:hAnsi="Times New Roman"/>
          <w:sz w:val="24"/>
          <w:szCs w:val="24"/>
        </w:rPr>
        <w:t>).</w:t>
      </w:r>
    </w:p>
    <w:p w14:paraId="11E09757" w14:textId="77777777" w:rsidR="00591E03" w:rsidRDefault="00591E03">
      <w:pPr>
        <w:pStyle w:val="Cuerpo"/>
        <w:shd w:val="clear" w:color="auto" w:fill="FFFFFF"/>
        <w:spacing w:after="0" w:line="240" w:lineRule="auto"/>
        <w:jc w:val="both"/>
        <w:rPr>
          <w:rStyle w:val="Ninguno"/>
          <w:rFonts w:ascii="Times New Roman" w:eastAsia="Times New Roman" w:hAnsi="Times New Roman" w:cs="Times New Roman"/>
          <w:i/>
          <w:iCs/>
          <w:sz w:val="24"/>
          <w:szCs w:val="24"/>
        </w:rPr>
      </w:pPr>
    </w:p>
    <w:p w14:paraId="701AA770" w14:textId="77777777" w:rsidR="00591E03" w:rsidRDefault="00F002B7">
      <w:pPr>
        <w:pStyle w:val="Cuerpo"/>
        <w:shd w:val="clear" w:color="auto" w:fill="FFFFFF"/>
        <w:suppressAutoHyphens/>
        <w:spacing w:after="0" w:line="240" w:lineRule="auto"/>
        <w:jc w:val="both"/>
        <w:rPr>
          <w:rStyle w:val="Ninguno"/>
          <w:rFonts w:ascii="Times New Roman" w:eastAsia="Times New Roman" w:hAnsi="Times New Roman" w:cs="Times New Roman"/>
          <w:b/>
          <w:bCs/>
          <w:i/>
          <w:iCs/>
          <w:kern w:val="2"/>
          <w:sz w:val="24"/>
          <w:szCs w:val="24"/>
        </w:rPr>
      </w:pPr>
      <w:r>
        <w:rPr>
          <w:rStyle w:val="Ninguno"/>
          <w:rFonts w:ascii="Times New Roman" w:hAnsi="Times New Roman"/>
          <w:b/>
          <w:bCs/>
          <w:i/>
          <w:iCs/>
          <w:kern w:val="2"/>
          <w:sz w:val="24"/>
          <w:szCs w:val="24"/>
        </w:rPr>
        <w:t>Reparación en materia de salud</w:t>
      </w:r>
    </w:p>
    <w:p w14:paraId="499674CA" w14:textId="77777777" w:rsidR="00591E03" w:rsidRDefault="00591E03">
      <w:pPr>
        <w:pStyle w:val="Cuerpo"/>
        <w:shd w:val="clear" w:color="auto" w:fill="FFFFFF"/>
        <w:suppressAutoHyphens/>
        <w:spacing w:after="0" w:line="240" w:lineRule="auto"/>
        <w:jc w:val="both"/>
        <w:rPr>
          <w:rStyle w:val="Ninguno"/>
          <w:rFonts w:ascii="Times New Roman" w:eastAsia="Times New Roman" w:hAnsi="Times New Roman" w:cs="Times New Roman"/>
          <w:b/>
          <w:bCs/>
          <w:i/>
          <w:iCs/>
          <w:kern w:val="2"/>
          <w:sz w:val="24"/>
          <w:szCs w:val="24"/>
        </w:rPr>
      </w:pPr>
    </w:p>
    <w:p w14:paraId="2C0B4206" w14:textId="77777777" w:rsidR="00591E03" w:rsidRDefault="00F002B7">
      <w:pPr>
        <w:pStyle w:val="Cuerpo"/>
        <w:shd w:val="clear" w:color="auto" w:fill="FFFFFF"/>
        <w:suppressAutoHyphens/>
        <w:spacing w:after="0" w:line="240" w:lineRule="auto"/>
        <w:jc w:val="both"/>
        <w:rPr>
          <w:rStyle w:val="Ninguno"/>
          <w:rFonts w:ascii="Times New Roman" w:eastAsia="Times New Roman" w:hAnsi="Times New Roman" w:cs="Times New Roman"/>
          <w:kern w:val="2"/>
          <w:sz w:val="24"/>
          <w:szCs w:val="24"/>
        </w:rPr>
      </w:pPr>
      <w:r>
        <w:rPr>
          <w:rStyle w:val="Ninguno"/>
          <w:rFonts w:ascii="Times New Roman" w:hAnsi="Times New Roman"/>
          <w:kern w:val="2"/>
          <w:sz w:val="24"/>
          <w:szCs w:val="24"/>
          <w:lang w:val="pt-PT"/>
        </w:rPr>
        <w:lastRenderedPageBreak/>
        <w:t>Procesados por motivos pol</w:t>
      </w:r>
      <w:proofErr w:type="spellStart"/>
      <w:r>
        <w:rPr>
          <w:rStyle w:val="Ninguno"/>
          <w:rFonts w:ascii="Times New Roman" w:hAnsi="Times New Roman"/>
          <w:kern w:val="2"/>
          <w:sz w:val="24"/>
          <w:szCs w:val="24"/>
        </w:rPr>
        <w:t>íticos</w:t>
      </w:r>
      <w:proofErr w:type="spellEnd"/>
      <w:r>
        <w:rPr>
          <w:rStyle w:val="Ninguno"/>
          <w:rFonts w:ascii="Times New Roman" w:hAnsi="Times New Roman"/>
          <w:kern w:val="2"/>
          <w:sz w:val="24"/>
          <w:szCs w:val="24"/>
        </w:rPr>
        <w:t xml:space="preserve"> o que permanecieron detenidas por </w:t>
      </w:r>
      <w:proofErr w:type="spellStart"/>
      <w:r>
        <w:rPr>
          <w:rStyle w:val="Ninguno"/>
          <w:rFonts w:ascii="Times New Roman" w:hAnsi="Times New Roman"/>
          <w:kern w:val="2"/>
          <w:sz w:val="24"/>
          <w:szCs w:val="24"/>
        </w:rPr>
        <w:t>má</w:t>
      </w:r>
      <w:proofErr w:type="spellEnd"/>
      <w:r>
        <w:rPr>
          <w:rStyle w:val="Ninguno"/>
          <w:rFonts w:ascii="Times New Roman" w:hAnsi="Times New Roman"/>
          <w:kern w:val="2"/>
          <w:sz w:val="24"/>
          <w:szCs w:val="24"/>
          <w:lang w:val="pt-PT"/>
        </w:rPr>
        <w:t>s de seis meses por dichos motivos.</w:t>
      </w:r>
    </w:p>
    <w:p w14:paraId="46F0B573" w14:textId="77777777" w:rsidR="00591E03" w:rsidRDefault="00F002B7">
      <w:pPr>
        <w:pStyle w:val="Cuerpo"/>
        <w:numPr>
          <w:ilvl w:val="0"/>
          <w:numId w:val="13"/>
        </w:numPr>
        <w:shd w:val="clear" w:color="auto" w:fill="FFFFFF"/>
        <w:suppressAutoHyphens/>
        <w:spacing w:after="0" w:line="240" w:lineRule="auto"/>
        <w:jc w:val="both"/>
        <w:rPr>
          <w:rFonts w:ascii="Times New Roman" w:hAnsi="Times New Roman"/>
          <w:sz w:val="24"/>
          <w:szCs w:val="24"/>
        </w:rPr>
      </w:pPr>
      <w:r>
        <w:rPr>
          <w:rStyle w:val="Ninguno"/>
          <w:rFonts w:ascii="Times New Roman" w:hAnsi="Times New Roman"/>
          <w:sz w:val="24"/>
          <w:szCs w:val="24"/>
          <w:u w:val="single"/>
        </w:rPr>
        <w:t>Art. 10</w:t>
      </w:r>
      <w:r>
        <w:rPr>
          <w:rStyle w:val="Ninguno"/>
          <w:rFonts w:ascii="Times New Roman" w:hAnsi="Times New Roman"/>
          <w:sz w:val="24"/>
          <w:szCs w:val="24"/>
        </w:rPr>
        <w:t xml:space="preserve"> Se otorgaron 501 reparaciones en salud, que abarca prestaciones médicas incluida la asistencia </w:t>
      </w:r>
      <w:proofErr w:type="spellStart"/>
      <w:r>
        <w:rPr>
          <w:rStyle w:val="Ninguno"/>
          <w:rFonts w:ascii="Times New Roman" w:hAnsi="Times New Roman"/>
          <w:sz w:val="24"/>
          <w:szCs w:val="24"/>
        </w:rPr>
        <w:t>psicoló</w:t>
      </w:r>
      <w:r w:rsidRPr="00095F15">
        <w:rPr>
          <w:rStyle w:val="Ninguno"/>
          <w:rFonts w:ascii="Times New Roman" w:hAnsi="Times New Roman"/>
          <w:sz w:val="24"/>
          <w:szCs w:val="24"/>
          <w:lang w:val="es-ES"/>
        </w:rPr>
        <w:t>gica</w:t>
      </w:r>
      <w:proofErr w:type="spellEnd"/>
      <w:r w:rsidRPr="00095F15">
        <w:rPr>
          <w:rStyle w:val="Ninguno"/>
          <w:rFonts w:ascii="Times New Roman" w:hAnsi="Times New Roman"/>
          <w:sz w:val="24"/>
          <w:szCs w:val="24"/>
          <w:lang w:val="es-ES"/>
        </w:rPr>
        <w:t xml:space="preserve">, </w:t>
      </w:r>
      <w:proofErr w:type="spellStart"/>
      <w:r w:rsidRPr="00095F15">
        <w:rPr>
          <w:rStyle w:val="Ninguno"/>
          <w:rFonts w:ascii="Times New Roman" w:hAnsi="Times New Roman"/>
          <w:sz w:val="24"/>
          <w:szCs w:val="24"/>
          <w:lang w:val="es-ES"/>
        </w:rPr>
        <w:t>psiqui</w:t>
      </w:r>
      <w:r>
        <w:rPr>
          <w:rStyle w:val="Ninguno"/>
          <w:rFonts w:ascii="Times New Roman" w:hAnsi="Times New Roman"/>
          <w:sz w:val="24"/>
          <w:szCs w:val="24"/>
        </w:rPr>
        <w:t>átrica</w:t>
      </w:r>
      <w:proofErr w:type="spellEnd"/>
      <w:r>
        <w:rPr>
          <w:rStyle w:val="Ninguno"/>
          <w:rFonts w:ascii="Times New Roman" w:hAnsi="Times New Roman"/>
          <w:sz w:val="24"/>
          <w:szCs w:val="24"/>
        </w:rPr>
        <w:t>, odontológica y farmacológica que garanticen la cobert</w:t>
      </w:r>
      <w:r>
        <w:rPr>
          <w:rStyle w:val="Ninguno"/>
          <w:rFonts w:ascii="Times New Roman" w:hAnsi="Times New Roman"/>
          <w:sz w:val="24"/>
          <w:szCs w:val="24"/>
        </w:rPr>
        <w:t xml:space="preserve">ura integral de salud en el marco del Sistema Nacional Integrado de Salud. </w:t>
      </w:r>
    </w:p>
    <w:p w14:paraId="1B6DCB61" w14:textId="77777777" w:rsidR="00591E03" w:rsidRDefault="00591E03">
      <w:pPr>
        <w:pStyle w:val="Cuerpo"/>
        <w:shd w:val="clear" w:color="auto" w:fill="FFFFFF"/>
        <w:suppressAutoHyphens/>
        <w:spacing w:after="0" w:line="240" w:lineRule="auto"/>
        <w:jc w:val="both"/>
        <w:rPr>
          <w:rStyle w:val="Ninguno"/>
          <w:rFonts w:ascii="Times New Roman" w:eastAsia="Times New Roman" w:hAnsi="Times New Roman" w:cs="Times New Roman"/>
          <w:i/>
          <w:iCs/>
          <w:kern w:val="2"/>
          <w:sz w:val="24"/>
          <w:szCs w:val="24"/>
        </w:rPr>
      </w:pPr>
    </w:p>
    <w:p w14:paraId="5E201078" w14:textId="77777777" w:rsidR="00591E03" w:rsidRDefault="00F002B7">
      <w:pPr>
        <w:pStyle w:val="Cuerpo"/>
        <w:shd w:val="clear" w:color="auto" w:fill="FFFFFF"/>
        <w:suppressAutoHyphens/>
        <w:spacing w:after="0" w:line="240" w:lineRule="auto"/>
        <w:jc w:val="both"/>
        <w:rPr>
          <w:rStyle w:val="Ninguno"/>
          <w:rFonts w:ascii="Times New Roman" w:eastAsia="Times New Roman" w:hAnsi="Times New Roman" w:cs="Times New Roman"/>
          <w:b/>
          <w:bCs/>
          <w:i/>
          <w:iCs/>
          <w:kern w:val="2"/>
          <w:sz w:val="24"/>
          <w:szCs w:val="24"/>
        </w:rPr>
      </w:pPr>
      <w:proofErr w:type="spellStart"/>
      <w:r>
        <w:rPr>
          <w:rStyle w:val="Ninguno"/>
          <w:rFonts w:ascii="Times New Roman" w:hAnsi="Times New Roman"/>
          <w:b/>
          <w:bCs/>
          <w:i/>
          <w:iCs/>
          <w:kern w:val="2"/>
          <w:sz w:val="24"/>
          <w:szCs w:val="24"/>
        </w:rPr>
        <w:t>Reparació</w:t>
      </w:r>
      <w:proofErr w:type="spellEnd"/>
      <w:r w:rsidRPr="00095F15">
        <w:rPr>
          <w:rStyle w:val="Ninguno"/>
          <w:rFonts w:ascii="Times New Roman" w:hAnsi="Times New Roman"/>
          <w:b/>
          <w:bCs/>
          <w:i/>
          <w:iCs/>
          <w:kern w:val="2"/>
          <w:sz w:val="24"/>
          <w:szCs w:val="24"/>
          <w:lang w:val="es-ES"/>
        </w:rPr>
        <w:t>n moral (</w:t>
      </w:r>
      <w:proofErr w:type="spellStart"/>
      <w:r w:rsidRPr="00095F15">
        <w:rPr>
          <w:rStyle w:val="Ninguno"/>
          <w:rFonts w:ascii="Times New Roman" w:hAnsi="Times New Roman"/>
          <w:b/>
          <w:bCs/>
          <w:i/>
          <w:iCs/>
          <w:kern w:val="2"/>
          <w:sz w:val="24"/>
          <w:szCs w:val="24"/>
          <w:lang w:val="es-ES"/>
        </w:rPr>
        <w:t>simb</w:t>
      </w:r>
      <w:r>
        <w:rPr>
          <w:rStyle w:val="Ninguno"/>
          <w:rFonts w:ascii="Times New Roman" w:hAnsi="Times New Roman"/>
          <w:b/>
          <w:bCs/>
          <w:i/>
          <w:iCs/>
          <w:kern w:val="2"/>
          <w:sz w:val="24"/>
          <w:szCs w:val="24"/>
        </w:rPr>
        <w:t>ó</w:t>
      </w:r>
      <w:proofErr w:type="spellEnd"/>
      <w:r w:rsidRPr="00095F15">
        <w:rPr>
          <w:rStyle w:val="Ninguno"/>
          <w:rFonts w:ascii="Times New Roman" w:hAnsi="Times New Roman"/>
          <w:b/>
          <w:bCs/>
          <w:i/>
          <w:iCs/>
          <w:kern w:val="2"/>
          <w:sz w:val="24"/>
          <w:szCs w:val="24"/>
          <w:lang w:val="es-ES"/>
        </w:rPr>
        <w:t xml:space="preserve">lica) a </w:t>
      </w:r>
      <w:proofErr w:type="spellStart"/>
      <w:r w:rsidRPr="00095F15">
        <w:rPr>
          <w:rStyle w:val="Ninguno"/>
          <w:rFonts w:ascii="Times New Roman" w:hAnsi="Times New Roman"/>
          <w:b/>
          <w:bCs/>
          <w:i/>
          <w:iCs/>
          <w:kern w:val="2"/>
          <w:sz w:val="24"/>
          <w:szCs w:val="24"/>
          <w:lang w:val="es-ES"/>
        </w:rPr>
        <w:t>trav</w:t>
      </w:r>
      <w:r>
        <w:rPr>
          <w:rStyle w:val="Ninguno"/>
          <w:rFonts w:ascii="Times New Roman" w:hAnsi="Times New Roman"/>
          <w:b/>
          <w:bCs/>
          <w:i/>
          <w:iCs/>
          <w:kern w:val="2"/>
          <w:sz w:val="24"/>
          <w:szCs w:val="24"/>
        </w:rPr>
        <w:t>és</w:t>
      </w:r>
      <w:proofErr w:type="spellEnd"/>
      <w:r>
        <w:rPr>
          <w:rStyle w:val="Ninguno"/>
          <w:rFonts w:ascii="Times New Roman" w:hAnsi="Times New Roman"/>
          <w:b/>
          <w:bCs/>
          <w:i/>
          <w:iCs/>
          <w:kern w:val="2"/>
          <w:sz w:val="24"/>
          <w:szCs w:val="24"/>
        </w:rPr>
        <w:t xml:space="preserve"> de un documento</w:t>
      </w:r>
    </w:p>
    <w:p w14:paraId="0F24A955" w14:textId="77777777" w:rsidR="00591E03" w:rsidRDefault="00591E03">
      <w:pPr>
        <w:pStyle w:val="Cuerpo"/>
        <w:shd w:val="clear" w:color="auto" w:fill="FFFFFF"/>
        <w:suppressAutoHyphens/>
        <w:spacing w:after="0" w:line="240" w:lineRule="auto"/>
        <w:jc w:val="both"/>
        <w:rPr>
          <w:rStyle w:val="Ninguno"/>
          <w:rFonts w:ascii="Times New Roman" w:eastAsia="Times New Roman" w:hAnsi="Times New Roman" w:cs="Times New Roman"/>
          <w:b/>
          <w:bCs/>
          <w:i/>
          <w:iCs/>
          <w:kern w:val="2"/>
          <w:sz w:val="24"/>
          <w:szCs w:val="24"/>
        </w:rPr>
      </w:pPr>
    </w:p>
    <w:p w14:paraId="0C80DE46" w14:textId="77777777" w:rsidR="00591E03" w:rsidRDefault="00F002B7">
      <w:pPr>
        <w:pStyle w:val="Cuerpo"/>
        <w:numPr>
          <w:ilvl w:val="0"/>
          <w:numId w:val="14"/>
        </w:numPr>
        <w:shd w:val="clear" w:color="auto" w:fill="FFFFFF"/>
        <w:suppressAutoHyphens/>
        <w:spacing w:after="150" w:line="240" w:lineRule="auto"/>
        <w:jc w:val="both"/>
        <w:rPr>
          <w:rFonts w:ascii="Times New Roman" w:hAnsi="Times New Roman"/>
          <w:sz w:val="24"/>
          <w:szCs w:val="24"/>
        </w:rPr>
      </w:pPr>
      <w:r>
        <w:rPr>
          <w:rStyle w:val="Ninguno"/>
          <w:rFonts w:ascii="Times New Roman" w:hAnsi="Times New Roman"/>
          <w:sz w:val="24"/>
          <w:szCs w:val="24"/>
          <w:u w:val="single"/>
        </w:rPr>
        <w:t>Art. 9</w:t>
      </w:r>
      <w:r>
        <w:rPr>
          <w:rStyle w:val="Ninguno"/>
          <w:rFonts w:ascii="Times New Roman" w:hAnsi="Times New Roman"/>
          <w:sz w:val="24"/>
          <w:szCs w:val="24"/>
        </w:rPr>
        <w:t xml:space="preserve"> Se otorgaron 997 reparaciones simbólicas acreditando su </w:t>
      </w:r>
      <w:proofErr w:type="spellStart"/>
      <w:r>
        <w:rPr>
          <w:rStyle w:val="Ninguno"/>
          <w:rFonts w:ascii="Times New Roman" w:hAnsi="Times New Roman"/>
          <w:sz w:val="24"/>
          <w:szCs w:val="24"/>
        </w:rPr>
        <w:t>condició</w:t>
      </w:r>
      <w:proofErr w:type="spellEnd"/>
      <w:r>
        <w:rPr>
          <w:rStyle w:val="Ninguno"/>
          <w:rFonts w:ascii="Times New Roman" w:hAnsi="Times New Roman"/>
          <w:sz w:val="24"/>
          <w:szCs w:val="24"/>
          <w:lang w:val="nl-NL"/>
        </w:rPr>
        <w:t>n de v</w:t>
      </w:r>
      <w:r>
        <w:rPr>
          <w:rStyle w:val="Ninguno"/>
          <w:rFonts w:ascii="Times New Roman" w:hAnsi="Times New Roman"/>
          <w:sz w:val="24"/>
          <w:szCs w:val="24"/>
        </w:rPr>
        <w:t>í</w:t>
      </w:r>
      <w:proofErr w:type="spellStart"/>
      <w:r w:rsidRPr="00095F15">
        <w:rPr>
          <w:rStyle w:val="Ninguno"/>
          <w:rFonts w:ascii="Times New Roman" w:hAnsi="Times New Roman"/>
          <w:sz w:val="24"/>
          <w:szCs w:val="24"/>
          <w:lang w:val="es-ES"/>
        </w:rPr>
        <w:t>ctima</w:t>
      </w:r>
      <w:proofErr w:type="spellEnd"/>
      <w:r w:rsidRPr="00095F15">
        <w:rPr>
          <w:rStyle w:val="Ninguno"/>
          <w:rFonts w:ascii="Times New Roman" w:hAnsi="Times New Roman"/>
          <w:sz w:val="24"/>
          <w:szCs w:val="24"/>
          <w:lang w:val="es-ES"/>
        </w:rPr>
        <w:t>.</w:t>
      </w:r>
    </w:p>
    <w:p w14:paraId="46DBE657" w14:textId="77777777" w:rsidR="00591E03" w:rsidRDefault="00591E03">
      <w:pPr>
        <w:pStyle w:val="Cuerpo"/>
        <w:suppressAutoHyphens/>
        <w:spacing w:after="0" w:line="240" w:lineRule="auto"/>
        <w:jc w:val="both"/>
        <w:rPr>
          <w:rStyle w:val="Ninguno"/>
          <w:rFonts w:ascii="Times New Roman" w:eastAsia="Times New Roman" w:hAnsi="Times New Roman" w:cs="Times New Roman"/>
          <w:kern w:val="2"/>
          <w:sz w:val="24"/>
          <w:szCs w:val="24"/>
        </w:rPr>
      </w:pPr>
    </w:p>
    <w:p w14:paraId="7D20794F" w14:textId="77777777" w:rsidR="00591E03" w:rsidRDefault="00F002B7">
      <w:pPr>
        <w:pStyle w:val="Cuerpo"/>
        <w:suppressAutoHyphens/>
        <w:spacing w:after="0" w:line="240" w:lineRule="auto"/>
        <w:jc w:val="both"/>
        <w:rPr>
          <w:rStyle w:val="Ninguno"/>
          <w:rFonts w:ascii="Times New Roman" w:eastAsia="Times New Roman" w:hAnsi="Times New Roman" w:cs="Times New Roman"/>
          <w:b/>
          <w:bCs/>
          <w:i/>
          <w:iCs/>
          <w:kern w:val="2"/>
          <w:sz w:val="24"/>
          <w:szCs w:val="24"/>
        </w:rPr>
      </w:pPr>
      <w:r>
        <w:rPr>
          <w:rStyle w:val="Ninguno"/>
          <w:rFonts w:ascii="Times New Roman" w:hAnsi="Times New Roman"/>
          <w:b/>
          <w:bCs/>
          <w:i/>
          <w:iCs/>
          <w:kern w:val="2"/>
          <w:sz w:val="24"/>
          <w:szCs w:val="24"/>
        </w:rPr>
        <w:t>Información discriminada por año</w:t>
      </w:r>
    </w:p>
    <w:p w14:paraId="61DAC681" w14:textId="77777777" w:rsidR="00591E03" w:rsidRDefault="00591E03">
      <w:pPr>
        <w:pStyle w:val="Cuerpo"/>
        <w:spacing w:line="240" w:lineRule="auto"/>
        <w:jc w:val="both"/>
        <w:rPr>
          <w:rStyle w:val="Ninguno"/>
          <w:rFonts w:ascii="Times New Roman" w:eastAsia="Times New Roman" w:hAnsi="Times New Roman" w:cs="Times New Roman"/>
          <w:b/>
          <w:bCs/>
          <w:i/>
          <w:iCs/>
          <w:sz w:val="24"/>
          <w:szCs w:val="24"/>
        </w:rPr>
      </w:pPr>
    </w:p>
    <w:p w14:paraId="20FE37FA" w14:textId="77777777" w:rsidR="00591E03" w:rsidRDefault="00F002B7">
      <w:pPr>
        <w:pStyle w:val="Cuerpo"/>
        <w:spacing w:line="240" w:lineRule="auto"/>
        <w:jc w:val="both"/>
        <w:rPr>
          <w:rStyle w:val="Ninguno"/>
          <w:rFonts w:ascii="Times New Roman" w:eastAsia="Times New Roman" w:hAnsi="Times New Roman" w:cs="Times New Roman"/>
          <w:b/>
          <w:bCs/>
          <w:i/>
          <w:iCs/>
          <w:sz w:val="24"/>
          <w:szCs w:val="24"/>
        </w:rPr>
      </w:pPr>
      <w:r>
        <w:rPr>
          <w:rStyle w:val="Ninguno"/>
          <w:rFonts w:ascii="Times New Roman" w:hAnsi="Times New Roman"/>
          <w:b/>
          <w:bCs/>
          <w:i/>
          <w:iCs/>
          <w:sz w:val="24"/>
          <w:szCs w:val="24"/>
        </w:rPr>
        <w:t>Reparación a través de indemnización económica</w:t>
      </w:r>
    </w:p>
    <w:p w14:paraId="53B647FD"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Fundamento legal: Artículo 11 literales a), b), c) y d) de la Ley N°18.596. </w:t>
      </w:r>
    </w:p>
    <w:p w14:paraId="12F48A68"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4A6E74EC" w14:textId="77777777" w:rsidR="00591E03" w:rsidRDefault="00F002B7">
      <w:pPr>
        <w:pStyle w:val="Cuerpo"/>
        <w:suppressAutoHyphens/>
        <w:spacing w:after="0" w:line="240" w:lineRule="auto"/>
        <w:ind w:left="360"/>
        <w:jc w:val="both"/>
        <w:rPr>
          <w:rStyle w:val="Ninguno"/>
          <w:rFonts w:ascii="Times New Roman" w:eastAsia="Times New Roman" w:hAnsi="Times New Roman" w:cs="Times New Roman"/>
          <w:kern w:val="2"/>
          <w:sz w:val="24"/>
          <w:szCs w:val="24"/>
        </w:rPr>
      </w:pPr>
      <w:r>
        <w:rPr>
          <w:rStyle w:val="Ninguno"/>
          <w:rFonts w:ascii="Times New Roman" w:hAnsi="Times New Roman"/>
          <w:kern w:val="2"/>
          <w:sz w:val="24"/>
          <w:szCs w:val="24"/>
        </w:rPr>
        <w:t xml:space="preserve">Lit. a): Familiares de desaparecidos o fallecidos a raíz o en ocasión del accionar ilegitimo del Estado (500.000 Unidad Indexadas, </w:t>
      </w:r>
      <w:r w:rsidRPr="00095F15">
        <w:rPr>
          <w:rStyle w:val="Ninguno"/>
          <w:rFonts w:ascii="Times New Roman" w:hAnsi="Times New Roman"/>
          <w:kern w:val="2"/>
          <w:sz w:val="24"/>
          <w:szCs w:val="24"/>
          <w:lang w:val="es-ES"/>
        </w:rPr>
        <w:t>U$S67.750</w:t>
      </w:r>
      <w:r>
        <w:rPr>
          <w:rStyle w:val="Ninguno"/>
          <w:rFonts w:ascii="Times New Roman" w:hAnsi="Times New Roman"/>
          <w:kern w:val="2"/>
          <w:sz w:val="24"/>
          <w:szCs w:val="24"/>
        </w:rPr>
        <w:t>)</w:t>
      </w:r>
    </w:p>
    <w:p w14:paraId="0A8863F8" w14:textId="77777777" w:rsidR="00591E03" w:rsidRDefault="00F002B7">
      <w:pPr>
        <w:pStyle w:val="Cuerpo"/>
        <w:numPr>
          <w:ilvl w:val="0"/>
          <w:numId w:val="9"/>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2010: 12</w:t>
      </w:r>
    </w:p>
    <w:p w14:paraId="2D6FD997" w14:textId="77777777" w:rsidR="00591E03" w:rsidRDefault="00F002B7">
      <w:pPr>
        <w:pStyle w:val="Cuerpo"/>
        <w:numPr>
          <w:ilvl w:val="0"/>
          <w:numId w:val="9"/>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2011:78</w:t>
      </w:r>
    </w:p>
    <w:p w14:paraId="36FB4E0C" w14:textId="77777777" w:rsidR="00591E03" w:rsidRDefault="00F002B7">
      <w:pPr>
        <w:pStyle w:val="Cuerpo"/>
        <w:numPr>
          <w:ilvl w:val="0"/>
          <w:numId w:val="9"/>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2012: 57</w:t>
      </w:r>
    </w:p>
    <w:p w14:paraId="61EDF42E" w14:textId="77777777" w:rsidR="00591E03" w:rsidRDefault="00F002B7">
      <w:pPr>
        <w:pStyle w:val="Cuerpo"/>
        <w:numPr>
          <w:ilvl w:val="0"/>
          <w:numId w:val="9"/>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2013: 33</w:t>
      </w:r>
    </w:p>
    <w:p w14:paraId="00BD700B" w14:textId="77777777" w:rsidR="00591E03" w:rsidRDefault="00F002B7">
      <w:pPr>
        <w:pStyle w:val="Cuerpo"/>
        <w:numPr>
          <w:ilvl w:val="0"/>
          <w:numId w:val="9"/>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2014:18</w:t>
      </w:r>
    </w:p>
    <w:p w14:paraId="7E7FF59D" w14:textId="77777777" w:rsidR="00591E03" w:rsidRDefault="00F002B7">
      <w:pPr>
        <w:pStyle w:val="Cuerpo"/>
        <w:numPr>
          <w:ilvl w:val="0"/>
          <w:numId w:val="9"/>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2015:13</w:t>
      </w:r>
    </w:p>
    <w:p w14:paraId="0DFE7AE8" w14:textId="77777777" w:rsidR="00591E03" w:rsidRDefault="00F002B7">
      <w:pPr>
        <w:pStyle w:val="Cuerpo"/>
        <w:numPr>
          <w:ilvl w:val="0"/>
          <w:numId w:val="9"/>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2016:11</w:t>
      </w:r>
    </w:p>
    <w:p w14:paraId="76BDC076" w14:textId="77777777" w:rsidR="00591E03" w:rsidRDefault="00F002B7">
      <w:pPr>
        <w:pStyle w:val="Cuerpo"/>
        <w:numPr>
          <w:ilvl w:val="0"/>
          <w:numId w:val="9"/>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2017:10</w:t>
      </w:r>
    </w:p>
    <w:p w14:paraId="688D792F" w14:textId="77777777" w:rsidR="00591E03" w:rsidRDefault="00F002B7">
      <w:pPr>
        <w:pStyle w:val="Cuerpo"/>
        <w:numPr>
          <w:ilvl w:val="0"/>
          <w:numId w:val="9"/>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2018:3</w:t>
      </w:r>
    </w:p>
    <w:p w14:paraId="166EE5E8" w14:textId="77777777" w:rsidR="00591E03" w:rsidRDefault="00F002B7">
      <w:pPr>
        <w:pStyle w:val="Cuerpo"/>
        <w:numPr>
          <w:ilvl w:val="0"/>
          <w:numId w:val="9"/>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2019:6</w:t>
      </w:r>
    </w:p>
    <w:p w14:paraId="3776A2FD" w14:textId="77777777" w:rsidR="00591E03" w:rsidRDefault="00F002B7">
      <w:pPr>
        <w:pStyle w:val="Cuerpo"/>
        <w:numPr>
          <w:ilvl w:val="0"/>
          <w:numId w:val="9"/>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2020:2</w:t>
      </w:r>
    </w:p>
    <w:p w14:paraId="5D57961B" w14:textId="77777777" w:rsidR="00591E03" w:rsidRDefault="00F002B7">
      <w:pPr>
        <w:pStyle w:val="Cuerpo"/>
        <w:numPr>
          <w:ilvl w:val="0"/>
          <w:numId w:val="9"/>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2021:2</w:t>
      </w:r>
    </w:p>
    <w:p w14:paraId="04266D9E" w14:textId="77777777" w:rsidR="00591E03" w:rsidRDefault="00F002B7">
      <w:pPr>
        <w:pStyle w:val="Cuerpo"/>
        <w:numPr>
          <w:ilvl w:val="0"/>
          <w:numId w:val="9"/>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2022 (primer semestre): 2</w:t>
      </w:r>
    </w:p>
    <w:p w14:paraId="5147F7C7" w14:textId="77777777" w:rsidR="00591E03" w:rsidRDefault="00591E03">
      <w:pPr>
        <w:pStyle w:val="Cuerpo"/>
        <w:suppressAutoHyphens/>
        <w:spacing w:after="0" w:line="240" w:lineRule="auto"/>
        <w:jc w:val="both"/>
        <w:rPr>
          <w:rStyle w:val="Ninguno"/>
          <w:rFonts w:ascii="Times New Roman" w:eastAsia="Times New Roman" w:hAnsi="Times New Roman" w:cs="Times New Roman"/>
          <w:kern w:val="2"/>
          <w:sz w:val="24"/>
          <w:szCs w:val="24"/>
        </w:rPr>
      </w:pPr>
    </w:p>
    <w:p w14:paraId="50F95BAB" w14:textId="77777777" w:rsidR="00591E03" w:rsidRDefault="00F002B7">
      <w:pPr>
        <w:pStyle w:val="Cuerpo"/>
        <w:suppressAutoHyphens/>
        <w:spacing w:line="240" w:lineRule="auto"/>
        <w:jc w:val="both"/>
        <w:rPr>
          <w:rStyle w:val="Ninguno"/>
          <w:rFonts w:ascii="Times New Roman" w:eastAsia="Times New Roman" w:hAnsi="Times New Roman" w:cs="Times New Roman"/>
          <w:kern w:val="2"/>
          <w:sz w:val="24"/>
          <w:szCs w:val="24"/>
        </w:rPr>
      </w:pPr>
      <w:r>
        <w:rPr>
          <w:rStyle w:val="Ninguno"/>
          <w:rFonts w:ascii="Times New Roman" w:hAnsi="Times New Roman"/>
          <w:kern w:val="2"/>
          <w:sz w:val="24"/>
          <w:szCs w:val="24"/>
        </w:rPr>
        <w:t xml:space="preserve">Lit. b): Personas que sufrieron lesiones gravísimas como consecuencia del accionar ilegítimo del Estado (250.000 Unidades Indexadas, </w:t>
      </w:r>
      <w:r w:rsidRPr="00095F15">
        <w:rPr>
          <w:rStyle w:val="Ninguno"/>
          <w:rFonts w:ascii="Times New Roman" w:hAnsi="Times New Roman"/>
          <w:kern w:val="2"/>
          <w:sz w:val="24"/>
          <w:szCs w:val="24"/>
          <w:lang w:val="es-ES"/>
        </w:rPr>
        <w:t>U$S33.875</w:t>
      </w:r>
      <w:r>
        <w:rPr>
          <w:rStyle w:val="Ninguno"/>
          <w:rFonts w:ascii="Times New Roman" w:hAnsi="Times New Roman"/>
          <w:kern w:val="2"/>
          <w:sz w:val="24"/>
          <w:szCs w:val="24"/>
        </w:rPr>
        <w:t>)</w:t>
      </w:r>
    </w:p>
    <w:p w14:paraId="093E88D0" w14:textId="77777777" w:rsidR="00591E03" w:rsidRDefault="00F002B7">
      <w:pPr>
        <w:pStyle w:val="Cuerpo"/>
        <w:numPr>
          <w:ilvl w:val="0"/>
          <w:numId w:val="16"/>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2010: 13</w:t>
      </w:r>
    </w:p>
    <w:p w14:paraId="3F13574C" w14:textId="77777777" w:rsidR="00591E03" w:rsidRDefault="00F002B7">
      <w:pPr>
        <w:pStyle w:val="Cuerpo"/>
        <w:numPr>
          <w:ilvl w:val="0"/>
          <w:numId w:val="16"/>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2011:13</w:t>
      </w:r>
    </w:p>
    <w:p w14:paraId="6408E03D" w14:textId="77777777" w:rsidR="00591E03" w:rsidRDefault="00F002B7">
      <w:pPr>
        <w:pStyle w:val="Cuerpo"/>
        <w:numPr>
          <w:ilvl w:val="0"/>
          <w:numId w:val="16"/>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2012:18</w:t>
      </w:r>
    </w:p>
    <w:p w14:paraId="438F7800" w14:textId="77777777" w:rsidR="00591E03" w:rsidRDefault="00F002B7">
      <w:pPr>
        <w:pStyle w:val="Cuerpo"/>
        <w:numPr>
          <w:ilvl w:val="0"/>
          <w:numId w:val="16"/>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2013:24</w:t>
      </w:r>
    </w:p>
    <w:p w14:paraId="71FB6ACB" w14:textId="77777777" w:rsidR="00591E03" w:rsidRDefault="00F002B7">
      <w:pPr>
        <w:pStyle w:val="Cuerpo"/>
        <w:numPr>
          <w:ilvl w:val="0"/>
          <w:numId w:val="16"/>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2014:15</w:t>
      </w:r>
    </w:p>
    <w:p w14:paraId="553CE2EF" w14:textId="77777777" w:rsidR="00591E03" w:rsidRDefault="00F002B7">
      <w:pPr>
        <w:pStyle w:val="Cuerpo"/>
        <w:numPr>
          <w:ilvl w:val="0"/>
          <w:numId w:val="16"/>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2015:11</w:t>
      </w:r>
    </w:p>
    <w:p w14:paraId="1BDAC7F6" w14:textId="77777777" w:rsidR="00591E03" w:rsidRDefault="00F002B7">
      <w:pPr>
        <w:pStyle w:val="Cuerpo"/>
        <w:numPr>
          <w:ilvl w:val="0"/>
          <w:numId w:val="16"/>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2016:10</w:t>
      </w:r>
    </w:p>
    <w:p w14:paraId="3335F9BE" w14:textId="77777777" w:rsidR="00591E03" w:rsidRDefault="00F002B7">
      <w:pPr>
        <w:pStyle w:val="Cuerpo"/>
        <w:numPr>
          <w:ilvl w:val="0"/>
          <w:numId w:val="16"/>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2017:16</w:t>
      </w:r>
    </w:p>
    <w:p w14:paraId="38BAAB8A" w14:textId="77777777" w:rsidR="00591E03" w:rsidRDefault="00F002B7">
      <w:pPr>
        <w:pStyle w:val="Cuerpo"/>
        <w:numPr>
          <w:ilvl w:val="0"/>
          <w:numId w:val="16"/>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2018:3</w:t>
      </w:r>
    </w:p>
    <w:p w14:paraId="6C53ABD7" w14:textId="77777777" w:rsidR="00591E03" w:rsidRDefault="00F002B7">
      <w:pPr>
        <w:pStyle w:val="Cuerpo"/>
        <w:numPr>
          <w:ilvl w:val="0"/>
          <w:numId w:val="16"/>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 xml:space="preserve">Año </w:t>
      </w:r>
      <w:r>
        <w:rPr>
          <w:rStyle w:val="Ninguno"/>
          <w:rFonts w:ascii="Times New Roman" w:hAnsi="Times New Roman"/>
          <w:kern w:val="2"/>
          <w:sz w:val="24"/>
          <w:szCs w:val="24"/>
        </w:rPr>
        <w:t>2019:3</w:t>
      </w:r>
    </w:p>
    <w:p w14:paraId="60F447B9" w14:textId="77777777" w:rsidR="00591E03" w:rsidRDefault="00F002B7">
      <w:pPr>
        <w:pStyle w:val="Cuerpo"/>
        <w:numPr>
          <w:ilvl w:val="0"/>
          <w:numId w:val="16"/>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lastRenderedPageBreak/>
        <w:t>Año 2020:3</w:t>
      </w:r>
    </w:p>
    <w:p w14:paraId="16705E59" w14:textId="77777777" w:rsidR="00591E03" w:rsidRDefault="00F002B7">
      <w:pPr>
        <w:pStyle w:val="Cuerpo"/>
        <w:numPr>
          <w:ilvl w:val="0"/>
          <w:numId w:val="16"/>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2021:1</w:t>
      </w:r>
    </w:p>
    <w:p w14:paraId="6FE04383" w14:textId="77777777" w:rsidR="00591E03" w:rsidRDefault="00F002B7">
      <w:pPr>
        <w:pStyle w:val="Cuerpo"/>
        <w:numPr>
          <w:ilvl w:val="0"/>
          <w:numId w:val="16"/>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2022 (primer semestre): 0</w:t>
      </w:r>
    </w:p>
    <w:p w14:paraId="098AE7DD" w14:textId="77777777" w:rsidR="00591E03" w:rsidRDefault="00591E03">
      <w:pPr>
        <w:pStyle w:val="Cuerpo"/>
        <w:suppressAutoHyphens/>
        <w:spacing w:after="0" w:line="240" w:lineRule="auto"/>
        <w:jc w:val="both"/>
        <w:rPr>
          <w:rStyle w:val="Ninguno"/>
          <w:rFonts w:ascii="Times New Roman" w:eastAsia="Times New Roman" w:hAnsi="Times New Roman" w:cs="Times New Roman"/>
          <w:kern w:val="2"/>
          <w:sz w:val="24"/>
          <w:szCs w:val="24"/>
        </w:rPr>
      </w:pPr>
    </w:p>
    <w:p w14:paraId="30EDB2B9" w14:textId="77777777" w:rsidR="00591E03" w:rsidRDefault="00F002B7">
      <w:pPr>
        <w:pStyle w:val="Cuerpo"/>
        <w:suppressAutoHyphens/>
        <w:spacing w:after="0" w:line="240" w:lineRule="auto"/>
        <w:jc w:val="both"/>
        <w:rPr>
          <w:rStyle w:val="Ninguno"/>
          <w:rFonts w:ascii="Times New Roman" w:eastAsia="Times New Roman" w:hAnsi="Times New Roman" w:cs="Times New Roman"/>
          <w:kern w:val="2"/>
          <w:sz w:val="24"/>
          <w:szCs w:val="24"/>
        </w:rPr>
      </w:pPr>
      <w:r>
        <w:rPr>
          <w:rStyle w:val="Ninguno"/>
          <w:rFonts w:ascii="Times New Roman" w:hAnsi="Times New Roman"/>
          <w:kern w:val="2"/>
          <w:sz w:val="24"/>
          <w:szCs w:val="24"/>
        </w:rPr>
        <w:t xml:space="preserve">Lit. c): Niños secuestrados más de 30 días (375.000 Unidades Indexadas, </w:t>
      </w:r>
      <w:r w:rsidRPr="00095F15">
        <w:rPr>
          <w:rStyle w:val="Ninguno"/>
          <w:rFonts w:ascii="Times New Roman" w:hAnsi="Times New Roman"/>
          <w:kern w:val="2"/>
          <w:sz w:val="24"/>
          <w:szCs w:val="24"/>
          <w:lang w:val="es-ES"/>
        </w:rPr>
        <w:t>U$S50.906</w:t>
      </w:r>
      <w:r>
        <w:rPr>
          <w:rStyle w:val="Ninguno"/>
          <w:rFonts w:ascii="Times New Roman" w:hAnsi="Times New Roman"/>
          <w:kern w:val="2"/>
          <w:sz w:val="24"/>
          <w:szCs w:val="24"/>
        </w:rPr>
        <w:t>)</w:t>
      </w:r>
    </w:p>
    <w:p w14:paraId="29EE27D8" w14:textId="77777777" w:rsidR="00591E03" w:rsidRDefault="00F002B7">
      <w:pPr>
        <w:pStyle w:val="Cuerpo"/>
        <w:numPr>
          <w:ilvl w:val="0"/>
          <w:numId w:val="18"/>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2010: 0</w:t>
      </w:r>
    </w:p>
    <w:p w14:paraId="307B4BA2" w14:textId="77777777" w:rsidR="00591E03" w:rsidRDefault="00F002B7">
      <w:pPr>
        <w:pStyle w:val="Cuerpo"/>
        <w:numPr>
          <w:ilvl w:val="0"/>
          <w:numId w:val="18"/>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2011:3</w:t>
      </w:r>
    </w:p>
    <w:p w14:paraId="0511483E" w14:textId="77777777" w:rsidR="00591E03" w:rsidRDefault="00F002B7">
      <w:pPr>
        <w:pStyle w:val="Cuerpo"/>
        <w:numPr>
          <w:ilvl w:val="0"/>
          <w:numId w:val="18"/>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2012:1</w:t>
      </w:r>
    </w:p>
    <w:p w14:paraId="030D2375" w14:textId="77777777" w:rsidR="00591E03" w:rsidRDefault="00F002B7">
      <w:pPr>
        <w:pStyle w:val="Cuerpo"/>
        <w:numPr>
          <w:ilvl w:val="0"/>
          <w:numId w:val="18"/>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2013:0</w:t>
      </w:r>
    </w:p>
    <w:p w14:paraId="2A15E412" w14:textId="77777777" w:rsidR="00591E03" w:rsidRDefault="00F002B7">
      <w:pPr>
        <w:pStyle w:val="Cuerpo"/>
        <w:numPr>
          <w:ilvl w:val="0"/>
          <w:numId w:val="18"/>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2014:0</w:t>
      </w:r>
    </w:p>
    <w:p w14:paraId="24DB5298" w14:textId="77777777" w:rsidR="00591E03" w:rsidRDefault="00F002B7">
      <w:pPr>
        <w:pStyle w:val="Cuerpo"/>
        <w:numPr>
          <w:ilvl w:val="0"/>
          <w:numId w:val="18"/>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2015:0</w:t>
      </w:r>
    </w:p>
    <w:p w14:paraId="0CFC69B6" w14:textId="77777777" w:rsidR="00591E03" w:rsidRDefault="00F002B7">
      <w:pPr>
        <w:pStyle w:val="Cuerpo"/>
        <w:numPr>
          <w:ilvl w:val="0"/>
          <w:numId w:val="18"/>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2016:2</w:t>
      </w:r>
    </w:p>
    <w:p w14:paraId="4A703273" w14:textId="77777777" w:rsidR="00591E03" w:rsidRDefault="00F002B7">
      <w:pPr>
        <w:pStyle w:val="Cuerpo"/>
        <w:numPr>
          <w:ilvl w:val="0"/>
          <w:numId w:val="18"/>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2017:0</w:t>
      </w:r>
    </w:p>
    <w:p w14:paraId="4D4C3C9E" w14:textId="77777777" w:rsidR="00591E03" w:rsidRDefault="00F002B7">
      <w:pPr>
        <w:pStyle w:val="Cuerpo"/>
        <w:numPr>
          <w:ilvl w:val="0"/>
          <w:numId w:val="18"/>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2018:2</w:t>
      </w:r>
    </w:p>
    <w:p w14:paraId="00BE673F" w14:textId="77777777" w:rsidR="00591E03" w:rsidRDefault="00F002B7">
      <w:pPr>
        <w:pStyle w:val="Cuerpo"/>
        <w:numPr>
          <w:ilvl w:val="0"/>
          <w:numId w:val="18"/>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 xml:space="preserve">Año: </w:t>
      </w:r>
      <w:r>
        <w:rPr>
          <w:rStyle w:val="Ninguno"/>
          <w:rFonts w:ascii="Times New Roman" w:hAnsi="Times New Roman"/>
          <w:kern w:val="2"/>
          <w:sz w:val="24"/>
          <w:szCs w:val="24"/>
        </w:rPr>
        <w:t>2019:1</w:t>
      </w:r>
    </w:p>
    <w:p w14:paraId="238B9A4E" w14:textId="77777777" w:rsidR="00591E03" w:rsidRDefault="00F002B7">
      <w:pPr>
        <w:pStyle w:val="Cuerpo"/>
        <w:numPr>
          <w:ilvl w:val="0"/>
          <w:numId w:val="18"/>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2020:1</w:t>
      </w:r>
    </w:p>
    <w:p w14:paraId="3DAB6194" w14:textId="77777777" w:rsidR="00591E03" w:rsidRDefault="00F002B7">
      <w:pPr>
        <w:pStyle w:val="Cuerpo"/>
        <w:numPr>
          <w:ilvl w:val="0"/>
          <w:numId w:val="18"/>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2021:0</w:t>
      </w:r>
    </w:p>
    <w:p w14:paraId="72CB356E" w14:textId="77777777" w:rsidR="00591E03" w:rsidRDefault="00F002B7">
      <w:pPr>
        <w:pStyle w:val="Cuerpo"/>
        <w:numPr>
          <w:ilvl w:val="0"/>
          <w:numId w:val="18"/>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2022 (primer semestre): 0</w:t>
      </w:r>
    </w:p>
    <w:p w14:paraId="78CDAA34" w14:textId="77777777" w:rsidR="00591E03" w:rsidRDefault="00591E03">
      <w:pPr>
        <w:pStyle w:val="Cuerpo"/>
        <w:suppressAutoHyphens/>
        <w:spacing w:after="0" w:line="240" w:lineRule="auto"/>
        <w:jc w:val="both"/>
        <w:rPr>
          <w:rStyle w:val="Ninguno"/>
          <w:rFonts w:ascii="Times New Roman" w:eastAsia="Times New Roman" w:hAnsi="Times New Roman" w:cs="Times New Roman"/>
          <w:kern w:val="2"/>
          <w:sz w:val="24"/>
          <w:szCs w:val="24"/>
        </w:rPr>
      </w:pPr>
    </w:p>
    <w:p w14:paraId="050786CE" w14:textId="77777777" w:rsidR="00591E03" w:rsidRDefault="00F002B7">
      <w:pPr>
        <w:pStyle w:val="Cuerpo"/>
        <w:suppressAutoHyphens/>
        <w:spacing w:after="0" w:line="240" w:lineRule="auto"/>
        <w:jc w:val="both"/>
        <w:rPr>
          <w:rStyle w:val="Ninguno"/>
          <w:rFonts w:ascii="Times New Roman" w:eastAsia="Times New Roman" w:hAnsi="Times New Roman" w:cs="Times New Roman"/>
          <w:kern w:val="2"/>
          <w:sz w:val="24"/>
          <w:szCs w:val="24"/>
        </w:rPr>
      </w:pPr>
      <w:proofErr w:type="spellStart"/>
      <w:r>
        <w:rPr>
          <w:rStyle w:val="Ninguno"/>
          <w:rFonts w:ascii="Times New Roman" w:hAnsi="Times New Roman"/>
          <w:kern w:val="2"/>
          <w:sz w:val="24"/>
          <w:szCs w:val="24"/>
        </w:rPr>
        <w:t>Lit</w:t>
      </w:r>
      <w:proofErr w:type="spellEnd"/>
      <w:r>
        <w:rPr>
          <w:rStyle w:val="Ninguno"/>
          <w:rFonts w:ascii="Times New Roman" w:hAnsi="Times New Roman"/>
          <w:kern w:val="2"/>
          <w:sz w:val="24"/>
          <w:szCs w:val="24"/>
        </w:rPr>
        <w:t xml:space="preserve"> d): Nacidos en cautiverio o detenidos con sus padre o madre más de 180 días</w:t>
      </w:r>
    </w:p>
    <w:p w14:paraId="0CCB2E55" w14:textId="77777777" w:rsidR="00591E03" w:rsidRDefault="00F002B7">
      <w:pPr>
        <w:pStyle w:val="Cuerpo"/>
        <w:suppressAutoHyphens/>
        <w:spacing w:after="0" w:line="240" w:lineRule="auto"/>
        <w:jc w:val="both"/>
        <w:rPr>
          <w:rStyle w:val="Ninguno"/>
          <w:rFonts w:ascii="Times New Roman" w:eastAsia="Times New Roman" w:hAnsi="Times New Roman" w:cs="Times New Roman"/>
          <w:kern w:val="2"/>
          <w:sz w:val="24"/>
          <w:szCs w:val="24"/>
        </w:rPr>
      </w:pPr>
      <w:r>
        <w:rPr>
          <w:rStyle w:val="Ninguno"/>
          <w:rFonts w:ascii="Times New Roman" w:hAnsi="Times New Roman"/>
          <w:kern w:val="2"/>
          <w:sz w:val="24"/>
          <w:szCs w:val="24"/>
        </w:rPr>
        <w:t xml:space="preserve">(200.000 Unidades Indexadas, </w:t>
      </w:r>
      <w:r>
        <w:rPr>
          <w:rStyle w:val="Ninguno"/>
          <w:rFonts w:ascii="Times New Roman" w:hAnsi="Times New Roman"/>
          <w:kern w:val="2"/>
          <w:sz w:val="24"/>
          <w:szCs w:val="24"/>
          <w:lang w:val="en-US"/>
        </w:rPr>
        <w:t>U$S33.875</w:t>
      </w:r>
      <w:r>
        <w:rPr>
          <w:rStyle w:val="Ninguno"/>
          <w:rFonts w:ascii="Times New Roman" w:hAnsi="Times New Roman"/>
          <w:kern w:val="2"/>
          <w:sz w:val="24"/>
          <w:szCs w:val="24"/>
        </w:rPr>
        <w:t>)</w:t>
      </w:r>
    </w:p>
    <w:p w14:paraId="69BD2DC5" w14:textId="77777777" w:rsidR="00591E03" w:rsidRDefault="00F002B7">
      <w:pPr>
        <w:pStyle w:val="Cuerpo"/>
        <w:numPr>
          <w:ilvl w:val="0"/>
          <w:numId w:val="20"/>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2010:58</w:t>
      </w:r>
    </w:p>
    <w:p w14:paraId="1991D5EE" w14:textId="77777777" w:rsidR="00591E03" w:rsidRDefault="00F002B7">
      <w:pPr>
        <w:pStyle w:val="Cuerpo"/>
        <w:numPr>
          <w:ilvl w:val="0"/>
          <w:numId w:val="20"/>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2011:13</w:t>
      </w:r>
    </w:p>
    <w:p w14:paraId="0AC8CC81" w14:textId="77777777" w:rsidR="00591E03" w:rsidRDefault="00F002B7">
      <w:pPr>
        <w:pStyle w:val="Cuerpo"/>
        <w:numPr>
          <w:ilvl w:val="0"/>
          <w:numId w:val="20"/>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2012:7</w:t>
      </w:r>
    </w:p>
    <w:p w14:paraId="545A1773" w14:textId="77777777" w:rsidR="00591E03" w:rsidRDefault="00F002B7">
      <w:pPr>
        <w:pStyle w:val="Cuerpo"/>
        <w:numPr>
          <w:ilvl w:val="0"/>
          <w:numId w:val="20"/>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2013:6</w:t>
      </w:r>
    </w:p>
    <w:p w14:paraId="1F428586" w14:textId="77777777" w:rsidR="00591E03" w:rsidRDefault="00F002B7">
      <w:pPr>
        <w:pStyle w:val="Cuerpo"/>
        <w:numPr>
          <w:ilvl w:val="0"/>
          <w:numId w:val="20"/>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2014:0</w:t>
      </w:r>
    </w:p>
    <w:p w14:paraId="56092AFD" w14:textId="77777777" w:rsidR="00591E03" w:rsidRDefault="00F002B7">
      <w:pPr>
        <w:pStyle w:val="Cuerpo"/>
        <w:numPr>
          <w:ilvl w:val="0"/>
          <w:numId w:val="20"/>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2015:1</w:t>
      </w:r>
    </w:p>
    <w:p w14:paraId="38C3066D" w14:textId="77777777" w:rsidR="00591E03" w:rsidRDefault="00F002B7">
      <w:pPr>
        <w:pStyle w:val="Cuerpo"/>
        <w:numPr>
          <w:ilvl w:val="0"/>
          <w:numId w:val="20"/>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 xml:space="preserve">Año </w:t>
      </w:r>
      <w:r>
        <w:rPr>
          <w:rStyle w:val="Ninguno"/>
          <w:rFonts w:ascii="Times New Roman" w:hAnsi="Times New Roman"/>
          <w:kern w:val="2"/>
          <w:sz w:val="24"/>
          <w:szCs w:val="24"/>
        </w:rPr>
        <w:t>2016:2</w:t>
      </w:r>
    </w:p>
    <w:p w14:paraId="2CDA4742" w14:textId="77777777" w:rsidR="00591E03" w:rsidRDefault="00F002B7">
      <w:pPr>
        <w:pStyle w:val="Cuerpo"/>
        <w:numPr>
          <w:ilvl w:val="0"/>
          <w:numId w:val="20"/>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2017:0</w:t>
      </w:r>
    </w:p>
    <w:p w14:paraId="4CEC89A4" w14:textId="77777777" w:rsidR="00591E03" w:rsidRDefault="00F002B7">
      <w:pPr>
        <w:pStyle w:val="Cuerpo"/>
        <w:numPr>
          <w:ilvl w:val="0"/>
          <w:numId w:val="20"/>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2018:0</w:t>
      </w:r>
    </w:p>
    <w:p w14:paraId="29692A2D" w14:textId="77777777" w:rsidR="00591E03" w:rsidRDefault="00F002B7">
      <w:pPr>
        <w:pStyle w:val="Cuerpo"/>
        <w:numPr>
          <w:ilvl w:val="0"/>
          <w:numId w:val="20"/>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2019:0</w:t>
      </w:r>
    </w:p>
    <w:p w14:paraId="4283D2C5" w14:textId="77777777" w:rsidR="00591E03" w:rsidRDefault="00F002B7">
      <w:pPr>
        <w:pStyle w:val="Cuerpo"/>
        <w:numPr>
          <w:ilvl w:val="0"/>
          <w:numId w:val="20"/>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2020:2</w:t>
      </w:r>
    </w:p>
    <w:p w14:paraId="5639A1E9" w14:textId="77777777" w:rsidR="00591E03" w:rsidRDefault="00F002B7">
      <w:pPr>
        <w:pStyle w:val="Cuerpo"/>
        <w:numPr>
          <w:ilvl w:val="0"/>
          <w:numId w:val="20"/>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2021:0</w:t>
      </w:r>
    </w:p>
    <w:p w14:paraId="7C055962" w14:textId="77777777" w:rsidR="00591E03" w:rsidRDefault="00F002B7">
      <w:pPr>
        <w:pStyle w:val="Cuerpo"/>
        <w:numPr>
          <w:ilvl w:val="0"/>
          <w:numId w:val="20"/>
        </w:numPr>
        <w:suppressAutoHyphens/>
        <w:spacing w:after="0" w:line="240" w:lineRule="auto"/>
        <w:jc w:val="both"/>
        <w:rPr>
          <w:rFonts w:ascii="Times New Roman" w:hAnsi="Times New Roman"/>
          <w:sz w:val="24"/>
          <w:szCs w:val="24"/>
        </w:rPr>
      </w:pPr>
      <w:r>
        <w:rPr>
          <w:rStyle w:val="Ninguno"/>
          <w:rFonts w:ascii="Times New Roman" w:hAnsi="Times New Roman"/>
          <w:kern w:val="2"/>
          <w:sz w:val="24"/>
          <w:szCs w:val="24"/>
        </w:rPr>
        <w:t>Año 2022 (primer semestre): 1</w:t>
      </w:r>
    </w:p>
    <w:p w14:paraId="7442FA76" w14:textId="77777777" w:rsidR="00591E03" w:rsidRDefault="00591E03">
      <w:pPr>
        <w:pStyle w:val="Cuerpo"/>
        <w:suppressAutoHyphens/>
        <w:spacing w:after="0" w:line="240" w:lineRule="auto"/>
        <w:jc w:val="both"/>
        <w:rPr>
          <w:rStyle w:val="Ninguno"/>
          <w:rFonts w:ascii="Times New Roman" w:eastAsia="Times New Roman" w:hAnsi="Times New Roman" w:cs="Times New Roman"/>
          <w:kern w:val="2"/>
          <w:sz w:val="24"/>
          <w:szCs w:val="24"/>
        </w:rPr>
      </w:pPr>
    </w:p>
    <w:p w14:paraId="488F766E" w14:textId="77777777" w:rsidR="00591E03" w:rsidRDefault="00F002B7">
      <w:pPr>
        <w:pStyle w:val="Cuerpo"/>
        <w:spacing w:line="240" w:lineRule="auto"/>
        <w:jc w:val="both"/>
        <w:rPr>
          <w:rStyle w:val="Ninguno"/>
          <w:rFonts w:ascii="Times New Roman" w:eastAsia="Times New Roman" w:hAnsi="Times New Roman" w:cs="Times New Roman"/>
          <w:b/>
          <w:bCs/>
          <w:i/>
          <w:iCs/>
          <w:sz w:val="24"/>
          <w:szCs w:val="24"/>
        </w:rPr>
      </w:pPr>
      <w:r>
        <w:rPr>
          <w:rStyle w:val="Ninguno"/>
          <w:rFonts w:ascii="Times New Roman" w:hAnsi="Times New Roman"/>
          <w:b/>
          <w:bCs/>
          <w:i/>
          <w:iCs/>
          <w:sz w:val="24"/>
          <w:szCs w:val="24"/>
        </w:rPr>
        <w:t>Reparación en salud</w:t>
      </w:r>
    </w:p>
    <w:p w14:paraId="42BF33A6"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Procesadas por motivos políticos o que permanecieron detenidas por más de seis meses por dichos motivos. Fundamento legal: artículo 10, </w:t>
      </w:r>
      <w:r>
        <w:rPr>
          <w:rStyle w:val="Ninguno"/>
          <w:rFonts w:ascii="Times New Roman" w:hAnsi="Times New Roman"/>
          <w:sz w:val="24"/>
          <w:szCs w:val="24"/>
        </w:rPr>
        <w:t>reglamentado por decreto 297/2010 de la Ley Nº18.596.</w:t>
      </w:r>
    </w:p>
    <w:p w14:paraId="3C2D5167" w14:textId="77777777" w:rsidR="00591E03" w:rsidRDefault="00591E03">
      <w:pPr>
        <w:pStyle w:val="Cuerpo"/>
        <w:spacing w:line="240" w:lineRule="auto"/>
        <w:jc w:val="both"/>
        <w:rPr>
          <w:rStyle w:val="Ninguno"/>
          <w:rFonts w:ascii="Times New Roman" w:eastAsia="Times New Roman" w:hAnsi="Times New Roman" w:cs="Times New Roman"/>
          <w:b/>
          <w:bCs/>
          <w:i/>
          <w:iCs/>
          <w:sz w:val="24"/>
          <w:szCs w:val="24"/>
        </w:rPr>
      </w:pPr>
    </w:p>
    <w:p w14:paraId="3198BE0D" w14:textId="77777777" w:rsidR="00591E03" w:rsidRDefault="00F002B7">
      <w:pPr>
        <w:pStyle w:val="Cuerpo"/>
        <w:numPr>
          <w:ilvl w:val="0"/>
          <w:numId w:val="22"/>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2010:74</w:t>
      </w:r>
    </w:p>
    <w:p w14:paraId="4BBFC633" w14:textId="77777777" w:rsidR="00591E03" w:rsidRDefault="00F002B7">
      <w:pPr>
        <w:pStyle w:val="Cuerpo"/>
        <w:numPr>
          <w:ilvl w:val="0"/>
          <w:numId w:val="22"/>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2011: 40</w:t>
      </w:r>
    </w:p>
    <w:p w14:paraId="17236553" w14:textId="77777777" w:rsidR="00591E03" w:rsidRDefault="00F002B7">
      <w:pPr>
        <w:pStyle w:val="Cuerpo"/>
        <w:numPr>
          <w:ilvl w:val="0"/>
          <w:numId w:val="22"/>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2012: 46</w:t>
      </w:r>
    </w:p>
    <w:p w14:paraId="43F2EFFA" w14:textId="77777777" w:rsidR="00591E03" w:rsidRDefault="00F002B7">
      <w:pPr>
        <w:pStyle w:val="Cuerpo"/>
        <w:numPr>
          <w:ilvl w:val="0"/>
          <w:numId w:val="22"/>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2013: 62</w:t>
      </w:r>
    </w:p>
    <w:p w14:paraId="59ED26F4" w14:textId="77777777" w:rsidR="00591E03" w:rsidRDefault="00F002B7">
      <w:pPr>
        <w:pStyle w:val="Cuerpo"/>
        <w:numPr>
          <w:ilvl w:val="0"/>
          <w:numId w:val="22"/>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2014:81</w:t>
      </w:r>
    </w:p>
    <w:p w14:paraId="79FC565F" w14:textId="77777777" w:rsidR="00591E03" w:rsidRDefault="00F002B7">
      <w:pPr>
        <w:pStyle w:val="Cuerpo"/>
        <w:numPr>
          <w:ilvl w:val="0"/>
          <w:numId w:val="22"/>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2015: 62</w:t>
      </w:r>
    </w:p>
    <w:p w14:paraId="608A84C1" w14:textId="77777777" w:rsidR="00591E03" w:rsidRDefault="00F002B7">
      <w:pPr>
        <w:pStyle w:val="Cuerpo"/>
        <w:numPr>
          <w:ilvl w:val="0"/>
          <w:numId w:val="22"/>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lastRenderedPageBreak/>
        <w:t>Año 2016: 44</w:t>
      </w:r>
    </w:p>
    <w:p w14:paraId="3D13BEE6" w14:textId="77777777" w:rsidR="00591E03" w:rsidRDefault="00F002B7">
      <w:pPr>
        <w:pStyle w:val="Cuerpo"/>
        <w:numPr>
          <w:ilvl w:val="0"/>
          <w:numId w:val="22"/>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2017:23</w:t>
      </w:r>
    </w:p>
    <w:p w14:paraId="398F4EC7" w14:textId="77777777" w:rsidR="00591E03" w:rsidRDefault="00F002B7">
      <w:pPr>
        <w:pStyle w:val="Cuerpo"/>
        <w:numPr>
          <w:ilvl w:val="0"/>
          <w:numId w:val="22"/>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2018:26</w:t>
      </w:r>
    </w:p>
    <w:p w14:paraId="49CDFE3C" w14:textId="77777777" w:rsidR="00591E03" w:rsidRDefault="00F002B7">
      <w:pPr>
        <w:pStyle w:val="Cuerpo"/>
        <w:numPr>
          <w:ilvl w:val="0"/>
          <w:numId w:val="22"/>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2019:18</w:t>
      </w:r>
    </w:p>
    <w:p w14:paraId="7E9F2ABF" w14:textId="77777777" w:rsidR="00591E03" w:rsidRDefault="00F002B7">
      <w:pPr>
        <w:pStyle w:val="Cuerpo"/>
        <w:numPr>
          <w:ilvl w:val="0"/>
          <w:numId w:val="22"/>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2020: 18</w:t>
      </w:r>
    </w:p>
    <w:p w14:paraId="3B37D141" w14:textId="77777777" w:rsidR="00591E03" w:rsidRDefault="00F002B7">
      <w:pPr>
        <w:pStyle w:val="Cuerpo"/>
        <w:numPr>
          <w:ilvl w:val="0"/>
          <w:numId w:val="22"/>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2021:4</w:t>
      </w:r>
    </w:p>
    <w:p w14:paraId="67638BCB" w14:textId="77777777" w:rsidR="00591E03" w:rsidRDefault="00F002B7">
      <w:pPr>
        <w:pStyle w:val="Cuerpo"/>
        <w:numPr>
          <w:ilvl w:val="0"/>
          <w:numId w:val="22"/>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2022:    3</w:t>
      </w:r>
    </w:p>
    <w:p w14:paraId="70F6DB23" w14:textId="77777777" w:rsidR="00591E03" w:rsidRDefault="00F002B7">
      <w:pPr>
        <w:pStyle w:val="Cuerpo"/>
        <w:spacing w:line="240" w:lineRule="auto"/>
        <w:ind w:left="644"/>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TOTAL: 501</w:t>
      </w:r>
    </w:p>
    <w:p w14:paraId="4941B93D" w14:textId="77777777" w:rsidR="00591E03" w:rsidRDefault="00591E03">
      <w:pPr>
        <w:pStyle w:val="Cuerpo"/>
        <w:spacing w:line="240" w:lineRule="auto"/>
        <w:ind w:left="644"/>
        <w:jc w:val="both"/>
        <w:rPr>
          <w:rStyle w:val="Ninguno"/>
          <w:rFonts w:ascii="Times New Roman" w:eastAsia="Times New Roman" w:hAnsi="Times New Roman" w:cs="Times New Roman"/>
          <w:b/>
          <w:bCs/>
          <w:sz w:val="24"/>
          <w:szCs w:val="24"/>
        </w:rPr>
      </w:pPr>
    </w:p>
    <w:p w14:paraId="796C25CF" w14:textId="77777777" w:rsidR="00591E03" w:rsidRDefault="00F002B7">
      <w:pPr>
        <w:pStyle w:val="Cuerpo"/>
        <w:spacing w:line="240" w:lineRule="auto"/>
        <w:jc w:val="both"/>
        <w:rPr>
          <w:rStyle w:val="Ninguno"/>
          <w:rFonts w:ascii="Times New Roman" w:eastAsia="Times New Roman" w:hAnsi="Times New Roman" w:cs="Times New Roman"/>
          <w:b/>
          <w:bCs/>
          <w:i/>
          <w:iCs/>
          <w:sz w:val="24"/>
          <w:szCs w:val="24"/>
        </w:rPr>
      </w:pPr>
      <w:r>
        <w:rPr>
          <w:rStyle w:val="Ninguno"/>
          <w:rFonts w:ascii="Times New Roman" w:hAnsi="Times New Roman"/>
          <w:b/>
          <w:bCs/>
          <w:i/>
          <w:iCs/>
          <w:sz w:val="24"/>
          <w:szCs w:val="24"/>
        </w:rPr>
        <w:t xml:space="preserve">Reparación moral </w:t>
      </w:r>
      <w:r>
        <w:rPr>
          <w:rStyle w:val="Ninguno"/>
          <w:rFonts w:ascii="Times New Roman" w:hAnsi="Times New Roman"/>
          <w:b/>
          <w:bCs/>
          <w:i/>
          <w:iCs/>
          <w:sz w:val="24"/>
          <w:szCs w:val="24"/>
        </w:rPr>
        <w:t>(simbólica) a través de documento</w:t>
      </w:r>
    </w:p>
    <w:p w14:paraId="44F36F6F"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Fundamento legal: artículo 9 de la Ley N°18.596.</w:t>
      </w:r>
    </w:p>
    <w:p w14:paraId="4A06CB44" w14:textId="77777777" w:rsidR="00591E03" w:rsidRDefault="00591E03">
      <w:pPr>
        <w:pStyle w:val="Cuerpo"/>
        <w:spacing w:line="240" w:lineRule="auto"/>
        <w:jc w:val="both"/>
        <w:rPr>
          <w:rStyle w:val="Ninguno"/>
          <w:rFonts w:ascii="Times New Roman" w:eastAsia="Times New Roman" w:hAnsi="Times New Roman" w:cs="Times New Roman"/>
          <w:sz w:val="24"/>
          <w:szCs w:val="24"/>
        </w:rPr>
      </w:pPr>
    </w:p>
    <w:p w14:paraId="01B0D6A9" w14:textId="77777777" w:rsidR="00591E03" w:rsidRDefault="00F002B7">
      <w:pPr>
        <w:pStyle w:val="Cuerpo"/>
        <w:numPr>
          <w:ilvl w:val="0"/>
          <w:numId w:val="24"/>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2010:86</w:t>
      </w:r>
    </w:p>
    <w:p w14:paraId="7827B488" w14:textId="77777777" w:rsidR="00591E03" w:rsidRDefault="00F002B7">
      <w:pPr>
        <w:pStyle w:val="Cuerpo"/>
        <w:numPr>
          <w:ilvl w:val="0"/>
          <w:numId w:val="24"/>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2011:119</w:t>
      </w:r>
    </w:p>
    <w:p w14:paraId="2645CCE1" w14:textId="77777777" w:rsidR="00591E03" w:rsidRDefault="00F002B7">
      <w:pPr>
        <w:pStyle w:val="Cuerpo"/>
        <w:numPr>
          <w:ilvl w:val="0"/>
          <w:numId w:val="24"/>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2012:111</w:t>
      </w:r>
    </w:p>
    <w:p w14:paraId="5ED1ADE0" w14:textId="77777777" w:rsidR="00591E03" w:rsidRDefault="00F002B7">
      <w:pPr>
        <w:pStyle w:val="Cuerpo"/>
        <w:numPr>
          <w:ilvl w:val="0"/>
          <w:numId w:val="24"/>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2013:116</w:t>
      </w:r>
    </w:p>
    <w:p w14:paraId="2D0857EC" w14:textId="77777777" w:rsidR="00591E03" w:rsidRDefault="00F002B7">
      <w:pPr>
        <w:pStyle w:val="Cuerpo"/>
        <w:numPr>
          <w:ilvl w:val="0"/>
          <w:numId w:val="24"/>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2014:182</w:t>
      </w:r>
    </w:p>
    <w:p w14:paraId="3421C1A4" w14:textId="77777777" w:rsidR="00591E03" w:rsidRDefault="00F002B7">
      <w:pPr>
        <w:pStyle w:val="Cuerpo"/>
        <w:numPr>
          <w:ilvl w:val="0"/>
          <w:numId w:val="24"/>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2015:200</w:t>
      </w:r>
    </w:p>
    <w:p w14:paraId="0E0E804E" w14:textId="77777777" w:rsidR="00591E03" w:rsidRDefault="00F002B7">
      <w:pPr>
        <w:pStyle w:val="Cuerpo"/>
        <w:numPr>
          <w:ilvl w:val="0"/>
          <w:numId w:val="24"/>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2016:77</w:t>
      </w:r>
    </w:p>
    <w:p w14:paraId="5D5CEE00" w14:textId="77777777" w:rsidR="00591E03" w:rsidRDefault="00F002B7">
      <w:pPr>
        <w:pStyle w:val="Cuerpo"/>
        <w:numPr>
          <w:ilvl w:val="0"/>
          <w:numId w:val="24"/>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2017:34</w:t>
      </w:r>
    </w:p>
    <w:p w14:paraId="512362A5" w14:textId="77777777" w:rsidR="00591E03" w:rsidRDefault="00F002B7">
      <w:pPr>
        <w:pStyle w:val="Cuerpo"/>
        <w:numPr>
          <w:ilvl w:val="0"/>
          <w:numId w:val="24"/>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2018:21</w:t>
      </w:r>
    </w:p>
    <w:p w14:paraId="558C3C51" w14:textId="77777777" w:rsidR="00591E03" w:rsidRDefault="00F002B7">
      <w:pPr>
        <w:pStyle w:val="Cuerpo"/>
        <w:numPr>
          <w:ilvl w:val="0"/>
          <w:numId w:val="24"/>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2019:16</w:t>
      </w:r>
    </w:p>
    <w:p w14:paraId="7FF2CA3C" w14:textId="77777777" w:rsidR="00591E03" w:rsidRDefault="00F002B7">
      <w:pPr>
        <w:pStyle w:val="Cuerpo"/>
        <w:numPr>
          <w:ilvl w:val="0"/>
          <w:numId w:val="24"/>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2020:20</w:t>
      </w:r>
    </w:p>
    <w:p w14:paraId="204565B2" w14:textId="77777777" w:rsidR="00591E03" w:rsidRDefault="00F002B7">
      <w:pPr>
        <w:pStyle w:val="Cuerpo"/>
        <w:numPr>
          <w:ilvl w:val="0"/>
          <w:numId w:val="24"/>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2021:10</w:t>
      </w:r>
    </w:p>
    <w:p w14:paraId="215B27EC" w14:textId="77777777" w:rsidR="00591E03" w:rsidRDefault="00F002B7">
      <w:pPr>
        <w:pStyle w:val="Cuerpo"/>
        <w:numPr>
          <w:ilvl w:val="0"/>
          <w:numId w:val="24"/>
        </w:numPr>
        <w:suppressAutoHyphens/>
        <w:spacing w:after="0" w:line="240" w:lineRule="auto"/>
        <w:jc w:val="both"/>
        <w:rPr>
          <w:rFonts w:ascii="Times New Roman" w:hAnsi="Times New Roman"/>
          <w:sz w:val="24"/>
          <w:szCs w:val="24"/>
        </w:rPr>
      </w:pPr>
      <w:r>
        <w:rPr>
          <w:rStyle w:val="Ninguno"/>
          <w:rFonts w:ascii="Times New Roman" w:hAnsi="Times New Roman"/>
          <w:sz w:val="24"/>
          <w:szCs w:val="24"/>
        </w:rPr>
        <w:t>Año 2022:   5</w:t>
      </w:r>
    </w:p>
    <w:p w14:paraId="41173C6F" w14:textId="77777777" w:rsidR="00591E03" w:rsidRDefault="00F002B7">
      <w:pPr>
        <w:pStyle w:val="Cuerpo"/>
        <w:spacing w:line="240" w:lineRule="auto"/>
        <w:ind w:left="720"/>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TOTAL : 977</w:t>
      </w:r>
    </w:p>
    <w:p w14:paraId="337654E7" w14:textId="77777777" w:rsidR="00591E03" w:rsidRDefault="00591E03">
      <w:pPr>
        <w:pStyle w:val="Cuerpo"/>
        <w:suppressAutoHyphens/>
        <w:spacing w:after="0" w:line="240" w:lineRule="auto"/>
        <w:jc w:val="both"/>
        <w:rPr>
          <w:rStyle w:val="Ninguno"/>
          <w:rFonts w:ascii="Times New Roman" w:eastAsia="Times New Roman" w:hAnsi="Times New Roman" w:cs="Times New Roman"/>
          <w:sz w:val="24"/>
          <w:szCs w:val="24"/>
        </w:rPr>
      </w:pPr>
    </w:p>
    <w:p w14:paraId="5DA3EEF1" w14:textId="53E65027" w:rsidR="00591E03" w:rsidRDefault="00F002B7">
      <w:pPr>
        <w:pStyle w:val="Cuerpo"/>
        <w:suppressAutoHyphens/>
        <w:spacing w:after="0" w:line="240" w:lineRule="auto"/>
        <w:jc w:val="both"/>
        <w:rPr>
          <w:rStyle w:val="Ninguno"/>
          <w:rFonts w:ascii="Times New Roman" w:hAnsi="Times New Roman"/>
          <w:sz w:val="24"/>
          <w:szCs w:val="24"/>
        </w:rPr>
      </w:pPr>
      <w:r>
        <w:rPr>
          <w:rStyle w:val="Ninguno"/>
          <w:rFonts w:ascii="Times New Roman" w:hAnsi="Times New Roman"/>
          <w:kern w:val="2"/>
          <w:sz w:val="24"/>
          <w:szCs w:val="24"/>
        </w:rPr>
        <w:t xml:space="preserve">Se suma a lo anterior, la aprobación de cuarenta y seis placas recordatorias como reparación simbólica (2010-2021), aprobación de resoluciones declaratorias de </w:t>
      </w:r>
      <w:r>
        <w:rPr>
          <w:rStyle w:val="Ninguno"/>
          <w:rFonts w:ascii="Times New Roman" w:hAnsi="Times New Roman"/>
          <w:sz w:val="24"/>
          <w:szCs w:val="24"/>
        </w:rPr>
        <w:t xml:space="preserve">fechas conmemorativas (artículo 8 de la Ley Nº18.596) el 14 de agosto como “Día de los </w:t>
      </w:r>
      <w:proofErr w:type="spellStart"/>
      <w:r>
        <w:rPr>
          <w:rStyle w:val="Ninguno"/>
          <w:rFonts w:ascii="Times New Roman" w:hAnsi="Times New Roman"/>
          <w:sz w:val="24"/>
          <w:szCs w:val="24"/>
        </w:rPr>
        <w:t>Má</w:t>
      </w:r>
      <w:proofErr w:type="spellEnd"/>
      <w:r>
        <w:rPr>
          <w:rStyle w:val="Ninguno"/>
          <w:rFonts w:ascii="Times New Roman" w:hAnsi="Times New Roman"/>
          <w:sz w:val="24"/>
          <w:szCs w:val="24"/>
          <w:lang w:val="pt-PT"/>
        </w:rPr>
        <w:t>rtires Estudiantiles</w:t>
      </w:r>
      <w:r>
        <w:rPr>
          <w:rStyle w:val="Ninguno"/>
          <w:rFonts w:ascii="Times New Roman" w:hAnsi="Times New Roman"/>
          <w:sz w:val="24"/>
          <w:szCs w:val="24"/>
        </w:rPr>
        <w:t>” y el 14 de marzo como “Día de la ex Presa y del ex Preso Polí</w:t>
      </w:r>
      <w:r>
        <w:rPr>
          <w:rStyle w:val="Ninguno"/>
          <w:rFonts w:ascii="Times New Roman" w:hAnsi="Times New Roman"/>
          <w:sz w:val="24"/>
          <w:szCs w:val="24"/>
          <w:lang w:val="it-IT"/>
        </w:rPr>
        <w:t>tico</w:t>
      </w:r>
      <w:r>
        <w:rPr>
          <w:rStyle w:val="Ninguno"/>
          <w:rFonts w:ascii="Times New Roman" w:hAnsi="Times New Roman"/>
          <w:sz w:val="24"/>
          <w:szCs w:val="24"/>
        </w:rPr>
        <w:t>”.</w:t>
      </w:r>
    </w:p>
    <w:p w14:paraId="459DD51D" w14:textId="77777777" w:rsidR="00095F15" w:rsidRDefault="00095F15">
      <w:pPr>
        <w:pStyle w:val="Cuerpo"/>
        <w:suppressAutoHyphens/>
        <w:spacing w:after="0" w:line="240" w:lineRule="auto"/>
        <w:jc w:val="both"/>
        <w:rPr>
          <w:rStyle w:val="Ninguno"/>
          <w:rFonts w:ascii="Times New Roman" w:eastAsia="Times New Roman" w:hAnsi="Times New Roman" w:cs="Times New Roman"/>
          <w:sz w:val="24"/>
          <w:szCs w:val="24"/>
        </w:rPr>
      </w:pPr>
    </w:p>
    <w:p w14:paraId="75128943" w14:textId="77777777" w:rsidR="00591E03" w:rsidRDefault="00F002B7">
      <w:pPr>
        <w:pStyle w:val="Cuerpo"/>
        <w:spacing w:line="240" w:lineRule="auto"/>
        <w:jc w:val="both"/>
        <w:rPr>
          <w:rStyle w:val="Ninguno"/>
          <w:rFonts w:ascii="Times New Roman" w:eastAsia="Times New Roman" w:hAnsi="Times New Roman" w:cs="Times New Roman"/>
          <w:sz w:val="24"/>
          <w:szCs w:val="24"/>
        </w:rPr>
      </w:pPr>
      <w:r>
        <w:rPr>
          <w:rStyle w:val="Ninguno"/>
          <w:rFonts w:ascii="Times New Roman" w:hAnsi="Times New Roman"/>
          <w:sz w:val="24"/>
          <w:szCs w:val="24"/>
        </w:rPr>
        <w:t xml:space="preserve">Finalmente, la competencia para ejecutar lo dispuesto en artículos 7 y 8 de </w:t>
      </w:r>
      <w:r>
        <w:rPr>
          <w:rStyle w:val="Ninguno"/>
          <w:rFonts w:ascii="Times New Roman" w:hAnsi="Times New Roman"/>
          <w:sz w:val="24"/>
          <w:szCs w:val="24"/>
        </w:rPr>
        <w:t xml:space="preserve">la Ley N°19.641(2018), es decir, la </w:t>
      </w:r>
      <w:proofErr w:type="spellStart"/>
      <w:r>
        <w:rPr>
          <w:rStyle w:val="Ninguno"/>
          <w:rFonts w:ascii="Times New Roman" w:hAnsi="Times New Roman"/>
          <w:sz w:val="24"/>
          <w:szCs w:val="24"/>
        </w:rPr>
        <w:t>reparació</w:t>
      </w:r>
      <w:proofErr w:type="spellEnd"/>
      <w:r w:rsidRPr="00095F15">
        <w:rPr>
          <w:rStyle w:val="Ninguno"/>
          <w:rFonts w:ascii="Times New Roman" w:hAnsi="Times New Roman"/>
          <w:sz w:val="24"/>
          <w:szCs w:val="24"/>
          <w:lang w:val="es-ES"/>
        </w:rPr>
        <w:t xml:space="preserve">n a </w:t>
      </w:r>
      <w:proofErr w:type="spellStart"/>
      <w:r w:rsidRPr="00095F15">
        <w:rPr>
          <w:rStyle w:val="Ninguno"/>
          <w:rFonts w:ascii="Times New Roman" w:hAnsi="Times New Roman"/>
          <w:sz w:val="24"/>
          <w:szCs w:val="24"/>
          <w:lang w:val="es-ES"/>
        </w:rPr>
        <w:t>trav</w:t>
      </w:r>
      <w:r>
        <w:rPr>
          <w:rStyle w:val="Ninguno"/>
          <w:rFonts w:ascii="Times New Roman" w:hAnsi="Times New Roman"/>
          <w:sz w:val="24"/>
          <w:szCs w:val="24"/>
        </w:rPr>
        <w:t>és</w:t>
      </w:r>
      <w:proofErr w:type="spellEnd"/>
      <w:r>
        <w:rPr>
          <w:rStyle w:val="Ninguno"/>
          <w:rFonts w:ascii="Times New Roman" w:hAnsi="Times New Roman"/>
          <w:sz w:val="24"/>
          <w:szCs w:val="24"/>
        </w:rPr>
        <w:t xml:space="preserve"> de sitios de memoria o placas, se traslada a la INDDHH.</w:t>
      </w:r>
    </w:p>
    <w:p w14:paraId="6328B6E4" w14:textId="77777777" w:rsidR="00591E03" w:rsidRDefault="00591E03">
      <w:pPr>
        <w:pStyle w:val="Cuerpo"/>
        <w:spacing w:line="240" w:lineRule="auto"/>
        <w:jc w:val="both"/>
      </w:pPr>
    </w:p>
    <w:sectPr w:rsidR="00591E03">
      <w:headerReference w:type="default" r:id="rId11"/>
      <w:footerReference w:type="default" r:id="rId12"/>
      <w:pgSz w:w="11900" w:h="16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67546" w14:textId="77777777" w:rsidR="00005B21" w:rsidRDefault="00005B21">
      <w:r>
        <w:separator/>
      </w:r>
    </w:p>
  </w:endnote>
  <w:endnote w:type="continuationSeparator" w:id="0">
    <w:p w14:paraId="0221D7A2" w14:textId="77777777" w:rsidR="00005B21" w:rsidRDefault="00005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693A9" w14:textId="77777777" w:rsidR="00591E03" w:rsidRDefault="00591E03">
    <w:pPr>
      <w:pStyle w:val="Encabezadoypi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DCCF1" w14:textId="77777777" w:rsidR="00005B21" w:rsidRDefault="00005B21">
      <w:r>
        <w:separator/>
      </w:r>
    </w:p>
  </w:footnote>
  <w:footnote w:type="continuationSeparator" w:id="0">
    <w:p w14:paraId="4169440F" w14:textId="77777777" w:rsidR="00005B21" w:rsidRDefault="00005B21">
      <w:r>
        <w:continuationSeparator/>
      </w:r>
    </w:p>
  </w:footnote>
  <w:footnote w:type="continuationNotice" w:id="1">
    <w:p w14:paraId="7BA8C71D" w14:textId="77777777" w:rsidR="00005B21" w:rsidRDefault="00005B21"/>
  </w:footnote>
  <w:footnote w:id="2">
    <w:p w14:paraId="185DE135" w14:textId="77777777" w:rsidR="00591E03" w:rsidRDefault="00F002B7">
      <w:pPr>
        <w:pStyle w:val="FootnoteText"/>
      </w:pPr>
      <w:r>
        <w:rPr>
          <w:rStyle w:val="Ninguno"/>
          <w:rFonts w:ascii="Times New Roman" w:eastAsia="Times New Roman" w:hAnsi="Times New Roman" w:cs="Times New Roman"/>
          <w:sz w:val="24"/>
          <w:szCs w:val="24"/>
          <w:vertAlign w:val="superscript"/>
        </w:rPr>
        <w:footnoteRef/>
      </w:r>
      <w:r>
        <w:rPr>
          <w:rStyle w:val="Ninguno"/>
          <w:rFonts w:eastAsia="Arial Unicode MS" w:cs="Arial Unicode MS"/>
        </w:rPr>
        <w:t xml:space="preserve"> https://parlamento.gub.uy/documentosyleyes/ficha-asunto/151994/tramite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36A3B" w14:textId="77777777" w:rsidR="00591E03" w:rsidRDefault="00F002B7">
    <w:pPr>
      <w:pStyle w:val="Header"/>
      <w:tabs>
        <w:tab w:val="clear" w:pos="8504"/>
        <w:tab w:val="right" w:pos="8478"/>
      </w:tabs>
      <w:jc w:val="center"/>
    </w:pPr>
    <w:r>
      <w:rPr>
        <w:rStyle w:val="Ninguno"/>
      </w:rPr>
      <w:fldChar w:fldCharType="begin"/>
    </w:r>
    <w:r>
      <w:rPr>
        <w:rStyle w:val="Ninguno"/>
      </w:rPr>
      <w:instrText xml:space="preserve"> PAGE </w:instrText>
    </w:r>
    <w:r>
      <w:rPr>
        <w:rStyle w:val="Ninguno"/>
      </w:rPr>
      <w:fldChar w:fldCharType="separate"/>
    </w:r>
    <w:r w:rsidR="00095F15">
      <w:rPr>
        <w:rStyle w:val="Ninguno"/>
        <w:noProof/>
      </w:rPr>
      <w:t>1</w:t>
    </w:r>
    <w:r>
      <w:rPr>
        <w:rStyle w:val="Ninguno"/>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4E97"/>
    <w:multiLevelType w:val="hybridMultilevel"/>
    <w:tmpl w:val="0108F626"/>
    <w:numStyleLink w:val="Estiloimportado4"/>
  </w:abstractNum>
  <w:abstractNum w:abstractNumId="1" w15:restartNumberingAfterBreak="0">
    <w:nsid w:val="0EF86B02"/>
    <w:multiLevelType w:val="hybridMultilevel"/>
    <w:tmpl w:val="15E0B76E"/>
    <w:styleLink w:val="Estiloimportado11"/>
    <w:lvl w:ilvl="0" w:tplc="92485162">
      <w:start w:val="1"/>
      <w:numFmt w:val="bullet"/>
      <w:lvlText w:val="·"/>
      <w:lvlJc w:val="left"/>
      <w:pPr>
        <w:ind w:left="64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A5895C4">
      <w:start w:val="1"/>
      <w:numFmt w:val="bullet"/>
      <w:lvlText w:val="o"/>
      <w:lvlJc w:val="left"/>
      <w:pPr>
        <w:ind w:left="13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40881EC">
      <w:start w:val="1"/>
      <w:numFmt w:val="bullet"/>
      <w:lvlText w:val="▪"/>
      <w:lvlJc w:val="left"/>
      <w:pPr>
        <w:ind w:left="20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8A2FDAC">
      <w:start w:val="1"/>
      <w:numFmt w:val="bullet"/>
      <w:lvlText w:val="·"/>
      <w:lvlJc w:val="left"/>
      <w:pPr>
        <w:ind w:left="280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2D23360">
      <w:start w:val="1"/>
      <w:numFmt w:val="bullet"/>
      <w:lvlText w:val="o"/>
      <w:lvlJc w:val="left"/>
      <w:pPr>
        <w:ind w:left="35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CE0BB76">
      <w:start w:val="1"/>
      <w:numFmt w:val="bullet"/>
      <w:lvlText w:val="▪"/>
      <w:lvlJc w:val="left"/>
      <w:pPr>
        <w:ind w:left="42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DF67C7A">
      <w:start w:val="1"/>
      <w:numFmt w:val="bullet"/>
      <w:lvlText w:val="·"/>
      <w:lvlJc w:val="left"/>
      <w:pPr>
        <w:ind w:left="496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B26636A">
      <w:start w:val="1"/>
      <w:numFmt w:val="bullet"/>
      <w:lvlText w:val="o"/>
      <w:lvlJc w:val="left"/>
      <w:pPr>
        <w:ind w:left="56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652C6AE">
      <w:start w:val="1"/>
      <w:numFmt w:val="bullet"/>
      <w:lvlText w:val="▪"/>
      <w:lvlJc w:val="left"/>
      <w:pPr>
        <w:ind w:left="64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FBD738F"/>
    <w:multiLevelType w:val="hybridMultilevel"/>
    <w:tmpl w:val="0108F626"/>
    <w:styleLink w:val="Estiloimportado4"/>
    <w:lvl w:ilvl="0" w:tplc="D910E1A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BC6140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C342D8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DAAB52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DAC954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A1A897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DC84D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16E1F9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90CB2E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7572BA2"/>
    <w:multiLevelType w:val="hybridMultilevel"/>
    <w:tmpl w:val="39946D7A"/>
    <w:styleLink w:val="Estiloimportado6"/>
    <w:lvl w:ilvl="0" w:tplc="3A3EE330">
      <w:start w:val="1"/>
      <w:numFmt w:val="bullet"/>
      <w:lvlText w:val="·"/>
      <w:lvlJc w:val="left"/>
      <w:pPr>
        <w:tabs>
          <w:tab w:val="left" w:pos="916"/>
          <w:tab w:val="left" w:pos="1832"/>
          <w:tab w:val="left" w:pos="2748"/>
          <w:tab w:val="left" w:pos="3664"/>
          <w:tab w:val="left" w:pos="4580"/>
          <w:tab w:val="left" w:pos="5496"/>
          <w:tab w:val="left" w:pos="6412"/>
          <w:tab w:val="left" w:pos="7328"/>
          <w:tab w:val="left" w:pos="7998"/>
          <w:tab w:val="left" w:pos="7998"/>
          <w:tab w:val="left" w:pos="7998"/>
          <w:tab w:val="left" w:pos="7998"/>
          <w:tab w:val="left" w:pos="7998"/>
          <w:tab w:val="left" w:pos="7998"/>
          <w:tab w:val="left" w:pos="7998"/>
          <w:tab w:val="left" w:pos="7998"/>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B0A516E">
      <w:start w:val="1"/>
      <w:numFmt w:val="bullet"/>
      <w:lvlText w:val="o"/>
      <w:lvlJc w:val="left"/>
      <w:pPr>
        <w:tabs>
          <w:tab w:val="left" w:pos="916"/>
          <w:tab w:val="left" w:pos="1832"/>
          <w:tab w:val="left" w:pos="2748"/>
          <w:tab w:val="left" w:pos="3664"/>
          <w:tab w:val="left" w:pos="4580"/>
          <w:tab w:val="left" w:pos="5496"/>
          <w:tab w:val="left" w:pos="6412"/>
          <w:tab w:val="left" w:pos="7328"/>
          <w:tab w:val="left" w:pos="7998"/>
          <w:tab w:val="left" w:pos="7998"/>
          <w:tab w:val="left" w:pos="7998"/>
          <w:tab w:val="left" w:pos="7998"/>
          <w:tab w:val="left" w:pos="7998"/>
          <w:tab w:val="left" w:pos="7998"/>
          <w:tab w:val="left" w:pos="7998"/>
          <w:tab w:val="left" w:pos="7998"/>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E1809E8">
      <w:start w:val="1"/>
      <w:numFmt w:val="bullet"/>
      <w:lvlText w:val="▪"/>
      <w:lvlJc w:val="left"/>
      <w:pPr>
        <w:tabs>
          <w:tab w:val="left" w:pos="916"/>
          <w:tab w:val="left" w:pos="1832"/>
          <w:tab w:val="left" w:pos="2748"/>
          <w:tab w:val="left" w:pos="3664"/>
          <w:tab w:val="left" w:pos="4580"/>
          <w:tab w:val="left" w:pos="5496"/>
          <w:tab w:val="left" w:pos="6412"/>
          <w:tab w:val="left" w:pos="7328"/>
          <w:tab w:val="left" w:pos="7998"/>
          <w:tab w:val="left" w:pos="7998"/>
          <w:tab w:val="left" w:pos="7998"/>
          <w:tab w:val="left" w:pos="7998"/>
          <w:tab w:val="left" w:pos="7998"/>
          <w:tab w:val="left" w:pos="7998"/>
          <w:tab w:val="left" w:pos="7998"/>
          <w:tab w:val="left" w:pos="7998"/>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6E6E1CE">
      <w:start w:val="1"/>
      <w:numFmt w:val="bullet"/>
      <w:lvlText w:val="·"/>
      <w:lvlJc w:val="left"/>
      <w:pPr>
        <w:tabs>
          <w:tab w:val="left" w:pos="916"/>
          <w:tab w:val="left" w:pos="1832"/>
          <w:tab w:val="left" w:pos="3664"/>
          <w:tab w:val="left" w:pos="4580"/>
          <w:tab w:val="left" w:pos="5496"/>
          <w:tab w:val="left" w:pos="6412"/>
          <w:tab w:val="left" w:pos="7328"/>
          <w:tab w:val="left" w:pos="7998"/>
          <w:tab w:val="left" w:pos="7998"/>
          <w:tab w:val="left" w:pos="7998"/>
          <w:tab w:val="left" w:pos="7998"/>
          <w:tab w:val="left" w:pos="7998"/>
          <w:tab w:val="left" w:pos="7998"/>
          <w:tab w:val="left" w:pos="7998"/>
          <w:tab w:val="left" w:pos="7998"/>
        </w:tabs>
        <w:ind w:left="2748" w:hanging="22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222BD72">
      <w:start w:val="1"/>
      <w:numFmt w:val="bullet"/>
      <w:lvlText w:val="o"/>
      <w:lvlJc w:val="left"/>
      <w:pPr>
        <w:tabs>
          <w:tab w:val="left" w:pos="916"/>
          <w:tab w:val="left" w:pos="1832"/>
          <w:tab w:val="left" w:pos="2748"/>
          <w:tab w:val="left" w:pos="3664"/>
          <w:tab w:val="left" w:pos="4580"/>
          <w:tab w:val="left" w:pos="5496"/>
          <w:tab w:val="left" w:pos="6412"/>
          <w:tab w:val="left" w:pos="7328"/>
          <w:tab w:val="left" w:pos="7998"/>
          <w:tab w:val="left" w:pos="7998"/>
          <w:tab w:val="left" w:pos="7998"/>
          <w:tab w:val="left" w:pos="7998"/>
          <w:tab w:val="left" w:pos="7998"/>
          <w:tab w:val="left" w:pos="7998"/>
          <w:tab w:val="left" w:pos="7998"/>
          <w:tab w:val="left" w:pos="7998"/>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B6CE8EA">
      <w:start w:val="1"/>
      <w:numFmt w:val="bullet"/>
      <w:lvlText w:val="▪"/>
      <w:lvlJc w:val="left"/>
      <w:pPr>
        <w:tabs>
          <w:tab w:val="left" w:pos="916"/>
          <w:tab w:val="left" w:pos="1832"/>
          <w:tab w:val="left" w:pos="2748"/>
          <w:tab w:val="left" w:pos="3664"/>
          <w:tab w:val="left" w:pos="4580"/>
          <w:tab w:val="left" w:pos="5496"/>
          <w:tab w:val="left" w:pos="6412"/>
          <w:tab w:val="left" w:pos="7328"/>
          <w:tab w:val="left" w:pos="7998"/>
          <w:tab w:val="left" w:pos="7998"/>
          <w:tab w:val="left" w:pos="7998"/>
          <w:tab w:val="left" w:pos="7998"/>
          <w:tab w:val="left" w:pos="7998"/>
          <w:tab w:val="left" w:pos="7998"/>
          <w:tab w:val="left" w:pos="7998"/>
          <w:tab w:val="left" w:pos="7998"/>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D0835D6">
      <w:start w:val="1"/>
      <w:numFmt w:val="bullet"/>
      <w:lvlText w:val="·"/>
      <w:lvlJc w:val="left"/>
      <w:pPr>
        <w:tabs>
          <w:tab w:val="left" w:pos="916"/>
          <w:tab w:val="left" w:pos="1832"/>
          <w:tab w:val="left" w:pos="2748"/>
          <w:tab w:val="left" w:pos="3664"/>
          <w:tab w:val="left" w:pos="4580"/>
          <w:tab w:val="left" w:pos="5496"/>
          <w:tab w:val="left" w:pos="6412"/>
          <w:tab w:val="left" w:pos="7328"/>
          <w:tab w:val="left" w:pos="7998"/>
          <w:tab w:val="left" w:pos="7998"/>
          <w:tab w:val="left" w:pos="7998"/>
          <w:tab w:val="left" w:pos="7998"/>
          <w:tab w:val="left" w:pos="7998"/>
          <w:tab w:val="left" w:pos="7998"/>
          <w:tab w:val="left" w:pos="7998"/>
          <w:tab w:val="left" w:pos="7998"/>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1AAE1CA">
      <w:start w:val="1"/>
      <w:numFmt w:val="bullet"/>
      <w:lvlText w:val="o"/>
      <w:lvlJc w:val="left"/>
      <w:pPr>
        <w:tabs>
          <w:tab w:val="left" w:pos="916"/>
          <w:tab w:val="left" w:pos="1832"/>
          <w:tab w:val="left" w:pos="2748"/>
          <w:tab w:val="left" w:pos="3664"/>
          <w:tab w:val="left" w:pos="4580"/>
          <w:tab w:val="left" w:pos="5496"/>
          <w:tab w:val="left" w:pos="6412"/>
          <w:tab w:val="left" w:pos="7328"/>
          <w:tab w:val="left" w:pos="7998"/>
          <w:tab w:val="left" w:pos="7998"/>
          <w:tab w:val="left" w:pos="7998"/>
          <w:tab w:val="left" w:pos="7998"/>
          <w:tab w:val="left" w:pos="7998"/>
          <w:tab w:val="left" w:pos="7998"/>
          <w:tab w:val="left" w:pos="7998"/>
          <w:tab w:val="left" w:pos="7998"/>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360686C">
      <w:start w:val="1"/>
      <w:numFmt w:val="bullet"/>
      <w:lvlText w:val="▪"/>
      <w:lvlJc w:val="left"/>
      <w:pPr>
        <w:tabs>
          <w:tab w:val="left" w:pos="916"/>
          <w:tab w:val="left" w:pos="1832"/>
          <w:tab w:val="left" w:pos="2748"/>
          <w:tab w:val="left" w:pos="3664"/>
          <w:tab w:val="left" w:pos="4580"/>
          <w:tab w:val="left" w:pos="5496"/>
          <w:tab w:val="left" w:pos="7328"/>
          <w:tab w:val="left" w:pos="7998"/>
          <w:tab w:val="left" w:pos="7998"/>
          <w:tab w:val="left" w:pos="7998"/>
          <w:tab w:val="left" w:pos="7998"/>
          <w:tab w:val="left" w:pos="7998"/>
          <w:tab w:val="left" w:pos="7998"/>
          <w:tab w:val="left" w:pos="7998"/>
          <w:tab w:val="left" w:pos="7998"/>
        </w:tabs>
        <w:ind w:left="6412" w:hanging="29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DA625F5"/>
    <w:multiLevelType w:val="hybridMultilevel"/>
    <w:tmpl w:val="9E5EF008"/>
    <w:styleLink w:val="Estiloimportado3"/>
    <w:lvl w:ilvl="0" w:tplc="03122A4A">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C21E8F34">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5784004">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271265B4">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3866FFDA">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DE48100C">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ECE481E2">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2E8C3748">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1190331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9665F34"/>
    <w:multiLevelType w:val="hybridMultilevel"/>
    <w:tmpl w:val="2AF43AE2"/>
    <w:styleLink w:val="Estiloimportado7"/>
    <w:lvl w:ilvl="0" w:tplc="75C6BA1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BA815A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FBA1E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552364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9C6336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DB254B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93A895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07408B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5C4076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9AE253B"/>
    <w:multiLevelType w:val="hybridMultilevel"/>
    <w:tmpl w:val="15E0B76E"/>
    <w:numStyleLink w:val="Estiloimportado11"/>
  </w:abstractNum>
  <w:abstractNum w:abstractNumId="7" w15:restartNumberingAfterBreak="0">
    <w:nsid w:val="316708E2"/>
    <w:multiLevelType w:val="hybridMultilevel"/>
    <w:tmpl w:val="A9EEA2C2"/>
    <w:numStyleLink w:val="Estiloimportado9"/>
  </w:abstractNum>
  <w:abstractNum w:abstractNumId="8" w15:restartNumberingAfterBreak="0">
    <w:nsid w:val="38293921"/>
    <w:multiLevelType w:val="hybridMultilevel"/>
    <w:tmpl w:val="C58C1CDC"/>
    <w:styleLink w:val="Estiloimportado8"/>
    <w:lvl w:ilvl="0" w:tplc="6B74E1E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8DC541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E3291D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CD87A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CACF01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0AAD3C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98605E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950C18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0F8FD2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9CC768A"/>
    <w:multiLevelType w:val="hybridMultilevel"/>
    <w:tmpl w:val="D750C25A"/>
    <w:styleLink w:val="Estiloimportado5"/>
    <w:lvl w:ilvl="0" w:tplc="853CB49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9C2C26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64E282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47A9E9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F6AEF5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A5689F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2004EA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D7E378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2ACB85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4C2861C5"/>
    <w:multiLevelType w:val="hybridMultilevel"/>
    <w:tmpl w:val="9E5EF008"/>
    <w:numStyleLink w:val="Estiloimportado3"/>
  </w:abstractNum>
  <w:abstractNum w:abstractNumId="11" w15:restartNumberingAfterBreak="0">
    <w:nsid w:val="53E53C7B"/>
    <w:multiLevelType w:val="hybridMultilevel"/>
    <w:tmpl w:val="C58C1CDC"/>
    <w:numStyleLink w:val="Estiloimportado8"/>
  </w:abstractNum>
  <w:abstractNum w:abstractNumId="12" w15:restartNumberingAfterBreak="0">
    <w:nsid w:val="59263DD5"/>
    <w:multiLevelType w:val="hybridMultilevel"/>
    <w:tmpl w:val="99E43F4C"/>
    <w:styleLink w:val="Estiloimportado2"/>
    <w:lvl w:ilvl="0" w:tplc="DA0CB632">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13BA4A54">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FB6AB07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0C381616">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8C88CDCC">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918AF904">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BEDC9CB6">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9F3C37F8">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B81E0FF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5AD61F6F"/>
    <w:multiLevelType w:val="hybridMultilevel"/>
    <w:tmpl w:val="2F5ADF66"/>
    <w:numStyleLink w:val="Estiloimportado10"/>
  </w:abstractNum>
  <w:abstractNum w:abstractNumId="14" w15:restartNumberingAfterBreak="0">
    <w:nsid w:val="5C7B3711"/>
    <w:multiLevelType w:val="hybridMultilevel"/>
    <w:tmpl w:val="2AF43AE2"/>
    <w:numStyleLink w:val="Estiloimportado7"/>
  </w:abstractNum>
  <w:abstractNum w:abstractNumId="15" w15:restartNumberingAfterBreak="0">
    <w:nsid w:val="6A255750"/>
    <w:multiLevelType w:val="hybridMultilevel"/>
    <w:tmpl w:val="20FCEAB4"/>
    <w:numStyleLink w:val="Estiloimportado1"/>
  </w:abstractNum>
  <w:abstractNum w:abstractNumId="16" w15:restartNumberingAfterBreak="0">
    <w:nsid w:val="6BEC7B9D"/>
    <w:multiLevelType w:val="hybridMultilevel"/>
    <w:tmpl w:val="20FCEAB4"/>
    <w:styleLink w:val="Estiloimportado1"/>
    <w:lvl w:ilvl="0" w:tplc="9F7AAFAE">
      <w:start w:val="1"/>
      <w:numFmt w:val="upperRoman"/>
      <w:lvlText w:val="%1."/>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11B6CAF2">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FD42A80">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EFBCA1A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A3E0886">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52BA289A">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155AA4E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4F6D00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4512123E">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71C862E6"/>
    <w:multiLevelType w:val="hybridMultilevel"/>
    <w:tmpl w:val="D750C25A"/>
    <w:numStyleLink w:val="Estiloimportado5"/>
  </w:abstractNum>
  <w:abstractNum w:abstractNumId="18" w15:restartNumberingAfterBreak="0">
    <w:nsid w:val="779F61DD"/>
    <w:multiLevelType w:val="hybridMultilevel"/>
    <w:tmpl w:val="99E43F4C"/>
    <w:numStyleLink w:val="Estiloimportado2"/>
  </w:abstractNum>
  <w:abstractNum w:abstractNumId="19" w15:restartNumberingAfterBreak="0">
    <w:nsid w:val="78BC1BCE"/>
    <w:multiLevelType w:val="hybridMultilevel"/>
    <w:tmpl w:val="A9EEA2C2"/>
    <w:styleLink w:val="Estiloimportado9"/>
    <w:lvl w:ilvl="0" w:tplc="819CCFF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BE22B7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4C477E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474A36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330136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C38A3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6AA1AF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22A50F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E00033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7A2A784F"/>
    <w:multiLevelType w:val="hybridMultilevel"/>
    <w:tmpl w:val="39946D7A"/>
    <w:numStyleLink w:val="Estiloimportado6"/>
  </w:abstractNum>
  <w:abstractNum w:abstractNumId="21" w15:restartNumberingAfterBreak="0">
    <w:nsid w:val="7D1F7170"/>
    <w:multiLevelType w:val="hybridMultilevel"/>
    <w:tmpl w:val="2F5ADF66"/>
    <w:styleLink w:val="Estiloimportado10"/>
    <w:lvl w:ilvl="0" w:tplc="D3EC82B4">
      <w:start w:val="1"/>
      <w:numFmt w:val="bullet"/>
      <w:lvlText w:val="·"/>
      <w:lvlJc w:val="left"/>
      <w:pPr>
        <w:ind w:left="64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7D67A40">
      <w:start w:val="1"/>
      <w:numFmt w:val="bullet"/>
      <w:lvlText w:val="o"/>
      <w:lvlJc w:val="left"/>
      <w:pPr>
        <w:ind w:left="13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28C3674">
      <w:start w:val="1"/>
      <w:numFmt w:val="bullet"/>
      <w:lvlText w:val="▪"/>
      <w:lvlJc w:val="left"/>
      <w:pPr>
        <w:ind w:left="20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278687A">
      <w:start w:val="1"/>
      <w:numFmt w:val="bullet"/>
      <w:lvlText w:val="·"/>
      <w:lvlJc w:val="left"/>
      <w:pPr>
        <w:ind w:left="280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E6CF11C">
      <w:start w:val="1"/>
      <w:numFmt w:val="bullet"/>
      <w:lvlText w:val="o"/>
      <w:lvlJc w:val="left"/>
      <w:pPr>
        <w:ind w:left="35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A52AE60">
      <w:start w:val="1"/>
      <w:numFmt w:val="bullet"/>
      <w:lvlText w:val="▪"/>
      <w:lvlJc w:val="left"/>
      <w:pPr>
        <w:ind w:left="42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53A409C">
      <w:start w:val="1"/>
      <w:numFmt w:val="bullet"/>
      <w:lvlText w:val="·"/>
      <w:lvlJc w:val="left"/>
      <w:pPr>
        <w:ind w:left="496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27E6796">
      <w:start w:val="1"/>
      <w:numFmt w:val="bullet"/>
      <w:lvlText w:val="o"/>
      <w:lvlJc w:val="left"/>
      <w:pPr>
        <w:ind w:left="56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49232EC">
      <w:start w:val="1"/>
      <w:numFmt w:val="bullet"/>
      <w:lvlText w:val="▪"/>
      <w:lvlJc w:val="left"/>
      <w:pPr>
        <w:ind w:left="64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625619274">
    <w:abstractNumId w:val="16"/>
  </w:num>
  <w:num w:numId="2" w16cid:durableId="1833377056">
    <w:abstractNumId w:val="15"/>
  </w:num>
  <w:num w:numId="3" w16cid:durableId="1943608046">
    <w:abstractNumId w:val="12"/>
  </w:num>
  <w:num w:numId="4" w16cid:durableId="1394426332">
    <w:abstractNumId w:val="18"/>
  </w:num>
  <w:num w:numId="5" w16cid:durableId="995380237">
    <w:abstractNumId w:val="4"/>
  </w:num>
  <w:num w:numId="6" w16cid:durableId="1036541616">
    <w:abstractNumId w:val="10"/>
  </w:num>
  <w:num w:numId="7" w16cid:durableId="598219659">
    <w:abstractNumId w:val="15"/>
    <w:lvlOverride w:ilvl="0">
      <w:startOverride w:val="3"/>
    </w:lvlOverride>
  </w:num>
  <w:num w:numId="8" w16cid:durableId="1250000142">
    <w:abstractNumId w:val="2"/>
  </w:num>
  <w:num w:numId="9" w16cid:durableId="1217860389">
    <w:abstractNumId w:val="0"/>
  </w:num>
  <w:num w:numId="10" w16cid:durableId="54743618">
    <w:abstractNumId w:val="9"/>
  </w:num>
  <w:num w:numId="11" w16cid:durableId="1105273116">
    <w:abstractNumId w:val="17"/>
  </w:num>
  <w:num w:numId="12" w16cid:durableId="25983969">
    <w:abstractNumId w:val="3"/>
  </w:num>
  <w:num w:numId="13" w16cid:durableId="1592735710">
    <w:abstractNumId w:val="20"/>
  </w:num>
  <w:num w:numId="14" w16cid:durableId="623076033">
    <w:abstractNumId w:val="20"/>
    <w:lvlOverride w:ilvl="0">
      <w:lvl w:ilvl="0" w:tplc="AFF0374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DE4D3F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BF621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EB6AE2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702982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E7AA8F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8C660D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34005F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19269F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5" w16cid:durableId="2042049055">
    <w:abstractNumId w:val="5"/>
  </w:num>
  <w:num w:numId="16" w16cid:durableId="434253960">
    <w:abstractNumId w:val="14"/>
  </w:num>
  <w:num w:numId="17" w16cid:durableId="1672487128">
    <w:abstractNumId w:val="8"/>
  </w:num>
  <w:num w:numId="18" w16cid:durableId="1616330642">
    <w:abstractNumId w:val="11"/>
  </w:num>
  <w:num w:numId="19" w16cid:durableId="1255899122">
    <w:abstractNumId w:val="19"/>
  </w:num>
  <w:num w:numId="20" w16cid:durableId="2139566928">
    <w:abstractNumId w:val="7"/>
  </w:num>
  <w:num w:numId="21" w16cid:durableId="780346616">
    <w:abstractNumId w:val="21"/>
  </w:num>
  <w:num w:numId="22" w16cid:durableId="1067730053">
    <w:abstractNumId w:val="13"/>
  </w:num>
  <w:num w:numId="23" w16cid:durableId="1035615990">
    <w:abstractNumId w:val="1"/>
  </w:num>
  <w:num w:numId="24" w16cid:durableId="13008376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E03"/>
    <w:rsid w:val="00005B21"/>
    <w:rsid w:val="00095F15"/>
    <w:rsid w:val="00591E03"/>
    <w:rsid w:val="00F00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C74C0"/>
  <w15:docId w15:val="{3D53BF55-6CF1-4972-B0A0-911F959C4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252"/>
        <w:tab w:val="right" w:pos="8504"/>
      </w:tabs>
    </w:pPr>
    <w:rPr>
      <w:rFonts w:ascii="Calibri" w:hAnsi="Calibri" w:cs="Arial Unicode MS"/>
      <w:color w:val="000000"/>
      <w:sz w:val="22"/>
      <w:szCs w:val="22"/>
      <w:u w:color="000000"/>
      <w:lang w:val="es-ES_tradnl"/>
    </w:rPr>
  </w:style>
  <w:style w:type="character" w:customStyle="1" w:styleId="Ninguno">
    <w:name w:val="Ninguno"/>
  </w:style>
  <w:style w:type="paragraph" w:customStyle="1" w:styleId="Encabezadoypie">
    <w:name w:val="Encabezado y pie"/>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Cuerpo">
    <w:name w:val="Cuerpo"/>
    <w:pPr>
      <w:spacing w:after="160" w:line="259" w:lineRule="auto"/>
    </w:pPr>
    <w:rPr>
      <w:rFonts w:ascii="Calibri" w:hAnsi="Calibri" w:cs="Arial Unicode MS"/>
      <w:color w:val="000000"/>
      <w:sz w:val="22"/>
      <w:szCs w:val="22"/>
      <w:u w:color="000000"/>
      <w:lang w:val="es-ES_tradnl"/>
      <w14:textOutline w14:w="0" w14:cap="flat" w14:cmpd="sng" w14:algn="ctr">
        <w14:noFill/>
        <w14:prstDash w14:val="solid"/>
        <w14:bevel/>
      </w14:textOutline>
    </w:rPr>
  </w:style>
  <w:style w:type="paragraph" w:styleId="ListParagraph">
    <w:name w:val="List Paragraph"/>
    <w:pPr>
      <w:spacing w:after="160" w:line="259" w:lineRule="auto"/>
      <w:ind w:left="720"/>
    </w:pPr>
    <w:rPr>
      <w:rFonts w:ascii="Calibri" w:hAnsi="Calibri" w:cs="Arial Unicode MS"/>
      <w:color w:val="000000"/>
      <w:sz w:val="22"/>
      <w:szCs w:val="22"/>
      <w:u w:color="000000"/>
      <w:lang w:val="es-ES_tradnl"/>
    </w:rPr>
  </w:style>
  <w:style w:type="numbering" w:customStyle="1" w:styleId="Estiloimportado1">
    <w:name w:val="Estilo importado 1"/>
    <w:pPr>
      <w:numPr>
        <w:numId w:val="1"/>
      </w:numPr>
    </w:pPr>
  </w:style>
  <w:style w:type="paragraph" w:styleId="NormalWeb">
    <w:name w:val="Normal (Web)"/>
    <w:pPr>
      <w:spacing w:before="100" w:after="100"/>
    </w:pPr>
    <w:rPr>
      <w:rFonts w:cs="Arial Unicode MS"/>
      <w:color w:val="000000"/>
      <w:sz w:val="24"/>
      <w:szCs w:val="24"/>
      <w:u w:color="000000"/>
      <w:lang w:val="en-US"/>
    </w:rPr>
  </w:style>
  <w:style w:type="paragraph" w:styleId="FootnoteText">
    <w:name w:val="footnote text"/>
    <w:rPr>
      <w:rFonts w:ascii="Calibri" w:eastAsia="Calibri" w:hAnsi="Calibri" w:cs="Calibri"/>
      <w:color w:val="000000"/>
      <w:u w:color="000000"/>
      <w:lang w:val="es-ES_tradnl"/>
    </w:rPr>
  </w:style>
  <w:style w:type="paragraph" w:styleId="HTMLPreformatted">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lang w:val="en-US"/>
    </w:rPr>
  </w:style>
  <w:style w:type="paragraph" w:customStyle="1" w:styleId="Default">
    <w:name w:val="Default"/>
    <w:rPr>
      <w:rFonts w:cs="Arial Unicode MS"/>
      <w:color w:val="000000"/>
      <w:sz w:val="24"/>
      <w:szCs w:val="24"/>
      <w:u w:color="000000"/>
      <w:lang w:val="es-ES_tradnl"/>
    </w:rPr>
  </w:style>
  <w:style w:type="numbering" w:customStyle="1" w:styleId="Estiloimportado2">
    <w:name w:val="Estilo importado 2"/>
    <w:pPr>
      <w:numPr>
        <w:numId w:val="3"/>
      </w:numPr>
    </w:pPr>
  </w:style>
  <w:style w:type="numbering" w:customStyle="1" w:styleId="Estiloimportado3">
    <w:name w:val="Estilo importado 3"/>
    <w:pPr>
      <w:numPr>
        <w:numId w:val="5"/>
      </w:numPr>
    </w:pPr>
  </w:style>
  <w:style w:type="numbering" w:customStyle="1" w:styleId="Estiloimportado4">
    <w:name w:val="Estilo importado 4"/>
    <w:pPr>
      <w:numPr>
        <w:numId w:val="8"/>
      </w:numPr>
    </w:pPr>
  </w:style>
  <w:style w:type="numbering" w:customStyle="1" w:styleId="Estiloimportado5">
    <w:name w:val="Estilo importado 5"/>
    <w:pPr>
      <w:numPr>
        <w:numId w:val="10"/>
      </w:numPr>
    </w:pPr>
  </w:style>
  <w:style w:type="numbering" w:customStyle="1" w:styleId="Estiloimportado6">
    <w:name w:val="Estilo importado 6"/>
    <w:pPr>
      <w:numPr>
        <w:numId w:val="12"/>
      </w:numPr>
    </w:pPr>
  </w:style>
  <w:style w:type="numbering" w:customStyle="1" w:styleId="Estiloimportado7">
    <w:name w:val="Estilo importado 7"/>
    <w:pPr>
      <w:numPr>
        <w:numId w:val="15"/>
      </w:numPr>
    </w:pPr>
  </w:style>
  <w:style w:type="numbering" w:customStyle="1" w:styleId="Estiloimportado8">
    <w:name w:val="Estilo importado 8"/>
    <w:pPr>
      <w:numPr>
        <w:numId w:val="17"/>
      </w:numPr>
    </w:pPr>
  </w:style>
  <w:style w:type="numbering" w:customStyle="1" w:styleId="Estiloimportado9">
    <w:name w:val="Estilo importado 9"/>
    <w:pPr>
      <w:numPr>
        <w:numId w:val="19"/>
      </w:numPr>
    </w:pPr>
  </w:style>
  <w:style w:type="numbering" w:customStyle="1" w:styleId="Estiloimportado10">
    <w:name w:val="Estilo importado 10"/>
    <w:pPr>
      <w:numPr>
        <w:numId w:val="21"/>
      </w:numPr>
    </w:pPr>
  </w:style>
  <w:style w:type="numbering" w:customStyle="1" w:styleId="Estiloimportado11">
    <w:name w:val="Estilo importado 11"/>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10.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E6C5A6-E646-439F-A2B3-2DF83F40335C}"/>
</file>

<file path=customXml/itemProps2.xml><?xml version="1.0" encoding="utf-8"?>
<ds:datastoreItem xmlns:ds="http://schemas.openxmlformats.org/officeDocument/2006/customXml" ds:itemID="{D7C55DE0-9D7A-4E39-B1C5-7FC0099F1450}"/>
</file>

<file path=customXml/itemProps3.xml><?xml version="1.0" encoding="utf-8"?>
<ds:datastoreItem xmlns:ds="http://schemas.openxmlformats.org/officeDocument/2006/customXml" ds:itemID="{C9DB2884-52F3-4C96-96D6-79CF49F72C32}"/>
</file>

<file path=docProps/app.xml><?xml version="1.0" encoding="utf-8"?>
<Properties xmlns="http://schemas.openxmlformats.org/officeDocument/2006/extended-properties" xmlns:vt="http://schemas.openxmlformats.org/officeDocument/2006/docPropsVTypes">
  <Template>Normal.dotm</Template>
  <TotalTime>3</TotalTime>
  <Pages>22</Pages>
  <Words>7660</Words>
  <Characters>43667</Characters>
  <Application>Microsoft Office Word</Application>
  <DocSecurity>0</DocSecurity>
  <Lines>363</Lines>
  <Paragraphs>102</Paragraphs>
  <ScaleCrop>false</ScaleCrop>
  <Company/>
  <LinksUpToDate>false</LinksUpToDate>
  <CharactersWithSpaces>51225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Costa</dc:creator>
  <cp:lastModifiedBy>Lourdes Pereyra</cp:lastModifiedBy>
  <cp:revision>3</cp:revision>
  <dcterms:created xsi:type="dcterms:W3CDTF">2022-08-08T09:30:00Z</dcterms:created>
  <dcterms:modified xsi:type="dcterms:W3CDTF">2022-08-08T10:13:00Z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