
<file path=[Content_Types].xml><?xml version="1.0" encoding="utf-8"?>
<Types xmlns="http://schemas.openxmlformats.org/package/2006/content-types">
  <Default Extension="png" ContentType="image/png"/>
  <Default Extension="rels" ContentType="application/vnd.openxmlformats-package.relationships+xml"/>
  <Default Extension="jpeg" ContentType="image/jpeg"/>
  <Default Extension="xml" ContentType="application/xml"/>
  <Override PartName="/word/document.xml" ContentType="application/vnd.openxmlformats-officedocument.wordprocessingml.document.main+xml"/>
  <Override PartName="/word/settings.xml" ContentType="application/vnd.openxmlformats-officedocument.wordprocessingml.setting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tabs>
          <w:tab w:pos="4050" w:val="left" w:leader="none"/>
          <w:tab w:pos="6192" w:val="left" w:leader="none"/>
        </w:tabs>
        <w:spacing w:line="240" w:lineRule="auto"/>
        <w:ind w:left="1323" w:right="0" w:firstLine="0"/>
        <w:rPr>
          <w:rFonts w:ascii="Times New Roman"/>
          <w:sz w:val="20"/>
        </w:rPr>
      </w:pPr>
      <w:r>
        <w:rPr>
          <w:rFonts w:ascii="Times New Roman"/>
          <w:position w:val="4"/>
          <w:sz w:val="20"/>
        </w:rPr>
        <w:drawing>
          <wp:inline distT="0" distB="0" distL="0" distR="0">
            <wp:extent cx="1074560" cy="1075181"/>
            <wp:effectExtent l="0" t="0" r="0" b="0"/>
            <wp:docPr id="1" name="image1.jpeg" descr=""/>
            <wp:cNvGraphicFramePr>
              <a:graphicFrameLocks noChangeAspect="1"/>
            </wp:cNvGraphicFramePr>
            <a:graphic>
              <a:graphicData uri="http://schemas.openxmlformats.org/drawingml/2006/picture">
                <pic:pic>
                  <pic:nvPicPr>
                    <pic:cNvPr id="2" name="image1.jpeg"/>
                    <pic:cNvPicPr/>
                  </pic:nvPicPr>
                  <pic:blipFill>
                    <a:blip r:embed="rId5" cstate="print"/>
                    <a:stretch>
                      <a:fillRect/>
                    </a:stretch>
                  </pic:blipFill>
                  <pic:spPr>
                    <a:xfrm>
                      <a:off x="0" y="0"/>
                      <a:ext cx="1074560" cy="1075181"/>
                    </a:xfrm>
                    <a:prstGeom prst="rect">
                      <a:avLst/>
                    </a:prstGeom>
                  </pic:spPr>
                </pic:pic>
              </a:graphicData>
            </a:graphic>
          </wp:inline>
        </w:drawing>
      </w:r>
      <w:r>
        <w:rPr>
          <w:rFonts w:ascii="Times New Roman"/>
          <w:position w:val="4"/>
          <w:sz w:val="20"/>
        </w:rPr>
      </w:r>
      <w:r>
        <w:rPr>
          <w:rFonts w:ascii="Times New Roman"/>
          <w:position w:val="4"/>
          <w:sz w:val="20"/>
        </w:rPr>
        <w:tab/>
      </w:r>
      <w:r>
        <w:rPr>
          <w:rFonts w:ascii="Times New Roman"/>
          <w:position w:val="3"/>
          <w:sz w:val="20"/>
        </w:rPr>
        <w:drawing>
          <wp:inline distT="0" distB="0" distL="0" distR="0">
            <wp:extent cx="997659" cy="1423416"/>
            <wp:effectExtent l="0" t="0" r="0" b="0"/>
            <wp:docPr id="3" name="image2.png" descr=""/>
            <wp:cNvGraphicFramePr>
              <a:graphicFrameLocks noChangeAspect="1"/>
            </wp:cNvGraphicFramePr>
            <a:graphic>
              <a:graphicData uri="http://schemas.openxmlformats.org/drawingml/2006/picture">
                <pic:pic>
                  <pic:nvPicPr>
                    <pic:cNvPr id="4" name="image2.png"/>
                    <pic:cNvPicPr/>
                  </pic:nvPicPr>
                  <pic:blipFill>
                    <a:blip r:embed="rId6" cstate="print"/>
                    <a:stretch>
                      <a:fillRect/>
                    </a:stretch>
                  </pic:blipFill>
                  <pic:spPr>
                    <a:xfrm>
                      <a:off x="0" y="0"/>
                      <a:ext cx="997659" cy="1423416"/>
                    </a:xfrm>
                    <a:prstGeom prst="rect">
                      <a:avLst/>
                    </a:prstGeom>
                  </pic:spPr>
                </pic:pic>
              </a:graphicData>
            </a:graphic>
          </wp:inline>
        </w:drawing>
      </w:r>
      <w:r>
        <w:rPr>
          <w:rFonts w:ascii="Times New Roman"/>
          <w:position w:val="3"/>
          <w:sz w:val="20"/>
        </w:rPr>
      </w:r>
      <w:r>
        <w:rPr>
          <w:rFonts w:ascii="Times New Roman"/>
          <w:position w:val="3"/>
          <w:sz w:val="20"/>
        </w:rPr>
        <w:tab/>
      </w:r>
      <w:r>
        <w:rPr>
          <w:rFonts w:ascii="Times New Roman"/>
          <w:sz w:val="20"/>
        </w:rPr>
        <w:drawing>
          <wp:inline distT="0" distB="0" distL="0" distR="0">
            <wp:extent cx="1792969" cy="941831"/>
            <wp:effectExtent l="0" t="0" r="0" b="0"/>
            <wp:docPr id="5" name="image3.png" descr=""/>
            <wp:cNvGraphicFramePr>
              <a:graphicFrameLocks noChangeAspect="1"/>
            </wp:cNvGraphicFramePr>
            <a:graphic>
              <a:graphicData uri="http://schemas.openxmlformats.org/drawingml/2006/picture">
                <pic:pic>
                  <pic:nvPicPr>
                    <pic:cNvPr id="6" name="image3.png"/>
                    <pic:cNvPicPr/>
                  </pic:nvPicPr>
                  <pic:blipFill>
                    <a:blip r:embed="rId7" cstate="print"/>
                    <a:stretch>
                      <a:fillRect/>
                    </a:stretch>
                  </pic:blipFill>
                  <pic:spPr>
                    <a:xfrm>
                      <a:off x="0" y="0"/>
                      <a:ext cx="1792969" cy="941831"/>
                    </a:xfrm>
                    <a:prstGeom prst="rect">
                      <a:avLst/>
                    </a:prstGeom>
                  </pic:spPr>
                </pic:pic>
              </a:graphicData>
            </a:graphic>
          </wp:inline>
        </w:drawing>
      </w:r>
      <w:r>
        <w:rPr>
          <w:rFonts w:ascii="Times New Roman"/>
          <w:sz w:val="20"/>
        </w:rPr>
      </w:r>
    </w:p>
    <w:p>
      <w:pPr>
        <w:pStyle w:val="BodyText"/>
        <w:rPr>
          <w:rFonts w:ascii="Times New Roman"/>
          <w:sz w:val="20"/>
        </w:rPr>
      </w:pPr>
    </w:p>
    <w:p>
      <w:pPr>
        <w:pStyle w:val="BodyText"/>
        <w:spacing w:before="1"/>
        <w:rPr>
          <w:rFonts w:ascii="Times New Roman"/>
          <w:sz w:val="22"/>
        </w:rPr>
      </w:pPr>
    </w:p>
    <w:p>
      <w:pPr>
        <w:pStyle w:val="Heading1"/>
        <w:spacing w:before="100"/>
        <w:ind w:left="2246" w:right="2264"/>
        <w:jc w:val="center"/>
      </w:pPr>
      <w:r>
        <w:rPr/>
        <w:t>Parallel Report to the Fifth Periodic Review of Chile by the Committee on Economic, Social and Cultural Rights</w:t>
      </w:r>
    </w:p>
    <w:p>
      <w:pPr>
        <w:pStyle w:val="BodyText"/>
        <w:rPr>
          <w:b/>
        </w:rPr>
      </w:pPr>
    </w:p>
    <w:p>
      <w:pPr>
        <w:spacing w:before="0"/>
        <w:ind w:left="1126" w:right="1144" w:firstLine="0"/>
        <w:jc w:val="center"/>
        <w:rPr>
          <w:b/>
          <w:i/>
          <w:sz w:val="24"/>
        </w:rPr>
      </w:pPr>
      <w:r>
        <w:rPr>
          <w:b/>
          <w:i/>
          <w:sz w:val="24"/>
        </w:rPr>
        <w:t>Presented by: The Coordinadora Ciudadana No Alto Maipo, Ecosistemas, and the </w:t>
      </w:r>
      <w:r>
        <w:rPr>
          <w:b/>
          <w:i/>
          <w:sz w:val="24"/>
        </w:rPr>
        <w:t>Center for International Environmental Law</w:t>
      </w:r>
    </w:p>
    <w:p>
      <w:pPr>
        <w:pStyle w:val="BodyText"/>
        <w:spacing w:before="11"/>
        <w:rPr>
          <w:b/>
          <w:i/>
          <w:sz w:val="23"/>
        </w:rPr>
      </w:pPr>
    </w:p>
    <w:p>
      <w:pPr>
        <w:spacing w:before="1"/>
        <w:ind w:left="2246" w:right="2262" w:firstLine="0"/>
        <w:jc w:val="center"/>
        <w:rPr>
          <w:b/>
          <w:sz w:val="24"/>
        </w:rPr>
      </w:pPr>
      <w:r>
        <w:rPr>
          <w:b/>
          <w:sz w:val="24"/>
          <w:u w:val="single"/>
        </w:rPr>
        <w:t>Executive Summary</w:t>
      </w:r>
    </w:p>
    <w:p>
      <w:pPr>
        <w:pStyle w:val="BodyText"/>
        <w:spacing w:before="12"/>
        <w:rPr>
          <w:b/>
          <w:sz w:val="21"/>
        </w:rPr>
      </w:pPr>
    </w:p>
    <w:p>
      <w:pPr>
        <w:pStyle w:val="BodyText"/>
        <w:ind w:left="100" w:right="117"/>
        <w:jc w:val="both"/>
      </w:pPr>
      <w:r>
        <w:rPr/>
        <w:t>The Alto Maipo Project is a large-scale hydroelectric project being constructed in the Cajón del Maipo, approximately 50 kilometers southeast of the Chilean capital of Santiago. The project consists</w:t>
      </w:r>
      <w:r>
        <w:rPr>
          <w:spacing w:val="29"/>
        </w:rPr>
        <w:t> </w:t>
      </w:r>
      <w:r>
        <w:rPr/>
        <w:t>of capturing much of the water of the three main tributaries of the Maipo River and rerouting it through a system of tunnels bored in the Andes Mountains, using underground turbines to generate electricity. In addition to depriving 100 kilometers of the Maipo river valley of this water, this massive intervention in the Maipo river basin will affect access to water for millions of people, undermine local economies, and exacerbate</w:t>
      </w:r>
      <w:r>
        <w:rPr>
          <w:spacing w:val="-12"/>
        </w:rPr>
        <w:t> </w:t>
      </w:r>
      <w:r>
        <w:rPr/>
        <w:t>the</w:t>
      </w:r>
      <w:r>
        <w:rPr>
          <w:spacing w:val="-12"/>
        </w:rPr>
        <w:t> </w:t>
      </w:r>
      <w:r>
        <w:rPr/>
        <w:t>effects</w:t>
      </w:r>
      <w:r>
        <w:rPr>
          <w:spacing w:val="-11"/>
        </w:rPr>
        <w:t> </w:t>
      </w:r>
      <w:r>
        <w:rPr/>
        <w:t>of</w:t>
      </w:r>
      <w:r>
        <w:rPr>
          <w:spacing w:val="-12"/>
        </w:rPr>
        <w:t> </w:t>
      </w:r>
      <w:r>
        <w:rPr/>
        <w:t>climate</w:t>
      </w:r>
      <w:r>
        <w:rPr>
          <w:spacing w:val="-12"/>
        </w:rPr>
        <w:t> </w:t>
      </w:r>
      <w:r>
        <w:rPr/>
        <w:t>change.</w:t>
      </w:r>
      <w:r>
        <w:rPr>
          <w:spacing w:val="-11"/>
        </w:rPr>
        <w:t> </w:t>
      </w:r>
      <w:r>
        <w:rPr/>
        <w:t>Opposition</w:t>
      </w:r>
      <w:r>
        <w:rPr>
          <w:spacing w:val="-12"/>
        </w:rPr>
        <w:t> </w:t>
      </w:r>
      <w:r>
        <w:rPr/>
        <w:t>to</w:t>
      </w:r>
      <w:r>
        <w:rPr>
          <w:spacing w:val="-12"/>
        </w:rPr>
        <w:t> </w:t>
      </w:r>
      <w:r>
        <w:rPr/>
        <w:t>the</w:t>
      </w:r>
      <w:r>
        <w:rPr>
          <w:spacing w:val="-11"/>
        </w:rPr>
        <w:t> </w:t>
      </w:r>
      <w:r>
        <w:rPr/>
        <w:t>project</w:t>
      </w:r>
      <w:r>
        <w:rPr>
          <w:spacing w:val="-12"/>
        </w:rPr>
        <w:t> </w:t>
      </w:r>
      <w:r>
        <w:rPr/>
        <w:t>has</w:t>
      </w:r>
      <w:r>
        <w:rPr>
          <w:spacing w:val="-12"/>
        </w:rPr>
        <w:t> </w:t>
      </w:r>
      <w:r>
        <w:rPr/>
        <w:t>been</w:t>
      </w:r>
      <w:r>
        <w:rPr>
          <w:spacing w:val="-11"/>
        </w:rPr>
        <w:t> </w:t>
      </w:r>
      <w:r>
        <w:rPr/>
        <w:t>ongoing</w:t>
      </w:r>
      <w:r>
        <w:rPr>
          <w:spacing w:val="-12"/>
        </w:rPr>
        <w:t> </w:t>
      </w:r>
      <w:r>
        <w:rPr/>
        <w:t>for</w:t>
      </w:r>
      <w:r>
        <w:rPr>
          <w:spacing w:val="-12"/>
        </w:rPr>
        <w:t> </w:t>
      </w:r>
      <w:r>
        <w:rPr/>
        <w:t>nearly</w:t>
      </w:r>
      <w:r>
        <w:rPr>
          <w:spacing w:val="-11"/>
        </w:rPr>
        <w:t> </w:t>
      </w:r>
      <w:r>
        <w:rPr/>
        <w:t>12</w:t>
      </w:r>
      <w:r>
        <w:rPr>
          <w:spacing w:val="-12"/>
        </w:rPr>
        <w:t> </w:t>
      </w:r>
      <w:r>
        <w:rPr/>
        <w:t>years, with legal challenges being paired with multiple marches held by a grassroots movement and joined by thousands</w:t>
      </w:r>
      <w:r>
        <w:rPr>
          <w:spacing w:val="-7"/>
        </w:rPr>
        <w:t> </w:t>
      </w:r>
      <w:r>
        <w:rPr/>
        <w:t>of</w:t>
      </w:r>
      <w:r>
        <w:rPr>
          <w:spacing w:val="-7"/>
        </w:rPr>
        <w:t> </w:t>
      </w:r>
      <w:r>
        <w:rPr/>
        <w:t>Chilean</w:t>
      </w:r>
      <w:r>
        <w:rPr>
          <w:spacing w:val="-7"/>
        </w:rPr>
        <w:t> </w:t>
      </w:r>
      <w:r>
        <w:rPr/>
        <w:t>citizens</w:t>
      </w:r>
      <w:r>
        <w:rPr>
          <w:spacing w:val="-7"/>
        </w:rPr>
        <w:t> </w:t>
      </w:r>
      <w:r>
        <w:rPr/>
        <w:t>calling</w:t>
      </w:r>
      <w:r>
        <w:rPr>
          <w:spacing w:val="-6"/>
        </w:rPr>
        <w:t> </w:t>
      </w:r>
      <w:r>
        <w:rPr/>
        <w:t>for</w:t>
      </w:r>
      <w:r>
        <w:rPr>
          <w:spacing w:val="-7"/>
        </w:rPr>
        <w:t> </w:t>
      </w:r>
      <w:r>
        <w:rPr/>
        <w:t>the</w:t>
      </w:r>
      <w:r>
        <w:rPr>
          <w:spacing w:val="-7"/>
        </w:rPr>
        <w:t> </w:t>
      </w:r>
      <w:r>
        <w:rPr/>
        <w:t>project’s</w:t>
      </w:r>
      <w:r>
        <w:rPr>
          <w:spacing w:val="-7"/>
        </w:rPr>
        <w:t> </w:t>
      </w:r>
      <w:r>
        <w:rPr/>
        <w:t>cancellation</w:t>
      </w:r>
      <w:r>
        <w:rPr>
          <w:spacing w:val="-6"/>
        </w:rPr>
        <w:t> </w:t>
      </w:r>
      <w:r>
        <w:rPr/>
        <w:t>and</w:t>
      </w:r>
      <w:r>
        <w:rPr>
          <w:spacing w:val="-7"/>
        </w:rPr>
        <w:t> </w:t>
      </w:r>
      <w:r>
        <w:rPr/>
        <w:t>the</w:t>
      </w:r>
      <w:r>
        <w:rPr>
          <w:spacing w:val="-7"/>
        </w:rPr>
        <w:t> </w:t>
      </w:r>
      <w:r>
        <w:rPr/>
        <w:t>protection</w:t>
      </w:r>
      <w:r>
        <w:rPr>
          <w:spacing w:val="-7"/>
        </w:rPr>
        <w:t> </w:t>
      </w:r>
      <w:r>
        <w:rPr/>
        <w:t>of</w:t>
      </w:r>
      <w:r>
        <w:rPr>
          <w:spacing w:val="-7"/>
        </w:rPr>
        <w:t> </w:t>
      </w:r>
      <w:r>
        <w:rPr/>
        <w:t>the</w:t>
      </w:r>
      <w:r>
        <w:rPr>
          <w:spacing w:val="-6"/>
        </w:rPr>
        <w:t> </w:t>
      </w:r>
      <w:r>
        <w:rPr/>
        <w:t>Maipo</w:t>
      </w:r>
      <w:r>
        <w:rPr>
          <w:spacing w:val="-7"/>
        </w:rPr>
        <w:t> </w:t>
      </w:r>
      <w:r>
        <w:rPr/>
        <w:t>River.</w:t>
      </w:r>
    </w:p>
    <w:p>
      <w:pPr>
        <w:pStyle w:val="BodyText"/>
        <w:spacing w:before="11"/>
        <w:rPr>
          <w:sz w:val="21"/>
        </w:rPr>
      </w:pPr>
    </w:p>
    <w:p>
      <w:pPr>
        <w:pStyle w:val="BodyText"/>
        <w:ind w:left="100" w:right="118"/>
        <w:jc w:val="both"/>
      </w:pPr>
      <w:r>
        <w:rPr/>
        <w:t>We highlight this situation for the Committee’s attention ahead of the upcoming Periodic Review of Chile, underscoring that the project is violating Chileans’ rights in the following ways:</w:t>
      </w:r>
    </w:p>
    <w:p>
      <w:pPr>
        <w:pStyle w:val="BodyText"/>
        <w:spacing w:before="11"/>
        <w:rPr>
          <w:sz w:val="23"/>
        </w:rPr>
      </w:pPr>
    </w:p>
    <w:p>
      <w:pPr>
        <w:pStyle w:val="BodyText"/>
        <w:spacing w:before="1"/>
        <w:ind w:left="100" w:right="117"/>
        <w:jc w:val="both"/>
      </w:pPr>
      <w:r>
        <w:rPr>
          <w:b/>
          <w:i/>
        </w:rPr>
        <w:t>The right to water</w:t>
      </w:r>
      <w:r>
        <w:rPr>
          <w:b/>
        </w:rPr>
        <w:t>: </w:t>
      </w:r>
      <w:r>
        <w:rPr/>
        <w:t>The Yeso, Volcan, and Colorado rivers, tributaries of the Maipo River, are the main source of drinking water for more than 7 million people in the Santiago metropolitan area. The project is estimated to diminish the flows of these rivers by 60-90%, putting the right to water at severe risk.</w:t>
      </w:r>
    </w:p>
    <w:p>
      <w:pPr>
        <w:pStyle w:val="BodyText"/>
        <w:spacing w:before="11"/>
        <w:rPr>
          <w:sz w:val="23"/>
        </w:rPr>
      </w:pPr>
    </w:p>
    <w:p>
      <w:pPr>
        <w:pStyle w:val="BodyText"/>
        <w:ind w:left="100" w:right="117"/>
        <w:jc w:val="both"/>
      </w:pPr>
      <w:r>
        <w:rPr>
          <w:b/>
          <w:i/>
        </w:rPr>
        <w:t>The rights to life and health</w:t>
      </w:r>
      <w:r>
        <w:rPr>
          <w:b/>
        </w:rPr>
        <w:t>: </w:t>
      </w:r>
      <w:r>
        <w:rPr/>
        <w:t>As the Committee has noted, water is essential for life and health. By threatening Chileans’ access to water, this project also jeopardizes these fundamental rights.</w:t>
      </w:r>
    </w:p>
    <w:p>
      <w:pPr>
        <w:pStyle w:val="BodyText"/>
        <w:spacing w:before="4"/>
      </w:pPr>
    </w:p>
    <w:p>
      <w:pPr>
        <w:pStyle w:val="BodyText"/>
        <w:ind w:left="100" w:right="118"/>
        <w:jc w:val="both"/>
      </w:pPr>
      <w:r>
        <w:rPr>
          <w:b/>
          <w:i/>
        </w:rPr>
        <w:t>The</w:t>
      </w:r>
      <w:r>
        <w:rPr>
          <w:b/>
          <w:i/>
          <w:spacing w:val="-10"/>
        </w:rPr>
        <w:t> </w:t>
      </w:r>
      <w:r>
        <w:rPr>
          <w:b/>
          <w:i/>
        </w:rPr>
        <w:t>right</w:t>
      </w:r>
      <w:r>
        <w:rPr>
          <w:b/>
          <w:i/>
          <w:spacing w:val="-9"/>
        </w:rPr>
        <w:t> </w:t>
      </w:r>
      <w:r>
        <w:rPr>
          <w:b/>
          <w:i/>
        </w:rPr>
        <w:t>to</w:t>
      </w:r>
      <w:r>
        <w:rPr>
          <w:b/>
          <w:i/>
          <w:spacing w:val="-9"/>
        </w:rPr>
        <w:t> </w:t>
      </w:r>
      <w:r>
        <w:rPr>
          <w:b/>
          <w:i/>
        </w:rPr>
        <w:t>food</w:t>
      </w:r>
      <w:r>
        <w:rPr>
          <w:b/>
        </w:rPr>
        <w:t>:</w:t>
      </w:r>
      <w:r>
        <w:rPr>
          <w:b/>
          <w:spacing w:val="-9"/>
        </w:rPr>
        <w:t> </w:t>
      </w:r>
      <w:r>
        <w:rPr/>
        <w:t>The</w:t>
      </w:r>
      <w:r>
        <w:rPr>
          <w:spacing w:val="-9"/>
        </w:rPr>
        <w:t> </w:t>
      </w:r>
      <w:r>
        <w:rPr/>
        <w:t>Maipo</w:t>
      </w:r>
      <w:r>
        <w:rPr>
          <w:spacing w:val="-9"/>
        </w:rPr>
        <w:t> </w:t>
      </w:r>
      <w:r>
        <w:rPr/>
        <w:t>river</w:t>
      </w:r>
      <w:r>
        <w:rPr>
          <w:spacing w:val="-9"/>
        </w:rPr>
        <w:t> </w:t>
      </w:r>
      <w:r>
        <w:rPr/>
        <w:t>basin</w:t>
      </w:r>
      <w:r>
        <w:rPr>
          <w:spacing w:val="-9"/>
        </w:rPr>
        <w:t> </w:t>
      </w:r>
      <w:r>
        <w:rPr/>
        <w:t>provides</w:t>
      </w:r>
      <w:r>
        <w:rPr>
          <w:spacing w:val="-9"/>
        </w:rPr>
        <w:t> </w:t>
      </w:r>
      <w:r>
        <w:rPr/>
        <w:t>irrigation</w:t>
      </w:r>
      <w:r>
        <w:rPr>
          <w:spacing w:val="-9"/>
        </w:rPr>
        <w:t> </w:t>
      </w:r>
      <w:r>
        <w:rPr/>
        <w:t>water</w:t>
      </w:r>
      <w:r>
        <w:rPr>
          <w:spacing w:val="-9"/>
        </w:rPr>
        <w:t> </w:t>
      </w:r>
      <w:r>
        <w:rPr/>
        <w:t>for</w:t>
      </w:r>
      <w:r>
        <w:rPr>
          <w:spacing w:val="-9"/>
        </w:rPr>
        <w:t> </w:t>
      </w:r>
      <w:r>
        <w:rPr/>
        <w:t>over</w:t>
      </w:r>
      <w:r>
        <w:rPr>
          <w:spacing w:val="-9"/>
        </w:rPr>
        <w:t> </w:t>
      </w:r>
      <w:r>
        <w:rPr/>
        <w:t>120,000</w:t>
      </w:r>
      <w:r>
        <w:rPr>
          <w:spacing w:val="-9"/>
        </w:rPr>
        <w:t> </w:t>
      </w:r>
      <w:r>
        <w:rPr/>
        <w:t>hectares</w:t>
      </w:r>
      <w:r>
        <w:rPr>
          <w:spacing w:val="-9"/>
        </w:rPr>
        <w:t> </w:t>
      </w:r>
      <w:r>
        <w:rPr/>
        <w:t>of</w:t>
      </w:r>
      <w:r>
        <w:rPr>
          <w:spacing w:val="-9"/>
        </w:rPr>
        <w:t> </w:t>
      </w:r>
      <w:r>
        <w:rPr/>
        <w:t>farmland. Rerouting its rivers will paralyze the region’s agriculture, threatening the right to</w:t>
      </w:r>
      <w:r>
        <w:rPr>
          <w:spacing w:val="-8"/>
        </w:rPr>
        <w:t> </w:t>
      </w:r>
      <w:r>
        <w:rPr/>
        <w:t>food.</w:t>
      </w:r>
    </w:p>
    <w:p>
      <w:pPr>
        <w:pStyle w:val="BodyText"/>
      </w:pPr>
    </w:p>
    <w:p>
      <w:pPr>
        <w:pStyle w:val="BodyText"/>
        <w:ind w:left="100" w:right="117"/>
        <w:jc w:val="both"/>
      </w:pPr>
      <w:r>
        <w:rPr>
          <w:b/>
          <w:i/>
        </w:rPr>
        <w:t>The right to work</w:t>
      </w:r>
      <w:r>
        <w:rPr>
          <w:b/>
        </w:rPr>
        <w:t>: </w:t>
      </w:r>
      <w:r>
        <w:rPr/>
        <w:t>The Cajón del Maipo is one of Chile’s most important tourist and recreational areas. Rerouting its rivers will devastate the livelihoods of residents of this area and undermine entire local economies, which have long depended on tourism.</w:t>
      </w:r>
    </w:p>
    <w:p>
      <w:pPr>
        <w:pStyle w:val="BodyText"/>
        <w:spacing w:before="11"/>
        <w:rPr>
          <w:sz w:val="23"/>
        </w:rPr>
      </w:pPr>
    </w:p>
    <w:p>
      <w:pPr>
        <w:spacing w:before="0"/>
        <w:ind w:left="100" w:right="117" w:firstLine="0"/>
        <w:jc w:val="both"/>
        <w:rPr>
          <w:sz w:val="24"/>
        </w:rPr>
      </w:pPr>
      <w:r>
        <w:rPr>
          <w:b/>
          <w:i/>
          <w:sz w:val="24"/>
        </w:rPr>
        <w:t>The right to work in adequate conditions</w:t>
      </w:r>
      <w:r>
        <w:rPr>
          <w:b/>
          <w:sz w:val="24"/>
        </w:rPr>
        <w:t>: </w:t>
      </w:r>
      <w:r>
        <w:rPr>
          <w:sz w:val="24"/>
        </w:rPr>
        <w:t>Since construction on the project began, the workers’ union has consistently denounced the insufficient safety measures for those working within the tunnels, as</w:t>
      </w:r>
    </w:p>
    <w:p>
      <w:pPr>
        <w:spacing w:after="0"/>
        <w:jc w:val="both"/>
        <w:rPr>
          <w:sz w:val="24"/>
        </w:rPr>
        <w:sectPr>
          <w:type w:val="continuous"/>
          <w:pgSz w:w="12240" w:h="15840"/>
          <w:pgMar w:top="740" w:bottom="280" w:left="980" w:right="960"/>
        </w:sectPr>
      </w:pPr>
    </w:p>
    <w:p>
      <w:pPr>
        <w:pStyle w:val="BodyText"/>
        <w:spacing w:before="83"/>
        <w:ind w:left="100" w:right="117"/>
        <w:jc w:val="both"/>
      </w:pPr>
      <w:r>
        <w:rPr/>
        <w:t>well as a lack of due diligence regarding excavation and construction methods. These dangerous conditions have resulted in several worker injuries and even one death.</w:t>
      </w:r>
    </w:p>
    <w:p>
      <w:pPr>
        <w:pStyle w:val="BodyText"/>
        <w:spacing w:before="12"/>
        <w:rPr>
          <w:sz w:val="23"/>
        </w:rPr>
      </w:pPr>
    </w:p>
    <w:p>
      <w:pPr>
        <w:pStyle w:val="BodyText"/>
        <w:ind w:left="100" w:right="117"/>
        <w:jc w:val="both"/>
      </w:pPr>
      <w:r>
        <w:rPr>
          <w:b/>
          <w:i/>
        </w:rPr>
        <w:t>The right to adequate housing</w:t>
      </w:r>
      <w:r>
        <w:rPr>
          <w:b/>
        </w:rPr>
        <w:t>: </w:t>
      </w:r>
      <w:r>
        <w:rPr/>
        <w:t>The construction of a forebay for the project has severely affected the town of El Alfalfal, which has been surrounded by a barrier wall. Residents essentially live in the middle of a construction site, with increasingly limited access to their own homes.</w:t>
      </w:r>
    </w:p>
    <w:p>
      <w:pPr>
        <w:pStyle w:val="BodyText"/>
        <w:spacing w:before="11"/>
        <w:rPr>
          <w:sz w:val="23"/>
        </w:rPr>
      </w:pPr>
    </w:p>
    <w:p>
      <w:pPr>
        <w:pStyle w:val="BodyText"/>
        <w:ind w:left="100" w:right="117"/>
        <w:jc w:val="both"/>
      </w:pPr>
      <w:r>
        <w:rPr>
          <w:b/>
          <w:i/>
        </w:rPr>
        <w:t>The right to participate in cultural life</w:t>
      </w:r>
      <w:r>
        <w:rPr>
          <w:b/>
        </w:rPr>
        <w:t>: </w:t>
      </w:r>
      <w:r>
        <w:rPr/>
        <w:t>The project also threatens the Cajón del Maipo’s monuments, natural</w:t>
      </w:r>
      <w:r>
        <w:rPr>
          <w:spacing w:val="-10"/>
        </w:rPr>
        <w:t> </w:t>
      </w:r>
      <w:r>
        <w:rPr/>
        <w:t>sanctuaries,</w:t>
      </w:r>
      <w:r>
        <w:rPr>
          <w:spacing w:val="-8"/>
        </w:rPr>
        <w:t> </w:t>
      </w:r>
      <w:r>
        <w:rPr/>
        <w:t>and</w:t>
      </w:r>
      <w:r>
        <w:rPr>
          <w:spacing w:val="-8"/>
        </w:rPr>
        <w:t> </w:t>
      </w:r>
      <w:r>
        <w:rPr/>
        <w:t>protected</w:t>
      </w:r>
      <w:r>
        <w:rPr>
          <w:spacing w:val="-9"/>
        </w:rPr>
        <w:t> </w:t>
      </w:r>
      <w:r>
        <w:rPr/>
        <w:t>heritage</w:t>
      </w:r>
      <w:r>
        <w:rPr>
          <w:spacing w:val="-8"/>
        </w:rPr>
        <w:t> </w:t>
      </w:r>
      <w:r>
        <w:rPr/>
        <w:t>sites</w:t>
      </w:r>
      <w:r>
        <w:rPr>
          <w:spacing w:val="-8"/>
        </w:rPr>
        <w:t> </w:t>
      </w:r>
      <w:r>
        <w:rPr/>
        <w:t>of</w:t>
      </w:r>
      <w:r>
        <w:rPr>
          <w:spacing w:val="-8"/>
        </w:rPr>
        <w:t> </w:t>
      </w:r>
      <w:r>
        <w:rPr/>
        <w:t>archeological</w:t>
      </w:r>
      <w:r>
        <w:rPr>
          <w:spacing w:val="-9"/>
        </w:rPr>
        <w:t> </w:t>
      </w:r>
      <w:r>
        <w:rPr/>
        <w:t>and</w:t>
      </w:r>
      <w:r>
        <w:rPr>
          <w:spacing w:val="-8"/>
        </w:rPr>
        <w:t> </w:t>
      </w:r>
      <w:r>
        <w:rPr/>
        <w:t>paleontological</w:t>
      </w:r>
      <w:r>
        <w:rPr>
          <w:spacing w:val="-8"/>
        </w:rPr>
        <w:t> </w:t>
      </w:r>
      <w:r>
        <w:rPr/>
        <w:t>value,</w:t>
      </w:r>
      <w:r>
        <w:rPr>
          <w:spacing w:val="-9"/>
        </w:rPr>
        <w:t> </w:t>
      </w:r>
      <w:r>
        <w:rPr/>
        <w:t>which</w:t>
      </w:r>
      <w:r>
        <w:rPr>
          <w:spacing w:val="-8"/>
        </w:rPr>
        <w:t> </w:t>
      </w:r>
      <w:r>
        <w:rPr/>
        <w:t>could be lost</w:t>
      </w:r>
      <w:r>
        <w:rPr>
          <w:spacing w:val="-1"/>
        </w:rPr>
        <w:t> </w:t>
      </w:r>
      <w:r>
        <w:rPr/>
        <w:t>forever.</w:t>
      </w:r>
    </w:p>
    <w:p>
      <w:pPr>
        <w:pStyle w:val="BodyText"/>
      </w:pPr>
    </w:p>
    <w:p>
      <w:pPr>
        <w:pStyle w:val="BodyText"/>
        <w:ind w:left="100" w:right="117"/>
        <w:jc w:val="both"/>
      </w:pPr>
      <w:r>
        <w:rPr>
          <w:b/>
          <w:i/>
        </w:rPr>
        <w:t>The</w:t>
      </w:r>
      <w:r>
        <w:rPr>
          <w:b/>
          <w:i/>
          <w:spacing w:val="-9"/>
        </w:rPr>
        <w:t> </w:t>
      </w:r>
      <w:r>
        <w:rPr>
          <w:b/>
          <w:i/>
        </w:rPr>
        <w:t>right</w:t>
      </w:r>
      <w:r>
        <w:rPr>
          <w:b/>
          <w:i/>
          <w:spacing w:val="-8"/>
        </w:rPr>
        <w:t> </w:t>
      </w:r>
      <w:r>
        <w:rPr>
          <w:b/>
          <w:i/>
        </w:rPr>
        <w:t>to</w:t>
      </w:r>
      <w:r>
        <w:rPr>
          <w:b/>
          <w:i/>
          <w:spacing w:val="-8"/>
        </w:rPr>
        <w:t> </w:t>
      </w:r>
      <w:r>
        <w:rPr>
          <w:b/>
          <w:i/>
        </w:rPr>
        <w:t>a</w:t>
      </w:r>
      <w:r>
        <w:rPr>
          <w:b/>
          <w:i/>
          <w:spacing w:val="-8"/>
        </w:rPr>
        <w:t> </w:t>
      </w:r>
      <w:r>
        <w:rPr>
          <w:b/>
          <w:i/>
        </w:rPr>
        <w:t>healthy</w:t>
      </w:r>
      <w:r>
        <w:rPr>
          <w:b/>
          <w:i/>
          <w:spacing w:val="-8"/>
        </w:rPr>
        <w:t> </w:t>
      </w:r>
      <w:r>
        <w:rPr>
          <w:b/>
          <w:i/>
        </w:rPr>
        <w:t>environment</w:t>
      </w:r>
      <w:r>
        <w:rPr>
          <w:b/>
        </w:rPr>
        <w:t>:</w:t>
      </w:r>
      <w:r>
        <w:rPr>
          <w:b/>
          <w:spacing w:val="-8"/>
        </w:rPr>
        <w:t> </w:t>
      </w:r>
      <w:r>
        <w:rPr/>
        <w:t>In</w:t>
      </w:r>
      <w:r>
        <w:rPr>
          <w:spacing w:val="-8"/>
        </w:rPr>
        <w:t> </w:t>
      </w:r>
      <w:r>
        <w:rPr/>
        <w:t>light</w:t>
      </w:r>
      <w:r>
        <w:rPr>
          <w:spacing w:val="-8"/>
        </w:rPr>
        <w:t> </w:t>
      </w:r>
      <w:r>
        <w:rPr/>
        <w:t>of</w:t>
      </w:r>
      <w:r>
        <w:rPr>
          <w:spacing w:val="-8"/>
        </w:rPr>
        <w:t> </w:t>
      </w:r>
      <w:r>
        <w:rPr/>
        <w:t>the</w:t>
      </w:r>
      <w:r>
        <w:rPr>
          <w:spacing w:val="-9"/>
        </w:rPr>
        <w:t> </w:t>
      </w:r>
      <w:r>
        <w:rPr/>
        <w:t>crucial</w:t>
      </w:r>
      <w:r>
        <w:rPr>
          <w:spacing w:val="-8"/>
        </w:rPr>
        <w:t> </w:t>
      </w:r>
      <w:r>
        <w:rPr/>
        <w:t>connection</w:t>
      </w:r>
      <w:r>
        <w:rPr>
          <w:spacing w:val="-8"/>
        </w:rPr>
        <w:t> </w:t>
      </w:r>
      <w:r>
        <w:rPr/>
        <w:t>between</w:t>
      </w:r>
      <w:r>
        <w:rPr>
          <w:spacing w:val="-8"/>
        </w:rPr>
        <w:t> </w:t>
      </w:r>
      <w:r>
        <w:rPr/>
        <w:t>the</w:t>
      </w:r>
      <w:r>
        <w:rPr>
          <w:spacing w:val="-8"/>
        </w:rPr>
        <w:t> </w:t>
      </w:r>
      <w:r>
        <w:rPr/>
        <w:t>environment,</w:t>
      </w:r>
      <w:r>
        <w:rPr>
          <w:spacing w:val="-9"/>
        </w:rPr>
        <w:t> </w:t>
      </w:r>
      <w:r>
        <w:rPr/>
        <w:t>climate change</w:t>
      </w:r>
      <w:r>
        <w:rPr>
          <w:spacing w:val="-13"/>
        </w:rPr>
        <w:t> </w:t>
      </w:r>
      <w:r>
        <w:rPr/>
        <w:t>and</w:t>
      </w:r>
      <w:r>
        <w:rPr>
          <w:spacing w:val="-13"/>
        </w:rPr>
        <w:t> </w:t>
      </w:r>
      <w:r>
        <w:rPr/>
        <w:t>the</w:t>
      </w:r>
      <w:r>
        <w:rPr>
          <w:spacing w:val="-12"/>
        </w:rPr>
        <w:t> </w:t>
      </w:r>
      <w:r>
        <w:rPr/>
        <w:t>enjoyment</w:t>
      </w:r>
      <w:r>
        <w:rPr>
          <w:spacing w:val="-13"/>
        </w:rPr>
        <w:t> </w:t>
      </w:r>
      <w:r>
        <w:rPr/>
        <w:t>of</w:t>
      </w:r>
      <w:r>
        <w:rPr>
          <w:spacing w:val="-13"/>
        </w:rPr>
        <w:t> </w:t>
      </w:r>
      <w:r>
        <w:rPr/>
        <w:t>economic,</w:t>
      </w:r>
      <w:r>
        <w:rPr>
          <w:spacing w:val="-12"/>
        </w:rPr>
        <w:t> </w:t>
      </w:r>
      <w:r>
        <w:rPr/>
        <w:t>social</w:t>
      </w:r>
      <w:r>
        <w:rPr>
          <w:spacing w:val="-13"/>
        </w:rPr>
        <w:t> </w:t>
      </w:r>
      <w:r>
        <w:rPr/>
        <w:t>and</w:t>
      </w:r>
      <w:r>
        <w:rPr>
          <w:spacing w:val="-12"/>
        </w:rPr>
        <w:t> </w:t>
      </w:r>
      <w:r>
        <w:rPr/>
        <w:t>cultural</w:t>
      </w:r>
      <w:r>
        <w:rPr>
          <w:spacing w:val="-13"/>
        </w:rPr>
        <w:t> </w:t>
      </w:r>
      <w:r>
        <w:rPr/>
        <w:t>rights,</w:t>
      </w:r>
      <w:r>
        <w:rPr>
          <w:spacing w:val="-13"/>
        </w:rPr>
        <w:t> </w:t>
      </w:r>
      <w:r>
        <w:rPr/>
        <w:t>as</w:t>
      </w:r>
      <w:r>
        <w:rPr>
          <w:spacing w:val="-12"/>
        </w:rPr>
        <w:t> </w:t>
      </w:r>
      <w:r>
        <w:rPr/>
        <w:t>recognized,</w:t>
      </w:r>
      <w:r>
        <w:rPr>
          <w:spacing w:val="-14"/>
        </w:rPr>
        <w:t> </w:t>
      </w:r>
      <w:r>
        <w:rPr>
          <w:i/>
        </w:rPr>
        <w:t>inter</w:t>
      </w:r>
      <w:r>
        <w:rPr>
          <w:i/>
          <w:spacing w:val="-12"/>
        </w:rPr>
        <w:t> </w:t>
      </w:r>
      <w:r>
        <w:rPr>
          <w:i/>
        </w:rPr>
        <w:t>alia</w:t>
      </w:r>
      <w:r>
        <w:rPr/>
        <w:t>,</w:t>
      </w:r>
      <w:r>
        <w:rPr>
          <w:spacing w:val="-13"/>
        </w:rPr>
        <w:t> </w:t>
      </w:r>
      <w:r>
        <w:rPr/>
        <w:t>by</w:t>
      </w:r>
      <w:r>
        <w:rPr>
          <w:spacing w:val="-13"/>
        </w:rPr>
        <w:t> </w:t>
      </w:r>
      <w:r>
        <w:rPr/>
        <w:t>the</w:t>
      </w:r>
      <w:r>
        <w:rPr>
          <w:spacing w:val="-12"/>
        </w:rPr>
        <w:t> </w:t>
      </w:r>
      <w:r>
        <w:rPr/>
        <w:t>Human Rights Council at its 41st session in July 2019, we consider it necessary to outline some of the environmental ramifications of the Alto Maipo Project. Of great concern is that the project will reduce rainfall</w:t>
      </w:r>
      <w:r>
        <w:rPr>
          <w:spacing w:val="-11"/>
        </w:rPr>
        <w:t> </w:t>
      </w:r>
      <w:r>
        <w:rPr/>
        <w:t>and</w:t>
      </w:r>
      <w:r>
        <w:rPr>
          <w:spacing w:val="-11"/>
        </w:rPr>
        <w:t> </w:t>
      </w:r>
      <w:r>
        <w:rPr/>
        <w:t>aggravate</w:t>
      </w:r>
      <w:r>
        <w:rPr>
          <w:spacing w:val="-11"/>
        </w:rPr>
        <w:t> </w:t>
      </w:r>
      <w:r>
        <w:rPr/>
        <w:t>the</w:t>
      </w:r>
      <w:r>
        <w:rPr>
          <w:spacing w:val="-10"/>
        </w:rPr>
        <w:t> </w:t>
      </w:r>
      <w:r>
        <w:rPr/>
        <w:t>decade-long</w:t>
      </w:r>
      <w:r>
        <w:rPr>
          <w:spacing w:val="-11"/>
        </w:rPr>
        <w:t> </w:t>
      </w:r>
      <w:r>
        <w:rPr/>
        <w:t>mega-drought</w:t>
      </w:r>
      <w:r>
        <w:rPr>
          <w:spacing w:val="-11"/>
        </w:rPr>
        <w:t> </w:t>
      </w:r>
      <w:r>
        <w:rPr/>
        <w:t>that</w:t>
      </w:r>
      <w:r>
        <w:rPr>
          <w:spacing w:val="-11"/>
        </w:rPr>
        <w:t> </w:t>
      </w:r>
      <w:r>
        <w:rPr/>
        <w:t>Chile</w:t>
      </w:r>
      <w:r>
        <w:rPr>
          <w:spacing w:val="-10"/>
        </w:rPr>
        <w:t> </w:t>
      </w:r>
      <w:r>
        <w:rPr/>
        <w:t>has</w:t>
      </w:r>
      <w:r>
        <w:rPr>
          <w:spacing w:val="-11"/>
        </w:rPr>
        <w:t> </w:t>
      </w:r>
      <w:r>
        <w:rPr/>
        <w:t>experienced,</w:t>
      </w:r>
      <w:r>
        <w:rPr>
          <w:spacing w:val="-11"/>
        </w:rPr>
        <w:t> </w:t>
      </w:r>
      <w:r>
        <w:rPr/>
        <w:t>contribute</w:t>
      </w:r>
      <w:r>
        <w:rPr>
          <w:spacing w:val="-11"/>
        </w:rPr>
        <w:t> </w:t>
      </w:r>
      <w:r>
        <w:rPr/>
        <w:t>to</w:t>
      </w:r>
      <w:r>
        <w:rPr>
          <w:spacing w:val="-10"/>
        </w:rPr>
        <w:t> </w:t>
      </w:r>
      <w:r>
        <w:rPr/>
        <w:t>a</w:t>
      </w:r>
      <w:r>
        <w:rPr>
          <w:spacing w:val="-11"/>
        </w:rPr>
        <w:t> </w:t>
      </w:r>
      <w:r>
        <w:rPr/>
        <w:t>process of desertification, prevent the recharge of underground aquifers, and increase the fissuring of Chile’s glaciers – all of which exacerbate the impacts of climate change. Therefore, affected communities also question the project’s Clean Development Mechanism (CDM) designation under the</w:t>
      </w:r>
      <w:r>
        <w:rPr>
          <w:spacing w:val="-4"/>
        </w:rPr>
        <w:t> </w:t>
      </w:r>
      <w:r>
        <w:rPr/>
        <w:t>UNFCCC.</w:t>
      </w:r>
    </w:p>
    <w:p>
      <w:pPr>
        <w:pStyle w:val="BodyText"/>
        <w:spacing w:before="3"/>
      </w:pPr>
    </w:p>
    <w:p>
      <w:pPr>
        <w:pStyle w:val="BodyText"/>
        <w:ind w:left="100" w:right="117"/>
        <w:jc w:val="both"/>
      </w:pPr>
      <w:r>
        <w:rPr/>
        <w:t>The Alto Maipo Project’s adverse impacts for Chileans’ economic, social, cultural and environmental rights are indicative of the long-term effects of hydroelectric projects and large-scale energy infrastructure, with impacts already being felt throughout Chile. Therefore, we respectfully ask the Committee to request that the State of Chile provide additional information regarding the following:</w:t>
      </w:r>
    </w:p>
    <w:p>
      <w:pPr>
        <w:pStyle w:val="BodyText"/>
        <w:spacing w:before="11"/>
        <w:rPr>
          <w:sz w:val="23"/>
        </w:rPr>
      </w:pPr>
    </w:p>
    <w:p>
      <w:pPr>
        <w:pStyle w:val="Heading1"/>
        <w:numPr>
          <w:ilvl w:val="0"/>
          <w:numId w:val="1"/>
        </w:numPr>
        <w:tabs>
          <w:tab w:pos="820" w:val="left" w:leader="none"/>
        </w:tabs>
        <w:spacing w:line="240" w:lineRule="auto" w:before="0" w:after="0"/>
        <w:ind w:left="820" w:right="113" w:hanging="360"/>
        <w:jc w:val="both"/>
      </w:pPr>
      <w:r>
        <w:rPr/>
        <w:t>Please</w:t>
      </w:r>
      <w:r>
        <w:rPr>
          <w:spacing w:val="-8"/>
        </w:rPr>
        <w:t> </w:t>
      </w:r>
      <w:r>
        <w:rPr/>
        <w:t>explain</w:t>
      </w:r>
      <w:r>
        <w:rPr>
          <w:spacing w:val="-8"/>
        </w:rPr>
        <w:t> </w:t>
      </w:r>
      <w:r>
        <w:rPr/>
        <w:t>what</w:t>
      </w:r>
      <w:r>
        <w:rPr>
          <w:spacing w:val="-8"/>
        </w:rPr>
        <w:t> </w:t>
      </w:r>
      <w:r>
        <w:rPr/>
        <w:t>concrete</w:t>
      </w:r>
      <w:r>
        <w:rPr>
          <w:spacing w:val="-8"/>
        </w:rPr>
        <w:t> </w:t>
      </w:r>
      <w:r>
        <w:rPr/>
        <w:t>measures</w:t>
      </w:r>
      <w:r>
        <w:rPr>
          <w:spacing w:val="-7"/>
        </w:rPr>
        <w:t> </w:t>
      </w:r>
      <w:r>
        <w:rPr/>
        <w:t>the</w:t>
      </w:r>
      <w:r>
        <w:rPr>
          <w:spacing w:val="-8"/>
        </w:rPr>
        <w:t> </w:t>
      </w:r>
      <w:r>
        <w:rPr/>
        <w:t>State</w:t>
      </w:r>
      <w:r>
        <w:rPr>
          <w:spacing w:val="-8"/>
        </w:rPr>
        <w:t> </w:t>
      </w:r>
      <w:r>
        <w:rPr/>
        <w:t>Party</w:t>
      </w:r>
      <w:r>
        <w:rPr>
          <w:spacing w:val="-8"/>
        </w:rPr>
        <w:t> </w:t>
      </w:r>
      <w:r>
        <w:rPr/>
        <w:t>has</w:t>
      </w:r>
      <w:r>
        <w:rPr>
          <w:spacing w:val="-7"/>
        </w:rPr>
        <w:t> </w:t>
      </w:r>
      <w:r>
        <w:rPr/>
        <w:t>taken</w:t>
      </w:r>
      <w:r>
        <w:rPr>
          <w:spacing w:val="-8"/>
        </w:rPr>
        <w:t> </w:t>
      </w:r>
      <w:r>
        <w:rPr/>
        <w:t>or</w:t>
      </w:r>
      <w:r>
        <w:rPr>
          <w:spacing w:val="-8"/>
        </w:rPr>
        <w:t> </w:t>
      </w:r>
      <w:r>
        <w:rPr/>
        <w:t>intends</w:t>
      </w:r>
      <w:r>
        <w:rPr>
          <w:spacing w:val="-8"/>
        </w:rPr>
        <w:t> </w:t>
      </w:r>
      <w:r>
        <w:rPr/>
        <w:t>to</w:t>
      </w:r>
      <w:r>
        <w:rPr>
          <w:spacing w:val="-8"/>
        </w:rPr>
        <w:t> </w:t>
      </w:r>
      <w:r>
        <w:rPr/>
        <w:t>take</w:t>
      </w:r>
      <w:r>
        <w:rPr>
          <w:spacing w:val="-7"/>
        </w:rPr>
        <w:t> </w:t>
      </w:r>
      <w:r>
        <w:rPr/>
        <w:t>to</w:t>
      </w:r>
      <w:r>
        <w:rPr>
          <w:spacing w:val="-8"/>
        </w:rPr>
        <w:t> </w:t>
      </w:r>
      <w:r>
        <w:rPr/>
        <w:t>mitigate the negative impacts of energy infrastructure – including hydroelectric projects, such as the Alto</w:t>
      </w:r>
      <w:r>
        <w:rPr>
          <w:spacing w:val="-6"/>
        </w:rPr>
        <w:t> </w:t>
      </w:r>
      <w:r>
        <w:rPr/>
        <w:t>Maipo</w:t>
      </w:r>
      <w:r>
        <w:rPr>
          <w:spacing w:val="-6"/>
        </w:rPr>
        <w:t> </w:t>
      </w:r>
      <w:r>
        <w:rPr/>
        <w:t>Project</w:t>
      </w:r>
      <w:r>
        <w:rPr>
          <w:spacing w:val="-6"/>
        </w:rPr>
        <w:t> </w:t>
      </w:r>
      <w:r>
        <w:rPr/>
        <w:t>–</w:t>
      </w:r>
      <w:r>
        <w:rPr>
          <w:spacing w:val="-5"/>
        </w:rPr>
        <w:t> </w:t>
      </w:r>
      <w:r>
        <w:rPr/>
        <w:t>and</w:t>
      </w:r>
      <w:r>
        <w:rPr>
          <w:spacing w:val="-6"/>
        </w:rPr>
        <w:t> </w:t>
      </w:r>
      <w:r>
        <w:rPr/>
        <w:t>to</w:t>
      </w:r>
      <w:r>
        <w:rPr>
          <w:spacing w:val="-6"/>
        </w:rPr>
        <w:t> </w:t>
      </w:r>
      <w:r>
        <w:rPr/>
        <w:t>guarantee</w:t>
      </w:r>
      <w:r>
        <w:rPr>
          <w:spacing w:val="-7"/>
        </w:rPr>
        <w:t> </w:t>
      </w:r>
      <w:r>
        <w:rPr/>
        <w:t>the</w:t>
      </w:r>
      <w:r>
        <w:rPr>
          <w:spacing w:val="-5"/>
        </w:rPr>
        <w:t> </w:t>
      </w:r>
      <w:r>
        <w:rPr/>
        <w:t>rights</w:t>
      </w:r>
      <w:r>
        <w:rPr>
          <w:spacing w:val="-6"/>
        </w:rPr>
        <w:t> </w:t>
      </w:r>
      <w:r>
        <w:rPr/>
        <w:t>to</w:t>
      </w:r>
      <w:r>
        <w:rPr>
          <w:spacing w:val="-6"/>
        </w:rPr>
        <w:t> </w:t>
      </w:r>
      <w:r>
        <w:rPr/>
        <w:t>housing,</w:t>
      </w:r>
      <w:r>
        <w:rPr>
          <w:spacing w:val="-5"/>
        </w:rPr>
        <w:t> </w:t>
      </w:r>
      <w:r>
        <w:rPr/>
        <w:t>water,</w:t>
      </w:r>
      <w:r>
        <w:rPr>
          <w:spacing w:val="-6"/>
        </w:rPr>
        <w:t> </w:t>
      </w:r>
      <w:r>
        <w:rPr/>
        <w:t>food</w:t>
      </w:r>
      <w:r>
        <w:rPr>
          <w:spacing w:val="-6"/>
        </w:rPr>
        <w:t> </w:t>
      </w:r>
      <w:r>
        <w:rPr/>
        <w:t>and</w:t>
      </w:r>
      <w:r>
        <w:rPr>
          <w:spacing w:val="-6"/>
        </w:rPr>
        <w:t> </w:t>
      </w:r>
      <w:r>
        <w:rPr/>
        <w:t>health</w:t>
      </w:r>
      <w:r>
        <w:rPr>
          <w:spacing w:val="-5"/>
        </w:rPr>
        <w:t> </w:t>
      </w:r>
      <w:r>
        <w:rPr/>
        <w:t>of</w:t>
      </w:r>
      <w:r>
        <w:rPr>
          <w:spacing w:val="-6"/>
        </w:rPr>
        <w:t> </w:t>
      </w:r>
      <w:r>
        <w:rPr/>
        <w:t>persons living in affected</w:t>
      </w:r>
      <w:r>
        <w:rPr>
          <w:spacing w:val="-1"/>
        </w:rPr>
        <w:t> </w:t>
      </w:r>
      <w:r>
        <w:rPr/>
        <w:t>areas.</w:t>
      </w:r>
    </w:p>
    <w:p>
      <w:pPr>
        <w:pStyle w:val="BodyText"/>
        <w:spacing w:before="12"/>
        <w:rPr>
          <w:b/>
          <w:sz w:val="23"/>
        </w:rPr>
      </w:pPr>
    </w:p>
    <w:p>
      <w:pPr>
        <w:pStyle w:val="ListParagraph"/>
        <w:numPr>
          <w:ilvl w:val="0"/>
          <w:numId w:val="1"/>
        </w:numPr>
        <w:tabs>
          <w:tab w:pos="820" w:val="left" w:leader="none"/>
        </w:tabs>
        <w:spacing w:line="240" w:lineRule="auto" w:before="0" w:after="0"/>
        <w:ind w:left="820" w:right="112" w:hanging="360"/>
        <w:jc w:val="both"/>
        <w:rPr>
          <w:b/>
          <w:sz w:val="24"/>
        </w:rPr>
      </w:pPr>
      <w:r>
        <w:rPr>
          <w:b/>
          <w:sz w:val="24"/>
        </w:rPr>
        <w:t>Please provide information regarding measures adopted by the State Party to ensure that energy projects, such as the Alto Maipo Project, do not exacerbate the climate-related phenomena that threaten economic, social and cultural rights, including prolonged drought, glacial melting, desertification, and the destruction of</w:t>
      </w:r>
      <w:r>
        <w:rPr>
          <w:b/>
          <w:spacing w:val="-11"/>
          <w:sz w:val="24"/>
        </w:rPr>
        <w:t> </w:t>
      </w:r>
      <w:r>
        <w:rPr>
          <w:b/>
          <w:sz w:val="24"/>
        </w:rPr>
        <w:t>ecosystems.</w:t>
      </w:r>
    </w:p>
    <w:p>
      <w:pPr>
        <w:pStyle w:val="BodyText"/>
        <w:spacing w:before="11"/>
        <w:rPr>
          <w:b/>
          <w:sz w:val="23"/>
        </w:rPr>
      </w:pPr>
    </w:p>
    <w:p>
      <w:pPr>
        <w:spacing w:before="0"/>
        <w:ind w:left="3302" w:right="0" w:firstLine="0"/>
        <w:jc w:val="left"/>
        <w:rPr>
          <w:i/>
          <w:sz w:val="24"/>
        </w:rPr>
      </w:pPr>
      <w:r>
        <w:rPr>
          <w:i/>
          <w:sz w:val="24"/>
        </w:rPr>
        <w:t>For more information, please contact:</w:t>
      </w:r>
    </w:p>
    <w:p>
      <w:pPr>
        <w:pStyle w:val="BodyText"/>
        <w:rPr>
          <w:i/>
        </w:rPr>
      </w:pPr>
    </w:p>
    <w:p>
      <w:pPr>
        <w:pStyle w:val="Heading1"/>
        <w:tabs>
          <w:tab w:pos="5139" w:val="left" w:leader="none"/>
        </w:tabs>
      </w:pPr>
      <w:r>
        <w:rPr/>
        <w:t>Marcela</w:t>
      </w:r>
      <w:r>
        <w:rPr>
          <w:spacing w:val="-1"/>
        </w:rPr>
        <w:t> </w:t>
      </w:r>
      <w:r>
        <w:rPr/>
        <w:t>Mella</w:t>
        <w:tab/>
        <w:t>Juan Pablo</w:t>
      </w:r>
      <w:r>
        <w:rPr>
          <w:spacing w:val="-4"/>
        </w:rPr>
        <w:t> </w:t>
      </w:r>
      <w:r>
        <w:rPr/>
        <w:t>Orrego</w:t>
      </w:r>
    </w:p>
    <w:p>
      <w:pPr>
        <w:pStyle w:val="BodyText"/>
        <w:tabs>
          <w:tab w:pos="5139" w:val="left" w:leader="none"/>
        </w:tabs>
        <w:ind w:left="100"/>
        <w:jc w:val="both"/>
      </w:pPr>
      <w:r>
        <w:rPr/>
        <w:t>Coordinadora Ciudadana No</w:t>
      </w:r>
      <w:r>
        <w:rPr>
          <w:spacing w:val="-2"/>
        </w:rPr>
        <w:t> </w:t>
      </w:r>
      <w:r>
        <w:rPr/>
        <w:t>Alto Maipo</w:t>
        <w:tab/>
        <w:t>Ecosistemas</w:t>
      </w:r>
    </w:p>
    <w:p>
      <w:pPr>
        <w:pStyle w:val="BodyText"/>
        <w:tabs>
          <w:tab w:pos="5139" w:val="left" w:leader="none"/>
        </w:tabs>
        <w:ind w:left="100"/>
        <w:jc w:val="both"/>
      </w:pPr>
      <w:hyperlink r:id="rId8">
        <w:r>
          <w:rPr/>
          <w:t>marcelafloisi@gmail.com </w:t>
        </w:r>
      </w:hyperlink>
      <w:r>
        <w:rPr/>
        <w:t>| +56 9</w:t>
      </w:r>
      <w:r>
        <w:rPr>
          <w:spacing w:val="-4"/>
        </w:rPr>
        <w:t> </w:t>
      </w:r>
      <w:r>
        <w:rPr/>
        <w:t>9094</w:t>
      </w:r>
      <w:r>
        <w:rPr>
          <w:spacing w:val="-1"/>
        </w:rPr>
        <w:t> </w:t>
      </w:r>
      <w:r>
        <w:rPr/>
        <w:t>9063</w:t>
        <w:tab/>
      </w:r>
      <w:hyperlink r:id="rId9">
        <w:r>
          <w:rPr/>
          <w:t>jp.orrego@ecosistemas.cl </w:t>
        </w:r>
      </w:hyperlink>
      <w:r>
        <w:rPr/>
        <w:t>| +56 9 9349</w:t>
      </w:r>
      <w:r>
        <w:rPr>
          <w:spacing w:val="-3"/>
        </w:rPr>
        <w:t> </w:t>
      </w:r>
      <w:r>
        <w:rPr/>
        <w:t>9236</w:t>
      </w:r>
    </w:p>
    <w:p>
      <w:pPr>
        <w:pStyle w:val="BodyText"/>
        <w:spacing w:before="11"/>
        <w:rPr>
          <w:sz w:val="23"/>
        </w:rPr>
      </w:pPr>
    </w:p>
    <w:p>
      <w:pPr>
        <w:pStyle w:val="Heading1"/>
      </w:pPr>
      <w:r>
        <w:rPr/>
        <w:t>Carla García Zendejas</w:t>
      </w:r>
    </w:p>
    <w:p>
      <w:pPr>
        <w:pStyle w:val="BodyText"/>
        <w:spacing w:line="244" w:lineRule="auto"/>
        <w:ind w:left="100" w:right="5935"/>
      </w:pPr>
      <w:r>
        <w:rPr/>
        <w:t>Center for International Environmental Law</w:t>
      </w:r>
      <w:hyperlink r:id="rId10">
        <w:r>
          <w:rPr/>
          <w:t> cgarcia@ciel.org </w:t>
        </w:r>
      </w:hyperlink>
      <w:r>
        <w:rPr/>
        <w:t>| +1 202 742 5846</w:t>
      </w:r>
    </w:p>
    <w:sectPr>
      <w:pgSz w:w="12240" w:h="15840"/>
      <w:pgMar w:top="1360" w:bottom="280" w:left="980" w:right="9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Calibri">
    <w:altName w:val="Calibri"/>
    <w:charset w:val="0"/>
    <w:family w:val="swiss"/>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hybridMultilevel"/>
    <w:lvl w:ilvl="0">
      <w:start w:val="1"/>
      <w:numFmt w:val="decimal"/>
      <w:lvlText w:val="%1."/>
      <w:lvlJc w:val="left"/>
      <w:pPr>
        <w:ind w:left="820" w:hanging="360"/>
        <w:jc w:val="left"/>
      </w:pPr>
      <w:rPr>
        <w:rFonts w:hint="default" w:ascii="Calibri" w:hAnsi="Calibri" w:eastAsia="Calibri" w:cs="Calibri"/>
        <w:b/>
        <w:bCs/>
        <w:spacing w:val="-7"/>
        <w:w w:val="100"/>
        <w:sz w:val="24"/>
        <w:szCs w:val="24"/>
      </w:rPr>
    </w:lvl>
    <w:lvl w:ilvl="1">
      <w:start w:val="0"/>
      <w:numFmt w:val="bullet"/>
      <w:lvlText w:val="•"/>
      <w:lvlJc w:val="left"/>
      <w:pPr>
        <w:ind w:left="1768" w:hanging="360"/>
      </w:pPr>
      <w:rPr>
        <w:rFonts w:hint="default"/>
      </w:rPr>
    </w:lvl>
    <w:lvl w:ilvl="2">
      <w:start w:val="0"/>
      <w:numFmt w:val="bullet"/>
      <w:lvlText w:val="•"/>
      <w:lvlJc w:val="left"/>
      <w:pPr>
        <w:ind w:left="2716" w:hanging="360"/>
      </w:pPr>
      <w:rPr>
        <w:rFonts w:hint="default"/>
      </w:rPr>
    </w:lvl>
    <w:lvl w:ilvl="3">
      <w:start w:val="0"/>
      <w:numFmt w:val="bullet"/>
      <w:lvlText w:val="•"/>
      <w:lvlJc w:val="left"/>
      <w:pPr>
        <w:ind w:left="3664" w:hanging="360"/>
      </w:pPr>
      <w:rPr>
        <w:rFonts w:hint="default"/>
      </w:rPr>
    </w:lvl>
    <w:lvl w:ilvl="4">
      <w:start w:val="0"/>
      <w:numFmt w:val="bullet"/>
      <w:lvlText w:val="•"/>
      <w:lvlJc w:val="left"/>
      <w:pPr>
        <w:ind w:left="4612" w:hanging="360"/>
      </w:pPr>
      <w:rPr>
        <w:rFonts w:hint="default"/>
      </w:rPr>
    </w:lvl>
    <w:lvl w:ilvl="5">
      <w:start w:val="0"/>
      <w:numFmt w:val="bullet"/>
      <w:lvlText w:val="•"/>
      <w:lvlJc w:val="left"/>
      <w:pPr>
        <w:ind w:left="5560" w:hanging="360"/>
      </w:pPr>
      <w:rPr>
        <w:rFonts w:hint="default"/>
      </w:rPr>
    </w:lvl>
    <w:lvl w:ilvl="6">
      <w:start w:val="0"/>
      <w:numFmt w:val="bullet"/>
      <w:lvlText w:val="•"/>
      <w:lvlJc w:val="left"/>
      <w:pPr>
        <w:ind w:left="6508" w:hanging="360"/>
      </w:pPr>
      <w:rPr>
        <w:rFonts w:hint="default"/>
      </w:rPr>
    </w:lvl>
    <w:lvl w:ilvl="7">
      <w:start w:val="0"/>
      <w:numFmt w:val="bullet"/>
      <w:lvlText w:val="•"/>
      <w:lvlJc w:val="left"/>
      <w:pPr>
        <w:ind w:left="7456" w:hanging="360"/>
      </w:pPr>
      <w:rPr>
        <w:rFonts w:hint="default"/>
      </w:rPr>
    </w:lvl>
    <w:lvl w:ilvl="8">
      <w:start w:val="0"/>
      <w:numFmt w:val="bullet"/>
      <w:lvlText w:val="•"/>
      <w:lvlJc w:val="left"/>
      <w:pPr>
        <w:ind w:left="8404" w:hanging="3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Calibri" w:hAnsi="Calibri" w:eastAsia="Calibri" w:cs="Calibri"/>
    </w:rPr>
  </w:style>
  <w:style w:styleId="BodyText" w:type="paragraph">
    <w:name w:val="Body Text"/>
    <w:basedOn w:val="Normal"/>
    <w:uiPriority w:val="1"/>
    <w:qFormat/>
    <w:pPr/>
    <w:rPr>
      <w:rFonts w:ascii="Calibri" w:hAnsi="Calibri" w:eastAsia="Calibri" w:cs="Calibri"/>
      <w:sz w:val="24"/>
      <w:szCs w:val="24"/>
    </w:rPr>
  </w:style>
  <w:style w:styleId="Heading1" w:type="paragraph">
    <w:name w:val="Heading 1"/>
    <w:basedOn w:val="Normal"/>
    <w:uiPriority w:val="1"/>
    <w:qFormat/>
    <w:pPr>
      <w:ind w:left="100"/>
      <w:jc w:val="both"/>
      <w:outlineLvl w:val="1"/>
    </w:pPr>
    <w:rPr>
      <w:rFonts w:ascii="Calibri" w:hAnsi="Calibri" w:eastAsia="Calibri" w:cs="Calibri"/>
      <w:b/>
      <w:bCs/>
      <w:sz w:val="24"/>
      <w:szCs w:val="24"/>
    </w:rPr>
  </w:style>
  <w:style w:styleId="ListParagraph" w:type="paragraph">
    <w:name w:val="List Paragraph"/>
    <w:basedOn w:val="Normal"/>
    <w:uiPriority w:val="1"/>
    <w:qFormat/>
    <w:pPr>
      <w:ind w:left="820" w:right="112" w:hanging="360"/>
      <w:jc w:val="both"/>
    </w:pPr>
    <w:rPr>
      <w:rFonts w:ascii="Calibri" w:hAnsi="Calibri" w:eastAsia="Calibri" w:cs="Calibri"/>
    </w:rPr>
  </w:style>
  <w:style w:styleId="TableParagraph" w:type="paragraph">
    <w:name w:val="Table Paragraph"/>
    <w:basedOn w:val="Normal"/>
    <w:uiPriority w:val="1"/>
    <w:qFormat/>
    <w:pPr/>
    <w:rPr/>
  </w:style>
</w:styles>
</file>

<file path=word/_rels/document.xml.rels><?xml version="1.0" encoding="UTF-8" standalone="yes"?>
<Relationships xmlns="http://schemas.openxmlformats.org/package/2006/relationships"><Relationship Id="rId8" Type="http://schemas.openxmlformats.org/officeDocument/2006/relationships/hyperlink" Target="mailto:marcelafloisi@gmail.com" TargetMode="External"/><Relationship Id="rId13" Type="http://schemas.openxmlformats.org/officeDocument/2006/relationships/customXml" Target="../customXml/item2.xml"/><Relationship Id="rId3"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customXml" Target="../customXml/item1.xml"/><Relationship Id="rId2"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numbering" Target="numbering.xml"/><Relationship Id="rId5" Type="http://schemas.openxmlformats.org/officeDocument/2006/relationships/image" Target="media/image1.jpeg"/><Relationship Id="rId10" Type="http://schemas.openxmlformats.org/officeDocument/2006/relationships/hyperlink" Target="mailto:cgarcia@ciel.org" TargetMode="External"/><Relationship Id="rId4" Type="http://schemas.openxmlformats.org/officeDocument/2006/relationships/settings" Target="settings.xml"/><Relationship Id="rId9" Type="http://schemas.openxmlformats.org/officeDocument/2006/relationships/hyperlink" Target="mailto:jp.orrego@ecosistemas.cl" TargetMode="Externa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A63FA4E-518C-449E-A541-8AB62AA5DE03}"/>
</file>

<file path=customXml/itemProps2.xml><?xml version="1.0" encoding="utf-8"?>
<ds:datastoreItem xmlns:ds="http://schemas.openxmlformats.org/officeDocument/2006/customXml" ds:itemID="{DDE4BE9C-C087-4011-BC5C-E689988BC00E}"/>
</file>

<file path=customXml/itemProps3.xml><?xml version="1.0" encoding="utf-8"?>
<ds:datastoreItem xmlns:ds="http://schemas.openxmlformats.org/officeDocument/2006/customXml" ds:itemID="{00B8FAD3-2AF0-4562-BD72-A0AD07CEE358}"/>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2020-01-21T21:43:29Z</dcterms:created>
  <dcterms:modified xsi:type="dcterms:W3CDTF">2020-01-21T21:43:29Z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