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D8964" w14:textId="1A536692" w:rsidR="005A420E" w:rsidRPr="0069111C" w:rsidRDefault="00000000" w:rsidP="0069111C">
      <w:pPr>
        <w:widowControl w:val="0"/>
        <w:pBdr>
          <w:top w:val="nil"/>
          <w:left w:val="nil"/>
          <w:bottom w:val="nil"/>
          <w:right w:val="nil"/>
          <w:between w:val="nil"/>
        </w:pBdr>
      </w:pPr>
      <w:r>
        <w:pict w14:anchorId="0638BC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50pt;height:50pt;z-index:251658752;visibility:hidden">
            <o:lock v:ext="edit" selection="t"/>
          </v:shape>
        </w:pict>
      </w:r>
    </w:p>
    <w:p w14:paraId="2E8C8D3B" w14:textId="73C8EEC1" w:rsidR="005A420E" w:rsidRDefault="00000000">
      <w:pPr>
        <w:spacing w:line="360" w:lineRule="auto"/>
        <w:ind w:left="720"/>
        <w:jc w:val="center"/>
        <w:rPr>
          <w:rFonts w:ascii="Calibri" w:eastAsia="Calibri" w:hAnsi="Calibri" w:cs="Calibri"/>
          <w:b/>
          <w:color w:val="404040"/>
          <w:sz w:val="36"/>
          <w:szCs w:val="36"/>
        </w:rPr>
      </w:pPr>
      <w:r>
        <w:rPr>
          <w:rFonts w:ascii="Calibri" w:eastAsia="Calibri" w:hAnsi="Calibri" w:cs="Calibri"/>
          <w:b/>
          <w:color w:val="404040"/>
          <w:sz w:val="36"/>
          <w:szCs w:val="36"/>
        </w:rPr>
        <w:t>Informe de</w:t>
      </w:r>
      <w:r w:rsidR="00006E0B">
        <w:rPr>
          <w:rFonts w:ascii="Calibri" w:eastAsia="Calibri" w:hAnsi="Calibri" w:cs="Calibri"/>
          <w:b/>
          <w:color w:val="404040"/>
          <w:sz w:val="36"/>
          <w:szCs w:val="36"/>
        </w:rPr>
        <w:t xml:space="preserve"> las Organizaciones de la</w:t>
      </w:r>
      <w:r>
        <w:rPr>
          <w:rFonts w:ascii="Calibri" w:eastAsia="Calibri" w:hAnsi="Calibri" w:cs="Calibri"/>
          <w:b/>
          <w:color w:val="404040"/>
          <w:sz w:val="36"/>
          <w:szCs w:val="36"/>
        </w:rPr>
        <w:t xml:space="preserve"> </w:t>
      </w:r>
      <w:r w:rsidR="00006E0B">
        <w:rPr>
          <w:rFonts w:ascii="Calibri" w:eastAsia="Calibri" w:hAnsi="Calibri" w:cs="Calibri"/>
          <w:b/>
          <w:color w:val="404040"/>
          <w:sz w:val="36"/>
          <w:szCs w:val="36"/>
        </w:rPr>
        <w:t>S</w:t>
      </w:r>
      <w:r>
        <w:rPr>
          <w:rFonts w:ascii="Calibri" w:eastAsia="Calibri" w:hAnsi="Calibri" w:cs="Calibri"/>
          <w:b/>
          <w:color w:val="404040"/>
          <w:sz w:val="36"/>
          <w:szCs w:val="36"/>
        </w:rPr>
        <w:t>ociedad Civil al Comité de los Derechos del Niño de Naciones Unidas</w:t>
      </w:r>
    </w:p>
    <w:p w14:paraId="6112EA59" w14:textId="77777777" w:rsidR="005A420E" w:rsidRDefault="00000000">
      <w:pPr>
        <w:spacing w:line="360" w:lineRule="auto"/>
        <w:ind w:left="720"/>
        <w:jc w:val="right"/>
        <w:rPr>
          <w:rFonts w:ascii="Calibri" w:eastAsia="Calibri" w:hAnsi="Calibri" w:cs="Calibri"/>
          <w:b/>
          <w:color w:val="404040"/>
          <w:sz w:val="36"/>
          <w:szCs w:val="36"/>
        </w:rPr>
      </w:pPr>
      <w:r>
        <w:rPr>
          <w:rFonts w:ascii="Calibri" w:eastAsia="Calibri" w:hAnsi="Calibri" w:cs="Calibri"/>
          <w:b/>
          <w:color w:val="404040"/>
          <w:sz w:val="36"/>
          <w:szCs w:val="36"/>
        </w:rPr>
        <w:t>Año 2025</w:t>
      </w:r>
    </w:p>
    <w:p w14:paraId="2DB530F9" w14:textId="77777777" w:rsidR="005A420E" w:rsidRDefault="005A420E">
      <w:pPr>
        <w:jc w:val="both"/>
        <w:rPr>
          <w:rFonts w:ascii="Calibri" w:eastAsia="Calibri" w:hAnsi="Calibri" w:cs="Calibri"/>
          <w:b/>
          <w:sz w:val="24"/>
          <w:szCs w:val="24"/>
        </w:rPr>
      </w:pPr>
    </w:p>
    <w:sdt>
      <w:sdtPr>
        <w:rPr>
          <w:rFonts w:eastAsia="Arial" w:cs="Arial"/>
          <w:color w:val="auto"/>
          <w:sz w:val="22"/>
          <w:szCs w:val="22"/>
          <w:lang w:val="es-ES"/>
        </w:rPr>
        <w:id w:val="1679851233"/>
        <w:docPartObj>
          <w:docPartGallery w:val="Table of Contents"/>
          <w:docPartUnique/>
        </w:docPartObj>
      </w:sdtPr>
      <w:sdtEndPr>
        <w:rPr>
          <w:b/>
          <w:bCs/>
        </w:rPr>
      </w:sdtEndPr>
      <w:sdtContent>
        <w:p w14:paraId="65B994CA" w14:textId="4B9BC63A" w:rsidR="005F7B13" w:rsidRPr="005F7B13" w:rsidRDefault="005F7B13">
          <w:pPr>
            <w:pStyle w:val="TOCHeading"/>
            <w:rPr>
              <w:color w:val="808080" w:themeColor="background1" w:themeShade="80"/>
            </w:rPr>
          </w:pPr>
          <w:r w:rsidRPr="005F7B13">
            <w:rPr>
              <w:color w:val="808080" w:themeColor="background1" w:themeShade="80"/>
              <w:lang w:val="es-ES"/>
            </w:rPr>
            <w:t>Contenido</w:t>
          </w:r>
        </w:p>
        <w:p w14:paraId="23726302" w14:textId="77D68B6A" w:rsidR="00006E0B" w:rsidRPr="00006E0B" w:rsidRDefault="005F7B13">
          <w:pPr>
            <w:pStyle w:val="TOC1"/>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r>
            <w:fldChar w:fldCharType="begin"/>
          </w:r>
          <w:r>
            <w:instrText xml:space="preserve"> TOC \o "1-3" \h \z \u </w:instrText>
          </w:r>
          <w:r>
            <w:fldChar w:fldCharType="separate"/>
          </w:r>
          <w:hyperlink w:anchor="_Toc204787386" w:history="1">
            <w:r w:rsidR="00006E0B" w:rsidRPr="00006E0B">
              <w:rPr>
                <w:rStyle w:val="Hyperlink"/>
                <w:noProof/>
                <w:color w:val="404040" w:themeColor="text1" w:themeTint="BF"/>
              </w:rPr>
              <w:t>Listado de acrónimos</w:t>
            </w:r>
            <w:r w:rsidR="00006E0B" w:rsidRPr="00006E0B">
              <w:rPr>
                <w:noProof/>
                <w:webHidden/>
                <w:color w:val="404040" w:themeColor="text1" w:themeTint="BF"/>
              </w:rPr>
              <w:tab/>
            </w:r>
            <w:r w:rsidR="00006E0B" w:rsidRPr="00006E0B">
              <w:rPr>
                <w:noProof/>
                <w:webHidden/>
                <w:color w:val="404040" w:themeColor="text1" w:themeTint="BF"/>
              </w:rPr>
              <w:fldChar w:fldCharType="begin"/>
            </w:r>
            <w:r w:rsidR="00006E0B" w:rsidRPr="00006E0B">
              <w:rPr>
                <w:noProof/>
                <w:webHidden/>
                <w:color w:val="404040" w:themeColor="text1" w:themeTint="BF"/>
              </w:rPr>
              <w:instrText xml:space="preserve"> PAGEREF _Toc204787386 \h </w:instrText>
            </w:r>
            <w:r w:rsidR="00006E0B" w:rsidRPr="00006E0B">
              <w:rPr>
                <w:noProof/>
                <w:webHidden/>
                <w:color w:val="404040" w:themeColor="text1" w:themeTint="BF"/>
              </w:rPr>
            </w:r>
            <w:r w:rsidR="00006E0B" w:rsidRPr="00006E0B">
              <w:rPr>
                <w:noProof/>
                <w:webHidden/>
                <w:color w:val="404040" w:themeColor="text1" w:themeTint="BF"/>
              </w:rPr>
              <w:fldChar w:fldCharType="separate"/>
            </w:r>
            <w:r w:rsidR="00006E0B" w:rsidRPr="00006E0B">
              <w:rPr>
                <w:noProof/>
                <w:webHidden/>
                <w:color w:val="404040" w:themeColor="text1" w:themeTint="BF"/>
              </w:rPr>
              <w:t>3</w:t>
            </w:r>
            <w:r w:rsidR="00006E0B" w:rsidRPr="00006E0B">
              <w:rPr>
                <w:noProof/>
                <w:webHidden/>
                <w:color w:val="404040" w:themeColor="text1" w:themeTint="BF"/>
              </w:rPr>
              <w:fldChar w:fldCharType="end"/>
            </w:r>
          </w:hyperlink>
        </w:p>
        <w:p w14:paraId="764CFF97" w14:textId="6FB18FF2" w:rsidR="00006E0B" w:rsidRPr="00006E0B" w:rsidRDefault="00006E0B">
          <w:pPr>
            <w:pStyle w:val="TOC1"/>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hyperlink w:anchor="_Toc204787387" w:history="1">
            <w:r w:rsidRPr="00006E0B">
              <w:rPr>
                <w:rStyle w:val="Hyperlink"/>
                <w:noProof/>
                <w:color w:val="404040" w:themeColor="text1" w:themeTint="BF"/>
              </w:rPr>
              <w:t>Introducción</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_Toc204787387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4</w:t>
            </w:r>
            <w:r w:rsidRPr="00006E0B">
              <w:rPr>
                <w:noProof/>
                <w:webHidden/>
                <w:color w:val="404040" w:themeColor="text1" w:themeTint="BF"/>
              </w:rPr>
              <w:fldChar w:fldCharType="end"/>
            </w:r>
          </w:hyperlink>
        </w:p>
        <w:p w14:paraId="02F64915" w14:textId="468F85B2" w:rsidR="00006E0B" w:rsidRPr="00006E0B" w:rsidRDefault="00006E0B">
          <w:pPr>
            <w:pStyle w:val="TOC1"/>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hyperlink w:anchor="_Toc204787388" w:history="1">
            <w:r w:rsidRPr="00006E0B">
              <w:rPr>
                <w:rStyle w:val="Hyperlink"/>
                <w:noProof/>
                <w:color w:val="404040" w:themeColor="text1" w:themeTint="BF"/>
              </w:rPr>
              <w:t>Metodología</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_Toc204787388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5</w:t>
            </w:r>
            <w:r w:rsidRPr="00006E0B">
              <w:rPr>
                <w:noProof/>
                <w:webHidden/>
                <w:color w:val="404040" w:themeColor="text1" w:themeTint="BF"/>
              </w:rPr>
              <w:fldChar w:fldCharType="end"/>
            </w:r>
          </w:hyperlink>
        </w:p>
        <w:p w14:paraId="3D5E5C9B" w14:textId="6E909267" w:rsidR="00006E0B" w:rsidRPr="00006E0B" w:rsidRDefault="00006E0B">
          <w:pPr>
            <w:pStyle w:val="TOC1"/>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hyperlink w:anchor="_Toc204787389" w:history="1">
            <w:r w:rsidRPr="00006E0B">
              <w:rPr>
                <w:rStyle w:val="Hyperlink"/>
                <w:noProof/>
                <w:color w:val="404040" w:themeColor="text1" w:themeTint="BF"/>
              </w:rPr>
              <w:t>Lista de Cuestiones Previas a la Presentación de Informes: diagnóstico, preguntas y recomendaciones</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_Toc204787389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5</w:t>
            </w:r>
            <w:r w:rsidRPr="00006E0B">
              <w:rPr>
                <w:noProof/>
                <w:webHidden/>
                <w:color w:val="404040" w:themeColor="text1" w:themeTint="BF"/>
              </w:rPr>
              <w:fldChar w:fldCharType="end"/>
            </w:r>
          </w:hyperlink>
        </w:p>
        <w:p w14:paraId="68138611" w14:textId="22E9E0FF" w:rsidR="00006E0B" w:rsidRPr="00006E0B" w:rsidRDefault="00006E0B">
          <w:pPr>
            <w:pStyle w:val="TOC2"/>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hyperlink w:anchor="_Toc204787390" w:history="1">
            <w:r w:rsidRPr="00006E0B">
              <w:rPr>
                <w:rStyle w:val="Hyperlink"/>
                <w:noProof/>
                <w:color w:val="404040" w:themeColor="text1" w:themeTint="BF"/>
              </w:rPr>
              <w:t>A. Medidas generales de aplicación de la Convención</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_Toc204787390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5</w:t>
            </w:r>
            <w:r w:rsidRPr="00006E0B">
              <w:rPr>
                <w:noProof/>
                <w:webHidden/>
                <w:color w:val="404040" w:themeColor="text1" w:themeTint="BF"/>
              </w:rPr>
              <w:fldChar w:fldCharType="end"/>
            </w:r>
          </w:hyperlink>
        </w:p>
        <w:p w14:paraId="500B3043" w14:textId="40C59B44"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391" w:history="1">
            <w:r w:rsidRPr="00006E0B">
              <w:rPr>
                <w:rStyle w:val="Hyperlink"/>
                <w:noProof/>
                <w:color w:val="404040" w:themeColor="text1" w:themeTint="BF"/>
              </w:rPr>
              <w:t>Condición jurídica de la Convención y Legislación</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_Toc204787391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5</w:t>
            </w:r>
            <w:r w:rsidRPr="00006E0B">
              <w:rPr>
                <w:noProof/>
                <w:webHidden/>
                <w:color w:val="404040" w:themeColor="text1" w:themeTint="BF"/>
              </w:rPr>
              <w:fldChar w:fldCharType="end"/>
            </w:r>
          </w:hyperlink>
        </w:p>
        <w:p w14:paraId="58475E5E" w14:textId="41166C31"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392" w:history="1">
            <w:r w:rsidRPr="00006E0B">
              <w:rPr>
                <w:rStyle w:val="Hyperlink"/>
                <w:noProof/>
                <w:color w:val="404040" w:themeColor="text1" w:themeTint="BF"/>
              </w:rPr>
              <w:t>Políticas y estrategias integrales</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_Toc204787392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7</w:t>
            </w:r>
            <w:r w:rsidRPr="00006E0B">
              <w:rPr>
                <w:noProof/>
                <w:webHidden/>
                <w:color w:val="404040" w:themeColor="text1" w:themeTint="BF"/>
              </w:rPr>
              <w:fldChar w:fldCharType="end"/>
            </w:r>
          </w:hyperlink>
        </w:p>
        <w:p w14:paraId="44FC28CB" w14:textId="2F6263DE"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393" w:history="1">
            <w:r w:rsidRPr="00006E0B">
              <w:rPr>
                <w:rStyle w:val="Hyperlink"/>
                <w:noProof/>
                <w:color w:val="404040" w:themeColor="text1" w:themeTint="BF"/>
              </w:rPr>
              <w:t>Coordinación- Institucionalidad</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_Toc204787393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7</w:t>
            </w:r>
            <w:r w:rsidRPr="00006E0B">
              <w:rPr>
                <w:noProof/>
                <w:webHidden/>
                <w:color w:val="404040" w:themeColor="text1" w:themeTint="BF"/>
              </w:rPr>
              <w:fldChar w:fldCharType="end"/>
            </w:r>
          </w:hyperlink>
        </w:p>
        <w:p w14:paraId="18B5DC20" w14:textId="0818692C"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394" w:history="1">
            <w:r w:rsidRPr="00006E0B">
              <w:rPr>
                <w:rStyle w:val="Hyperlink"/>
                <w:noProof/>
                <w:color w:val="404040" w:themeColor="text1" w:themeTint="BF"/>
              </w:rPr>
              <w:t>Asignación de recursos</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_Toc204787394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8</w:t>
            </w:r>
            <w:r w:rsidRPr="00006E0B">
              <w:rPr>
                <w:noProof/>
                <w:webHidden/>
                <w:color w:val="404040" w:themeColor="text1" w:themeTint="BF"/>
              </w:rPr>
              <w:fldChar w:fldCharType="end"/>
            </w:r>
          </w:hyperlink>
        </w:p>
        <w:p w14:paraId="13CA6C14" w14:textId="056836C0"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395" w:history="1">
            <w:r w:rsidRPr="00006E0B">
              <w:rPr>
                <w:rStyle w:val="Hyperlink"/>
                <w:noProof/>
                <w:color w:val="404040" w:themeColor="text1" w:themeTint="BF"/>
              </w:rPr>
              <w:t>Reunión de datos</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_Toc204787395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8</w:t>
            </w:r>
            <w:r w:rsidRPr="00006E0B">
              <w:rPr>
                <w:noProof/>
                <w:webHidden/>
                <w:color w:val="404040" w:themeColor="text1" w:themeTint="BF"/>
              </w:rPr>
              <w:fldChar w:fldCharType="end"/>
            </w:r>
          </w:hyperlink>
        </w:p>
        <w:p w14:paraId="57A0F46F" w14:textId="1AA1942D"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396" w:history="1">
            <w:r w:rsidRPr="00006E0B">
              <w:rPr>
                <w:rStyle w:val="Hyperlink"/>
                <w:noProof/>
                <w:color w:val="404040" w:themeColor="text1" w:themeTint="BF"/>
              </w:rPr>
              <w:t>Vigilancia Independiente</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_Toc204787396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9</w:t>
            </w:r>
            <w:r w:rsidRPr="00006E0B">
              <w:rPr>
                <w:noProof/>
                <w:webHidden/>
                <w:color w:val="404040" w:themeColor="text1" w:themeTint="BF"/>
              </w:rPr>
              <w:fldChar w:fldCharType="end"/>
            </w:r>
          </w:hyperlink>
        </w:p>
        <w:p w14:paraId="54CE36DE" w14:textId="735D2EBC"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397" w:history="1">
            <w:r w:rsidRPr="00006E0B">
              <w:rPr>
                <w:rStyle w:val="Hyperlink"/>
                <w:noProof/>
                <w:color w:val="404040" w:themeColor="text1" w:themeTint="BF"/>
              </w:rPr>
              <w:t>Formación</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_Toc204787397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9</w:t>
            </w:r>
            <w:r w:rsidRPr="00006E0B">
              <w:rPr>
                <w:noProof/>
                <w:webHidden/>
                <w:color w:val="404040" w:themeColor="text1" w:themeTint="BF"/>
              </w:rPr>
              <w:fldChar w:fldCharType="end"/>
            </w:r>
          </w:hyperlink>
        </w:p>
        <w:p w14:paraId="061BB5BF" w14:textId="45D064DA" w:rsidR="00006E0B" w:rsidRPr="00006E0B" w:rsidRDefault="00006E0B">
          <w:pPr>
            <w:pStyle w:val="TOC2"/>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hyperlink w:anchor="_Toc204787398" w:history="1">
            <w:r w:rsidRPr="00006E0B">
              <w:rPr>
                <w:rStyle w:val="Hyperlink"/>
                <w:noProof/>
                <w:color w:val="404040" w:themeColor="text1" w:themeTint="BF"/>
              </w:rPr>
              <w:t>B. Principios generales de la Convención</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_Toc204787398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9</w:t>
            </w:r>
            <w:r w:rsidRPr="00006E0B">
              <w:rPr>
                <w:noProof/>
                <w:webHidden/>
                <w:color w:val="404040" w:themeColor="text1" w:themeTint="BF"/>
              </w:rPr>
              <w:fldChar w:fldCharType="end"/>
            </w:r>
          </w:hyperlink>
        </w:p>
        <w:p w14:paraId="701824B8" w14:textId="02A8615E"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399" w:history="1">
            <w:r w:rsidRPr="00006E0B">
              <w:rPr>
                <w:rStyle w:val="Hyperlink"/>
                <w:noProof/>
                <w:color w:val="404040" w:themeColor="text1" w:themeTint="BF"/>
              </w:rPr>
              <w:t>Interés superior del niño y Respeto por las opiniones del niño</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_Toc204787399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9</w:t>
            </w:r>
            <w:r w:rsidRPr="00006E0B">
              <w:rPr>
                <w:noProof/>
                <w:webHidden/>
                <w:color w:val="404040" w:themeColor="text1" w:themeTint="BF"/>
              </w:rPr>
              <w:fldChar w:fldCharType="end"/>
            </w:r>
          </w:hyperlink>
        </w:p>
        <w:p w14:paraId="694599DB" w14:textId="33810E8D"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00" w:history="1">
            <w:r w:rsidRPr="00006E0B">
              <w:rPr>
                <w:rStyle w:val="Hyperlink"/>
                <w:noProof/>
                <w:color w:val="404040" w:themeColor="text1" w:themeTint="BF"/>
              </w:rPr>
              <w:t>Acceso a la justicia</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_Toc204787400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10</w:t>
            </w:r>
            <w:r w:rsidRPr="00006E0B">
              <w:rPr>
                <w:noProof/>
                <w:webHidden/>
                <w:color w:val="404040" w:themeColor="text1" w:themeTint="BF"/>
              </w:rPr>
              <w:fldChar w:fldCharType="end"/>
            </w:r>
          </w:hyperlink>
        </w:p>
        <w:p w14:paraId="2E2C5FDE" w14:textId="26F816AA" w:rsidR="00006E0B" w:rsidRPr="00006E0B" w:rsidRDefault="00006E0B">
          <w:pPr>
            <w:pStyle w:val="TOC2"/>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hyperlink w:anchor="_Toc204787401" w:history="1">
            <w:r w:rsidRPr="00006E0B">
              <w:rPr>
                <w:rStyle w:val="Hyperlink"/>
                <w:noProof/>
                <w:color w:val="404040" w:themeColor="text1" w:themeTint="BF"/>
              </w:rPr>
              <w:t>C. Violencia contra Niños, Niñas y adolescentes</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_Toc204787401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10</w:t>
            </w:r>
            <w:r w:rsidRPr="00006E0B">
              <w:rPr>
                <w:noProof/>
                <w:webHidden/>
                <w:color w:val="404040" w:themeColor="text1" w:themeTint="BF"/>
              </w:rPr>
              <w:fldChar w:fldCharType="end"/>
            </w:r>
          </w:hyperlink>
        </w:p>
        <w:p w14:paraId="7766A468" w14:textId="518641FB"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02" w:history="1">
            <w:r w:rsidRPr="00006E0B">
              <w:rPr>
                <w:rStyle w:val="Hyperlink"/>
                <w:noProof/>
                <w:color w:val="404040" w:themeColor="text1" w:themeTint="BF"/>
              </w:rPr>
              <w:t>Tortura y otros tratos o penas crueles o degradantes</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_Toc204787402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10</w:t>
            </w:r>
            <w:r w:rsidRPr="00006E0B">
              <w:rPr>
                <w:noProof/>
                <w:webHidden/>
                <w:color w:val="404040" w:themeColor="text1" w:themeTint="BF"/>
              </w:rPr>
              <w:fldChar w:fldCharType="end"/>
            </w:r>
          </w:hyperlink>
        </w:p>
        <w:p w14:paraId="37BE250A" w14:textId="19A6B987"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03" w:history="1">
            <w:r w:rsidRPr="00006E0B">
              <w:rPr>
                <w:rStyle w:val="Hyperlink"/>
                <w:noProof/>
                <w:color w:val="404040" w:themeColor="text1" w:themeTint="BF"/>
              </w:rPr>
              <w:t>Incremento de la violencia territorial hacía NNA</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_Toc204787403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11</w:t>
            </w:r>
            <w:r w:rsidRPr="00006E0B">
              <w:rPr>
                <w:noProof/>
                <w:webHidden/>
                <w:color w:val="404040" w:themeColor="text1" w:themeTint="BF"/>
              </w:rPr>
              <w:fldChar w:fldCharType="end"/>
            </w:r>
          </w:hyperlink>
        </w:p>
        <w:p w14:paraId="149FC2D5" w14:textId="1B37F35F"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04" w:history="1">
            <w:r w:rsidRPr="00006E0B">
              <w:rPr>
                <w:rStyle w:val="Hyperlink"/>
                <w:noProof/>
                <w:color w:val="404040" w:themeColor="text1" w:themeTint="BF"/>
              </w:rPr>
              <w:t>Derecho de niños, niñas y adolescentes a no ser sometido a ninguna forma de violencia</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_Toc204787404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12</w:t>
            </w:r>
            <w:r w:rsidRPr="00006E0B">
              <w:rPr>
                <w:noProof/>
                <w:webHidden/>
                <w:color w:val="404040" w:themeColor="text1" w:themeTint="BF"/>
              </w:rPr>
              <w:fldChar w:fldCharType="end"/>
            </w:r>
          </w:hyperlink>
        </w:p>
        <w:p w14:paraId="500222D2" w14:textId="6DAD9ADF" w:rsidR="00006E0B" w:rsidRPr="00006E0B" w:rsidRDefault="00006E0B">
          <w:pPr>
            <w:pStyle w:val="TOC2"/>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hyperlink w:anchor="_Toc204787405" w:history="1">
            <w:r w:rsidRPr="00006E0B">
              <w:rPr>
                <w:rStyle w:val="Hyperlink"/>
                <w:noProof/>
                <w:color w:val="404040" w:themeColor="text1" w:themeTint="BF"/>
              </w:rPr>
              <w:t>D. Entorno familiar y cuidados alternativos</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_Toc204787405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13</w:t>
            </w:r>
            <w:r w:rsidRPr="00006E0B">
              <w:rPr>
                <w:noProof/>
                <w:webHidden/>
                <w:color w:val="404040" w:themeColor="text1" w:themeTint="BF"/>
              </w:rPr>
              <w:fldChar w:fldCharType="end"/>
            </w:r>
          </w:hyperlink>
        </w:p>
        <w:p w14:paraId="7CFEAA07" w14:textId="0D2FD498"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06" w:history="1">
            <w:r w:rsidRPr="00006E0B">
              <w:rPr>
                <w:rStyle w:val="Hyperlink"/>
                <w:noProof/>
                <w:color w:val="404040" w:themeColor="text1" w:themeTint="BF"/>
              </w:rPr>
              <w:t>Entorno familiar</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_Toc204787406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13</w:t>
            </w:r>
            <w:r w:rsidRPr="00006E0B">
              <w:rPr>
                <w:noProof/>
                <w:webHidden/>
                <w:color w:val="404040" w:themeColor="text1" w:themeTint="BF"/>
              </w:rPr>
              <w:fldChar w:fldCharType="end"/>
            </w:r>
          </w:hyperlink>
        </w:p>
        <w:p w14:paraId="50CDC348" w14:textId="0FAE760F"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07" w:history="1">
            <w:r w:rsidRPr="00006E0B">
              <w:rPr>
                <w:rStyle w:val="Hyperlink"/>
                <w:noProof/>
                <w:color w:val="404040" w:themeColor="text1" w:themeTint="BF"/>
              </w:rPr>
              <w:t>Niños, niñas y adolescentes privados de un entorno familiar y adopción</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_Toc204787407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13</w:t>
            </w:r>
            <w:r w:rsidRPr="00006E0B">
              <w:rPr>
                <w:noProof/>
                <w:webHidden/>
                <w:color w:val="404040" w:themeColor="text1" w:themeTint="BF"/>
              </w:rPr>
              <w:fldChar w:fldCharType="end"/>
            </w:r>
          </w:hyperlink>
        </w:p>
        <w:p w14:paraId="00C97B00" w14:textId="4CF3B92B" w:rsidR="00006E0B" w:rsidRPr="00006E0B" w:rsidRDefault="00006E0B">
          <w:pPr>
            <w:pStyle w:val="TOC2"/>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hyperlink w:anchor="_Toc204787408" w:history="1">
            <w:r w:rsidRPr="00006E0B">
              <w:rPr>
                <w:rStyle w:val="Hyperlink"/>
                <w:noProof/>
                <w:color w:val="404040" w:themeColor="text1" w:themeTint="BF"/>
              </w:rPr>
              <w:t>E.  Salud básica y bienestar</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_Toc204787408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14</w:t>
            </w:r>
            <w:r w:rsidRPr="00006E0B">
              <w:rPr>
                <w:noProof/>
                <w:webHidden/>
                <w:color w:val="404040" w:themeColor="text1" w:themeTint="BF"/>
              </w:rPr>
              <w:fldChar w:fldCharType="end"/>
            </w:r>
          </w:hyperlink>
        </w:p>
        <w:p w14:paraId="65B6D036" w14:textId="77777777" w:rsidR="00D31572" w:rsidRDefault="00006E0B">
          <w:pPr>
            <w:pStyle w:val="TOC3"/>
            <w:tabs>
              <w:tab w:val="right" w:leader="dot" w:pos="9019"/>
            </w:tabs>
            <w:rPr>
              <w:rStyle w:val="Hyperlink"/>
              <w:noProof/>
              <w:color w:val="404040" w:themeColor="text1" w:themeTint="BF"/>
            </w:rPr>
            <w:sectPr w:rsidR="00D31572" w:rsidSect="00D31572">
              <w:headerReference w:type="default" r:id="rId8"/>
              <w:footerReference w:type="default" r:id="rId9"/>
              <w:headerReference w:type="first" r:id="rId10"/>
              <w:footerReference w:type="first" r:id="rId11"/>
              <w:pgSz w:w="11909" w:h="16834"/>
              <w:pgMar w:top="1440" w:right="1440" w:bottom="1440" w:left="1440" w:header="720" w:footer="720" w:gutter="0"/>
              <w:pgNumType w:start="1"/>
              <w:cols w:space="720"/>
              <w:docGrid w:linePitch="299"/>
            </w:sectPr>
          </w:pPr>
          <w:hyperlink w:anchor="_Toc204787409" w:history="1">
            <w:r w:rsidRPr="00006E0B">
              <w:rPr>
                <w:rStyle w:val="Hyperlink"/>
                <w:noProof/>
                <w:color w:val="404040" w:themeColor="text1" w:themeTint="BF"/>
              </w:rPr>
              <w:t>Pobreza infantil- Nivel de vida</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_Toc204787409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14</w:t>
            </w:r>
            <w:r w:rsidRPr="00006E0B">
              <w:rPr>
                <w:noProof/>
                <w:webHidden/>
                <w:color w:val="404040" w:themeColor="text1" w:themeTint="BF"/>
              </w:rPr>
              <w:fldChar w:fldCharType="end"/>
            </w:r>
          </w:hyperlink>
        </w:p>
        <w:p w14:paraId="4C805A4F" w14:textId="30C979D1"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p>
        <w:p w14:paraId="73156216" w14:textId="58AD3873"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10" w:history="1">
            <w:r w:rsidRPr="00006E0B">
              <w:rPr>
                <w:rStyle w:val="Hyperlink"/>
                <w:noProof/>
                <w:color w:val="404040" w:themeColor="text1" w:themeTint="BF"/>
              </w:rPr>
              <w:t>Salud, salud mental y servicios sanitarios</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_Toc204787410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15</w:t>
            </w:r>
            <w:r w:rsidRPr="00006E0B">
              <w:rPr>
                <w:noProof/>
                <w:webHidden/>
                <w:color w:val="404040" w:themeColor="text1" w:themeTint="BF"/>
              </w:rPr>
              <w:fldChar w:fldCharType="end"/>
            </w:r>
          </w:hyperlink>
        </w:p>
        <w:p w14:paraId="1660E60C" w14:textId="35BA2162" w:rsidR="00006E0B" w:rsidRPr="00006E0B" w:rsidRDefault="00006E0B">
          <w:pPr>
            <w:pStyle w:val="TOC2"/>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hyperlink w:anchor="_Toc204787411" w:history="1">
            <w:r w:rsidRPr="00006E0B">
              <w:rPr>
                <w:rStyle w:val="Hyperlink"/>
                <w:noProof/>
                <w:color w:val="404040" w:themeColor="text1" w:themeTint="BF"/>
              </w:rPr>
              <w:t>F. Los derechos de niños, niñas y adolescentes y el medio ambiente</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_Toc204787411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16</w:t>
            </w:r>
            <w:r w:rsidRPr="00006E0B">
              <w:rPr>
                <w:noProof/>
                <w:webHidden/>
                <w:color w:val="404040" w:themeColor="text1" w:themeTint="BF"/>
              </w:rPr>
              <w:fldChar w:fldCharType="end"/>
            </w:r>
          </w:hyperlink>
        </w:p>
        <w:p w14:paraId="1E661E2C" w14:textId="415D4116"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12" w:history="1">
            <w:r w:rsidRPr="00006E0B">
              <w:rPr>
                <w:rStyle w:val="Hyperlink"/>
                <w:noProof/>
                <w:color w:val="404040" w:themeColor="text1" w:themeTint="BF"/>
              </w:rPr>
              <w:t>Justicia climática</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_Toc204787412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16</w:t>
            </w:r>
            <w:r w:rsidRPr="00006E0B">
              <w:rPr>
                <w:noProof/>
                <w:webHidden/>
                <w:color w:val="404040" w:themeColor="text1" w:themeTint="BF"/>
              </w:rPr>
              <w:fldChar w:fldCharType="end"/>
            </w:r>
          </w:hyperlink>
        </w:p>
        <w:p w14:paraId="4EA04038" w14:textId="0121A705" w:rsidR="00006E0B" w:rsidRPr="00006E0B" w:rsidRDefault="00006E0B">
          <w:pPr>
            <w:pStyle w:val="TOC2"/>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hyperlink w:anchor="_Toc204787413" w:history="1">
            <w:r w:rsidRPr="00006E0B">
              <w:rPr>
                <w:rStyle w:val="Hyperlink"/>
                <w:noProof/>
                <w:color w:val="404040" w:themeColor="text1" w:themeTint="BF"/>
              </w:rPr>
              <w:t>G. Educación, esparcimiento y actividades culturales</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_Toc204787413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17</w:t>
            </w:r>
            <w:r w:rsidRPr="00006E0B">
              <w:rPr>
                <w:noProof/>
                <w:webHidden/>
                <w:color w:val="404040" w:themeColor="text1" w:themeTint="BF"/>
              </w:rPr>
              <w:fldChar w:fldCharType="end"/>
            </w:r>
          </w:hyperlink>
        </w:p>
        <w:p w14:paraId="74CC940F" w14:textId="40DB4AE8"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14" w:history="1">
            <w:r w:rsidRPr="00006E0B">
              <w:rPr>
                <w:rStyle w:val="Hyperlink"/>
                <w:noProof/>
                <w:color w:val="404040" w:themeColor="text1" w:themeTint="BF"/>
              </w:rPr>
              <w:t>Educación</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_Toc204787414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17</w:t>
            </w:r>
            <w:r w:rsidRPr="00006E0B">
              <w:rPr>
                <w:noProof/>
                <w:webHidden/>
                <w:color w:val="404040" w:themeColor="text1" w:themeTint="BF"/>
              </w:rPr>
              <w:fldChar w:fldCharType="end"/>
            </w:r>
          </w:hyperlink>
        </w:p>
        <w:p w14:paraId="6758FCFB" w14:textId="120A4DC8" w:rsidR="00006E0B" w:rsidRPr="00006E0B" w:rsidRDefault="00006E0B">
          <w:pPr>
            <w:pStyle w:val="TOC2"/>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hyperlink w:anchor="_Toc204787415" w:history="1">
            <w:r w:rsidRPr="00006E0B">
              <w:rPr>
                <w:rStyle w:val="Hyperlink"/>
                <w:noProof/>
                <w:color w:val="404040" w:themeColor="text1" w:themeTint="BF"/>
              </w:rPr>
              <w:t>H. Medidas especiales de protección</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_Toc204787415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18</w:t>
            </w:r>
            <w:r w:rsidRPr="00006E0B">
              <w:rPr>
                <w:noProof/>
                <w:webHidden/>
                <w:color w:val="404040" w:themeColor="text1" w:themeTint="BF"/>
              </w:rPr>
              <w:fldChar w:fldCharType="end"/>
            </w:r>
          </w:hyperlink>
        </w:p>
        <w:p w14:paraId="5BEE1B00" w14:textId="0779F5FC"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16" w:history="1">
            <w:r w:rsidRPr="00006E0B">
              <w:rPr>
                <w:rStyle w:val="Hyperlink"/>
                <w:noProof/>
                <w:color w:val="404040" w:themeColor="text1" w:themeTint="BF"/>
              </w:rPr>
              <w:t>Niños, niñas y adolescentes solicitantes de asilo, refugiados y migrantes</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_Toc204787416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18</w:t>
            </w:r>
            <w:r w:rsidRPr="00006E0B">
              <w:rPr>
                <w:noProof/>
                <w:webHidden/>
                <w:color w:val="404040" w:themeColor="text1" w:themeTint="BF"/>
              </w:rPr>
              <w:fldChar w:fldCharType="end"/>
            </w:r>
          </w:hyperlink>
        </w:p>
        <w:p w14:paraId="588EA577" w14:textId="2C873D2C"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17" w:history="1">
            <w:r w:rsidRPr="00006E0B">
              <w:rPr>
                <w:rStyle w:val="Hyperlink"/>
                <w:noProof/>
                <w:color w:val="404040" w:themeColor="text1" w:themeTint="BF"/>
              </w:rPr>
              <w:t>Explotación económica, incluido el trabajo infantil</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_Toc204787417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18</w:t>
            </w:r>
            <w:r w:rsidRPr="00006E0B">
              <w:rPr>
                <w:noProof/>
                <w:webHidden/>
                <w:color w:val="404040" w:themeColor="text1" w:themeTint="BF"/>
              </w:rPr>
              <w:fldChar w:fldCharType="end"/>
            </w:r>
          </w:hyperlink>
        </w:p>
        <w:p w14:paraId="736EB798" w14:textId="258ADEB4"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18" w:history="1">
            <w:r w:rsidRPr="00006E0B">
              <w:rPr>
                <w:rStyle w:val="Hyperlink"/>
                <w:noProof/>
                <w:color w:val="404040" w:themeColor="text1" w:themeTint="BF"/>
              </w:rPr>
              <w:t>Niños, niñas y adolescentes en situación de calle</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_Toc204787418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19</w:t>
            </w:r>
            <w:r w:rsidRPr="00006E0B">
              <w:rPr>
                <w:noProof/>
                <w:webHidden/>
                <w:color w:val="404040" w:themeColor="text1" w:themeTint="BF"/>
              </w:rPr>
              <w:fldChar w:fldCharType="end"/>
            </w:r>
          </w:hyperlink>
        </w:p>
        <w:p w14:paraId="79863B99" w14:textId="03B0DF67" w:rsidR="00006E0B" w:rsidRPr="00006E0B" w:rsidRDefault="00006E0B">
          <w:pPr>
            <w:pStyle w:val="TOC3"/>
            <w:tabs>
              <w:tab w:val="right" w:leader="dot" w:pos="9019"/>
            </w:tabs>
            <w:rPr>
              <w:rFonts w:cstheme="minorBidi"/>
              <w:noProof/>
              <w:color w:val="404040" w:themeColor="text1" w:themeTint="BF"/>
              <w:kern w:val="2"/>
              <w:sz w:val="24"/>
              <w:szCs w:val="24"/>
              <w14:ligatures w14:val="standardContextual"/>
            </w:rPr>
          </w:pPr>
          <w:hyperlink w:anchor="_Toc204787419" w:history="1">
            <w:r w:rsidRPr="00006E0B">
              <w:rPr>
                <w:rStyle w:val="Hyperlink"/>
                <w:noProof/>
                <w:color w:val="404040" w:themeColor="text1" w:themeTint="BF"/>
              </w:rPr>
              <w:t>Administración de la justicia penal juvenil</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_Toc204787419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19</w:t>
            </w:r>
            <w:r w:rsidRPr="00006E0B">
              <w:rPr>
                <w:noProof/>
                <w:webHidden/>
                <w:color w:val="404040" w:themeColor="text1" w:themeTint="BF"/>
              </w:rPr>
              <w:fldChar w:fldCharType="end"/>
            </w:r>
          </w:hyperlink>
        </w:p>
        <w:p w14:paraId="2DA966AD" w14:textId="7D518FB9" w:rsidR="00006E0B" w:rsidRPr="00006E0B" w:rsidRDefault="00006E0B">
          <w:pPr>
            <w:pStyle w:val="TOC1"/>
            <w:tabs>
              <w:tab w:val="right" w:leader="dot" w:pos="9019"/>
            </w:tabs>
            <w:rPr>
              <w:rFonts w:asciiTheme="minorHAnsi" w:eastAsiaTheme="minorEastAsia" w:hAnsiTheme="minorHAnsi" w:cstheme="minorBidi"/>
              <w:noProof/>
              <w:color w:val="404040" w:themeColor="text1" w:themeTint="BF"/>
              <w:kern w:val="2"/>
              <w:sz w:val="24"/>
              <w:szCs w:val="24"/>
              <w:lang w:val="en-US"/>
              <w14:ligatures w14:val="standardContextual"/>
            </w:rPr>
          </w:pPr>
          <w:hyperlink w:anchor="_Toc204787420" w:history="1">
            <w:r w:rsidRPr="00006E0B">
              <w:rPr>
                <w:rStyle w:val="Hyperlink"/>
                <w:noProof/>
                <w:color w:val="404040" w:themeColor="text1" w:themeTint="BF"/>
              </w:rPr>
              <w:t>Informes a consultar</w:t>
            </w:r>
            <w:r w:rsidRPr="00006E0B">
              <w:rPr>
                <w:noProof/>
                <w:webHidden/>
                <w:color w:val="404040" w:themeColor="text1" w:themeTint="BF"/>
              </w:rPr>
              <w:tab/>
            </w:r>
            <w:r w:rsidRPr="00006E0B">
              <w:rPr>
                <w:noProof/>
                <w:webHidden/>
                <w:color w:val="404040" w:themeColor="text1" w:themeTint="BF"/>
              </w:rPr>
              <w:fldChar w:fldCharType="begin"/>
            </w:r>
            <w:r w:rsidRPr="00006E0B">
              <w:rPr>
                <w:noProof/>
                <w:webHidden/>
                <w:color w:val="404040" w:themeColor="text1" w:themeTint="BF"/>
              </w:rPr>
              <w:instrText xml:space="preserve"> PAGEREF _Toc204787420 \h </w:instrText>
            </w:r>
            <w:r w:rsidRPr="00006E0B">
              <w:rPr>
                <w:noProof/>
                <w:webHidden/>
                <w:color w:val="404040" w:themeColor="text1" w:themeTint="BF"/>
              </w:rPr>
            </w:r>
            <w:r w:rsidRPr="00006E0B">
              <w:rPr>
                <w:noProof/>
                <w:webHidden/>
                <w:color w:val="404040" w:themeColor="text1" w:themeTint="BF"/>
              </w:rPr>
              <w:fldChar w:fldCharType="separate"/>
            </w:r>
            <w:r w:rsidRPr="00006E0B">
              <w:rPr>
                <w:noProof/>
                <w:webHidden/>
                <w:color w:val="404040" w:themeColor="text1" w:themeTint="BF"/>
              </w:rPr>
              <w:t>20</w:t>
            </w:r>
            <w:r w:rsidRPr="00006E0B">
              <w:rPr>
                <w:noProof/>
                <w:webHidden/>
                <w:color w:val="404040" w:themeColor="text1" w:themeTint="BF"/>
              </w:rPr>
              <w:fldChar w:fldCharType="end"/>
            </w:r>
          </w:hyperlink>
        </w:p>
        <w:p w14:paraId="1B8E00AC" w14:textId="56D4CBB2" w:rsidR="005F7B13" w:rsidRDefault="005F7B13">
          <w:r>
            <w:rPr>
              <w:b/>
              <w:bCs/>
              <w:lang w:val="es-ES"/>
            </w:rPr>
            <w:fldChar w:fldCharType="end"/>
          </w:r>
        </w:p>
      </w:sdtContent>
    </w:sdt>
    <w:p w14:paraId="4FB2934D" w14:textId="77777777" w:rsidR="005A420E" w:rsidRDefault="005A420E">
      <w:pPr>
        <w:ind w:left="720"/>
        <w:jc w:val="both"/>
        <w:rPr>
          <w:rFonts w:ascii="Calibri" w:eastAsia="Calibri" w:hAnsi="Calibri" w:cs="Calibri"/>
          <w:b/>
          <w:sz w:val="24"/>
          <w:szCs w:val="24"/>
        </w:rPr>
      </w:pPr>
    </w:p>
    <w:p w14:paraId="10C9CA84" w14:textId="77777777" w:rsidR="005A420E" w:rsidRDefault="005A420E">
      <w:pPr>
        <w:ind w:left="720"/>
        <w:jc w:val="both"/>
        <w:rPr>
          <w:rFonts w:ascii="Calibri" w:eastAsia="Calibri" w:hAnsi="Calibri" w:cs="Calibri"/>
          <w:b/>
          <w:color w:val="404040"/>
          <w:sz w:val="24"/>
          <w:szCs w:val="24"/>
        </w:rPr>
      </w:pPr>
    </w:p>
    <w:p w14:paraId="286ADFC1" w14:textId="77777777" w:rsidR="005A420E" w:rsidRDefault="005A420E">
      <w:pPr>
        <w:ind w:left="720"/>
        <w:jc w:val="both"/>
        <w:rPr>
          <w:rFonts w:ascii="Calibri" w:eastAsia="Calibri" w:hAnsi="Calibri" w:cs="Calibri"/>
          <w:b/>
          <w:color w:val="404040"/>
          <w:sz w:val="24"/>
          <w:szCs w:val="24"/>
        </w:rPr>
      </w:pPr>
    </w:p>
    <w:p w14:paraId="2716B2A0" w14:textId="77777777" w:rsidR="005A420E" w:rsidRDefault="005A420E">
      <w:pPr>
        <w:ind w:left="720"/>
        <w:jc w:val="both"/>
        <w:rPr>
          <w:rFonts w:ascii="Calibri" w:eastAsia="Calibri" w:hAnsi="Calibri" w:cs="Calibri"/>
          <w:b/>
          <w:color w:val="404040"/>
          <w:sz w:val="24"/>
          <w:szCs w:val="24"/>
        </w:rPr>
      </w:pPr>
    </w:p>
    <w:p w14:paraId="2CCF70DA" w14:textId="77777777" w:rsidR="005A420E" w:rsidRDefault="005A420E">
      <w:pPr>
        <w:ind w:left="720"/>
        <w:jc w:val="both"/>
        <w:rPr>
          <w:rFonts w:ascii="Calibri" w:eastAsia="Calibri" w:hAnsi="Calibri" w:cs="Calibri"/>
          <w:b/>
          <w:color w:val="404040"/>
          <w:sz w:val="24"/>
          <w:szCs w:val="24"/>
        </w:rPr>
      </w:pPr>
    </w:p>
    <w:p w14:paraId="2D293509" w14:textId="77777777" w:rsidR="005A420E" w:rsidRDefault="005A420E">
      <w:pPr>
        <w:ind w:left="720"/>
        <w:jc w:val="both"/>
        <w:rPr>
          <w:rFonts w:ascii="Calibri" w:eastAsia="Calibri" w:hAnsi="Calibri" w:cs="Calibri"/>
          <w:b/>
          <w:color w:val="404040"/>
          <w:sz w:val="24"/>
          <w:szCs w:val="24"/>
        </w:rPr>
      </w:pPr>
    </w:p>
    <w:p w14:paraId="20E46BF2" w14:textId="77777777" w:rsidR="005A420E" w:rsidRDefault="005A420E">
      <w:pPr>
        <w:ind w:left="720"/>
        <w:jc w:val="both"/>
        <w:rPr>
          <w:rFonts w:ascii="Calibri" w:eastAsia="Calibri" w:hAnsi="Calibri" w:cs="Calibri"/>
          <w:b/>
          <w:color w:val="404040"/>
          <w:sz w:val="24"/>
          <w:szCs w:val="24"/>
        </w:rPr>
      </w:pPr>
    </w:p>
    <w:p w14:paraId="760DD5F0" w14:textId="77777777" w:rsidR="005A420E" w:rsidRDefault="005A420E">
      <w:pPr>
        <w:ind w:left="720"/>
        <w:jc w:val="both"/>
        <w:rPr>
          <w:rFonts w:ascii="Calibri" w:eastAsia="Calibri" w:hAnsi="Calibri" w:cs="Calibri"/>
          <w:b/>
          <w:color w:val="404040"/>
          <w:sz w:val="24"/>
          <w:szCs w:val="24"/>
        </w:rPr>
      </w:pPr>
    </w:p>
    <w:p w14:paraId="0BD54CC8" w14:textId="77777777" w:rsidR="005A420E" w:rsidRDefault="005A420E">
      <w:pPr>
        <w:ind w:left="720"/>
        <w:jc w:val="both"/>
        <w:rPr>
          <w:rFonts w:ascii="Calibri" w:eastAsia="Calibri" w:hAnsi="Calibri" w:cs="Calibri"/>
          <w:b/>
          <w:color w:val="404040"/>
          <w:sz w:val="24"/>
          <w:szCs w:val="24"/>
        </w:rPr>
      </w:pPr>
    </w:p>
    <w:p w14:paraId="10EF3A0C" w14:textId="77777777" w:rsidR="005A420E" w:rsidRDefault="005A420E">
      <w:pPr>
        <w:ind w:left="720"/>
        <w:jc w:val="both"/>
        <w:rPr>
          <w:rFonts w:ascii="Calibri" w:eastAsia="Calibri" w:hAnsi="Calibri" w:cs="Calibri"/>
          <w:b/>
          <w:color w:val="404040"/>
          <w:sz w:val="24"/>
          <w:szCs w:val="24"/>
        </w:rPr>
      </w:pPr>
    </w:p>
    <w:p w14:paraId="4492AA56" w14:textId="77777777" w:rsidR="005A420E" w:rsidRDefault="005A420E">
      <w:pPr>
        <w:ind w:left="720"/>
        <w:jc w:val="both"/>
        <w:rPr>
          <w:rFonts w:ascii="Calibri" w:eastAsia="Calibri" w:hAnsi="Calibri" w:cs="Calibri"/>
          <w:b/>
          <w:color w:val="404040"/>
          <w:sz w:val="24"/>
          <w:szCs w:val="24"/>
        </w:rPr>
      </w:pPr>
    </w:p>
    <w:p w14:paraId="499D8620" w14:textId="77777777" w:rsidR="005A420E" w:rsidRDefault="005A420E">
      <w:pPr>
        <w:ind w:left="720"/>
        <w:jc w:val="both"/>
        <w:rPr>
          <w:rFonts w:ascii="Calibri" w:eastAsia="Calibri" w:hAnsi="Calibri" w:cs="Calibri"/>
          <w:b/>
          <w:color w:val="404040"/>
          <w:sz w:val="24"/>
          <w:szCs w:val="24"/>
        </w:rPr>
      </w:pPr>
    </w:p>
    <w:p w14:paraId="3B2F4E25" w14:textId="77777777" w:rsidR="005A420E" w:rsidRDefault="005A420E">
      <w:pPr>
        <w:ind w:left="720"/>
        <w:jc w:val="both"/>
        <w:rPr>
          <w:rFonts w:ascii="Calibri" w:eastAsia="Calibri" w:hAnsi="Calibri" w:cs="Calibri"/>
          <w:b/>
          <w:color w:val="404040"/>
          <w:sz w:val="24"/>
          <w:szCs w:val="24"/>
        </w:rPr>
      </w:pPr>
    </w:p>
    <w:p w14:paraId="20D5B716" w14:textId="77777777" w:rsidR="005A420E" w:rsidRDefault="005A420E">
      <w:pPr>
        <w:ind w:left="720"/>
        <w:jc w:val="both"/>
        <w:rPr>
          <w:rFonts w:ascii="Calibri" w:eastAsia="Calibri" w:hAnsi="Calibri" w:cs="Calibri"/>
          <w:b/>
          <w:color w:val="404040"/>
          <w:sz w:val="24"/>
          <w:szCs w:val="24"/>
        </w:rPr>
      </w:pPr>
    </w:p>
    <w:p w14:paraId="41DD9212" w14:textId="77777777" w:rsidR="005A420E" w:rsidRDefault="005A420E">
      <w:pPr>
        <w:ind w:left="720"/>
        <w:jc w:val="both"/>
        <w:rPr>
          <w:rFonts w:ascii="Calibri" w:eastAsia="Calibri" w:hAnsi="Calibri" w:cs="Calibri"/>
          <w:b/>
          <w:color w:val="404040"/>
          <w:sz w:val="24"/>
          <w:szCs w:val="24"/>
        </w:rPr>
      </w:pPr>
    </w:p>
    <w:p w14:paraId="6C399687" w14:textId="77777777" w:rsidR="005A420E" w:rsidRDefault="005A420E">
      <w:pPr>
        <w:ind w:left="720"/>
        <w:jc w:val="both"/>
        <w:rPr>
          <w:rFonts w:ascii="Calibri" w:eastAsia="Calibri" w:hAnsi="Calibri" w:cs="Calibri"/>
          <w:b/>
          <w:color w:val="404040"/>
          <w:sz w:val="24"/>
          <w:szCs w:val="24"/>
        </w:rPr>
      </w:pPr>
    </w:p>
    <w:p w14:paraId="785098A6" w14:textId="77777777" w:rsidR="005A420E" w:rsidRDefault="005A420E">
      <w:pPr>
        <w:ind w:left="720"/>
        <w:jc w:val="both"/>
        <w:rPr>
          <w:rFonts w:ascii="Calibri" w:eastAsia="Calibri" w:hAnsi="Calibri" w:cs="Calibri"/>
          <w:b/>
          <w:color w:val="404040"/>
          <w:sz w:val="24"/>
          <w:szCs w:val="24"/>
        </w:rPr>
      </w:pPr>
    </w:p>
    <w:p w14:paraId="1482DF2D" w14:textId="77777777" w:rsidR="00D96AF4" w:rsidRDefault="00D96AF4" w:rsidP="00580F88">
      <w:pPr>
        <w:jc w:val="both"/>
        <w:rPr>
          <w:rFonts w:ascii="Calibri" w:eastAsia="Calibri" w:hAnsi="Calibri" w:cs="Calibri"/>
          <w:b/>
          <w:color w:val="404040"/>
          <w:sz w:val="24"/>
          <w:szCs w:val="24"/>
        </w:rPr>
        <w:sectPr w:rsidR="00D96AF4" w:rsidSect="00D31572">
          <w:pgSz w:w="11909" w:h="16834"/>
          <w:pgMar w:top="1440" w:right="1440" w:bottom="1440" w:left="1440" w:header="720" w:footer="720" w:gutter="0"/>
          <w:pgNumType w:start="1"/>
          <w:cols w:space="720"/>
          <w:docGrid w:linePitch="299"/>
        </w:sectPr>
      </w:pPr>
    </w:p>
    <w:p w14:paraId="51908B50" w14:textId="77777777" w:rsidR="005A420E" w:rsidRDefault="00000000">
      <w:pPr>
        <w:pStyle w:val="Heading1"/>
      </w:pPr>
      <w:bookmarkStart w:id="0" w:name="_Toc204787386"/>
      <w:r>
        <w:lastRenderedPageBreak/>
        <w:t>Listado de acrónimos</w:t>
      </w:r>
      <w:bookmarkEnd w:id="0"/>
      <w:r>
        <w:t xml:space="preserve"> </w:t>
      </w:r>
    </w:p>
    <w:p w14:paraId="313D6723" w14:textId="77777777" w:rsidR="005A420E" w:rsidRDefault="005A420E">
      <w:pPr>
        <w:ind w:left="720"/>
        <w:jc w:val="both"/>
        <w:rPr>
          <w:color w:val="404040"/>
        </w:rPr>
      </w:pPr>
    </w:p>
    <w:tbl>
      <w:tblPr>
        <w:tblStyle w:val="a1"/>
        <w:tblW w:w="7821" w:type="dxa"/>
        <w:jc w:val="center"/>
        <w:tblInd w:w="0" w:type="dxa"/>
        <w:tblLayout w:type="fixed"/>
        <w:tblLook w:val="0600" w:firstRow="0" w:lastRow="0" w:firstColumn="0" w:lastColumn="0" w:noHBand="1" w:noVBand="1"/>
      </w:tblPr>
      <w:tblGrid>
        <w:gridCol w:w="2545"/>
        <w:gridCol w:w="5276"/>
      </w:tblGrid>
      <w:tr w:rsidR="005A420E" w14:paraId="4F716FBF" w14:textId="77777777" w:rsidTr="0069111C">
        <w:trPr>
          <w:trHeight w:val="508"/>
          <w:jc w:val="center"/>
        </w:trPr>
        <w:tc>
          <w:tcPr>
            <w:tcW w:w="2545" w:type="dxa"/>
            <w:shd w:val="clear" w:color="auto" w:fill="EFEFEF"/>
            <w:tcMar>
              <w:top w:w="100" w:type="dxa"/>
              <w:left w:w="100" w:type="dxa"/>
              <w:bottom w:w="100" w:type="dxa"/>
              <w:right w:w="100" w:type="dxa"/>
            </w:tcMar>
          </w:tcPr>
          <w:p w14:paraId="1BAA72D9"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 xml:space="preserve">CDN </w:t>
            </w:r>
          </w:p>
        </w:tc>
        <w:tc>
          <w:tcPr>
            <w:tcW w:w="5276" w:type="dxa"/>
            <w:shd w:val="clear" w:color="auto" w:fill="EFEFEF"/>
            <w:tcMar>
              <w:top w:w="100" w:type="dxa"/>
              <w:left w:w="100" w:type="dxa"/>
              <w:bottom w:w="100" w:type="dxa"/>
              <w:right w:w="100" w:type="dxa"/>
            </w:tcMar>
          </w:tcPr>
          <w:p w14:paraId="7504AD18"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Convención de Derechos del Niño</w:t>
            </w:r>
          </w:p>
        </w:tc>
      </w:tr>
      <w:tr w:rsidR="005A420E" w14:paraId="76D0931C" w14:textId="77777777" w:rsidTr="0069111C">
        <w:trPr>
          <w:trHeight w:val="508"/>
          <w:jc w:val="center"/>
        </w:trPr>
        <w:tc>
          <w:tcPr>
            <w:tcW w:w="2545" w:type="dxa"/>
            <w:shd w:val="clear" w:color="auto" w:fill="EFEFEF"/>
            <w:tcMar>
              <w:top w:w="100" w:type="dxa"/>
              <w:left w:w="100" w:type="dxa"/>
              <w:bottom w:w="100" w:type="dxa"/>
              <w:right w:w="100" w:type="dxa"/>
            </w:tcMar>
          </w:tcPr>
          <w:p w14:paraId="4DD8E04E"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CRC</w:t>
            </w:r>
          </w:p>
        </w:tc>
        <w:tc>
          <w:tcPr>
            <w:tcW w:w="5276" w:type="dxa"/>
            <w:shd w:val="clear" w:color="auto" w:fill="EFEFEF"/>
            <w:tcMar>
              <w:top w:w="100" w:type="dxa"/>
              <w:left w:w="100" w:type="dxa"/>
              <w:bottom w:w="100" w:type="dxa"/>
              <w:right w:w="100" w:type="dxa"/>
            </w:tcMar>
          </w:tcPr>
          <w:p w14:paraId="1421FC16"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Comité de los Derechos del Niño de Naciones Unidas</w:t>
            </w:r>
          </w:p>
        </w:tc>
      </w:tr>
      <w:tr w:rsidR="005A420E" w14:paraId="7985A99F" w14:textId="77777777" w:rsidTr="0069111C">
        <w:trPr>
          <w:trHeight w:val="508"/>
          <w:jc w:val="center"/>
        </w:trPr>
        <w:tc>
          <w:tcPr>
            <w:tcW w:w="2545" w:type="dxa"/>
            <w:shd w:val="clear" w:color="auto" w:fill="D9D9D9"/>
            <w:tcMar>
              <w:top w:w="100" w:type="dxa"/>
              <w:left w:w="100" w:type="dxa"/>
              <w:bottom w:w="100" w:type="dxa"/>
              <w:right w:w="100" w:type="dxa"/>
            </w:tcMar>
          </w:tcPr>
          <w:p w14:paraId="3AA87F13"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CDNU</w:t>
            </w:r>
          </w:p>
        </w:tc>
        <w:tc>
          <w:tcPr>
            <w:tcW w:w="5276" w:type="dxa"/>
            <w:shd w:val="clear" w:color="auto" w:fill="D9D9D9"/>
            <w:tcMar>
              <w:top w:w="100" w:type="dxa"/>
              <w:left w:w="100" w:type="dxa"/>
              <w:bottom w:w="100" w:type="dxa"/>
              <w:right w:w="100" w:type="dxa"/>
            </w:tcMar>
          </w:tcPr>
          <w:p w14:paraId="6D1FD6F0"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Comité de Derechos del Niño Uruguay</w:t>
            </w:r>
          </w:p>
        </w:tc>
      </w:tr>
      <w:tr w:rsidR="005A420E" w14:paraId="33AE6A5F" w14:textId="77777777" w:rsidTr="0069111C">
        <w:trPr>
          <w:trHeight w:val="508"/>
          <w:jc w:val="center"/>
        </w:trPr>
        <w:tc>
          <w:tcPr>
            <w:tcW w:w="2545" w:type="dxa"/>
            <w:shd w:val="clear" w:color="auto" w:fill="EFEFEF"/>
            <w:tcMar>
              <w:top w:w="100" w:type="dxa"/>
              <w:left w:w="100" w:type="dxa"/>
              <w:bottom w:w="100" w:type="dxa"/>
              <w:right w:w="100" w:type="dxa"/>
            </w:tcMar>
          </w:tcPr>
          <w:p w14:paraId="17C94375"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 xml:space="preserve">CHCDNNA </w:t>
            </w:r>
          </w:p>
        </w:tc>
        <w:tc>
          <w:tcPr>
            <w:tcW w:w="5276" w:type="dxa"/>
            <w:shd w:val="clear" w:color="auto" w:fill="EFEFEF"/>
            <w:tcMar>
              <w:top w:w="100" w:type="dxa"/>
              <w:left w:w="100" w:type="dxa"/>
              <w:bottom w:w="100" w:type="dxa"/>
              <w:right w:w="100" w:type="dxa"/>
            </w:tcMar>
          </w:tcPr>
          <w:p w14:paraId="1F2D9B60"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Consejo Honorario Consultivo de Derechos de Niñas, Niños y Adolescentes</w:t>
            </w:r>
          </w:p>
        </w:tc>
      </w:tr>
      <w:tr w:rsidR="005A420E" w14:paraId="35EA83F2" w14:textId="77777777" w:rsidTr="0069111C">
        <w:trPr>
          <w:trHeight w:val="508"/>
          <w:jc w:val="center"/>
        </w:trPr>
        <w:tc>
          <w:tcPr>
            <w:tcW w:w="2545" w:type="dxa"/>
            <w:shd w:val="clear" w:color="auto" w:fill="D9D9D9"/>
            <w:tcMar>
              <w:top w:w="100" w:type="dxa"/>
              <w:left w:w="100" w:type="dxa"/>
              <w:bottom w:w="100" w:type="dxa"/>
              <w:right w:w="100" w:type="dxa"/>
            </w:tcMar>
          </w:tcPr>
          <w:p w14:paraId="453396B4"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CNA</w:t>
            </w:r>
          </w:p>
        </w:tc>
        <w:tc>
          <w:tcPr>
            <w:tcW w:w="5276" w:type="dxa"/>
            <w:shd w:val="clear" w:color="auto" w:fill="D9D9D9"/>
            <w:tcMar>
              <w:top w:w="100" w:type="dxa"/>
              <w:left w:w="100" w:type="dxa"/>
              <w:bottom w:w="100" w:type="dxa"/>
              <w:right w:w="100" w:type="dxa"/>
            </w:tcMar>
          </w:tcPr>
          <w:p w14:paraId="67294936"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Código de la Niñez y Adolescencia</w:t>
            </w:r>
          </w:p>
        </w:tc>
      </w:tr>
      <w:tr w:rsidR="005A420E" w14:paraId="00645863" w14:textId="77777777" w:rsidTr="0069111C">
        <w:trPr>
          <w:trHeight w:val="508"/>
          <w:jc w:val="center"/>
        </w:trPr>
        <w:tc>
          <w:tcPr>
            <w:tcW w:w="2545" w:type="dxa"/>
            <w:shd w:val="clear" w:color="auto" w:fill="EFEFEF"/>
            <w:tcMar>
              <w:top w:w="100" w:type="dxa"/>
              <w:left w:w="100" w:type="dxa"/>
              <w:bottom w:w="100" w:type="dxa"/>
              <w:right w:w="100" w:type="dxa"/>
            </w:tcMar>
          </w:tcPr>
          <w:p w14:paraId="00D4A0E7"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FGN</w:t>
            </w:r>
          </w:p>
        </w:tc>
        <w:tc>
          <w:tcPr>
            <w:tcW w:w="5276" w:type="dxa"/>
            <w:shd w:val="clear" w:color="auto" w:fill="EFEFEF"/>
            <w:tcMar>
              <w:top w:w="100" w:type="dxa"/>
              <w:left w:w="100" w:type="dxa"/>
              <w:bottom w:w="100" w:type="dxa"/>
              <w:right w:w="100" w:type="dxa"/>
            </w:tcMar>
          </w:tcPr>
          <w:p w14:paraId="782D640E"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Fiscalía General de la Nación</w:t>
            </w:r>
          </w:p>
        </w:tc>
      </w:tr>
      <w:tr w:rsidR="005A420E" w14:paraId="17B38706" w14:textId="77777777" w:rsidTr="0069111C">
        <w:trPr>
          <w:trHeight w:val="508"/>
          <w:jc w:val="center"/>
        </w:trPr>
        <w:tc>
          <w:tcPr>
            <w:tcW w:w="2545" w:type="dxa"/>
            <w:shd w:val="clear" w:color="auto" w:fill="D9D9D9"/>
            <w:tcMar>
              <w:top w:w="100" w:type="dxa"/>
              <w:left w:w="100" w:type="dxa"/>
              <w:bottom w:w="100" w:type="dxa"/>
              <w:right w:w="100" w:type="dxa"/>
            </w:tcMar>
          </w:tcPr>
          <w:p w14:paraId="249F912D" w14:textId="77777777" w:rsidR="005A420E" w:rsidRDefault="00000000">
            <w:pPr>
              <w:widowControl w:val="0"/>
              <w:spacing w:line="240" w:lineRule="auto"/>
              <w:rPr>
                <w:rFonts w:ascii="Calibri" w:eastAsia="Calibri" w:hAnsi="Calibri" w:cs="Calibri"/>
                <w:color w:val="404040"/>
              </w:rPr>
            </w:pPr>
            <w:r>
              <w:rPr>
                <w:rFonts w:ascii="Calibri" w:eastAsia="Calibri" w:hAnsi="Calibri" w:cs="Calibri"/>
                <w:b/>
                <w:color w:val="404040"/>
              </w:rPr>
              <w:t>INAU</w:t>
            </w:r>
          </w:p>
        </w:tc>
        <w:tc>
          <w:tcPr>
            <w:tcW w:w="5276" w:type="dxa"/>
            <w:shd w:val="clear" w:color="auto" w:fill="D9D9D9"/>
            <w:tcMar>
              <w:top w:w="100" w:type="dxa"/>
              <w:left w:w="100" w:type="dxa"/>
              <w:bottom w:w="100" w:type="dxa"/>
              <w:right w:w="100" w:type="dxa"/>
            </w:tcMar>
          </w:tcPr>
          <w:p w14:paraId="18914292"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Instituto del Niño y Adolescente del Uruguay</w:t>
            </w:r>
          </w:p>
        </w:tc>
      </w:tr>
      <w:tr w:rsidR="005A420E" w14:paraId="7102CFE6" w14:textId="77777777" w:rsidTr="0069111C">
        <w:trPr>
          <w:trHeight w:val="508"/>
          <w:jc w:val="center"/>
        </w:trPr>
        <w:tc>
          <w:tcPr>
            <w:tcW w:w="2545" w:type="dxa"/>
            <w:shd w:val="clear" w:color="auto" w:fill="EFEFEF"/>
            <w:tcMar>
              <w:top w:w="100" w:type="dxa"/>
              <w:left w:w="100" w:type="dxa"/>
              <w:bottom w:w="100" w:type="dxa"/>
              <w:right w:w="100" w:type="dxa"/>
            </w:tcMar>
          </w:tcPr>
          <w:p w14:paraId="5D4FBC8E"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INDDHH</w:t>
            </w:r>
          </w:p>
        </w:tc>
        <w:tc>
          <w:tcPr>
            <w:tcW w:w="5276" w:type="dxa"/>
            <w:shd w:val="clear" w:color="auto" w:fill="EFEFEF"/>
            <w:tcMar>
              <w:top w:w="100" w:type="dxa"/>
              <w:left w:w="100" w:type="dxa"/>
              <w:bottom w:w="100" w:type="dxa"/>
              <w:right w:w="100" w:type="dxa"/>
            </w:tcMar>
          </w:tcPr>
          <w:p w14:paraId="57018972"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Institución Nacional de Derechos Humanos</w:t>
            </w:r>
          </w:p>
        </w:tc>
      </w:tr>
      <w:tr w:rsidR="005A420E" w14:paraId="06A30391" w14:textId="77777777" w:rsidTr="0069111C">
        <w:trPr>
          <w:trHeight w:val="508"/>
          <w:jc w:val="center"/>
        </w:trPr>
        <w:tc>
          <w:tcPr>
            <w:tcW w:w="2545" w:type="dxa"/>
            <w:shd w:val="clear" w:color="auto" w:fill="D9D9D9"/>
            <w:tcMar>
              <w:top w:w="100" w:type="dxa"/>
              <w:left w:w="100" w:type="dxa"/>
              <w:bottom w:w="100" w:type="dxa"/>
              <w:right w:w="100" w:type="dxa"/>
            </w:tcMar>
          </w:tcPr>
          <w:p w14:paraId="13EEA391"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INISA</w:t>
            </w:r>
          </w:p>
        </w:tc>
        <w:tc>
          <w:tcPr>
            <w:tcW w:w="5276" w:type="dxa"/>
            <w:shd w:val="clear" w:color="auto" w:fill="D9D9D9"/>
            <w:tcMar>
              <w:top w:w="100" w:type="dxa"/>
              <w:left w:w="100" w:type="dxa"/>
              <w:bottom w:w="100" w:type="dxa"/>
              <w:right w:w="100" w:type="dxa"/>
            </w:tcMar>
          </w:tcPr>
          <w:p w14:paraId="4505B2A3"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Instituto Nacional de Inclusión Social Adolescente</w:t>
            </w:r>
          </w:p>
        </w:tc>
      </w:tr>
      <w:tr w:rsidR="005A420E" w14:paraId="48DA42F5" w14:textId="77777777" w:rsidTr="0069111C">
        <w:trPr>
          <w:trHeight w:val="508"/>
          <w:jc w:val="center"/>
        </w:trPr>
        <w:tc>
          <w:tcPr>
            <w:tcW w:w="2545" w:type="dxa"/>
            <w:shd w:val="clear" w:color="auto" w:fill="EFEFEF"/>
            <w:tcMar>
              <w:top w:w="100" w:type="dxa"/>
              <w:left w:w="100" w:type="dxa"/>
              <w:bottom w:w="100" w:type="dxa"/>
              <w:right w:w="100" w:type="dxa"/>
            </w:tcMar>
          </w:tcPr>
          <w:p w14:paraId="36CC77D1" w14:textId="77777777" w:rsidR="005A420E" w:rsidRDefault="00000000">
            <w:pPr>
              <w:jc w:val="both"/>
              <w:rPr>
                <w:rFonts w:ascii="Calibri" w:eastAsia="Calibri" w:hAnsi="Calibri" w:cs="Calibri"/>
                <w:b/>
                <w:color w:val="404040"/>
              </w:rPr>
            </w:pPr>
            <w:r>
              <w:rPr>
                <w:rFonts w:ascii="Calibri" w:eastAsia="Calibri" w:hAnsi="Calibri" w:cs="Calibri"/>
                <w:b/>
                <w:color w:val="404040"/>
              </w:rPr>
              <w:t>LOIPR</w:t>
            </w:r>
          </w:p>
        </w:tc>
        <w:tc>
          <w:tcPr>
            <w:tcW w:w="5276" w:type="dxa"/>
            <w:shd w:val="clear" w:color="auto" w:fill="EFEFEF"/>
            <w:tcMar>
              <w:top w:w="100" w:type="dxa"/>
              <w:left w:w="100" w:type="dxa"/>
              <w:bottom w:w="100" w:type="dxa"/>
              <w:right w:w="100" w:type="dxa"/>
            </w:tcMar>
          </w:tcPr>
          <w:p w14:paraId="5D1D51DC"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Listado de Cuestiones Prioritarias</w:t>
            </w:r>
          </w:p>
        </w:tc>
      </w:tr>
      <w:tr w:rsidR="005A420E" w14:paraId="5AE358D6" w14:textId="77777777" w:rsidTr="0069111C">
        <w:trPr>
          <w:trHeight w:val="508"/>
          <w:jc w:val="center"/>
        </w:trPr>
        <w:tc>
          <w:tcPr>
            <w:tcW w:w="2545" w:type="dxa"/>
            <w:shd w:val="clear" w:color="auto" w:fill="EFEFEF"/>
            <w:tcMar>
              <w:top w:w="100" w:type="dxa"/>
              <w:left w:w="100" w:type="dxa"/>
              <w:bottom w:w="100" w:type="dxa"/>
              <w:right w:w="100" w:type="dxa"/>
            </w:tcMar>
          </w:tcPr>
          <w:p w14:paraId="78478944"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LUC</w:t>
            </w:r>
          </w:p>
        </w:tc>
        <w:tc>
          <w:tcPr>
            <w:tcW w:w="5276" w:type="dxa"/>
            <w:shd w:val="clear" w:color="auto" w:fill="EFEFEF"/>
            <w:tcMar>
              <w:top w:w="100" w:type="dxa"/>
              <w:left w:w="100" w:type="dxa"/>
              <w:bottom w:w="100" w:type="dxa"/>
              <w:right w:w="100" w:type="dxa"/>
            </w:tcMar>
          </w:tcPr>
          <w:p w14:paraId="6B69F4DB"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Ley de Urgente Consideración</w:t>
            </w:r>
          </w:p>
        </w:tc>
      </w:tr>
      <w:tr w:rsidR="005A420E" w14:paraId="798D5C07" w14:textId="77777777" w:rsidTr="0069111C">
        <w:trPr>
          <w:trHeight w:val="508"/>
          <w:jc w:val="center"/>
        </w:trPr>
        <w:tc>
          <w:tcPr>
            <w:tcW w:w="2545" w:type="dxa"/>
            <w:shd w:val="clear" w:color="auto" w:fill="D9D9D9"/>
            <w:tcMar>
              <w:top w:w="100" w:type="dxa"/>
              <w:left w:w="100" w:type="dxa"/>
              <w:bottom w:w="100" w:type="dxa"/>
              <w:right w:w="100" w:type="dxa"/>
            </w:tcMar>
          </w:tcPr>
          <w:p w14:paraId="5ED3FD81"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MIDES</w:t>
            </w:r>
          </w:p>
        </w:tc>
        <w:tc>
          <w:tcPr>
            <w:tcW w:w="5276" w:type="dxa"/>
            <w:shd w:val="clear" w:color="auto" w:fill="D9D9D9"/>
            <w:tcMar>
              <w:top w:w="100" w:type="dxa"/>
              <w:left w:w="100" w:type="dxa"/>
              <w:bottom w:w="100" w:type="dxa"/>
              <w:right w:w="100" w:type="dxa"/>
            </w:tcMar>
          </w:tcPr>
          <w:p w14:paraId="05B1300F"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Ministerio de Desarrollo Social</w:t>
            </w:r>
          </w:p>
        </w:tc>
      </w:tr>
      <w:tr w:rsidR="005A420E" w14:paraId="21293F51" w14:textId="77777777" w:rsidTr="0069111C">
        <w:trPr>
          <w:trHeight w:val="508"/>
          <w:jc w:val="center"/>
        </w:trPr>
        <w:tc>
          <w:tcPr>
            <w:tcW w:w="2545" w:type="dxa"/>
            <w:shd w:val="clear" w:color="auto" w:fill="EFEFEF"/>
            <w:tcMar>
              <w:top w:w="100" w:type="dxa"/>
              <w:left w:w="100" w:type="dxa"/>
              <w:bottom w:w="100" w:type="dxa"/>
              <w:right w:w="100" w:type="dxa"/>
            </w:tcMar>
          </w:tcPr>
          <w:p w14:paraId="3F107BAB"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MNP</w:t>
            </w:r>
          </w:p>
        </w:tc>
        <w:tc>
          <w:tcPr>
            <w:tcW w:w="5276" w:type="dxa"/>
            <w:shd w:val="clear" w:color="auto" w:fill="EFEFEF"/>
            <w:tcMar>
              <w:top w:w="100" w:type="dxa"/>
              <w:left w:w="100" w:type="dxa"/>
              <w:bottom w:w="100" w:type="dxa"/>
              <w:right w:w="100" w:type="dxa"/>
            </w:tcMar>
          </w:tcPr>
          <w:p w14:paraId="76652429"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Mecanismo Nacional de Prevención</w:t>
            </w:r>
          </w:p>
        </w:tc>
      </w:tr>
      <w:tr w:rsidR="005A420E" w14:paraId="5A7CB5B3" w14:textId="77777777" w:rsidTr="0069111C">
        <w:trPr>
          <w:trHeight w:val="508"/>
          <w:jc w:val="center"/>
        </w:trPr>
        <w:tc>
          <w:tcPr>
            <w:tcW w:w="2545" w:type="dxa"/>
            <w:shd w:val="clear" w:color="auto" w:fill="CCCCCC"/>
            <w:tcMar>
              <w:top w:w="100" w:type="dxa"/>
              <w:left w:w="100" w:type="dxa"/>
              <w:bottom w:w="100" w:type="dxa"/>
              <w:right w:w="100" w:type="dxa"/>
            </w:tcMar>
          </w:tcPr>
          <w:p w14:paraId="466EDB2B"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PJ</w:t>
            </w:r>
          </w:p>
        </w:tc>
        <w:tc>
          <w:tcPr>
            <w:tcW w:w="5276" w:type="dxa"/>
            <w:shd w:val="clear" w:color="auto" w:fill="CCCCCC"/>
            <w:tcMar>
              <w:top w:w="100" w:type="dxa"/>
              <w:left w:w="100" w:type="dxa"/>
              <w:bottom w:w="100" w:type="dxa"/>
              <w:right w:w="100" w:type="dxa"/>
            </w:tcMar>
          </w:tcPr>
          <w:p w14:paraId="25DAEB2C"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Poder Judicial</w:t>
            </w:r>
          </w:p>
        </w:tc>
      </w:tr>
      <w:tr w:rsidR="005A420E" w14:paraId="75C1BE64" w14:textId="77777777" w:rsidTr="0069111C">
        <w:trPr>
          <w:trHeight w:val="508"/>
          <w:jc w:val="center"/>
        </w:trPr>
        <w:tc>
          <w:tcPr>
            <w:tcW w:w="2545" w:type="dxa"/>
            <w:shd w:val="clear" w:color="auto" w:fill="EFEFEF"/>
            <w:tcMar>
              <w:top w:w="100" w:type="dxa"/>
              <w:left w:w="100" w:type="dxa"/>
              <w:bottom w:w="100" w:type="dxa"/>
              <w:right w:w="100" w:type="dxa"/>
            </w:tcMar>
          </w:tcPr>
          <w:p w14:paraId="7D536F23"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SIRPA</w:t>
            </w:r>
          </w:p>
        </w:tc>
        <w:tc>
          <w:tcPr>
            <w:tcW w:w="5276" w:type="dxa"/>
            <w:shd w:val="clear" w:color="auto" w:fill="EFEFEF"/>
            <w:tcMar>
              <w:top w:w="100" w:type="dxa"/>
              <w:left w:w="100" w:type="dxa"/>
              <w:bottom w:w="100" w:type="dxa"/>
              <w:right w:w="100" w:type="dxa"/>
            </w:tcMar>
          </w:tcPr>
          <w:p w14:paraId="04DB8D20"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Sistema de Responsabilidad Penal Adolescente</w:t>
            </w:r>
          </w:p>
        </w:tc>
      </w:tr>
      <w:tr w:rsidR="005A420E" w14:paraId="054834E3" w14:textId="77777777" w:rsidTr="0069111C">
        <w:trPr>
          <w:trHeight w:val="508"/>
          <w:jc w:val="center"/>
        </w:trPr>
        <w:tc>
          <w:tcPr>
            <w:tcW w:w="2545" w:type="dxa"/>
            <w:shd w:val="clear" w:color="auto" w:fill="D9D9D9"/>
            <w:tcMar>
              <w:top w:w="100" w:type="dxa"/>
              <w:left w:w="100" w:type="dxa"/>
              <w:bottom w:w="100" w:type="dxa"/>
              <w:right w:w="100" w:type="dxa"/>
            </w:tcMar>
          </w:tcPr>
          <w:p w14:paraId="24B20441"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SPJ</w:t>
            </w:r>
          </w:p>
        </w:tc>
        <w:tc>
          <w:tcPr>
            <w:tcW w:w="5276" w:type="dxa"/>
            <w:shd w:val="clear" w:color="auto" w:fill="D9D9D9"/>
            <w:tcMar>
              <w:top w:w="100" w:type="dxa"/>
              <w:left w:w="100" w:type="dxa"/>
              <w:bottom w:w="100" w:type="dxa"/>
              <w:right w:w="100" w:type="dxa"/>
            </w:tcMar>
          </w:tcPr>
          <w:p w14:paraId="5C5A0A41"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Sistema Penal Juvenil</w:t>
            </w:r>
          </w:p>
        </w:tc>
      </w:tr>
      <w:tr w:rsidR="005A420E" w14:paraId="5EE5DE7F" w14:textId="77777777" w:rsidTr="0069111C">
        <w:trPr>
          <w:trHeight w:val="508"/>
          <w:jc w:val="center"/>
        </w:trPr>
        <w:tc>
          <w:tcPr>
            <w:tcW w:w="2545" w:type="dxa"/>
            <w:shd w:val="clear" w:color="auto" w:fill="EFEFEF"/>
            <w:tcMar>
              <w:top w:w="100" w:type="dxa"/>
              <w:left w:w="100" w:type="dxa"/>
              <w:bottom w:w="100" w:type="dxa"/>
              <w:right w:w="100" w:type="dxa"/>
            </w:tcMar>
          </w:tcPr>
          <w:p w14:paraId="3E2190B4"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 xml:space="preserve">UNICEF </w:t>
            </w:r>
          </w:p>
        </w:tc>
        <w:tc>
          <w:tcPr>
            <w:tcW w:w="5276" w:type="dxa"/>
            <w:shd w:val="clear" w:color="auto" w:fill="EFEFEF"/>
            <w:tcMar>
              <w:top w:w="100" w:type="dxa"/>
              <w:left w:w="100" w:type="dxa"/>
              <w:bottom w:w="100" w:type="dxa"/>
              <w:right w:w="100" w:type="dxa"/>
            </w:tcMar>
          </w:tcPr>
          <w:p w14:paraId="28B911A0" w14:textId="77777777" w:rsidR="005A420E" w:rsidRDefault="00000000">
            <w:pPr>
              <w:widowControl w:val="0"/>
              <w:spacing w:line="240" w:lineRule="auto"/>
              <w:rPr>
                <w:rFonts w:ascii="Calibri" w:eastAsia="Calibri" w:hAnsi="Calibri" w:cs="Calibri"/>
                <w:b/>
                <w:color w:val="404040"/>
              </w:rPr>
            </w:pPr>
            <w:r>
              <w:rPr>
                <w:rFonts w:ascii="Calibri" w:eastAsia="Calibri" w:hAnsi="Calibri" w:cs="Calibri"/>
                <w:b/>
                <w:color w:val="404040"/>
              </w:rPr>
              <w:t xml:space="preserve">United Nations International Children’s Emergency Found </w:t>
            </w:r>
          </w:p>
        </w:tc>
      </w:tr>
    </w:tbl>
    <w:p w14:paraId="339590E5" w14:textId="77777777" w:rsidR="005A420E" w:rsidRPr="005F7B13" w:rsidRDefault="00000000" w:rsidP="005F7B13">
      <w:pPr>
        <w:pStyle w:val="Heading1"/>
      </w:pPr>
      <w:bookmarkStart w:id="1" w:name="_Toc204787387"/>
      <w:r w:rsidRPr="005F7B13">
        <w:lastRenderedPageBreak/>
        <w:t>Introducción</w:t>
      </w:r>
      <w:bookmarkEnd w:id="1"/>
    </w:p>
    <w:p w14:paraId="0BE4641B" w14:textId="77777777" w:rsidR="005A420E" w:rsidRPr="008866BA" w:rsidRDefault="00000000">
      <w:p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El Comité de los Derechos del Niño del Uruguay (CDNU) es una coalición de organizaciones no gubernamentales, sociales y culturales, creada en el año 1991 a partir de la ratificación de la Convención sobre los Derechos del Niño por parte del Estado uruguayo. Su principal cometido es realizar un seguimiento exhaustivo en las condiciones del respeto de los derechos de niñas, niños y adolescentes, promoviendo su cumplimiento efectivo y visibilizando aquellas situaciones que implican una vulneración a los mismos.</w:t>
      </w:r>
    </w:p>
    <w:p w14:paraId="53E11B27" w14:textId="77777777" w:rsidR="005A420E" w:rsidRPr="008866BA" w:rsidRDefault="005A420E">
      <w:pPr>
        <w:jc w:val="both"/>
        <w:rPr>
          <w:rFonts w:ascii="Calibri" w:eastAsia="Calibri" w:hAnsi="Calibri" w:cs="Calibri"/>
          <w:color w:val="404040" w:themeColor="text1" w:themeTint="BF"/>
        </w:rPr>
      </w:pPr>
    </w:p>
    <w:p w14:paraId="7DDB7B9C" w14:textId="77777777" w:rsidR="005A420E" w:rsidRPr="008866BA" w:rsidRDefault="00000000">
      <w:p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La instancia de revisión por parte del Comité de Naciones Unidas (CRC) de la situación de cumplimiento de lo establecido por la Convención es una oportunidad trascendental para mejorar la situación de niñas, niños y adolescentes ya que incluye las voces y propuestas de distintas actorías, especialmente la de las y los afectados directamente; niñas, niños y adolescentes. Es importante que su voz llegue al Comité a partir del trabajo colectivo que considere la diversidad de situaciones e incluya todos los aportes de las múltiples organizaciones que trabajan con esta población específica. </w:t>
      </w:r>
    </w:p>
    <w:p w14:paraId="682204B5" w14:textId="77777777" w:rsidR="005A420E" w:rsidRPr="008866BA" w:rsidRDefault="005A420E">
      <w:pPr>
        <w:jc w:val="both"/>
        <w:rPr>
          <w:rFonts w:ascii="Calibri" w:eastAsia="Calibri" w:hAnsi="Calibri" w:cs="Calibri"/>
          <w:color w:val="404040" w:themeColor="text1" w:themeTint="BF"/>
        </w:rPr>
      </w:pPr>
    </w:p>
    <w:p w14:paraId="7C1B8977" w14:textId="77777777" w:rsidR="005A420E" w:rsidRPr="008866BA" w:rsidRDefault="00000000">
      <w:pPr>
        <w:spacing w:after="20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La aprobación del Código de la Niñez y la Adolescencia (CNA, Ley 17.823) fue un hecho sumamente significativo y fundamental en materia de derechos y garantías hacía las infancias y adolescencias ya que el mismo debió adherir y cumplir con los principios y valores de la Convención de los Derechos de los Niños (CDN). </w:t>
      </w:r>
    </w:p>
    <w:p w14:paraId="477581C8" w14:textId="77777777" w:rsidR="005A420E" w:rsidRPr="008866BA" w:rsidRDefault="00000000">
      <w:pPr>
        <w:spacing w:before="240" w:after="24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El cambio de paradigma a raíz de la adhesión de Uruguay a la CDN, fue consolidado por la aprobación del CNA en Uruguay, e implicó el pasaje de un modelo tutelar sobre niños, niñas y adolescentes, hacia uno que los reconoce como sujeto de derechos, priorizando el interés superior, la autonomía progresiva, así como la necesidad de protección integral por parte del Estado. Sin embargo, la respuesta estatal a las situaciones de vulnerabilidad de niños, niñas y adolescentes continúa priorizando la institucionalización, promoviendo el tránsito por espacios de encierro en ámbitos claves como protección, salud mental y conflicto con la ley penal.  Además, continúan registrándose altos niveles de pobreza infantil y derechos básicos que no están garantizados en su totalidad. En este sentido, el presupuesto deficitario es una dimensión elemental y nodal que limita de manera transversal a todas las políticas destinadas a infancias y adolescencias.  </w:t>
      </w:r>
    </w:p>
    <w:p w14:paraId="0200B0B3" w14:textId="77777777" w:rsidR="005A420E" w:rsidRPr="008866BA" w:rsidRDefault="00000000">
      <w:pPr>
        <w:spacing w:before="240" w:after="24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Particularmente los últimos cinco años, estuvieron signados por recortes de políticas públicas que afectan directamente a las infancias y adolescencias, se han realizado modificaciones sustantivas al CNA y se han aprobado leyes regresivas en materia de derechos de NNA que contraviene la normativa ratificada por Uruguay. </w:t>
      </w:r>
    </w:p>
    <w:p w14:paraId="6F876ABD" w14:textId="77777777" w:rsidR="005A420E" w:rsidRPr="008866BA" w:rsidRDefault="00000000">
      <w:pPr>
        <w:spacing w:before="240" w:after="24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A continuación, desde el CDNU se expone la preocupación sobre el estado situacional de la implementación de la Convención mediante ejes centrales que se mantienen y algunos emergentes registrados en la última década, impactando directamente en el acceso a derechos de las infancias y adolescencias. El informe se presenta acorde a las características definidas para el proceso simplificado, con un formato de Lista de Cuestiones Previas a la Presentación de Informes (LOIPR). </w:t>
      </w:r>
    </w:p>
    <w:p w14:paraId="3916B8D8" w14:textId="77777777" w:rsidR="005A420E" w:rsidRPr="008866BA" w:rsidRDefault="00000000" w:rsidP="005F7B13">
      <w:pPr>
        <w:pStyle w:val="Heading1"/>
        <w:rPr>
          <w:color w:val="404040" w:themeColor="text1" w:themeTint="BF"/>
        </w:rPr>
      </w:pPr>
      <w:bookmarkStart w:id="2" w:name="_Toc204787388"/>
      <w:r w:rsidRPr="008866BA">
        <w:rPr>
          <w:color w:val="404040" w:themeColor="text1" w:themeTint="BF"/>
        </w:rPr>
        <w:lastRenderedPageBreak/>
        <w:t>Metodología</w:t>
      </w:r>
      <w:bookmarkEnd w:id="2"/>
      <w:r w:rsidRPr="008866BA">
        <w:rPr>
          <w:color w:val="404040" w:themeColor="text1" w:themeTint="BF"/>
        </w:rPr>
        <w:t xml:space="preserve"> </w:t>
      </w:r>
    </w:p>
    <w:p w14:paraId="37BDFB54" w14:textId="77777777" w:rsidR="005A420E" w:rsidRPr="008866BA" w:rsidRDefault="00000000">
      <w:p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Para la elaboración del presente informe se llevó a cabo un relevamiento exhaustivo de documentos e informes previos al año 2025, tanto de organizaciones no gubernamentales, así como aquellos que fueron elaborados por diversas áreas estatales, relativos a los derechos de las infancias y adolescencias. Asimismo, se realizó un análisis pormenorizado de las Observaciones y Recomendaciones formuladas en 2007 y 2015 por el Comité de los Derechos del Niño de Naciones Unidas (CRC).  </w:t>
      </w:r>
    </w:p>
    <w:p w14:paraId="0E5F9C96" w14:textId="77777777" w:rsidR="005A420E" w:rsidRPr="008866BA" w:rsidRDefault="00000000">
      <w:p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A su vez, se incorporaron las diversas miradas y experiencias de las organizaciones integrantes del Comité de los Derechos del Niño de Uruguay a través de la realización de dos grupos focales de discusión con el fin de consensuar las líneas prioritarias incluidas en la siguiente sección. </w:t>
      </w:r>
    </w:p>
    <w:p w14:paraId="0506DC85" w14:textId="77777777" w:rsidR="005A420E" w:rsidRPr="008866BA" w:rsidRDefault="00000000">
      <w:p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Por último, durante los meses de junio y julio de 2025 se realizaron tres encuentros con niñas, niños y adolescentes con el fin de incorporar sus visiones, vivencias y opiniones, generando un producto final en el formato que ellas y ellos definieron para enviar como contribución al CRC y, a su vez, que esta pieza audiovisual  sea una herramienta para promocionar el contenido a través de las redes sociales hasta el mes de noviembre inclusive, con el objetivo de instalar la temática en la agenda pública.</w:t>
      </w:r>
    </w:p>
    <w:p w14:paraId="73468C5E" w14:textId="77777777" w:rsidR="005A420E" w:rsidRPr="008866BA" w:rsidRDefault="005A420E">
      <w:pPr>
        <w:jc w:val="both"/>
        <w:rPr>
          <w:rFonts w:ascii="Calibri" w:eastAsia="Calibri" w:hAnsi="Calibri" w:cs="Calibri"/>
          <w:b/>
          <w:color w:val="404040" w:themeColor="text1" w:themeTint="BF"/>
          <w:sz w:val="28"/>
          <w:szCs w:val="28"/>
        </w:rPr>
      </w:pPr>
    </w:p>
    <w:p w14:paraId="7483D8DF" w14:textId="77777777" w:rsidR="005A420E" w:rsidRPr="008866BA" w:rsidRDefault="00000000">
      <w:pPr>
        <w:pStyle w:val="Heading1"/>
        <w:rPr>
          <w:color w:val="404040" w:themeColor="text1" w:themeTint="BF"/>
        </w:rPr>
      </w:pPr>
      <w:bookmarkStart w:id="3" w:name="_Toc204787389"/>
      <w:r w:rsidRPr="008866BA">
        <w:rPr>
          <w:color w:val="404040" w:themeColor="text1" w:themeTint="BF"/>
        </w:rPr>
        <w:t>Lista de Cuestiones Previas a la Presentación de Informes: diagnóstico, preguntas y recomendaciones</w:t>
      </w:r>
      <w:bookmarkEnd w:id="3"/>
      <w:r w:rsidRPr="008866BA">
        <w:rPr>
          <w:color w:val="404040" w:themeColor="text1" w:themeTint="BF"/>
        </w:rPr>
        <w:t xml:space="preserve"> </w:t>
      </w:r>
    </w:p>
    <w:p w14:paraId="0123E46B" w14:textId="77777777" w:rsidR="005A420E" w:rsidRPr="008866BA" w:rsidRDefault="00000000">
      <w:pPr>
        <w:pStyle w:val="Heading2"/>
        <w:rPr>
          <w:color w:val="404040" w:themeColor="text1" w:themeTint="BF"/>
        </w:rPr>
      </w:pPr>
      <w:r w:rsidRPr="008866BA">
        <w:rPr>
          <w:color w:val="404040" w:themeColor="text1" w:themeTint="BF"/>
        </w:rPr>
        <w:t xml:space="preserve"> </w:t>
      </w:r>
      <w:bookmarkStart w:id="4" w:name="_Toc204787390"/>
      <w:r w:rsidRPr="008866BA">
        <w:rPr>
          <w:color w:val="404040" w:themeColor="text1" w:themeTint="BF"/>
        </w:rPr>
        <w:t>A. Medidas generales de aplicación de la Convención</w:t>
      </w:r>
      <w:bookmarkEnd w:id="4"/>
    </w:p>
    <w:p w14:paraId="58FE84A8" w14:textId="77777777" w:rsidR="005A420E" w:rsidRPr="008866BA" w:rsidRDefault="00000000">
      <w:pPr>
        <w:pStyle w:val="Heading3"/>
        <w:rPr>
          <w:color w:val="404040" w:themeColor="text1" w:themeTint="BF"/>
        </w:rPr>
      </w:pPr>
      <w:bookmarkStart w:id="5" w:name="_Toc204787391"/>
      <w:r w:rsidRPr="008866BA">
        <w:rPr>
          <w:color w:val="404040" w:themeColor="text1" w:themeTint="BF"/>
        </w:rPr>
        <w:t>Condición jurídica de la Convención y Legislación</w:t>
      </w:r>
      <w:bookmarkEnd w:id="5"/>
    </w:p>
    <w:p w14:paraId="37340C2E" w14:textId="77777777" w:rsidR="005A420E" w:rsidRPr="008866BA" w:rsidRDefault="00000000">
      <w:pPr>
        <w:numPr>
          <w:ilvl w:val="0"/>
          <w:numId w:val="7"/>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El CRC recomendó al Estado parte en 2007 y 2015 que adopte todas las medidas para modificar la edad mínima para contraer matrimonio (párr. 21). Si bien se presentó un proyecto de ley para aumentar la edad a 18 y el mismo se encuentra en discusión en el Parlamento</w:t>
      </w:r>
      <w:r w:rsidRPr="008866BA">
        <w:rPr>
          <w:rFonts w:ascii="Calibri" w:eastAsia="Calibri" w:hAnsi="Calibri" w:cs="Calibri"/>
          <w:color w:val="404040" w:themeColor="text1" w:themeTint="BF"/>
          <w:vertAlign w:val="superscript"/>
        </w:rPr>
        <w:footnoteReference w:id="1"/>
      </w:r>
      <w:r w:rsidRPr="008866BA">
        <w:rPr>
          <w:rFonts w:ascii="Calibri" w:eastAsia="Calibri" w:hAnsi="Calibri" w:cs="Calibri"/>
          <w:color w:val="404040" w:themeColor="text1" w:themeTint="BF"/>
        </w:rPr>
        <w:t xml:space="preserve">, hasta el 31/8/2025 no se ha aprobado una nueva normativa, por lo tanto, la edad mínima continúa siendo 16 años. </w:t>
      </w:r>
    </w:p>
    <w:p w14:paraId="62C41C46" w14:textId="77777777" w:rsidR="005A420E" w:rsidRPr="008866BA" w:rsidRDefault="00000000">
      <w:pPr>
        <w:numPr>
          <w:ilvl w:val="0"/>
          <w:numId w:val="7"/>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Por su parte, el CRC recomendó transformar la administración de la justicia juvenil (párr. 26). </w:t>
      </w:r>
    </w:p>
    <w:p w14:paraId="187D81EC" w14:textId="77777777" w:rsidR="005A420E" w:rsidRPr="008866BA" w:rsidRDefault="00000000">
      <w:pPr>
        <w:numPr>
          <w:ilvl w:val="0"/>
          <w:numId w:val="7"/>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Ley de Urgente Consideración (LUC). En materia de legislación en estos diez años, las infancias y adolescencias de Uruguay han sufrido grandes modificaciones normativas regresivas en materia de derechos humanos. La experiencia del proceso de implantación y posterior aplicación de la LUC obedece a una reflexión profunda para una necesaria revisión y reparación en el plano de los derechos reales y simbólicos. La </w:t>
      </w:r>
      <w:r w:rsidRPr="008866BA">
        <w:rPr>
          <w:rFonts w:ascii="Calibri" w:eastAsia="Calibri" w:hAnsi="Calibri" w:cs="Calibri"/>
          <w:color w:val="404040" w:themeColor="text1" w:themeTint="BF"/>
        </w:rPr>
        <w:lastRenderedPageBreak/>
        <w:t>amenaza punitiva permanente ha erosionado la participación, la protesta y particularmente ha afectado a mujeres jóvenes con la judicialización y procesamiento con prisión. Esto conjuntamente con el incremento de la población carcelaria de varones ha conformado en un círculo muy amplio de NNA que quedan atrapados en las redes de las lógicas presidiarias sociales y estatales. A su vez esta realidad se da con la existencia de un flujo incremental de la circulación y del uso de armas a nivel territorial por parte de población civil, paralelamente también ocurre ese incremento por parte de fuerzas policiales que han pasado a operar con equipamiento de combate cuasi militar y vigilancia área. Miles de NNA viven esta cotidianidad. Por otra parte, las modificaciones normativas aplicadas al Código de la Niñez y Adolescencia (CNA, ley n°18.723) contravienen artículos fundamentales de derechos y garantías de NNA consagrados en la Convención. En particular, se destacan como reformas regresivas las aplicadas a la administración de la justicia juvenil, que aumentan las medidas privativas de libertad (contraria a artículos 37 y 40 de la Convención).</w:t>
      </w:r>
    </w:p>
    <w:p w14:paraId="21EE0211" w14:textId="77777777" w:rsidR="005A420E" w:rsidRPr="008866BA" w:rsidRDefault="00000000">
      <w:pPr>
        <w:numPr>
          <w:ilvl w:val="0"/>
          <w:numId w:val="7"/>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Por su parte, el art. 74 de la LUC introdujo como agravante un mínimo de 4 a un máximo 15 años, la utilización del hogar como depósito, distribución o venta de sustancias ilegales, afectando particularmente a las madres jefas de hogar y, por tanto, repercute directamente en el aumento la cantidad de niños viviendo con sus madres en establecimientos penitenciarios. </w:t>
      </w:r>
    </w:p>
    <w:p w14:paraId="42D21D05" w14:textId="77777777" w:rsidR="005A420E" w:rsidRPr="008866BA" w:rsidRDefault="00000000">
      <w:pPr>
        <w:numPr>
          <w:ilvl w:val="0"/>
          <w:numId w:val="7"/>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Finalmente, en el año 2023 se aprobó la Ley de corresponsabilidad en la crianza, que vulnera principios fundamentales del CNA, ya que en los artículos 4 y 6 deja a criterio del juez interviniente si se mantiene o no el régimen de tenencia compartida y si las infancias deben seguir manteniendo o no visitas con personas denunciadas por violencia contra ellos/as. Estas modificaciones son sumamente regresivas y vulneran el interés superior del niño/a</w:t>
      </w:r>
      <w:r w:rsidRPr="008866BA">
        <w:rPr>
          <w:rFonts w:ascii="Calibri" w:eastAsia="Calibri" w:hAnsi="Calibri" w:cs="Calibri"/>
          <w:color w:val="404040" w:themeColor="text1" w:themeTint="BF"/>
          <w:vertAlign w:val="superscript"/>
        </w:rPr>
        <w:footnoteReference w:id="2"/>
      </w:r>
      <w:r w:rsidRPr="008866BA">
        <w:rPr>
          <w:rFonts w:ascii="Calibri" w:eastAsia="Calibri" w:hAnsi="Calibri" w:cs="Calibri"/>
          <w:color w:val="404040" w:themeColor="text1" w:themeTint="BF"/>
        </w:rPr>
        <w:t xml:space="preserve">. </w:t>
      </w:r>
    </w:p>
    <w:p w14:paraId="11B0104D" w14:textId="77777777" w:rsidR="005A420E" w:rsidRPr="008866BA" w:rsidRDefault="005A420E">
      <w:pPr>
        <w:ind w:left="720"/>
        <w:jc w:val="both"/>
        <w:rPr>
          <w:rFonts w:ascii="Calibri" w:eastAsia="Calibri" w:hAnsi="Calibri" w:cs="Calibri"/>
          <w:color w:val="404040" w:themeColor="text1" w:themeTint="BF"/>
        </w:rPr>
      </w:pPr>
    </w:p>
    <w:p w14:paraId="2A6E1864"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b/>
          <w:i/>
          <w:color w:val="404040" w:themeColor="text1" w:themeTint="BF"/>
        </w:rPr>
        <w:t>Preguntas:</w:t>
      </w:r>
      <w:r w:rsidRPr="008866BA">
        <w:rPr>
          <w:rFonts w:ascii="Calibri" w:eastAsia="Calibri" w:hAnsi="Calibri" w:cs="Calibri"/>
          <w:color w:val="404040" w:themeColor="text1" w:themeTint="BF"/>
        </w:rPr>
        <w:t xml:space="preserve"> </w:t>
      </w:r>
      <w:r w:rsidRPr="008866BA">
        <w:rPr>
          <w:rFonts w:ascii="Calibri" w:eastAsia="Calibri" w:hAnsi="Calibri" w:cs="Calibri"/>
          <w:i/>
          <w:color w:val="404040" w:themeColor="text1" w:themeTint="BF"/>
        </w:rPr>
        <w:t xml:space="preserve">Sírvase consultar al Estado uruguayo qué reformas va a implementar para ajustar el marco jurídico nacional a los derechos fundamentales de NNA establecidos en la CDN, en cumplimiento con las Convenciones y Tratados internacionales suscritos. </w:t>
      </w:r>
    </w:p>
    <w:p w14:paraId="5CAA7391" w14:textId="77777777" w:rsidR="005A420E" w:rsidRPr="008866BA" w:rsidRDefault="00000000">
      <w:pPr>
        <w:ind w:firstLine="720"/>
        <w:jc w:val="both"/>
        <w:rPr>
          <w:rFonts w:ascii="Calibri" w:eastAsia="Calibri" w:hAnsi="Calibri" w:cs="Calibri"/>
          <w:b/>
          <w:i/>
          <w:color w:val="404040" w:themeColor="text1" w:themeTint="BF"/>
        </w:rPr>
      </w:pPr>
      <w:r w:rsidRPr="008866BA">
        <w:rPr>
          <w:rFonts w:ascii="Calibri" w:eastAsia="Calibri" w:hAnsi="Calibri" w:cs="Calibri"/>
          <w:b/>
          <w:i/>
          <w:color w:val="404040" w:themeColor="text1" w:themeTint="BF"/>
        </w:rPr>
        <w:t>Recomendaciones:</w:t>
      </w:r>
    </w:p>
    <w:p w14:paraId="12206735" w14:textId="77777777" w:rsidR="005A420E" w:rsidRPr="008866BA" w:rsidRDefault="00000000">
      <w:pPr>
        <w:numPr>
          <w:ilvl w:val="0"/>
          <w:numId w:val="2"/>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Realizar una reforma normativa que eleve la edad mínima para contraer matrimonio. </w:t>
      </w:r>
    </w:p>
    <w:p w14:paraId="00241474" w14:textId="77777777" w:rsidR="005A420E" w:rsidRPr="008866BA" w:rsidRDefault="00000000">
      <w:pPr>
        <w:numPr>
          <w:ilvl w:val="0"/>
          <w:numId w:val="2"/>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Ajustar la normativa nacional en relación a la infracción penal adolescente a las convenciones, tratados y estándares internacionales de derechos humanos, que Uruguay ha suscrito y confirmado, que tienden a reducir el tiempo de privación de libertad. En especial, dar respuesta a las observaciones y recomendaciones del CAT (2014) y CRC (2015). Esto implica la eliminación de las leyes: 18.777, 18.778, 19.055, y el proceso abreviado (Artículo 28 de la ley n°19.889). </w:t>
      </w:r>
    </w:p>
    <w:p w14:paraId="03316276" w14:textId="77777777" w:rsidR="005A420E" w:rsidRPr="008866BA" w:rsidRDefault="00000000">
      <w:pPr>
        <w:numPr>
          <w:ilvl w:val="0"/>
          <w:numId w:val="2"/>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Cumplir con las Convenciones y Tratados internacionales a los que Uruguay suscribe, en relación a la implementación de medidas sustitutivas a la privación de libertad para niñas, niños y adolescentes en conflicto con la ley penal, siendo la privación de libertad la última medida a ser ejecutada, y por el menor tiempo posible. Art. 37 y 40 de la CDN.</w:t>
      </w:r>
    </w:p>
    <w:p w14:paraId="189B04D0" w14:textId="77777777" w:rsidR="005A420E" w:rsidRPr="008866BA" w:rsidRDefault="00000000">
      <w:pPr>
        <w:numPr>
          <w:ilvl w:val="0"/>
          <w:numId w:val="2"/>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lastRenderedPageBreak/>
        <w:t>Eliminar los artículos 74,75, 76, 77, 78, 79 y 80 de la LUC.</w:t>
      </w:r>
    </w:p>
    <w:p w14:paraId="0E146D68" w14:textId="77777777" w:rsidR="005A420E" w:rsidRPr="008866BA" w:rsidRDefault="00000000">
      <w:pPr>
        <w:numPr>
          <w:ilvl w:val="0"/>
          <w:numId w:val="2"/>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Eliminar la Ley de corresponsabilidad en la crianza, Ley 20.141</w:t>
      </w:r>
    </w:p>
    <w:p w14:paraId="40B5D7CE" w14:textId="77777777" w:rsidR="005A420E" w:rsidRPr="008866BA" w:rsidRDefault="005A420E">
      <w:pPr>
        <w:spacing w:after="200"/>
        <w:ind w:left="1440"/>
        <w:jc w:val="both"/>
        <w:rPr>
          <w:rFonts w:ascii="Calibri" w:eastAsia="Calibri" w:hAnsi="Calibri" w:cs="Calibri"/>
          <w:b/>
          <w:i/>
          <w:color w:val="404040" w:themeColor="text1" w:themeTint="BF"/>
        </w:rPr>
      </w:pPr>
    </w:p>
    <w:p w14:paraId="1B24D1B1" w14:textId="77777777" w:rsidR="005A420E" w:rsidRPr="008866BA" w:rsidRDefault="00000000">
      <w:pPr>
        <w:pStyle w:val="Heading3"/>
        <w:rPr>
          <w:color w:val="404040" w:themeColor="text1" w:themeTint="BF"/>
        </w:rPr>
      </w:pPr>
      <w:bookmarkStart w:id="6" w:name="_Toc204787392"/>
      <w:r w:rsidRPr="008866BA">
        <w:rPr>
          <w:color w:val="404040" w:themeColor="text1" w:themeTint="BF"/>
        </w:rPr>
        <w:t>Políticas y estrategias integrales</w:t>
      </w:r>
      <w:bookmarkEnd w:id="6"/>
      <w:r w:rsidRPr="008866BA">
        <w:rPr>
          <w:color w:val="404040" w:themeColor="text1" w:themeTint="BF"/>
        </w:rPr>
        <w:t xml:space="preserve"> </w:t>
      </w:r>
    </w:p>
    <w:p w14:paraId="6E8D38FB" w14:textId="531AA16B" w:rsidR="005A420E" w:rsidRPr="008866BA" w:rsidRDefault="00000000">
      <w:pPr>
        <w:widowControl w:val="0"/>
        <w:spacing w:line="249" w:lineRule="auto"/>
        <w:ind w:left="708" w:right="29"/>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La Observación N°9 de CRC de 2007 y 2015, vinculada a la Estrategia Nacional para la Infancia y la Adolescencia (2010-2030) continúa vigente, dado que no se ha presentado el plan de acción a partir del 2015 y tampoco se ha publicado información sobre la evaluación de dicha estrategia. Por su parte, en el año 2024 se promulgó la ley </w:t>
      </w:r>
      <w:r w:rsidRPr="008866BA">
        <w:rPr>
          <w:rFonts w:ascii="Calibri" w:eastAsia="Calibri" w:hAnsi="Calibri" w:cs="Calibri"/>
          <w:color w:val="404040" w:themeColor="text1" w:themeTint="BF"/>
          <w:sz w:val="21"/>
          <w:szCs w:val="21"/>
        </w:rPr>
        <w:t>N° 20376</w:t>
      </w:r>
      <w:r w:rsidRPr="008866BA">
        <w:rPr>
          <w:rFonts w:ascii="Calibri" w:eastAsia="Calibri" w:hAnsi="Calibri" w:cs="Calibri"/>
          <w:color w:val="404040" w:themeColor="text1" w:themeTint="BF"/>
        </w:rPr>
        <w:t xml:space="preserve"> “Garantías para la primera infancia, infancia y Adolescencia - Ley GAPIIA</w:t>
      </w:r>
      <w:r w:rsidRPr="008866BA">
        <w:rPr>
          <w:rFonts w:ascii="Calibri" w:eastAsia="Calibri" w:hAnsi="Calibri" w:cs="Calibri"/>
          <w:color w:val="404040" w:themeColor="text1" w:themeTint="BF"/>
          <w:vertAlign w:val="superscript"/>
        </w:rPr>
        <w:footnoteReference w:id="3"/>
      </w:r>
      <w:r w:rsidRPr="008866BA">
        <w:rPr>
          <w:rFonts w:ascii="Calibri" w:eastAsia="Calibri" w:hAnsi="Calibri" w:cs="Calibri"/>
          <w:color w:val="404040" w:themeColor="text1" w:themeTint="BF"/>
        </w:rPr>
        <w:t xml:space="preserve">” que tiene por objetivo “la promoción de las garantías para el desarrollo, atención y protección integral de los niños, niñas y </w:t>
      </w:r>
      <w:r w:rsidR="00EF047A" w:rsidRPr="008866BA">
        <w:rPr>
          <w:rFonts w:ascii="Calibri" w:eastAsia="Calibri" w:hAnsi="Calibri" w:cs="Calibri"/>
          <w:color w:val="404040" w:themeColor="text1" w:themeTint="BF"/>
        </w:rPr>
        <w:t>adolescentes,</w:t>
      </w:r>
      <w:r w:rsidRPr="008866BA">
        <w:rPr>
          <w:rFonts w:ascii="Calibri" w:eastAsia="Calibri" w:hAnsi="Calibri" w:cs="Calibri"/>
          <w:color w:val="404040" w:themeColor="text1" w:themeTint="BF"/>
        </w:rPr>
        <w:t xml:space="preserve"> así como el cumplimiento efectivo de sus derechos”. La misma da competencia al poder ejecutivo definir la estrategia nacional de la primera infancia, infancia y adolescencia, pero a la fecha no se ha implementado. Cabe destacar que la participación del Consejo Honorario Consultivo carece de efecto vinculante hacia el Gabinete (coordinado por el Ministerio de Desarrollo social) creado dentro de la ley, es decir, que el rol será meramente en calidad de asesor, limitando la participación de la sociedad civil en la toma de decisiones. </w:t>
      </w:r>
    </w:p>
    <w:p w14:paraId="3ACFF28A" w14:textId="77777777" w:rsidR="005A420E" w:rsidRPr="008866BA" w:rsidRDefault="005A420E">
      <w:pPr>
        <w:widowControl w:val="0"/>
        <w:spacing w:line="249" w:lineRule="auto"/>
        <w:ind w:left="708" w:right="29"/>
        <w:jc w:val="both"/>
        <w:rPr>
          <w:rFonts w:ascii="Calibri" w:eastAsia="Calibri" w:hAnsi="Calibri" w:cs="Calibri"/>
          <w:color w:val="404040" w:themeColor="text1" w:themeTint="BF"/>
        </w:rPr>
      </w:pPr>
    </w:p>
    <w:p w14:paraId="56986DA0" w14:textId="77777777" w:rsidR="005A420E" w:rsidRPr="008866BA" w:rsidRDefault="00000000">
      <w:pPr>
        <w:ind w:left="708"/>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Pregunta</w:t>
      </w:r>
      <w:r w:rsidRPr="008866BA">
        <w:rPr>
          <w:rFonts w:ascii="Calibri" w:eastAsia="Calibri" w:hAnsi="Calibri" w:cs="Calibri"/>
          <w:i/>
          <w:color w:val="404040" w:themeColor="text1" w:themeTint="BF"/>
        </w:rPr>
        <w:t xml:space="preserve">: Sírvase consultar al Estado parte sobre el estado situacional actual de la </w:t>
      </w:r>
      <w:r w:rsidRPr="008866BA">
        <w:rPr>
          <w:rFonts w:ascii="Calibri" w:eastAsia="Calibri" w:hAnsi="Calibri" w:cs="Calibri"/>
          <w:color w:val="404040" w:themeColor="text1" w:themeTint="BF"/>
        </w:rPr>
        <w:t xml:space="preserve">Estrategia Nacional para la Infancia y la Adolescencia (Estrategia Nacional para la Infancia y la Adolescencia) y la participación de la sociedad civil en la elaboración de dicha estrategia. </w:t>
      </w:r>
    </w:p>
    <w:p w14:paraId="30B276A2" w14:textId="77777777" w:rsidR="005A420E" w:rsidRPr="008866BA" w:rsidRDefault="00000000">
      <w:pPr>
        <w:ind w:left="708"/>
        <w:jc w:val="both"/>
        <w:rPr>
          <w:rFonts w:ascii="Calibri" w:eastAsia="Calibri" w:hAnsi="Calibri" w:cs="Calibri"/>
          <w:b/>
          <w:i/>
          <w:color w:val="404040" w:themeColor="text1" w:themeTint="BF"/>
        </w:rPr>
      </w:pPr>
      <w:r w:rsidRPr="008866BA">
        <w:rPr>
          <w:rFonts w:ascii="Calibri" w:eastAsia="Calibri" w:hAnsi="Calibri" w:cs="Calibri"/>
          <w:b/>
          <w:i/>
          <w:color w:val="404040" w:themeColor="text1" w:themeTint="BF"/>
        </w:rPr>
        <w:t xml:space="preserve">Recomendación: </w:t>
      </w:r>
    </w:p>
    <w:p w14:paraId="497DE0B8" w14:textId="3A18D600" w:rsidR="005A420E" w:rsidRPr="008866BA" w:rsidRDefault="00000000">
      <w:pPr>
        <w:numPr>
          <w:ilvl w:val="0"/>
          <w:numId w:val="14"/>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El Estado uruguayo debe implementar y reglamentar la ley GAPIIA y, en ese marco, actualizar e implementar una Estrategia Nacional de Infancias y Adolescencias 2025-2050, dotando con los suficientes recursos humanos, técnicos y financieros para garantizar su ejecución y evaluación. </w:t>
      </w:r>
    </w:p>
    <w:p w14:paraId="7D22D1B3" w14:textId="77777777" w:rsidR="005A420E" w:rsidRPr="008866BA" w:rsidRDefault="00000000">
      <w:pPr>
        <w:numPr>
          <w:ilvl w:val="0"/>
          <w:numId w:val="14"/>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Poner a consideración el artículo N°12 de la Ley N° 20376, que establece que la participación del Consejo Honorario Consultivo será de carácter preceptiva en función de lo que determine la reglamentación de dicha ley y su pronunciamiento no tendrá efecto vinculante. </w:t>
      </w:r>
    </w:p>
    <w:p w14:paraId="3BD3BE95" w14:textId="77777777" w:rsidR="005A420E" w:rsidRPr="008866BA" w:rsidRDefault="00000000">
      <w:pPr>
        <w:pStyle w:val="Heading3"/>
        <w:rPr>
          <w:color w:val="404040" w:themeColor="text1" w:themeTint="BF"/>
        </w:rPr>
      </w:pPr>
      <w:bookmarkStart w:id="7" w:name="_Toc204787393"/>
      <w:r w:rsidRPr="008866BA">
        <w:rPr>
          <w:color w:val="404040" w:themeColor="text1" w:themeTint="BF"/>
        </w:rPr>
        <w:t>Coordinación- Institucionalidad</w:t>
      </w:r>
      <w:bookmarkEnd w:id="7"/>
    </w:p>
    <w:p w14:paraId="45432C07" w14:textId="77777777" w:rsidR="005A420E" w:rsidRPr="008866BA" w:rsidRDefault="00000000">
      <w:pPr>
        <w:ind w:left="720"/>
        <w:jc w:val="both"/>
        <w:rPr>
          <w:rFonts w:ascii="Calibri" w:eastAsia="Calibri" w:hAnsi="Calibri" w:cs="Calibri"/>
          <w:color w:val="404040" w:themeColor="text1" w:themeTint="BF"/>
          <w:sz w:val="24"/>
          <w:szCs w:val="24"/>
        </w:rPr>
      </w:pPr>
      <w:r w:rsidRPr="008866BA">
        <w:rPr>
          <w:rFonts w:ascii="Calibri" w:eastAsia="Calibri" w:hAnsi="Calibri" w:cs="Calibri"/>
          <w:color w:val="404040" w:themeColor="text1" w:themeTint="BF"/>
        </w:rPr>
        <w:t>Pese a la aprobación de la mencionada Ley GAPIIA, en la actualidad Uruguay no cuenta con un organismo o espacio interinstitucional que ejerza de forma efectiva la rectoría de todas las políticas de infancia y adolescencia. En este sentido, si bien existe el INAU (Instituto del Niño y Adolescente del Uruguay), su rectoría real se ve limitada a algunas áreas específicas y los recursos se destinan mayoritariamente a la atención directa. A su vez, la coordinación de políticas sociales es liderada por el Ministerio de Desarrollo Social (MIDES) pero el sistema de salud y educación no mantienen una relación estructural con INAU. Por su parte, si bien se ha creado el Consejo Honorario Consultivo</w:t>
      </w:r>
      <w:r w:rsidRPr="008866BA">
        <w:rPr>
          <w:rFonts w:ascii="Calibri" w:eastAsia="Calibri" w:hAnsi="Calibri" w:cs="Calibri"/>
          <w:color w:val="404040" w:themeColor="text1" w:themeTint="BF"/>
          <w:vertAlign w:val="superscript"/>
        </w:rPr>
        <w:footnoteReference w:id="4"/>
      </w:r>
      <w:r w:rsidRPr="008866BA">
        <w:rPr>
          <w:rFonts w:ascii="Calibri" w:eastAsia="Calibri" w:hAnsi="Calibri" w:cs="Calibri"/>
          <w:color w:val="404040" w:themeColor="text1" w:themeTint="BF"/>
        </w:rPr>
        <w:t>, el mismo carece de recursos humanos, económicos e institucionales, continuando vigente la observación N°12 realizada por el CRC 2007 y 2015.</w:t>
      </w:r>
    </w:p>
    <w:p w14:paraId="3CFCD07A"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sz w:val="24"/>
          <w:szCs w:val="24"/>
        </w:rPr>
        <w:t xml:space="preserve"> </w:t>
      </w:r>
    </w:p>
    <w:p w14:paraId="49D69A2F" w14:textId="77777777" w:rsidR="005A420E" w:rsidRPr="008866BA" w:rsidRDefault="005A420E">
      <w:pPr>
        <w:ind w:left="720"/>
        <w:jc w:val="both"/>
        <w:rPr>
          <w:rFonts w:ascii="Calibri" w:eastAsia="Calibri" w:hAnsi="Calibri" w:cs="Calibri"/>
          <w:color w:val="404040" w:themeColor="text1" w:themeTint="BF"/>
        </w:rPr>
      </w:pPr>
    </w:p>
    <w:p w14:paraId="48E5C9F3" w14:textId="77777777" w:rsidR="005A420E" w:rsidRPr="008866BA" w:rsidRDefault="00000000">
      <w:pPr>
        <w:ind w:left="708"/>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Pregunta</w:t>
      </w:r>
      <w:r w:rsidRPr="008866BA">
        <w:rPr>
          <w:rFonts w:ascii="Calibri" w:eastAsia="Calibri" w:hAnsi="Calibri" w:cs="Calibri"/>
          <w:i/>
          <w:color w:val="404040" w:themeColor="text1" w:themeTint="BF"/>
        </w:rPr>
        <w:t xml:space="preserve">: Sírvase consultar al Estado parte sobre la creación e implementación efectiva de un Sistema de Protección Integral de los Derechos de las Niñas, Niños y Adolescentes, es decir la implementación y ejecución de la ley GAPIIA. </w:t>
      </w:r>
    </w:p>
    <w:p w14:paraId="3281570E" w14:textId="77777777" w:rsidR="005A420E" w:rsidRPr="008866BA" w:rsidRDefault="00000000">
      <w:pPr>
        <w:ind w:left="708"/>
        <w:jc w:val="both"/>
        <w:rPr>
          <w:rFonts w:ascii="Calibri" w:eastAsia="Calibri" w:hAnsi="Calibri" w:cs="Calibri"/>
          <w:color w:val="404040" w:themeColor="text1" w:themeTint="BF"/>
        </w:rPr>
      </w:pPr>
      <w:r w:rsidRPr="008866BA">
        <w:rPr>
          <w:rFonts w:ascii="Calibri" w:eastAsia="Calibri" w:hAnsi="Calibri" w:cs="Calibri"/>
          <w:b/>
          <w:i/>
          <w:color w:val="404040" w:themeColor="text1" w:themeTint="BF"/>
        </w:rPr>
        <w:t xml:space="preserve">Recomendación: </w:t>
      </w:r>
      <w:r w:rsidRPr="008866BA">
        <w:rPr>
          <w:rFonts w:ascii="Calibri" w:eastAsia="Calibri" w:hAnsi="Calibri" w:cs="Calibri"/>
          <w:i/>
          <w:color w:val="404040" w:themeColor="text1" w:themeTint="BF"/>
        </w:rPr>
        <w:t xml:space="preserve">el Estado uruguayo debe crear un Sistema de Promoción y protección Integral a partir de un proceso de diálogo con participación vinculante de la sociedad civil. Sistema liderado por la más alta jerarquía política, efectivizando su rectoría en el diseño, coordinación e interrelación en todas las políticas y de todos los organismos e instituciones, estatales y no gubernamentales destinadas a la población de NNA. </w:t>
      </w:r>
    </w:p>
    <w:p w14:paraId="26F57D84" w14:textId="77777777" w:rsidR="005A420E" w:rsidRPr="008866BA" w:rsidRDefault="00000000">
      <w:pPr>
        <w:pStyle w:val="Heading3"/>
        <w:rPr>
          <w:color w:val="404040" w:themeColor="text1" w:themeTint="BF"/>
        </w:rPr>
      </w:pPr>
      <w:bookmarkStart w:id="8" w:name="_Toc204787394"/>
      <w:r w:rsidRPr="008866BA">
        <w:rPr>
          <w:color w:val="404040" w:themeColor="text1" w:themeTint="BF"/>
        </w:rPr>
        <w:t>Asignación de recursos</w:t>
      </w:r>
      <w:bookmarkEnd w:id="8"/>
    </w:p>
    <w:p w14:paraId="32DD0B18" w14:textId="0FDBB8A3"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El Gasto Público social destinado a las infancias es insuficiente y deficitario, limitando el desarrollo de políticas que garanticen el cumplimiento de los derechos de niños, niñas y adolescentes. En el año 2022, tan sólo se destinó el 5,7% del PBI a infancias, conformando el 23% de la totalidad del GPS</w:t>
      </w:r>
      <w:r w:rsidRPr="008866BA">
        <w:rPr>
          <w:rFonts w:ascii="Calibri" w:eastAsia="Calibri" w:hAnsi="Calibri" w:cs="Calibri"/>
          <w:color w:val="404040" w:themeColor="text1" w:themeTint="BF"/>
          <w:vertAlign w:val="superscript"/>
        </w:rPr>
        <w:footnoteReference w:id="5"/>
      </w:r>
      <w:r w:rsidRPr="008866BA">
        <w:rPr>
          <w:rFonts w:ascii="Calibri" w:eastAsia="Calibri" w:hAnsi="Calibri" w:cs="Calibri"/>
          <w:color w:val="404040" w:themeColor="text1" w:themeTint="BF"/>
        </w:rPr>
        <w:t>. En este sentido, continúa vigente la observación general N°19: sobre la elaboración de presupuestos públicos para hacer efectivos los derechos del niño del Comité de los Derechos del Niño, la observación N°13 del Comité de los Derechos del Niño sobre los informes periódicos presentados por Uruguay 2007 y 2015, y las metas 17.1, 17.2 y 17.3 de los Objetivos de Desarrollo Sostenible.</w:t>
      </w:r>
    </w:p>
    <w:p w14:paraId="64FF5EE6" w14:textId="77777777" w:rsidR="005A420E" w:rsidRPr="008866BA" w:rsidRDefault="005A420E">
      <w:pPr>
        <w:ind w:left="720"/>
        <w:jc w:val="both"/>
        <w:rPr>
          <w:rFonts w:ascii="Calibri" w:eastAsia="Calibri" w:hAnsi="Calibri" w:cs="Calibri"/>
          <w:color w:val="404040" w:themeColor="text1" w:themeTint="BF"/>
        </w:rPr>
      </w:pPr>
    </w:p>
    <w:p w14:paraId="33E88CD3" w14:textId="77777777" w:rsidR="005A420E" w:rsidRPr="008866BA" w:rsidRDefault="00000000">
      <w:pPr>
        <w:ind w:left="708"/>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Pregunta</w:t>
      </w:r>
      <w:r w:rsidRPr="008866BA">
        <w:rPr>
          <w:rFonts w:ascii="Calibri" w:eastAsia="Calibri" w:hAnsi="Calibri" w:cs="Calibri"/>
          <w:i/>
          <w:color w:val="404040" w:themeColor="text1" w:themeTint="BF"/>
        </w:rPr>
        <w:t xml:space="preserve">: Sírvase consultar al Estado parte sobre el presupuesto destinado a las infancias en la ley de presupuesto nacional.  </w:t>
      </w:r>
    </w:p>
    <w:p w14:paraId="7B6F4A5F" w14:textId="77777777" w:rsidR="005A420E" w:rsidRPr="008866BA" w:rsidRDefault="00000000">
      <w:pPr>
        <w:ind w:left="708"/>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 xml:space="preserve">Recomendación: </w:t>
      </w:r>
      <w:r w:rsidRPr="008866BA">
        <w:rPr>
          <w:rFonts w:ascii="Calibri" w:eastAsia="Calibri" w:hAnsi="Calibri" w:cs="Calibri"/>
          <w:i/>
          <w:color w:val="404040" w:themeColor="text1" w:themeTint="BF"/>
        </w:rPr>
        <w:t xml:space="preserve">el Estado uruguayo debe construir y ejecutar un presupuesto nacional con perspectiva de infancia y adolescencia. </w:t>
      </w:r>
    </w:p>
    <w:p w14:paraId="778528E7" w14:textId="77777777" w:rsidR="005A420E" w:rsidRPr="008866BA" w:rsidRDefault="00000000">
      <w:pPr>
        <w:pStyle w:val="Heading3"/>
        <w:rPr>
          <w:color w:val="404040" w:themeColor="text1" w:themeTint="BF"/>
        </w:rPr>
      </w:pPr>
      <w:bookmarkStart w:id="9" w:name="_Toc204787395"/>
      <w:r w:rsidRPr="008866BA">
        <w:rPr>
          <w:color w:val="404040" w:themeColor="text1" w:themeTint="BF"/>
        </w:rPr>
        <w:t>Reunión de datos</w:t>
      </w:r>
      <w:bookmarkEnd w:id="9"/>
    </w:p>
    <w:p w14:paraId="4A7F12A3" w14:textId="77777777" w:rsidR="005A420E" w:rsidRPr="008866BA" w:rsidRDefault="00000000">
      <w:pPr>
        <w:pBdr>
          <w:top w:val="nil"/>
          <w:left w:val="nil"/>
          <w:bottom w:val="nil"/>
          <w:right w:val="nil"/>
          <w:between w:val="nil"/>
        </w:pBd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La ausencia de datos y registros exhaustivos sobre información pertinente a niños, niñas y adolescentes impide conocer cabalmente la realidad existente. El país carece de un sistema de información integrada en materia de Niñez y Adolescencia -con un enfoque integral en materia de derechos-, que permita monitorear y diagnosticar la situación y evolución de los principales indicadores relativos a las condiciones de vida de los NNA residentes en el país. Los sistemas de información existentes (como SIPI o SIIAS) son fragmentados y no ofrecen una mirada integral sobre la situación de las infancias y adolescencias. </w:t>
      </w:r>
    </w:p>
    <w:p w14:paraId="07FAE6A3" w14:textId="77777777" w:rsidR="005A420E" w:rsidRPr="008866BA" w:rsidRDefault="005A420E">
      <w:pPr>
        <w:pBdr>
          <w:top w:val="nil"/>
          <w:left w:val="nil"/>
          <w:bottom w:val="nil"/>
          <w:right w:val="nil"/>
          <w:between w:val="nil"/>
        </w:pBdr>
        <w:jc w:val="both"/>
        <w:rPr>
          <w:rFonts w:ascii="Calibri" w:eastAsia="Calibri" w:hAnsi="Calibri" w:cs="Calibri"/>
          <w:color w:val="404040" w:themeColor="text1" w:themeTint="BF"/>
        </w:rPr>
      </w:pPr>
    </w:p>
    <w:p w14:paraId="3F6EB283" w14:textId="77777777" w:rsidR="005A420E" w:rsidRPr="008866BA" w:rsidRDefault="00000000">
      <w:pPr>
        <w:pBdr>
          <w:top w:val="nil"/>
          <w:left w:val="nil"/>
          <w:bottom w:val="nil"/>
          <w:right w:val="nil"/>
          <w:between w:val="nil"/>
        </w:pBdr>
        <w:ind w:left="720"/>
        <w:jc w:val="both"/>
        <w:rPr>
          <w:rFonts w:ascii="Calibri" w:eastAsia="Calibri" w:hAnsi="Calibri" w:cs="Calibri"/>
          <w:b/>
          <w:i/>
          <w:color w:val="404040" w:themeColor="text1" w:themeTint="BF"/>
        </w:rPr>
      </w:pPr>
      <w:r w:rsidRPr="008866BA">
        <w:rPr>
          <w:rFonts w:ascii="Calibri" w:eastAsia="Calibri" w:hAnsi="Calibri" w:cs="Calibri"/>
          <w:b/>
          <w:i/>
          <w:color w:val="404040" w:themeColor="text1" w:themeTint="BF"/>
        </w:rPr>
        <w:t>Pregunta:</w:t>
      </w:r>
      <w:r w:rsidRPr="008866BA">
        <w:rPr>
          <w:rFonts w:ascii="Calibri" w:eastAsia="Calibri" w:hAnsi="Calibri" w:cs="Calibri"/>
          <w:i/>
          <w:color w:val="404040" w:themeColor="text1" w:themeTint="BF"/>
        </w:rPr>
        <w:t xml:space="preserve"> Sírvase consultar al Estado uruguayo si establecerá un sistema integral de reunión de datos en materia de infancias y adolescencias, desde una perspectiva de derechos, con información periódica y accesible.  </w:t>
      </w:r>
    </w:p>
    <w:p w14:paraId="14C32761" w14:textId="1AC0E84E" w:rsidR="005A420E" w:rsidRPr="008866BA" w:rsidRDefault="00000000">
      <w:pPr>
        <w:pBdr>
          <w:top w:val="nil"/>
          <w:left w:val="nil"/>
          <w:bottom w:val="nil"/>
          <w:right w:val="nil"/>
          <w:between w:val="nil"/>
        </w:pBd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Recomendación</w:t>
      </w:r>
      <w:r w:rsidRPr="008866BA">
        <w:rPr>
          <w:rFonts w:ascii="Calibri" w:eastAsia="Calibri" w:hAnsi="Calibri" w:cs="Calibri"/>
          <w:i/>
          <w:color w:val="404040" w:themeColor="text1" w:themeTint="BF"/>
        </w:rPr>
        <w:t>: El Estado uruguayo debe contar con un sistema de información y datos integrados transversal a todas las áreas y organismos competentes.</w:t>
      </w:r>
      <w:r w:rsidRPr="008866BA">
        <w:rPr>
          <w:rFonts w:ascii="Calibri" w:eastAsia="Calibri" w:hAnsi="Calibri" w:cs="Calibri"/>
          <w:b/>
          <w:i/>
          <w:color w:val="404040" w:themeColor="text1" w:themeTint="BF"/>
        </w:rPr>
        <w:t xml:space="preserve"> </w:t>
      </w:r>
      <w:r w:rsidRPr="008866BA">
        <w:rPr>
          <w:rFonts w:ascii="Calibri" w:eastAsia="Calibri" w:hAnsi="Calibri" w:cs="Calibri"/>
          <w:i/>
          <w:color w:val="404040" w:themeColor="text1" w:themeTint="BF"/>
        </w:rPr>
        <w:t xml:space="preserve"> Además de que exista un observatorio de infancias y adolescencias que cuente con rigurosidad técnica e independencia del poder político. </w:t>
      </w:r>
    </w:p>
    <w:p w14:paraId="1DCA7B46" w14:textId="77777777" w:rsidR="005A420E" w:rsidRPr="008866BA" w:rsidRDefault="00000000">
      <w:pPr>
        <w:pStyle w:val="Heading3"/>
        <w:rPr>
          <w:color w:val="404040" w:themeColor="text1" w:themeTint="BF"/>
        </w:rPr>
      </w:pPr>
      <w:bookmarkStart w:id="10" w:name="_Toc204787396"/>
      <w:r w:rsidRPr="008866BA">
        <w:rPr>
          <w:color w:val="404040" w:themeColor="text1" w:themeTint="BF"/>
        </w:rPr>
        <w:lastRenderedPageBreak/>
        <w:t>Vigilancia Independiente</w:t>
      </w:r>
      <w:bookmarkEnd w:id="10"/>
    </w:p>
    <w:p w14:paraId="7BE7E765" w14:textId="77777777" w:rsidR="005A420E" w:rsidRPr="008866BA" w:rsidRDefault="00000000">
      <w:pPr>
        <w:pBdr>
          <w:top w:val="nil"/>
          <w:left w:val="nil"/>
          <w:bottom w:val="nil"/>
          <w:right w:val="nil"/>
          <w:between w:val="nil"/>
        </w:pBd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La Institución Nacional de Derechos Humanos (INDDHH), específicamente el Mecanismo Nacional de Prevención contra la Tortura (MNP), continúa con un presupuesto deficitario, impidiendo el desarrollo de su labor y rol clave en tanto órgano monitor de las condiciones de vida, tanto en el ámbito proteccional como penal, de NNA. </w:t>
      </w:r>
    </w:p>
    <w:p w14:paraId="0AA50C06" w14:textId="77777777" w:rsidR="005A420E" w:rsidRPr="008866BA" w:rsidRDefault="005A420E">
      <w:pPr>
        <w:pBdr>
          <w:top w:val="nil"/>
          <w:left w:val="nil"/>
          <w:bottom w:val="nil"/>
          <w:right w:val="nil"/>
          <w:between w:val="nil"/>
        </w:pBdr>
        <w:ind w:left="720"/>
        <w:jc w:val="both"/>
        <w:rPr>
          <w:rFonts w:ascii="Calibri" w:eastAsia="Calibri" w:hAnsi="Calibri" w:cs="Calibri"/>
          <w:color w:val="404040" w:themeColor="text1" w:themeTint="BF"/>
        </w:rPr>
      </w:pPr>
    </w:p>
    <w:p w14:paraId="78CAFF3E" w14:textId="77777777" w:rsidR="005A420E" w:rsidRPr="008866BA" w:rsidRDefault="00000000">
      <w:pPr>
        <w:ind w:left="720"/>
        <w:jc w:val="both"/>
        <w:rPr>
          <w:rFonts w:ascii="Calibri" w:eastAsia="Calibri" w:hAnsi="Calibri" w:cs="Calibri"/>
          <w:b/>
          <w:i/>
          <w:color w:val="404040" w:themeColor="text1" w:themeTint="BF"/>
        </w:rPr>
      </w:pPr>
      <w:r w:rsidRPr="008866BA">
        <w:rPr>
          <w:rFonts w:ascii="Calibri" w:eastAsia="Calibri" w:hAnsi="Calibri" w:cs="Calibri"/>
          <w:b/>
          <w:i/>
          <w:color w:val="404040" w:themeColor="text1" w:themeTint="BF"/>
        </w:rPr>
        <w:t>Pregunta:</w:t>
      </w:r>
      <w:r w:rsidRPr="008866BA">
        <w:rPr>
          <w:rFonts w:ascii="Calibri" w:eastAsia="Calibri" w:hAnsi="Calibri" w:cs="Calibri"/>
          <w:i/>
          <w:color w:val="404040" w:themeColor="text1" w:themeTint="BF"/>
        </w:rPr>
        <w:t xml:space="preserve"> Sírvase consultar al Estado uruguayo cuál es la situación en términos presupuestarios y de recursos de la INDDHH y, por tanto, el cumplimiento de sus cometidos y funciones. </w:t>
      </w:r>
    </w:p>
    <w:p w14:paraId="1EAEEF27" w14:textId="77777777" w:rsidR="005A420E" w:rsidRPr="008866BA" w:rsidRDefault="00000000">
      <w:pPr>
        <w:ind w:left="720"/>
        <w:jc w:val="both"/>
        <w:rPr>
          <w:rFonts w:ascii="Calibri" w:eastAsia="Calibri" w:hAnsi="Calibri" w:cs="Calibri"/>
          <w:color w:val="404040" w:themeColor="text1" w:themeTint="BF"/>
          <w:sz w:val="24"/>
          <w:szCs w:val="24"/>
        </w:rPr>
      </w:pPr>
      <w:r w:rsidRPr="008866BA">
        <w:rPr>
          <w:rFonts w:ascii="Calibri" w:eastAsia="Calibri" w:hAnsi="Calibri" w:cs="Calibri"/>
          <w:b/>
          <w:i/>
          <w:color w:val="404040" w:themeColor="text1" w:themeTint="BF"/>
        </w:rPr>
        <w:t>Recomendación</w:t>
      </w:r>
      <w:r w:rsidRPr="008866BA">
        <w:rPr>
          <w:rFonts w:ascii="Calibri" w:eastAsia="Calibri" w:hAnsi="Calibri" w:cs="Calibri"/>
          <w:i/>
          <w:color w:val="404040" w:themeColor="text1" w:themeTint="BF"/>
        </w:rPr>
        <w:t xml:space="preserve">: El Estado uruguayo debe asignar los suficientes recursos humanos y financieros a la INDDHH para su rol de monitor de los espacios de encierro que transitan infancias y adolescencias. </w:t>
      </w:r>
    </w:p>
    <w:p w14:paraId="381967F0" w14:textId="77777777" w:rsidR="005A420E" w:rsidRPr="008866BA" w:rsidRDefault="00000000">
      <w:pPr>
        <w:pStyle w:val="Heading3"/>
        <w:rPr>
          <w:color w:val="404040" w:themeColor="text1" w:themeTint="BF"/>
        </w:rPr>
      </w:pPr>
      <w:bookmarkStart w:id="11" w:name="_Toc204787397"/>
      <w:r w:rsidRPr="008866BA">
        <w:rPr>
          <w:color w:val="404040" w:themeColor="text1" w:themeTint="BF"/>
        </w:rPr>
        <w:t>Formación</w:t>
      </w:r>
      <w:bookmarkEnd w:id="11"/>
      <w:r w:rsidRPr="008866BA">
        <w:rPr>
          <w:color w:val="404040" w:themeColor="text1" w:themeTint="BF"/>
        </w:rPr>
        <w:t xml:space="preserve"> </w:t>
      </w:r>
    </w:p>
    <w:p w14:paraId="41B52194"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En la Observación N°19 de 2007 y 2015, el CRC manifestó la preocupación acerca de la ausencia de una formación sistemática sobre la Convención para todas las personas y áreas estatales y organizaciones no gubernamentales que trabajan con NNA. En este sentido, no se ha avanzado en la implementación de una política de Formación general que abarque a todas las personas con trabajo destinado a infancias y adolescencias. </w:t>
      </w:r>
    </w:p>
    <w:p w14:paraId="5CD5F7DE" w14:textId="77777777" w:rsidR="005A420E" w:rsidRPr="008866BA" w:rsidRDefault="005A420E">
      <w:pPr>
        <w:ind w:left="720"/>
        <w:jc w:val="both"/>
        <w:rPr>
          <w:rFonts w:ascii="Calibri" w:eastAsia="Calibri" w:hAnsi="Calibri" w:cs="Calibri"/>
          <w:color w:val="404040" w:themeColor="text1" w:themeTint="BF"/>
        </w:rPr>
      </w:pPr>
    </w:p>
    <w:p w14:paraId="1792D5F8"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Pregunta:</w:t>
      </w:r>
      <w:r w:rsidRPr="008866BA">
        <w:rPr>
          <w:rFonts w:ascii="Calibri" w:eastAsia="Calibri" w:hAnsi="Calibri" w:cs="Calibri"/>
          <w:i/>
          <w:color w:val="404040" w:themeColor="text1" w:themeTint="BF"/>
        </w:rPr>
        <w:t xml:space="preserve"> Sírvase consultar al Estado uruguayo si se encuentra implementando o tiene planificado ejecutar instancias formativas acerca de Convención para todas las personas que trabajan en distintos niveles de atención con NNA, diseño y ejecución de políticas y todas aquellas dimensiones que involucren a la infancia y adolescencia. </w:t>
      </w:r>
    </w:p>
    <w:p w14:paraId="77274828"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b/>
          <w:i/>
          <w:color w:val="404040" w:themeColor="text1" w:themeTint="BF"/>
        </w:rPr>
        <w:t>Recomendación</w:t>
      </w:r>
      <w:r w:rsidRPr="008866BA">
        <w:rPr>
          <w:rFonts w:ascii="Calibri" w:eastAsia="Calibri" w:hAnsi="Calibri" w:cs="Calibri"/>
          <w:i/>
          <w:color w:val="404040" w:themeColor="text1" w:themeTint="BF"/>
        </w:rPr>
        <w:t>: El Estado uruguayo debe implementar una política de Formación y capacitación sistemática y exhaustiva sobre la Convención y el CNA para toda la población vinculada al trabajo directo e indirecto con infancias y adolescencias. Además, debe implementar algunas específicas según área de intervención estatal con NNA, así como facilitar e incentivar el acceso a todas las políticas de formación para las organizaciones no gubernamentales y aquellas que mantengan convenios con el Estado.</w:t>
      </w:r>
    </w:p>
    <w:p w14:paraId="39082828" w14:textId="77777777" w:rsidR="005A420E" w:rsidRPr="008866BA" w:rsidRDefault="00000000">
      <w:pPr>
        <w:pStyle w:val="Heading2"/>
        <w:rPr>
          <w:color w:val="404040" w:themeColor="text1" w:themeTint="BF"/>
        </w:rPr>
      </w:pPr>
      <w:bookmarkStart w:id="12" w:name="_Toc204787398"/>
      <w:r w:rsidRPr="008866BA">
        <w:rPr>
          <w:color w:val="404040" w:themeColor="text1" w:themeTint="BF"/>
        </w:rPr>
        <w:t>B. Principios generales de la Convención</w:t>
      </w:r>
      <w:bookmarkEnd w:id="12"/>
    </w:p>
    <w:p w14:paraId="08F969AA" w14:textId="77777777" w:rsidR="005A420E" w:rsidRPr="008866BA" w:rsidRDefault="00000000">
      <w:pPr>
        <w:pStyle w:val="Heading3"/>
        <w:rPr>
          <w:color w:val="404040" w:themeColor="text1" w:themeTint="BF"/>
        </w:rPr>
      </w:pPr>
      <w:bookmarkStart w:id="13" w:name="_Toc204787399"/>
      <w:r w:rsidRPr="008866BA">
        <w:rPr>
          <w:color w:val="404040" w:themeColor="text1" w:themeTint="BF"/>
        </w:rPr>
        <w:t>Interés superior del niño y Respeto por las opiniones del niño</w:t>
      </w:r>
      <w:bookmarkEnd w:id="13"/>
      <w:r w:rsidRPr="008866BA">
        <w:rPr>
          <w:color w:val="404040" w:themeColor="text1" w:themeTint="BF"/>
        </w:rPr>
        <w:t xml:space="preserve"> </w:t>
      </w:r>
    </w:p>
    <w:p w14:paraId="63575E25"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Tal como lo indica la Observación N°26 del CRC, debe garantizarse el derecho del niño a que su interés superior sea una consideración primordial, ya que es un derecho que está reconocido por la normativa nacional e internacional. Esto refiere a que el derecho a ser escuchado, a la participación y la autonomía progresiva estén garantizados de forma adecuada en los procesos judiciales que se llevan adelante. </w:t>
      </w:r>
    </w:p>
    <w:p w14:paraId="29C3A4E8" w14:textId="77777777" w:rsidR="005A420E" w:rsidRPr="008866BA" w:rsidRDefault="005A420E">
      <w:pPr>
        <w:ind w:left="720"/>
        <w:jc w:val="both"/>
        <w:rPr>
          <w:rFonts w:ascii="Calibri" w:eastAsia="Calibri" w:hAnsi="Calibri" w:cs="Calibri"/>
          <w:color w:val="404040" w:themeColor="text1" w:themeTint="BF"/>
        </w:rPr>
      </w:pPr>
    </w:p>
    <w:p w14:paraId="519A2E99"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Pregunta:</w:t>
      </w:r>
      <w:r w:rsidRPr="008866BA">
        <w:rPr>
          <w:rFonts w:ascii="Calibri" w:eastAsia="Calibri" w:hAnsi="Calibri" w:cs="Calibri"/>
          <w:i/>
          <w:color w:val="404040" w:themeColor="text1" w:themeTint="BF"/>
        </w:rPr>
        <w:t xml:space="preserve"> ¿Qué recursos y mecanismos se han implementado para garantizar la prevalencia primordial del Interés Superior del Niño acorde a la normativa nacional e internacional? </w:t>
      </w:r>
    </w:p>
    <w:p w14:paraId="22FA8704"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color w:val="404040" w:themeColor="text1" w:themeTint="BF"/>
        </w:rPr>
        <w:lastRenderedPageBreak/>
        <w:t>Recomendación:</w:t>
      </w:r>
      <w:r w:rsidRPr="008866BA">
        <w:rPr>
          <w:rFonts w:ascii="Calibri" w:eastAsia="Calibri" w:hAnsi="Calibri" w:cs="Calibri"/>
          <w:color w:val="404040" w:themeColor="text1" w:themeTint="BF"/>
        </w:rPr>
        <w:t xml:space="preserve"> </w:t>
      </w:r>
      <w:r w:rsidRPr="008866BA">
        <w:rPr>
          <w:rFonts w:ascii="Calibri" w:eastAsia="Calibri" w:hAnsi="Calibri" w:cs="Calibri"/>
          <w:i/>
          <w:color w:val="404040" w:themeColor="text1" w:themeTint="BF"/>
        </w:rPr>
        <w:t>Los operadores judiciales deben contar con la especificidad y especialidad en infancias y adolescencias y adecuarse a los estándares nacionales e internacionales a nivel nacional.</w:t>
      </w:r>
    </w:p>
    <w:p w14:paraId="001A595B" w14:textId="77777777" w:rsidR="005A420E" w:rsidRPr="008866BA" w:rsidRDefault="00000000">
      <w:pPr>
        <w:pStyle w:val="Heading3"/>
        <w:rPr>
          <w:color w:val="404040" w:themeColor="text1" w:themeTint="BF"/>
        </w:rPr>
      </w:pPr>
      <w:bookmarkStart w:id="14" w:name="_Toc204787400"/>
      <w:r w:rsidRPr="008866BA">
        <w:rPr>
          <w:color w:val="404040" w:themeColor="text1" w:themeTint="BF"/>
        </w:rPr>
        <w:t>Acceso a la justicia</w:t>
      </w:r>
      <w:bookmarkEnd w:id="14"/>
      <w:r w:rsidRPr="008866BA">
        <w:rPr>
          <w:color w:val="404040" w:themeColor="text1" w:themeTint="BF"/>
        </w:rPr>
        <w:t xml:space="preserve"> </w:t>
      </w:r>
    </w:p>
    <w:p w14:paraId="0DE2B4AE"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Actualmente se registra la ausencia de una Defensoría de Niños, Niñas y Adolescentes, es decir, una institución autónoma e independiente que cuente con los recursos necesarios y adecuados para garantizar la promoción y defensa de los derechos de los NNA, que aborde las situaciones de violencia institucional y otras vulneraciones de derechos registradas en las infancias y adolescencias. Que también se le dote de recursos para la realización de un seguimiento del estado de garantía de derechos paras los NNA. </w:t>
      </w:r>
    </w:p>
    <w:p w14:paraId="4D3A28AA"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La Defensoría debería ser un órgano de monitoreo independiente con el fin de garantizar los procesos adecuados de contralor y defensa. </w:t>
      </w:r>
    </w:p>
    <w:p w14:paraId="4B36E578" w14:textId="77777777" w:rsidR="005A420E" w:rsidRPr="008866BA" w:rsidRDefault="005A420E">
      <w:pPr>
        <w:ind w:left="720"/>
        <w:jc w:val="both"/>
        <w:rPr>
          <w:rFonts w:ascii="Calibri" w:eastAsia="Calibri" w:hAnsi="Calibri" w:cs="Calibri"/>
          <w:b/>
          <w:color w:val="404040" w:themeColor="text1" w:themeTint="BF"/>
        </w:rPr>
      </w:pPr>
    </w:p>
    <w:p w14:paraId="140E053D" w14:textId="77777777" w:rsidR="005A420E" w:rsidRPr="008866BA" w:rsidRDefault="00000000">
      <w:pPr>
        <w:ind w:left="720"/>
        <w:jc w:val="both"/>
        <w:rPr>
          <w:rFonts w:ascii="Calibri" w:eastAsia="Calibri" w:hAnsi="Calibri" w:cs="Calibri"/>
          <w:b/>
          <w:color w:val="404040" w:themeColor="text1" w:themeTint="BF"/>
        </w:rPr>
      </w:pPr>
      <w:r w:rsidRPr="008866BA">
        <w:rPr>
          <w:rFonts w:ascii="Calibri" w:eastAsia="Calibri" w:hAnsi="Calibri" w:cs="Calibri"/>
          <w:b/>
          <w:i/>
          <w:color w:val="404040" w:themeColor="text1" w:themeTint="BF"/>
        </w:rPr>
        <w:t xml:space="preserve">Pregunta: </w:t>
      </w:r>
      <w:r w:rsidRPr="008866BA">
        <w:rPr>
          <w:rFonts w:ascii="Calibri" w:eastAsia="Calibri" w:hAnsi="Calibri" w:cs="Calibri"/>
          <w:i/>
          <w:color w:val="404040" w:themeColor="text1" w:themeTint="BF"/>
        </w:rPr>
        <w:t xml:space="preserve">Sírvase consultar al Estado uruguayo si creará una Defensoría de Niños, Niñas y Adolescentes. </w:t>
      </w:r>
    </w:p>
    <w:p w14:paraId="78EBA410" w14:textId="77777777" w:rsidR="005A420E" w:rsidRPr="008866BA" w:rsidRDefault="00000000">
      <w:pPr>
        <w:ind w:left="720"/>
        <w:jc w:val="both"/>
        <w:rPr>
          <w:rFonts w:ascii="Calibri" w:eastAsia="Calibri" w:hAnsi="Calibri" w:cs="Calibri"/>
          <w:b/>
          <w:color w:val="404040" w:themeColor="text1" w:themeTint="BF"/>
        </w:rPr>
      </w:pPr>
      <w:r w:rsidRPr="008866BA">
        <w:rPr>
          <w:rFonts w:ascii="Calibri" w:eastAsia="Calibri" w:hAnsi="Calibri" w:cs="Calibri"/>
          <w:b/>
          <w:i/>
          <w:color w:val="404040" w:themeColor="text1" w:themeTint="BF"/>
        </w:rPr>
        <w:t xml:space="preserve">Recomendación: </w:t>
      </w:r>
      <w:r w:rsidRPr="008866BA">
        <w:rPr>
          <w:rFonts w:ascii="Calibri" w:eastAsia="Calibri" w:hAnsi="Calibri" w:cs="Calibri"/>
          <w:color w:val="404040" w:themeColor="text1" w:themeTint="BF"/>
        </w:rPr>
        <w:t>Creación de una Defensoría de Niños, Niñas y Adolescentes dependiente del Poder Legislativo</w:t>
      </w:r>
      <w:r w:rsidRPr="008866BA">
        <w:rPr>
          <w:rFonts w:ascii="Calibri" w:eastAsia="Calibri" w:hAnsi="Calibri" w:cs="Calibri"/>
          <w:b/>
          <w:color w:val="404040" w:themeColor="text1" w:themeTint="BF"/>
        </w:rPr>
        <w:t>.</w:t>
      </w:r>
    </w:p>
    <w:p w14:paraId="0301EEC8" w14:textId="77777777" w:rsidR="005A420E" w:rsidRPr="008866BA" w:rsidRDefault="005A420E">
      <w:pPr>
        <w:shd w:val="clear" w:color="auto" w:fill="FFFFFF"/>
        <w:spacing w:line="406" w:lineRule="auto"/>
        <w:rPr>
          <w:b/>
          <w:color w:val="404040" w:themeColor="text1" w:themeTint="BF"/>
          <w:sz w:val="23"/>
          <w:szCs w:val="23"/>
        </w:rPr>
      </w:pPr>
    </w:p>
    <w:p w14:paraId="7C321098" w14:textId="77777777" w:rsidR="005A420E" w:rsidRPr="008866BA" w:rsidRDefault="00000000">
      <w:pPr>
        <w:pStyle w:val="Heading2"/>
        <w:rPr>
          <w:color w:val="404040" w:themeColor="text1" w:themeTint="BF"/>
        </w:rPr>
      </w:pPr>
      <w:r w:rsidRPr="008866BA">
        <w:rPr>
          <w:color w:val="404040" w:themeColor="text1" w:themeTint="BF"/>
        </w:rPr>
        <w:tab/>
      </w:r>
      <w:bookmarkStart w:id="15" w:name="_Toc204787401"/>
      <w:r w:rsidRPr="008866BA">
        <w:rPr>
          <w:color w:val="404040" w:themeColor="text1" w:themeTint="BF"/>
        </w:rPr>
        <w:t>C. Violencia contra Niños, Niñas y adolescentes</w:t>
      </w:r>
      <w:bookmarkEnd w:id="15"/>
      <w:r w:rsidRPr="008866BA">
        <w:rPr>
          <w:color w:val="404040" w:themeColor="text1" w:themeTint="BF"/>
        </w:rPr>
        <w:t xml:space="preserve"> </w:t>
      </w:r>
    </w:p>
    <w:p w14:paraId="27B3A24A" w14:textId="77777777" w:rsidR="005A420E" w:rsidRPr="008866BA" w:rsidRDefault="00000000">
      <w:pPr>
        <w:pStyle w:val="Heading3"/>
        <w:rPr>
          <w:color w:val="404040" w:themeColor="text1" w:themeTint="BF"/>
        </w:rPr>
      </w:pPr>
      <w:bookmarkStart w:id="16" w:name="_Toc204787402"/>
      <w:r w:rsidRPr="008866BA">
        <w:rPr>
          <w:color w:val="404040" w:themeColor="text1" w:themeTint="BF"/>
        </w:rPr>
        <w:t>Tortura y otros tratos o penas crueles o degradantes</w:t>
      </w:r>
      <w:bookmarkEnd w:id="16"/>
    </w:p>
    <w:p w14:paraId="3165C03C"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sz w:val="20"/>
          <w:szCs w:val="20"/>
        </w:rPr>
        <w:t>En Uru</w:t>
      </w:r>
      <w:r w:rsidRPr="008866BA">
        <w:rPr>
          <w:rFonts w:ascii="Calibri" w:eastAsia="Calibri" w:hAnsi="Calibri" w:cs="Calibri"/>
          <w:color w:val="404040" w:themeColor="text1" w:themeTint="BF"/>
        </w:rPr>
        <w:t>guay, el MNP, en el marco de la INDDHH, tiene el rol y mandato de prevenir y proteger contra la tortura y otros malos tratos a las personas que están en situación de encierro y privadas de libertad. Dentro de los subsistemas que le compete, cuenta con el sistema de protección que monitorea a todos los centros 24 horas bajo la órbita del INAU y sistema penal juvenil que monitorea los centros de privación de libertad adolescente bajo la órbita de INISA.</w:t>
      </w:r>
    </w:p>
    <w:p w14:paraId="278C7EFC"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El Estado es responsable de las infancias y adolescencias que transitan por espacios totales tales como centros 24 horas de INAU, clínicas de salud mental y centros de privación de libertad adolescentes de INISA. En los últimos años se han constatado diversas denuncias en este tipo de centros por constatación de vulneración de derechos: indicios de situaciones de explotación sexual</w:t>
      </w:r>
      <w:r w:rsidRPr="008866BA">
        <w:rPr>
          <w:rFonts w:ascii="Calibri" w:eastAsia="Calibri" w:hAnsi="Calibri" w:cs="Calibri"/>
          <w:color w:val="404040" w:themeColor="text1" w:themeTint="BF"/>
          <w:vertAlign w:val="superscript"/>
        </w:rPr>
        <w:footnoteReference w:id="6"/>
      </w:r>
      <w:r w:rsidRPr="008866BA">
        <w:rPr>
          <w:rFonts w:ascii="Calibri" w:eastAsia="Calibri" w:hAnsi="Calibri" w:cs="Calibri"/>
          <w:color w:val="404040" w:themeColor="text1" w:themeTint="BF"/>
        </w:rPr>
        <w:t xml:space="preserve"> en un centro de protección de adolescentes mujeres del departamento de Rivera, también el MNP ha recomendado el cierre del ex Tribal en el año 2018</w:t>
      </w:r>
      <w:r w:rsidRPr="008866BA">
        <w:rPr>
          <w:rFonts w:ascii="Calibri" w:eastAsia="Calibri" w:hAnsi="Calibri" w:cs="Calibri"/>
          <w:color w:val="404040" w:themeColor="text1" w:themeTint="BF"/>
          <w:vertAlign w:val="superscript"/>
        </w:rPr>
        <w:footnoteReference w:id="7"/>
      </w:r>
      <w:r w:rsidRPr="008866BA">
        <w:rPr>
          <w:rFonts w:ascii="Calibri" w:eastAsia="Calibri" w:hAnsi="Calibri" w:cs="Calibri"/>
          <w:color w:val="404040" w:themeColor="text1" w:themeTint="BF"/>
        </w:rPr>
        <w:t xml:space="preserve">  y en 2023 ha enlistado recomendaciones a INAU en relación al centro Breve Estadía- ex Tribal</w:t>
      </w:r>
      <w:r w:rsidRPr="008866BA">
        <w:rPr>
          <w:rFonts w:ascii="Calibri" w:eastAsia="Calibri" w:hAnsi="Calibri" w:cs="Calibri"/>
          <w:color w:val="404040" w:themeColor="text1" w:themeTint="BF"/>
          <w:vertAlign w:val="superscript"/>
        </w:rPr>
        <w:footnoteReference w:id="8"/>
      </w:r>
      <w:r w:rsidRPr="008866BA">
        <w:rPr>
          <w:rFonts w:ascii="Calibri" w:eastAsia="Calibri" w:hAnsi="Calibri" w:cs="Calibri"/>
          <w:color w:val="404040" w:themeColor="text1" w:themeTint="BF"/>
        </w:rPr>
        <w:t xml:space="preserve">, en el año 2019 murió un adolescente de 16 años que se encontraba internado en Clínica de atención </w:t>
      </w:r>
      <w:r w:rsidRPr="008866BA">
        <w:rPr>
          <w:rFonts w:ascii="Calibri" w:eastAsia="Calibri" w:hAnsi="Calibri" w:cs="Calibri"/>
          <w:color w:val="404040" w:themeColor="text1" w:themeTint="BF"/>
        </w:rPr>
        <w:lastRenderedPageBreak/>
        <w:t>psiquiátrica API Los Robles</w:t>
      </w:r>
      <w:r w:rsidRPr="008866BA">
        <w:rPr>
          <w:rFonts w:ascii="Calibri" w:eastAsia="Calibri" w:hAnsi="Calibri" w:cs="Calibri"/>
          <w:color w:val="404040" w:themeColor="text1" w:themeTint="BF"/>
          <w:vertAlign w:val="superscript"/>
        </w:rPr>
        <w:footnoteReference w:id="9"/>
      </w:r>
      <w:r w:rsidRPr="008866BA">
        <w:rPr>
          <w:rFonts w:ascii="Calibri" w:eastAsia="Calibri" w:hAnsi="Calibri" w:cs="Calibri"/>
          <w:color w:val="404040" w:themeColor="text1" w:themeTint="BF"/>
        </w:rPr>
        <w:t>, en junio de 2025 se suicidó un adolescente bajo la órbita de INAU</w:t>
      </w:r>
      <w:r w:rsidRPr="008866BA">
        <w:rPr>
          <w:rFonts w:ascii="Calibri" w:eastAsia="Calibri" w:hAnsi="Calibri" w:cs="Calibri"/>
          <w:color w:val="404040" w:themeColor="text1" w:themeTint="BF"/>
          <w:vertAlign w:val="superscript"/>
        </w:rPr>
        <w:footnoteReference w:id="10"/>
      </w:r>
      <w:r w:rsidRPr="008866BA">
        <w:rPr>
          <w:rFonts w:ascii="Calibri" w:eastAsia="Calibri" w:hAnsi="Calibri" w:cs="Calibri"/>
          <w:color w:val="404040" w:themeColor="text1" w:themeTint="BF"/>
        </w:rPr>
        <w:t xml:space="preserve"> y en julio de 2025 presentó denuncia a INISA por la constatación de situaciones de golpizas y malos tratos de dos subdirectores de un centro de privación de libertad adolescente hacía los adolescentes</w:t>
      </w:r>
      <w:r w:rsidRPr="008866BA">
        <w:rPr>
          <w:rFonts w:ascii="Calibri" w:eastAsia="Calibri" w:hAnsi="Calibri" w:cs="Calibri"/>
          <w:color w:val="404040" w:themeColor="text1" w:themeTint="BF"/>
          <w:vertAlign w:val="superscript"/>
        </w:rPr>
        <w:footnoteReference w:id="11"/>
      </w:r>
      <w:r w:rsidRPr="008866BA">
        <w:rPr>
          <w:rFonts w:ascii="Calibri" w:eastAsia="Calibri" w:hAnsi="Calibri" w:cs="Calibri"/>
          <w:color w:val="404040" w:themeColor="text1" w:themeTint="BF"/>
        </w:rPr>
        <w:t>.</w:t>
      </w:r>
    </w:p>
    <w:p w14:paraId="53F0646F"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Además, en relación a la privación de libertad adolescente, el SERPAJ en convenio con la OMCT ha monitoreado el sistema penal juvenil desde el año 2019 a 2024. Del monitoreo realizado da cuenta de constataciones de situaciones de malos tratos y golpizas y ha llevado adelante las denuncias correspondientes:</w:t>
      </w:r>
    </w:p>
    <w:p w14:paraId="4849DCD3" w14:textId="77777777" w:rsidR="005A420E" w:rsidRPr="008866BA" w:rsidRDefault="00000000">
      <w:pPr>
        <w:ind w:left="1440" w:right="1122"/>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w:t>
      </w:r>
      <w:r w:rsidRPr="008866BA">
        <w:rPr>
          <w:rFonts w:ascii="Calibri" w:eastAsia="Calibri" w:hAnsi="Calibri" w:cs="Calibri"/>
          <w:i/>
          <w:color w:val="404040" w:themeColor="text1" w:themeTint="BF"/>
        </w:rPr>
        <w:t>Atendimos relatos de golpizas, requisas realizadas con violencia física, reducción, amenazas, agravios y malos tratos por parte de funcionarios, en particular de cuerpos de seguridad establecidos para actuar en situaciones de conflicto dentro de los centros. En el informe se describen dos denuncias penales presentadas por la organización, y varios relatos que surgen de las visitas especialmente a centros MD1, Piedras, Pre Egreso y CIAM</w:t>
      </w:r>
      <w:r w:rsidRPr="008866BA">
        <w:rPr>
          <w:rFonts w:ascii="Calibri" w:eastAsia="Calibri" w:hAnsi="Calibri" w:cs="Calibri"/>
          <w:i/>
          <w:color w:val="404040" w:themeColor="text1" w:themeTint="BF"/>
          <w:vertAlign w:val="superscript"/>
        </w:rPr>
        <w:footnoteReference w:id="12"/>
      </w:r>
      <w:r w:rsidRPr="008866BA">
        <w:rPr>
          <w:rFonts w:ascii="Calibri" w:eastAsia="Calibri" w:hAnsi="Calibri" w:cs="Calibri"/>
          <w:color w:val="404040" w:themeColor="text1" w:themeTint="BF"/>
        </w:rPr>
        <w:t xml:space="preserve">”. </w:t>
      </w:r>
    </w:p>
    <w:p w14:paraId="54A97713" w14:textId="77777777" w:rsidR="005A420E" w:rsidRPr="008866BA" w:rsidRDefault="005A420E">
      <w:pPr>
        <w:ind w:left="720"/>
        <w:jc w:val="both"/>
        <w:rPr>
          <w:rFonts w:ascii="Calibri" w:eastAsia="Calibri" w:hAnsi="Calibri" w:cs="Calibri"/>
          <w:color w:val="404040" w:themeColor="text1" w:themeTint="BF"/>
          <w:sz w:val="18"/>
          <w:szCs w:val="18"/>
        </w:rPr>
      </w:pPr>
    </w:p>
    <w:p w14:paraId="0449E760" w14:textId="77777777" w:rsidR="005A420E" w:rsidRPr="008866BA" w:rsidRDefault="00000000">
      <w:pPr>
        <w:pBdr>
          <w:top w:val="nil"/>
          <w:left w:val="nil"/>
          <w:bottom w:val="nil"/>
          <w:right w:val="nil"/>
          <w:between w:val="nil"/>
        </w:pBdr>
        <w:ind w:left="720"/>
        <w:jc w:val="both"/>
        <w:rPr>
          <w:rFonts w:ascii="Calibri" w:eastAsia="Calibri" w:hAnsi="Calibri" w:cs="Calibri"/>
          <w:b/>
          <w:i/>
          <w:color w:val="404040" w:themeColor="text1" w:themeTint="BF"/>
        </w:rPr>
      </w:pPr>
      <w:r w:rsidRPr="008866BA">
        <w:rPr>
          <w:rFonts w:ascii="Calibri" w:eastAsia="Calibri" w:hAnsi="Calibri" w:cs="Calibri"/>
          <w:b/>
          <w:i/>
          <w:color w:val="404040" w:themeColor="text1" w:themeTint="BF"/>
        </w:rPr>
        <w:t>Pregunta:</w:t>
      </w:r>
      <w:r w:rsidRPr="008866BA">
        <w:rPr>
          <w:rFonts w:ascii="Calibri" w:eastAsia="Calibri" w:hAnsi="Calibri" w:cs="Calibri"/>
          <w:i/>
          <w:color w:val="404040" w:themeColor="text1" w:themeTint="BF"/>
        </w:rPr>
        <w:t xml:space="preserve"> Sírvase consultar al Estado uruguayo por las situaciones de malos tratos en espacios de encierro ya sea centros de protección, clínicas de agudos, medio caminos y centros de privación de libertad.</w:t>
      </w:r>
      <w:r w:rsidRPr="008866BA">
        <w:rPr>
          <w:rFonts w:ascii="Calibri" w:eastAsia="Calibri" w:hAnsi="Calibri" w:cs="Calibri"/>
          <w:b/>
          <w:i/>
          <w:color w:val="404040" w:themeColor="text1" w:themeTint="BF"/>
        </w:rPr>
        <w:t xml:space="preserve"> </w:t>
      </w:r>
    </w:p>
    <w:p w14:paraId="223E0EB1" w14:textId="77777777" w:rsidR="005A420E" w:rsidRPr="008866BA" w:rsidRDefault="00000000">
      <w:pPr>
        <w:pBdr>
          <w:top w:val="nil"/>
          <w:left w:val="nil"/>
          <w:bottom w:val="nil"/>
          <w:right w:val="nil"/>
          <w:between w:val="nil"/>
        </w:pBdr>
        <w:ind w:left="720"/>
        <w:jc w:val="both"/>
        <w:rPr>
          <w:rFonts w:ascii="Calibri" w:eastAsia="Calibri" w:hAnsi="Calibri" w:cs="Calibri"/>
          <w:b/>
          <w:i/>
          <w:color w:val="404040" w:themeColor="text1" w:themeTint="BF"/>
        </w:rPr>
      </w:pPr>
      <w:r w:rsidRPr="008866BA">
        <w:rPr>
          <w:rFonts w:ascii="Calibri" w:eastAsia="Calibri" w:hAnsi="Calibri" w:cs="Calibri"/>
          <w:b/>
          <w:i/>
          <w:color w:val="404040" w:themeColor="text1" w:themeTint="BF"/>
        </w:rPr>
        <w:t xml:space="preserve">Recomendaciones: </w:t>
      </w:r>
    </w:p>
    <w:p w14:paraId="41C65459" w14:textId="77777777" w:rsidR="005A420E" w:rsidRPr="008866BA" w:rsidRDefault="00000000">
      <w:pPr>
        <w:numPr>
          <w:ilvl w:val="0"/>
          <w:numId w:val="8"/>
        </w:numPr>
        <w:pBdr>
          <w:top w:val="nil"/>
          <w:left w:val="nil"/>
          <w:bottom w:val="nil"/>
          <w:right w:val="nil"/>
          <w:between w:val="nil"/>
        </w:pBd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Reforzar los mecanismos de prevención y monitoreo de los espacios de encierro que conciernen a infancias y adolescencias bajo la tutela del Estado. </w:t>
      </w:r>
    </w:p>
    <w:p w14:paraId="709EAF13" w14:textId="77777777" w:rsidR="005A420E" w:rsidRPr="008866BA" w:rsidRDefault="00000000">
      <w:pPr>
        <w:pBdr>
          <w:top w:val="nil"/>
          <w:left w:val="nil"/>
          <w:bottom w:val="nil"/>
          <w:right w:val="nil"/>
          <w:between w:val="nil"/>
        </w:pBdr>
        <w:ind w:left="720"/>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A partir de las recomendaciones realizadas al CAT, se sostiene: </w:t>
      </w:r>
    </w:p>
    <w:p w14:paraId="12AF5674" w14:textId="77777777" w:rsidR="005A420E" w:rsidRPr="008866BA" w:rsidRDefault="00000000">
      <w:pPr>
        <w:numPr>
          <w:ilvl w:val="0"/>
          <w:numId w:val="4"/>
        </w:numPr>
        <w:pBdr>
          <w:top w:val="nil"/>
          <w:left w:val="nil"/>
          <w:bottom w:val="nil"/>
          <w:right w:val="nil"/>
          <w:between w:val="nil"/>
        </w:pBd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Prohibir palizas, aislamiento y amenazas hacia niñas, niños y adolescentes privados de libertad, generando mecanismos seguros e independientes de denuncia y castigo al personal responsable, como lo establece el Artículo 13 del CAT.</w:t>
      </w:r>
    </w:p>
    <w:p w14:paraId="6B945F01" w14:textId="77777777" w:rsidR="005A420E" w:rsidRPr="008866BA" w:rsidRDefault="00000000">
      <w:pPr>
        <w:numPr>
          <w:ilvl w:val="0"/>
          <w:numId w:val="4"/>
        </w:numPr>
        <w:pBdr>
          <w:top w:val="nil"/>
          <w:left w:val="nil"/>
          <w:bottom w:val="nil"/>
          <w:right w:val="nil"/>
          <w:between w:val="nil"/>
        </w:pBd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Separar del cargo a funcionarios sumariados que trabajan en centros de detención, por tratos crueles, inhumanos y degradantes, como sostiene el artículo 16 del CAT y en particular la recomendación realizada a Uruguay en 2014, párrafo 13.</w:t>
      </w:r>
      <w:r w:rsidRPr="008866BA">
        <w:rPr>
          <w:rFonts w:ascii="Calibri" w:eastAsia="Calibri" w:hAnsi="Calibri" w:cs="Calibri"/>
          <w:b/>
          <w:i/>
          <w:color w:val="404040" w:themeColor="text1" w:themeTint="BF"/>
        </w:rPr>
        <w:t xml:space="preserve"> </w:t>
      </w:r>
    </w:p>
    <w:p w14:paraId="360D926A" w14:textId="77777777" w:rsidR="005A420E" w:rsidRPr="008866BA" w:rsidRDefault="00000000">
      <w:pPr>
        <w:pStyle w:val="Heading3"/>
        <w:rPr>
          <w:color w:val="404040" w:themeColor="text1" w:themeTint="BF"/>
        </w:rPr>
      </w:pPr>
      <w:bookmarkStart w:id="17" w:name="_Toc204787403"/>
      <w:r w:rsidRPr="008866BA">
        <w:rPr>
          <w:color w:val="404040" w:themeColor="text1" w:themeTint="BF"/>
        </w:rPr>
        <w:t>Incremento de la violencia territorial hacía NNA</w:t>
      </w:r>
      <w:bookmarkEnd w:id="17"/>
      <w:r w:rsidRPr="008866BA">
        <w:rPr>
          <w:color w:val="404040" w:themeColor="text1" w:themeTint="BF"/>
        </w:rPr>
        <w:t xml:space="preserve"> </w:t>
      </w:r>
    </w:p>
    <w:p w14:paraId="41B6B976" w14:textId="0170ECA8"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La Plataforma Infancias y Adolescencias (PIAS) viene denunciando de forma sistemática un incremento alarmante los casos de infancias y adolescencias heridas y asesinadas por armas de fuego. Mediante la campaña de sensibilización y difusión #NoSonBalasPerdidas, desde el 17 de mayo de 2024 a febrero 2025, se han constatado 19 niñas, niños y adolescentes asesinados y 23 sufrieron lesiones ocasionadas por municiones de armas de fuego, destacando que no son hechos aislados, sino que forman parte del cotidiano de infancias y adolescencias. El crecimiento de la circulación de armas y los sistemas ilegales de distribución </w:t>
      </w:r>
      <w:r w:rsidRPr="008866BA">
        <w:rPr>
          <w:rFonts w:ascii="Calibri" w:eastAsia="Calibri" w:hAnsi="Calibri" w:cs="Calibri"/>
          <w:color w:val="404040" w:themeColor="text1" w:themeTint="BF"/>
        </w:rPr>
        <w:lastRenderedPageBreak/>
        <w:t>de sustancias instalados a nivel nacional, están contribuyendo a intensificar en forma significativa los círculos de violencia</w:t>
      </w:r>
      <w:r w:rsidR="007434F4" w:rsidRPr="008866BA">
        <w:rPr>
          <w:rFonts w:ascii="Calibri" w:eastAsia="Calibri" w:hAnsi="Calibri" w:cs="Calibri"/>
          <w:color w:val="404040" w:themeColor="text1" w:themeTint="BF"/>
        </w:rPr>
        <w:t xml:space="preserve">. Este fenómeno </w:t>
      </w:r>
      <w:r w:rsidRPr="008866BA">
        <w:rPr>
          <w:rFonts w:ascii="Calibri" w:eastAsia="Calibri" w:hAnsi="Calibri" w:cs="Calibri"/>
          <w:color w:val="404040" w:themeColor="text1" w:themeTint="BF"/>
        </w:rPr>
        <w:t xml:space="preserve">altera negativamente el sentido común y el relacionamiento intracomunitario, es en este contexto particularmente en el que transitan amplios sectores de las infancias y adolescencias </w:t>
      </w:r>
      <w:r w:rsidR="007434F4" w:rsidRPr="008866BA">
        <w:rPr>
          <w:rFonts w:ascii="Calibri" w:eastAsia="Calibri" w:hAnsi="Calibri" w:cs="Calibri"/>
          <w:color w:val="404040" w:themeColor="text1" w:themeTint="BF"/>
        </w:rPr>
        <w:t xml:space="preserve">hoy </w:t>
      </w:r>
      <w:r w:rsidRPr="008866BA">
        <w:rPr>
          <w:rFonts w:ascii="Calibri" w:eastAsia="Calibri" w:hAnsi="Calibri" w:cs="Calibri"/>
          <w:color w:val="404040" w:themeColor="text1" w:themeTint="BF"/>
        </w:rPr>
        <w:t>en Uruguay. Según los datos presentados por la Fiscalía Nacional de la Nación y la Plataforma Infancias y Adolescencias (PIAS) con datos de febrero de 2025, al menos en los últimos cinco años, 93 NNA fueron asesinados y 106 fueron víctimas de intento de homicidio</w:t>
      </w:r>
      <w:r w:rsidRPr="008866BA">
        <w:rPr>
          <w:rFonts w:ascii="Calibri" w:eastAsia="Calibri" w:hAnsi="Calibri" w:cs="Calibri"/>
          <w:color w:val="404040" w:themeColor="text1" w:themeTint="BF"/>
          <w:vertAlign w:val="superscript"/>
        </w:rPr>
        <w:footnoteReference w:id="13"/>
      </w:r>
      <w:r w:rsidRPr="008866BA">
        <w:rPr>
          <w:rFonts w:ascii="Calibri" w:eastAsia="Calibri" w:hAnsi="Calibri" w:cs="Calibri"/>
          <w:color w:val="404040" w:themeColor="text1" w:themeTint="BF"/>
        </w:rPr>
        <w:t xml:space="preserve">. </w:t>
      </w:r>
    </w:p>
    <w:p w14:paraId="19F5AC40" w14:textId="77777777" w:rsidR="005A420E" w:rsidRPr="008866BA" w:rsidRDefault="005A420E">
      <w:pPr>
        <w:ind w:left="720"/>
        <w:jc w:val="both"/>
        <w:rPr>
          <w:rFonts w:ascii="Calibri" w:eastAsia="Calibri" w:hAnsi="Calibri" w:cs="Calibri"/>
          <w:color w:val="404040" w:themeColor="text1" w:themeTint="BF"/>
        </w:rPr>
      </w:pPr>
    </w:p>
    <w:p w14:paraId="00DDD890"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 xml:space="preserve">Pregunta: </w:t>
      </w:r>
      <w:r w:rsidRPr="008866BA">
        <w:rPr>
          <w:rFonts w:ascii="Calibri" w:eastAsia="Calibri" w:hAnsi="Calibri" w:cs="Calibri"/>
          <w:i/>
          <w:color w:val="404040" w:themeColor="text1" w:themeTint="BF"/>
        </w:rPr>
        <w:t xml:space="preserve">Sírvase preguntar al Estado uruguayo sobre la evolución de NNA heridos y asesinados con armas de fuego como consecuencia del aumento de la violencia territorial y qué políticas tiene previsto implementar a corto, mediano y largo plazo. </w:t>
      </w:r>
    </w:p>
    <w:p w14:paraId="59C9C076" w14:textId="77777777" w:rsidR="005A420E" w:rsidRPr="008866BA" w:rsidRDefault="00000000">
      <w:pPr>
        <w:ind w:left="720"/>
        <w:jc w:val="both"/>
        <w:rPr>
          <w:rFonts w:ascii="Calibri" w:eastAsia="Calibri" w:hAnsi="Calibri" w:cs="Calibri"/>
          <w:b/>
          <w:i/>
          <w:color w:val="404040" w:themeColor="text1" w:themeTint="BF"/>
        </w:rPr>
      </w:pPr>
      <w:r w:rsidRPr="008866BA">
        <w:rPr>
          <w:rFonts w:ascii="Calibri" w:eastAsia="Calibri" w:hAnsi="Calibri" w:cs="Calibri"/>
          <w:b/>
          <w:i/>
          <w:color w:val="404040" w:themeColor="text1" w:themeTint="BF"/>
        </w:rPr>
        <w:t>Recomendaciones:</w:t>
      </w:r>
    </w:p>
    <w:p w14:paraId="2BE958E5" w14:textId="3F5180D8" w:rsidR="005A420E" w:rsidRPr="008866BA" w:rsidRDefault="00000000">
      <w:pPr>
        <w:numPr>
          <w:ilvl w:val="0"/>
          <w:numId w:val="10"/>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Abordar de forma urgente</w:t>
      </w:r>
      <w:r w:rsidR="00E17239" w:rsidRPr="008866BA">
        <w:rPr>
          <w:rFonts w:ascii="Calibri" w:eastAsia="Calibri" w:hAnsi="Calibri" w:cs="Calibri"/>
          <w:i/>
          <w:color w:val="404040" w:themeColor="text1" w:themeTint="BF"/>
        </w:rPr>
        <w:t xml:space="preserve"> el fenómeno bajo un carácter</w:t>
      </w:r>
      <w:r w:rsidRPr="008866BA">
        <w:rPr>
          <w:rFonts w:ascii="Calibri" w:eastAsia="Calibri" w:hAnsi="Calibri" w:cs="Calibri"/>
          <w:i/>
          <w:color w:val="404040" w:themeColor="text1" w:themeTint="BF"/>
        </w:rPr>
        <w:t xml:space="preserve"> integral, interinstitucional e intersectorial, con el fin de construir un diagnóstico cuantitativo y cualitativo sobre </w:t>
      </w:r>
      <w:r w:rsidR="00E17239" w:rsidRPr="008866BA">
        <w:rPr>
          <w:rFonts w:ascii="Calibri" w:eastAsia="Calibri" w:hAnsi="Calibri" w:cs="Calibri"/>
          <w:i/>
          <w:color w:val="404040" w:themeColor="text1" w:themeTint="BF"/>
        </w:rPr>
        <w:t xml:space="preserve">el mismo. </w:t>
      </w:r>
    </w:p>
    <w:p w14:paraId="320408F5" w14:textId="77777777" w:rsidR="005A420E" w:rsidRPr="008866BA" w:rsidRDefault="00000000">
      <w:pPr>
        <w:numPr>
          <w:ilvl w:val="0"/>
          <w:numId w:val="10"/>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Implementar dispositivos y protocolos de actuación para la reparación y atención del trauma frente a situaciones de violencia territorial que tengan como víctimas a niñas, niños y adolescentes. Es necesario activar medidas de protección, reparación y atención al trauma, de base comunitaria, que involucren tanto a las víctimas directas como al entorno familiar y comunitario (centros educativos, centros sociales barriales, deportivos, entre otros).</w:t>
      </w:r>
    </w:p>
    <w:p w14:paraId="5FD86895" w14:textId="77777777" w:rsidR="005A420E" w:rsidRPr="008866BA" w:rsidRDefault="00000000">
      <w:pPr>
        <w:numPr>
          <w:ilvl w:val="0"/>
          <w:numId w:val="10"/>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Elaborar, aprobar y reglamentar una normativa nacional para regular la adquisición, tenencia y portación de armas de fuego que permita rastrear además la trazabilidad de las municiones. </w:t>
      </w:r>
    </w:p>
    <w:p w14:paraId="0C310435" w14:textId="77777777" w:rsidR="005A420E" w:rsidRPr="008866BA" w:rsidRDefault="00000000">
      <w:pPr>
        <w:numPr>
          <w:ilvl w:val="0"/>
          <w:numId w:val="10"/>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Implementar un programa relativo al desarme civil.</w:t>
      </w:r>
    </w:p>
    <w:p w14:paraId="4F7B2431" w14:textId="77777777" w:rsidR="005A420E" w:rsidRPr="008866BA" w:rsidRDefault="00000000">
      <w:pPr>
        <w:numPr>
          <w:ilvl w:val="0"/>
          <w:numId w:val="10"/>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Implementar políticas focalizadas en torno a las violencias producidas por las disputas y conflictos territoriales e interpersonales. </w:t>
      </w:r>
    </w:p>
    <w:p w14:paraId="42285BD2" w14:textId="77777777" w:rsidR="005A420E" w:rsidRPr="008866BA" w:rsidRDefault="00000000">
      <w:pPr>
        <w:pStyle w:val="Heading3"/>
        <w:rPr>
          <w:color w:val="404040" w:themeColor="text1" w:themeTint="BF"/>
        </w:rPr>
      </w:pPr>
      <w:bookmarkStart w:id="18" w:name="_Toc204787404"/>
      <w:r w:rsidRPr="008866BA">
        <w:rPr>
          <w:color w:val="404040" w:themeColor="text1" w:themeTint="BF"/>
        </w:rPr>
        <w:t>Derecho de niños, niñas y adolescentes a no ser sometido a ninguna forma de violencia</w:t>
      </w:r>
      <w:bookmarkEnd w:id="18"/>
    </w:p>
    <w:p w14:paraId="21574FF9" w14:textId="77777777" w:rsidR="005A420E" w:rsidRPr="008866BA" w:rsidRDefault="00000000">
      <w:pPr>
        <w:widowControl w:val="0"/>
        <w:spacing w:line="246" w:lineRule="auto"/>
        <w:ind w:left="720" w:right="26"/>
        <w:jc w:val="both"/>
        <w:rPr>
          <w:rFonts w:ascii="Times New Roman" w:eastAsia="Times New Roman" w:hAnsi="Times New Roman" w:cs="Times New Roman"/>
          <w:i/>
          <w:color w:val="404040" w:themeColor="text1" w:themeTint="BF"/>
          <w:sz w:val="24"/>
          <w:szCs w:val="24"/>
        </w:rPr>
      </w:pPr>
      <w:r w:rsidRPr="008866BA">
        <w:rPr>
          <w:rFonts w:ascii="Calibri" w:eastAsia="Calibri" w:hAnsi="Calibri" w:cs="Calibri"/>
          <w:color w:val="404040" w:themeColor="text1" w:themeTint="BF"/>
        </w:rPr>
        <w:t>En abril de 2025 se presentaron los datos del Sistema Integral de Protección a la Infancia y Adolescencia contra la Violencia (SIPIAV) del año 2024. Del informe se desprende que durante el año 2024 intervino en casi 9.000 mil situaciones en infancias y adolescencias. De estas situaciones el 56% corresponde a mujeres y la mayoría a adolescentes mujeres. En relación a los agresores, el 90% forman parte del núcleo familiar o convivencia de las víctimas</w:t>
      </w:r>
      <w:r w:rsidRPr="008866BA">
        <w:rPr>
          <w:rFonts w:ascii="Calibri" w:eastAsia="Calibri" w:hAnsi="Calibri" w:cs="Calibri"/>
          <w:color w:val="404040" w:themeColor="text1" w:themeTint="BF"/>
          <w:vertAlign w:val="superscript"/>
        </w:rPr>
        <w:footnoteReference w:id="14"/>
      </w:r>
      <w:r w:rsidRPr="008866BA">
        <w:rPr>
          <w:rFonts w:ascii="Calibri" w:eastAsia="Calibri" w:hAnsi="Calibri" w:cs="Calibri"/>
          <w:color w:val="404040" w:themeColor="text1" w:themeTint="BF"/>
        </w:rPr>
        <w:t xml:space="preserve">.  </w:t>
      </w:r>
    </w:p>
    <w:p w14:paraId="2DA3BE47" w14:textId="77777777" w:rsidR="005A420E" w:rsidRPr="008866BA" w:rsidRDefault="00000000">
      <w:pPr>
        <w:widowControl w:val="0"/>
        <w:spacing w:line="246" w:lineRule="auto"/>
        <w:ind w:left="720" w:right="26"/>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Los servicios de atención a situaciones de violencia hacia niñas, niños y adolescentes en nuestro país no alcanzan a cumplir con los criterios de disponibilidad, accesibilidad y adecuación a nivel nacional. Es decir, 9 de 19 departamentos cuentan con equipos de atención psicosocial y legal a niños y niñas víctimas de violencia y la mayoría de estos servicios tienen largas listas de espera. </w:t>
      </w:r>
    </w:p>
    <w:p w14:paraId="7DC773D2" w14:textId="77777777" w:rsidR="005A420E" w:rsidRPr="008866BA" w:rsidRDefault="00000000">
      <w:pPr>
        <w:widowControl w:val="0"/>
        <w:spacing w:line="246" w:lineRule="auto"/>
        <w:ind w:left="720" w:right="26"/>
        <w:jc w:val="both"/>
        <w:rPr>
          <w:rFonts w:ascii="Times New Roman" w:eastAsia="Times New Roman" w:hAnsi="Times New Roman" w:cs="Times New Roman"/>
          <w:i/>
          <w:color w:val="404040" w:themeColor="text1" w:themeTint="BF"/>
          <w:sz w:val="24"/>
          <w:szCs w:val="24"/>
        </w:rPr>
      </w:pPr>
      <w:r w:rsidRPr="008866BA">
        <w:rPr>
          <w:rFonts w:ascii="Calibri" w:eastAsia="Calibri" w:hAnsi="Calibri" w:cs="Calibri"/>
          <w:color w:val="404040" w:themeColor="text1" w:themeTint="BF"/>
        </w:rPr>
        <w:t xml:space="preserve">Además, se constató deficiencias en la formación de los distintos sectores institucionales al momento de captar, identificar y atender ante situaciones de violencia a las infancias y adolescencias.  Es de preocupación las carencias en la formación con perspectiva de género e </w:t>
      </w:r>
      <w:r w:rsidRPr="008866BA">
        <w:rPr>
          <w:rFonts w:ascii="Calibri" w:eastAsia="Calibri" w:hAnsi="Calibri" w:cs="Calibri"/>
          <w:color w:val="404040" w:themeColor="text1" w:themeTint="BF"/>
        </w:rPr>
        <w:lastRenderedPageBreak/>
        <w:t>infancia de los operadores del sistema de justicia (policía, fiscales, jueces, defensores), obstaculiza el acceso a la justicia de niñas y niños, y los revictimiza</w:t>
      </w:r>
      <w:r w:rsidRPr="008866BA">
        <w:rPr>
          <w:rFonts w:ascii="Calibri" w:eastAsia="Calibri" w:hAnsi="Calibri" w:cs="Calibri"/>
          <w:color w:val="404040" w:themeColor="text1" w:themeTint="BF"/>
          <w:vertAlign w:val="superscript"/>
        </w:rPr>
        <w:footnoteReference w:id="15"/>
      </w:r>
      <w:r w:rsidRPr="008866BA">
        <w:rPr>
          <w:rFonts w:ascii="Calibri" w:eastAsia="Calibri" w:hAnsi="Calibri" w:cs="Calibri"/>
          <w:color w:val="404040" w:themeColor="text1" w:themeTint="BF"/>
        </w:rPr>
        <w:t>.</w:t>
      </w:r>
      <w:r w:rsidRPr="008866BA">
        <w:rPr>
          <w:rFonts w:ascii="Times New Roman" w:eastAsia="Times New Roman" w:hAnsi="Times New Roman" w:cs="Times New Roman"/>
          <w:i/>
          <w:color w:val="404040" w:themeColor="text1" w:themeTint="BF"/>
          <w:sz w:val="24"/>
          <w:szCs w:val="24"/>
        </w:rPr>
        <w:t xml:space="preserve"> </w:t>
      </w:r>
    </w:p>
    <w:p w14:paraId="67B32ACF" w14:textId="77777777" w:rsidR="005A420E" w:rsidRPr="008866BA" w:rsidRDefault="00000000">
      <w:pPr>
        <w:widowControl w:val="0"/>
        <w:spacing w:line="246" w:lineRule="auto"/>
        <w:ind w:left="720" w:right="26"/>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En relación a los casos de abuso y explotación sexual infantil la Asociación Civil El Paso, integrante del CDNU presenta en esta ocasión un informe temático al CRC. </w:t>
      </w:r>
    </w:p>
    <w:p w14:paraId="5F7E3A36" w14:textId="77777777" w:rsidR="005A420E" w:rsidRPr="008866BA" w:rsidRDefault="005A420E">
      <w:pPr>
        <w:widowControl w:val="0"/>
        <w:spacing w:line="246" w:lineRule="auto"/>
        <w:ind w:left="720" w:right="26"/>
        <w:jc w:val="both"/>
        <w:rPr>
          <w:rFonts w:ascii="Times New Roman" w:eastAsia="Times New Roman" w:hAnsi="Times New Roman" w:cs="Times New Roman"/>
          <w:i/>
          <w:color w:val="404040" w:themeColor="text1" w:themeTint="BF"/>
          <w:sz w:val="24"/>
          <w:szCs w:val="24"/>
        </w:rPr>
      </w:pPr>
    </w:p>
    <w:p w14:paraId="088C22DB" w14:textId="77777777" w:rsidR="005A420E" w:rsidRPr="008866BA" w:rsidRDefault="00000000">
      <w:pPr>
        <w:widowControl w:val="0"/>
        <w:spacing w:line="246" w:lineRule="auto"/>
        <w:ind w:left="720" w:right="26"/>
        <w:jc w:val="both"/>
        <w:rPr>
          <w:rFonts w:ascii="Calibri" w:eastAsia="Calibri" w:hAnsi="Calibri" w:cs="Calibri"/>
          <w:b/>
          <w:i/>
          <w:color w:val="404040" w:themeColor="text1" w:themeTint="BF"/>
        </w:rPr>
      </w:pPr>
      <w:r w:rsidRPr="008866BA">
        <w:rPr>
          <w:rFonts w:ascii="Calibri" w:eastAsia="Calibri" w:hAnsi="Calibri" w:cs="Calibri"/>
          <w:b/>
          <w:i/>
          <w:color w:val="404040" w:themeColor="text1" w:themeTint="BF"/>
        </w:rPr>
        <w:t xml:space="preserve">Pregunta: </w:t>
      </w:r>
      <w:r w:rsidRPr="008866BA">
        <w:rPr>
          <w:rFonts w:ascii="Calibri" w:eastAsia="Calibri" w:hAnsi="Calibri" w:cs="Calibri"/>
          <w:i/>
          <w:color w:val="404040" w:themeColor="text1" w:themeTint="BF"/>
        </w:rPr>
        <w:t>Sírvase consultar al Estado uruguayo si implementará servicios especializados violencia para la atención de niños, niñas y adolescentes a nivel nacional además de sensibilizar a la ciudadanía en general.</w:t>
      </w:r>
      <w:r w:rsidRPr="008866BA">
        <w:rPr>
          <w:rFonts w:ascii="Calibri" w:eastAsia="Calibri" w:hAnsi="Calibri" w:cs="Calibri"/>
          <w:b/>
          <w:i/>
          <w:color w:val="404040" w:themeColor="text1" w:themeTint="BF"/>
        </w:rPr>
        <w:t xml:space="preserve"> </w:t>
      </w:r>
    </w:p>
    <w:p w14:paraId="0321DAFE" w14:textId="77777777" w:rsidR="005A420E" w:rsidRPr="008866BA" w:rsidRDefault="00000000">
      <w:pPr>
        <w:widowControl w:val="0"/>
        <w:spacing w:line="246" w:lineRule="auto"/>
        <w:ind w:left="720" w:right="26"/>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 xml:space="preserve">Recomendaciones: </w:t>
      </w:r>
      <w:r w:rsidRPr="008866BA">
        <w:rPr>
          <w:rFonts w:ascii="Calibri" w:eastAsia="Calibri" w:hAnsi="Calibri" w:cs="Calibri"/>
          <w:i/>
          <w:color w:val="404040" w:themeColor="text1" w:themeTint="BF"/>
        </w:rPr>
        <w:t>Garantizar el cumplimiento mediante recursos necesarios para su adecuado cumplimiento de la Ley 19.580 de Violencia hacia las mujeres basada en Género; e implementar un sistema integral de información sobre VBG.</w:t>
      </w:r>
    </w:p>
    <w:p w14:paraId="44DAF4ED" w14:textId="77777777" w:rsidR="005A420E" w:rsidRPr="008866BA" w:rsidRDefault="005A420E">
      <w:pPr>
        <w:jc w:val="both"/>
        <w:rPr>
          <w:rFonts w:ascii="Calibri" w:eastAsia="Calibri" w:hAnsi="Calibri" w:cs="Calibri"/>
          <w:b/>
          <w:color w:val="404040" w:themeColor="text1" w:themeTint="BF"/>
        </w:rPr>
      </w:pPr>
    </w:p>
    <w:p w14:paraId="1EF2F9D9" w14:textId="77777777" w:rsidR="005A420E" w:rsidRPr="008866BA" w:rsidRDefault="00000000">
      <w:pPr>
        <w:pStyle w:val="Heading2"/>
        <w:rPr>
          <w:color w:val="404040" w:themeColor="text1" w:themeTint="BF"/>
        </w:rPr>
      </w:pPr>
      <w:bookmarkStart w:id="19" w:name="_Toc204787405"/>
      <w:r w:rsidRPr="008866BA">
        <w:rPr>
          <w:color w:val="404040" w:themeColor="text1" w:themeTint="BF"/>
        </w:rPr>
        <w:t>D. Entorno familiar y cuidados alternativos</w:t>
      </w:r>
      <w:bookmarkEnd w:id="19"/>
      <w:r w:rsidRPr="008866BA">
        <w:rPr>
          <w:color w:val="404040" w:themeColor="text1" w:themeTint="BF"/>
        </w:rPr>
        <w:t xml:space="preserve"> </w:t>
      </w:r>
    </w:p>
    <w:p w14:paraId="6A67CAD4" w14:textId="77777777" w:rsidR="005A420E" w:rsidRPr="008866BA" w:rsidRDefault="00000000">
      <w:pPr>
        <w:pStyle w:val="Heading3"/>
        <w:rPr>
          <w:color w:val="404040" w:themeColor="text1" w:themeTint="BF"/>
        </w:rPr>
      </w:pPr>
      <w:bookmarkStart w:id="20" w:name="_Toc204787406"/>
      <w:r w:rsidRPr="008866BA">
        <w:rPr>
          <w:color w:val="404040" w:themeColor="text1" w:themeTint="BF"/>
        </w:rPr>
        <w:t>Entorno familiar</w:t>
      </w:r>
      <w:bookmarkEnd w:id="20"/>
    </w:p>
    <w:p w14:paraId="2ADD0E6B"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Si bien Uruguay mantiene en su normativa la obligación de realizar prestaciones monetarias y sociales (como la Asignación Familiar) a aquellas familias vulneradas, las mismas continúan siendo insuficientes en relación a los costos de vida, aumentando además el riesgo de la posibilidad de perder la patria potestad de los NNA por no poder garantizar el cumplimiento de los derechos de los mismos. En este sentido, la Observación N°35 elaborada por el CRC continúa vigente luego de 10 años.</w:t>
      </w:r>
    </w:p>
    <w:p w14:paraId="7D7EEBD2" w14:textId="77777777" w:rsidR="005A420E" w:rsidRPr="008866BA" w:rsidRDefault="005A420E">
      <w:pPr>
        <w:ind w:left="720"/>
        <w:jc w:val="both"/>
        <w:rPr>
          <w:rFonts w:ascii="Calibri" w:eastAsia="Calibri" w:hAnsi="Calibri" w:cs="Calibri"/>
          <w:color w:val="404040" w:themeColor="text1" w:themeTint="BF"/>
        </w:rPr>
      </w:pPr>
    </w:p>
    <w:p w14:paraId="0929C609"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Pregunta</w:t>
      </w:r>
      <w:r w:rsidRPr="008866BA">
        <w:rPr>
          <w:rFonts w:ascii="Calibri" w:eastAsia="Calibri" w:hAnsi="Calibri" w:cs="Calibri"/>
          <w:i/>
          <w:color w:val="404040" w:themeColor="text1" w:themeTint="BF"/>
        </w:rPr>
        <w:t>: Sírvase consultar al Estado parte sobre las transformaciones en las políticas de prestaciones sociales para el caso de familias que se encuentran en contexto de vulnerabilidad.</w:t>
      </w:r>
    </w:p>
    <w:p w14:paraId="229F0CBB"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 xml:space="preserve">Recomendación: </w:t>
      </w:r>
      <w:r w:rsidRPr="008866BA">
        <w:rPr>
          <w:rFonts w:ascii="Calibri" w:eastAsia="Calibri" w:hAnsi="Calibri" w:cs="Calibri"/>
          <w:i/>
          <w:color w:val="404040" w:themeColor="text1" w:themeTint="BF"/>
        </w:rPr>
        <w:t>Reforzar el apoyo económico, así como todas aquellas políticas que estén dirigidas a mejorar la calidad de la vida de familias vulneradas, incorporando además la perspectiva de infancias y adolescencias en el diseño e implementación de las mismas.</w:t>
      </w:r>
    </w:p>
    <w:p w14:paraId="4AB82405" w14:textId="77777777" w:rsidR="005A420E" w:rsidRPr="008866BA" w:rsidRDefault="00000000">
      <w:pPr>
        <w:pStyle w:val="Heading3"/>
        <w:rPr>
          <w:color w:val="404040" w:themeColor="text1" w:themeTint="BF"/>
        </w:rPr>
      </w:pPr>
      <w:bookmarkStart w:id="21" w:name="_Toc204787407"/>
      <w:r w:rsidRPr="008866BA">
        <w:rPr>
          <w:color w:val="404040" w:themeColor="text1" w:themeTint="BF"/>
        </w:rPr>
        <w:t>Niños, niñas y adolescentes privados de un entorno familiar y adopción</w:t>
      </w:r>
      <w:bookmarkEnd w:id="21"/>
      <w:r w:rsidRPr="008866BA">
        <w:rPr>
          <w:color w:val="404040" w:themeColor="text1" w:themeTint="BF"/>
        </w:rPr>
        <w:t xml:space="preserve"> </w:t>
      </w:r>
    </w:p>
    <w:p w14:paraId="154AB59A"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Si bien se ha avanzado en algunas políticas alternativas basadas en cuidados familiares y comunitarios para aquellos NNA que no tienen entorno familiar, la cantidad de NNA institucionalizados está muy por encima de los guarismos deseados. Por su parte, el impacto de las medidas de restitución y reunificación con sus familias es muy escaso</w:t>
      </w:r>
      <w:r w:rsidRPr="008866BA">
        <w:rPr>
          <w:rFonts w:ascii="Calibri" w:eastAsia="Calibri" w:hAnsi="Calibri" w:cs="Calibri"/>
          <w:color w:val="404040" w:themeColor="text1" w:themeTint="BF"/>
          <w:vertAlign w:val="superscript"/>
        </w:rPr>
        <w:footnoteReference w:id="16"/>
      </w:r>
      <w:r w:rsidRPr="008866BA">
        <w:rPr>
          <w:rFonts w:ascii="Calibri" w:eastAsia="Calibri" w:hAnsi="Calibri" w:cs="Calibri"/>
          <w:color w:val="404040" w:themeColor="text1" w:themeTint="BF"/>
        </w:rPr>
        <w:t>.</w:t>
      </w:r>
    </w:p>
    <w:p w14:paraId="6E2589FE"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Por último, cabe destacar que, pese a los esfuerzos realizados plasmados en la reforma de normativa relativa a los procesos de adopción, los mismos mantienen tiempos prolongados por falta de recursos materiales y humanos.  </w:t>
      </w:r>
    </w:p>
    <w:p w14:paraId="312BC631" w14:textId="77777777" w:rsidR="005A420E" w:rsidRPr="008866BA" w:rsidRDefault="005A420E">
      <w:pPr>
        <w:ind w:left="720"/>
        <w:jc w:val="both"/>
        <w:rPr>
          <w:rFonts w:ascii="Calibri" w:eastAsia="Calibri" w:hAnsi="Calibri" w:cs="Calibri"/>
          <w:color w:val="404040" w:themeColor="text1" w:themeTint="BF"/>
        </w:rPr>
      </w:pPr>
    </w:p>
    <w:p w14:paraId="775F1572"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Pregunta</w:t>
      </w:r>
      <w:r w:rsidRPr="008866BA">
        <w:rPr>
          <w:rFonts w:ascii="Calibri" w:eastAsia="Calibri" w:hAnsi="Calibri" w:cs="Calibri"/>
          <w:i/>
          <w:color w:val="404040" w:themeColor="text1" w:themeTint="BF"/>
        </w:rPr>
        <w:t>: Sírvase consultar al Estado parte acerca del avance de aquellas políticas dirigidas a la desinstitucionalización de NNA.</w:t>
      </w:r>
    </w:p>
    <w:p w14:paraId="15C6B9D7" w14:textId="77777777" w:rsidR="005A420E" w:rsidRPr="008866BA" w:rsidRDefault="00000000">
      <w:pPr>
        <w:ind w:left="720"/>
        <w:jc w:val="both"/>
        <w:rPr>
          <w:rFonts w:ascii="Calibri" w:eastAsia="Calibri" w:hAnsi="Calibri" w:cs="Calibri"/>
          <w:b/>
          <w:i/>
          <w:color w:val="404040" w:themeColor="text1" w:themeTint="BF"/>
        </w:rPr>
      </w:pPr>
      <w:r w:rsidRPr="008866BA">
        <w:rPr>
          <w:rFonts w:ascii="Calibri" w:eastAsia="Calibri" w:hAnsi="Calibri" w:cs="Calibri"/>
          <w:b/>
          <w:i/>
          <w:color w:val="404040" w:themeColor="text1" w:themeTint="BF"/>
        </w:rPr>
        <w:lastRenderedPageBreak/>
        <w:t xml:space="preserve">Recomendaciones: </w:t>
      </w:r>
    </w:p>
    <w:p w14:paraId="03D437AA" w14:textId="77777777" w:rsidR="005A420E" w:rsidRPr="008866BA" w:rsidRDefault="00000000">
      <w:pPr>
        <w:numPr>
          <w:ilvl w:val="0"/>
          <w:numId w:val="12"/>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Profundizar la implementación de políticas y programas que garanticen a niños, niñas y adolescentes su derecho a vivir en familia y en comunidad.</w:t>
      </w:r>
    </w:p>
    <w:p w14:paraId="7F681DF7" w14:textId="77777777" w:rsidR="005A420E" w:rsidRPr="008866BA" w:rsidRDefault="00000000">
      <w:pPr>
        <w:numPr>
          <w:ilvl w:val="0"/>
          <w:numId w:val="12"/>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Implementar y promover la utilización de medidas direccionadas a la reunificación familiar siempre y cuando se tenga en cuenta el interés superior y bienestar del niño.</w:t>
      </w:r>
    </w:p>
    <w:p w14:paraId="5852892F" w14:textId="77777777" w:rsidR="005A420E" w:rsidRPr="008866BA" w:rsidRDefault="00000000">
      <w:pPr>
        <w:numPr>
          <w:ilvl w:val="0"/>
          <w:numId w:val="12"/>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Continuar trabajando en los procesos de adopción, con el objetivo de agilizar los mismos.</w:t>
      </w:r>
    </w:p>
    <w:p w14:paraId="7165C509" w14:textId="77777777" w:rsidR="005A420E" w:rsidRPr="008866BA" w:rsidRDefault="00000000">
      <w:pPr>
        <w:pStyle w:val="Heading2"/>
        <w:rPr>
          <w:color w:val="404040" w:themeColor="text1" w:themeTint="BF"/>
        </w:rPr>
      </w:pPr>
      <w:bookmarkStart w:id="22" w:name="_Toc204787408"/>
      <w:r w:rsidRPr="008866BA">
        <w:rPr>
          <w:color w:val="404040" w:themeColor="text1" w:themeTint="BF"/>
        </w:rPr>
        <w:t>E.  Salud básica y bienestar</w:t>
      </w:r>
      <w:bookmarkEnd w:id="22"/>
      <w:r w:rsidRPr="008866BA">
        <w:rPr>
          <w:color w:val="404040" w:themeColor="text1" w:themeTint="BF"/>
        </w:rPr>
        <w:t xml:space="preserve"> </w:t>
      </w:r>
    </w:p>
    <w:p w14:paraId="6844D8DD" w14:textId="77777777" w:rsidR="005A420E" w:rsidRPr="008866BA" w:rsidRDefault="00000000">
      <w:pPr>
        <w:pStyle w:val="Heading3"/>
        <w:rPr>
          <w:color w:val="404040" w:themeColor="text1" w:themeTint="BF"/>
        </w:rPr>
      </w:pPr>
      <w:bookmarkStart w:id="23" w:name="_Toc204787409"/>
      <w:r w:rsidRPr="008866BA">
        <w:rPr>
          <w:color w:val="404040" w:themeColor="text1" w:themeTint="BF"/>
        </w:rPr>
        <w:t>Pobreza infantil- Nivel de vida</w:t>
      </w:r>
      <w:bookmarkEnd w:id="23"/>
      <w:r w:rsidRPr="008866BA">
        <w:rPr>
          <w:color w:val="404040" w:themeColor="text1" w:themeTint="BF"/>
        </w:rPr>
        <w:t xml:space="preserve"> </w:t>
      </w:r>
    </w:p>
    <w:p w14:paraId="34407406" w14:textId="77777777" w:rsidR="005A420E" w:rsidRPr="008866BA" w:rsidRDefault="00000000">
      <w:pPr>
        <w:widowControl w:val="0"/>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Uruguay no resuelve en forma satisfactoria las necesidades básicas del conjunto de las infancias y adolescencias. La pobreza estructural, la vulnerabilidad ante fuentes de ingresos permanentes y legítimas, el debilitamiento del Estado, el de las formas de participación de la sociedad civil y la vida comunitaria han agravado la pobreza infantil. La dificultad en generar entornos no adecuados a la centralidad de los derechos de las infancias y adolescencias ha repercutido negativamente en el grado de pertenencia que le otorga a la sociedad y las familias. La segregación espacial y social existente, y creciente, afecta negativamente en la conformación de la subjetividad de los niños, niñas y adolescentes.</w:t>
      </w:r>
    </w:p>
    <w:p w14:paraId="27AFC693"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Si bien en los últimos 15 años se ha reducido en forma considerable el número de personas por debajo de la línea de pobreza, a 2025 se constata un sensible aumento respecto a 2020: 11.6%. En este sentido, niños, niñas y adolescentes siguen siendo la población mayormente afectada por la situación de pobreza</w:t>
      </w:r>
      <w:r w:rsidRPr="008866BA">
        <w:rPr>
          <w:rFonts w:ascii="Calibri" w:eastAsia="Calibri" w:hAnsi="Calibri" w:cs="Calibri"/>
          <w:i/>
          <w:color w:val="404040" w:themeColor="text1" w:themeTint="BF"/>
        </w:rPr>
        <w:t xml:space="preserve">. </w:t>
      </w:r>
      <w:r w:rsidRPr="008866BA">
        <w:rPr>
          <w:rFonts w:ascii="Calibri" w:eastAsia="Calibri" w:hAnsi="Calibri" w:cs="Calibri"/>
          <w:color w:val="404040" w:themeColor="text1" w:themeTint="BF"/>
        </w:rPr>
        <w:t>Según datos de UNICEF, en el año 2024, se registró que uno de cada cinco niñas, niñas y adolescentes vive en hogares bajo la línea de pobreza, es decir, la tasa de pobreza infantil duplica a la de adultos/as</w:t>
      </w:r>
      <w:r w:rsidRPr="008866BA">
        <w:rPr>
          <w:rFonts w:ascii="Calibri" w:eastAsia="Calibri" w:hAnsi="Calibri" w:cs="Calibri"/>
          <w:color w:val="404040" w:themeColor="text1" w:themeTint="BF"/>
          <w:vertAlign w:val="superscript"/>
        </w:rPr>
        <w:footnoteReference w:id="17"/>
      </w:r>
      <w:r w:rsidRPr="008866BA">
        <w:rPr>
          <w:rFonts w:ascii="Calibri" w:eastAsia="Calibri" w:hAnsi="Calibri" w:cs="Calibri"/>
          <w:color w:val="404040" w:themeColor="text1" w:themeTint="BF"/>
        </w:rPr>
        <w:t>. Esta situación se recrudece cuando observamos la situación de infancias menores de 6 años afrodescendientes dado que el 46% vive en situación de pobreza.</w:t>
      </w:r>
      <w:r w:rsidRPr="008866BA">
        <w:rPr>
          <w:rFonts w:ascii="Calibri" w:eastAsia="Calibri" w:hAnsi="Calibri" w:cs="Calibri"/>
          <w:b/>
          <w:color w:val="404040" w:themeColor="text1" w:themeTint="BF"/>
          <w:sz w:val="24"/>
          <w:szCs w:val="24"/>
          <w:vertAlign w:val="superscript"/>
        </w:rPr>
        <w:footnoteReference w:id="18"/>
      </w:r>
      <w:r w:rsidRPr="008866BA">
        <w:rPr>
          <w:rFonts w:ascii="Calibri" w:eastAsia="Calibri" w:hAnsi="Calibri" w:cs="Calibri"/>
          <w:b/>
          <w:color w:val="404040" w:themeColor="text1" w:themeTint="BF"/>
          <w:sz w:val="24"/>
          <w:szCs w:val="24"/>
        </w:rPr>
        <w:t xml:space="preserve"> </w:t>
      </w:r>
    </w:p>
    <w:p w14:paraId="1D61B851"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Por su parte, la investigación realizada por UNICEF y la Cámara de la Construcción del Uruguay</w:t>
      </w:r>
      <w:r w:rsidRPr="008866BA">
        <w:rPr>
          <w:rFonts w:ascii="Calibri" w:eastAsia="Calibri" w:hAnsi="Calibri" w:cs="Calibri"/>
          <w:color w:val="404040" w:themeColor="text1" w:themeTint="BF"/>
          <w:vertAlign w:val="superscript"/>
        </w:rPr>
        <w:footnoteReference w:id="19"/>
      </w:r>
      <w:r w:rsidRPr="008866BA">
        <w:rPr>
          <w:rFonts w:ascii="Calibri" w:eastAsia="Calibri" w:hAnsi="Calibri" w:cs="Calibri"/>
          <w:color w:val="404040" w:themeColor="text1" w:themeTint="BF"/>
        </w:rPr>
        <w:t xml:space="preserve"> arroja que uno de cada dos NNA vive en hogares con al menos una privación en vivienda o servicios básicos, es decir más de 400000 NNA, 190000 viven en condiciones de hacinamiento, 190000 con algún problema de infraestructura y además 80000 con tenencia insegura, ya que no son propietarios o inquilino regulares. La vivienda impacta multidimensionalmente en el desarrollo de los NNA y, en este sentido, las familias cuentan con un acceso preferencial en tan solo 2 de los 13 programas destinados a vivienda, de por sí deficitarios en términos del desigual acceso habitacional que atraviesa Uruguay. </w:t>
      </w:r>
    </w:p>
    <w:p w14:paraId="48E8B6C5" w14:textId="77777777" w:rsidR="005A420E" w:rsidRPr="008866BA" w:rsidRDefault="005A420E">
      <w:pPr>
        <w:ind w:left="720"/>
        <w:jc w:val="both"/>
        <w:rPr>
          <w:rFonts w:ascii="Calibri" w:eastAsia="Calibri" w:hAnsi="Calibri" w:cs="Calibri"/>
          <w:color w:val="404040" w:themeColor="text1" w:themeTint="BF"/>
        </w:rPr>
      </w:pPr>
    </w:p>
    <w:p w14:paraId="22B87803"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lastRenderedPageBreak/>
        <w:t>Pregunta</w:t>
      </w:r>
      <w:r w:rsidRPr="008866BA">
        <w:rPr>
          <w:rFonts w:ascii="Calibri" w:eastAsia="Calibri" w:hAnsi="Calibri" w:cs="Calibri"/>
          <w:i/>
          <w:color w:val="404040" w:themeColor="text1" w:themeTint="BF"/>
        </w:rPr>
        <w:t xml:space="preserve">: Sírvase consultar al Estado parte cuál es la situación relativa a la dimensión de la pobreza infantil y qué medidas va a implementar a corto, mediano y largo plazo para erradicarla. </w:t>
      </w:r>
    </w:p>
    <w:p w14:paraId="19E0D9C4"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Recomendaciones</w:t>
      </w:r>
      <w:r w:rsidRPr="008866BA">
        <w:rPr>
          <w:rFonts w:ascii="Calibri" w:eastAsia="Calibri" w:hAnsi="Calibri" w:cs="Calibri"/>
          <w:i/>
          <w:color w:val="404040" w:themeColor="text1" w:themeTint="BF"/>
        </w:rPr>
        <w:t xml:space="preserve">: </w:t>
      </w:r>
    </w:p>
    <w:p w14:paraId="620F0367" w14:textId="77777777" w:rsidR="005A420E" w:rsidRPr="008866BA" w:rsidRDefault="00000000">
      <w:pPr>
        <w:numPr>
          <w:ilvl w:val="0"/>
          <w:numId w:val="9"/>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El Estado debería definir partidas presupuestarias estratégicas generales y focalizadas para las infancias desfavorecidas y en situación de vulnerabilidad con el objetivo de erradicar la pobreza infantil a corto, mediano y largo plazo. </w:t>
      </w:r>
    </w:p>
    <w:p w14:paraId="75026007" w14:textId="77777777" w:rsidR="005A420E" w:rsidRPr="008866BA" w:rsidRDefault="00000000">
      <w:pPr>
        <w:numPr>
          <w:ilvl w:val="0"/>
          <w:numId w:val="9"/>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El Estado debe diseñar un plan nacional orientado a familias con niños, niñas y adolescentes en situación de emergencia social (definido por los indicadores de pobreza multidimensional). Este plan deberá atender de manera integral los aspectos de vivienda, educación, salud y protección social que configuran la vulneración de derechos del núcleo familia</w:t>
      </w:r>
      <w:r w:rsidRPr="008866BA">
        <w:rPr>
          <w:rFonts w:ascii="Roboto" w:eastAsia="Roboto" w:hAnsi="Roboto" w:cs="Roboto"/>
          <w:i/>
          <w:color w:val="404040" w:themeColor="text1" w:themeTint="BF"/>
          <w:sz w:val="21"/>
          <w:szCs w:val="21"/>
          <w:highlight w:val="white"/>
        </w:rPr>
        <w:t>r</w:t>
      </w:r>
    </w:p>
    <w:p w14:paraId="772AF609" w14:textId="77777777" w:rsidR="005A420E" w:rsidRPr="008866BA" w:rsidRDefault="00000000">
      <w:pPr>
        <w:numPr>
          <w:ilvl w:val="0"/>
          <w:numId w:val="9"/>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Diseñar e implementar políticas de vivienda con especial énfasis en la facilitación al acceso a una vivienda digna a NNA y sus familias. </w:t>
      </w:r>
    </w:p>
    <w:p w14:paraId="462D9D19" w14:textId="77777777" w:rsidR="005A420E" w:rsidRPr="008866BA" w:rsidRDefault="00000000">
      <w:pPr>
        <w:pStyle w:val="Heading3"/>
        <w:rPr>
          <w:color w:val="404040" w:themeColor="text1" w:themeTint="BF"/>
        </w:rPr>
      </w:pPr>
      <w:bookmarkStart w:id="24" w:name="_Toc204787410"/>
      <w:r w:rsidRPr="008866BA">
        <w:rPr>
          <w:color w:val="404040" w:themeColor="text1" w:themeTint="BF"/>
        </w:rPr>
        <w:t>Salud, salud mental y servicios sanitarios</w:t>
      </w:r>
      <w:bookmarkEnd w:id="24"/>
    </w:p>
    <w:p w14:paraId="5EF09C3A" w14:textId="77777777" w:rsidR="005A420E" w:rsidRPr="008866BA" w:rsidRDefault="00000000">
      <w:pPr>
        <w:widowControl w:val="0"/>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Es de destacar la problemática de la salud mental en infancias y adolescencias, es este un elemento disruptivo en el panorama actual de las vidas de los NNA, particularmente el índice de intencionalidad de suicidios y suicidios consumados es un alarmante indicador de la realidad vigente. El mismo evidencia un trasfondo de crecimiento exponencial del problema. Los déficits emocionales y de sentido en las </w:t>
      </w:r>
      <w:r w:rsidRPr="008866BA">
        <w:rPr>
          <w:rFonts w:ascii="Calibri" w:eastAsia="Calibri" w:hAnsi="Calibri" w:cs="Calibri"/>
          <w:color w:val="404040" w:themeColor="text1" w:themeTint="BF"/>
          <w:sz w:val="20"/>
          <w:szCs w:val="20"/>
        </w:rPr>
        <w:t>trayectorias</w:t>
      </w:r>
      <w:r w:rsidRPr="008866BA">
        <w:rPr>
          <w:rFonts w:ascii="Calibri" w:eastAsia="Calibri" w:hAnsi="Calibri" w:cs="Calibri"/>
          <w:color w:val="404040" w:themeColor="text1" w:themeTint="BF"/>
        </w:rPr>
        <w:t xml:space="preserve"> de vida de los mismos, las dificultades materiales y las devenidas de los círculos de violencias se dan no solo ante un sistema de atención insuficiente, sino que el mismo se estructura con dispositivos que no coinciden con el estado actual de los derechos y que han sido objetados desde hace tiempo, inclusive por el Mecanismo Nacional de Prevención de la Tortura (MNP). El acceso a la prevención en salud mental en infancias y adolescencias continúa siendo deficiente ya que, para la demanda de pases a profesionales de salud, la respuesta de ASSE y sistema mutual es restringido se accede a un número limitado de consultas. Es decir, existen largas listas de espera para acudir a servicios de reparación del daño o de tratamiento en salud mental en aquellos lugares donde existen. La falta de recursos, la demora en la respuesta, la respuesta deficiente y las listas de espera ponen en riesgo la vida de niñas y niños.</w:t>
      </w:r>
    </w:p>
    <w:p w14:paraId="4FA6363C" w14:textId="77777777" w:rsidR="005A420E" w:rsidRPr="008866BA" w:rsidRDefault="005A420E">
      <w:pPr>
        <w:widowControl w:val="0"/>
        <w:ind w:left="720"/>
        <w:jc w:val="both"/>
        <w:rPr>
          <w:rFonts w:ascii="Calibri" w:eastAsia="Calibri" w:hAnsi="Calibri" w:cs="Calibri"/>
          <w:color w:val="404040" w:themeColor="text1" w:themeTint="BF"/>
        </w:rPr>
      </w:pPr>
    </w:p>
    <w:p w14:paraId="367B7B7B" w14:textId="77777777" w:rsidR="005A420E" w:rsidRPr="008866BA" w:rsidRDefault="00000000">
      <w:pPr>
        <w:widowControl w:val="0"/>
        <w:ind w:left="1440" w:right="839"/>
        <w:jc w:val="both"/>
        <w:rPr>
          <w:rFonts w:ascii="Calibri" w:eastAsia="Calibri" w:hAnsi="Calibri" w:cs="Calibri"/>
          <w:color w:val="404040" w:themeColor="text1" w:themeTint="BF"/>
        </w:rPr>
      </w:pPr>
      <w:r w:rsidRPr="008866BA">
        <w:rPr>
          <w:rFonts w:ascii="Calibri" w:eastAsia="Calibri" w:hAnsi="Calibri" w:cs="Calibri"/>
          <w:i/>
          <w:color w:val="404040" w:themeColor="text1" w:themeTint="BF"/>
        </w:rPr>
        <w:t>“Por otro lado, resulta significativo presentar la situación de los suicidios de niñas, niños y adolescentes en Uruguay. Los suicidios se encuentran relevados por el Sistema de Gestión de la Seguridad Pública del Ministerio del Interior. Se conoce que durante el período 2002-2014 se registraron 2488 suicidios en Montevideo, de los cuales 15 referían de menores de 15 años</w:t>
      </w:r>
      <w:r w:rsidRPr="008866BA">
        <w:rPr>
          <w:rFonts w:ascii="Calibri" w:eastAsia="Calibri" w:hAnsi="Calibri" w:cs="Calibri"/>
          <w:color w:val="404040" w:themeColor="text1" w:themeTint="BF"/>
        </w:rPr>
        <w:t>”</w:t>
      </w:r>
      <w:r w:rsidRPr="008866BA">
        <w:rPr>
          <w:rFonts w:ascii="Calibri" w:eastAsia="Calibri" w:hAnsi="Calibri" w:cs="Calibri"/>
          <w:color w:val="404040" w:themeColor="text1" w:themeTint="BF"/>
          <w:vertAlign w:val="superscript"/>
        </w:rPr>
        <w:footnoteReference w:id="20"/>
      </w:r>
    </w:p>
    <w:p w14:paraId="3A3CF5CD" w14:textId="77777777" w:rsidR="005A420E" w:rsidRPr="008866BA" w:rsidRDefault="005A420E">
      <w:pPr>
        <w:widowControl w:val="0"/>
        <w:ind w:left="1440"/>
        <w:jc w:val="both"/>
        <w:rPr>
          <w:rFonts w:ascii="Calibri" w:eastAsia="Calibri" w:hAnsi="Calibri" w:cs="Calibri"/>
          <w:color w:val="404040" w:themeColor="text1" w:themeTint="BF"/>
        </w:rPr>
      </w:pPr>
    </w:p>
    <w:p w14:paraId="4FAE8453" w14:textId="77777777" w:rsidR="005A420E" w:rsidRPr="008866BA" w:rsidRDefault="00000000">
      <w:pPr>
        <w:pBdr>
          <w:top w:val="nil"/>
          <w:left w:val="nil"/>
          <w:bottom w:val="nil"/>
          <w:right w:val="nil"/>
          <w:between w:val="nil"/>
        </w:pBd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Por otra parte, el CDNU ya ha señalado la preocupación en relación a la sobremedicalización de infancias y adolescencias, no hay datos suficientes y respecto a la Ley de Salud Mental </w:t>
      </w:r>
      <w:r w:rsidRPr="008866BA">
        <w:rPr>
          <w:rFonts w:ascii="Calibri" w:eastAsia="Calibri" w:hAnsi="Calibri" w:cs="Calibri"/>
          <w:color w:val="404040" w:themeColor="text1" w:themeTint="BF"/>
        </w:rPr>
        <w:lastRenderedPageBreak/>
        <w:t>19.529</w:t>
      </w:r>
      <w:r w:rsidRPr="008866BA">
        <w:rPr>
          <w:rFonts w:ascii="Calibri" w:eastAsia="Calibri" w:hAnsi="Calibri" w:cs="Calibri"/>
          <w:color w:val="404040" w:themeColor="text1" w:themeTint="BF"/>
          <w:vertAlign w:val="superscript"/>
        </w:rPr>
        <w:footnoteReference w:id="21"/>
      </w:r>
      <w:r w:rsidRPr="008866BA">
        <w:rPr>
          <w:rFonts w:ascii="Calibri" w:eastAsia="Calibri" w:hAnsi="Calibri" w:cs="Calibri"/>
          <w:color w:val="404040" w:themeColor="text1" w:themeTint="BF"/>
        </w:rPr>
        <w:t xml:space="preserve">, reglamentada en el 2018 no cuenta con una perspectiva de infancias y adolescencias. </w:t>
      </w:r>
    </w:p>
    <w:p w14:paraId="75174F99" w14:textId="77777777" w:rsidR="005A420E" w:rsidRPr="008866BA" w:rsidRDefault="00000000">
      <w:pPr>
        <w:pBdr>
          <w:top w:val="nil"/>
          <w:left w:val="nil"/>
          <w:bottom w:val="nil"/>
          <w:right w:val="nil"/>
          <w:between w:val="nil"/>
        </w:pBd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Preocupa al CDNU la persistencia de clínicas de atención a situación de agudos, mantienen prácticas de encierro que se han identificado situaciones de malos tratos, descuidos, agresiones verbales, uso de cuartos de aislamiento, además de estadías prolongadas con altas médicas por falta de espacios institucionales, lo que constituye una vulneración de derechos fundamentales y es responsabilidad del Estado velar por su protección</w:t>
      </w:r>
      <w:r w:rsidRPr="008866BA">
        <w:rPr>
          <w:rFonts w:ascii="Calibri" w:eastAsia="Calibri" w:hAnsi="Calibri" w:cs="Calibri"/>
          <w:color w:val="404040" w:themeColor="text1" w:themeTint="BF"/>
          <w:vertAlign w:val="superscript"/>
        </w:rPr>
        <w:footnoteReference w:id="22"/>
      </w:r>
      <w:r w:rsidRPr="008866BA">
        <w:rPr>
          <w:rFonts w:ascii="Calibri" w:eastAsia="Calibri" w:hAnsi="Calibri" w:cs="Calibri"/>
          <w:color w:val="404040" w:themeColor="text1" w:themeTint="BF"/>
        </w:rPr>
        <w:t xml:space="preserve">. </w:t>
      </w:r>
    </w:p>
    <w:p w14:paraId="1A558C8E" w14:textId="77777777" w:rsidR="005A420E" w:rsidRPr="008866BA" w:rsidRDefault="005A420E">
      <w:pPr>
        <w:pBdr>
          <w:top w:val="nil"/>
          <w:left w:val="nil"/>
          <w:bottom w:val="nil"/>
          <w:right w:val="nil"/>
          <w:between w:val="nil"/>
        </w:pBdr>
        <w:ind w:left="720"/>
        <w:jc w:val="both"/>
        <w:rPr>
          <w:rFonts w:ascii="Calibri" w:eastAsia="Calibri" w:hAnsi="Calibri" w:cs="Calibri"/>
          <w:color w:val="404040" w:themeColor="text1" w:themeTint="BF"/>
        </w:rPr>
      </w:pPr>
    </w:p>
    <w:p w14:paraId="5EFDF3AF" w14:textId="77777777" w:rsidR="005A420E" w:rsidRPr="008866BA" w:rsidRDefault="00000000">
      <w:pPr>
        <w:pBdr>
          <w:top w:val="nil"/>
          <w:left w:val="nil"/>
          <w:bottom w:val="nil"/>
          <w:right w:val="nil"/>
          <w:between w:val="nil"/>
        </w:pBd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 xml:space="preserve">Pregunta: </w:t>
      </w:r>
      <w:r w:rsidRPr="008866BA">
        <w:rPr>
          <w:rFonts w:ascii="Calibri" w:eastAsia="Calibri" w:hAnsi="Calibri" w:cs="Calibri"/>
          <w:i/>
          <w:color w:val="404040" w:themeColor="text1" w:themeTint="BF"/>
        </w:rPr>
        <w:t>Sírvase consultar al Estado parte si va a reglamentar la ley de salud mental para infancias y adolescencias, en especial el cumplimiento con el art.  38 de la ley de Salud Mental (</w:t>
      </w:r>
      <w:r w:rsidRPr="008866BA">
        <w:rPr>
          <w:rFonts w:ascii="Calibri" w:eastAsia="Calibri" w:hAnsi="Calibri" w:cs="Calibri"/>
          <w:color w:val="404040" w:themeColor="text1" w:themeTint="BF"/>
        </w:rPr>
        <w:t>19.529)</w:t>
      </w:r>
      <w:r w:rsidRPr="008866BA">
        <w:rPr>
          <w:rFonts w:ascii="Calibri" w:eastAsia="Calibri" w:hAnsi="Calibri" w:cs="Calibri"/>
          <w:i/>
          <w:color w:val="404040" w:themeColor="text1" w:themeTint="BF"/>
        </w:rPr>
        <w:t xml:space="preserve">, que establece el cierre de los centros 24 horas monovalentes para el año 2025 y la prohibición de crear nuevos establecimientos asilares y monovalentes. En este sentido, preguntar qué medidas piensa llevar adelante para el cierre definitivo de estos espacios, así como llevar adelante las investigaciones y sanciones pertinentes ante los casos de tortura, tratos crueles inhumanos y degradantes hacia NNA internados en estos centros. </w:t>
      </w:r>
    </w:p>
    <w:p w14:paraId="4F7A6115" w14:textId="77777777" w:rsidR="005A420E" w:rsidRPr="008866BA" w:rsidRDefault="00000000">
      <w:pPr>
        <w:pBdr>
          <w:top w:val="nil"/>
          <w:left w:val="nil"/>
          <w:bottom w:val="nil"/>
          <w:right w:val="nil"/>
          <w:between w:val="nil"/>
        </w:pBdr>
        <w:ind w:left="720"/>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Qué acciones va a llevar adelante para eliminar situaciones de altas médicas sin aplicar. Por último, consultar si se ha avanzado en dispositivos alternativos al encierro para NNA.   </w:t>
      </w:r>
    </w:p>
    <w:p w14:paraId="24EB3AAC" w14:textId="77777777" w:rsidR="005A420E" w:rsidRPr="008866BA" w:rsidRDefault="00000000">
      <w:pPr>
        <w:ind w:left="720"/>
        <w:jc w:val="both"/>
        <w:rPr>
          <w:rFonts w:ascii="Calibri" w:eastAsia="Calibri" w:hAnsi="Calibri" w:cs="Calibri"/>
          <w:b/>
          <w:i/>
          <w:color w:val="404040" w:themeColor="text1" w:themeTint="BF"/>
        </w:rPr>
      </w:pPr>
      <w:r w:rsidRPr="008866BA">
        <w:rPr>
          <w:rFonts w:ascii="Calibri" w:eastAsia="Calibri" w:hAnsi="Calibri" w:cs="Calibri"/>
          <w:b/>
          <w:i/>
          <w:color w:val="404040" w:themeColor="text1" w:themeTint="BF"/>
        </w:rPr>
        <w:t>Recomendación:</w:t>
      </w:r>
      <w:r w:rsidRPr="008866BA">
        <w:rPr>
          <w:rFonts w:ascii="Calibri" w:eastAsia="Calibri" w:hAnsi="Calibri" w:cs="Calibri"/>
          <w:i/>
          <w:color w:val="404040" w:themeColor="text1" w:themeTint="BF"/>
        </w:rPr>
        <w:t xml:space="preserve"> Instamos al Estado uruguayo a implementar de manera urgente el Plan Nacional de Salud Mental en todas sus dimensiones, poniendo especial énfasis en la prevención y promoción para infancias y adolescencias. </w:t>
      </w:r>
    </w:p>
    <w:p w14:paraId="6F369C5E" w14:textId="77777777" w:rsidR="005A420E" w:rsidRPr="008866BA" w:rsidRDefault="005A420E">
      <w:pPr>
        <w:jc w:val="both"/>
        <w:rPr>
          <w:rFonts w:ascii="Calibri" w:eastAsia="Calibri" w:hAnsi="Calibri" w:cs="Calibri"/>
          <w:b/>
          <w:color w:val="404040" w:themeColor="text1" w:themeTint="BF"/>
        </w:rPr>
      </w:pPr>
    </w:p>
    <w:p w14:paraId="1D19B1B8" w14:textId="77777777" w:rsidR="005A420E" w:rsidRPr="008866BA" w:rsidRDefault="00000000">
      <w:pPr>
        <w:pStyle w:val="Heading2"/>
        <w:rPr>
          <w:color w:val="404040" w:themeColor="text1" w:themeTint="BF"/>
        </w:rPr>
      </w:pPr>
      <w:bookmarkStart w:id="25" w:name="_Toc204787411"/>
      <w:r w:rsidRPr="008866BA">
        <w:rPr>
          <w:color w:val="404040" w:themeColor="text1" w:themeTint="BF"/>
        </w:rPr>
        <w:t>F. Los derechos de niños, niñas y adolescentes y el medio ambiente</w:t>
      </w:r>
      <w:bookmarkEnd w:id="25"/>
      <w:r w:rsidRPr="008866BA">
        <w:rPr>
          <w:color w:val="404040" w:themeColor="text1" w:themeTint="BF"/>
        </w:rPr>
        <w:t xml:space="preserve"> </w:t>
      </w:r>
    </w:p>
    <w:p w14:paraId="7DC3A526" w14:textId="77777777" w:rsidR="005A420E" w:rsidRPr="008866BA" w:rsidRDefault="00000000">
      <w:pPr>
        <w:pStyle w:val="Heading3"/>
        <w:rPr>
          <w:color w:val="404040" w:themeColor="text1" w:themeTint="BF"/>
        </w:rPr>
      </w:pPr>
      <w:bookmarkStart w:id="26" w:name="_Toc204787412"/>
      <w:r w:rsidRPr="008866BA">
        <w:rPr>
          <w:color w:val="404040" w:themeColor="text1" w:themeTint="BF"/>
        </w:rPr>
        <w:t>Justicia climática</w:t>
      </w:r>
      <w:bookmarkEnd w:id="26"/>
    </w:p>
    <w:p w14:paraId="55A3A3AE" w14:textId="77777777" w:rsidR="005A420E" w:rsidRPr="008866BA" w:rsidRDefault="00000000">
      <w:pPr>
        <w:widowControl w:val="0"/>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Un problema emergente es la afectación a los derechos de NNA es el que trae las consecuencias del cambio climático, el agotamiento de las reservas de agua a efecto de ser potabilizada en la región metropolitana constituyó una alerta a la cual no la podemos dejar de considerar. Este asunto repercutió en la calidad de vida y alimentación de las familias, en la sanidad animal que tiene una importancia relevante en la familia multiespecie que es sostén emocional de muchos NNA. Particularmente, la proyección de la variabilidad climática y las dificultades de la implementación de las mitigaciones básicas traen consecuencias en la calidad de vida (olas de temperaturas extremas), ambientes saludables (biodiversidad), derechos al juego y ocio (calidad ambiental). Los NNA no deben ni pueden ser receptores del ambiente dado, sino que tienen que ser sujetos a derecho en el reclamo de lo que hoy se denomina justicia climática. A su vez, el país debería empezar a establecer lazos vinculantes entre las políticas públicas y normativas vigentes y la Observación General nº 26 del Comité de los Derechos del Niño de las Naciones Unidas a efecto de considerar, evaluar y aplicar las consideraciones que se realizan en la misma.</w:t>
      </w:r>
    </w:p>
    <w:p w14:paraId="01CB343D" w14:textId="77777777" w:rsidR="005A420E" w:rsidRPr="008866BA" w:rsidRDefault="005A420E">
      <w:pPr>
        <w:widowControl w:val="0"/>
        <w:ind w:left="720"/>
        <w:jc w:val="both"/>
        <w:rPr>
          <w:rFonts w:ascii="Calibri" w:eastAsia="Calibri" w:hAnsi="Calibri" w:cs="Calibri"/>
          <w:color w:val="404040" w:themeColor="text1" w:themeTint="BF"/>
        </w:rPr>
      </w:pPr>
    </w:p>
    <w:p w14:paraId="6B9FBC75" w14:textId="79D82E5C" w:rsidR="005A420E" w:rsidRPr="008866BA" w:rsidRDefault="00000000">
      <w:pPr>
        <w:widowControl w:val="0"/>
        <w:ind w:left="720"/>
        <w:jc w:val="both"/>
        <w:rPr>
          <w:rFonts w:ascii="Calibri" w:eastAsia="Calibri" w:hAnsi="Calibri" w:cs="Calibri"/>
          <w:color w:val="404040" w:themeColor="text1" w:themeTint="BF"/>
        </w:rPr>
      </w:pPr>
      <w:r w:rsidRPr="008866BA">
        <w:rPr>
          <w:rFonts w:ascii="Calibri" w:eastAsia="Calibri" w:hAnsi="Calibri" w:cs="Calibri"/>
          <w:b/>
          <w:i/>
          <w:color w:val="404040" w:themeColor="text1" w:themeTint="BF"/>
        </w:rPr>
        <w:lastRenderedPageBreak/>
        <w:t>Pregunta:</w:t>
      </w:r>
      <w:r w:rsidRPr="008866BA">
        <w:rPr>
          <w:rFonts w:ascii="Calibri" w:eastAsia="Calibri" w:hAnsi="Calibri" w:cs="Calibri"/>
          <w:color w:val="404040" w:themeColor="text1" w:themeTint="BF"/>
        </w:rPr>
        <w:t xml:space="preserve"> Sírvase preguntarle al Estado parte cuáles han sido los nudos problemáticos en Uruguay en relación al medioambiente y que políticas piensa implementar a corto, mediano y plazo para mitigar las consecuencias del cambio climático. Asimismo, en consonancia con la observación N°26, consultar por el avance en la transversalización de la</w:t>
      </w:r>
      <w:r w:rsidR="00320732">
        <w:rPr>
          <w:rFonts w:ascii="Calibri" w:eastAsia="Calibri" w:hAnsi="Calibri" w:cs="Calibri"/>
          <w:color w:val="404040" w:themeColor="text1" w:themeTint="BF"/>
        </w:rPr>
        <w:t>s</w:t>
      </w:r>
      <w:r w:rsidRPr="008866BA">
        <w:rPr>
          <w:rFonts w:ascii="Calibri" w:eastAsia="Calibri" w:hAnsi="Calibri" w:cs="Calibri"/>
          <w:color w:val="404040" w:themeColor="text1" w:themeTint="BF"/>
        </w:rPr>
        <w:t xml:space="preserve"> políticas </w:t>
      </w:r>
      <w:r w:rsidR="00320732" w:rsidRPr="008866BA">
        <w:rPr>
          <w:rFonts w:ascii="Calibri" w:eastAsia="Calibri" w:hAnsi="Calibri" w:cs="Calibri"/>
          <w:color w:val="404040" w:themeColor="text1" w:themeTint="BF"/>
        </w:rPr>
        <w:t>ambientales en</w:t>
      </w:r>
      <w:r w:rsidRPr="008866BA">
        <w:rPr>
          <w:rFonts w:ascii="Calibri" w:eastAsia="Calibri" w:hAnsi="Calibri" w:cs="Calibri"/>
          <w:color w:val="404040" w:themeColor="text1" w:themeTint="BF"/>
        </w:rPr>
        <w:t xml:space="preserve"> todo el espectro de políticas públicas vinculadas a infancias y adolescencias. </w:t>
      </w:r>
    </w:p>
    <w:p w14:paraId="6A0DCC77" w14:textId="77777777" w:rsidR="005A420E" w:rsidRPr="008866BA" w:rsidRDefault="00000000">
      <w:pPr>
        <w:widowControl w:val="0"/>
        <w:ind w:left="720"/>
        <w:jc w:val="both"/>
        <w:rPr>
          <w:rFonts w:ascii="Calibri" w:eastAsia="Calibri" w:hAnsi="Calibri" w:cs="Calibri"/>
          <w:color w:val="404040" w:themeColor="text1" w:themeTint="BF"/>
        </w:rPr>
      </w:pPr>
      <w:r w:rsidRPr="008866BA">
        <w:rPr>
          <w:rFonts w:ascii="Calibri" w:eastAsia="Calibri" w:hAnsi="Calibri" w:cs="Calibri"/>
          <w:b/>
          <w:i/>
          <w:color w:val="404040" w:themeColor="text1" w:themeTint="BF"/>
        </w:rPr>
        <w:t>Recomendaciones:</w:t>
      </w:r>
      <w:r w:rsidRPr="008866BA">
        <w:rPr>
          <w:rFonts w:ascii="Calibri" w:eastAsia="Calibri" w:hAnsi="Calibri" w:cs="Calibri"/>
          <w:color w:val="404040" w:themeColor="text1" w:themeTint="BF"/>
        </w:rPr>
        <w:t xml:space="preserve"> </w:t>
      </w:r>
    </w:p>
    <w:p w14:paraId="2E69DAA8" w14:textId="77777777" w:rsidR="005A420E" w:rsidRPr="008866BA" w:rsidRDefault="00000000">
      <w:pPr>
        <w:widowControl w:val="0"/>
        <w:numPr>
          <w:ilvl w:val="0"/>
          <w:numId w:val="15"/>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Implementar políticas para mitigar las consecuencias del cambio climático y empoderar a los NNA en tanto sujetos de derechos en relación a su participación en el proceso de la discusión acerca de políticas ambientales. </w:t>
      </w:r>
    </w:p>
    <w:p w14:paraId="2DF62850" w14:textId="274C88AB" w:rsidR="005A420E" w:rsidRPr="008866BA" w:rsidRDefault="00000000">
      <w:pPr>
        <w:widowControl w:val="0"/>
        <w:numPr>
          <w:ilvl w:val="0"/>
          <w:numId w:val="15"/>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Elaborar un Manual de Buenas Prácticas derivadas de la Observación General </w:t>
      </w:r>
      <w:r w:rsidR="00C87E9D">
        <w:rPr>
          <w:rFonts w:ascii="Calibri" w:eastAsia="Calibri" w:hAnsi="Calibri" w:cs="Calibri"/>
          <w:color w:val="404040" w:themeColor="text1" w:themeTint="BF"/>
        </w:rPr>
        <w:t>N</w:t>
      </w:r>
      <w:r w:rsidRPr="008866BA">
        <w:rPr>
          <w:rFonts w:ascii="Calibri" w:eastAsia="Calibri" w:hAnsi="Calibri" w:cs="Calibri"/>
          <w:color w:val="404040" w:themeColor="text1" w:themeTint="BF"/>
        </w:rPr>
        <w:t xml:space="preserve">º 26 del Comité de los Derechos del Niño con destino a la gestión de todos los espacios donde se desarrollan las actividades de NNA y a su hábitat. </w:t>
      </w:r>
    </w:p>
    <w:p w14:paraId="57755143" w14:textId="77777777" w:rsidR="005A420E" w:rsidRPr="008866BA" w:rsidRDefault="005A420E">
      <w:pPr>
        <w:widowControl w:val="0"/>
        <w:jc w:val="both"/>
        <w:rPr>
          <w:rFonts w:ascii="Calibri" w:eastAsia="Calibri" w:hAnsi="Calibri" w:cs="Calibri"/>
          <w:color w:val="404040" w:themeColor="text1" w:themeTint="BF"/>
          <w:shd w:val="clear" w:color="auto" w:fill="B6D7A8"/>
        </w:rPr>
      </w:pPr>
    </w:p>
    <w:p w14:paraId="4ABB6D20" w14:textId="77777777" w:rsidR="005A420E" w:rsidRPr="008866BA" w:rsidRDefault="00000000">
      <w:pPr>
        <w:pStyle w:val="Heading2"/>
        <w:rPr>
          <w:color w:val="404040" w:themeColor="text1" w:themeTint="BF"/>
        </w:rPr>
      </w:pPr>
      <w:bookmarkStart w:id="27" w:name="_Toc204787413"/>
      <w:r w:rsidRPr="008866BA">
        <w:rPr>
          <w:color w:val="404040" w:themeColor="text1" w:themeTint="BF"/>
        </w:rPr>
        <w:t>G. Educación, esparcimiento y actividades culturales</w:t>
      </w:r>
      <w:bookmarkEnd w:id="27"/>
    </w:p>
    <w:p w14:paraId="13565326" w14:textId="77777777" w:rsidR="005A420E" w:rsidRPr="008866BA" w:rsidRDefault="00000000">
      <w:pPr>
        <w:pStyle w:val="Heading3"/>
        <w:rPr>
          <w:color w:val="404040" w:themeColor="text1" w:themeTint="BF"/>
        </w:rPr>
      </w:pPr>
      <w:bookmarkStart w:id="28" w:name="_Toc204787414"/>
      <w:r w:rsidRPr="008866BA">
        <w:rPr>
          <w:color w:val="404040" w:themeColor="text1" w:themeTint="BF"/>
        </w:rPr>
        <w:t>Educación</w:t>
      </w:r>
      <w:bookmarkEnd w:id="28"/>
    </w:p>
    <w:p w14:paraId="71C08935"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La deserción educativa y el ausentismo escolar son uno de los factores más preocupantes en la última década. En ese sentido, en el año 2023 se diseñó un Plan de Acción para mejorar la asistencia en Educación inicial y primaria</w:t>
      </w:r>
      <w:r w:rsidRPr="008866BA">
        <w:rPr>
          <w:rFonts w:ascii="Calibri" w:eastAsia="Calibri" w:hAnsi="Calibri" w:cs="Calibri"/>
          <w:color w:val="404040" w:themeColor="text1" w:themeTint="BF"/>
          <w:vertAlign w:val="superscript"/>
        </w:rPr>
        <w:footnoteReference w:id="23"/>
      </w:r>
      <w:r w:rsidRPr="008866BA">
        <w:rPr>
          <w:rFonts w:ascii="Calibri" w:eastAsia="Calibri" w:hAnsi="Calibri" w:cs="Calibri"/>
          <w:color w:val="404040" w:themeColor="text1" w:themeTint="BF"/>
        </w:rPr>
        <w:t>, ya que en 2023 se registró un pico histórico del 22.6% de asistencia insuficiente a nivel nacional de 1ero a 6to de primaria, según datos del monitor de ANEP</w:t>
      </w:r>
      <w:r w:rsidRPr="008866BA">
        <w:rPr>
          <w:rFonts w:ascii="Calibri" w:eastAsia="Calibri" w:hAnsi="Calibri" w:cs="Calibri"/>
          <w:color w:val="404040" w:themeColor="text1" w:themeTint="BF"/>
          <w:vertAlign w:val="superscript"/>
        </w:rPr>
        <w:footnoteReference w:id="24"/>
      </w:r>
      <w:r w:rsidRPr="008866BA">
        <w:rPr>
          <w:rFonts w:ascii="Calibri" w:eastAsia="Calibri" w:hAnsi="Calibri" w:cs="Calibri"/>
          <w:color w:val="404040" w:themeColor="text1" w:themeTint="BF"/>
        </w:rPr>
        <w:t xml:space="preserve">. En 2024 esa cifra descendió al 17% pero continúa la preocupación por la mantención de un guarismo de inasistencia elevado. </w:t>
      </w:r>
    </w:p>
    <w:p w14:paraId="025C9D22"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Por su parte, la sociedad civil organizada tiene una mirada crítica en relación a las modificaciones introducidas a La Ley Nacional de Educación, ya que resulta alarmante la ausencia de la perspectiva e interés de los NNA en las políticas educativas y la participación de los mismos en instancias decisoras. Por último, el presupuesto destinado continúa siendo deficitario y por debajo de lo deseable</w:t>
      </w:r>
      <w:r w:rsidRPr="008866BA">
        <w:rPr>
          <w:rFonts w:ascii="Calibri" w:eastAsia="Calibri" w:hAnsi="Calibri" w:cs="Calibri"/>
          <w:color w:val="404040" w:themeColor="text1" w:themeTint="BF"/>
          <w:vertAlign w:val="superscript"/>
        </w:rPr>
        <w:footnoteReference w:id="25"/>
      </w:r>
      <w:r w:rsidRPr="008866BA">
        <w:rPr>
          <w:rFonts w:ascii="Calibri" w:eastAsia="Calibri" w:hAnsi="Calibri" w:cs="Calibri"/>
          <w:color w:val="404040" w:themeColor="text1" w:themeTint="BF"/>
        </w:rPr>
        <w:t>.</w:t>
      </w:r>
    </w:p>
    <w:p w14:paraId="3604E3F7" w14:textId="77777777" w:rsidR="005A420E" w:rsidRPr="008866BA" w:rsidRDefault="005A420E">
      <w:pPr>
        <w:ind w:left="720"/>
        <w:jc w:val="both"/>
        <w:rPr>
          <w:rFonts w:ascii="Calibri" w:eastAsia="Calibri" w:hAnsi="Calibri" w:cs="Calibri"/>
          <w:color w:val="404040" w:themeColor="text1" w:themeTint="BF"/>
        </w:rPr>
      </w:pPr>
    </w:p>
    <w:p w14:paraId="74AA4090"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Preguntas:</w:t>
      </w:r>
      <w:r w:rsidRPr="008866BA">
        <w:rPr>
          <w:rFonts w:ascii="Calibri" w:eastAsia="Calibri" w:hAnsi="Calibri" w:cs="Calibri"/>
          <w:i/>
          <w:color w:val="404040" w:themeColor="text1" w:themeTint="BF"/>
        </w:rPr>
        <w:t xml:space="preserve"> Sírvase preguntar al Estado parte por las políticas referidas a políticas en materia educativas, cuáles han sido los avances y retrocesos en términos de calidad y también de participación de NNA. </w:t>
      </w:r>
    </w:p>
    <w:p w14:paraId="427BD03E" w14:textId="77777777" w:rsidR="005A420E" w:rsidRPr="008866BA" w:rsidRDefault="00000000">
      <w:pPr>
        <w:ind w:left="720"/>
        <w:jc w:val="both"/>
        <w:rPr>
          <w:rFonts w:ascii="Calibri" w:eastAsia="Calibri" w:hAnsi="Calibri" w:cs="Calibri"/>
          <w:b/>
          <w:i/>
          <w:color w:val="404040" w:themeColor="text1" w:themeTint="BF"/>
        </w:rPr>
      </w:pPr>
      <w:r w:rsidRPr="008866BA">
        <w:rPr>
          <w:rFonts w:ascii="Calibri" w:eastAsia="Calibri" w:hAnsi="Calibri" w:cs="Calibri"/>
          <w:b/>
          <w:i/>
          <w:color w:val="404040" w:themeColor="text1" w:themeTint="BF"/>
        </w:rPr>
        <w:t>Recomendaciones:</w:t>
      </w:r>
    </w:p>
    <w:p w14:paraId="22F0C526" w14:textId="77777777" w:rsidR="005A420E" w:rsidRPr="008866BA" w:rsidRDefault="00000000">
      <w:pPr>
        <w:numPr>
          <w:ilvl w:val="0"/>
          <w:numId w:val="5"/>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Aumentar el presupuesto nacional para la Educación. </w:t>
      </w:r>
    </w:p>
    <w:p w14:paraId="09C8087E" w14:textId="77777777" w:rsidR="005A420E" w:rsidRPr="008866BA" w:rsidRDefault="00000000">
      <w:pPr>
        <w:numPr>
          <w:ilvl w:val="0"/>
          <w:numId w:val="5"/>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Modificar la Ley Nacional de Educación para implementar espacios de discusión y decisión que incorpore la perspectiva y opiniones de infancias y adolescencias en materia de políticas educativas. </w:t>
      </w:r>
    </w:p>
    <w:p w14:paraId="59FA7A67" w14:textId="77777777" w:rsidR="005A420E" w:rsidRPr="008866BA" w:rsidRDefault="00000000">
      <w:pPr>
        <w:numPr>
          <w:ilvl w:val="0"/>
          <w:numId w:val="5"/>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Profundizar las políticas dirigidas a garantizar la trayectoria educativa, fortaleciendo la capacidad de retención de los centros educativos, el despliegue de estrategias para el logro escolar y protegiendo la desvinculación educativa.</w:t>
      </w:r>
    </w:p>
    <w:p w14:paraId="793696D5" w14:textId="77777777" w:rsidR="005A420E" w:rsidRPr="008866BA" w:rsidRDefault="00000000">
      <w:pPr>
        <w:pStyle w:val="Heading2"/>
        <w:rPr>
          <w:color w:val="404040" w:themeColor="text1" w:themeTint="BF"/>
        </w:rPr>
      </w:pPr>
      <w:bookmarkStart w:id="29" w:name="_Toc204787415"/>
      <w:r w:rsidRPr="008866BA">
        <w:rPr>
          <w:color w:val="404040" w:themeColor="text1" w:themeTint="BF"/>
        </w:rPr>
        <w:lastRenderedPageBreak/>
        <w:t>H. Medidas especiales de protección</w:t>
      </w:r>
      <w:bookmarkEnd w:id="29"/>
      <w:r w:rsidRPr="008866BA">
        <w:rPr>
          <w:color w:val="404040" w:themeColor="text1" w:themeTint="BF"/>
        </w:rPr>
        <w:t xml:space="preserve"> </w:t>
      </w:r>
    </w:p>
    <w:p w14:paraId="3E456C47" w14:textId="77777777" w:rsidR="005A420E" w:rsidRPr="008866BA" w:rsidRDefault="00000000">
      <w:pPr>
        <w:pStyle w:val="Heading3"/>
        <w:rPr>
          <w:color w:val="404040" w:themeColor="text1" w:themeTint="BF"/>
          <w:sz w:val="26"/>
          <w:szCs w:val="26"/>
        </w:rPr>
      </w:pPr>
      <w:bookmarkStart w:id="30" w:name="_Toc204787416"/>
      <w:r w:rsidRPr="008866BA">
        <w:rPr>
          <w:color w:val="404040" w:themeColor="text1" w:themeTint="BF"/>
        </w:rPr>
        <w:t>Niños, niñas y adolescentes solicitantes de asilo, refugiados y migrantes</w:t>
      </w:r>
      <w:bookmarkEnd w:id="30"/>
    </w:p>
    <w:p w14:paraId="0857C639"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Desde el año 2013, Uruguay no fue la excepción a la tendencia mundial y viene experimentando un aumento de la población migratoria, en este caso proveniente mayoritariamente de la región caribeña.  En el año 2022, se lanzó el primer Plan Nacional de Integración para personas migrantes solicitantes de refugio y refugiadas </w:t>
      </w:r>
      <w:r w:rsidRPr="008866BA">
        <w:rPr>
          <w:rFonts w:ascii="Calibri" w:eastAsia="Calibri" w:hAnsi="Calibri" w:cs="Calibri"/>
          <w:color w:val="404040" w:themeColor="text1" w:themeTint="BF"/>
          <w:vertAlign w:val="superscript"/>
        </w:rPr>
        <w:footnoteReference w:id="26"/>
      </w:r>
      <w:r w:rsidRPr="008866BA">
        <w:rPr>
          <w:rFonts w:ascii="Calibri" w:eastAsia="Calibri" w:hAnsi="Calibri" w:cs="Calibri"/>
          <w:color w:val="404040" w:themeColor="text1" w:themeTint="BF"/>
        </w:rPr>
        <w:t>, impulsado por la Junta Nacional de Migraciones, órgano asesor y coordinador de políticas en la materia y dependiente del poder ejecutivo y por la Comisión de Refugiados (CORE), en el año 2023</w:t>
      </w:r>
      <w:r w:rsidRPr="008866BA">
        <w:rPr>
          <w:rFonts w:ascii="Calibri" w:eastAsia="Calibri" w:hAnsi="Calibri" w:cs="Calibri"/>
          <w:color w:val="404040" w:themeColor="text1" w:themeTint="BF"/>
          <w:vertAlign w:val="superscript"/>
        </w:rPr>
        <w:footnoteReference w:id="27"/>
      </w:r>
      <w:r w:rsidRPr="008866BA">
        <w:rPr>
          <w:rFonts w:ascii="Calibri" w:eastAsia="Calibri" w:hAnsi="Calibri" w:cs="Calibri"/>
          <w:color w:val="404040" w:themeColor="text1" w:themeTint="BF"/>
        </w:rPr>
        <w:t xml:space="preserve">fue diseñado interinstitucionalmente con el objetivo de ser implementado en 2024. </w:t>
      </w:r>
    </w:p>
    <w:p w14:paraId="2A5C37CC"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El marco normativo uruguayo en relación a la población migrante tiene una perspectiva, en términos generales, integradora e inclusiva en el acceso a derechos, pero resta profundizar en la inclusión sociolaboral, acceso a la vivienda y protección, afectando tanto a l población adulta como a las infancias y adolescencias migrantes</w:t>
      </w:r>
      <w:r w:rsidRPr="008866BA">
        <w:rPr>
          <w:rFonts w:ascii="Calibri" w:eastAsia="Calibri" w:hAnsi="Calibri" w:cs="Calibri"/>
          <w:color w:val="404040" w:themeColor="text1" w:themeTint="BF"/>
          <w:vertAlign w:val="superscript"/>
        </w:rPr>
        <w:footnoteReference w:id="28"/>
      </w:r>
      <w:r w:rsidRPr="008866BA">
        <w:rPr>
          <w:rFonts w:ascii="Calibri" w:eastAsia="Calibri" w:hAnsi="Calibri" w:cs="Calibri"/>
          <w:color w:val="404040" w:themeColor="text1" w:themeTint="BF"/>
        </w:rPr>
        <w:t xml:space="preserve">. Según datos de UNICEF, entre el año 2015 y 2019 la proporción de NNA creció un 52%, por lo tanto, se presenta como una población destinataria de políticas focalizadas en término de facilitar e igualar el acceso a derechos, tanto para NNA como para sus familias. </w:t>
      </w:r>
    </w:p>
    <w:p w14:paraId="2ED564B4" w14:textId="77777777" w:rsidR="005A420E" w:rsidRPr="008866BA" w:rsidRDefault="005A420E">
      <w:pPr>
        <w:ind w:left="720"/>
        <w:jc w:val="both"/>
        <w:rPr>
          <w:rFonts w:ascii="Calibri" w:eastAsia="Calibri" w:hAnsi="Calibri" w:cs="Calibri"/>
          <w:color w:val="404040" w:themeColor="text1" w:themeTint="BF"/>
        </w:rPr>
      </w:pPr>
    </w:p>
    <w:p w14:paraId="4B850DD4"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 xml:space="preserve">Pregunta: </w:t>
      </w:r>
      <w:r w:rsidRPr="008866BA">
        <w:rPr>
          <w:rFonts w:ascii="Calibri" w:eastAsia="Calibri" w:hAnsi="Calibri" w:cs="Calibri"/>
          <w:i/>
          <w:color w:val="404040" w:themeColor="text1" w:themeTint="BF"/>
        </w:rPr>
        <w:t xml:space="preserve">Sírvase consultar al Estado uruguayo por los resultados preliminares del Plan Nacional de Integración y cuáles son las estrategias a mejorar y profundizar con el foco puesto en las infancias y adolescencias migrantes. </w:t>
      </w:r>
    </w:p>
    <w:p w14:paraId="4A705FF2"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 xml:space="preserve">Recomendación: </w:t>
      </w:r>
      <w:r w:rsidRPr="008866BA">
        <w:rPr>
          <w:rFonts w:ascii="Calibri" w:eastAsia="Calibri" w:hAnsi="Calibri" w:cs="Calibri"/>
          <w:i/>
          <w:color w:val="404040" w:themeColor="text1" w:themeTint="BF"/>
        </w:rPr>
        <w:t xml:space="preserve">Profundizar la implementación de políticas públicas que contribuyan a la efectivización de la equidad en términos de acceso a derechos de los NNA migrantes y refugiados, monitoreando su eficiencia y readaptándolas a los posibles emergentes y necesidades de esta población específica.  </w:t>
      </w:r>
    </w:p>
    <w:p w14:paraId="541DB043" w14:textId="77777777" w:rsidR="005A420E" w:rsidRPr="008866BA" w:rsidRDefault="00000000">
      <w:pPr>
        <w:pStyle w:val="Heading3"/>
        <w:rPr>
          <w:color w:val="404040" w:themeColor="text1" w:themeTint="BF"/>
          <w:sz w:val="26"/>
          <w:szCs w:val="26"/>
        </w:rPr>
      </w:pPr>
      <w:bookmarkStart w:id="31" w:name="_Toc204787417"/>
      <w:r w:rsidRPr="008866BA">
        <w:rPr>
          <w:color w:val="404040" w:themeColor="text1" w:themeTint="BF"/>
        </w:rPr>
        <w:t>Explotación económica, incluido el trabajo infantil</w:t>
      </w:r>
      <w:bookmarkEnd w:id="31"/>
    </w:p>
    <w:p w14:paraId="11FFE305" w14:textId="26AF384A"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La última información disponible sobre cifras acerca del trabajo infantil en Uruguay data de 2010. Para esa fecha, los datos oficiales indicaban la existencia de 68.000 NNA en esa situación y que la cifra ascendía a 93000 si se tomaban en cuenta las tareas de cuidado no remunerado</w:t>
      </w:r>
      <w:r w:rsidRPr="008866BA">
        <w:rPr>
          <w:rFonts w:ascii="Calibri" w:eastAsia="Calibri" w:hAnsi="Calibri" w:cs="Calibri"/>
          <w:color w:val="404040" w:themeColor="text1" w:themeTint="BF"/>
          <w:vertAlign w:val="superscript"/>
        </w:rPr>
        <w:footnoteReference w:id="29"/>
      </w:r>
      <w:r w:rsidRPr="008866BA">
        <w:rPr>
          <w:rFonts w:ascii="Calibri" w:eastAsia="Calibri" w:hAnsi="Calibri" w:cs="Calibri"/>
          <w:color w:val="404040" w:themeColor="text1" w:themeTint="BF"/>
        </w:rPr>
        <w:t xml:space="preserve">. Cabe mencionar que próximamente se publicará (prevista para 2025) una nueva encuesta nacional sobre trabajo infantil, que permitirá </w:t>
      </w:r>
      <w:r w:rsidR="006811F7" w:rsidRPr="008866BA">
        <w:rPr>
          <w:rFonts w:ascii="Calibri" w:eastAsia="Calibri" w:hAnsi="Calibri" w:cs="Calibri"/>
          <w:color w:val="404040" w:themeColor="text1" w:themeTint="BF"/>
        </w:rPr>
        <w:t xml:space="preserve">contar </w:t>
      </w:r>
      <w:r w:rsidRPr="008866BA">
        <w:rPr>
          <w:rFonts w:ascii="Calibri" w:eastAsia="Calibri" w:hAnsi="Calibri" w:cs="Calibri"/>
          <w:color w:val="404040" w:themeColor="text1" w:themeTint="BF"/>
        </w:rPr>
        <w:t xml:space="preserve">con cifras actualizadas. Si bien Uruguay posee conformado el </w:t>
      </w:r>
      <w:r w:rsidRPr="008866BA">
        <w:rPr>
          <w:rFonts w:ascii="Calibri" w:eastAsia="Calibri" w:hAnsi="Calibri" w:cs="Calibri"/>
          <w:b/>
          <w:bCs/>
          <w:color w:val="404040" w:themeColor="text1" w:themeTint="BF"/>
        </w:rPr>
        <w:t>C</w:t>
      </w:r>
      <w:r w:rsidRPr="008866BA">
        <w:rPr>
          <w:rFonts w:ascii="Calibri" w:eastAsia="Calibri" w:hAnsi="Calibri" w:cs="Calibri"/>
          <w:b/>
          <w:color w:val="404040" w:themeColor="text1" w:themeTint="BF"/>
        </w:rPr>
        <w:t>omité Nacional para la Erradicación del Trabajo Infantil (CETI) desde el año 2000</w:t>
      </w:r>
      <w:r w:rsidRPr="008866BA">
        <w:rPr>
          <w:rFonts w:ascii="Calibri" w:eastAsia="Calibri" w:hAnsi="Calibri" w:cs="Calibri"/>
          <w:color w:val="404040" w:themeColor="text1" w:themeTint="BF"/>
        </w:rPr>
        <w:t xml:space="preserve">, el mismo no cuenta con presupuesto ni estructura para su funcionamiento, no se ha cambiado la </w:t>
      </w:r>
      <w:r w:rsidR="006811F7" w:rsidRPr="008866BA">
        <w:rPr>
          <w:rFonts w:ascii="Calibri" w:eastAsia="Calibri" w:hAnsi="Calibri" w:cs="Calibri"/>
          <w:color w:val="404040" w:themeColor="text1" w:themeTint="BF"/>
        </w:rPr>
        <w:t>institucionalidad</w:t>
      </w:r>
      <w:r w:rsidRPr="008866BA">
        <w:rPr>
          <w:rFonts w:ascii="Calibri" w:eastAsia="Calibri" w:hAnsi="Calibri" w:cs="Calibri"/>
          <w:color w:val="404040" w:themeColor="text1" w:themeTint="BF"/>
        </w:rPr>
        <w:t xml:space="preserve"> y nunca se implementó un Plan </w:t>
      </w:r>
      <w:r w:rsidRPr="008866BA">
        <w:rPr>
          <w:rFonts w:ascii="Calibri" w:eastAsia="Calibri" w:hAnsi="Calibri" w:cs="Calibri"/>
          <w:color w:val="404040" w:themeColor="text1" w:themeTint="BF"/>
        </w:rPr>
        <w:lastRenderedPageBreak/>
        <w:t>estratégico para la erradicación y prevención del trabajo infantil</w:t>
      </w:r>
      <w:r w:rsidRPr="008866BA">
        <w:rPr>
          <w:rFonts w:ascii="Calibri" w:eastAsia="Calibri" w:hAnsi="Calibri" w:cs="Calibri"/>
          <w:color w:val="404040" w:themeColor="text1" w:themeTint="BF"/>
          <w:vertAlign w:val="superscript"/>
        </w:rPr>
        <w:footnoteReference w:id="30"/>
      </w:r>
      <w:r w:rsidRPr="008866BA">
        <w:rPr>
          <w:rFonts w:ascii="Calibri" w:eastAsia="Calibri" w:hAnsi="Calibri" w:cs="Calibri"/>
          <w:color w:val="404040" w:themeColor="text1" w:themeTint="BF"/>
        </w:rPr>
        <w:t>. En ese sentido, el gobierno recién entrante (2025) señaló que, en base a los resultados de la encuesta en procesamiento, se diseñará el primer plan estratégico</w:t>
      </w:r>
      <w:r w:rsidRPr="008866BA">
        <w:rPr>
          <w:rFonts w:ascii="Calibri" w:eastAsia="Calibri" w:hAnsi="Calibri" w:cs="Calibri"/>
          <w:color w:val="404040" w:themeColor="text1" w:themeTint="BF"/>
          <w:vertAlign w:val="superscript"/>
        </w:rPr>
        <w:footnoteReference w:id="31"/>
      </w:r>
      <w:r w:rsidRPr="008866BA">
        <w:rPr>
          <w:rFonts w:ascii="Calibri" w:eastAsia="Calibri" w:hAnsi="Calibri" w:cs="Calibri"/>
          <w:color w:val="404040" w:themeColor="text1" w:themeTint="BF"/>
        </w:rPr>
        <w:t xml:space="preserve">.  </w:t>
      </w:r>
    </w:p>
    <w:p w14:paraId="20B4E0C7" w14:textId="77777777" w:rsidR="005A420E" w:rsidRPr="008866BA" w:rsidRDefault="005A420E">
      <w:pPr>
        <w:ind w:left="720"/>
        <w:jc w:val="both"/>
        <w:rPr>
          <w:rFonts w:ascii="Calibri" w:eastAsia="Calibri" w:hAnsi="Calibri" w:cs="Calibri"/>
          <w:color w:val="404040" w:themeColor="text1" w:themeTint="BF"/>
        </w:rPr>
      </w:pPr>
    </w:p>
    <w:p w14:paraId="56200157"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i/>
          <w:color w:val="404040" w:themeColor="text1" w:themeTint="BF"/>
        </w:rPr>
        <w:t xml:space="preserve">Pregunta: </w:t>
      </w:r>
      <w:r w:rsidRPr="008866BA">
        <w:rPr>
          <w:rFonts w:ascii="Calibri" w:eastAsia="Calibri" w:hAnsi="Calibri" w:cs="Calibri"/>
          <w:i/>
          <w:color w:val="404040" w:themeColor="text1" w:themeTint="BF"/>
        </w:rPr>
        <w:t xml:space="preserve">Sírvase consultar al Estado parte acerca del diagnóstico elaborado sobre el trabajo y explotación infantil en Uruguay, así como las políticas que implementará a corto, mediano y largo plazo para su erradicación y prevención. </w:t>
      </w:r>
    </w:p>
    <w:p w14:paraId="24E058A6" w14:textId="5AF30BB5"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b/>
          <w:i/>
          <w:color w:val="404040" w:themeColor="text1" w:themeTint="BF"/>
        </w:rPr>
        <w:t>Recomendación:</w:t>
      </w:r>
      <w:r w:rsidRPr="008866BA">
        <w:rPr>
          <w:rFonts w:ascii="Calibri" w:eastAsia="Calibri" w:hAnsi="Calibri" w:cs="Calibri"/>
          <w:i/>
          <w:color w:val="404040" w:themeColor="text1" w:themeTint="BF"/>
        </w:rPr>
        <w:t xml:space="preserve"> Implementar un plan estratégico de alcance nacional para la prevención, erradicación del trabajo y la explotación infantil con perspectiva de género, </w:t>
      </w:r>
      <w:r w:rsidR="006811F7" w:rsidRPr="008866BA">
        <w:rPr>
          <w:rFonts w:ascii="Calibri" w:eastAsia="Calibri" w:hAnsi="Calibri" w:cs="Calibri"/>
          <w:i/>
          <w:color w:val="404040" w:themeColor="text1" w:themeTint="BF"/>
        </w:rPr>
        <w:t>étnico</w:t>
      </w:r>
      <w:r w:rsidRPr="008866BA">
        <w:rPr>
          <w:rFonts w:ascii="Calibri" w:eastAsia="Calibri" w:hAnsi="Calibri" w:cs="Calibri"/>
          <w:i/>
          <w:color w:val="404040" w:themeColor="text1" w:themeTint="BF"/>
        </w:rPr>
        <w:t xml:space="preserve">-raciales, económicas, culturales y geográficas. </w:t>
      </w:r>
    </w:p>
    <w:p w14:paraId="4DB59D50" w14:textId="77777777" w:rsidR="005A420E" w:rsidRPr="008866BA" w:rsidRDefault="00000000">
      <w:pPr>
        <w:pStyle w:val="Heading3"/>
        <w:rPr>
          <w:color w:val="404040" w:themeColor="text1" w:themeTint="BF"/>
        </w:rPr>
      </w:pPr>
      <w:bookmarkStart w:id="32" w:name="_Toc204787418"/>
      <w:r w:rsidRPr="008866BA">
        <w:rPr>
          <w:color w:val="404040" w:themeColor="text1" w:themeTint="BF"/>
        </w:rPr>
        <w:t>Niños, niñas y adolescentes en situación de calle</w:t>
      </w:r>
      <w:bookmarkEnd w:id="32"/>
    </w:p>
    <w:p w14:paraId="4B60EB11" w14:textId="77777777" w:rsidR="005A420E" w:rsidRPr="008866BA" w:rsidRDefault="00000000">
      <w:pPr>
        <w:ind w:left="708"/>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Si bien se ha reducido drásticamente la cantidad de NNA en situación de calle desde el año 2004 (3100 en zona Metropolitana) hasta el año 2023 (889 atendidos por INAU), las cifras continúan siendo elevadas. En el año 2019, el INAU presentó el Plan Nacional de Atención a Niños, Niñas y Adolescentes en Situación de Calle</w:t>
      </w:r>
      <w:r w:rsidRPr="008866BA">
        <w:rPr>
          <w:rFonts w:ascii="Calibri" w:eastAsia="Calibri" w:hAnsi="Calibri" w:cs="Calibri"/>
          <w:color w:val="404040" w:themeColor="text1" w:themeTint="BF"/>
          <w:vertAlign w:val="superscript"/>
        </w:rPr>
        <w:footnoteReference w:id="32"/>
      </w:r>
      <w:r w:rsidRPr="008866BA">
        <w:rPr>
          <w:rFonts w:ascii="Calibri" w:eastAsia="Calibri" w:hAnsi="Calibri" w:cs="Calibri"/>
          <w:color w:val="404040" w:themeColor="text1" w:themeTint="BF"/>
        </w:rPr>
        <w:t xml:space="preserve">, en el marco del compromiso asumido por de implementar “Uruguay País Pionero” vinculado al Comentario General Nº21 del Comité de los Derechos del Niño de Naciones Unidas. Si bien el INAU continúa el </w:t>
      </w:r>
      <w:r w:rsidRPr="008866BA">
        <w:rPr>
          <w:rFonts w:ascii="Calibri" w:eastAsia="Calibri" w:hAnsi="Calibri" w:cs="Calibri"/>
          <w:i/>
          <w:color w:val="404040" w:themeColor="text1" w:themeTint="BF"/>
        </w:rPr>
        <w:t>Programa Calle y Calle Extrema</w:t>
      </w:r>
      <w:r w:rsidRPr="008866BA">
        <w:rPr>
          <w:rFonts w:ascii="Calibri" w:eastAsia="Calibri" w:hAnsi="Calibri" w:cs="Calibri"/>
          <w:color w:val="404040" w:themeColor="text1" w:themeTint="BF"/>
        </w:rPr>
        <w:t xml:space="preserve">, nunca se puso en marcha un plan Nacional de Atención. Cabe destacar además que no se cuenta con información estadística actualizada. </w:t>
      </w:r>
    </w:p>
    <w:p w14:paraId="6026BF52" w14:textId="77777777" w:rsidR="005A420E" w:rsidRPr="008866BA" w:rsidRDefault="005A420E">
      <w:pPr>
        <w:ind w:left="720"/>
        <w:jc w:val="both"/>
        <w:rPr>
          <w:rFonts w:ascii="Calibri" w:eastAsia="Calibri" w:hAnsi="Calibri" w:cs="Calibri"/>
          <w:color w:val="404040" w:themeColor="text1" w:themeTint="BF"/>
        </w:rPr>
      </w:pPr>
    </w:p>
    <w:p w14:paraId="498685F4" w14:textId="77777777" w:rsidR="005A420E" w:rsidRPr="008866BA" w:rsidRDefault="00000000">
      <w:pPr>
        <w:ind w:left="720"/>
        <w:jc w:val="both"/>
        <w:rPr>
          <w:rFonts w:ascii="Calibri" w:eastAsia="Calibri" w:hAnsi="Calibri" w:cs="Calibri"/>
          <w:i/>
          <w:color w:val="404040" w:themeColor="text1" w:themeTint="BF"/>
        </w:rPr>
      </w:pPr>
      <w:r w:rsidRPr="008866BA">
        <w:rPr>
          <w:rFonts w:ascii="Calibri" w:eastAsia="Calibri" w:hAnsi="Calibri" w:cs="Calibri"/>
          <w:b/>
          <w:color w:val="404040" w:themeColor="text1" w:themeTint="BF"/>
        </w:rPr>
        <w:t>Pregunta:</w:t>
      </w:r>
      <w:r w:rsidRPr="008866BA">
        <w:rPr>
          <w:rFonts w:ascii="Calibri" w:eastAsia="Calibri" w:hAnsi="Calibri" w:cs="Calibri"/>
          <w:color w:val="404040" w:themeColor="text1" w:themeTint="BF"/>
        </w:rPr>
        <w:t xml:space="preserve"> </w:t>
      </w:r>
      <w:r w:rsidRPr="008866BA">
        <w:rPr>
          <w:rFonts w:ascii="Calibri" w:eastAsia="Calibri" w:hAnsi="Calibri" w:cs="Calibri"/>
          <w:i/>
          <w:color w:val="404040" w:themeColor="text1" w:themeTint="BF"/>
        </w:rPr>
        <w:t xml:space="preserve">Sírvase preguntar al Estado uruguayo acerca de la cantidad de NNA en situación de calle y la efectiva implementación de un plan integral de alcance nacional en consonancia con las observaciones ya realizadas por el CRC. </w:t>
      </w:r>
    </w:p>
    <w:p w14:paraId="48CDC153" w14:textId="77777777" w:rsidR="005A420E" w:rsidRPr="008866BA" w:rsidRDefault="00000000">
      <w:pPr>
        <w:ind w:left="720"/>
        <w:jc w:val="both"/>
        <w:rPr>
          <w:rFonts w:ascii="Calibri" w:eastAsia="Calibri" w:hAnsi="Calibri" w:cs="Calibri"/>
          <w:b/>
          <w:color w:val="404040" w:themeColor="text1" w:themeTint="BF"/>
        </w:rPr>
      </w:pPr>
      <w:r w:rsidRPr="008866BA">
        <w:rPr>
          <w:rFonts w:ascii="Calibri" w:eastAsia="Calibri" w:hAnsi="Calibri" w:cs="Calibri"/>
          <w:b/>
          <w:color w:val="404040" w:themeColor="text1" w:themeTint="BF"/>
        </w:rPr>
        <w:t>Recomendaciones:</w:t>
      </w:r>
    </w:p>
    <w:p w14:paraId="187E6545" w14:textId="77777777" w:rsidR="005A420E" w:rsidRPr="008866BA" w:rsidRDefault="00000000">
      <w:pPr>
        <w:numPr>
          <w:ilvl w:val="0"/>
          <w:numId w:val="6"/>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 xml:space="preserve">Actualizar los datos cuantitativos y cualitativos de los NNA en situación de calle para elaborar un diagnóstico actualizado. </w:t>
      </w:r>
    </w:p>
    <w:p w14:paraId="43FFD2EB" w14:textId="77777777" w:rsidR="005A420E" w:rsidRPr="008866BA" w:rsidRDefault="00000000">
      <w:pPr>
        <w:numPr>
          <w:ilvl w:val="0"/>
          <w:numId w:val="6"/>
        </w:numPr>
        <w:jc w:val="both"/>
        <w:rPr>
          <w:rFonts w:ascii="Calibri" w:eastAsia="Calibri" w:hAnsi="Calibri" w:cs="Calibri"/>
          <w:i/>
          <w:color w:val="404040" w:themeColor="text1" w:themeTint="BF"/>
        </w:rPr>
      </w:pPr>
      <w:r w:rsidRPr="008866BA">
        <w:rPr>
          <w:rFonts w:ascii="Calibri" w:eastAsia="Calibri" w:hAnsi="Calibri" w:cs="Calibri"/>
          <w:i/>
          <w:color w:val="404040" w:themeColor="text1" w:themeTint="BF"/>
        </w:rPr>
        <w:t>En base al dicho diagnóstico, rediseñar y ajustar el plan integral de atención a NNA en situación de calle y proceder a efectivizar su implementación.</w:t>
      </w:r>
    </w:p>
    <w:p w14:paraId="484B6CD1" w14:textId="77777777" w:rsidR="005A420E" w:rsidRPr="008866BA" w:rsidRDefault="00000000">
      <w:pPr>
        <w:pStyle w:val="Heading3"/>
        <w:rPr>
          <w:color w:val="404040" w:themeColor="text1" w:themeTint="BF"/>
        </w:rPr>
      </w:pPr>
      <w:bookmarkStart w:id="33" w:name="_Toc204787419"/>
      <w:r w:rsidRPr="008866BA">
        <w:rPr>
          <w:color w:val="404040" w:themeColor="text1" w:themeTint="BF"/>
        </w:rPr>
        <w:t>Administración de la justicia penal juvenil</w:t>
      </w:r>
      <w:bookmarkEnd w:id="33"/>
      <w:r w:rsidRPr="008866BA">
        <w:rPr>
          <w:color w:val="404040" w:themeColor="text1" w:themeTint="BF"/>
        </w:rPr>
        <w:t xml:space="preserve"> </w:t>
      </w:r>
    </w:p>
    <w:p w14:paraId="109A79E7"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En materia de penalidad juvenil, la ley aprobada el 7 de julio de 2020, la LUC 19.889 introdujo modificaciones sustantivas al CNA. Las modificaciones duplicaron los tiempos mínimos y máximos para determinadas infracciones, llevando el máximo a 10 años de privación de libertad.  Esta medida puede implicar que el adolescente llegue a pasar cerca de la mitad de su vida en centros de privación de libertad. Esta modificación atenta contra los principios de </w:t>
      </w:r>
      <w:r w:rsidRPr="008866BA">
        <w:rPr>
          <w:rFonts w:ascii="Calibri" w:eastAsia="Calibri" w:hAnsi="Calibri" w:cs="Calibri"/>
          <w:color w:val="404040" w:themeColor="text1" w:themeTint="BF"/>
        </w:rPr>
        <w:lastRenderedPageBreak/>
        <w:t xml:space="preserve">excepcionalidad y brevedad a la privación de libertad, establecidos en la CDN en los artículos 37 y 40. Además de estas modificaciones hubieron modificaciones en torno a los antecedentes judiciales (contraviene lo establecido en las Reglas mínimas de Beijing), uso del régimen de semi libertad, derogación de la suspensión condicional del proceso (eliminación de uno de los mecanismos de desjudicialización, se pone al mando de la CDN art. 37B, 40.1, 40.3.b y 40.4)) y la introducción del proceso abreviado para adolescentes de 13 a 17 años. Todas estas medidas son regresivas en materia de derechos humanos además de alejarse de los principios madre de la CDN. Son modificaciones que limitan las garantías del proceso, pierden especificidad y vulneran derechos fundamentales. </w:t>
      </w:r>
    </w:p>
    <w:p w14:paraId="11433C95" w14:textId="77777777" w:rsidR="005A420E" w:rsidRPr="008866BA" w:rsidRDefault="005A420E">
      <w:pPr>
        <w:ind w:left="720"/>
        <w:jc w:val="both"/>
        <w:rPr>
          <w:rFonts w:ascii="Calibri" w:eastAsia="Calibri" w:hAnsi="Calibri" w:cs="Calibri"/>
          <w:color w:val="404040" w:themeColor="text1" w:themeTint="BF"/>
        </w:rPr>
      </w:pPr>
    </w:p>
    <w:p w14:paraId="5B77D34E"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b/>
          <w:i/>
          <w:color w:val="404040" w:themeColor="text1" w:themeTint="BF"/>
        </w:rPr>
        <w:t>Pregunta</w:t>
      </w:r>
      <w:r w:rsidRPr="008866BA">
        <w:rPr>
          <w:rFonts w:ascii="Calibri" w:eastAsia="Calibri" w:hAnsi="Calibri" w:cs="Calibri"/>
          <w:color w:val="404040" w:themeColor="text1" w:themeTint="BF"/>
        </w:rPr>
        <w:t xml:space="preserve">: Sírvase consultar al Estado uruguayo si modificará algunos de los artículos que contravienen la Convención de los Derechos del Niño. </w:t>
      </w:r>
    </w:p>
    <w:p w14:paraId="1EF23380" w14:textId="77777777" w:rsidR="005A420E" w:rsidRPr="008866BA" w:rsidRDefault="00000000">
      <w:pPr>
        <w:ind w:left="720"/>
        <w:jc w:val="both"/>
        <w:rPr>
          <w:rFonts w:ascii="Calibri" w:eastAsia="Calibri" w:hAnsi="Calibri" w:cs="Calibri"/>
          <w:color w:val="404040" w:themeColor="text1" w:themeTint="BF"/>
        </w:rPr>
      </w:pPr>
      <w:r w:rsidRPr="008866BA">
        <w:rPr>
          <w:rFonts w:ascii="Calibri" w:eastAsia="Calibri" w:hAnsi="Calibri" w:cs="Calibri"/>
          <w:b/>
          <w:i/>
          <w:color w:val="404040" w:themeColor="text1" w:themeTint="BF"/>
        </w:rPr>
        <w:t>Recomendación</w:t>
      </w:r>
      <w:r w:rsidRPr="008866BA">
        <w:rPr>
          <w:rFonts w:ascii="Calibri" w:eastAsia="Calibri" w:hAnsi="Calibri" w:cs="Calibri"/>
          <w:color w:val="404040" w:themeColor="text1" w:themeTint="BF"/>
        </w:rPr>
        <w:t xml:space="preserve">: Se recomienda al Estado uruguayo armonizar la normativa interna con los principios de la CDN además de fortalecer y profundizar las medidas alternativas a la privación de libertad para adolescentes. </w:t>
      </w:r>
    </w:p>
    <w:p w14:paraId="4CAE7903" w14:textId="77777777" w:rsidR="005A420E" w:rsidRPr="008866BA" w:rsidRDefault="005A420E">
      <w:pPr>
        <w:ind w:left="720"/>
        <w:jc w:val="both"/>
        <w:rPr>
          <w:rFonts w:ascii="Calibri" w:eastAsia="Calibri" w:hAnsi="Calibri" w:cs="Calibri"/>
          <w:color w:val="404040" w:themeColor="text1" w:themeTint="BF"/>
        </w:rPr>
      </w:pPr>
    </w:p>
    <w:p w14:paraId="5C6534D1" w14:textId="77777777" w:rsidR="005A420E" w:rsidRPr="008866BA" w:rsidRDefault="00000000">
      <w:pPr>
        <w:pStyle w:val="Heading1"/>
        <w:rPr>
          <w:color w:val="404040" w:themeColor="text1" w:themeTint="BF"/>
        </w:rPr>
      </w:pPr>
      <w:bookmarkStart w:id="34" w:name="_Toc204787420"/>
      <w:r w:rsidRPr="008866BA">
        <w:rPr>
          <w:color w:val="404040" w:themeColor="text1" w:themeTint="BF"/>
        </w:rPr>
        <w:t>Informes a consultar</w:t>
      </w:r>
      <w:bookmarkEnd w:id="34"/>
    </w:p>
    <w:p w14:paraId="31A80FC4" w14:textId="77777777" w:rsidR="005A420E" w:rsidRPr="008866BA" w:rsidRDefault="005A420E">
      <w:pPr>
        <w:ind w:left="720"/>
        <w:jc w:val="both"/>
        <w:rPr>
          <w:rFonts w:ascii="Calibri" w:eastAsia="Calibri" w:hAnsi="Calibri" w:cs="Calibri"/>
          <w:b/>
          <w:color w:val="404040" w:themeColor="text1" w:themeTint="BF"/>
          <w:sz w:val="28"/>
          <w:szCs w:val="28"/>
        </w:rPr>
      </w:pPr>
    </w:p>
    <w:p w14:paraId="1771A3E1" w14:textId="74BB773A" w:rsidR="005A420E" w:rsidRPr="008866BA" w:rsidRDefault="00000000">
      <w:pPr>
        <w:numPr>
          <w:ilvl w:val="0"/>
          <w:numId w:val="3"/>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Informe de la Asociación Civil “El Paso”</w:t>
      </w:r>
      <w:r w:rsidR="00857999" w:rsidRPr="008866BA">
        <w:rPr>
          <w:rFonts w:ascii="Calibri" w:eastAsia="Calibri" w:hAnsi="Calibri" w:cs="Calibri"/>
          <w:color w:val="404040" w:themeColor="text1" w:themeTint="BF"/>
        </w:rPr>
        <w:t xml:space="preserve">. Disponible en: </w:t>
      </w:r>
    </w:p>
    <w:p w14:paraId="7DA8A1C3" w14:textId="77777777" w:rsidR="005A420E" w:rsidRPr="008866BA" w:rsidRDefault="005A420E" w:rsidP="00857999">
      <w:pPr>
        <w:ind w:left="709"/>
        <w:jc w:val="both"/>
        <w:rPr>
          <w:rFonts w:ascii="Calibri" w:eastAsia="Calibri" w:hAnsi="Calibri" w:cs="Calibri"/>
          <w:color w:val="404040" w:themeColor="text1" w:themeTint="BF"/>
        </w:rPr>
      </w:pPr>
      <w:hyperlink r:id="rId12">
        <w:r w:rsidRPr="008866BA">
          <w:rPr>
            <w:rFonts w:ascii="Calibri" w:eastAsia="Calibri" w:hAnsi="Calibri" w:cs="Calibri"/>
            <w:color w:val="404040" w:themeColor="text1" w:themeTint="BF"/>
            <w:u w:val="single"/>
          </w:rPr>
          <w:t>https://drive.google.com/drive/folders/1rbKZqVrV9ikMQIJL2YY_xBHBVRSpY_sW?usp=share_</w:t>
        </w:r>
      </w:hyperlink>
    </w:p>
    <w:p w14:paraId="4952AA6E" w14:textId="77777777" w:rsidR="005A420E" w:rsidRPr="008866BA" w:rsidRDefault="00000000">
      <w:pPr>
        <w:numPr>
          <w:ilvl w:val="0"/>
          <w:numId w:val="3"/>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Informe Alternativo al Comité Contra la Tortura 2022. Disponible en: </w:t>
      </w:r>
    </w:p>
    <w:p w14:paraId="036109B8" w14:textId="77777777" w:rsidR="005A420E" w:rsidRPr="008866BA" w:rsidRDefault="005A420E">
      <w:pPr>
        <w:ind w:left="720"/>
        <w:jc w:val="both"/>
        <w:rPr>
          <w:rFonts w:ascii="Calibri" w:eastAsia="Calibri" w:hAnsi="Calibri" w:cs="Calibri"/>
          <w:color w:val="404040" w:themeColor="text1" w:themeTint="BF"/>
        </w:rPr>
      </w:pPr>
      <w:hyperlink r:id="rId13">
        <w:r w:rsidRPr="008866BA">
          <w:rPr>
            <w:rFonts w:ascii="Calibri" w:eastAsia="Calibri" w:hAnsi="Calibri" w:cs="Calibri"/>
            <w:color w:val="404040" w:themeColor="text1" w:themeTint="BF"/>
            <w:u w:val="single"/>
          </w:rPr>
          <w:t>https://www.cdnuruguay.org.uy/wp-content/uploads/2022/05/Resumen-Ejecutivo-Informe-Alternativo-CAT_-Infancias-y-adolescencias-URU.pdf</w:t>
        </w:r>
      </w:hyperlink>
    </w:p>
    <w:p w14:paraId="3CBE7D75" w14:textId="77777777" w:rsidR="005A420E" w:rsidRPr="008866BA" w:rsidRDefault="00000000">
      <w:pPr>
        <w:numPr>
          <w:ilvl w:val="0"/>
          <w:numId w:val="13"/>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La Infancia como prioridad: Uruguay 2020 - 10 puntos programáticos para establecer la infancia como prioridad. Disponible en: </w:t>
      </w:r>
    </w:p>
    <w:p w14:paraId="72DFD262" w14:textId="77777777" w:rsidR="005A420E" w:rsidRPr="008866BA" w:rsidRDefault="005A420E">
      <w:pPr>
        <w:ind w:left="720"/>
        <w:jc w:val="both"/>
        <w:rPr>
          <w:rFonts w:ascii="Calibri" w:eastAsia="Calibri" w:hAnsi="Calibri" w:cs="Calibri"/>
          <w:color w:val="404040" w:themeColor="text1" w:themeTint="BF"/>
        </w:rPr>
      </w:pPr>
      <w:hyperlink r:id="rId14">
        <w:r w:rsidRPr="008866BA">
          <w:rPr>
            <w:rFonts w:ascii="Calibri" w:eastAsia="Calibri" w:hAnsi="Calibri" w:cs="Calibri"/>
            <w:color w:val="404040" w:themeColor="text1" w:themeTint="BF"/>
            <w:u w:val="single"/>
          </w:rPr>
          <w:t>https://www.anong.org.uy/wp-content/uploads/2023/11/Agenda-Infancia-y-adolescencia-2023-1.pdf</w:t>
        </w:r>
      </w:hyperlink>
    </w:p>
    <w:p w14:paraId="0F96F47D" w14:textId="77777777" w:rsidR="005A420E" w:rsidRPr="008866BA" w:rsidRDefault="00000000">
      <w:pPr>
        <w:numPr>
          <w:ilvl w:val="0"/>
          <w:numId w:val="11"/>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El Examen Periódico Universal (EPU): Aportes de la sociedad civil. Disponible en: </w:t>
      </w:r>
      <w:hyperlink r:id="rId15">
        <w:r w:rsidR="005A420E" w:rsidRPr="008866BA">
          <w:rPr>
            <w:rFonts w:ascii="Calibri" w:eastAsia="Calibri" w:hAnsi="Calibri" w:cs="Calibri"/>
            <w:color w:val="404040" w:themeColor="text1" w:themeTint="BF"/>
            <w:u w:val="single"/>
          </w:rPr>
          <w:t>https://www.anong.org.uy/wp-content/uploads/2024/02/EPU-2024-Informes-de-la-sociedad-civil</w:t>
        </w:r>
      </w:hyperlink>
      <w:hyperlink r:id="rId16">
        <w:r w:rsidR="005A420E" w:rsidRPr="008866BA">
          <w:rPr>
            <w:rFonts w:ascii="Calibri" w:eastAsia="Calibri" w:hAnsi="Calibri" w:cs="Calibri"/>
            <w:color w:val="404040" w:themeColor="text1" w:themeTint="BF"/>
            <w:u w:val="single"/>
          </w:rPr>
          <w:t>-proceso-ANONG.pdf</w:t>
        </w:r>
      </w:hyperlink>
    </w:p>
    <w:p w14:paraId="2D2E0EB1" w14:textId="77777777" w:rsidR="005A420E" w:rsidRPr="008866BA" w:rsidRDefault="00000000">
      <w:pPr>
        <w:numPr>
          <w:ilvl w:val="0"/>
          <w:numId w:val="11"/>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Comité de los Derechos del Niño Uruguay- Observatorio de los Derechos de Niñez y Adolescencia. “Diagnóstico sobre violencias sexuales contra niñas, niños y adolescentes 2021”. Disponible en: </w:t>
      </w:r>
    </w:p>
    <w:p w14:paraId="5AF66761" w14:textId="77777777" w:rsidR="005A420E" w:rsidRPr="008866BA" w:rsidRDefault="005A420E" w:rsidP="00A9454B">
      <w:pPr>
        <w:ind w:left="720"/>
        <w:jc w:val="both"/>
        <w:rPr>
          <w:rFonts w:ascii="Calibri" w:eastAsia="Calibri" w:hAnsi="Calibri" w:cs="Calibri"/>
          <w:color w:val="404040" w:themeColor="text1" w:themeTint="BF"/>
        </w:rPr>
      </w:pPr>
      <w:hyperlink r:id="rId17">
        <w:r w:rsidRPr="008866BA">
          <w:rPr>
            <w:rFonts w:ascii="Calibri" w:eastAsia="Calibri" w:hAnsi="Calibri" w:cs="Calibri"/>
            <w:color w:val="404040" w:themeColor="text1" w:themeTint="BF"/>
            <w:u w:val="single"/>
          </w:rPr>
          <w:t>https://www.cdnuruguay.org.uy/noticias/diagnostico-sobre-violencias-sexuales-contra-ninas-ninos-y-adolescentes-2021/</w:t>
        </w:r>
      </w:hyperlink>
    </w:p>
    <w:p w14:paraId="39E8CE3A" w14:textId="77777777" w:rsidR="005A420E" w:rsidRPr="008866BA" w:rsidRDefault="00000000" w:rsidP="00A9454B">
      <w:pPr>
        <w:numPr>
          <w:ilvl w:val="0"/>
          <w:numId w:val="11"/>
        </w:numPr>
        <w:jc w:val="both"/>
        <w:rPr>
          <w:rFonts w:ascii="Calibri" w:eastAsia="Calibri" w:hAnsi="Calibri" w:cs="Calibri"/>
          <w:color w:val="404040" w:themeColor="text1" w:themeTint="BF"/>
        </w:rPr>
      </w:pPr>
      <w:r w:rsidRPr="008866BA">
        <w:rPr>
          <w:rFonts w:ascii="Calibri" w:eastAsia="Calibri" w:hAnsi="Calibri" w:cs="Calibri"/>
          <w:color w:val="404040" w:themeColor="text1" w:themeTint="BF"/>
        </w:rPr>
        <w:t xml:space="preserve">Comité de los Derechos del Niño Uruguay-Observatorio de los Derechos de Niñez y Adolescencia. “Incidencia de la pobreza en Niños, Niñas y Adolescentes en Uruguay. Una mirada comparada entre 2019 y 2020”. Disponible en: </w:t>
      </w:r>
    </w:p>
    <w:p w14:paraId="333C66AE" w14:textId="77777777" w:rsidR="005A420E" w:rsidRPr="008866BA" w:rsidRDefault="005A420E" w:rsidP="00A9454B">
      <w:pPr>
        <w:keepNext/>
        <w:ind w:left="720"/>
        <w:jc w:val="both"/>
        <w:rPr>
          <w:rFonts w:ascii="Calibri" w:eastAsia="Calibri" w:hAnsi="Calibri" w:cs="Calibri"/>
          <w:color w:val="404040" w:themeColor="text1" w:themeTint="BF"/>
        </w:rPr>
      </w:pPr>
      <w:hyperlink r:id="rId18">
        <w:r w:rsidRPr="008866BA">
          <w:rPr>
            <w:rFonts w:ascii="Calibri" w:eastAsia="Calibri" w:hAnsi="Calibri" w:cs="Calibri"/>
            <w:color w:val="404040" w:themeColor="text1" w:themeTint="BF"/>
            <w:u w:val="single"/>
          </w:rPr>
          <w:t>https://www.cdnuruguay.org.uy/noticias/incidencia-de-la-pobreza-en-nin%CC%83os-nin%CC%83as-y-adolescentes-uruguay-una-mirada-comparada-entre-2019-y-2020/</w:t>
        </w:r>
      </w:hyperlink>
    </w:p>
    <w:p w14:paraId="2F3BF25C" w14:textId="77777777" w:rsidR="005A420E" w:rsidRPr="008866BA" w:rsidRDefault="00000000" w:rsidP="00A9454B">
      <w:pPr>
        <w:pStyle w:val="ListParagraph"/>
        <w:numPr>
          <w:ilvl w:val="0"/>
          <w:numId w:val="16"/>
        </w:numPr>
        <w:jc w:val="both"/>
        <w:rPr>
          <w:rFonts w:asciiTheme="majorHAnsi" w:hAnsiTheme="majorHAnsi" w:cstheme="majorHAnsi"/>
          <w:color w:val="404040" w:themeColor="text1" w:themeTint="BF"/>
        </w:rPr>
      </w:pPr>
      <w:bookmarkStart w:id="35" w:name="_heading=h.7ecr0rjofmt0" w:colFirst="0" w:colLast="0"/>
      <w:bookmarkEnd w:id="35"/>
      <w:r w:rsidRPr="008866BA">
        <w:rPr>
          <w:rFonts w:asciiTheme="majorHAnsi" w:hAnsiTheme="majorHAnsi" w:cstheme="majorHAnsi"/>
          <w:color w:val="404040" w:themeColor="text1" w:themeTint="BF"/>
        </w:rPr>
        <w:t xml:space="preserve">Comité de los Derechos del Niño Uruguay- Observatorio de los Derechos de Niñez y Adolescencia. “Homicidios a niños, niñas y adolescentes. 2012 a 2019. Informe 2020”. Disponible en: </w:t>
      </w:r>
    </w:p>
    <w:p w14:paraId="64D09EB7" w14:textId="43FE67B0" w:rsidR="00857999" w:rsidRPr="008866BA" w:rsidRDefault="00857999" w:rsidP="00A9454B">
      <w:pPr>
        <w:ind w:left="709"/>
        <w:jc w:val="both"/>
        <w:rPr>
          <w:rFonts w:asciiTheme="majorHAnsi" w:hAnsiTheme="majorHAnsi" w:cstheme="majorHAnsi"/>
          <w:color w:val="404040" w:themeColor="text1" w:themeTint="BF"/>
        </w:rPr>
      </w:pPr>
      <w:hyperlink r:id="rId19">
        <w:r w:rsidRPr="008866BA">
          <w:rPr>
            <w:rFonts w:asciiTheme="majorHAnsi" w:eastAsia="Calibri" w:hAnsiTheme="majorHAnsi" w:cstheme="majorHAnsi"/>
            <w:color w:val="404040" w:themeColor="text1" w:themeTint="BF"/>
            <w:u w:val="single"/>
          </w:rPr>
          <w:t>https://www.cdnuruguay.org.uy/uncategorized/homicidios-a-ninos-ninas-y-adolescenes-2012-a-2019-informe-2020/</w:t>
        </w:r>
      </w:hyperlink>
    </w:p>
    <w:p w14:paraId="4C1047C3" w14:textId="6BBA0F30" w:rsidR="005A420E" w:rsidRPr="008866BA" w:rsidRDefault="00000000" w:rsidP="00A9454B">
      <w:pPr>
        <w:pStyle w:val="ListParagraph"/>
        <w:numPr>
          <w:ilvl w:val="0"/>
          <w:numId w:val="16"/>
        </w:numPr>
        <w:jc w:val="both"/>
        <w:rPr>
          <w:rFonts w:asciiTheme="majorHAnsi" w:hAnsiTheme="majorHAnsi" w:cstheme="majorHAnsi"/>
          <w:color w:val="404040" w:themeColor="text1" w:themeTint="BF"/>
        </w:rPr>
      </w:pPr>
      <w:bookmarkStart w:id="36" w:name="_heading=h.qlrjf0mc19lw" w:colFirst="0" w:colLast="0"/>
      <w:bookmarkEnd w:id="36"/>
      <w:r w:rsidRPr="008866BA">
        <w:rPr>
          <w:rFonts w:asciiTheme="majorHAnsi" w:hAnsiTheme="majorHAnsi" w:cstheme="majorHAnsi"/>
          <w:color w:val="404040" w:themeColor="text1" w:themeTint="BF"/>
        </w:rPr>
        <w:t>Comité de los Derechos del Niño Uruguay- Observatorio de los Derechos de Niñez y Adolescencia.</w:t>
      </w:r>
      <w:r w:rsidR="00857999" w:rsidRPr="008866BA">
        <w:rPr>
          <w:rFonts w:asciiTheme="majorHAnsi" w:hAnsiTheme="majorHAnsi" w:cstheme="majorHAnsi"/>
          <w:color w:val="404040" w:themeColor="text1" w:themeTint="BF"/>
        </w:rPr>
        <w:t xml:space="preserve"> </w:t>
      </w:r>
      <w:r w:rsidRPr="008866BA">
        <w:rPr>
          <w:rFonts w:asciiTheme="majorHAnsi" w:hAnsiTheme="majorHAnsi" w:cstheme="majorHAnsi"/>
          <w:color w:val="404040" w:themeColor="text1" w:themeTint="BF"/>
        </w:rPr>
        <w:t xml:space="preserve">“Participación de niñas, niños y adolescentes en el Uruguay”. Disponible en: </w:t>
      </w:r>
    </w:p>
    <w:p w14:paraId="279DF356" w14:textId="77777777" w:rsidR="005A420E" w:rsidRPr="008866BA" w:rsidRDefault="005A420E" w:rsidP="00A9454B">
      <w:pPr>
        <w:ind w:left="709"/>
        <w:jc w:val="both"/>
        <w:rPr>
          <w:rFonts w:asciiTheme="majorHAnsi" w:eastAsia="Calibri" w:hAnsiTheme="majorHAnsi" w:cstheme="majorHAnsi"/>
          <w:color w:val="404040" w:themeColor="text1" w:themeTint="BF"/>
        </w:rPr>
      </w:pPr>
      <w:hyperlink r:id="rId20">
        <w:r w:rsidRPr="008866BA">
          <w:rPr>
            <w:rFonts w:asciiTheme="majorHAnsi" w:eastAsia="Calibri" w:hAnsiTheme="majorHAnsi" w:cstheme="majorHAnsi"/>
            <w:color w:val="404040" w:themeColor="text1" w:themeTint="BF"/>
            <w:u w:val="single"/>
          </w:rPr>
          <w:t>https://www.cdnuruguay.org.uy/noticias/participacion-de-ninas-ninos-y-adolescentes-en-el-uruguay/</w:t>
        </w:r>
      </w:hyperlink>
    </w:p>
    <w:p w14:paraId="718CE881" w14:textId="77777777" w:rsidR="005A420E" w:rsidRPr="008866BA" w:rsidRDefault="00000000" w:rsidP="00A9454B">
      <w:pPr>
        <w:pStyle w:val="ListParagraph"/>
        <w:numPr>
          <w:ilvl w:val="0"/>
          <w:numId w:val="16"/>
        </w:numPr>
        <w:jc w:val="both"/>
        <w:rPr>
          <w:rFonts w:asciiTheme="majorHAnsi" w:hAnsiTheme="majorHAnsi" w:cstheme="majorHAnsi"/>
          <w:color w:val="404040" w:themeColor="text1" w:themeTint="BF"/>
        </w:rPr>
      </w:pPr>
      <w:bookmarkStart w:id="37" w:name="_heading=h.othrld3a8xui" w:colFirst="0" w:colLast="0"/>
      <w:bookmarkEnd w:id="37"/>
      <w:r w:rsidRPr="008866BA">
        <w:rPr>
          <w:rFonts w:asciiTheme="majorHAnsi" w:hAnsiTheme="majorHAnsi" w:cstheme="majorHAnsi"/>
          <w:color w:val="404040" w:themeColor="text1" w:themeTint="BF"/>
        </w:rPr>
        <w:t xml:space="preserve">Comité de los Derechos del Niño Uruguay- Save the Children. “Voces Jóvenes. Ponele letra a tus derechos” Disponible en: </w:t>
      </w:r>
    </w:p>
    <w:p w14:paraId="45C09AE5" w14:textId="77777777" w:rsidR="005A420E" w:rsidRPr="008866BA" w:rsidRDefault="005A420E" w:rsidP="00A9454B">
      <w:pPr>
        <w:ind w:left="709"/>
        <w:jc w:val="both"/>
        <w:rPr>
          <w:rFonts w:asciiTheme="majorHAnsi" w:eastAsia="Calibri" w:hAnsiTheme="majorHAnsi" w:cstheme="majorHAnsi"/>
          <w:color w:val="404040" w:themeColor="text1" w:themeTint="BF"/>
        </w:rPr>
      </w:pPr>
      <w:hyperlink r:id="rId21">
        <w:r w:rsidRPr="008866BA">
          <w:rPr>
            <w:rFonts w:asciiTheme="majorHAnsi" w:eastAsia="Calibri" w:hAnsiTheme="majorHAnsi" w:cstheme="majorHAnsi"/>
            <w:color w:val="404040" w:themeColor="text1" w:themeTint="BF"/>
            <w:u w:val="single"/>
          </w:rPr>
          <w:t>https://www.cdnuruguay.org.uy/noticias/consulta-voces-jovenes-ponele-letra-a-tus-derechos/</w:t>
        </w:r>
      </w:hyperlink>
    </w:p>
    <w:p w14:paraId="1AC69B49" w14:textId="77777777" w:rsidR="005A420E" w:rsidRDefault="005A420E">
      <w:pPr>
        <w:jc w:val="both"/>
        <w:rPr>
          <w:rFonts w:ascii="Calibri" w:eastAsia="Calibri" w:hAnsi="Calibri" w:cs="Calibri"/>
          <w:color w:val="404040"/>
        </w:rPr>
      </w:pPr>
    </w:p>
    <w:p w14:paraId="503FF432" w14:textId="66132AA2" w:rsidR="005A420E" w:rsidRDefault="005A420E">
      <w:pPr>
        <w:jc w:val="center"/>
        <w:rPr>
          <w:rFonts w:ascii="Calibri" w:eastAsia="Calibri" w:hAnsi="Calibri" w:cs="Calibri"/>
          <w:color w:val="404040"/>
        </w:rPr>
      </w:pPr>
    </w:p>
    <w:p w14:paraId="3D5FD286" w14:textId="77777777" w:rsidR="008D1180" w:rsidRDefault="008D1180">
      <w:pPr>
        <w:jc w:val="center"/>
        <w:rPr>
          <w:rFonts w:ascii="Calibri" w:eastAsia="Calibri" w:hAnsi="Calibri" w:cs="Calibri"/>
          <w:color w:val="404040"/>
        </w:rPr>
      </w:pPr>
    </w:p>
    <w:p w14:paraId="4087F03D" w14:textId="167FB71D" w:rsidR="005A420E" w:rsidRDefault="00000000">
      <w:pPr>
        <w:rPr>
          <w:rFonts w:ascii="Calibri" w:eastAsia="Calibri" w:hAnsi="Calibri" w:cs="Calibri"/>
          <w:color w:val="404040"/>
        </w:rPr>
      </w:pPr>
      <w:r>
        <w:rPr>
          <w:rFonts w:ascii="Calibri" w:eastAsia="Calibri" w:hAnsi="Calibri" w:cs="Calibri"/>
          <w:color w:val="404040"/>
        </w:rPr>
        <w:t xml:space="preserve">                                     </w:t>
      </w:r>
    </w:p>
    <w:p w14:paraId="3A183857" w14:textId="4FCB1CAC" w:rsidR="005A420E" w:rsidRDefault="00133ECC" w:rsidP="00133ECC">
      <w:pPr>
        <w:jc w:val="center"/>
        <w:rPr>
          <w:rFonts w:ascii="Calibri" w:eastAsia="Calibri" w:hAnsi="Calibri" w:cs="Calibri"/>
          <w:color w:val="404040"/>
        </w:rPr>
      </w:pPr>
      <w:r>
        <w:rPr>
          <w:noProof/>
        </w:rPr>
        <w:drawing>
          <wp:inline distT="0" distB="0" distL="0" distR="0" wp14:anchorId="0450572E" wp14:editId="18ECEDAC">
            <wp:extent cx="3602182" cy="734081"/>
            <wp:effectExtent l="0" t="0" r="0" b="8890"/>
            <wp:docPr id="17229252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30704" cy="739893"/>
                    </a:xfrm>
                    <a:prstGeom prst="rect">
                      <a:avLst/>
                    </a:prstGeom>
                    <a:noFill/>
                    <a:ln>
                      <a:noFill/>
                    </a:ln>
                  </pic:spPr>
                </pic:pic>
              </a:graphicData>
            </a:graphic>
          </wp:inline>
        </w:drawing>
      </w:r>
    </w:p>
    <w:p w14:paraId="4E3635D3" w14:textId="7096D917" w:rsidR="005A420E" w:rsidRPr="00133ECC" w:rsidRDefault="00000000">
      <w:pPr>
        <w:jc w:val="both"/>
        <w:rPr>
          <w:rFonts w:ascii="Calibri" w:eastAsia="Calibri" w:hAnsi="Calibri" w:cs="Calibri"/>
          <w:b/>
          <w:bCs/>
          <w:color w:val="404040"/>
        </w:rPr>
      </w:pPr>
      <w:r w:rsidRPr="00133ECC">
        <w:rPr>
          <w:rFonts w:ascii="Calibri" w:eastAsia="Calibri" w:hAnsi="Calibri" w:cs="Calibri"/>
          <w:b/>
          <w:bCs/>
          <w:color w:val="404040"/>
        </w:rPr>
        <w:t xml:space="preserve">                                       </w:t>
      </w:r>
    </w:p>
    <w:p w14:paraId="7CB437C5" w14:textId="22BD26A1" w:rsidR="00133ECC" w:rsidRPr="00133ECC" w:rsidRDefault="00133ECC" w:rsidP="00133ECC">
      <w:pPr>
        <w:jc w:val="both"/>
        <w:rPr>
          <w:rFonts w:ascii="Calibri" w:eastAsia="Calibri" w:hAnsi="Calibri" w:cs="Calibri"/>
          <w:color w:val="404040"/>
          <w:sz w:val="24"/>
          <w:szCs w:val="24"/>
        </w:rPr>
      </w:pPr>
      <w:r w:rsidRPr="00133ECC">
        <w:rPr>
          <w:rFonts w:ascii="Calibri" w:eastAsia="Calibri" w:hAnsi="Calibri" w:cs="Calibri"/>
          <w:b/>
          <w:bCs/>
          <w:color w:val="404040"/>
          <w:sz w:val="24"/>
          <w:szCs w:val="24"/>
        </w:rPr>
        <w:t>Organizaciones</w:t>
      </w:r>
      <w:r w:rsidR="00917505">
        <w:rPr>
          <w:rFonts w:ascii="Calibri" w:eastAsia="Calibri" w:hAnsi="Calibri" w:cs="Calibri"/>
          <w:b/>
          <w:bCs/>
          <w:color w:val="404040"/>
          <w:sz w:val="24"/>
          <w:szCs w:val="24"/>
        </w:rPr>
        <w:t xml:space="preserve"> del Comité de los Derechos del Niño Uruguay</w:t>
      </w:r>
      <w:r w:rsidRPr="00133ECC">
        <w:rPr>
          <w:rFonts w:ascii="Calibri" w:eastAsia="Calibri" w:hAnsi="Calibri" w:cs="Calibri"/>
          <w:b/>
          <w:bCs/>
          <w:color w:val="404040"/>
          <w:sz w:val="24"/>
          <w:szCs w:val="24"/>
        </w:rPr>
        <w:t>:</w:t>
      </w:r>
    </w:p>
    <w:p w14:paraId="28CC7262" w14:textId="77777777" w:rsidR="00133ECC" w:rsidRPr="00133ECC" w:rsidRDefault="00133ECC" w:rsidP="00133ECC">
      <w:pPr>
        <w:jc w:val="both"/>
        <w:rPr>
          <w:rFonts w:ascii="Calibri" w:eastAsia="Calibri" w:hAnsi="Calibri" w:cs="Calibri"/>
          <w:color w:val="404040"/>
          <w:sz w:val="24"/>
          <w:szCs w:val="24"/>
        </w:rPr>
      </w:pPr>
      <w:r w:rsidRPr="00133ECC">
        <w:rPr>
          <w:rFonts w:ascii="Calibri" w:eastAsia="Calibri" w:hAnsi="Calibri" w:cs="Calibri"/>
          <w:color w:val="404040"/>
          <w:sz w:val="24"/>
          <w:szCs w:val="24"/>
        </w:rPr>
        <w:t>Aldeas Infantiles SOS – Uruguay</w:t>
      </w:r>
    </w:p>
    <w:p w14:paraId="3D58A472" w14:textId="29346165" w:rsidR="00133ECC" w:rsidRDefault="00133ECC" w:rsidP="00133ECC">
      <w:pPr>
        <w:jc w:val="both"/>
        <w:rPr>
          <w:rFonts w:ascii="Calibri" w:eastAsia="Calibri" w:hAnsi="Calibri" w:cs="Calibri"/>
          <w:color w:val="404040"/>
          <w:sz w:val="24"/>
          <w:szCs w:val="24"/>
        </w:rPr>
      </w:pPr>
      <w:r w:rsidRPr="00133ECC">
        <w:rPr>
          <w:rFonts w:ascii="Calibri" w:eastAsia="Calibri" w:hAnsi="Calibri" w:cs="Calibri"/>
          <w:color w:val="404040"/>
          <w:sz w:val="24"/>
          <w:szCs w:val="24"/>
        </w:rPr>
        <w:t>Asoci</w:t>
      </w:r>
      <w:r>
        <w:rPr>
          <w:rFonts w:ascii="Calibri" w:eastAsia="Calibri" w:hAnsi="Calibri" w:cs="Calibri"/>
          <w:color w:val="404040"/>
          <w:sz w:val="24"/>
          <w:szCs w:val="24"/>
        </w:rPr>
        <w:t>ación Civil El Paso</w:t>
      </w:r>
    </w:p>
    <w:p w14:paraId="399F96EA" w14:textId="57DED830" w:rsidR="00917505" w:rsidRDefault="00917505" w:rsidP="00133ECC">
      <w:pPr>
        <w:jc w:val="both"/>
        <w:rPr>
          <w:rFonts w:ascii="Calibri" w:eastAsia="Calibri" w:hAnsi="Calibri" w:cs="Calibri"/>
          <w:color w:val="404040"/>
          <w:sz w:val="24"/>
          <w:szCs w:val="24"/>
        </w:rPr>
      </w:pPr>
      <w:r>
        <w:rPr>
          <w:rFonts w:ascii="Calibri" w:eastAsia="Calibri" w:hAnsi="Calibri" w:cs="Calibri"/>
          <w:color w:val="404040"/>
          <w:sz w:val="24"/>
          <w:szCs w:val="24"/>
        </w:rPr>
        <w:t>Asociación Civil CIPPUS</w:t>
      </w:r>
    </w:p>
    <w:p w14:paraId="194C79B5" w14:textId="7E58AD68" w:rsidR="00133ECC" w:rsidRDefault="00133ECC" w:rsidP="00133ECC">
      <w:pPr>
        <w:jc w:val="both"/>
        <w:rPr>
          <w:rFonts w:ascii="Calibri" w:eastAsia="Calibri" w:hAnsi="Calibri" w:cs="Calibri"/>
          <w:color w:val="404040"/>
          <w:sz w:val="24"/>
          <w:szCs w:val="24"/>
        </w:rPr>
      </w:pPr>
      <w:r w:rsidRPr="00133ECC">
        <w:rPr>
          <w:rFonts w:ascii="Calibri" w:eastAsia="Calibri" w:hAnsi="Calibri" w:cs="Calibri"/>
          <w:color w:val="404040"/>
          <w:sz w:val="24"/>
          <w:szCs w:val="24"/>
        </w:rPr>
        <w:t>El Abrojo</w:t>
      </w:r>
    </w:p>
    <w:p w14:paraId="204243EB" w14:textId="77777777" w:rsidR="00133ECC" w:rsidRDefault="00133ECC" w:rsidP="00133ECC">
      <w:pPr>
        <w:jc w:val="both"/>
        <w:rPr>
          <w:rFonts w:ascii="Calibri" w:eastAsia="Calibri" w:hAnsi="Calibri" w:cs="Calibri"/>
          <w:color w:val="404040"/>
          <w:sz w:val="24"/>
          <w:szCs w:val="24"/>
        </w:rPr>
      </w:pPr>
      <w:r w:rsidRPr="00133ECC">
        <w:rPr>
          <w:rFonts w:ascii="Calibri" w:eastAsia="Calibri" w:hAnsi="Calibri" w:cs="Calibri"/>
          <w:color w:val="404040"/>
          <w:sz w:val="24"/>
          <w:szCs w:val="24"/>
        </w:rPr>
        <w:t>Gurises Unidos</w:t>
      </w:r>
    </w:p>
    <w:p w14:paraId="37B93AD6" w14:textId="4D56EAB5" w:rsidR="00AE0CAA" w:rsidRPr="00133ECC" w:rsidRDefault="00AE0CAA" w:rsidP="00133ECC">
      <w:pPr>
        <w:jc w:val="both"/>
        <w:rPr>
          <w:rFonts w:ascii="Calibri" w:eastAsia="Calibri" w:hAnsi="Calibri" w:cs="Calibri"/>
          <w:color w:val="404040"/>
          <w:sz w:val="24"/>
          <w:szCs w:val="24"/>
        </w:rPr>
      </w:pPr>
      <w:r>
        <w:rPr>
          <w:rFonts w:ascii="Calibri" w:eastAsia="Calibri" w:hAnsi="Calibri" w:cs="Calibri"/>
          <w:color w:val="404040"/>
          <w:sz w:val="24"/>
          <w:szCs w:val="24"/>
        </w:rPr>
        <w:t>IPRU-</w:t>
      </w:r>
      <w:r w:rsidRPr="00AE0CAA">
        <w:t xml:space="preserve"> </w:t>
      </w:r>
      <w:r w:rsidRPr="00AE0CAA">
        <w:rPr>
          <w:rFonts w:ascii="Calibri" w:eastAsia="Calibri" w:hAnsi="Calibri" w:cs="Calibri"/>
          <w:color w:val="404040"/>
          <w:sz w:val="24"/>
          <w:szCs w:val="24"/>
        </w:rPr>
        <w:t>Instituto de Promoción Económico Social del Uruguay</w:t>
      </w:r>
    </w:p>
    <w:p w14:paraId="4938B9F2" w14:textId="128808CC" w:rsidR="00133ECC" w:rsidRDefault="00133ECC" w:rsidP="00133ECC">
      <w:pPr>
        <w:jc w:val="both"/>
        <w:rPr>
          <w:rFonts w:ascii="Calibri" w:eastAsia="Calibri" w:hAnsi="Calibri" w:cs="Calibri"/>
          <w:color w:val="404040"/>
          <w:sz w:val="24"/>
          <w:szCs w:val="24"/>
        </w:rPr>
      </w:pPr>
      <w:r>
        <w:rPr>
          <w:rFonts w:ascii="Calibri" w:eastAsia="Calibri" w:hAnsi="Calibri" w:cs="Calibri"/>
          <w:color w:val="404040"/>
          <w:sz w:val="24"/>
          <w:szCs w:val="24"/>
        </w:rPr>
        <w:t>Luna Nueva-</w:t>
      </w:r>
      <w:r w:rsidRPr="00133ECC">
        <w:rPr>
          <w:rFonts w:ascii="Calibri" w:hAnsi="Calibri" w:cs="Calibri"/>
          <w:color w:val="404040"/>
        </w:rPr>
        <w:t xml:space="preserve"> </w:t>
      </w:r>
      <w:r w:rsidRPr="00133ECC">
        <w:rPr>
          <w:rFonts w:ascii="Calibri" w:eastAsia="Calibri" w:hAnsi="Calibri" w:cs="Calibri"/>
          <w:color w:val="404040"/>
          <w:sz w:val="24"/>
          <w:szCs w:val="24"/>
        </w:rPr>
        <w:t>Instituto</w:t>
      </w:r>
      <w:r>
        <w:rPr>
          <w:rFonts w:ascii="Calibri" w:eastAsia="Calibri" w:hAnsi="Calibri" w:cs="Calibri"/>
          <w:color w:val="404040"/>
          <w:sz w:val="24"/>
          <w:szCs w:val="24"/>
        </w:rPr>
        <w:t xml:space="preserve"> de</w:t>
      </w:r>
      <w:r w:rsidRPr="00133ECC">
        <w:rPr>
          <w:rFonts w:ascii="Calibri" w:eastAsia="Calibri" w:hAnsi="Calibri" w:cs="Calibri"/>
          <w:color w:val="404040"/>
          <w:sz w:val="24"/>
          <w:szCs w:val="24"/>
        </w:rPr>
        <w:t xml:space="preserve"> Investigación Acción Educativa</w:t>
      </w:r>
    </w:p>
    <w:p w14:paraId="2C0A54DB" w14:textId="1D4FE61D" w:rsidR="00133ECC" w:rsidRDefault="00133ECC" w:rsidP="00133ECC">
      <w:pPr>
        <w:jc w:val="both"/>
        <w:rPr>
          <w:rFonts w:ascii="Calibri" w:eastAsia="Calibri" w:hAnsi="Calibri" w:cs="Calibri"/>
          <w:color w:val="404040"/>
          <w:sz w:val="24"/>
          <w:szCs w:val="24"/>
        </w:rPr>
      </w:pPr>
      <w:r w:rsidRPr="00133ECC">
        <w:rPr>
          <w:rFonts w:ascii="Calibri" w:eastAsia="Calibri" w:hAnsi="Calibri" w:cs="Calibri"/>
          <w:color w:val="404040"/>
          <w:sz w:val="24"/>
          <w:szCs w:val="24"/>
        </w:rPr>
        <w:t>Obsur</w:t>
      </w:r>
    </w:p>
    <w:p w14:paraId="41C233B2" w14:textId="00131FA7" w:rsidR="00133ECC" w:rsidRPr="00133ECC" w:rsidRDefault="00133ECC" w:rsidP="00133ECC">
      <w:pPr>
        <w:jc w:val="both"/>
        <w:rPr>
          <w:rFonts w:ascii="Calibri" w:eastAsia="Calibri" w:hAnsi="Calibri" w:cs="Calibri"/>
          <w:color w:val="404040"/>
          <w:sz w:val="24"/>
          <w:szCs w:val="24"/>
        </w:rPr>
      </w:pPr>
      <w:r w:rsidRPr="00133ECC">
        <w:rPr>
          <w:rFonts w:ascii="Calibri" w:eastAsia="Calibri" w:hAnsi="Calibri" w:cs="Calibri"/>
          <w:color w:val="404040"/>
          <w:sz w:val="24"/>
          <w:szCs w:val="24"/>
        </w:rPr>
        <w:t>Rescatando Sonrisas (Maldonado</w:t>
      </w:r>
      <w:r w:rsidR="00AE0CAA">
        <w:rPr>
          <w:rFonts w:ascii="Calibri" w:eastAsia="Calibri" w:hAnsi="Calibri" w:cs="Calibri"/>
          <w:color w:val="404040"/>
          <w:sz w:val="24"/>
          <w:szCs w:val="24"/>
        </w:rPr>
        <w:t xml:space="preserve"> y Salto</w:t>
      </w:r>
      <w:r w:rsidRPr="00133ECC">
        <w:rPr>
          <w:rFonts w:ascii="Calibri" w:eastAsia="Calibri" w:hAnsi="Calibri" w:cs="Calibri"/>
          <w:color w:val="404040"/>
          <w:sz w:val="24"/>
          <w:szCs w:val="24"/>
        </w:rPr>
        <w:t>)</w:t>
      </w:r>
    </w:p>
    <w:p w14:paraId="464CF025" w14:textId="5C1EEBF0" w:rsidR="00133ECC" w:rsidRPr="00133ECC" w:rsidRDefault="00133ECC" w:rsidP="00133ECC">
      <w:pPr>
        <w:jc w:val="both"/>
        <w:rPr>
          <w:rFonts w:ascii="Calibri" w:eastAsia="Calibri" w:hAnsi="Calibri" w:cs="Calibri"/>
          <w:color w:val="404040"/>
          <w:sz w:val="24"/>
          <w:szCs w:val="24"/>
        </w:rPr>
      </w:pPr>
      <w:r w:rsidRPr="00133ECC">
        <w:rPr>
          <w:rFonts w:ascii="Calibri" w:eastAsia="Calibri" w:hAnsi="Calibri" w:cs="Calibri"/>
          <w:color w:val="404040"/>
          <w:sz w:val="24"/>
          <w:szCs w:val="24"/>
        </w:rPr>
        <w:t>SERPAJ</w:t>
      </w:r>
      <w:r w:rsidR="00157CB5">
        <w:rPr>
          <w:rFonts w:ascii="Calibri" w:eastAsia="Calibri" w:hAnsi="Calibri" w:cs="Calibri"/>
          <w:color w:val="404040"/>
          <w:sz w:val="24"/>
          <w:szCs w:val="24"/>
        </w:rPr>
        <w:t>-</w:t>
      </w:r>
      <w:r w:rsidRPr="00133ECC">
        <w:rPr>
          <w:rFonts w:ascii="Calibri" w:eastAsia="Calibri" w:hAnsi="Calibri" w:cs="Calibri"/>
          <w:color w:val="404040"/>
          <w:sz w:val="24"/>
          <w:szCs w:val="24"/>
        </w:rPr>
        <w:t xml:space="preserve"> Servicio Paz y Justicia</w:t>
      </w:r>
    </w:p>
    <w:p w14:paraId="10A58D6B" w14:textId="77777777" w:rsidR="00133ECC" w:rsidRPr="00133ECC" w:rsidRDefault="00133ECC" w:rsidP="00133ECC">
      <w:pPr>
        <w:jc w:val="both"/>
        <w:rPr>
          <w:rFonts w:ascii="Calibri" w:eastAsia="Calibri" w:hAnsi="Calibri" w:cs="Calibri"/>
          <w:color w:val="404040"/>
          <w:sz w:val="24"/>
          <w:szCs w:val="24"/>
        </w:rPr>
      </w:pPr>
      <w:r w:rsidRPr="00133ECC">
        <w:rPr>
          <w:rFonts w:ascii="Calibri" w:eastAsia="Calibri" w:hAnsi="Calibri" w:cs="Calibri"/>
          <w:color w:val="404040"/>
          <w:sz w:val="24"/>
          <w:szCs w:val="24"/>
        </w:rPr>
        <w:t>Vida y Educación</w:t>
      </w:r>
    </w:p>
    <w:p w14:paraId="35B90449" w14:textId="77777777" w:rsidR="005A420E" w:rsidRDefault="005A420E">
      <w:pPr>
        <w:jc w:val="both"/>
        <w:rPr>
          <w:rFonts w:ascii="Calibri" w:eastAsia="Calibri" w:hAnsi="Calibri" w:cs="Calibri"/>
          <w:color w:val="404040"/>
        </w:rPr>
      </w:pPr>
    </w:p>
    <w:p w14:paraId="15E623B0" w14:textId="77777777" w:rsidR="005A420E" w:rsidRDefault="005A420E">
      <w:pPr>
        <w:ind w:left="-141" w:firstLine="720"/>
        <w:jc w:val="both"/>
        <w:rPr>
          <w:rFonts w:ascii="Calibri" w:eastAsia="Calibri" w:hAnsi="Calibri" w:cs="Calibri"/>
          <w:color w:val="404040"/>
        </w:rPr>
      </w:pPr>
    </w:p>
    <w:p w14:paraId="38F3CF22" w14:textId="77777777" w:rsidR="005A420E" w:rsidRDefault="005A420E">
      <w:pPr>
        <w:ind w:left="-141" w:firstLine="720"/>
        <w:jc w:val="both"/>
        <w:rPr>
          <w:rFonts w:ascii="Calibri" w:eastAsia="Calibri" w:hAnsi="Calibri" w:cs="Calibri"/>
          <w:color w:val="404040"/>
        </w:rPr>
      </w:pPr>
    </w:p>
    <w:p w14:paraId="7C5E2E07" w14:textId="1F54853A" w:rsidR="005A420E" w:rsidRDefault="005A420E">
      <w:pPr>
        <w:ind w:left="-141" w:firstLine="720"/>
        <w:jc w:val="both"/>
        <w:rPr>
          <w:rFonts w:ascii="Calibri" w:eastAsia="Calibri" w:hAnsi="Calibri" w:cs="Calibri"/>
          <w:color w:val="404040"/>
        </w:rPr>
      </w:pPr>
    </w:p>
    <w:p w14:paraId="4418CB36" w14:textId="0887D505" w:rsidR="005A420E" w:rsidRDefault="005A420E">
      <w:pPr>
        <w:ind w:left="-141" w:firstLine="720"/>
        <w:jc w:val="both"/>
        <w:rPr>
          <w:rFonts w:ascii="Calibri" w:eastAsia="Calibri" w:hAnsi="Calibri" w:cs="Calibri"/>
          <w:color w:val="404040"/>
        </w:rPr>
      </w:pPr>
    </w:p>
    <w:sectPr w:rsidR="005A420E" w:rsidSect="00D96AF4">
      <w:pgSz w:w="11909" w:h="16834"/>
      <w:pgMar w:top="1440" w:right="1440" w:bottom="1440" w:left="1440" w:header="720" w:footer="720" w:gutter="0"/>
      <w:pgNumType w:start="3"/>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85564" w14:textId="77777777" w:rsidR="004A2D89" w:rsidRDefault="004A2D89">
      <w:pPr>
        <w:spacing w:line="240" w:lineRule="auto"/>
      </w:pPr>
      <w:r>
        <w:separator/>
      </w:r>
    </w:p>
  </w:endnote>
  <w:endnote w:type="continuationSeparator" w:id="0">
    <w:p w14:paraId="42017E39" w14:textId="77777777" w:rsidR="004A2D89" w:rsidRDefault="004A2D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BDBA3AD-5CFE-484B-A3AB-17791CF60F6E}"/>
    <w:embedBold r:id="rId2" w:fontKey="{29F06CF9-33E0-450F-9288-989EFE6D3155}"/>
    <w:embedItalic r:id="rId3" w:fontKey="{243B997B-7441-4EAD-9F38-52CC228002DB}"/>
    <w:embedBoldItalic r:id="rId4" w:fontKey="{6D10EE50-602A-4469-8946-E245B6D1DDA5}"/>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5" w:fontKey="{D70EC1AF-8A23-4FDC-AE47-3349A6F0B25F}"/>
  </w:font>
  <w:font w:name="Roboto">
    <w:charset w:val="00"/>
    <w:family w:val="auto"/>
    <w:pitch w:val="variable"/>
    <w:sig w:usb0="E0000AFF" w:usb1="5000217F" w:usb2="00000021" w:usb3="00000000" w:csb0="0000019F" w:csb1="00000000"/>
    <w:embedRegular r:id="rId6" w:fontKey="{2DE46121-47A6-4696-8E02-642CAF43CBF4}"/>
    <w:embedItalic r:id="rId7" w:fontKey="{3A3604EF-4262-4D20-8CC8-4E35A6CCA44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F4C0C" w14:textId="4337335A" w:rsidR="00D96AF4" w:rsidRDefault="00D96AF4">
    <w:pPr>
      <w:pStyle w:val="Footer"/>
      <w:jc w:val="right"/>
    </w:pPr>
  </w:p>
  <w:p w14:paraId="3A84B51D" w14:textId="77777777" w:rsidR="003F33D0" w:rsidRDefault="003F33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7896773"/>
      <w:docPartObj>
        <w:docPartGallery w:val="Page Numbers (Bottom of Page)"/>
        <w:docPartUnique/>
      </w:docPartObj>
    </w:sdtPr>
    <w:sdtContent>
      <w:p w14:paraId="37B9E2A1" w14:textId="07BED1DD" w:rsidR="00D96AF4" w:rsidRDefault="00D96AF4">
        <w:pPr>
          <w:pStyle w:val="Footer"/>
          <w:jc w:val="right"/>
        </w:pPr>
        <w:r>
          <w:fldChar w:fldCharType="begin"/>
        </w:r>
        <w:r>
          <w:instrText>PAGE   \* MERGEFORMAT</w:instrText>
        </w:r>
        <w:r>
          <w:fldChar w:fldCharType="separate"/>
        </w:r>
        <w:r>
          <w:rPr>
            <w:lang w:val="es-ES"/>
          </w:rPr>
          <w:t>2</w:t>
        </w:r>
        <w:r>
          <w:fldChar w:fldCharType="end"/>
        </w:r>
      </w:p>
    </w:sdtContent>
  </w:sdt>
  <w:p w14:paraId="6D4236AC" w14:textId="77777777" w:rsidR="00D96AF4" w:rsidRDefault="00D96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BA4E9" w14:textId="77777777" w:rsidR="004A2D89" w:rsidRDefault="004A2D89">
      <w:pPr>
        <w:spacing w:line="240" w:lineRule="auto"/>
      </w:pPr>
      <w:r>
        <w:separator/>
      </w:r>
    </w:p>
  </w:footnote>
  <w:footnote w:type="continuationSeparator" w:id="0">
    <w:p w14:paraId="15143210" w14:textId="77777777" w:rsidR="004A2D89" w:rsidRDefault="004A2D89">
      <w:pPr>
        <w:spacing w:line="240" w:lineRule="auto"/>
      </w:pPr>
      <w:r>
        <w:continuationSeparator/>
      </w:r>
    </w:p>
  </w:footnote>
  <w:footnote w:id="1">
    <w:p w14:paraId="564C3270" w14:textId="77777777" w:rsidR="005A420E" w:rsidRPr="00B51306" w:rsidRDefault="00000000">
      <w:pPr>
        <w:spacing w:line="240" w:lineRule="auto"/>
        <w:jc w:val="both"/>
        <w:rPr>
          <w:rFonts w:ascii="Calibri" w:eastAsia="Calibri" w:hAnsi="Calibri" w:cs="Calibri"/>
          <w:color w:val="262626" w:themeColor="text1" w:themeTint="D9"/>
          <w:sz w:val="18"/>
          <w:szCs w:val="18"/>
        </w:rPr>
      </w:pPr>
      <w:r>
        <w:rPr>
          <w:vertAlign w:val="superscript"/>
        </w:rPr>
        <w:footnoteRef/>
      </w:r>
      <w:hyperlink r:id="rId1">
        <w:r w:rsidR="005A420E" w:rsidRPr="00B51306">
          <w:rPr>
            <w:rFonts w:ascii="Calibri" w:eastAsia="Calibri" w:hAnsi="Calibri" w:cs="Calibri"/>
            <w:color w:val="262626" w:themeColor="text1" w:themeTint="D9"/>
            <w:sz w:val="18"/>
            <w:szCs w:val="18"/>
            <w:u w:val="single"/>
          </w:rPr>
          <w:t>https://cladem.org/noticia/uruguay--comenzo-a-tratarse-un-proyecto-de-ley-para-aumentar-la-edad-minima-del-matrimonio-a-los-18</w:t>
        </w:r>
      </w:hyperlink>
    </w:p>
    <w:p w14:paraId="4437DE36" w14:textId="77777777" w:rsidR="005A420E" w:rsidRDefault="00000000">
      <w:pPr>
        <w:spacing w:line="240" w:lineRule="auto"/>
        <w:jc w:val="both"/>
        <w:rPr>
          <w:rFonts w:ascii="Calibri" w:eastAsia="Calibri" w:hAnsi="Calibri" w:cs="Calibri"/>
          <w:sz w:val="18"/>
          <w:szCs w:val="18"/>
        </w:rPr>
      </w:pPr>
      <w:r>
        <w:rPr>
          <w:rFonts w:ascii="Calibri" w:eastAsia="Calibri" w:hAnsi="Calibri" w:cs="Calibri"/>
          <w:sz w:val="18"/>
          <w:szCs w:val="18"/>
        </w:rPr>
        <w:t xml:space="preserve"> </w:t>
      </w:r>
    </w:p>
    <w:p w14:paraId="2E548A32" w14:textId="77777777" w:rsidR="005A420E" w:rsidRDefault="005A420E">
      <w:pPr>
        <w:spacing w:line="240" w:lineRule="auto"/>
        <w:rPr>
          <w:sz w:val="20"/>
          <w:szCs w:val="20"/>
        </w:rPr>
      </w:pPr>
    </w:p>
  </w:footnote>
  <w:footnote w:id="2">
    <w:p w14:paraId="7C466C10" w14:textId="77777777" w:rsidR="005A420E" w:rsidRDefault="00000000">
      <w:pPr>
        <w:spacing w:line="240" w:lineRule="auto"/>
        <w:rPr>
          <w:rFonts w:ascii="Calibri" w:eastAsia="Calibri" w:hAnsi="Calibri" w:cs="Calibri"/>
          <w:sz w:val="18"/>
          <w:szCs w:val="18"/>
        </w:rPr>
      </w:pPr>
      <w:r>
        <w:rPr>
          <w:vertAlign w:val="superscript"/>
        </w:rPr>
        <w:footnoteRef/>
      </w:r>
      <w:hyperlink r:id="rId2">
        <w:r w:rsidR="005A420E" w:rsidRPr="005A53D7">
          <w:rPr>
            <w:rFonts w:ascii="Calibri" w:eastAsia="Calibri" w:hAnsi="Calibri" w:cs="Calibri"/>
            <w:color w:val="262626" w:themeColor="text1" w:themeTint="D9"/>
            <w:sz w:val="18"/>
            <w:szCs w:val="18"/>
            <w:u w:val="single"/>
          </w:rPr>
          <w:t xml:space="preserve"> https://www.impo.com.uy/bases/leyes/20141-2023</w:t>
        </w:r>
      </w:hyperlink>
    </w:p>
  </w:footnote>
  <w:footnote w:id="3">
    <w:p w14:paraId="34ACA217" w14:textId="77777777" w:rsidR="005A420E" w:rsidRPr="005A53D7" w:rsidRDefault="00000000">
      <w:pPr>
        <w:spacing w:line="240" w:lineRule="auto"/>
        <w:rPr>
          <w:color w:val="262626" w:themeColor="text1" w:themeTint="D9"/>
          <w:sz w:val="20"/>
          <w:szCs w:val="20"/>
        </w:rPr>
      </w:pPr>
      <w:r>
        <w:rPr>
          <w:vertAlign w:val="superscript"/>
        </w:rPr>
        <w:footnoteRef/>
      </w:r>
      <w:r>
        <w:rPr>
          <w:rFonts w:ascii="Calibri" w:eastAsia="Calibri" w:hAnsi="Calibri" w:cs="Calibri"/>
          <w:sz w:val="18"/>
          <w:szCs w:val="18"/>
        </w:rPr>
        <w:t xml:space="preserve"> </w:t>
      </w:r>
      <w:hyperlink r:id="rId3">
        <w:r w:rsidR="005A420E" w:rsidRPr="005A53D7">
          <w:rPr>
            <w:rFonts w:ascii="Calibri" w:eastAsia="Calibri" w:hAnsi="Calibri" w:cs="Calibri"/>
            <w:color w:val="262626" w:themeColor="text1" w:themeTint="D9"/>
            <w:sz w:val="18"/>
            <w:szCs w:val="18"/>
            <w:u w:val="single"/>
          </w:rPr>
          <w:t>https://www.impo.com.uy/bases/leyes/20376-2024</w:t>
        </w:r>
      </w:hyperlink>
    </w:p>
  </w:footnote>
  <w:footnote w:id="4">
    <w:p w14:paraId="5DD324FF" w14:textId="17A41CD6" w:rsidR="005A420E" w:rsidRDefault="00000000">
      <w:pPr>
        <w:spacing w:line="240" w:lineRule="auto"/>
        <w:rPr>
          <w:rFonts w:ascii="Calibri" w:eastAsia="Calibri" w:hAnsi="Calibri" w:cs="Calibri"/>
          <w:sz w:val="18"/>
          <w:szCs w:val="18"/>
        </w:rPr>
      </w:pPr>
      <w:r w:rsidRPr="005A53D7">
        <w:rPr>
          <w:color w:val="262626" w:themeColor="text1" w:themeTint="D9"/>
          <w:vertAlign w:val="superscript"/>
        </w:rPr>
        <w:footnoteRef/>
      </w:r>
      <w:r w:rsidR="005A53D7" w:rsidRPr="005A53D7">
        <w:rPr>
          <w:color w:val="262626" w:themeColor="text1" w:themeTint="D9"/>
        </w:rPr>
        <w:t xml:space="preserve"> </w:t>
      </w:r>
      <w:r w:rsidR="005A53D7" w:rsidRPr="005A53D7">
        <w:rPr>
          <w:rFonts w:asciiTheme="majorHAnsi" w:hAnsiTheme="majorHAnsi" w:cstheme="majorHAnsi"/>
          <w:color w:val="262626" w:themeColor="text1" w:themeTint="D9"/>
          <w:sz w:val="18"/>
          <w:szCs w:val="18"/>
        </w:rPr>
        <w:t>Disponible en:</w:t>
      </w:r>
      <w:r w:rsidR="005A53D7" w:rsidRPr="005A53D7">
        <w:rPr>
          <w:color w:val="262626" w:themeColor="text1" w:themeTint="D9"/>
        </w:rPr>
        <w:t xml:space="preserve"> </w:t>
      </w:r>
      <w:hyperlink r:id="rId4" w:history="1">
        <w:r w:rsidR="005A53D7" w:rsidRPr="005A53D7">
          <w:rPr>
            <w:rStyle w:val="Hyperlink"/>
            <w:rFonts w:ascii="Calibri" w:eastAsia="Calibri" w:hAnsi="Calibri" w:cs="Calibri"/>
            <w:color w:val="262626" w:themeColor="text1" w:themeTint="D9"/>
            <w:sz w:val="18"/>
            <w:szCs w:val="18"/>
          </w:rPr>
          <w:t>https://www.anong.org.uy/biblioteca/uruguay-2020-10-puntos-para-establecer-la-infancia-como-prioridad/</w:t>
        </w:r>
      </w:hyperlink>
    </w:p>
  </w:footnote>
  <w:footnote w:id="5">
    <w:p w14:paraId="083F1FE9" w14:textId="012E531A" w:rsidR="005A420E"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18"/>
          <w:szCs w:val="18"/>
        </w:rPr>
        <w:t xml:space="preserve"> </w:t>
      </w:r>
      <w:r w:rsidR="00CD1D00">
        <w:rPr>
          <w:rFonts w:ascii="Calibri" w:eastAsia="Calibri" w:hAnsi="Calibri" w:cs="Calibri"/>
          <w:sz w:val="18"/>
          <w:szCs w:val="18"/>
        </w:rPr>
        <w:t xml:space="preserve">Disponible: </w:t>
      </w:r>
      <w:hyperlink r:id="rId5" w:history="1">
        <w:r w:rsidR="003646D9" w:rsidRPr="003646D9">
          <w:rPr>
            <w:rStyle w:val="Hyperlink"/>
            <w:rFonts w:ascii="Calibri" w:eastAsia="Calibri" w:hAnsi="Calibri" w:cs="Calibri"/>
            <w:color w:val="262626" w:themeColor="text1" w:themeTint="D9"/>
            <w:sz w:val="18"/>
            <w:szCs w:val="18"/>
          </w:rPr>
          <w:t>https://www.unicef.org/uruguay/infancia-en-datos/pobreza-infantil/el-gasto-publico-social-en-uruguay</w:t>
        </w:r>
      </w:hyperlink>
    </w:p>
    <w:p w14:paraId="78B7D5E1" w14:textId="77777777" w:rsidR="005A420E" w:rsidRDefault="005A420E">
      <w:pPr>
        <w:spacing w:line="240" w:lineRule="auto"/>
        <w:rPr>
          <w:sz w:val="20"/>
          <w:szCs w:val="20"/>
        </w:rPr>
      </w:pPr>
    </w:p>
  </w:footnote>
  <w:footnote w:id="6">
    <w:p w14:paraId="3F950755" w14:textId="24DB18C9" w:rsidR="005A420E" w:rsidRPr="005A5E12" w:rsidRDefault="00000000" w:rsidP="005A5E12">
      <w:pPr>
        <w:spacing w:line="240" w:lineRule="auto"/>
        <w:rPr>
          <w:rFonts w:ascii="Calibri" w:eastAsia="Calibri" w:hAnsi="Calibri" w:cs="Calibri"/>
          <w:color w:val="262626" w:themeColor="text1" w:themeTint="D9"/>
          <w:sz w:val="18"/>
          <w:szCs w:val="18"/>
        </w:rPr>
      </w:pPr>
      <w:r w:rsidRPr="005A5E12">
        <w:rPr>
          <w:color w:val="262626" w:themeColor="text1" w:themeTint="D9"/>
          <w:sz w:val="18"/>
          <w:szCs w:val="18"/>
          <w:vertAlign w:val="superscript"/>
        </w:rPr>
        <w:footnoteRef/>
      </w:r>
      <w:r w:rsidRPr="005A5E12">
        <w:rPr>
          <w:rFonts w:ascii="Calibri" w:eastAsia="Calibri" w:hAnsi="Calibri" w:cs="Calibri"/>
          <w:color w:val="262626" w:themeColor="text1" w:themeTint="D9"/>
          <w:sz w:val="18"/>
          <w:szCs w:val="18"/>
        </w:rPr>
        <w:t>Disponible e</w:t>
      </w:r>
      <w:r w:rsidR="005A5E12" w:rsidRPr="005A5E12">
        <w:rPr>
          <w:rFonts w:ascii="Calibri" w:eastAsia="Calibri" w:hAnsi="Calibri" w:cs="Calibri"/>
          <w:color w:val="262626" w:themeColor="text1" w:themeTint="D9"/>
          <w:sz w:val="18"/>
          <w:szCs w:val="18"/>
        </w:rPr>
        <w:t xml:space="preserve">n: </w:t>
      </w:r>
      <w:r w:rsidRPr="005A5E12">
        <w:rPr>
          <w:color w:val="262626" w:themeColor="text1" w:themeTint="D9"/>
          <w:sz w:val="18"/>
          <w:szCs w:val="18"/>
        </w:rPr>
        <w:t xml:space="preserve"> </w:t>
      </w:r>
      <w:hyperlink r:id="rId6">
        <w:r w:rsidR="005A420E" w:rsidRPr="005A5E12">
          <w:rPr>
            <w:rFonts w:ascii="Calibri" w:eastAsia="Calibri" w:hAnsi="Calibri" w:cs="Calibri"/>
            <w:color w:val="262626" w:themeColor="text1" w:themeTint="D9"/>
            <w:sz w:val="18"/>
            <w:szCs w:val="18"/>
            <w:u w:val="single"/>
          </w:rPr>
          <w:t>https://www.gub.uy/institucion-nacional-derechos-humanos-uruguay/comunicacion/publicaciones/informe-155-mnp-sp-centro-adolescente-femenino-rivera</w:t>
        </w:r>
      </w:hyperlink>
    </w:p>
  </w:footnote>
  <w:footnote w:id="7">
    <w:p w14:paraId="5347259D" w14:textId="7BF35FBD" w:rsidR="005A420E" w:rsidRPr="005A5E12" w:rsidRDefault="00000000" w:rsidP="005A5E12">
      <w:pPr>
        <w:spacing w:line="240" w:lineRule="auto"/>
        <w:jc w:val="both"/>
        <w:rPr>
          <w:rFonts w:ascii="Calibri" w:eastAsia="Calibri" w:hAnsi="Calibri" w:cs="Calibri"/>
          <w:color w:val="262626" w:themeColor="text1" w:themeTint="D9"/>
          <w:sz w:val="18"/>
          <w:szCs w:val="18"/>
        </w:rPr>
      </w:pPr>
      <w:r w:rsidRPr="005A5E12">
        <w:rPr>
          <w:color w:val="262626" w:themeColor="text1" w:themeTint="D9"/>
          <w:sz w:val="18"/>
          <w:szCs w:val="18"/>
          <w:vertAlign w:val="superscript"/>
        </w:rPr>
        <w:footnoteRef/>
      </w:r>
      <w:r w:rsidRPr="005A5E12">
        <w:rPr>
          <w:rFonts w:ascii="Calibri" w:eastAsia="Calibri" w:hAnsi="Calibri" w:cs="Calibri"/>
          <w:color w:val="262626" w:themeColor="text1" w:themeTint="D9"/>
          <w:sz w:val="18"/>
          <w:szCs w:val="18"/>
        </w:rPr>
        <w:t>Disponible en</w:t>
      </w:r>
      <w:r w:rsidR="005A5E12">
        <w:rPr>
          <w:rFonts w:ascii="Calibri" w:eastAsia="Calibri" w:hAnsi="Calibri" w:cs="Calibri"/>
          <w:color w:val="262626" w:themeColor="text1" w:themeTint="D9"/>
          <w:sz w:val="18"/>
          <w:szCs w:val="18"/>
        </w:rPr>
        <w:t>:</w:t>
      </w:r>
      <w:r w:rsidRPr="005A5E12">
        <w:rPr>
          <w:rFonts w:ascii="Calibri" w:eastAsia="Calibri" w:hAnsi="Calibri" w:cs="Calibri"/>
          <w:color w:val="262626" w:themeColor="text1" w:themeTint="D9"/>
          <w:sz w:val="18"/>
          <w:szCs w:val="18"/>
        </w:rPr>
        <w:t xml:space="preserve"> </w:t>
      </w:r>
      <w:hyperlink r:id="rId7">
        <w:r w:rsidR="005A420E" w:rsidRPr="005A5E12">
          <w:rPr>
            <w:rFonts w:ascii="Calibri" w:eastAsia="Calibri" w:hAnsi="Calibri" w:cs="Calibri"/>
            <w:color w:val="262626" w:themeColor="text1" w:themeTint="D9"/>
            <w:sz w:val="18"/>
            <w:szCs w:val="18"/>
            <w:u w:val="single"/>
          </w:rPr>
          <w:t>https://www.gub.uy/institucion-nacional-derechos-humanos-uruguay/comunicacion/publicaciones/oficio-ndeg442-mnp-sp2018-dirigido-al-instituto-del-nino-y-adolescente</w:t>
        </w:r>
      </w:hyperlink>
    </w:p>
  </w:footnote>
  <w:footnote w:id="8">
    <w:p w14:paraId="6B7ADACA" w14:textId="7A89FD22" w:rsidR="005A420E" w:rsidRPr="005A5E12" w:rsidRDefault="00000000" w:rsidP="005A5E12">
      <w:pPr>
        <w:spacing w:line="240" w:lineRule="auto"/>
        <w:jc w:val="both"/>
        <w:rPr>
          <w:color w:val="262626" w:themeColor="text1" w:themeTint="D9"/>
          <w:sz w:val="18"/>
          <w:szCs w:val="18"/>
        </w:rPr>
      </w:pPr>
      <w:r w:rsidRPr="005A5E12">
        <w:rPr>
          <w:color w:val="262626" w:themeColor="text1" w:themeTint="D9"/>
          <w:sz w:val="18"/>
          <w:szCs w:val="18"/>
          <w:vertAlign w:val="superscript"/>
        </w:rPr>
        <w:footnoteRef/>
      </w:r>
      <w:r w:rsidRPr="005A5E12">
        <w:rPr>
          <w:rFonts w:ascii="Calibri" w:eastAsia="Calibri" w:hAnsi="Calibri" w:cs="Calibri"/>
          <w:color w:val="262626" w:themeColor="text1" w:themeTint="D9"/>
          <w:sz w:val="18"/>
          <w:szCs w:val="18"/>
        </w:rPr>
        <w:t>Disponible en</w:t>
      </w:r>
      <w:r w:rsidR="005A5E12">
        <w:rPr>
          <w:rFonts w:ascii="Calibri" w:eastAsia="Calibri" w:hAnsi="Calibri" w:cs="Calibri"/>
          <w:color w:val="262626" w:themeColor="text1" w:themeTint="D9"/>
          <w:sz w:val="18"/>
          <w:szCs w:val="18"/>
        </w:rPr>
        <w:t>:</w:t>
      </w:r>
    </w:p>
    <w:p w14:paraId="632860A8" w14:textId="77777777" w:rsidR="005A420E" w:rsidRDefault="005A420E" w:rsidP="005A5E12">
      <w:pPr>
        <w:spacing w:line="240" w:lineRule="auto"/>
        <w:jc w:val="both"/>
        <w:rPr>
          <w:rFonts w:ascii="Calibri" w:eastAsia="Calibri" w:hAnsi="Calibri" w:cs="Calibri"/>
          <w:sz w:val="18"/>
          <w:szCs w:val="18"/>
        </w:rPr>
      </w:pPr>
      <w:hyperlink r:id="rId8">
        <w:r w:rsidRPr="005A5E12">
          <w:rPr>
            <w:rFonts w:ascii="Calibri" w:eastAsia="Calibri" w:hAnsi="Calibri" w:cs="Calibri"/>
            <w:color w:val="262626" w:themeColor="text1" w:themeTint="D9"/>
            <w:sz w:val="18"/>
            <w:szCs w:val="18"/>
            <w:u w:val="single"/>
          </w:rPr>
          <w:t>https://www.gub.uy/institucion-nacional-derechos-humanos-uruguay/sites/institucion-nacional-derechos-humanos-uruguay/files/documentos/publicaciones/135.%20Informe%20Monitoreo%20CBE%20Tribal%20-%20MNP%20SP%202023-09-19.pdf</w:t>
        </w:r>
      </w:hyperlink>
    </w:p>
  </w:footnote>
  <w:footnote w:id="9">
    <w:p w14:paraId="67A67CF9" w14:textId="69565797" w:rsidR="005A420E" w:rsidRPr="005A5E12" w:rsidRDefault="00000000">
      <w:pPr>
        <w:spacing w:line="240" w:lineRule="auto"/>
        <w:rPr>
          <w:rFonts w:asciiTheme="majorHAnsi" w:hAnsiTheme="majorHAnsi" w:cstheme="majorHAnsi"/>
          <w:color w:val="404040" w:themeColor="text1" w:themeTint="BF"/>
          <w:sz w:val="18"/>
          <w:szCs w:val="18"/>
        </w:rPr>
      </w:pPr>
      <w:r w:rsidRPr="00E032E5">
        <w:rPr>
          <w:rFonts w:asciiTheme="majorHAnsi" w:hAnsiTheme="majorHAnsi" w:cstheme="majorHAnsi"/>
          <w:sz w:val="18"/>
          <w:szCs w:val="18"/>
          <w:vertAlign w:val="superscript"/>
        </w:rPr>
        <w:footnoteRef/>
      </w:r>
      <w:hyperlink r:id="rId9" w:history="1">
        <w:r w:rsidR="005A5E12" w:rsidRPr="005A5E12">
          <w:rPr>
            <w:rStyle w:val="Hyperlink"/>
            <w:rFonts w:asciiTheme="majorHAnsi" w:eastAsia="Calibri" w:hAnsiTheme="majorHAnsi" w:cstheme="majorHAnsi"/>
            <w:color w:val="404040" w:themeColor="text1" w:themeTint="BF"/>
            <w:sz w:val="18"/>
            <w:szCs w:val="18"/>
          </w:rPr>
          <w:t>https://www.cdnuruguay.org.uy/noticias/ante-la-muerte-de-ezequiel-adolescente-que-se-encontraba-internado-en-clinica-de-atencion-psiquiatrica-api/</w:t>
        </w:r>
      </w:hyperlink>
    </w:p>
  </w:footnote>
  <w:footnote w:id="10">
    <w:p w14:paraId="41462B73" w14:textId="6EBBDDBF" w:rsidR="005A420E" w:rsidRPr="005A5E12" w:rsidRDefault="00000000">
      <w:pPr>
        <w:spacing w:line="240" w:lineRule="auto"/>
        <w:rPr>
          <w:rFonts w:asciiTheme="majorHAnsi" w:hAnsiTheme="majorHAnsi" w:cstheme="majorHAnsi"/>
          <w:color w:val="404040" w:themeColor="text1" w:themeTint="BF"/>
          <w:sz w:val="18"/>
          <w:szCs w:val="18"/>
        </w:rPr>
      </w:pPr>
      <w:r w:rsidRPr="005A5E12">
        <w:rPr>
          <w:rFonts w:asciiTheme="majorHAnsi" w:hAnsiTheme="majorHAnsi" w:cstheme="majorHAnsi"/>
          <w:color w:val="404040" w:themeColor="text1" w:themeTint="BF"/>
          <w:sz w:val="18"/>
          <w:szCs w:val="18"/>
          <w:vertAlign w:val="superscript"/>
        </w:rPr>
        <w:footnoteRef/>
      </w:r>
      <w:hyperlink r:id="rId10" w:history="1">
        <w:r w:rsidR="005A5E12" w:rsidRPr="005A5E12">
          <w:rPr>
            <w:rStyle w:val="Hyperlink"/>
            <w:rFonts w:asciiTheme="majorHAnsi" w:eastAsia="Calibri" w:hAnsiTheme="majorHAnsi" w:cstheme="majorHAnsi"/>
            <w:color w:val="404040" w:themeColor="text1" w:themeTint="BF"/>
            <w:sz w:val="18"/>
            <w:szCs w:val="18"/>
          </w:rPr>
          <w:t>https://ladiaria.com.uy/justicia/articulo/2025/6/un-adolescente-bajo-el-amparo-del-inau-se-suicido-esta-semana/</w:t>
        </w:r>
      </w:hyperlink>
    </w:p>
  </w:footnote>
  <w:footnote w:id="11">
    <w:p w14:paraId="3BFDB105" w14:textId="07A1C4C9" w:rsidR="005A420E" w:rsidRPr="005A5E12" w:rsidRDefault="00000000">
      <w:pPr>
        <w:spacing w:line="240" w:lineRule="auto"/>
        <w:rPr>
          <w:rFonts w:asciiTheme="majorHAnsi" w:hAnsiTheme="majorHAnsi" w:cstheme="majorHAnsi"/>
          <w:color w:val="404040" w:themeColor="text1" w:themeTint="BF"/>
          <w:sz w:val="18"/>
          <w:szCs w:val="18"/>
        </w:rPr>
      </w:pPr>
      <w:r w:rsidRPr="005A5E12">
        <w:rPr>
          <w:rFonts w:asciiTheme="majorHAnsi" w:hAnsiTheme="majorHAnsi" w:cstheme="majorHAnsi"/>
          <w:color w:val="404040" w:themeColor="text1" w:themeTint="BF"/>
          <w:sz w:val="18"/>
          <w:szCs w:val="18"/>
          <w:vertAlign w:val="superscript"/>
        </w:rPr>
        <w:footnoteRef/>
      </w:r>
      <w:r w:rsidRPr="005A5E12">
        <w:rPr>
          <w:rFonts w:asciiTheme="majorHAnsi" w:eastAsia="Calibri" w:hAnsiTheme="majorHAnsi" w:cstheme="majorHAnsi"/>
          <w:color w:val="404040" w:themeColor="text1" w:themeTint="BF"/>
          <w:sz w:val="18"/>
          <w:szCs w:val="18"/>
        </w:rPr>
        <w:t xml:space="preserve"> </w:t>
      </w:r>
      <w:hyperlink r:id="rId11" w:history="1">
        <w:r w:rsidR="005A5E12" w:rsidRPr="005A5E12">
          <w:rPr>
            <w:rStyle w:val="Hyperlink"/>
            <w:rFonts w:asciiTheme="majorHAnsi" w:hAnsiTheme="majorHAnsi" w:cstheme="majorHAnsi"/>
            <w:color w:val="404040" w:themeColor="text1" w:themeTint="BF"/>
            <w:sz w:val="18"/>
            <w:szCs w:val="18"/>
          </w:rPr>
          <w:t>https://www.elpais.com.uy/informacion/politica/en-medio-de-la-polemica-directorio-del-inisa-separo-del-cargo-a-dos-subdirectores-tras-denuncias-de-torturas</w:t>
        </w:r>
      </w:hyperlink>
    </w:p>
  </w:footnote>
  <w:footnote w:id="12">
    <w:p w14:paraId="690E282D" w14:textId="52818FCF" w:rsidR="005A420E" w:rsidRPr="005A5E12" w:rsidRDefault="00000000">
      <w:pPr>
        <w:spacing w:line="240" w:lineRule="auto"/>
        <w:rPr>
          <w:rFonts w:asciiTheme="majorHAnsi" w:hAnsiTheme="majorHAnsi" w:cstheme="majorHAnsi"/>
          <w:sz w:val="18"/>
          <w:szCs w:val="18"/>
        </w:rPr>
      </w:pPr>
      <w:r w:rsidRPr="005A5E12">
        <w:rPr>
          <w:rFonts w:asciiTheme="majorHAnsi" w:hAnsiTheme="majorHAnsi" w:cstheme="majorHAnsi"/>
          <w:color w:val="404040" w:themeColor="text1" w:themeTint="BF"/>
          <w:sz w:val="18"/>
          <w:szCs w:val="18"/>
          <w:vertAlign w:val="superscript"/>
        </w:rPr>
        <w:footnoteRef/>
      </w:r>
      <w:r w:rsidRPr="005A5E12">
        <w:rPr>
          <w:rFonts w:asciiTheme="majorHAnsi" w:eastAsia="Calibri" w:hAnsiTheme="majorHAnsi" w:cstheme="majorHAnsi"/>
          <w:color w:val="404040" w:themeColor="text1" w:themeTint="BF"/>
          <w:sz w:val="18"/>
          <w:szCs w:val="18"/>
        </w:rPr>
        <w:t>Disponible en</w:t>
      </w:r>
      <w:r w:rsidR="00E032E5" w:rsidRPr="005A5E12">
        <w:rPr>
          <w:rFonts w:asciiTheme="majorHAnsi" w:eastAsia="Calibri" w:hAnsiTheme="majorHAnsi" w:cstheme="majorHAnsi"/>
          <w:color w:val="404040" w:themeColor="text1" w:themeTint="BF"/>
          <w:sz w:val="18"/>
          <w:szCs w:val="18"/>
        </w:rPr>
        <w:t>:</w:t>
      </w:r>
      <w:hyperlink r:id="rId12" w:history="1">
        <w:r w:rsidR="005A5E12" w:rsidRPr="005A5E12">
          <w:rPr>
            <w:rStyle w:val="Hyperlink"/>
            <w:rFonts w:asciiTheme="majorHAnsi" w:eastAsia="Calibri" w:hAnsiTheme="majorHAnsi" w:cstheme="majorHAnsi"/>
            <w:color w:val="404040" w:themeColor="text1" w:themeTint="BF"/>
            <w:sz w:val="18"/>
            <w:szCs w:val="18"/>
          </w:rPr>
          <w:t>https://www.cdnuruguay.org.uy/wp-content/uploads/2022/05/Resumen-Ejecutivo-Informe-Alternativo-CAT_-Infancias-y-adolescencias-URU.pdf</w:t>
        </w:r>
      </w:hyperlink>
    </w:p>
  </w:footnote>
  <w:footnote w:id="13">
    <w:p w14:paraId="5F2828F4" w14:textId="0CC50A47" w:rsidR="005A420E" w:rsidRPr="008B4E50" w:rsidRDefault="00000000">
      <w:pPr>
        <w:spacing w:line="240" w:lineRule="auto"/>
        <w:rPr>
          <w:rFonts w:asciiTheme="majorHAnsi" w:eastAsia="Calibri" w:hAnsiTheme="majorHAnsi" w:cstheme="majorHAnsi"/>
          <w:color w:val="262626" w:themeColor="text1" w:themeTint="D9"/>
          <w:sz w:val="18"/>
          <w:szCs w:val="18"/>
        </w:rPr>
      </w:pPr>
      <w:r w:rsidRPr="008B4E50">
        <w:rPr>
          <w:rFonts w:asciiTheme="majorHAnsi" w:hAnsiTheme="majorHAnsi" w:cstheme="majorHAnsi"/>
          <w:color w:val="262626" w:themeColor="text1" w:themeTint="D9"/>
          <w:sz w:val="18"/>
          <w:szCs w:val="18"/>
          <w:vertAlign w:val="superscript"/>
        </w:rPr>
        <w:footnoteRef/>
      </w:r>
      <w:hyperlink r:id="rId13">
        <w:r w:rsidR="005A420E" w:rsidRPr="008B4E50">
          <w:rPr>
            <w:rFonts w:asciiTheme="majorHAnsi" w:eastAsia="Calibri" w:hAnsiTheme="majorHAnsi" w:cstheme="majorHAnsi"/>
            <w:color w:val="262626" w:themeColor="text1" w:themeTint="D9"/>
            <w:sz w:val="18"/>
            <w:szCs w:val="18"/>
          </w:rPr>
          <w:t xml:space="preserve"> </w:t>
        </w:r>
      </w:hyperlink>
      <w:hyperlink r:id="rId14" w:history="1">
        <w:r w:rsidR="008B4E50" w:rsidRPr="008B4E50">
          <w:rPr>
            <w:rStyle w:val="Hyperlink"/>
            <w:rFonts w:asciiTheme="majorHAnsi" w:eastAsia="Calibri" w:hAnsiTheme="majorHAnsi" w:cstheme="majorHAnsi"/>
            <w:color w:val="262626" w:themeColor="text1" w:themeTint="D9"/>
            <w:sz w:val="18"/>
            <w:szCs w:val="18"/>
          </w:rPr>
          <w:t>https://brecha.com.uy/la-balacera/. https://ladiaria.com.uy/politica/articulo/2025/3/en-19-de-23-ataques-con-armas-resultaron-heridos-menores-alerto-la-plataforma-de-infancia-y-adolescencia/</w:t>
        </w:r>
      </w:hyperlink>
    </w:p>
  </w:footnote>
  <w:footnote w:id="14">
    <w:p w14:paraId="22B7F3FB" w14:textId="534D2EFB" w:rsidR="005A420E" w:rsidRDefault="00000000">
      <w:pPr>
        <w:spacing w:line="240" w:lineRule="auto"/>
        <w:rPr>
          <w:rFonts w:ascii="Calibri" w:eastAsia="Calibri" w:hAnsi="Calibri" w:cs="Calibri"/>
          <w:sz w:val="18"/>
          <w:szCs w:val="18"/>
        </w:rPr>
      </w:pPr>
      <w:r w:rsidRPr="008B4E50">
        <w:rPr>
          <w:rFonts w:asciiTheme="majorHAnsi" w:hAnsiTheme="majorHAnsi" w:cstheme="majorHAnsi"/>
          <w:color w:val="262626" w:themeColor="text1" w:themeTint="D9"/>
          <w:sz w:val="18"/>
          <w:szCs w:val="18"/>
          <w:vertAlign w:val="superscript"/>
        </w:rPr>
        <w:footnoteRef/>
      </w:r>
      <w:r w:rsidRPr="008B4E50">
        <w:rPr>
          <w:rFonts w:asciiTheme="majorHAnsi" w:hAnsiTheme="majorHAnsi" w:cstheme="majorHAnsi"/>
          <w:color w:val="262626" w:themeColor="text1" w:themeTint="D9"/>
          <w:sz w:val="18"/>
          <w:szCs w:val="18"/>
        </w:rPr>
        <w:t xml:space="preserve"> </w:t>
      </w:r>
      <w:hyperlink r:id="rId15">
        <w:r w:rsidR="005A420E" w:rsidRPr="008B4E50">
          <w:rPr>
            <w:rFonts w:asciiTheme="majorHAnsi" w:eastAsia="Calibri" w:hAnsiTheme="majorHAnsi" w:cstheme="majorHAnsi"/>
            <w:color w:val="262626" w:themeColor="text1" w:themeTint="D9"/>
            <w:sz w:val="18"/>
            <w:szCs w:val="18"/>
            <w:u w:val="single"/>
          </w:rPr>
          <w:t>https://www.inau.gub.uy/novedades/noticias/item/4011-sipiav-en-cifras-se-presento-el-informe-de-gestion-2024</w:t>
        </w:r>
      </w:hyperlink>
    </w:p>
  </w:footnote>
  <w:footnote w:id="15">
    <w:p w14:paraId="548C0443" w14:textId="531041B4" w:rsidR="005A420E" w:rsidRPr="008B4E50" w:rsidRDefault="00000000">
      <w:pPr>
        <w:spacing w:line="240" w:lineRule="auto"/>
        <w:rPr>
          <w:rFonts w:asciiTheme="majorHAnsi" w:eastAsia="Calibri" w:hAnsiTheme="majorHAnsi" w:cstheme="majorHAnsi"/>
          <w:color w:val="262626" w:themeColor="text1" w:themeTint="D9"/>
          <w:sz w:val="18"/>
          <w:szCs w:val="18"/>
        </w:rPr>
      </w:pPr>
      <w:r w:rsidRPr="008B4E50">
        <w:rPr>
          <w:rFonts w:asciiTheme="majorHAnsi" w:hAnsiTheme="majorHAnsi" w:cstheme="majorHAnsi"/>
          <w:color w:val="262626" w:themeColor="text1" w:themeTint="D9"/>
          <w:sz w:val="18"/>
          <w:szCs w:val="18"/>
          <w:vertAlign w:val="superscript"/>
        </w:rPr>
        <w:footnoteRef/>
      </w:r>
      <w:r w:rsidRPr="008B4E50">
        <w:rPr>
          <w:rFonts w:asciiTheme="majorHAnsi" w:hAnsiTheme="majorHAnsi" w:cstheme="majorHAnsi"/>
          <w:color w:val="262626" w:themeColor="text1" w:themeTint="D9"/>
          <w:sz w:val="18"/>
          <w:szCs w:val="18"/>
        </w:rPr>
        <w:t xml:space="preserve"> </w:t>
      </w:r>
      <w:hyperlink r:id="rId16">
        <w:r w:rsidR="005A420E" w:rsidRPr="008B4E50">
          <w:rPr>
            <w:rFonts w:asciiTheme="majorHAnsi" w:eastAsia="Calibri" w:hAnsiTheme="majorHAnsi" w:cstheme="majorHAnsi"/>
            <w:color w:val="262626" w:themeColor="text1" w:themeTint="D9"/>
            <w:sz w:val="18"/>
            <w:szCs w:val="18"/>
            <w:u w:val="single"/>
          </w:rPr>
          <w:t>https://www.autonomiascolectivascontralaviolenciadegenero.org.uy/la-sociedad-civil-presento-la-situacion-de-uruguay-ante-el-examen-periodico-universal-de-naciones-unidas/</w:t>
        </w:r>
      </w:hyperlink>
    </w:p>
  </w:footnote>
  <w:footnote w:id="16">
    <w:p w14:paraId="1A8C540F" w14:textId="19FAD0AD" w:rsidR="005A420E" w:rsidRPr="00E032E5" w:rsidRDefault="00000000">
      <w:pPr>
        <w:spacing w:line="240" w:lineRule="auto"/>
        <w:rPr>
          <w:rFonts w:asciiTheme="majorHAnsi" w:eastAsia="Calibri" w:hAnsiTheme="majorHAnsi" w:cstheme="majorHAnsi"/>
          <w:sz w:val="18"/>
          <w:szCs w:val="18"/>
        </w:rPr>
      </w:pPr>
      <w:r w:rsidRPr="008B4E50">
        <w:rPr>
          <w:rFonts w:asciiTheme="majorHAnsi" w:hAnsiTheme="majorHAnsi" w:cstheme="majorHAnsi"/>
          <w:color w:val="262626" w:themeColor="text1" w:themeTint="D9"/>
          <w:sz w:val="18"/>
          <w:szCs w:val="18"/>
          <w:vertAlign w:val="superscript"/>
        </w:rPr>
        <w:footnoteRef/>
      </w:r>
      <w:hyperlink r:id="rId17">
        <w:r w:rsidR="005A420E" w:rsidRPr="008B4E50">
          <w:rPr>
            <w:rFonts w:asciiTheme="majorHAnsi" w:eastAsia="Calibri" w:hAnsiTheme="majorHAnsi" w:cstheme="majorHAnsi"/>
            <w:color w:val="262626" w:themeColor="text1" w:themeTint="D9"/>
            <w:sz w:val="18"/>
            <w:szCs w:val="18"/>
          </w:rPr>
          <w:t>Disponible en</w:t>
        </w:r>
      </w:hyperlink>
      <w:r w:rsidR="00E032E5" w:rsidRPr="008B4E50">
        <w:rPr>
          <w:rFonts w:asciiTheme="majorHAnsi" w:hAnsiTheme="majorHAnsi" w:cstheme="majorHAnsi"/>
          <w:color w:val="262626" w:themeColor="text1" w:themeTint="D9"/>
          <w:sz w:val="18"/>
          <w:szCs w:val="18"/>
        </w:rPr>
        <w:t>:</w:t>
      </w:r>
      <w:r w:rsidRPr="008B4E50">
        <w:rPr>
          <w:rFonts w:asciiTheme="majorHAnsi" w:eastAsia="Calibri" w:hAnsiTheme="majorHAnsi" w:cstheme="majorHAnsi"/>
          <w:color w:val="262626" w:themeColor="text1" w:themeTint="D9"/>
          <w:sz w:val="18"/>
          <w:szCs w:val="18"/>
        </w:rPr>
        <w:t xml:space="preserve">  </w:t>
      </w:r>
      <w:hyperlink r:id="rId18">
        <w:r w:rsidR="005A420E" w:rsidRPr="008B4E50">
          <w:rPr>
            <w:rFonts w:asciiTheme="majorHAnsi" w:eastAsia="Calibri" w:hAnsiTheme="majorHAnsi" w:cstheme="majorHAnsi"/>
            <w:color w:val="262626" w:themeColor="text1" w:themeTint="D9"/>
            <w:sz w:val="18"/>
            <w:szCs w:val="18"/>
            <w:u w:val="single"/>
          </w:rPr>
          <w:t>https://www.inau.gub.uy/reporte-derecho-a-vivir-en-familia/2025/download/10215/3961/16</w:t>
        </w:r>
      </w:hyperlink>
    </w:p>
    <w:p w14:paraId="14819580" w14:textId="77777777" w:rsidR="005A420E" w:rsidRPr="00E032E5" w:rsidRDefault="005A420E">
      <w:pPr>
        <w:spacing w:line="240" w:lineRule="auto"/>
        <w:rPr>
          <w:rFonts w:asciiTheme="majorHAnsi" w:hAnsiTheme="majorHAnsi" w:cstheme="majorHAnsi"/>
          <w:sz w:val="18"/>
          <w:szCs w:val="18"/>
        </w:rPr>
      </w:pPr>
    </w:p>
  </w:footnote>
  <w:footnote w:id="17">
    <w:p w14:paraId="4A50FF01" w14:textId="417D2CDE" w:rsidR="005A420E" w:rsidRPr="00446D33" w:rsidRDefault="00000000">
      <w:pPr>
        <w:spacing w:line="240" w:lineRule="auto"/>
        <w:rPr>
          <w:rFonts w:asciiTheme="majorHAnsi" w:eastAsia="Calibri" w:hAnsiTheme="majorHAnsi" w:cstheme="majorHAnsi"/>
          <w:color w:val="404040" w:themeColor="text1" w:themeTint="BF"/>
          <w:sz w:val="18"/>
          <w:szCs w:val="18"/>
        </w:rPr>
      </w:pPr>
      <w:r>
        <w:rPr>
          <w:vertAlign w:val="superscript"/>
        </w:rPr>
        <w:footnoteRef/>
      </w:r>
      <w:r w:rsidRPr="00446D33">
        <w:rPr>
          <w:rFonts w:asciiTheme="majorHAnsi" w:eastAsia="Calibri" w:hAnsiTheme="majorHAnsi" w:cstheme="majorHAnsi"/>
          <w:color w:val="404040" w:themeColor="text1" w:themeTint="BF"/>
          <w:sz w:val="18"/>
          <w:szCs w:val="18"/>
        </w:rPr>
        <w:t>Disponible en</w:t>
      </w:r>
      <w:r w:rsidR="00E032E5" w:rsidRPr="00446D33">
        <w:rPr>
          <w:rFonts w:asciiTheme="majorHAnsi" w:eastAsia="Calibri" w:hAnsiTheme="majorHAnsi" w:cstheme="majorHAnsi"/>
          <w:color w:val="404040" w:themeColor="text1" w:themeTint="BF"/>
          <w:sz w:val="18"/>
          <w:szCs w:val="18"/>
        </w:rPr>
        <w:t>:</w:t>
      </w:r>
      <w:r w:rsidRPr="00446D33">
        <w:rPr>
          <w:rFonts w:asciiTheme="majorHAnsi" w:eastAsia="Calibri" w:hAnsiTheme="majorHAnsi" w:cstheme="majorHAnsi"/>
          <w:color w:val="404040" w:themeColor="text1" w:themeTint="BF"/>
          <w:sz w:val="18"/>
          <w:szCs w:val="18"/>
        </w:rPr>
        <w:t xml:space="preserve"> </w:t>
      </w:r>
      <w:hyperlink r:id="rId19" w:anchor=":~:text=Uno%20de%20cada%20cinco%20ni%C3%B1os,hace%20m%C3%A1s%20de%2030%20a%C3%B1os">
        <w:r w:rsidR="005A420E" w:rsidRPr="00446D33">
          <w:rPr>
            <w:rFonts w:asciiTheme="majorHAnsi" w:eastAsia="Calibri" w:hAnsiTheme="majorHAnsi" w:cstheme="majorHAnsi"/>
            <w:color w:val="404040" w:themeColor="text1" w:themeTint="BF"/>
            <w:sz w:val="18"/>
            <w:szCs w:val="18"/>
            <w:u w:val="single"/>
          </w:rPr>
          <w:t>https://www.unicef.org/uruguay/infancia-en-datos/pobreza-infantil/an%C3%A1lisis-de-la-pobreza-infantil-en-uruguay#:~:text=Uno%20de%20cada%20cinco%20ni%C3%B1os,hace%20m%C3%A1s%20de%2030%20a%C3%B1os.</w:t>
        </w:r>
      </w:hyperlink>
    </w:p>
  </w:footnote>
  <w:footnote w:id="18">
    <w:p w14:paraId="2053A959" w14:textId="7A2F2460" w:rsidR="005A420E" w:rsidRPr="00446D33" w:rsidRDefault="00000000">
      <w:pPr>
        <w:spacing w:line="240" w:lineRule="auto"/>
        <w:rPr>
          <w:rFonts w:asciiTheme="majorHAnsi" w:eastAsia="Calibri" w:hAnsiTheme="majorHAnsi" w:cstheme="majorHAnsi"/>
          <w:color w:val="404040" w:themeColor="text1" w:themeTint="BF"/>
          <w:sz w:val="18"/>
          <w:szCs w:val="18"/>
        </w:rPr>
      </w:pPr>
      <w:r w:rsidRPr="00446D33">
        <w:rPr>
          <w:rFonts w:asciiTheme="majorHAnsi" w:hAnsiTheme="majorHAnsi" w:cstheme="majorHAnsi"/>
          <w:color w:val="404040" w:themeColor="text1" w:themeTint="BF"/>
          <w:sz w:val="18"/>
          <w:szCs w:val="18"/>
          <w:vertAlign w:val="superscript"/>
        </w:rPr>
        <w:footnoteRef/>
      </w:r>
      <w:hyperlink r:id="rId20">
        <w:r w:rsidR="005A420E" w:rsidRPr="00446D33">
          <w:rPr>
            <w:rFonts w:asciiTheme="majorHAnsi" w:eastAsia="Calibri" w:hAnsiTheme="majorHAnsi" w:cstheme="majorHAnsi"/>
            <w:color w:val="404040" w:themeColor="text1" w:themeTint="BF"/>
            <w:sz w:val="18"/>
            <w:szCs w:val="18"/>
          </w:rPr>
          <w:t>Disponible en</w:t>
        </w:r>
      </w:hyperlink>
      <w:r w:rsidR="00E032E5" w:rsidRPr="00446D33">
        <w:rPr>
          <w:rFonts w:asciiTheme="majorHAnsi" w:hAnsiTheme="majorHAnsi" w:cstheme="majorHAnsi"/>
          <w:color w:val="404040" w:themeColor="text1" w:themeTint="BF"/>
          <w:sz w:val="18"/>
          <w:szCs w:val="18"/>
        </w:rPr>
        <w:t>:</w:t>
      </w:r>
      <w:r w:rsidRPr="00446D33">
        <w:rPr>
          <w:rFonts w:asciiTheme="majorHAnsi" w:hAnsiTheme="majorHAnsi" w:cstheme="majorHAnsi"/>
          <w:color w:val="404040" w:themeColor="text1" w:themeTint="BF"/>
          <w:sz w:val="18"/>
          <w:szCs w:val="18"/>
        </w:rPr>
        <w:t xml:space="preserve"> </w:t>
      </w:r>
      <w:hyperlink r:id="rId21">
        <w:r w:rsidR="005A420E" w:rsidRPr="00446D33">
          <w:rPr>
            <w:rFonts w:asciiTheme="majorHAnsi" w:eastAsia="Calibri" w:hAnsiTheme="majorHAnsi" w:cstheme="majorHAnsi"/>
            <w:color w:val="404040" w:themeColor="text1" w:themeTint="BF"/>
            <w:sz w:val="18"/>
            <w:szCs w:val="18"/>
            <w:u w:val="single"/>
          </w:rPr>
          <w:t>https://www.gub.uy/ministerio-desarrollo-social/comunicacion/noticias/visibilizar-desigualdades-fortalecer-acciones-datos-estadisticos-poblacion</w:t>
        </w:r>
      </w:hyperlink>
    </w:p>
  </w:footnote>
  <w:footnote w:id="19">
    <w:p w14:paraId="449488F5" w14:textId="1BF03BBD" w:rsidR="005A420E" w:rsidRPr="00446D33" w:rsidRDefault="00000000">
      <w:pPr>
        <w:spacing w:line="240" w:lineRule="auto"/>
        <w:rPr>
          <w:rFonts w:asciiTheme="majorHAnsi" w:eastAsia="Calibri" w:hAnsiTheme="majorHAnsi" w:cstheme="majorHAnsi"/>
          <w:color w:val="404040" w:themeColor="text1" w:themeTint="BF"/>
          <w:sz w:val="18"/>
          <w:szCs w:val="18"/>
        </w:rPr>
      </w:pPr>
      <w:r w:rsidRPr="00446D33">
        <w:rPr>
          <w:rFonts w:asciiTheme="majorHAnsi" w:hAnsiTheme="majorHAnsi" w:cstheme="majorHAnsi"/>
          <w:color w:val="404040" w:themeColor="text1" w:themeTint="BF"/>
          <w:sz w:val="18"/>
          <w:szCs w:val="18"/>
          <w:vertAlign w:val="superscript"/>
        </w:rPr>
        <w:footnoteRef/>
      </w:r>
      <w:r w:rsidRPr="00446D33">
        <w:rPr>
          <w:rFonts w:asciiTheme="majorHAnsi" w:eastAsia="Calibri" w:hAnsiTheme="majorHAnsi" w:cstheme="majorHAnsi"/>
          <w:color w:val="404040" w:themeColor="text1" w:themeTint="BF"/>
          <w:sz w:val="18"/>
          <w:szCs w:val="18"/>
        </w:rPr>
        <w:t xml:space="preserve"> </w:t>
      </w:r>
      <w:hyperlink r:id="rId22">
        <w:r w:rsidR="005A420E" w:rsidRPr="00446D33">
          <w:rPr>
            <w:rFonts w:asciiTheme="majorHAnsi" w:eastAsia="Calibri" w:hAnsiTheme="majorHAnsi" w:cstheme="majorHAnsi"/>
            <w:color w:val="404040" w:themeColor="text1" w:themeTint="BF"/>
            <w:sz w:val="18"/>
            <w:szCs w:val="18"/>
          </w:rPr>
          <w:t>Disponible en</w:t>
        </w:r>
      </w:hyperlink>
      <w:r w:rsidR="00E032E5" w:rsidRPr="00446D33">
        <w:rPr>
          <w:rFonts w:asciiTheme="majorHAnsi" w:hAnsiTheme="majorHAnsi" w:cstheme="majorHAnsi"/>
          <w:color w:val="404040" w:themeColor="text1" w:themeTint="BF"/>
          <w:sz w:val="18"/>
          <w:szCs w:val="18"/>
        </w:rPr>
        <w:t>:</w:t>
      </w:r>
      <w:r w:rsidRPr="00446D33">
        <w:rPr>
          <w:rFonts w:asciiTheme="majorHAnsi" w:eastAsia="Calibri" w:hAnsiTheme="majorHAnsi" w:cstheme="majorHAnsi"/>
          <w:color w:val="404040" w:themeColor="text1" w:themeTint="BF"/>
          <w:sz w:val="18"/>
          <w:szCs w:val="18"/>
        </w:rPr>
        <w:t xml:space="preserve"> </w:t>
      </w:r>
      <w:hyperlink r:id="rId23">
        <w:r w:rsidR="005A420E" w:rsidRPr="00446D33">
          <w:rPr>
            <w:rFonts w:asciiTheme="majorHAnsi" w:eastAsia="Calibri" w:hAnsiTheme="majorHAnsi" w:cstheme="majorHAnsi"/>
            <w:color w:val="404040" w:themeColor="text1" w:themeTint="BF"/>
            <w:sz w:val="18"/>
            <w:szCs w:val="18"/>
            <w:u w:val="single"/>
          </w:rPr>
          <w:t>https://www.unicef.org/uruguay/infancia-en-datos/pobreza-infantil/infancia-y-vivienda</w:t>
        </w:r>
      </w:hyperlink>
    </w:p>
    <w:p w14:paraId="1156FFBD" w14:textId="77777777" w:rsidR="005A420E" w:rsidRDefault="005A420E">
      <w:pPr>
        <w:spacing w:line="240" w:lineRule="auto"/>
        <w:rPr>
          <w:sz w:val="20"/>
          <w:szCs w:val="20"/>
        </w:rPr>
      </w:pPr>
    </w:p>
  </w:footnote>
  <w:footnote w:id="20">
    <w:p w14:paraId="519DBC3E" w14:textId="77777777" w:rsidR="005A420E" w:rsidRDefault="00000000">
      <w:pPr>
        <w:spacing w:line="240" w:lineRule="auto"/>
        <w:rPr>
          <w:rFonts w:ascii="Calibri" w:eastAsia="Calibri" w:hAnsi="Calibri" w:cs="Calibri"/>
          <w:sz w:val="18"/>
          <w:szCs w:val="18"/>
        </w:rPr>
      </w:pPr>
      <w:r>
        <w:rPr>
          <w:vertAlign w:val="superscript"/>
        </w:rPr>
        <w:footnoteRef/>
      </w:r>
      <w:hyperlink r:id="rId24">
        <w:r w:rsidR="005A420E" w:rsidRPr="00C1770D">
          <w:rPr>
            <w:rFonts w:asciiTheme="majorHAnsi" w:eastAsia="Calibri" w:hAnsiTheme="majorHAnsi" w:cstheme="majorHAnsi"/>
            <w:color w:val="404040" w:themeColor="text1" w:themeTint="BF"/>
            <w:sz w:val="18"/>
            <w:szCs w:val="18"/>
          </w:rPr>
          <w:t>Disponible en</w:t>
        </w:r>
      </w:hyperlink>
      <w:r w:rsidRPr="00C1770D">
        <w:rPr>
          <w:color w:val="404040" w:themeColor="text1" w:themeTint="BF"/>
        </w:rPr>
        <w:t xml:space="preserve"> </w:t>
      </w:r>
      <w:hyperlink r:id="rId25">
        <w:r w:rsidR="005A420E" w:rsidRPr="00C1770D">
          <w:rPr>
            <w:rFonts w:ascii="Calibri" w:eastAsia="Calibri" w:hAnsi="Calibri" w:cs="Calibri"/>
            <w:color w:val="404040" w:themeColor="text1" w:themeTint="BF"/>
            <w:sz w:val="18"/>
            <w:szCs w:val="18"/>
            <w:u w:val="single"/>
          </w:rPr>
          <w:t>https://www.anong.org.uy/wp-content/uploads/2021/12/10-puntos-para-establecer-la-infancia-como-prioridad-Documento-de-trabajo-anong.pdf</w:t>
        </w:r>
      </w:hyperlink>
    </w:p>
  </w:footnote>
  <w:footnote w:id="21">
    <w:p w14:paraId="2B4B7469" w14:textId="7A69BA1A" w:rsidR="005A420E" w:rsidRPr="00C1770D" w:rsidRDefault="00000000">
      <w:pPr>
        <w:spacing w:line="240" w:lineRule="auto"/>
        <w:rPr>
          <w:rFonts w:ascii="Calibri" w:eastAsia="Calibri" w:hAnsi="Calibri" w:cs="Calibri"/>
          <w:color w:val="404040" w:themeColor="text1" w:themeTint="BF"/>
          <w:sz w:val="18"/>
          <w:szCs w:val="18"/>
        </w:rPr>
      </w:pPr>
      <w:r w:rsidRPr="00C1770D">
        <w:rPr>
          <w:color w:val="404040" w:themeColor="text1" w:themeTint="BF"/>
          <w:vertAlign w:val="superscript"/>
        </w:rPr>
        <w:footnoteRef/>
      </w:r>
      <w:hyperlink r:id="rId26" w:history="1">
        <w:r w:rsidR="00C1770D" w:rsidRPr="00C1770D">
          <w:rPr>
            <w:rStyle w:val="Hyperlink"/>
            <w:rFonts w:ascii="Calibri" w:eastAsia="Calibri" w:hAnsi="Calibri" w:cs="Calibri"/>
            <w:color w:val="404040" w:themeColor="text1" w:themeTint="BF"/>
            <w:sz w:val="18"/>
            <w:szCs w:val="18"/>
          </w:rPr>
          <w:t xml:space="preserve"> https://www.impo.com.uy/bases/leyes/19529-2017</w:t>
        </w:r>
      </w:hyperlink>
    </w:p>
  </w:footnote>
  <w:footnote w:id="22">
    <w:p w14:paraId="08BDAA7A" w14:textId="77A706B5" w:rsidR="005A420E" w:rsidRDefault="00000000">
      <w:pPr>
        <w:spacing w:line="240" w:lineRule="auto"/>
        <w:rPr>
          <w:sz w:val="18"/>
          <w:szCs w:val="18"/>
        </w:rPr>
      </w:pPr>
      <w:r w:rsidRPr="00C1770D">
        <w:rPr>
          <w:color w:val="404040" w:themeColor="text1" w:themeTint="BF"/>
          <w:vertAlign w:val="superscript"/>
        </w:rPr>
        <w:footnoteRef/>
      </w:r>
      <w:hyperlink r:id="rId27">
        <w:r w:rsidR="005A420E" w:rsidRPr="00C1770D">
          <w:rPr>
            <w:rFonts w:asciiTheme="majorHAnsi" w:eastAsia="Calibri" w:hAnsiTheme="majorHAnsi" w:cstheme="majorHAnsi"/>
            <w:color w:val="404040" w:themeColor="text1" w:themeTint="BF"/>
            <w:sz w:val="18"/>
            <w:szCs w:val="18"/>
          </w:rPr>
          <w:t>Disponible en</w:t>
        </w:r>
      </w:hyperlink>
      <w:r w:rsidR="00C1770D" w:rsidRPr="00C1770D">
        <w:rPr>
          <w:color w:val="404040" w:themeColor="text1" w:themeTint="BF"/>
        </w:rPr>
        <w:t>:</w:t>
      </w:r>
      <w:r w:rsidRPr="00C1770D">
        <w:rPr>
          <w:color w:val="404040" w:themeColor="text1" w:themeTint="BF"/>
        </w:rPr>
        <w:t xml:space="preserve"> </w:t>
      </w:r>
      <w:hyperlink r:id="rId28">
        <w:r w:rsidR="005A420E" w:rsidRPr="00C1770D">
          <w:rPr>
            <w:rFonts w:ascii="Calibri" w:eastAsia="Calibri" w:hAnsi="Calibri" w:cs="Calibri"/>
            <w:color w:val="404040" w:themeColor="text1" w:themeTint="BF"/>
            <w:sz w:val="18"/>
            <w:szCs w:val="18"/>
            <w:u w:val="single"/>
          </w:rPr>
          <w:t>https://www.cdnuruguay.org.uy/wp-content/uploads/2022/05/Resumen-Ejecutivo-Informe-Alternativo-CAT_-Infancias-y-adolescencias-URU.pdf</w:t>
        </w:r>
      </w:hyperlink>
    </w:p>
  </w:footnote>
  <w:footnote w:id="23">
    <w:p w14:paraId="07723C45" w14:textId="4B7BBD49" w:rsidR="009A500A" w:rsidRPr="009A500A" w:rsidRDefault="00000000" w:rsidP="009A500A">
      <w:pPr>
        <w:spacing w:line="240" w:lineRule="auto"/>
        <w:rPr>
          <w:rFonts w:asciiTheme="majorHAnsi" w:hAnsiTheme="majorHAnsi" w:cstheme="majorHAnsi"/>
          <w:color w:val="404040" w:themeColor="text1" w:themeTint="BF"/>
          <w:sz w:val="20"/>
          <w:szCs w:val="20"/>
        </w:rPr>
      </w:pPr>
      <w:r w:rsidRPr="009A500A">
        <w:rPr>
          <w:color w:val="404040" w:themeColor="text1" w:themeTint="BF"/>
          <w:vertAlign w:val="superscript"/>
        </w:rPr>
        <w:footnoteRef/>
      </w:r>
      <w:r w:rsidR="009A500A" w:rsidRPr="009A500A">
        <w:rPr>
          <w:rFonts w:asciiTheme="majorHAnsi" w:hAnsiTheme="majorHAnsi" w:cstheme="majorHAnsi"/>
          <w:color w:val="404040" w:themeColor="text1" w:themeTint="BF"/>
          <w:sz w:val="20"/>
          <w:szCs w:val="20"/>
        </w:rPr>
        <w:t xml:space="preserve"> </w:t>
      </w:r>
      <w:hyperlink r:id="rId29" w:history="1">
        <w:r w:rsidR="009A500A" w:rsidRPr="009A500A">
          <w:rPr>
            <w:rStyle w:val="Hyperlink"/>
            <w:rFonts w:ascii="Calibri" w:eastAsia="Calibri" w:hAnsi="Calibri" w:cs="Calibri"/>
            <w:color w:val="404040" w:themeColor="text1" w:themeTint="BF"/>
            <w:sz w:val="18"/>
            <w:szCs w:val="18"/>
          </w:rPr>
          <w:t>https://www.anep.edu.uy/sites/default/files/images/2023/noticias/agosto/230815/Plan%20ASISTE%202023.pdf</w:t>
        </w:r>
      </w:hyperlink>
    </w:p>
  </w:footnote>
  <w:footnote w:id="24">
    <w:p w14:paraId="492F005E" w14:textId="34C3A2BD" w:rsidR="005A420E" w:rsidRPr="009A500A" w:rsidRDefault="00000000">
      <w:pPr>
        <w:spacing w:line="240" w:lineRule="auto"/>
        <w:rPr>
          <w:rFonts w:ascii="Calibri" w:eastAsia="Calibri" w:hAnsi="Calibri" w:cs="Calibri"/>
          <w:color w:val="404040" w:themeColor="text1" w:themeTint="BF"/>
          <w:sz w:val="18"/>
          <w:szCs w:val="18"/>
        </w:rPr>
      </w:pPr>
      <w:r w:rsidRPr="009A500A">
        <w:rPr>
          <w:color w:val="404040" w:themeColor="text1" w:themeTint="BF"/>
          <w:vertAlign w:val="superscript"/>
        </w:rPr>
        <w:footnoteRef/>
      </w:r>
      <w:r w:rsidRPr="009A500A">
        <w:rPr>
          <w:rFonts w:ascii="Calibri" w:eastAsia="Calibri" w:hAnsi="Calibri" w:cs="Calibri"/>
          <w:color w:val="404040" w:themeColor="text1" w:themeTint="BF"/>
          <w:sz w:val="18"/>
          <w:szCs w:val="18"/>
        </w:rPr>
        <w:t xml:space="preserve"> </w:t>
      </w:r>
      <w:hyperlink r:id="rId30" w:history="1">
        <w:r w:rsidR="009A500A" w:rsidRPr="009A500A">
          <w:rPr>
            <w:rStyle w:val="Hyperlink"/>
            <w:rFonts w:ascii="Calibri" w:eastAsia="Calibri" w:hAnsi="Calibri" w:cs="Calibri"/>
            <w:color w:val="404040" w:themeColor="text1" w:themeTint="BF"/>
            <w:sz w:val="18"/>
            <w:szCs w:val="18"/>
          </w:rPr>
          <w:t>https://www.anep.edu.uy/monitor/servlet/tendencias</w:t>
        </w:r>
      </w:hyperlink>
    </w:p>
  </w:footnote>
  <w:footnote w:id="25">
    <w:p w14:paraId="2B2DE3B3" w14:textId="46FF0AD6" w:rsidR="005A420E" w:rsidRDefault="00000000">
      <w:pPr>
        <w:spacing w:line="240" w:lineRule="auto"/>
        <w:rPr>
          <w:rFonts w:ascii="Calibri" w:eastAsia="Calibri" w:hAnsi="Calibri" w:cs="Calibri"/>
          <w:sz w:val="20"/>
          <w:szCs w:val="20"/>
        </w:rPr>
      </w:pPr>
      <w:r w:rsidRPr="009A500A">
        <w:rPr>
          <w:color w:val="404040" w:themeColor="text1" w:themeTint="BF"/>
          <w:vertAlign w:val="superscript"/>
        </w:rPr>
        <w:footnoteRef/>
      </w:r>
      <w:r w:rsidRPr="009A500A">
        <w:rPr>
          <w:rFonts w:ascii="Calibri" w:eastAsia="Calibri" w:hAnsi="Calibri" w:cs="Calibri"/>
          <w:color w:val="404040" w:themeColor="text1" w:themeTint="BF"/>
          <w:sz w:val="18"/>
          <w:szCs w:val="18"/>
        </w:rPr>
        <w:t xml:space="preserve"> Óp. Cit. </w:t>
      </w:r>
      <w:r w:rsidR="009A500A" w:rsidRPr="009A500A">
        <w:rPr>
          <w:rFonts w:ascii="Calibri" w:eastAsia="Calibri" w:hAnsi="Calibri" w:cs="Calibri"/>
          <w:color w:val="404040" w:themeColor="text1" w:themeTint="BF"/>
          <w:sz w:val="18"/>
          <w:szCs w:val="18"/>
        </w:rPr>
        <w:t>20</w:t>
      </w:r>
      <w:r w:rsidRPr="009A500A">
        <w:rPr>
          <w:rFonts w:ascii="Calibri" w:eastAsia="Calibri" w:hAnsi="Calibri" w:cs="Calibri"/>
          <w:color w:val="404040" w:themeColor="text1" w:themeTint="BF"/>
          <w:sz w:val="18"/>
          <w:szCs w:val="18"/>
        </w:rPr>
        <w:t xml:space="preserve">. </w:t>
      </w:r>
    </w:p>
  </w:footnote>
  <w:footnote w:id="26">
    <w:p w14:paraId="1A8523CB" w14:textId="65419B7E" w:rsidR="005A420E" w:rsidRPr="00D77A84" w:rsidRDefault="00000000">
      <w:pPr>
        <w:spacing w:line="240" w:lineRule="auto"/>
        <w:rPr>
          <w:rFonts w:asciiTheme="majorHAnsi" w:eastAsia="Calibri" w:hAnsiTheme="majorHAnsi" w:cstheme="majorHAnsi"/>
          <w:color w:val="404040" w:themeColor="text1" w:themeTint="BF"/>
          <w:sz w:val="18"/>
          <w:szCs w:val="18"/>
        </w:rPr>
      </w:pPr>
      <w:r w:rsidRPr="00D77A84">
        <w:rPr>
          <w:rFonts w:asciiTheme="majorHAnsi" w:hAnsiTheme="majorHAnsi" w:cstheme="majorHAnsi"/>
          <w:color w:val="404040" w:themeColor="text1" w:themeTint="BF"/>
          <w:sz w:val="18"/>
          <w:szCs w:val="18"/>
          <w:vertAlign w:val="superscript"/>
        </w:rPr>
        <w:footnoteRef/>
      </w:r>
      <w:r w:rsidRPr="00D77A84">
        <w:rPr>
          <w:rFonts w:asciiTheme="majorHAnsi" w:hAnsiTheme="majorHAnsi" w:cstheme="majorHAnsi"/>
          <w:color w:val="404040" w:themeColor="text1" w:themeTint="BF"/>
          <w:sz w:val="18"/>
          <w:szCs w:val="18"/>
        </w:rPr>
        <w:t xml:space="preserve"> </w:t>
      </w:r>
      <w:hyperlink r:id="rId31">
        <w:r w:rsidR="005A420E" w:rsidRPr="00D77A84">
          <w:rPr>
            <w:rFonts w:asciiTheme="majorHAnsi" w:eastAsia="Calibri" w:hAnsiTheme="majorHAnsi" w:cstheme="majorHAnsi"/>
            <w:color w:val="404040" w:themeColor="text1" w:themeTint="BF"/>
            <w:sz w:val="18"/>
            <w:szCs w:val="18"/>
            <w:u w:val="single"/>
          </w:rPr>
          <w:t>https://uruguay.iom.int/es/news/uruguay-lanza-su-primer-plan-nacional-de-integracion-para-personas-migrantes-solicitantes-de-refugio-y-refugiadas</w:t>
        </w:r>
      </w:hyperlink>
    </w:p>
  </w:footnote>
  <w:footnote w:id="27">
    <w:p w14:paraId="00BAED74" w14:textId="2A1C04D3" w:rsidR="005A420E" w:rsidRPr="00D77A84" w:rsidRDefault="00000000">
      <w:pPr>
        <w:spacing w:line="240" w:lineRule="auto"/>
        <w:rPr>
          <w:rFonts w:asciiTheme="majorHAnsi" w:hAnsiTheme="majorHAnsi" w:cstheme="majorHAnsi"/>
          <w:color w:val="404040" w:themeColor="text1" w:themeTint="BF"/>
          <w:sz w:val="18"/>
          <w:szCs w:val="18"/>
        </w:rPr>
      </w:pPr>
      <w:r w:rsidRPr="00D77A84">
        <w:rPr>
          <w:rFonts w:asciiTheme="majorHAnsi" w:hAnsiTheme="majorHAnsi" w:cstheme="majorHAnsi"/>
          <w:color w:val="404040" w:themeColor="text1" w:themeTint="BF"/>
          <w:sz w:val="18"/>
          <w:szCs w:val="18"/>
          <w:vertAlign w:val="superscript"/>
        </w:rPr>
        <w:footnoteRef/>
      </w:r>
      <w:hyperlink r:id="rId32">
        <w:r w:rsidR="005A420E" w:rsidRPr="00D77A84">
          <w:rPr>
            <w:rFonts w:asciiTheme="majorHAnsi" w:eastAsia="Calibri" w:hAnsiTheme="majorHAnsi" w:cstheme="majorHAnsi"/>
            <w:color w:val="404040" w:themeColor="text1" w:themeTint="BF"/>
            <w:sz w:val="18"/>
            <w:szCs w:val="18"/>
          </w:rPr>
          <w:t>Disponible en</w:t>
        </w:r>
      </w:hyperlink>
      <w:r w:rsidR="00D77A84" w:rsidRPr="00D77A84">
        <w:rPr>
          <w:rFonts w:asciiTheme="majorHAnsi" w:hAnsiTheme="majorHAnsi" w:cstheme="majorHAnsi"/>
          <w:color w:val="404040" w:themeColor="text1" w:themeTint="BF"/>
          <w:sz w:val="18"/>
          <w:szCs w:val="18"/>
        </w:rPr>
        <w:t>:</w:t>
      </w:r>
      <w:r w:rsidRPr="00D77A84">
        <w:rPr>
          <w:rFonts w:asciiTheme="majorHAnsi" w:hAnsiTheme="majorHAnsi" w:cstheme="majorHAnsi"/>
          <w:color w:val="404040" w:themeColor="text1" w:themeTint="BF"/>
          <w:sz w:val="18"/>
          <w:szCs w:val="18"/>
        </w:rPr>
        <w:t xml:space="preserve"> </w:t>
      </w:r>
      <w:hyperlink r:id="rId33" w:anchor=":~:text=Ministerio%20de%20Desarrollo%20Social&amp;text=El%20Plan%20Nacional%20de%20Integraci%C3%B3n%202023%2D2024%20fue,y%20coordinar%20pol%C3%ADticas%20en%20materia%20de%20refugio">
        <w:r w:rsidR="005A420E" w:rsidRPr="00D77A84">
          <w:rPr>
            <w:rFonts w:asciiTheme="majorHAnsi" w:eastAsia="Calibri" w:hAnsiTheme="majorHAnsi" w:cstheme="majorHAnsi"/>
            <w:color w:val="404040" w:themeColor="text1" w:themeTint="BF"/>
            <w:sz w:val="18"/>
            <w:szCs w:val="18"/>
            <w:u w:val="single"/>
          </w:rPr>
          <w:t>https://www.gub.uy/ministerio-desarrollo-social/comunicacion/publicaciones/plan-nacional-integracion-para-personas-migrantes-solicitantes-refugio#:~:text=Ministerio%20de%20Desarrollo%20Social&amp;text=El%20Plan%20Nacional%20de%20Integraci%C3%B3n%202023%2D2024%20fue,y%20coordinar%20pol%C3%ADticas%20en%20materia%20de%20refugio</w:t>
        </w:r>
      </w:hyperlink>
      <w:r w:rsidRPr="00D77A84">
        <w:rPr>
          <w:rFonts w:asciiTheme="majorHAnsi" w:eastAsia="Calibri" w:hAnsiTheme="majorHAnsi" w:cstheme="majorHAnsi"/>
          <w:color w:val="404040" w:themeColor="text1" w:themeTint="BF"/>
          <w:sz w:val="18"/>
          <w:szCs w:val="18"/>
        </w:rPr>
        <w:t>.</w:t>
      </w:r>
    </w:p>
  </w:footnote>
  <w:footnote w:id="28">
    <w:p w14:paraId="1E34324A" w14:textId="20F7121C" w:rsidR="005A420E" w:rsidRPr="00D77A84" w:rsidRDefault="00000000">
      <w:pPr>
        <w:spacing w:line="240" w:lineRule="auto"/>
        <w:rPr>
          <w:rFonts w:asciiTheme="majorHAnsi" w:eastAsia="Calibri" w:hAnsiTheme="majorHAnsi" w:cstheme="majorHAnsi"/>
          <w:color w:val="404040" w:themeColor="text1" w:themeTint="BF"/>
          <w:sz w:val="18"/>
          <w:szCs w:val="18"/>
        </w:rPr>
      </w:pPr>
      <w:r w:rsidRPr="00D77A84">
        <w:rPr>
          <w:rFonts w:asciiTheme="majorHAnsi" w:hAnsiTheme="majorHAnsi" w:cstheme="majorHAnsi"/>
          <w:color w:val="404040" w:themeColor="text1" w:themeTint="BF"/>
          <w:sz w:val="18"/>
          <w:szCs w:val="18"/>
          <w:vertAlign w:val="superscript"/>
        </w:rPr>
        <w:footnoteRef/>
      </w:r>
      <w:r w:rsidRPr="00D77A84">
        <w:rPr>
          <w:rFonts w:asciiTheme="majorHAnsi" w:hAnsiTheme="majorHAnsi" w:cstheme="majorHAnsi"/>
          <w:color w:val="404040" w:themeColor="text1" w:themeTint="BF"/>
          <w:sz w:val="18"/>
          <w:szCs w:val="18"/>
        </w:rPr>
        <w:t xml:space="preserve"> </w:t>
      </w:r>
      <w:hyperlink r:id="rId34">
        <w:r w:rsidR="005A420E" w:rsidRPr="00D77A84">
          <w:rPr>
            <w:rFonts w:asciiTheme="majorHAnsi" w:eastAsia="Calibri" w:hAnsiTheme="majorHAnsi" w:cstheme="majorHAnsi"/>
            <w:color w:val="404040" w:themeColor="text1" w:themeTint="BF"/>
            <w:sz w:val="18"/>
            <w:szCs w:val="18"/>
            <w:u w:val="single"/>
          </w:rPr>
          <w:t>https://www.acnur.org/noticias/avisos/plataforma-r4v-con-foco-en-la-integracion-se-presento-el-plan-de-respuesta</w:t>
        </w:r>
      </w:hyperlink>
    </w:p>
  </w:footnote>
  <w:footnote w:id="29">
    <w:p w14:paraId="537A0EBC" w14:textId="3EFB17ED" w:rsidR="005A420E" w:rsidRDefault="00000000">
      <w:pPr>
        <w:spacing w:line="240" w:lineRule="auto"/>
        <w:rPr>
          <w:rFonts w:ascii="Calibri" w:eastAsia="Calibri" w:hAnsi="Calibri" w:cs="Calibri"/>
          <w:sz w:val="18"/>
          <w:szCs w:val="18"/>
        </w:rPr>
      </w:pPr>
      <w:r w:rsidRPr="00D77A84">
        <w:rPr>
          <w:rFonts w:asciiTheme="majorHAnsi" w:hAnsiTheme="majorHAnsi" w:cstheme="majorHAnsi"/>
          <w:color w:val="404040" w:themeColor="text1" w:themeTint="BF"/>
          <w:sz w:val="18"/>
          <w:szCs w:val="18"/>
          <w:vertAlign w:val="superscript"/>
        </w:rPr>
        <w:footnoteRef/>
      </w:r>
      <w:r w:rsidRPr="00D77A84">
        <w:rPr>
          <w:rFonts w:asciiTheme="majorHAnsi" w:hAnsiTheme="majorHAnsi" w:cstheme="majorHAnsi"/>
          <w:color w:val="404040" w:themeColor="text1" w:themeTint="BF"/>
          <w:sz w:val="18"/>
          <w:szCs w:val="18"/>
        </w:rPr>
        <w:t xml:space="preserve"> </w:t>
      </w:r>
      <w:hyperlink r:id="rId35">
        <w:r w:rsidR="005A420E" w:rsidRPr="00D77A84">
          <w:rPr>
            <w:rFonts w:asciiTheme="majorHAnsi" w:eastAsia="Calibri" w:hAnsiTheme="majorHAnsi" w:cstheme="majorHAnsi"/>
            <w:color w:val="404040" w:themeColor="text1" w:themeTint="BF"/>
            <w:sz w:val="18"/>
            <w:szCs w:val="18"/>
            <w:u w:val="single"/>
          </w:rPr>
          <w:t>https://www.m24.com.uy/especialista-insto-a-no-naturalizar-el-trabajo-infantil-y-a-crear-una-estrategia-nacional-para-abordarlo/</w:t>
        </w:r>
      </w:hyperlink>
    </w:p>
  </w:footnote>
  <w:footnote w:id="30">
    <w:p w14:paraId="0C941D13" w14:textId="30B03F99" w:rsidR="005A420E" w:rsidRPr="00D77A84" w:rsidRDefault="00000000">
      <w:pPr>
        <w:spacing w:line="240" w:lineRule="auto"/>
        <w:rPr>
          <w:rFonts w:asciiTheme="majorHAnsi" w:eastAsia="Calibri" w:hAnsiTheme="majorHAnsi" w:cstheme="majorHAnsi"/>
          <w:color w:val="404040" w:themeColor="text1" w:themeTint="BF"/>
          <w:sz w:val="18"/>
          <w:szCs w:val="18"/>
        </w:rPr>
      </w:pPr>
      <w:r w:rsidRPr="00D77A84">
        <w:rPr>
          <w:rFonts w:asciiTheme="majorHAnsi" w:hAnsiTheme="majorHAnsi" w:cstheme="majorHAnsi"/>
          <w:color w:val="404040" w:themeColor="text1" w:themeTint="BF"/>
          <w:sz w:val="18"/>
          <w:szCs w:val="18"/>
          <w:vertAlign w:val="superscript"/>
        </w:rPr>
        <w:footnoteRef/>
      </w:r>
      <w:hyperlink r:id="rId36">
        <w:r w:rsidR="005A420E" w:rsidRPr="00D77A84">
          <w:rPr>
            <w:rFonts w:asciiTheme="majorHAnsi" w:eastAsia="Calibri" w:hAnsiTheme="majorHAnsi" w:cstheme="majorHAnsi"/>
            <w:color w:val="404040" w:themeColor="text1" w:themeTint="BF"/>
            <w:sz w:val="18"/>
            <w:szCs w:val="18"/>
          </w:rPr>
          <w:t>Disponible en</w:t>
        </w:r>
      </w:hyperlink>
      <w:r w:rsidR="00D77A84" w:rsidRPr="00D77A84">
        <w:rPr>
          <w:rFonts w:asciiTheme="majorHAnsi" w:hAnsiTheme="majorHAnsi" w:cstheme="majorHAnsi"/>
          <w:color w:val="404040" w:themeColor="text1" w:themeTint="BF"/>
          <w:sz w:val="18"/>
          <w:szCs w:val="18"/>
        </w:rPr>
        <w:t>:</w:t>
      </w:r>
      <w:r w:rsidRPr="00D77A84">
        <w:rPr>
          <w:rFonts w:asciiTheme="majorHAnsi" w:hAnsiTheme="majorHAnsi" w:cstheme="majorHAnsi"/>
          <w:color w:val="404040" w:themeColor="text1" w:themeTint="BF"/>
          <w:sz w:val="18"/>
          <w:szCs w:val="18"/>
        </w:rPr>
        <w:t xml:space="preserve"> </w:t>
      </w:r>
      <w:hyperlink r:id="rId37">
        <w:r w:rsidR="005A420E" w:rsidRPr="00D77A84">
          <w:rPr>
            <w:rFonts w:asciiTheme="majorHAnsi" w:eastAsia="Calibri" w:hAnsiTheme="majorHAnsi" w:cstheme="majorHAnsi"/>
            <w:color w:val="404040" w:themeColor="text1" w:themeTint="BF"/>
            <w:sz w:val="18"/>
            <w:szCs w:val="18"/>
            <w:u w:val="single"/>
          </w:rPr>
          <w:t>https://www.gub.uy/ministerio-trabajo-seguridad-social/sites/ministerio-trabajo-seguridad-social/files/2024-11/Documento%20del%20Comit%C3%A9%20Nacional%20para%20la%20Erradicaci%C3%B3n%20del%20Trabajo%20Infantil.pdf</w:t>
        </w:r>
      </w:hyperlink>
    </w:p>
  </w:footnote>
  <w:footnote w:id="31">
    <w:p w14:paraId="292C2ABC" w14:textId="7484A672" w:rsidR="005A420E" w:rsidRPr="00D77A84" w:rsidRDefault="00000000">
      <w:pPr>
        <w:spacing w:line="240" w:lineRule="auto"/>
        <w:rPr>
          <w:rFonts w:asciiTheme="majorHAnsi" w:hAnsiTheme="majorHAnsi" w:cstheme="majorHAnsi"/>
          <w:color w:val="404040" w:themeColor="text1" w:themeTint="BF"/>
          <w:sz w:val="18"/>
          <w:szCs w:val="18"/>
        </w:rPr>
      </w:pPr>
      <w:r w:rsidRPr="00D77A84">
        <w:rPr>
          <w:rFonts w:asciiTheme="majorHAnsi" w:hAnsiTheme="majorHAnsi" w:cstheme="majorHAnsi"/>
          <w:color w:val="404040" w:themeColor="text1" w:themeTint="BF"/>
          <w:sz w:val="18"/>
          <w:szCs w:val="18"/>
          <w:vertAlign w:val="superscript"/>
        </w:rPr>
        <w:footnoteRef/>
      </w:r>
      <w:r w:rsidRPr="00D77A84">
        <w:rPr>
          <w:rFonts w:asciiTheme="majorHAnsi" w:hAnsiTheme="majorHAnsi" w:cstheme="majorHAnsi"/>
          <w:color w:val="404040" w:themeColor="text1" w:themeTint="BF"/>
          <w:sz w:val="18"/>
          <w:szCs w:val="18"/>
        </w:rPr>
        <w:t xml:space="preserve"> </w:t>
      </w:r>
      <w:hyperlink r:id="rId38">
        <w:r w:rsidR="005A420E" w:rsidRPr="00D77A84">
          <w:rPr>
            <w:rFonts w:asciiTheme="majorHAnsi" w:eastAsia="Calibri" w:hAnsiTheme="majorHAnsi" w:cstheme="majorHAnsi"/>
            <w:color w:val="404040" w:themeColor="text1" w:themeTint="BF"/>
            <w:sz w:val="18"/>
            <w:szCs w:val="18"/>
            <w:u w:val="single"/>
          </w:rPr>
          <w:t>https://www.gub.uy/presidencia/comunicacion/noticias/instituciones-elaboraran-plan-estrategico-para-combatir-trabajo-infantil</w:t>
        </w:r>
      </w:hyperlink>
    </w:p>
  </w:footnote>
  <w:footnote w:id="32">
    <w:p w14:paraId="1E70370E" w14:textId="1FF269C3" w:rsidR="005A420E" w:rsidRPr="00D77A84" w:rsidRDefault="00000000">
      <w:pPr>
        <w:spacing w:line="240" w:lineRule="auto"/>
        <w:rPr>
          <w:rFonts w:asciiTheme="majorHAnsi" w:eastAsia="Calibri" w:hAnsiTheme="majorHAnsi" w:cstheme="majorHAnsi"/>
          <w:color w:val="404040" w:themeColor="text1" w:themeTint="BF"/>
          <w:sz w:val="18"/>
          <w:szCs w:val="18"/>
        </w:rPr>
      </w:pPr>
      <w:r w:rsidRPr="00D77A84">
        <w:rPr>
          <w:rFonts w:asciiTheme="majorHAnsi" w:hAnsiTheme="majorHAnsi" w:cstheme="majorHAnsi"/>
          <w:color w:val="404040" w:themeColor="text1" w:themeTint="BF"/>
          <w:sz w:val="18"/>
          <w:szCs w:val="18"/>
          <w:vertAlign w:val="superscript"/>
        </w:rPr>
        <w:footnoteRef/>
      </w:r>
      <w:r w:rsidRPr="00D77A84">
        <w:rPr>
          <w:rFonts w:asciiTheme="majorHAnsi" w:hAnsiTheme="majorHAnsi" w:cstheme="majorHAnsi"/>
          <w:color w:val="404040" w:themeColor="text1" w:themeTint="BF"/>
          <w:sz w:val="18"/>
          <w:szCs w:val="18"/>
        </w:rPr>
        <w:t xml:space="preserve"> </w:t>
      </w:r>
      <w:hyperlink r:id="rId39">
        <w:r w:rsidR="005A420E" w:rsidRPr="00D77A84">
          <w:rPr>
            <w:rFonts w:asciiTheme="majorHAnsi" w:eastAsia="Calibri" w:hAnsiTheme="majorHAnsi" w:cstheme="majorHAnsi"/>
            <w:color w:val="404040" w:themeColor="text1" w:themeTint="BF"/>
            <w:sz w:val="18"/>
            <w:szCs w:val="18"/>
            <w:u w:val="single"/>
          </w:rPr>
          <w:t>https://www.inau.gub.uy/novedades/noticias/item/2736-plan-nacional-de-atencion-a-ninos-ninas-y-adolescentes-en-situacion-de-calle</w:t>
        </w:r>
      </w:hyperlink>
    </w:p>
    <w:p w14:paraId="51FCD5DF" w14:textId="77777777" w:rsidR="005A420E" w:rsidRDefault="005A420E">
      <w:pPr>
        <w:spacing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67627" w14:textId="15915558" w:rsidR="005A420E" w:rsidRDefault="00000000">
    <w:pPr>
      <w:widowControl w:val="0"/>
      <w:spacing w:line="240" w:lineRule="auto"/>
      <w:jc w:val="center"/>
    </w:pPr>
    <w:r>
      <w:rPr>
        <w:noProof/>
      </w:rPr>
      <w:drawing>
        <wp:inline distT="114300" distB="114300" distL="114300" distR="114300" wp14:anchorId="5513F5B9" wp14:editId="79C6AF9E">
          <wp:extent cx="1819275" cy="600075"/>
          <wp:effectExtent l="0" t="0" r="0" b="0"/>
          <wp:docPr id="14038045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25184" b="28148"/>
                  <a:stretch>
                    <a:fillRect/>
                  </a:stretch>
                </pic:blipFill>
                <pic:spPr>
                  <a:xfrm>
                    <a:off x="0" y="0"/>
                    <a:ext cx="1819275" cy="600075"/>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5AF9E" w14:textId="714E1BDC" w:rsidR="00580F88" w:rsidRDefault="00580F88" w:rsidP="00580F88">
    <w:pPr>
      <w:pStyle w:val="Header"/>
      <w:jc w:val="center"/>
    </w:pPr>
    <w:r>
      <w:rPr>
        <w:noProof/>
      </w:rPr>
      <w:drawing>
        <wp:inline distT="114300" distB="114300" distL="114300" distR="114300" wp14:anchorId="5C8FB956" wp14:editId="10C6002C">
          <wp:extent cx="1819275" cy="600075"/>
          <wp:effectExtent l="0" t="0" r="0" b="0"/>
          <wp:docPr id="26254966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25184" b="28148"/>
                  <a:stretch>
                    <a:fillRect/>
                  </a:stretch>
                </pic:blipFill>
                <pic:spPr>
                  <a:xfrm>
                    <a:off x="0" y="0"/>
                    <a:ext cx="1819275" cy="6000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1309F"/>
    <w:multiLevelType w:val="multilevel"/>
    <w:tmpl w:val="1EBC95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02C29F4"/>
    <w:multiLevelType w:val="multilevel"/>
    <w:tmpl w:val="4238C6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9C01EA8"/>
    <w:multiLevelType w:val="multilevel"/>
    <w:tmpl w:val="7E1A3AD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F2C6E9F"/>
    <w:multiLevelType w:val="multilevel"/>
    <w:tmpl w:val="563E1D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37044CE9"/>
    <w:multiLevelType w:val="multilevel"/>
    <w:tmpl w:val="7B76F8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387759D1"/>
    <w:multiLevelType w:val="multilevel"/>
    <w:tmpl w:val="FD2E78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3EEB6C46"/>
    <w:multiLevelType w:val="multilevel"/>
    <w:tmpl w:val="2E8C0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78878B2"/>
    <w:multiLevelType w:val="multilevel"/>
    <w:tmpl w:val="3E220B6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48D147D0"/>
    <w:multiLevelType w:val="multilevel"/>
    <w:tmpl w:val="972295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4ECB7BFB"/>
    <w:multiLevelType w:val="multilevel"/>
    <w:tmpl w:val="247ABD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8FE541A"/>
    <w:multiLevelType w:val="multilevel"/>
    <w:tmpl w:val="704A4C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6A5D3CD8"/>
    <w:multiLevelType w:val="multilevel"/>
    <w:tmpl w:val="EBACA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12437F4"/>
    <w:multiLevelType w:val="multilevel"/>
    <w:tmpl w:val="A64E8CC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75C432FF"/>
    <w:multiLevelType w:val="multilevel"/>
    <w:tmpl w:val="C2CCB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C50548C"/>
    <w:multiLevelType w:val="multilevel"/>
    <w:tmpl w:val="AF085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DF7513D"/>
    <w:multiLevelType w:val="hybridMultilevel"/>
    <w:tmpl w:val="5AE0B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649368">
    <w:abstractNumId w:val="13"/>
  </w:num>
  <w:num w:numId="2" w16cid:durableId="352073188">
    <w:abstractNumId w:val="3"/>
  </w:num>
  <w:num w:numId="3" w16cid:durableId="185212307">
    <w:abstractNumId w:val="14"/>
  </w:num>
  <w:num w:numId="4" w16cid:durableId="664088454">
    <w:abstractNumId w:val="12"/>
  </w:num>
  <w:num w:numId="5" w16cid:durableId="1259800325">
    <w:abstractNumId w:val="5"/>
  </w:num>
  <w:num w:numId="6" w16cid:durableId="1975213063">
    <w:abstractNumId w:val="1"/>
  </w:num>
  <w:num w:numId="7" w16cid:durableId="1275357885">
    <w:abstractNumId w:val="7"/>
  </w:num>
  <w:num w:numId="8" w16cid:durableId="1249542092">
    <w:abstractNumId w:val="4"/>
  </w:num>
  <w:num w:numId="9" w16cid:durableId="612783072">
    <w:abstractNumId w:val="10"/>
  </w:num>
  <w:num w:numId="10" w16cid:durableId="1354384429">
    <w:abstractNumId w:val="0"/>
  </w:num>
  <w:num w:numId="11" w16cid:durableId="1321076215">
    <w:abstractNumId w:val="9"/>
  </w:num>
  <w:num w:numId="12" w16cid:durableId="1627277757">
    <w:abstractNumId w:val="2"/>
  </w:num>
  <w:num w:numId="13" w16cid:durableId="1972324653">
    <w:abstractNumId w:val="11"/>
  </w:num>
  <w:num w:numId="14" w16cid:durableId="1767649051">
    <w:abstractNumId w:val="6"/>
  </w:num>
  <w:num w:numId="15" w16cid:durableId="319165018">
    <w:abstractNumId w:val="8"/>
  </w:num>
  <w:num w:numId="16" w16cid:durableId="17570499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20E"/>
    <w:rsid w:val="00006E0B"/>
    <w:rsid w:val="00032D4A"/>
    <w:rsid w:val="00066F96"/>
    <w:rsid w:val="000C2453"/>
    <w:rsid w:val="00133ECC"/>
    <w:rsid w:val="00157CB5"/>
    <w:rsid w:val="00211BA4"/>
    <w:rsid w:val="00265995"/>
    <w:rsid w:val="002F1D78"/>
    <w:rsid w:val="00320732"/>
    <w:rsid w:val="003646D9"/>
    <w:rsid w:val="003F33D0"/>
    <w:rsid w:val="00446D33"/>
    <w:rsid w:val="00496800"/>
    <w:rsid w:val="004A2D89"/>
    <w:rsid w:val="004D1605"/>
    <w:rsid w:val="004E2EA8"/>
    <w:rsid w:val="00504912"/>
    <w:rsid w:val="00580F88"/>
    <w:rsid w:val="005A420E"/>
    <w:rsid w:val="005A53D7"/>
    <w:rsid w:val="005A5E12"/>
    <w:rsid w:val="005F7B13"/>
    <w:rsid w:val="006811F7"/>
    <w:rsid w:val="0069111C"/>
    <w:rsid w:val="006C4C84"/>
    <w:rsid w:val="006F06B2"/>
    <w:rsid w:val="007044C2"/>
    <w:rsid w:val="0072158C"/>
    <w:rsid w:val="007434F4"/>
    <w:rsid w:val="00802F94"/>
    <w:rsid w:val="00857999"/>
    <w:rsid w:val="008866BA"/>
    <w:rsid w:val="008B4E50"/>
    <w:rsid w:val="008D1180"/>
    <w:rsid w:val="00917505"/>
    <w:rsid w:val="009A500A"/>
    <w:rsid w:val="00A9454B"/>
    <w:rsid w:val="00AB5858"/>
    <w:rsid w:val="00AE0CAA"/>
    <w:rsid w:val="00B51306"/>
    <w:rsid w:val="00C1770D"/>
    <w:rsid w:val="00C87E9D"/>
    <w:rsid w:val="00CD1D00"/>
    <w:rsid w:val="00D31572"/>
    <w:rsid w:val="00D77A84"/>
    <w:rsid w:val="00D96AF4"/>
    <w:rsid w:val="00DA5E7A"/>
    <w:rsid w:val="00DE7592"/>
    <w:rsid w:val="00E032E5"/>
    <w:rsid w:val="00E17239"/>
    <w:rsid w:val="00E65E81"/>
    <w:rsid w:val="00EF047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DA57825"/>
  <w15:docId w15:val="{BACC0E1C-5603-4A24-9512-F8C7AE29C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rFonts w:ascii="Calibri" w:eastAsia="Calibri" w:hAnsi="Calibri" w:cs="Calibri"/>
      <w:sz w:val="36"/>
      <w:szCs w:val="36"/>
    </w:rPr>
  </w:style>
  <w:style w:type="paragraph" w:styleId="Heading2">
    <w:name w:val="heading 2"/>
    <w:basedOn w:val="Normal"/>
    <w:next w:val="Normal"/>
    <w:uiPriority w:val="9"/>
    <w:unhideWhenUsed/>
    <w:qFormat/>
    <w:pPr>
      <w:keepNext/>
      <w:keepLines/>
      <w:spacing w:before="360" w:after="120"/>
      <w:outlineLvl w:val="1"/>
    </w:pPr>
    <w:rPr>
      <w:rFonts w:ascii="Calibri" w:eastAsia="Calibri" w:hAnsi="Calibri" w:cs="Calibri"/>
      <w:sz w:val="28"/>
      <w:szCs w:val="28"/>
    </w:rPr>
  </w:style>
  <w:style w:type="paragraph" w:styleId="Heading3">
    <w:name w:val="heading 3"/>
    <w:basedOn w:val="Normal"/>
    <w:next w:val="Normal"/>
    <w:uiPriority w:val="9"/>
    <w:unhideWhenUsed/>
    <w:qFormat/>
    <w:pPr>
      <w:keepNext/>
      <w:keepLines/>
      <w:spacing w:before="320" w:after="80"/>
      <w:outlineLvl w:val="2"/>
    </w:pPr>
    <w:rPr>
      <w:rFonts w:ascii="Calibri" w:eastAsia="Calibri" w:hAnsi="Calibri" w:cs="Calibri"/>
      <w:b/>
      <w:color w:val="7F7F7F"/>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a">
    <w:basedOn w:val="TableNormal2"/>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F2FE2"/>
    <w:pPr>
      <w:ind w:left="720"/>
      <w:contextualSpacing/>
    </w:pPr>
  </w:style>
  <w:style w:type="character" w:styleId="Hyperlink">
    <w:name w:val="Hyperlink"/>
    <w:basedOn w:val="DefaultParagraphFont"/>
    <w:uiPriority w:val="99"/>
    <w:unhideWhenUsed/>
    <w:rsid w:val="00032120"/>
    <w:rPr>
      <w:color w:val="0000FF" w:themeColor="hyperlink"/>
      <w:u w:val="single"/>
    </w:rPr>
  </w:style>
  <w:style w:type="character" w:styleId="UnresolvedMention">
    <w:name w:val="Unresolved Mention"/>
    <w:basedOn w:val="DefaultParagraphFont"/>
    <w:uiPriority w:val="99"/>
    <w:semiHidden/>
    <w:unhideWhenUsed/>
    <w:rsid w:val="00032120"/>
    <w:rPr>
      <w:color w:val="605E5C"/>
      <w:shd w:val="clear" w:color="auto" w:fill="E1DFDD"/>
    </w:rPr>
  </w:style>
  <w:style w:type="character" w:styleId="FollowedHyperlink">
    <w:name w:val="FollowedHyperlink"/>
    <w:basedOn w:val="DefaultParagraphFont"/>
    <w:uiPriority w:val="99"/>
    <w:semiHidden/>
    <w:unhideWhenUsed/>
    <w:rsid w:val="00032120"/>
    <w:rPr>
      <w:color w:val="800080" w:themeColor="followedHyperlink"/>
      <w:u w:val="single"/>
    </w:rPr>
  </w:style>
  <w:style w:type="paragraph" w:styleId="TOCHeading">
    <w:name w:val="TOC Heading"/>
    <w:next w:val="Normal"/>
    <w:uiPriority w:val="39"/>
    <w:unhideWhenUsed/>
    <w:qFormat/>
    <w:rsid w:val="00156D25"/>
    <w:pPr>
      <w:spacing w:before="240" w:line="259" w:lineRule="auto"/>
    </w:pPr>
    <w:rPr>
      <w:rFonts w:eastAsiaTheme="majorEastAsia" w:cstheme="majorBidi"/>
      <w:color w:val="365F91" w:themeColor="accent1" w:themeShade="BF"/>
      <w:sz w:val="32"/>
      <w:szCs w:val="32"/>
      <w:lang w:val="en-US"/>
    </w:rPr>
  </w:style>
  <w:style w:type="paragraph" w:styleId="TOC1">
    <w:name w:val="toc 1"/>
    <w:basedOn w:val="Normal"/>
    <w:next w:val="Normal"/>
    <w:autoRedefine/>
    <w:uiPriority w:val="39"/>
    <w:unhideWhenUsed/>
    <w:rsid w:val="00156D25"/>
    <w:pPr>
      <w:spacing w:after="100"/>
    </w:pPr>
  </w:style>
  <w:style w:type="paragraph" w:styleId="TOC2">
    <w:name w:val="toc 2"/>
    <w:basedOn w:val="Normal"/>
    <w:next w:val="Normal"/>
    <w:autoRedefine/>
    <w:uiPriority w:val="39"/>
    <w:unhideWhenUsed/>
    <w:rsid w:val="00156D25"/>
    <w:pPr>
      <w:spacing w:after="100"/>
      <w:ind w:left="220"/>
    </w:pPr>
  </w:style>
  <w:style w:type="paragraph" w:styleId="TOC3">
    <w:name w:val="toc 3"/>
    <w:basedOn w:val="Normal"/>
    <w:next w:val="Normal"/>
    <w:autoRedefine/>
    <w:uiPriority w:val="39"/>
    <w:unhideWhenUsed/>
    <w:rsid w:val="00156D25"/>
    <w:pPr>
      <w:spacing w:after="100" w:line="259" w:lineRule="auto"/>
      <w:ind w:left="440"/>
    </w:pPr>
    <w:rPr>
      <w:rFonts w:asciiTheme="minorHAnsi" w:eastAsiaTheme="minorEastAsia" w:hAnsiTheme="minorHAnsi" w:cs="Times New Roman"/>
      <w:lang w:val="en-US"/>
    </w:rPr>
  </w:style>
  <w:style w:type="paragraph" w:styleId="Header">
    <w:name w:val="header"/>
    <w:basedOn w:val="Normal"/>
    <w:link w:val="HeaderChar"/>
    <w:uiPriority w:val="99"/>
    <w:unhideWhenUsed/>
    <w:rsid w:val="00D65974"/>
    <w:pPr>
      <w:tabs>
        <w:tab w:val="center" w:pos="4680"/>
        <w:tab w:val="right" w:pos="9360"/>
      </w:tabs>
      <w:spacing w:line="240" w:lineRule="auto"/>
    </w:pPr>
  </w:style>
  <w:style w:type="character" w:customStyle="1" w:styleId="HeaderChar">
    <w:name w:val="Header Char"/>
    <w:basedOn w:val="DefaultParagraphFont"/>
    <w:link w:val="Header"/>
    <w:uiPriority w:val="99"/>
    <w:rsid w:val="00D65974"/>
  </w:style>
  <w:style w:type="paragraph" w:styleId="Footer">
    <w:name w:val="footer"/>
    <w:basedOn w:val="Normal"/>
    <w:link w:val="FooterChar"/>
    <w:uiPriority w:val="99"/>
    <w:unhideWhenUsed/>
    <w:rsid w:val="00D65974"/>
    <w:pPr>
      <w:tabs>
        <w:tab w:val="center" w:pos="4680"/>
        <w:tab w:val="right" w:pos="9360"/>
      </w:tabs>
      <w:spacing w:line="240" w:lineRule="auto"/>
    </w:pPr>
  </w:style>
  <w:style w:type="character" w:customStyle="1" w:styleId="FooterChar">
    <w:name w:val="Footer Char"/>
    <w:basedOn w:val="DefaultParagraphFont"/>
    <w:link w:val="Footer"/>
    <w:uiPriority w:val="99"/>
    <w:rsid w:val="00D65974"/>
  </w:style>
  <w:style w:type="table" w:customStyle="1" w:styleId="a0">
    <w:basedOn w:val="TableNormal2"/>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rFonts w:ascii="Calibri" w:eastAsia="Calibri" w:hAnsi="Calibri" w:cs="Calibri"/>
      <w:b/>
      <w:color w:val="666666"/>
      <w:sz w:val="24"/>
      <w:szCs w:val="24"/>
    </w:rPr>
  </w:style>
  <w:style w:type="table" w:customStyle="1" w:styleId="a1">
    <w:basedOn w:val="TableNormal2"/>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740020">
      <w:bodyDiv w:val="1"/>
      <w:marLeft w:val="0"/>
      <w:marRight w:val="0"/>
      <w:marTop w:val="0"/>
      <w:marBottom w:val="0"/>
      <w:divBdr>
        <w:top w:val="none" w:sz="0" w:space="0" w:color="auto"/>
        <w:left w:val="none" w:sz="0" w:space="0" w:color="auto"/>
        <w:bottom w:val="none" w:sz="0" w:space="0" w:color="auto"/>
        <w:right w:val="none" w:sz="0" w:space="0" w:color="auto"/>
      </w:divBdr>
    </w:div>
    <w:div w:id="2078551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dnuruguay.org.uy/wp-content/uploads/2022/05/Resumen-Ejecutivo-Informe-Alternativo-CAT_-Infancias-y-adolescencias-URU.pdf" TargetMode="External"/><Relationship Id="rId18" Type="http://schemas.openxmlformats.org/officeDocument/2006/relationships/hyperlink" Target="https://www.cdnuruguay.org.uy/noticias/incidencia-de-la-pobreza-en-nin%CC%83os-nin%CC%83as-y-adolescentes-uruguay-una-mirada-comparada-entre-2019-y-2020/" TargetMode="External"/><Relationship Id="rId3" Type="http://schemas.openxmlformats.org/officeDocument/2006/relationships/styles" Target="styles.xml"/><Relationship Id="rId21" Type="http://schemas.openxmlformats.org/officeDocument/2006/relationships/hyperlink" Target="https://www.cdnuruguay.org.uy/noticias/consulta-voces-jovenes-ponele-letra-a-tus-derechos/" TargetMode="External"/><Relationship Id="rId7" Type="http://schemas.openxmlformats.org/officeDocument/2006/relationships/endnotes" Target="endnotes.xml"/><Relationship Id="rId12" Type="http://schemas.openxmlformats.org/officeDocument/2006/relationships/hyperlink" Target="https://drive.google.com/drive/folders/1rbKZqVrV9ikMQIJL2YY_xBHBVRSpY_sW?usp=share_" TargetMode="External"/><Relationship Id="rId17" Type="http://schemas.openxmlformats.org/officeDocument/2006/relationships/hyperlink" Target="https://www.cdnuruguay.org.uy/noticias/diagnostico-sobre-violencias-sexuales-contra-ninas-ninos-y-adolescentes-2021/" TargetMode="External"/><Relationship Id="rId2" Type="http://schemas.openxmlformats.org/officeDocument/2006/relationships/numbering" Target="numbering.xml"/><Relationship Id="rId16" Type="http://schemas.openxmlformats.org/officeDocument/2006/relationships/hyperlink" Target="https://www.anong.org.uy/wp-content/uploads/2024/02/EPU-2024-Informes-de-la-sociedad-civil-proceso-ANONG.pdf" TargetMode="External"/><Relationship Id="rId20" Type="http://schemas.openxmlformats.org/officeDocument/2006/relationships/hyperlink" Target="https://www.cdnuruguay.org.uy/noticias/participacion-de-ninas-ninos-y-adolescentes-en-el-urugua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nong.org.uy/wp-content/uploads/2024/02/EPU-2024-Informes-de-la-sociedad-civil-proceso-ANONG.pdf"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www.cdnuruguay.org.uy/uncategorized/homicidios-a-ninos-ninas-y-adolescenes-2012-a-2019-informe-202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nong.org.uy/wp-content/uploads/2023/11/Agenda-Infancia-y-adolescencia-2023-1.pdf" TargetMode="External"/><Relationship Id="rId22"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brecha.com.uy/la-balacera/" TargetMode="External"/><Relationship Id="rId18" Type="http://schemas.openxmlformats.org/officeDocument/2006/relationships/hyperlink" Target="https://www.inau.gub.uy/reporte-derecho-a-vivir-en-familia/2025/download/10215/3961/16" TargetMode="External"/><Relationship Id="rId26" Type="http://schemas.openxmlformats.org/officeDocument/2006/relationships/hyperlink" Target="%20https://www.impo.com.uy/bases/leyes/19529-2017" TargetMode="External"/><Relationship Id="rId39" Type="http://schemas.openxmlformats.org/officeDocument/2006/relationships/hyperlink" Target="https://www.inau.gub.uy/novedades/noticias/item/2736-plan-nacional-de-atencion-a-ninos-ninas-y-adolescentes-en-situacion-de-calle" TargetMode="External"/><Relationship Id="rId21" Type="http://schemas.openxmlformats.org/officeDocument/2006/relationships/hyperlink" Target="https://www.gub.uy/ministerio-desarrollo-social/comunicacion/noticias/visibilizar-desigualdades-fortalecer-acciones-datos-estadisticos-poblacion" TargetMode="External"/><Relationship Id="rId34" Type="http://schemas.openxmlformats.org/officeDocument/2006/relationships/hyperlink" Target="https://www.acnur.org/noticias/avisos/plataforma-r4v-con-foco-en-la-integracion-se-presento-el-plan-de-respuesta" TargetMode="External"/><Relationship Id="rId7" Type="http://schemas.openxmlformats.org/officeDocument/2006/relationships/hyperlink" Target="https://www.gub.uy/institucion-nacional-derechos-humanos-uruguay/comunicacion/publicaciones/oficio-ndeg442-mnp-sp2018-dirigido-al-instituto-del-nino-y-adolescente" TargetMode="External"/><Relationship Id="rId12" Type="http://schemas.openxmlformats.org/officeDocument/2006/relationships/hyperlink" Target="https://www.cdnuruguay.org.uy/wp-content/uploads/2022/05/Resumen-Ejecutivo-Informe-Alternativo-CAT_-Infancias-y-adolescencias-URU.pdf" TargetMode="External"/><Relationship Id="rId17" Type="http://schemas.openxmlformats.org/officeDocument/2006/relationships/hyperlink" Target="https://brecha.com.uy/la-balacera/" TargetMode="External"/><Relationship Id="rId25" Type="http://schemas.openxmlformats.org/officeDocument/2006/relationships/hyperlink" Target="https://www.anong.org.uy/wp-content/uploads/2021/12/10-puntos-para-establecer-la-infancia-como-prioridad-Documento-de-trabajo-anong.pdf" TargetMode="External"/><Relationship Id="rId33" Type="http://schemas.openxmlformats.org/officeDocument/2006/relationships/hyperlink" Target="https://www.gub.uy/ministerio-desarrollo-social/comunicacion/publicaciones/plan-nacional-integracion-para-personas-migrantes-solicitantes-refugio" TargetMode="External"/><Relationship Id="rId38" Type="http://schemas.openxmlformats.org/officeDocument/2006/relationships/hyperlink" Target="https://www.gub.uy/presidencia/comunicacion/noticias/instituciones-elaboraran-plan-estrategico-para-combatir-trabajo-infantil" TargetMode="External"/><Relationship Id="rId2" Type="http://schemas.openxmlformats.org/officeDocument/2006/relationships/hyperlink" Target="https://www.impo.com.uy/bases/leyes/20141-2023" TargetMode="External"/><Relationship Id="rId16" Type="http://schemas.openxmlformats.org/officeDocument/2006/relationships/hyperlink" Target="https://www.autonomiascolectivascontralaviolenciadegenero.org.uy/la-sociedad-civil-presento-la-situacion-de-uruguay-ante-el-examen-periodico-universal-de-naciones-unidas/" TargetMode="External"/><Relationship Id="rId20" Type="http://schemas.openxmlformats.org/officeDocument/2006/relationships/hyperlink" Target="https://brecha.com.uy/la-balacera/" TargetMode="External"/><Relationship Id="rId29" Type="http://schemas.openxmlformats.org/officeDocument/2006/relationships/hyperlink" Target="https://www.anep.edu.uy/sites/default/files/images/2023/noticias/agosto/230815/Plan%20ASISTE%202023.pdf" TargetMode="External"/><Relationship Id="rId1" Type="http://schemas.openxmlformats.org/officeDocument/2006/relationships/hyperlink" Target="https://cladem.org/noticia/uruguay--comenzo-a-tratarse-un-proyecto-de-ley-para-aumentar-la-edad-minima-del-matrimonio-a-los-18" TargetMode="External"/><Relationship Id="rId6" Type="http://schemas.openxmlformats.org/officeDocument/2006/relationships/hyperlink" Target="https://www.gub.uy/institucion-nacional-derechos-humanos-uruguay/comunicacion/publicaciones/informe-155-mnp-sp-centro-adolescente-femenino-rivera" TargetMode="External"/><Relationship Id="rId11" Type="http://schemas.openxmlformats.org/officeDocument/2006/relationships/hyperlink" Target="https://www.elpais.com.uy/informacion/politica/en-medio-de-la-polemica-directorio-del-inisa-separo-del-cargo-a-dos-subdirectores-tras-denuncias-de-torturas" TargetMode="External"/><Relationship Id="rId24" Type="http://schemas.openxmlformats.org/officeDocument/2006/relationships/hyperlink" Target="https://brecha.com.uy/la-balacera/" TargetMode="External"/><Relationship Id="rId32" Type="http://schemas.openxmlformats.org/officeDocument/2006/relationships/hyperlink" Target="https://brecha.com.uy/la-balacera/" TargetMode="External"/><Relationship Id="rId37" Type="http://schemas.openxmlformats.org/officeDocument/2006/relationships/hyperlink" Target="https://www.gub.uy/ministerio-trabajo-seguridad-social/sites/ministerio-trabajo-seguridad-social/files/2024-11/Documento%20del%20Comit%C3%A9%20Nacional%20para%20la%20Erradicaci%C3%B3n%20del%20Trabajo%20Infantil.pdf" TargetMode="External"/><Relationship Id="rId5" Type="http://schemas.openxmlformats.org/officeDocument/2006/relationships/hyperlink" Target="https://www.unicef.org/uruguay/infancia-en-datos/pobreza-infantil/el-gasto-publico-social-en-uruguay" TargetMode="External"/><Relationship Id="rId15" Type="http://schemas.openxmlformats.org/officeDocument/2006/relationships/hyperlink" Target="https://www.inau.gub.uy/novedades/noticias/item/4011-sipiav-en-cifras-se-presento-el-informe-de-gestion-2024" TargetMode="External"/><Relationship Id="rId23" Type="http://schemas.openxmlformats.org/officeDocument/2006/relationships/hyperlink" Target="https://www.unicef.org/uruguay/infancia-en-datos/pobreza-infantil/infancia-y-vivienda" TargetMode="External"/><Relationship Id="rId28" Type="http://schemas.openxmlformats.org/officeDocument/2006/relationships/hyperlink" Target="https://www.cdnuruguay.org.uy/wp-content/uploads/2022/05/Resumen-Ejecutivo-Informe-Alternativo-CAT_-Infancias-y-adolescencias-URU.pdf" TargetMode="External"/><Relationship Id="rId36" Type="http://schemas.openxmlformats.org/officeDocument/2006/relationships/hyperlink" Target="https://brecha.com.uy/la-balacera/" TargetMode="External"/><Relationship Id="rId10" Type="http://schemas.openxmlformats.org/officeDocument/2006/relationships/hyperlink" Target="https://ladiaria.com.uy/justicia/articulo/2025/6/un-adolescente-bajo-el-amparo-del-inau-se-suicido-esta-semana/" TargetMode="External"/><Relationship Id="rId19" Type="http://schemas.openxmlformats.org/officeDocument/2006/relationships/hyperlink" Target="https://www.unicef.org/uruguay/infancia-en-datos/pobreza-infantil/an%C3%A1lisis-de-la-pobreza-infantil-en-uruguay" TargetMode="External"/><Relationship Id="rId31" Type="http://schemas.openxmlformats.org/officeDocument/2006/relationships/hyperlink" Target="https://uruguay.iom.int/es/news/uruguay-lanza-su-primer-plan-nacional-de-integracion-para-personas-migrantes-solicitantes-de-refugio-y-refugiadas" TargetMode="External"/><Relationship Id="rId4" Type="http://schemas.openxmlformats.org/officeDocument/2006/relationships/hyperlink" Target="https://www.anong.org.uy/biblioteca/uruguay-2020-10-puntos-para-establecer-la-infancia-como-prioridad/" TargetMode="External"/><Relationship Id="rId9" Type="http://schemas.openxmlformats.org/officeDocument/2006/relationships/hyperlink" Target="https://www.cdnuruguay.org.uy/noticias/ante-la-muerte-de-ezequiel-adolescente-que-se-encontraba-internado-en-clinica-de-atencion-psiquiatrica-api/" TargetMode="External"/><Relationship Id="rId14" Type="http://schemas.openxmlformats.org/officeDocument/2006/relationships/hyperlink" Target="https://brecha.com.uy/la-balacera/.%20https://ladiaria.com.uy/politica/articulo/2025/3/en-19-de-23-ataques-con-armas-resultaron-heridos-menores-alerto-la-plataforma-de-infancia-y-adolescencia/" TargetMode="External"/><Relationship Id="rId22" Type="http://schemas.openxmlformats.org/officeDocument/2006/relationships/hyperlink" Target="https://brecha.com.uy/la-balacera/" TargetMode="External"/><Relationship Id="rId27" Type="http://schemas.openxmlformats.org/officeDocument/2006/relationships/hyperlink" Target="https://brecha.com.uy/la-balacera/" TargetMode="External"/><Relationship Id="rId30" Type="http://schemas.openxmlformats.org/officeDocument/2006/relationships/hyperlink" Target="https://www.anep.edu.uy/monitor/servlet/tendencias" TargetMode="External"/><Relationship Id="rId35" Type="http://schemas.openxmlformats.org/officeDocument/2006/relationships/hyperlink" Target="https://www.m24.com.uy/especialista-insto-a-no-naturalizar-el-trabajo-infantil-y-a-crear-una-estrategia-nacional-para-abordarlo/" TargetMode="External"/><Relationship Id="rId8" Type="http://schemas.openxmlformats.org/officeDocument/2006/relationships/hyperlink" Target="https://www.gub.uy/institucion-nacional-derechos-humanos-uruguay/sites/institucion-nacional-derechos-humanos-uruguay/files/documentos/publicaciones/135.%20Informe%20Monitoreo%20CBE%20Tribal%20-%20MNP%20SP%202023-09-19.pdf" TargetMode="External"/><Relationship Id="rId3" Type="http://schemas.openxmlformats.org/officeDocument/2006/relationships/hyperlink" Target="https://www.impo.com.uy/bases/leyes/20376-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VZ5FCGzgKgiJiCgK2m16D2oLxQ==">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21</Pages>
  <Words>8000</Words>
  <Characters>45603</Characters>
  <Application>Microsoft Office Word</Application>
  <DocSecurity>0</DocSecurity>
  <Lines>380</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Boit</dc:creator>
  <cp:lastModifiedBy>James Boit</cp:lastModifiedBy>
  <cp:revision>2</cp:revision>
  <dcterms:created xsi:type="dcterms:W3CDTF">2025-11-04T14:17:00Z</dcterms:created>
  <dcterms:modified xsi:type="dcterms:W3CDTF">2025-11-04T14:17:00Z</dcterms:modified>
</cp:coreProperties>
</file>