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431" w:rsidRDefault="00615431" w:rsidP="00612BCD">
      <w:bookmarkStart w:id="0" w:name="_GoBack"/>
      <w:bookmarkEnd w:id="0"/>
    </w:p>
    <w:p w:rsidR="00615431" w:rsidRDefault="00615431" w:rsidP="00612BCD"/>
    <w:p w:rsidR="00615431" w:rsidRDefault="00615431" w:rsidP="00612BCD"/>
    <w:p w:rsidR="00615431" w:rsidRPr="00077E76" w:rsidRDefault="00615431" w:rsidP="00612BCD">
      <w:pPr>
        <w:rPr>
          <w:b/>
        </w:rPr>
      </w:pPr>
      <w:r>
        <w:tab/>
      </w:r>
      <w:r w:rsidRPr="00077E76">
        <w:rPr>
          <w:b/>
        </w:rPr>
        <w:t xml:space="preserve">United States’ Compliance with the </w:t>
      </w:r>
    </w:p>
    <w:p w:rsidR="00615431" w:rsidRPr="00077E76" w:rsidRDefault="00615431" w:rsidP="00612BCD">
      <w:pPr>
        <w:rPr>
          <w:b/>
        </w:rPr>
      </w:pPr>
      <w:r w:rsidRPr="00077E76">
        <w:rPr>
          <w:b/>
        </w:rPr>
        <w:t>International Covenant on Civil and Political Rights</w:t>
      </w:r>
    </w:p>
    <w:p w:rsidR="00615431" w:rsidRPr="00077E76" w:rsidRDefault="00615431" w:rsidP="00612BCD">
      <w:pPr>
        <w:rPr>
          <w:b/>
        </w:rPr>
      </w:pPr>
    </w:p>
    <w:p w:rsidR="00615431" w:rsidRPr="00077E76" w:rsidRDefault="00615431" w:rsidP="00612BCD">
      <w:pPr>
        <w:rPr>
          <w:b/>
        </w:rPr>
      </w:pPr>
      <w:r w:rsidRPr="00077E76">
        <w:rPr>
          <w:b/>
        </w:rPr>
        <w:tab/>
      </w:r>
      <w:r w:rsidRPr="00077E76">
        <w:rPr>
          <w:b/>
        </w:rPr>
        <w:tab/>
      </w:r>
      <w:proofErr w:type="spellStart"/>
      <w:r w:rsidRPr="00077E76">
        <w:rPr>
          <w:b/>
        </w:rPr>
        <w:t>Meiklejohn</w:t>
      </w:r>
      <w:proofErr w:type="spellEnd"/>
      <w:r w:rsidRPr="00077E76">
        <w:rPr>
          <w:b/>
        </w:rPr>
        <w:t xml:space="preserve"> Civil Liberties Institute</w:t>
      </w:r>
    </w:p>
    <w:p w:rsidR="00615431" w:rsidRPr="00077E76" w:rsidRDefault="00615431" w:rsidP="00612BCD">
      <w:pPr>
        <w:rPr>
          <w:b/>
        </w:rPr>
      </w:pPr>
      <w:r w:rsidRPr="00077E76">
        <w:rPr>
          <w:b/>
        </w:rPr>
        <w:t>Suggested List of Issues to Country Report Task Force on the United States</w:t>
      </w:r>
    </w:p>
    <w:p w:rsidR="00615431" w:rsidRPr="00077E76" w:rsidRDefault="00615431" w:rsidP="00612BCD">
      <w:pPr>
        <w:rPr>
          <w:b/>
        </w:rPr>
      </w:pPr>
    </w:p>
    <w:p w:rsidR="00615431" w:rsidRPr="00077E76" w:rsidRDefault="00615431" w:rsidP="00612BCD">
      <w:pPr>
        <w:rPr>
          <w:b/>
        </w:rPr>
      </w:pPr>
      <w:r w:rsidRPr="00077E76">
        <w:rPr>
          <w:b/>
        </w:rPr>
        <w:t xml:space="preserve">       107</w:t>
      </w:r>
      <w:r w:rsidRPr="00077E76">
        <w:rPr>
          <w:b/>
          <w:vertAlign w:val="superscript"/>
        </w:rPr>
        <w:t>th</w:t>
      </w:r>
      <w:r w:rsidRPr="00077E76">
        <w:rPr>
          <w:b/>
        </w:rPr>
        <w:t xml:space="preserve"> Session of the Human Rights Committee, Geneva</w:t>
      </w:r>
    </w:p>
    <w:p w:rsidR="00615431" w:rsidRPr="00077E76" w:rsidRDefault="00615431" w:rsidP="00612BCD">
      <w:pPr>
        <w:rPr>
          <w:b/>
        </w:rPr>
      </w:pPr>
      <w:r w:rsidRPr="00077E76">
        <w:rPr>
          <w:b/>
        </w:rPr>
        <w:tab/>
      </w:r>
      <w:r w:rsidRPr="00077E76">
        <w:rPr>
          <w:b/>
        </w:rPr>
        <w:tab/>
      </w:r>
      <w:r w:rsidRPr="00077E76">
        <w:rPr>
          <w:b/>
        </w:rPr>
        <w:tab/>
        <w:t>11-28 March 20139</w:t>
      </w:r>
    </w:p>
    <w:p w:rsidR="00615431" w:rsidRPr="00077E76" w:rsidRDefault="00615431" w:rsidP="00612BCD"/>
    <w:p w:rsidR="00615431" w:rsidRPr="00077E76" w:rsidRDefault="00615431" w:rsidP="00612BCD"/>
    <w:p w:rsidR="00615431" w:rsidRPr="00077E76" w:rsidRDefault="00615431" w:rsidP="00612BCD">
      <w:r>
        <w:t>14 January 2013</w:t>
      </w:r>
    </w:p>
    <w:p w:rsidR="00615431" w:rsidRPr="00077E76" w:rsidRDefault="00615431" w:rsidP="00612BCD"/>
    <w:p w:rsidR="00615431" w:rsidRPr="00077E76" w:rsidRDefault="00615431" w:rsidP="002D34B7">
      <w:pPr>
        <w:jc w:val="right"/>
      </w:pPr>
      <w:proofErr w:type="spellStart"/>
      <w:r w:rsidRPr="00077E76">
        <w:t>Meiklejohn</w:t>
      </w:r>
      <w:proofErr w:type="spellEnd"/>
      <w:r w:rsidRPr="00077E76">
        <w:t xml:space="preserve"> Civil Liberties Institute</w:t>
      </w:r>
    </w:p>
    <w:p w:rsidR="00615431" w:rsidRPr="00077E76" w:rsidRDefault="00615431" w:rsidP="002D34B7">
      <w:pPr>
        <w:jc w:val="right"/>
      </w:pPr>
      <w:r w:rsidRPr="00077E76">
        <w:t>Box 673</w:t>
      </w:r>
    </w:p>
    <w:p w:rsidR="00615431" w:rsidRPr="00077E76" w:rsidRDefault="00615431" w:rsidP="002D34B7">
      <w:pPr>
        <w:jc w:val="right"/>
      </w:pPr>
      <w:r w:rsidRPr="00077E76">
        <w:t>Berkeley, California 94701-0673</w:t>
      </w:r>
    </w:p>
    <w:p w:rsidR="00615431" w:rsidRPr="00077E76" w:rsidRDefault="00615431" w:rsidP="002D34B7">
      <w:pPr>
        <w:jc w:val="right"/>
      </w:pPr>
    </w:p>
    <w:p w:rsidR="00615431" w:rsidRPr="00077E76" w:rsidRDefault="00615431" w:rsidP="002D34B7">
      <w:pPr>
        <w:jc w:val="right"/>
      </w:pPr>
      <w:r w:rsidRPr="00077E76">
        <w:t>P: (510) 418-5773</w:t>
      </w:r>
    </w:p>
    <w:p w:rsidR="00615431" w:rsidRDefault="00615431" w:rsidP="002D34B7">
      <w:pPr>
        <w:jc w:val="right"/>
        <w:rPr>
          <w:kern w:val="24"/>
        </w:rPr>
      </w:pPr>
      <w:r w:rsidRPr="00077E76">
        <w:rPr>
          <w:kern w:val="24"/>
        </w:rPr>
        <w:t>a</w:t>
      </w:r>
      <w:r>
        <w:rPr>
          <w:kern w:val="24"/>
        </w:rPr>
        <w:t>nn</w:t>
      </w:r>
      <w:r w:rsidRPr="00077E76">
        <w:rPr>
          <w:kern w:val="24"/>
        </w:rPr>
        <w:t>fg</w:t>
      </w:r>
      <w:r>
        <w:rPr>
          <w:kern w:val="24"/>
        </w:rPr>
        <w:t>inger@gmail.com</w:t>
      </w:r>
    </w:p>
    <w:p w:rsidR="00615431" w:rsidRDefault="00615431" w:rsidP="002D34B7">
      <w:pPr>
        <w:jc w:val="right"/>
        <w:rPr>
          <w:kern w:val="24"/>
        </w:rPr>
      </w:pPr>
    </w:p>
    <w:p w:rsidR="00615431" w:rsidRDefault="00615431" w:rsidP="008162F2">
      <w:pPr>
        <w:jc w:val="both"/>
        <w:rPr>
          <w:kern w:val="24"/>
        </w:rPr>
      </w:pPr>
    </w:p>
    <w:p w:rsidR="00615431" w:rsidRDefault="00615431" w:rsidP="000C136C">
      <w:pPr>
        <w:rPr>
          <w:kern w:val="24"/>
        </w:rPr>
      </w:pPr>
      <w:r>
        <w:rPr>
          <w:b/>
          <w:kern w:val="24"/>
        </w:rPr>
        <w:t>I.</w:t>
      </w:r>
      <w:r>
        <w:rPr>
          <w:b/>
          <w:kern w:val="24"/>
        </w:rPr>
        <w:tab/>
      </w:r>
      <w:r w:rsidRPr="00077E76">
        <w:rPr>
          <w:b/>
          <w:kern w:val="24"/>
        </w:rPr>
        <w:t>Issue Summary</w:t>
      </w:r>
    </w:p>
    <w:p w:rsidR="00615431" w:rsidRDefault="00615431" w:rsidP="00467DFC">
      <w:pPr>
        <w:tabs>
          <w:tab w:val="left" w:pos="360"/>
          <w:tab w:val="left" w:pos="720"/>
        </w:tabs>
        <w:rPr>
          <w:kern w:val="24"/>
        </w:rPr>
      </w:pPr>
      <w:r>
        <w:rPr>
          <w:kern w:val="24"/>
        </w:rPr>
        <w:tab/>
        <w:t>1.</w:t>
      </w:r>
      <w:r>
        <w:rPr>
          <w:kern w:val="24"/>
        </w:rPr>
        <w:tab/>
        <w:t>Charges o</w:t>
      </w:r>
      <w:r w:rsidRPr="00077E76">
        <w:rPr>
          <w:kern w:val="24"/>
        </w:rPr>
        <w:t xml:space="preserve">f discrimination </w:t>
      </w:r>
      <w:r>
        <w:rPr>
          <w:kern w:val="24"/>
        </w:rPr>
        <w:t>by federal; state,</w:t>
      </w:r>
      <w:r w:rsidRPr="00077E76">
        <w:rPr>
          <w:kern w:val="24"/>
        </w:rPr>
        <w:t xml:space="preserve"> county, and city officials </w:t>
      </w:r>
      <w:r>
        <w:rPr>
          <w:kern w:val="24"/>
        </w:rPr>
        <w:tab/>
      </w:r>
      <w:r>
        <w:rPr>
          <w:kern w:val="24"/>
        </w:rPr>
        <w:tab/>
      </w:r>
      <w:r>
        <w:rPr>
          <w:kern w:val="24"/>
        </w:rPr>
        <w:tab/>
      </w:r>
      <w:r w:rsidRPr="00077E76">
        <w:rPr>
          <w:kern w:val="24"/>
        </w:rPr>
        <w:t xml:space="preserve">against voters based on their poverty, race, or national origin are not new </w:t>
      </w:r>
      <w:r>
        <w:rPr>
          <w:kern w:val="24"/>
        </w:rPr>
        <w:tab/>
      </w:r>
      <w:r>
        <w:rPr>
          <w:kern w:val="24"/>
        </w:rPr>
        <w:tab/>
      </w:r>
      <w:r>
        <w:rPr>
          <w:kern w:val="24"/>
        </w:rPr>
        <w:tab/>
      </w:r>
      <w:r w:rsidRPr="00077E76">
        <w:rPr>
          <w:kern w:val="24"/>
        </w:rPr>
        <w:t>issues</w:t>
      </w:r>
      <w:r>
        <w:rPr>
          <w:kern w:val="24"/>
        </w:rPr>
        <w:t>,</w:t>
      </w:r>
      <w:r w:rsidRPr="00077E76">
        <w:rPr>
          <w:kern w:val="24"/>
        </w:rPr>
        <w:t xml:space="preserve"> but they were not discussed in the U.S. Report to the UN. In</w:t>
      </w:r>
      <w:r>
        <w:rPr>
          <w:kern w:val="24"/>
        </w:rPr>
        <w:t xml:space="preserve"> </w:t>
      </w:r>
      <w:r>
        <w:rPr>
          <w:kern w:val="24"/>
        </w:rPr>
        <w:tab/>
      </w:r>
      <w:r>
        <w:rPr>
          <w:kern w:val="24"/>
        </w:rPr>
        <w:tab/>
      </w:r>
      <w:r>
        <w:rPr>
          <w:kern w:val="24"/>
        </w:rPr>
        <w:tab/>
        <w:t>paragraphs 451,</w:t>
      </w:r>
      <w:r w:rsidRPr="00077E76">
        <w:rPr>
          <w:kern w:val="24"/>
        </w:rPr>
        <w:t xml:space="preserve"> </w:t>
      </w:r>
      <w:r>
        <w:rPr>
          <w:kern w:val="24"/>
        </w:rPr>
        <w:t xml:space="preserve">452, </w:t>
      </w:r>
      <w:proofErr w:type="spellStart"/>
      <w:r w:rsidRPr="00077E76">
        <w:rPr>
          <w:kern w:val="24"/>
        </w:rPr>
        <w:t>pr</w:t>
      </w:r>
      <w:proofErr w:type="spellEnd"/>
      <w:r w:rsidRPr="00077E76">
        <w:rPr>
          <w:kern w:val="24"/>
        </w:rPr>
        <w:t xml:space="preserve"> 458 on U.S. complains with ICCPR Articles 2 and </w:t>
      </w:r>
      <w:r>
        <w:rPr>
          <w:kern w:val="24"/>
        </w:rPr>
        <w:tab/>
      </w:r>
      <w:r>
        <w:rPr>
          <w:kern w:val="24"/>
        </w:rPr>
        <w:tab/>
      </w:r>
      <w:r w:rsidRPr="00077E76">
        <w:rPr>
          <w:kern w:val="24"/>
        </w:rPr>
        <w:t xml:space="preserve">25. </w:t>
      </w:r>
    </w:p>
    <w:p w:rsidR="00615431" w:rsidRDefault="00615431" w:rsidP="00467DFC">
      <w:pPr>
        <w:tabs>
          <w:tab w:val="left" w:pos="360"/>
          <w:tab w:val="left" w:pos="720"/>
        </w:tabs>
        <w:rPr>
          <w:kern w:val="24"/>
        </w:rPr>
      </w:pPr>
    </w:p>
    <w:p w:rsidR="00615431" w:rsidRPr="00077E76" w:rsidRDefault="00615431" w:rsidP="00467DFC">
      <w:pPr>
        <w:tabs>
          <w:tab w:val="left" w:pos="360"/>
          <w:tab w:val="left" w:pos="720"/>
        </w:tabs>
        <w:rPr>
          <w:kern w:val="24"/>
        </w:rPr>
      </w:pPr>
      <w:r>
        <w:rPr>
          <w:kern w:val="24"/>
        </w:rPr>
        <w:tab/>
        <w:t>2.</w:t>
      </w:r>
      <w:r>
        <w:rPr>
          <w:kern w:val="24"/>
        </w:rPr>
        <w:tab/>
        <w:t>The issues</w:t>
      </w:r>
      <w:r w:rsidRPr="00077E76">
        <w:rPr>
          <w:kern w:val="24"/>
        </w:rPr>
        <w:t xml:space="preserve"> include requiring voter Identification (ID), making it harder to </w:t>
      </w:r>
      <w:r>
        <w:rPr>
          <w:kern w:val="24"/>
        </w:rPr>
        <w:tab/>
      </w:r>
      <w:r>
        <w:rPr>
          <w:kern w:val="24"/>
        </w:rPr>
        <w:tab/>
      </w:r>
      <w:r w:rsidRPr="00077E76">
        <w:rPr>
          <w:kern w:val="24"/>
        </w:rPr>
        <w:t xml:space="preserve">vote before election day, rules on absentee voting, purging of names from </w:t>
      </w:r>
      <w:r>
        <w:rPr>
          <w:kern w:val="24"/>
        </w:rPr>
        <w:tab/>
      </w:r>
      <w:r>
        <w:rPr>
          <w:kern w:val="24"/>
        </w:rPr>
        <w:tab/>
      </w:r>
      <w:r w:rsidRPr="00077E76">
        <w:rPr>
          <w:kern w:val="24"/>
        </w:rPr>
        <w:t xml:space="preserve">voter lists, rules against voter registration drives, and inaccurate </w:t>
      </w:r>
      <w:r>
        <w:rPr>
          <w:kern w:val="24"/>
        </w:rPr>
        <w:tab/>
      </w:r>
      <w:r>
        <w:rPr>
          <w:kern w:val="24"/>
        </w:rPr>
        <w:tab/>
      </w:r>
      <w:r>
        <w:rPr>
          <w:kern w:val="24"/>
        </w:rPr>
        <w:tab/>
      </w:r>
      <w:r>
        <w:rPr>
          <w:kern w:val="24"/>
        </w:rPr>
        <w:tab/>
      </w:r>
      <w:r w:rsidRPr="00077E76">
        <w:rPr>
          <w:kern w:val="24"/>
        </w:rPr>
        <w:t xml:space="preserve">information on voting dates in Spanish-language flyers. </w:t>
      </w:r>
    </w:p>
    <w:p w:rsidR="00615431" w:rsidRDefault="00615431" w:rsidP="00077E76">
      <w:pPr>
        <w:rPr>
          <w:b/>
          <w:kern w:val="24"/>
        </w:rPr>
      </w:pPr>
    </w:p>
    <w:p w:rsidR="00615431" w:rsidRDefault="00615431" w:rsidP="000A0F4A">
      <w:pPr>
        <w:rPr>
          <w:b/>
          <w:kern w:val="24"/>
        </w:rPr>
      </w:pPr>
      <w:r w:rsidRPr="00077E76">
        <w:rPr>
          <w:b/>
          <w:kern w:val="24"/>
        </w:rPr>
        <w:t>Suggestions</w:t>
      </w:r>
      <w:r>
        <w:rPr>
          <w:b/>
          <w:kern w:val="24"/>
        </w:rPr>
        <w:t xml:space="preserve"> to the Human Rights Committee </w:t>
      </w:r>
      <w:r w:rsidRPr="00077E76">
        <w:rPr>
          <w:b/>
          <w:kern w:val="24"/>
        </w:rPr>
        <w:t>for questions to consider in list of issues for the United Stats</w:t>
      </w:r>
    </w:p>
    <w:p w:rsidR="00615431" w:rsidRDefault="00615431" w:rsidP="000C136C">
      <w:pPr>
        <w:ind w:left="720"/>
        <w:rPr>
          <w:b/>
          <w:kern w:val="24"/>
        </w:rPr>
      </w:pPr>
    </w:p>
    <w:p w:rsidR="00615431" w:rsidRPr="000A0F4A" w:rsidRDefault="00615431" w:rsidP="005F2FB3">
      <w:pPr>
        <w:tabs>
          <w:tab w:val="left" w:pos="360"/>
        </w:tabs>
        <w:ind w:left="720" w:hanging="720"/>
        <w:rPr>
          <w:b/>
          <w:kern w:val="24"/>
        </w:rPr>
      </w:pPr>
      <w:r>
        <w:rPr>
          <w:kern w:val="24"/>
        </w:rPr>
        <w:tab/>
        <w:t>3.</w:t>
      </w:r>
      <w:r>
        <w:rPr>
          <w:kern w:val="24"/>
        </w:rPr>
        <w:tab/>
      </w:r>
      <w:r w:rsidRPr="00077E76">
        <w:rPr>
          <w:kern w:val="24"/>
        </w:rPr>
        <w:t>The UN Committee Members may want to question the U.S. government representatives</w:t>
      </w:r>
      <w:r>
        <w:rPr>
          <w:u w:val="single"/>
        </w:rPr>
        <w:t xml:space="preserve"> </w:t>
      </w:r>
      <w:r w:rsidRPr="00077E76">
        <w:t>about all of these issues that were not addressed in the U.S. Report.</w:t>
      </w:r>
    </w:p>
    <w:p w:rsidR="00615431" w:rsidRPr="00077E76" w:rsidRDefault="00615431" w:rsidP="00077E76">
      <w:pPr>
        <w:rPr>
          <w:u w:val="single"/>
        </w:rPr>
      </w:pPr>
    </w:p>
    <w:p w:rsidR="00615431" w:rsidRPr="005F12A5" w:rsidRDefault="00615431" w:rsidP="00FA2413">
      <w:pPr>
        <w:tabs>
          <w:tab w:val="left" w:pos="360"/>
          <w:tab w:val="left" w:pos="720"/>
        </w:tabs>
        <w:rPr>
          <w:b/>
        </w:rPr>
      </w:pPr>
      <w:r>
        <w:rPr>
          <w:b/>
        </w:rPr>
        <w:t>II</w:t>
      </w:r>
      <w:r w:rsidRPr="005F12A5">
        <w:rPr>
          <w:b/>
        </w:rPr>
        <w:t>.</w:t>
      </w:r>
      <w:r>
        <w:rPr>
          <w:b/>
        </w:rPr>
        <w:tab/>
      </w:r>
      <w:r>
        <w:rPr>
          <w:b/>
        </w:rPr>
        <w:tab/>
      </w:r>
      <w:r w:rsidRPr="005F12A5">
        <w:rPr>
          <w:b/>
        </w:rPr>
        <w:t>Basic facts</w:t>
      </w:r>
    </w:p>
    <w:p w:rsidR="00615431" w:rsidRDefault="00615431" w:rsidP="008F20C4">
      <w:pPr>
        <w:tabs>
          <w:tab w:val="left" w:pos="720"/>
        </w:tabs>
        <w:ind w:firstLine="360"/>
      </w:pPr>
      <w:r>
        <w:t>4.</w:t>
      </w:r>
      <w:r>
        <w:tab/>
      </w:r>
      <w:r w:rsidRPr="00077E76">
        <w:t xml:space="preserve">In 2012, nearly 219 million people were registered to vote in the United </w:t>
      </w:r>
      <w:r>
        <w:tab/>
      </w:r>
      <w:r w:rsidRPr="00077E76">
        <w:t xml:space="preserve">States. Of that, approximately 126 million participated in the most recent </w:t>
      </w:r>
      <w:r>
        <w:tab/>
      </w:r>
      <w:r w:rsidRPr="00077E76">
        <w:t xml:space="preserve">election, equating to a 58% turnout. 93 million people chose not to show </w:t>
      </w:r>
      <w:r>
        <w:tab/>
      </w:r>
      <w:r w:rsidRPr="00077E76">
        <w:t>up at the polls.</w:t>
      </w:r>
      <w:r w:rsidRPr="00077E76">
        <w:rPr>
          <w:rStyle w:val="FootnoteReference"/>
          <w:rFonts w:cs="Mangal"/>
        </w:rPr>
        <w:footnoteReference w:id="1"/>
      </w:r>
      <w:r w:rsidRPr="00077E76">
        <w:t xml:space="preserve"> </w:t>
      </w:r>
    </w:p>
    <w:p w:rsidR="00615431" w:rsidRPr="00077E76" w:rsidRDefault="00615431" w:rsidP="008F20C4">
      <w:pPr>
        <w:tabs>
          <w:tab w:val="left" w:pos="720"/>
        </w:tabs>
        <w:ind w:firstLine="360"/>
      </w:pPr>
    </w:p>
    <w:p w:rsidR="00615431" w:rsidRDefault="00615431" w:rsidP="00BC0F38">
      <w:pPr>
        <w:tabs>
          <w:tab w:val="left" w:pos="360"/>
          <w:tab w:val="left" w:pos="720"/>
        </w:tabs>
      </w:pPr>
      <w:r>
        <w:tab/>
        <w:t>5.</w:t>
      </w:r>
      <w:r>
        <w:tab/>
        <w:t>Stating that they were acting</w:t>
      </w:r>
      <w:r w:rsidRPr="00077E76">
        <w:t xml:space="preserve"> to protect the electorate from voter fraud, 17 </w:t>
      </w:r>
      <w:r>
        <w:tab/>
      </w:r>
      <w:r>
        <w:tab/>
      </w:r>
      <w:r w:rsidRPr="00077E76">
        <w:t xml:space="preserve">states have passed photo identification requirements to vote; another 19 </w:t>
      </w:r>
      <w:r>
        <w:tab/>
      </w:r>
      <w:r>
        <w:tab/>
      </w:r>
      <w:r>
        <w:tab/>
      </w:r>
      <w:r w:rsidRPr="00077E76">
        <w:t xml:space="preserve">states have passed non-photo ID requirements, and a few states have </w:t>
      </w:r>
      <w:r>
        <w:tab/>
      </w:r>
      <w:r>
        <w:tab/>
      </w:r>
      <w:r>
        <w:tab/>
      </w:r>
      <w:r w:rsidRPr="00077E76">
        <w:t>conducted controversial purges of their voting rolls.</w:t>
      </w:r>
      <w:r w:rsidRPr="00077E76">
        <w:rPr>
          <w:rStyle w:val="FootnoteReference"/>
          <w:rFonts w:cs="Mangal"/>
        </w:rPr>
        <w:footnoteReference w:id="2"/>
      </w:r>
      <w:r w:rsidRPr="00077E76">
        <w:t xml:space="preserve"> </w:t>
      </w:r>
    </w:p>
    <w:p w:rsidR="00615431" w:rsidRPr="00077E76" w:rsidRDefault="00615431" w:rsidP="00B047C0">
      <w:pPr>
        <w:tabs>
          <w:tab w:val="left" w:pos="360"/>
        </w:tabs>
      </w:pPr>
    </w:p>
    <w:p w:rsidR="00615431" w:rsidRPr="002140B6" w:rsidRDefault="00615431" w:rsidP="00925BD9">
      <w:pPr>
        <w:tabs>
          <w:tab w:val="left" w:pos="720"/>
        </w:tabs>
        <w:rPr>
          <w:b/>
        </w:rPr>
      </w:pPr>
      <w:r>
        <w:rPr>
          <w:b/>
        </w:rPr>
        <w:t xml:space="preserve">III. </w:t>
      </w:r>
      <w:r>
        <w:rPr>
          <w:b/>
        </w:rPr>
        <w:tab/>
      </w:r>
      <w:r w:rsidRPr="002140B6">
        <w:rPr>
          <w:b/>
        </w:rPr>
        <w:t>Articles 2 &amp; 25</w:t>
      </w:r>
    </w:p>
    <w:p w:rsidR="00615431" w:rsidRDefault="00615431" w:rsidP="00437E1A">
      <w:pPr>
        <w:tabs>
          <w:tab w:val="left" w:pos="360"/>
          <w:tab w:val="left" w:pos="720"/>
        </w:tabs>
      </w:pPr>
      <w:r>
        <w:tab/>
        <w:t>6.</w:t>
      </w:r>
      <w:r>
        <w:tab/>
      </w:r>
      <w:r w:rsidRPr="00077E76">
        <w:t>The U.S. Report should have addressed the issue of</w:t>
      </w:r>
      <w:r>
        <w:t xml:space="preserve"> the</w:t>
      </w:r>
      <w:r w:rsidRPr="00077E76">
        <w:t xml:space="preserve"> constitutionality of </w:t>
      </w:r>
      <w:r>
        <w:tab/>
      </w:r>
      <w:r>
        <w:tab/>
      </w:r>
      <w:r>
        <w:tab/>
      </w:r>
      <w:r w:rsidRPr="00077E76">
        <w:t>recent state voting ID laws</w:t>
      </w:r>
      <w:r>
        <w:t xml:space="preserve"> that</w:t>
      </w:r>
      <w:r w:rsidRPr="00077E76">
        <w:t xml:space="preserve"> </w:t>
      </w:r>
      <w:r>
        <w:t>has come into question multiple</w:t>
      </w:r>
      <w:r w:rsidRPr="00077E76">
        <w:t xml:space="preserve"> times </w:t>
      </w:r>
      <w:r>
        <w:tab/>
      </w:r>
      <w:r>
        <w:tab/>
      </w:r>
      <w:r>
        <w:tab/>
      </w:r>
      <w:r>
        <w:tab/>
      </w:r>
      <w:r w:rsidRPr="00077E76">
        <w:t xml:space="preserve">throughout the years, mainly over the question of whether their </w:t>
      </w:r>
      <w:r>
        <w:tab/>
      </w:r>
      <w:r>
        <w:tab/>
      </w:r>
      <w:r>
        <w:tab/>
      </w:r>
      <w:r>
        <w:tab/>
      </w:r>
      <w:r>
        <w:tab/>
      </w:r>
      <w:r w:rsidRPr="00077E76">
        <w:t>implementation constit</w:t>
      </w:r>
      <w:r>
        <w:t>utes a poll tax, which the U.S.</w:t>
      </w:r>
      <w:r w:rsidRPr="00077E76">
        <w:t xml:space="preserve"> Supreme Court </w:t>
      </w:r>
      <w:r>
        <w:tab/>
      </w:r>
      <w:r>
        <w:tab/>
      </w:r>
      <w:r>
        <w:tab/>
      </w:r>
      <w:r>
        <w:tab/>
      </w:r>
      <w:r w:rsidRPr="00077E76">
        <w:t xml:space="preserve">ruled unconstitutional in </w:t>
      </w:r>
      <w:r w:rsidRPr="00077E76">
        <w:rPr>
          <w:i/>
        </w:rPr>
        <w:t>Harper v. Virginia Board of Elections</w:t>
      </w:r>
      <w:r w:rsidRPr="00077E76">
        <w:t xml:space="preserve"> (1996). The </w:t>
      </w:r>
      <w:r>
        <w:tab/>
      </w:r>
      <w:r>
        <w:tab/>
      </w:r>
      <w:r>
        <w:tab/>
        <w:t>C</w:t>
      </w:r>
      <w:r w:rsidRPr="00077E76">
        <w:t>ourt’s opinion states</w:t>
      </w:r>
      <w:r w:rsidRPr="00077E76">
        <w:rPr>
          <w:rStyle w:val="FootnoteReference"/>
          <w:rFonts w:cs="Mangal"/>
        </w:rPr>
        <w:footnoteReference w:id="3"/>
      </w:r>
      <w:r>
        <w:t>:</w:t>
      </w:r>
      <w:r w:rsidRPr="00077E76">
        <w:t xml:space="preserve"> “Undoubtedly, the right of suffrage is a fundamental </w:t>
      </w:r>
      <w:r>
        <w:tab/>
      </w:r>
      <w:r>
        <w:tab/>
      </w:r>
      <w:r>
        <w:tab/>
      </w:r>
      <w:r w:rsidRPr="00077E76">
        <w:t xml:space="preserve">matter in a free and democratic society. Especially since the right to exercise the </w:t>
      </w:r>
      <w:r>
        <w:tab/>
      </w:r>
      <w:r>
        <w:tab/>
      </w:r>
      <w:r>
        <w:tab/>
      </w:r>
      <w:r w:rsidRPr="00077E76">
        <w:t xml:space="preserve">franchise in a free </w:t>
      </w:r>
      <w:r>
        <w:t>and unimpaired manner</w:t>
      </w:r>
      <w:r w:rsidRPr="00077E76">
        <w:t xml:space="preserve"> is preservative of other basic civil and </w:t>
      </w:r>
      <w:r>
        <w:tab/>
      </w:r>
      <w:r>
        <w:tab/>
      </w:r>
      <w:r w:rsidRPr="00077E76">
        <w:t>political rights, any alleged infringement of the right</w:t>
      </w:r>
      <w:r>
        <w:t xml:space="preserve"> of</w:t>
      </w:r>
      <w:r w:rsidRPr="00077E76">
        <w:t xml:space="preserve"> citizens to vote must be </w:t>
      </w:r>
      <w:r>
        <w:tab/>
      </w:r>
      <w:r>
        <w:tab/>
      </w:r>
      <w:r>
        <w:tab/>
      </w:r>
      <w:r w:rsidRPr="00077E76">
        <w:t xml:space="preserve">carefully and meticulously scrutinized.” And the Court ruled unconstitutional a </w:t>
      </w:r>
      <w:r>
        <w:tab/>
      </w:r>
      <w:r>
        <w:tab/>
      </w:r>
      <w:r>
        <w:tab/>
      </w:r>
      <w:r w:rsidRPr="00077E76">
        <w:t xml:space="preserve">law that bars a citizen’s vote on account of his economic status or other such </w:t>
      </w:r>
      <w:r>
        <w:tab/>
      </w:r>
      <w:r>
        <w:tab/>
      </w:r>
      <w:r>
        <w:tab/>
        <w:t>factors. This rule,</w:t>
      </w:r>
      <w:r w:rsidRPr="00077E76">
        <w:t xml:space="preserve"> by analogy, bars a system which excludes those unable to pay a </w:t>
      </w:r>
      <w:r>
        <w:tab/>
      </w:r>
      <w:r>
        <w:tab/>
        <w:t>fee to vote or who fails to pay</w:t>
      </w:r>
      <w:r w:rsidRPr="00077E76">
        <w:t xml:space="preserve">. </w:t>
      </w:r>
      <w:proofErr w:type="gramStart"/>
      <w:r w:rsidRPr="00077E76">
        <w:t>The Fourteenth Amendment to the</w:t>
      </w:r>
      <w:r>
        <w:t xml:space="preserve"> U.S.</w:t>
      </w:r>
      <w:proofErr w:type="gramEnd"/>
      <w:r w:rsidRPr="00077E76">
        <w:t xml:space="preserve"> </w:t>
      </w:r>
      <w:r>
        <w:tab/>
      </w:r>
      <w:r>
        <w:tab/>
      </w:r>
      <w:r>
        <w:tab/>
      </w:r>
      <w:r>
        <w:tab/>
      </w:r>
      <w:r w:rsidRPr="00077E76">
        <w:t>Constitution provides equal protection to all citizens, necessarily ba</w:t>
      </w:r>
      <w:r>
        <w:t xml:space="preserve">rring any state </w:t>
      </w:r>
      <w:r>
        <w:tab/>
      </w:r>
      <w:r>
        <w:tab/>
        <w:t>from requiring payment of a tax in order to vote since federal law overrides</w:t>
      </w:r>
      <w:r w:rsidRPr="00077E76">
        <w:t xml:space="preserve"> state </w:t>
      </w:r>
      <w:r>
        <w:tab/>
      </w:r>
      <w:r>
        <w:tab/>
      </w:r>
      <w:r w:rsidRPr="00077E76">
        <w:t>law whenever they overlap.</w:t>
      </w:r>
      <w:r w:rsidRPr="00077E76">
        <w:rPr>
          <w:rStyle w:val="FootnoteReference"/>
          <w:rFonts w:cs="Mangal"/>
        </w:rPr>
        <w:footnoteReference w:id="4"/>
      </w:r>
    </w:p>
    <w:p w:rsidR="00615431" w:rsidRDefault="00615431" w:rsidP="0098502F">
      <w:pPr>
        <w:tabs>
          <w:tab w:val="left" w:pos="360"/>
        </w:tabs>
        <w:ind w:left="720"/>
      </w:pPr>
    </w:p>
    <w:p w:rsidR="00615431" w:rsidRDefault="00615431" w:rsidP="0058046A">
      <w:pPr>
        <w:tabs>
          <w:tab w:val="left" w:pos="360"/>
        </w:tabs>
        <w:ind w:left="720" w:hanging="720"/>
      </w:pPr>
      <w:r>
        <w:tab/>
        <w:t>7.</w:t>
      </w:r>
      <w:r>
        <w:tab/>
        <w:t>To answer charges that</w:t>
      </w:r>
      <w:r w:rsidRPr="00077E76">
        <w:t xml:space="preserve"> requiring a photo I</w:t>
      </w:r>
      <w:r>
        <w:t>D at polling places equals a</w:t>
      </w:r>
      <w:r w:rsidRPr="00077E76">
        <w:t xml:space="preserve"> poll tax, some state </w:t>
      </w:r>
      <w:r>
        <w:t>laws state that</w:t>
      </w:r>
      <w:r w:rsidRPr="00077E76">
        <w:t xml:space="preserve"> free identification cards</w:t>
      </w:r>
      <w:r>
        <w:t xml:space="preserve"> will be issued to whomever the rule</w:t>
      </w:r>
      <w:r w:rsidRPr="00077E76">
        <w:t xml:space="preserve"> may burden unnecessarily. </w:t>
      </w:r>
      <w:r w:rsidRPr="00077E76">
        <w:rPr>
          <w:i/>
        </w:rPr>
        <w:t>Milwaukee Branch of the NAACP v. Walker</w:t>
      </w:r>
      <w:r w:rsidRPr="00077E76">
        <w:t xml:space="preserve"> lists many examples of</w:t>
      </w:r>
      <w:r>
        <w:t xml:space="preserve"> African American</w:t>
      </w:r>
      <w:r w:rsidRPr="00077E76">
        <w:t xml:space="preserve"> citizens faced with unwelcome obstacles </w:t>
      </w:r>
      <w:r>
        <w:t>when they became</w:t>
      </w:r>
      <w:r w:rsidRPr="00077E76">
        <w:t xml:space="preserve"> eligible to vote. </w:t>
      </w:r>
      <w:r>
        <w:t xml:space="preserve">In Wisconsin and other states, </w:t>
      </w:r>
      <w:r w:rsidRPr="00077E76">
        <w:t>far too often people are denied the IDs, a requirement to vote, because of a lack of funds, social security cards, or birth certificates.</w:t>
      </w:r>
      <w:r w:rsidRPr="00077E76">
        <w:rPr>
          <w:rStyle w:val="FootnoteReference"/>
          <w:rFonts w:cs="Mangal"/>
        </w:rPr>
        <w:footnoteReference w:id="5"/>
      </w:r>
      <w:r w:rsidRPr="00077E76">
        <w:t xml:space="preserve"> Even though states like Missouri and Wisconsin offer free IDs, the</w:t>
      </w:r>
      <w:r>
        <w:t>re are</w:t>
      </w:r>
      <w:r w:rsidRPr="00077E76">
        <w:t xml:space="preserve"> real cost</w:t>
      </w:r>
      <w:r>
        <w:t>s</w:t>
      </w:r>
      <w:r w:rsidRPr="00077E76">
        <w:t xml:space="preserve"> </w:t>
      </w:r>
      <w:r>
        <w:t>to obtain them</w:t>
      </w:r>
      <w:r w:rsidRPr="00077E76">
        <w:t>. An indivi</w:t>
      </w:r>
      <w:r>
        <w:t>dual may have to pay $15 f</w:t>
      </w:r>
      <w:r w:rsidRPr="00077E76">
        <w:t>or the state’s certified birth certificate, or between $5 and $30 if born out of state. This is in addition to wait times of 6 to 8 weeks. To obtain a passport, another accepted form of identification to vote, someone may need to pay between $97 and $236.</w:t>
      </w:r>
      <w:r w:rsidRPr="00077E76">
        <w:rPr>
          <w:rStyle w:val="FootnoteReference"/>
          <w:rFonts w:cs="Mangal"/>
        </w:rPr>
        <w:footnoteReference w:id="6"/>
      </w:r>
      <w:r w:rsidRPr="00077E76">
        <w:t xml:space="preserve"> Burdened by such unnecessary demand</w:t>
      </w:r>
      <w:r>
        <w:t>s</w:t>
      </w:r>
      <w:r w:rsidRPr="00077E76">
        <w:t>, many voters become disillusioned with the whole process and choose not to participate in the fundamental right they possess.</w:t>
      </w:r>
    </w:p>
    <w:p w:rsidR="00615431" w:rsidRDefault="00615431" w:rsidP="0058046A">
      <w:pPr>
        <w:tabs>
          <w:tab w:val="left" w:pos="360"/>
          <w:tab w:val="left" w:pos="720"/>
        </w:tabs>
        <w:ind w:left="720"/>
      </w:pPr>
    </w:p>
    <w:p w:rsidR="00615431" w:rsidRDefault="00615431" w:rsidP="0058046A">
      <w:pPr>
        <w:tabs>
          <w:tab w:val="left" w:pos="360"/>
          <w:tab w:val="left" w:pos="720"/>
        </w:tabs>
        <w:ind w:left="720" w:hanging="720"/>
      </w:pPr>
      <w:r>
        <w:tab/>
        <w:t>8.</w:t>
      </w:r>
      <w:r>
        <w:tab/>
      </w:r>
      <w:r w:rsidRPr="00077E76">
        <w:t>A recent survey sugges</w:t>
      </w:r>
      <w:r>
        <w:t>ts as many as 21 million voting-</w:t>
      </w:r>
      <w:r w:rsidRPr="00077E76">
        <w:t>age indivi</w:t>
      </w:r>
      <w:r>
        <w:t>duals do not possess government-</w:t>
      </w:r>
      <w:r w:rsidRPr="00077E76">
        <w:t>issued photo identification; Africa</w:t>
      </w:r>
      <w:r>
        <w:t xml:space="preserve">n American and Latino/Hispanic </w:t>
      </w:r>
      <w:r w:rsidRPr="00077E76">
        <w:t xml:space="preserve">citizens are less likely to have government-issued photo </w:t>
      </w:r>
      <w:r w:rsidRPr="00077E76">
        <w:lastRenderedPageBreak/>
        <w:t>identification. African Americans, for example, have 25% of their voting age population without them, which equates to 5.5 million people. 16% of the Hispanic population has no current ID. Those with an</w:t>
      </w:r>
      <w:r>
        <w:t xml:space="preserve"> annual</w:t>
      </w:r>
      <w:r w:rsidRPr="00077E76">
        <w:t xml:space="preserve"> income of $35,000 or less are twi</w:t>
      </w:r>
      <w:r>
        <w:t>ce as likely to lack government-</w:t>
      </w:r>
      <w:r w:rsidRPr="00077E76">
        <w:t>issued ID as those w</w:t>
      </w:r>
      <w:r>
        <w:t>ho earn more; 15% of the voting-</w:t>
      </w:r>
      <w:r w:rsidRPr="00077E76">
        <w:t>age population makes less than $35,000</w:t>
      </w:r>
      <w:r>
        <w:t xml:space="preserve"> per year</w:t>
      </w:r>
      <w:r w:rsidRPr="00077E76">
        <w:t>.</w:t>
      </w:r>
      <w:r w:rsidRPr="00077E76">
        <w:rPr>
          <w:rStyle w:val="FootnoteReference"/>
          <w:rFonts w:cs="Mangal"/>
        </w:rPr>
        <w:footnoteReference w:id="7"/>
      </w:r>
    </w:p>
    <w:p w:rsidR="00615431" w:rsidRPr="00077E76" w:rsidRDefault="00615431" w:rsidP="002140B6">
      <w:pPr>
        <w:tabs>
          <w:tab w:val="left" w:pos="360"/>
          <w:tab w:val="left" w:pos="720"/>
        </w:tabs>
      </w:pPr>
    </w:p>
    <w:p w:rsidR="00615431" w:rsidRDefault="00615431" w:rsidP="0058046A">
      <w:pPr>
        <w:tabs>
          <w:tab w:val="left" w:pos="360"/>
          <w:tab w:val="left" w:pos="720"/>
        </w:tabs>
        <w:ind w:left="720" w:hanging="720"/>
      </w:pPr>
      <w:r>
        <w:tab/>
        <w:t>9.</w:t>
      </w:r>
      <w:r>
        <w:tab/>
        <w:t xml:space="preserve">To avoid voter fraud, </w:t>
      </w:r>
      <w:r w:rsidRPr="00077E76">
        <w:t>the federal government has enacted very tough penalties, “five year</w:t>
      </w:r>
      <w:r>
        <w:t>s in prison and a $10,000 fine. B</w:t>
      </w:r>
      <w:r w:rsidRPr="00077E76">
        <w:t>ut</w:t>
      </w:r>
      <w:r>
        <w:t xml:space="preserve"> this </w:t>
      </w:r>
      <w:r w:rsidRPr="00077E76">
        <w:t>yields at most one incremental vote...no credible evidence sug</w:t>
      </w:r>
      <w:r>
        <w:t>gest a voter fraud epidemic. … (</w:t>
      </w:r>
      <w:proofErr w:type="gramStart"/>
      <w:r>
        <w:t>voter</w:t>
      </w:r>
      <w:proofErr w:type="gramEnd"/>
      <w:r>
        <w:t xml:space="preserve"> fraud)</w:t>
      </w:r>
      <w:r w:rsidRPr="00077E76">
        <w:t xml:space="preserve"> happens approximately 0.0009% of the time.”</w:t>
      </w:r>
      <w:r w:rsidRPr="00077E76">
        <w:rPr>
          <w:rStyle w:val="FootnoteReference"/>
          <w:rFonts w:cs="Mangal"/>
        </w:rPr>
        <w:footnoteReference w:id="8"/>
      </w:r>
    </w:p>
    <w:p w:rsidR="00615431" w:rsidRPr="00077E76" w:rsidRDefault="00615431" w:rsidP="0058046A">
      <w:pPr>
        <w:tabs>
          <w:tab w:val="left" w:pos="360"/>
          <w:tab w:val="left" w:pos="720"/>
        </w:tabs>
        <w:ind w:left="720" w:hanging="720"/>
      </w:pPr>
    </w:p>
    <w:p w:rsidR="00615431" w:rsidRDefault="00615431" w:rsidP="0058046A">
      <w:pPr>
        <w:ind w:left="720"/>
      </w:pPr>
      <w:r w:rsidRPr="00077E76">
        <w:t>“There is a bipartisan consensus that voting by mail, whatever its impact, is more easily abused than other forms…On the most basic level, absentee voting replaces the oversight that exists at polling places with something akin to an honor system.” A prime concern with absentee voting is the coercion prevalent in nursing homes; there are documented cases of intimidation. For various reasons, absentee ballots have a failure rate of nearly 20 percent.</w:t>
      </w:r>
      <w:r w:rsidRPr="00077E76">
        <w:rPr>
          <w:rStyle w:val="FootnoteReference"/>
          <w:rFonts w:cs="Mangal"/>
        </w:rPr>
        <w:footnoteReference w:id="9"/>
      </w:r>
      <w:r w:rsidRPr="00077E76">
        <w:t xml:space="preserve"> One may surmise absentee voting deserves overhaul instead of in-person voting if just the</w:t>
      </w:r>
      <w:r>
        <w:t xml:space="preserve"> facts are taken into account. </w:t>
      </w:r>
    </w:p>
    <w:p w:rsidR="00615431" w:rsidRPr="00077E76" w:rsidRDefault="00615431" w:rsidP="00077E76"/>
    <w:p w:rsidR="00615431" w:rsidRDefault="00615431" w:rsidP="00AF4CA0">
      <w:pPr>
        <w:tabs>
          <w:tab w:val="left" w:pos="360"/>
          <w:tab w:val="left" w:pos="720"/>
        </w:tabs>
        <w:ind w:left="720" w:hanging="720"/>
      </w:pPr>
      <w:r>
        <w:tab/>
        <w:t>10.</w:t>
      </w:r>
      <w:r>
        <w:tab/>
        <w:t>Aft</w:t>
      </w:r>
      <w:r w:rsidRPr="00077E76">
        <w:t xml:space="preserve">er exploring this issue, a </w:t>
      </w:r>
      <w:r w:rsidRPr="00077E76">
        <w:rPr>
          <w:i/>
        </w:rPr>
        <w:t>New York Times</w:t>
      </w:r>
      <w:r w:rsidRPr="00077E76">
        <w:t xml:space="preserve"> journalist concluded politicians are very much aware of voting fraud statistics. A political scientist “posited a reason that Republican officials in particular have pushed to expand absentee voting. ‘The conventional wisdom is that Republicans use absentee ballots and Democrats vote early.’”</w:t>
      </w:r>
      <w:r w:rsidRPr="00077E76">
        <w:rPr>
          <w:rStyle w:val="FootnoteReference"/>
          <w:rFonts w:cs="Mangal"/>
        </w:rPr>
        <w:footnoteReference w:id="10"/>
      </w:r>
      <w:r w:rsidRPr="00077E76">
        <w:t xml:space="preserve"> </w:t>
      </w:r>
    </w:p>
    <w:p w:rsidR="00615431" w:rsidRPr="00077E76" w:rsidRDefault="00615431" w:rsidP="002140B6">
      <w:pPr>
        <w:tabs>
          <w:tab w:val="left" w:pos="360"/>
          <w:tab w:val="left" w:pos="720"/>
        </w:tabs>
      </w:pPr>
    </w:p>
    <w:p w:rsidR="00615431" w:rsidRDefault="00615431" w:rsidP="00AF4CA0">
      <w:pPr>
        <w:tabs>
          <w:tab w:val="left" w:pos="720"/>
        </w:tabs>
        <w:rPr>
          <w:b/>
        </w:rPr>
      </w:pPr>
      <w:r>
        <w:rPr>
          <w:b/>
        </w:rPr>
        <w:t xml:space="preserve">IV. </w:t>
      </w:r>
      <w:r>
        <w:rPr>
          <w:b/>
        </w:rPr>
        <w:tab/>
      </w:r>
      <w:r w:rsidRPr="006D534C">
        <w:rPr>
          <w:b/>
        </w:rPr>
        <w:t>Voter Purge</w:t>
      </w:r>
    </w:p>
    <w:p w:rsidR="00615431" w:rsidRPr="00AF4CA0" w:rsidRDefault="00615431" w:rsidP="00AF4CA0">
      <w:pPr>
        <w:tabs>
          <w:tab w:val="left" w:pos="360"/>
          <w:tab w:val="left" w:pos="720"/>
        </w:tabs>
        <w:rPr>
          <w:b/>
        </w:rPr>
      </w:pPr>
      <w:r>
        <w:rPr>
          <w:b/>
        </w:rPr>
        <w:tab/>
      </w:r>
      <w:r>
        <w:t>11.</w:t>
      </w:r>
      <w:r>
        <w:tab/>
      </w:r>
      <w:r w:rsidRPr="00077E76">
        <w:t xml:space="preserve">The U.S. Report should have included a discussion </w:t>
      </w:r>
      <w:proofErr w:type="spellStart"/>
      <w:r w:rsidRPr="00077E76">
        <w:t>o</w:t>
      </w:r>
      <w:proofErr w:type="spellEnd"/>
      <w:r w:rsidRPr="00077E76">
        <w:t xml:space="preserve"> the purge of voters from the </w:t>
      </w:r>
      <w:r>
        <w:tab/>
      </w:r>
      <w:r>
        <w:tab/>
      </w:r>
      <w:r w:rsidRPr="00077E76">
        <w:t>voting rolls.</w:t>
      </w:r>
    </w:p>
    <w:p w:rsidR="00615431" w:rsidRPr="00077E76" w:rsidRDefault="00615431" w:rsidP="00AF4CA0">
      <w:pPr>
        <w:tabs>
          <w:tab w:val="left" w:pos="360"/>
          <w:tab w:val="left" w:pos="720"/>
        </w:tabs>
        <w:ind w:left="720"/>
      </w:pPr>
    </w:p>
    <w:p w:rsidR="00615431" w:rsidRDefault="00615431" w:rsidP="00AF4CA0">
      <w:pPr>
        <w:ind w:left="720"/>
      </w:pPr>
      <w:r w:rsidRPr="00077E76">
        <w:t>Purge lists have been a hotly contested issue for decades. In the main, contention has arisen due to the potential suppression voter purges represent. Federal law requires registered voter list be kept accurate and updated;</w:t>
      </w:r>
      <w:r w:rsidRPr="00077E76">
        <w:rPr>
          <w:rStyle w:val="FootnoteReference"/>
          <w:rFonts w:cs="Mangal"/>
        </w:rPr>
        <w:footnoteReference w:id="11"/>
      </w:r>
      <w:r w:rsidRPr="00077E76">
        <w:t xml:space="preserve"> the point of contention lies in the execution of this mandate. </w:t>
      </w:r>
      <w:r w:rsidRPr="00077E76">
        <w:rPr>
          <w:i/>
        </w:rPr>
        <w:t>Ortiz v. City of Philadelphia</w:t>
      </w:r>
      <w:r w:rsidRPr="00077E76">
        <w:t xml:space="preserve"> (1993) produced evidence that Latino and African American voters were purged at higher rates than White voters during a two year time frame.</w:t>
      </w:r>
      <w:r w:rsidRPr="00077E76">
        <w:rPr>
          <w:rStyle w:val="FootnoteReference"/>
          <w:rFonts w:cs="Mangal"/>
        </w:rPr>
        <w:footnoteReference w:id="12"/>
      </w:r>
      <w:r w:rsidRPr="00077E76">
        <w:t xml:space="preserve"> </w:t>
      </w:r>
      <w:r w:rsidRPr="00077E76">
        <w:rPr>
          <w:i/>
        </w:rPr>
        <w:t>Crawford v. Marion County Election Board</w:t>
      </w:r>
      <w:r w:rsidRPr="00077E76">
        <w:t xml:space="preserve"> states: “The electoral system cannot inspire public confidence if no safeguards exist to deter or detect fraud or to confirm the identity of voters”.</w:t>
      </w:r>
      <w:r w:rsidRPr="00077E76">
        <w:rPr>
          <w:rStyle w:val="FootnoteReference"/>
          <w:rFonts w:cs="Mangal"/>
        </w:rPr>
        <w:footnoteReference w:id="13"/>
      </w:r>
      <w:r w:rsidRPr="00077E76">
        <w:t xml:space="preserve"> </w:t>
      </w:r>
    </w:p>
    <w:p w:rsidR="00615431" w:rsidRPr="00077E76" w:rsidRDefault="00615431" w:rsidP="00077E76"/>
    <w:p w:rsidR="00615431" w:rsidRPr="00077E76" w:rsidRDefault="00615431" w:rsidP="006D534C">
      <w:pPr>
        <w:tabs>
          <w:tab w:val="left" w:pos="360"/>
          <w:tab w:val="left" w:pos="720"/>
        </w:tabs>
      </w:pPr>
      <w:r>
        <w:lastRenderedPageBreak/>
        <w:tab/>
        <w:t>2.</w:t>
      </w:r>
      <w:r>
        <w:tab/>
      </w:r>
      <w:r w:rsidRPr="00077E76">
        <w:t xml:space="preserve">More often than not, legislature’s attempts to inspire confidence actually dissuade </w:t>
      </w:r>
      <w:r>
        <w:tab/>
      </w:r>
      <w:r>
        <w:tab/>
      </w:r>
      <w:r w:rsidRPr="00077E76">
        <w:t xml:space="preserve">it. Florida played a major role in the Bush v. Gore presidential race of 2000. </w:t>
      </w:r>
      <w:r w:rsidRPr="00077E76">
        <w:rPr>
          <w:rStyle w:val="FootnoteReference"/>
        </w:rPr>
        <w:footnoteReference w:id="14"/>
      </w:r>
    </w:p>
    <w:p w:rsidR="00615431" w:rsidRDefault="00615431" w:rsidP="00AF4CA0">
      <w:pPr>
        <w:tabs>
          <w:tab w:val="left" w:pos="360"/>
          <w:tab w:val="left" w:pos="720"/>
        </w:tabs>
        <w:ind w:left="720"/>
      </w:pPr>
    </w:p>
    <w:p w:rsidR="00615431" w:rsidRPr="00077E76" w:rsidRDefault="00615431" w:rsidP="00AF4CA0">
      <w:pPr>
        <w:tabs>
          <w:tab w:val="left" w:pos="360"/>
          <w:tab w:val="left" w:pos="720"/>
        </w:tabs>
        <w:ind w:left="720" w:hanging="720"/>
      </w:pPr>
      <w:r>
        <w:tab/>
        <w:t>3.</w:t>
      </w:r>
      <w:r>
        <w:tab/>
      </w:r>
      <w:r w:rsidRPr="00077E76">
        <w:t>Florida has found itself in under heavy scrutiny during the most recent election. With only a few months before election, Florida officials began a voter purge which targeted 180,000 citizens as potentially ineligible or non-citizens.</w:t>
      </w:r>
      <w:r w:rsidRPr="00077E76">
        <w:rPr>
          <w:rStyle w:val="FootnoteReference"/>
          <w:rFonts w:cs="Mangal"/>
        </w:rPr>
        <w:footnoteReference w:id="15"/>
      </w:r>
      <w:r w:rsidRPr="00077E76">
        <w:t xml:space="preserve">  After public outcry and litigation over list’s inaccuracy it was amended to include only 198 voters whose citizenship was in question, but this list has proved to be inaccurate as well.</w:t>
      </w:r>
      <w:r w:rsidRPr="00077E76">
        <w:rPr>
          <w:rStyle w:val="FootnoteReference"/>
          <w:rFonts w:cs="Mangal"/>
        </w:rPr>
        <w:footnoteReference w:id="16"/>
      </w:r>
      <w:r w:rsidRPr="00077E76">
        <w:t xml:space="preserve"> </w:t>
      </w:r>
    </w:p>
    <w:p w:rsidR="00615431" w:rsidRDefault="00615431" w:rsidP="001822D8">
      <w:pPr>
        <w:ind w:left="720"/>
      </w:pPr>
      <w:r w:rsidRPr="00077E76">
        <w:t xml:space="preserve">Black and Latino citizens are overwhelmingly affected by legislation that targets non-existent problems.  </w:t>
      </w:r>
    </w:p>
    <w:p w:rsidR="00615431" w:rsidRPr="00077E76" w:rsidRDefault="00615431" w:rsidP="00077E76"/>
    <w:p w:rsidR="00615431" w:rsidRPr="002B4413" w:rsidRDefault="00615431" w:rsidP="001822D8">
      <w:pPr>
        <w:tabs>
          <w:tab w:val="left" w:pos="720"/>
        </w:tabs>
        <w:rPr>
          <w:b/>
        </w:rPr>
      </w:pPr>
      <w:r>
        <w:rPr>
          <w:b/>
        </w:rPr>
        <w:t xml:space="preserve">V. </w:t>
      </w:r>
      <w:r>
        <w:rPr>
          <w:b/>
        </w:rPr>
        <w:tab/>
      </w:r>
      <w:r w:rsidRPr="002B4413">
        <w:rPr>
          <w:b/>
        </w:rPr>
        <w:t>Voter Registration</w:t>
      </w:r>
    </w:p>
    <w:p w:rsidR="00615431" w:rsidRDefault="00615431" w:rsidP="001822D8">
      <w:pPr>
        <w:tabs>
          <w:tab w:val="left" w:pos="360"/>
          <w:tab w:val="left" w:pos="720"/>
        </w:tabs>
        <w:ind w:left="720" w:hanging="720"/>
      </w:pPr>
      <w:r>
        <w:tab/>
        <w:t>1.</w:t>
      </w:r>
      <w:r>
        <w:tab/>
      </w:r>
      <w:r w:rsidRPr="00077E76">
        <w:t>The U.S. Report should have included a description of the many states that have enacted laws restricting voter registration drives, one of the main ways minority voters are registered. By threatening jail time and steep fines for people who either do not submit registration forms within 48 hours or fail to pre-register with the state before signing up their peers, many states have seriously hampered community efforts to register citizens.</w:t>
      </w:r>
      <w:r w:rsidRPr="00077E76">
        <w:rPr>
          <w:rStyle w:val="FootnoteReference"/>
          <w:rFonts w:cs="Mangal"/>
        </w:rPr>
        <w:footnoteReference w:id="17"/>
      </w:r>
      <w:r w:rsidRPr="00077E76">
        <w:t xml:space="preserve"> These restrictive laws are passed, predominantly, by states with Republican dominated legislatures. The Census of 2010 shows 37% and 48% of eligible Black and Latino voter, respectively, are not registered to vote; these are the voters most likely to register through private drives. In addition, “Studies show that voters are more likely to cast a ballot if they have registered through community-based efforts.” Citizens have fought the laws on registration drives since their inception. In Florida, a district judge condemned the laws, stating, “[they] could have no purpose other than to discourage voluntary participation” Laws governing community registration efforts either regulate official volunteer systems, training programs, registration and reporting, or return deadlines and penalties.</w:t>
      </w:r>
      <w:r w:rsidRPr="00077E76">
        <w:rPr>
          <w:rStyle w:val="FootnoteReference"/>
          <w:rFonts w:cs="Mangal"/>
        </w:rPr>
        <w:footnoteReference w:id="18"/>
      </w:r>
    </w:p>
    <w:p w:rsidR="00615431" w:rsidRPr="00077E76" w:rsidRDefault="00615431" w:rsidP="002B4413">
      <w:pPr>
        <w:tabs>
          <w:tab w:val="left" w:pos="360"/>
          <w:tab w:val="left" w:pos="720"/>
        </w:tabs>
      </w:pPr>
    </w:p>
    <w:p w:rsidR="00615431" w:rsidRPr="002B4413" w:rsidRDefault="00615431" w:rsidP="001822D8">
      <w:pPr>
        <w:tabs>
          <w:tab w:val="left" w:pos="720"/>
        </w:tabs>
        <w:rPr>
          <w:b/>
        </w:rPr>
      </w:pPr>
      <w:r>
        <w:rPr>
          <w:b/>
        </w:rPr>
        <w:t>V1.</w:t>
      </w:r>
      <w:r>
        <w:rPr>
          <w:b/>
        </w:rPr>
        <w:tab/>
      </w:r>
      <w:r w:rsidRPr="002B4413">
        <w:rPr>
          <w:b/>
        </w:rPr>
        <w:t>Early Voting</w:t>
      </w:r>
    </w:p>
    <w:p w:rsidR="00615431" w:rsidRDefault="00615431" w:rsidP="001822D8">
      <w:pPr>
        <w:tabs>
          <w:tab w:val="left" w:pos="360"/>
          <w:tab w:val="left" w:pos="720"/>
        </w:tabs>
        <w:ind w:left="720" w:hanging="720"/>
      </w:pPr>
      <w:r>
        <w:tab/>
        <w:t>1.</w:t>
      </w:r>
      <w:r>
        <w:tab/>
      </w:r>
      <w:r w:rsidRPr="00077E76">
        <w:t xml:space="preserve">The U.S. Report should have included a description of voting prior to election-day and recent problems </w:t>
      </w:r>
      <w:proofErr w:type="gramStart"/>
      <w:r w:rsidRPr="00077E76">
        <w:t>raised</w:t>
      </w:r>
      <w:proofErr w:type="gramEnd"/>
      <w:r w:rsidRPr="00077E76">
        <w:t xml:space="preserve"> by this practice. </w:t>
      </w:r>
    </w:p>
    <w:p w:rsidR="00615431" w:rsidRPr="00077E76" w:rsidRDefault="00615431" w:rsidP="001822D8">
      <w:pPr>
        <w:tabs>
          <w:tab w:val="left" w:pos="360"/>
          <w:tab w:val="left" w:pos="720"/>
        </w:tabs>
        <w:ind w:left="720"/>
      </w:pPr>
    </w:p>
    <w:p w:rsidR="00615431" w:rsidRDefault="00615431" w:rsidP="001822D8">
      <w:pPr>
        <w:ind w:left="720"/>
      </w:pPr>
      <w:r w:rsidRPr="00077E76">
        <w:t xml:space="preserve">It was implemented, primarily, as a precaution against disenfranchisement. The introduction of early in-person voting has been increasingly utilized, In Ohio, for example, a peak of nearly 30% of the total amount of votes cast was submitted early. “Early voters were ‘more likely than election-day voters to be women, older, and of lower income and education attainment’…early voters were disproportionately African-American…” The Ohio’s legislature’s attempt to cut early voting by 3 days was denied by a Federal court due to its discriminatory </w:t>
      </w:r>
      <w:r w:rsidRPr="00077E76">
        <w:lastRenderedPageBreak/>
        <w:t>nature.</w:t>
      </w:r>
      <w:r w:rsidRPr="00077E76">
        <w:rPr>
          <w:rStyle w:val="FootnoteReference"/>
          <w:rFonts w:cs="Mangal"/>
        </w:rPr>
        <w:footnoteReference w:id="19"/>
      </w:r>
      <w:r w:rsidRPr="00077E76">
        <w:t xml:space="preserve"> In Florida, another state with no clear majority of Republican or Democratic voters, early voting hours have been cut to exclude Sunday, which is historically the day when African-American churches send members to vote in droves as part of “Souls to the Polls” day.</w:t>
      </w:r>
      <w:r w:rsidRPr="00077E76">
        <w:rPr>
          <w:rStyle w:val="FootnoteReference"/>
          <w:rFonts w:cs="Mangal"/>
        </w:rPr>
        <w:footnoteReference w:id="20"/>
      </w:r>
      <w:r w:rsidRPr="00077E76">
        <w:t xml:space="preserve"> Scott Tranter, a GOP consultant, has publicly stated that long lines and voter ID laws “help our side”.</w:t>
      </w:r>
      <w:r w:rsidRPr="00077E76">
        <w:rPr>
          <w:rStyle w:val="FootnoteReference"/>
          <w:rFonts w:cs="Mangal"/>
        </w:rPr>
        <w:footnoteReference w:id="21"/>
      </w:r>
      <w:r w:rsidRPr="00077E76">
        <w:t xml:space="preserve"> “Lengthy waits to vote were reported in Florida, Virginia, and Ohio, all key swing states.” Waiting in line up to 7 hours to vote was sure to discourage some voters from participating in the presidential elections.</w:t>
      </w:r>
      <w:r w:rsidRPr="00077E76">
        <w:rPr>
          <w:rStyle w:val="FootnoteReference"/>
          <w:rFonts w:cs="Mangal"/>
        </w:rPr>
        <w:footnoteReference w:id="22"/>
      </w:r>
    </w:p>
    <w:p w:rsidR="00615431" w:rsidRPr="00077E76" w:rsidRDefault="00615431" w:rsidP="001822D8">
      <w:pPr>
        <w:ind w:left="720"/>
      </w:pPr>
    </w:p>
    <w:p w:rsidR="00615431" w:rsidRPr="002B4413" w:rsidRDefault="00615431" w:rsidP="001822D8">
      <w:pPr>
        <w:tabs>
          <w:tab w:val="left" w:pos="720"/>
        </w:tabs>
        <w:rPr>
          <w:b/>
        </w:rPr>
      </w:pPr>
      <w:r>
        <w:rPr>
          <w:b/>
        </w:rPr>
        <w:t>VII.</w:t>
      </w:r>
      <w:r>
        <w:rPr>
          <w:b/>
        </w:rPr>
        <w:tab/>
      </w:r>
      <w:r w:rsidRPr="002B4413">
        <w:rPr>
          <w:b/>
        </w:rPr>
        <w:t>Wrong Date on Official Spanish Forms</w:t>
      </w:r>
    </w:p>
    <w:p w:rsidR="00615431" w:rsidRDefault="00615431" w:rsidP="001822D8">
      <w:pPr>
        <w:tabs>
          <w:tab w:val="left" w:pos="360"/>
          <w:tab w:val="left" w:pos="720"/>
        </w:tabs>
        <w:ind w:left="720" w:hanging="720"/>
      </w:pPr>
      <w:r>
        <w:tab/>
        <w:t>1.</w:t>
      </w:r>
      <w:r>
        <w:tab/>
      </w:r>
      <w:r w:rsidRPr="00077E76">
        <w:t>The U.S. Report should have included information on officials in Maricopa County, Arizona being accused of suppressing the votes of Latinos. The voting information passed around the Phoenix area had the correct date of the general election in English, but a date two days afterward written in Spanish. In a county with a reputation for poor race relations, many have questioned the intent behind the mistake.</w:t>
      </w:r>
      <w:r w:rsidRPr="00077E76">
        <w:rPr>
          <w:rStyle w:val="FootnoteReference"/>
          <w:rFonts w:cs="Mangal"/>
        </w:rPr>
        <w:footnoteReference w:id="23"/>
      </w:r>
      <w:r w:rsidRPr="00077E76">
        <w:t xml:space="preserve"> Having made the same mistake twice in as many weeks, questions of intended suppression seem warranted.</w:t>
      </w:r>
      <w:r w:rsidRPr="00077E76">
        <w:rPr>
          <w:rStyle w:val="FootnoteReference"/>
          <w:rFonts w:cs="Mangal"/>
        </w:rPr>
        <w:footnoteReference w:id="24"/>
      </w:r>
    </w:p>
    <w:p w:rsidR="00615431" w:rsidRPr="00077E76" w:rsidRDefault="00615431" w:rsidP="002B4413">
      <w:pPr>
        <w:tabs>
          <w:tab w:val="left" w:pos="360"/>
          <w:tab w:val="left" w:pos="720"/>
        </w:tabs>
      </w:pPr>
    </w:p>
    <w:p w:rsidR="00615431" w:rsidRPr="00B162A4" w:rsidRDefault="00615431" w:rsidP="00B162A4">
      <w:pPr>
        <w:tabs>
          <w:tab w:val="left" w:pos="720"/>
        </w:tabs>
        <w:rPr>
          <w:b/>
        </w:rPr>
      </w:pPr>
      <w:r>
        <w:rPr>
          <w:b/>
        </w:rPr>
        <w:t xml:space="preserve">VIII. </w:t>
      </w:r>
      <w:r>
        <w:rPr>
          <w:b/>
        </w:rPr>
        <w:tab/>
        <w:t>Recommended Question</w:t>
      </w:r>
      <w:r>
        <w:tab/>
      </w:r>
      <w:r w:rsidRPr="00077E76">
        <w:t xml:space="preserve"> </w:t>
      </w:r>
    </w:p>
    <w:p w:rsidR="00615431" w:rsidRPr="00FD3703" w:rsidRDefault="00615431" w:rsidP="00644743">
      <w:pPr>
        <w:tabs>
          <w:tab w:val="left" w:pos="360"/>
          <w:tab w:val="left" w:pos="720"/>
        </w:tabs>
        <w:ind w:left="720" w:hanging="720"/>
      </w:pPr>
      <w:r>
        <w:tab/>
        <w:t>1.</w:t>
      </w:r>
      <w:r>
        <w:tab/>
        <w:t>Since i</w:t>
      </w:r>
      <w:r w:rsidRPr="00077E76">
        <w:t>nvestigations by state authorities have tended to find nothing wrong with practices that b</w:t>
      </w:r>
      <w:r>
        <w:t xml:space="preserve">enefit one political party over another, we urge the </w:t>
      </w:r>
      <w:r>
        <w:tab/>
        <w:t>Committee to ask the U.S. if they are planning to establish an</w:t>
      </w:r>
      <w:r w:rsidRPr="00077E76">
        <w:t xml:space="preserve"> independent election commission in the United States to investigate the many charges of misconduct at the city, county and state levels. As the civil rights movement in the 1960s led to federal investigations of </w:t>
      </w:r>
      <w:r>
        <w:t xml:space="preserve">violations </w:t>
      </w:r>
      <w:r w:rsidRPr="00077E76">
        <w:t xml:space="preserve">of the constitutional rights of African Americans, a federal </w:t>
      </w:r>
      <w:r>
        <w:t xml:space="preserve">investigation of </w:t>
      </w:r>
      <w:r w:rsidRPr="00077E76">
        <w:t>alleged denials of voting rights to people of color throughout the U.S. is required</w:t>
      </w:r>
      <w:r>
        <w:t xml:space="preserve">. </w:t>
      </w:r>
    </w:p>
    <w:sectPr w:rsidR="00615431" w:rsidRPr="00FD3703" w:rsidSect="0078444D">
      <w:footerReference w:type="even" r:id="rId8"/>
      <w:footerReference w:type="default" r:id="rId9"/>
      <w:type w:val="continuous"/>
      <w:pgSz w:w="12240" w:h="15840"/>
      <w:pgMar w:top="864" w:right="1440" w:bottom="1008"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431" w:rsidRDefault="00615431" w:rsidP="00E374C6">
      <w:r>
        <w:separator/>
      </w:r>
    </w:p>
  </w:endnote>
  <w:endnote w:type="continuationSeparator" w:id="0">
    <w:p w:rsidR="00615431" w:rsidRDefault="00615431" w:rsidP="00E37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431" w:rsidRDefault="00615431" w:rsidP="00C449E9">
    <w:pPr>
      <w:pStyle w:val="Footer"/>
      <w:framePr w:wrap="around" w:vAnchor="text" w:hAnchor="margin" w:xAlign="right" w:y="1"/>
      <w:rPr>
        <w:rStyle w:val="PageNumber"/>
        <w:rFonts w:cs="Mangal"/>
      </w:rPr>
    </w:pPr>
    <w:r>
      <w:rPr>
        <w:rStyle w:val="PageNumber"/>
        <w:rFonts w:cs="Mangal"/>
      </w:rPr>
      <w:fldChar w:fldCharType="begin"/>
    </w:r>
    <w:r>
      <w:rPr>
        <w:rStyle w:val="PageNumber"/>
        <w:rFonts w:cs="Mangal"/>
      </w:rPr>
      <w:instrText xml:space="preserve">PAGE  </w:instrText>
    </w:r>
    <w:r>
      <w:rPr>
        <w:rStyle w:val="PageNumber"/>
        <w:rFonts w:cs="Mangal"/>
      </w:rPr>
      <w:fldChar w:fldCharType="end"/>
    </w:r>
  </w:p>
  <w:p w:rsidR="00615431" w:rsidRDefault="00615431" w:rsidP="005026F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431" w:rsidRDefault="00615431" w:rsidP="00C449E9">
    <w:pPr>
      <w:pStyle w:val="Footer"/>
      <w:framePr w:wrap="around" w:vAnchor="text" w:hAnchor="margin" w:xAlign="right" w:y="1"/>
      <w:rPr>
        <w:rStyle w:val="PageNumber"/>
        <w:rFonts w:cs="Mangal"/>
      </w:rPr>
    </w:pPr>
    <w:r>
      <w:rPr>
        <w:rStyle w:val="PageNumber"/>
        <w:rFonts w:cs="Mangal"/>
      </w:rPr>
      <w:fldChar w:fldCharType="begin"/>
    </w:r>
    <w:r>
      <w:rPr>
        <w:rStyle w:val="PageNumber"/>
        <w:rFonts w:cs="Mangal"/>
      </w:rPr>
      <w:instrText xml:space="preserve">PAGE  </w:instrText>
    </w:r>
    <w:r>
      <w:rPr>
        <w:rStyle w:val="PageNumber"/>
        <w:rFonts w:cs="Mangal"/>
      </w:rPr>
      <w:fldChar w:fldCharType="separate"/>
    </w:r>
    <w:r w:rsidR="00795F22">
      <w:rPr>
        <w:rStyle w:val="PageNumber"/>
        <w:rFonts w:cs="Mangal"/>
        <w:noProof/>
      </w:rPr>
      <w:t>1</w:t>
    </w:r>
    <w:r>
      <w:rPr>
        <w:rStyle w:val="PageNumber"/>
        <w:rFonts w:cs="Mangal"/>
      </w:rPr>
      <w:fldChar w:fldCharType="end"/>
    </w:r>
  </w:p>
  <w:p w:rsidR="00615431" w:rsidRDefault="00615431" w:rsidP="005026F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431" w:rsidRDefault="00615431" w:rsidP="00E374C6">
      <w:r>
        <w:separator/>
      </w:r>
    </w:p>
  </w:footnote>
  <w:footnote w:type="continuationSeparator" w:id="0">
    <w:p w:rsidR="00615431" w:rsidRDefault="00615431" w:rsidP="00E374C6">
      <w:r>
        <w:continuationSeparator/>
      </w:r>
    </w:p>
  </w:footnote>
  <w:footnote w:id="1">
    <w:p w:rsidR="00615431" w:rsidRDefault="00615431" w:rsidP="009A6415">
      <w:pPr>
        <w:pageBreakBefore/>
      </w:pPr>
      <w:r>
        <w:rPr>
          <w:rStyle w:val="FootnoteReference"/>
          <w:rFonts w:cs="Mangal"/>
        </w:rPr>
        <w:footnoteRef/>
      </w:r>
      <w:r>
        <w:t xml:space="preserve"> </w:t>
      </w:r>
      <w:r w:rsidRPr="006E3221">
        <w:rPr>
          <w:sz w:val="20"/>
          <w:szCs w:val="20"/>
        </w:rPr>
        <w:t xml:space="preserve">The Bipartisan Policy Center, 2012 Election Turnout Dips Below 2008 and 2004 Levels: Number of Eligible Voters Increases by Eight Million, Five Million Fewer Votes Cast (November 2012). Available </w:t>
      </w:r>
      <w:proofErr w:type="spellStart"/>
      <w:r w:rsidRPr="006E3221">
        <w:rPr>
          <w:sz w:val="20"/>
          <w:szCs w:val="20"/>
        </w:rPr>
        <w:t>at:</w:t>
      </w:r>
      <w:hyperlink r:id="rId1" w:history="1">
        <w:r w:rsidRPr="006E3221">
          <w:rPr>
            <w:rStyle w:val="Hyperlink"/>
            <w:rFonts w:cs="Mangal"/>
            <w:sz w:val="20"/>
            <w:szCs w:val="20"/>
          </w:rPr>
          <w:t>http</w:t>
        </w:r>
        <w:proofErr w:type="spellEnd"/>
        <w:r w:rsidRPr="006E3221">
          <w:rPr>
            <w:rStyle w:val="Hyperlink"/>
            <w:rFonts w:cs="Mangal"/>
            <w:sz w:val="20"/>
            <w:szCs w:val="20"/>
          </w:rPr>
          <w:t>://bipartisanpolicy.org/sites/default/files/2012% 20Voter%20Turnout%20Full%20Report.pdf</w:t>
        </w:r>
      </w:hyperlink>
    </w:p>
  </w:footnote>
  <w:footnote w:id="2">
    <w:p w:rsidR="00615431" w:rsidRDefault="00615431" w:rsidP="009A6415">
      <w:pPr>
        <w:pStyle w:val="FootnoteText"/>
      </w:pPr>
      <w:r>
        <w:rPr>
          <w:rStyle w:val="FootnoteReference"/>
          <w:rFonts w:cs="Mangal"/>
        </w:rPr>
        <w:footnoteRef/>
      </w:r>
      <w:r>
        <w:t xml:space="preserve"> Thirty six (36) of the fifty (50) states in the US require some form of identification for in person voting. In states where photo identification is required, provisional ballots are given when the ID cannot be supplied. The voter must then show up within a short period of time with acceptable identification or their vote is not counted. </w:t>
      </w:r>
      <w:r>
        <w:rPr>
          <w:i/>
        </w:rPr>
        <w:t xml:space="preserve">See </w:t>
      </w:r>
      <w:r>
        <w:t>“Voter Identification Requirements” October 24, 2012,</w:t>
      </w:r>
      <w:r w:rsidRPr="006E3221">
        <w:t xml:space="preserve"> http://www.ncsl.org/legislatures-elections/elections/voter-id.aspx</w:t>
      </w:r>
    </w:p>
  </w:footnote>
  <w:footnote w:id="3">
    <w:p w:rsidR="00615431" w:rsidRDefault="00615431">
      <w:pPr>
        <w:pStyle w:val="FootnoteText"/>
      </w:pPr>
      <w:r>
        <w:rPr>
          <w:rStyle w:val="FootnoteReference"/>
          <w:rFonts w:cs="Mangal"/>
        </w:rPr>
        <w:footnoteRef/>
      </w:r>
      <w:r>
        <w:t xml:space="preserve"> </w:t>
      </w:r>
      <w:proofErr w:type="spellStart"/>
      <w:r>
        <w:t>ReferencesYick</w:t>
      </w:r>
      <w:proofErr w:type="spellEnd"/>
      <w:r>
        <w:t xml:space="preserve"> </w:t>
      </w:r>
      <w:proofErr w:type="spellStart"/>
      <w:r>
        <w:t>Wo</w:t>
      </w:r>
      <w:proofErr w:type="spellEnd"/>
      <w:r>
        <w:t xml:space="preserve"> v. Hopkins 118 U.S. 356 (1886)</w:t>
      </w:r>
    </w:p>
  </w:footnote>
  <w:footnote w:id="4">
    <w:p w:rsidR="00615431" w:rsidRDefault="00615431">
      <w:pPr>
        <w:pStyle w:val="FootnoteText"/>
      </w:pPr>
      <w:r>
        <w:rPr>
          <w:rStyle w:val="FootnoteReference"/>
          <w:rFonts w:cs="Mangal"/>
        </w:rPr>
        <w:footnoteRef/>
      </w:r>
      <w:r>
        <w:t xml:space="preserve"> Harper v. Virginia Bd. of Elections 383 U.S. 663 (1966)</w:t>
      </w:r>
    </w:p>
  </w:footnote>
  <w:footnote w:id="5">
    <w:p w:rsidR="00615431" w:rsidRDefault="00615431">
      <w:pPr>
        <w:pStyle w:val="FootnoteText"/>
      </w:pPr>
      <w:r>
        <w:rPr>
          <w:rStyle w:val="FootnoteReference"/>
          <w:rFonts w:cs="Mangal"/>
        </w:rPr>
        <w:footnoteRef/>
      </w:r>
      <w:r>
        <w:t xml:space="preserve"> Milwaukee Branch of NAACP v. Walker, 11 CV 5492, (Dane County 2012)</w:t>
      </w:r>
    </w:p>
  </w:footnote>
  <w:footnote w:id="6">
    <w:p w:rsidR="00615431" w:rsidRDefault="00615431">
      <w:pPr>
        <w:pStyle w:val="FootnoteText"/>
      </w:pPr>
      <w:r>
        <w:rPr>
          <w:rStyle w:val="FootnoteReference"/>
          <w:rFonts w:cs="Mangal"/>
        </w:rPr>
        <w:footnoteRef/>
      </w:r>
      <w:r>
        <w:t xml:space="preserve"> </w:t>
      </w:r>
      <w:proofErr w:type="spellStart"/>
      <w:r>
        <w:t>Weinschenk</w:t>
      </w:r>
      <w:proofErr w:type="spellEnd"/>
      <w:r>
        <w:t xml:space="preserve"> v. State, 203 S.W.3d 201 (Missouri, 2006) </w:t>
      </w:r>
    </w:p>
  </w:footnote>
  <w:footnote w:id="7">
    <w:p w:rsidR="00615431" w:rsidRDefault="00615431">
      <w:pPr>
        <w:pStyle w:val="FootnoteText"/>
      </w:pPr>
      <w:r>
        <w:rPr>
          <w:rStyle w:val="FootnoteReference"/>
          <w:rFonts w:cs="Mangal"/>
        </w:rPr>
        <w:footnoteRef/>
      </w:r>
      <w:r>
        <w:t xml:space="preserve"> </w:t>
      </w:r>
      <w:r>
        <w:rPr>
          <w:i/>
        </w:rPr>
        <w:t>See</w:t>
      </w:r>
      <w:r>
        <w:t xml:space="preserve"> “Citizens </w:t>
      </w:r>
      <w:proofErr w:type="gramStart"/>
      <w:r>
        <w:t>Without</w:t>
      </w:r>
      <w:proofErr w:type="gramEnd"/>
      <w:r>
        <w:t xml:space="preserve"> Proof: A Survey of American’s Possession of Documentary Proof of Citizenship and Photo Identification”. </w:t>
      </w:r>
      <w:proofErr w:type="gramStart"/>
      <w:r>
        <w:t>Brennan Center for Justice at NYU School of Law.</w:t>
      </w:r>
      <w:proofErr w:type="gramEnd"/>
      <w:r>
        <w:t xml:space="preserve"> Available at: </w:t>
      </w:r>
      <w:hyperlink r:id="rId2" w:history="1">
        <w:r w:rsidRPr="0057631D">
          <w:rPr>
            <w:rStyle w:val="Hyperlink"/>
            <w:rFonts w:cs="Mangal"/>
          </w:rPr>
          <w:t>http://www.brennancenter.org/ page/-/d/download_file_39242.pdf</w:t>
        </w:r>
      </w:hyperlink>
      <w:r>
        <w:t xml:space="preserve"> </w:t>
      </w:r>
    </w:p>
  </w:footnote>
  <w:footnote w:id="8">
    <w:p w:rsidR="00615431" w:rsidRDefault="00615431">
      <w:pPr>
        <w:pStyle w:val="FootnoteText"/>
      </w:pPr>
      <w:r>
        <w:rPr>
          <w:rStyle w:val="FootnoteReference"/>
          <w:rFonts w:cs="Mangal"/>
        </w:rPr>
        <w:footnoteRef/>
      </w:r>
      <w:r>
        <w:t xml:space="preserve"> </w:t>
      </w:r>
      <w:r>
        <w:rPr>
          <w:i/>
        </w:rPr>
        <w:t xml:space="preserve"> </w:t>
      </w:r>
      <w:r>
        <w:t xml:space="preserve">“Policy Brief on the Truth </w:t>
      </w:r>
      <w:proofErr w:type="gramStart"/>
      <w:r>
        <w:t>About</w:t>
      </w:r>
      <w:proofErr w:type="gramEnd"/>
      <w:r>
        <w:t xml:space="preserve"> ‘Voter Fraud’. </w:t>
      </w:r>
      <w:proofErr w:type="gramStart"/>
      <w:r>
        <w:t>Brennan Center for Justice at NYU Law School.</w:t>
      </w:r>
      <w:proofErr w:type="gramEnd"/>
      <w:r>
        <w:t xml:space="preserve"> Available at: </w:t>
      </w:r>
      <w:hyperlink r:id="rId3" w:history="1">
        <w:r w:rsidRPr="0057631D">
          <w:rPr>
            <w:rStyle w:val="Hyperlink"/>
            <w:rFonts w:cs="Mangal"/>
          </w:rPr>
          <w:t>http://www.brennancenter.org/content/resource/policy_brief_on_the_truth_about_voter_fraud/</w:t>
        </w:r>
      </w:hyperlink>
    </w:p>
  </w:footnote>
  <w:footnote w:id="9">
    <w:p w:rsidR="00615431" w:rsidRDefault="00615431">
      <w:pPr>
        <w:pStyle w:val="FootnoteText"/>
      </w:pPr>
      <w:r>
        <w:rPr>
          <w:rStyle w:val="FootnoteReference"/>
          <w:rFonts w:cs="Mangal"/>
        </w:rPr>
        <w:footnoteRef/>
      </w:r>
      <w:r>
        <w:t xml:space="preserve"> </w:t>
      </w:r>
      <w:r>
        <w:rPr>
          <w:i/>
        </w:rPr>
        <w:t xml:space="preserve">See </w:t>
      </w:r>
      <w:r>
        <w:t xml:space="preserve">“The Truth About ‘Voter Fraud”. </w:t>
      </w:r>
      <w:proofErr w:type="gramStart"/>
      <w:r>
        <w:t>Brennan Center for Justice at NYU Law School.</w:t>
      </w:r>
      <w:proofErr w:type="gramEnd"/>
      <w:r>
        <w:t xml:space="preserve"> Available at: </w:t>
      </w:r>
      <w:r w:rsidRPr="00F75EBB">
        <w:t>http://www.brennancenter.org/page/-/d/download_file_38347.pdf</w:t>
      </w:r>
    </w:p>
  </w:footnote>
  <w:footnote w:id="10">
    <w:p w:rsidR="00615431" w:rsidRDefault="00615431">
      <w:pPr>
        <w:pStyle w:val="FootnoteText"/>
      </w:pPr>
      <w:r>
        <w:rPr>
          <w:rStyle w:val="FootnoteReference"/>
          <w:rFonts w:cs="Mangal"/>
        </w:rPr>
        <w:footnoteRef/>
      </w:r>
      <w:r>
        <w:t xml:space="preserve"> </w:t>
      </w:r>
      <w:proofErr w:type="gramStart"/>
      <w:r>
        <w:t>Supra 10.</w:t>
      </w:r>
      <w:proofErr w:type="gramEnd"/>
    </w:p>
  </w:footnote>
  <w:footnote w:id="11">
    <w:p w:rsidR="00615431" w:rsidRDefault="00615431">
      <w:pPr>
        <w:pStyle w:val="FootnoteText"/>
      </w:pPr>
      <w:r>
        <w:rPr>
          <w:rStyle w:val="FootnoteReference"/>
          <w:rFonts w:cs="Mangal"/>
        </w:rPr>
        <w:footnoteRef/>
      </w:r>
      <w:r>
        <w:t xml:space="preserve"> </w:t>
      </w:r>
      <w:proofErr w:type="gramStart"/>
      <w:r>
        <w:t xml:space="preserve">Van </w:t>
      </w:r>
      <w:proofErr w:type="spellStart"/>
      <w:r>
        <w:t>Hollen</w:t>
      </w:r>
      <w:proofErr w:type="spellEnd"/>
      <w:r>
        <w:t xml:space="preserve"> v. Government Accountability Board.</w:t>
      </w:r>
      <w:proofErr w:type="gramEnd"/>
      <w:r>
        <w:t xml:space="preserve"> 2008CV004085 (Dane County 2008)</w:t>
      </w:r>
    </w:p>
  </w:footnote>
  <w:footnote w:id="12">
    <w:p w:rsidR="00615431" w:rsidRDefault="00615431">
      <w:pPr>
        <w:pStyle w:val="FootnoteText"/>
      </w:pPr>
      <w:r>
        <w:rPr>
          <w:rStyle w:val="FootnoteReference"/>
          <w:rFonts w:cs="Mangal"/>
        </w:rPr>
        <w:footnoteRef/>
      </w:r>
      <w:r>
        <w:t xml:space="preserve"> </w:t>
      </w:r>
      <w:proofErr w:type="gramStart"/>
      <w:r>
        <w:t>Ortiz v. City of Philadelphia.</w:t>
      </w:r>
      <w:proofErr w:type="gramEnd"/>
      <w:r>
        <w:t xml:space="preserve"> 824 F.Supp.514 (1993) </w:t>
      </w:r>
    </w:p>
  </w:footnote>
  <w:footnote w:id="13">
    <w:p w:rsidR="00615431" w:rsidRDefault="00615431">
      <w:pPr>
        <w:pStyle w:val="FootnoteText"/>
      </w:pPr>
      <w:r>
        <w:rPr>
          <w:rStyle w:val="FootnoteReference"/>
          <w:rFonts w:cs="Mangal"/>
        </w:rPr>
        <w:footnoteRef/>
      </w:r>
      <w:r>
        <w:t xml:space="preserve"> </w:t>
      </w:r>
      <w:proofErr w:type="gramStart"/>
      <w:r>
        <w:t>Crawford v Marion.</w:t>
      </w:r>
      <w:proofErr w:type="gramEnd"/>
      <w:r>
        <w:t xml:space="preserve"> 128 </w:t>
      </w:r>
      <w:proofErr w:type="spellStart"/>
      <w:r>
        <w:t>S.Ct</w:t>
      </w:r>
      <w:proofErr w:type="spellEnd"/>
      <w:r>
        <w:t xml:space="preserve"> 1610 (2008)</w:t>
      </w:r>
    </w:p>
  </w:footnote>
  <w:footnote w:id="14">
    <w:p w:rsidR="00615431" w:rsidRDefault="00615431">
      <w:pPr>
        <w:pStyle w:val="FootnoteText"/>
      </w:pPr>
      <w:r>
        <w:rPr>
          <w:rStyle w:val="FootnoteReference"/>
        </w:rPr>
        <w:footnoteRef/>
      </w:r>
      <w:r>
        <w:t xml:space="preserve"> See American Civil Liberties Union of Florida Suggested List of Issues to Country Report </w:t>
      </w:r>
      <w:proofErr w:type="spellStart"/>
      <w:r>
        <w:t>Taks</w:t>
      </w:r>
      <w:proofErr w:type="spellEnd"/>
      <w:r>
        <w:t xml:space="preserve"> Force on the United States 107</w:t>
      </w:r>
      <w:r w:rsidRPr="00855EEB">
        <w:rPr>
          <w:vertAlign w:val="superscript"/>
        </w:rPr>
        <w:t>th</w:t>
      </w:r>
      <w:r>
        <w:t xml:space="preserve"> Session of the Human Rights Committee, Geneva, 11-28 March 2013</w:t>
      </w:r>
    </w:p>
  </w:footnote>
  <w:footnote w:id="15">
    <w:p w:rsidR="00615431" w:rsidRDefault="00615431">
      <w:pPr>
        <w:pStyle w:val="FootnoteText"/>
      </w:pPr>
    </w:p>
  </w:footnote>
  <w:footnote w:id="16">
    <w:p w:rsidR="00615431" w:rsidRDefault="00615431">
      <w:pPr>
        <w:pStyle w:val="FootnoteText"/>
      </w:pPr>
      <w:r>
        <w:rPr>
          <w:rStyle w:val="FootnoteReference"/>
          <w:rFonts w:cs="Mangal"/>
        </w:rPr>
        <w:footnoteRef/>
      </w:r>
      <w:r>
        <w:t xml:space="preserve"> </w:t>
      </w:r>
      <w:proofErr w:type="spellStart"/>
      <w:r w:rsidRPr="00B25CB7">
        <w:rPr>
          <w:color w:val="000000"/>
          <w:szCs w:val="20"/>
          <w:shd w:val="clear" w:color="auto" w:fill="FFFFFF"/>
        </w:rPr>
        <w:t>Bousquet</w:t>
      </w:r>
      <w:proofErr w:type="spellEnd"/>
      <w:r w:rsidRPr="00B25CB7">
        <w:rPr>
          <w:color w:val="000000"/>
          <w:szCs w:val="20"/>
          <w:shd w:val="clear" w:color="auto" w:fill="FFFFFF"/>
        </w:rPr>
        <w:t xml:space="preserve">, S. (2012, September 28). New noncitizen voter purge has its own problems, county </w:t>
      </w:r>
      <w:proofErr w:type="gramStart"/>
      <w:r w:rsidRPr="00B25CB7">
        <w:rPr>
          <w:color w:val="000000"/>
          <w:szCs w:val="20"/>
          <w:shd w:val="clear" w:color="auto" w:fill="FFFFFF"/>
        </w:rPr>
        <w:t>officials</w:t>
      </w:r>
      <w:proofErr w:type="gramEnd"/>
      <w:r w:rsidRPr="00B25CB7">
        <w:rPr>
          <w:color w:val="000000"/>
          <w:szCs w:val="20"/>
          <w:shd w:val="clear" w:color="auto" w:fill="FFFFFF"/>
        </w:rPr>
        <w:t xml:space="preserve"> </w:t>
      </w:r>
      <w:proofErr w:type="spellStart"/>
      <w:r w:rsidRPr="00B25CB7">
        <w:rPr>
          <w:color w:val="000000"/>
          <w:szCs w:val="20"/>
          <w:shd w:val="clear" w:color="auto" w:fill="FFFFFF"/>
        </w:rPr>
        <w:t>say.</w:t>
      </w:r>
      <w:r w:rsidRPr="00B25CB7">
        <w:rPr>
          <w:i/>
          <w:iCs/>
          <w:color w:val="000000"/>
          <w:szCs w:val="20"/>
          <w:shd w:val="clear" w:color="auto" w:fill="FFFFFF"/>
        </w:rPr>
        <w:t>Tampa</w:t>
      </w:r>
      <w:proofErr w:type="spellEnd"/>
      <w:r w:rsidRPr="00B25CB7">
        <w:rPr>
          <w:i/>
          <w:iCs/>
          <w:color w:val="000000"/>
          <w:szCs w:val="20"/>
          <w:shd w:val="clear" w:color="auto" w:fill="FFFFFF"/>
        </w:rPr>
        <w:t xml:space="preserve"> Bay Times</w:t>
      </w:r>
      <w:r w:rsidRPr="00B25CB7">
        <w:rPr>
          <w:color w:val="000000"/>
          <w:szCs w:val="20"/>
          <w:shd w:val="clear" w:color="auto" w:fill="FFFFFF"/>
        </w:rPr>
        <w:t>. Retrieved from http://www.tampabay.com/news/politics/national/new-noncitizen-voter-purge-has-its-own-problems-county-elections-officials/1253711</w:t>
      </w:r>
    </w:p>
  </w:footnote>
  <w:footnote w:id="17">
    <w:p w:rsidR="00615431" w:rsidRDefault="00615431">
      <w:pPr>
        <w:pStyle w:val="FootnoteText"/>
      </w:pPr>
      <w:r>
        <w:rPr>
          <w:rStyle w:val="FootnoteReference"/>
          <w:rFonts w:cs="Mangal"/>
        </w:rPr>
        <w:footnoteRef/>
      </w:r>
      <w:r>
        <w:t xml:space="preserve"> </w:t>
      </w:r>
      <w:proofErr w:type="gramStart"/>
      <w:r>
        <w:t>Brennan Center for Justice at NYU School of Law.</w:t>
      </w:r>
      <w:proofErr w:type="gramEnd"/>
      <w:r>
        <w:t xml:space="preserve"> “Policy Brief on Restrictions on Voter Registration Drives”</w:t>
      </w:r>
      <w:proofErr w:type="gramStart"/>
      <w:r>
        <w:t>.(</w:t>
      </w:r>
      <w:proofErr w:type="gramEnd"/>
      <w:r>
        <w:t xml:space="preserve">2006). Available at: </w:t>
      </w:r>
      <w:hyperlink r:id="rId4" w:history="1">
        <w:r w:rsidRPr="0057631D">
          <w:rPr>
            <w:rStyle w:val="Hyperlink"/>
            <w:rFonts w:cs="Mangal"/>
          </w:rPr>
          <w:t xml:space="preserve">http://www.brennancenter.org/content/resource/policy_brief_on_restrictions_ </w:t>
        </w:r>
        <w:proofErr w:type="spellStart"/>
        <w:r w:rsidRPr="0057631D">
          <w:rPr>
            <w:rStyle w:val="Hyperlink"/>
            <w:rFonts w:cs="Mangal"/>
          </w:rPr>
          <w:t>on_voter_registration_drives</w:t>
        </w:r>
        <w:proofErr w:type="spellEnd"/>
        <w:r w:rsidRPr="0057631D">
          <w:rPr>
            <w:rStyle w:val="Hyperlink"/>
            <w:rFonts w:cs="Mangal"/>
          </w:rPr>
          <w:t>/</w:t>
        </w:r>
      </w:hyperlink>
      <w:r>
        <w:t xml:space="preserve"> </w:t>
      </w:r>
    </w:p>
  </w:footnote>
  <w:footnote w:id="18">
    <w:p w:rsidR="00615431" w:rsidRDefault="00615431">
      <w:pPr>
        <w:pStyle w:val="FootnoteText"/>
      </w:pPr>
      <w:r>
        <w:rPr>
          <w:rStyle w:val="FootnoteReference"/>
          <w:rFonts w:cs="Mangal"/>
        </w:rPr>
        <w:footnoteRef/>
      </w:r>
      <w:r>
        <w:t xml:space="preserve"> Supra 20</w:t>
      </w:r>
    </w:p>
  </w:footnote>
  <w:footnote w:id="19">
    <w:p w:rsidR="00615431" w:rsidRDefault="00615431">
      <w:pPr>
        <w:pStyle w:val="FootnoteText"/>
      </w:pPr>
      <w:r>
        <w:rPr>
          <w:rStyle w:val="FootnoteReference"/>
          <w:rFonts w:cs="Mangal"/>
        </w:rPr>
        <w:footnoteRef/>
      </w:r>
      <w:r>
        <w:t xml:space="preserve"> </w:t>
      </w:r>
      <w:proofErr w:type="gramStart"/>
      <w:r>
        <w:t>Obama for America v Husted.</w:t>
      </w:r>
      <w:proofErr w:type="gramEnd"/>
      <w:r>
        <w:t xml:space="preserve"> 12-cv-0036 (Columbus 2012) Available at: </w:t>
      </w:r>
      <w:hyperlink r:id="rId5" w:history="1">
        <w:r w:rsidRPr="0057631D">
          <w:rPr>
            <w:rStyle w:val="Hyperlink"/>
            <w:rFonts w:cs="Mangal"/>
          </w:rPr>
          <w:t>http://www.ca6.uscourts.gov/ opinions.pdf/12a0356p-06.pdf</w:t>
        </w:r>
      </w:hyperlink>
      <w:r>
        <w:t xml:space="preserve"> </w:t>
      </w:r>
    </w:p>
  </w:footnote>
  <w:footnote w:id="20">
    <w:p w:rsidR="00615431" w:rsidRDefault="00615431">
      <w:pPr>
        <w:pStyle w:val="FootnoteText"/>
      </w:pPr>
      <w:r w:rsidRPr="005F596F">
        <w:rPr>
          <w:rStyle w:val="FootnoteReference"/>
          <w:rFonts w:cs="Mangal"/>
          <w:szCs w:val="20"/>
        </w:rPr>
        <w:footnoteRef/>
      </w:r>
      <w:r w:rsidRPr="005F596F">
        <w:rPr>
          <w:szCs w:val="20"/>
        </w:rPr>
        <w:t xml:space="preserve"> </w:t>
      </w:r>
      <w:r w:rsidRPr="005F596F">
        <w:rPr>
          <w:color w:val="000000"/>
          <w:szCs w:val="20"/>
          <w:shd w:val="clear" w:color="auto" w:fill="FFFFFF"/>
        </w:rPr>
        <w:t>Caputo, M. (2012, October 15). '</w:t>
      </w:r>
      <w:r>
        <w:rPr>
          <w:color w:val="000000"/>
          <w:szCs w:val="20"/>
          <w:shd w:val="clear" w:color="auto" w:fill="FFFFFF"/>
        </w:rPr>
        <w:t>O</w:t>
      </w:r>
      <w:r w:rsidRPr="005F596F">
        <w:rPr>
          <w:color w:val="000000"/>
          <w:szCs w:val="20"/>
          <w:shd w:val="clear" w:color="auto" w:fill="FFFFFF"/>
        </w:rPr>
        <w:t xml:space="preserve">peration lemonade' started by black clergy: Will it get 'souls to the polls' for </w:t>
      </w:r>
      <w:proofErr w:type="spellStart"/>
      <w:r w:rsidRPr="005F596F">
        <w:rPr>
          <w:color w:val="000000"/>
          <w:szCs w:val="20"/>
          <w:shd w:val="clear" w:color="auto" w:fill="FFFFFF"/>
        </w:rPr>
        <w:t>obama</w:t>
      </w:r>
      <w:proofErr w:type="spellEnd"/>
      <w:proofErr w:type="gramStart"/>
      <w:r w:rsidRPr="005F596F">
        <w:rPr>
          <w:color w:val="000000"/>
          <w:szCs w:val="20"/>
          <w:shd w:val="clear" w:color="auto" w:fill="FFFFFF"/>
        </w:rPr>
        <w:t>?.</w:t>
      </w:r>
      <w:proofErr w:type="gramEnd"/>
      <w:r w:rsidRPr="005F596F">
        <w:rPr>
          <w:rStyle w:val="apple-converted-space"/>
          <w:rFonts w:cs="Mangal"/>
          <w:color w:val="000000"/>
          <w:szCs w:val="20"/>
          <w:shd w:val="clear" w:color="auto" w:fill="FFFFFF"/>
        </w:rPr>
        <w:t> </w:t>
      </w:r>
      <w:proofErr w:type="gramStart"/>
      <w:r w:rsidRPr="005F596F">
        <w:rPr>
          <w:i/>
          <w:iCs/>
          <w:color w:val="000000"/>
          <w:szCs w:val="20"/>
          <w:shd w:val="clear" w:color="auto" w:fill="FFFFFF"/>
        </w:rPr>
        <w:t>Tampa Bay Times</w:t>
      </w:r>
      <w:r w:rsidRPr="005F596F">
        <w:rPr>
          <w:color w:val="000000"/>
          <w:szCs w:val="20"/>
          <w:shd w:val="clear" w:color="auto" w:fill="FFFFFF"/>
        </w:rPr>
        <w:t>.</w:t>
      </w:r>
      <w:proofErr w:type="gramEnd"/>
      <w:r w:rsidRPr="005F596F">
        <w:rPr>
          <w:color w:val="000000"/>
          <w:szCs w:val="20"/>
          <w:shd w:val="clear" w:color="auto" w:fill="FFFFFF"/>
        </w:rPr>
        <w:t xml:space="preserve"> Retrieved from </w:t>
      </w:r>
      <w:hyperlink r:id="rId6" w:history="1">
        <w:r w:rsidRPr="0057631D">
          <w:rPr>
            <w:rStyle w:val="Hyperlink"/>
            <w:rFonts w:cs="Mangal"/>
            <w:szCs w:val="20"/>
            <w:shd w:val="clear" w:color="auto" w:fill="FFFFFF"/>
          </w:rPr>
          <w:t>http://www.tampabay.com/news/politics/stateroundup/operation-lemonade-started-by-black-clergy-will-it-get-souls-to-the-polls/1256572</w:t>
        </w:r>
      </w:hyperlink>
      <w:r>
        <w:rPr>
          <w:color w:val="000000"/>
          <w:szCs w:val="20"/>
          <w:shd w:val="clear" w:color="auto" w:fill="FFFFFF"/>
        </w:rPr>
        <w:t xml:space="preserve"> </w:t>
      </w:r>
    </w:p>
  </w:footnote>
  <w:footnote w:id="21">
    <w:p w:rsidR="00615431" w:rsidRDefault="00615431">
      <w:pPr>
        <w:pStyle w:val="FootnoteText"/>
      </w:pPr>
      <w:r>
        <w:rPr>
          <w:rStyle w:val="FootnoteReference"/>
          <w:rFonts w:cs="Mangal"/>
        </w:rPr>
        <w:footnoteRef/>
      </w:r>
      <w:r>
        <w:t xml:space="preserve"> </w:t>
      </w:r>
      <w:r>
        <w:rPr>
          <w:i/>
        </w:rPr>
        <w:t>See</w:t>
      </w:r>
      <w:r>
        <w:t xml:space="preserve"> “Voting Wait Lines and the 2012 Election”. </w:t>
      </w:r>
      <w:proofErr w:type="gramStart"/>
      <w:r>
        <w:t>C-SPAN.</w:t>
      </w:r>
      <w:proofErr w:type="gramEnd"/>
      <w:r>
        <w:t xml:space="preserve"> Available at: </w:t>
      </w:r>
      <w:hyperlink r:id="rId7" w:history="1">
        <w:r w:rsidRPr="0057631D">
          <w:rPr>
            <w:rStyle w:val="Hyperlink"/>
            <w:rFonts w:cs="Mangal"/>
          </w:rPr>
          <w:t>http://www.c-spanvideo.org/program/Enth</w:t>
        </w:r>
      </w:hyperlink>
      <w:r>
        <w:t xml:space="preserve"> </w:t>
      </w:r>
    </w:p>
  </w:footnote>
  <w:footnote w:id="22">
    <w:p w:rsidR="00615431" w:rsidRDefault="00615431">
      <w:pPr>
        <w:pStyle w:val="FootnoteText"/>
      </w:pPr>
      <w:r w:rsidRPr="002A1474">
        <w:rPr>
          <w:rStyle w:val="FootnoteReference"/>
          <w:rFonts w:cs="Mangal"/>
          <w:szCs w:val="20"/>
        </w:rPr>
        <w:footnoteRef/>
      </w:r>
      <w:r w:rsidRPr="002A1474">
        <w:rPr>
          <w:szCs w:val="20"/>
        </w:rPr>
        <w:t xml:space="preserve"> </w:t>
      </w:r>
      <w:r w:rsidRPr="002A1474">
        <w:rPr>
          <w:color w:val="000000"/>
          <w:szCs w:val="20"/>
          <w:shd w:val="clear" w:color="auto" w:fill="FFFFFF"/>
        </w:rPr>
        <w:t>Cornwell, S. (2012, November 06). Complaints about voter ids, ballots, long lines in election.</w:t>
      </w:r>
      <w:r w:rsidRPr="002A1474">
        <w:rPr>
          <w:rStyle w:val="apple-converted-space"/>
          <w:rFonts w:cs="Mangal"/>
          <w:color w:val="000000"/>
          <w:szCs w:val="20"/>
          <w:shd w:val="clear" w:color="auto" w:fill="FFFFFF"/>
        </w:rPr>
        <w:t> </w:t>
      </w:r>
      <w:r w:rsidRPr="002A1474">
        <w:rPr>
          <w:i/>
          <w:iCs/>
          <w:color w:val="000000"/>
          <w:szCs w:val="20"/>
          <w:shd w:val="clear" w:color="auto" w:fill="FFFFFF"/>
        </w:rPr>
        <w:t>Reuters</w:t>
      </w:r>
      <w:r w:rsidRPr="002A1474">
        <w:rPr>
          <w:color w:val="000000"/>
          <w:szCs w:val="20"/>
          <w:shd w:val="clear" w:color="auto" w:fill="FFFFFF"/>
        </w:rPr>
        <w:t xml:space="preserve">. Retrieved from </w:t>
      </w:r>
      <w:hyperlink r:id="rId8" w:history="1">
        <w:r w:rsidRPr="0057631D">
          <w:rPr>
            <w:rStyle w:val="Hyperlink"/>
            <w:rFonts w:cs="Mangal"/>
            <w:szCs w:val="20"/>
            <w:shd w:val="clear" w:color="auto" w:fill="FFFFFF"/>
          </w:rPr>
          <w:t>http://www.reuters.com/article/2012/11/06/us-usa-campaign-irregularities-idUSBRE8A51E720121106</w:t>
        </w:r>
      </w:hyperlink>
      <w:r>
        <w:rPr>
          <w:color w:val="000000"/>
          <w:szCs w:val="20"/>
          <w:shd w:val="clear" w:color="auto" w:fill="FFFFFF"/>
        </w:rPr>
        <w:t xml:space="preserve"> </w:t>
      </w:r>
    </w:p>
  </w:footnote>
  <w:footnote w:id="23">
    <w:p w:rsidR="00615431" w:rsidRDefault="00615431">
      <w:pPr>
        <w:pStyle w:val="FootnoteText"/>
      </w:pPr>
      <w:r w:rsidRPr="00053A55">
        <w:rPr>
          <w:rStyle w:val="FootnoteReference"/>
          <w:rFonts w:cs="Mangal"/>
          <w:szCs w:val="20"/>
        </w:rPr>
        <w:footnoteRef/>
      </w:r>
      <w:r w:rsidRPr="00053A55">
        <w:rPr>
          <w:szCs w:val="20"/>
        </w:rPr>
        <w:t xml:space="preserve"> </w:t>
      </w:r>
      <w:proofErr w:type="spellStart"/>
      <w:r w:rsidRPr="00053A55">
        <w:rPr>
          <w:color w:val="000000"/>
          <w:szCs w:val="20"/>
          <w:shd w:val="clear" w:color="auto" w:fill="FFFFFF"/>
        </w:rPr>
        <w:t>Gye</w:t>
      </w:r>
      <w:proofErr w:type="spellEnd"/>
      <w:r w:rsidRPr="00053A55">
        <w:rPr>
          <w:color w:val="000000"/>
          <w:szCs w:val="20"/>
          <w:shd w:val="clear" w:color="auto" w:fill="FFFFFF"/>
        </w:rPr>
        <w:t xml:space="preserve">, H. (2012, October 24). Officials accused of suppressing </w:t>
      </w:r>
      <w:proofErr w:type="spellStart"/>
      <w:proofErr w:type="gramStart"/>
      <w:r w:rsidRPr="00053A55">
        <w:rPr>
          <w:color w:val="000000"/>
          <w:szCs w:val="20"/>
          <w:shd w:val="clear" w:color="auto" w:fill="FFFFFF"/>
        </w:rPr>
        <w:t>hispanic</w:t>
      </w:r>
      <w:proofErr w:type="spellEnd"/>
      <w:proofErr w:type="gramEnd"/>
      <w:r w:rsidRPr="00053A55">
        <w:rPr>
          <w:color w:val="000000"/>
          <w:szCs w:val="20"/>
          <w:shd w:val="clear" w:color="auto" w:fill="FFFFFF"/>
        </w:rPr>
        <w:t xml:space="preserve"> vote after being caught giving out wrong date for election twice in two </w:t>
      </w:r>
      <w:proofErr w:type="spellStart"/>
      <w:r w:rsidRPr="00053A55">
        <w:rPr>
          <w:color w:val="000000"/>
          <w:szCs w:val="20"/>
          <w:shd w:val="clear" w:color="auto" w:fill="FFFFFF"/>
        </w:rPr>
        <w:t>weeks.</w:t>
      </w:r>
      <w:r w:rsidRPr="00053A55">
        <w:rPr>
          <w:i/>
          <w:iCs/>
          <w:color w:val="000000"/>
          <w:szCs w:val="20"/>
          <w:shd w:val="clear" w:color="auto" w:fill="FFFFFF"/>
        </w:rPr>
        <w:t>Daily</w:t>
      </w:r>
      <w:proofErr w:type="spellEnd"/>
      <w:r w:rsidRPr="00053A55">
        <w:rPr>
          <w:i/>
          <w:iCs/>
          <w:color w:val="000000"/>
          <w:szCs w:val="20"/>
          <w:shd w:val="clear" w:color="auto" w:fill="FFFFFF"/>
        </w:rPr>
        <w:t xml:space="preserve"> Mail</w:t>
      </w:r>
      <w:r w:rsidRPr="00053A55">
        <w:rPr>
          <w:color w:val="000000"/>
          <w:szCs w:val="20"/>
          <w:shd w:val="clear" w:color="auto" w:fill="FFFFFF"/>
        </w:rPr>
        <w:t xml:space="preserve">. Retrieved from </w:t>
      </w:r>
      <w:hyperlink r:id="rId9" w:history="1">
        <w:r w:rsidRPr="0057631D">
          <w:rPr>
            <w:rStyle w:val="Hyperlink"/>
            <w:rFonts w:cs="Mangal"/>
            <w:szCs w:val="20"/>
            <w:shd w:val="clear" w:color="auto" w:fill="FFFFFF"/>
          </w:rPr>
          <w:t>http://www.dailymail.co.uk/news/article-2222641/Maricopa-County-officials-tell-Spanish-speakers-wrong-date-election-second-time.html</w:t>
        </w:r>
      </w:hyperlink>
      <w:r>
        <w:rPr>
          <w:color w:val="000000"/>
          <w:szCs w:val="20"/>
          <w:shd w:val="clear" w:color="auto" w:fill="FFFFFF"/>
        </w:rPr>
        <w:t xml:space="preserve"> </w:t>
      </w:r>
    </w:p>
  </w:footnote>
  <w:footnote w:id="24">
    <w:p w:rsidR="00615431" w:rsidRDefault="00615431">
      <w:pPr>
        <w:pStyle w:val="FootnoteText"/>
      </w:pPr>
      <w:r w:rsidRPr="00053A55">
        <w:rPr>
          <w:rStyle w:val="FootnoteReference"/>
          <w:rFonts w:cs="Mangal"/>
          <w:szCs w:val="20"/>
        </w:rPr>
        <w:footnoteRef/>
      </w:r>
      <w:r w:rsidRPr="00053A55">
        <w:rPr>
          <w:szCs w:val="20"/>
        </w:rPr>
        <w:t xml:space="preserve"> </w:t>
      </w:r>
      <w:r w:rsidRPr="00053A55">
        <w:rPr>
          <w:color w:val="000000"/>
          <w:szCs w:val="20"/>
          <w:shd w:val="clear" w:color="auto" w:fill="FFFFFF"/>
        </w:rPr>
        <w:t>Le, V. (2012, October 23). Retrieved from</w:t>
      </w:r>
      <w:r w:rsidRPr="00053A55">
        <w:rPr>
          <w:rStyle w:val="Hyperlink"/>
          <w:rFonts w:cs="Mangal"/>
          <w:szCs w:val="20"/>
          <w:shd w:val="clear" w:color="auto" w:fill="FFFFFF"/>
        </w:rPr>
        <w:t xml:space="preserve"> </w:t>
      </w:r>
      <w:hyperlink r:id="rId10" w:history="1">
        <w:r w:rsidRPr="00053A55">
          <w:rPr>
            <w:rStyle w:val="Hyperlink"/>
            <w:rFonts w:cs="Mangal"/>
            <w:szCs w:val="20"/>
            <w:shd w:val="clear" w:color="auto" w:fill="FFFFFF"/>
          </w:rPr>
          <w:t>http://americasvoiceonline.org/blog/maricopa-county-sends-out-voter-registration-forms-with-wrong-election-date-in-spanish/</w:t>
        </w:r>
      </w:hyperlink>
      <w:r w:rsidRPr="00053A55">
        <w:rPr>
          <w:color w:val="000000"/>
          <w:szCs w:val="20"/>
          <w:shd w:val="clear" w:color="auto" w:fill="FFFFFF"/>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AA40BE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2"/>
    <w:multiLevelType w:val="multilevel"/>
    <w:tmpl w:val="0000000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3">
    <w:nsid w:val="41C84A99"/>
    <w:multiLevelType w:val="hybridMultilevel"/>
    <w:tmpl w:val="25B88DB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04E"/>
    <w:rsid w:val="00005942"/>
    <w:rsid w:val="00013537"/>
    <w:rsid w:val="000214A2"/>
    <w:rsid w:val="00027E1B"/>
    <w:rsid w:val="0004663E"/>
    <w:rsid w:val="00053A55"/>
    <w:rsid w:val="00077E76"/>
    <w:rsid w:val="0009104D"/>
    <w:rsid w:val="000A0F4A"/>
    <w:rsid w:val="000A2624"/>
    <w:rsid w:val="000B1E4E"/>
    <w:rsid w:val="000C136C"/>
    <w:rsid w:val="000D75CA"/>
    <w:rsid w:val="000F643D"/>
    <w:rsid w:val="00104B32"/>
    <w:rsid w:val="001079B8"/>
    <w:rsid w:val="0012141E"/>
    <w:rsid w:val="001228C2"/>
    <w:rsid w:val="00122ADD"/>
    <w:rsid w:val="00140D5B"/>
    <w:rsid w:val="00164037"/>
    <w:rsid w:val="001822D8"/>
    <w:rsid w:val="001A2D06"/>
    <w:rsid w:val="001B0530"/>
    <w:rsid w:val="001B66CE"/>
    <w:rsid w:val="001F485A"/>
    <w:rsid w:val="001F78E2"/>
    <w:rsid w:val="001F7BFF"/>
    <w:rsid w:val="002140B6"/>
    <w:rsid w:val="00222E9B"/>
    <w:rsid w:val="00242B08"/>
    <w:rsid w:val="00271E97"/>
    <w:rsid w:val="002755BD"/>
    <w:rsid w:val="00276D0A"/>
    <w:rsid w:val="002860DE"/>
    <w:rsid w:val="00291DF8"/>
    <w:rsid w:val="002A1474"/>
    <w:rsid w:val="002A21B9"/>
    <w:rsid w:val="002A4AA1"/>
    <w:rsid w:val="002B4413"/>
    <w:rsid w:val="002B66EA"/>
    <w:rsid w:val="002C4E53"/>
    <w:rsid w:val="002C5CB0"/>
    <w:rsid w:val="002D0151"/>
    <w:rsid w:val="002D34B7"/>
    <w:rsid w:val="002D4FC3"/>
    <w:rsid w:val="002D73B7"/>
    <w:rsid w:val="002D74B3"/>
    <w:rsid w:val="002D7E52"/>
    <w:rsid w:val="002E1305"/>
    <w:rsid w:val="002E7545"/>
    <w:rsid w:val="002F2F0C"/>
    <w:rsid w:val="002F47B4"/>
    <w:rsid w:val="00302559"/>
    <w:rsid w:val="00306EAB"/>
    <w:rsid w:val="00350211"/>
    <w:rsid w:val="00352EFF"/>
    <w:rsid w:val="00354A1B"/>
    <w:rsid w:val="003717A6"/>
    <w:rsid w:val="00375C24"/>
    <w:rsid w:val="00377B5E"/>
    <w:rsid w:val="003A1DB8"/>
    <w:rsid w:val="003A5ACD"/>
    <w:rsid w:val="003F2325"/>
    <w:rsid w:val="00411ED7"/>
    <w:rsid w:val="00437E1A"/>
    <w:rsid w:val="0045571B"/>
    <w:rsid w:val="00463D77"/>
    <w:rsid w:val="00467DFC"/>
    <w:rsid w:val="00472B2F"/>
    <w:rsid w:val="0048403F"/>
    <w:rsid w:val="00487FDB"/>
    <w:rsid w:val="00497D2C"/>
    <w:rsid w:val="004B0369"/>
    <w:rsid w:val="004B2B8D"/>
    <w:rsid w:val="004D4D08"/>
    <w:rsid w:val="004E7BC3"/>
    <w:rsid w:val="005026FF"/>
    <w:rsid w:val="00503F2F"/>
    <w:rsid w:val="005233FF"/>
    <w:rsid w:val="00526F4B"/>
    <w:rsid w:val="0053143A"/>
    <w:rsid w:val="005325B3"/>
    <w:rsid w:val="00534DD7"/>
    <w:rsid w:val="0054474D"/>
    <w:rsid w:val="005460BD"/>
    <w:rsid w:val="005478C1"/>
    <w:rsid w:val="00561420"/>
    <w:rsid w:val="005701C8"/>
    <w:rsid w:val="0057631D"/>
    <w:rsid w:val="0058046A"/>
    <w:rsid w:val="005B73C7"/>
    <w:rsid w:val="005D458F"/>
    <w:rsid w:val="005D470E"/>
    <w:rsid w:val="005D58D2"/>
    <w:rsid w:val="005F12A5"/>
    <w:rsid w:val="005F2FB3"/>
    <w:rsid w:val="005F596F"/>
    <w:rsid w:val="00612BCD"/>
    <w:rsid w:val="00615431"/>
    <w:rsid w:val="00644743"/>
    <w:rsid w:val="006501B0"/>
    <w:rsid w:val="00674C96"/>
    <w:rsid w:val="00680CD2"/>
    <w:rsid w:val="00686F2D"/>
    <w:rsid w:val="006C5B8B"/>
    <w:rsid w:val="006D534C"/>
    <w:rsid w:val="006E3221"/>
    <w:rsid w:val="006F77FF"/>
    <w:rsid w:val="007344CC"/>
    <w:rsid w:val="007405D4"/>
    <w:rsid w:val="007425AA"/>
    <w:rsid w:val="00764E12"/>
    <w:rsid w:val="00772F8B"/>
    <w:rsid w:val="0078444D"/>
    <w:rsid w:val="00790D35"/>
    <w:rsid w:val="00792E0A"/>
    <w:rsid w:val="00794BD4"/>
    <w:rsid w:val="00795F22"/>
    <w:rsid w:val="007C52A0"/>
    <w:rsid w:val="007C798E"/>
    <w:rsid w:val="007D3B9A"/>
    <w:rsid w:val="00805771"/>
    <w:rsid w:val="00806251"/>
    <w:rsid w:val="008162F2"/>
    <w:rsid w:val="008245B3"/>
    <w:rsid w:val="00855EEB"/>
    <w:rsid w:val="008572D9"/>
    <w:rsid w:val="00865EA9"/>
    <w:rsid w:val="008868DF"/>
    <w:rsid w:val="00893B0D"/>
    <w:rsid w:val="008A6225"/>
    <w:rsid w:val="008B3AD9"/>
    <w:rsid w:val="008C4047"/>
    <w:rsid w:val="008C4250"/>
    <w:rsid w:val="008C4D87"/>
    <w:rsid w:val="008E0500"/>
    <w:rsid w:val="008F20C4"/>
    <w:rsid w:val="0091232F"/>
    <w:rsid w:val="00921FE7"/>
    <w:rsid w:val="00925BD9"/>
    <w:rsid w:val="0097414A"/>
    <w:rsid w:val="00976CF7"/>
    <w:rsid w:val="0098502F"/>
    <w:rsid w:val="009A6415"/>
    <w:rsid w:val="009C101B"/>
    <w:rsid w:val="009D03E0"/>
    <w:rsid w:val="009E2C23"/>
    <w:rsid w:val="009E2FC8"/>
    <w:rsid w:val="009E790F"/>
    <w:rsid w:val="00A15CD9"/>
    <w:rsid w:val="00A617B8"/>
    <w:rsid w:val="00A65D70"/>
    <w:rsid w:val="00A67DD1"/>
    <w:rsid w:val="00A75A09"/>
    <w:rsid w:val="00A819D4"/>
    <w:rsid w:val="00A8204E"/>
    <w:rsid w:val="00A82974"/>
    <w:rsid w:val="00AC01A7"/>
    <w:rsid w:val="00AE130A"/>
    <w:rsid w:val="00AE7BD7"/>
    <w:rsid w:val="00AF0B50"/>
    <w:rsid w:val="00AF4CA0"/>
    <w:rsid w:val="00AF69E2"/>
    <w:rsid w:val="00B047C0"/>
    <w:rsid w:val="00B05F84"/>
    <w:rsid w:val="00B104A7"/>
    <w:rsid w:val="00B162A4"/>
    <w:rsid w:val="00B200FE"/>
    <w:rsid w:val="00B250C6"/>
    <w:rsid w:val="00B25CB7"/>
    <w:rsid w:val="00B50BD3"/>
    <w:rsid w:val="00B53001"/>
    <w:rsid w:val="00B86C0A"/>
    <w:rsid w:val="00BB0928"/>
    <w:rsid w:val="00BB6493"/>
    <w:rsid w:val="00BC0F38"/>
    <w:rsid w:val="00BC79B5"/>
    <w:rsid w:val="00BD4374"/>
    <w:rsid w:val="00BE0152"/>
    <w:rsid w:val="00BE48D6"/>
    <w:rsid w:val="00BF4239"/>
    <w:rsid w:val="00C02F20"/>
    <w:rsid w:val="00C05AD2"/>
    <w:rsid w:val="00C063B9"/>
    <w:rsid w:val="00C0656D"/>
    <w:rsid w:val="00C27A1B"/>
    <w:rsid w:val="00C30795"/>
    <w:rsid w:val="00C449E9"/>
    <w:rsid w:val="00C76F88"/>
    <w:rsid w:val="00C779D2"/>
    <w:rsid w:val="00C9255C"/>
    <w:rsid w:val="00C97623"/>
    <w:rsid w:val="00CA330C"/>
    <w:rsid w:val="00CA4938"/>
    <w:rsid w:val="00CC5827"/>
    <w:rsid w:val="00CD53B0"/>
    <w:rsid w:val="00CD727B"/>
    <w:rsid w:val="00CF3D97"/>
    <w:rsid w:val="00CF6F90"/>
    <w:rsid w:val="00D22BD0"/>
    <w:rsid w:val="00D27925"/>
    <w:rsid w:val="00D3460E"/>
    <w:rsid w:val="00D42D04"/>
    <w:rsid w:val="00D44B35"/>
    <w:rsid w:val="00D44D08"/>
    <w:rsid w:val="00D45FF8"/>
    <w:rsid w:val="00D46E04"/>
    <w:rsid w:val="00D47505"/>
    <w:rsid w:val="00D54845"/>
    <w:rsid w:val="00D60453"/>
    <w:rsid w:val="00D625DE"/>
    <w:rsid w:val="00D640DD"/>
    <w:rsid w:val="00D9637D"/>
    <w:rsid w:val="00DA340A"/>
    <w:rsid w:val="00DB234F"/>
    <w:rsid w:val="00DC22F6"/>
    <w:rsid w:val="00DC5516"/>
    <w:rsid w:val="00DD2489"/>
    <w:rsid w:val="00DF2516"/>
    <w:rsid w:val="00E00787"/>
    <w:rsid w:val="00E0254B"/>
    <w:rsid w:val="00E356A3"/>
    <w:rsid w:val="00E374C6"/>
    <w:rsid w:val="00E37831"/>
    <w:rsid w:val="00E41685"/>
    <w:rsid w:val="00E82A37"/>
    <w:rsid w:val="00E94336"/>
    <w:rsid w:val="00EA07D0"/>
    <w:rsid w:val="00EA7FCF"/>
    <w:rsid w:val="00EC1E41"/>
    <w:rsid w:val="00EC7C24"/>
    <w:rsid w:val="00ED15C2"/>
    <w:rsid w:val="00ED1B22"/>
    <w:rsid w:val="00EE2918"/>
    <w:rsid w:val="00EE31B2"/>
    <w:rsid w:val="00EE6DE7"/>
    <w:rsid w:val="00F138A6"/>
    <w:rsid w:val="00F14615"/>
    <w:rsid w:val="00F206E7"/>
    <w:rsid w:val="00F53F22"/>
    <w:rsid w:val="00F73C31"/>
    <w:rsid w:val="00F75EBB"/>
    <w:rsid w:val="00F8146F"/>
    <w:rsid w:val="00FA2413"/>
    <w:rsid w:val="00FA488E"/>
    <w:rsid w:val="00FC5364"/>
    <w:rsid w:val="00FC585B"/>
    <w:rsid w:val="00FD0F3D"/>
    <w:rsid w:val="00FD3703"/>
    <w:rsid w:val="00FD66C5"/>
    <w:rsid w:val="00FE0495"/>
    <w:rsid w:val="00FE091C"/>
    <w:rsid w:val="00FF1AF5"/>
    <w:rsid w:val="00FF4732"/>
    <w:rsid w:val="00FF6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43A"/>
    <w:pPr>
      <w:widowControl w:val="0"/>
      <w:suppressAutoHyphens/>
    </w:pPr>
    <w:rPr>
      <w:rFonts w:eastAsia="SimSun" w:cs="Mangal"/>
      <w:kern w:val="1"/>
      <w:sz w:val="24"/>
      <w:szCs w:val="24"/>
      <w:lang w:eastAsia="hi-IN" w:bidi="hi-IN"/>
    </w:rPr>
  </w:style>
  <w:style w:type="paragraph" w:styleId="Heading1">
    <w:name w:val="heading 1"/>
    <w:basedOn w:val="Normal"/>
    <w:next w:val="Normal"/>
    <w:link w:val="Heading1Char"/>
    <w:uiPriority w:val="99"/>
    <w:qFormat/>
    <w:rsid w:val="007C798E"/>
    <w:pPr>
      <w:keepNext/>
      <w:keepLines/>
      <w:spacing w:before="480"/>
      <w:outlineLvl w:val="0"/>
    </w:pPr>
    <w:rPr>
      <w:rFonts w:ascii="Cambria" w:eastAsia="Times New Roman" w:hAnsi="Cambria"/>
      <w:b/>
      <w:bCs/>
      <w:color w:val="365F91"/>
      <w:sz w:val="28"/>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C798E"/>
    <w:rPr>
      <w:rFonts w:ascii="Cambria" w:hAnsi="Cambria" w:cs="Mangal"/>
      <w:b/>
      <w:bCs/>
      <w:color w:val="365F91"/>
      <w:kern w:val="1"/>
      <w:sz w:val="25"/>
      <w:szCs w:val="25"/>
      <w:lang w:eastAsia="hi-IN" w:bidi="hi-IN"/>
    </w:rPr>
  </w:style>
  <w:style w:type="paragraph" w:styleId="BalloonText">
    <w:name w:val="Balloon Text"/>
    <w:basedOn w:val="Normal"/>
    <w:link w:val="BalloonTextChar"/>
    <w:uiPriority w:val="99"/>
    <w:semiHidden/>
    <w:rsid w:val="00E374C6"/>
    <w:rPr>
      <w:rFonts w:ascii="Tahoma" w:hAnsi="Tahoma"/>
      <w:sz w:val="16"/>
      <w:szCs w:val="14"/>
    </w:rPr>
  </w:style>
  <w:style w:type="character" w:customStyle="1" w:styleId="BalloonTextChar">
    <w:name w:val="Balloon Text Char"/>
    <w:basedOn w:val="DefaultParagraphFont"/>
    <w:link w:val="BalloonText"/>
    <w:uiPriority w:val="99"/>
    <w:semiHidden/>
    <w:locked/>
    <w:rsid w:val="00E374C6"/>
    <w:rPr>
      <w:rFonts w:ascii="Tahoma" w:eastAsia="SimSun" w:hAnsi="Tahoma" w:cs="Mangal"/>
      <w:kern w:val="1"/>
      <w:sz w:val="14"/>
      <w:szCs w:val="14"/>
      <w:lang w:eastAsia="hi-IN" w:bidi="hi-IN"/>
    </w:rPr>
  </w:style>
  <w:style w:type="character" w:customStyle="1" w:styleId="NumberingSymbols">
    <w:name w:val="Numbering Symbols"/>
    <w:uiPriority w:val="99"/>
    <w:rsid w:val="0053143A"/>
  </w:style>
  <w:style w:type="character" w:styleId="Hyperlink">
    <w:name w:val="Hyperlink"/>
    <w:basedOn w:val="DefaultParagraphFont"/>
    <w:uiPriority w:val="99"/>
    <w:rsid w:val="0053143A"/>
    <w:rPr>
      <w:rFonts w:cs="Times New Roman"/>
      <w:color w:val="000080"/>
      <w:u w:val="single"/>
    </w:rPr>
  </w:style>
  <w:style w:type="character" w:styleId="FollowedHyperlink">
    <w:name w:val="FollowedHyperlink"/>
    <w:basedOn w:val="DefaultParagraphFont"/>
    <w:uiPriority w:val="99"/>
    <w:rsid w:val="0053143A"/>
    <w:rPr>
      <w:rFonts w:cs="Times New Roman"/>
      <w:color w:val="800000"/>
      <w:u w:val="single"/>
    </w:rPr>
  </w:style>
  <w:style w:type="paragraph" w:customStyle="1" w:styleId="Heading">
    <w:name w:val="Heading"/>
    <w:basedOn w:val="Normal"/>
    <w:next w:val="BodyText"/>
    <w:uiPriority w:val="99"/>
    <w:rsid w:val="0053143A"/>
    <w:pPr>
      <w:keepNext/>
      <w:spacing w:before="240" w:after="120"/>
    </w:pPr>
    <w:rPr>
      <w:rFonts w:ascii="Arial" w:eastAsia="Microsoft YaHei" w:hAnsi="Arial"/>
      <w:sz w:val="28"/>
      <w:szCs w:val="28"/>
    </w:rPr>
  </w:style>
  <w:style w:type="paragraph" w:styleId="BodyText">
    <w:name w:val="Body Text"/>
    <w:basedOn w:val="Normal"/>
    <w:link w:val="BodyTextChar"/>
    <w:uiPriority w:val="99"/>
    <w:rsid w:val="0053143A"/>
    <w:pPr>
      <w:spacing w:after="120"/>
    </w:pPr>
  </w:style>
  <w:style w:type="character" w:customStyle="1" w:styleId="BodyTextChar">
    <w:name w:val="Body Text Char"/>
    <w:basedOn w:val="DefaultParagraphFont"/>
    <w:link w:val="BodyText"/>
    <w:uiPriority w:val="99"/>
    <w:semiHidden/>
    <w:locked/>
    <w:rsid w:val="002B66EA"/>
    <w:rPr>
      <w:rFonts w:eastAsia="SimSun" w:cs="Mangal"/>
      <w:kern w:val="1"/>
      <w:sz w:val="21"/>
      <w:szCs w:val="21"/>
      <w:lang w:eastAsia="hi-IN" w:bidi="hi-IN"/>
    </w:rPr>
  </w:style>
  <w:style w:type="paragraph" w:styleId="List">
    <w:name w:val="List"/>
    <w:basedOn w:val="BodyText"/>
    <w:uiPriority w:val="99"/>
    <w:rsid w:val="0053143A"/>
  </w:style>
  <w:style w:type="paragraph" w:styleId="Caption">
    <w:name w:val="caption"/>
    <w:basedOn w:val="Normal"/>
    <w:uiPriority w:val="99"/>
    <w:qFormat/>
    <w:rsid w:val="0053143A"/>
    <w:pPr>
      <w:suppressLineNumbers/>
      <w:spacing w:before="120" w:after="120"/>
    </w:pPr>
    <w:rPr>
      <w:i/>
      <w:iCs/>
    </w:rPr>
  </w:style>
  <w:style w:type="paragraph" w:customStyle="1" w:styleId="Index">
    <w:name w:val="Index"/>
    <w:basedOn w:val="Normal"/>
    <w:uiPriority w:val="99"/>
    <w:rsid w:val="0053143A"/>
    <w:pPr>
      <w:suppressLineNumbers/>
    </w:pPr>
  </w:style>
  <w:style w:type="paragraph" w:styleId="Header">
    <w:name w:val="header"/>
    <w:basedOn w:val="Normal"/>
    <w:link w:val="HeaderChar"/>
    <w:uiPriority w:val="99"/>
    <w:semiHidden/>
    <w:rsid w:val="00E374C6"/>
    <w:pPr>
      <w:tabs>
        <w:tab w:val="center" w:pos="4680"/>
        <w:tab w:val="right" w:pos="9360"/>
      </w:tabs>
    </w:pPr>
    <w:rPr>
      <w:szCs w:val="21"/>
    </w:rPr>
  </w:style>
  <w:style w:type="character" w:customStyle="1" w:styleId="HeaderChar">
    <w:name w:val="Header Char"/>
    <w:basedOn w:val="DefaultParagraphFont"/>
    <w:link w:val="Header"/>
    <w:uiPriority w:val="99"/>
    <w:semiHidden/>
    <w:locked/>
    <w:rsid w:val="00E374C6"/>
    <w:rPr>
      <w:rFonts w:eastAsia="SimSun" w:cs="Mangal"/>
      <w:kern w:val="1"/>
      <w:sz w:val="21"/>
      <w:szCs w:val="21"/>
      <w:lang w:eastAsia="hi-IN" w:bidi="hi-IN"/>
    </w:rPr>
  </w:style>
  <w:style w:type="paragraph" w:styleId="Footer">
    <w:name w:val="footer"/>
    <w:basedOn w:val="Normal"/>
    <w:link w:val="FooterChar"/>
    <w:uiPriority w:val="99"/>
    <w:rsid w:val="00E374C6"/>
    <w:pPr>
      <w:tabs>
        <w:tab w:val="center" w:pos="4680"/>
        <w:tab w:val="right" w:pos="9360"/>
      </w:tabs>
    </w:pPr>
    <w:rPr>
      <w:szCs w:val="21"/>
    </w:rPr>
  </w:style>
  <w:style w:type="character" w:customStyle="1" w:styleId="FooterChar">
    <w:name w:val="Footer Char"/>
    <w:basedOn w:val="DefaultParagraphFont"/>
    <w:link w:val="Footer"/>
    <w:uiPriority w:val="99"/>
    <w:locked/>
    <w:rsid w:val="00E374C6"/>
    <w:rPr>
      <w:rFonts w:eastAsia="SimSun" w:cs="Mangal"/>
      <w:kern w:val="1"/>
      <w:sz w:val="21"/>
      <w:szCs w:val="21"/>
      <w:lang w:eastAsia="hi-IN" w:bidi="hi-IN"/>
    </w:rPr>
  </w:style>
  <w:style w:type="character" w:styleId="HTMLTypewriter">
    <w:name w:val="HTML Typewriter"/>
    <w:basedOn w:val="DefaultParagraphFont"/>
    <w:uiPriority w:val="99"/>
    <w:semiHidden/>
    <w:rsid w:val="005D458F"/>
    <w:rPr>
      <w:rFonts w:ascii="Courier New" w:hAnsi="Courier New" w:cs="Courier New"/>
      <w:sz w:val="20"/>
      <w:szCs w:val="20"/>
    </w:rPr>
  </w:style>
  <w:style w:type="paragraph" w:styleId="FootnoteText">
    <w:name w:val="footnote text"/>
    <w:basedOn w:val="Normal"/>
    <w:link w:val="FootnoteTextChar"/>
    <w:uiPriority w:val="99"/>
    <w:semiHidden/>
    <w:rsid w:val="007C798E"/>
    <w:rPr>
      <w:sz w:val="20"/>
      <w:szCs w:val="18"/>
    </w:rPr>
  </w:style>
  <w:style w:type="character" w:customStyle="1" w:styleId="FootnoteTextChar">
    <w:name w:val="Footnote Text Char"/>
    <w:basedOn w:val="DefaultParagraphFont"/>
    <w:link w:val="FootnoteText"/>
    <w:uiPriority w:val="99"/>
    <w:semiHidden/>
    <w:locked/>
    <w:rsid w:val="007C798E"/>
    <w:rPr>
      <w:rFonts w:eastAsia="SimSun" w:cs="Mangal"/>
      <w:kern w:val="1"/>
      <w:sz w:val="18"/>
      <w:szCs w:val="18"/>
      <w:lang w:eastAsia="hi-IN" w:bidi="hi-IN"/>
    </w:rPr>
  </w:style>
  <w:style w:type="character" w:styleId="FootnoteReference">
    <w:name w:val="footnote reference"/>
    <w:basedOn w:val="DefaultParagraphFont"/>
    <w:uiPriority w:val="99"/>
    <w:semiHidden/>
    <w:rsid w:val="007C798E"/>
    <w:rPr>
      <w:rFonts w:cs="Times New Roman"/>
      <w:vertAlign w:val="superscript"/>
    </w:rPr>
  </w:style>
  <w:style w:type="paragraph" w:styleId="EndnoteText">
    <w:name w:val="endnote text"/>
    <w:basedOn w:val="Normal"/>
    <w:link w:val="EndnoteTextChar"/>
    <w:uiPriority w:val="99"/>
    <w:semiHidden/>
    <w:rsid w:val="007C798E"/>
    <w:rPr>
      <w:sz w:val="20"/>
      <w:szCs w:val="18"/>
    </w:rPr>
  </w:style>
  <w:style w:type="character" w:customStyle="1" w:styleId="EndnoteTextChar">
    <w:name w:val="Endnote Text Char"/>
    <w:basedOn w:val="DefaultParagraphFont"/>
    <w:link w:val="EndnoteText"/>
    <w:uiPriority w:val="99"/>
    <w:semiHidden/>
    <w:locked/>
    <w:rsid w:val="007C798E"/>
    <w:rPr>
      <w:rFonts w:eastAsia="SimSun" w:cs="Mangal"/>
      <w:kern w:val="1"/>
      <w:sz w:val="18"/>
      <w:szCs w:val="18"/>
      <w:lang w:eastAsia="hi-IN" w:bidi="hi-IN"/>
    </w:rPr>
  </w:style>
  <w:style w:type="character" w:styleId="EndnoteReference">
    <w:name w:val="endnote reference"/>
    <w:basedOn w:val="DefaultParagraphFont"/>
    <w:uiPriority w:val="99"/>
    <w:semiHidden/>
    <w:rsid w:val="007C798E"/>
    <w:rPr>
      <w:rFonts w:cs="Times New Roman"/>
      <w:vertAlign w:val="superscript"/>
    </w:rPr>
  </w:style>
  <w:style w:type="character" w:styleId="LineNumber">
    <w:name w:val="line number"/>
    <w:basedOn w:val="DefaultParagraphFont"/>
    <w:uiPriority w:val="99"/>
    <w:semiHidden/>
    <w:rsid w:val="006E3221"/>
    <w:rPr>
      <w:rFonts w:cs="Times New Roman"/>
    </w:rPr>
  </w:style>
  <w:style w:type="paragraph" w:styleId="ListParagraph">
    <w:name w:val="List Paragraph"/>
    <w:basedOn w:val="Normal"/>
    <w:uiPriority w:val="99"/>
    <w:qFormat/>
    <w:rsid w:val="006E3221"/>
    <w:pPr>
      <w:ind w:left="720"/>
      <w:contextualSpacing/>
    </w:pPr>
    <w:rPr>
      <w:szCs w:val="21"/>
    </w:rPr>
  </w:style>
  <w:style w:type="character" w:customStyle="1" w:styleId="apple-converted-space">
    <w:name w:val="apple-converted-space"/>
    <w:basedOn w:val="DefaultParagraphFont"/>
    <w:uiPriority w:val="99"/>
    <w:rsid w:val="005D470E"/>
    <w:rPr>
      <w:rFonts w:cs="Times New Roman"/>
    </w:rPr>
  </w:style>
  <w:style w:type="character" w:styleId="PageNumber">
    <w:name w:val="page number"/>
    <w:basedOn w:val="DefaultParagraphFont"/>
    <w:uiPriority w:val="99"/>
    <w:rsid w:val="005026F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43A"/>
    <w:pPr>
      <w:widowControl w:val="0"/>
      <w:suppressAutoHyphens/>
    </w:pPr>
    <w:rPr>
      <w:rFonts w:eastAsia="SimSun" w:cs="Mangal"/>
      <w:kern w:val="1"/>
      <w:sz w:val="24"/>
      <w:szCs w:val="24"/>
      <w:lang w:eastAsia="hi-IN" w:bidi="hi-IN"/>
    </w:rPr>
  </w:style>
  <w:style w:type="paragraph" w:styleId="Heading1">
    <w:name w:val="heading 1"/>
    <w:basedOn w:val="Normal"/>
    <w:next w:val="Normal"/>
    <w:link w:val="Heading1Char"/>
    <w:uiPriority w:val="99"/>
    <w:qFormat/>
    <w:rsid w:val="007C798E"/>
    <w:pPr>
      <w:keepNext/>
      <w:keepLines/>
      <w:spacing w:before="480"/>
      <w:outlineLvl w:val="0"/>
    </w:pPr>
    <w:rPr>
      <w:rFonts w:ascii="Cambria" w:eastAsia="Times New Roman" w:hAnsi="Cambria"/>
      <w:b/>
      <w:bCs/>
      <w:color w:val="365F91"/>
      <w:sz w:val="28"/>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C798E"/>
    <w:rPr>
      <w:rFonts w:ascii="Cambria" w:hAnsi="Cambria" w:cs="Mangal"/>
      <w:b/>
      <w:bCs/>
      <w:color w:val="365F91"/>
      <w:kern w:val="1"/>
      <w:sz w:val="25"/>
      <w:szCs w:val="25"/>
      <w:lang w:eastAsia="hi-IN" w:bidi="hi-IN"/>
    </w:rPr>
  </w:style>
  <w:style w:type="paragraph" w:styleId="BalloonText">
    <w:name w:val="Balloon Text"/>
    <w:basedOn w:val="Normal"/>
    <w:link w:val="BalloonTextChar"/>
    <w:uiPriority w:val="99"/>
    <w:semiHidden/>
    <w:rsid w:val="00E374C6"/>
    <w:rPr>
      <w:rFonts w:ascii="Tahoma" w:hAnsi="Tahoma"/>
      <w:sz w:val="16"/>
      <w:szCs w:val="14"/>
    </w:rPr>
  </w:style>
  <w:style w:type="character" w:customStyle="1" w:styleId="BalloonTextChar">
    <w:name w:val="Balloon Text Char"/>
    <w:basedOn w:val="DefaultParagraphFont"/>
    <w:link w:val="BalloonText"/>
    <w:uiPriority w:val="99"/>
    <w:semiHidden/>
    <w:locked/>
    <w:rsid w:val="00E374C6"/>
    <w:rPr>
      <w:rFonts w:ascii="Tahoma" w:eastAsia="SimSun" w:hAnsi="Tahoma" w:cs="Mangal"/>
      <w:kern w:val="1"/>
      <w:sz w:val="14"/>
      <w:szCs w:val="14"/>
      <w:lang w:eastAsia="hi-IN" w:bidi="hi-IN"/>
    </w:rPr>
  </w:style>
  <w:style w:type="character" w:customStyle="1" w:styleId="NumberingSymbols">
    <w:name w:val="Numbering Symbols"/>
    <w:uiPriority w:val="99"/>
    <w:rsid w:val="0053143A"/>
  </w:style>
  <w:style w:type="character" w:styleId="Hyperlink">
    <w:name w:val="Hyperlink"/>
    <w:basedOn w:val="DefaultParagraphFont"/>
    <w:uiPriority w:val="99"/>
    <w:rsid w:val="0053143A"/>
    <w:rPr>
      <w:rFonts w:cs="Times New Roman"/>
      <w:color w:val="000080"/>
      <w:u w:val="single"/>
    </w:rPr>
  </w:style>
  <w:style w:type="character" w:styleId="FollowedHyperlink">
    <w:name w:val="FollowedHyperlink"/>
    <w:basedOn w:val="DefaultParagraphFont"/>
    <w:uiPriority w:val="99"/>
    <w:rsid w:val="0053143A"/>
    <w:rPr>
      <w:rFonts w:cs="Times New Roman"/>
      <w:color w:val="800000"/>
      <w:u w:val="single"/>
    </w:rPr>
  </w:style>
  <w:style w:type="paragraph" w:customStyle="1" w:styleId="Heading">
    <w:name w:val="Heading"/>
    <w:basedOn w:val="Normal"/>
    <w:next w:val="BodyText"/>
    <w:uiPriority w:val="99"/>
    <w:rsid w:val="0053143A"/>
    <w:pPr>
      <w:keepNext/>
      <w:spacing w:before="240" w:after="120"/>
    </w:pPr>
    <w:rPr>
      <w:rFonts w:ascii="Arial" w:eastAsia="Microsoft YaHei" w:hAnsi="Arial"/>
      <w:sz w:val="28"/>
      <w:szCs w:val="28"/>
    </w:rPr>
  </w:style>
  <w:style w:type="paragraph" w:styleId="BodyText">
    <w:name w:val="Body Text"/>
    <w:basedOn w:val="Normal"/>
    <w:link w:val="BodyTextChar"/>
    <w:uiPriority w:val="99"/>
    <w:rsid w:val="0053143A"/>
    <w:pPr>
      <w:spacing w:after="120"/>
    </w:pPr>
  </w:style>
  <w:style w:type="character" w:customStyle="1" w:styleId="BodyTextChar">
    <w:name w:val="Body Text Char"/>
    <w:basedOn w:val="DefaultParagraphFont"/>
    <w:link w:val="BodyText"/>
    <w:uiPriority w:val="99"/>
    <w:semiHidden/>
    <w:locked/>
    <w:rsid w:val="002B66EA"/>
    <w:rPr>
      <w:rFonts w:eastAsia="SimSun" w:cs="Mangal"/>
      <w:kern w:val="1"/>
      <w:sz w:val="21"/>
      <w:szCs w:val="21"/>
      <w:lang w:eastAsia="hi-IN" w:bidi="hi-IN"/>
    </w:rPr>
  </w:style>
  <w:style w:type="paragraph" w:styleId="List">
    <w:name w:val="List"/>
    <w:basedOn w:val="BodyText"/>
    <w:uiPriority w:val="99"/>
    <w:rsid w:val="0053143A"/>
  </w:style>
  <w:style w:type="paragraph" w:styleId="Caption">
    <w:name w:val="caption"/>
    <w:basedOn w:val="Normal"/>
    <w:uiPriority w:val="99"/>
    <w:qFormat/>
    <w:rsid w:val="0053143A"/>
    <w:pPr>
      <w:suppressLineNumbers/>
      <w:spacing w:before="120" w:after="120"/>
    </w:pPr>
    <w:rPr>
      <w:i/>
      <w:iCs/>
    </w:rPr>
  </w:style>
  <w:style w:type="paragraph" w:customStyle="1" w:styleId="Index">
    <w:name w:val="Index"/>
    <w:basedOn w:val="Normal"/>
    <w:uiPriority w:val="99"/>
    <w:rsid w:val="0053143A"/>
    <w:pPr>
      <w:suppressLineNumbers/>
    </w:pPr>
  </w:style>
  <w:style w:type="paragraph" w:styleId="Header">
    <w:name w:val="header"/>
    <w:basedOn w:val="Normal"/>
    <w:link w:val="HeaderChar"/>
    <w:uiPriority w:val="99"/>
    <w:semiHidden/>
    <w:rsid w:val="00E374C6"/>
    <w:pPr>
      <w:tabs>
        <w:tab w:val="center" w:pos="4680"/>
        <w:tab w:val="right" w:pos="9360"/>
      </w:tabs>
    </w:pPr>
    <w:rPr>
      <w:szCs w:val="21"/>
    </w:rPr>
  </w:style>
  <w:style w:type="character" w:customStyle="1" w:styleId="HeaderChar">
    <w:name w:val="Header Char"/>
    <w:basedOn w:val="DefaultParagraphFont"/>
    <w:link w:val="Header"/>
    <w:uiPriority w:val="99"/>
    <w:semiHidden/>
    <w:locked/>
    <w:rsid w:val="00E374C6"/>
    <w:rPr>
      <w:rFonts w:eastAsia="SimSun" w:cs="Mangal"/>
      <w:kern w:val="1"/>
      <w:sz w:val="21"/>
      <w:szCs w:val="21"/>
      <w:lang w:eastAsia="hi-IN" w:bidi="hi-IN"/>
    </w:rPr>
  </w:style>
  <w:style w:type="paragraph" w:styleId="Footer">
    <w:name w:val="footer"/>
    <w:basedOn w:val="Normal"/>
    <w:link w:val="FooterChar"/>
    <w:uiPriority w:val="99"/>
    <w:rsid w:val="00E374C6"/>
    <w:pPr>
      <w:tabs>
        <w:tab w:val="center" w:pos="4680"/>
        <w:tab w:val="right" w:pos="9360"/>
      </w:tabs>
    </w:pPr>
    <w:rPr>
      <w:szCs w:val="21"/>
    </w:rPr>
  </w:style>
  <w:style w:type="character" w:customStyle="1" w:styleId="FooterChar">
    <w:name w:val="Footer Char"/>
    <w:basedOn w:val="DefaultParagraphFont"/>
    <w:link w:val="Footer"/>
    <w:uiPriority w:val="99"/>
    <w:locked/>
    <w:rsid w:val="00E374C6"/>
    <w:rPr>
      <w:rFonts w:eastAsia="SimSun" w:cs="Mangal"/>
      <w:kern w:val="1"/>
      <w:sz w:val="21"/>
      <w:szCs w:val="21"/>
      <w:lang w:eastAsia="hi-IN" w:bidi="hi-IN"/>
    </w:rPr>
  </w:style>
  <w:style w:type="character" w:styleId="HTMLTypewriter">
    <w:name w:val="HTML Typewriter"/>
    <w:basedOn w:val="DefaultParagraphFont"/>
    <w:uiPriority w:val="99"/>
    <w:semiHidden/>
    <w:rsid w:val="005D458F"/>
    <w:rPr>
      <w:rFonts w:ascii="Courier New" w:hAnsi="Courier New" w:cs="Courier New"/>
      <w:sz w:val="20"/>
      <w:szCs w:val="20"/>
    </w:rPr>
  </w:style>
  <w:style w:type="paragraph" w:styleId="FootnoteText">
    <w:name w:val="footnote text"/>
    <w:basedOn w:val="Normal"/>
    <w:link w:val="FootnoteTextChar"/>
    <w:uiPriority w:val="99"/>
    <w:semiHidden/>
    <w:rsid w:val="007C798E"/>
    <w:rPr>
      <w:sz w:val="20"/>
      <w:szCs w:val="18"/>
    </w:rPr>
  </w:style>
  <w:style w:type="character" w:customStyle="1" w:styleId="FootnoteTextChar">
    <w:name w:val="Footnote Text Char"/>
    <w:basedOn w:val="DefaultParagraphFont"/>
    <w:link w:val="FootnoteText"/>
    <w:uiPriority w:val="99"/>
    <w:semiHidden/>
    <w:locked/>
    <w:rsid w:val="007C798E"/>
    <w:rPr>
      <w:rFonts w:eastAsia="SimSun" w:cs="Mangal"/>
      <w:kern w:val="1"/>
      <w:sz w:val="18"/>
      <w:szCs w:val="18"/>
      <w:lang w:eastAsia="hi-IN" w:bidi="hi-IN"/>
    </w:rPr>
  </w:style>
  <w:style w:type="character" w:styleId="FootnoteReference">
    <w:name w:val="footnote reference"/>
    <w:basedOn w:val="DefaultParagraphFont"/>
    <w:uiPriority w:val="99"/>
    <w:semiHidden/>
    <w:rsid w:val="007C798E"/>
    <w:rPr>
      <w:rFonts w:cs="Times New Roman"/>
      <w:vertAlign w:val="superscript"/>
    </w:rPr>
  </w:style>
  <w:style w:type="paragraph" w:styleId="EndnoteText">
    <w:name w:val="endnote text"/>
    <w:basedOn w:val="Normal"/>
    <w:link w:val="EndnoteTextChar"/>
    <w:uiPriority w:val="99"/>
    <w:semiHidden/>
    <w:rsid w:val="007C798E"/>
    <w:rPr>
      <w:sz w:val="20"/>
      <w:szCs w:val="18"/>
    </w:rPr>
  </w:style>
  <w:style w:type="character" w:customStyle="1" w:styleId="EndnoteTextChar">
    <w:name w:val="Endnote Text Char"/>
    <w:basedOn w:val="DefaultParagraphFont"/>
    <w:link w:val="EndnoteText"/>
    <w:uiPriority w:val="99"/>
    <w:semiHidden/>
    <w:locked/>
    <w:rsid w:val="007C798E"/>
    <w:rPr>
      <w:rFonts w:eastAsia="SimSun" w:cs="Mangal"/>
      <w:kern w:val="1"/>
      <w:sz w:val="18"/>
      <w:szCs w:val="18"/>
      <w:lang w:eastAsia="hi-IN" w:bidi="hi-IN"/>
    </w:rPr>
  </w:style>
  <w:style w:type="character" w:styleId="EndnoteReference">
    <w:name w:val="endnote reference"/>
    <w:basedOn w:val="DefaultParagraphFont"/>
    <w:uiPriority w:val="99"/>
    <w:semiHidden/>
    <w:rsid w:val="007C798E"/>
    <w:rPr>
      <w:rFonts w:cs="Times New Roman"/>
      <w:vertAlign w:val="superscript"/>
    </w:rPr>
  </w:style>
  <w:style w:type="character" w:styleId="LineNumber">
    <w:name w:val="line number"/>
    <w:basedOn w:val="DefaultParagraphFont"/>
    <w:uiPriority w:val="99"/>
    <w:semiHidden/>
    <w:rsid w:val="006E3221"/>
    <w:rPr>
      <w:rFonts w:cs="Times New Roman"/>
    </w:rPr>
  </w:style>
  <w:style w:type="paragraph" w:styleId="ListParagraph">
    <w:name w:val="List Paragraph"/>
    <w:basedOn w:val="Normal"/>
    <w:uiPriority w:val="99"/>
    <w:qFormat/>
    <w:rsid w:val="006E3221"/>
    <w:pPr>
      <w:ind w:left="720"/>
      <w:contextualSpacing/>
    </w:pPr>
    <w:rPr>
      <w:szCs w:val="21"/>
    </w:rPr>
  </w:style>
  <w:style w:type="character" w:customStyle="1" w:styleId="apple-converted-space">
    <w:name w:val="apple-converted-space"/>
    <w:basedOn w:val="DefaultParagraphFont"/>
    <w:uiPriority w:val="99"/>
    <w:rsid w:val="005D470E"/>
    <w:rPr>
      <w:rFonts w:cs="Times New Roman"/>
    </w:rPr>
  </w:style>
  <w:style w:type="character" w:styleId="PageNumber">
    <w:name w:val="page number"/>
    <w:basedOn w:val="DefaultParagraphFont"/>
    <w:uiPriority w:val="99"/>
    <w:rsid w:val="005026F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reuters.com/article/2012/11/06/us-usa-campaign-irregularities-idUSBRE8A51E720121106" TargetMode="External"/><Relationship Id="rId3" Type="http://schemas.openxmlformats.org/officeDocument/2006/relationships/hyperlink" Target="http://www.brennancenter.org/content/resource/policy_brief_on_the_truth_about_voter_fraud/" TargetMode="External"/><Relationship Id="rId7" Type="http://schemas.openxmlformats.org/officeDocument/2006/relationships/hyperlink" Target="http://www.c-spanvideo.org/program/Enth" TargetMode="External"/><Relationship Id="rId2" Type="http://schemas.openxmlformats.org/officeDocument/2006/relationships/hyperlink" Target="http://www.brennancenter.org/%20page/-/d/download_file_39242.pdf" TargetMode="External"/><Relationship Id="rId1" Type="http://schemas.openxmlformats.org/officeDocument/2006/relationships/hyperlink" Target="http://bipartisanpolicy.org/sites/default/files/2012%25%2020Voter%20Turnout%20Full%20Report.pdf" TargetMode="External"/><Relationship Id="rId6" Type="http://schemas.openxmlformats.org/officeDocument/2006/relationships/hyperlink" Target="http://www.tampabay.com/news/politics/stateroundup/operation-lemonade-started-by-black-clergy-will-it-get-souls-to-the-polls/1256572" TargetMode="External"/><Relationship Id="rId5" Type="http://schemas.openxmlformats.org/officeDocument/2006/relationships/hyperlink" Target="http://www.ca6.uscourts.gov/%20opinions.pdf/12a0356p-06.pdf" TargetMode="External"/><Relationship Id="rId10" Type="http://schemas.openxmlformats.org/officeDocument/2006/relationships/hyperlink" Target="http://americasvoiceonline.org/blog/maricopa-county-sends-out-voter-registration-forms-with-wrong-election-date-in-spanish/" TargetMode="External"/><Relationship Id="rId4" Type="http://schemas.openxmlformats.org/officeDocument/2006/relationships/hyperlink" Target="http://www.brennancenter.org/content/resource/policy_brief_on_restrictions_%20on_voter_registration_drives/" TargetMode="External"/><Relationship Id="rId9" Type="http://schemas.openxmlformats.org/officeDocument/2006/relationships/hyperlink" Target="http://www.dailymail.co.uk/news/article-2222641/Maricopa-County-officials-tell-Spanish-speakers-wrong-date-election-second-ti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DA2B7-A027-4377-B03A-A05D4094EF5E}"/>
</file>

<file path=customXml/itemProps2.xml><?xml version="1.0" encoding="utf-8"?>
<ds:datastoreItem xmlns:ds="http://schemas.openxmlformats.org/officeDocument/2006/customXml" ds:itemID="{11A705A6-5705-40BE-A528-79F91B8DB7A3}"/>
</file>

<file path=customXml/itemProps3.xml><?xml version="1.0" encoding="utf-8"?>
<ds:datastoreItem xmlns:ds="http://schemas.openxmlformats.org/officeDocument/2006/customXml" ds:itemID="{AC7BB81B-95D1-4438-B935-222F43079F9F}"/>
</file>

<file path=docProps/app.xml><?xml version="1.0" encoding="utf-8"?>
<Properties xmlns="http://schemas.openxmlformats.org/officeDocument/2006/extended-properties" xmlns:vt="http://schemas.openxmlformats.org/officeDocument/2006/docPropsVTypes">
  <Template>Normal</Template>
  <TotalTime>0</TotalTime>
  <Pages>5</Pages>
  <Words>1681</Words>
  <Characters>9584</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ICCPR Articles 2 &amp; 25</vt:lpstr>
    </vt:vector>
  </TitlesOfParts>
  <Company>OHCHR</Company>
  <LinksUpToDate>false</LinksUpToDate>
  <CharactersWithSpaces>11243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ICCPR Articles 2 &amp; 25</dc:title>
  <dc:creator>Grandmary</dc:creator>
  <cp:lastModifiedBy>Denis D'aniello</cp:lastModifiedBy>
  <cp:revision>2</cp:revision>
  <cp:lastPrinted>2013-01-07T18:30:00Z</cp:lastPrinted>
  <dcterms:created xsi:type="dcterms:W3CDTF">2013-07-22T11:15:00Z</dcterms:created>
  <dcterms:modified xsi:type="dcterms:W3CDTF">2013-07-22T11:15:00Z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