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8C7B6" w14:textId="3BD89985" w:rsidR="003F054C" w:rsidRPr="0059707D" w:rsidRDefault="003F054C" w:rsidP="003B5A15">
      <w:pPr>
        <w:spacing w:after="0" w:line="240" w:lineRule="auto"/>
        <w:jc w:val="center"/>
        <w:rPr>
          <w:rFonts w:ascii="Cambria" w:hAnsi="Cambria"/>
          <w:b/>
          <w:sz w:val="24"/>
        </w:rPr>
      </w:pPr>
      <w:r w:rsidRPr="0059707D">
        <w:rPr>
          <w:noProof/>
        </w:rPr>
        <w:drawing>
          <wp:anchor distT="0" distB="0" distL="114300" distR="114300" simplePos="0" relativeHeight="251658240" behindDoc="1" locked="0" layoutInCell="1" allowOverlap="1" wp14:anchorId="0EB1C84A" wp14:editId="26F10FD0">
            <wp:simplePos x="0" y="0"/>
            <wp:positionH relativeFrom="column">
              <wp:posOffset>118110</wp:posOffset>
            </wp:positionH>
            <wp:positionV relativeFrom="paragraph">
              <wp:posOffset>-392430</wp:posOffset>
            </wp:positionV>
            <wp:extent cx="2476500" cy="1077658"/>
            <wp:effectExtent l="0" t="0" r="0" b="8255"/>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6500" cy="1077658"/>
                    </a:xfrm>
                    <a:prstGeom prst="rect">
                      <a:avLst/>
                    </a:prstGeom>
                  </pic:spPr>
                </pic:pic>
              </a:graphicData>
            </a:graphic>
            <wp14:sizeRelH relativeFrom="page">
              <wp14:pctWidth>0</wp14:pctWidth>
            </wp14:sizeRelH>
            <wp14:sizeRelV relativeFrom="page">
              <wp14:pctHeight>0</wp14:pctHeight>
            </wp14:sizeRelV>
          </wp:anchor>
        </w:drawing>
      </w:r>
      <w:r w:rsidRPr="0059707D">
        <w:rPr>
          <w:noProof/>
        </w:rPr>
        <w:drawing>
          <wp:anchor distT="0" distB="0" distL="114300" distR="114300" simplePos="0" relativeHeight="251659264" behindDoc="1" locked="0" layoutInCell="1" allowOverlap="1" wp14:anchorId="08FCAC9F" wp14:editId="620CCF05">
            <wp:simplePos x="0" y="0"/>
            <wp:positionH relativeFrom="column">
              <wp:posOffset>4613910</wp:posOffset>
            </wp:positionH>
            <wp:positionV relativeFrom="paragraph">
              <wp:posOffset>-201930</wp:posOffset>
            </wp:positionV>
            <wp:extent cx="1276350" cy="673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1.png"/>
                    <pic:cNvPicPr/>
                  </pic:nvPicPr>
                  <pic:blipFill>
                    <a:blip r:embed="rId9">
                      <a:extLst>
                        <a:ext uri="{28A0092B-C50C-407E-A947-70E740481C1C}">
                          <a14:useLocalDpi xmlns:a14="http://schemas.microsoft.com/office/drawing/2010/main" val="0"/>
                        </a:ext>
                      </a:extLst>
                    </a:blip>
                    <a:stretch>
                      <a:fillRect/>
                    </a:stretch>
                  </pic:blipFill>
                  <pic:spPr>
                    <a:xfrm>
                      <a:off x="0" y="0"/>
                      <a:ext cx="1276350" cy="673350"/>
                    </a:xfrm>
                    <a:prstGeom prst="rect">
                      <a:avLst/>
                    </a:prstGeom>
                  </pic:spPr>
                </pic:pic>
              </a:graphicData>
            </a:graphic>
            <wp14:sizeRelH relativeFrom="page">
              <wp14:pctWidth>0</wp14:pctWidth>
            </wp14:sizeRelH>
            <wp14:sizeRelV relativeFrom="page">
              <wp14:pctHeight>0</wp14:pctHeight>
            </wp14:sizeRelV>
          </wp:anchor>
        </w:drawing>
      </w:r>
    </w:p>
    <w:p w14:paraId="411BF9F4" w14:textId="43EF57F6" w:rsidR="003F054C" w:rsidRPr="0059707D" w:rsidRDefault="003F054C" w:rsidP="003B5A15">
      <w:pPr>
        <w:spacing w:after="0" w:line="240" w:lineRule="auto"/>
        <w:jc w:val="center"/>
        <w:rPr>
          <w:rFonts w:ascii="Cambria" w:hAnsi="Cambria"/>
          <w:b/>
          <w:sz w:val="24"/>
        </w:rPr>
      </w:pPr>
    </w:p>
    <w:p w14:paraId="5DABAE17" w14:textId="365525CF" w:rsidR="003F054C" w:rsidRPr="0059707D" w:rsidRDefault="003F054C" w:rsidP="003B5A15">
      <w:pPr>
        <w:spacing w:after="0" w:line="240" w:lineRule="auto"/>
        <w:jc w:val="center"/>
        <w:rPr>
          <w:rFonts w:ascii="Cambria" w:hAnsi="Cambria"/>
          <w:b/>
          <w:sz w:val="24"/>
        </w:rPr>
      </w:pPr>
    </w:p>
    <w:p w14:paraId="77FCB02B" w14:textId="77777777" w:rsidR="003F054C" w:rsidRPr="0059707D" w:rsidRDefault="003F054C" w:rsidP="003B5A15">
      <w:pPr>
        <w:spacing w:after="0" w:line="240" w:lineRule="auto"/>
        <w:jc w:val="center"/>
        <w:rPr>
          <w:rFonts w:ascii="Cambria" w:hAnsi="Cambria"/>
          <w:b/>
          <w:sz w:val="24"/>
        </w:rPr>
      </w:pPr>
    </w:p>
    <w:p w14:paraId="35347D22" w14:textId="59375C31" w:rsidR="00CE59BF" w:rsidRPr="0059707D" w:rsidRDefault="00CE59BF" w:rsidP="003B5A15">
      <w:pPr>
        <w:spacing w:after="0" w:line="240" w:lineRule="auto"/>
        <w:jc w:val="center"/>
        <w:rPr>
          <w:rFonts w:ascii="Cambria" w:hAnsi="Cambria"/>
          <w:b/>
          <w:sz w:val="24"/>
        </w:rPr>
      </w:pPr>
      <w:r w:rsidRPr="0059707D">
        <w:rPr>
          <w:rFonts w:ascii="Cambria" w:hAnsi="Cambria"/>
          <w:b/>
          <w:sz w:val="24"/>
        </w:rPr>
        <w:t>Suggestions for the List of Issues Prior to Reporting to be adopted by the Committee on Economic, Social and Cultural Rights at its 6</w:t>
      </w:r>
      <w:r w:rsidR="006D7D26" w:rsidRPr="0059707D">
        <w:rPr>
          <w:rFonts w:ascii="Cambria" w:hAnsi="Cambria"/>
          <w:b/>
          <w:sz w:val="24"/>
        </w:rPr>
        <w:t>5</w:t>
      </w:r>
      <w:r w:rsidR="006D7D26" w:rsidRPr="0059707D">
        <w:rPr>
          <w:rFonts w:ascii="Cambria" w:hAnsi="Cambria"/>
          <w:b/>
          <w:sz w:val="24"/>
          <w:vertAlign w:val="superscript"/>
        </w:rPr>
        <w:t>th</w:t>
      </w:r>
      <w:r w:rsidR="006D7D26" w:rsidRPr="0059707D">
        <w:rPr>
          <w:rFonts w:ascii="Cambria" w:hAnsi="Cambria"/>
          <w:b/>
          <w:sz w:val="24"/>
        </w:rPr>
        <w:t xml:space="preserve"> </w:t>
      </w:r>
      <w:r w:rsidRPr="0059707D">
        <w:rPr>
          <w:rFonts w:ascii="Cambria" w:hAnsi="Cambria"/>
          <w:b/>
          <w:sz w:val="24"/>
        </w:rPr>
        <w:t>session (PSWG) in relation to:</w:t>
      </w:r>
    </w:p>
    <w:p w14:paraId="39B163F5" w14:textId="48201AB3" w:rsidR="00CE59BF" w:rsidRPr="0059707D" w:rsidRDefault="00CE59BF" w:rsidP="003B5A15">
      <w:pPr>
        <w:spacing w:after="0" w:line="240" w:lineRule="auto"/>
        <w:jc w:val="center"/>
        <w:rPr>
          <w:rFonts w:ascii="Cambria" w:hAnsi="Cambria"/>
          <w:b/>
          <w:sz w:val="24"/>
        </w:rPr>
      </w:pPr>
    </w:p>
    <w:p w14:paraId="65548957" w14:textId="0FF449AB" w:rsidR="00CE59BF" w:rsidRPr="0059707D" w:rsidRDefault="006D7D26" w:rsidP="003B5A15">
      <w:pPr>
        <w:spacing w:after="0" w:line="240" w:lineRule="auto"/>
        <w:jc w:val="center"/>
        <w:rPr>
          <w:rFonts w:ascii="Cambria" w:hAnsi="Cambria"/>
          <w:b/>
          <w:sz w:val="24"/>
        </w:rPr>
      </w:pPr>
      <w:r w:rsidRPr="0059707D">
        <w:rPr>
          <w:rFonts w:ascii="Cambria" w:hAnsi="Cambria"/>
          <w:b/>
          <w:sz w:val="24"/>
        </w:rPr>
        <w:t>Bolivia</w:t>
      </w:r>
    </w:p>
    <w:p w14:paraId="3338C7A4" w14:textId="0686677A" w:rsidR="00CE59BF" w:rsidRPr="0059707D" w:rsidRDefault="00CE59BF" w:rsidP="003B5A15">
      <w:pPr>
        <w:spacing w:after="0" w:line="240" w:lineRule="auto"/>
        <w:jc w:val="both"/>
        <w:rPr>
          <w:rFonts w:ascii="Cambria" w:hAnsi="Cambria"/>
          <w:b/>
          <w:u w:val="single"/>
        </w:rPr>
      </w:pPr>
    </w:p>
    <w:p w14:paraId="20D8B8C1" w14:textId="77777777" w:rsidR="00CE59BF" w:rsidRPr="0059707D" w:rsidRDefault="00CE59BF" w:rsidP="003B5A15">
      <w:pPr>
        <w:spacing w:after="0" w:line="240" w:lineRule="auto"/>
        <w:jc w:val="both"/>
        <w:rPr>
          <w:rFonts w:ascii="Cambria" w:hAnsi="Cambria"/>
          <w:b/>
          <w:u w:val="single"/>
        </w:rPr>
      </w:pPr>
    </w:p>
    <w:p w14:paraId="2F683557" w14:textId="277BE1EB" w:rsidR="00CE59BF" w:rsidRPr="0059707D" w:rsidRDefault="00CE59BF" w:rsidP="003B5A15">
      <w:pPr>
        <w:spacing w:after="0" w:line="240" w:lineRule="auto"/>
        <w:jc w:val="both"/>
        <w:rPr>
          <w:rFonts w:ascii="Cambria" w:hAnsi="Cambria"/>
          <w:b/>
          <w:u w:val="single"/>
        </w:rPr>
      </w:pPr>
      <w:r w:rsidRPr="0059707D">
        <w:rPr>
          <w:rFonts w:ascii="Cambria" w:hAnsi="Cambria"/>
          <w:b/>
          <w:u w:val="single"/>
        </w:rPr>
        <w:t>Statement of Interest</w:t>
      </w:r>
    </w:p>
    <w:p w14:paraId="5696B362" w14:textId="77777777" w:rsidR="009B53C3" w:rsidRPr="0059707D" w:rsidRDefault="009B53C3" w:rsidP="003B5A15">
      <w:pPr>
        <w:spacing w:after="0" w:line="240" w:lineRule="auto"/>
        <w:jc w:val="both"/>
        <w:rPr>
          <w:rFonts w:ascii="Cambria" w:hAnsi="Cambria"/>
          <w:b/>
          <w:u w:val="single"/>
        </w:rPr>
      </w:pPr>
    </w:p>
    <w:p w14:paraId="51E121EF" w14:textId="77777777"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The Equal Rights Trust (the Trust) and </w:t>
      </w:r>
      <w:proofErr w:type="spellStart"/>
      <w:r w:rsidRPr="0059707D">
        <w:rPr>
          <w:rFonts w:ascii="Cambria" w:hAnsi="Cambria"/>
        </w:rPr>
        <w:t>Comunidad</w:t>
      </w:r>
      <w:proofErr w:type="spellEnd"/>
      <w:r w:rsidRPr="0059707D">
        <w:rPr>
          <w:rFonts w:ascii="Cambria" w:hAnsi="Cambria"/>
        </w:rPr>
        <w:t xml:space="preserve"> de </w:t>
      </w:r>
      <w:proofErr w:type="spellStart"/>
      <w:r w:rsidRPr="0059707D">
        <w:rPr>
          <w:rFonts w:ascii="Cambria" w:hAnsi="Cambria"/>
        </w:rPr>
        <w:t>Derechos</w:t>
      </w:r>
      <w:proofErr w:type="spellEnd"/>
      <w:r w:rsidRPr="0059707D">
        <w:rPr>
          <w:rFonts w:ascii="Cambria" w:hAnsi="Cambria"/>
        </w:rPr>
        <w:t xml:space="preserve"> Humanos (</w:t>
      </w:r>
      <w:proofErr w:type="spellStart"/>
      <w:r w:rsidRPr="0059707D">
        <w:rPr>
          <w:rFonts w:ascii="Cambria" w:hAnsi="Cambria"/>
        </w:rPr>
        <w:t>Comunidad</w:t>
      </w:r>
      <w:proofErr w:type="spellEnd"/>
      <w:r w:rsidRPr="0059707D">
        <w:rPr>
          <w:rFonts w:ascii="Cambria" w:hAnsi="Cambria"/>
        </w:rPr>
        <w:t xml:space="preserve">) make this submission in order to inform the list of issues prior to reporting by Bolivia, to be adopted by the Committee on Economic, Social, and Cultural Rights (the Committee) at its 65th Session (Pre-Sessional Working Group). </w:t>
      </w:r>
    </w:p>
    <w:p w14:paraId="44DFB691" w14:textId="77777777" w:rsidR="00D4220C" w:rsidRPr="0059707D" w:rsidRDefault="00D4220C" w:rsidP="003B5A15">
      <w:pPr>
        <w:pStyle w:val="ListParagraph"/>
        <w:ind w:left="567"/>
        <w:jc w:val="both"/>
        <w:rPr>
          <w:rFonts w:ascii="Cambria" w:hAnsi="Cambria"/>
        </w:rPr>
      </w:pPr>
    </w:p>
    <w:p w14:paraId="556BA0AE" w14:textId="77777777"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This joint submission has been produced in the context of a three-year initiative funded by the European Union and implemented in Bolivia by the Trust in collaboration with </w:t>
      </w:r>
      <w:proofErr w:type="spellStart"/>
      <w:r w:rsidRPr="0059707D">
        <w:rPr>
          <w:rFonts w:ascii="Cambria" w:hAnsi="Cambria"/>
        </w:rPr>
        <w:t>Comunidad</w:t>
      </w:r>
      <w:proofErr w:type="spellEnd"/>
      <w:r w:rsidRPr="0059707D">
        <w:rPr>
          <w:rFonts w:ascii="Cambria" w:hAnsi="Cambria"/>
        </w:rPr>
        <w:t xml:space="preserve">. Our aim is to improve the implementation of Bolivia’s obligations in respect of the rights to equality and non-discrimination in UN human rights Conventions, including the International Covenant on Economic, Social, and Cultural Rights (the Covenant). </w:t>
      </w:r>
    </w:p>
    <w:p w14:paraId="1D002268" w14:textId="77777777" w:rsidR="00D4220C" w:rsidRPr="0059707D" w:rsidRDefault="00D4220C" w:rsidP="003B5A15">
      <w:pPr>
        <w:pStyle w:val="ListParagraph"/>
        <w:ind w:left="567"/>
        <w:jc w:val="both"/>
        <w:rPr>
          <w:rFonts w:ascii="Cambria" w:hAnsi="Cambria"/>
        </w:rPr>
      </w:pPr>
    </w:p>
    <w:p w14:paraId="2934B88A" w14:textId="67D002FE"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The Trust is an independent international organisation whose mission is to eliminate discrimination and ensure that everyone can participate in society on an equal basis. We work in partnership with equality defenders around the world to secure the adoption and implementation of comprehensive equality laws. Over the last decade, we have supported partners  in more than 45 countries to combat discrimination and promote equality through law reform and improved implementation. </w:t>
      </w:r>
    </w:p>
    <w:p w14:paraId="669847EB" w14:textId="77777777" w:rsidR="00D4220C" w:rsidRPr="0059707D" w:rsidRDefault="00D4220C" w:rsidP="003B5A15">
      <w:pPr>
        <w:pStyle w:val="ListParagraph"/>
        <w:ind w:left="567"/>
        <w:jc w:val="both"/>
        <w:rPr>
          <w:rFonts w:ascii="Cambria" w:hAnsi="Cambria"/>
        </w:rPr>
      </w:pPr>
    </w:p>
    <w:p w14:paraId="7B0BEEA4" w14:textId="794DC684" w:rsidR="00D4220C" w:rsidRPr="0059707D" w:rsidRDefault="00D4220C" w:rsidP="003B5A15">
      <w:pPr>
        <w:pStyle w:val="ListParagraph"/>
        <w:numPr>
          <w:ilvl w:val="0"/>
          <w:numId w:val="20"/>
        </w:numPr>
        <w:jc w:val="both"/>
        <w:rPr>
          <w:rFonts w:ascii="Cambria" w:hAnsi="Cambria"/>
        </w:rPr>
      </w:pPr>
      <w:proofErr w:type="spellStart"/>
      <w:r w:rsidRPr="0059707D">
        <w:rPr>
          <w:rFonts w:ascii="Cambria" w:hAnsi="Cambria"/>
        </w:rPr>
        <w:t>Comunidad</w:t>
      </w:r>
      <w:proofErr w:type="spellEnd"/>
      <w:r w:rsidRPr="0059707D">
        <w:rPr>
          <w:rFonts w:ascii="Cambria" w:hAnsi="Cambria"/>
        </w:rPr>
        <w:t xml:space="preserve"> is a network of public and private organisations and institutions working to promote human rights through coordinated actions of its members to strengthen the promotion and protection of human rights in Bolivia. Among other initiatives, it has </w:t>
      </w:r>
      <w:r w:rsidR="00DC1F5F" w:rsidRPr="0059707D">
        <w:rPr>
          <w:rFonts w:ascii="Cambria" w:hAnsi="Cambria"/>
        </w:rPr>
        <w:t>been a member of</w:t>
      </w:r>
      <w:r w:rsidRPr="0059707D">
        <w:rPr>
          <w:rFonts w:ascii="Cambria" w:hAnsi="Cambria"/>
        </w:rPr>
        <w:t xml:space="preserve"> la Red Contra el </w:t>
      </w:r>
      <w:proofErr w:type="spellStart"/>
      <w:r w:rsidRPr="0059707D">
        <w:rPr>
          <w:rFonts w:ascii="Cambria" w:hAnsi="Cambria"/>
        </w:rPr>
        <w:t>Racismo</w:t>
      </w:r>
      <w:proofErr w:type="spellEnd"/>
      <w:r w:rsidRPr="0059707D">
        <w:rPr>
          <w:rFonts w:ascii="Cambria" w:hAnsi="Cambria"/>
        </w:rPr>
        <w:t xml:space="preserve">, la Discriminación y la </w:t>
      </w:r>
      <w:proofErr w:type="spellStart"/>
      <w:r w:rsidRPr="0059707D">
        <w:rPr>
          <w:rFonts w:ascii="Cambria" w:hAnsi="Cambria"/>
        </w:rPr>
        <w:t>Impunidad</w:t>
      </w:r>
      <w:proofErr w:type="spellEnd"/>
      <w:r w:rsidRPr="0059707D">
        <w:rPr>
          <w:rFonts w:ascii="Cambria" w:hAnsi="Cambria"/>
        </w:rPr>
        <w:t xml:space="preserve"> (The Network Against Racism, Discrimination and Impunity) and </w:t>
      </w:r>
      <w:r w:rsidR="00DC1F5F" w:rsidRPr="0059707D">
        <w:rPr>
          <w:rFonts w:ascii="Cambria" w:hAnsi="Cambria"/>
        </w:rPr>
        <w:t>has been one of the leading organizations in the adoption and implementation of comprehensive anti-discrimination law  in Bolivia.</w:t>
      </w:r>
    </w:p>
    <w:p w14:paraId="08EAFC85" w14:textId="77777777" w:rsidR="00D4220C" w:rsidRPr="0059707D" w:rsidRDefault="00D4220C" w:rsidP="003B5A15">
      <w:pPr>
        <w:pStyle w:val="ListParagraph"/>
        <w:ind w:left="567"/>
        <w:jc w:val="both"/>
        <w:rPr>
          <w:rFonts w:ascii="Cambria" w:hAnsi="Cambria"/>
        </w:rPr>
      </w:pPr>
    </w:p>
    <w:p w14:paraId="13CEF57A" w14:textId="77674E89"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This joint submission provides evidence from civil society in respect of Bolivia’s  implementation of the Covenant in light of the Third Periodic Report submitted by the State Party. The submission presents evidence collected in the development of a study on the extent to which Bolivia’s comprehensive anti-discrimination law – Ley Contra el </w:t>
      </w:r>
      <w:proofErr w:type="spellStart"/>
      <w:r w:rsidRPr="0059707D">
        <w:rPr>
          <w:rFonts w:ascii="Cambria" w:hAnsi="Cambria"/>
        </w:rPr>
        <w:t>Racismo</w:t>
      </w:r>
      <w:proofErr w:type="spellEnd"/>
      <w:r w:rsidRPr="0059707D">
        <w:rPr>
          <w:rFonts w:ascii="Cambria" w:hAnsi="Cambria"/>
        </w:rPr>
        <w:t xml:space="preserve"> y Toda Forma de Discriminación (Ley 045 of 2010) – has been effectively implemented and enforced. Part 1 examines the implementation of the existing legal framework, assessing the extent to which the State Party has met its obligations under Article 2 of the Covenant, as elaborated by the Committee in its General Comment 20.</w:t>
      </w:r>
      <w:bookmarkStart w:id="0" w:name="_Hlk18057797"/>
      <w:r w:rsidRPr="0059707D">
        <w:rPr>
          <w:vertAlign w:val="superscript"/>
        </w:rPr>
        <w:footnoteReference w:id="1"/>
      </w:r>
      <w:bookmarkEnd w:id="0"/>
      <w:r w:rsidRPr="0059707D">
        <w:rPr>
          <w:rFonts w:ascii="Cambria" w:hAnsi="Cambria"/>
        </w:rPr>
        <w:t xml:space="preserve"> Part 2 presents selected evidence of discrimination in the enjoyment of (i) Articles 6 and 7 – the rights to work and to favourable and just work conditions; (ii) Article 11 –the right to an adequate standard of living; (iii) Article 13 – the right to education; and (v) Article 14 – the right to culture.  </w:t>
      </w:r>
    </w:p>
    <w:p w14:paraId="05AC1261" w14:textId="77777777" w:rsidR="00D4220C" w:rsidRPr="0059707D" w:rsidRDefault="00D4220C" w:rsidP="003B5A15">
      <w:pPr>
        <w:pStyle w:val="ListParagraph"/>
        <w:ind w:left="567"/>
        <w:jc w:val="both"/>
        <w:rPr>
          <w:rFonts w:ascii="Cambria" w:hAnsi="Cambria"/>
        </w:rPr>
      </w:pPr>
    </w:p>
    <w:p w14:paraId="6AEBC58E" w14:textId="78CF0776" w:rsidR="00D4220C" w:rsidRPr="0059707D" w:rsidRDefault="00D4220C" w:rsidP="003B5A15">
      <w:pPr>
        <w:pStyle w:val="ListParagraph"/>
        <w:numPr>
          <w:ilvl w:val="0"/>
          <w:numId w:val="20"/>
        </w:numPr>
        <w:jc w:val="both"/>
        <w:rPr>
          <w:rFonts w:ascii="Cambria" w:hAnsi="Cambria"/>
        </w:rPr>
      </w:pPr>
      <w:r w:rsidRPr="0059707D">
        <w:rPr>
          <w:rFonts w:ascii="Cambria" w:hAnsi="Cambria"/>
        </w:rPr>
        <w:lastRenderedPageBreak/>
        <w:t>In discussing the adequacy of Bolivia’s legal framework on equality and non-discrimination in Part 1, this submission relies in part upon the Declaration of Principles on Equality,</w:t>
      </w:r>
      <w:bookmarkStart w:id="1" w:name="_Hlk18058010"/>
      <w:r w:rsidRPr="0059707D">
        <w:rPr>
          <w:rFonts w:ascii="Cambria" w:hAnsi="Cambria"/>
          <w:vertAlign w:val="superscript"/>
        </w:rPr>
        <w:footnoteReference w:id="2"/>
      </w:r>
      <w:bookmarkEnd w:id="1"/>
      <w:r w:rsidRPr="0059707D">
        <w:rPr>
          <w:rFonts w:ascii="Cambria" w:hAnsi="Cambria"/>
        </w:rPr>
        <w:t xml:space="preserve"> a document of international best practice on equality. The Declaration was drafted and adopted in 2008 by 128 prominent human rights and equality advocates and experts and has been described as “the current international understanding of Principles on Equality”.</w:t>
      </w:r>
      <w:bookmarkStart w:id="2" w:name="_Hlk18058200"/>
      <w:r w:rsidRPr="0059707D">
        <w:rPr>
          <w:rFonts w:ascii="Cambria" w:hAnsi="Cambria"/>
          <w:vertAlign w:val="superscript"/>
        </w:rPr>
        <w:footnoteReference w:id="3"/>
      </w:r>
      <w:bookmarkEnd w:id="2"/>
      <w:r w:rsidRPr="0059707D">
        <w:rPr>
          <w:rFonts w:ascii="Cambria" w:hAnsi="Cambria"/>
          <w:vertAlign w:val="superscript"/>
        </w:rPr>
        <w:t xml:space="preserve"> </w:t>
      </w:r>
    </w:p>
    <w:p w14:paraId="5D7F7642" w14:textId="77777777" w:rsidR="007D34C0" w:rsidRPr="0059707D" w:rsidRDefault="007D34C0" w:rsidP="003B5A15">
      <w:pPr>
        <w:spacing w:after="0" w:line="240" w:lineRule="auto"/>
        <w:jc w:val="both"/>
        <w:rPr>
          <w:rFonts w:ascii="Cambria" w:hAnsi="Cambria"/>
          <w:b/>
          <w:u w:val="single"/>
        </w:rPr>
      </w:pPr>
    </w:p>
    <w:p w14:paraId="08E60F85" w14:textId="6E841DFD" w:rsidR="00D4220C" w:rsidRPr="0059707D" w:rsidRDefault="00D4220C" w:rsidP="003B5A15">
      <w:pPr>
        <w:spacing w:after="0" w:line="240" w:lineRule="auto"/>
        <w:jc w:val="both"/>
        <w:rPr>
          <w:rFonts w:ascii="Cambria" w:hAnsi="Cambria"/>
          <w:b/>
          <w:u w:val="single"/>
        </w:rPr>
      </w:pPr>
      <w:r w:rsidRPr="0059707D">
        <w:rPr>
          <w:rFonts w:ascii="Cambria" w:hAnsi="Cambria"/>
          <w:b/>
          <w:u w:val="single"/>
        </w:rPr>
        <w:t xml:space="preserve">Article 2(2): The Legal Framework </w:t>
      </w:r>
    </w:p>
    <w:p w14:paraId="1E3FD0E4" w14:textId="77777777" w:rsidR="003B5A15" w:rsidRPr="0059707D" w:rsidRDefault="003B5A15" w:rsidP="003B5A15">
      <w:pPr>
        <w:spacing w:after="0" w:line="240" w:lineRule="auto"/>
        <w:jc w:val="both"/>
        <w:rPr>
          <w:rFonts w:ascii="Cambria" w:hAnsi="Cambria"/>
          <w:b/>
          <w:u w:val="single"/>
        </w:rPr>
      </w:pPr>
    </w:p>
    <w:p w14:paraId="7CEE12FE" w14:textId="77777777" w:rsidR="00D4220C" w:rsidRPr="0059707D" w:rsidRDefault="00D4220C" w:rsidP="003B5A15">
      <w:pPr>
        <w:pStyle w:val="ListParagraph"/>
        <w:numPr>
          <w:ilvl w:val="0"/>
          <w:numId w:val="20"/>
        </w:numPr>
        <w:jc w:val="both"/>
        <w:rPr>
          <w:rFonts w:ascii="Cambria" w:hAnsi="Cambria"/>
          <w:i/>
          <w:iCs/>
        </w:rPr>
      </w:pPr>
      <w:r w:rsidRPr="0059707D">
        <w:rPr>
          <w:rFonts w:ascii="Cambria" w:hAnsi="Cambria"/>
        </w:rPr>
        <w:t>As the Committee has noted in its General Comment 20, States Parties are obligated, under Article 2(2) of the Covenant to enact specific, comprehensive anti-discrimination law.</w:t>
      </w:r>
      <w:bookmarkStart w:id="3" w:name="_Hlk18058690"/>
      <w:r w:rsidRPr="0059707D">
        <w:rPr>
          <w:rStyle w:val="FootnoteReference"/>
          <w:rFonts w:ascii="Cambria" w:hAnsi="Cambria"/>
        </w:rPr>
        <w:footnoteReference w:id="4"/>
      </w:r>
      <w:bookmarkEnd w:id="3"/>
      <w:r w:rsidRPr="0059707D">
        <w:rPr>
          <w:rFonts w:ascii="Cambria" w:hAnsi="Cambria"/>
        </w:rPr>
        <w:t xml:space="preserve"> In order to be genuinely comprehensive, such legislation must prohibit direct and indirect discrimination,</w:t>
      </w:r>
      <w:r w:rsidRPr="0059707D">
        <w:rPr>
          <w:rStyle w:val="FootnoteReference"/>
          <w:rFonts w:ascii="Cambria" w:hAnsi="Cambria"/>
        </w:rPr>
        <w:footnoteReference w:id="5"/>
      </w:r>
      <w:r w:rsidRPr="0059707D">
        <w:rPr>
          <w:rFonts w:ascii="Cambria" w:hAnsi="Cambria"/>
        </w:rPr>
        <w:t xml:space="preserve"> harassment</w:t>
      </w:r>
      <w:bookmarkStart w:id="5" w:name="_Hlk18059182"/>
      <w:r w:rsidRPr="0059707D">
        <w:rPr>
          <w:rStyle w:val="FootnoteReference"/>
          <w:rFonts w:ascii="Cambria" w:hAnsi="Cambria"/>
        </w:rPr>
        <w:footnoteReference w:id="6"/>
      </w:r>
      <w:bookmarkEnd w:id="5"/>
      <w:r w:rsidRPr="0059707D">
        <w:rPr>
          <w:rFonts w:ascii="Cambria" w:hAnsi="Cambria"/>
        </w:rPr>
        <w:t xml:space="preserve"> and failure to make reasonable accommodation,</w:t>
      </w:r>
      <w:bookmarkStart w:id="6" w:name="_Hlk18059293"/>
      <w:r w:rsidRPr="0059707D">
        <w:rPr>
          <w:rStyle w:val="FootnoteReference"/>
          <w:rFonts w:ascii="Cambria" w:hAnsi="Cambria"/>
        </w:rPr>
        <w:footnoteReference w:id="7"/>
      </w:r>
      <w:bookmarkEnd w:id="6"/>
      <w:r w:rsidRPr="0059707D">
        <w:rPr>
          <w:rFonts w:ascii="Cambria" w:hAnsi="Cambria"/>
        </w:rPr>
        <w:t xml:space="preserve"> on an extensive and open-ended list of grounds,</w:t>
      </w:r>
      <w:bookmarkStart w:id="7" w:name="_Hlk18059369"/>
      <w:r w:rsidRPr="0059707D">
        <w:rPr>
          <w:rStyle w:val="FootnoteReference"/>
          <w:rFonts w:ascii="Cambria" w:hAnsi="Cambria"/>
        </w:rPr>
        <w:footnoteReference w:id="8"/>
      </w:r>
      <w:bookmarkEnd w:id="7"/>
      <w:r w:rsidRPr="0059707D">
        <w:rPr>
          <w:rFonts w:ascii="Cambria" w:hAnsi="Cambria"/>
        </w:rPr>
        <w:t xml:space="preserve"> in all areas of life regulated by law.</w:t>
      </w:r>
      <w:bookmarkStart w:id="8" w:name="_Hlk18059417"/>
      <w:r w:rsidRPr="0059707D">
        <w:rPr>
          <w:rStyle w:val="FootnoteReference"/>
          <w:rFonts w:ascii="Cambria" w:hAnsi="Cambria"/>
        </w:rPr>
        <w:footnoteReference w:id="9"/>
      </w:r>
      <w:bookmarkEnd w:id="8"/>
      <w:r w:rsidRPr="0059707D">
        <w:rPr>
          <w:rFonts w:ascii="Cambria" w:hAnsi="Cambria"/>
        </w:rPr>
        <w:t xml:space="preserve">  It must also ensure that the procedure for bringing claims of discrimination is accessible, through measures including the transfer of the burden of proof,</w:t>
      </w:r>
      <w:bookmarkStart w:id="9" w:name="_Hlk18059504"/>
      <w:r w:rsidRPr="0059707D">
        <w:rPr>
          <w:rStyle w:val="FootnoteReference"/>
          <w:rFonts w:ascii="Cambria" w:hAnsi="Cambria"/>
        </w:rPr>
        <w:footnoteReference w:id="10"/>
      </w:r>
      <w:bookmarkEnd w:id="9"/>
      <w:r w:rsidRPr="0059707D">
        <w:rPr>
          <w:rFonts w:ascii="Cambria" w:hAnsi="Cambria"/>
        </w:rPr>
        <w:t xml:space="preserve"> and provide for the adoption of positive action measures in cases of substantive inequality.</w:t>
      </w:r>
      <w:bookmarkStart w:id="10" w:name="_Hlk18059572"/>
      <w:r w:rsidRPr="0059707D">
        <w:rPr>
          <w:rStyle w:val="FootnoteReference"/>
          <w:rFonts w:ascii="Cambria" w:hAnsi="Cambria"/>
        </w:rPr>
        <w:footnoteReference w:id="11"/>
      </w:r>
      <w:r w:rsidRPr="0059707D">
        <w:rPr>
          <w:rFonts w:ascii="Cambria" w:hAnsi="Cambria"/>
        </w:rPr>
        <w:t xml:space="preserve"> </w:t>
      </w:r>
      <w:bookmarkEnd w:id="10"/>
    </w:p>
    <w:p w14:paraId="545B8485" w14:textId="77777777" w:rsidR="00D4220C" w:rsidRPr="0059707D" w:rsidRDefault="00D4220C" w:rsidP="003B5A15">
      <w:pPr>
        <w:pStyle w:val="ListParagraph"/>
        <w:ind w:left="567" w:hanging="567"/>
        <w:jc w:val="both"/>
        <w:rPr>
          <w:rFonts w:ascii="Cambria" w:hAnsi="Cambria"/>
          <w:i/>
          <w:iCs/>
        </w:rPr>
      </w:pPr>
    </w:p>
    <w:p w14:paraId="55F7D209" w14:textId="33E25B72" w:rsidR="00D4220C" w:rsidRPr="0059707D" w:rsidRDefault="00D4220C" w:rsidP="003B5A15">
      <w:pPr>
        <w:pStyle w:val="ListParagraph"/>
        <w:numPr>
          <w:ilvl w:val="0"/>
          <w:numId w:val="20"/>
        </w:numPr>
        <w:jc w:val="both"/>
        <w:rPr>
          <w:rFonts w:ascii="Cambria" w:hAnsi="Cambria"/>
          <w:i/>
          <w:iCs/>
        </w:rPr>
      </w:pPr>
      <w:r w:rsidRPr="0059707D">
        <w:rPr>
          <w:rFonts w:ascii="Cambria" w:hAnsi="Cambria"/>
        </w:rPr>
        <w:t>Pursuant to t</w:t>
      </w:r>
      <w:r w:rsidR="003B5A15" w:rsidRPr="0059707D">
        <w:rPr>
          <w:rFonts w:ascii="Cambria" w:hAnsi="Cambria"/>
        </w:rPr>
        <w:t>hese</w:t>
      </w:r>
      <w:r w:rsidRPr="0059707D">
        <w:rPr>
          <w:rFonts w:ascii="Cambria" w:hAnsi="Cambria"/>
        </w:rPr>
        <w:t xml:space="preserve"> obligation</w:t>
      </w:r>
      <w:r w:rsidR="003B5A15" w:rsidRPr="0059707D">
        <w:rPr>
          <w:rFonts w:ascii="Cambria" w:hAnsi="Cambria"/>
        </w:rPr>
        <w:t>s</w:t>
      </w:r>
      <w:r w:rsidRPr="0059707D">
        <w:rPr>
          <w:rFonts w:ascii="Cambria" w:hAnsi="Cambria"/>
        </w:rPr>
        <w:t xml:space="preserve">, in 2010, Bolivia adopted </w:t>
      </w:r>
      <w:r w:rsidRPr="0059707D">
        <w:rPr>
          <w:rFonts w:ascii="Cambria" w:hAnsi="Cambria"/>
          <w:i/>
          <w:iCs/>
        </w:rPr>
        <w:t>Law 045 of 2010</w:t>
      </w:r>
      <w:r w:rsidRPr="0059707D">
        <w:rPr>
          <w:rFonts w:ascii="Cambria" w:hAnsi="Cambria"/>
        </w:rPr>
        <w:t xml:space="preserve"> </w:t>
      </w:r>
      <w:r w:rsidRPr="0059707D">
        <w:rPr>
          <w:rFonts w:ascii="Cambria" w:hAnsi="Cambria"/>
          <w:i/>
          <w:iCs/>
        </w:rPr>
        <w:t xml:space="preserve">Against Racism and All Forms of Discrimination </w:t>
      </w:r>
      <w:r w:rsidRPr="0059707D">
        <w:rPr>
          <w:rFonts w:ascii="Cambria" w:hAnsi="Cambria"/>
        </w:rPr>
        <w:t>(Law 045)</w:t>
      </w:r>
      <w:r w:rsidRPr="0059707D">
        <w:rPr>
          <w:rFonts w:ascii="Cambria" w:hAnsi="Cambria"/>
          <w:i/>
          <w:iCs/>
        </w:rPr>
        <w:t xml:space="preserve">. </w:t>
      </w:r>
      <w:r w:rsidRPr="0059707D">
        <w:rPr>
          <w:rFonts w:ascii="Cambria" w:hAnsi="Cambria"/>
        </w:rPr>
        <w:t xml:space="preserve">While Law 045 complies in many respects with the requirements which the Committee has elaborated in its General Comment 20, there have been great difficulties in its substantive implementation. Although the Law is considered to have some deterrent effect and there has been progress regarding general awareness of it, such that citizens </w:t>
      </w:r>
      <w:r w:rsidR="00DC1F5F" w:rsidRPr="0059707D">
        <w:rPr>
          <w:rFonts w:ascii="Cambria" w:hAnsi="Cambria"/>
        </w:rPr>
        <w:t>undertake legal action</w:t>
      </w:r>
      <w:r w:rsidRPr="0059707D">
        <w:rPr>
          <w:rFonts w:ascii="Cambria" w:hAnsi="Cambria"/>
        </w:rPr>
        <w:t xml:space="preserve"> based upon it,</w:t>
      </w:r>
      <w:bookmarkStart w:id="11" w:name="_Hlk18060708"/>
      <w:r w:rsidRPr="0059707D">
        <w:rPr>
          <w:rStyle w:val="FootnoteReference"/>
          <w:rFonts w:ascii="Cambria" w:hAnsi="Cambria"/>
        </w:rPr>
        <w:footnoteReference w:id="12"/>
      </w:r>
      <w:bookmarkEnd w:id="11"/>
      <w:r w:rsidRPr="0059707D">
        <w:rPr>
          <w:rFonts w:ascii="Cambria" w:hAnsi="Cambria"/>
        </w:rPr>
        <w:t xml:space="preserve"> implement</w:t>
      </w:r>
      <w:r w:rsidR="00DC1F5F" w:rsidRPr="0059707D">
        <w:rPr>
          <w:rFonts w:ascii="Cambria" w:hAnsi="Cambria"/>
        </w:rPr>
        <w:t>ation</w:t>
      </w:r>
      <w:r w:rsidRPr="0059707D">
        <w:rPr>
          <w:rFonts w:ascii="Cambria" w:hAnsi="Cambria"/>
        </w:rPr>
        <w:t xml:space="preserve"> and enforce</w:t>
      </w:r>
      <w:r w:rsidR="00DC1F5F" w:rsidRPr="0059707D">
        <w:rPr>
          <w:rFonts w:ascii="Cambria" w:hAnsi="Cambria"/>
        </w:rPr>
        <w:t>ment are inadequate</w:t>
      </w:r>
      <w:r w:rsidRPr="0059707D">
        <w:rPr>
          <w:rFonts w:ascii="Cambria" w:hAnsi="Cambria"/>
        </w:rPr>
        <w:t>.</w:t>
      </w:r>
    </w:p>
    <w:p w14:paraId="1F417671" w14:textId="77777777" w:rsidR="00D4220C" w:rsidRPr="0059707D" w:rsidRDefault="00D4220C" w:rsidP="003B5A15">
      <w:pPr>
        <w:pStyle w:val="ListParagraph"/>
        <w:ind w:left="567" w:hanging="567"/>
        <w:rPr>
          <w:rFonts w:ascii="Cambria" w:hAnsi="Cambria"/>
        </w:rPr>
      </w:pPr>
    </w:p>
    <w:p w14:paraId="4706A397" w14:textId="472A35C8" w:rsidR="00D4220C" w:rsidRPr="0059707D" w:rsidRDefault="003B5A15" w:rsidP="003B5A15">
      <w:pPr>
        <w:pStyle w:val="ListParagraph"/>
        <w:ind w:left="567" w:hanging="567"/>
        <w:rPr>
          <w:rFonts w:ascii="Cambria" w:hAnsi="Cambria"/>
          <w:b/>
          <w:bCs/>
          <w:i/>
          <w:iCs/>
        </w:rPr>
      </w:pPr>
      <w:r w:rsidRPr="0059707D">
        <w:rPr>
          <w:rFonts w:ascii="Cambria" w:hAnsi="Cambria"/>
          <w:b/>
          <w:bCs/>
          <w:i/>
          <w:iCs/>
        </w:rPr>
        <w:t>Access to Justice</w:t>
      </w:r>
    </w:p>
    <w:p w14:paraId="395E2062" w14:textId="77777777" w:rsidR="003B5A15" w:rsidRPr="0059707D" w:rsidRDefault="003B5A15" w:rsidP="003B5A15">
      <w:pPr>
        <w:pStyle w:val="ListParagraph"/>
        <w:ind w:left="567" w:hanging="567"/>
        <w:rPr>
          <w:rFonts w:ascii="Cambria" w:hAnsi="Cambria"/>
          <w:b/>
          <w:bCs/>
          <w:i/>
          <w:iCs/>
          <w:u w:val="single"/>
        </w:rPr>
      </w:pPr>
    </w:p>
    <w:p w14:paraId="64BEAB19" w14:textId="77777777" w:rsidR="00D4220C" w:rsidRPr="0059707D" w:rsidRDefault="00D4220C" w:rsidP="003B5A15">
      <w:pPr>
        <w:pStyle w:val="ListParagraph"/>
        <w:numPr>
          <w:ilvl w:val="0"/>
          <w:numId w:val="20"/>
        </w:numPr>
        <w:jc w:val="both"/>
        <w:rPr>
          <w:rFonts w:ascii="Cambria" w:hAnsi="Cambria"/>
          <w:u w:val="single"/>
        </w:rPr>
      </w:pPr>
      <w:r w:rsidRPr="0059707D">
        <w:rPr>
          <w:rFonts w:ascii="Cambria" w:hAnsi="Cambria"/>
        </w:rPr>
        <w:t>As the Committee has noted, State Parties must ensure the existence of mechanisms and institutions that may effectively address the individual and structural nature of the harm caused by discrimination</w:t>
      </w:r>
      <w:bookmarkStart w:id="12" w:name="_Hlk18060059"/>
      <w:r w:rsidRPr="0059707D">
        <w:rPr>
          <w:rStyle w:val="FootnoteReference"/>
          <w:rFonts w:ascii="Cambria" w:hAnsi="Cambria"/>
        </w:rPr>
        <w:footnoteReference w:id="13"/>
      </w:r>
      <w:bookmarkEnd w:id="12"/>
      <w:r w:rsidRPr="0059707D">
        <w:rPr>
          <w:rFonts w:ascii="Cambria" w:hAnsi="Cambria"/>
        </w:rPr>
        <w:t>. Such mechanisms must be accessible to all without discrimination. In order to be considered effective, complaints must be investigated or allocated promptly, impartially, and independently, addressing all alleged violations and providing effective remedies.</w:t>
      </w:r>
      <w:bookmarkStart w:id="13" w:name="_Hlk18060243"/>
      <w:r w:rsidRPr="0059707D">
        <w:rPr>
          <w:rStyle w:val="FootnoteReference"/>
          <w:rFonts w:ascii="Cambria" w:hAnsi="Cambria"/>
        </w:rPr>
        <w:footnoteReference w:id="14"/>
      </w:r>
      <w:bookmarkEnd w:id="13"/>
    </w:p>
    <w:p w14:paraId="46CB92BC" w14:textId="77777777" w:rsidR="003B5A15" w:rsidRPr="0059707D" w:rsidRDefault="003B5A15" w:rsidP="003B5A15">
      <w:pPr>
        <w:pStyle w:val="ListParagraph"/>
        <w:ind w:left="567"/>
        <w:rPr>
          <w:rFonts w:ascii="Cambria" w:hAnsi="Cambria"/>
          <w:u w:val="single"/>
        </w:rPr>
      </w:pPr>
    </w:p>
    <w:p w14:paraId="0AC91E3A" w14:textId="6FCB2B78" w:rsidR="003B5A15" w:rsidRPr="0059707D" w:rsidRDefault="003B5A15" w:rsidP="003B5A15">
      <w:pPr>
        <w:spacing w:after="0" w:line="240" w:lineRule="auto"/>
        <w:jc w:val="both"/>
        <w:rPr>
          <w:rFonts w:ascii="Cambria" w:hAnsi="Cambria"/>
          <w:i/>
          <w:iCs/>
        </w:rPr>
      </w:pPr>
      <w:r w:rsidRPr="0059707D">
        <w:rPr>
          <w:rFonts w:ascii="Cambria" w:hAnsi="Cambria"/>
          <w:i/>
          <w:iCs/>
        </w:rPr>
        <w:t>Administrative Proceedings</w:t>
      </w:r>
    </w:p>
    <w:p w14:paraId="604F933A" w14:textId="77777777" w:rsidR="003B5A15" w:rsidRPr="0059707D" w:rsidRDefault="003B5A15" w:rsidP="003B5A15">
      <w:pPr>
        <w:spacing w:after="0" w:line="240" w:lineRule="auto"/>
        <w:jc w:val="both"/>
        <w:rPr>
          <w:rFonts w:ascii="Cambria" w:hAnsi="Cambria"/>
          <w:i/>
          <w:iCs/>
        </w:rPr>
      </w:pPr>
    </w:p>
    <w:p w14:paraId="5E581540" w14:textId="2C4E2D26" w:rsidR="00D4220C" w:rsidRPr="0059707D" w:rsidRDefault="00D4220C" w:rsidP="003B5A15">
      <w:pPr>
        <w:pStyle w:val="ListParagraph"/>
        <w:numPr>
          <w:ilvl w:val="0"/>
          <w:numId w:val="20"/>
        </w:numPr>
        <w:jc w:val="both"/>
        <w:rPr>
          <w:rFonts w:ascii="Cambria" w:hAnsi="Cambria"/>
          <w:u w:val="single"/>
        </w:rPr>
      </w:pPr>
      <w:r w:rsidRPr="0059707D">
        <w:rPr>
          <w:rFonts w:ascii="Cambria" w:hAnsi="Cambria"/>
        </w:rPr>
        <w:t xml:space="preserve">Research conducted by </w:t>
      </w:r>
      <w:proofErr w:type="spellStart"/>
      <w:r w:rsidRPr="0059707D">
        <w:rPr>
          <w:rFonts w:ascii="Cambria" w:hAnsi="Cambria"/>
        </w:rPr>
        <w:t>Comunidad</w:t>
      </w:r>
      <w:proofErr w:type="spellEnd"/>
      <w:r w:rsidRPr="0059707D">
        <w:rPr>
          <w:rFonts w:ascii="Cambria" w:hAnsi="Cambria"/>
        </w:rPr>
        <w:t xml:space="preserve"> reveals that administrative, criminal, and constitutional proceedings designed to deal with discrimination have been ineffective in practice. Article 7 of </w:t>
      </w:r>
      <w:r w:rsidRPr="0059707D">
        <w:rPr>
          <w:rFonts w:ascii="Cambria" w:hAnsi="Cambria"/>
        </w:rPr>
        <w:lastRenderedPageBreak/>
        <w:t>Law 045 created the National Committee Against Racism and Discrimination (</w:t>
      </w:r>
      <w:proofErr w:type="spellStart"/>
      <w:r w:rsidRPr="0059707D">
        <w:rPr>
          <w:rFonts w:ascii="Cambria" w:hAnsi="Cambria"/>
          <w:i/>
          <w:iCs/>
        </w:rPr>
        <w:t>Comité</w:t>
      </w:r>
      <w:proofErr w:type="spellEnd"/>
      <w:r w:rsidRPr="0059707D">
        <w:rPr>
          <w:rFonts w:ascii="Cambria" w:hAnsi="Cambria"/>
          <w:i/>
          <w:iCs/>
        </w:rPr>
        <w:t xml:space="preserve"> Nacional Contra el </w:t>
      </w:r>
      <w:proofErr w:type="spellStart"/>
      <w:r w:rsidRPr="0059707D">
        <w:rPr>
          <w:rFonts w:ascii="Cambria" w:hAnsi="Cambria"/>
          <w:i/>
          <w:iCs/>
        </w:rPr>
        <w:t>Racismo</w:t>
      </w:r>
      <w:proofErr w:type="spellEnd"/>
      <w:r w:rsidRPr="0059707D">
        <w:rPr>
          <w:rFonts w:ascii="Cambria" w:hAnsi="Cambria"/>
          <w:i/>
          <w:iCs/>
        </w:rPr>
        <w:t xml:space="preserve"> y </w:t>
      </w:r>
      <w:proofErr w:type="spellStart"/>
      <w:r w:rsidRPr="0059707D">
        <w:rPr>
          <w:rFonts w:ascii="Cambria" w:hAnsi="Cambria"/>
          <w:i/>
          <w:iCs/>
        </w:rPr>
        <w:t>toda</w:t>
      </w:r>
      <w:proofErr w:type="spellEnd"/>
      <w:r w:rsidRPr="0059707D">
        <w:rPr>
          <w:rFonts w:ascii="Cambria" w:hAnsi="Cambria"/>
          <w:i/>
          <w:iCs/>
        </w:rPr>
        <w:t xml:space="preserve"> forma de Discriminación</w:t>
      </w:r>
      <w:r w:rsidRPr="0059707D">
        <w:rPr>
          <w:rFonts w:ascii="Cambria" w:hAnsi="Cambria"/>
        </w:rPr>
        <w:t>)</w:t>
      </w:r>
      <w:r w:rsidR="005D579A" w:rsidRPr="0059707D">
        <w:rPr>
          <w:rFonts w:ascii="Cambria" w:hAnsi="Cambria"/>
        </w:rPr>
        <w:t xml:space="preserve"> as a mechanism for coordination between the State and civil society</w:t>
      </w:r>
      <w:r w:rsidRPr="0059707D">
        <w:rPr>
          <w:rFonts w:ascii="Cambria" w:hAnsi="Cambria"/>
        </w:rPr>
        <w:t xml:space="preserve">. </w:t>
      </w:r>
      <w:r w:rsidR="005D579A" w:rsidRPr="0059707D">
        <w:rPr>
          <w:rFonts w:ascii="Cambria" w:hAnsi="Cambria"/>
        </w:rPr>
        <w:t>The Nationa</w:t>
      </w:r>
      <w:r w:rsidR="00F16A31" w:rsidRPr="0059707D">
        <w:rPr>
          <w:rFonts w:ascii="Cambria" w:hAnsi="Cambria"/>
        </w:rPr>
        <w:t>l</w:t>
      </w:r>
      <w:r w:rsidR="005D579A" w:rsidRPr="0059707D">
        <w:rPr>
          <w:rFonts w:ascii="Cambria" w:hAnsi="Cambria"/>
        </w:rPr>
        <w:t xml:space="preserve"> Committee has developed policies and preventative measures in different areas of public and private life</w:t>
      </w:r>
      <w:r w:rsidR="00F16A31" w:rsidRPr="0059707D">
        <w:rPr>
          <w:rFonts w:ascii="Cambria" w:hAnsi="Cambria"/>
        </w:rPr>
        <w:t xml:space="preserve"> </w:t>
      </w:r>
      <w:r w:rsidR="005D579A" w:rsidRPr="0059707D">
        <w:rPr>
          <w:rFonts w:ascii="Cambria" w:hAnsi="Cambria"/>
        </w:rPr>
        <w:t>and has registered and monitored complaints.</w:t>
      </w:r>
      <w:r w:rsidR="00F16A31" w:rsidRPr="0059707D">
        <w:rPr>
          <w:rFonts w:ascii="Cambria" w:hAnsi="Cambria"/>
        </w:rPr>
        <w:t xml:space="preserve"> Since the enactment of the Law, eight Departmental Committees have been created under the National Committee, but only three are operational.</w:t>
      </w:r>
    </w:p>
    <w:p w14:paraId="5969A8CD" w14:textId="77777777" w:rsidR="003B5A15" w:rsidRPr="0059707D" w:rsidRDefault="003B5A15" w:rsidP="003B5A15">
      <w:pPr>
        <w:pStyle w:val="ListParagraph"/>
        <w:ind w:left="567" w:hanging="567"/>
        <w:jc w:val="both"/>
        <w:rPr>
          <w:rFonts w:ascii="Cambria" w:hAnsi="Cambria"/>
          <w:i/>
          <w:iCs/>
        </w:rPr>
      </w:pPr>
    </w:p>
    <w:p w14:paraId="11780D8D" w14:textId="212CF1DB"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Moreover, out of 195 cases reported by the Direction of the Fight Against Racism and All Forms of Discrimination </w:t>
      </w:r>
      <w:bookmarkStart w:id="14" w:name="_GoBack"/>
      <w:r w:rsidRPr="0059707D">
        <w:rPr>
          <w:rFonts w:ascii="Cambria" w:hAnsi="Cambria"/>
        </w:rPr>
        <w:t xml:space="preserve">in 2017 </w:t>
      </w:r>
      <w:bookmarkEnd w:id="14"/>
      <w:r w:rsidRPr="0059707D">
        <w:rPr>
          <w:rFonts w:ascii="Cambria" w:hAnsi="Cambria"/>
        </w:rPr>
        <w:t>(</w:t>
      </w:r>
      <w:proofErr w:type="spellStart"/>
      <w:r w:rsidRPr="0059707D">
        <w:rPr>
          <w:rFonts w:ascii="Cambria" w:hAnsi="Cambria"/>
          <w:i/>
          <w:iCs/>
        </w:rPr>
        <w:t>Dirección</w:t>
      </w:r>
      <w:proofErr w:type="spellEnd"/>
      <w:r w:rsidRPr="0059707D">
        <w:rPr>
          <w:rFonts w:ascii="Cambria" w:hAnsi="Cambria"/>
          <w:i/>
          <w:iCs/>
        </w:rPr>
        <w:t xml:space="preserve"> de </w:t>
      </w:r>
      <w:proofErr w:type="spellStart"/>
      <w:r w:rsidRPr="0059707D">
        <w:rPr>
          <w:rFonts w:ascii="Cambria" w:hAnsi="Cambria"/>
          <w:i/>
          <w:iCs/>
        </w:rPr>
        <w:t>Lucha</w:t>
      </w:r>
      <w:proofErr w:type="spellEnd"/>
      <w:r w:rsidRPr="0059707D">
        <w:rPr>
          <w:rFonts w:ascii="Cambria" w:hAnsi="Cambria"/>
          <w:i/>
          <w:iCs/>
        </w:rPr>
        <w:t xml:space="preserve"> contra el </w:t>
      </w:r>
      <w:proofErr w:type="spellStart"/>
      <w:r w:rsidRPr="0059707D">
        <w:rPr>
          <w:rFonts w:ascii="Cambria" w:hAnsi="Cambria"/>
          <w:i/>
          <w:iCs/>
        </w:rPr>
        <w:t>Racismo</w:t>
      </w:r>
      <w:proofErr w:type="spellEnd"/>
      <w:r w:rsidRPr="0059707D">
        <w:rPr>
          <w:rFonts w:ascii="Cambria" w:hAnsi="Cambria"/>
          <w:i/>
          <w:iCs/>
        </w:rPr>
        <w:t xml:space="preserve"> y Toda Forma de Discriminación</w:t>
      </w:r>
      <w:r w:rsidRPr="0059707D">
        <w:rPr>
          <w:rFonts w:ascii="Cambria" w:hAnsi="Cambria"/>
        </w:rPr>
        <w:t>), 114 of the claims were made against public officials</w:t>
      </w:r>
      <w:bookmarkStart w:id="15" w:name="_Hlk18060665"/>
      <w:r w:rsidR="00F16A31" w:rsidRPr="0059707D">
        <w:rPr>
          <w:rFonts w:ascii="Cambria" w:hAnsi="Cambria"/>
        </w:rPr>
        <w:t>.</w:t>
      </w:r>
      <w:r w:rsidRPr="0059707D">
        <w:rPr>
          <w:rStyle w:val="FootnoteReference"/>
          <w:rFonts w:ascii="Cambria" w:hAnsi="Cambria"/>
        </w:rPr>
        <w:footnoteReference w:id="15"/>
      </w:r>
      <w:bookmarkEnd w:id="15"/>
      <w:r w:rsidRPr="0059707D">
        <w:rPr>
          <w:rFonts w:ascii="Cambria" w:hAnsi="Cambria"/>
        </w:rPr>
        <w:t xml:space="preserve"> </w:t>
      </w:r>
      <w:proofErr w:type="spellStart"/>
      <w:r w:rsidR="00D11CC8" w:rsidRPr="0059707D">
        <w:rPr>
          <w:rFonts w:ascii="Cambria" w:hAnsi="Cambria"/>
        </w:rPr>
        <w:t>Comunidad’s</w:t>
      </w:r>
      <w:proofErr w:type="spellEnd"/>
      <w:r w:rsidR="00D11CC8" w:rsidRPr="0059707D">
        <w:rPr>
          <w:rFonts w:ascii="Cambria" w:hAnsi="Cambria"/>
        </w:rPr>
        <w:t xml:space="preserve"> interviews with key stakeholders also highlighted concerns that public officials responsible for handling administrative claims are biased by colonial, racist, and sexist prejudice, leading to the maintenance and reproduction of discriminatory practices across the population.</w:t>
      </w:r>
      <w:bookmarkStart w:id="16" w:name="_Hlk18060969"/>
      <w:r w:rsidR="00D11CC8" w:rsidRPr="0059707D">
        <w:rPr>
          <w:rStyle w:val="FootnoteReference"/>
          <w:rFonts w:ascii="Cambria" w:hAnsi="Cambria"/>
        </w:rPr>
        <w:footnoteReference w:id="16"/>
      </w:r>
      <w:bookmarkEnd w:id="16"/>
      <w:r w:rsidR="00D11CC8" w:rsidRPr="0059707D">
        <w:rPr>
          <w:rFonts w:ascii="Cambria" w:hAnsi="Cambria"/>
        </w:rPr>
        <w:t xml:space="preserve"> </w:t>
      </w:r>
      <w:r w:rsidRPr="0059707D">
        <w:rPr>
          <w:rFonts w:ascii="Cambria" w:hAnsi="Cambria"/>
        </w:rPr>
        <w:t xml:space="preserve">Between 2013 and April 2018, only 13% of cases </w:t>
      </w:r>
      <w:r w:rsidR="00F16A31" w:rsidRPr="0059707D">
        <w:rPr>
          <w:rFonts w:ascii="Cambria" w:hAnsi="Cambria"/>
        </w:rPr>
        <w:t>against public officials were</w:t>
      </w:r>
      <w:r w:rsidRPr="0059707D">
        <w:rPr>
          <w:rFonts w:ascii="Cambria" w:hAnsi="Cambria"/>
        </w:rPr>
        <w:t xml:space="preserve"> resolved.</w:t>
      </w:r>
      <w:bookmarkStart w:id="17" w:name="_Hlk18061107"/>
      <w:r w:rsidRPr="0059707D">
        <w:rPr>
          <w:rStyle w:val="FootnoteReference"/>
          <w:rFonts w:ascii="Cambria" w:hAnsi="Cambria"/>
        </w:rPr>
        <w:footnoteReference w:id="17"/>
      </w:r>
      <w:bookmarkEnd w:id="17"/>
      <w:r w:rsidRPr="0059707D">
        <w:rPr>
          <w:rFonts w:ascii="Cambria" w:hAnsi="Cambria"/>
        </w:rPr>
        <w:t xml:space="preserve"> </w:t>
      </w:r>
    </w:p>
    <w:p w14:paraId="45ACA779" w14:textId="77777777" w:rsidR="00D4220C" w:rsidRPr="0059707D" w:rsidRDefault="00D4220C" w:rsidP="003B5A15">
      <w:pPr>
        <w:pStyle w:val="ListParagraph"/>
        <w:ind w:left="567" w:hanging="567"/>
        <w:rPr>
          <w:rFonts w:ascii="Cambria" w:hAnsi="Cambria"/>
        </w:rPr>
      </w:pPr>
    </w:p>
    <w:p w14:paraId="0BA1B137" w14:textId="544728E4" w:rsidR="00D4220C" w:rsidRPr="0059707D" w:rsidRDefault="00D4220C" w:rsidP="003B5A15">
      <w:pPr>
        <w:pStyle w:val="ListParagraph"/>
        <w:numPr>
          <w:ilvl w:val="0"/>
          <w:numId w:val="20"/>
        </w:numPr>
        <w:jc w:val="both"/>
        <w:rPr>
          <w:rFonts w:ascii="Cambria" w:hAnsi="Cambria"/>
        </w:rPr>
      </w:pPr>
      <w:r w:rsidRPr="0059707D">
        <w:rPr>
          <w:rFonts w:ascii="Cambria" w:hAnsi="Cambria"/>
        </w:rPr>
        <w:t xml:space="preserve">Although the State created a Protocol in 2017 </w:t>
      </w:r>
      <w:r w:rsidR="00D11CC8" w:rsidRPr="0059707D">
        <w:rPr>
          <w:rFonts w:ascii="Cambria" w:hAnsi="Cambria"/>
        </w:rPr>
        <w:t xml:space="preserve">– implemented in 20 ministries, 9 governorates and 9 municipal governments – </w:t>
      </w:r>
      <w:r w:rsidRPr="0059707D">
        <w:rPr>
          <w:rFonts w:ascii="Cambria" w:hAnsi="Cambria"/>
        </w:rPr>
        <w:t xml:space="preserve">to accelerate the handling of administrative claims, research conducted by </w:t>
      </w:r>
      <w:proofErr w:type="spellStart"/>
      <w:r w:rsidRPr="0059707D">
        <w:rPr>
          <w:rFonts w:ascii="Cambria" w:hAnsi="Cambria"/>
        </w:rPr>
        <w:t>Comunid</w:t>
      </w:r>
      <w:r w:rsidR="00D11CC8" w:rsidRPr="0059707D">
        <w:rPr>
          <w:rFonts w:ascii="Cambria" w:hAnsi="Cambria"/>
        </w:rPr>
        <w:t>ad</w:t>
      </w:r>
      <w:proofErr w:type="spellEnd"/>
      <w:r w:rsidR="00D11CC8" w:rsidRPr="0059707D">
        <w:rPr>
          <w:rFonts w:ascii="Cambria" w:hAnsi="Cambria"/>
        </w:rPr>
        <w:t xml:space="preserve"> found that there have been challenges in implementation </w:t>
      </w:r>
      <w:r w:rsidRPr="0059707D">
        <w:rPr>
          <w:rFonts w:ascii="Cambria" w:hAnsi="Cambria"/>
        </w:rPr>
        <w:t xml:space="preserve"> due to continuous changes in staff, lack of economic resources, and the fact that the officials that have competence to review these claims tend to have connections to those whom the claims are made against. </w:t>
      </w:r>
    </w:p>
    <w:p w14:paraId="3EF79C61" w14:textId="2C0F09E0" w:rsidR="003B5A15" w:rsidRPr="0059707D" w:rsidRDefault="003B5A15" w:rsidP="003B5A15">
      <w:pPr>
        <w:pStyle w:val="ListParagraph"/>
        <w:rPr>
          <w:rFonts w:ascii="Cambria" w:hAnsi="Cambria"/>
        </w:rPr>
      </w:pPr>
    </w:p>
    <w:p w14:paraId="55183FCE" w14:textId="4DE650A2" w:rsidR="00D4220C" w:rsidRPr="0059707D" w:rsidRDefault="003B5A15" w:rsidP="003B5A15">
      <w:pPr>
        <w:spacing w:after="0"/>
        <w:rPr>
          <w:rFonts w:ascii="Cambria" w:hAnsi="Cambria"/>
          <w:i/>
          <w:iCs/>
        </w:rPr>
      </w:pPr>
      <w:r w:rsidRPr="0059707D">
        <w:rPr>
          <w:rFonts w:ascii="Cambria" w:hAnsi="Cambria"/>
          <w:i/>
          <w:iCs/>
        </w:rPr>
        <w:t>Criminal Proceedings</w:t>
      </w:r>
    </w:p>
    <w:p w14:paraId="17B035CA" w14:textId="77777777" w:rsidR="003B5A15" w:rsidRPr="0059707D" w:rsidRDefault="003B5A15" w:rsidP="003B5A15">
      <w:pPr>
        <w:spacing w:after="0"/>
        <w:rPr>
          <w:rFonts w:ascii="Cambria" w:hAnsi="Cambria"/>
        </w:rPr>
      </w:pPr>
    </w:p>
    <w:p w14:paraId="1E549DDA" w14:textId="61E9DA07" w:rsidR="00D4220C" w:rsidRPr="0059707D" w:rsidRDefault="003B5A15" w:rsidP="003B5A15">
      <w:pPr>
        <w:pStyle w:val="ListParagraph"/>
        <w:numPr>
          <w:ilvl w:val="0"/>
          <w:numId w:val="20"/>
        </w:numPr>
        <w:jc w:val="both"/>
        <w:rPr>
          <w:rFonts w:ascii="Cambria" w:hAnsi="Cambria"/>
        </w:rPr>
      </w:pPr>
      <w:r w:rsidRPr="0059707D">
        <w:rPr>
          <w:rFonts w:ascii="Cambria" w:hAnsi="Cambria"/>
        </w:rPr>
        <w:t>The</w:t>
      </w:r>
      <w:r w:rsidR="00D4220C" w:rsidRPr="0059707D">
        <w:rPr>
          <w:rFonts w:ascii="Cambria" w:hAnsi="Cambria"/>
        </w:rPr>
        <w:t xml:space="preserve"> establishment of criminal sanctions for discrimination in Law 045 </w:t>
      </w:r>
      <w:r w:rsidR="00A975A0" w:rsidRPr="0059707D">
        <w:rPr>
          <w:rFonts w:ascii="Cambria" w:hAnsi="Cambria"/>
        </w:rPr>
        <w:t xml:space="preserve">poses a number of problems. </w:t>
      </w:r>
      <w:r w:rsidR="006C5DA9" w:rsidRPr="0059707D">
        <w:rPr>
          <w:rFonts w:ascii="Cambria" w:hAnsi="Cambria"/>
        </w:rPr>
        <w:t>As the Equal Rights Trust has noted elsewhere, there are numerous problems with the criminalisation of discrimination.</w:t>
      </w:r>
      <w:r w:rsidR="00330704" w:rsidRPr="0059707D">
        <w:rPr>
          <w:rStyle w:val="FootnoteReference"/>
          <w:rFonts w:ascii="Cambria" w:hAnsi="Cambria"/>
        </w:rPr>
        <w:footnoteReference w:id="18"/>
      </w:r>
      <w:r w:rsidR="006C5DA9" w:rsidRPr="0059707D">
        <w:rPr>
          <w:rFonts w:ascii="Cambria" w:hAnsi="Cambria"/>
        </w:rPr>
        <w:t xml:space="preserve"> Moreover, in Bolivia, the use of criminal sanctions </w:t>
      </w:r>
      <w:r w:rsidR="00D4220C" w:rsidRPr="0059707D">
        <w:rPr>
          <w:rFonts w:ascii="Cambria" w:hAnsi="Cambria"/>
        </w:rPr>
        <w:t>has also proved to be almost completely ine</w:t>
      </w:r>
      <w:r w:rsidR="006C5DA9" w:rsidRPr="0059707D">
        <w:rPr>
          <w:rFonts w:ascii="Cambria" w:hAnsi="Cambria"/>
        </w:rPr>
        <w:t>ffective in providing</w:t>
      </w:r>
      <w:r w:rsidR="00D4220C" w:rsidRPr="0059707D">
        <w:rPr>
          <w:rFonts w:ascii="Cambria" w:hAnsi="Cambria"/>
        </w:rPr>
        <w:t xml:space="preserve"> effective remedies against discrimination. </w:t>
      </w:r>
    </w:p>
    <w:p w14:paraId="0DC7014A" w14:textId="44F40530" w:rsidR="005E61AC" w:rsidRPr="0059707D" w:rsidRDefault="005E61AC" w:rsidP="003B5A15">
      <w:pPr>
        <w:pStyle w:val="ListParagraph"/>
        <w:ind w:left="567" w:hanging="567"/>
        <w:rPr>
          <w:rFonts w:ascii="Cambria" w:hAnsi="Cambria"/>
        </w:rPr>
      </w:pPr>
    </w:p>
    <w:p w14:paraId="287EE5E0" w14:textId="2F7F10CA" w:rsidR="00693538" w:rsidRPr="0059707D" w:rsidRDefault="00330704" w:rsidP="00330704">
      <w:pPr>
        <w:pStyle w:val="ListParagraph"/>
        <w:numPr>
          <w:ilvl w:val="0"/>
          <w:numId w:val="20"/>
        </w:numPr>
        <w:jc w:val="both"/>
        <w:rPr>
          <w:rFonts w:ascii="Cambria" w:hAnsi="Cambria"/>
        </w:rPr>
      </w:pPr>
      <w:r w:rsidRPr="0059707D">
        <w:rPr>
          <w:rFonts w:ascii="Cambria" w:hAnsi="Cambria"/>
        </w:rPr>
        <w:t xml:space="preserve">The right to non-discrimination cannot be properly and effectively enforced through recourse to criminal law penalties and criminal liability for several reasons. </w:t>
      </w:r>
      <w:r w:rsidR="006C5DA9" w:rsidRPr="0059707D">
        <w:rPr>
          <w:rFonts w:ascii="Cambria" w:hAnsi="Cambria"/>
        </w:rPr>
        <w:t>Discrimination does</w:t>
      </w:r>
      <w:r w:rsidR="00E070CE" w:rsidRPr="0059707D">
        <w:rPr>
          <w:rFonts w:ascii="Cambria" w:hAnsi="Cambria"/>
        </w:rPr>
        <w:t xml:space="preserve"> not require intent or malicious motive on the part of the discriminator (and can therefore be committed both intentionally or unintentionally)</w:t>
      </w:r>
      <w:r w:rsidR="0061311A" w:rsidRPr="0059707D">
        <w:rPr>
          <w:rFonts w:ascii="Cambria" w:hAnsi="Cambria"/>
        </w:rPr>
        <w:t>.</w:t>
      </w:r>
      <w:r w:rsidR="00E070CE" w:rsidRPr="0059707D">
        <w:rPr>
          <w:rFonts w:ascii="Cambria" w:hAnsi="Cambria"/>
          <w:vertAlign w:val="superscript"/>
        </w:rPr>
        <w:footnoteReference w:id="19"/>
      </w:r>
      <w:r w:rsidR="00E070CE" w:rsidRPr="0059707D">
        <w:rPr>
          <w:rFonts w:ascii="Cambria" w:hAnsi="Cambria"/>
          <w:vertAlign w:val="superscript"/>
        </w:rPr>
        <w:t xml:space="preserve"> </w:t>
      </w:r>
      <w:r w:rsidR="0061311A" w:rsidRPr="0059707D">
        <w:rPr>
          <w:rFonts w:ascii="Cambria" w:hAnsi="Cambria"/>
          <w:vertAlign w:val="superscript"/>
        </w:rPr>
        <w:t xml:space="preserve"> </w:t>
      </w:r>
      <w:r w:rsidR="006C5DA9" w:rsidRPr="0059707D">
        <w:rPr>
          <w:rFonts w:ascii="Cambria" w:hAnsi="Cambria"/>
        </w:rPr>
        <w:t xml:space="preserve">As such, the application of criminal sanctions </w:t>
      </w:r>
      <w:r w:rsidRPr="0059707D">
        <w:rPr>
          <w:rFonts w:ascii="Cambria" w:hAnsi="Cambria"/>
        </w:rPr>
        <w:t>is unjustified and disproportionate</w:t>
      </w:r>
      <w:r w:rsidR="006C5DA9" w:rsidRPr="0059707D">
        <w:rPr>
          <w:rFonts w:ascii="Cambria" w:hAnsi="Cambria"/>
        </w:rPr>
        <w:t xml:space="preserve">: it is clearly inappropriate to impose criminal liability in cases of indirect discrimination where rules, policies or procedures which result in disproportionate impact on certain groups may nevertheless have been implemented pursuant to legitimate aims. </w:t>
      </w:r>
      <w:r w:rsidR="00E070CE" w:rsidRPr="0059707D">
        <w:rPr>
          <w:rFonts w:ascii="Cambria" w:hAnsi="Cambria"/>
        </w:rPr>
        <w:t xml:space="preserve">Furthermore, </w:t>
      </w:r>
      <w:r w:rsidR="00577F6D" w:rsidRPr="0059707D">
        <w:rPr>
          <w:rFonts w:ascii="Cambria" w:hAnsi="Cambria"/>
        </w:rPr>
        <w:t>the effective enforcement of the right to non-discrimination requires</w:t>
      </w:r>
      <w:r w:rsidRPr="0059707D">
        <w:rPr>
          <w:rFonts w:ascii="Cambria" w:hAnsi="Cambria"/>
        </w:rPr>
        <w:t xml:space="preserve"> both the use of the civil standard of proof – the balance of probabilities rather than beyond reasonable doubt – and provision for the transfer of the </w:t>
      </w:r>
      <w:r w:rsidR="00E070CE" w:rsidRPr="0059707D">
        <w:rPr>
          <w:rFonts w:ascii="Cambria" w:hAnsi="Cambria"/>
        </w:rPr>
        <w:t>burden of proof</w:t>
      </w:r>
      <w:r w:rsidRPr="0059707D">
        <w:rPr>
          <w:rFonts w:ascii="Cambria" w:hAnsi="Cambria"/>
        </w:rPr>
        <w:t xml:space="preserve"> to the respondent. As the Committee has noted itself: “[w]here the facts and events at issue lie wholly, or in part, within the exclusive knowledge of the (…) respondent, the burden of proof should be regarded as resting on the (…) respondent”.</w:t>
      </w:r>
      <w:r w:rsidRPr="0059707D">
        <w:rPr>
          <w:rFonts w:ascii="Cambria" w:hAnsi="Cambria"/>
          <w:vertAlign w:val="superscript"/>
        </w:rPr>
        <w:footnoteReference w:id="20"/>
      </w:r>
      <w:r w:rsidRPr="0059707D">
        <w:rPr>
          <w:rFonts w:ascii="Cambria" w:hAnsi="Cambria"/>
          <w:vertAlign w:val="superscript"/>
        </w:rPr>
        <w:t xml:space="preserve"> </w:t>
      </w:r>
      <w:r w:rsidRPr="0059707D">
        <w:rPr>
          <w:rFonts w:ascii="Cambria" w:hAnsi="Cambria"/>
        </w:rPr>
        <w:t xml:space="preserve"> </w:t>
      </w:r>
      <w:r w:rsidR="00D140F6" w:rsidRPr="0059707D">
        <w:rPr>
          <w:rFonts w:ascii="Cambria" w:hAnsi="Cambria"/>
        </w:rPr>
        <w:t>The</w:t>
      </w:r>
      <w:r w:rsidRPr="0059707D">
        <w:rPr>
          <w:rFonts w:ascii="Cambria" w:hAnsi="Cambria"/>
        </w:rPr>
        <w:t xml:space="preserve"> transfer of the burden of proof</w:t>
      </w:r>
      <w:r w:rsidR="00D140F6" w:rsidRPr="0059707D">
        <w:rPr>
          <w:rFonts w:ascii="Cambria" w:hAnsi="Cambria"/>
        </w:rPr>
        <w:t xml:space="preserve"> is</w:t>
      </w:r>
      <w:r w:rsidRPr="0059707D">
        <w:rPr>
          <w:rFonts w:ascii="Cambria" w:hAnsi="Cambria"/>
        </w:rPr>
        <w:t xml:space="preserve"> essential to the effective enforcement of the right to non-discrimination, </w:t>
      </w:r>
      <w:r w:rsidR="00D140F6" w:rsidRPr="0059707D">
        <w:rPr>
          <w:rFonts w:ascii="Cambria" w:hAnsi="Cambria"/>
        </w:rPr>
        <w:t>but is</w:t>
      </w:r>
      <w:r w:rsidRPr="0059707D">
        <w:rPr>
          <w:rFonts w:ascii="Cambria" w:hAnsi="Cambria"/>
        </w:rPr>
        <w:t xml:space="preserve"> </w:t>
      </w:r>
      <w:r w:rsidR="00693538" w:rsidRPr="0059707D">
        <w:rPr>
          <w:rFonts w:ascii="Cambria" w:hAnsi="Cambria"/>
        </w:rPr>
        <w:t xml:space="preserve">incompatible with the presumption of innocence, which </w:t>
      </w:r>
      <w:r w:rsidRPr="0059707D">
        <w:rPr>
          <w:rFonts w:ascii="Cambria" w:hAnsi="Cambria"/>
        </w:rPr>
        <w:t xml:space="preserve">is an </w:t>
      </w:r>
      <w:r w:rsidRPr="0059707D">
        <w:rPr>
          <w:rFonts w:ascii="Cambria" w:hAnsi="Cambria"/>
        </w:rPr>
        <w:lastRenderedPageBreak/>
        <w:t>essential principle of due process in criminal cases</w:t>
      </w:r>
      <w:r w:rsidR="00693538" w:rsidRPr="0059707D">
        <w:rPr>
          <w:rFonts w:ascii="Cambria" w:hAnsi="Cambria"/>
        </w:rPr>
        <w:t>.</w:t>
      </w:r>
      <w:r w:rsidR="00693538" w:rsidRPr="0059707D">
        <w:rPr>
          <w:rFonts w:ascii="Cambria" w:hAnsi="Cambria"/>
          <w:vertAlign w:val="superscript"/>
        </w:rPr>
        <w:footnoteReference w:id="21"/>
      </w:r>
      <w:r w:rsidR="00693538" w:rsidRPr="0059707D">
        <w:rPr>
          <w:rFonts w:ascii="Cambria" w:hAnsi="Cambria"/>
          <w:vertAlign w:val="superscript"/>
        </w:rPr>
        <w:t xml:space="preserve"> </w:t>
      </w:r>
      <w:r w:rsidR="00997EE9" w:rsidRPr="0059707D">
        <w:rPr>
          <w:rFonts w:ascii="Cambria" w:hAnsi="Cambria"/>
          <w:vertAlign w:val="superscript"/>
        </w:rPr>
        <w:t xml:space="preserve"> </w:t>
      </w:r>
      <w:r w:rsidR="00693538" w:rsidRPr="0059707D">
        <w:rPr>
          <w:rFonts w:ascii="Cambria" w:hAnsi="Cambria"/>
        </w:rPr>
        <w:t>F</w:t>
      </w:r>
      <w:r w:rsidR="00D140F6" w:rsidRPr="0059707D">
        <w:rPr>
          <w:rFonts w:ascii="Cambria" w:hAnsi="Cambria"/>
        </w:rPr>
        <w:t>inally</w:t>
      </w:r>
      <w:r w:rsidR="00693538" w:rsidRPr="0059707D">
        <w:rPr>
          <w:rFonts w:ascii="Cambria" w:hAnsi="Cambria"/>
        </w:rPr>
        <w:t xml:space="preserve">, the focus of criminal proceedings is on the punishment of offenders rather than </w:t>
      </w:r>
      <w:r w:rsidR="00D140F6" w:rsidRPr="0059707D">
        <w:rPr>
          <w:rFonts w:ascii="Cambria" w:hAnsi="Cambria"/>
        </w:rPr>
        <w:t xml:space="preserve">on securing </w:t>
      </w:r>
      <w:r w:rsidR="00693538" w:rsidRPr="0059707D">
        <w:rPr>
          <w:rFonts w:ascii="Cambria" w:hAnsi="Cambria"/>
        </w:rPr>
        <w:t>legal redress</w:t>
      </w:r>
      <w:r w:rsidR="00D140F6" w:rsidRPr="0059707D">
        <w:rPr>
          <w:rFonts w:ascii="Cambria" w:hAnsi="Cambria"/>
        </w:rPr>
        <w:t xml:space="preserve"> and remedy</w:t>
      </w:r>
      <w:r w:rsidR="00693538" w:rsidRPr="0059707D">
        <w:rPr>
          <w:rFonts w:ascii="Cambria" w:hAnsi="Cambria"/>
        </w:rPr>
        <w:t xml:space="preserve"> for the victims of discrimination</w:t>
      </w:r>
      <w:r w:rsidR="00D140F6" w:rsidRPr="0059707D">
        <w:rPr>
          <w:rFonts w:ascii="Cambria" w:hAnsi="Cambria"/>
        </w:rPr>
        <w:t>.</w:t>
      </w:r>
      <w:r w:rsidR="00693538" w:rsidRPr="0059707D">
        <w:rPr>
          <w:rFonts w:ascii="Cambria" w:hAnsi="Cambria"/>
          <w:vertAlign w:val="superscript"/>
        </w:rPr>
        <w:footnoteReference w:id="22"/>
      </w:r>
    </w:p>
    <w:p w14:paraId="2B32EFE9" w14:textId="77777777" w:rsidR="00DA7B57" w:rsidRPr="0059707D" w:rsidRDefault="00DA7B57" w:rsidP="00D140F6">
      <w:pPr>
        <w:pStyle w:val="ListParagraph"/>
        <w:ind w:left="567"/>
        <w:jc w:val="both"/>
        <w:rPr>
          <w:rFonts w:ascii="Cambria" w:hAnsi="Cambria"/>
        </w:rPr>
      </w:pPr>
    </w:p>
    <w:p w14:paraId="5CD668CA" w14:textId="6400A3AB" w:rsidR="00693538" w:rsidRPr="0059707D" w:rsidRDefault="00D140F6" w:rsidP="003B5A15">
      <w:pPr>
        <w:pStyle w:val="ListParagraph"/>
        <w:numPr>
          <w:ilvl w:val="0"/>
          <w:numId w:val="20"/>
        </w:numPr>
        <w:jc w:val="both"/>
        <w:rPr>
          <w:rFonts w:ascii="Cambria" w:hAnsi="Cambria"/>
        </w:rPr>
      </w:pPr>
      <w:r w:rsidRPr="0059707D">
        <w:rPr>
          <w:rFonts w:ascii="Cambria" w:hAnsi="Cambria"/>
        </w:rPr>
        <w:t xml:space="preserve">Research conducted by </w:t>
      </w:r>
      <w:proofErr w:type="spellStart"/>
      <w:r w:rsidRPr="0059707D">
        <w:rPr>
          <w:rFonts w:ascii="Cambria" w:hAnsi="Cambria"/>
        </w:rPr>
        <w:t>Comunidad</w:t>
      </w:r>
      <w:proofErr w:type="spellEnd"/>
      <w:r w:rsidRPr="0059707D">
        <w:rPr>
          <w:rFonts w:ascii="Cambria" w:hAnsi="Cambria"/>
        </w:rPr>
        <w:t xml:space="preserve"> has found that in Bolivia, the use of criminal sanctions has – for reasons including those set out in paragraph 14 – proved ineffective in securing remedy and sanction in </w:t>
      </w:r>
      <w:r w:rsidR="00DB5BC2" w:rsidRPr="0059707D">
        <w:rPr>
          <w:rFonts w:ascii="Cambria" w:hAnsi="Cambria"/>
        </w:rPr>
        <w:t>discrimination</w:t>
      </w:r>
      <w:r w:rsidRPr="0059707D">
        <w:rPr>
          <w:rFonts w:ascii="Cambria" w:hAnsi="Cambria"/>
        </w:rPr>
        <w:t xml:space="preserve"> cases</w:t>
      </w:r>
      <w:r w:rsidR="00DB5BC2" w:rsidRPr="0059707D">
        <w:rPr>
          <w:rFonts w:ascii="Cambria" w:hAnsi="Cambria"/>
        </w:rPr>
        <w:t xml:space="preserve">. </w:t>
      </w:r>
      <w:proofErr w:type="spellStart"/>
      <w:r w:rsidRPr="0059707D">
        <w:rPr>
          <w:rFonts w:ascii="Cambria" w:hAnsi="Cambria"/>
        </w:rPr>
        <w:t>Comunidad’s</w:t>
      </w:r>
      <w:proofErr w:type="spellEnd"/>
      <w:r w:rsidRPr="0059707D">
        <w:rPr>
          <w:rFonts w:ascii="Cambria" w:hAnsi="Cambria"/>
        </w:rPr>
        <w:t xml:space="preserve"> research has found that, o</w:t>
      </w:r>
      <w:r w:rsidR="00DB5BC2" w:rsidRPr="0059707D">
        <w:rPr>
          <w:rFonts w:ascii="Cambria" w:hAnsi="Cambria"/>
        </w:rPr>
        <w:t xml:space="preserve">f 340 criminal complaints, there have only been </w:t>
      </w:r>
      <w:r w:rsidRPr="0059707D">
        <w:rPr>
          <w:rFonts w:ascii="Cambria" w:hAnsi="Cambria"/>
        </w:rPr>
        <w:t xml:space="preserve">two </w:t>
      </w:r>
      <w:r w:rsidR="00DB5BC2" w:rsidRPr="0059707D">
        <w:rPr>
          <w:rFonts w:ascii="Cambria" w:hAnsi="Cambria"/>
        </w:rPr>
        <w:t>enforceable judgments</w:t>
      </w:r>
      <w:r w:rsidRPr="0059707D">
        <w:rPr>
          <w:rFonts w:ascii="Cambria" w:hAnsi="Cambria"/>
        </w:rPr>
        <w:t xml:space="preserve">, with a further two subject to </w:t>
      </w:r>
      <w:r w:rsidR="00DB5BC2" w:rsidRPr="0059707D">
        <w:rPr>
          <w:rFonts w:ascii="Cambria" w:hAnsi="Cambria"/>
        </w:rPr>
        <w:t>appeal.</w:t>
      </w:r>
      <w:r w:rsidR="00DB5BC2" w:rsidRPr="0059707D">
        <w:rPr>
          <w:rStyle w:val="FootnoteReference"/>
          <w:rFonts w:ascii="Cambria" w:hAnsi="Cambria"/>
        </w:rPr>
        <w:footnoteReference w:id="23"/>
      </w:r>
      <w:r w:rsidR="00DB5BC2" w:rsidRPr="0059707D">
        <w:rPr>
          <w:rFonts w:ascii="Cambria" w:hAnsi="Cambria"/>
        </w:rPr>
        <w:t xml:space="preserve"> This means that only 0.06% of criminal discrimination cases have been resolved. Furthermore, </w:t>
      </w:r>
      <w:r w:rsidRPr="0059707D">
        <w:rPr>
          <w:rFonts w:ascii="Cambria" w:hAnsi="Cambria"/>
        </w:rPr>
        <w:t xml:space="preserve">key stakeholders interviewed by </w:t>
      </w:r>
      <w:proofErr w:type="spellStart"/>
      <w:r w:rsidRPr="0059707D">
        <w:rPr>
          <w:rFonts w:ascii="Cambria" w:hAnsi="Cambria"/>
        </w:rPr>
        <w:t>Comunidad</w:t>
      </w:r>
      <w:proofErr w:type="spellEnd"/>
      <w:r w:rsidRPr="0059707D">
        <w:rPr>
          <w:rFonts w:ascii="Cambria" w:hAnsi="Cambria"/>
        </w:rPr>
        <w:t xml:space="preserve"> stated that </w:t>
      </w:r>
      <w:r w:rsidR="00DB5BC2" w:rsidRPr="0059707D">
        <w:rPr>
          <w:rFonts w:ascii="Cambria" w:hAnsi="Cambria"/>
        </w:rPr>
        <w:t xml:space="preserve">criminal complaints </w:t>
      </w:r>
      <w:r w:rsidRPr="0059707D">
        <w:rPr>
          <w:rFonts w:ascii="Cambria" w:hAnsi="Cambria"/>
        </w:rPr>
        <w:t xml:space="preserve">frequently </w:t>
      </w:r>
      <w:r w:rsidR="00DB5BC2" w:rsidRPr="0059707D">
        <w:rPr>
          <w:rFonts w:ascii="Cambria" w:hAnsi="Cambria"/>
        </w:rPr>
        <w:t xml:space="preserve">get stuck in a </w:t>
      </w:r>
      <w:r w:rsidRPr="0059707D">
        <w:rPr>
          <w:rFonts w:ascii="Cambria" w:hAnsi="Cambria"/>
        </w:rPr>
        <w:t>“</w:t>
      </w:r>
      <w:r w:rsidR="00DB5BC2" w:rsidRPr="0059707D">
        <w:rPr>
          <w:rFonts w:ascii="Cambria" w:hAnsi="Cambria"/>
        </w:rPr>
        <w:t>cul-de-sac</w:t>
      </w:r>
      <w:r w:rsidRPr="0059707D">
        <w:rPr>
          <w:rFonts w:ascii="Cambria" w:hAnsi="Cambria"/>
        </w:rPr>
        <w:t>”</w:t>
      </w:r>
      <w:r w:rsidR="00DB5BC2" w:rsidRPr="0059707D">
        <w:rPr>
          <w:rFonts w:ascii="Cambria" w:hAnsi="Cambria"/>
          <w:i/>
          <w:iCs/>
        </w:rPr>
        <w:t xml:space="preserve"> </w:t>
      </w:r>
      <w:r w:rsidR="00DB5BC2" w:rsidRPr="0059707D">
        <w:rPr>
          <w:rFonts w:ascii="Cambria" w:hAnsi="Cambria"/>
        </w:rPr>
        <w:t xml:space="preserve">whenever they involve public officials, particularly those belonging to the executive </w:t>
      </w:r>
      <w:r w:rsidRPr="0059707D">
        <w:rPr>
          <w:rFonts w:ascii="Cambria" w:hAnsi="Cambria"/>
        </w:rPr>
        <w:t>branch</w:t>
      </w:r>
      <w:r w:rsidR="00DB5BC2" w:rsidRPr="0059707D">
        <w:rPr>
          <w:rFonts w:ascii="Cambria" w:hAnsi="Cambria"/>
        </w:rPr>
        <w:t>.</w:t>
      </w:r>
      <w:r w:rsidR="00DB5BC2" w:rsidRPr="0059707D">
        <w:rPr>
          <w:rStyle w:val="FootnoteReference"/>
          <w:rFonts w:ascii="Cambria" w:hAnsi="Cambria" w:cstheme="minorHAnsi"/>
          <w:sz w:val="24"/>
          <w:szCs w:val="24"/>
        </w:rPr>
        <w:footnoteReference w:id="24"/>
      </w:r>
      <w:r w:rsidR="00DB5BC2" w:rsidRPr="0059707D">
        <w:rPr>
          <w:rFonts w:ascii="Cambria" w:hAnsi="Cambria"/>
        </w:rPr>
        <w:t xml:space="preserve"> </w:t>
      </w:r>
    </w:p>
    <w:p w14:paraId="48269CF8" w14:textId="77777777" w:rsidR="004E3BA6" w:rsidRPr="0059707D" w:rsidRDefault="004E3BA6" w:rsidP="004E3BA6">
      <w:pPr>
        <w:pStyle w:val="ListParagraph"/>
        <w:rPr>
          <w:rFonts w:ascii="Cambria" w:hAnsi="Cambria"/>
        </w:rPr>
      </w:pPr>
    </w:p>
    <w:p w14:paraId="0793B22A" w14:textId="6A999460" w:rsidR="004E3BA6" w:rsidRPr="0059707D" w:rsidRDefault="004E3BA6" w:rsidP="004E3BA6">
      <w:pPr>
        <w:jc w:val="both"/>
        <w:rPr>
          <w:rFonts w:ascii="Cambria" w:hAnsi="Cambria"/>
          <w:b/>
          <w:bCs/>
          <w:i/>
          <w:iCs/>
        </w:rPr>
      </w:pPr>
      <w:r w:rsidRPr="0059707D">
        <w:rPr>
          <w:rFonts w:ascii="Cambria" w:hAnsi="Cambria"/>
          <w:b/>
          <w:bCs/>
          <w:i/>
          <w:iCs/>
        </w:rPr>
        <w:t>Education on the rights to equality and non-discrimination</w:t>
      </w:r>
    </w:p>
    <w:p w14:paraId="62A1CF10" w14:textId="1FBDF7B6" w:rsidR="004E3BA6" w:rsidRPr="0059707D" w:rsidRDefault="004E3BA6" w:rsidP="004E3BA6">
      <w:pPr>
        <w:pStyle w:val="ListParagraph"/>
        <w:numPr>
          <w:ilvl w:val="0"/>
          <w:numId w:val="20"/>
        </w:numPr>
        <w:jc w:val="both"/>
        <w:rPr>
          <w:rFonts w:ascii="Cambria" w:hAnsi="Cambria"/>
        </w:rPr>
      </w:pPr>
      <w:r w:rsidRPr="0059707D">
        <w:rPr>
          <w:rFonts w:ascii="Cambria" w:hAnsi="Cambria"/>
        </w:rPr>
        <w:t>As the Committee has noted in its General Comment 20, States have an obligation to integrate equality and non-discrimination in formal and non-formal inclusive and multicultural education, in order to dismantle notions of superiority or inferiority on prohibited grounds.</w:t>
      </w:r>
      <w:r w:rsidR="00997EE9" w:rsidRPr="0059707D">
        <w:rPr>
          <w:rStyle w:val="FootnoteReference"/>
          <w:rFonts w:ascii="Cambria" w:hAnsi="Cambria"/>
        </w:rPr>
        <w:footnoteReference w:id="25"/>
      </w:r>
      <w:r w:rsidRPr="0059707D">
        <w:rPr>
          <w:rFonts w:ascii="Cambria" w:hAnsi="Cambria"/>
        </w:rPr>
        <w:t xml:space="preserve"> However, research conducted by </w:t>
      </w:r>
      <w:proofErr w:type="spellStart"/>
      <w:r w:rsidRPr="0059707D">
        <w:rPr>
          <w:rFonts w:ascii="Cambria" w:hAnsi="Cambria"/>
        </w:rPr>
        <w:t>Comunidad</w:t>
      </w:r>
      <w:proofErr w:type="spellEnd"/>
      <w:r w:rsidRPr="0059707D">
        <w:rPr>
          <w:rFonts w:ascii="Cambria" w:hAnsi="Cambria"/>
        </w:rPr>
        <w:t xml:space="preserve"> has shown that public policy regarding education has not been comprehensive enough to allow for the systematic, sustainable, and effective protection of the rights to equality and non-discrimination. Measures in this regard have had very limited reach and there seems to be little commitment from the Ministry of Education for the implementation of Law 045; indeed, the Minister of Education has even refused to include topics such as gender and sexual diversity in the curriculum.</w:t>
      </w:r>
      <w:r w:rsidRPr="0059707D">
        <w:rPr>
          <w:rStyle w:val="FootnoteReference"/>
          <w:rFonts w:ascii="Cambria" w:hAnsi="Cambria"/>
        </w:rPr>
        <w:footnoteReference w:id="26"/>
      </w:r>
      <w:r w:rsidRPr="0059707D">
        <w:rPr>
          <w:rFonts w:ascii="Cambria" w:hAnsi="Cambria"/>
        </w:rPr>
        <w:t xml:space="preserve"> </w:t>
      </w:r>
    </w:p>
    <w:p w14:paraId="68A8C211" w14:textId="77777777" w:rsidR="00D140F6" w:rsidRPr="0059707D" w:rsidRDefault="00D140F6" w:rsidP="000D6C76">
      <w:pPr>
        <w:spacing w:after="0"/>
        <w:jc w:val="both"/>
        <w:rPr>
          <w:rFonts w:ascii="Cambria" w:hAnsi="Cambria"/>
          <w:b/>
          <w:bCs/>
          <w:i/>
          <w:iCs/>
        </w:rPr>
      </w:pPr>
    </w:p>
    <w:p w14:paraId="33CD4357" w14:textId="1F44E21E" w:rsidR="000D6C76" w:rsidRPr="0059707D" w:rsidRDefault="004E3BA6" w:rsidP="000D6C76">
      <w:pPr>
        <w:spacing w:after="0"/>
        <w:jc w:val="both"/>
        <w:rPr>
          <w:rFonts w:ascii="Cambria" w:hAnsi="Cambria"/>
          <w:b/>
          <w:bCs/>
          <w:i/>
          <w:iCs/>
        </w:rPr>
      </w:pPr>
      <w:r w:rsidRPr="0059707D">
        <w:rPr>
          <w:rFonts w:ascii="Cambria" w:hAnsi="Cambria"/>
          <w:b/>
          <w:bCs/>
          <w:i/>
          <w:iCs/>
        </w:rPr>
        <w:t>Resources for implementation of the rights to equality and non-discrimination</w:t>
      </w:r>
    </w:p>
    <w:p w14:paraId="2219F265" w14:textId="77777777" w:rsidR="000D6C76" w:rsidRPr="0059707D" w:rsidRDefault="000D6C76" w:rsidP="000D6C76">
      <w:pPr>
        <w:spacing w:after="0"/>
        <w:jc w:val="both"/>
        <w:rPr>
          <w:rFonts w:ascii="Cambria" w:hAnsi="Cambria"/>
          <w:b/>
          <w:bCs/>
          <w:i/>
          <w:iCs/>
        </w:rPr>
      </w:pPr>
    </w:p>
    <w:p w14:paraId="41FED96D" w14:textId="44832699" w:rsidR="003B5A15" w:rsidRPr="0059707D" w:rsidRDefault="003B5A15" w:rsidP="000D6C76">
      <w:pPr>
        <w:pStyle w:val="ListParagraph"/>
        <w:numPr>
          <w:ilvl w:val="0"/>
          <w:numId w:val="20"/>
        </w:numPr>
        <w:jc w:val="both"/>
        <w:rPr>
          <w:rFonts w:ascii="Cambria" w:hAnsi="Cambria"/>
        </w:rPr>
      </w:pPr>
      <w:r w:rsidRPr="0059707D">
        <w:rPr>
          <w:rFonts w:ascii="Cambria" w:hAnsi="Cambria"/>
        </w:rPr>
        <w:t>As elaborated in General Comment 20, State Parties must implement strategies, policies, and plans of action in order to address formal and substantive discrimination.</w:t>
      </w:r>
      <w:bookmarkStart w:id="18" w:name="_Hlk18059805"/>
      <w:r w:rsidRPr="0059707D">
        <w:rPr>
          <w:rStyle w:val="FootnoteReference"/>
          <w:rFonts w:ascii="Cambria" w:hAnsi="Cambria"/>
        </w:rPr>
        <w:footnoteReference w:id="27"/>
      </w:r>
      <w:bookmarkEnd w:id="18"/>
      <w:r w:rsidRPr="0059707D">
        <w:rPr>
          <w:rFonts w:ascii="Cambria" w:hAnsi="Cambria"/>
        </w:rPr>
        <w:t xml:space="preserve"> In addition, as the Committee has noted, the elimination of systemic discrimination frequently requires devoting resources to </w:t>
      </w:r>
      <w:r w:rsidR="00DC1F5F" w:rsidRPr="0059707D">
        <w:rPr>
          <w:rFonts w:ascii="Cambria" w:hAnsi="Cambria"/>
        </w:rPr>
        <w:t xml:space="preserve">reverse or overcome the patterns of historic and ongoing discrimination experienced </w:t>
      </w:r>
      <w:r w:rsidRPr="0059707D">
        <w:rPr>
          <w:rFonts w:ascii="Cambria" w:hAnsi="Cambria"/>
        </w:rPr>
        <w:t>traditionally neglected groups.</w:t>
      </w:r>
      <w:bookmarkStart w:id="19" w:name="_Hlk18059823"/>
      <w:r w:rsidRPr="0059707D">
        <w:rPr>
          <w:rStyle w:val="FootnoteReference"/>
          <w:rFonts w:ascii="Cambria" w:hAnsi="Cambria"/>
        </w:rPr>
        <w:footnoteReference w:id="28"/>
      </w:r>
      <w:bookmarkEnd w:id="19"/>
      <w:r w:rsidRPr="0059707D">
        <w:rPr>
          <w:rFonts w:ascii="Cambria" w:hAnsi="Cambria"/>
        </w:rPr>
        <w:t xml:space="preserve"> Article 11 of Law 045 establishes that the state must allocate the necessary resources for the implementation of the anti-discrimination law. However, it does not establish a fixed percentage of resources from the state budget, nor does it define criteria for the determination of such a budget. This, in practice, has meant the allocation of insufficient resources for the implementation of the law.</w:t>
      </w:r>
      <w:bookmarkStart w:id="20" w:name="_Hlk18059874"/>
      <w:r w:rsidRPr="0059707D">
        <w:rPr>
          <w:rStyle w:val="FootnoteReference"/>
          <w:rFonts w:ascii="Cambria" w:hAnsi="Cambria"/>
        </w:rPr>
        <w:footnoteReference w:id="29"/>
      </w:r>
      <w:bookmarkEnd w:id="20"/>
    </w:p>
    <w:p w14:paraId="766C8D53" w14:textId="59ACBF38" w:rsidR="00F16A31" w:rsidRPr="0059707D" w:rsidRDefault="00F16A31" w:rsidP="000D6C76">
      <w:pPr>
        <w:pStyle w:val="ListParagraph"/>
        <w:numPr>
          <w:ilvl w:val="0"/>
          <w:numId w:val="20"/>
        </w:numPr>
        <w:jc w:val="both"/>
        <w:rPr>
          <w:rFonts w:ascii="Cambria" w:hAnsi="Cambria"/>
        </w:rPr>
      </w:pPr>
      <w:r w:rsidRPr="0059707D">
        <w:rPr>
          <w:rFonts w:ascii="Cambria" w:hAnsi="Cambria"/>
        </w:rPr>
        <w:lastRenderedPageBreak/>
        <w:t xml:space="preserve">The </w:t>
      </w:r>
      <w:r w:rsidRPr="0059707D">
        <w:rPr>
          <w:rFonts w:ascii="Cambria" w:hAnsi="Cambria"/>
          <w:i/>
          <w:iCs/>
        </w:rPr>
        <w:t xml:space="preserve">Policy of the </w:t>
      </w:r>
      <w:proofErr w:type="spellStart"/>
      <w:r w:rsidRPr="0059707D">
        <w:rPr>
          <w:rFonts w:ascii="Cambria" w:hAnsi="Cambria"/>
          <w:i/>
          <w:iCs/>
        </w:rPr>
        <w:t>Plurinational</w:t>
      </w:r>
      <w:proofErr w:type="spellEnd"/>
      <w:r w:rsidRPr="0059707D">
        <w:rPr>
          <w:rFonts w:ascii="Cambria" w:hAnsi="Cambria"/>
          <w:i/>
          <w:iCs/>
        </w:rPr>
        <w:t xml:space="preserve"> State of Bolivia against Racism and all forms of Discrimination</w:t>
      </w:r>
      <w:r w:rsidRPr="0059707D">
        <w:rPr>
          <w:rFonts w:ascii="Cambria" w:hAnsi="Cambria"/>
        </w:rPr>
        <w:t xml:space="preserve"> was adopted for the period 2012-15, but no information was made available on a budget allocation for its implementation. Subsequently, the National Committee worked on the </w:t>
      </w:r>
      <w:r w:rsidRPr="0059707D">
        <w:rPr>
          <w:rFonts w:ascii="Cambria" w:hAnsi="Cambria"/>
          <w:i/>
          <w:iCs/>
        </w:rPr>
        <w:t xml:space="preserve">Multisectoral Plan of the </w:t>
      </w:r>
      <w:proofErr w:type="spellStart"/>
      <w:r w:rsidRPr="0059707D">
        <w:rPr>
          <w:rFonts w:ascii="Cambria" w:hAnsi="Cambria"/>
          <w:i/>
          <w:iCs/>
        </w:rPr>
        <w:t>Plurinational</w:t>
      </w:r>
      <w:proofErr w:type="spellEnd"/>
      <w:r w:rsidRPr="0059707D">
        <w:rPr>
          <w:rFonts w:ascii="Cambria" w:hAnsi="Cambria"/>
          <w:i/>
          <w:iCs/>
        </w:rPr>
        <w:t xml:space="preserve"> State of Bolivia against Racism and All Forms of Discrimination 2016 - 2020</w:t>
      </w:r>
      <w:r w:rsidRPr="0059707D">
        <w:rPr>
          <w:rFonts w:ascii="Cambria" w:hAnsi="Cambria"/>
        </w:rPr>
        <w:t>, a public policy that aims to improve the quality of life of vulnerable populations. In 2018, a majority of Ministries have registered programmes and actions in accordance with the Multisectoral Plan.</w:t>
      </w:r>
    </w:p>
    <w:p w14:paraId="62A7FB8E" w14:textId="071A7D88" w:rsidR="00DB5BC2" w:rsidRPr="0059707D" w:rsidRDefault="00DB5BC2" w:rsidP="003B5A15">
      <w:pPr>
        <w:spacing w:after="0" w:line="240" w:lineRule="auto"/>
        <w:jc w:val="both"/>
        <w:rPr>
          <w:rFonts w:ascii="Cambria" w:hAnsi="Cambria"/>
          <w:color w:val="FF0000"/>
        </w:rPr>
      </w:pPr>
    </w:p>
    <w:p w14:paraId="574EA330" w14:textId="6CE6F1E0" w:rsidR="00DB5BC2" w:rsidRPr="0059707D" w:rsidRDefault="00DB5BC2"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 xml:space="preserve">Suggested Questions – Legal Framework </w:t>
      </w:r>
    </w:p>
    <w:p w14:paraId="72DA0C71" w14:textId="58FDE162" w:rsidR="0094594F" w:rsidRPr="0059707D" w:rsidRDefault="0094594F"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p>
    <w:p w14:paraId="6D72996A" w14:textId="39B717EF" w:rsidR="00451A61" w:rsidRPr="0059707D" w:rsidRDefault="009B53C3"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Does the State </w:t>
      </w:r>
      <w:r w:rsidR="000A7269" w:rsidRPr="0059707D">
        <w:rPr>
          <w:rFonts w:ascii="Cambria" w:hAnsi="Cambria"/>
          <w:bCs/>
        </w:rPr>
        <w:t>Party consider that</w:t>
      </w:r>
      <w:r w:rsidR="00496243" w:rsidRPr="0059707D">
        <w:rPr>
          <w:rFonts w:ascii="Cambria" w:hAnsi="Cambria"/>
          <w:bCs/>
        </w:rPr>
        <w:t xml:space="preserve"> Law 045 of 2010</w:t>
      </w:r>
      <w:r w:rsidR="000A7269" w:rsidRPr="0059707D">
        <w:rPr>
          <w:rFonts w:ascii="Cambria" w:hAnsi="Cambria"/>
          <w:bCs/>
        </w:rPr>
        <w:t xml:space="preserve"> is effective in combating discrimination in the enjoyment of Covenant rights</w:t>
      </w:r>
      <w:r w:rsidR="00496243" w:rsidRPr="0059707D">
        <w:rPr>
          <w:rFonts w:ascii="Cambria" w:hAnsi="Cambria"/>
          <w:bCs/>
        </w:rPr>
        <w:t>? What</w:t>
      </w:r>
      <w:r w:rsidR="000A7269" w:rsidRPr="0059707D">
        <w:rPr>
          <w:rFonts w:ascii="Cambria" w:hAnsi="Cambria"/>
          <w:bCs/>
        </w:rPr>
        <w:t>, if any,</w:t>
      </w:r>
      <w:r w:rsidR="00496243" w:rsidRPr="0059707D">
        <w:rPr>
          <w:rFonts w:ascii="Cambria" w:hAnsi="Cambria"/>
          <w:bCs/>
        </w:rPr>
        <w:t xml:space="preserve"> are the indicators </w:t>
      </w:r>
      <w:r w:rsidR="000A7269" w:rsidRPr="0059707D">
        <w:rPr>
          <w:rFonts w:ascii="Cambria" w:hAnsi="Cambria"/>
          <w:bCs/>
        </w:rPr>
        <w:t xml:space="preserve">which the State Party has used to assess the effectiveness of Law 045? </w:t>
      </w:r>
    </w:p>
    <w:p w14:paraId="73BBD650" w14:textId="25799E61" w:rsidR="00451A61" w:rsidRPr="0059707D" w:rsidRDefault="00451A61"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plans, if any, does the State Party have to </w:t>
      </w:r>
      <w:r w:rsidR="000A7269" w:rsidRPr="0059707D">
        <w:rPr>
          <w:rFonts w:ascii="Cambria" w:hAnsi="Cambria"/>
          <w:bCs/>
        </w:rPr>
        <w:t>improve the</w:t>
      </w:r>
      <w:r w:rsidRPr="0059707D">
        <w:rPr>
          <w:rFonts w:ascii="Cambria" w:hAnsi="Cambria"/>
          <w:bCs/>
        </w:rPr>
        <w:t xml:space="preserve"> implementation </w:t>
      </w:r>
      <w:r w:rsidR="000A7269" w:rsidRPr="0059707D">
        <w:rPr>
          <w:rFonts w:ascii="Cambria" w:hAnsi="Cambria"/>
          <w:bCs/>
        </w:rPr>
        <w:t xml:space="preserve">and enforcement </w:t>
      </w:r>
      <w:r w:rsidRPr="0059707D">
        <w:rPr>
          <w:rFonts w:ascii="Cambria" w:hAnsi="Cambria"/>
          <w:bCs/>
        </w:rPr>
        <w:t>of Law 045?</w:t>
      </w:r>
    </w:p>
    <w:p w14:paraId="652D17A9" w14:textId="0602BD71" w:rsidR="000A7269" w:rsidRPr="0059707D" w:rsidRDefault="000A7269" w:rsidP="000A7269">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concrete measures has the State Party taken to ensure access to </w:t>
      </w:r>
      <w:r w:rsidR="00AB22E6" w:rsidRPr="0059707D">
        <w:rPr>
          <w:rFonts w:ascii="Cambria" w:hAnsi="Cambria"/>
          <w:bCs/>
        </w:rPr>
        <w:t>justice for survivors of</w:t>
      </w:r>
      <w:r w:rsidRPr="0059707D">
        <w:rPr>
          <w:rFonts w:ascii="Cambria" w:hAnsi="Cambria"/>
          <w:bCs/>
        </w:rPr>
        <w:t xml:space="preserve"> discrimination? What measures have been taken to ensure the prompt, impartial, and independent investigation of claims or complaints of discrimination?</w:t>
      </w:r>
    </w:p>
    <w:p w14:paraId="0C0AB504" w14:textId="3802F5E1" w:rsidR="000A7269" w:rsidRPr="0059707D" w:rsidRDefault="000A7269" w:rsidP="000A7269">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How does the State Party evaluate the effectiveness of the remedies that have been provided for the violation of the rights to equality and non-discrimination? </w:t>
      </w:r>
      <w:r w:rsidR="00AB22E6" w:rsidRPr="0059707D">
        <w:rPr>
          <w:rFonts w:ascii="Cambria" w:hAnsi="Cambria"/>
          <w:bCs/>
        </w:rPr>
        <w:t>Does the State Party consider the use of criminal penalties in discrimination cases to be proportionate, just and effective?</w:t>
      </w:r>
    </w:p>
    <w:p w14:paraId="52589279" w14:textId="77777777" w:rsidR="000A7269" w:rsidRPr="0059707D" w:rsidRDefault="000A7269" w:rsidP="000A7269">
      <w:pPr>
        <w:numPr>
          <w:ilvl w:val="0"/>
          <w:numId w:val="15"/>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right="146"/>
        <w:jc w:val="both"/>
        <w:rPr>
          <w:rFonts w:ascii="Cambria" w:hAnsi="Cambria"/>
        </w:rPr>
      </w:pPr>
      <w:r w:rsidRPr="0059707D">
        <w:rPr>
          <w:rFonts w:ascii="Cambria" w:hAnsi="Cambria"/>
        </w:rPr>
        <w:t>What concrete steps has the State Party taken to ensure that curricula will include teaching on the principles of equality and non-discrimination, as well as inclusive and multicultural education?</w:t>
      </w:r>
    </w:p>
    <w:p w14:paraId="0A3EC3E2" w14:textId="45BDBED0" w:rsidR="00496243" w:rsidRPr="0059707D" w:rsidRDefault="00496243" w:rsidP="003B5A15">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How does the State Party determine the resources allocated to the implementation of Law 045? </w:t>
      </w:r>
      <w:r w:rsidR="00451A61" w:rsidRPr="0059707D">
        <w:rPr>
          <w:rFonts w:ascii="Cambria" w:hAnsi="Cambria"/>
          <w:bCs/>
        </w:rPr>
        <w:t xml:space="preserve">How does the State Party evaluate the adequacy of said resources in this regard? What mechanisms, if any, does the </w:t>
      </w:r>
      <w:r w:rsidR="00C37BA0" w:rsidRPr="0059707D">
        <w:rPr>
          <w:rFonts w:ascii="Cambria" w:hAnsi="Cambria"/>
          <w:bCs/>
        </w:rPr>
        <w:t>State Party have in place to monitor whether these resources have been adequately spent?</w:t>
      </w:r>
    </w:p>
    <w:p w14:paraId="4F222C08" w14:textId="4621F4AD" w:rsidR="00DB5BC2" w:rsidRPr="0059707D" w:rsidRDefault="00DB5BC2" w:rsidP="003B5A15">
      <w:pPr>
        <w:spacing w:after="0" w:line="240" w:lineRule="auto"/>
        <w:jc w:val="both"/>
        <w:rPr>
          <w:rFonts w:ascii="Cambria" w:hAnsi="Cambria"/>
        </w:rPr>
      </w:pPr>
    </w:p>
    <w:p w14:paraId="6B0A01FE" w14:textId="73ED166A" w:rsidR="009B53C3" w:rsidRPr="0059707D" w:rsidRDefault="009B53C3" w:rsidP="003B5A15">
      <w:pPr>
        <w:spacing w:after="0" w:line="240" w:lineRule="auto"/>
        <w:jc w:val="both"/>
        <w:rPr>
          <w:rFonts w:ascii="Cambria" w:hAnsi="Cambria"/>
          <w:b/>
          <w:bCs/>
          <w:u w:val="single"/>
        </w:rPr>
      </w:pPr>
      <w:r w:rsidRPr="0059707D">
        <w:rPr>
          <w:rFonts w:ascii="Cambria" w:hAnsi="Cambria"/>
          <w:b/>
          <w:bCs/>
          <w:u w:val="single"/>
        </w:rPr>
        <w:t xml:space="preserve">PART 2: </w:t>
      </w:r>
      <w:r w:rsidR="00DB5BC2" w:rsidRPr="0059707D">
        <w:rPr>
          <w:rFonts w:ascii="Cambria" w:hAnsi="Cambria"/>
          <w:b/>
          <w:bCs/>
          <w:u w:val="single"/>
        </w:rPr>
        <w:t>Discrimination Affecting the Enjoyment of Other Covenant Right</w:t>
      </w:r>
      <w:r w:rsidRPr="0059707D">
        <w:rPr>
          <w:rFonts w:ascii="Cambria" w:hAnsi="Cambria"/>
          <w:b/>
          <w:bCs/>
          <w:u w:val="single"/>
        </w:rPr>
        <w:t>s</w:t>
      </w:r>
    </w:p>
    <w:p w14:paraId="2F63973A" w14:textId="77777777" w:rsidR="009B53C3" w:rsidRPr="0059707D" w:rsidRDefault="009B53C3" w:rsidP="003B5A15">
      <w:pPr>
        <w:spacing w:after="0" w:line="240" w:lineRule="auto"/>
        <w:jc w:val="both"/>
        <w:rPr>
          <w:rFonts w:ascii="Cambria" w:hAnsi="Cambria"/>
          <w:b/>
          <w:bCs/>
          <w:u w:val="single"/>
        </w:rPr>
      </w:pPr>
    </w:p>
    <w:p w14:paraId="2E8DCB05" w14:textId="1AAD507C" w:rsidR="00314E78" w:rsidRPr="0059707D" w:rsidRDefault="00AE26B6" w:rsidP="003B5A15">
      <w:pPr>
        <w:spacing w:after="0" w:line="240" w:lineRule="auto"/>
        <w:jc w:val="both"/>
        <w:rPr>
          <w:rFonts w:ascii="Cambria" w:hAnsi="Cambria"/>
          <w:b/>
          <w:bCs/>
          <w:u w:val="single"/>
        </w:rPr>
      </w:pPr>
      <w:r w:rsidRPr="0059707D">
        <w:rPr>
          <w:rFonts w:ascii="Cambria" w:hAnsi="Cambria"/>
          <w:b/>
          <w:bCs/>
          <w:u w:val="single"/>
        </w:rPr>
        <w:t>Articles 6 and 7: The Right to Work and the Right to Just and Favourable Conditions of Work</w:t>
      </w:r>
    </w:p>
    <w:p w14:paraId="05F5524F" w14:textId="77777777" w:rsidR="009B53C3" w:rsidRPr="0059707D" w:rsidRDefault="009B53C3" w:rsidP="003B5A15">
      <w:pPr>
        <w:spacing w:after="0" w:line="240" w:lineRule="auto"/>
        <w:jc w:val="both"/>
        <w:rPr>
          <w:rFonts w:ascii="Cambria" w:hAnsi="Cambria"/>
          <w:b/>
          <w:bCs/>
          <w:u w:val="single"/>
        </w:rPr>
      </w:pPr>
    </w:p>
    <w:p w14:paraId="4D9E4E21" w14:textId="14AADA30" w:rsidR="00314E78" w:rsidRPr="0059707D" w:rsidRDefault="00314E78" w:rsidP="003B5A15">
      <w:pPr>
        <w:pStyle w:val="ListParagraph"/>
        <w:numPr>
          <w:ilvl w:val="0"/>
          <w:numId w:val="20"/>
        </w:numPr>
        <w:jc w:val="both"/>
        <w:rPr>
          <w:rFonts w:ascii="Cambria" w:hAnsi="Cambria"/>
        </w:rPr>
      </w:pPr>
      <w:r w:rsidRPr="0059707D">
        <w:rPr>
          <w:rFonts w:ascii="Cambria" w:hAnsi="Cambria"/>
        </w:rPr>
        <w:t>In its</w:t>
      </w:r>
      <w:r w:rsidR="006C45BB" w:rsidRPr="0059707D">
        <w:rPr>
          <w:rFonts w:ascii="Cambria" w:hAnsi="Cambria"/>
        </w:rPr>
        <w:t xml:space="preserve"> Concluding</w:t>
      </w:r>
      <w:r w:rsidRPr="0059707D">
        <w:rPr>
          <w:rFonts w:ascii="Cambria" w:hAnsi="Cambria"/>
        </w:rPr>
        <w:t xml:space="preserve"> Observations to Bolivia</w:t>
      </w:r>
      <w:r w:rsidR="009B53C3" w:rsidRPr="0059707D">
        <w:rPr>
          <w:rFonts w:ascii="Cambria" w:hAnsi="Cambria"/>
        </w:rPr>
        <w:t xml:space="preserve"> in 2008</w:t>
      </w:r>
      <w:r w:rsidRPr="0059707D">
        <w:rPr>
          <w:rFonts w:ascii="Cambria" w:hAnsi="Cambria"/>
        </w:rPr>
        <w:t xml:space="preserve">, the Committee </w:t>
      </w:r>
      <w:r w:rsidR="009B53C3" w:rsidRPr="0059707D">
        <w:rPr>
          <w:rFonts w:ascii="Cambria" w:hAnsi="Cambria"/>
        </w:rPr>
        <w:t xml:space="preserve">recommended that </w:t>
      </w:r>
      <w:r w:rsidRPr="0059707D">
        <w:rPr>
          <w:rFonts w:ascii="Cambria" w:hAnsi="Cambria"/>
        </w:rPr>
        <w:t>the State Party ensure the equality of men and women in all spheres of life by taking measures and providing funds to ensure access to employment and equal working conditions, including equal wages, access to housing and land ownership.</w:t>
      </w:r>
      <w:r w:rsidRPr="0059707D">
        <w:rPr>
          <w:rStyle w:val="FootnoteReference"/>
          <w:rFonts w:ascii="Cambria" w:hAnsi="Cambria"/>
        </w:rPr>
        <w:footnoteReference w:id="30"/>
      </w:r>
    </w:p>
    <w:p w14:paraId="1188A9C7" w14:textId="77777777" w:rsidR="00F9001F" w:rsidRPr="0059707D" w:rsidRDefault="00F9001F" w:rsidP="003B5A15">
      <w:pPr>
        <w:pStyle w:val="ListParagraph"/>
        <w:jc w:val="both"/>
        <w:rPr>
          <w:rFonts w:ascii="Cambria" w:hAnsi="Cambria"/>
        </w:rPr>
      </w:pPr>
    </w:p>
    <w:p w14:paraId="336724D8" w14:textId="77777777" w:rsidR="00540AF5" w:rsidRPr="0059707D" w:rsidRDefault="002559F2" w:rsidP="00577A27">
      <w:pPr>
        <w:pStyle w:val="ListParagraph"/>
        <w:numPr>
          <w:ilvl w:val="0"/>
          <w:numId w:val="20"/>
        </w:numPr>
        <w:jc w:val="both"/>
        <w:rPr>
          <w:rFonts w:ascii="Cambria" w:hAnsi="Cambria"/>
        </w:rPr>
      </w:pPr>
      <w:r w:rsidRPr="0059707D">
        <w:rPr>
          <w:rFonts w:ascii="Cambria" w:hAnsi="Cambria"/>
        </w:rPr>
        <w:t xml:space="preserve">In its Periodic Report to the Committee, the State Party highlights that Law 070 </w:t>
      </w:r>
      <w:r w:rsidR="00577A27" w:rsidRPr="0059707D">
        <w:rPr>
          <w:rFonts w:ascii="Cambria" w:hAnsi="Cambria"/>
        </w:rPr>
        <w:t xml:space="preserve">on Education </w:t>
      </w:r>
      <w:r w:rsidRPr="0059707D">
        <w:rPr>
          <w:rFonts w:ascii="Cambria" w:hAnsi="Cambria"/>
        </w:rPr>
        <w:t>has established equality between men and women as one of the fundamental goals of the state</w:t>
      </w:r>
      <w:r w:rsidR="00132B5D" w:rsidRPr="0059707D">
        <w:rPr>
          <w:rFonts w:ascii="Cambria" w:hAnsi="Cambria"/>
        </w:rPr>
        <w:t xml:space="preserve">, and states that </w:t>
      </w:r>
      <w:r w:rsidR="00DE6580" w:rsidRPr="0059707D">
        <w:rPr>
          <w:rFonts w:ascii="Cambria" w:hAnsi="Cambria"/>
        </w:rPr>
        <w:t>in</w:t>
      </w:r>
      <w:r w:rsidR="00132B5D" w:rsidRPr="0059707D">
        <w:rPr>
          <w:rFonts w:ascii="Cambria" w:hAnsi="Cambria"/>
        </w:rPr>
        <w:t xml:space="preserve"> respect of </w:t>
      </w:r>
      <w:r w:rsidRPr="0059707D">
        <w:rPr>
          <w:rFonts w:ascii="Cambria" w:hAnsi="Cambria"/>
        </w:rPr>
        <w:t xml:space="preserve">access to employment, </w:t>
      </w:r>
      <w:r w:rsidR="00A74535" w:rsidRPr="0059707D">
        <w:rPr>
          <w:rFonts w:ascii="Cambria" w:hAnsi="Cambria"/>
        </w:rPr>
        <w:t xml:space="preserve">the state has implemented different programmes to facilitate </w:t>
      </w:r>
      <w:r w:rsidR="00950CB9" w:rsidRPr="0059707D">
        <w:rPr>
          <w:rFonts w:ascii="Cambria" w:hAnsi="Cambria"/>
        </w:rPr>
        <w:t>inclusion in</w:t>
      </w:r>
      <w:r w:rsidR="00A74535" w:rsidRPr="0059707D">
        <w:rPr>
          <w:rFonts w:ascii="Cambria" w:hAnsi="Cambria"/>
        </w:rPr>
        <w:t xml:space="preserve"> the labour market and to create new employment opportunities, particularly oriented towards young people from </w:t>
      </w:r>
      <w:r w:rsidR="00F9001F" w:rsidRPr="0059707D">
        <w:rPr>
          <w:rFonts w:ascii="Cambria" w:hAnsi="Cambria"/>
        </w:rPr>
        <w:t>vulnerable backgrounds.</w:t>
      </w:r>
      <w:r w:rsidR="00F9001F" w:rsidRPr="0059707D">
        <w:rPr>
          <w:rStyle w:val="FootnoteReference"/>
          <w:rFonts w:ascii="Cambria" w:hAnsi="Cambria"/>
        </w:rPr>
        <w:footnoteReference w:id="31"/>
      </w:r>
      <w:r w:rsidR="00F9001F" w:rsidRPr="0059707D">
        <w:rPr>
          <w:rFonts w:ascii="Cambria" w:hAnsi="Cambria"/>
        </w:rPr>
        <w:t xml:space="preserve"> </w:t>
      </w:r>
    </w:p>
    <w:p w14:paraId="16FD4F9C" w14:textId="77777777" w:rsidR="00540AF5" w:rsidRPr="0059707D" w:rsidRDefault="00540AF5" w:rsidP="00540AF5">
      <w:pPr>
        <w:pStyle w:val="ListParagraph"/>
        <w:rPr>
          <w:rFonts w:ascii="Cambria" w:hAnsi="Cambria"/>
        </w:rPr>
      </w:pPr>
    </w:p>
    <w:p w14:paraId="34C30F1D" w14:textId="61E980A3" w:rsidR="00132B5D" w:rsidRPr="0059707D" w:rsidRDefault="00F9001F" w:rsidP="00577A27">
      <w:pPr>
        <w:pStyle w:val="ListParagraph"/>
        <w:numPr>
          <w:ilvl w:val="0"/>
          <w:numId w:val="20"/>
        </w:numPr>
        <w:jc w:val="both"/>
        <w:rPr>
          <w:rFonts w:ascii="Cambria" w:hAnsi="Cambria"/>
        </w:rPr>
      </w:pPr>
      <w:r w:rsidRPr="0059707D">
        <w:rPr>
          <w:rFonts w:ascii="Cambria" w:hAnsi="Cambria"/>
        </w:rPr>
        <w:t xml:space="preserve">However, research conducted by </w:t>
      </w:r>
      <w:proofErr w:type="spellStart"/>
      <w:r w:rsidR="004921B5" w:rsidRPr="0059707D">
        <w:rPr>
          <w:rFonts w:ascii="Cambria" w:hAnsi="Cambria"/>
        </w:rPr>
        <w:t>Comunidad</w:t>
      </w:r>
      <w:proofErr w:type="spellEnd"/>
      <w:r w:rsidRPr="0059707D">
        <w:rPr>
          <w:rFonts w:ascii="Cambria" w:hAnsi="Cambria"/>
        </w:rPr>
        <w:t xml:space="preserve"> </w:t>
      </w:r>
      <w:r w:rsidR="004E3BA6" w:rsidRPr="0059707D">
        <w:rPr>
          <w:rFonts w:ascii="Cambria" w:hAnsi="Cambria"/>
        </w:rPr>
        <w:t xml:space="preserve">for its forthcoming report </w:t>
      </w:r>
      <w:r w:rsidRPr="0059707D">
        <w:rPr>
          <w:rFonts w:ascii="Cambria" w:hAnsi="Cambria"/>
        </w:rPr>
        <w:t xml:space="preserve">highlights that </w:t>
      </w:r>
      <w:r w:rsidR="00132B5D" w:rsidRPr="0059707D">
        <w:rPr>
          <w:rFonts w:ascii="Cambria" w:hAnsi="Cambria"/>
        </w:rPr>
        <w:t>the state has not implemented</w:t>
      </w:r>
      <w:r w:rsidRPr="0059707D">
        <w:rPr>
          <w:rFonts w:ascii="Cambria" w:hAnsi="Cambria"/>
        </w:rPr>
        <w:t xml:space="preserve"> concrete and comprehensive policies designed to </w:t>
      </w:r>
      <w:r w:rsidR="00132B5D" w:rsidRPr="0059707D">
        <w:rPr>
          <w:rFonts w:ascii="Cambria" w:hAnsi="Cambria"/>
        </w:rPr>
        <w:t>accelerate</w:t>
      </w:r>
      <w:r w:rsidRPr="0059707D">
        <w:rPr>
          <w:rFonts w:ascii="Cambria" w:hAnsi="Cambria"/>
        </w:rPr>
        <w:t xml:space="preserve"> gender inequality in </w:t>
      </w:r>
      <w:r w:rsidR="00907819" w:rsidRPr="0059707D">
        <w:rPr>
          <w:rFonts w:ascii="Cambria" w:hAnsi="Cambria"/>
        </w:rPr>
        <w:t>access to work and conditions of work</w:t>
      </w:r>
      <w:r w:rsidRPr="0059707D">
        <w:rPr>
          <w:rFonts w:ascii="Cambria" w:hAnsi="Cambria"/>
        </w:rPr>
        <w:t>. Women are still subject to widespread discriminatory prejudice</w:t>
      </w:r>
      <w:r w:rsidR="00502837" w:rsidRPr="0059707D">
        <w:rPr>
          <w:rFonts w:ascii="Cambria" w:hAnsi="Cambria"/>
        </w:rPr>
        <w:t xml:space="preserve"> and gender stereotypes. </w:t>
      </w:r>
      <w:r w:rsidR="00540AF5" w:rsidRPr="0059707D">
        <w:rPr>
          <w:rFonts w:ascii="Cambria" w:hAnsi="Cambria"/>
        </w:rPr>
        <w:t xml:space="preserve">Household work, childcare and other caring responsibilities </w:t>
      </w:r>
      <w:r w:rsidR="00540AF5" w:rsidRPr="0059707D">
        <w:rPr>
          <w:rFonts w:ascii="Cambria" w:hAnsi="Cambria"/>
        </w:rPr>
        <w:t xml:space="preserve">are still </w:t>
      </w:r>
      <w:r w:rsidR="00540AF5" w:rsidRPr="0059707D">
        <w:rPr>
          <w:rFonts w:ascii="Cambria" w:hAnsi="Cambria"/>
        </w:rPr>
        <w:t xml:space="preserve">largely </w:t>
      </w:r>
      <w:r w:rsidR="00540AF5" w:rsidRPr="0059707D">
        <w:rPr>
          <w:rFonts w:ascii="Cambria" w:hAnsi="Cambria"/>
        </w:rPr>
        <w:t xml:space="preserve">considered tasks </w:t>
      </w:r>
      <w:r w:rsidR="00540AF5" w:rsidRPr="0059707D">
        <w:rPr>
          <w:rFonts w:ascii="Cambria" w:hAnsi="Cambria"/>
        </w:rPr>
        <w:t>performed by</w:t>
      </w:r>
      <w:r w:rsidR="00540AF5" w:rsidRPr="0059707D">
        <w:rPr>
          <w:rFonts w:ascii="Cambria" w:hAnsi="Cambria"/>
        </w:rPr>
        <w:t xml:space="preserve"> women. </w:t>
      </w:r>
      <w:r w:rsidR="00540AF5" w:rsidRPr="0059707D">
        <w:rPr>
          <w:rFonts w:ascii="Cambria" w:hAnsi="Cambria"/>
        </w:rPr>
        <w:t xml:space="preserve">Gender stereotypes </w:t>
      </w:r>
      <w:r w:rsidR="00540AF5" w:rsidRPr="0059707D">
        <w:rPr>
          <w:rFonts w:ascii="Cambria" w:hAnsi="Cambria"/>
        </w:rPr>
        <w:lastRenderedPageBreak/>
        <w:t>subordinate women to roles defined by</w:t>
      </w:r>
      <w:r w:rsidR="00540AF5" w:rsidRPr="0059707D">
        <w:rPr>
          <w:rFonts w:ascii="Cambria" w:hAnsi="Cambria"/>
        </w:rPr>
        <w:t xml:space="preserve"> reproduction, child</w:t>
      </w:r>
      <w:r w:rsidR="00540AF5" w:rsidRPr="0059707D">
        <w:rPr>
          <w:rFonts w:ascii="Cambria" w:hAnsi="Cambria"/>
        </w:rPr>
        <w:t>care</w:t>
      </w:r>
      <w:r w:rsidR="00540AF5" w:rsidRPr="0059707D">
        <w:rPr>
          <w:rFonts w:ascii="Cambria" w:hAnsi="Cambria"/>
        </w:rPr>
        <w:t>, house</w:t>
      </w:r>
      <w:r w:rsidR="00540AF5" w:rsidRPr="0059707D">
        <w:rPr>
          <w:rFonts w:ascii="Cambria" w:hAnsi="Cambria"/>
        </w:rPr>
        <w:t xml:space="preserve">work </w:t>
      </w:r>
      <w:r w:rsidR="00540AF5" w:rsidRPr="0059707D">
        <w:rPr>
          <w:rFonts w:ascii="Cambria" w:hAnsi="Cambria"/>
        </w:rPr>
        <w:t xml:space="preserve">and the provision of pleasure, </w:t>
      </w:r>
      <w:r w:rsidR="00540AF5" w:rsidRPr="0059707D">
        <w:rPr>
          <w:rFonts w:ascii="Cambria" w:hAnsi="Cambria"/>
        </w:rPr>
        <w:t>underpinning patterns</w:t>
      </w:r>
      <w:r w:rsidR="00540AF5" w:rsidRPr="0059707D">
        <w:rPr>
          <w:rFonts w:ascii="Cambria" w:hAnsi="Cambria"/>
        </w:rPr>
        <w:t xml:space="preserve"> of discrimination </w:t>
      </w:r>
      <w:r w:rsidR="00540AF5" w:rsidRPr="0059707D">
        <w:rPr>
          <w:rFonts w:ascii="Cambria" w:hAnsi="Cambria"/>
        </w:rPr>
        <w:t>which deny women equal</w:t>
      </w:r>
      <w:r w:rsidR="00540AF5" w:rsidRPr="0059707D">
        <w:rPr>
          <w:rFonts w:ascii="Cambria" w:hAnsi="Cambria"/>
        </w:rPr>
        <w:t xml:space="preserve"> access to political, economic, educational and even cultural spaces.</w:t>
      </w:r>
      <w:r w:rsidR="00540AF5" w:rsidRPr="0059707D">
        <w:rPr>
          <w:rStyle w:val="FootnoteReference"/>
          <w:rFonts w:ascii="Cambria" w:hAnsi="Cambria" w:cs="Calibri"/>
          <w:color w:val="000000"/>
          <w:bdr w:val="none" w:sz="0" w:space="0" w:color="auto" w:frame="1"/>
          <w:lang w:val="es-BO"/>
        </w:rPr>
        <w:footnoteReference w:id="32"/>
      </w:r>
      <w:r w:rsidR="00540AF5" w:rsidRPr="0059707D">
        <w:rPr>
          <w:rFonts w:ascii="Cambria" w:hAnsi="Cambria"/>
        </w:rPr>
        <w:t xml:space="preserve"> In relation to domestic wage labo</w:t>
      </w:r>
      <w:r w:rsidR="00540AF5" w:rsidRPr="0059707D">
        <w:rPr>
          <w:rFonts w:ascii="Cambria" w:hAnsi="Cambria"/>
        </w:rPr>
        <w:t>u</w:t>
      </w:r>
      <w:r w:rsidR="00540AF5" w:rsidRPr="0059707D">
        <w:rPr>
          <w:rFonts w:ascii="Cambria" w:hAnsi="Cambria"/>
        </w:rPr>
        <w:t xml:space="preserve">r, </w:t>
      </w:r>
      <w:r w:rsidR="00540AF5" w:rsidRPr="0059707D">
        <w:rPr>
          <w:rFonts w:ascii="Cambria" w:hAnsi="Cambria"/>
        </w:rPr>
        <w:t xml:space="preserve">female </w:t>
      </w:r>
      <w:r w:rsidR="00540AF5" w:rsidRPr="0059707D">
        <w:rPr>
          <w:rFonts w:ascii="Cambria" w:hAnsi="Cambria"/>
        </w:rPr>
        <w:t>workers cannot access short and long-term social security because the law that regulates their trade (Law No. 2450) does not yet have regulations</w:t>
      </w:r>
      <w:r w:rsidR="00540AF5" w:rsidRPr="0059707D">
        <w:rPr>
          <w:rFonts w:ascii="Cambria" w:hAnsi="Cambria"/>
        </w:rPr>
        <w:t>, despite being enacted 15 years ago</w:t>
      </w:r>
      <w:r w:rsidR="00540AF5" w:rsidRPr="0059707D">
        <w:rPr>
          <w:rFonts w:ascii="Cambria" w:hAnsi="Cambria"/>
        </w:rPr>
        <w:t xml:space="preserve">. Of the total number of </w:t>
      </w:r>
      <w:r w:rsidR="00540AF5" w:rsidRPr="0059707D">
        <w:rPr>
          <w:rFonts w:ascii="Cambria" w:hAnsi="Cambria"/>
        </w:rPr>
        <w:t>such</w:t>
      </w:r>
      <w:r w:rsidR="00540AF5" w:rsidRPr="0059707D">
        <w:rPr>
          <w:rFonts w:ascii="Cambria" w:hAnsi="Cambria"/>
        </w:rPr>
        <w:t xml:space="preserve"> workers (109,321), only 5.3% have an employment contract that gives them the security of </w:t>
      </w:r>
      <w:r w:rsidR="00540AF5" w:rsidRPr="0059707D">
        <w:rPr>
          <w:rFonts w:ascii="Cambria" w:hAnsi="Cambria"/>
        </w:rPr>
        <w:t>fixed</w:t>
      </w:r>
      <w:r w:rsidR="006C5278" w:rsidRPr="0059707D">
        <w:rPr>
          <w:rFonts w:ascii="Cambria" w:hAnsi="Cambria"/>
        </w:rPr>
        <w:t xml:space="preserve"> working hours</w:t>
      </w:r>
      <w:r w:rsidR="00540AF5" w:rsidRPr="0059707D">
        <w:rPr>
          <w:rFonts w:ascii="Cambria" w:hAnsi="Cambria"/>
        </w:rPr>
        <w:t xml:space="preserve"> and </w:t>
      </w:r>
      <w:r w:rsidR="006C5278" w:rsidRPr="0059707D">
        <w:rPr>
          <w:rFonts w:ascii="Cambria" w:hAnsi="Cambria"/>
        </w:rPr>
        <w:t>the corresponding</w:t>
      </w:r>
      <w:r w:rsidR="00540AF5" w:rsidRPr="0059707D">
        <w:rPr>
          <w:rFonts w:ascii="Cambria" w:hAnsi="Cambria"/>
        </w:rPr>
        <w:t xml:space="preserve"> benefits, increasing job insecurity.</w:t>
      </w:r>
    </w:p>
    <w:p w14:paraId="3A27909F" w14:textId="77777777" w:rsidR="00132B5D" w:rsidRPr="0059707D" w:rsidRDefault="00132B5D" w:rsidP="00132B5D">
      <w:pPr>
        <w:pStyle w:val="ListParagraph"/>
        <w:rPr>
          <w:rFonts w:ascii="Cambria" w:hAnsi="Cambria"/>
        </w:rPr>
      </w:pPr>
    </w:p>
    <w:p w14:paraId="247C2665" w14:textId="53A9C67C" w:rsidR="00F9001F" w:rsidRPr="0059707D" w:rsidRDefault="00132B5D" w:rsidP="00577A27">
      <w:pPr>
        <w:pStyle w:val="ListParagraph"/>
        <w:numPr>
          <w:ilvl w:val="0"/>
          <w:numId w:val="20"/>
        </w:numPr>
        <w:jc w:val="both"/>
        <w:rPr>
          <w:rFonts w:ascii="Cambria" w:hAnsi="Cambria"/>
        </w:rPr>
      </w:pPr>
      <w:r w:rsidRPr="0059707D">
        <w:rPr>
          <w:rFonts w:ascii="Cambria" w:hAnsi="Cambria"/>
        </w:rPr>
        <w:t>In respect of land ownership, the Periodic Report states that 53% of landowners are men, 46% are women, and 1% are communities.</w:t>
      </w:r>
      <w:r w:rsidR="00997EE9" w:rsidRPr="0059707D">
        <w:rPr>
          <w:rStyle w:val="FootnoteReference"/>
          <w:rFonts w:ascii="Cambria" w:hAnsi="Cambria"/>
        </w:rPr>
        <w:footnoteReference w:id="33"/>
      </w:r>
      <w:r w:rsidRPr="0059707D">
        <w:rPr>
          <w:rFonts w:ascii="Cambria" w:hAnsi="Cambria"/>
        </w:rPr>
        <w:t xml:space="preserve"> However, it</w:t>
      </w:r>
      <w:r w:rsidR="00502837" w:rsidRPr="0059707D">
        <w:rPr>
          <w:rFonts w:ascii="Cambria" w:hAnsi="Cambria"/>
        </w:rPr>
        <w:t xml:space="preserve"> does not</w:t>
      </w:r>
      <w:r w:rsidRPr="0059707D">
        <w:rPr>
          <w:rFonts w:ascii="Cambria" w:hAnsi="Cambria"/>
        </w:rPr>
        <w:t xml:space="preserve"> state</w:t>
      </w:r>
      <w:r w:rsidR="00502837" w:rsidRPr="0059707D">
        <w:rPr>
          <w:rFonts w:ascii="Cambria" w:hAnsi="Cambria"/>
        </w:rPr>
        <w:t xml:space="preserve"> what </w:t>
      </w:r>
      <w:r w:rsidRPr="0059707D">
        <w:rPr>
          <w:rFonts w:ascii="Cambria" w:hAnsi="Cambria"/>
        </w:rPr>
        <w:t>policy or other measures</w:t>
      </w:r>
      <w:r w:rsidR="00502837" w:rsidRPr="0059707D">
        <w:rPr>
          <w:rFonts w:ascii="Cambria" w:hAnsi="Cambria"/>
        </w:rPr>
        <w:t xml:space="preserve"> have been taken to ensure equality in access to proceedings for the declaration of land</w:t>
      </w:r>
      <w:r w:rsidR="006C5278" w:rsidRPr="0059707D">
        <w:rPr>
          <w:rFonts w:ascii="Cambria" w:hAnsi="Cambria"/>
        </w:rPr>
        <w:t xml:space="preserve"> </w:t>
      </w:r>
      <w:r w:rsidR="00502837" w:rsidRPr="0059707D">
        <w:rPr>
          <w:rFonts w:ascii="Cambria" w:hAnsi="Cambria"/>
        </w:rPr>
        <w:t>ownership</w:t>
      </w:r>
      <w:r w:rsidR="006C5278" w:rsidRPr="0059707D">
        <w:rPr>
          <w:rFonts w:ascii="Cambria" w:hAnsi="Cambria"/>
        </w:rPr>
        <w:t>. In a positive sign,</w:t>
      </w:r>
      <w:r w:rsidR="006C5278" w:rsidRPr="0059707D">
        <w:rPr>
          <w:rFonts w:ascii="Cambria" w:hAnsi="Cambria"/>
        </w:rPr>
        <w:t xml:space="preserve"> legislation has been adopted that </w:t>
      </w:r>
      <w:r w:rsidR="006C5278" w:rsidRPr="0059707D">
        <w:rPr>
          <w:rFonts w:ascii="Cambria" w:hAnsi="Cambria"/>
        </w:rPr>
        <w:t xml:space="preserve">creates the possibility of </w:t>
      </w:r>
      <w:r w:rsidR="006C5278" w:rsidRPr="0059707D">
        <w:rPr>
          <w:rFonts w:ascii="Cambria" w:hAnsi="Cambria"/>
        </w:rPr>
        <w:t xml:space="preserve">greater </w:t>
      </w:r>
      <w:r w:rsidR="006C5278" w:rsidRPr="0059707D">
        <w:rPr>
          <w:rFonts w:ascii="Cambria" w:hAnsi="Cambria"/>
        </w:rPr>
        <w:t xml:space="preserve">female </w:t>
      </w:r>
      <w:r w:rsidR="006C5278" w:rsidRPr="0059707D">
        <w:rPr>
          <w:rFonts w:ascii="Cambria" w:hAnsi="Cambria"/>
        </w:rPr>
        <w:t xml:space="preserve">participation to women in the processes of </w:t>
      </w:r>
      <w:r w:rsidR="006C5278" w:rsidRPr="0059707D">
        <w:rPr>
          <w:rFonts w:ascii="Cambria" w:hAnsi="Cambria"/>
        </w:rPr>
        <w:t>care for agricultural land</w:t>
      </w:r>
      <w:r w:rsidR="006C5278" w:rsidRPr="0059707D">
        <w:rPr>
          <w:rFonts w:ascii="Cambria" w:hAnsi="Cambria"/>
        </w:rPr>
        <w:t xml:space="preserve">, </w:t>
      </w:r>
      <w:r w:rsidR="006C5278" w:rsidRPr="0059707D">
        <w:rPr>
          <w:rFonts w:ascii="Cambria" w:hAnsi="Cambria"/>
        </w:rPr>
        <w:t>but there is no evidence of measures</w:t>
      </w:r>
      <w:r w:rsidR="00502837" w:rsidRPr="0059707D">
        <w:rPr>
          <w:rFonts w:ascii="Cambria" w:hAnsi="Cambria"/>
        </w:rPr>
        <w:t xml:space="preserve"> to ensure that women will not be subject to </w:t>
      </w:r>
      <w:proofErr w:type="spellStart"/>
      <w:r w:rsidR="00502837" w:rsidRPr="0059707D">
        <w:rPr>
          <w:rFonts w:ascii="Cambria" w:hAnsi="Cambria"/>
        </w:rPr>
        <w:t>precarization</w:t>
      </w:r>
      <w:proofErr w:type="spellEnd"/>
      <w:r w:rsidR="00502837" w:rsidRPr="0059707D">
        <w:rPr>
          <w:rFonts w:ascii="Cambria" w:hAnsi="Cambria"/>
        </w:rPr>
        <w:t xml:space="preserve"> and forms of gendered discrimination once property over the land has been declared.</w:t>
      </w:r>
    </w:p>
    <w:p w14:paraId="584D17E3" w14:textId="77777777" w:rsidR="00F9001F" w:rsidRPr="0059707D" w:rsidRDefault="00F9001F" w:rsidP="003B5A15">
      <w:pPr>
        <w:pStyle w:val="ListParagraph"/>
        <w:rPr>
          <w:rFonts w:ascii="Cambria" w:hAnsi="Cambria"/>
        </w:rPr>
      </w:pPr>
    </w:p>
    <w:p w14:paraId="2475B1AC" w14:textId="21FB615A" w:rsidR="00907819" w:rsidRPr="0059707D" w:rsidRDefault="00502837" w:rsidP="003B5A15">
      <w:pPr>
        <w:pStyle w:val="ListParagraph"/>
        <w:numPr>
          <w:ilvl w:val="0"/>
          <w:numId w:val="20"/>
        </w:numPr>
        <w:jc w:val="both"/>
        <w:rPr>
          <w:rFonts w:ascii="Cambria" w:hAnsi="Cambria"/>
        </w:rPr>
      </w:pPr>
      <w:r w:rsidRPr="0059707D">
        <w:rPr>
          <w:rFonts w:ascii="Cambria" w:hAnsi="Cambria"/>
        </w:rPr>
        <w:t xml:space="preserve">The Periodic Report does not </w:t>
      </w:r>
      <w:r w:rsidR="00132B5D" w:rsidRPr="0059707D">
        <w:rPr>
          <w:rFonts w:ascii="Cambria" w:hAnsi="Cambria"/>
        </w:rPr>
        <w:t>set out measures which Bolivia has taken</w:t>
      </w:r>
      <w:r w:rsidRPr="0059707D">
        <w:rPr>
          <w:rFonts w:ascii="Cambria" w:hAnsi="Cambria"/>
        </w:rPr>
        <w:t xml:space="preserve"> to address the discrimination </w:t>
      </w:r>
      <w:r w:rsidR="00132B5D" w:rsidRPr="0059707D">
        <w:rPr>
          <w:rFonts w:ascii="Cambria" w:hAnsi="Cambria"/>
        </w:rPr>
        <w:t>experienced by</w:t>
      </w:r>
      <w:r w:rsidRPr="0059707D">
        <w:rPr>
          <w:rFonts w:ascii="Cambria" w:hAnsi="Cambria"/>
        </w:rPr>
        <w:t xml:space="preserve"> indigenous peoples </w:t>
      </w:r>
      <w:r w:rsidR="00132B5D" w:rsidRPr="0059707D">
        <w:rPr>
          <w:rFonts w:ascii="Cambria" w:hAnsi="Cambria"/>
        </w:rPr>
        <w:t>in respect to the</w:t>
      </w:r>
      <w:r w:rsidRPr="0059707D">
        <w:rPr>
          <w:rFonts w:ascii="Cambria" w:hAnsi="Cambria"/>
        </w:rPr>
        <w:t xml:space="preserve"> right to work and </w:t>
      </w:r>
      <w:r w:rsidR="00907819" w:rsidRPr="0059707D">
        <w:rPr>
          <w:rFonts w:ascii="Cambria" w:hAnsi="Cambria"/>
        </w:rPr>
        <w:t xml:space="preserve">the right to </w:t>
      </w:r>
      <w:r w:rsidR="00C95D04" w:rsidRPr="0059707D">
        <w:rPr>
          <w:rFonts w:ascii="Cambria" w:hAnsi="Cambria"/>
        </w:rPr>
        <w:t xml:space="preserve">just and favourable conditions of work. </w:t>
      </w:r>
      <w:r w:rsidR="00132B5D" w:rsidRPr="0059707D">
        <w:rPr>
          <w:rFonts w:ascii="Cambria" w:hAnsi="Cambria"/>
        </w:rPr>
        <w:t>Yet in 2009</w:t>
      </w:r>
      <w:r w:rsidR="00C95D04" w:rsidRPr="0059707D">
        <w:rPr>
          <w:rFonts w:ascii="Cambria" w:hAnsi="Cambria"/>
        </w:rPr>
        <w:t>,</w:t>
      </w:r>
      <w:r w:rsidR="00132B5D" w:rsidRPr="0059707D">
        <w:rPr>
          <w:rFonts w:ascii="Cambria" w:hAnsi="Cambria"/>
        </w:rPr>
        <w:t xml:space="preserve"> a report by</w:t>
      </w:r>
      <w:r w:rsidR="00C95D04" w:rsidRPr="0059707D">
        <w:rPr>
          <w:rFonts w:ascii="Cambria" w:hAnsi="Cambria"/>
        </w:rPr>
        <w:t xml:space="preserve"> the Interamerican Commission of Human Rights </w:t>
      </w:r>
      <w:r w:rsidR="00132B5D" w:rsidRPr="0059707D">
        <w:rPr>
          <w:rFonts w:ascii="Cambria" w:hAnsi="Cambria"/>
        </w:rPr>
        <w:t xml:space="preserve">found evidence of widespread discriminatory barriers to enjoyment of the right to work for indigenous persons, including: </w:t>
      </w:r>
      <w:r w:rsidR="00C95D04" w:rsidRPr="0059707D">
        <w:rPr>
          <w:rFonts w:ascii="Cambria" w:hAnsi="Cambria"/>
        </w:rPr>
        <w:t>physical violence</w:t>
      </w:r>
      <w:r w:rsidR="00132B5D" w:rsidRPr="0059707D">
        <w:rPr>
          <w:rFonts w:ascii="Cambria" w:hAnsi="Cambria"/>
        </w:rPr>
        <w:t>, inadequate remuneration</w:t>
      </w:r>
      <w:r w:rsidR="00C95D04" w:rsidRPr="0059707D">
        <w:rPr>
          <w:rFonts w:ascii="Cambria" w:hAnsi="Cambria"/>
        </w:rPr>
        <w:t xml:space="preserve">, division of labour according to gender stereotypes, child labour, forced labour and </w:t>
      </w:r>
      <w:r w:rsidR="00132B5D" w:rsidRPr="0059707D">
        <w:rPr>
          <w:rFonts w:ascii="Cambria" w:hAnsi="Cambria"/>
        </w:rPr>
        <w:t>forms of modern</w:t>
      </w:r>
      <w:r w:rsidR="00C95D04" w:rsidRPr="0059707D">
        <w:rPr>
          <w:rFonts w:ascii="Cambria" w:hAnsi="Cambria"/>
        </w:rPr>
        <w:t xml:space="preserve"> slavery.</w:t>
      </w:r>
      <w:r w:rsidR="00C95D04" w:rsidRPr="0059707D">
        <w:rPr>
          <w:rStyle w:val="FootnoteReference"/>
          <w:rFonts w:ascii="Cambria" w:hAnsi="Cambria"/>
        </w:rPr>
        <w:footnoteReference w:id="34"/>
      </w:r>
      <w:r w:rsidR="00C95D04" w:rsidRPr="0059707D">
        <w:rPr>
          <w:rFonts w:ascii="Cambria" w:hAnsi="Cambria"/>
        </w:rPr>
        <w:t xml:space="preserve"> </w:t>
      </w:r>
      <w:r w:rsidR="00FB6E60" w:rsidRPr="0059707D">
        <w:rPr>
          <w:rFonts w:ascii="Cambria" w:hAnsi="Cambria"/>
        </w:rPr>
        <w:t xml:space="preserve">Since then, the government has </w:t>
      </w:r>
      <w:r w:rsidR="006C5278" w:rsidRPr="0059707D">
        <w:rPr>
          <w:rFonts w:ascii="Cambria" w:hAnsi="Cambria"/>
        </w:rPr>
        <w:t xml:space="preserve">adopted </w:t>
      </w:r>
      <w:r w:rsidR="00FB6E60" w:rsidRPr="0059707D">
        <w:rPr>
          <w:rFonts w:ascii="Cambria" w:hAnsi="Cambria"/>
        </w:rPr>
        <w:t xml:space="preserve">standards </w:t>
      </w:r>
      <w:r w:rsidR="006C5278" w:rsidRPr="0059707D">
        <w:rPr>
          <w:rFonts w:ascii="Cambria" w:hAnsi="Cambria"/>
        </w:rPr>
        <w:t xml:space="preserve">to eliminate these practices and a multisectoral plan </w:t>
      </w:r>
      <w:r w:rsidR="00FB6E60" w:rsidRPr="0059707D">
        <w:rPr>
          <w:rFonts w:ascii="Cambria" w:hAnsi="Cambria"/>
        </w:rPr>
        <w:t>has been</w:t>
      </w:r>
      <w:r w:rsidR="006C5278" w:rsidRPr="0059707D">
        <w:rPr>
          <w:rFonts w:ascii="Cambria" w:hAnsi="Cambria"/>
        </w:rPr>
        <w:t xml:space="preserve"> implemented that </w:t>
      </w:r>
      <w:r w:rsidR="00FB6E60" w:rsidRPr="0059707D">
        <w:rPr>
          <w:rFonts w:ascii="Cambria" w:hAnsi="Cambria"/>
        </w:rPr>
        <w:t xml:space="preserve">has </w:t>
      </w:r>
      <w:r w:rsidR="006C5278" w:rsidRPr="0059707D">
        <w:rPr>
          <w:rFonts w:ascii="Cambria" w:hAnsi="Cambria"/>
        </w:rPr>
        <w:t>made progress</w:t>
      </w:r>
      <w:r w:rsidR="00FB6E60" w:rsidRPr="0059707D">
        <w:rPr>
          <w:rFonts w:ascii="Cambria" w:hAnsi="Cambria"/>
        </w:rPr>
        <w:t>, though the full outcome remains to be seen.</w:t>
      </w:r>
    </w:p>
    <w:p w14:paraId="7EE61249" w14:textId="77777777" w:rsidR="00FB6E60" w:rsidRPr="0059707D" w:rsidRDefault="00FB6E60" w:rsidP="00FB6E60">
      <w:pPr>
        <w:pStyle w:val="ListParagraph"/>
        <w:rPr>
          <w:rFonts w:ascii="Cambria" w:hAnsi="Cambria"/>
        </w:rPr>
      </w:pPr>
    </w:p>
    <w:p w14:paraId="43D28932" w14:textId="4FF182CD" w:rsidR="00FB6E60" w:rsidRPr="0059707D" w:rsidRDefault="00FB6E60" w:rsidP="003B5A15">
      <w:pPr>
        <w:pStyle w:val="ListParagraph"/>
        <w:numPr>
          <w:ilvl w:val="0"/>
          <w:numId w:val="20"/>
        </w:numPr>
        <w:jc w:val="both"/>
        <w:rPr>
          <w:rFonts w:ascii="Cambria" w:hAnsi="Cambria"/>
        </w:rPr>
      </w:pPr>
      <w:r w:rsidRPr="0059707D">
        <w:rPr>
          <w:rFonts w:ascii="Cambria" w:hAnsi="Cambria"/>
        </w:rPr>
        <w:t xml:space="preserve">Widespread </w:t>
      </w:r>
      <w:r w:rsidRPr="0059707D">
        <w:rPr>
          <w:rFonts w:ascii="Cambria" w:hAnsi="Cambria"/>
        </w:rPr>
        <w:t xml:space="preserve">prejudices and stereotypes </w:t>
      </w:r>
      <w:r w:rsidRPr="0059707D">
        <w:rPr>
          <w:rFonts w:ascii="Cambria" w:hAnsi="Cambria"/>
        </w:rPr>
        <w:t xml:space="preserve">limit </w:t>
      </w:r>
      <w:r w:rsidRPr="0059707D">
        <w:rPr>
          <w:rFonts w:ascii="Cambria" w:hAnsi="Cambria"/>
        </w:rPr>
        <w:t xml:space="preserve">access to </w:t>
      </w:r>
      <w:r w:rsidRPr="0059707D">
        <w:rPr>
          <w:rFonts w:ascii="Cambria" w:hAnsi="Cambria"/>
        </w:rPr>
        <w:t xml:space="preserve">work for LGBT persons. Research conducted </w:t>
      </w:r>
      <w:r w:rsidRPr="0059707D">
        <w:rPr>
          <w:rFonts w:ascii="Cambria" w:hAnsi="Cambria"/>
        </w:rPr>
        <w:t>in 2018</w:t>
      </w:r>
      <w:r w:rsidRPr="0059707D">
        <w:rPr>
          <w:rFonts w:ascii="Cambria" w:hAnsi="Cambria"/>
        </w:rPr>
        <w:t xml:space="preserve"> for t</w:t>
      </w:r>
      <w:r w:rsidRPr="0059707D">
        <w:rPr>
          <w:rFonts w:ascii="Cambria" w:hAnsi="Cambria"/>
        </w:rPr>
        <w:t xml:space="preserve">he </w:t>
      </w:r>
      <w:r w:rsidRPr="0059707D">
        <w:rPr>
          <w:rFonts w:ascii="Cambria" w:hAnsi="Cambria"/>
          <w:i/>
          <w:iCs/>
        </w:rPr>
        <w:t>Diagnosis of the Situation of the TLGB Populations</w:t>
      </w:r>
      <w:r w:rsidRPr="0059707D">
        <w:rPr>
          <w:rFonts w:ascii="Cambria" w:hAnsi="Cambria"/>
        </w:rPr>
        <w:t xml:space="preserve"> </w:t>
      </w:r>
      <w:r w:rsidRPr="0059707D">
        <w:rPr>
          <w:rFonts w:ascii="Cambria" w:hAnsi="Cambria"/>
        </w:rPr>
        <w:t>found that</w:t>
      </w:r>
      <w:r w:rsidRPr="0059707D">
        <w:rPr>
          <w:rFonts w:ascii="Cambria" w:hAnsi="Cambria"/>
        </w:rPr>
        <w:t xml:space="preserve"> 28% of respondents repor</w:t>
      </w:r>
      <w:r w:rsidRPr="0059707D">
        <w:rPr>
          <w:rFonts w:ascii="Cambria" w:hAnsi="Cambria"/>
        </w:rPr>
        <w:t>ted</w:t>
      </w:r>
      <w:r w:rsidRPr="0059707D">
        <w:rPr>
          <w:rFonts w:ascii="Cambria" w:hAnsi="Cambria"/>
        </w:rPr>
        <w:t xml:space="preserve"> having had difficulties finding a job due to their gender identity or sexual orientation, </w:t>
      </w:r>
      <w:r w:rsidRPr="0059707D">
        <w:rPr>
          <w:rFonts w:ascii="Cambria" w:hAnsi="Cambria"/>
        </w:rPr>
        <w:t xml:space="preserve">while </w:t>
      </w:r>
      <w:r w:rsidRPr="0059707D">
        <w:rPr>
          <w:rFonts w:ascii="Cambria" w:hAnsi="Cambria"/>
        </w:rPr>
        <w:t xml:space="preserve">another 39% </w:t>
      </w:r>
      <w:r w:rsidRPr="0059707D">
        <w:rPr>
          <w:rFonts w:ascii="Cambria" w:hAnsi="Cambria"/>
        </w:rPr>
        <w:t>stated that they had been forced</w:t>
      </w:r>
      <w:r w:rsidRPr="0059707D">
        <w:rPr>
          <w:rFonts w:ascii="Cambria" w:hAnsi="Cambria"/>
        </w:rPr>
        <w:t xml:space="preserve"> to hide their sexual orientation or gender identity due to fear of discrimination</w:t>
      </w:r>
      <w:r w:rsidRPr="0059707D">
        <w:rPr>
          <w:rFonts w:ascii="Cambria" w:hAnsi="Cambria"/>
        </w:rPr>
        <w:t xml:space="preserve">; </w:t>
      </w:r>
      <w:r w:rsidRPr="0059707D">
        <w:rPr>
          <w:rFonts w:ascii="Cambria" w:hAnsi="Cambria"/>
        </w:rPr>
        <w:t xml:space="preserve">23% of people </w:t>
      </w:r>
      <w:r w:rsidRPr="0059707D">
        <w:rPr>
          <w:rFonts w:ascii="Cambria" w:hAnsi="Cambria"/>
        </w:rPr>
        <w:t xml:space="preserve">in work </w:t>
      </w:r>
      <w:r w:rsidRPr="0059707D">
        <w:rPr>
          <w:rFonts w:ascii="Cambria" w:hAnsi="Cambria"/>
        </w:rPr>
        <w:t>said they had suffered some kind of discrimination or violence by their co-workers.</w:t>
      </w:r>
      <w:r w:rsidRPr="0059707D">
        <w:rPr>
          <w:rStyle w:val="FootnoteReference"/>
          <w:rFonts w:ascii="Cambria" w:hAnsi="Cambria" w:cstheme="minorHAnsi"/>
        </w:rPr>
        <w:footnoteReference w:id="35"/>
      </w:r>
    </w:p>
    <w:p w14:paraId="4097478B" w14:textId="77777777" w:rsidR="00D05203" w:rsidRPr="0059707D" w:rsidRDefault="00D05203" w:rsidP="003B5A15">
      <w:pPr>
        <w:pStyle w:val="ListParagraph"/>
        <w:jc w:val="both"/>
        <w:rPr>
          <w:rFonts w:ascii="Cambria" w:hAnsi="Cambria"/>
        </w:rPr>
      </w:pPr>
    </w:p>
    <w:p w14:paraId="75521A9F" w14:textId="769A206E" w:rsidR="00907819" w:rsidRPr="0059707D" w:rsidRDefault="00907819"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Suggested Questions – Work</w:t>
      </w:r>
    </w:p>
    <w:p w14:paraId="69D4419E" w14:textId="77777777" w:rsidR="00907819" w:rsidRPr="0059707D" w:rsidRDefault="00907819" w:rsidP="003B5A15">
      <w:pPr>
        <w:pStyle w:val="ListParagraph"/>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b/>
        </w:rPr>
      </w:pPr>
    </w:p>
    <w:p w14:paraId="57A6E64F" w14:textId="649F8DC8" w:rsidR="00502837" w:rsidRPr="0059707D" w:rsidRDefault="00907819" w:rsidP="00AB22E6">
      <w:pPr>
        <w:pStyle w:val="ListParagraph"/>
        <w:numPr>
          <w:ilvl w:val="0"/>
          <w:numId w:val="15"/>
        </w:numPr>
        <w:pBdr>
          <w:top w:val="single" w:sz="18" w:space="1" w:color="1F3864"/>
          <w:left w:val="single" w:sz="18" w:space="4" w:color="1F3864"/>
          <w:bottom w:val="single" w:sz="18" w:space="1" w:color="1F3864"/>
          <w:right w:val="single" w:sz="18" w:space="4" w:color="1F3864"/>
        </w:pBdr>
        <w:shd w:val="clear" w:color="auto" w:fill="F2F2F2"/>
        <w:ind w:right="146"/>
        <w:rPr>
          <w:rFonts w:ascii="Cambria" w:hAnsi="Cambria"/>
        </w:rPr>
      </w:pPr>
      <w:r w:rsidRPr="0059707D">
        <w:rPr>
          <w:rFonts w:ascii="Cambria" w:hAnsi="Cambria"/>
          <w:bCs/>
        </w:rPr>
        <w:t xml:space="preserve">What concrete measures has the State Party taken to effectively ensure the right to work and the right to fair and favourable conditions of work without discrimination on any ground? </w:t>
      </w:r>
    </w:p>
    <w:p w14:paraId="55276E13" w14:textId="77777777" w:rsidR="00AB22E6" w:rsidRPr="0059707D" w:rsidRDefault="00AB22E6" w:rsidP="003B5A15">
      <w:pPr>
        <w:spacing w:after="0" w:line="240" w:lineRule="auto"/>
        <w:jc w:val="both"/>
        <w:rPr>
          <w:rFonts w:ascii="Cambria" w:hAnsi="Cambria"/>
          <w:b/>
          <w:bCs/>
          <w:u w:val="single"/>
        </w:rPr>
      </w:pPr>
    </w:p>
    <w:p w14:paraId="78B4EBE7" w14:textId="580F11B7" w:rsidR="000E120A" w:rsidRPr="0059707D" w:rsidRDefault="000E120A" w:rsidP="003B5A15">
      <w:pPr>
        <w:spacing w:after="0" w:line="240" w:lineRule="auto"/>
        <w:jc w:val="both"/>
        <w:rPr>
          <w:rFonts w:ascii="Cambria" w:hAnsi="Cambria"/>
          <w:b/>
          <w:bCs/>
          <w:u w:val="single"/>
        </w:rPr>
      </w:pPr>
      <w:r w:rsidRPr="0059707D">
        <w:rPr>
          <w:rFonts w:ascii="Cambria" w:hAnsi="Cambria"/>
          <w:b/>
          <w:bCs/>
          <w:u w:val="single"/>
        </w:rPr>
        <w:t>Article 11: Right to an Adequate Standard of Living</w:t>
      </w:r>
    </w:p>
    <w:p w14:paraId="32224E15" w14:textId="691A50F8" w:rsidR="004E3BA6" w:rsidRPr="0059707D" w:rsidRDefault="004E3BA6" w:rsidP="003B5A15">
      <w:pPr>
        <w:spacing w:after="0" w:line="240" w:lineRule="auto"/>
        <w:jc w:val="both"/>
        <w:rPr>
          <w:rFonts w:ascii="Cambria" w:hAnsi="Cambria"/>
          <w:b/>
          <w:bCs/>
          <w:u w:val="single"/>
        </w:rPr>
      </w:pPr>
    </w:p>
    <w:p w14:paraId="31A13607" w14:textId="48A9E907" w:rsidR="004E3BA6" w:rsidRPr="0059707D" w:rsidRDefault="004E3BA6" w:rsidP="003B5A15">
      <w:pPr>
        <w:spacing w:after="0" w:line="240" w:lineRule="auto"/>
        <w:jc w:val="both"/>
        <w:rPr>
          <w:rFonts w:ascii="Cambria" w:hAnsi="Cambria"/>
          <w:b/>
          <w:bCs/>
          <w:i/>
          <w:iCs/>
        </w:rPr>
      </w:pPr>
      <w:r w:rsidRPr="0059707D">
        <w:rPr>
          <w:rFonts w:ascii="Cambria" w:hAnsi="Cambria"/>
          <w:b/>
          <w:bCs/>
          <w:i/>
          <w:iCs/>
        </w:rPr>
        <w:t>Housing</w:t>
      </w:r>
    </w:p>
    <w:p w14:paraId="45016249" w14:textId="77777777" w:rsidR="00950CB9" w:rsidRPr="0059707D" w:rsidRDefault="00950CB9" w:rsidP="003B5A15">
      <w:pPr>
        <w:spacing w:after="0" w:line="240" w:lineRule="auto"/>
        <w:jc w:val="both"/>
        <w:rPr>
          <w:rFonts w:ascii="Cambria" w:hAnsi="Cambria"/>
          <w:b/>
          <w:bCs/>
          <w:u w:val="single"/>
        </w:rPr>
      </w:pPr>
    </w:p>
    <w:p w14:paraId="7FAD2853" w14:textId="6B481172" w:rsidR="000E120A" w:rsidRPr="0059707D" w:rsidRDefault="000E120A" w:rsidP="003B5A15">
      <w:pPr>
        <w:pStyle w:val="ListParagraph"/>
        <w:numPr>
          <w:ilvl w:val="0"/>
          <w:numId w:val="20"/>
        </w:numPr>
        <w:jc w:val="both"/>
        <w:rPr>
          <w:rFonts w:ascii="Cambria" w:hAnsi="Cambria"/>
        </w:rPr>
      </w:pPr>
      <w:r w:rsidRPr="0059707D">
        <w:rPr>
          <w:rFonts w:ascii="Cambria" w:hAnsi="Cambria"/>
        </w:rPr>
        <w:t>The Committee has expressed its concerns about the rights to adequate housing, food, and the living conditions of marginalized indigenous peoples.</w:t>
      </w:r>
      <w:r w:rsidR="00997EE9" w:rsidRPr="0059707D">
        <w:rPr>
          <w:rStyle w:val="FootnoteReference"/>
          <w:rFonts w:ascii="Cambria" w:hAnsi="Cambria"/>
        </w:rPr>
        <w:footnoteReference w:id="36"/>
      </w:r>
      <w:r w:rsidRPr="0059707D">
        <w:rPr>
          <w:rFonts w:ascii="Cambria" w:hAnsi="Cambria"/>
        </w:rPr>
        <w:t xml:space="preserve"> Regarding the right to housing, Bolivia </w:t>
      </w:r>
      <w:r w:rsidRPr="0059707D">
        <w:rPr>
          <w:rFonts w:ascii="Cambria" w:hAnsi="Cambria"/>
        </w:rPr>
        <w:lastRenderedPageBreak/>
        <w:t xml:space="preserve">noted in </w:t>
      </w:r>
      <w:r w:rsidR="004E3BA6" w:rsidRPr="0059707D">
        <w:rPr>
          <w:rFonts w:ascii="Cambria" w:hAnsi="Cambria"/>
        </w:rPr>
        <w:t>its</w:t>
      </w:r>
      <w:r w:rsidRPr="0059707D">
        <w:rPr>
          <w:rFonts w:ascii="Cambria" w:hAnsi="Cambria"/>
        </w:rPr>
        <w:t xml:space="preserve"> Third Periodic Report that </w:t>
      </w:r>
      <w:proofErr w:type="spellStart"/>
      <w:r w:rsidRPr="0059707D">
        <w:rPr>
          <w:rFonts w:ascii="Cambria" w:hAnsi="Cambria"/>
        </w:rPr>
        <w:t>Agencia</w:t>
      </w:r>
      <w:proofErr w:type="spellEnd"/>
      <w:r w:rsidRPr="0059707D">
        <w:rPr>
          <w:rFonts w:ascii="Cambria" w:hAnsi="Cambria"/>
        </w:rPr>
        <w:t xml:space="preserve"> </w:t>
      </w:r>
      <w:proofErr w:type="spellStart"/>
      <w:r w:rsidRPr="0059707D">
        <w:rPr>
          <w:rFonts w:ascii="Cambria" w:hAnsi="Cambria"/>
        </w:rPr>
        <w:t>Estatal</w:t>
      </w:r>
      <w:proofErr w:type="spellEnd"/>
      <w:r w:rsidRPr="0059707D">
        <w:rPr>
          <w:rFonts w:ascii="Cambria" w:hAnsi="Cambria"/>
        </w:rPr>
        <w:t xml:space="preserve"> de Vivienda has prioritized instruments to ensure the right to adequate housing </w:t>
      </w:r>
      <w:r w:rsidR="004E3BA6" w:rsidRPr="0059707D">
        <w:rPr>
          <w:rFonts w:ascii="Cambria" w:hAnsi="Cambria"/>
        </w:rPr>
        <w:t>for</w:t>
      </w:r>
      <w:r w:rsidRPr="0059707D">
        <w:rPr>
          <w:rFonts w:ascii="Cambria" w:hAnsi="Cambria"/>
        </w:rPr>
        <w:t xml:space="preserve"> vulnerable populations (in particular, social housing for female-headed households).</w:t>
      </w:r>
      <w:r w:rsidRPr="0059707D">
        <w:rPr>
          <w:rStyle w:val="FootnoteReference"/>
          <w:rFonts w:ascii="Cambria" w:hAnsi="Cambria"/>
        </w:rPr>
        <w:footnoteReference w:id="37"/>
      </w:r>
      <w:r w:rsidRPr="0059707D">
        <w:rPr>
          <w:rFonts w:ascii="Cambria" w:hAnsi="Cambria"/>
        </w:rPr>
        <w:t xml:space="preserve"> The government also created the Guaraní Programme of Housing, as well as other programmes </w:t>
      </w:r>
      <w:r w:rsidR="00A52182" w:rsidRPr="0059707D">
        <w:rPr>
          <w:rFonts w:ascii="Cambria" w:hAnsi="Cambria"/>
        </w:rPr>
        <w:t>of social housing (mainly in rural areas), social assistance, and benefits destined to improve the living conditions of vulnerable groups (indigenous peoples, women and female-headed households, the elderly, and persons with disabilities).</w:t>
      </w:r>
      <w:r w:rsidR="00A52182" w:rsidRPr="0059707D">
        <w:rPr>
          <w:rStyle w:val="FootnoteReference"/>
          <w:rFonts w:ascii="Cambria" w:hAnsi="Cambria"/>
        </w:rPr>
        <w:footnoteReference w:id="38"/>
      </w:r>
      <w:r w:rsidR="00A52182" w:rsidRPr="0059707D">
        <w:rPr>
          <w:rFonts w:ascii="Cambria" w:hAnsi="Cambria"/>
        </w:rPr>
        <w:t xml:space="preserve"> </w:t>
      </w:r>
    </w:p>
    <w:p w14:paraId="17E5CB06" w14:textId="77777777" w:rsidR="00A52182" w:rsidRPr="0059707D" w:rsidRDefault="00A52182" w:rsidP="003B5A15">
      <w:pPr>
        <w:pStyle w:val="ListParagraph"/>
        <w:rPr>
          <w:rFonts w:ascii="Cambria" w:hAnsi="Cambria"/>
        </w:rPr>
      </w:pPr>
    </w:p>
    <w:p w14:paraId="5FC402A4" w14:textId="126E31B7" w:rsidR="00A52182" w:rsidRPr="0059707D" w:rsidRDefault="00A52182" w:rsidP="003B5A15">
      <w:pPr>
        <w:pStyle w:val="ListParagraph"/>
        <w:numPr>
          <w:ilvl w:val="0"/>
          <w:numId w:val="20"/>
        </w:numPr>
        <w:jc w:val="both"/>
        <w:rPr>
          <w:rFonts w:ascii="Cambria" w:hAnsi="Cambria"/>
        </w:rPr>
      </w:pPr>
      <w:r w:rsidRPr="0059707D">
        <w:rPr>
          <w:rFonts w:ascii="Cambria" w:hAnsi="Cambria"/>
        </w:rPr>
        <w:t>However, there</w:t>
      </w:r>
      <w:r w:rsidR="00907819" w:rsidRPr="0059707D">
        <w:rPr>
          <w:rFonts w:ascii="Cambria" w:hAnsi="Cambria"/>
        </w:rPr>
        <w:t xml:space="preserve"> </w:t>
      </w:r>
      <w:r w:rsidR="004E3BA6" w:rsidRPr="0059707D">
        <w:rPr>
          <w:rFonts w:ascii="Cambria" w:hAnsi="Cambria"/>
        </w:rPr>
        <w:t>appears to</w:t>
      </w:r>
      <w:r w:rsidR="00907819" w:rsidRPr="0059707D">
        <w:rPr>
          <w:rFonts w:ascii="Cambria" w:hAnsi="Cambria"/>
        </w:rPr>
        <w:t xml:space="preserve"> be no</w:t>
      </w:r>
      <w:r w:rsidRPr="0059707D">
        <w:rPr>
          <w:rFonts w:ascii="Cambria" w:hAnsi="Cambria"/>
        </w:rPr>
        <w:t xml:space="preserve"> disaggregate</w:t>
      </w:r>
      <w:r w:rsidR="004E3BA6" w:rsidRPr="0059707D">
        <w:rPr>
          <w:rFonts w:ascii="Cambria" w:hAnsi="Cambria"/>
        </w:rPr>
        <w:t>d</w:t>
      </w:r>
      <w:r w:rsidRPr="0059707D">
        <w:rPr>
          <w:rFonts w:ascii="Cambria" w:hAnsi="Cambria"/>
        </w:rPr>
        <w:t xml:space="preserve"> data in order to determine the impact of these programmes. Further information is required in order to determine whether the</w:t>
      </w:r>
      <w:r w:rsidR="004E3BA6" w:rsidRPr="0059707D">
        <w:rPr>
          <w:rFonts w:ascii="Cambria" w:hAnsi="Cambria"/>
        </w:rPr>
        <w:t xml:space="preserve"> government’s </w:t>
      </w:r>
      <w:r w:rsidRPr="0059707D">
        <w:rPr>
          <w:rFonts w:ascii="Cambria" w:hAnsi="Cambria"/>
        </w:rPr>
        <w:t xml:space="preserve">measures have been effective </w:t>
      </w:r>
      <w:r w:rsidR="004E3BA6" w:rsidRPr="0059707D">
        <w:rPr>
          <w:rFonts w:ascii="Cambria" w:hAnsi="Cambria"/>
        </w:rPr>
        <w:t>in addressing the</w:t>
      </w:r>
      <w:r w:rsidRPr="0059707D">
        <w:rPr>
          <w:rFonts w:ascii="Cambria" w:hAnsi="Cambria"/>
        </w:rPr>
        <w:t xml:space="preserve"> widespread housing shortage, the obstacles in access to housing, and the lack of support for low-income, vulnerable, and marginalized groups.</w:t>
      </w:r>
    </w:p>
    <w:p w14:paraId="373C8318" w14:textId="77777777" w:rsidR="004E3BA6" w:rsidRPr="0059707D" w:rsidRDefault="004E3BA6" w:rsidP="004E3BA6">
      <w:pPr>
        <w:pStyle w:val="ListParagraph"/>
        <w:rPr>
          <w:rFonts w:ascii="Cambria" w:hAnsi="Cambria"/>
        </w:rPr>
      </w:pPr>
    </w:p>
    <w:p w14:paraId="532579F1" w14:textId="61CBA246" w:rsidR="00A52182" w:rsidRPr="0059707D" w:rsidRDefault="004E3BA6" w:rsidP="003B5A15">
      <w:pPr>
        <w:spacing w:after="0" w:line="240" w:lineRule="auto"/>
        <w:jc w:val="both"/>
        <w:rPr>
          <w:rFonts w:ascii="Cambria" w:hAnsi="Cambria"/>
          <w:b/>
          <w:bCs/>
          <w:i/>
          <w:iCs/>
        </w:rPr>
      </w:pPr>
      <w:r w:rsidRPr="0059707D">
        <w:rPr>
          <w:rFonts w:ascii="Cambria" w:hAnsi="Cambria"/>
          <w:b/>
          <w:bCs/>
          <w:i/>
          <w:iCs/>
        </w:rPr>
        <w:t>Food</w:t>
      </w:r>
    </w:p>
    <w:p w14:paraId="5C1D3D8E" w14:textId="77777777" w:rsidR="004E3BA6" w:rsidRPr="0059707D" w:rsidRDefault="004E3BA6" w:rsidP="003B5A15">
      <w:pPr>
        <w:spacing w:after="0" w:line="240" w:lineRule="auto"/>
        <w:jc w:val="both"/>
        <w:rPr>
          <w:rFonts w:ascii="Cambria" w:hAnsi="Cambria"/>
          <w:b/>
          <w:bCs/>
          <w:i/>
          <w:iCs/>
        </w:rPr>
      </w:pPr>
    </w:p>
    <w:p w14:paraId="1EA521F3" w14:textId="0E8A545A" w:rsidR="000E120A" w:rsidRPr="0059707D" w:rsidRDefault="00A52182" w:rsidP="003B5A15">
      <w:pPr>
        <w:pStyle w:val="ListParagraph"/>
        <w:numPr>
          <w:ilvl w:val="0"/>
          <w:numId w:val="20"/>
        </w:numPr>
        <w:jc w:val="both"/>
        <w:rPr>
          <w:rFonts w:ascii="Cambria" w:hAnsi="Cambria"/>
        </w:rPr>
      </w:pPr>
      <w:r w:rsidRPr="0059707D">
        <w:rPr>
          <w:rFonts w:ascii="Cambria" w:hAnsi="Cambria"/>
        </w:rPr>
        <w:t xml:space="preserve">Regarding </w:t>
      </w:r>
      <w:r w:rsidR="004E3BA6" w:rsidRPr="0059707D">
        <w:rPr>
          <w:rFonts w:ascii="Cambria" w:hAnsi="Cambria"/>
        </w:rPr>
        <w:t>access to</w:t>
      </w:r>
      <w:r w:rsidRPr="0059707D">
        <w:rPr>
          <w:rFonts w:ascii="Cambria" w:hAnsi="Cambria"/>
        </w:rPr>
        <w:t xml:space="preserve"> food, the Committee </w:t>
      </w:r>
      <w:r w:rsidR="004E3BA6" w:rsidRPr="0059707D">
        <w:rPr>
          <w:rFonts w:ascii="Cambria" w:hAnsi="Cambria"/>
        </w:rPr>
        <w:t xml:space="preserve">has </w:t>
      </w:r>
      <w:r w:rsidRPr="0059707D">
        <w:rPr>
          <w:rFonts w:ascii="Cambria" w:hAnsi="Cambria"/>
        </w:rPr>
        <w:t>noted the persistence of infant malnutrition and the lack of guarantees to the right to food in indigenous groups</w:t>
      </w:r>
      <w:r w:rsidR="004E3BA6" w:rsidRPr="0059707D">
        <w:rPr>
          <w:rFonts w:ascii="Cambria" w:hAnsi="Cambria"/>
        </w:rPr>
        <w:t xml:space="preserve"> and </w:t>
      </w:r>
      <w:r w:rsidRPr="0059707D">
        <w:rPr>
          <w:rFonts w:ascii="Cambria" w:hAnsi="Cambria"/>
        </w:rPr>
        <w:t>recommended taking measures to facilitate access to productive resources that may allow the population to be sustainably self-sufficient.</w:t>
      </w:r>
      <w:r w:rsidRPr="0059707D">
        <w:rPr>
          <w:rStyle w:val="FootnoteReference"/>
          <w:rFonts w:ascii="Cambria" w:hAnsi="Cambria"/>
        </w:rPr>
        <w:footnoteReference w:id="39"/>
      </w:r>
      <w:r w:rsidRPr="0059707D">
        <w:rPr>
          <w:rFonts w:ascii="Cambria" w:hAnsi="Cambria"/>
        </w:rPr>
        <w:t xml:space="preserve"> In this regard, Bolivia notes that the state has enacted various</w:t>
      </w:r>
      <w:r w:rsidR="00E637FE" w:rsidRPr="0059707D">
        <w:rPr>
          <w:rFonts w:ascii="Cambria" w:hAnsi="Cambria"/>
        </w:rPr>
        <w:t xml:space="preserve"> laws</w:t>
      </w:r>
      <w:r w:rsidRPr="0059707D">
        <w:rPr>
          <w:rFonts w:ascii="Cambria" w:hAnsi="Cambria"/>
        </w:rPr>
        <w:t xml:space="preserve"> policies in order to ensure food sovereignty</w:t>
      </w:r>
      <w:r w:rsidR="00E637FE" w:rsidRPr="0059707D">
        <w:rPr>
          <w:rFonts w:ascii="Cambria" w:hAnsi="Cambria"/>
        </w:rPr>
        <w:t xml:space="preserve"> and</w:t>
      </w:r>
      <w:r w:rsidRPr="0059707D">
        <w:rPr>
          <w:rFonts w:ascii="Cambria" w:hAnsi="Cambria"/>
        </w:rPr>
        <w:t xml:space="preserve"> an adequate nutritional status for the population</w:t>
      </w:r>
      <w:r w:rsidR="00E637FE" w:rsidRPr="0059707D">
        <w:rPr>
          <w:rFonts w:ascii="Cambria" w:hAnsi="Cambria"/>
        </w:rPr>
        <w:t>.</w:t>
      </w:r>
      <w:r w:rsidR="00E637FE" w:rsidRPr="0059707D">
        <w:rPr>
          <w:rStyle w:val="FootnoteReference"/>
          <w:rFonts w:ascii="Cambria" w:hAnsi="Cambria"/>
        </w:rPr>
        <w:footnoteReference w:id="40"/>
      </w:r>
    </w:p>
    <w:p w14:paraId="235D6ACC" w14:textId="77777777" w:rsidR="00E637FE" w:rsidRPr="0059707D" w:rsidRDefault="00E637FE" w:rsidP="003B5A15">
      <w:pPr>
        <w:pStyle w:val="ListParagraph"/>
        <w:rPr>
          <w:rFonts w:ascii="Cambria" w:hAnsi="Cambria"/>
        </w:rPr>
      </w:pPr>
    </w:p>
    <w:p w14:paraId="411F4BFC" w14:textId="0E3FD9D7" w:rsidR="00A52182" w:rsidRPr="0059707D" w:rsidRDefault="00C94F7C" w:rsidP="003B5A15">
      <w:pPr>
        <w:pStyle w:val="ListParagraph"/>
        <w:numPr>
          <w:ilvl w:val="0"/>
          <w:numId w:val="20"/>
        </w:numPr>
        <w:jc w:val="both"/>
        <w:rPr>
          <w:rFonts w:ascii="Cambria" w:hAnsi="Cambria"/>
        </w:rPr>
      </w:pPr>
      <w:r w:rsidRPr="0059707D">
        <w:rPr>
          <w:rFonts w:ascii="Cambria" w:hAnsi="Cambria"/>
        </w:rPr>
        <w:t xml:space="preserve">In 2017, the National Food and Nutrition Council (Conan) of Bolivia approved the Multisectoral Plan of Food and Nutrition, to reduce malnutrition, malnutrition and obesity. Most of the efforts have been focused on child malnutrition with significant results: in 2005 there was a chronic malnutrition rate in children under 2 years of 27%, while in 2016 it decreased to 11.8%. </w:t>
      </w:r>
      <w:r w:rsidR="004E3BA6" w:rsidRPr="0059707D">
        <w:rPr>
          <w:rFonts w:ascii="Cambria" w:hAnsi="Cambria"/>
        </w:rPr>
        <w:t>However, d</w:t>
      </w:r>
      <w:r w:rsidR="00E637FE" w:rsidRPr="0059707D">
        <w:rPr>
          <w:rFonts w:ascii="Cambria" w:hAnsi="Cambria"/>
        </w:rPr>
        <w:t xml:space="preserve">espite the enactment of said laws and policies, there is no information about their impact and the extent to which they have facilitated access to productive resources that may ensure self-sufficiency. </w:t>
      </w:r>
      <w:r w:rsidRPr="0059707D">
        <w:rPr>
          <w:rFonts w:ascii="Cambria" w:hAnsi="Cambria"/>
        </w:rPr>
        <w:t xml:space="preserve"> Moreover, t</w:t>
      </w:r>
      <w:r w:rsidR="004E3BA6" w:rsidRPr="0059707D">
        <w:rPr>
          <w:rFonts w:ascii="Cambria" w:hAnsi="Cambria"/>
        </w:rPr>
        <w:t>here</w:t>
      </w:r>
      <w:r w:rsidR="00E637FE" w:rsidRPr="0059707D">
        <w:rPr>
          <w:rFonts w:ascii="Cambria" w:hAnsi="Cambria"/>
        </w:rPr>
        <w:t xml:space="preserve"> is no mention in the Third Periodic Report of concrete measures to ensure the right to food of indigenous peoples. </w:t>
      </w:r>
    </w:p>
    <w:p w14:paraId="4BB29BB8" w14:textId="77777777" w:rsidR="00355F3D" w:rsidRPr="0059707D" w:rsidRDefault="00355F3D" w:rsidP="003B5A15">
      <w:pPr>
        <w:pStyle w:val="ListParagraph"/>
        <w:rPr>
          <w:rFonts w:ascii="Cambria" w:hAnsi="Cambria"/>
        </w:rPr>
      </w:pPr>
    </w:p>
    <w:p w14:paraId="11DB1353" w14:textId="73A66475" w:rsidR="00907819" w:rsidRPr="0059707D" w:rsidRDefault="00907819"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Suggested Questions – Right to an Adequate Standard of Living</w:t>
      </w:r>
    </w:p>
    <w:p w14:paraId="1C811844" w14:textId="77777777" w:rsidR="00907819" w:rsidRPr="0059707D" w:rsidRDefault="00907819"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p>
    <w:p w14:paraId="5AC06627" w14:textId="4EDEADE9" w:rsidR="00907819" w:rsidRPr="0059707D" w:rsidRDefault="00907819"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 xml:space="preserve">What concrete measures has the State Party taken to effectively ensure the right to housing without discrimination on any grounds? </w:t>
      </w:r>
    </w:p>
    <w:p w14:paraId="1F8CBCA0" w14:textId="245BCE1B" w:rsidR="00907819" w:rsidRPr="0059707D" w:rsidRDefault="00907819"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What concrete measures has the State Party taken to ensure access to food and food sovereignty</w:t>
      </w:r>
      <w:r w:rsidR="00AB22E6" w:rsidRPr="0059707D">
        <w:rPr>
          <w:rFonts w:ascii="Cambria" w:hAnsi="Cambria"/>
          <w:bCs/>
        </w:rPr>
        <w:t xml:space="preserve"> for </w:t>
      </w:r>
      <w:r w:rsidRPr="0059707D">
        <w:rPr>
          <w:rFonts w:ascii="Cambria" w:hAnsi="Cambria"/>
          <w:bCs/>
        </w:rPr>
        <w:t>indigenous peoples?</w:t>
      </w:r>
    </w:p>
    <w:p w14:paraId="40143474" w14:textId="77777777" w:rsidR="000E120A" w:rsidRPr="0059707D" w:rsidRDefault="000E120A" w:rsidP="003B5A15">
      <w:pPr>
        <w:spacing w:after="0" w:line="240" w:lineRule="auto"/>
        <w:jc w:val="both"/>
        <w:rPr>
          <w:rFonts w:ascii="Cambria" w:hAnsi="Cambria"/>
        </w:rPr>
      </w:pPr>
    </w:p>
    <w:p w14:paraId="3C9BA318" w14:textId="78614959" w:rsidR="002D048F" w:rsidRPr="0059707D" w:rsidRDefault="002D048F" w:rsidP="003B5A15">
      <w:pPr>
        <w:spacing w:after="0" w:line="240" w:lineRule="auto"/>
        <w:jc w:val="both"/>
        <w:rPr>
          <w:rFonts w:ascii="Cambria" w:hAnsi="Cambria"/>
          <w:b/>
          <w:bCs/>
          <w:u w:val="single"/>
        </w:rPr>
      </w:pPr>
      <w:r w:rsidRPr="0059707D">
        <w:rPr>
          <w:rFonts w:ascii="Cambria" w:hAnsi="Cambria"/>
          <w:b/>
          <w:bCs/>
          <w:u w:val="single"/>
        </w:rPr>
        <w:t>Article 12: The Right to the highest attainable standard of Health</w:t>
      </w:r>
    </w:p>
    <w:p w14:paraId="4747C834" w14:textId="77777777" w:rsidR="002D048F" w:rsidRPr="0059707D" w:rsidRDefault="002D048F" w:rsidP="003B5A15">
      <w:pPr>
        <w:spacing w:after="0" w:line="240" w:lineRule="auto"/>
        <w:jc w:val="both"/>
        <w:rPr>
          <w:rFonts w:ascii="Cambria" w:hAnsi="Cambria"/>
          <w:b/>
          <w:bCs/>
          <w:u w:val="single"/>
        </w:rPr>
      </w:pPr>
    </w:p>
    <w:p w14:paraId="0129C85A" w14:textId="77777777" w:rsidR="002D048F" w:rsidRPr="0059707D" w:rsidRDefault="002D048F" w:rsidP="002D048F">
      <w:pPr>
        <w:pStyle w:val="ListParagraph"/>
        <w:numPr>
          <w:ilvl w:val="0"/>
          <w:numId w:val="20"/>
        </w:numPr>
        <w:jc w:val="both"/>
        <w:rPr>
          <w:rFonts w:ascii="Cambria" w:hAnsi="Cambria"/>
        </w:rPr>
      </w:pPr>
      <w:r w:rsidRPr="0059707D">
        <w:rPr>
          <w:rFonts w:ascii="Cambria" w:hAnsi="Cambria"/>
        </w:rPr>
        <w:t xml:space="preserve">In its </w:t>
      </w:r>
      <w:r w:rsidRPr="0059707D">
        <w:rPr>
          <w:rFonts w:ascii="Cambria" w:hAnsi="Cambria"/>
        </w:rPr>
        <w:t xml:space="preserve">previous Concluding </w:t>
      </w:r>
      <w:r w:rsidRPr="0059707D">
        <w:rPr>
          <w:rFonts w:ascii="Cambria" w:hAnsi="Cambria"/>
        </w:rPr>
        <w:t xml:space="preserve">Observations to Bolivia, the Committee expressed concern that, despite the efforts of the State party to include traditional medicine in the National Health System, vulnerable and marginalized indigenous peoples continue to have limited access to such services. </w:t>
      </w:r>
      <w:r w:rsidRPr="0059707D">
        <w:rPr>
          <w:rFonts w:ascii="Cambria" w:hAnsi="Cambria"/>
        </w:rPr>
        <w:t xml:space="preserve">Research by </w:t>
      </w:r>
      <w:proofErr w:type="spellStart"/>
      <w:r w:rsidRPr="0059707D">
        <w:rPr>
          <w:rFonts w:ascii="Cambria" w:hAnsi="Cambria"/>
        </w:rPr>
        <w:t>Comunidad</w:t>
      </w:r>
      <w:proofErr w:type="spellEnd"/>
      <w:r w:rsidRPr="0059707D">
        <w:rPr>
          <w:rFonts w:ascii="Cambria" w:hAnsi="Cambria"/>
        </w:rPr>
        <w:t xml:space="preserve"> has</w:t>
      </w:r>
      <w:r w:rsidRPr="0059707D">
        <w:rPr>
          <w:rFonts w:ascii="Cambria" w:hAnsi="Cambria"/>
        </w:rPr>
        <w:t xml:space="preserve"> reveal</w:t>
      </w:r>
      <w:r w:rsidRPr="0059707D">
        <w:rPr>
          <w:rFonts w:ascii="Cambria" w:hAnsi="Cambria"/>
        </w:rPr>
        <w:t>ed</w:t>
      </w:r>
      <w:r w:rsidRPr="0059707D">
        <w:rPr>
          <w:rFonts w:ascii="Cambria" w:hAnsi="Cambria"/>
        </w:rPr>
        <w:t xml:space="preserve"> that these efforts were insufficient to guarantee the inclusion of indigenous peoples </w:t>
      </w:r>
      <w:r w:rsidRPr="0059707D">
        <w:rPr>
          <w:rFonts w:ascii="Cambria" w:hAnsi="Cambria"/>
        </w:rPr>
        <w:t>in the healthcare system a</w:t>
      </w:r>
      <w:r w:rsidRPr="0059707D">
        <w:rPr>
          <w:rFonts w:ascii="Cambria" w:hAnsi="Cambria"/>
        </w:rPr>
        <w:t xml:space="preserve">nd to guarantee their right to health, especially as regards access to health services. </w:t>
      </w:r>
    </w:p>
    <w:p w14:paraId="535A8891" w14:textId="77777777" w:rsidR="002D048F" w:rsidRPr="0059707D" w:rsidRDefault="002D048F" w:rsidP="002D048F">
      <w:pPr>
        <w:pStyle w:val="ListParagraph"/>
        <w:ind w:left="567"/>
        <w:jc w:val="both"/>
        <w:rPr>
          <w:rFonts w:ascii="Cambria" w:hAnsi="Cambria"/>
        </w:rPr>
      </w:pPr>
    </w:p>
    <w:p w14:paraId="7572C26C" w14:textId="77777777" w:rsidR="002D048F" w:rsidRPr="0059707D" w:rsidRDefault="002D048F" w:rsidP="002D048F">
      <w:pPr>
        <w:pStyle w:val="ListParagraph"/>
        <w:numPr>
          <w:ilvl w:val="0"/>
          <w:numId w:val="20"/>
        </w:numPr>
        <w:jc w:val="both"/>
        <w:rPr>
          <w:rFonts w:ascii="Cambria" w:hAnsi="Cambria"/>
        </w:rPr>
      </w:pPr>
      <w:r w:rsidRPr="0059707D">
        <w:rPr>
          <w:rFonts w:ascii="Cambria" w:hAnsi="Cambria"/>
        </w:rPr>
        <w:t xml:space="preserve">Furthermore, </w:t>
      </w:r>
      <w:proofErr w:type="spellStart"/>
      <w:r w:rsidRPr="0059707D">
        <w:rPr>
          <w:rFonts w:ascii="Cambria" w:hAnsi="Cambria"/>
        </w:rPr>
        <w:t>Comunidad’s</w:t>
      </w:r>
      <w:proofErr w:type="spellEnd"/>
      <w:r w:rsidRPr="0059707D">
        <w:rPr>
          <w:rFonts w:ascii="Cambria" w:hAnsi="Cambria"/>
        </w:rPr>
        <w:t xml:space="preserve"> research has identified c</w:t>
      </w:r>
      <w:r w:rsidRPr="0059707D">
        <w:rPr>
          <w:rFonts w:ascii="Cambria" w:hAnsi="Cambria"/>
        </w:rPr>
        <w:t xml:space="preserve">oncerns that discrimination and stigma associated with HIV remain one of the main barriers </w:t>
      </w:r>
      <w:r w:rsidRPr="0059707D">
        <w:rPr>
          <w:rFonts w:ascii="Cambria" w:hAnsi="Cambria"/>
        </w:rPr>
        <w:t>both to prevention and to effective care for persons living with HIV and AIDs</w:t>
      </w:r>
      <w:r w:rsidRPr="0059707D">
        <w:rPr>
          <w:rFonts w:ascii="Cambria" w:hAnsi="Cambria"/>
        </w:rPr>
        <w:t xml:space="preserve">. </w:t>
      </w:r>
    </w:p>
    <w:p w14:paraId="4E99AEAE" w14:textId="77777777" w:rsidR="002D048F" w:rsidRPr="0059707D" w:rsidRDefault="002D048F" w:rsidP="002D048F">
      <w:pPr>
        <w:pStyle w:val="ListParagraph"/>
        <w:rPr>
          <w:rFonts w:ascii="Cambria" w:hAnsi="Cambria"/>
        </w:rPr>
      </w:pPr>
    </w:p>
    <w:p w14:paraId="1A981641" w14:textId="4552407A" w:rsidR="002D048F" w:rsidRPr="0059707D" w:rsidRDefault="002D048F" w:rsidP="002D048F">
      <w:pPr>
        <w:pStyle w:val="ListParagraph"/>
        <w:numPr>
          <w:ilvl w:val="0"/>
          <w:numId w:val="20"/>
        </w:numPr>
        <w:jc w:val="both"/>
        <w:rPr>
          <w:rFonts w:ascii="Cambria" w:hAnsi="Cambria"/>
        </w:rPr>
      </w:pPr>
      <w:r w:rsidRPr="0059707D">
        <w:rPr>
          <w:rFonts w:ascii="Cambria" w:hAnsi="Cambria"/>
        </w:rPr>
        <w:lastRenderedPageBreak/>
        <w:t>The State has established the</w:t>
      </w:r>
      <w:r w:rsidRPr="0059707D">
        <w:rPr>
          <w:rFonts w:ascii="Cambria" w:hAnsi="Cambria"/>
        </w:rPr>
        <w:t xml:space="preserve"> Comprehensive Health Care System</w:t>
      </w:r>
      <w:r w:rsidR="00E01192" w:rsidRPr="0059707D">
        <w:rPr>
          <w:rStyle w:val="FootnoteReference"/>
          <w:rFonts w:ascii="Cambria" w:hAnsi="Cambria" w:cstheme="minorHAnsi"/>
          <w:color w:val="000000" w:themeColor="text1"/>
          <w:lang w:val="es-BO"/>
        </w:rPr>
        <w:footnoteReference w:id="41"/>
      </w:r>
      <w:r w:rsidRPr="0059707D">
        <w:rPr>
          <w:rFonts w:ascii="Cambria" w:hAnsi="Cambria"/>
        </w:rPr>
        <w:t xml:space="preserve"> and the MY HEALTH Program</w:t>
      </w:r>
      <w:r w:rsidRPr="0059707D">
        <w:rPr>
          <w:rFonts w:ascii="Cambria" w:hAnsi="Cambria"/>
        </w:rPr>
        <w:t>, while</w:t>
      </w:r>
      <w:r w:rsidRPr="0059707D">
        <w:rPr>
          <w:rFonts w:ascii="Cambria" w:hAnsi="Cambria"/>
        </w:rPr>
        <w:t xml:space="preserve"> in February 2019 Law 1152 of the Single Health Insurance (SUS) was enacted. According to the National Institute of Health Insurance (INASES) to 2016, only 38.8% of the Bolivian population had access to some health insurance, that is, approximately 6 million people </w:t>
      </w:r>
      <w:r w:rsidRPr="0059707D">
        <w:rPr>
          <w:rFonts w:ascii="Cambria" w:hAnsi="Cambria"/>
        </w:rPr>
        <w:t>did not</w:t>
      </w:r>
      <w:r w:rsidRPr="0059707D">
        <w:rPr>
          <w:rFonts w:ascii="Cambria" w:hAnsi="Cambria"/>
        </w:rPr>
        <w:t xml:space="preserve"> have insurance</w:t>
      </w:r>
      <w:r w:rsidRPr="0059707D">
        <w:rPr>
          <w:rFonts w:ascii="Cambria" w:hAnsi="Cambria"/>
        </w:rPr>
        <w:t xml:space="preserve">. The </w:t>
      </w:r>
      <w:r w:rsidRPr="0059707D">
        <w:rPr>
          <w:rFonts w:ascii="Cambria" w:hAnsi="Cambria"/>
        </w:rPr>
        <w:t>SUS seeks to increase access</w:t>
      </w:r>
      <w:r w:rsidRPr="0059707D">
        <w:rPr>
          <w:rFonts w:ascii="Cambria" w:hAnsi="Cambria"/>
        </w:rPr>
        <w:t xml:space="preserve"> to healthcare</w:t>
      </w:r>
      <w:r w:rsidRPr="0059707D">
        <w:rPr>
          <w:rFonts w:ascii="Cambria" w:hAnsi="Cambria"/>
        </w:rPr>
        <w:t xml:space="preserve">, especially </w:t>
      </w:r>
      <w:r w:rsidRPr="0059707D">
        <w:rPr>
          <w:rFonts w:ascii="Cambria" w:hAnsi="Cambria"/>
        </w:rPr>
        <w:t xml:space="preserve">for those </w:t>
      </w:r>
      <w:r w:rsidRPr="0059707D">
        <w:rPr>
          <w:rFonts w:ascii="Cambria" w:hAnsi="Cambria"/>
        </w:rPr>
        <w:t>with limited resources.</w:t>
      </w:r>
    </w:p>
    <w:p w14:paraId="579A8BEF" w14:textId="77777777" w:rsidR="002D048F" w:rsidRPr="0059707D" w:rsidRDefault="002D048F" w:rsidP="002D048F">
      <w:pPr>
        <w:pStyle w:val="ListParagraph"/>
        <w:ind w:left="567"/>
        <w:jc w:val="both"/>
        <w:rPr>
          <w:rFonts w:ascii="Cambria" w:hAnsi="Cambria"/>
        </w:rPr>
      </w:pPr>
    </w:p>
    <w:p w14:paraId="5EF7453C" w14:textId="0216BA5B" w:rsidR="002D048F" w:rsidRPr="0059707D" w:rsidRDefault="00E01192" w:rsidP="002D048F">
      <w:pPr>
        <w:pStyle w:val="ListParagraph"/>
        <w:numPr>
          <w:ilvl w:val="0"/>
          <w:numId w:val="20"/>
        </w:numPr>
        <w:jc w:val="both"/>
        <w:rPr>
          <w:rFonts w:ascii="Cambria" w:hAnsi="Cambria"/>
        </w:rPr>
      </w:pPr>
      <w:r w:rsidRPr="0059707D">
        <w:rPr>
          <w:rFonts w:ascii="Cambria" w:hAnsi="Cambria"/>
        </w:rPr>
        <w:t>While the State has adopted the</w:t>
      </w:r>
      <w:r w:rsidR="002D048F" w:rsidRPr="0059707D">
        <w:rPr>
          <w:rFonts w:ascii="Cambria" w:hAnsi="Cambria"/>
        </w:rPr>
        <w:t xml:space="preserve"> Pl</w:t>
      </w:r>
      <w:proofErr w:type="spellStart"/>
      <w:r w:rsidR="002D048F" w:rsidRPr="0059707D">
        <w:rPr>
          <w:rFonts w:ascii="Cambria" w:hAnsi="Cambria"/>
        </w:rPr>
        <w:t>urinational</w:t>
      </w:r>
      <w:proofErr w:type="spellEnd"/>
      <w:r w:rsidR="002D048F" w:rsidRPr="0059707D">
        <w:rPr>
          <w:rFonts w:ascii="Cambria" w:hAnsi="Cambria"/>
        </w:rPr>
        <w:t xml:space="preserve"> Plan for the Prevention of Pregnancy in Adolescents and Young People 2015-2020, 246 teenage pregnancies are registered every day, according to the SNIS data in 2016, a total of 13,332 births of girls under 15 years old have been registered.</w:t>
      </w:r>
      <w:r w:rsidRPr="0059707D">
        <w:rPr>
          <w:rStyle w:val="FootnoteReference"/>
          <w:rFonts w:ascii="Cambria" w:hAnsi="Cambria"/>
          <w:shd w:val="clear" w:color="auto" w:fill="FFFFFF"/>
        </w:rPr>
        <w:t xml:space="preserve"> </w:t>
      </w:r>
      <w:r w:rsidRPr="0059707D">
        <w:rPr>
          <w:rStyle w:val="FootnoteReference"/>
          <w:rFonts w:ascii="Cambria" w:hAnsi="Cambria"/>
          <w:shd w:val="clear" w:color="auto" w:fill="FFFFFF"/>
        </w:rPr>
        <w:footnoteReference w:id="42"/>
      </w:r>
      <w:r w:rsidRPr="0059707D">
        <w:rPr>
          <w:rFonts w:ascii="Cambria" w:hAnsi="Cambria"/>
        </w:rPr>
        <w:t xml:space="preserve"> </w:t>
      </w:r>
      <w:r w:rsidRPr="0059707D">
        <w:rPr>
          <w:rFonts w:ascii="Cambria" w:hAnsi="Cambria"/>
        </w:rPr>
        <w:t>There is no comprehensive law on sexual rights and reproductive rights and lack of information and access to modern and safe contraceptive methods, particularly in rural and indigenous areas, especially in the adolescent and young population, which limits the prevention of unwanted pregnancy and teenage abortion, mainly rural areas.</w:t>
      </w:r>
    </w:p>
    <w:p w14:paraId="4F2800D6" w14:textId="77777777" w:rsidR="002D048F" w:rsidRPr="0059707D" w:rsidRDefault="002D048F" w:rsidP="00E01192">
      <w:pPr>
        <w:pStyle w:val="ListParagraph"/>
        <w:ind w:left="567"/>
        <w:jc w:val="both"/>
        <w:rPr>
          <w:rFonts w:ascii="Cambria" w:hAnsi="Cambria"/>
        </w:rPr>
      </w:pPr>
    </w:p>
    <w:p w14:paraId="6CEBD81A" w14:textId="51FF9017" w:rsidR="002D048F" w:rsidRPr="0059707D" w:rsidRDefault="002D048F" w:rsidP="002D048F">
      <w:pPr>
        <w:pStyle w:val="ListParagraph"/>
        <w:numPr>
          <w:ilvl w:val="0"/>
          <w:numId w:val="20"/>
        </w:numPr>
        <w:jc w:val="both"/>
        <w:rPr>
          <w:rFonts w:ascii="Cambria" w:hAnsi="Cambria"/>
        </w:rPr>
      </w:pPr>
      <w:proofErr w:type="spellStart"/>
      <w:r w:rsidRPr="0059707D">
        <w:rPr>
          <w:rFonts w:ascii="Cambria" w:hAnsi="Cambria"/>
        </w:rPr>
        <w:t>P</w:t>
      </w:r>
      <w:r w:rsidRPr="0059707D">
        <w:rPr>
          <w:rFonts w:ascii="Cambria" w:hAnsi="Cambria"/>
        </w:rPr>
        <w:t>lurinational</w:t>
      </w:r>
      <w:proofErr w:type="spellEnd"/>
      <w:r w:rsidRPr="0059707D">
        <w:rPr>
          <w:rFonts w:ascii="Cambria" w:hAnsi="Cambria"/>
        </w:rPr>
        <w:t xml:space="preserve"> Constitutional Court Judgment No. 0206/2014</w:t>
      </w:r>
      <w:r w:rsidRPr="0059707D">
        <w:rPr>
          <w:rFonts w:ascii="Cambria" w:hAnsi="Cambria"/>
        </w:rPr>
        <w:t xml:space="preserve"> eliminated the requirement for</w:t>
      </w:r>
      <w:r w:rsidRPr="0059707D">
        <w:rPr>
          <w:rFonts w:ascii="Cambria" w:hAnsi="Cambria"/>
        </w:rPr>
        <w:t xml:space="preserve"> judicial authorization for access to the legal termination of pregnancy in cases of rape and incest, in addition to declaring </w:t>
      </w:r>
      <w:r w:rsidRPr="0059707D">
        <w:rPr>
          <w:rFonts w:ascii="Cambria" w:hAnsi="Cambria"/>
        </w:rPr>
        <w:t>its</w:t>
      </w:r>
      <w:r w:rsidRPr="0059707D">
        <w:rPr>
          <w:rFonts w:ascii="Cambria" w:hAnsi="Cambria"/>
        </w:rPr>
        <w:t xml:space="preserve"> constitutionality. </w:t>
      </w:r>
      <w:r w:rsidRPr="0059707D">
        <w:rPr>
          <w:rFonts w:ascii="Cambria" w:hAnsi="Cambria"/>
        </w:rPr>
        <w:t xml:space="preserve">However, there are obstacles to securing </w:t>
      </w:r>
      <w:r w:rsidRPr="0059707D">
        <w:rPr>
          <w:rFonts w:ascii="Cambria" w:hAnsi="Cambria"/>
        </w:rPr>
        <w:t>abortion</w:t>
      </w:r>
      <w:r w:rsidRPr="0059707D">
        <w:rPr>
          <w:rFonts w:ascii="Cambria" w:hAnsi="Cambria"/>
        </w:rPr>
        <w:t xml:space="preserve"> in other circumstances</w:t>
      </w:r>
      <w:r w:rsidR="00E01192" w:rsidRPr="0059707D">
        <w:rPr>
          <w:rFonts w:ascii="Cambria" w:hAnsi="Cambria"/>
        </w:rPr>
        <w:t>, and anti-abortion groups campaign against the provision of abortion even in cases of rape and incest.</w:t>
      </w:r>
      <w:r w:rsidRPr="0059707D">
        <w:rPr>
          <w:rFonts w:ascii="Cambria" w:hAnsi="Cambria"/>
        </w:rPr>
        <w:t xml:space="preserve"> </w:t>
      </w:r>
    </w:p>
    <w:p w14:paraId="2876FEC7" w14:textId="3EEA6334" w:rsidR="002D048F" w:rsidRPr="0059707D" w:rsidRDefault="002D048F" w:rsidP="003B5A15">
      <w:pPr>
        <w:spacing w:after="0" w:line="240" w:lineRule="auto"/>
        <w:jc w:val="both"/>
        <w:rPr>
          <w:rFonts w:ascii="Cambria" w:hAnsi="Cambria"/>
          <w:b/>
          <w:bCs/>
          <w:u w:val="single"/>
        </w:rPr>
      </w:pPr>
    </w:p>
    <w:p w14:paraId="034505E8" w14:textId="49EDCFFD" w:rsidR="00E01192" w:rsidRPr="0059707D" w:rsidRDefault="00E01192"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r w:rsidRPr="0059707D">
        <w:rPr>
          <w:rFonts w:ascii="Cambria" w:hAnsi="Cambria"/>
          <w:b/>
        </w:rPr>
        <w:t xml:space="preserve">Suggested Questions – Right to </w:t>
      </w:r>
      <w:r w:rsidRPr="0059707D">
        <w:rPr>
          <w:rFonts w:ascii="Cambria" w:hAnsi="Cambria"/>
          <w:b/>
        </w:rPr>
        <w:t>Health</w:t>
      </w:r>
    </w:p>
    <w:p w14:paraId="0A0044F0" w14:textId="77777777" w:rsidR="00E01192" w:rsidRPr="0059707D" w:rsidRDefault="00E01192" w:rsidP="00E01192">
      <w:pPr>
        <w:pStyle w:val="ListParagraph"/>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
        </w:rPr>
      </w:pPr>
    </w:p>
    <w:p w14:paraId="476172BF" w14:textId="693BE996" w:rsidR="00E01192" w:rsidRPr="0059707D" w:rsidRDefault="00E01192" w:rsidP="00E01192">
      <w:pPr>
        <w:pStyle w:val="ListParagraph"/>
        <w:numPr>
          <w:ilvl w:val="0"/>
          <w:numId w:val="15"/>
        </w:numPr>
        <w:pBdr>
          <w:top w:val="single" w:sz="18" w:space="0" w:color="1F3864"/>
          <w:left w:val="single" w:sz="18" w:space="4" w:color="1F3864"/>
          <w:bottom w:val="single" w:sz="18" w:space="1" w:color="1F3864"/>
          <w:right w:val="single" w:sz="18" w:space="4" w:color="1F3864"/>
        </w:pBdr>
        <w:shd w:val="clear" w:color="auto" w:fill="F2F2F2"/>
        <w:ind w:right="146"/>
        <w:rPr>
          <w:rFonts w:ascii="Cambria" w:hAnsi="Cambria"/>
          <w:bCs/>
        </w:rPr>
      </w:pPr>
      <w:r w:rsidRPr="0059707D">
        <w:rPr>
          <w:rFonts w:ascii="Cambria" w:hAnsi="Cambria"/>
          <w:bCs/>
        </w:rPr>
        <w:t>What concrete measures has the State Party taken to effectively ensure the right to h</w:t>
      </w:r>
      <w:r w:rsidRPr="0059707D">
        <w:rPr>
          <w:rFonts w:ascii="Cambria" w:hAnsi="Cambria"/>
          <w:bCs/>
        </w:rPr>
        <w:t xml:space="preserve">ealth </w:t>
      </w:r>
      <w:r w:rsidRPr="0059707D">
        <w:rPr>
          <w:rFonts w:ascii="Cambria" w:hAnsi="Cambria"/>
          <w:bCs/>
        </w:rPr>
        <w:t xml:space="preserve">without discrimination on any grounds? </w:t>
      </w:r>
    </w:p>
    <w:p w14:paraId="1D5C9175" w14:textId="77777777" w:rsidR="00E01192" w:rsidRPr="0059707D" w:rsidRDefault="00E01192" w:rsidP="003B5A15">
      <w:pPr>
        <w:spacing w:after="0" w:line="240" w:lineRule="auto"/>
        <w:jc w:val="both"/>
        <w:rPr>
          <w:rFonts w:ascii="Cambria" w:hAnsi="Cambria"/>
          <w:b/>
          <w:bCs/>
          <w:u w:val="single"/>
        </w:rPr>
      </w:pPr>
    </w:p>
    <w:p w14:paraId="6077D7F2" w14:textId="381D4F4F" w:rsidR="00E637FE" w:rsidRPr="0059707D" w:rsidRDefault="00E637FE" w:rsidP="003B5A15">
      <w:pPr>
        <w:spacing w:after="0" w:line="240" w:lineRule="auto"/>
        <w:jc w:val="both"/>
        <w:rPr>
          <w:rFonts w:ascii="Cambria" w:hAnsi="Cambria"/>
          <w:b/>
          <w:bCs/>
          <w:u w:val="single"/>
        </w:rPr>
      </w:pPr>
      <w:r w:rsidRPr="0059707D">
        <w:rPr>
          <w:rFonts w:ascii="Cambria" w:hAnsi="Cambria"/>
          <w:b/>
          <w:bCs/>
          <w:u w:val="single"/>
        </w:rPr>
        <w:t>Article 13: The Right to Education</w:t>
      </w:r>
    </w:p>
    <w:p w14:paraId="27E42B8B" w14:textId="77777777" w:rsidR="004E3BA6" w:rsidRPr="0059707D" w:rsidRDefault="004E3BA6" w:rsidP="003B5A15">
      <w:pPr>
        <w:spacing w:after="0" w:line="240" w:lineRule="auto"/>
        <w:jc w:val="both"/>
        <w:rPr>
          <w:rFonts w:ascii="Cambria" w:hAnsi="Cambria"/>
          <w:b/>
          <w:bCs/>
          <w:u w:val="single"/>
        </w:rPr>
      </w:pPr>
    </w:p>
    <w:p w14:paraId="70A45B11" w14:textId="70159364" w:rsidR="00E637FE" w:rsidRPr="0059707D" w:rsidRDefault="004E3BA6" w:rsidP="00161675">
      <w:pPr>
        <w:pStyle w:val="ListParagraph"/>
        <w:numPr>
          <w:ilvl w:val="0"/>
          <w:numId w:val="20"/>
        </w:numPr>
        <w:jc w:val="both"/>
        <w:rPr>
          <w:rFonts w:ascii="Cambria" w:hAnsi="Cambria"/>
        </w:rPr>
      </w:pPr>
      <w:r w:rsidRPr="0059707D">
        <w:rPr>
          <w:rFonts w:ascii="Cambria" w:hAnsi="Cambria"/>
        </w:rPr>
        <w:t>As the Equal Rights Trust has established, d</w:t>
      </w:r>
      <w:r w:rsidR="00E637FE" w:rsidRPr="0059707D">
        <w:rPr>
          <w:rFonts w:ascii="Cambria" w:hAnsi="Cambria"/>
        </w:rPr>
        <w:t>iscrimination is a major factor inhibiting access to and completion of education.</w:t>
      </w:r>
      <w:r w:rsidR="00E637FE" w:rsidRPr="0059707D">
        <w:rPr>
          <w:rStyle w:val="FootnoteReference"/>
          <w:rFonts w:ascii="Cambria" w:hAnsi="Cambria"/>
        </w:rPr>
        <w:footnoteReference w:id="43"/>
      </w:r>
      <w:r w:rsidR="00E637FE" w:rsidRPr="0059707D">
        <w:rPr>
          <w:rFonts w:ascii="Cambria" w:hAnsi="Cambria"/>
        </w:rPr>
        <w:t xml:space="preserve"> In the 2019 Periodic Report submitted</w:t>
      </w:r>
      <w:r w:rsidRPr="0059707D">
        <w:rPr>
          <w:rFonts w:ascii="Cambria" w:hAnsi="Cambria"/>
        </w:rPr>
        <w:t xml:space="preserve"> to the Committee</w:t>
      </w:r>
      <w:r w:rsidR="00E637FE" w:rsidRPr="0059707D">
        <w:rPr>
          <w:rFonts w:ascii="Cambria" w:hAnsi="Cambria"/>
        </w:rPr>
        <w:t>, the State argued that Law 070 of 2010 was enacted to ensure a participative, inclusive, and pluralist system of education, and highlighted that the resources allocated to education have increased since 2005.</w:t>
      </w:r>
      <w:r w:rsidR="00997EE9" w:rsidRPr="0059707D">
        <w:rPr>
          <w:rStyle w:val="FootnoteReference"/>
          <w:rFonts w:ascii="Cambria" w:hAnsi="Cambria"/>
        </w:rPr>
        <w:footnoteReference w:id="44"/>
      </w:r>
      <w:r w:rsidR="00E637FE" w:rsidRPr="0059707D">
        <w:rPr>
          <w:rFonts w:ascii="Cambria" w:hAnsi="Cambria"/>
        </w:rPr>
        <w:t xml:space="preserve"> </w:t>
      </w:r>
    </w:p>
    <w:p w14:paraId="0F539C51" w14:textId="77777777" w:rsidR="00E637FE" w:rsidRPr="0059707D" w:rsidRDefault="00E637FE" w:rsidP="003B5A15">
      <w:pPr>
        <w:spacing w:after="0" w:line="240" w:lineRule="auto"/>
        <w:rPr>
          <w:rFonts w:ascii="Cambria" w:eastAsia="Calibri" w:hAnsi="Cambria" w:cs="Times New Roman"/>
        </w:rPr>
      </w:pPr>
    </w:p>
    <w:p w14:paraId="6C7B3549" w14:textId="27EA36DD" w:rsidR="008E40FA" w:rsidRPr="0059707D" w:rsidRDefault="00E637FE" w:rsidP="00E01192">
      <w:pPr>
        <w:pStyle w:val="ListParagraph"/>
        <w:numPr>
          <w:ilvl w:val="0"/>
          <w:numId w:val="20"/>
        </w:numPr>
        <w:jc w:val="both"/>
        <w:rPr>
          <w:rFonts w:ascii="Cambria" w:hAnsi="Cambria"/>
        </w:rPr>
      </w:pPr>
      <w:r w:rsidRPr="0059707D">
        <w:rPr>
          <w:rFonts w:ascii="Cambria" w:hAnsi="Cambria"/>
        </w:rPr>
        <w:t>Regarding education for children with disabilities, since 2013, the Ombudsman’s Office (</w:t>
      </w:r>
      <w:proofErr w:type="spellStart"/>
      <w:r w:rsidRPr="0059707D">
        <w:rPr>
          <w:rFonts w:ascii="Cambria" w:hAnsi="Cambria"/>
          <w:i/>
          <w:iCs/>
        </w:rPr>
        <w:t>Defensoría</w:t>
      </w:r>
      <w:proofErr w:type="spellEnd"/>
      <w:r w:rsidRPr="0059707D">
        <w:rPr>
          <w:rFonts w:ascii="Cambria" w:hAnsi="Cambria"/>
          <w:i/>
          <w:iCs/>
        </w:rPr>
        <w:t xml:space="preserve"> del Pueblo</w:t>
      </w:r>
      <w:r w:rsidRPr="0059707D">
        <w:rPr>
          <w:rFonts w:ascii="Cambria" w:hAnsi="Cambria"/>
        </w:rPr>
        <w:t>) has highlighted the lack of a comprehensive policy for education of persons with disabilities, the lack of necessary resources, and the prevalence of discriminatory stereotypes.</w:t>
      </w:r>
      <w:r w:rsidRPr="0059707D">
        <w:rPr>
          <w:rStyle w:val="FootnoteReference"/>
          <w:rFonts w:ascii="Cambria" w:hAnsi="Cambria"/>
        </w:rPr>
        <w:footnoteReference w:id="45"/>
      </w:r>
      <w:r w:rsidR="004E65C9" w:rsidRPr="0059707D">
        <w:rPr>
          <w:rFonts w:ascii="Cambria" w:hAnsi="Cambria"/>
        </w:rPr>
        <w:t xml:space="preserve"> </w:t>
      </w:r>
      <w:r w:rsidR="00E01192" w:rsidRPr="0059707D">
        <w:rPr>
          <w:rFonts w:ascii="Cambria" w:hAnsi="Cambria"/>
        </w:rPr>
        <w:t>By</w:t>
      </w:r>
      <w:r w:rsidR="00E01192" w:rsidRPr="0059707D">
        <w:rPr>
          <w:rFonts w:ascii="Cambria" w:hAnsi="Cambria"/>
        </w:rPr>
        <w:t xml:space="preserve"> 2015, </w:t>
      </w:r>
      <w:r w:rsidR="00E01192" w:rsidRPr="0059707D">
        <w:rPr>
          <w:rFonts w:ascii="Cambria" w:hAnsi="Cambria"/>
        </w:rPr>
        <w:t>7000</w:t>
      </w:r>
      <w:r w:rsidR="00E01192" w:rsidRPr="0059707D">
        <w:rPr>
          <w:rFonts w:ascii="Cambria" w:hAnsi="Cambria"/>
        </w:rPr>
        <w:t xml:space="preserve"> children and young people with disabilities </w:t>
      </w:r>
      <w:r w:rsidR="00E01192" w:rsidRPr="0059707D">
        <w:rPr>
          <w:rFonts w:ascii="Cambria" w:hAnsi="Cambria"/>
        </w:rPr>
        <w:t>were attending</w:t>
      </w:r>
      <w:r w:rsidR="00E01192" w:rsidRPr="0059707D">
        <w:rPr>
          <w:rFonts w:ascii="Cambria" w:hAnsi="Cambria"/>
        </w:rPr>
        <w:t xml:space="preserve"> the regular classroom, which represents an increase of 300% </w:t>
      </w:r>
      <w:r w:rsidR="00E01192" w:rsidRPr="0059707D">
        <w:rPr>
          <w:rFonts w:ascii="Cambria" w:hAnsi="Cambria"/>
        </w:rPr>
        <w:t>since</w:t>
      </w:r>
      <w:r w:rsidR="00E01192" w:rsidRPr="0059707D">
        <w:rPr>
          <w:rFonts w:ascii="Cambria" w:hAnsi="Cambria"/>
        </w:rPr>
        <w:t xml:space="preserve"> 2002</w:t>
      </w:r>
      <w:r w:rsidR="00E01192" w:rsidRPr="0059707D">
        <w:rPr>
          <w:rFonts w:ascii="Cambria" w:hAnsi="Cambria"/>
        </w:rPr>
        <w:t>.</w:t>
      </w:r>
      <w:r w:rsidR="00E01192" w:rsidRPr="0059707D">
        <w:rPr>
          <w:rStyle w:val="FootnoteReference"/>
          <w:rFonts w:ascii="Cambria" w:hAnsi="Cambria"/>
        </w:rPr>
        <w:footnoteReference w:id="46"/>
      </w:r>
      <w:r w:rsidR="00E01192" w:rsidRPr="0059707D">
        <w:rPr>
          <w:rFonts w:ascii="Cambria" w:hAnsi="Cambria"/>
        </w:rPr>
        <w:t xml:space="preserve"> However, </w:t>
      </w:r>
      <w:r w:rsidR="00E01192" w:rsidRPr="0059707D">
        <w:rPr>
          <w:rFonts w:ascii="Cambria" w:hAnsi="Cambria"/>
        </w:rPr>
        <w:t>progress is limited, as architectural and cultural barriers persist. hinder</w:t>
      </w:r>
      <w:r w:rsidR="00E01192" w:rsidRPr="0059707D">
        <w:rPr>
          <w:rFonts w:ascii="Cambria" w:hAnsi="Cambria"/>
        </w:rPr>
        <w:t>ing</w:t>
      </w:r>
      <w:r w:rsidR="00E01192" w:rsidRPr="0059707D">
        <w:rPr>
          <w:rFonts w:ascii="Cambria" w:hAnsi="Cambria"/>
        </w:rPr>
        <w:t xml:space="preserve"> the exercise of the right to education</w:t>
      </w:r>
      <w:r w:rsidR="00E01192" w:rsidRPr="0059707D">
        <w:rPr>
          <w:rFonts w:ascii="Cambria" w:hAnsi="Cambria"/>
        </w:rPr>
        <w:t>. T</w:t>
      </w:r>
      <w:r w:rsidR="00E01192" w:rsidRPr="0059707D">
        <w:rPr>
          <w:rFonts w:ascii="Cambria" w:hAnsi="Cambria"/>
        </w:rPr>
        <w:t xml:space="preserve">he vast majority of educational units do not have inclusion programs and specialized teachers to work with people with disabilities. </w:t>
      </w:r>
    </w:p>
    <w:p w14:paraId="353DEEE0" w14:textId="77777777" w:rsidR="00E01192" w:rsidRPr="0059707D" w:rsidRDefault="00E01192" w:rsidP="00E01192">
      <w:pPr>
        <w:pStyle w:val="ListParagraph"/>
        <w:rPr>
          <w:rFonts w:ascii="Cambria" w:hAnsi="Cambria"/>
        </w:rPr>
      </w:pPr>
    </w:p>
    <w:p w14:paraId="160E93D6" w14:textId="4C1B690F" w:rsidR="00E01192" w:rsidRPr="0059707D" w:rsidRDefault="00E01192" w:rsidP="00E01192">
      <w:pPr>
        <w:pStyle w:val="ListParagraph"/>
        <w:numPr>
          <w:ilvl w:val="0"/>
          <w:numId w:val="20"/>
        </w:numPr>
        <w:jc w:val="both"/>
        <w:rPr>
          <w:rFonts w:ascii="Cambria" w:hAnsi="Cambria"/>
        </w:rPr>
      </w:pPr>
      <w:r w:rsidRPr="0059707D">
        <w:rPr>
          <w:rFonts w:ascii="Cambria" w:hAnsi="Cambria"/>
        </w:rPr>
        <w:t xml:space="preserve">The Periodic Report highlights the creation of </w:t>
      </w:r>
      <w:r w:rsidRPr="0059707D">
        <w:rPr>
          <w:rFonts w:ascii="Cambria" w:hAnsi="Cambria"/>
          <w:i/>
          <w:iCs/>
        </w:rPr>
        <w:t xml:space="preserve">Centres for Special Education </w:t>
      </w:r>
      <w:r w:rsidRPr="0059707D">
        <w:rPr>
          <w:rFonts w:ascii="Cambria" w:hAnsi="Cambria"/>
        </w:rPr>
        <w:t>for children with disabilities.</w:t>
      </w:r>
      <w:r w:rsidRPr="0059707D">
        <w:rPr>
          <w:rStyle w:val="FootnoteReference"/>
          <w:rFonts w:ascii="Cambria" w:hAnsi="Cambria"/>
        </w:rPr>
        <w:footnoteReference w:id="47"/>
      </w:r>
      <w:r w:rsidRPr="0059707D">
        <w:rPr>
          <w:rFonts w:ascii="Cambria" w:hAnsi="Cambria"/>
        </w:rPr>
        <w:t xml:space="preserve"> It must be noted that the Convention on the Rights of Persons with Disabilities requires that education is inclusive and that as such, children with disabilities are integrated into the mainstream education system, rather than being educated in “special” schools.</w:t>
      </w:r>
      <w:r w:rsidRPr="0059707D">
        <w:rPr>
          <w:rStyle w:val="FootnoteReference"/>
          <w:rFonts w:ascii="Cambria" w:hAnsi="Cambria"/>
        </w:rPr>
        <w:footnoteReference w:id="48"/>
      </w:r>
    </w:p>
    <w:p w14:paraId="31E78C83" w14:textId="77777777" w:rsidR="00E01192" w:rsidRPr="00E01192" w:rsidRDefault="00E01192" w:rsidP="00E01192">
      <w:pPr>
        <w:jc w:val="both"/>
        <w:rPr>
          <w:rFonts w:ascii="Cambria" w:hAnsi="Cambria"/>
        </w:rPr>
      </w:pPr>
    </w:p>
    <w:p w14:paraId="65245E31" w14:textId="201B9893" w:rsidR="008E40FA" w:rsidRDefault="008E40FA" w:rsidP="003B5A15">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rPr>
          <w:rFonts w:ascii="Cambria" w:hAnsi="Cambria"/>
          <w:b/>
        </w:rPr>
      </w:pPr>
      <w:r w:rsidRPr="009B53C3">
        <w:rPr>
          <w:rFonts w:ascii="Cambria" w:hAnsi="Cambria"/>
          <w:b/>
        </w:rPr>
        <w:t>Suggested Questions – Education</w:t>
      </w:r>
    </w:p>
    <w:p w14:paraId="5DB8F9B2" w14:textId="77777777" w:rsidR="00AB22E6" w:rsidRDefault="00AB22E6" w:rsidP="003B5A15">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rPr>
          <w:rFonts w:ascii="Cambria" w:hAnsi="Cambria"/>
          <w:b/>
        </w:rPr>
      </w:pPr>
    </w:p>
    <w:p w14:paraId="3F3E7683" w14:textId="2502CFB6" w:rsidR="008E40FA" w:rsidRPr="009B53C3" w:rsidRDefault="00355F3D" w:rsidP="003B5A15">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sidRPr="009B53C3">
        <w:rPr>
          <w:rFonts w:ascii="Cambria" w:hAnsi="Cambria"/>
        </w:rPr>
        <w:t>What steps have been taken to ensure access to and enjoyment of education without discrimination on any ground</w:t>
      </w:r>
      <w:r w:rsidR="00AB22E6">
        <w:rPr>
          <w:rFonts w:ascii="Cambria" w:hAnsi="Cambria"/>
        </w:rPr>
        <w:t>, including in particular on the basis of disability</w:t>
      </w:r>
      <w:r w:rsidRPr="009B53C3">
        <w:rPr>
          <w:rFonts w:ascii="Cambria" w:hAnsi="Cambria"/>
        </w:rPr>
        <w:t xml:space="preserve">? </w:t>
      </w:r>
    </w:p>
    <w:p w14:paraId="51D1F9F4" w14:textId="77777777" w:rsidR="00AB22E6" w:rsidRPr="009B53C3" w:rsidRDefault="00AB22E6" w:rsidP="00AB22E6">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Pr>
          <w:rFonts w:ascii="Cambria" w:hAnsi="Cambria"/>
        </w:rPr>
        <w:t xml:space="preserve">What steps has the State Party taken to ensure access to inclusive education for persons with disabilities? </w:t>
      </w:r>
    </w:p>
    <w:p w14:paraId="19D26BBD" w14:textId="422D0521" w:rsidR="00355F3D" w:rsidRDefault="00355F3D" w:rsidP="003B5A15">
      <w:pPr>
        <w:numPr>
          <w:ilvl w:val="0"/>
          <w:numId w:val="11"/>
        </w:num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567" w:right="146" w:hanging="425"/>
        <w:jc w:val="both"/>
        <w:rPr>
          <w:rFonts w:ascii="Cambria" w:hAnsi="Cambria"/>
        </w:rPr>
      </w:pPr>
      <w:r w:rsidRPr="009B53C3">
        <w:rPr>
          <w:rFonts w:ascii="Cambria" w:hAnsi="Cambria"/>
        </w:rPr>
        <w:t xml:space="preserve">What concrete measures has the State Party taken to ensure that discriminatory prejudice and stereotypes are not reproduced by educational institutions? </w:t>
      </w:r>
    </w:p>
    <w:p w14:paraId="542A89CB" w14:textId="77777777" w:rsidR="00C87951" w:rsidRPr="00C87951" w:rsidRDefault="00C87951" w:rsidP="00C87951">
      <w:pPr>
        <w:pBdr>
          <w:top w:val="single" w:sz="18" w:space="1" w:color="1F3864"/>
          <w:left w:val="single" w:sz="18" w:space="4" w:color="1F3864"/>
          <w:bottom w:val="single" w:sz="18" w:space="1" w:color="1F3864"/>
          <w:right w:val="single" w:sz="18" w:space="4" w:color="1F3864"/>
        </w:pBdr>
        <w:shd w:val="clear" w:color="auto" w:fill="F2F2F2"/>
        <w:spacing w:after="0" w:line="240" w:lineRule="auto"/>
        <w:ind w:left="142" w:right="146"/>
        <w:jc w:val="both"/>
        <w:rPr>
          <w:rFonts w:ascii="Cambria" w:hAnsi="Cambria"/>
          <w:sz w:val="20"/>
          <w:szCs w:val="20"/>
        </w:rPr>
      </w:pPr>
    </w:p>
    <w:p w14:paraId="48290290" w14:textId="77777777" w:rsidR="008E40FA" w:rsidRPr="009B53C3" w:rsidRDefault="008E40FA" w:rsidP="003B5A15">
      <w:pPr>
        <w:spacing w:after="0" w:line="240" w:lineRule="auto"/>
        <w:jc w:val="both"/>
        <w:rPr>
          <w:rFonts w:ascii="Cambria" w:hAnsi="Cambria"/>
        </w:rPr>
      </w:pPr>
    </w:p>
    <w:sectPr w:rsidR="008E40FA" w:rsidRPr="009B53C3" w:rsidSect="00875733">
      <w:headerReference w:type="default" r:id="rId10"/>
      <w:headerReference w:type="first" r:id="rId11"/>
      <w:pgSz w:w="11906" w:h="16838"/>
      <w:pgMar w:top="1134" w:right="1134" w:bottom="1134" w:left="1134" w:header="90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FEAB5" w14:textId="77777777" w:rsidR="00E04657" w:rsidRDefault="00E04657" w:rsidP="003405B6">
      <w:pPr>
        <w:spacing w:after="0" w:line="240" w:lineRule="auto"/>
      </w:pPr>
      <w:r>
        <w:separator/>
      </w:r>
    </w:p>
  </w:endnote>
  <w:endnote w:type="continuationSeparator" w:id="0">
    <w:p w14:paraId="3FFF55EA" w14:textId="77777777" w:rsidR="00E04657" w:rsidRDefault="00E04657" w:rsidP="00340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F97C3" w14:textId="77777777" w:rsidR="00E04657" w:rsidRDefault="00E04657" w:rsidP="003405B6">
      <w:pPr>
        <w:spacing w:after="0" w:line="240" w:lineRule="auto"/>
      </w:pPr>
      <w:r>
        <w:separator/>
      </w:r>
    </w:p>
  </w:footnote>
  <w:footnote w:type="continuationSeparator" w:id="0">
    <w:p w14:paraId="2D162B77" w14:textId="77777777" w:rsidR="00E04657" w:rsidRDefault="00E04657" w:rsidP="003405B6">
      <w:pPr>
        <w:spacing w:after="0" w:line="240" w:lineRule="auto"/>
      </w:pPr>
      <w:r>
        <w:continuationSeparator/>
      </w:r>
    </w:p>
  </w:footnote>
  <w:footnote w:id="1">
    <w:p w14:paraId="326267A3"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cstheme="minorHAnsi"/>
        </w:rPr>
        <w:t xml:space="preserve">Committee on Economic, Social and Cultural Rights, </w:t>
      </w:r>
      <w:r w:rsidRPr="0059707D">
        <w:rPr>
          <w:rFonts w:ascii="Cambria" w:hAnsi="Cambria" w:cstheme="minorHAnsi"/>
          <w:i/>
        </w:rPr>
        <w:t>General Comment No. 20:  Non-discrimination in economic, social and cultural rights (Article 2, Para 2, of the International Covenant on Economic, Social and Cultural Rights),</w:t>
      </w:r>
      <w:r w:rsidRPr="0059707D">
        <w:rPr>
          <w:rFonts w:ascii="Cambria" w:hAnsi="Cambria" w:cstheme="minorHAnsi"/>
        </w:rPr>
        <w:t xml:space="preserve"> UN Doc.</w:t>
      </w:r>
      <w:r w:rsidRPr="0059707D">
        <w:rPr>
          <w:rFonts w:ascii="Cambria" w:hAnsi="Cambria" w:cstheme="minorHAnsi"/>
          <w:i/>
        </w:rPr>
        <w:t xml:space="preserve"> </w:t>
      </w:r>
      <w:r w:rsidRPr="0059707D">
        <w:rPr>
          <w:rFonts w:ascii="Cambria" w:hAnsi="Cambria" w:cstheme="minorHAnsi"/>
        </w:rPr>
        <w:t>E/C.12/GC/20, 2009.</w:t>
      </w:r>
    </w:p>
  </w:footnote>
  <w:footnote w:id="2">
    <w:p w14:paraId="042EB475"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rPr>
        <w:t>Declaration of Principles on Equality</w:t>
      </w:r>
      <w:r w:rsidRPr="0059707D">
        <w:rPr>
          <w:rFonts w:ascii="Cambria" w:hAnsi="Cambria"/>
        </w:rPr>
        <w:t>, The Equal Rights Trust, London, 2008.</w:t>
      </w:r>
    </w:p>
  </w:footnote>
  <w:footnote w:id="3">
    <w:p w14:paraId="0ECD909F"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proofErr w:type="spellStart"/>
      <w:r w:rsidRPr="0059707D">
        <w:rPr>
          <w:rFonts w:ascii="Cambria" w:hAnsi="Cambria"/>
          <w:i/>
        </w:rPr>
        <w:t>Naz</w:t>
      </w:r>
      <w:proofErr w:type="spellEnd"/>
      <w:r w:rsidRPr="0059707D">
        <w:rPr>
          <w:rFonts w:ascii="Cambria" w:hAnsi="Cambria"/>
          <w:i/>
        </w:rPr>
        <w:t xml:space="preserve"> Foundation v. Government of NCT of Delhi and Others</w:t>
      </w:r>
      <w:r w:rsidRPr="0059707D">
        <w:rPr>
          <w:rFonts w:ascii="Cambria" w:hAnsi="Cambria"/>
        </w:rPr>
        <w:t xml:space="preserve"> WP(C) No.7455/2001, Para 93.</w:t>
      </w:r>
    </w:p>
  </w:footnote>
  <w:footnote w:id="4">
    <w:p w14:paraId="3945AC5D" w14:textId="4BCBE495" w:rsidR="00577A27" w:rsidRPr="0059707D" w:rsidRDefault="00577A27" w:rsidP="0059707D">
      <w:pPr>
        <w:pStyle w:val="FootnoteText"/>
        <w:spacing w:after="120"/>
        <w:rPr>
          <w:rFonts w:ascii="Cambria" w:hAnsi="Cambria"/>
        </w:rPr>
      </w:pPr>
      <w:r w:rsidRPr="0059707D">
        <w:rPr>
          <w:rStyle w:val="FootnoteReference"/>
          <w:rFonts w:ascii="Cambria" w:hAnsi="Cambria" w:cstheme="minorHAnsi"/>
        </w:rPr>
        <w:footnoteRef/>
      </w:r>
      <w:r w:rsidRPr="0059707D">
        <w:rPr>
          <w:rFonts w:ascii="Cambria" w:hAnsi="Cambria" w:cstheme="minorHAnsi"/>
        </w:rPr>
        <w:t xml:space="preserve"> See above, note 1, Para 10; see above note 2, Principle 15. </w:t>
      </w:r>
    </w:p>
  </w:footnote>
  <w:footnote w:id="5">
    <w:p w14:paraId="40F239F0" w14:textId="680D0D48"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bookmarkStart w:id="4" w:name="_Hlk18059162"/>
      <w:r w:rsidRPr="0059707D">
        <w:rPr>
          <w:rFonts w:ascii="Cambria" w:hAnsi="Cambria"/>
        </w:rPr>
        <w:t xml:space="preserve">See above, note 1, Para 10; see above note 2, Principle 5. </w:t>
      </w:r>
      <w:bookmarkEnd w:id="4"/>
    </w:p>
  </w:footnote>
  <w:footnote w:id="6">
    <w:p w14:paraId="27A570F9" w14:textId="77777777" w:rsidR="00577A27" w:rsidRPr="0059707D" w:rsidRDefault="00577A27" w:rsidP="0059707D">
      <w:pPr>
        <w:pStyle w:val="FootnoteText"/>
        <w:spacing w:after="120"/>
        <w:rPr>
          <w:rFonts w:ascii="Cambria" w:hAnsi="Cambria"/>
          <w:i/>
          <w:iCs/>
        </w:rPr>
      </w:pPr>
      <w:r w:rsidRPr="0059707D">
        <w:rPr>
          <w:rStyle w:val="FootnoteReference"/>
          <w:rFonts w:ascii="Cambria" w:hAnsi="Cambria"/>
        </w:rPr>
        <w:footnoteRef/>
      </w:r>
      <w:r w:rsidRPr="0059707D">
        <w:rPr>
          <w:rFonts w:ascii="Cambria" w:hAnsi="Cambria"/>
        </w:rPr>
        <w:t xml:space="preserve"> Committee on the Rights of Persons with Disabilities, </w:t>
      </w:r>
      <w:r w:rsidRPr="0059707D">
        <w:rPr>
          <w:rFonts w:ascii="Cambria" w:hAnsi="Cambria"/>
          <w:i/>
          <w:iCs/>
        </w:rPr>
        <w:t>General Comment No. 6 (2018) on Equality and Non-Discrimination</w:t>
      </w:r>
      <w:r w:rsidRPr="0059707D">
        <w:rPr>
          <w:rFonts w:ascii="Cambria" w:hAnsi="Cambria"/>
        </w:rPr>
        <w:t xml:space="preserve">, UN Doc. CRPD/C/GC/6, para. 18; see above note 2, Principle 5. </w:t>
      </w:r>
      <w:r w:rsidRPr="0059707D">
        <w:rPr>
          <w:rFonts w:ascii="Cambria" w:hAnsi="Cambria"/>
          <w:i/>
          <w:iCs/>
        </w:rPr>
        <w:t xml:space="preserve"> </w:t>
      </w:r>
    </w:p>
  </w:footnote>
  <w:footnote w:id="7">
    <w:p w14:paraId="10EBD08F"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and above note 2, Principle 13. </w:t>
      </w:r>
    </w:p>
  </w:footnote>
  <w:footnote w:id="8">
    <w:p w14:paraId="41ACB818" w14:textId="6599D07D" w:rsidR="00577A27" w:rsidRPr="0059707D" w:rsidRDefault="00577A27" w:rsidP="0059707D">
      <w:pPr>
        <w:pStyle w:val="FootnoteText"/>
        <w:spacing w:after="120"/>
        <w:rPr>
          <w:rFonts w:ascii="Cambria" w:hAnsi="Cambria"/>
          <w:lang w:val="es-CO"/>
        </w:rPr>
      </w:pPr>
      <w:r w:rsidRPr="0059707D">
        <w:rPr>
          <w:rStyle w:val="FootnoteReference"/>
          <w:rFonts w:ascii="Cambria" w:hAnsi="Cambria"/>
        </w:rPr>
        <w:footnoteRef/>
      </w:r>
      <w:r w:rsidRPr="0059707D">
        <w:rPr>
          <w:rFonts w:ascii="Cambria" w:hAnsi="Cambria"/>
        </w:rPr>
        <w:t xml:space="preserve"> See above, note 1, Paras </w:t>
      </w:r>
      <w:r w:rsidRPr="0059707D">
        <w:rPr>
          <w:rFonts w:ascii="Cambria" w:hAnsi="Cambria"/>
          <w:lang w:val="es-CO"/>
        </w:rPr>
        <w:t xml:space="preserve">15-35; </w:t>
      </w:r>
      <w:proofErr w:type="spellStart"/>
      <w:r w:rsidRPr="0059707D">
        <w:rPr>
          <w:rFonts w:ascii="Cambria" w:hAnsi="Cambria"/>
          <w:lang w:val="es-CO"/>
        </w:rPr>
        <w:t>see</w:t>
      </w:r>
      <w:proofErr w:type="spellEnd"/>
      <w:r w:rsidRPr="0059707D">
        <w:rPr>
          <w:rFonts w:ascii="Cambria" w:hAnsi="Cambria"/>
          <w:lang w:val="es-CO"/>
        </w:rPr>
        <w:t xml:space="preserve"> </w:t>
      </w:r>
      <w:proofErr w:type="spellStart"/>
      <w:r w:rsidRPr="0059707D">
        <w:rPr>
          <w:rFonts w:ascii="Cambria" w:hAnsi="Cambria"/>
          <w:lang w:val="es-CO"/>
        </w:rPr>
        <w:t>above</w:t>
      </w:r>
      <w:proofErr w:type="spellEnd"/>
      <w:r w:rsidRPr="0059707D">
        <w:rPr>
          <w:rFonts w:ascii="Cambria" w:hAnsi="Cambria"/>
          <w:lang w:val="es-CO"/>
        </w:rPr>
        <w:t xml:space="preserve"> note 2, </w:t>
      </w:r>
      <w:proofErr w:type="spellStart"/>
      <w:r w:rsidRPr="0059707D">
        <w:rPr>
          <w:rFonts w:ascii="Cambria" w:hAnsi="Cambria"/>
          <w:lang w:val="es-CO"/>
        </w:rPr>
        <w:t>Principle</w:t>
      </w:r>
      <w:proofErr w:type="spellEnd"/>
      <w:r w:rsidRPr="0059707D">
        <w:rPr>
          <w:rFonts w:ascii="Cambria" w:hAnsi="Cambria"/>
          <w:lang w:val="es-CO"/>
        </w:rPr>
        <w:t xml:space="preserve"> 5.</w:t>
      </w:r>
    </w:p>
  </w:footnote>
  <w:footnote w:id="9">
    <w:p w14:paraId="1A1F48C3" w14:textId="7777777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2, Principle 8. </w:t>
      </w:r>
    </w:p>
  </w:footnote>
  <w:footnote w:id="10">
    <w:p w14:paraId="3D3724BA" w14:textId="329CBAF6"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Principles 18 and 21. </w:t>
      </w:r>
    </w:p>
  </w:footnote>
  <w:footnote w:id="11">
    <w:p w14:paraId="0788BCC7" w14:textId="2D372920"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9; and above, note 2, Principle 3. </w:t>
      </w:r>
    </w:p>
  </w:footnote>
  <w:footnote w:id="12">
    <w:p w14:paraId="23BEE387" w14:textId="700AE6C1"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X,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13">
    <w:p w14:paraId="4B90F5B9" w14:textId="1CE4161E"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40. </w:t>
      </w:r>
    </w:p>
  </w:footnote>
  <w:footnote w:id="14">
    <w:p w14:paraId="132F98FF" w14:textId="09AAB454" w:rsidR="00577A27" w:rsidRPr="0059707D" w:rsidRDefault="00577A27" w:rsidP="0059707D">
      <w:pPr>
        <w:pStyle w:val="FootnoteText"/>
        <w:spacing w:after="120"/>
        <w:rPr>
          <w:rFonts w:ascii="Cambria" w:hAnsi="Cambria"/>
          <w:lang w:val="es-CO"/>
        </w:rPr>
      </w:pPr>
      <w:r w:rsidRPr="0059707D">
        <w:rPr>
          <w:rStyle w:val="FootnoteReference"/>
          <w:rFonts w:ascii="Cambria" w:hAnsi="Cambria"/>
        </w:rPr>
        <w:footnoteRef/>
      </w:r>
      <w:r w:rsidRPr="0059707D">
        <w:rPr>
          <w:rFonts w:ascii="Cambria" w:hAnsi="Cambria"/>
        </w:rPr>
        <w:t xml:space="preserve"> See above, note 1, Para </w:t>
      </w:r>
      <w:r w:rsidRPr="0059707D">
        <w:rPr>
          <w:rFonts w:ascii="Cambria" w:hAnsi="Cambria"/>
          <w:lang w:val="es-CO"/>
        </w:rPr>
        <w:t>40.</w:t>
      </w:r>
    </w:p>
  </w:footnote>
  <w:footnote w:id="15">
    <w:p w14:paraId="2597F315" w14:textId="77777777"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Research </w:t>
      </w:r>
      <w:proofErr w:type="spellStart"/>
      <w:r w:rsidRPr="0059707D">
        <w:rPr>
          <w:rFonts w:ascii="Cambria" w:hAnsi="Cambria" w:cstheme="minorHAnsi"/>
          <w:lang w:val="es-CO"/>
        </w:rPr>
        <w:t>conducted</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by</w:t>
      </w:r>
      <w:proofErr w:type="spellEnd"/>
      <w:r w:rsidRPr="0059707D">
        <w:rPr>
          <w:rFonts w:ascii="Cambria" w:hAnsi="Cambria" w:cstheme="minorHAnsi"/>
          <w:lang w:val="es-CO"/>
        </w:rPr>
        <w:t xml:space="preserve"> </w:t>
      </w:r>
      <w:r w:rsidRPr="0059707D">
        <w:rPr>
          <w:rFonts w:ascii="Cambria" w:hAnsi="Cambria"/>
          <w:lang w:val="es-CO"/>
        </w:rPr>
        <w:t>Comunidad de Derechos Humanos.</w:t>
      </w:r>
    </w:p>
  </w:footnote>
  <w:footnote w:id="16">
    <w:p w14:paraId="3E9338A5" w14:textId="77777777"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17">
    <w:p w14:paraId="51552D37" w14:textId="6F745B18"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Research </w:t>
      </w:r>
      <w:proofErr w:type="spellStart"/>
      <w:r w:rsidRPr="0059707D">
        <w:rPr>
          <w:rFonts w:ascii="Cambria" w:hAnsi="Cambria" w:cstheme="minorHAnsi"/>
          <w:lang w:val="es-CO"/>
        </w:rPr>
        <w:t>conducted</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by</w:t>
      </w:r>
      <w:proofErr w:type="spellEnd"/>
      <w:r w:rsidRPr="0059707D">
        <w:rPr>
          <w:rFonts w:ascii="Cambria" w:hAnsi="Cambria" w:cstheme="minorHAnsi"/>
          <w:lang w:val="es-CO"/>
        </w:rPr>
        <w:t xml:space="preserve"> </w:t>
      </w:r>
      <w:r w:rsidRPr="0059707D">
        <w:rPr>
          <w:rFonts w:ascii="Cambria" w:hAnsi="Cambria"/>
          <w:lang w:val="es-CO"/>
        </w:rPr>
        <w:t>Comunidad de Derechos Humanos</w:t>
      </w:r>
      <w:r w:rsidRPr="0059707D">
        <w:rPr>
          <w:rFonts w:ascii="Cambria" w:hAnsi="Cambria" w:cstheme="minorHAnsi"/>
          <w:lang w:val="es-CO"/>
        </w:rPr>
        <w:t xml:space="preserve">, </w:t>
      </w:r>
      <w:proofErr w:type="spellStart"/>
      <w:r w:rsidRPr="0059707D">
        <w:rPr>
          <w:rFonts w:ascii="Cambria" w:hAnsi="Cambria" w:cstheme="minorHAnsi"/>
          <w:lang w:val="es-CO"/>
        </w:rPr>
        <w:t>citing</w:t>
      </w:r>
      <w:proofErr w:type="spellEnd"/>
      <w:r w:rsidRPr="0059707D">
        <w:rPr>
          <w:rFonts w:ascii="Cambria" w:hAnsi="Cambria" w:cstheme="minorHAnsi"/>
          <w:lang w:val="es-CO"/>
        </w:rPr>
        <w:t xml:space="preserve">: Comité Nacional Contra el Racismo y Toda Forma de Discriminación, </w:t>
      </w:r>
      <w:r w:rsidRPr="0059707D">
        <w:rPr>
          <w:rFonts w:ascii="Cambria" w:hAnsi="Cambria" w:cstheme="minorHAnsi"/>
          <w:i/>
          <w:iCs/>
          <w:lang w:val="es-CO"/>
        </w:rPr>
        <w:t>Reporte de denuncias de racismo y discriminación,</w:t>
      </w:r>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at </w:t>
      </w:r>
      <w:hyperlink r:id="rId1" w:history="1">
        <w:r w:rsidRPr="0059707D">
          <w:rPr>
            <w:rStyle w:val="Hyperlink"/>
            <w:rFonts w:ascii="Cambria" w:hAnsi="Cambria" w:cstheme="minorHAnsi"/>
            <w:lang w:val="es-CO"/>
          </w:rPr>
          <w:t>http://www.noracismo.gob.bo/index.php/reporte-denuncias</w:t>
        </w:r>
      </w:hyperlink>
      <w:r w:rsidRPr="0059707D">
        <w:rPr>
          <w:rFonts w:ascii="Cambria" w:hAnsi="Cambria" w:cstheme="minorHAnsi"/>
          <w:lang w:val="es-CO"/>
        </w:rPr>
        <w:t>.</w:t>
      </w:r>
    </w:p>
  </w:footnote>
  <w:footnote w:id="18">
    <w:p w14:paraId="635E3381" w14:textId="7C5E4B4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Equal Rights Trust, </w:t>
      </w:r>
      <w:r w:rsidRPr="0059707D">
        <w:rPr>
          <w:rFonts w:ascii="Cambria" w:hAnsi="Cambria"/>
          <w:i/>
          <w:iCs/>
        </w:rPr>
        <w:t>A Past Still Present: Addressing Discrimination and Inequality in Egypt</w:t>
      </w:r>
      <w:r w:rsidRPr="0059707D">
        <w:rPr>
          <w:rFonts w:ascii="Cambria" w:hAnsi="Cambria"/>
        </w:rPr>
        <w:t xml:space="preserve">, 2018, pp. 53-54, available at: </w:t>
      </w:r>
      <w:hyperlink r:id="rId2" w:history="1">
        <w:r w:rsidRPr="0059707D">
          <w:rPr>
            <w:rStyle w:val="Hyperlink"/>
            <w:rFonts w:ascii="Cambria" w:hAnsi="Cambria"/>
          </w:rPr>
          <w:t>https://www.equalrightstrust.org/ertdocumentbank/Egypt_EN_online.pdf</w:t>
        </w:r>
      </w:hyperlink>
      <w:r w:rsidRPr="0059707D">
        <w:rPr>
          <w:rFonts w:ascii="Cambria" w:hAnsi="Cambria"/>
        </w:rPr>
        <w:t xml:space="preserve"> </w:t>
      </w:r>
    </w:p>
  </w:footnote>
  <w:footnote w:id="19">
    <w:p w14:paraId="7D6A29ED" w14:textId="1B17BEC4"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Human Rights Committee, </w:t>
      </w:r>
      <w:r w:rsidRPr="0059707D">
        <w:rPr>
          <w:rFonts w:ascii="Cambria" w:hAnsi="Cambria" w:cstheme="minorHAnsi"/>
          <w:i/>
          <w:iCs/>
        </w:rPr>
        <w:t xml:space="preserve">General Comment No 18: Non-discrimination (Thirty-seventh session 1989), </w:t>
      </w:r>
      <w:r w:rsidRPr="0059707D">
        <w:rPr>
          <w:rFonts w:ascii="Cambria" w:hAnsi="Cambria" w:cstheme="minorHAnsi"/>
        </w:rPr>
        <w:t xml:space="preserve">10 November 1989, HRI/GEN/1/Rev.6 at 146 (2003), Para 7. </w:t>
      </w:r>
    </w:p>
  </w:footnote>
  <w:footnote w:id="20">
    <w:p w14:paraId="6F4F0219" w14:textId="7DC51F7A"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See above, note 1, Para 40.</w:t>
      </w:r>
    </w:p>
  </w:footnote>
  <w:footnote w:id="21">
    <w:p w14:paraId="7CAF25AB" w14:textId="797A3B1C"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rPr>
        <w:t xml:space="preserve"> International Covenant on Civil and Political Rights, Article 14(2). </w:t>
      </w:r>
    </w:p>
  </w:footnote>
  <w:footnote w:id="22">
    <w:p w14:paraId="2AE83D1A" w14:textId="0C1F8CB3" w:rsidR="00577A27" w:rsidRPr="0059707D" w:rsidRDefault="00577A27" w:rsidP="0059707D">
      <w:pPr>
        <w:pStyle w:val="FootnoteText"/>
        <w:spacing w:after="120"/>
        <w:rPr>
          <w:rFonts w:ascii="Cambria" w:hAnsi="Cambria"/>
          <w:color w:val="FF0000"/>
          <w:lang w:val="es-CO"/>
        </w:rPr>
      </w:pPr>
      <w:r w:rsidRPr="0059707D">
        <w:rPr>
          <w:rStyle w:val="FootnoteReference"/>
          <w:rFonts w:ascii="Cambria" w:hAnsi="Cambria"/>
        </w:rPr>
        <w:footnoteRef/>
      </w:r>
      <w:r w:rsidRPr="0059707D">
        <w:rPr>
          <w:rFonts w:ascii="Cambria" w:hAnsi="Cambria"/>
        </w:rPr>
        <w:t xml:space="preserve"> See above, note 2, Principle 5; </w:t>
      </w:r>
      <w:r w:rsidRPr="0059707D">
        <w:rPr>
          <w:rFonts w:ascii="Cambria" w:hAnsi="Cambria" w:cstheme="minorHAnsi"/>
        </w:rPr>
        <w:t>See above, note 1</w:t>
      </w:r>
      <w:r w:rsidRPr="0059707D">
        <w:rPr>
          <w:rFonts w:ascii="Cambria" w:hAnsi="Cambria" w:cstheme="minorHAnsi"/>
          <w:lang w:val="es-CO"/>
        </w:rPr>
        <w:t>, Para 40.</w:t>
      </w:r>
    </w:p>
  </w:footnote>
  <w:footnote w:id="23">
    <w:p w14:paraId="3A103A8C" w14:textId="5BB20C30"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Diario </w:t>
      </w:r>
      <w:proofErr w:type="spellStart"/>
      <w:r w:rsidRPr="0059707D">
        <w:rPr>
          <w:rFonts w:ascii="Cambria" w:hAnsi="Cambria" w:cstheme="minorHAnsi"/>
          <w:lang w:val="es-CO"/>
        </w:rPr>
        <w:t>Pagina</w:t>
      </w:r>
      <w:proofErr w:type="spellEnd"/>
      <w:r w:rsidRPr="0059707D">
        <w:rPr>
          <w:rFonts w:ascii="Cambria" w:hAnsi="Cambria" w:cstheme="minorHAnsi"/>
          <w:lang w:val="es-CO"/>
        </w:rPr>
        <w:t xml:space="preserve"> Siete, “Se presentan hasta 220 denuncias por discriminación y racismo al año”, </w:t>
      </w:r>
      <w:r w:rsidRPr="0059707D">
        <w:rPr>
          <w:rFonts w:ascii="Cambria" w:hAnsi="Cambria" w:cstheme="minorHAnsi"/>
          <w:i/>
          <w:iCs/>
          <w:lang w:val="es-CO"/>
        </w:rPr>
        <w:t xml:space="preserve">Diario </w:t>
      </w:r>
      <w:proofErr w:type="spellStart"/>
      <w:r w:rsidRPr="0059707D">
        <w:rPr>
          <w:rFonts w:ascii="Cambria" w:hAnsi="Cambria" w:cstheme="minorHAnsi"/>
          <w:i/>
          <w:iCs/>
          <w:lang w:val="es-CO"/>
        </w:rPr>
        <w:t>Pagina</w:t>
      </w:r>
      <w:proofErr w:type="spellEnd"/>
      <w:r w:rsidRPr="0059707D">
        <w:rPr>
          <w:rFonts w:ascii="Cambria" w:hAnsi="Cambria" w:cstheme="minorHAnsi"/>
          <w:i/>
          <w:iCs/>
          <w:lang w:val="es-CO"/>
        </w:rPr>
        <w:t xml:space="preserve"> Siete, </w:t>
      </w:r>
      <w:r w:rsidRPr="0059707D">
        <w:rPr>
          <w:rFonts w:ascii="Cambria" w:hAnsi="Cambria" w:cstheme="minorHAnsi"/>
          <w:lang w:val="es-CO"/>
        </w:rPr>
        <w:t xml:space="preserve">24 May 2018.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at: </w:t>
      </w:r>
      <w:hyperlink r:id="rId3" w:history="1">
        <w:r w:rsidRPr="0059707D">
          <w:rPr>
            <w:rStyle w:val="Hyperlink"/>
            <w:rFonts w:ascii="Cambria" w:hAnsi="Cambria" w:cstheme="minorHAnsi"/>
            <w:color w:val="auto"/>
            <w:u w:val="none"/>
            <w:lang w:val="es-CO"/>
          </w:rPr>
          <w:t>https://www.paginasiete.bo/sociedad/2018/5/24/se-presentan-hasta-220-denuncias-por-discriminacion-racismo-al-ano-181054.html</w:t>
        </w:r>
      </w:hyperlink>
      <w:r w:rsidRPr="0059707D">
        <w:rPr>
          <w:rFonts w:ascii="Cambria" w:hAnsi="Cambria" w:cstheme="minorHAnsi"/>
          <w:lang w:val="es-CO"/>
        </w:rPr>
        <w:t xml:space="preserve"> </w:t>
      </w:r>
    </w:p>
  </w:footnote>
  <w:footnote w:id="24">
    <w:p w14:paraId="760EA10D" w14:textId="25104CC2"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Gutiérrez, Fabiola, “Discriminación: la ley influyó en los dichos, pero no en los hechos”, </w:t>
      </w:r>
      <w:hyperlink r:id="rId4" w:history="1">
        <w:r w:rsidRPr="0059707D">
          <w:rPr>
            <w:rStyle w:val="Hyperlink"/>
            <w:rFonts w:ascii="Cambria" w:hAnsi="Cambria" w:cstheme="minorHAnsi"/>
            <w:color w:val="auto"/>
            <w:u w:val="none"/>
            <w:lang w:val="es-CO"/>
          </w:rPr>
          <w:t>https://social.shorthand.com/fagutierrez7/32cHnpAcYUf/discriminacion-la-ley-influyo-en-los-dichos-pero-no-en-los-hechos</w:t>
        </w:r>
      </w:hyperlink>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A,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25">
    <w:p w14:paraId="55D4BF15" w14:textId="215D0C23"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1, Para 38.</w:t>
      </w:r>
    </w:p>
  </w:footnote>
  <w:footnote w:id="26">
    <w:p w14:paraId="7491908C" w14:textId="36455F35"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rPr>
        <w:footnoteRef/>
      </w:r>
      <w:r w:rsidRPr="0059707D">
        <w:rPr>
          <w:rFonts w:ascii="Cambria" w:hAnsi="Cambria"/>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27">
    <w:p w14:paraId="68E81106" w14:textId="3C21419B"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rPr>
        <w:t xml:space="preserve"> See above, note 1</w:t>
      </w:r>
      <w:r w:rsidRPr="0059707D">
        <w:rPr>
          <w:rFonts w:ascii="Cambria" w:hAnsi="Cambria" w:cstheme="minorHAnsi"/>
          <w:lang w:val="es-CO"/>
        </w:rPr>
        <w:t>, Para 38.</w:t>
      </w:r>
    </w:p>
  </w:footnote>
  <w:footnote w:id="28">
    <w:p w14:paraId="29E20419" w14:textId="7EBDA817"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 xml:space="preserve">Para 39. </w:t>
      </w:r>
    </w:p>
  </w:footnote>
  <w:footnote w:id="29">
    <w:p w14:paraId="5EC402A8" w14:textId="4A7D124E" w:rsidR="00577A27" w:rsidRPr="0059707D" w:rsidRDefault="00577A27" w:rsidP="0059707D">
      <w:pPr>
        <w:pStyle w:val="FootnoteText"/>
        <w:spacing w:after="120"/>
        <w:rPr>
          <w:rFonts w:ascii="Cambria" w:hAnsi="Cambria" w:cstheme="minorHAnsi"/>
          <w:lang w:val="es-CO"/>
        </w:rPr>
      </w:pPr>
      <w:r w:rsidRPr="0059707D">
        <w:rPr>
          <w:rStyle w:val="FootnoteReference"/>
          <w:rFonts w:ascii="Cambria" w:hAnsi="Cambria" w:cstheme="minorHAnsi"/>
        </w:rPr>
        <w:footnoteRef/>
      </w:r>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X,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r w:rsidRPr="0059707D">
        <w:rPr>
          <w:rFonts w:ascii="Cambria" w:hAnsi="Cambria" w:cstheme="minorHAnsi"/>
          <w:lang w:val="es-CO"/>
        </w:rPr>
        <w:t xml:space="preserve">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Z,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 xml:space="preserve">); Comunidad de Derechos Humanos interview </w:t>
      </w:r>
      <w:proofErr w:type="spellStart"/>
      <w:r w:rsidRPr="0059707D">
        <w:rPr>
          <w:rFonts w:ascii="Cambria" w:hAnsi="Cambria" w:cstheme="minorHAnsi"/>
          <w:lang w:val="es-CO"/>
        </w:rPr>
        <w:t>with</w:t>
      </w:r>
      <w:proofErr w:type="spellEnd"/>
      <w:r w:rsidRPr="0059707D">
        <w:rPr>
          <w:rFonts w:ascii="Cambria" w:hAnsi="Cambria" w:cstheme="minorHAnsi"/>
          <w:lang w:val="es-CO"/>
        </w:rPr>
        <w:t xml:space="preserve"> B, 2019 (</w:t>
      </w:r>
      <w:proofErr w:type="spellStart"/>
      <w:r w:rsidRPr="0059707D">
        <w:rPr>
          <w:rFonts w:ascii="Cambria" w:hAnsi="Cambria" w:cstheme="minorHAnsi"/>
          <w:lang w:val="es-CO"/>
        </w:rPr>
        <w:t>name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available</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on</w:t>
      </w:r>
      <w:proofErr w:type="spellEnd"/>
      <w:r w:rsidRPr="0059707D">
        <w:rPr>
          <w:rFonts w:ascii="Cambria" w:hAnsi="Cambria" w:cstheme="minorHAnsi"/>
          <w:lang w:val="es-CO"/>
        </w:rPr>
        <w:t xml:space="preserve"> </w:t>
      </w:r>
      <w:proofErr w:type="spellStart"/>
      <w:r w:rsidRPr="0059707D">
        <w:rPr>
          <w:rFonts w:ascii="Cambria" w:hAnsi="Cambria" w:cstheme="minorHAnsi"/>
          <w:lang w:val="es-CO"/>
        </w:rPr>
        <w:t>request</w:t>
      </w:r>
      <w:proofErr w:type="spellEnd"/>
      <w:r w:rsidRPr="0059707D">
        <w:rPr>
          <w:rFonts w:ascii="Cambria" w:hAnsi="Cambria" w:cstheme="minorHAnsi"/>
          <w:lang w:val="es-CO"/>
        </w:rPr>
        <w:t>).</w:t>
      </w:r>
      <w:r w:rsidRPr="0059707D">
        <w:rPr>
          <w:rFonts w:ascii="Cambria" w:hAnsi="Cambria" w:cstheme="minorHAnsi"/>
          <w:color w:val="FF0000"/>
          <w:lang w:val="es-CO"/>
        </w:rPr>
        <w:t xml:space="preserve"> </w:t>
      </w:r>
    </w:p>
  </w:footnote>
  <w:footnote w:id="30">
    <w:p w14:paraId="30801B24" w14:textId="4014C3B9" w:rsidR="00577A27" w:rsidRPr="0059707D" w:rsidRDefault="00577A27" w:rsidP="0059707D">
      <w:pPr>
        <w:pStyle w:val="FootnoteText"/>
        <w:spacing w:after="120"/>
        <w:rPr>
          <w:rFonts w:ascii="Cambria" w:hAnsi="Cambria"/>
          <w:iCs/>
        </w:rPr>
      </w:pPr>
      <w:r w:rsidRPr="0059707D">
        <w:rPr>
          <w:rStyle w:val="FootnoteReference"/>
          <w:rFonts w:ascii="Cambria" w:hAnsi="Cambria"/>
        </w:rPr>
        <w:footnoteRef/>
      </w:r>
      <w:r w:rsidRPr="0059707D">
        <w:rPr>
          <w:rFonts w:ascii="Cambria" w:hAnsi="Cambria"/>
        </w:rPr>
        <w:t xml:space="preserve"> Committee on Economic, Social and Cultural Rights (CESCR), </w:t>
      </w:r>
      <w:r w:rsidRPr="0059707D">
        <w:rPr>
          <w:rFonts w:ascii="Cambria" w:hAnsi="Cambria"/>
          <w:i/>
        </w:rPr>
        <w:t xml:space="preserve">UN Committee on Economic, Social and Cultural Rights: Concluding Observations on the Second Periodic Report of Bolivia, </w:t>
      </w:r>
      <w:r w:rsidRPr="0059707D">
        <w:rPr>
          <w:rFonts w:ascii="Cambria" w:hAnsi="Cambria"/>
          <w:iCs/>
        </w:rPr>
        <w:t>8 August 2008, E/C.12/BOL/CO/2, Para 16.</w:t>
      </w:r>
    </w:p>
  </w:footnote>
  <w:footnote w:id="31">
    <w:p w14:paraId="05740B40" w14:textId="66545915" w:rsidR="00577A27" w:rsidRPr="0059707D" w:rsidRDefault="00577A27" w:rsidP="0059707D">
      <w:pPr>
        <w:spacing w:after="120" w:line="240" w:lineRule="auto"/>
        <w:rPr>
          <w:rFonts w:ascii="Cambria" w:hAnsi="Cambria"/>
          <w:sz w:val="20"/>
          <w:szCs w:val="20"/>
          <w:lang w:val="es-CO"/>
        </w:rPr>
      </w:pPr>
      <w:r w:rsidRPr="0059707D">
        <w:rPr>
          <w:rStyle w:val="FootnoteReference"/>
          <w:rFonts w:ascii="Cambria" w:hAnsi="Cambria"/>
          <w:sz w:val="20"/>
          <w:szCs w:val="20"/>
        </w:rPr>
        <w:footnoteRef/>
      </w:r>
      <w:r w:rsidRPr="0059707D">
        <w:rPr>
          <w:rFonts w:ascii="Cambria" w:hAnsi="Cambria"/>
          <w:sz w:val="20"/>
          <w:szCs w:val="20"/>
        </w:rPr>
        <w:t xml:space="preserve"> Committee on Economic, Social and Cultural Rights (CESCR), </w:t>
      </w:r>
      <w:r w:rsidRPr="0059707D">
        <w:rPr>
          <w:rFonts w:ascii="Cambria" w:hAnsi="Cambria"/>
          <w:i/>
          <w:sz w:val="20"/>
          <w:szCs w:val="20"/>
        </w:rPr>
        <w:t>Third Periodic Report: Bolivia</w:t>
      </w:r>
      <w:r w:rsidRPr="0059707D">
        <w:rPr>
          <w:rFonts w:ascii="Cambria" w:hAnsi="Cambria"/>
          <w:sz w:val="20"/>
          <w:szCs w:val="20"/>
        </w:rPr>
        <w:t xml:space="preserve">, UN Doc. </w:t>
      </w:r>
      <w:r w:rsidRPr="0059707D">
        <w:rPr>
          <w:rFonts w:ascii="Cambria" w:hAnsi="Cambria"/>
          <w:sz w:val="20"/>
          <w:szCs w:val="20"/>
          <w:lang w:val="es-CO"/>
        </w:rPr>
        <w:t>E/C.12/BOL/3, 24 April 2019, Paras 168 - 169.</w:t>
      </w:r>
    </w:p>
  </w:footnote>
  <w:footnote w:id="32">
    <w:p w14:paraId="2F22845F" w14:textId="77777777" w:rsidR="00540AF5" w:rsidRPr="0059707D" w:rsidRDefault="00540AF5" w:rsidP="0059707D">
      <w:pPr>
        <w:pStyle w:val="FootnoteText"/>
        <w:spacing w:after="120"/>
        <w:rPr>
          <w:rFonts w:ascii="Cambria" w:hAnsi="Cambria"/>
          <w:lang w:val="es-BO"/>
        </w:rPr>
      </w:pPr>
      <w:r w:rsidRPr="0059707D">
        <w:rPr>
          <w:rStyle w:val="FootnoteReference"/>
          <w:rFonts w:ascii="Cambria" w:hAnsi="Cambria"/>
        </w:rPr>
        <w:footnoteRef/>
      </w:r>
      <w:r w:rsidRPr="0059707D">
        <w:rPr>
          <w:rFonts w:ascii="Cambria" w:hAnsi="Cambria"/>
          <w:lang w:val="es-BO"/>
        </w:rPr>
        <w:t xml:space="preserve">Defensoría del Pueblo, </w:t>
      </w:r>
      <w:r w:rsidRPr="0059707D">
        <w:rPr>
          <w:rFonts w:ascii="Cambria" w:hAnsi="Cambria"/>
        </w:rPr>
        <w:t>http://www.defensoria.gob.bo/archivos/boletinMUJERES_4_21x28cm.pdf</w:t>
      </w:r>
    </w:p>
  </w:footnote>
  <w:footnote w:id="33">
    <w:p w14:paraId="151BB180" w14:textId="1395C0B2"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 xml:space="preserve">Ibid., </w:t>
      </w:r>
      <w:r w:rsidRPr="0059707D">
        <w:rPr>
          <w:rFonts w:ascii="Cambria" w:hAnsi="Cambria"/>
        </w:rPr>
        <w:t>Para 172.</w:t>
      </w:r>
    </w:p>
  </w:footnote>
  <w:footnote w:id="34">
    <w:p w14:paraId="634DC6CE" w14:textId="3EEAA9C9" w:rsidR="00577A27" w:rsidRPr="0059707D" w:rsidRDefault="00577A27" w:rsidP="0059707D">
      <w:pPr>
        <w:spacing w:after="120" w:line="240" w:lineRule="auto"/>
        <w:rPr>
          <w:rFonts w:ascii="Cambria" w:hAnsi="Cambria"/>
          <w:sz w:val="20"/>
          <w:szCs w:val="20"/>
          <w:lang w:val="es-CO"/>
        </w:rPr>
      </w:pPr>
      <w:r w:rsidRPr="0059707D">
        <w:rPr>
          <w:rStyle w:val="FootnoteReference"/>
          <w:rFonts w:ascii="Cambria" w:hAnsi="Cambria"/>
          <w:sz w:val="20"/>
          <w:szCs w:val="20"/>
        </w:rPr>
        <w:footnoteRef/>
      </w:r>
      <w:r w:rsidRPr="0059707D">
        <w:rPr>
          <w:rFonts w:ascii="Cambria" w:hAnsi="Cambria"/>
          <w:sz w:val="20"/>
          <w:szCs w:val="20"/>
          <w:lang w:val="es-CO"/>
        </w:rPr>
        <w:t xml:space="preserve"> Comisión Interamericana de Derechos Humanos, </w:t>
      </w:r>
      <w:r w:rsidRPr="0059707D">
        <w:rPr>
          <w:rFonts w:ascii="Cambria" w:hAnsi="Cambria"/>
          <w:i/>
          <w:iCs/>
          <w:sz w:val="20"/>
          <w:szCs w:val="20"/>
          <w:lang w:val="es-CO"/>
        </w:rPr>
        <w:t xml:space="preserve">Comunidades Cautivas: Situación del Pueblo Indígena Guaraní y Formas Contemporáneas de Esclavitud en el Chaco de Bolivia, </w:t>
      </w:r>
      <w:r w:rsidRPr="0059707D">
        <w:rPr>
          <w:rFonts w:ascii="Cambria" w:hAnsi="Cambria"/>
          <w:sz w:val="20"/>
          <w:szCs w:val="20"/>
          <w:lang w:val="es-CO"/>
        </w:rPr>
        <w:t xml:space="preserve">2009, </w:t>
      </w:r>
      <w:proofErr w:type="spellStart"/>
      <w:r w:rsidRPr="0059707D">
        <w:rPr>
          <w:rFonts w:ascii="Cambria" w:hAnsi="Cambria"/>
          <w:sz w:val="20"/>
          <w:szCs w:val="20"/>
          <w:lang w:val="es-CO"/>
        </w:rPr>
        <w:t>available</w:t>
      </w:r>
      <w:proofErr w:type="spellEnd"/>
      <w:r w:rsidRPr="0059707D">
        <w:rPr>
          <w:rFonts w:ascii="Cambria" w:hAnsi="Cambria"/>
          <w:sz w:val="20"/>
          <w:szCs w:val="20"/>
          <w:lang w:val="es-CO"/>
        </w:rPr>
        <w:t xml:space="preserve"> at: </w:t>
      </w:r>
      <w:hyperlink r:id="rId5" w:history="1">
        <w:r w:rsidRPr="0059707D">
          <w:rPr>
            <w:rStyle w:val="Hyperlink"/>
            <w:rFonts w:ascii="Cambria" w:hAnsi="Cambria"/>
            <w:sz w:val="20"/>
            <w:szCs w:val="20"/>
            <w:lang w:val="es-CO"/>
          </w:rPr>
          <w:t>http://www.cidh.org/pdf%20files/COMUNIDADES%20CAUTIVAS.pdf</w:t>
        </w:r>
      </w:hyperlink>
    </w:p>
  </w:footnote>
  <w:footnote w:id="35">
    <w:p w14:paraId="35DB42B2" w14:textId="77777777" w:rsidR="00FB6E60" w:rsidRPr="0059707D" w:rsidRDefault="00FB6E60" w:rsidP="0059707D">
      <w:pPr>
        <w:pStyle w:val="FootnoteText"/>
        <w:spacing w:after="120"/>
        <w:jc w:val="both"/>
        <w:rPr>
          <w:rFonts w:ascii="Cambria" w:hAnsi="Cambria"/>
          <w:lang w:val="es-ES"/>
        </w:rPr>
      </w:pPr>
      <w:r w:rsidRPr="0059707D">
        <w:rPr>
          <w:rStyle w:val="FootnoteReference"/>
          <w:rFonts w:ascii="Cambria" w:hAnsi="Cambria"/>
        </w:rPr>
        <w:footnoteRef/>
      </w:r>
      <w:proofErr w:type="spellStart"/>
      <w:r w:rsidRPr="0059707D">
        <w:rPr>
          <w:rFonts w:ascii="Cambria" w:hAnsi="Cambria"/>
        </w:rPr>
        <w:t>Coordinadora</w:t>
      </w:r>
      <w:proofErr w:type="spellEnd"/>
      <w:r w:rsidRPr="0059707D">
        <w:rPr>
          <w:rFonts w:ascii="Cambria" w:hAnsi="Cambria"/>
        </w:rPr>
        <w:t xml:space="preserve"> de la </w:t>
      </w:r>
      <w:proofErr w:type="spellStart"/>
      <w:r w:rsidRPr="0059707D">
        <w:rPr>
          <w:rFonts w:ascii="Cambria" w:hAnsi="Cambria"/>
        </w:rPr>
        <w:t>Mujer</w:t>
      </w:r>
      <w:proofErr w:type="spellEnd"/>
      <w:r w:rsidRPr="0059707D">
        <w:rPr>
          <w:rFonts w:ascii="Cambria" w:hAnsi="Cambria"/>
        </w:rPr>
        <w:t xml:space="preserve">, </w:t>
      </w:r>
      <w:proofErr w:type="spellStart"/>
      <w:r w:rsidRPr="0059707D">
        <w:rPr>
          <w:rFonts w:ascii="Cambria" w:hAnsi="Cambria"/>
        </w:rPr>
        <w:t>Colectivo</w:t>
      </w:r>
      <w:proofErr w:type="spellEnd"/>
      <w:r w:rsidRPr="0059707D">
        <w:rPr>
          <w:rFonts w:ascii="Cambria" w:hAnsi="Cambria"/>
        </w:rPr>
        <w:t xml:space="preserve"> TLGB de Bolivia, DIAGNÓSTICO DE LA SITUACIÓN DE LAS POBLACIONES TLGB CON ÉNFASIS EN MUJERES LESBIANAS, BISEXUALES, TRANSGÉNERO Y TRANSEXUALES FEMENINAS EN BOLIVIA 2018, pág.107</w:t>
      </w:r>
    </w:p>
  </w:footnote>
  <w:footnote w:id="36">
    <w:p w14:paraId="46D225D8" w14:textId="631FF14F"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31, Paras 14(h) - 15.</w:t>
      </w:r>
    </w:p>
  </w:footnote>
  <w:footnote w:id="37">
    <w:p w14:paraId="26947011" w14:textId="1B4C9824"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161.</w:t>
      </w:r>
    </w:p>
  </w:footnote>
  <w:footnote w:id="38">
    <w:p w14:paraId="254F8F3F" w14:textId="7CDADAF6"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i/>
          <w:iCs/>
        </w:rPr>
        <w:t xml:space="preserve"> Ibid, </w:t>
      </w:r>
      <w:r w:rsidRPr="0059707D">
        <w:rPr>
          <w:rFonts w:ascii="Cambria" w:hAnsi="Cambria"/>
        </w:rPr>
        <w:t>Paras 154, 161, 173.</w:t>
      </w:r>
    </w:p>
  </w:footnote>
  <w:footnote w:id="39">
    <w:p w14:paraId="76545C67" w14:textId="2D1F0A42"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31, Para 32</w:t>
      </w:r>
    </w:p>
  </w:footnote>
  <w:footnote w:id="40">
    <w:p w14:paraId="7C39D6F2" w14:textId="2ECB1C4F"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163.</w:t>
      </w:r>
    </w:p>
  </w:footnote>
  <w:footnote w:id="41">
    <w:p w14:paraId="7F80703E" w14:textId="77777777" w:rsidR="00E01192" w:rsidRPr="0059707D" w:rsidRDefault="00E01192" w:rsidP="0059707D">
      <w:pPr>
        <w:pStyle w:val="FootnoteText"/>
        <w:spacing w:after="120"/>
        <w:jc w:val="both"/>
        <w:rPr>
          <w:rFonts w:ascii="Cambria" w:hAnsi="Cambria" w:cstheme="minorHAnsi"/>
          <w:color w:val="000000" w:themeColor="text1"/>
        </w:rPr>
      </w:pPr>
      <w:r w:rsidRPr="0059707D">
        <w:rPr>
          <w:rStyle w:val="FootnoteReference"/>
          <w:rFonts w:ascii="Cambria" w:hAnsi="Cambria" w:cstheme="minorHAnsi"/>
          <w:color w:val="000000" w:themeColor="text1"/>
        </w:rPr>
        <w:footnoteRef/>
      </w:r>
      <w:r w:rsidRPr="0059707D">
        <w:rPr>
          <w:rFonts w:ascii="Cambria" w:hAnsi="Cambria" w:cstheme="minorHAnsi"/>
          <w:color w:val="000000" w:themeColor="text1"/>
        </w:rPr>
        <w:t xml:space="preserve">Centro de </w:t>
      </w:r>
      <w:proofErr w:type="spellStart"/>
      <w:r w:rsidRPr="0059707D">
        <w:rPr>
          <w:rFonts w:ascii="Cambria" w:hAnsi="Cambria" w:cstheme="minorHAnsi"/>
          <w:color w:val="000000" w:themeColor="text1"/>
        </w:rPr>
        <w:t>Estudios</w:t>
      </w:r>
      <w:proofErr w:type="spellEnd"/>
      <w:r w:rsidRPr="0059707D">
        <w:rPr>
          <w:rFonts w:ascii="Cambria" w:hAnsi="Cambria" w:cstheme="minorHAnsi"/>
          <w:color w:val="000000" w:themeColor="text1"/>
        </w:rPr>
        <w:t xml:space="preserve"> para el Desarrollo Laboral y </w:t>
      </w:r>
      <w:proofErr w:type="spellStart"/>
      <w:r w:rsidRPr="0059707D">
        <w:rPr>
          <w:rFonts w:ascii="Cambria" w:hAnsi="Cambria" w:cstheme="minorHAnsi"/>
          <w:color w:val="000000" w:themeColor="text1"/>
        </w:rPr>
        <w:t>Agrario</w:t>
      </w:r>
      <w:proofErr w:type="spellEnd"/>
      <w:r w:rsidRPr="0059707D">
        <w:rPr>
          <w:rFonts w:ascii="Cambria" w:hAnsi="Cambria" w:cstheme="minorHAnsi"/>
          <w:color w:val="000000" w:themeColor="text1"/>
        </w:rPr>
        <w:t xml:space="preserve"> – CEDLA. Grupo </w:t>
      </w:r>
      <w:proofErr w:type="spellStart"/>
      <w:r w:rsidRPr="0059707D">
        <w:rPr>
          <w:rFonts w:ascii="Cambria" w:hAnsi="Cambria" w:cstheme="minorHAnsi"/>
          <w:color w:val="000000" w:themeColor="text1"/>
        </w:rPr>
        <w:t>sobre</w:t>
      </w:r>
      <w:proofErr w:type="spellEnd"/>
      <w:r w:rsidRPr="0059707D">
        <w:rPr>
          <w:rFonts w:ascii="Cambria" w:hAnsi="Cambria" w:cstheme="minorHAnsi"/>
          <w:color w:val="000000" w:themeColor="text1"/>
        </w:rPr>
        <w:t xml:space="preserve"> </w:t>
      </w:r>
      <w:proofErr w:type="spellStart"/>
      <w:r w:rsidRPr="0059707D">
        <w:rPr>
          <w:rFonts w:ascii="Cambria" w:hAnsi="Cambria" w:cstheme="minorHAnsi"/>
          <w:color w:val="000000" w:themeColor="text1"/>
        </w:rPr>
        <w:t>Política</w:t>
      </w:r>
      <w:proofErr w:type="spellEnd"/>
      <w:r w:rsidRPr="0059707D">
        <w:rPr>
          <w:rFonts w:ascii="Cambria" w:hAnsi="Cambria" w:cstheme="minorHAnsi"/>
          <w:color w:val="000000" w:themeColor="text1"/>
        </w:rPr>
        <w:t xml:space="preserve"> Fiscal y Desarrollo (GPFD). </w:t>
      </w:r>
      <w:proofErr w:type="spellStart"/>
      <w:r w:rsidRPr="0059707D">
        <w:rPr>
          <w:rFonts w:ascii="Cambria" w:hAnsi="Cambria" w:cstheme="minorHAnsi"/>
          <w:color w:val="000000" w:themeColor="text1"/>
        </w:rPr>
        <w:t>Salud</w:t>
      </w:r>
      <w:proofErr w:type="spellEnd"/>
      <w:r w:rsidRPr="0059707D">
        <w:rPr>
          <w:rFonts w:ascii="Cambria" w:hAnsi="Cambria" w:cstheme="minorHAnsi"/>
          <w:color w:val="000000" w:themeColor="text1"/>
        </w:rPr>
        <w:t xml:space="preserve"> para </w:t>
      </w:r>
      <w:proofErr w:type="spellStart"/>
      <w:r w:rsidRPr="0059707D">
        <w:rPr>
          <w:rFonts w:ascii="Cambria" w:hAnsi="Cambria" w:cstheme="minorHAnsi"/>
          <w:color w:val="000000" w:themeColor="text1"/>
        </w:rPr>
        <w:t>todos</w:t>
      </w:r>
      <w:proofErr w:type="spellEnd"/>
      <w:r w:rsidRPr="0059707D">
        <w:rPr>
          <w:rFonts w:ascii="Cambria" w:hAnsi="Cambria" w:cstheme="minorHAnsi"/>
          <w:color w:val="000000" w:themeColor="text1"/>
        </w:rPr>
        <w:t xml:space="preserve">. Las </w:t>
      </w:r>
      <w:proofErr w:type="spellStart"/>
      <w:r w:rsidRPr="0059707D">
        <w:rPr>
          <w:rFonts w:ascii="Cambria" w:hAnsi="Cambria" w:cstheme="minorHAnsi"/>
          <w:color w:val="000000" w:themeColor="text1"/>
        </w:rPr>
        <w:t>experiencias</w:t>
      </w:r>
      <w:proofErr w:type="spellEnd"/>
      <w:r w:rsidRPr="0059707D">
        <w:rPr>
          <w:rFonts w:ascii="Cambria" w:hAnsi="Cambria" w:cstheme="minorHAnsi"/>
          <w:color w:val="000000" w:themeColor="text1"/>
        </w:rPr>
        <w:t xml:space="preserve"> de los </w:t>
      </w:r>
      <w:proofErr w:type="spellStart"/>
      <w:r w:rsidRPr="0059707D">
        <w:rPr>
          <w:rFonts w:ascii="Cambria" w:hAnsi="Cambria" w:cstheme="minorHAnsi"/>
          <w:color w:val="000000" w:themeColor="text1"/>
        </w:rPr>
        <w:t>sistemas</w:t>
      </w:r>
      <w:proofErr w:type="spellEnd"/>
      <w:r w:rsidRPr="0059707D">
        <w:rPr>
          <w:rFonts w:ascii="Cambria" w:hAnsi="Cambria" w:cstheme="minorHAnsi"/>
          <w:color w:val="000000" w:themeColor="text1"/>
        </w:rPr>
        <w:t xml:space="preserve"> de </w:t>
      </w:r>
      <w:proofErr w:type="spellStart"/>
      <w:r w:rsidRPr="0059707D">
        <w:rPr>
          <w:rFonts w:ascii="Cambria" w:hAnsi="Cambria" w:cstheme="minorHAnsi"/>
          <w:color w:val="000000" w:themeColor="text1"/>
        </w:rPr>
        <w:t>salud</w:t>
      </w:r>
      <w:proofErr w:type="spellEnd"/>
      <w:r w:rsidRPr="0059707D">
        <w:rPr>
          <w:rFonts w:ascii="Cambria" w:hAnsi="Cambria" w:cstheme="minorHAnsi"/>
          <w:color w:val="000000" w:themeColor="text1"/>
        </w:rPr>
        <w:t xml:space="preserve"> locales </w:t>
      </w:r>
      <w:proofErr w:type="spellStart"/>
      <w:r w:rsidRPr="0059707D">
        <w:rPr>
          <w:rFonts w:ascii="Cambria" w:hAnsi="Cambria" w:cstheme="minorHAnsi"/>
          <w:color w:val="000000" w:themeColor="text1"/>
        </w:rPr>
        <w:t>en</w:t>
      </w:r>
      <w:proofErr w:type="spellEnd"/>
      <w:r w:rsidRPr="0059707D">
        <w:rPr>
          <w:rFonts w:ascii="Cambria" w:hAnsi="Cambria" w:cstheme="minorHAnsi"/>
          <w:color w:val="000000" w:themeColor="text1"/>
        </w:rPr>
        <w:t xml:space="preserve"> Bolivia. La Paz, 2017. p. 9</w:t>
      </w:r>
    </w:p>
  </w:footnote>
  <w:footnote w:id="42">
    <w:p w14:paraId="77B8A820" w14:textId="77777777" w:rsidR="00E01192" w:rsidRPr="0059707D" w:rsidRDefault="00E01192" w:rsidP="0059707D">
      <w:pPr>
        <w:pStyle w:val="FootnoteText"/>
        <w:spacing w:after="120"/>
        <w:rPr>
          <w:rFonts w:ascii="Cambria" w:hAnsi="Cambria"/>
          <w:lang w:val="es-ES"/>
        </w:rPr>
      </w:pPr>
      <w:r w:rsidRPr="0059707D">
        <w:rPr>
          <w:rStyle w:val="FootnoteReference"/>
          <w:rFonts w:ascii="Cambria" w:hAnsi="Cambria"/>
        </w:rPr>
        <w:footnoteRef/>
      </w:r>
      <w:r w:rsidRPr="0059707D">
        <w:rPr>
          <w:rFonts w:ascii="Cambria" w:hAnsi="Cambria"/>
        </w:rPr>
        <w:t xml:space="preserve"> </w:t>
      </w:r>
      <w:r w:rsidRPr="0059707D">
        <w:rPr>
          <w:rFonts w:ascii="Cambria" w:hAnsi="Cambria"/>
          <w:lang w:val="es-ES"/>
        </w:rPr>
        <w:t>Sistema Nacional de Información en Salud – SNIS, 2016.</w:t>
      </w:r>
    </w:p>
  </w:footnote>
  <w:footnote w:id="43">
    <w:p w14:paraId="487D3897" w14:textId="662BA85C"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Equal Rights Trust: </w:t>
      </w:r>
      <w:r w:rsidRPr="0059707D">
        <w:rPr>
          <w:rFonts w:ascii="Cambria" w:hAnsi="Cambria"/>
          <w:i/>
        </w:rPr>
        <w:t>Learning In Equality: Using equality law to tackle barriers to primary education for out-of-school children</w:t>
      </w:r>
      <w:r w:rsidRPr="0059707D">
        <w:rPr>
          <w:rFonts w:ascii="Cambria" w:hAnsi="Cambria"/>
        </w:rPr>
        <w:t>, London, November 2017, available at: http://www.equalrightstrust.org/ertdocumentbank/ Learning%20InEquality_e-version_2.pdf.</w:t>
      </w:r>
    </w:p>
  </w:footnote>
  <w:footnote w:id="44">
    <w:p w14:paraId="29902493" w14:textId="71E90F2A" w:rsidR="00577A27" w:rsidRPr="0059707D" w:rsidRDefault="00577A27"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See above, note 32, Para 78.</w:t>
      </w:r>
    </w:p>
  </w:footnote>
  <w:footnote w:id="45">
    <w:p w14:paraId="6264EA97" w14:textId="09A159F4" w:rsidR="00577A27" w:rsidRPr="0059707D" w:rsidRDefault="00577A27" w:rsidP="0059707D">
      <w:pPr>
        <w:pStyle w:val="FootnoteText"/>
        <w:spacing w:after="120"/>
        <w:rPr>
          <w:rFonts w:ascii="Cambria" w:hAnsi="Cambria" w:cstheme="minorHAnsi"/>
        </w:rPr>
      </w:pPr>
      <w:r w:rsidRPr="0059707D">
        <w:rPr>
          <w:rStyle w:val="FootnoteReference"/>
          <w:rFonts w:ascii="Cambria" w:hAnsi="Cambria" w:cstheme="minorHAnsi"/>
        </w:rPr>
        <w:footnoteRef/>
      </w:r>
      <w:r w:rsidRPr="0059707D">
        <w:rPr>
          <w:rFonts w:ascii="Cambria" w:hAnsi="Cambria" w:cstheme="minorHAnsi"/>
          <w:lang w:val="es-CO"/>
        </w:rPr>
        <w:t xml:space="preserve">Defensoría del Pueblo del Estado Plurinacional de Bolivia, </w:t>
      </w:r>
      <w:r w:rsidRPr="0059707D">
        <w:rPr>
          <w:rFonts w:ascii="Cambria" w:hAnsi="Cambria" w:cstheme="minorHAnsi"/>
          <w:i/>
          <w:iCs/>
          <w:lang w:val="es-CO"/>
        </w:rPr>
        <w:t xml:space="preserve">Informe sobre derecho a la educación de personas con discapacidad, </w:t>
      </w:r>
      <w:r w:rsidRPr="0059707D">
        <w:rPr>
          <w:rFonts w:ascii="Cambria" w:hAnsi="Cambria" w:cstheme="minorHAnsi"/>
          <w:lang w:val="es-CO"/>
        </w:rPr>
        <w:t xml:space="preserve">2013. </w:t>
      </w:r>
      <w:r w:rsidRPr="0059707D">
        <w:rPr>
          <w:rFonts w:ascii="Cambria" w:hAnsi="Cambria" w:cstheme="minorHAnsi"/>
        </w:rPr>
        <w:t xml:space="preserve">Available at: </w:t>
      </w:r>
      <w:hyperlink r:id="rId6" w:history="1">
        <w:r w:rsidRPr="0059707D">
          <w:rPr>
            <w:rStyle w:val="Hyperlink"/>
            <w:rFonts w:ascii="Cambria" w:hAnsi="Cambria" w:cstheme="minorHAnsi"/>
            <w:color w:val="000000" w:themeColor="text1"/>
            <w:u w:val="none"/>
          </w:rPr>
          <w:t>https://www.ohchr.org/Documents/Issues/Disability/StudyEducation/NHRIs/Bolivia.pdf</w:t>
        </w:r>
      </w:hyperlink>
    </w:p>
  </w:footnote>
  <w:footnote w:id="46">
    <w:p w14:paraId="5F47802B" w14:textId="15E45ED1"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cstheme="minorHAnsi"/>
          <w:color w:val="000000" w:themeColor="text1"/>
        </w:rPr>
        <w:t>http://eju.tv/2015/01/al-menos-7-mil-alumnos-con-discapacidad-estudian-en-colegios-de-bolivia/</w:t>
      </w:r>
    </w:p>
  </w:footnote>
  <w:footnote w:id="47">
    <w:p w14:paraId="35B6CD5D" w14:textId="77777777"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w:t>
      </w:r>
      <w:r w:rsidRPr="0059707D">
        <w:rPr>
          <w:rFonts w:ascii="Cambria" w:hAnsi="Cambria"/>
          <w:i/>
          <w:iCs/>
        </w:rPr>
        <w:t>Ibid</w:t>
      </w:r>
      <w:r w:rsidRPr="0059707D">
        <w:rPr>
          <w:rFonts w:ascii="Cambria" w:hAnsi="Cambria"/>
        </w:rPr>
        <w:t>, Para 83.</w:t>
      </w:r>
    </w:p>
  </w:footnote>
  <w:footnote w:id="48">
    <w:p w14:paraId="40F12FE4" w14:textId="77777777" w:rsidR="00E01192" w:rsidRPr="0059707D" w:rsidRDefault="00E01192" w:rsidP="0059707D">
      <w:pPr>
        <w:pStyle w:val="FootnoteText"/>
        <w:spacing w:after="120"/>
        <w:rPr>
          <w:rFonts w:ascii="Cambria" w:hAnsi="Cambria"/>
        </w:rPr>
      </w:pPr>
      <w:r w:rsidRPr="0059707D">
        <w:rPr>
          <w:rStyle w:val="FootnoteReference"/>
          <w:rFonts w:ascii="Cambria" w:hAnsi="Cambria"/>
        </w:rPr>
        <w:footnoteRef/>
      </w:r>
      <w:r w:rsidRPr="0059707D">
        <w:rPr>
          <w:rFonts w:ascii="Cambria" w:hAnsi="Cambria"/>
        </w:rPr>
        <w:t xml:space="preserve"> Convention on the Rights of Persons with Disabilities, 2007, A/RES/61/106, Article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2A89E" w14:textId="77777777" w:rsidR="00577A27" w:rsidRDefault="00577A27" w:rsidP="006A207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AC0FF" w14:textId="176EDF05" w:rsidR="00577A27" w:rsidRDefault="00577A27" w:rsidP="00875733">
    <w:pPr>
      <w:pStyle w:val="Header"/>
      <w:jc w:val="center"/>
    </w:pPr>
  </w:p>
  <w:p w14:paraId="5CBAE532" w14:textId="77777777" w:rsidR="00577A27" w:rsidRDefault="00577A27" w:rsidP="0026352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64A8"/>
    <w:multiLevelType w:val="hybridMultilevel"/>
    <w:tmpl w:val="126C1A6A"/>
    <w:lvl w:ilvl="0" w:tplc="B41C15DC">
      <w:numFmt w:val="bullet"/>
      <w:lvlText w:val="•"/>
      <w:lvlJc w:val="left"/>
      <w:pPr>
        <w:ind w:left="1440" w:hanging="720"/>
      </w:pPr>
      <w:rPr>
        <w:rFonts w:ascii="Cambria" w:eastAsia="Calibri" w:hAnsi="Cambria"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0CAE23EB"/>
    <w:multiLevelType w:val="hybridMultilevel"/>
    <w:tmpl w:val="802CB96A"/>
    <w:lvl w:ilvl="0" w:tplc="89D63F6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300ED0"/>
    <w:multiLevelType w:val="hybridMultilevel"/>
    <w:tmpl w:val="EC504FE8"/>
    <w:lvl w:ilvl="0" w:tplc="2CECC69C">
      <w:start w:val="1"/>
      <w:numFmt w:val="decimal"/>
      <w:lvlText w:val="%1."/>
      <w:lvlJc w:val="left"/>
      <w:pPr>
        <w:ind w:left="567" w:hanging="567"/>
      </w:pPr>
      <w:rPr>
        <w:i w:val="0"/>
      </w:rPr>
    </w:lvl>
    <w:lvl w:ilvl="1" w:tplc="D704456E">
      <w:start w:val="1"/>
      <w:numFmt w:val="lowerLetter"/>
      <w:lvlText w:val="(%2)"/>
      <w:lvlJc w:val="left"/>
      <w:pPr>
        <w:ind w:left="2356" w:hanging="360"/>
      </w:pPr>
    </w:lvl>
    <w:lvl w:ilvl="2" w:tplc="EAA2D116">
      <w:start w:val="1"/>
      <w:numFmt w:val="lowerRoman"/>
      <w:lvlText w:val="%3."/>
      <w:lvlJc w:val="right"/>
      <w:pPr>
        <w:ind w:left="3076" w:hanging="180"/>
      </w:pPr>
    </w:lvl>
    <w:lvl w:ilvl="3" w:tplc="E9C0F480">
      <w:start w:val="1"/>
      <w:numFmt w:val="decimal"/>
      <w:lvlText w:val="%4."/>
      <w:lvlJc w:val="left"/>
      <w:pPr>
        <w:ind w:left="3796" w:hanging="360"/>
      </w:pPr>
    </w:lvl>
    <w:lvl w:ilvl="4" w:tplc="5D585D1E">
      <w:start w:val="1"/>
      <w:numFmt w:val="lowerLetter"/>
      <w:lvlText w:val="%5."/>
      <w:lvlJc w:val="left"/>
      <w:pPr>
        <w:ind w:left="4516" w:hanging="360"/>
      </w:pPr>
    </w:lvl>
    <w:lvl w:ilvl="5" w:tplc="B42A28B6">
      <w:start w:val="1"/>
      <w:numFmt w:val="lowerRoman"/>
      <w:lvlText w:val="%6."/>
      <w:lvlJc w:val="right"/>
      <w:pPr>
        <w:ind w:left="5236" w:hanging="180"/>
      </w:pPr>
    </w:lvl>
    <w:lvl w:ilvl="6" w:tplc="490CAE7E">
      <w:start w:val="1"/>
      <w:numFmt w:val="decimal"/>
      <w:lvlText w:val="%7."/>
      <w:lvlJc w:val="left"/>
      <w:pPr>
        <w:ind w:left="5956" w:hanging="360"/>
      </w:pPr>
    </w:lvl>
    <w:lvl w:ilvl="7" w:tplc="C7EE6884">
      <w:start w:val="1"/>
      <w:numFmt w:val="lowerLetter"/>
      <w:lvlText w:val="%8."/>
      <w:lvlJc w:val="left"/>
      <w:pPr>
        <w:ind w:left="6676" w:hanging="360"/>
      </w:pPr>
    </w:lvl>
    <w:lvl w:ilvl="8" w:tplc="F74A57C0">
      <w:start w:val="1"/>
      <w:numFmt w:val="lowerRoman"/>
      <w:lvlText w:val="%9."/>
      <w:lvlJc w:val="right"/>
      <w:pPr>
        <w:ind w:left="7396" w:hanging="180"/>
      </w:pPr>
    </w:lvl>
  </w:abstractNum>
  <w:abstractNum w:abstractNumId="3" w15:restartNumberingAfterBreak="0">
    <w:nsid w:val="12295F35"/>
    <w:multiLevelType w:val="hybridMultilevel"/>
    <w:tmpl w:val="8BB899B6"/>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A36F1"/>
    <w:multiLevelType w:val="hybridMultilevel"/>
    <w:tmpl w:val="720A6F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792736"/>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8921CD"/>
    <w:multiLevelType w:val="hybridMultilevel"/>
    <w:tmpl w:val="D0722E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9703097"/>
    <w:multiLevelType w:val="hybridMultilevel"/>
    <w:tmpl w:val="B3766E4A"/>
    <w:lvl w:ilvl="0" w:tplc="A0AC76E8">
      <w:start w:val="1"/>
      <w:numFmt w:val="decimal"/>
      <w:lvlText w:val="%1."/>
      <w:lvlJc w:val="left"/>
      <w:pPr>
        <w:ind w:left="720" w:hanging="360"/>
      </w:pPr>
      <w:rPr>
        <w:rFonts w:hint="default"/>
        <w:b w:val="0"/>
        <w:bCs/>
        <w:i/>
        <w:i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5B3E2A"/>
    <w:multiLevelType w:val="hybridMultilevel"/>
    <w:tmpl w:val="FEBABC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AE6517"/>
    <w:multiLevelType w:val="multilevel"/>
    <w:tmpl w:val="773C9390"/>
    <w:lvl w:ilvl="0">
      <w:start w:val="1"/>
      <w:numFmt w:val="upperLetter"/>
      <w:pStyle w:val="RecitalsAshurst"/>
      <w:lvlText w:val="(%1)"/>
      <w:lvlJc w:val="left"/>
      <w:pPr>
        <w:tabs>
          <w:tab w:val="num" w:pos="782"/>
        </w:tabs>
        <w:ind w:left="782" w:hanging="782"/>
      </w:pPr>
      <w:rPr>
        <w:rFonts w:hint="default"/>
        <w:b w:val="0"/>
        <w:i w:val="0"/>
        <w:sz w:val="18"/>
        <w:szCs w:val="18"/>
      </w:rPr>
    </w:lvl>
    <w:lvl w:ilvl="1">
      <w:start w:val="1"/>
      <w:numFmt w:val="none"/>
      <w:lvlText w:val=""/>
      <w:lvlJc w:val="left"/>
      <w:pPr>
        <w:tabs>
          <w:tab w:val="num" w:pos="782"/>
        </w:tabs>
        <w:ind w:left="782" w:hanging="782"/>
      </w:pPr>
      <w:rPr>
        <w:rFonts w:hint="default"/>
        <w:b w:val="0"/>
        <w:i w:val="0"/>
        <w:sz w:val="18"/>
        <w:szCs w:val="18"/>
      </w:rPr>
    </w:lvl>
    <w:lvl w:ilvl="2">
      <w:start w:val="1"/>
      <w:numFmt w:val="none"/>
      <w:lvlText w:val=""/>
      <w:lvlJc w:val="left"/>
      <w:pPr>
        <w:tabs>
          <w:tab w:val="num" w:pos="1406"/>
        </w:tabs>
        <w:ind w:left="1406" w:hanging="624"/>
      </w:pPr>
      <w:rPr>
        <w:rFonts w:hint="default"/>
        <w:b w:val="0"/>
        <w:i w:val="0"/>
        <w:sz w:val="18"/>
        <w:szCs w:val="18"/>
      </w:rPr>
    </w:lvl>
    <w:lvl w:ilvl="3">
      <w:start w:val="1"/>
      <w:numFmt w:val="none"/>
      <w:lvlText w:val=""/>
      <w:lvlJc w:val="left"/>
      <w:pPr>
        <w:tabs>
          <w:tab w:val="num" w:pos="2030"/>
        </w:tabs>
        <w:ind w:left="2030" w:hanging="624"/>
      </w:pPr>
      <w:rPr>
        <w:rFonts w:hint="default"/>
        <w:b w:val="0"/>
        <w:i w:val="0"/>
        <w:sz w:val="18"/>
        <w:szCs w:val="18"/>
      </w:rPr>
    </w:lvl>
    <w:lvl w:ilvl="4">
      <w:start w:val="1"/>
      <w:numFmt w:val="none"/>
      <w:lvlText w:val=""/>
      <w:lvlJc w:val="left"/>
      <w:pPr>
        <w:tabs>
          <w:tab w:val="num" w:pos="2653"/>
        </w:tabs>
        <w:ind w:left="2653" w:hanging="623"/>
      </w:pPr>
      <w:rPr>
        <w:rFonts w:hint="default"/>
        <w:b w:val="0"/>
        <w:i w:val="0"/>
        <w:sz w:val="18"/>
        <w:szCs w:val="18"/>
      </w:rPr>
    </w:lvl>
    <w:lvl w:ilvl="5">
      <w:start w:val="27"/>
      <w:numFmt w:val="none"/>
      <w:lvlText w:val=""/>
      <w:lvlJc w:val="left"/>
      <w:pPr>
        <w:tabs>
          <w:tab w:val="num" w:pos="3277"/>
        </w:tabs>
        <w:ind w:left="3277" w:hanging="624"/>
      </w:pPr>
      <w:rPr>
        <w:rFonts w:hint="default"/>
        <w:b w:val="0"/>
        <w:i w:val="0"/>
        <w:sz w:val="18"/>
        <w:szCs w:val="18"/>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Restart w:val="0"/>
      <w:lvlText w:val=""/>
      <w:lvlJc w:val="left"/>
      <w:pPr>
        <w:tabs>
          <w:tab w:val="num" w:pos="0"/>
        </w:tabs>
        <w:ind w:left="0" w:firstLine="0"/>
      </w:pPr>
      <w:rPr>
        <w:rFonts w:hint="default"/>
      </w:rPr>
    </w:lvl>
  </w:abstractNum>
  <w:abstractNum w:abstractNumId="10" w15:restartNumberingAfterBreak="0">
    <w:nsid w:val="42920C28"/>
    <w:multiLevelType w:val="hybridMultilevel"/>
    <w:tmpl w:val="6E042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D7DDC"/>
    <w:multiLevelType w:val="hybridMultilevel"/>
    <w:tmpl w:val="0720B726"/>
    <w:lvl w:ilvl="0" w:tplc="BDB097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45E55"/>
    <w:multiLevelType w:val="hybridMultilevel"/>
    <w:tmpl w:val="5B4017C8"/>
    <w:lvl w:ilvl="0" w:tplc="4C827A4C">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912C91"/>
    <w:multiLevelType w:val="hybridMultilevel"/>
    <w:tmpl w:val="31AC16F2"/>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E60D1B"/>
    <w:multiLevelType w:val="hybridMultilevel"/>
    <w:tmpl w:val="982A0942"/>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325F4A"/>
    <w:multiLevelType w:val="hybridMultilevel"/>
    <w:tmpl w:val="3182A082"/>
    <w:lvl w:ilvl="0" w:tplc="A2A41732">
      <w:start w:val="24"/>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B47FA3"/>
    <w:multiLevelType w:val="hybridMultilevel"/>
    <w:tmpl w:val="6ED8E8F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15:restartNumberingAfterBreak="0">
    <w:nsid w:val="67782B47"/>
    <w:multiLevelType w:val="hybridMultilevel"/>
    <w:tmpl w:val="18D87F8E"/>
    <w:lvl w:ilvl="0" w:tplc="1034DB40">
      <w:start w:val="1"/>
      <w:numFmt w:val="decimal"/>
      <w:lvlText w:val="%1."/>
      <w:lvlJc w:val="left"/>
      <w:pPr>
        <w:ind w:left="720" w:hanging="360"/>
      </w:pPr>
      <w:rPr>
        <w:rFonts w:hint="default"/>
        <w:b w:val="0"/>
        <w:bCs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856C62"/>
    <w:multiLevelType w:val="hybridMultilevel"/>
    <w:tmpl w:val="6518CB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16"/>
  </w:num>
  <w:num w:numId="5">
    <w:abstractNumId w:val="18"/>
  </w:num>
  <w:num w:numId="6">
    <w:abstractNumId w:val="10"/>
  </w:num>
  <w:num w:numId="7">
    <w:abstractNumId w:val="17"/>
  </w:num>
  <w:num w:numId="8">
    <w:abstractNumId w:val="14"/>
  </w:num>
  <w:num w:numId="9">
    <w:abstractNumId w:val="5"/>
  </w:num>
  <w:num w:numId="10">
    <w:abstractNumId w:val="0"/>
  </w:num>
  <w:num w:numId="11">
    <w:abstractNumId w:val="0"/>
  </w:num>
  <w:num w:numId="12">
    <w:abstractNumId w:val="3"/>
  </w:num>
  <w:num w:numId="13">
    <w:abstractNumId w:val="6"/>
  </w:num>
  <w:num w:numId="14">
    <w:abstractNumId w:val="8"/>
  </w:num>
  <w:num w:numId="15">
    <w:abstractNumId w:val="4"/>
  </w:num>
  <w:num w:numId="16">
    <w:abstractNumId w:val="12"/>
  </w:num>
  <w:num w:numId="17">
    <w:abstractNumId w:val="15"/>
  </w:num>
  <w:num w:numId="18">
    <w:abstractNumId w:val="1"/>
  </w:num>
  <w:num w:numId="19">
    <w:abstractNumId w:val="2"/>
  </w:num>
  <w:num w:numId="20">
    <w:abstractNumId w:val="13"/>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963"/>
    <w:rsid w:val="00007B3F"/>
    <w:rsid w:val="0002313C"/>
    <w:rsid w:val="000565F7"/>
    <w:rsid w:val="00091B24"/>
    <w:rsid w:val="000A7269"/>
    <w:rsid w:val="000D6C76"/>
    <w:rsid w:val="000E120A"/>
    <w:rsid w:val="000E31FA"/>
    <w:rsid w:val="000F571E"/>
    <w:rsid w:val="00122E56"/>
    <w:rsid w:val="00132B5D"/>
    <w:rsid w:val="001369BB"/>
    <w:rsid w:val="001B6060"/>
    <w:rsid w:val="001E0BDF"/>
    <w:rsid w:val="001F4E83"/>
    <w:rsid w:val="00224F14"/>
    <w:rsid w:val="00242969"/>
    <w:rsid w:val="002559F2"/>
    <w:rsid w:val="00263529"/>
    <w:rsid w:val="0028282A"/>
    <w:rsid w:val="002B59F0"/>
    <w:rsid w:val="002D048F"/>
    <w:rsid w:val="002D04B0"/>
    <w:rsid w:val="002E1B8A"/>
    <w:rsid w:val="00314E78"/>
    <w:rsid w:val="00330704"/>
    <w:rsid w:val="003405B6"/>
    <w:rsid w:val="00343CDB"/>
    <w:rsid w:val="003457C3"/>
    <w:rsid w:val="00355F3D"/>
    <w:rsid w:val="003611BA"/>
    <w:rsid w:val="00366C53"/>
    <w:rsid w:val="00394F70"/>
    <w:rsid w:val="003B5207"/>
    <w:rsid w:val="003B5A15"/>
    <w:rsid w:val="003C0005"/>
    <w:rsid w:val="003E43F9"/>
    <w:rsid w:val="003F054C"/>
    <w:rsid w:val="0040676E"/>
    <w:rsid w:val="00407CB9"/>
    <w:rsid w:val="00412EAE"/>
    <w:rsid w:val="00414992"/>
    <w:rsid w:val="00423223"/>
    <w:rsid w:val="00451A61"/>
    <w:rsid w:val="004921B5"/>
    <w:rsid w:val="00496243"/>
    <w:rsid w:val="004C2220"/>
    <w:rsid w:val="004E3BA6"/>
    <w:rsid w:val="004E65C9"/>
    <w:rsid w:val="00502837"/>
    <w:rsid w:val="005043BA"/>
    <w:rsid w:val="00505A3C"/>
    <w:rsid w:val="00521D69"/>
    <w:rsid w:val="00540AF5"/>
    <w:rsid w:val="00577A27"/>
    <w:rsid w:val="00577F6D"/>
    <w:rsid w:val="0059707D"/>
    <w:rsid w:val="005C01CE"/>
    <w:rsid w:val="005C72CA"/>
    <w:rsid w:val="005D579A"/>
    <w:rsid w:val="005E61AC"/>
    <w:rsid w:val="0061311A"/>
    <w:rsid w:val="00656CC6"/>
    <w:rsid w:val="00672A3D"/>
    <w:rsid w:val="00693538"/>
    <w:rsid w:val="006A1C4A"/>
    <w:rsid w:val="006A2071"/>
    <w:rsid w:val="006C45BB"/>
    <w:rsid w:val="006C5278"/>
    <w:rsid w:val="006C5DA9"/>
    <w:rsid w:val="006D7D26"/>
    <w:rsid w:val="006E012F"/>
    <w:rsid w:val="006E326B"/>
    <w:rsid w:val="00703D1F"/>
    <w:rsid w:val="00710A05"/>
    <w:rsid w:val="00716388"/>
    <w:rsid w:val="00722AAB"/>
    <w:rsid w:val="00723FF0"/>
    <w:rsid w:val="007A34B3"/>
    <w:rsid w:val="007D34C0"/>
    <w:rsid w:val="007D55BF"/>
    <w:rsid w:val="0080651B"/>
    <w:rsid w:val="0080766A"/>
    <w:rsid w:val="00822BC9"/>
    <w:rsid w:val="00830E37"/>
    <w:rsid w:val="00846BD5"/>
    <w:rsid w:val="00854473"/>
    <w:rsid w:val="00857F6F"/>
    <w:rsid w:val="0087205D"/>
    <w:rsid w:val="00875733"/>
    <w:rsid w:val="008A4BA0"/>
    <w:rsid w:val="008B0791"/>
    <w:rsid w:val="008B7CDD"/>
    <w:rsid w:val="008E40FA"/>
    <w:rsid w:val="00907092"/>
    <w:rsid w:val="00907819"/>
    <w:rsid w:val="009410B5"/>
    <w:rsid w:val="0094594F"/>
    <w:rsid w:val="00950CB9"/>
    <w:rsid w:val="009751BF"/>
    <w:rsid w:val="009938BB"/>
    <w:rsid w:val="00997EE9"/>
    <w:rsid w:val="009B53C3"/>
    <w:rsid w:val="009C0B6B"/>
    <w:rsid w:val="009D0B6B"/>
    <w:rsid w:val="009D2963"/>
    <w:rsid w:val="00A360C7"/>
    <w:rsid w:val="00A52182"/>
    <w:rsid w:val="00A5730C"/>
    <w:rsid w:val="00A74535"/>
    <w:rsid w:val="00A86F83"/>
    <w:rsid w:val="00A975A0"/>
    <w:rsid w:val="00AB22E6"/>
    <w:rsid w:val="00AE26B6"/>
    <w:rsid w:val="00B12CA8"/>
    <w:rsid w:val="00B250F9"/>
    <w:rsid w:val="00B27D38"/>
    <w:rsid w:val="00B750BF"/>
    <w:rsid w:val="00B90B2B"/>
    <w:rsid w:val="00BA0566"/>
    <w:rsid w:val="00BC4FE4"/>
    <w:rsid w:val="00BF0C83"/>
    <w:rsid w:val="00C37BA0"/>
    <w:rsid w:val="00C60752"/>
    <w:rsid w:val="00C64299"/>
    <w:rsid w:val="00C70F10"/>
    <w:rsid w:val="00C77D36"/>
    <w:rsid w:val="00C87951"/>
    <w:rsid w:val="00C94F7C"/>
    <w:rsid w:val="00C95D04"/>
    <w:rsid w:val="00CC4EB0"/>
    <w:rsid w:val="00CC680F"/>
    <w:rsid w:val="00CE2B5B"/>
    <w:rsid w:val="00CE59BF"/>
    <w:rsid w:val="00CF38B4"/>
    <w:rsid w:val="00D05203"/>
    <w:rsid w:val="00D11CC8"/>
    <w:rsid w:val="00D140F6"/>
    <w:rsid w:val="00D20821"/>
    <w:rsid w:val="00D33FB1"/>
    <w:rsid w:val="00D4220C"/>
    <w:rsid w:val="00D4469E"/>
    <w:rsid w:val="00D904F3"/>
    <w:rsid w:val="00DA7B57"/>
    <w:rsid w:val="00DB27A7"/>
    <w:rsid w:val="00DB5BC2"/>
    <w:rsid w:val="00DC1F5F"/>
    <w:rsid w:val="00DC5F7B"/>
    <w:rsid w:val="00DD100D"/>
    <w:rsid w:val="00DE6580"/>
    <w:rsid w:val="00DF03AF"/>
    <w:rsid w:val="00E01192"/>
    <w:rsid w:val="00E04657"/>
    <w:rsid w:val="00E070CE"/>
    <w:rsid w:val="00E25241"/>
    <w:rsid w:val="00E549C2"/>
    <w:rsid w:val="00E637FE"/>
    <w:rsid w:val="00EE48DD"/>
    <w:rsid w:val="00EE4953"/>
    <w:rsid w:val="00F16A31"/>
    <w:rsid w:val="00F32728"/>
    <w:rsid w:val="00F635C7"/>
    <w:rsid w:val="00F839BF"/>
    <w:rsid w:val="00F9001F"/>
    <w:rsid w:val="00F96438"/>
    <w:rsid w:val="00FB6E60"/>
    <w:rsid w:val="00FC2643"/>
    <w:rsid w:val="00FC3557"/>
    <w:rsid w:val="00FE2C67"/>
    <w:rsid w:val="00FE4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54093"/>
  <w15:chartTrackingRefBased/>
  <w15:docId w15:val="{150BCF1D-1D64-45F1-8082-C1F71E2C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ar,Texto nota pie Car Car Car,FOOTNOTES,fn,single space,Footnote Text Char Char Char,Footnote Text1 Char,Footnote Text2,Footnote Text Char Char Char1 Char,Footnote Text Char Char Char1,ft,ADB,ADB Car,Car,Ref. de nota al pie1,Car Car,FA "/>
    <w:basedOn w:val="Normal"/>
    <w:link w:val="FootnoteTextChar"/>
    <w:uiPriority w:val="99"/>
    <w:unhideWhenUsed/>
    <w:qFormat/>
    <w:rsid w:val="003405B6"/>
    <w:pPr>
      <w:spacing w:after="0" w:line="240" w:lineRule="auto"/>
    </w:pPr>
    <w:rPr>
      <w:rFonts w:ascii="Calibri" w:eastAsia="Calibri" w:hAnsi="Calibri" w:cs="Times New Roman"/>
      <w:sz w:val="20"/>
      <w:szCs w:val="20"/>
    </w:rPr>
  </w:style>
  <w:style w:type="character" w:customStyle="1" w:styleId="FootnoteTextChar">
    <w:name w:val="Footnote Text Char"/>
    <w:aliases w:val=" Car Char,Texto nota pie Car Car Car Char,FOOTNOTES Char,fn Char,single space Char,Footnote Text Char Char Char Char,Footnote Text1 Char Char,Footnote Text2 Char,Footnote Text Char Char Char1 Char Char,ft Char,ADB Char,ADB Car Char"/>
    <w:basedOn w:val="DefaultParagraphFont"/>
    <w:link w:val="FootnoteText"/>
    <w:uiPriority w:val="99"/>
    <w:rsid w:val="003405B6"/>
    <w:rPr>
      <w:rFonts w:ascii="Calibri" w:eastAsia="Calibri" w:hAnsi="Calibri" w:cs="Times New Roman"/>
      <w:sz w:val="20"/>
      <w:szCs w:val="20"/>
    </w:rPr>
  </w:style>
  <w:style w:type="paragraph" w:styleId="ListParagraph">
    <w:name w:val="List Paragraph"/>
    <w:aliases w:val="Superíndice,Fundamentacion,paul2,Footnote,Fase,BULLET Liste,Premier"/>
    <w:basedOn w:val="Normal"/>
    <w:link w:val="ListParagraphChar"/>
    <w:uiPriority w:val="34"/>
    <w:qFormat/>
    <w:rsid w:val="003405B6"/>
    <w:pPr>
      <w:spacing w:after="0" w:line="240" w:lineRule="auto"/>
      <w:ind w:left="720"/>
    </w:pPr>
    <w:rPr>
      <w:rFonts w:ascii="Calibri" w:eastAsia="Calibri" w:hAnsi="Calibri" w:cs="Times New Roman"/>
    </w:rPr>
  </w:style>
  <w:style w:type="character" w:styleId="FootnoteReference">
    <w:name w:val="footnote reference"/>
    <w:aliases w:val="16 Point,4_G,Appel note de bas de page,BVI fnr,Footnote number,Footnotes refss,Marque note bas de page,Rimando nota a piè di pagina,Superscript 6 Point,Texto de nota al pie,Texto nota al pie,f,referencia nota al pie,Times 10 Point,ftr"/>
    <w:link w:val="BVIfnrCarCar1CarCarCar"/>
    <w:uiPriority w:val="99"/>
    <w:unhideWhenUsed/>
    <w:qFormat/>
    <w:rsid w:val="003405B6"/>
    <w:rPr>
      <w:vertAlign w:val="superscript"/>
    </w:rPr>
  </w:style>
  <w:style w:type="character" w:styleId="Hyperlink">
    <w:name w:val="Hyperlink"/>
    <w:basedOn w:val="DefaultParagraphFont"/>
    <w:uiPriority w:val="99"/>
    <w:unhideWhenUsed/>
    <w:rsid w:val="00B750BF"/>
    <w:rPr>
      <w:color w:val="0000FF"/>
      <w:u w:val="single"/>
    </w:rPr>
  </w:style>
  <w:style w:type="character" w:styleId="CommentReference">
    <w:name w:val="annotation reference"/>
    <w:basedOn w:val="DefaultParagraphFont"/>
    <w:uiPriority w:val="99"/>
    <w:semiHidden/>
    <w:unhideWhenUsed/>
    <w:rsid w:val="00D4469E"/>
    <w:rPr>
      <w:sz w:val="16"/>
      <w:szCs w:val="16"/>
    </w:rPr>
  </w:style>
  <w:style w:type="paragraph" w:styleId="CommentText">
    <w:name w:val="annotation text"/>
    <w:basedOn w:val="Normal"/>
    <w:link w:val="CommentTextChar"/>
    <w:uiPriority w:val="99"/>
    <w:semiHidden/>
    <w:unhideWhenUsed/>
    <w:rsid w:val="00D4469E"/>
    <w:pPr>
      <w:spacing w:line="240" w:lineRule="auto"/>
    </w:pPr>
    <w:rPr>
      <w:sz w:val="20"/>
      <w:szCs w:val="20"/>
    </w:rPr>
  </w:style>
  <w:style w:type="character" w:customStyle="1" w:styleId="CommentTextChar">
    <w:name w:val="Comment Text Char"/>
    <w:basedOn w:val="DefaultParagraphFont"/>
    <w:link w:val="CommentText"/>
    <w:uiPriority w:val="99"/>
    <w:semiHidden/>
    <w:rsid w:val="00D4469E"/>
    <w:rPr>
      <w:sz w:val="20"/>
      <w:szCs w:val="20"/>
    </w:rPr>
  </w:style>
  <w:style w:type="paragraph" w:styleId="CommentSubject">
    <w:name w:val="annotation subject"/>
    <w:basedOn w:val="CommentText"/>
    <w:next w:val="CommentText"/>
    <w:link w:val="CommentSubjectChar"/>
    <w:uiPriority w:val="99"/>
    <w:semiHidden/>
    <w:unhideWhenUsed/>
    <w:rsid w:val="00D4469E"/>
    <w:rPr>
      <w:b/>
      <w:bCs/>
    </w:rPr>
  </w:style>
  <w:style w:type="character" w:customStyle="1" w:styleId="CommentSubjectChar">
    <w:name w:val="Comment Subject Char"/>
    <w:basedOn w:val="CommentTextChar"/>
    <w:link w:val="CommentSubject"/>
    <w:uiPriority w:val="99"/>
    <w:semiHidden/>
    <w:rsid w:val="00D4469E"/>
    <w:rPr>
      <w:b/>
      <w:bCs/>
      <w:sz w:val="20"/>
      <w:szCs w:val="20"/>
    </w:rPr>
  </w:style>
  <w:style w:type="paragraph" w:styleId="BalloonText">
    <w:name w:val="Balloon Text"/>
    <w:basedOn w:val="Normal"/>
    <w:link w:val="BalloonTextChar"/>
    <w:uiPriority w:val="99"/>
    <w:semiHidden/>
    <w:unhideWhenUsed/>
    <w:rsid w:val="00D446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69E"/>
    <w:rPr>
      <w:rFonts w:ascii="Segoe UI" w:hAnsi="Segoe UI" w:cs="Segoe UI"/>
      <w:sz w:val="18"/>
      <w:szCs w:val="18"/>
    </w:rPr>
  </w:style>
  <w:style w:type="character" w:styleId="UnresolvedMention">
    <w:name w:val="Unresolved Mention"/>
    <w:basedOn w:val="DefaultParagraphFont"/>
    <w:uiPriority w:val="99"/>
    <w:semiHidden/>
    <w:unhideWhenUsed/>
    <w:rsid w:val="00907092"/>
    <w:rPr>
      <w:color w:val="605E5C"/>
      <w:shd w:val="clear" w:color="auto" w:fill="E1DFDD"/>
    </w:rPr>
  </w:style>
  <w:style w:type="paragraph" w:styleId="EndnoteText">
    <w:name w:val="endnote text"/>
    <w:basedOn w:val="Normal"/>
    <w:link w:val="EndnoteTextChar"/>
    <w:uiPriority w:val="99"/>
    <w:semiHidden/>
    <w:unhideWhenUsed/>
    <w:rsid w:val="000E31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E31FA"/>
    <w:rPr>
      <w:sz w:val="20"/>
      <w:szCs w:val="20"/>
    </w:rPr>
  </w:style>
  <w:style w:type="character" w:styleId="EndnoteReference">
    <w:name w:val="endnote reference"/>
    <w:basedOn w:val="DefaultParagraphFont"/>
    <w:uiPriority w:val="99"/>
    <w:semiHidden/>
    <w:unhideWhenUsed/>
    <w:rsid w:val="000E31FA"/>
    <w:rPr>
      <w:vertAlign w:val="superscript"/>
    </w:rPr>
  </w:style>
  <w:style w:type="character" w:styleId="FollowedHyperlink">
    <w:name w:val="FollowedHyperlink"/>
    <w:basedOn w:val="DefaultParagraphFont"/>
    <w:uiPriority w:val="99"/>
    <w:semiHidden/>
    <w:unhideWhenUsed/>
    <w:rsid w:val="00D05203"/>
    <w:rPr>
      <w:color w:val="954F72" w:themeColor="followedHyperlink"/>
      <w:u w:val="single"/>
    </w:rPr>
  </w:style>
  <w:style w:type="character" w:styleId="Emphasis">
    <w:name w:val="Emphasis"/>
    <w:basedOn w:val="DefaultParagraphFont"/>
    <w:uiPriority w:val="20"/>
    <w:qFormat/>
    <w:rsid w:val="00CE59BF"/>
    <w:rPr>
      <w:i/>
      <w:iCs/>
    </w:rPr>
  </w:style>
  <w:style w:type="paragraph" w:customStyle="1" w:styleId="RecitalsAshurst">
    <w:name w:val="RecitalsAshurst"/>
    <w:basedOn w:val="Normal"/>
    <w:uiPriority w:val="26"/>
    <w:rsid w:val="003611BA"/>
    <w:pPr>
      <w:numPr>
        <w:numId w:val="21"/>
      </w:numPr>
      <w:suppressAutoHyphens/>
      <w:spacing w:after="220" w:line="264" w:lineRule="auto"/>
      <w:jc w:val="both"/>
      <w:outlineLvl w:val="0"/>
    </w:pPr>
    <w:rPr>
      <w:rFonts w:eastAsiaTheme="minorEastAsia" w:cs="Times New Roman"/>
      <w:sz w:val="18"/>
      <w:szCs w:val="20"/>
      <w:lang w:eastAsia="zh-TW"/>
    </w:rPr>
  </w:style>
  <w:style w:type="paragraph" w:styleId="Header">
    <w:name w:val="header"/>
    <w:basedOn w:val="Normal"/>
    <w:link w:val="HeaderChar"/>
    <w:uiPriority w:val="99"/>
    <w:unhideWhenUsed/>
    <w:rsid w:val="006A20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071"/>
  </w:style>
  <w:style w:type="paragraph" w:styleId="Footer">
    <w:name w:val="footer"/>
    <w:basedOn w:val="Normal"/>
    <w:link w:val="FooterChar"/>
    <w:uiPriority w:val="99"/>
    <w:unhideWhenUsed/>
    <w:rsid w:val="006A20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071"/>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link w:val="FootnoteReference"/>
    <w:uiPriority w:val="99"/>
    <w:rsid w:val="00540AF5"/>
    <w:pPr>
      <w:spacing w:line="240" w:lineRule="exact"/>
    </w:pPr>
    <w:rPr>
      <w:vertAlign w:val="superscript"/>
    </w:rPr>
  </w:style>
  <w:style w:type="character" w:customStyle="1" w:styleId="ListParagraphChar">
    <w:name w:val="List Paragraph Char"/>
    <w:aliases w:val="Superíndice Char,Fundamentacion Char,paul2 Char,Footnote Char,Fase Char,BULLET Liste Char,Premier Char"/>
    <w:link w:val="ListParagraph"/>
    <w:uiPriority w:val="34"/>
    <w:rsid w:val="002D0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430624">
      <w:bodyDiv w:val="1"/>
      <w:marLeft w:val="0"/>
      <w:marRight w:val="0"/>
      <w:marTop w:val="0"/>
      <w:marBottom w:val="0"/>
      <w:divBdr>
        <w:top w:val="none" w:sz="0" w:space="0" w:color="auto"/>
        <w:left w:val="none" w:sz="0" w:space="0" w:color="auto"/>
        <w:bottom w:val="none" w:sz="0" w:space="0" w:color="auto"/>
        <w:right w:val="none" w:sz="0" w:space="0" w:color="auto"/>
      </w:divBdr>
    </w:div>
    <w:div w:id="455567329">
      <w:bodyDiv w:val="1"/>
      <w:marLeft w:val="0"/>
      <w:marRight w:val="0"/>
      <w:marTop w:val="0"/>
      <w:marBottom w:val="0"/>
      <w:divBdr>
        <w:top w:val="none" w:sz="0" w:space="0" w:color="auto"/>
        <w:left w:val="none" w:sz="0" w:space="0" w:color="auto"/>
        <w:bottom w:val="none" w:sz="0" w:space="0" w:color="auto"/>
        <w:right w:val="none" w:sz="0" w:space="0" w:color="auto"/>
      </w:divBdr>
    </w:div>
    <w:div w:id="560945068">
      <w:bodyDiv w:val="1"/>
      <w:marLeft w:val="0"/>
      <w:marRight w:val="0"/>
      <w:marTop w:val="0"/>
      <w:marBottom w:val="0"/>
      <w:divBdr>
        <w:top w:val="none" w:sz="0" w:space="0" w:color="auto"/>
        <w:left w:val="none" w:sz="0" w:space="0" w:color="auto"/>
        <w:bottom w:val="none" w:sz="0" w:space="0" w:color="auto"/>
        <w:right w:val="none" w:sz="0" w:space="0" w:color="auto"/>
      </w:divBdr>
    </w:div>
    <w:div w:id="674457357">
      <w:bodyDiv w:val="1"/>
      <w:marLeft w:val="0"/>
      <w:marRight w:val="0"/>
      <w:marTop w:val="0"/>
      <w:marBottom w:val="0"/>
      <w:divBdr>
        <w:top w:val="none" w:sz="0" w:space="0" w:color="auto"/>
        <w:left w:val="none" w:sz="0" w:space="0" w:color="auto"/>
        <w:bottom w:val="none" w:sz="0" w:space="0" w:color="auto"/>
        <w:right w:val="none" w:sz="0" w:space="0" w:color="auto"/>
      </w:divBdr>
    </w:div>
    <w:div w:id="791481880">
      <w:bodyDiv w:val="1"/>
      <w:marLeft w:val="0"/>
      <w:marRight w:val="0"/>
      <w:marTop w:val="0"/>
      <w:marBottom w:val="0"/>
      <w:divBdr>
        <w:top w:val="none" w:sz="0" w:space="0" w:color="auto"/>
        <w:left w:val="none" w:sz="0" w:space="0" w:color="auto"/>
        <w:bottom w:val="none" w:sz="0" w:space="0" w:color="auto"/>
        <w:right w:val="none" w:sz="0" w:space="0" w:color="auto"/>
      </w:divBdr>
    </w:div>
    <w:div w:id="867715974">
      <w:bodyDiv w:val="1"/>
      <w:marLeft w:val="0"/>
      <w:marRight w:val="0"/>
      <w:marTop w:val="0"/>
      <w:marBottom w:val="0"/>
      <w:divBdr>
        <w:top w:val="none" w:sz="0" w:space="0" w:color="auto"/>
        <w:left w:val="none" w:sz="0" w:space="0" w:color="auto"/>
        <w:bottom w:val="none" w:sz="0" w:space="0" w:color="auto"/>
        <w:right w:val="none" w:sz="0" w:space="0" w:color="auto"/>
      </w:divBdr>
    </w:div>
    <w:div w:id="1033338337">
      <w:bodyDiv w:val="1"/>
      <w:marLeft w:val="0"/>
      <w:marRight w:val="0"/>
      <w:marTop w:val="0"/>
      <w:marBottom w:val="0"/>
      <w:divBdr>
        <w:top w:val="none" w:sz="0" w:space="0" w:color="auto"/>
        <w:left w:val="none" w:sz="0" w:space="0" w:color="auto"/>
        <w:bottom w:val="none" w:sz="0" w:space="0" w:color="auto"/>
        <w:right w:val="none" w:sz="0" w:space="0" w:color="auto"/>
      </w:divBdr>
    </w:div>
    <w:div w:id="1062022730">
      <w:bodyDiv w:val="1"/>
      <w:marLeft w:val="0"/>
      <w:marRight w:val="0"/>
      <w:marTop w:val="0"/>
      <w:marBottom w:val="0"/>
      <w:divBdr>
        <w:top w:val="none" w:sz="0" w:space="0" w:color="auto"/>
        <w:left w:val="none" w:sz="0" w:space="0" w:color="auto"/>
        <w:bottom w:val="none" w:sz="0" w:space="0" w:color="auto"/>
        <w:right w:val="none" w:sz="0" w:space="0" w:color="auto"/>
      </w:divBdr>
    </w:div>
    <w:div w:id="1137146264">
      <w:bodyDiv w:val="1"/>
      <w:marLeft w:val="0"/>
      <w:marRight w:val="0"/>
      <w:marTop w:val="0"/>
      <w:marBottom w:val="0"/>
      <w:divBdr>
        <w:top w:val="none" w:sz="0" w:space="0" w:color="auto"/>
        <w:left w:val="none" w:sz="0" w:space="0" w:color="auto"/>
        <w:bottom w:val="none" w:sz="0" w:space="0" w:color="auto"/>
        <w:right w:val="none" w:sz="0" w:space="0" w:color="auto"/>
      </w:divBdr>
    </w:div>
    <w:div w:id="1186401215">
      <w:bodyDiv w:val="1"/>
      <w:marLeft w:val="0"/>
      <w:marRight w:val="0"/>
      <w:marTop w:val="0"/>
      <w:marBottom w:val="0"/>
      <w:divBdr>
        <w:top w:val="none" w:sz="0" w:space="0" w:color="auto"/>
        <w:left w:val="none" w:sz="0" w:space="0" w:color="auto"/>
        <w:bottom w:val="none" w:sz="0" w:space="0" w:color="auto"/>
        <w:right w:val="none" w:sz="0" w:space="0" w:color="auto"/>
      </w:divBdr>
    </w:div>
    <w:div w:id="1214806956">
      <w:bodyDiv w:val="1"/>
      <w:marLeft w:val="0"/>
      <w:marRight w:val="0"/>
      <w:marTop w:val="0"/>
      <w:marBottom w:val="0"/>
      <w:divBdr>
        <w:top w:val="none" w:sz="0" w:space="0" w:color="auto"/>
        <w:left w:val="none" w:sz="0" w:space="0" w:color="auto"/>
        <w:bottom w:val="none" w:sz="0" w:space="0" w:color="auto"/>
        <w:right w:val="none" w:sz="0" w:space="0" w:color="auto"/>
      </w:divBdr>
    </w:div>
    <w:div w:id="1269387101">
      <w:bodyDiv w:val="1"/>
      <w:marLeft w:val="0"/>
      <w:marRight w:val="0"/>
      <w:marTop w:val="0"/>
      <w:marBottom w:val="0"/>
      <w:divBdr>
        <w:top w:val="none" w:sz="0" w:space="0" w:color="auto"/>
        <w:left w:val="none" w:sz="0" w:space="0" w:color="auto"/>
        <w:bottom w:val="none" w:sz="0" w:space="0" w:color="auto"/>
        <w:right w:val="none" w:sz="0" w:space="0" w:color="auto"/>
      </w:divBdr>
    </w:div>
    <w:div w:id="1526748402">
      <w:bodyDiv w:val="1"/>
      <w:marLeft w:val="0"/>
      <w:marRight w:val="0"/>
      <w:marTop w:val="0"/>
      <w:marBottom w:val="0"/>
      <w:divBdr>
        <w:top w:val="none" w:sz="0" w:space="0" w:color="auto"/>
        <w:left w:val="none" w:sz="0" w:space="0" w:color="auto"/>
        <w:bottom w:val="none" w:sz="0" w:space="0" w:color="auto"/>
        <w:right w:val="none" w:sz="0" w:space="0" w:color="auto"/>
      </w:divBdr>
    </w:div>
    <w:div w:id="1559434625">
      <w:bodyDiv w:val="1"/>
      <w:marLeft w:val="0"/>
      <w:marRight w:val="0"/>
      <w:marTop w:val="0"/>
      <w:marBottom w:val="0"/>
      <w:divBdr>
        <w:top w:val="none" w:sz="0" w:space="0" w:color="auto"/>
        <w:left w:val="none" w:sz="0" w:space="0" w:color="auto"/>
        <w:bottom w:val="none" w:sz="0" w:space="0" w:color="auto"/>
        <w:right w:val="none" w:sz="0" w:space="0" w:color="auto"/>
      </w:divBdr>
    </w:div>
    <w:div w:id="1787234418">
      <w:bodyDiv w:val="1"/>
      <w:marLeft w:val="0"/>
      <w:marRight w:val="0"/>
      <w:marTop w:val="0"/>
      <w:marBottom w:val="0"/>
      <w:divBdr>
        <w:top w:val="none" w:sz="0" w:space="0" w:color="auto"/>
        <w:left w:val="none" w:sz="0" w:space="0" w:color="auto"/>
        <w:bottom w:val="none" w:sz="0" w:space="0" w:color="auto"/>
        <w:right w:val="none" w:sz="0" w:space="0" w:color="auto"/>
      </w:divBdr>
    </w:div>
    <w:div w:id="200959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paginasiete.bo/sociedad/2018/5/24/se-presentan-hasta-220-denuncias-por-discriminacion-racismo-al-ano-181054.html" TargetMode="External"/><Relationship Id="rId2" Type="http://schemas.openxmlformats.org/officeDocument/2006/relationships/hyperlink" Target="https://www.equalrightstrust.org/ertdocumentbank/Egypt_EN_online.pdf" TargetMode="External"/><Relationship Id="rId1" Type="http://schemas.openxmlformats.org/officeDocument/2006/relationships/hyperlink" Target="http://www.noracismo.gob.bo/index.php/reporte-denuncias" TargetMode="External"/><Relationship Id="rId6" Type="http://schemas.openxmlformats.org/officeDocument/2006/relationships/hyperlink" Target="https://www.ohchr.org/Documents/Issues/Disability/StudyEducation/NHRIs/Bolivia.pdf" TargetMode="External"/><Relationship Id="rId5" Type="http://schemas.openxmlformats.org/officeDocument/2006/relationships/hyperlink" Target="http://www.cidh.org/pdf%20files/COMUNIDADES%20CAUTIVAS.pdf" TargetMode="External"/><Relationship Id="rId4" Type="http://schemas.openxmlformats.org/officeDocument/2006/relationships/hyperlink" Target="https://social.shorthand.com/fagutierrez7/32cHnpAcYUf/discriminacion-la-ley-influyo-en-los-dichos-pero-no-en-los-hech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EDEF0F-6619-451D-B9B8-CC5D89B1B8FF}">
  <ds:schemaRefs>
    <ds:schemaRef ds:uri="http://schemas.openxmlformats.org/officeDocument/2006/bibliography"/>
  </ds:schemaRefs>
</ds:datastoreItem>
</file>

<file path=customXml/itemProps2.xml><?xml version="1.0" encoding="utf-8"?>
<ds:datastoreItem xmlns:ds="http://schemas.openxmlformats.org/officeDocument/2006/customXml" ds:itemID="{F60B063E-15EE-4A57-9890-66DF14EF8A85}"/>
</file>

<file path=customXml/itemProps3.xml><?xml version="1.0" encoding="utf-8"?>
<ds:datastoreItem xmlns:ds="http://schemas.openxmlformats.org/officeDocument/2006/customXml" ds:itemID="{814302FD-5A31-4C5A-956B-5CA58B43A52E}"/>
</file>

<file path=customXml/itemProps4.xml><?xml version="1.0" encoding="utf-8"?>
<ds:datastoreItem xmlns:ds="http://schemas.openxmlformats.org/officeDocument/2006/customXml" ds:itemID="{AD05E9CE-4DEB-43CB-9F1A-60EAE673BF20}"/>
</file>

<file path=docProps/app.xml><?xml version="1.0" encoding="utf-8"?>
<Properties xmlns="http://schemas.openxmlformats.org/officeDocument/2006/extended-properties" xmlns:vt="http://schemas.openxmlformats.org/officeDocument/2006/docPropsVTypes">
  <Template>Normal</Template>
  <TotalTime>320</TotalTime>
  <Pages>9</Pages>
  <Words>3693</Words>
  <Characters>21055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Savita Narain</dc:creator>
  <cp:keywords/>
  <dc:description/>
  <cp:lastModifiedBy>Jim Fitzgerald</cp:lastModifiedBy>
  <cp:revision>6</cp:revision>
  <dcterms:created xsi:type="dcterms:W3CDTF">2019-09-02T18:04:00Z</dcterms:created>
  <dcterms:modified xsi:type="dcterms:W3CDTF">2019-09-03T15:22:00Z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