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spacing w:after="240" w:before="240" w:lineRule="auto"/>
        <w:jc w:val="both"/>
        <w:rPr>
          <w:b w:val="1"/>
          <w:sz w:val="24"/>
          <w:szCs w:val="24"/>
        </w:rPr>
      </w:pPr>
      <w:r w:rsidDel="00000000" w:rsidR="00000000" w:rsidRPr="00000000">
        <w:rPr>
          <w:b w:val="1"/>
          <w:sz w:val="24"/>
          <w:szCs w:val="24"/>
          <w:rtl w:val="0"/>
        </w:rPr>
        <w:t xml:space="preserve">SHADOW REPORT TO THE IX PERIODIC REPORT OF THE SPANISH STATE -  85TH SESSION OF THE COMMITTEE FOR THE ELIMINATION OF DISCRIMINATION AGAINST WOMEN</w:t>
      </w:r>
    </w:p>
    <w:p w:rsidR="00000000" w:rsidDel="00000000" w:rsidP="00000000" w:rsidRDefault="00000000" w:rsidRPr="00000000" w14:paraId="00000003">
      <w:pPr>
        <w:spacing w:after="0" w:before="240" w:line="276" w:lineRule="auto"/>
        <w:jc w:val="both"/>
        <w:rPr>
          <w:sz w:val="24"/>
          <w:szCs w:val="24"/>
        </w:rPr>
      </w:pPr>
      <w:r w:rsidDel="00000000" w:rsidR="00000000" w:rsidRPr="00000000">
        <w:rPr>
          <w:sz w:val="24"/>
          <w:szCs w:val="24"/>
          <w:rtl w:val="0"/>
        </w:rPr>
        <w:t xml:space="preserve">The CEDAW Catalunya Platform has the honor of presenting its shadow report on the application of the Convention on the Elimination of All Forms of Discrimination Against Women (CEDAW) in Spain. The CEDAW Catalunya Platform is a network of more than a dozen civil society organizations in Catalonia that work to guarantee the rights of women. On this occasion, the CEDAW Catalunya Platform wants to dedicate its shadow report to one of the most serious violations of rights suffered by women within the framework of the policies of the Spanish government.</w:t>
      </w:r>
    </w:p>
    <w:p w:rsidR="00000000" w:rsidDel="00000000" w:rsidP="00000000" w:rsidRDefault="00000000" w:rsidRPr="00000000" w14:paraId="00000004">
      <w:pPr>
        <w:jc w:val="both"/>
        <w:rPr>
          <w:sz w:val="24"/>
          <w:szCs w:val="24"/>
          <w:u w:val="single"/>
        </w:rPr>
      </w:pPr>
      <w:r w:rsidDel="00000000" w:rsidR="00000000" w:rsidRPr="00000000">
        <w:rPr>
          <w:rtl w:val="0"/>
        </w:rPr>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ind w:left="720" w:hanging="360"/>
        <w:jc w:val="both"/>
        <w:rPr>
          <w:b w:val="1"/>
          <w:sz w:val="24"/>
          <w:szCs w:val="24"/>
        </w:rPr>
      </w:pPr>
      <w:r w:rsidDel="00000000" w:rsidR="00000000" w:rsidRPr="00000000">
        <w:rPr>
          <w:b w:val="1"/>
          <w:sz w:val="24"/>
          <w:szCs w:val="24"/>
          <w:rtl w:val="0"/>
        </w:rPr>
        <w:t xml:space="preserve">Introduction: The criminalization of prostitution and irregular migration leads to the violation of the human rights of sex workers</w:t>
      </w:r>
    </w:p>
    <w:p w:rsidR="00000000" w:rsidDel="00000000" w:rsidP="00000000" w:rsidRDefault="00000000" w:rsidRPr="00000000" w14:paraId="00000006">
      <w:pPr>
        <w:jc w:val="both"/>
        <w:rPr>
          <w:sz w:val="24"/>
          <w:szCs w:val="24"/>
        </w:rPr>
      </w:pPr>
      <w:r w:rsidDel="00000000" w:rsidR="00000000" w:rsidRPr="00000000">
        <w:rPr>
          <w:sz w:val="24"/>
          <w:szCs w:val="24"/>
          <w:rtl w:val="0"/>
        </w:rPr>
        <w:t xml:space="preserve">Various studies carried out in Europe have consistently shown that laws that criminalize the contracting of sexual acts, known as the Nordic model, worsen sexual violence and harassment against sex workers. Furthermore, they have not been shown to have a positive effect on reducing human trafficking or the demand for sex.</w:t>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For example, in Northern Ireland, a study commissioned by the Department of Justice has found that legislation criminalizing the procurement of sexual acts has not led to a decrease in demand for sexual services and has had a limited deterrent effect on the behavior of the clients.</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In France, the implementation of the Nordic model has meant that people who do sex work on the street have to do it in dangerous places,</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which has caused a drastic increase in the number of homicides.</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Statistics from UglyMugs.ie, an </w:t>
      </w:r>
      <w:r w:rsidDel="00000000" w:rsidR="00000000" w:rsidRPr="00000000">
        <w:rPr>
          <w:rtl w:val="0"/>
        </w:rPr>
        <w:t xml:space="preserve">I</w:t>
      </w:r>
      <w:r w:rsidDel="00000000" w:rsidR="00000000" w:rsidRPr="00000000">
        <w:rPr>
          <w:sz w:val="24"/>
          <w:szCs w:val="24"/>
          <w:rtl w:val="0"/>
        </w:rPr>
        <w:t xml:space="preserve">reland-based sex worker organization, show a 92% increase in reported violent crime against sex workers in the country in the first two years after the adoption of the Nordic model in 2017.</w:t>
      </w:r>
      <w:r w:rsidDel="00000000" w:rsidR="00000000" w:rsidRPr="00000000">
        <w:rPr>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Human rights organizations such as Amnesty International and Human Rights Watch (HRW) have justified with various studies that the criminalization of sex work leads to greater risks for the human rights of the people who exercise it. HRW has conducted research for more than a decade on the impacts of criminalizing sex workers in different countries, as Cambodia,</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China,</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Tanzania,</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the United States</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and South Africa,</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showing that criminalization undermines the health and dignity of sex workers and exposes them to violence and abuse.</w:t>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Despite all this, the current government of Spain pursues the criminalization of sex work in various ways, exposing the human rights of sex workers to serious risks. Similarly, policies to persecute irregular migration disproportionately affect sex workers who are undocumented immigrants. The violation of rights suffered by sex workers occurs at the </w:t>
      </w:r>
      <w:r w:rsidDel="00000000" w:rsidR="00000000" w:rsidRPr="00000000">
        <w:rPr>
          <w:b w:val="1"/>
          <w:sz w:val="24"/>
          <w:szCs w:val="24"/>
          <w:rtl w:val="0"/>
        </w:rPr>
        <w:t xml:space="preserve">intersection of multiple axes of discrimination,</w:t>
      </w:r>
      <w:r w:rsidDel="00000000" w:rsidR="00000000" w:rsidRPr="00000000">
        <w:rPr>
          <w:sz w:val="24"/>
          <w:szCs w:val="24"/>
          <w:rtl w:val="0"/>
        </w:rPr>
        <w:t xml:space="preserve"> since sex work is mainly carried out by women who are on the margins, mostly immigrant women, who are not only criminalized for the work they do but also because of their migratory status, especially those who are in an irregular administrative situation.</w:t>
      </w:r>
    </w:p>
    <w:p w:rsidR="00000000" w:rsidDel="00000000" w:rsidP="00000000" w:rsidRDefault="00000000" w:rsidRPr="00000000" w14:paraId="0000000A">
      <w:pPr>
        <w:jc w:val="both"/>
        <w:rPr>
          <w:b w:val="1"/>
          <w:sz w:val="24"/>
          <w:szCs w:val="24"/>
        </w:rPr>
      </w:pPr>
      <w:r w:rsidDel="00000000" w:rsidR="00000000" w:rsidRPr="00000000">
        <w:rPr>
          <w:rtl w:val="0"/>
        </w:rPr>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ind w:left="720" w:hanging="360"/>
        <w:jc w:val="both"/>
        <w:rPr>
          <w:b w:val="1"/>
          <w:sz w:val="24"/>
          <w:szCs w:val="24"/>
        </w:rPr>
      </w:pPr>
      <w:r w:rsidDel="00000000" w:rsidR="00000000" w:rsidRPr="00000000">
        <w:rPr>
          <w:b w:val="1"/>
          <w:sz w:val="24"/>
          <w:szCs w:val="24"/>
          <w:rtl w:val="0"/>
        </w:rPr>
        <w:t xml:space="preserve">Reasons for concern</w:t>
      </w:r>
    </w:p>
    <w:p w:rsidR="00000000" w:rsidDel="00000000" w:rsidP="00000000" w:rsidRDefault="00000000" w:rsidRPr="00000000" w14:paraId="0000000C">
      <w:pPr>
        <w:pBdr>
          <w:top w:space="0" w:sz="0" w:val="nil"/>
          <w:left w:space="0" w:sz="0" w:val="nil"/>
          <w:bottom w:space="0" w:sz="0" w:val="nil"/>
          <w:right w:space="0" w:sz="0" w:val="nil"/>
          <w:between w:space="0" w:sz="0" w:val="nil"/>
        </w:pBdr>
        <w:jc w:val="both"/>
        <w:rPr>
          <w:b w:val="1"/>
          <w:sz w:val="24"/>
          <w:szCs w:val="24"/>
        </w:rPr>
      </w:pPr>
      <w:r w:rsidDel="00000000" w:rsidR="00000000" w:rsidRPr="00000000">
        <w:rPr>
          <w:b w:val="1"/>
          <w:sz w:val="24"/>
          <w:szCs w:val="24"/>
          <w:rtl w:val="0"/>
        </w:rPr>
        <w:t xml:space="preserve">2.1 Dangerous and relentless legislative initiatives that threaten the rights and deny the voices of sex workers.</w:t>
      </w:r>
    </w:p>
    <w:p w:rsidR="00000000" w:rsidDel="00000000" w:rsidP="00000000" w:rsidRDefault="00000000" w:rsidRPr="00000000" w14:paraId="0000000D">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For example, the Ministry of Equality tried to incorporate a provision to criminalize prostitution through different means, such as the “terceria locativa” (“locative third party”), in the </w:t>
      </w:r>
      <w:r w:rsidDel="00000000" w:rsidR="00000000" w:rsidRPr="00000000">
        <w:rPr>
          <w:i w:val="1"/>
          <w:sz w:val="24"/>
          <w:szCs w:val="24"/>
          <w:rtl w:val="0"/>
        </w:rPr>
        <w:t xml:space="preserve">Draft Organic Law on Comprehensive Guarantee on Sexual Freedom. </w:t>
      </w:r>
      <w:r w:rsidDel="00000000" w:rsidR="00000000" w:rsidRPr="00000000">
        <w:rPr>
          <w:sz w:val="24"/>
          <w:szCs w:val="24"/>
          <w:rtl w:val="0"/>
        </w:rPr>
        <w:t xml:space="preserve">It is a criminal figure that criminalizes </w:t>
      </w:r>
      <w:r w:rsidDel="00000000" w:rsidR="00000000" w:rsidRPr="00000000">
        <w:rPr>
          <w:sz w:val="24"/>
          <w:szCs w:val="24"/>
          <w:u w:val="single"/>
          <w:rtl w:val="0"/>
        </w:rPr>
        <w:t xml:space="preserve">those who rent any space to facilitate the prostitution of another person, even with their consent</w:t>
      </w:r>
      <w:r w:rsidDel="00000000" w:rsidR="00000000" w:rsidRPr="00000000">
        <w:rPr>
          <w:sz w:val="24"/>
          <w:szCs w:val="24"/>
          <w:rtl w:val="0"/>
        </w:rPr>
        <w:t xml:space="preserve">. This provision was introduced into the bill after the public consultation period, and sex worker organizations were neither informed nor invited to the process of drafting these provisions that directly affect them. Thanks to the work of activists and sex workers, the “terceria locativa” was rejected by Congress, since it threatened the right to housing of sex workers and put at risk those who live and work together as a security measure.</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However, immediately after these provisions were rejected in Congress, the Spanish Socialist Workers Party (PSOE), the party that heads the country's government, presented a </w:t>
      </w:r>
      <w:r w:rsidDel="00000000" w:rsidR="00000000" w:rsidRPr="00000000">
        <w:rPr>
          <w:b w:val="1"/>
          <w:sz w:val="24"/>
          <w:szCs w:val="24"/>
          <w:rtl w:val="0"/>
        </w:rPr>
        <w:t xml:space="preserve">Bill "to prohibit pimping in all its forms", currently in</w:t>
      </w:r>
      <w:r w:rsidDel="00000000" w:rsidR="00000000" w:rsidRPr="00000000">
        <w:rPr>
          <w:sz w:val="24"/>
          <w:szCs w:val="24"/>
          <w:rtl w:val="0"/>
        </w:rPr>
        <w:t xml:space="preserve"> </w:t>
      </w:r>
      <w:r w:rsidDel="00000000" w:rsidR="00000000" w:rsidRPr="00000000">
        <w:rPr>
          <w:b w:val="1"/>
          <w:sz w:val="24"/>
          <w:szCs w:val="24"/>
          <w:rtl w:val="0"/>
        </w:rPr>
        <w:t xml:space="preserve">parliamentary</w:t>
      </w:r>
      <w:r w:rsidDel="00000000" w:rsidR="00000000" w:rsidRPr="00000000">
        <w:rPr>
          <w:b w:val="1"/>
          <w:i w:val="1"/>
          <w:sz w:val="24"/>
          <w:szCs w:val="24"/>
          <w:rtl w:val="0"/>
        </w:rPr>
        <w:t xml:space="preserve"> </w:t>
      </w:r>
      <w:r w:rsidDel="00000000" w:rsidR="00000000" w:rsidRPr="00000000">
        <w:rPr>
          <w:b w:val="1"/>
          <w:sz w:val="24"/>
          <w:szCs w:val="24"/>
          <w:rtl w:val="0"/>
        </w:rPr>
        <w:t xml:space="preserve">process. </w:t>
      </w:r>
      <w:r w:rsidDel="00000000" w:rsidR="00000000" w:rsidRPr="00000000">
        <w:rPr>
          <w:sz w:val="24"/>
          <w:szCs w:val="24"/>
          <w:rtl w:val="0"/>
        </w:rPr>
        <w:t xml:space="preserve">The Bill seeks to expand the crime of pimping, leading to the criminalization of sex work, which will lead to the aforementioned harmful effects. Likewise, the Bill insists on the criminalization of the so-called “terceria locativa”, directly threatening the right to housing of people who perform sex work. </w:t>
      </w:r>
      <w:r w:rsidDel="00000000" w:rsidR="00000000" w:rsidRPr="00000000">
        <w:rPr>
          <w:b w:val="1"/>
          <w:sz w:val="24"/>
          <w:szCs w:val="24"/>
          <w:rtl w:val="0"/>
        </w:rPr>
        <w:t xml:space="preserve">Sex workers are one of the groups most at risk of housing exclusion </w:t>
      </w:r>
      <w:r w:rsidDel="00000000" w:rsidR="00000000" w:rsidRPr="00000000">
        <w:rPr>
          <w:sz w:val="24"/>
          <w:szCs w:val="24"/>
          <w:rtl w:val="0"/>
        </w:rPr>
        <w:t xml:space="preserve">and are among the groups most likely to be forcibly evicted.</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This, once again, affects all sex workers, but more severely those who, for example, are immigrants, since they need to register at home to be able to exercise their most basic rights, such as access to public health.</w:t>
      </w:r>
    </w:p>
    <w:p w:rsidR="00000000" w:rsidDel="00000000" w:rsidP="00000000" w:rsidRDefault="00000000" w:rsidRPr="00000000" w14:paraId="0000000F">
      <w:pPr>
        <w:jc w:val="both"/>
        <w:rPr>
          <w:sz w:val="24"/>
          <w:szCs w:val="24"/>
        </w:rPr>
      </w:pPr>
      <w:r w:rsidDel="00000000" w:rsidR="00000000" w:rsidRPr="00000000">
        <w:rPr>
          <w:sz w:val="24"/>
          <w:szCs w:val="24"/>
          <w:rtl w:val="0"/>
        </w:rPr>
        <w:t xml:space="preserve">Likewise, any person who profits from sex work will be criminalized, including, for example, the families or dependents of sex workers.</w:t>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The criminalization of sex work will also put the work of human rights activists and defenders at risk (see section 2.4 of this document), making it dangerous for them to meet in person, organize online, contact victims of trafficking and carry out health dissemination actions in establishments where commercial sex is carried out.</w:t>
      </w:r>
    </w:p>
    <w:p w:rsidR="00000000" w:rsidDel="00000000" w:rsidP="00000000" w:rsidRDefault="00000000" w:rsidRPr="00000000" w14:paraId="00000011">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Moreover, the </w:t>
      </w:r>
      <w:r w:rsidDel="00000000" w:rsidR="00000000" w:rsidRPr="00000000">
        <w:rPr>
          <w:b w:val="1"/>
          <w:sz w:val="24"/>
          <w:szCs w:val="24"/>
          <w:rtl w:val="0"/>
        </w:rPr>
        <w:t xml:space="preserve">"</w:t>
      </w:r>
      <w:r w:rsidDel="00000000" w:rsidR="00000000" w:rsidRPr="00000000">
        <w:rPr>
          <w:b w:val="1"/>
          <w:i w:val="1"/>
          <w:sz w:val="24"/>
          <w:szCs w:val="24"/>
          <w:rtl w:val="0"/>
        </w:rPr>
        <w:t xml:space="preserve">Preliminary Draft of the Comprehensive Organic Law against Trafficking and Exploitation of Human Beings </w:t>
      </w:r>
      <w:r w:rsidDel="00000000" w:rsidR="00000000" w:rsidRPr="00000000">
        <w:rPr>
          <w:b w:val="1"/>
          <w:sz w:val="24"/>
          <w:szCs w:val="24"/>
          <w:rtl w:val="0"/>
        </w:rPr>
        <w:t xml:space="preserve">" is currently</w:t>
      </w:r>
      <w:r w:rsidDel="00000000" w:rsidR="00000000" w:rsidRPr="00000000">
        <w:rPr>
          <w:sz w:val="24"/>
          <w:szCs w:val="24"/>
          <w:rtl w:val="0"/>
        </w:rPr>
        <w:t xml:space="preserve"> </w:t>
      </w:r>
      <w:r w:rsidDel="00000000" w:rsidR="00000000" w:rsidRPr="00000000">
        <w:rPr>
          <w:b w:val="1"/>
          <w:sz w:val="24"/>
          <w:szCs w:val="24"/>
          <w:rtl w:val="0"/>
        </w:rPr>
        <w:t xml:space="preserve">being processed as a matter of urgency.</w:t>
      </w:r>
      <w:r w:rsidDel="00000000" w:rsidR="00000000" w:rsidRPr="00000000">
        <w:rPr>
          <w:sz w:val="24"/>
          <w:szCs w:val="24"/>
          <w:vertAlign w:val="superscript"/>
        </w:rPr>
        <w:footnoteReference w:customMarkFollows="0" w:id="10"/>
      </w:r>
      <w:r w:rsidDel="00000000" w:rsidR="00000000" w:rsidRPr="00000000">
        <w:rPr>
          <w:b w:val="1"/>
          <w:sz w:val="24"/>
          <w:szCs w:val="24"/>
          <w:rtl w:val="0"/>
        </w:rPr>
        <w:t xml:space="preserve"> </w:t>
      </w:r>
      <w:r w:rsidDel="00000000" w:rsidR="00000000" w:rsidRPr="00000000">
        <w:rPr>
          <w:sz w:val="24"/>
          <w:szCs w:val="24"/>
          <w:rtl w:val="0"/>
        </w:rPr>
        <w:t xml:space="preserve">In this case, the public hearing and information period made the effective participation of civil society organizations practically impossible. It was established in a month in which most of the entities are preparing their grant reports, annual balances, etc., and on dates with various holidays that made effective participation even more difficult.</w:t>
      </w:r>
    </w:p>
    <w:p w:rsidR="00000000" w:rsidDel="00000000" w:rsidP="00000000" w:rsidRDefault="00000000" w:rsidRPr="00000000" w14:paraId="00000012">
      <w:pPr>
        <w:pBdr>
          <w:top w:space="0" w:sz="0" w:val="nil"/>
          <w:left w:space="0" w:sz="0" w:val="nil"/>
          <w:bottom w:space="0" w:sz="0" w:val="nil"/>
          <w:right w:space="0" w:sz="0" w:val="nil"/>
          <w:between w:space="0" w:sz="0" w:val="nil"/>
        </w:pBdr>
        <w:jc w:val="both"/>
        <w:rPr/>
      </w:pPr>
      <w:r w:rsidDel="00000000" w:rsidR="00000000" w:rsidRPr="00000000">
        <w:rPr>
          <w:sz w:val="24"/>
          <w:szCs w:val="24"/>
          <w:rtl w:val="0"/>
        </w:rPr>
        <w:t xml:space="preserve">The draft contains multiple defective and imprecise aspects, the seriousness of which may end up negatively impacting both the effective response to human trafficking, and increasing the risk that the victims of trafficking themselves end up being criminalized and persecuted by the laws that seek to protect them. The bill expands the possibilities of criminalizing already vulnerable groups through the interchangeable use of the concepts of trafficking and exploitation, contradicting the international standards on which it is intended to be based, and increases the stigmatization of sex workers.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For example, the definition of exploitation includes “the provision of sexual or reproductive services” as well as the removal of organs or parts or body tissues and the celebration of forced marriages. In the case of sexual or reproductive services, it is not distinguished whether this activity is carried out in forced or exploitative terms in the specific case.</w:t>
      </w:r>
    </w:p>
    <w:p w:rsidR="00000000" w:rsidDel="00000000" w:rsidP="00000000" w:rsidRDefault="00000000" w:rsidRPr="00000000" w14:paraId="00000014">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While it is important that there are adequate responses to trafficking for sexual exploitation, it is imperative to recognize that not all sex work involves trafficking. In fact, for example, as indicated by a report prepared in 2022 by the LSE Center for Women, Peace and Security based on interviews conducted with 129 sex workers in Sweden, Norway and Denmark over a period of three years, it indicated that only 6 % of the interviewees considered themselves subjected to human trafficking.</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Likewise, the draft law on trafficking seeks to reintroduce the aforementioned crime of “terceria locativa”, seriously endangering the right of access to housing for people in prostitution contexts.</w:t>
      </w:r>
    </w:p>
    <w:p w:rsidR="00000000" w:rsidDel="00000000" w:rsidP="00000000" w:rsidRDefault="00000000" w:rsidRPr="00000000" w14:paraId="00000016">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jc w:val="both"/>
        <w:rPr>
          <w:b w:val="1"/>
          <w:sz w:val="24"/>
          <w:szCs w:val="24"/>
        </w:rPr>
      </w:pPr>
      <w:r w:rsidDel="00000000" w:rsidR="00000000" w:rsidRPr="00000000">
        <w:rPr>
          <w:b w:val="1"/>
          <w:sz w:val="24"/>
          <w:szCs w:val="24"/>
          <w:rtl w:val="0"/>
        </w:rPr>
        <w:t xml:space="preserve">2.2 Current legislation criminalizing sex workers.</w:t>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The current </w:t>
      </w:r>
      <w:r w:rsidDel="00000000" w:rsidR="00000000" w:rsidRPr="00000000">
        <w:rPr>
          <w:b w:val="1"/>
          <w:i w:val="1"/>
          <w:sz w:val="24"/>
          <w:szCs w:val="24"/>
          <w:rtl w:val="0"/>
        </w:rPr>
        <w:t xml:space="preserve">Citizen Security Law </w:t>
      </w:r>
      <w:r w:rsidDel="00000000" w:rsidR="00000000" w:rsidRPr="00000000">
        <w:rPr>
          <w:sz w:val="24"/>
          <w:szCs w:val="24"/>
          <w:rtl w:val="0"/>
        </w:rPr>
        <w:t xml:space="preserve">has been called the “Gag Law” due to the multiple human rights violations it contemplates, including the criminalization of sex workers. The repeal of this law was a commitment of the current government, which has not been fulfilled. This law criminalizes and establishes fines against sex work, which often leads to the criminalization of sex workers. Indeed, the Gag Law allows </w:t>
      </w:r>
      <w:hyperlink r:id="rId8">
        <w:r w:rsidDel="00000000" w:rsidR="00000000" w:rsidRPr="00000000">
          <w:rPr>
            <w:sz w:val="24"/>
            <w:szCs w:val="24"/>
            <w:rtl w:val="0"/>
          </w:rPr>
          <w:t xml:space="preserve">the Police to denounce an average prostitute every day </w:t>
        </w:r>
      </w:hyperlink>
      <w:r w:rsidDel="00000000" w:rsidR="00000000" w:rsidRPr="00000000">
        <w:rPr>
          <w:sz w:val="24"/>
          <w:szCs w:val="24"/>
          <w:rtl w:val="0"/>
        </w:rPr>
        <w:t xml:space="preserve">for "performing acts of obscene exhibition" or for "disobedience to authority" with fines ranging from 100 to 30,000 euros.</w:t>
      </w:r>
      <w:r w:rsidDel="00000000" w:rsidR="00000000" w:rsidRPr="00000000">
        <w:rPr>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19">
      <w:pPr>
        <w:jc w:val="both"/>
        <w:rPr>
          <w:sz w:val="24"/>
          <w:szCs w:val="24"/>
          <w:highlight w:val="yellow"/>
        </w:rPr>
      </w:pPr>
      <w:r w:rsidDel="00000000" w:rsidR="00000000" w:rsidRPr="00000000">
        <w:rPr>
          <w:sz w:val="24"/>
          <w:szCs w:val="24"/>
          <w:rtl w:val="0"/>
        </w:rPr>
        <w:t xml:space="preserve">Added to this are the </w:t>
      </w:r>
      <w:r w:rsidDel="00000000" w:rsidR="00000000" w:rsidRPr="00000000">
        <w:rPr>
          <w:b w:val="1"/>
          <w:i w:val="1"/>
          <w:sz w:val="24"/>
          <w:szCs w:val="24"/>
          <w:rtl w:val="0"/>
        </w:rPr>
        <w:t xml:space="preserve">municipal ordinances </w:t>
      </w:r>
      <w:r w:rsidDel="00000000" w:rsidR="00000000" w:rsidRPr="00000000">
        <w:rPr>
          <w:sz w:val="24"/>
          <w:szCs w:val="24"/>
          <w:rtl w:val="0"/>
        </w:rPr>
        <w:t xml:space="preserve">that in recent years have been approved by various municipalities throughout Spain to eliminate street prostitution. Some of these persecute and fine clients and sex workers and others only the former. In the cases where they have been studied, most of the people fined are sex workers.</w:t>
      </w:r>
      <w:r w:rsidDel="00000000" w:rsidR="00000000" w:rsidRPr="00000000">
        <w:rPr>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Also, currently sex workers are </w:t>
      </w:r>
      <w:r w:rsidDel="00000000" w:rsidR="00000000" w:rsidRPr="00000000">
        <w:rPr>
          <w:b w:val="1"/>
          <w:sz w:val="24"/>
          <w:szCs w:val="24"/>
          <w:rtl w:val="0"/>
        </w:rPr>
        <w:t xml:space="preserve">disproportionately criminalized for crimes related to prostitution</w:t>
      </w:r>
      <w:r w:rsidDel="00000000" w:rsidR="00000000" w:rsidRPr="00000000">
        <w:rPr>
          <w:sz w:val="24"/>
          <w:szCs w:val="24"/>
          <w:rtl w:val="0"/>
        </w:rPr>
        <w:t xml:space="preserve">. The Reports on crimes against sexual freedom in Spain (IDLSE) published by the Ministry of the Interior show a </w:t>
      </w:r>
      <w:r w:rsidDel="00000000" w:rsidR="00000000" w:rsidRPr="00000000">
        <w:rPr>
          <w:b w:val="1"/>
          <w:sz w:val="24"/>
          <w:szCs w:val="24"/>
          <w:rtl w:val="0"/>
        </w:rPr>
        <w:t xml:space="preserve">disproportionately high percentage of women investigated for crimes related to prostitution</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In recent years, the percentage of women investigated for these crimes was 44% in 2018,</w:t>
      </w:r>
      <w:r w:rsidDel="00000000" w:rsidR="00000000" w:rsidRPr="00000000">
        <w:rPr>
          <w:sz w:val="24"/>
          <w:szCs w:val="24"/>
          <w:vertAlign w:val="superscript"/>
        </w:rPr>
        <w:footnoteReference w:customMarkFollows="0" w:id="14"/>
      </w:r>
      <w:r w:rsidDel="00000000" w:rsidR="00000000" w:rsidRPr="00000000">
        <w:rPr>
          <w:sz w:val="24"/>
          <w:szCs w:val="24"/>
          <w:rtl w:val="0"/>
        </w:rPr>
        <w:t xml:space="preserve"> 37% in 2019</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and 2020,</w:t>
      </w:r>
      <w:r w:rsidDel="00000000" w:rsidR="00000000" w:rsidRPr="00000000">
        <w:rPr>
          <w:sz w:val="24"/>
          <w:szCs w:val="24"/>
          <w:vertAlign w:val="superscript"/>
        </w:rPr>
        <w:footnoteReference w:customMarkFollows="0" w:id="16"/>
      </w:r>
      <w:r w:rsidDel="00000000" w:rsidR="00000000" w:rsidRPr="00000000">
        <w:rPr>
          <w:sz w:val="24"/>
          <w:szCs w:val="24"/>
          <w:rtl w:val="0"/>
        </w:rPr>
        <w:t xml:space="preserve"> and 41% in 2021,</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while women investigated for the rest of crimes against freedom sexually only represent between 1 and 5%.</w:t>
      </w:r>
    </w:p>
    <w:p w:rsidR="00000000" w:rsidDel="00000000" w:rsidP="00000000" w:rsidRDefault="00000000" w:rsidRPr="00000000" w14:paraId="0000001B">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This is similar to what happens in relation to </w:t>
      </w:r>
      <w:r w:rsidDel="00000000" w:rsidR="00000000" w:rsidRPr="00000000">
        <w:rPr>
          <w:b w:val="1"/>
          <w:sz w:val="24"/>
          <w:szCs w:val="24"/>
          <w:rtl w:val="0"/>
        </w:rPr>
        <w:t xml:space="preserve">human trafficking at the global level</w:t>
      </w:r>
      <w:r w:rsidDel="00000000" w:rsidR="00000000" w:rsidRPr="00000000">
        <w:rPr>
          <w:sz w:val="24"/>
          <w:szCs w:val="24"/>
          <w:rtl w:val="0"/>
        </w:rPr>
        <w:t xml:space="preserve">, with UNODC studies indicating that the percentage of women traffickers who are also victims of this crime is also constantly high, especially compared to female offenders in other crimes.</w:t>
      </w:r>
      <w:r w:rsidDel="00000000" w:rsidR="00000000" w:rsidRPr="00000000">
        <w:rPr>
          <w:sz w:val="24"/>
          <w:szCs w:val="24"/>
          <w:vertAlign w:val="superscript"/>
        </w:rPr>
        <w:footnoteReference w:customMarkFollows="0" w:id="18"/>
      </w:r>
      <w:r w:rsidDel="00000000" w:rsidR="00000000" w:rsidRPr="00000000">
        <w:rPr>
          <w:sz w:val="24"/>
          <w:szCs w:val="24"/>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jc w:val="both"/>
        <w:rPr>
          <w:b w:val="1"/>
          <w:sz w:val="24"/>
          <w:szCs w:val="24"/>
        </w:rPr>
      </w:pPr>
      <w:r w:rsidDel="00000000" w:rsidR="00000000" w:rsidRPr="00000000">
        <w:rPr>
          <w:sz w:val="24"/>
          <w:szCs w:val="24"/>
          <w:rtl w:val="0"/>
        </w:rPr>
        <w:br w:type="textWrapping"/>
      </w:r>
      <w:r w:rsidDel="00000000" w:rsidR="00000000" w:rsidRPr="00000000">
        <w:rPr>
          <w:b w:val="1"/>
          <w:sz w:val="24"/>
          <w:szCs w:val="24"/>
          <w:rtl w:val="0"/>
        </w:rPr>
        <w:t xml:space="preserve">2.3 Legislation on immigration that discriminates against and violates the rights of sex workers.</w:t>
      </w:r>
    </w:p>
    <w:p w:rsidR="00000000" w:rsidDel="00000000" w:rsidP="00000000" w:rsidRDefault="00000000" w:rsidRPr="00000000" w14:paraId="0000001D">
      <w:pPr>
        <w:spacing w:after="240" w:before="240" w:lineRule="auto"/>
        <w:jc w:val="both"/>
        <w:rPr>
          <w:sz w:val="24"/>
          <w:szCs w:val="24"/>
        </w:rPr>
      </w:pPr>
      <w:r w:rsidDel="00000000" w:rsidR="00000000" w:rsidRPr="00000000">
        <w:rPr>
          <w:sz w:val="24"/>
          <w:szCs w:val="24"/>
          <w:rtl w:val="0"/>
        </w:rPr>
        <w:t xml:space="preserve">The current </w:t>
      </w:r>
      <w:r w:rsidDel="00000000" w:rsidR="00000000" w:rsidRPr="00000000">
        <w:rPr>
          <w:b w:val="1"/>
          <w:i w:val="1"/>
          <w:sz w:val="24"/>
          <w:szCs w:val="24"/>
          <w:rtl w:val="0"/>
        </w:rPr>
        <w:t xml:space="preserve">Organic Law 4/2000, of January 11, on the rights and freedoms of foreigners in Spain and their social integration, </w:t>
      </w:r>
      <w:r w:rsidDel="00000000" w:rsidR="00000000" w:rsidRPr="00000000">
        <w:rPr>
          <w:sz w:val="24"/>
          <w:szCs w:val="24"/>
          <w:rtl w:val="0"/>
        </w:rPr>
        <w:t xml:space="preserve">also called </w:t>
      </w:r>
      <w:r w:rsidDel="00000000" w:rsidR="00000000" w:rsidRPr="00000000">
        <w:rPr>
          <w:b w:val="1"/>
          <w:i w:val="1"/>
          <w:sz w:val="24"/>
          <w:szCs w:val="24"/>
          <w:rtl w:val="0"/>
        </w:rPr>
        <w:t xml:space="preserve">the "Immigration Law" </w:t>
      </w:r>
      <w:r w:rsidDel="00000000" w:rsidR="00000000" w:rsidRPr="00000000">
        <w:rPr>
          <w:sz w:val="24"/>
          <w:szCs w:val="24"/>
          <w:rtl w:val="0"/>
        </w:rPr>
        <w:t xml:space="preserve">is a legislation that violates the rights of immigrant women, especially those who also suffer the aggravated impact of multiple axes of discrimination. This law not only makes it difficult to regularize immigrant sex workers, but also criminalizes undocumented migrants, exposing them to deprivation of their freedom in the so-called “Foreign Internment Centers” (CIE). These centers, in addition to illegally depriving people who have not committed any crime of their freedom, violate multiple fundamental rights of detainees, through institutional and health violence, deficient facilities and services, discrimination based on gender identity and sexual orientation, as well as work activity.</w:t>
      </w:r>
      <w:r w:rsidDel="00000000" w:rsidR="00000000" w:rsidRPr="00000000">
        <w:rPr>
          <w:sz w:val="24"/>
          <w:szCs w:val="24"/>
          <w:vertAlign w:val="superscript"/>
        </w:rPr>
        <w:footnoteReference w:customMarkFollows="0" w:id="19"/>
      </w:r>
      <w:r w:rsidDel="00000000" w:rsidR="00000000" w:rsidRPr="00000000">
        <w:rPr>
          <w:sz w:val="24"/>
          <w:szCs w:val="24"/>
          <w:rtl w:val="0"/>
        </w:rPr>
        <w:t xml:space="preserve"> </w:t>
      </w:r>
    </w:p>
    <w:p w:rsidR="00000000" w:rsidDel="00000000" w:rsidP="00000000" w:rsidRDefault="00000000" w:rsidRPr="00000000" w14:paraId="0000001E">
      <w:pPr>
        <w:spacing w:after="240" w:before="240" w:lineRule="auto"/>
        <w:jc w:val="both"/>
        <w:rPr>
          <w:sz w:val="24"/>
          <w:szCs w:val="24"/>
        </w:rPr>
      </w:pPr>
      <w:r w:rsidDel="00000000" w:rsidR="00000000" w:rsidRPr="00000000">
        <w:rPr>
          <w:sz w:val="24"/>
          <w:szCs w:val="24"/>
          <w:rtl w:val="0"/>
        </w:rPr>
        <w:t xml:space="preserve">In particular, the study prepared by the organization Mundo en Movimiento found that 53% of the women locked up in a CIE in 2021 and 2022 were sex workers, this being the activity in which the largest number of women inmates were engaged, with big difference from the others. Probably a similar situation is repeated in other CIEs in the state, since sex workers are particularly exposed to police control, as has already been pointed out.</w:t>
      </w:r>
    </w:p>
    <w:p w:rsidR="00000000" w:rsidDel="00000000" w:rsidP="00000000" w:rsidRDefault="00000000" w:rsidRPr="00000000" w14:paraId="0000001F">
      <w:pPr>
        <w:pBdr>
          <w:top w:space="0" w:sz="0" w:val="nil"/>
          <w:left w:space="0" w:sz="0" w:val="nil"/>
          <w:bottom w:space="0" w:sz="0" w:val="nil"/>
          <w:right w:space="0" w:sz="0" w:val="nil"/>
          <w:between w:space="0" w:sz="0" w:val="nil"/>
        </w:pBdr>
        <w:jc w:val="both"/>
        <w:rPr>
          <w:b w:val="1"/>
          <w:sz w:val="24"/>
          <w:szCs w:val="24"/>
        </w:rPr>
      </w:pPr>
      <w:r w:rsidDel="00000000" w:rsidR="00000000" w:rsidRPr="00000000">
        <w:rPr>
          <w:b w:val="1"/>
          <w:sz w:val="24"/>
          <w:szCs w:val="24"/>
          <w:rtl w:val="0"/>
        </w:rPr>
        <w:t xml:space="preserve">2.4 Persecution of human rights defenders of sex workers</w:t>
      </w:r>
    </w:p>
    <w:p w:rsidR="00000000" w:rsidDel="00000000" w:rsidP="00000000" w:rsidRDefault="00000000" w:rsidRPr="00000000" w14:paraId="00000020">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Finally, the abolitionist-prohibitionist ideology that is currently promoted in Spain is also encouraging the stigmatization and discredit of the entities that work for the rights of sex workers. There is also the risk that the proposed abolitionist-prohibitionist laws could criminalize and lead to the withdrawal of funding from all those projects that are not aligned with an abolitionist-prohibitionist approach to prostitution.</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In this sense, a 2021 report by Front Line Defenders, the international organization for the protection of human rights defenders, indicates that criminalization puts at risk both the personal security and the human rights work of those dedicated to the defense of the rights of sex workers, including those who carry out vital anti-trafficking work, health promotion and access to justice training.</w:t>
      </w:r>
      <w:r w:rsidDel="00000000" w:rsidR="00000000" w:rsidRPr="00000000">
        <w:rPr>
          <w:sz w:val="24"/>
          <w:szCs w:val="24"/>
          <w:vertAlign w:val="superscript"/>
        </w:rPr>
        <w:footnoteReference w:customMarkFollows="0" w:id="20"/>
      </w:r>
      <w:r w:rsidDel="00000000" w:rsidR="00000000" w:rsidRPr="00000000">
        <w:rPr>
          <w:sz w:val="24"/>
          <w:szCs w:val="24"/>
          <w:rtl w:val="0"/>
        </w:rPr>
        <w:t xml:space="preserve"> Criminalization, for example, will prevent women human rights defenders from accessing managed spaces where sexual acts are commercialized and where women may face some of the most serious violations of their rights.</w:t>
      </w:r>
    </w:p>
    <w:p w:rsidR="00000000" w:rsidDel="00000000" w:rsidP="00000000" w:rsidRDefault="00000000" w:rsidRPr="00000000" w14:paraId="00000022">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Entities that work with sex workers in different territories of the Spanish state, through the activation of a state platform, confirm the damage that these policies will cause to sex workers. Most pro-rights services are based on approaching places where sex work is performed, projects related to improving sexual health, legal advice, empowerment strategies, attention to situations of gender-based violence and discrimination, and the establishment of alliances with groups of organized sex workers who defend their rights of citizenship. In no case are these entities in favor of trafficking or sexual exploitation, and in the work they do they also contribute to the detection, care and referral of people who need specialized intervention.</w:t>
      </w:r>
    </w:p>
    <w:p w:rsidR="00000000" w:rsidDel="00000000" w:rsidP="00000000" w:rsidRDefault="00000000" w:rsidRPr="00000000" w14:paraId="00000023">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The state government's abolitionist-prohibitionist ideology also influences the press, where various media promote the stigmatization of entities that work for the rights of sex workers and criticize the fact that they receive public funds.</w:t>
      </w:r>
      <w:r w:rsidDel="00000000" w:rsidR="00000000" w:rsidRPr="00000000">
        <w:rPr>
          <w:sz w:val="24"/>
          <w:szCs w:val="24"/>
          <w:vertAlign w:val="superscript"/>
        </w:rPr>
        <w:footnoteReference w:customMarkFollows="0" w:id="21"/>
      </w:r>
      <w:r w:rsidDel="00000000" w:rsidR="00000000" w:rsidRPr="00000000">
        <w:rPr>
          <w:sz w:val="24"/>
          <w:szCs w:val="24"/>
          <w:rtl w:val="0"/>
        </w:rPr>
        <w:t xml:space="preserve"> This type of stigmatization can promote violence against these entities or against the women to whom they provide care.</w:t>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In line with this ideology, </w:t>
      </w:r>
      <w:r w:rsidDel="00000000" w:rsidR="00000000" w:rsidRPr="00000000">
        <w:rPr>
          <w:b w:val="1"/>
          <w:sz w:val="24"/>
          <w:szCs w:val="24"/>
          <w:rtl w:val="0"/>
        </w:rPr>
        <w:t xml:space="preserve">the Spanish government denies the existence of voluntary prostitution</w:t>
      </w:r>
      <w:r w:rsidDel="00000000" w:rsidR="00000000" w:rsidRPr="00000000">
        <w:rPr>
          <w:sz w:val="24"/>
          <w:szCs w:val="24"/>
          <w:rtl w:val="0"/>
        </w:rPr>
        <w:t xml:space="preserve"> and resources and subsidies are directed to entities whose purpose is to respond to human trafficking. For example, according to data published on the call for subsidies from the Ministry of Equality </w:t>
      </w:r>
      <w:r w:rsidDel="00000000" w:rsidR="00000000" w:rsidRPr="00000000">
        <w:rPr>
          <w:sz w:val="24"/>
          <w:szCs w:val="24"/>
          <w:vertAlign w:val="superscript"/>
        </w:rPr>
        <w:footnoteReference w:customMarkFollows="0" w:id="22"/>
      </w:r>
      <w:r w:rsidDel="00000000" w:rsidR="00000000" w:rsidRPr="00000000">
        <w:rPr>
          <w:sz w:val="24"/>
          <w:szCs w:val="24"/>
          <w:rtl w:val="0"/>
        </w:rPr>
        <w:t xml:space="preserve">:</w:t>
      </w:r>
    </w:p>
    <w:p w:rsidR="00000000" w:rsidDel="00000000" w:rsidP="00000000" w:rsidRDefault="00000000" w:rsidRPr="00000000" w14:paraId="00000025">
      <w:pPr>
        <w:pBdr>
          <w:top w:space="0" w:sz="0" w:val="nil"/>
          <w:left w:space="0" w:sz="0" w:val="nil"/>
          <w:bottom w:space="0" w:sz="0" w:val="nil"/>
          <w:right w:space="0" w:sz="0" w:val="nil"/>
          <w:between w:space="0" w:sz="0" w:val="nil"/>
        </w:pBdr>
        <w:ind w:left="720" w:firstLine="0"/>
        <w:jc w:val="both"/>
        <w:rPr>
          <w:sz w:val="20"/>
          <w:szCs w:val="20"/>
        </w:rPr>
      </w:pPr>
      <w:r w:rsidDel="00000000" w:rsidR="00000000" w:rsidRPr="00000000">
        <w:rPr>
          <w:sz w:val="20"/>
          <w:szCs w:val="20"/>
          <w:rtl w:val="0"/>
        </w:rPr>
        <w:t xml:space="preserve">"1. These subsidies will be financed from service 50 of the 2022 budget of the Ministry of Equality and their total allocation will amount to a maximum of </w:t>
      </w:r>
      <w:r w:rsidDel="00000000" w:rsidR="00000000" w:rsidRPr="00000000">
        <w:rPr>
          <w:b w:val="1"/>
          <w:sz w:val="20"/>
          <w:szCs w:val="20"/>
          <w:rtl w:val="0"/>
        </w:rPr>
        <w:t xml:space="preserve">12,941,305 </w:t>
      </w:r>
      <w:r w:rsidDel="00000000" w:rsidR="00000000" w:rsidRPr="00000000">
        <w:rPr>
          <w:sz w:val="20"/>
          <w:szCs w:val="20"/>
          <w:rtl w:val="0"/>
        </w:rPr>
        <w:t xml:space="preserve">euros with the following estimated distribution by entity:</w:t>
      </w:r>
    </w:p>
    <w:p w:rsidR="00000000" w:rsidDel="00000000" w:rsidP="00000000" w:rsidRDefault="00000000" w:rsidRPr="00000000" w14:paraId="00000026">
      <w:pPr>
        <w:pBdr>
          <w:top w:space="0" w:sz="0" w:val="nil"/>
          <w:left w:space="0" w:sz="0" w:val="nil"/>
          <w:bottom w:space="0" w:sz="0" w:val="nil"/>
          <w:right w:space="0" w:sz="0" w:val="nil"/>
          <w:between w:space="0" w:sz="0" w:val="nil"/>
        </w:pBdr>
        <w:ind w:left="720" w:firstLine="0"/>
        <w:rPr>
          <w:sz w:val="20"/>
          <w:szCs w:val="20"/>
        </w:rPr>
      </w:pPr>
      <w:r w:rsidDel="00000000" w:rsidR="00000000" w:rsidRPr="00000000">
        <w:rPr>
          <w:sz w:val="20"/>
          <w:szCs w:val="20"/>
          <w:rtl w:val="0"/>
        </w:rPr>
        <w:t xml:space="preserve">a) Médicos del Mundo, for a maximum amount of 7,887,279 euros. </w:t>
        <w:br w:type="textWrapping"/>
        <w:t xml:space="preserve">b) Women in a Conflict Zone, for a maximum amount of 1,772,234 euros. </w:t>
        <w:br w:type="textWrapping"/>
        <w:t xml:space="preserve">c) Obra Social de Adoratrices in Spain (Amaranta Solidarity Foundation and the Religious Congregation of Adoratrices), for a maximum amount of 1,592,786 euros. </w:t>
        <w:br w:type="textWrapping"/>
        <w:t xml:space="preserve">d) Cruz Blanca Foundation, for a maximum amount of 1,439,542 euros. </w:t>
        <w:br w:type="textWrapping"/>
        <w:t xml:space="preserve">e) Association for the Prevention, Reintegration and Care of Prostituted Women (APRAMP) for a maximum amount of 249,464 euros.”</w:t>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These policies promote the </w:t>
      </w:r>
      <w:r w:rsidDel="00000000" w:rsidR="00000000" w:rsidRPr="00000000">
        <w:rPr>
          <w:b w:val="1"/>
          <w:sz w:val="24"/>
          <w:szCs w:val="24"/>
          <w:rtl w:val="0"/>
        </w:rPr>
        <w:t xml:space="preserve">invisibility of women who perform sex work without being victims of trafficking.</w:t>
      </w:r>
      <w:r w:rsidDel="00000000" w:rsidR="00000000" w:rsidRPr="00000000">
        <w:rPr>
          <w:sz w:val="24"/>
          <w:szCs w:val="24"/>
          <w:rtl w:val="0"/>
        </w:rPr>
        <w:t xml:space="preserve"> The initiatives that are being processed at the legislative level will undoubtedly cause a worsening of conditions and greater violence against them, mainly institutional, since their voices are not heard, and the action of allied entities is hindered.</w:t>
      </w:r>
    </w:p>
    <w:p w:rsidR="00000000" w:rsidDel="00000000" w:rsidP="00000000" w:rsidRDefault="00000000" w:rsidRPr="00000000" w14:paraId="00000028">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ind w:left="720" w:hanging="360"/>
        <w:jc w:val="both"/>
        <w:rPr>
          <w:b w:val="1"/>
          <w:sz w:val="24"/>
          <w:szCs w:val="24"/>
        </w:rPr>
      </w:pPr>
      <w:r w:rsidDel="00000000" w:rsidR="00000000" w:rsidRPr="00000000">
        <w:rPr>
          <w:b w:val="1"/>
          <w:sz w:val="24"/>
          <w:szCs w:val="24"/>
          <w:rtl w:val="0"/>
        </w:rPr>
        <w:t xml:space="preserve">Conclusions from the international human rights framework</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The Committee's General Recommendation No. 35 (2017) requires States to </w:t>
      </w:r>
      <w:r w:rsidDel="00000000" w:rsidR="00000000" w:rsidRPr="00000000">
        <w:rPr>
          <w:b w:val="1"/>
          <w:sz w:val="24"/>
          <w:szCs w:val="24"/>
          <w:rtl w:val="0"/>
        </w:rPr>
        <w:t xml:space="preserve">repeal all laws that discriminate against women, including laws that criminalize women in prostitution</w:t>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23"/>
      </w:r>
      <w:r w:rsidDel="00000000" w:rsidR="00000000" w:rsidRPr="00000000">
        <w:rPr>
          <w:sz w:val="24"/>
          <w:szCs w:val="24"/>
          <w:rtl w:val="0"/>
        </w:rPr>
        <w:t xml:space="preserve"> Laws that criminalize voluntary sex work also criminalize women who do it. Criminalizing clients does not result in increased safety for sex workers or in eliminating demand for sex work. On the contrary, it creates the conditions for further exploitation and puts the work of human rights defenders at risk. As has also been found in other countries, fear of eviction and deportation increases the vulnerability of sex workers to blackmail and abuse.</w:t>
      </w:r>
      <w:r w:rsidDel="00000000" w:rsidR="00000000" w:rsidRPr="00000000">
        <w:rPr>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In the same sense, the Working Group on the issue of discrimination against women in law and in practice in 2016 has stated.</w:t>
      </w:r>
      <w:r w:rsidDel="00000000" w:rsidR="00000000" w:rsidRPr="00000000">
        <w:rPr>
          <w:sz w:val="24"/>
          <w:szCs w:val="24"/>
          <w:vertAlign w:val="superscript"/>
        </w:rPr>
        <w:footnoteReference w:customMarkFollows="0" w:id="25"/>
      </w:r>
      <w:r w:rsidDel="00000000" w:rsidR="00000000" w:rsidRPr="00000000">
        <w:rPr>
          <w:sz w:val="24"/>
          <w:szCs w:val="24"/>
          <w:rtl w:val="0"/>
        </w:rPr>
        <w:t xml:space="preserve"> As the UN Committee on Economic, Social and Cultural Rights has pointed out, the right to health includes "the right to control one's health and body, including sexual and reproductive freedom, and the right to be free from interference", as well as "the right to a health protection system that provides people with opportunities equal to enjoy the highest attainable standard of health".</w:t>
      </w:r>
      <w:r w:rsidDel="00000000" w:rsidR="00000000" w:rsidRPr="00000000">
        <w:rPr>
          <w:sz w:val="24"/>
          <w:szCs w:val="24"/>
          <w:vertAlign w:val="superscript"/>
        </w:rPr>
        <w:footnoteReference w:customMarkFollows="0" w:id="26"/>
      </w:r>
      <w:r w:rsidDel="00000000" w:rsidR="00000000" w:rsidRPr="00000000">
        <w:rPr>
          <w:sz w:val="24"/>
          <w:szCs w:val="24"/>
          <w:rtl w:val="0"/>
        </w:rPr>
        <w:t xml:space="preserve"> Similarly, the Committee's General Recommendation No. 24 (1999) indicates that special attention should be paid to the right to health of women who belong to vulnerable groups, which includes "women who work in prostitution".</w:t>
      </w:r>
      <w:r w:rsidDel="00000000" w:rsidR="00000000" w:rsidRPr="00000000">
        <w:rPr>
          <w:sz w:val="24"/>
          <w:szCs w:val="24"/>
          <w:vertAlign w:val="superscript"/>
        </w:rPr>
        <w:footnoteReference w:customMarkFollows="0" w:id="27"/>
      </w:r>
      <w:r w:rsidDel="00000000" w:rsidR="00000000" w:rsidRPr="00000000">
        <w:rPr>
          <w:sz w:val="24"/>
          <w:szCs w:val="24"/>
          <w:rtl w:val="0"/>
        </w:rPr>
        <w:t xml:space="preserve"> </w:t>
      </w:r>
    </w:p>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The 2013 Report of the Special Rapporteur on the right of everyone to the enjoyment of the highest attainable standard of physical and mental health, on the right to health of migrant workers, has stated that:</w:t>
      </w:r>
    </w:p>
    <w:p w:rsidR="00000000" w:rsidDel="00000000" w:rsidP="00000000" w:rsidRDefault="00000000" w:rsidRPr="00000000" w14:paraId="0000002D">
      <w:pPr>
        <w:ind w:left="720" w:firstLine="0"/>
        <w:jc w:val="both"/>
        <w:rPr>
          <w:sz w:val="24"/>
          <w:szCs w:val="24"/>
        </w:rPr>
      </w:pPr>
      <w:r w:rsidDel="00000000" w:rsidR="00000000" w:rsidRPr="00000000">
        <w:rPr>
          <w:sz w:val="24"/>
          <w:szCs w:val="24"/>
          <w:rtl w:val="0"/>
        </w:rPr>
        <w:t xml:space="preserve">States have a responsibility to respect, protect and fulfil the enjoyment of the right to health of migrant sex workers, regardless of whether they have been trafficked or not. Migrant sex workers are a highly stigmatized population as sex or sex-related work may be criminalized in many countries. Occupational health hazards for sex workers include a disproportionate risk of HIV and other sexually transmitted diseases, violence and often rape. </w:t>
      </w:r>
      <w:r w:rsidDel="00000000" w:rsidR="00000000" w:rsidRPr="00000000">
        <w:rPr>
          <w:b w:val="1"/>
          <w:sz w:val="24"/>
          <w:szCs w:val="24"/>
          <w:rtl w:val="0"/>
        </w:rPr>
        <w:t xml:space="preserve">Criminalization perpetuates discrimination, stigma and violence towards sex workers </w:t>
      </w:r>
      <w:r w:rsidDel="00000000" w:rsidR="00000000" w:rsidRPr="00000000">
        <w:rPr>
          <w:sz w:val="24"/>
          <w:szCs w:val="24"/>
          <w:rtl w:val="0"/>
        </w:rPr>
        <w:t xml:space="preserve">and is a barrier to accessing health-care services, which leads to poorer health outcomes. </w:t>
      </w:r>
      <w:r w:rsidDel="00000000" w:rsidR="00000000" w:rsidRPr="00000000">
        <w:rPr>
          <w:b w:val="1"/>
          <w:sz w:val="24"/>
          <w:szCs w:val="24"/>
          <w:rtl w:val="0"/>
        </w:rPr>
        <w:t xml:space="preserve">When combined with xenophobia, criminalization may legitimize harassment, intimidation and violence against migrant sex workers, especially by law enforcement authorities, without mechanism for protection or redress</w:t>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28"/>
      </w: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For this reason, the report states that “</w:t>
      </w:r>
      <w:r w:rsidDel="00000000" w:rsidR="00000000" w:rsidRPr="00000000">
        <w:rPr>
          <w:b w:val="1"/>
          <w:sz w:val="24"/>
          <w:szCs w:val="24"/>
          <w:rtl w:val="0"/>
        </w:rPr>
        <w:t xml:space="preserve">ensuring non-discriminatory access to health care both in law and practice requires States to decriminalize consensual adult sex work,</w:t>
      </w:r>
      <w:r w:rsidDel="00000000" w:rsidR="00000000" w:rsidRPr="00000000">
        <w:rPr>
          <w:sz w:val="24"/>
          <w:szCs w:val="24"/>
          <w:rtl w:val="0"/>
        </w:rPr>
        <w:t xml:space="preserve"> enact and implement laws extending labor rights, occupational health and safety and access to affordable health care, with particular focus on irregular migrant sex workers.”</w:t>
      </w:r>
      <w:r w:rsidDel="00000000" w:rsidR="00000000" w:rsidRPr="00000000">
        <w:rPr>
          <w:sz w:val="24"/>
          <w:szCs w:val="24"/>
          <w:vertAlign w:val="superscript"/>
        </w:rPr>
        <w:footnoteReference w:customMarkFollows="0" w:id="29"/>
      </w: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Various United Nations agencies have also reiterated the importance of repealing laws that criminalize sex workers.</w:t>
      </w:r>
      <w:r w:rsidDel="00000000" w:rsidR="00000000" w:rsidRPr="00000000">
        <w:rPr>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sz w:val="24"/>
          <w:szCs w:val="24"/>
        </w:rPr>
      </w:pPr>
      <w:r w:rsidDel="00000000" w:rsidR="00000000" w:rsidRPr="00000000">
        <w:rPr>
          <w:sz w:val="24"/>
          <w:szCs w:val="24"/>
          <w:rtl w:val="0"/>
        </w:rPr>
        <w:t xml:space="preserve">Spanish legislative proposals deny the autonomy of sex workers by infantilizing women as people who require assistance instead of recognizing their rights. These modifications violate the right to work, freedom of association, the highest attainable standard of health, and the rights to integrity and life, since such initiatives will </w:t>
      </w:r>
      <w:r w:rsidDel="00000000" w:rsidR="00000000" w:rsidRPr="00000000">
        <w:rPr>
          <w:b w:val="1"/>
          <w:sz w:val="24"/>
          <w:szCs w:val="24"/>
          <w:rtl w:val="0"/>
        </w:rPr>
        <w:t xml:space="preserve">increase the risk of violence and stigmatization against those who perform sex work</w:t>
      </w:r>
      <w:r w:rsidDel="00000000" w:rsidR="00000000" w:rsidRPr="00000000">
        <w:rPr>
          <w:sz w:val="24"/>
          <w:szCs w:val="24"/>
          <w:rtl w:val="0"/>
        </w:rPr>
        <w:t xml:space="preserve">.</w:t>
      </w:r>
    </w:p>
    <w:p w:rsidR="00000000" w:rsidDel="00000000" w:rsidP="00000000" w:rsidRDefault="00000000" w:rsidRPr="00000000" w14:paraId="00000031">
      <w:pPr>
        <w:spacing w:after="0" w:lineRule="auto"/>
        <w:jc w:val="both"/>
        <w:rPr>
          <w:sz w:val="24"/>
          <w:szCs w:val="24"/>
        </w:rPr>
      </w:pPr>
      <w:r w:rsidDel="00000000" w:rsidR="00000000" w:rsidRPr="00000000">
        <w:rPr>
          <w:sz w:val="24"/>
          <w:szCs w:val="24"/>
          <w:rtl w:val="0"/>
        </w:rPr>
        <w:t xml:space="preserve">Initiatives that seek to criminalize consensual adult sex work hinder the ability of those who perform it to exercise their basic rights, such as their right to protection against violence, access to justice, access to health and housing, their right to personal autonomy and the right to privacy.</w:t>
      </w:r>
    </w:p>
    <w:p w:rsidR="00000000" w:rsidDel="00000000" w:rsidP="00000000" w:rsidRDefault="00000000" w:rsidRPr="00000000" w14:paraId="00000032">
      <w:pPr>
        <w:spacing w:after="240" w:before="240" w:lineRule="auto"/>
        <w:jc w:val="both"/>
        <w:rPr>
          <w:sz w:val="24"/>
          <w:szCs w:val="24"/>
        </w:rPr>
      </w:pPr>
      <w:r w:rsidDel="00000000" w:rsidR="00000000" w:rsidRPr="00000000">
        <w:rPr>
          <w:sz w:val="24"/>
          <w:szCs w:val="24"/>
          <w:rtl w:val="0"/>
        </w:rPr>
        <w:t xml:space="preserve">All these measures will affect even more and disproportionately migrant women and especially those </w:t>
      </w:r>
      <w:r w:rsidDel="00000000" w:rsidR="00000000" w:rsidRPr="00000000">
        <w:rPr>
          <w:b w:val="1"/>
          <w:sz w:val="24"/>
          <w:szCs w:val="24"/>
          <w:rtl w:val="0"/>
        </w:rPr>
        <w:t xml:space="preserve">in an irregular administrative situation</w:t>
      </w:r>
      <w:r w:rsidDel="00000000" w:rsidR="00000000" w:rsidRPr="00000000">
        <w:rPr>
          <w:sz w:val="24"/>
          <w:szCs w:val="24"/>
          <w:rtl w:val="0"/>
        </w:rPr>
        <w:t xml:space="preserve">. They will also disproportionately affect </w:t>
      </w:r>
      <w:r w:rsidDel="00000000" w:rsidR="00000000" w:rsidRPr="00000000">
        <w:rPr>
          <w:b w:val="1"/>
          <w:sz w:val="24"/>
          <w:szCs w:val="24"/>
          <w:rtl w:val="0"/>
        </w:rPr>
        <w:t xml:space="preserve">transgender people, </w:t>
      </w:r>
      <w:r w:rsidDel="00000000" w:rsidR="00000000" w:rsidRPr="00000000">
        <w:rPr>
          <w:sz w:val="24"/>
          <w:szCs w:val="24"/>
          <w:rtl w:val="0"/>
        </w:rPr>
        <w:t xml:space="preserve">who, suffering from 85% unemployment, often turn to sex work as their only option. Criminalizing the most precarious trans people, mostly migrants, while recognizing rights such as gender self-determination is a paradox that anticipates the disastrous results of this regulation.</w:t>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While the need to develop and evaluate public policies counting on “the voices of leading women” is being proclaimed as an essentially feminist issue, certain groups of women have been excluded and are still being excluded in the development of legislation that affects them.</w:t>
      </w:r>
    </w:p>
    <w:p w:rsidR="00000000" w:rsidDel="00000000" w:rsidP="00000000" w:rsidRDefault="00000000" w:rsidRPr="00000000" w14:paraId="00000034">
      <w:pPr>
        <w:jc w:val="both"/>
        <w:rPr>
          <w:sz w:val="24"/>
          <w:szCs w:val="24"/>
        </w:rPr>
      </w:pPr>
      <w:r w:rsidDel="00000000" w:rsidR="00000000" w:rsidRPr="00000000">
        <w:rPr>
          <w:sz w:val="24"/>
          <w:szCs w:val="24"/>
          <w:rtl w:val="0"/>
        </w:rPr>
        <w:t xml:space="preserve">All of the above makes independent sex work difficult and precarious, increasing stigmatization and weakening support networks among sex workers. The criminalization of spaces where sex work is carried out will increase police control and presence in them, with the danger that even more deportation proceedings will be opened for undocumented migrant women. Increased police controls and raids also force trafficked women to denounce their traffickers -without guarantees- or be expelled. That is why various international human rights organizations point out that the laws that criminalize women who work in prostitution are discriminatory and must be eliminated.</w:t>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The existence and promotion of laws that do not place the rights of women at the center, and do not consider the different axes of oppression of women who work in prostitution, is to exercise institutional violence. These laws and initiatives allow discrimination and violence against them to worsen. All the human rights of women are at risk when the State criminalizes them and persecutes some of them for carrying out an increasingly stigmatized activity, for not conforming to the stereotype that only recognizes them as victims, and for claiming their ability to decide on their own lives.</w:t>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b w:val="1"/>
          <w:sz w:val="24"/>
          <w:szCs w:val="24"/>
        </w:rPr>
      </w:pPr>
      <w:r w:rsidDel="00000000" w:rsidR="00000000" w:rsidRPr="00000000">
        <w:rPr>
          <w:b w:val="1"/>
          <w:sz w:val="24"/>
          <w:szCs w:val="24"/>
          <w:rtl w:val="0"/>
        </w:rPr>
        <w:t xml:space="preserve">CEDAW Catalunya Platform:</w:t>
      </w:r>
    </w:p>
    <w:p w:rsidR="00000000" w:rsidDel="00000000" w:rsidP="00000000" w:rsidRDefault="00000000" w:rsidRPr="00000000" w14:paraId="00000038">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Almena Cooperativa Feminista</w:t>
      </w:r>
      <w:r w:rsidDel="00000000" w:rsidR="00000000" w:rsidRPr="00000000">
        <w:rPr>
          <w:rtl w:val="0"/>
        </w:rPr>
      </w:r>
    </w:p>
    <w:p w:rsidR="00000000" w:rsidDel="00000000" w:rsidP="00000000" w:rsidRDefault="00000000" w:rsidRPr="00000000" w14:paraId="00000039">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Àmbit Prevenció</w:t>
      </w:r>
      <w:r w:rsidDel="00000000" w:rsidR="00000000" w:rsidRPr="00000000">
        <w:rPr>
          <w:rtl w:val="0"/>
        </w:rPr>
      </w:r>
    </w:p>
    <w:p w:rsidR="00000000" w:rsidDel="00000000" w:rsidP="00000000" w:rsidRDefault="00000000" w:rsidRPr="00000000" w14:paraId="0000003A">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Associació Hèlia </w:t>
      </w:r>
      <w:r w:rsidDel="00000000" w:rsidR="00000000" w:rsidRPr="00000000">
        <w:rPr>
          <w:rtl w:val="0"/>
        </w:rPr>
      </w:r>
    </w:p>
    <w:p w:rsidR="00000000" w:rsidDel="00000000" w:rsidP="00000000" w:rsidRDefault="00000000" w:rsidRPr="00000000" w14:paraId="0000003B">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Ca la Dona</w:t>
      </w:r>
      <w:r w:rsidDel="00000000" w:rsidR="00000000" w:rsidRPr="00000000">
        <w:rPr>
          <w:rtl w:val="0"/>
        </w:rPr>
      </w:r>
    </w:p>
    <w:p w:rsidR="00000000" w:rsidDel="00000000" w:rsidP="00000000" w:rsidRDefault="00000000" w:rsidRPr="00000000" w14:paraId="0000003C">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Creación Positiva</w:t>
      </w:r>
      <w:r w:rsidDel="00000000" w:rsidR="00000000" w:rsidRPr="00000000">
        <w:rPr>
          <w:rtl w:val="0"/>
        </w:rPr>
      </w:r>
    </w:p>
    <w:p w:rsidR="00000000" w:rsidDel="00000000" w:rsidP="00000000" w:rsidRDefault="00000000" w:rsidRPr="00000000" w14:paraId="0000003D">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Dones amb Empenta</w:t>
      </w:r>
      <w:r w:rsidDel="00000000" w:rsidR="00000000" w:rsidRPr="00000000">
        <w:rPr>
          <w:rtl w:val="0"/>
        </w:rPr>
      </w:r>
    </w:p>
    <w:p w:rsidR="00000000" w:rsidDel="00000000" w:rsidP="00000000" w:rsidRDefault="00000000" w:rsidRPr="00000000" w14:paraId="0000003E">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Entrepobles (Barcelona)</w:t>
      </w:r>
      <w:r w:rsidDel="00000000" w:rsidR="00000000" w:rsidRPr="00000000">
        <w:rPr>
          <w:rtl w:val="0"/>
        </w:rPr>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Fundació Aroa</w:t>
      </w:r>
      <w:r w:rsidDel="00000000" w:rsidR="00000000" w:rsidRPr="00000000">
        <w:rPr>
          <w:rtl w:val="0"/>
        </w:rPr>
      </w:r>
    </w:p>
    <w:p w:rsidR="00000000" w:rsidDel="00000000" w:rsidP="00000000" w:rsidRDefault="00000000" w:rsidRPr="00000000" w14:paraId="00000040">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Grup de Recerca Antígona - Universitat Autònoma de Barcelona</w:t>
      </w: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L’Associació Drets Sexuals i Reproductius</w:t>
      </w:r>
      <w:r w:rsidDel="00000000" w:rsidR="00000000" w:rsidRPr="00000000">
        <w:rPr>
          <w:rtl w:val="0"/>
        </w:rPr>
      </w:r>
    </w:p>
    <w:p w:rsidR="00000000" w:rsidDel="00000000" w:rsidP="00000000" w:rsidRDefault="00000000" w:rsidRPr="00000000" w14:paraId="00000042">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Xarxa Feminista </w:t>
      </w: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Carme Catalán Piñol</w:t>
      </w:r>
      <w:r w:rsidDel="00000000" w:rsidR="00000000" w:rsidRPr="00000000">
        <w:rPr>
          <w:rtl w:val="0"/>
        </w:rPr>
      </w:r>
    </w:p>
    <w:p w:rsidR="00000000" w:rsidDel="00000000" w:rsidP="00000000" w:rsidRDefault="00000000" w:rsidRPr="00000000" w14:paraId="00000044">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Alba Garcia Sànchez</w:t>
      </w: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jc w:val="both"/>
        <w:rPr>
          <w:b w:val="1"/>
          <w:sz w:val="24"/>
          <w:szCs w:val="24"/>
        </w:rPr>
      </w:pPr>
      <w:r w:rsidDel="00000000" w:rsidR="00000000" w:rsidRPr="00000000">
        <w:rPr>
          <w:b w:val="1"/>
          <w:sz w:val="24"/>
          <w:szCs w:val="24"/>
          <w:rtl w:val="0"/>
        </w:rPr>
        <w:t xml:space="preserve">Entities, groups and organizations that adhere to the report:</w:t>
      </w:r>
    </w:p>
    <w:p w:rsidR="00000000" w:rsidDel="00000000" w:rsidP="00000000" w:rsidRDefault="00000000" w:rsidRPr="00000000" w14:paraId="00000047">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Associació Cultural el Raval - El Lokal</w:t>
      </w:r>
      <w:r w:rsidDel="00000000" w:rsidR="00000000" w:rsidRPr="00000000">
        <w:rPr>
          <w:rtl w:val="0"/>
        </w:rPr>
      </w:r>
    </w:p>
    <w:p w:rsidR="00000000" w:rsidDel="00000000" w:rsidP="00000000" w:rsidRDefault="00000000" w:rsidRPr="00000000" w14:paraId="00000048">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Calala Fondo de Mujeres</w:t>
      </w: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Colectivo de Prostitutas de Sevilla (CPS)</w:t>
      </w: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Colectivo de Putas Libertarias del Raval</w:t>
      </w: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Colectivo de Putas Indignadas</w:t>
      </w:r>
      <w:r w:rsidDel="00000000" w:rsidR="00000000" w:rsidRPr="00000000">
        <w:rPr>
          <w:rtl w:val="0"/>
        </w:rPr>
      </w:r>
    </w:p>
    <w:p w:rsidR="00000000" w:rsidDel="00000000" w:rsidP="00000000" w:rsidRDefault="00000000" w:rsidRPr="00000000" w14:paraId="0000004C">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CooperAcció</w:t>
      </w: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Cooperativa La Raposa del Poble Sec SCCL</w:t>
      </w: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La Morada - cooperativa feminista d’habitatge SCCL</w:t>
      </w: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Les Vilaretes - Espai Feminista</w:t>
      </w:r>
      <w:r w:rsidDel="00000000" w:rsidR="00000000" w:rsidRPr="00000000">
        <w:rPr>
          <w:rtl w:val="0"/>
        </w:rPr>
      </w:r>
    </w:p>
    <w:p w:rsidR="00000000" w:rsidDel="00000000" w:rsidP="00000000" w:rsidRDefault="00000000" w:rsidRPr="00000000" w14:paraId="00000050">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Metzineres</w:t>
      </w:r>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Mujeres Pa’lante</w:t>
      </w:r>
      <w:r w:rsidDel="00000000" w:rsidR="00000000" w:rsidRPr="00000000">
        <w:rPr>
          <w:rtl w:val="0"/>
        </w:rPr>
      </w:r>
    </w:p>
    <w:p w:rsidR="00000000" w:rsidDel="00000000" w:rsidP="00000000" w:rsidRDefault="00000000" w:rsidRPr="00000000" w14:paraId="00000052">
      <w:pPr>
        <w:spacing w:after="0" w:line="240" w:lineRule="auto"/>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Observatori del Sistema Penal i Drets Humans de la Universitat de Barcelona</w:t>
      </w:r>
      <w:r w:rsidDel="00000000" w:rsidR="00000000" w:rsidRPr="00000000">
        <w:rPr>
          <w:rtl w:val="0"/>
        </w:rPr>
      </w:r>
    </w:p>
    <w:p w:rsidR="00000000" w:rsidDel="00000000" w:rsidP="00000000" w:rsidRDefault="00000000" w:rsidRPr="00000000" w14:paraId="00000053">
      <w:pPr>
        <w:jc w:val="both"/>
        <w:rPr>
          <w:sz w:val="24"/>
          <w:szCs w:val="24"/>
          <w:highlight w:val="yellow"/>
        </w:rPr>
      </w:pPr>
      <w:r w:rsidDel="00000000" w:rsidR="00000000" w:rsidRPr="00000000">
        <w:rPr>
          <w:rtl w:val="0"/>
        </w:rPr>
      </w:r>
    </w:p>
    <w:p w:rsidR="00000000" w:rsidDel="00000000" w:rsidP="00000000" w:rsidRDefault="00000000" w:rsidRPr="00000000" w14:paraId="00000054">
      <w:pPr>
        <w:jc w:val="right"/>
        <w:rPr>
          <w:sz w:val="24"/>
          <w:szCs w:val="24"/>
        </w:rPr>
      </w:pPr>
      <w:r w:rsidDel="00000000" w:rsidR="00000000" w:rsidRPr="00000000">
        <w:rPr>
          <w:rtl w:val="0"/>
        </w:rPr>
      </w:r>
    </w:p>
    <w:p w:rsidR="00000000" w:rsidDel="00000000" w:rsidP="00000000" w:rsidRDefault="00000000" w:rsidRPr="00000000" w14:paraId="00000055">
      <w:pPr>
        <w:jc w:val="right"/>
        <w:rPr>
          <w:sz w:val="24"/>
          <w:szCs w:val="24"/>
        </w:rPr>
      </w:pPr>
      <w:r w:rsidDel="00000000" w:rsidR="00000000" w:rsidRPr="00000000">
        <w:rPr>
          <w:sz w:val="24"/>
          <w:szCs w:val="24"/>
          <w:rtl w:val="0"/>
        </w:rPr>
        <w:t xml:space="preserve">Barcelona, April 7, 2023</w:t>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17" w:top="1417" w:left="1701" w:right="1701" w:header="851"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http://qpol.qub.ac.uk/sex-work-and-the-law-the-implementation-of-the-nordic-model-in-northern-ireland/</w:t>
        </w:r>
      </w:hyperlink>
      <w:r w:rsidDel="00000000" w:rsidR="00000000" w:rsidRPr="00000000">
        <w:rPr>
          <w:sz w:val="20"/>
          <w:szCs w:val="20"/>
          <w:rtl w:val="0"/>
        </w:rPr>
        <w:t xml:space="preserve"> </w:t>
      </w:r>
    </w:p>
  </w:footnote>
  <w:footnote w:id="1">
    <w:p w:rsidR="00000000" w:rsidDel="00000000" w:rsidP="00000000" w:rsidRDefault="00000000" w:rsidRPr="00000000" w14:paraId="0000005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https://hal-sciencespo.archives-ouvertes.fr/hal-02115877/document</w:t>
        </w:r>
      </w:hyperlink>
      <w:r w:rsidDel="00000000" w:rsidR="00000000" w:rsidRPr="00000000">
        <w:rPr>
          <w:sz w:val="20"/>
          <w:szCs w:val="20"/>
          <w:rtl w:val="0"/>
        </w:rPr>
        <w:t xml:space="preserve"> </w:t>
      </w:r>
    </w:p>
  </w:footnote>
  <w:footnote w:id="2">
    <w:p w:rsidR="00000000" w:rsidDel="00000000" w:rsidP="00000000" w:rsidRDefault="00000000" w:rsidRPr="00000000" w14:paraId="0000005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https://www.opendemocracy.net/en/beyond-trafficking-and-slavery/long-read-how-nordic-model-france-changed-everything-sex-workers/</w:t>
        </w:r>
      </w:hyperlink>
      <w:r w:rsidDel="00000000" w:rsidR="00000000" w:rsidRPr="00000000">
        <w:rPr>
          <w:sz w:val="20"/>
          <w:szCs w:val="20"/>
          <w:rtl w:val="0"/>
        </w:rPr>
        <w:t xml:space="preserve"> </w:t>
      </w:r>
    </w:p>
  </w:footnote>
  <w:footnote w:id="3">
    <w:p w:rsidR="00000000" w:rsidDel="00000000" w:rsidP="00000000" w:rsidRDefault="00000000" w:rsidRPr="00000000" w14:paraId="0000005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https://uglymugs.ie/wp-content/uploads/um-statement-26-mar-2019.pdf</w:t>
        </w:r>
      </w:hyperlink>
      <w:r w:rsidDel="00000000" w:rsidR="00000000" w:rsidRPr="00000000">
        <w:rPr>
          <w:sz w:val="20"/>
          <w:szCs w:val="20"/>
          <w:rtl w:val="0"/>
        </w:rPr>
        <w:t xml:space="preserve"> </w:t>
      </w:r>
    </w:p>
  </w:footnote>
  <w:footnote w:id="4">
    <w:p w:rsidR="00000000" w:rsidDel="00000000" w:rsidP="00000000" w:rsidRDefault="00000000" w:rsidRPr="00000000" w14:paraId="0000005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HRW, Cambodia: Sex Workers Face Unlawful Arrests and Detention. Available at: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5">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https://www.hrw.org/news/2010/07/20/cambodia-sex-workers-face-unlawful-arrests-and-detention</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5">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HRW, "Swept Away" Abuses against Sex Workers in China. Available at: </w:t>
      </w:r>
      <w:hyperlink r:id="rId6">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https://www.hrw.org/report/2013/05/14/swept-away/abuses-against-sex-workers-china</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6">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HRW (2013) “Treat Us Like Human Beings” Discrimination against Sex Workers, Sexual and Gender Minorities, and People Who Use Drugs in Tanzania. Available at: </w:t>
      </w:r>
      <w:hyperlink r:id="rId7">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https://www.hrw.org/news/2013/06/18/tanzania-police-abuse-torture-impede-hiv-services</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7">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HRW (2012), Sex Workers at Risk: Condoms as Evidence of Prostitution in Four US Cities. Available at: </w:t>
      </w:r>
      <w:hyperlink r:id="rId8">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https://www.hrw.org/reports/2012/07/19/sex-workers-risk</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8">
    <w:p w:rsidR="00000000" w:rsidDel="00000000" w:rsidP="00000000" w:rsidRDefault="00000000" w:rsidRPr="00000000" w14:paraId="0000005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for example: HRW (2019), “Why Sex Work Should be Decriminalized in South Africa”. Available at: </w:t>
      </w:r>
      <w:hyperlink r:id="rId9">
        <w:r w:rsidDel="00000000" w:rsidR="00000000" w:rsidRPr="00000000">
          <w:rPr>
            <w:color w:val="1155cc"/>
            <w:sz w:val="20"/>
            <w:szCs w:val="20"/>
            <w:u w:val="single"/>
            <w:rtl w:val="0"/>
          </w:rPr>
          <w:t xml:space="preserve">https://www.hrw.org/sites/default/files/report_pdf/southafrica0819_web_0.pdf</w:t>
        </w:r>
      </w:hyperlink>
      <w:r w:rsidDel="00000000" w:rsidR="00000000" w:rsidRPr="00000000">
        <w:rPr>
          <w:sz w:val="20"/>
          <w:szCs w:val="20"/>
          <w:rtl w:val="0"/>
        </w:rPr>
        <w:t xml:space="preserve"> </w:t>
      </w:r>
    </w:p>
  </w:footnote>
  <w:footnote w:id="9">
    <w:p w:rsidR="00000000" w:rsidDel="00000000" w:rsidP="00000000" w:rsidRDefault="00000000" w:rsidRPr="00000000" w14:paraId="0000006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0000ff"/>
            <w:sz w:val="20"/>
            <w:szCs w:val="20"/>
            <w:u w:val="single"/>
            <w:rtl w:val="0"/>
          </w:rPr>
          <w:t xml:space="preserve">https://www.eldiario.es/comunitat-valenciana/politica/informe-prostitution-encargado-igualdad-desaconseja-modificacion-legal-abolicionista-plantea-pspv_1_10066211.html</w:t>
        </w:r>
      </w:hyperlink>
      <w:r w:rsidDel="00000000" w:rsidR="00000000" w:rsidRPr="00000000">
        <w:rPr>
          <w:sz w:val="20"/>
          <w:szCs w:val="20"/>
          <w:rtl w:val="0"/>
        </w:rPr>
        <w:t xml:space="preserve"> </w:t>
      </w:r>
    </w:p>
  </w:footnote>
  <w:footnote w:id="10">
    <w:p w:rsidR="00000000" w:rsidDel="00000000" w:rsidP="00000000" w:rsidRDefault="00000000" w:rsidRPr="00000000" w14:paraId="0000006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https://www.mjusticia.gob.es/es/AreaTematica/ActividadLegislativa/Documents/Anteproyecto%20de%20Ley%20Orgánica%20Trata%20TAIP.pdf</w:t>
        </w:r>
      </w:hyperlink>
      <w:r w:rsidDel="00000000" w:rsidR="00000000" w:rsidRPr="00000000">
        <w:rPr>
          <w:sz w:val="20"/>
          <w:szCs w:val="20"/>
          <w:rtl w:val="0"/>
        </w:rPr>
        <w:t xml:space="preserve"> </w:t>
      </w:r>
    </w:p>
  </w:footnote>
  <w:footnote w:id="11">
    <w:p w:rsidR="00000000" w:rsidDel="00000000" w:rsidP="00000000" w:rsidRDefault="00000000" w:rsidRPr="00000000" w14:paraId="0000006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Niina Vuolajärvi (2022) “Criminalising the Sex Buyer: Experiences from the Nordic Region”, LSE Center for Women Peace and Security. </w:t>
      </w:r>
      <w:hyperlink r:id="rId12">
        <w:r w:rsidDel="00000000" w:rsidR="00000000" w:rsidRPr="00000000">
          <w:rPr>
            <w:sz w:val="20"/>
            <w:szCs w:val="20"/>
            <w:rtl w:val="0"/>
          </w:rPr>
          <w:t xml:space="preserve">Available at: </w:t>
        </w:r>
      </w:hyperlink>
      <w:hyperlink r:id="rId13">
        <w:r w:rsidDel="00000000" w:rsidR="00000000" w:rsidRPr="00000000">
          <w:rPr>
            <w:color w:val="0000ff"/>
            <w:sz w:val="20"/>
            <w:szCs w:val="20"/>
            <w:u w:val="single"/>
            <w:rtl w:val="0"/>
          </w:rPr>
          <w:t xml:space="preserve">https://www.lse.ac.uk/women-peace-security/assets/documents/2022/W922-0152-WPS-Policy-Paper-6-singles.pdf</w:t>
        </w:r>
      </w:hyperlink>
      <w:r w:rsidDel="00000000" w:rsidR="00000000" w:rsidRPr="00000000">
        <w:rPr>
          <w:rtl w:val="0"/>
        </w:rPr>
      </w:r>
    </w:p>
  </w:footnote>
  <w:footnote w:id="12">
    <w:p w:rsidR="00000000" w:rsidDel="00000000" w:rsidP="00000000" w:rsidRDefault="00000000" w:rsidRPr="00000000" w14:paraId="0000006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https://www.eldiario.es/sociedad/denuncia-diaria-ejercen-prostitution-Espana_0_810869767.html</w:t>
        </w:r>
      </w:hyperlink>
      <w:r w:rsidDel="00000000" w:rsidR="00000000" w:rsidRPr="00000000">
        <w:rPr>
          <w:sz w:val="20"/>
          <w:szCs w:val="20"/>
          <w:rtl w:val="0"/>
        </w:rPr>
        <w:t xml:space="preserve"> </w:t>
      </w:r>
    </w:p>
  </w:footnote>
  <w:footnote w:id="13">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Barcons, Maria (2018) Municipal ordinances: between the regulation and sanction of prostitution in Spain. Available at: </w:t>
      </w:r>
      <w:hyperlink r:id="rId15">
        <w:r w:rsidDel="00000000" w:rsidR="00000000" w:rsidRPr="00000000">
          <w:rPr>
            <w:color w:val="1155cc"/>
            <w:sz w:val="20"/>
            <w:szCs w:val="20"/>
            <w:u w:val="single"/>
            <w:rtl w:val="0"/>
          </w:rPr>
          <w:t xml:space="preserve">https://revistes.ub.edu/index.php/CriticaPenalPoder/article/view/26785/28088</w:t>
        </w:r>
      </w:hyperlink>
      <w:r w:rsidDel="00000000" w:rsidR="00000000" w:rsidRPr="00000000">
        <w:rPr>
          <w:sz w:val="20"/>
          <w:szCs w:val="20"/>
          <w:rtl w:val="0"/>
        </w:rPr>
        <w:t xml:space="preserve"> </w:t>
      </w:r>
    </w:p>
  </w:footnote>
  <w:footnote w:id="14">
    <w:p w:rsidR="00000000" w:rsidDel="00000000" w:rsidP="00000000" w:rsidRDefault="00000000" w:rsidRPr="00000000" w14:paraId="0000006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https://www.interior.gob.es/opencms/pdf/prensa/balances-e-informes/2018/INFORME-DELITOS-CONTRA-LA-LIBERTAD-E-INDEMNIDAD-SEXUAL-2018.pdf</w:t>
        </w:r>
      </w:hyperlink>
      <w:r w:rsidDel="00000000" w:rsidR="00000000" w:rsidRPr="00000000">
        <w:rPr>
          <w:sz w:val="20"/>
          <w:szCs w:val="20"/>
          <w:rtl w:val="0"/>
        </w:rPr>
        <w:t xml:space="preserve"> </w:t>
      </w:r>
    </w:p>
  </w:footnote>
  <w:footnote w:id="15">
    <w:p w:rsidR="00000000" w:rsidDel="00000000" w:rsidP="00000000" w:rsidRDefault="00000000" w:rsidRPr="00000000" w14:paraId="0000006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https://www.interior.gob.es/opencms/pdf/prensa/balances-e-informes/2019/INFORME-DELITOS-CONTRA-LA-LIBERTAD-E-INDEMNIDAD-SEXUAL-2019-anual.pdf</w:t>
        </w:r>
      </w:hyperlink>
      <w:r w:rsidDel="00000000" w:rsidR="00000000" w:rsidRPr="00000000">
        <w:rPr>
          <w:sz w:val="20"/>
          <w:szCs w:val="20"/>
          <w:rtl w:val="0"/>
        </w:rPr>
        <w:t xml:space="preserve"> </w:t>
      </w:r>
    </w:p>
  </w:footnote>
  <w:footnote w:id="16">
    <w:p w:rsidR="00000000" w:rsidDel="00000000" w:rsidP="00000000" w:rsidRDefault="00000000" w:rsidRPr="00000000" w14:paraId="0000006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https://estadisticasdecriminalidad.ses.mir.es/publico/portalestadistico/dam/jcr:5cf7f0d9-b3a4-4767-8942-1a9c23e60212/INFORME%20DELITOS%20CONTRA%20LA%20LIBERTAD%20E%20INDEMNIDAD%20SEXUAL%202020.pdf</w:t>
        </w:r>
      </w:hyperlink>
      <w:r w:rsidDel="00000000" w:rsidR="00000000" w:rsidRPr="00000000">
        <w:rPr>
          <w:sz w:val="20"/>
          <w:szCs w:val="20"/>
          <w:rtl w:val="0"/>
        </w:rPr>
        <w:t xml:space="preserve"> </w:t>
      </w:r>
    </w:p>
  </w:footnote>
  <w:footnote w:id="17">
    <w:p w:rsidR="00000000" w:rsidDel="00000000" w:rsidP="00000000" w:rsidRDefault="00000000" w:rsidRPr="00000000" w14:paraId="0000006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https://www.interior.gob.es/opencms/pdf/prensa/balances-e-informes/2021/Informe-delitos-contra-la-libertad-e-indemnidad-sexual-2021.pdf</w:t>
        </w:r>
      </w:hyperlink>
      <w:r w:rsidDel="00000000" w:rsidR="00000000" w:rsidRPr="00000000">
        <w:rPr>
          <w:sz w:val="20"/>
          <w:szCs w:val="20"/>
          <w:rtl w:val="0"/>
        </w:rPr>
        <w:t xml:space="preserve"> </w:t>
      </w:r>
    </w:p>
  </w:footnote>
  <w:footnote w:id="18">
    <w:p w:rsidR="00000000" w:rsidDel="00000000" w:rsidP="00000000" w:rsidRDefault="00000000" w:rsidRPr="00000000" w14:paraId="0000006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UNODC (2020)</w:t>
      </w:r>
      <w:r w:rsidDel="00000000" w:rsidR="00000000" w:rsidRPr="00000000">
        <w:rPr>
          <w:color w:val="000000"/>
          <w:sz w:val="20"/>
          <w:szCs w:val="20"/>
          <w:rtl w:val="0"/>
        </w:rPr>
        <w:t xml:space="preserve">, Exploited and Prosecuted: When Victims of Human Trafficking Commit Crimes. </w:t>
      </w:r>
      <w:hyperlink r:id="rId20">
        <w:r w:rsidDel="00000000" w:rsidR="00000000" w:rsidRPr="00000000">
          <w:rPr>
            <w:color w:val="1155cc"/>
            <w:sz w:val="20"/>
            <w:szCs w:val="20"/>
            <w:u w:val="single"/>
            <w:rtl w:val="0"/>
          </w:rPr>
          <w:t xml:space="preserve">https://www.unodc.org/unodc/en/frontpage/2020/December/exploited-and-prosecuted_-when-victims-of-human-trafficking-commit-crimes.html</w:t>
        </w:r>
      </w:hyperlink>
      <w:r w:rsidDel="00000000" w:rsidR="00000000" w:rsidRPr="00000000">
        <w:rPr>
          <w:sz w:val="20"/>
          <w:szCs w:val="20"/>
          <w:rtl w:val="0"/>
        </w:rPr>
        <w:t xml:space="preserve"> </w:t>
      </w:r>
    </w:p>
  </w:footnote>
  <w:footnote w:id="19">
    <w:p w:rsidR="00000000" w:rsidDel="00000000" w:rsidP="00000000" w:rsidRDefault="00000000" w:rsidRPr="00000000" w14:paraId="0000006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Mundo en Movimiento (2023) </w:t>
      </w:r>
      <w:r w:rsidDel="00000000" w:rsidR="00000000" w:rsidRPr="00000000">
        <w:rPr>
          <w:color w:val="000000"/>
          <w:sz w:val="20"/>
          <w:szCs w:val="20"/>
          <w:rtl w:val="0"/>
        </w:rPr>
        <w:t xml:space="preserve">Represión y Encierro. Análisis interseccional de la violencia en el internamiento de personas extranjeras</w:t>
      </w:r>
      <w:r w:rsidDel="00000000" w:rsidR="00000000" w:rsidRPr="00000000">
        <w:rPr>
          <w:sz w:val="20"/>
          <w:szCs w:val="20"/>
          <w:rtl w:val="0"/>
        </w:rPr>
        <w:t xml:space="preserve"> (Repression and Enclosure. Intersectional analysis of violence in the internment of foreigners). Available at: </w:t>
      </w:r>
      <w:hyperlink r:id="rId21">
        <w:r w:rsidDel="00000000" w:rsidR="00000000" w:rsidRPr="00000000">
          <w:rPr>
            <w:color w:val="1155cc"/>
            <w:sz w:val="20"/>
            <w:szCs w:val="20"/>
            <w:u w:val="single"/>
            <w:rtl w:val="0"/>
          </w:rPr>
          <w:t xml:space="preserve">https://www.mundoenmovimiento.org/wp-content/uploads/2023/03/Represion_y_encierro-Informe_completo-2023.pdf</w:t>
        </w:r>
      </w:hyperlink>
      <w:r w:rsidDel="00000000" w:rsidR="00000000" w:rsidRPr="00000000">
        <w:rPr>
          <w:sz w:val="20"/>
          <w:szCs w:val="20"/>
          <w:rtl w:val="0"/>
        </w:rPr>
        <w:t xml:space="preserve"> </w:t>
      </w:r>
    </w:p>
  </w:footnote>
  <w:footnote w:id="20">
    <w:p w:rsidR="00000000" w:rsidDel="00000000" w:rsidP="00000000" w:rsidRDefault="00000000" w:rsidRPr="00000000" w14:paraId="0000006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Front Line Defenders (2021), “Sex Worker Rights Defenders At Risk”</w:t>
      </w:r>
      <w:hyperlink r:id="rId22">
        <w:r w:rsidDel="00000000" w:rsidR="00000000" w:rsidRPr="00000000">
          <w:rPr>
            <w:color w:val="0000ff"/>
            <w:sz w:val="20"/>
            <w:szCs w:val="20"/>
            <w:u w:val="single"/>
            <w:rtl w:val="0"/>
          </w:rPr>
          <w:t xml:space="preserve"> </w:t>
        </w:r>
      </w:hyperlink>
      <w:hyperlink r:id="rId23">
        <w:r w:rsidDel="00000000" w:rsidR="00000000" w:rsidRPr="00000000">
          <w:rPr>
            <w:color w:val="0000ff"/>
            <w:sz w:val="20"/>
            <w:szCs w:val="20"/>
            <w:u w:val="single"/>
            <w:rtl w:val="0"/>
          </w:rPr>
          <w:t xml:space="preserve">https://www.frontlinedefenders.org/en/statement-report/first-global-report-sex-worker-rights-defenders-risk</w:t>
        </w:r>
      </w:hyperlink>
      <w:r w:rsidDel="00000000" w:rsidR="00000000" w:rsidRPr="00000000">
        <w:rPr>
          <w:sz w:val="20"/>
          <w:szCs w:val="20"/>
          <w:rtl w:val="0"/>
        </w:rPr>
        <w:t xml:space="preserve"> </w:t>
      </w:r>
    </w:p>
  </w:footnote>
  <w:footnote w:id="21">
    <w:p w:rsidR="00000000" w:rsidDel="00000000" w:rsidP="00000000" w:rsidRDefault="00000000" w:rsidRPr="00000000" w14:paraId="0000006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For example: </w:t>
      </w:r>
      <w:hyperlink r:id="rId24">
        <w:r w:rsidDel="00000000" w:rsidR="00000000" w:rsidRPr="00000000">
          <w:rPr>
            <w:color w:val="1155cc"/>
            <w:sz w:val="20"/>
            <w:szCs w:val="20"/>
            <w:u w:val="single"/>
            <w:rtl w:val="0"/>
          </w:rPr>
          <w:t xml:space="preserve">https://www.cronicalibre.com/investigacion/cinco-asociaciones-que-defienden-la-prostitucion-reciben-24-millones-de-euros-de-fondos-publicos/</w:t>
        </w:r>
      </w:hyperlink>
      <w:r w:rsidDel="00000000" w:rsidR="00000000" w:rsidRPr="00000000">
        <w:rPr>
          <w:sz w:val="20"/>
          <w:szCs w:val="20"/>
          <w:rtl w:val="0"/>
        </w:rPr>
        <w:t xml:space="preserve"> </w:t>
      </w:r>
    </w:p>
  </w:footnote>
  <w:footnote w:id="22">
    <w:p w:rsidR="00000000" w:rsidDel="00000000" w:rsidP="00000000" w:rsidRDefault="00000000" w:rsidRPr="00000000" w14:paraId="0000006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5">
        <w:r w:rsidDel="00000000" w:rsidR="00000000" w:rsidRPr="00000000">
          <w:rPr>
            <w:color w:val="1155cc"/>
            <w:sz w:val="20"/>
            <w:szCs w:val="20"/>
            <w:u w:val="single"/>
            <w:rtl w:val="0"/>
          </w:rPr>
          <w:t xml:space="preserve">https://murciasocial.carm.es/-/ayudas-y-subvencio-41</w:t>
        </w:r>
      </w:hyperlink>
      <w:r w:rsidDel="00000000" w:rsidR="00000000" w:rsidRPr="00000000">
        <w:rPr>
          <w:sz w:val="20"/>
          <w:szCs w:val="20"/>
          <w:rtl w:val="0"/>
        </w:rPr>
        <w:t xml:space="preserve"> </w:t>
      </w:r>
    </w:p>
  </w:footnote>
  <w:footnote w:id="23">
    <w:p w:rsidR="00000000" w:rsidDel="00000000" w:rsidP="00000000" w:rsidRDefault="00000000" w:rsidRPr="00000000" w14:paraId="0000006E">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General Recommendation No. 35 (2017) paragraph 31 a).</w:t>
      </w:r>
    </w:p>
  </w:footnote>
  <w:footnote w:id="24">
    <w:p w:rsidR="00000000" w:rsidDel="00000000" w:rsidP="00000000" w:rsidRDefault="00000000" w:rsidRPr="00000000" w14:paraId="0000006F">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Niina Vuolajärvi, cit.</w:t>
      </w:r>
    </w:p>
  </w:footnote>
  <w:footnote w:id="25">
    <w:p w:rsidR="00000000" w:rsidDel="00000000" w:rsidP="00000000" w:rsidRDefault="00000000" w:rsidRPr="00000000" w14:paraId="00000070">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Report of the Working Group on discrimination against women (A/HRC/32/44), 2016, para. 76.</w:t>
      </w:r>
    </w:p>
  </w:footnote>
  <w:footnote w:id="26">
    <w:p w:rsidR="00000000" w:rsidDel="00000000" w:rsidP="00000000" w:rsidRDefault="00000000" w:rsidRPr="00000000" w14:paraId="00000071">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Committee on Economic, Social and Cultural Rights, General Comment No. 14, The</w:t>
      </w:r>
    </w:p>
    <w:p w:rsidR="00000000" w:rsidDel="00000000" w:rsidP="00000000" w:rsidRDefault="00000000" w:rsidRPr="00000000" w14:paraId="00000072">
      <w:pPr>
        <w:spacing w:after="0" w:line="240" w:lineRule="auto"/>
        <w:jc w:val="both"/>
        <w:rPr>
          <w:sz w:val="20"/>
          <w:szCs w:val="20"/>
        </w:rPr>
      </w:pPr>
      <w:r w:rsidDel="00000000" w:rsidR="00000000" w:rsidRPr="00000000">
        <w:rPr>
          <w:sz w:val="20"/>
          <w:szCs w:val="20"/>
          <w:rtl w:val="0"/>
        </w:rPr>
        <w:t xml:space="preserve">right to enjoy the highest attainable standard of health (article 12), doc. UN E/C.12/2000/4, para. 8,</w:t>
      </w:r>
    </w:p>
    <w:p w:rsidR="00000000" w:rsidDel="00000000" w:rsidP="00000000" w:rsidRDefault="00000000" w:rsidRPr="00000000" w14:paraId="00000073">
      <w:pPr>
        <w:spacing w:after="0" w:line="240" w:lineRule="auto"/>
        <w:jc w:val="both"/>
        <w:rPr>
          <w:sz w:val="20"/>
          <w:szCs w:val="20"/>
        </w:rPr>
      </w:pPr>
      <w:r w:rsidDel="00000000" w:rsidR="00000000" w:rsidRPr="00000000">
        <w:rPr>
          <w:sz w:val="20"/>
          <w:szCs w:val="20"/>
          <w:rtl w:val="0"/>
        </w:rPr>
        <w:t xml:space="preserve">2000</w:t>
      </w:r>
    </w:p>
  </w:footnote>
  <w:footnote w:id="27">
    <w:p w:rsidR="00000000" w:rsidDel="00000000" w:rsidP="00000000" w:rsidRDefault="00000000" w:rsidRPr="00000000" w14:paraId="00000074">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Committee for the Elimination of Discrimination against Women, General Recommendation No. 24 (Women and health), doc. UN A/54/38/Rev.1 (chapter I), paragraph 6 (1999).</w:t>
      </w:r>
    </w:p>
  </w:footnote>
  <w:footnote w:id="28">
    <w:p w:rsidR="00000000" w:rsidDel="00000000" w:rsidP="00000000" w:rsidRDefault="00000000" w:rsidRPr="00000000" w14:paraId="0000007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Report of the Special Rapporteur on the right of everyone to the enjoyment of the highest attainable standard of physical and mental health, Anand Grover (A/HRC/23/41), 2013, para. 58</w:t>
      </w:r>
    </w:p>
  </w:footnote>
  <w:footnote w:id="29">
    <w:p w:rsidR="00000000" w:rsidDel="00000000" w:rsidP="00000000" w:rsidRDefault="00000000" w:rsidRPr="00000000" w14:paraId="0000007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para. 60</w:t>
      </w:r>
    </w:p>
  </w:footnote>
  <w:footnote w:id="30">
    <w:p w:rsidR="00000000" w:rsidDel="00000000" w:rsidP="00000000" w:rsidRDefault="00000000" w:rsidRPr="00000000" w14:paraId="0000007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Joint United Nations Statement on Ending Discrimination in Health Care Settings, July 2017</w:t>
      </w:r>
    </w:p>
    <w:p w:rsidR="00000000" w:rsidDel="00000000" w:rsidP="00000000" w:rsidRDefault="00000000" w:rsidRPr="00000000" w14:paraId="00000078">
      <w:pPr>
        <w:spacing w:after="0" w:line="240" w:lineRule="auto"/>
        <w:rPr>
          <w:sz w:val="20"/>
          <w:szCs w:val="20"/>
        </w:rPr>
      </w:pPr>
      <w:hyperlink r:id="rId26">
        <w:r w:rsidDel="00000000" w:rsidR="00000000" w:rsidRPr="00000000">
          <w:rPr>
            <w:color w:val="1155cc"/>
            <w:sz w:val="20"/>
            <w:szCs w:val="20"/>
            <w:u w:val="single"/>
            <w:rtl w:val="0"/>
          </w:rPr>
          <w:t xml:space="preserve">https://www.ohchr.org/Documents/Issues/ESCR/InterAgencyStatementDiscriminationHealthCare.pdf</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tabs>
        <w:tab w:val="left" w:leader="none" w:pos="4934"/>
      </w:tabs>
      <w:spacing w:after="0" w:line="240" w:lineRule="auto"/>
      <w:jc w:val="right"/>
      <w:rPr>
        <w:b w:val="1"/>
        <w:color w:val="b7b7b7"/>
        <w:sz w:val="24"/>
        <w:szCs w:val="24"/>
      </w:rPr>
    </w:pPr>
    <w:bookmarkStart w:colFirst="0" w:colLast="0" w:name="_heading=h.gjdgxs" w:id="0"/>
    <w:bookmarkEnd w:id="0"/>
    <w:r w:rsidDel="00000000" w:rsidR="00000000" w:rsidRPr="00000000">
      <w:rPr>
        <w:rtl w:val="0"/>
      </w:rPr>
      <w:tab/>
      <w:t xml:space="preserve">     </w:t>
    </w:r>
    <w:r w:rsidDel="00000000" w:rsidR="00000000" w:rsidRPr="00000000">
      <w:rPr>
        <w:b w:val="1"/>
        <w:color w:val="b7b7b7"/>
        <w:sz w:val="24"/>
        <w:szCs w:val="24"/>
        <w:rtl w:val="0"/>
      </w:rPr>
      <w:t xml:space="preserve">CEDAW Catalunya Platform</w:t>
      <w:tab/>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320"/>
        <w:tab w:val="right" w:leader="none" w:pos="8640"/>
      </w:tabs>
      <w:spacing w:after="0" w:line="240" w:lineRule="auto"/>
      <w:jc w:val="right"/>
      <w:rPr>
        <w:rFonts w:ascii="Cambria" w:cs="Cambria" w:eastAsia="Cambria" w:hAnsi="Cambria"/>
        <w:color w:val="b7b7b7"/>
        <w:sz w:val="24"/>
        <w:szCs w:val="24"/>
      </w:rPr>
    </w:pPr>
    <w:hyperlink r:id="rId1">
      <w:r w:rsidDel="00000000" w:rsidR="00000000" w:rsidRPr="00000000">
        <w:rPr>
          <w:color w:val="b7b7b7"/>
          <w:u w:val="single"/>
          <w:rtl w:val="0"/>
        </w:rPr>
        <w:t xml:space="preserve">plataformacedawcat@gmail.com</w:t>
      </w:r>
    </w:hyperlink>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320"/>
        <w:tab w:val="right" w:leader="none" w:pos="8640"/>
      </w:tabs>
      <w:spacing w:after="0" w:line="240" w:lineRule="auto"/>
      <w:rPr>
        <w:rFonts w:ascii="Cambria" w:cs="Cambria" w:eastAsia="Cambria" w:hAnsi="Cambria"/>
        <w:color w:val="000000"/>
        <w:sz w:val="24"/>
        <w:szCs w:val="24"/>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320"/>
        <w:tab w:val="right" w:leader="none" w:pos="8640"/>
      </w:tabs>
      <w:spacing w:after="0" w:line="240" w:lineRule="auto"/>
      <w:rPr>
        <w:rFonts w:ascii="Cambria" w:cs="Cambria" w:eastAsia="Cambria" w:hAnsi="Cambria"/>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Normal1" w:customStyle="1">
    <w:name w:val="Table Normal1"/>
    <w:tblPr>
      <w:tblCellMar>
        <w:top w:w="0.0" w:type="dxa"/>
        <w:left w:w="0.0" w:type="dxa"/>
        <w:bottom w:w="0.0" w:type="dxa"/>
        <w:right w:w="0.0" w:type="dxa"/>
      </w:tblCellMar>
    </w:tblPr>
  </w:style>
  <w:style w:type="paragraph" w:styleId="ListParagraph">
    <w:name w:val="List Paragraph"/>
    <w:basedOn w:val="Normal"/>
    <w:qFormat w:val="1"/>
    <w:rsid w:val="00C30FB2"/>
    <w:pPr>
      <w:ind w:left="720"/>
      <w:contextualSpacing w:val="1"/>
    </w:pPr>
  </w:style>
  <w:style w:type="character" w:styleId="Hyperlink">
    <w:name w:val="Hyperlink"/>
    <w:basedOn w:val="DefaultParagraphFont"/>
    <w:uiPriority w:val="99"/>
    <w:unhideWhenUsed w:val="1"/>
    <w:rsid w:val="00C30FB2"/>
    <w:rPr>
      <w:color w:val="0000ff"/>
      <w:u w:val="single"/>
    </w:rPr>
  </w:style>
  <w:style w:type="character" w:styleId="UnresolvedMention">
    <w:name w:val="Unresolved Mention"/>
    <w:basedOn w:val="DefaultParagraphFont"/>
    <w:uiPriority w:val="99"/>
    <w:semiHidden w:val="1"/>
    <w:unhideWhenUsed w:val="1"/>
    <w:rsid w:val="00DA6460"/>
    <w:rPr>
      <w:color w:val="605e5c"/>
      <w:shd w:color="auto" w:fill="e1dfdd" w:val="clear"/>
    </w:rPr>
  </w:style>
  <w:style w:type="paragraph" w:styleId="Header">
    <w:name w:val="header"/>
    <w:link w:val="HeaderChar"/>
    <w:uiPriority w:val="99"/>
    <w:unhideWhenUsed w:val="1"/>
    <w:rsid w:val="00DA6460"/>
    <w:pPr>
      <w:tabs>
        <w:tab w:val="center" w:pos="4320"/>
        <w:tab w:val="right" w:pos="8640"/>
      </w:tabs>
      <w:spacing w:after="0" w:line="240" w:lineRule="auto"/>
    </w:pPr>
    <w:rPr>
      <w:rFonts w:ascii="Cambria" w:cs="Arial Unicode MS" w:eastAsia="Arial Unicode MS" w:hAnsi="Cambria"/>
      <w:color w:val="000000"/>
      <w:sz w:val="24"/>
      <w:szCs w:val="24"/>
      <w:u w:color="000000"/>
    </w:rPr>
  </w:style>
  <w:style w:type="character" w:styleId="HeaderChar" w:customStyle="1">
    <w:name w:val="Header Char"/>
    <w:basedOn w:val="DefaultParagraphFont"/>
    <w:link w:val="Header"/>
    <w:uiPriority w:val="99"/>
    <w:rsid w:val="00DA6460"/>
    <w:rPr>
      <w:rFonts w:ascii="Cambria" w:cs="Arial Unicode MS" w:eastAsia="Arial Unicode MS" w:hAnsi="Cambria"/>
      <w:color w:val="000000"/>
      <w:sz w:val="24"/>
      <w:szCs w:val="24"/>
      <w:u w:color="000000"/>
      <w:lang w:val="en"/>
    </w:rPr>
  </w:style>
  <w:style w:type="character" w:styleId="Ninguno" w:customStyle="1">
    <w:name w:val="Ninguno"/>
    <w:rsid w:val="00DA6460"/>
    <w:rPr>
      <w:lang w:val="en"/>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Footer">
    <w:name w:val="footer"/>
    <w:basedOn w:val="Normal"/>
    <w:link w:val="FooterChar"/>
    <w:uiPriority w:val="99"/>
    <w:unhideWhenUsed w:val="1"/>
    <w:rsid w:val="00BC03D8"/>
    <w:pPr>
      <w:tabs>
        <w:tab w:val="center" w:pos="4252"/>
        <w:tab w:val="right" w:pos="8504"/>
      </w:tabs>
      <w:spacing w:after="0" w:line="240" w:lineRule="auto"/>
    </w:pPr>
  </w:style>
  <w:style w:type="character" w:styleId="FooterChar" w:customStyle="1">
    <w:name w:val="Footer Char"/>
    <w:basedOn w:val="DefaultParagraphFont"/>
    <w:link w:val="Footer"/>
    <w:uiPriority w:val="99"/>
    <w:rsid w:val="00BC03D8"/>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NormalWeb">
    <w:name w:val="Normal (Web)"/>
    <w:basedOn w:val="Normal"/>
    <w:uiPriority w:val="99"/>
    <w:semiHidden w:val="1"/>
    <w:unhideWhenUsed w:val="1"/>
    <w:rsid w:val="00A81123"/>
    <w:pPr>
      <w:spacing w:after="100" w:afterAutospacing="1" w:before="100" w:beforeAutospacing="1" w:line="240" w:lineRule="auto"/>
    </w:pPr>
    <w:rPr>
      <w:rFonts w:ascii="Times New Roman" w:cs="Times New Roman" w:eastAsia="Times New Roman" w:hAnsi="Times New Roman"/>
      <w:sz w:val="24"/>
      <w:szCs w:val="24"/>
      <w:lang w:val="en-ES"/>
    </w:rPr>
  </w:style>
  <w:style w:type="paragraph" w:styleId="FootnoteText">
    <w:name w:val="footnote text"/>
    <w:basedOn w:val="Normal"/>
    <w:link w:val="FootnoteTextChar"/>
    <w:uiPriority w:val="99"/>
    <w:semiHidden w:val="1"/>
    <w:unhideWhenUsed w:val="1"/>
    <w:rsid w:val="00416B3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416B37"/>
    <w:rPr>
      <w:sz w:val="20"/>
      <w:szCs w:val="20"/>
    </w:rPr>
  </w:style>
  <w:style w:type="character" w:styleId="FootnoteReference">
    <w:name w:val="footnote reference"/>
    <w:basedOn w:val="DefaultParagraphFont"/>
    <w:uiPriority w:val="99"/>
    <w:semiHidden w:val="1"/>
    <w:unhideWhenUsed w:val="1"/>
    <w:rsid w:val="00416B37"/>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eldiario.es/sociedad/denuncia-diaria-ejercen-prostitucion-Espana_0_810869767.html" TargetMode="External"/><Relationship Id="rId11" Type="http://schemas.openxmlformats.org/officeDocument/2006/relationships/header" Target="header2.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0" Type="http://schemas.openxmlformats.org/officeDocument/2006/relationships/hyperlink" Target="https://www.unodc.org/unodc/en/frontpage/2020/December/exploited-and-prosecuted_-when-victims-of-human-trafficking-commit-crimes.html" TargetMode="External"/><Relationship Id="rId22" Type="http://schemas.openxmlformats.org/officeDocument/2006/relationships/hyperlink" Target="about:blank" TargetMode="External"/><Relationship Id="rId21" Type="http://schemas.openxmlformats.org/officeDocument/2006/relationships/hyperlink" Target="https://www.mundoenmovimiento.org/wp-content/uploads/2023/03/Represion_y_encierro-Informe_completo-2023.pdf" TargetMode="External"/><Relationship Id="rId24" Type="http://schemas.openxmlformats.org/officeDocument/2006/relationships/hyperlink" Target="https://www.cronicalibre.com/investigacion/cinco-asociaciones-que-defienden-la-prostitucion-reciben-24-millones-de-euros-de-fondos-publicos/" TargetMode="External"/><Relationship Id="rId23" Type="http://schemas.openxmlformats.org/officeDocument/2006/relationships/hyperlink" Target="https://www.frontlinedefenders.org/en/statement-report/first-global-report-sex-worker-rights-defenders-risk" TargetMode="External"/><Relationship Id="rId1" Type="http://schemas.openxmlformats.org/officeDocument/2006/relationships/hyperlink" Target="http://qpol.qub.ac.uk/sex-work-and-the-law-the-implementation-of-the-nordic-model-in-northern-ireland/" TargetMode="External"/><Relationship Id="rId2" Type="http://schemas.openxmlformats.org/officeDocument/2006/relationships/hyperlink" Target="https://hal-sciencespo.archives-ouvertes.fr/hal-02115877/document" TargetMode="External"/><Relationship Id="rId3" Type="http://schemas.openxmlformats.org/officeDocument/2006/relationships/hyperlink" Target="https://www.opendemocracy.net/en/beyond-trafficking-and-slavery/long-read-how-nordic-model-france-changed-everything-sex-workers/" TargetMode="External"/><Relationship Id="rId4" Type="http://schemas.openxmlformats.org/officeDocument/2006/relationships/hyperlink" Target="https://uglymugs.ie/wp-content/uploads/um-statement-26-mar-2019.pdf" TargetMode="External"/><Relationship Id="rId9" Type="http://schemas.openxmlformats.org/officeDocument/2006/relationships/hyperlink" Target="https://www.hrw.org/sites/default/files/report_pdf/southafrica0819_web_0.pdf" TargetMode="External"/><Relationship Id="rId26" Type="http://schemas.openxmlformats.org/officeDocument/2006/relationships/hyperlink" Target="https://www.ohchr.org/Documents/Issues/ESCR/InterAgencyStatementDiscriminationHealthCare.pdf" TargetMode="External"/><Relationship Id="rId25" Type="http://schemas.openxmlformats.org/officeDocument/2006/relationships/hyperlink" Target="https://murciasocial.carm.es/-/ayudas-y-subvencio-41" TargetMode="External"/><Relationship Id="rId5" Type="http://schemas.openxmlformats.org/officeDocument/2006/relationships/hyperlink" Target="https://www.hrw.org/news/2010/07/20/cambodia-sex-workers-face-unlawful-arrests-and-detention" TargetMode="External"/><Relationship Id="rId6" Type="http://schemas.openxmlformats.org/officeDocument/2006/relationships/hyperlink" Target="https://www.hrw.org/report/2013/05/14/swept-away/abuses-against-sex-workers-china" TargetMode="External"/><Relationship Id="rId7" Type="http://schemas.openxmlformats.org/officeDocument/2006/relationships/hyperlink" Target="https://www.hrw.org/news/2013/06/18/tanzania-police-abuse-torture-impede-hiv-services" TargetMode="External"/><Relationship Id="rId8" Type="http://schemas.openxmlformats.org/officeDocument/2006/relationships/hyperlink" Target="https://www.hrw.org/reports/2012/07/19/sex-workers-risk" TargetMode="External"/><Relationship Id="rId11" Type="http://schemas.openxmlformats.org/officeDocument/2006/relationships/hyperlink" Target="https://www.mjusticia.gob.es/es/AreaTematica/ActividadLegislativa/Documents/Anteproyecto%20de%20Ley%20Org%C3%A1nica%20Trata%20TAIP.pdf" TargetMode="External"/><Relationship Id="rId10" Type="http://schemas.openxmlformats.org/officeDocument/2006/relationships/hyperlink" Target="https://www.eldiario.es/comunitat-valenciana/politica/informe-prostitution-encargado-igualdad-desaconseja-modificacion-legal-abolicionista-plantea-pspv_1_10066211.html" TargetMode="External"/><Relationship Id="rId13" Type="http://schemas.openxmlformats.org/officeDocument/2006/relationships/hyperlink" Target="https://www.lse.ac.uk/women-peace-security/assets/documents/2022/W922-0152-WPS-Policy-Paper-6-singles.pdf" TargetMode="External"/><Relationship Id="rId12" Type="http://schemas.openxmlformats.org/officeDocument/2006/relationships/hyperlink" Target="https://www.lse.ac.uk/women-peace-security/assets/documents/2022/W922-0152-WPS-Policy-Paper-6-singles.pdf" TargetMode="External"/><Relationship Id="rId15" Type="http://schemas.openxmlformats.org/officeDocument/2006/relationships/hyperlink" Target="https://revistes.ub.edu/index.php/CriticaPenalPoder/article/view/26785/28088" TargetMode="External"/><Relationship Id="rId14" Type="http://schemas.openxmlformats.org/officeDocument/2006/relationships/hyperlink" Target="https://www.eldiario.es/sociedad/denuncia-diaria-ejercen-prostitucion-Espana_0_810869767.html" TargetMode="External"/><Relationship Id="rId17" Type="http://schemas.openxmlformats.org/officeDocument/2006/relationships/hyperlink" Target="https://www.interior.gob.es/opencms/pdf/prensa/balances-e-informes/2019/INFORME-DELITOS-CONTRA-LA-LIBERTAD-E-INDEMNIDAD-SEXUAL-2019-anual.pdf" TargetMode="External"/><Relationship Id="rId16" Type="http://schemas.openxmlformats.org/officeDocument/2006/relationships/hyperlink" Target="https://www.interior.gob.es/opencms/pdf/prensa/balances-e-informes/2018/INFORME-DELITOS-CONTRA-LA-LIBERTAD-E-INDEMNIDAD-SEXUAL-2018.pdf" TargetMode="External"/><Relationship Id="rId19" Type="http://schemas.openxmlformats.org/officeDocument/2006/relationships/hyperlink" Target="https://www.interior.gob.es/opencms/pdf/prensa/balances-e-informes/2021/Informe-delitos-contra-la-libertad-e-indemnidad-sexual-2021.pdf" TargetMode="External"/><Relationship Id="rId18" Type="http://schemas.openxmlformats.org/officeDocument/2006/relationships/hyperlink" Target="https://estadisticasdecriminalidad.ses.mir.es/publico/portalestadistico/dam/jcr:5cf7f0d9-b3a4-4767-8942-1a9c23e60212/INFORME%20DELITOS%20CONTRA%20LA%20LIBERTAD%20E%20INDEMNIDAD%20SEXUAL%202020.pdf"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plataformacedawca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vVmwyAAEa69dEgmsOEhco7AR9w==">AMUW2mU8TgeF+keTG5O23QVkN3dAPquyUoCl5W2vJuiQOpP8qWHLeYfI4+VwbuJs12iuMl30I1WmEmCHEa5H9GrI6On6qqN3AoYFUQdSK9ui4O306Xda6EEK9O5hHtkpmr5eYCe9oy8J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2023-04-07T09:20:00Z</dcterms:created>
  <dc:creator>Laura Viladevall Corominas</dc:creator>
</cp:coreProperties>
</file>