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194D8" w14:textId="79E76A5D" w:rsidR="004A7186" w:rsidRPr="007B1237" w:rsidRDefault="00027383" w:rsidP="00181775">
      <w:pPr>
        <w:jc w:val="center"/>
        <w:rPr>
          <w:rFonts w:ascii="Verdana" w:hAnsi="Verdana"/>
        </w:rPr>
      </w:pPr>
      <w:r>
        <w:rPr>
          <w:rFonts w:ascii="Verdana" w:hAnsi="Verdana"/>
          <w:b/>
          <w:bCs/>
          <w:noProof/>
          <w:sz w:val="22"/>
          <w:szCs w:val="22"/>
        </w:rPr>
        <w:drawing>
          <wp:anchor distT="0" distB="0" distL="114300" distR="114300" simplePos="0" relativeHeight="251660288" behindDoc="1" locked="0" layoutInCell="1" allowOverlap="1" wp14:anchorId="511B2279" wp14:editId="23F72252">
            <wp:simplePos x="0" y="0"/>
            <wp:positionH relativeFrom="column">
              <wp:posOffset>3625348</wp:posOffset>
            </wp:positionH>
            <wp:positionV relativeFrom="paragraph">
              <wp:posOffset>-233680</wp:posOffset>
            </wp:positionV>
            <wp:extent cx="1179830" cy="1051856"/>
            <wp:effectExtent l="0" t="0" r="1270" b="254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79830" cy="1051856"/>
                    </a:xfrm>
                    <a:prstGeom prst="rect">
                      <a:avLst/>
                    </a:prstGeom>
                  </pic:spPr>
                </pic:pic>
              </a:graphicData>
            </a:graphic>
            <wp14:sizeRelH relativeFrom="page">
              <wp14:pctWidth>0</wp14:pctWidth>
            </wp14:sizeRelH>
            <wp14:sizeRelV relativeFrom="page">
              <wp14:pctHeight>0</wp14:pctHeight>
            </wp14:sizeRelV>
          </wp:anchor>
        </w:drawing>
      </w:r>
      <w:r w:rsidRPr="007B1237">
        <w:rPr>
          <w:rFonts w:ascii="Verdana" w:hAnsi="Verdana"/>
          <w:bCs/>
          <w:noProof/>
          <w:sz w:val="18"/>
          <w:szCs w:val="18"/>
        </w:rPr>
        <w:drawing>
          <wp:anchor distT="0" distB="0" distL="114300" distR="114300" simplePos="0" relativeHeight="251659264" behindDoc="0" locked="0" layoutInCell="1" allowOverlap="1" wp14:anchorId="1DBC7438" wp14:editId="1A4601B9">
            <wp:simplePos x="0" y="0"/>
            <wp:positionH relativeFrom="column">
              <wp:posOffset>816965</wp:posOffset>
            </wp:positionH>
            <wp:positionV relativeFrom="paragraph">
              <wp:posOffset>-158750</wp:posOffset>
            </wp:positionV>
            <wp:extent cx="1964690" cy="778510"/>
            <wp:effectExtent l="0" t="0" r="3810" b="0"/>
            <wp:wrapNone/>
            <wp:docPr id="1" name="Picture 1" descr="icj_logo_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cj_logo_en"/>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44D039" w14:textId="05F506FB" w:rsidR="00181775" w:rsidRPr="007B1237" w:rsidRDefault="00181775">
      <w:pPr>
        <w:rPr>
          <w:rFonts w:ascii="Verdana" w:hAnsi="Verdana"/>
        </w:rPr>
      </w:pPr>
    </w:p>
    <w:p w14:paraId="241990B8" w14:textId="77777777" w:rsidR="00181775" w:rsidRPr="007B1237" w:rsidRDefault="00181775">
      <w:pPr>
        <w:rPr>
          <w:rFonts w:ascii="Verdana" w:hAnsi="Verdana"/>
        </w:rPr>
      </w:pPr>
    </w:p>
    <w:p w14:paraId="2DB38340" w14:textId="2C310484" w:rsidR="00181775" w:rsidRPr="007B1237" w:rsidRDefault="00181775">
      <w:pPr>
        <w:rPr>
          <w:rFonts w:ascii="Verdana" w:hAnsi="Verdana"/>
        </w:rPr>
      </w:pPr>
    </w:p>
    <w:p w14:paraId="142759FD" w14:textId="77777777" w:rsidR="00181775" w:rsidRPr="007B1237" w:rsidRDefault="00181775" w:rsidP="00181775">
      <w:pPr>
        <w:jc w:val="center"/>
        <w:rPr>
          <w:rFonts w:ascii="Verdana" w:hAnsi="Verdana"/>
        </w:rPr>
      </w:pPr>
    </w:p>
    <w:p w14:paraId="490173A2" w14:textId="40CF7D50" w:rsidR="00181775" w:rsidRDefault="00181775" w:rsidP="00181775">
      <w:pPr>
        <w:jc w:val="center"/>
        <w:rPr>
          <w:rFonts w:ascii="Verdana" w:hAnsi="Verdana"/>
          <w:b/>
          <w:bCs/>
        </w:rPr>
      </w:pPr>
    </w:p>
    <w:p w14:paraId="73074106" w14:textId="77777777" w:rsidR="007B1237" w:rsidRPr="007B1237" w:rsidRDefault="007B1237" w:rsidP="00181775">
      <w:pPr>
        <w:jc w:val="center"/>
        <w:rPr>
          <w:rFonts w:ascii="Verdana" w:hAnsi="Verdana"/>
          <w:b/>
          <w:bCs/>
        </w:rPr>
      </w:pPr>
    </w:p>
    <w:p w14:paraId="256C7584" w14:textId="44B403C5" w:rsidR="00181775" w:rsidRPr="007B1237" w:rsidRDefault="00181775" w:rsidP="00181775">
      <w:pPr>
        <w:jc w:val="center"/>
        <w:rPr>
          <w:rFonts w:ascii="Verdana" w:hAnsi="Verdana"/>
          <w:b/>
          <w:bCs/>
          <w:sz w:val="22"/>
          <w:szCs w:val="22"/>
        </w:rPr>
      </w:pPr>
      <w:r w:rsidRPr="007B1237">
        <w:rPr>
          <w:rFonts w:ascii="Verdana" w:hAnsi="Verdana"/>
          <w:b/>
          <w:bCs/>
          <w:sz w:val="22"/>
          <w:szCs w:val="22"/>
        </w:rPr>
        <w:t xml:space="preserve">UNITED NATIONS COMMITTEE ON THE ELIMINATION OF </w:t>
      </w:r>
    </w:p>
    <w:p w14:paraId="6AD78C5B" w14:textId="4CE50BB7" w:rsidR="00181775" w:rsidRPr="007B1237" w:rsidRDefault="00181775" w:rsidP="00181775">
      <w:pPr>
        <w:jc w:val="center"/>
        <w:rPr>
          <w:rFonts w:ascii="Verdana" w:hAnsi="Verdana"/>
          <w:b/>
          <w:bCs/>
          <w:sz w:val="22"/>
          <w:szCs w:val="22"/>
        </w:rPr>
      </w:pPr>
      <w:r w:rsidRPr="007B1237">
        <w:rPr>
          <w:rFonts w:ascii="Verdana" w:hAnsi="Verdana"/>
          <w:b/>
          <w:bCs/>
          <w:sz w:val="22"/>
          <w:szCs w:val="22"/>
        </w:rPr>
        <w:t>DISCRIMINATION AGAINST WOMEN</w:t>
      </w:r>
    </w:p>
    <w:p w14:paraId="09FF3F41" w14:textId="202A56F0" w:rsidR="00181775" w:rsidRPr="007B1237" w:rsidRDefault="00181775" w:rsidP="00181775">
      <w:pPr>
        <w:jc w:val="center"/>
        <w:rPr>
          <w:rFonts w:ascii="Verdana" w:hAnsi="Verdana"/>
          <w:sz w:val="22"/>
          <w:szCs w:val="22"/>
        </w:rPr>
      </w:pPr>
    </w:p>
    <w:p w14:paraId="326C99DA" w14:textId="371F4663" w:rsidR="00181775" w:rsidRPr="007B1237" w:rsidRDefault="00181775" w:rsidP="00181775">
      <w:pPr>
        <w:jc w:val="center"/>
        <w:rPr>
          <w:rFonts w:ascii="Verdana" w:hAnsi="Verdana"/>
          <w:sz w:val="22"/>
          <w:szCs w:val="22"/>
        </w:rPr>
      </w:pPr>
    </w:p>
    <w:p w14:paraId="45DC09A6" w14:textId="4BE1A4B9" w:rsidR="00181775" w:rsidRPr="007B1237" w:rsidRDefault="00181775" w:rsidP="00181775">
      <w:pPr>
        <w:jc w:val="center"/>
        <w:rPr>
          <w:rFonts w:ascii="Verdana" w:hAnsi="Verdana"/>
          <w:b/>
          <w:bCs/>
          <w:sz w:val="22"/>
          <w:szCs w:val="22"/>
        </w:rPr>
      </w:pPr>
    </w:p>
    <w:p w14:paraId="054CB11D" w14:textId="77777777" w:rsidR="001712CB" w:rsidRDefault="00D25AC6" w:rsidP="00181775">
      <w:pPr>
        <w:jc w:val="center"/>
        <w:rPr>
          <w:rFonts w:ascii="Verdana" w:hAnsi="Verdana"/>
          <w:b/>
          <w:bCs/>
          <w:sz w:val="22"/>
          <w:szCs w:val="22"/>
        </w:rPr>
      </w:pPr>
      <w:r>
        <w:rPr>
          <w:rFonts w:ascii="Verdana" w:hAnsi="Verdana"/>
          <w:b/>
          <w:bCs/>
          <w:sz w:val="22"/>
          <w:szCs w:val="22"/>
        </w:rPr>
        <w:t xml:space="preserve">JOINT SUBMISSION </w:t>
      </w:r>
      <w:r w:rsidR="001712CB">
        <w:rPr>
          <w:rFonts w:ascii="Verdana" w:hAnsi="Verdana"/>
          <w:b/>
          <w:bCs/>
          <w:sz w:val="22"/>
          <w:szCs w:val="22"/>
        </w:rPr>
        <w:t>ON</w:t>
      </w:r>
      <w:r w:rsidR="001712CB" w:rsidRPr="007B1237">
        <w:rPr>
          <w:rFonts w:ascii="Verdana" w:hAnsi="Verdana"/>
          <w:b/>
          <w:bCs/>
          <w:sz w:val="22"/>
          <w:szCs w:val="22"/>
        </w:rPr>
        <w:t xml:space="preserve"> </w:t>
      </w:r>
      <w:r w:rsidR="001712CB" w:rsidRPr="007B1237">
        <w:rPr>
          <w:rFonts w:ascii="Verdana" w:hAnsi="Verdana"/>
          <w:b/>
          <w:bCs/>
          <w:sz w:val="22"/>
          <w:szCs w:val="22"/>
          <w:u w:val="single"/>
        </w:rPr>
        <w:t>LEBANON</w:t>
      </w:r>
      <w:r w:rsidR="001712CB" w:rsidRPr="00AD1F35">
        <w:rPr>
          <w:rFonts w:ascii="Verdana" w:hAnsi="Verdana"/>
          <w:b/>
          <w:bCs/>
          <w:sz w:val="22"/>
          <w:szCs w:val="22"/>
        </w:rPr>
        <w:t xml:space="preserve"> </w:t>
      </w:r>
    </w:p>
    <w:p w14:paraId="380497D9" w14:textId="0C4B1C85" w:rsidR="00181775" w:rsidRPr="00AD1F35" w:rsidRDefault="007B1237" w:rsidP="00181775">
      <w:pPr>
        <w:jc w:val="center"/>
        <w:rPr>
          <w:rFonts w:ascii="Verdana" w:hAnsi="Verdana"/>
          <w:b/>
          <w:bCs/>
          <w:sz w:val="22"/>
          <w:szCs w:val="22"/>
        </w:rPr>
      </w:pPr>
      <w:r w:rsidRPr="007B1237">
        <w:rPr>
          <w:rFonts w:ascii="Verdana" w:hAnsi="Verdana"/>
          <w:b/>
          <w:bCs/>
          <w:sz w:val="22"/>
          <w:szCs w:val="22"/>
        </w:rPr>
        <w:t xml:space="preserve">TO THE </w:t>
      </w:r>
      <w:r>
        <w:rPr>
          <w:rFonts w:ascii="Verdana" w:hAnsi="Verdana"/>
          <w:b/>
          <w:bCs/>
          <w:sz w:val="22"/>
          <w:szCs w:val="22"/>
        </w:rPr>
        <w:t>79</w:t>
      </w:r>
      <w:r w:rsidRPr="007B1237">
        <w:rPr>
          <w:rFonts w:ascii="Verdana" w:hAnsi="Verdana"/>
          <w:b/>
          <w:bCs/>
          <w:sz w:val="22"/>
          <w:szCs w:val="22"/>
          <w:vertAlign w:val="superscript"/>
        </w:rPr>
        <w:t>th</w:t>
      </w:r>
      <w:r>
        <w:rPr>
          <w:rFonts w:ascii="Verdana" w:hAnsi="Verdana"/>
          <w:b/>
          <w:bCs/>
          <w:sz w:val="22"/>
          <w:szCs w:val="22"/>
        </w:rPr>
        <w:t xml:space="preserve"> PRE-SESSIONAL WORKING GROUP OF THE </w:t>
      </w:r>
      <w:r w:rsidRPr="007B1237">
        <w:rPr>
          <w:rFonts w:ascii="Verdana" w:hAnsi="Verdana"/>
          <w:b/>
          <w:bCs/>
          <w:sz w:val="22"/>
          <w:szCs w:val="22"/>
        </w:rPr>
        <w:t>COMMITTEE ON</w:t>
      </w:r>
      <w:r>
        <w:rPr>
          <w:rFonts w:ascii="Verdana" w:hAnsi="Verdana"/>
          <w:b/>
          <w:bCs/>
          <w:sz w:val="22"/>
          <w:szCs w:val="22"/>
        </w:rPr>
        <w:t xml:space="preserve"> THE ELIMINATION OF DISCRIMINATION AGAINST WOMEN </w:t>
      </w:r>
      <w:r w:rsidR="00AD1F35" w:rsidRPr="00AD1F35">
        <w:rPr>
          <w:rFonts w:ascii="Verdana" w:hAnsi="Verdana"/>
          <w:b/>
          <w:bCs/>
          <w:sz w:val="22"/>
          <w:szCs w:val="22"/>
        </w:rPr>
        <w:t>BY</w:t>
      </w:r>
      <w:r w:rsidR="00AD1F35">
        <w:rPr>
          <w:rFonts w:ascii="Verdana" w:hAnsi="Verdana"/>
          <w:b/>
          <w:bCs/>
          <w:sz w:val="22"/>
          <w:szCs w:val="22"/>
        </w:rPr>
        <w:t xml:space="preserve"> THE </w:t>
      </w:r>
      <w:r w:rsidR="00AD1F35" w:rsidRPr="007B1237">
        <w:rPr>
          <w:rFonts w:ascii="Verdana" w:hAnsi="Verdana"/>
          <w:b/>
          <w:bCs/>
          <w:sz w:val="22"/>
          <w:szCs w:val="22"/>
        </w:rPr>
        <w:t xml:space="preserve">INTERNATIONAL COMMISSION OF JURISTS </w:t>
      </w:r>
      <w:r w:rsidR="00AD1F35">
        <w:rPr>
          <w:rFonts w:ascii="Verdana" w:hAnsi="Verdana"/>
          <w:b/>
          <w:bCs/>
          <w:sz w:val="22"/>
          <w:szCs w:val="22"/>
        </w:rPr>
        <w:t>AND ABAAD RESOURCE CENTER FOR GENDER EQUALITY</w:t>
      </w:r>
    </w:p>
    <w:p w14:paraId="036A885B" w14:textId="23FA0643" w:rsidR="007B1237" w:rsidRPr="007B1237" w:rsidRDefault="007B1237" w:rsidP="00181775">
      <w:pPr>
        <w:jc w:val="center"/>
        <w:rPr>
          <w:rFonts w:ascii="Verdana" w:hAnsi="Verdana"/>
          <w:b/>
          <w:bCs/>
          <w:sz w:val="22"/>
          <w:szCs w:val="22"/>
        </w:rPr>
      </w:pPr>
    </w:p>
    <w:p w14:paraId="400CDD40" w14:textId="679C1712" w:rsidR="00181775" w:rsidRPr="007B1237" w:rsidRDefault="007B1237" w:rsidP="00181775">
      <w:pPr>
        <w:jc w:val="center"/>
        <w:rPr>
          <w:rFonts w:ascii="Verdana" w:hAnsi="Verdana"/>
          <w:sz w:val="22"/>
          <w:szCs w:val="22"/>
        </w:rPr>
      </w:pPr>
      <w:r>
        <w:rPr>
          <w:rFonts w:ascii="Verdana" w:hAnsi="Verdana"/>
          <w:sz w:val="22"/>
          <w:szCs w:val="22"/>
        </w:rPr>
        <w:t>Submitted on 12 October 2020</w:t>
      </w:r>
    </w:p>
    <w:p w14:paraId="71F544E6" w14:textId="69611281" w:rsidR="00181775" w:rsidRPr="007B1237" w:rsidRDefault="00181775" w:rsidP="00181775">
      <w:pPr>
        <w:jc w:val="center"/>
        <w:rPr>
          <w:rFonts w:ascii="Verdana" w:hAnsi="Verdana"/>
          <w:sz w:val="22"/>
          <w:szCs w:val="22"/>
        </w:rPr>
      </w:pPr>
    </w:p>
    <w:p w14:paraId="4C0FCEE1" w14:textId="15807CC9" w:rsidR="00181775" w:rsidRPr="007B1237" w:rsidRDefault="00181775" w:rsidP="00181775">
      <w:pPr>
        <w:jc w:val="center"/>
        <w:rPr>
          <w:rFonts w:ascii="Verdana" w:hAnsi="Verdana"/>
          <w:sz w:val="22"/>
          <w:szCs w:val="22"/>
        </w:rPr>
      </w:pPr>
    </w:p>
    <w:p w14:paraId="7D3FE5D6" w14:textId="3BE788B6" w:rsidR="00181775" w:rsidRDefault="00181775" w:rsidP="00181775">
      <w:pPr>
        <w:jc w:val="center"/>
        <w:rPr>
          <w:rFonts w:ascii="Verdana" w:hAnsi="Verdana"/>
          <w:sz w:val="22"/>
          <w:szCs w:val="22"/>
        </w:rPr>
      </w:pPr>
    </w:p>
    <w:p w14:paraId="3C7473BA" w14:textId="5A887698" w:rsidR="00477499" w:rsidRDefault="00477499" w:rsidP="00181775">
      <w:pPr>
        <w:jc w:val="center"/>
        <w:rPr>
          <w:rFonts w:ascii="Verdana" w:hAnsi="Verdana"/>
          <w:sz w:val="22"/>
          <w:szCs w:val="22"/>
        </w:rPr>
      </w:pPr>
    </w:p>
    <w:p w14:paraId="403A7EC2" w14:textId="77777777" w:rsidR="00477499" w:rsidRPr="007B1237" w:rsidRDefault="00477499" w:rsidP="00181775">
      <w:pPr>
        <w:jc w:val="center"/>
        <w:rPr>
          <w:rFonts w:ascii="Verdana" w:hAnsi="Verdana"/>
          <w:sz w:val="22"/>
          <w:szCs w:val="22"/>
        </w:rPr>
      </w:pPr>
    </w:p>
    <w:p w14:paraId="2C968709" w14:textId="77777777" w:rsidR="00181775" w:rsidRPr="00B70BD4" w:rsidRDefault="00181775" w:rsidP="00181775">
      <w:pPr>
        <w:jc w:val="both"/>
        <w:rPr>
          <w:rFonts w:ascii="Verdana" w:hAnsi="Verdana"/>
          <w:b/>
          <w:bCs/>
          <w:color w:val="000000" w:themeColor="text1"/>
          <w:sz w:val="22"/>
          <w:szCs w:val="22"/>
          <w:lang w:val="en-GB"/>
        </w:rPr>
      </w:pPr>
    </w:p>
    <w:p w14:paraId="25C7278F" w14:textId="4882D8BB" w:rsidR="00181775" w:rsidRDefault="00181775" w:rsidP="00181775">
      <w:pPr>
        <w:jc w:val="both"/>
        <w:rPr>
          <w:rFonts w:ascii="Verdana" w:hAnsi="Verdana"/>
          <w:bCs/>
          <w:color w:val="000000" w:themeColor="text1"/>
          <w:sz w:val="22"/>
          <w:szCs w:val="22"/>
          <w:lang w:val="en-GB"/>
        </w:rPr>
      </w:pPr>
      <w:r w:rsidRPr="007B1237">
        <w:rPr>
          <w:rFonts w:ascii="Verdana" w:hAnsi="Verdana"/>
          <w:i/>
          <w:iCs/>
          <w:color w:val="000000" w:themeColor="text1"/>
          <w:sz w:val="22"/>
          <w:szCs w:val="22"/>
          <w:lang w:val="en-GB"/>
        </w:rPr>
        <w:t>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in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r w:rsidRPr="007B1237">
        <w:rPr>
          <w:rFonts w:ascii="Verdana" w:hAnsi="Verdana"/>
          <w:bCs/>
          <w:color w:val="000000" w:themeColor="text1"/>
          <w:sz w:val="22"/>
          <w:szCs w:val="22"/>
          <w:lang w:val="en-GB"/>
        </w:rPr>
        <w:t>.</w:t>
      </w:r>
    </w:p>
    <w:p w14:paraId="5EC1499C" w14:textId="3831D10B" w:rsidR="00A21AB1" w:rsidRDefault="00A21AB1" w:rsidP="00181775">
      <w:pPr>
        <w:jc w:val="both"/>
        <w:rPr>
          <w:rFonts w:ascii="Verdana" w:hAnsi="Verdana"/>
          <w:bCs/>
          <w:color w:val="000000" w:themeColor="text1"/>
          <w:sz w:val="22"/>
          <w:szCs w:val="22"/>
          <w:lang w:val="en-GB"/>
        </w:rPr>
      </w:pPr>
    </w:p>
    <w:p w14:paraId="6A2D77FF" w14:textId="2F83E8DF" w:rsidR="00A21AB1" w:rsidRPr="00477499" w:rsidRDefault="00A21AB1" w:rsidP="00181775">
      <w:pPr>
        <w:jc w:val="both"/>
        <w:rPr>
          <w:rFonts w:ascii="Verdana" w:hAnsi="Verdana"/>
          <w:i/>
          <w:iCs/>
          <w:color w:val="000000" w:themeColor="text1"/>
          <w:sz w:val="22"/>
          <w:szCs w:val="22"/>
          <w:lang w:val="en-GB"/>
        </w:rPr>
      </w:pPr>
      <w:r w:rsidRPr="00477499">
        <w:rPr>
          <w:rFonts w:ascii="Verdana" w:hAnsi="Verdana"/>
          <w:i/>
          <w:iCs/>
          <w:color w:val="000000" w:themeColor="text1"/>
          <w:sz w:val="22"/>
          <w:szCs w:val="22"/>
          <w:lang w:val="en-GB"/>
        </w:rPr>
        <w:t xml:space="preserve">ABAAD Resource </w:t>
      </w:r>
      <w:proofErr w:type="spellStart"/>
      <w:r w:rsidRPr="00477499">
        <w:rPr>
          <w:rFonts w:ascii="Verdana" w:hAnsi="Verdana"/>
          <w:i/>
          <w:iCs/>
          <w:color w:val="000000" w:themeColor="text1"/>
          <w:sz w:val="22"/>
          <w:szCs w:val="22"/>
          <w:lang w:val="en-GB"/>
        </w:rPr>
        <w:t>Center</w:t>
      </w:r>
      <w:proofErr w:type="spellEnd"/>
      <w:r w:rsidRPr="00477499">
        <w:rPr>
          <w:rFonts w:ascii="Verdana" w:hAnsi="Verdana"/>
          <w:i/>
          <w:iCs/>
          <w:color w:val="000000" w:themeColor="text1"/>
          <w:sz w:val="22"/>
          <w:szCs w:val="22"/>
          <w:lang w:val="en-GB"/>
        </w:rPr>
        <w:t xml:space="preserve"> </w:t>
      </w:r>
      <w:r w:rsidR="00477499" w:rsidRPr="00477499">
        <w:rPr>
          <w:rFonts w:ascii="Verdana" w:hAnsi="Verdana"/>
          <w:i/>
          <w:iCs/>
          <w:color w:val="000000" w:themeColor="text1"/>
          <w:sz w:val="22"/>
          <w:szCs w:val="22"/>
          <w:lang w:val="en-GB"/>
        </w:rPr>
        <w:t>for Gender Equality (ABAAD) is a UN ECOSOC accredited organization that aims to achieve gender equality in the MENA region. Comprised of activists, lawyers, social workers and researchers, ABAAD advocates for the development and implementation of laws and policies that enhance women’s effective participation</w:t>
      </w:r>
      <w:r w:rsidR="006D3D20">
        <w:rPr>
          <w:rFonts w:ascii="Verdana" w:hAnsi="Verdana"/>
          <w:i/>
          <w:iCs/>
          <w:color w:val="000000" w:themeColor="text1"/>
          <w:sz w:val="22"/>
          <w:szCs w:val="22"/>
          <w:lang w:val="en-GB"/>
        </w:rPr>
        <w:t>,</w:t>
      </w:r>
      <w:r w:rsidR="00477499" w:rsidRPr="00477499">
        <w:rPr>
          <w:rFonts w:ascii="Verdana" w:hAnsi="Verdana"/>
          <w:i/>
          <w:iCs/>
          <w:color w:val="000000" w:themeColor="text1"/>
          <w:sz w:val="22"/>
          <w:szCs w:val="22"/>
          <w:lang w:val="en-GB"/>
        </w:rPr>
        <w:t xml:space="preserve"> through a rights-based approach that would bring about tangible change to gender justice. ABAAD is committed to ending gender-based violence (GBV) against women and girls, providing protection and support services to GBV survivors. </w:t>
      </w:r>
    </w:p>
    <w:p w14:paraId="644550C5" w14:textId="1F6FBA04" w:rsidR="00181775" w:rsidRPr="00A21AB1" w:rsidRDefault="00181775" w:rsidP="00181775">
      <w:pPr>
        <w:pStyle w:val="BodyA"/>
        <w:spacing w:after="0" w:line="240" w:lineRule="auto"/>
        <w:rPr>
          <w:rStyle w:val="PageNumber"/>
          <w:rFonts w:ascii="Verdana" w:hAnsi="Verdana"/>
          <w:sz w:val="22"/>
          <w:szCs w:val="22"/>
        </w:rPr>
      </w:pPr>
    </w:p>
    <w:p w14:paraId="1C3FE0F4" w14:textId="59A5BEA4" w:rsidR="007B1237" w:rsidRPr="00A21AB1" w:rsidRDefault="007B1237" w:rsidP="00181775">
      <w:pPr>
        <w:pStyle w:val="BodyA"/>
        <w:spacing w:after="0" w:line="240" w:lineRule="auto"/>
        <w:rPr>
          <w:rStyle w:val="PageNumber"/>
          <w:rFonts w:ascii="Verdana" w:hAnsi="Verdana"/>
          <w:sz w:val="22"/>
          <w:szCs w:val="22"/>
        </w:rPr>
      </w:pPr>
    </w:p>
    <w:p w14:paraId="3D107153" w14:textId="77777777" w:rsidR="00E06B3B" w:rsidRPr="00A21AB1" w:rsidRDefault="00E06B3B" w:rsidP="00181775">
      <w:pPr>
        <w:pStyle w:val="BodyA"/>
        <w:spacing w:after="0" w:line="240" w:lineRule="auto"/>
        <w:rPr>
          <w:rStyle w:val="PageNumber"/>
          <w:rFonts w:ascii="Verdana" w:hAnsi="Verdana"/>
          <w:sz w:val="22"/>
          <w:szCs w:val="22"/>
        </w:rPr>
      </w:pPr>
    </w:p>
    <w:p w14:paraId="52387BC5" w14:textId="77777777" w:rsidR="00181775" w:rsidRPr="00A21AB1" w:rsidRDefault="00181775" w:rsidP="00181775">
      <w:pPr>
        <w:pStyle w:val="BodyA"/>
        <w:spacing w:after="0" w:line="240" w:lineRule="auto"/>
        <w:jc w:val="center"/>
        <w:rPr>
          <w:rFonts w:ascii="Verdana" w:hAnsi="Verdana"/>
          <w:sz w:val="22"/>
          <w:szCs w:val="22"/>
          <w:lang w:val="fr-CH"/>
        </w:rPr>
      </w:pPr>
      <w:r w:rsidRPr="00A21AB1">
        <w:rPr>
          <w:rStyle w:val="PageNumber"/>
          <w:rFonts w:ascii="Verdana" w:hAnsi="Verdana"/>
          <w:sz w:val="22"/>
          <w:szCs w:val="22"/>
          <w:lang w:val="fr-CH"/>
        </w:rPr>
        <w:t>P.O. Box, 91, Rue des Bains, 33, 1211 Geneva 8, Switzerland</w:t>
      </w:r>
    </w:p>
    <w:p w14:paraId="14ED5BC0" w14:textId="31525737" w:rsidR="007A3E31" w:rsidRDefault="00181775" w:rsidP="00181775">
      <w:pPr>
        <w:pStyle w:val="BodyA"/>
        <w:spacing w:after="0" w:line="240" w:lineRule="auto"/>
        <w:jc w:val="center"/>
        <w:rPr>
          <w:rStyle w:val="PageNumber"/>
          <w:rFonts w:ascii="Verdana" w:hAnsi="Verdana"/>
          <w:sz w:val="22"/>
          <w:szCs w:val="22"/>
        </w:rPr>
      </w:pPr>
      <w:r w:rsidRPr="007B1237">
        <w:rPr>
          <w:rStyle w:val="PageNumber"/>
          <w:rFonts w:ascii="Verdana" w:hAnsi="Verdana"/>
          <w:sz w:val="22"/>
          <w:szCs w:val="22"/>
        </w:rPr>
        <w:t xml:space="preserve">Tel: +41(0)22 979 3800 </w:t>
      </w:r>
      <w:r w:rsidR="007A3E31">
        <w:rPr>
          <w:rStyle w:val="PageNumber"/>
          <w:rFonts w:ascii="Verdana" w:hAnsi="Verdana"/>
          <w:sz w:val="22"/>
          <w:szCs w:val="22"/>
        </w:rPr>
        <w:t xml:space="preserve">– </w:t>
      </w:r>
      <w:r w:rsidRPr="007B1237">
        <w:rPr>
          <w:rStyle w:val="PageNumber"/>
          <w:rFonts w:ascii="Verdana" w:hAnsi="Verdana"/>
          <w:sz w:val="22"/>
          <w:szCs w:val="22"/>
        </w:rPr>
        <w:t xml:space="preserve">Fax: +40(1)22 979 3801 </w:t>
      </w:r>
    </w:p>
    <w:p w14:paraId="5BF1051D" w14:textId="70E57FE8" w:rsidR="00181775" w:rsidRPr="007B1237" w:rsidRDefault="00181775" w:rsidP="00181775">
      <w:pPr>
        <w:pStyle w:val="BodyA"/>
        <w:spacing w:after="0" w:line="240" w:lineRule="auto"/>
        <w:jc w:val="center"/>
        <w:rPr>
          <w:rFonts w:ascii="Verdana" w:hAnsi="Verdana"/>
          <w:sz w:val="22"/>
          <w:szCs w:val="22"/>
        </w:rPr>
      </w:pPr>
      <w:r w:rsidRPr="007B1237">
        <w:rPr>
          <w:rStyle w:val="PageNumber"/>
          <w:rFonts w:ascii="Verdana" w:hAnsi="Verdana"/>
          <w:sz w:val="22"/>
          <w:szCs w:val="22"/>
        </w:rPr>
        <w:t xml:space="preserve">Website: </w:t>
      </w:r>
      <w:hyperlink r:id="rId10" w:history="1">
        <w:r w:rsidRPr="007B1237">
          <w:rPr>
            <w:rStyle w:val="Hyperlink0"/>
            <w:sz w:val="22"/>
            <w:szCs w:val="22"/>
          </w:rPr>
          <w:t>http://www.icj.org</w:t>
        </w:r>
      </w:hyperlink>
      <w:r w:rsidRPr="00A21AB1">
        <w:rPr>
          <w:rStyle w:val="PageNumber"/>
          <w:rFonts w:ascii="Verdana" w:hAnsi="Verdana"/>
          <w:sz w:val="22"/>
          <w:szCs w:val="22"/>
        </w:rPr>
        <w:t xml:space="preserve">  </w:t>
      </w:r>
    </w:p>
    <w:p w14:paraId="5B385A16" w14:textId="72896E5A" w:rsidR="00181775" w:rsidRPr="007B1237" w:rsidRDefault="00181775" w:rsidP="006D3D20">
      <w:pPr>
        <w:pStyle w:val="BodyA"/>
        <w:spacing w:after="0" w:line="240" w:lineRule="auto"/>
        <w:jc w:val="center"/>
        <w:rPr>
          <w:lang w:val="en-GB"/>
        </w:rPr>
      </w:pPr>
      <w:r w:rsidRPr="007B1237">
        <w:rPr>
          <w:rStyle w:val="PageNumber"/>
          <w:rFonts w:ascii="Verdana" w:hAnsi="Verdana"/>
          <w:sz w:val="22"/>
          <w:szCs w:val="22"/>
        </w:rPr>
        <w:t xml:space="preserve">E-mail: </w:t>
      </w:r>
      <w:hyperlink r:id="rId11" w:history="1">
        <w:r w:rsidRPr="007B1237">
          <w:rPr>
            <w:rStyle w:val="Hyperlink1"/>
            <w:sz w:val="22"/>
            <w:szCs w:val="22"/>
          </w:rPr>
          <w:t>info@icj.org</w:t>
        </w:r>
      </w:hyperlink>
      <w:r w:rsidRPr="007B1237">
        <w:br w:type="page"/>
      </w:r>
    </w:p>
    <w:p w14:paraId="3546C4C8" w14:textId="77777777" w:rsidR="009E5664" w:rsidRPr="007B081C" w:rsidRDefault="00D25AC6" w:rsidP="009E5664">
      <w:pPr>
        <w:jc w:val="center"/>
        <w:rPr>
          <w:rFonts w:ascii="Verdana" w:hAnsi="Verdana"/>
          <w:b/>
          <w:bCs/>
          <w:sz w:val="18"/>
          <w:szCs w:val="18"/>
        </w:rPr>
      </w:pPr>
      <w:r w:rsidRPr="007B081C">
        <w:rPr>
          <w:rFonts w:ascii="Verdana" w:hAnsi="Verdana"/>
          <w:b/>
          <w:bCs/>
          <w:sz w:val="18"/>
          <w:szCs w:val="18"/>
        </w:rPr>
        <w:lastRenderedPageBreak/>
        <w:t>JOINT</w:t>
      </w:r>
      <w:r w:rsidR="007B1237" w:rsidRPr="007B081C">
        <w:rPr>
          <w:rFonts w:ascii="Verdana" w:hAnsi="Verdana"/>
          <w:b/>
          <w:bCs/>
          <w:sz w:val="18"/>
          <w:szCs w:val="18"/>
        </w:rPr>
        <w:t xml:space="preserve"> SUBMISSION </w:t>
      </w:r>
      <w:r w:rsidR="009E5664" w:rsidRPr="007B081C">
        <w:rPr>
          <w:rFonts w:ascii="Verdana" w:hAnsi="Verdana"/>
          <w:b/>
          <w:bCs/>
          <w:sz w:val="18"/>
          <w:szCs w:val="18"/>
        </w:rPr>
        <w:t xml:space="preserve">ON LEBANON </w:t>
      </w:r>
    </w:p>
    <w:p w14:paraId="2AAE3C39" w14:textId="76F7F40F" w:rsidR="007B1237" w:rsidRPr="007B081C" w:rsidRDefault="007B1237" w:rsidP="009E5664">
      <w:pPr>
        <w:jc w:val="center"/>
        <w:rPr>
          <w:rFonts w:ascii="Verdana" w:hAnsi="Verdana"/>
          <w:b/>
          <w:bCs/>
          <w:sz w:val="18"/>
          <w:szCs w:val="18"/>
        </w:rPr>
      </w:pPr>
      <w:r w:rsidRPr="007B081C">
        <w:rPr>
          <w:rFonts w:ascii="Verdana" w:hAnsi="Verdana"/>
          <w:b/>
          <w:bCs/>
          <w:sz w:val="18"/>
          <w:szCs w:val="18"/>
        </w:rPr>
        <w:t>TO THE 79</w:t>
      </w:r>
      <w:r w:rsidRPr="007B081C">
        <w:rPr>
          <w:rFonts w:ascii="Verdana" w:hAnsi="Verdana"/>
          <w:b/>
          <w:bCs/>
          <w:sz w:val="18"/>
          <w:szCs w:val="18"/>
          <w:vertAlign w:val="superscript"/>
        </w:rPr>
        <w:t>th</w:t>
      </w:r>
      <w:r w:rsidRPr="007B081C">
        <w:rPr>
          <w:rFonts w:ascii="Verdana" w:hAnsi="Verdana"/>
          <w:b/>
          <w:bCs/>
          <w:sz w:val="18"/>
          <w:szCs w:val="18"/>
        </w:rPr>
        <w:t xml:space="preserve"> PRE-SESSIONAL WORKING GROUP OF THE COMMITTEE ON THE ELIMINATION OF DISCRIMINATION AGAINST WOMEN </w:t>
      </w:r>
      <w:r w:rsidR="00BB13E2" w:rsidRPr="007B081C">
        <w:rPr>
          <w:rFonts w:ascii="Verdana" w:hAnsi="Verdana"/>
          <w:b/>
          <w:bCs/>
          <w:sz w:val="18"/>
          <w:szCs w:val="18"/>
        </w:rPr>
        <w:t>BY INTERNATIONAL COMMISSION OF JURISTS AND ABAAD</w:t>
      </w:r>
      <w:r w:rsidR="00BB13E2" w:rsidRPr="007B081C">
        <w:rPr>
          <w:rFonts w:ascii="Verdana" w:hAnsi="Verdana"/>
          <w:b/>
          <w:sz w:val="18"/>
          <w:szCs w:val="18"/>
        </w:rPr>
        <w:t xml:space="preserve"> RESOURCE CENTER FOR GENDER EQUALITY</w:t>
      </w:r>
      <w:r w:rsidR="00BB13E2" w:rsidRPr="007B081C">
        <w:rPr>
          <w:rFonts w:ascii="Verdana" w:hAnsi="Verdana"/>
          <w:b/>
          <w:bCs/>
          <w:sz w:val="18"/>
          <w:szCs w:val="18"/>
        </w:rPr>
        <w:t xml:space="preserve"> </w:t>
      </w:r>
    </w:p>
    <w:p w14:paraId="63C53CCE" w14:textId="77777777" w:rsidR="007B1237" w:rsidRPr="007B081C" w:rsidRDefault="007B1237" w:rsidP="007B081C">
      <w:pPr>
        <w:rPr>
          <w:rFonts w:ascii="Verdana" w:hAnsi="Verdana"/>
          <w:b/>
          <w:bCs/>
          <w:sz w:val="18"/>
          <w:szCs w:val="18"/>
        </w:rPr>
      </w:pPr>
    </w:p>
    <w:p w14:paraId="0D059580" w14:textId="1ACA08D2" w:rsidR="007B1237" w:rsidRPr="007B081C" w:rsidRDefault="007B1237" w:rsidP="007B081C">
      <w:pPr>
        <w:pStyle w:val="ListParagraph"/>
        <w:numPr>
          <w:ilvl w:val="0"/>
          <w:numId w:val="5"/>
        </w:numPr>
        <w:rPr>
          <w:rFonts w:ascii="Verdana" w:hAnsi="Verdana"/>
          <w:b/>
          <w:bCs/>
          <w:sz w:val="18"/>
          <w:szCs w:val="18"/>
        </w:rPr>
      </w:pPr>
      <w:r w:rsidRPr="007B081C">
        <w:rPr>
          <w:rFonts w:ascii="Verdana" w:hAnsi="Verdana"/>
          <w:b/>
          <w:bCs/>
          <w:sz w:val="18"/>
          <w:szCs w:val="18"/>
        </w:rPr>
        <w:t xml:space="preserve">Introduction </w:t>
      </w:r>
    </w:p>
    <w:p w14:paraId="6703B569" w14:textId="426D403F" w:rsidR="007B1237" w:rsidRPr="007B081C" w:rsidRDefault="007B1237" w:rsidP="007B081C">
      <w:pPr>
        <w:rPr>
          <w:rFonts w:ascii="Verdana" w:hAnsi="Verdana"/>
          <w:b/>
          <w:bCs/>
          <w:sz w:val="18"/>
          <w:szCs w:val="18"/>
        </w:rPr>
      </w:pPr>
    </w:p>
    <w:p w14:paraId="744692BD" w14:textId="31CE5227" w:rsidR="007B1237" w:rsidRPr="007B081C" w:rsidRDefault="007B1237" w:rsidP="007B081C">
      <w:pPr>
        <w:pStyle w:val="ListParagraph"/>
        <w:numPr>
          <w:ilvl w:val="0"/>
          <w:numId w:val="3"/>
        </w:numPr>
        <w:jc w:val="lowKashida"/>
        <w:rPr>
          <w:rFonts w:ascii="Verdana" w:hAnsi="Verdana"/>
          <w:sz w:val="18"/>
          <w:szCs w:val="18"/>
        </w:rPr>
      </w:pPr>
      <w:r w:rsidRPr="007B081C">
        <w:rPr>
          <w:rFonts w:ascii="Verdana" w:hAnsi="Verdana"/>
          <w:sz w:val="18"/>
          <w:szCs w:val="18"/>
        </w:rPr>
        <w:t xml:space="preserve">The International Commission of </w:t>
      </w:r>
      <w:r w:rsidR="00536394" w:rsidRPr="007B081C">
        <w:rPr>
          <w:rFonts w:ascii="Verdana" w:hAnsi="Verdana"/>
          <w:sz w:val="18"/>
          <w:szCs w:val="18"/>
        </w:rPr>
        <w:t>Jurists</w:t>
      </w:r>
      <w:r w:rsidRPr="007B081C">
        <w:rPr>
          <w:rFonts w:ascii="Verdana" w:hAnsi="Verdana"/>
          <w:sz w:val="18"/>
          <w:szCs w:val="18"/>
        </w:rPr>
        <w:t xml:space="preserve"> (ICJ) and ABAAD</w:t>
      </w:r>
      <w:r w:rsidR="00487102" w:rsidRPr="007B081C">
        <w:rPr>
          <w:rFonts w:ascii="Verdana" w:hAnsi="Verdana"/>
          <w:sz w:val="18"/>
          <w:szCs w:val="18"/>
        </w:rPr>
        <w:t xml:space="preserve"> Resource Center for Gender Equality (ABAAD)</w:t>
      </w:r>
      <w:r w:rsidR="003C1951" w:rsidRPr="007B081C">
        <w:rPr>
          <w:rFonts w:ascii="Verdana" w:hAnsi="Verdana"/>
          <w:sz w:val="18"/>
          <w:szCs w:val="18"/>
        </w:rPr>
        <w:t xml:space="preserve"> </w:t>
      </w:r>
      <w:r w:rsidRPr="007B081C">
        <w:rPr>
          <w:rFonts w:ascii="Verdana" w:hAnsi="Verdana"/>
          <w:sz w:val="18"/>
          <w:szCs w:val="18"/>
        </w:rPr>
        <w:t xml:space="preserve">welcome the opportunity to contribute to </w:t>
      </w:r>
      <w:r w:rsidR="006934ED" w:rsidRPr="007B081C">
        <w:rPr>
          <w:rFonts w:ascii="Verdana" w:hAnsi="Verdana"/>
          <w:sz w:val="18"/>
          <w:szCs w:val="18"/>
        </w:rPr>
        <w:t xml:space="preserve">the </w:t>
      </w:r>
      <w:r w:rsidR="00AA73BE" w:rsidRPr="007B081C">
        <w:rPr>
          <w:rFonts w:ascii="Verdana" w:hAnsi="Verdana"/>
          <w:sz w:val="18"/>
          <w:szCs w:val="18"/>
        </w:rPr>
        <w:t xml:space="preserve">preparation of a list of issues and questions by the pre-sessional working </w:t>
      </w:r>
      <w:r w:rsidR="007B081C">
        <w:rPr>
          <w:rFonts w:ascii="Verdana" w:hAnsi="Verdana"/>
          <w:sz w:val="18"/>
          <w:szCs w:val="18"/>
        </w:rPr>
        <w:t xml:space="preserve">group </w:t>
      </w:r>
      <w:r w:rsidR="00AA73BE" w:rsidRPr="007B081C">
        <w:rPr>
          <w:rFonts w:ascii="Verdana" w:hAnsi="Verdana"/>
          <w:sz w:val="18"/>
          <w:szCs w:val="18"/>
        </w:rPr>
        <w:t xml:space="preserve">of the </w:t>
      </w:r>
      <w:r w:rsidRPr="007B081C">
        <w:rPr>
          <w:rFonts w:ascii="Verdana" w:hAnsi="Verdana"/>
          <w:sz w:val="18"/>
          <w:szCs w:val="18"/>
        </w:rPr>
        <w:t xml:space="preserve">Committee on the Elimination of Discrimination against Women (CEDAW Committee) </w:t>
      </w:r>
      <w:r w:rsidR="00AA73BE" w:rsidRPr="007B081C">
        <w:rPr>
          <w:rFonts w:ascii="Verdana" w:hAnsi="Verdana"/>
          <w:sz w:val="18"/>
          <w:szCs w:val="18"/>
        </w:rPr>
        <w:t xml:space="preserve">in advance of its review </w:t>
      </w:r>
      <w:r w:rsidRPr="007B081C">
        <w:rPr>
          <w:rFonts w:ascii="Verdana" w:hAnsi="Verdana"/>
          <w:sz w:val="18"/>
          <w:szCs w:val="18"/>
        </w:rPr>
        <w:t>o</w:t>
      </w:r>
      <w:r w:rsidR="00487102" w:rsidRPr="007B081C">
        <w:rPr>
          <w:rFonts w:ascii="Verdana" w:hAnsi="Verdana"/>
          <w:sz w:val="18"/>
          <w:szCs w:val="18"/>
        </w:rPr>
        <w:t>f</w:t>
      </w:r>
      <w:r w:rsidRPr="007B081C">
        <w:rPr>
          <w:rFonts w:ascii="Verdana" w:hAnsi="Verdana"/>
          <w:sz w:val="18"/>
          <w:szCs w:val="18"/>
        </w:rPr>
        <w:t xml:space="preserve"> Lebanon. </w:t>
      </w:r>
    </w:p>
    <w:p w14:paraId="3BE81CF3" w14:textId="77777777" w:rsidR="007B1237" w:rsidRPr="007B081C" w:rsidRDefault="007B1237" w:rsidP="007B081C">
      <w:pPr>
        <w:pStyle w:val="ListParagraph"/>
        <w:ind w:left="360"/>
        <w:jc w:val="lowKashida"/>
        <w:rPr>
          <w:rFonts w:ascii="Verdana" w:hAnsi="Verdana"/>
          <w:sz w:val="18"/>
          <w:szCs w:val="18"/>
        </w:rPr>
      </w:pPr>
    </w:p>
    <w:p w14:paraId="7E7D33A7" w14:textId="76AD6877" w:rsidR="00E625E3" w:rsidRPr="007B081C" w:rsidRDefault="00494C7B" w:rsidP="007B081C">
      <w:pPr>
        <w:pStyle w:val="FootnoteText"/>
        <w:numPr>
          <w:ilvl w:val="0"/>
          <w:numId w:val="3"/>
        </w:numPr>
        <w:jc w:val="both"/>
        <w:rPr>
          <w:rFonts w:ascii="Verdana" w:hAnsi="Verdana" w:cs="Times New Roman"/>
          <w:b/>
          <w:bCs/>
          <w:sz w:val="18"/>
          <w:szCs w:val="18"/>
          <w:lang w:val="en-GB"/>
        </w:rPr>
      </w:pPr>
      <w:r w:rsidRPr="007B081C">
        <w:rPr>
          <w:rFonts w:ascii="Verdana" w:hAnsi="Verdana"/>
          <w:sz w:val="18"/>
          <w:szCs w:val="18"/>
        </w:rPr>
        <w:t xml:space="preserve">In Lebanon, </w:t>
      </w:r>
      <w:r w:rsidR="00AB63F9" w:rsidRPr="007B081C">
        <w:rPr>
          <w:rFonts w:ascii="Verdana" w:hAnsi="Verdana"/>
          <w:sz w:val="18"/>
          <w:szCs w:val="18"/>
        </w:rPr>
        <w:t>sexual and gender-based violence (SGBV)</w:t>
      </w:r>
      <w:r w:rsidRPr="007B081C">
        <w:rPr>
          <w:rFonts w:ascii="Verdana" w:hAnsi="Verdana"/>
          <w:sz w:val="18"/>
          <w:szCs w:val="18"/>
        </w:rPr>
        <w:t xml:space="preserve"> remains a pervasive human rights </w:t>
      </w:r>
      <w:r w:rsidRPr="007B081C">
        <w:rPr>
          <w:rFonts w:ascii="Verdana" w:hAnsi="Verdana"/>
          <w:sz w:val="18"/>
          <w:szCs w:val="18"/>
          <w:lang w:val="en-GB"/>
        </w:rPr>
        <w:t xml:space="preserve">challenge </w:t>
      </w:r>
      <w:r w:rsidRPr="007B081C">
        <w:rPr>
          <w:rFonts w:ascii="Verdana" w:hAnsi="Verdana"/>
          <w:sz w:val="18"/>
          <w:szCs w:val="18"/>
        </w:rPr>
        <w:t>and</w:t>
      </w:r>
      <w:r w:rsidRPr="007B081C">
        <w:rPr>
          <w:rFonts w:ascii="Verdana" w:hAnsi="Verdana"/>
          <w:sz w:val="18"/>
          <w:szCs w:val="18"/>
          <w:lang w:val="en-GB"/>
        </w:rPr>
        <w:t xml:space="preserve"> </w:t>
      </w:r>
      <w:r w:rsidRPr="007B081C">
        <w:rPr>
          <w:rFonts w:ascii="Verdana" w:hAnsi="Verdana"/>
          <w:sz w:val="18"/>
          <w:szCs w:val="18"/>
        </w:rPr>
        <w:t>public</w:t>
      </w:r>
      <w:r w:rsidRPr="007B081C">
        <w:rPr>
          <w:rFonts w:ascii="Verdana" w:hAnsi="Verdana"/>
          <w:sz w:val="18"/>
          <w:szCs w:val="18"/>
          <w:lang w:val="en-GB"/>
        </w:rPr>
        <w:t xml:space="preserve"> </w:t>
      </w:r>
      <w:r w:rsidRPr="007B081C">
        <w:rPr>
          <w:rFonts w:ascii="Verdana" w:hAnsi="Verdana"/>
          <w:sz w:val="18"/>
          <w:szCs w:val="18"/>
        </w:rPr>
        <w:t xml:space="preserve">health </w:t>
      </w:r>
      <w:r w:rsidRPr="007B081C">
        <w:rPr>
          <w:rFonts w:ascii="Verdana" w:hAnsi="Verdana"/>
          <w:sz w:val="18"/>
          <w:szCs w:val="18"/>
          <w:lang w:val="en-GB"/>
        </w:rPr>
        <w:t xml:space="preserve">scourge blighting </w:t>
      </w:r>
      <w:r w:rsidRPr="007B081C">
        <w:rPr>
          <w:rFonts w:ascii="Verdana" w:hAnsi="Verdana"/>
          <w:sz w:val="18"/>
          <w:szCs w:val="18"/>
        </w:rPr>
        <w:t>the lives of women and girls. Rigidly entrenched patriarchal norms and harmful gender stereotypes about the roles and responsibilities of women and men enjoy considerable currency within the country’s judiciary, police force and society at large.</w:t>
      </w:r>
      <w:r w:rsidR="00E76F44" w:rsidRPr="007B081C">
        <w:rPr>
          <w:rFonts w:ascii="Verdana" w:hAnsi="Verdana"/>
          <w:sz w:val="18"/>
          <w:szCs w:val="18"/>
        </w:rPr>
        <w:t xml:space="preserve"> These stereotypes constitute serious obstacles to women’s enjoyment of their human </w:t>
      </w:r>
      <w:proofErr w:type="gramStart"/>
      <w:r w:rsidR="00E76F44" w:rsidRPr="007B081C">
        <w:rPr>
          <w:rFonts w:ascii="Verdana" w:hAnsi="Verdana"/>
          <w:sz w:val="18"/>
          <w:szCs w:val="18"/>
        </w:rPr>
        <w:t>rights, and</w:t>
      </w:r>
      <w:proofErr w:type="gramEnd"/>
      <w:r w:rsidR="00E76F44" w:rsidRPr="007B081C">
        <w:rPr>
          <w:rFonts w:ascii="Verdana" w:hAnsi="Verdana"/>
          <w:sz w:val="18"/>
          <w:szCs w:val="18"/>
        </w:rPr>
        <w:t xml:space="preserve"> continue to impede the full implementation of </w:t>
      </w:r>
      <w:r w:rsidR="00131C35" w:rsidRPr="007B081C">
        <w:rPr>
          <w:rFonts w:ascii="Verdana" w:hAnsi="Verdana"/>
          <w:sz w:val="18"/>
          <w:szCs w:val="18"/>
        </w:rPr>
        <w:t xml:space="preserve">the </w:t>
      </w:r>
      <w:r w:rsidR="00E76F44" w:rsidRPr="007B081C">
        <w:rPr>
          <w:rFonts w:ascii="Verdana" w:hAnsi="Verdana"/>
          <w:sz w:val="18"/>
          <w:szCs w:val="18"/>
        </w:rPr>
        <w:t>CEDAW.</w:t>
      </w:r>
      <w:r w:rsidRPr="007B081C">
        <w:rPr>
          <w:rFonts w:ascii="Verdana" w:hAnsi="Verdana"/>
          <w:sz w:val="18"/>
          <w:szCs w:val="18"/>
        </w:rPr>
        <w:t xml:space="preserve"> </w:t>
      </w:r>
    </w:p>
    <w:p w14:paraId="24338182" w14:textId="77777777" w:rsidR="00E625E3" w:rsidRPr="007B081C" w:rsidRDefault="00E625E3" w:rsidP="007B081C">
      <w:pPr>
        <w:pStyle w:val="ListParagraph"/>
        <w:rPr>
          <w:rFonts w:ascii="Verdana" w:hAnsi="Verdana"/>
          <w:sz w:val="18"/>
          <w:szCs w:val="18"/>
        </w:rPr>
      </w:pPr>
    </w:p>
    <w:p w14:paraId="388CF8AD" w14:textId="0B55F6B3" w:rsidR="00E06B3B" w:rsidRPr="007B081C" w:rsidRDefault="007B1237" w:rsidP="007B081C">
      <w:pPr>
        <w:pStyle w:val="FootnoteText"/>
        <w:numPr>
          <w:ilvl w:val="0"/>
          <w:numId w:val="3"/>
        </w:numPr>
        <w:jc w:val="both"/>
        <w:rPr>
          <w:rFonts w:ascii="Verdana" w:hAnsi="Verdana" w:cs="Times New Roman"/>
          <w:b/>
          <w:bCs/>
          <w:sz w:val="18"/>
          <w:szCs w:val="18"/>
          <w:lang w:val="en-GB"/>
        </w:rPr>
      </w:pPr>
      <w:r w:rsidRPr="007B081C">
        <w:rPr>
          <w:rFonts w:ascii="Verdana" w:hAnsi="Verdana"/>
          <w:sz w:val="18"/>
          <w:szCs w:val="18"/>
        </w:rPr>
        <w:t>In this submission, the ICJ and ABAAD aim to draw the CEDAW Committee</w:t>
      </w:r>
      <w:r w:rsidR="00871D30" w:rsidRPr="007B081C">
        <w:rPr>
          <w:rFonts w:ascii="Verdana" w:hAnsi="Verdana"/>
          <w:sz w:val="18"/>
          <w:szCs w:val="18"/>
        </w:rPr>
        <w:t>’s attention</w:t>
      </w:r>
      <w:r w:rsidRPr="007B081C">
        <w:rPr>
          <w:rFonts w:ascii="Verdana" w:hAnsi="Verdana"/>
          <w:sz w:val="18"/>
          <w:szCs w:val="18"/>
        </w:rPr>
        <w:t xml:space="preserve"> to the obstacles that continue to impede women’s and girls’</w:t>
      </w:r>
      <w:r w:rsidRPr="007B081C">
        <w:rPr>
          <w:rStyle w:val="FootnoteReference"/>
          <w:rFonts w:ascii="Verdana" w:hAnsi="Verdana"/>
          <w:sz w:val="18"/>
          <w:szCs w:val="18"/>
        </w:rPr>
        <w:footnoteReference w:id="1"/>
      </w:r>
      <w:r w:rsidRPr="007B081C">
        <w:rPr>
          <w:rFonts w:ascii="Verdana" w:hAnsi="Verdana"/>
          <w:sz w:val="18"/>
          <w:szCs w:val="18"/>
        </w:rPr>
        <w:t xml:space="preserve"> </w:t>
      </w:r>
      <w:r w:rsidR="00494C7B" w:rsidRPr="007B081C">
        <w:rPr>
          <w:rFonts w:ascii="Verdana" w:hAnsi="Verdana"/>
          <w:sz w:val="18"/>
          <w:szCs w:val="18"/>
        </w:rPr>
        <w:t xml:space="preserve">effective </w:t>
      </w:r>
      <w:r w:rsidRPr="007B081C">
        <w:rPr>
          <w:rFonts w:ascii="Verdana" w:hAnsi="Verdana"/>
          <w:sz w:val="18"/>
          <w:szCs w:val="18"/>
        </w:rPr>
        <w:t>access to justice for</w:t>
      </w:r>
      <w:r w:rsidR="00AB63F9" w:rsidRPr="007B081C">
        <w:rPr>
          <w:rFonts w:ascii="Verdana" w:hAnsi="Verdana"/>
          <w:sz w:val="18"/>
          <w:szCs w:val="18"/>
        </w:rPr>
        <w:t xml:space="preserve"> SGBV</w:t>
      </w:r>
      <w:r w:rsidRPr="007B081C">
        <w:rPr>
          <w:rFonts w:ascii="Verdana" w:hAnsi="Verdana"/>
          <w:sz w:val="18"/>
          <w:szCs w:val="18"/>
        </w:rPr>
        <w:t>, including:</w:t>
      </w:r>
      <w:r w:rsidR="00CB543C" w:rsidRPr="007B081C">
        <w:rPr>
          <w:rFonts w:ascii="Verdana" w:hAnsi="Verdana"/>
          <w:sz w:val="18"/>
          <w:szCs w:val="18"/>
        </w:rPr>
        <w:t xml:space="preserve"> (</w:t>
      </w:r>
      <w:proofErr w:type="spellStart"/>
      <w:r w:rsidR="00CB543C" w:rsidRPr="007B081C">
        <w:rPr>
          <w:rFonts w:ascii="Verdana" w:hAnsi="Verdana"/>
          <w:sz w:val="18"/>
          <w:szCs w:val="18"/>
        </w:rPr>
        <w:t>i</w:t>
      </w:r>
      <w:proofErr w:type="spellEnd"/>
      <w:r w:rsidR="00CB543C" w:rsidRPr="007B081C">
        <w:rPr>
          <w:rFonts w:ascii="Verdana" w:hAnsi="Verdana"/>
          <w:sz w:val="18"/>
          <w:szCs w:val="18"/>
        </w:rPr>
        <w:t xml:space="preserve">) </w:t>
      </w:r>
      <w:r w:rsidR="006D3D20" w:rsidRPr="007B081C">
        <w:rPr>
          <w:rFonts w:ascii="Verdana" w:hAnsi="Verdana"/>
          <w:bCs/>
          <w:sz w:val="18"/>
          <w:szCs w:val="18"/>
          <w:lang w:val="en-GB"/>
        </w:rPr>
        <w:t>l</w:t>
      </w:r>
      <w:r w:rsidR="00E06B3B" w:rsidRPr="007B081C">
        <w:rPr>
          <w:rFonts w:ascii="Verdana" w:hAnsi="Verdana"/>
          <w:bCs/>
          <w:sz w:val="18"/>
          <w:szCs w:val="18"/>
          <w:lang w:val="uz-Cyrl-UZ"/>
        </w:rPr>
        <w:t>egal obstacles</w:t>
      </w:r>
      <w:r w:rsidR="00E06B3B" w:rsidRPr="007B081C">
        <w:rPr>
          <w:rFonts w:ascii="Verdana" w:hAnsi="Verdana"/>
          <w:sz w:val="18"/>
          <w:szCs w:val="18"/>
          <w:lang w:val="en-GB"/>
        </w:rPr>
        <w:t>;</w:t>
      </w:r>
      <w:r w:rsidR="00CB543C" w:rsidRPr="007B081C">
        <w:rPr>
          <w:rFonts w:ascii="Verdana" w:hAnsi="Verdana"/>
          <w:sz w:val="18"/>
          <w:szCs w:val="18"/>
          <w:lang w:val="en-GB"/>
        </w:rPr>
        <w:t xml:space="preserve"> (ii) </w:t>
      </w:r>
      <w:r w:rsidR="006D3D20" w:rsidRPr="007B081C">
        <w:rPr>
          <w:rFonts w:ascii="Verdana" w:hAnsi="Verdana"/>
          <w:bCs/>
          <w:sz w:val="18"/>
          <w:szCs w:val="18"/>
        </w:rPr>
        <w:t>o</w:t>
      </w:r>
      <w:r w:rsidR="00E06B3B" w:rsidRPr="007B081C">
        <w:rPr>
          <w:rFonts w:ascii="Verdana" w:hAnsi="Verdana"/>
          <w:bCs/>
          <w:sz w:val="18"/>
          <w:szCs w:val="18"/>
          <w:lang w:val="uz-Cyrl-UZ"/>
        </w:rPr>
        <w:t>bstacles in the administration of justice</w:t>
      </w:r>
      <w:r w:rsidR="00E06B3B" w:rsidRPr="007B081C">
        <w:rPr>
          <w:rFonts w:ascii="Verdana" w:hAnsi="Verdana"/>
          <w:sz w:val="18"/>
          <w:szCs w:val="18"/>
          <w:lang w:val="en-GB"/>
        </w:rPr>
        <w:t>;</w:t>
      </w:r>
      <w:r w:rsidR="00CB543C" w:rsidRPr="007B081C">
        <w:rPr>
          <w:rFonts w:ascii="Verdana" w:hAnsi="Verdana"/>
          <w:sz w:val="18"/>
          <w:szCs w:val="18"/>
          <w:lang w:val="en-GB"/>
        </w:rPr>
        <w:t xml:space="preserve"> and (iii) </w:t>
      </w:r>
      <w:r w:rsidR="00E76F44" w:rsidRPr="007B081C">
        <w:rPr>
          <w:rFonts w:ascii="Verdana" w:hAnsi="Verdana"/>
          <w:bCs/>
          <w:sz w:val="18"/>
          <w:szCs w:val="18"/>
          <w:lang w:val="en-GB"/>
        </w:rPr>
        <w:t>the impact of COVID-19 on SGBV</w:t>
      </w:r>
      <w:r w:rsidR="00E06B3B" w:rsidRPr="007B081C">
        <w:rPr>
          <w:rFonts w:ascii="Verdana" w:hAnsi="Verdana"/>
          <w:sz w:val="18"/>
          <w:szCs w:val="18"/>
          <w:lang w:val="uz-Cyrl-UZ"/>
        </w:rPr>
        <w:t xml:space="preserve">. </w:t>
      </w:r>
    </w:p>
    <w:p w14:paraId="7CD8E98D" w14:textId="77777777" w:rsidR="00E06B3B" w:rsidRPr="007B081C" w:rsidRDefault="00E06B3B" w:rsidP="007B081C">
      <w:pPr>
        <w:pStyle w:val="FootnoteText"/>
        <w:ind w:left="1080"/>
        <w:jc w:val="both"/>
        <w:rPr>
          <w:rFonts w:ascii="Verdana" w:hAnsi="Verdana" w:cs="Times New Roman"/>
          <w:sz w:val="18"/>
          <w:szCs w:val="18"/>
          <w:lang w:val="en-GB"/>
        </w:rPr>
      </w:pPr>
    </w:p>
    <w:p w14:paraId="703274EB" w14:textId="7C9FC83E" w:rsidR="00E06B3B" w:rsidRPr="007B081C" w:rsidRDefault="00E06B3B"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This submission is based on </w:t>
      </w:r>
      <w:r w:rsidR="00494C7B" w:rsidRPr="007B081C">
        <w:rPr>
          <w:rFonts w:ascii="Verdana" w:hAnsi="Verdana" w:cs="Times New Roman"/>
          <w:sz w:val="18"/>
          <w:szCs w:val="18"/>
          <w:lang w:val="en-GB"/>
        </w:rPr>
        <w:t xml:space="preserve">research undertaken by the </w:t>
      </w:r>
      <w:r w:rsidRPr="007B081C">
        <w:rPr>
          <w:rFonts w:ascii="Verdana" w:hAnsi="Verdana" w:cs="Times New Roman"/>
          <w:sz w:val="18"/>
          <w:szCs w:val="18"/>
          <w:lang w:val="en-GB"/>
        </w:rPr>
        <w:t>ICJ, including</w:t>
      </w:r>
      <w:r w:rsidR="00494C7B" w:rsidRPr="007B081C">
        <w:rPr>
          <w:rFonts w:ascii="Verdana" w:hAnsi="Verdana" w:cs="Times New Roman"/>
          <w:sz w:val="18"/>
          <w:szCs w:val="18"/>
          <w:lang w:val="en-GB"/>
        </w:rPr>
        <w:t xml:space="preserve"> its report entitled</w:t>
      </w:r>
      <w:r w:rsidR="00871D30" w:rsidRPr="007B081C">
        <w:rPr>
          <w:rFonts w:ascii="Verdana" w:hAnsi="Verdana"/>
          <w:sz w:val="18"/>
          <w:szCs w:val="18"/>
        </w:rPr>
        <w:t xml:space="preserve"> Gender-based Violence in Lebanon: Inadequate Framework, Ineffective Remedies</w:t>
      </w:r>
      <w:r w:rsidR="00494C7B" w:rsidRPr="007B081C">
        <w:rPr>
          <w:rFonts w:ascii="Verdana" w:hAnsi="Verdana" w:cs="Times New Roman"/>
          <w:sz w:val="18"/>
          <w:szCs w:val="18"/>
          <w:lang w:val="en-GB"/>
        </w:rPr>
        <w:t>,</w:t>
      </w:r>
      <w:r w:rsidR="00871D30" w:rsidRPr="007B081C">
        <w:rPr>
          <w:rStyle w:val="FootnoteReference"/>
          <w:rFonts w:ascii="Verdana" w:hAnsi="Verdana" w:cs="Times New Roman"/>
          <w:sz w:val="18"/>
          <w:szCs w:val="18"/>
          <w:lang w:val="en-GB"/>
        </w:rPr>
        <w:footnoteReference w:id="2"/>
      </w:r>
      <w:r w:rsidR="00494C7B" w:rsidRPr="007B081C">
        <w:rPr>
          <w:rFonts w:ascii="Verdana" w:hAnsi="Verdana" w:cs="Times New Roman"/>
          <w:sz w:val="18"/>
          <w:szCs w:val="18"/>
          <w:lang w:val="en-GB"/>
        </w:rPr>
        <w:t xml:space="preserve"> as well as </w:t>
      </w:r>
      <w:r w:rsidR="006D3D20" w:rsidRPr="007B081C">
        <w:rPr>
          <w:rFonts w:ascii="Verdana" w:hAnsi="Verdana" w:cs="Times New Roman"/>
          <w:i/>
          <w:iCs/>
          <w:sz w:val="18"/>
          <w:szCs w:val="18"/>
          <w:lang w:val="en-GB"/>
        </w:rPr>
        <w:t>Accountability for Sexual and Gender-based Violence in Lebanon: Guidance and Recommendations for Criminal Justice Actor</w:t>
      </w:r>
      <w:r w:rsidR="003B1169" w:rsidRPr="007B081C">
        <w:rPr>
          <w:rFonts w:ascii="Verdana" w:hAnsi="Verdana" w:cs="Times New Roman"/>
          <w:i/>
          <w:iCs/>
          <w:sz w:val="18"/>
          <w:szCs w:val="18"/>
          <w:lang w:val="en-GB"/>
        </w:rPr>
        <w:t xml:space="preserve">s </w:t>
      </w:r>
      <w:r w:rsidR="003B1169" w:rsidRPr="007B081C">
        <w:rPr>
          <w:rFonts w:ascii="Verdana" w:hAnsi="Verdana" w:cs="Times New Roman"/>
          <w:sz w:val="18"/>
          <w:szCs w:val="18"/>
          <w:lang w:val="en-GB"/>
        </w:rPr>
        <w:t xml:space="preserve">(forthcoming). </w:t>
      </w:r>
    </w:p>
    <w:p w14:paraId="1DF55C16" w14:textId="68DA6C5D" w:rsidR="00BF45D5" w:rsidRPr="007B081C" w:rsidRDefault="00BF45D5" w:rsidP="007B081C">
      <w:pPr>
        <w:pStyle w:val="FootnoteText"/>
        <w:jc w:val="both"/>
        <w:rPr>
          <w:rFonts w:ascii="Verdana" w:hAnsi="Verdana" w:cs="Times New Roman"/>
          <w:sz w:val="18"/>
          <w:szCs w:val="18"/>
          <w:lang w:val="en-GB"/>
        </w:rPr>
      </w:pPr>
    </w:p>
    <w:p w14:paraId="1E7C2AB7" w14:textId="0152EF78" w:rsidR="00BF45D5" w:rsidRPr="007B081C" w:rsidRDefault="00BF45D5" w:rsidP="007B081C">
      <w:pPr>
        <w:pStyle w:val="FootnoteText"/>
        <w:numPr>
          <w:ilvl w:val="0"/>
          <w:numId w:val="5"/>
        </w:numPr>
        <w:jc w:val="both"/>
        <w:rPr>
          <w:rFonts w:ascii="Verdana" w:hAnsi="Verdana" w:cs="Times New Roman"/>
          <w:sz w:val="18"/>
          <w:szCs w:val="18"/>
          <w:lang w:val="en-GB"/>
        </w:rPr>
      </w:pPr>
      <w:r w:rsidRPr="007B081C">
        <w:rPr>
          <w:rFonts w:ascii="Verdana" w:hAnsi="Verdana"/>
          <w:b/>
          <w:bCs/>
          <w:sz w:val="18"/>
          <w:szCs w:val="18"/>
        </w:rPr>
        <w:t>Obstacles within Lebanon’s legal framework</w:t>
      </w:r>
    </w:p>
    <w:p w14:paraId="27C12B5E" w14:textId="38A96C4C" w:rsidR="00BF45D5" w:rsidRPr="007B081C" w:rsidRDefault="00BF45D5" w:rsidP="007B081C">
      <w:pPr>
        <w:pStyle w:val="FootnoteText"/>
        <w:jc w:val="both"/>
        <w:rPr>
          <w:rFonts w:ascii="Verdana" w:hAnsi="Verdana"/>
          <w:b/>
          <w:bCs/>
          <w:i/>
          <w:iCs/>
          <w:sz w:val="18"/>
          <w:szCs w:val="18"/>
        </w:rPr>
      </w:pPr>
    </w:p>
    <w:p w14:paraId="26E87A58" w14:textId="3B6AD09B" w:rsidR="002F7837" w:rsidRPr="007B081C" w:rsidRDefault="002F7837"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The current </w:t>
      </w:r>
      <w:r w:rsidR="00CB543C" w:rsidRPr="007B081C">
        <w:rPr>
          <w:rFonts w:ascii="Verdana" w:hAnsi="Verdana" w:cs="Times New Roman"/>
          <w:sz w:val="18"/>
          <w:szCs w:val="18"/>
          <w:lang w:val="en-GB"/>
        </w:rPr>
        <w:t xml:space="preserve">Criminal Code </w:t>
      </w:r>
      <w:r w:rsidR="00262C68" w:rsidRPr="007B081C">
        <w:rPr>
          <w:rFonts w:ascii="Verdana" w:hAnsi="Verdana" w:cs="Times New Roman"/>
          <w:sz w:val="18"/>
          <w:szCs w:val="18"/>
          <w:lang w:val="en-GB"/>
        </w:rPr>
        <w:t xml:space="preserve">(CC) </w:t>
      </w:r>
      <w:r w:rsidRPr="007B081C">
        <w:rPr>
          <w:rFonts w:ascii="Verdana" w:hAnsi="Verdana" w:cs="Times New Roman"/>
          <w:sz w:val="18"/>
          <w:szCs w:val="18"/>
          <w:lang w:val="en-GB"/>
        </w:rPr>
        <w:t xml:space="preserve">is more than 70 years old. Despite the fact that several amendments have been proposed to the Lebanese Parliament, it has not evolved to meet international human rights law and standards. The CC not only fails to criminalize </w:t>
      </w:r>
      <w:r w:rsidRPr="007B081C">
        <w:rPr>
          <w:rFonts w:ascii="Verdana" w:hAnsi="Verdana" w:cs="Times New Roman"/>
          <w:i/>
          <w:iCs/>
          <w:sz w:val="18"/>
          <w:szCs w:val="18"/>
          <w:lang w:val="en-GB"/>
        </w:rPr>
        <w:t xml:space="preserve">all </w:t>
      </w:r>
      <w:r w:rsidRPr="007B081C">
        <w:rPr>
          <w:rFonts w:ascii="Verdana" w:hAnsi="Verdana" w:cs="Times New Roman"/>
          <w:sz w:val="18"/>
          <w:szCs w:val="18"/>
          <w:lang w:val="en-GB"/>
        </w:rPr>
        <w:t>forms of SGBV,</w:t>
      </w:r>
      <w:r w:rsidR="00617052" w:rsidRPr="007B081C">
        <w:rPr>
          <w:rStyle w:val="FootnoteReference"/>
          <w:rFonts w:ascii="Verdana" w:hAnsi="Verdana" w:cs="Times New Roman"/>
          <w:sz w:val="18"/>
          <w:szCs w:val="18"/>
          <w:lang w:val="en-GB"/>
        </w:rPr>
        <w:footnoteReference w:id="3"/>
      </w:r>
      <w:r w:rsidRPr="007B081C">
        <w:rPr>
          <w:rFonts w:ascii="Verdana" w:hAnsi="Verdana" w:cs="Times New Roman"/>
          <w:sz w:val="18"/>
          <w:szCs w:val="18"/>
          <w:lang w:val="en-GB"/>
        </w:rPr>
        <w:t xml:space="preserve"> but it legalizes acts of discrimination against women</w:t>
      </w:r>
      <w:r w:rsidR="00875166" w:rsidRPr="007B081C">
        <w:rPr>
          <w:rFonts w:ascii="Verdana" w:hAnsi="Verdana" w:cs="Times New Roman"/>
          <w:sz w:val="18"/>
          <w:szCs w:val="18"/>
          <w:lang w:val="en-GB"/>
        </w:rPr>
        <w:t xml:space="preserve"> </w:t>
      </w:r>
      <w:r w:rsidR="001E1A74" w:rsidRPr="007B081C">
        <w:rPr>
          <w:rFonts w:ascii="Verdana" w:hAnsi="Verdana" w:cs="Times New Roman"/>
          <w:sz w:val="18"/>
          <w:szCs w:val="18"/>
          <w:lang w:val="en-GB"/>
        </w:rPr>
        <w:t>in contravention of article</w:t>
      </w:r>
      <w:r w:rsidR="00B06458" w:rsidRPr="007B081C">
        <w:rPr>
          <w:rFonts w:ascii="Verdana" w:hAnsi="Verdana" w:cs="Times New Roman"/>
          <w:sz w:val="18"/>
          <w:szCs w:val="18"/>
          <w:lang w:val="en-GB"/>
        </w:rPr>
        <w:t>s</w:t>
      </w:r>
      <w:r w:rsidR="001E1A74" w:rsidRPr="007B081C">
        <w:rPr>
          <w:rFonts w:ascii="Verdana" w:hAnsi="Verdana" w:cs="Times New Roman"/>
          <w:sz w:val="18"/>
          <w:szCs w:val="18"/>
          <w:lang w:val="en-GB"/>
        </w:rPr>
        <w:t xml:space="preserve"> 2</w:t>
      </w:r>
      <w:r w:rsidR="00B06458" w:rsidRPr="007B081C">
        <w:rPr>
          <w:rFonts w:ascii="Verdana" w:hAnsi="Verdana" w:cs="Times New Roman"/>
          <w:sz w:val="18"/>
          <w:szCs w:val="18"/>
          <w:lang w:val="en-GB"/>
        </w:rPr>
        <w:t>,</w:t>
      </w:r>
      <w:r w:rsidR="001E1A74" w:rsidRPr="007B081C">
        <w:rPr>
          <w:rFonts w:ascii="Verdana" w:hAnsi="Verdana" w:cs="Times New Roman"/>
          <w:sz w:val="18"/>
          <w:szCs w:val="18"/>
          <w:lang w:val="en-GB"/>
        </w:rPr>
        <w:t xml:space="preserve"> 3 </w:t>
      </w:r>
      <w:r w:rsidR="00B06458" w:rsidRPr="007B081C">
        <w:rPr>
          <w:rFonts w:ascii="Verdana" w:hAnsi="Verdana" w:cs="Times New Roman"/>
          <w:sz w:val="18"/>
          <w:szCs w:val="18"/>
          <w:lang w:val="en-GB"/>
        </w:rPr>
        <w:t xml:space="preserve">and 15 </w:t>
      </w:r>
      <w:r w:rsidR="001E1A74" w:rsidRPr="007B081C">
        <w:rPr>
          <w:rFonts w:ascii="Verdana" w:hAnsi="Verdana" w:cs="Times New Roman"/>
          <w:sz w:val="18"/>
          <w:szCs w:val="18"/>
          <w:lang w:val="en-GB"/>
        </w:rPr>
        <w:t xml:space="preserve">of the </w:t>
      </w:r>
      <w:r w:rsidR="00D4413A" w:rsidRPr="007B081C">
        <w:rPr>
          <w:rFonts w:ascii="Verdana" w:hAnsi="Verdana" w:cs="Times New Roman"/>
          <w:sz w:val="18"/>
          <w:szCs w:val="18"/>
          <w:lang w:val="en-GB"/>
        </w:rPr>
        <w:t xml:space="preserve">Convention on the Elimination of </w:t>
      </w:r>
      <w:r w:rsidR="00AA73BE" w:rsidRPr="007B081C">
        <w:rPr>
          <w:rFonts w:ascii="Verdana" w:hAnsi="Verdana" w:cs="Times New Roman"/>
          <w:sz w:val="18"/>
          <w:szCs w:val="18"/>
          <w:lang w:val="en-GB"/>
        </w:rPr>
        <w:t xml:space="preserve">All Forms of </w:t>
      </w:r>
      <w:r w:rsidR="00D4413A" w:rsidRPr="007B081C">
        <w:rPr>
          <w:rFonts w:ascii="Verdana" w:hAnsi="Verdana" w:cs="Times New Roman"/>
          <w:sz w:val="18"/>
          <w:szCs w:val="18"/>
          <w:lang w:val="en-GB"/>
        </w:rPr>
        <w:t xml:space="preserve">Discrimination </w:t>
      </w:r>
      <w:r w:rsidR="00AA73BE" w:rsidRPr="007B081C">
        <w:rPr>
          <w:rFonts w:ascii="Verdana" w:hAnsi="Verdana" w:cs="Times New Roman"/>
          <w:sz w:val="18"/>
          <w:szCs w:val="18"/>
          <w:lang w:val="en-GB"/>
        </w:rPr>
        <w:t>a</w:t>
      </w:r>
      <w:r w:rsidR="00D4413A" w:rsidRPr="007B081C">
        <w:rPr>
          <w:rFonts w:ascii="Verdana" w:hAnsi="Verdana" w:cs="Times New Roman"/>
          <w:sz w:val="18"/>
          <w:szCs w:val="18"/>
          <w:lang w:val="en-GB"/>
        </w:rPr>
        <w:t>gainst Women (</w:t>
      </w:r>
      <w:r w:rsidR="001E1A74" w:rsidRPr="007B081C">
        <w:rPr>
          <w:rFonts w:ascii="Verdana" w:hAnsi="Verdana" w:cs="Times New Roman"/>
          <w:sz w:val="18"/>
          <w:szCs w:val="18"/>
          <w:lang w:val="en-GB"/>
        </w:rPr>
        <w:t>CEDAW</w:t>
      </w:r>
      <w:r w:rsidR="00D4413A" w:rsidRPr="007B081C">
        <w:rPr>
          <w:rFonts w:ascii="Verdana" w:hAnsi="Verdana" w:cs="Times New Roman"/>
          <w:sz w:val="18"/>
          <w:szCs w:val="18"/>
          <w:lang w:val="en-GB"/>
        </w:rPr>
        <w:t>)</w:t>
      </w:r>
      <w:r w:rsidR="001E1A74" w:rsidRPr="007B081C">
        <w:rPr>
          <w:rFonts w:ascii="Verdana" w:hAnsi="Verdana" w:cs="Times New Roman"/>
          <w:sz w:val="18"/>
          <w:szCs w:val="18"/>
          <w:lang w:val="en-GB"/>
        </w:rPr>
        <w:t xml:space="preserve">. </w:t>
      </w:r>
    </w:p>
    <w:p w14:paraId="4355CC73" w14:textId="77777777" w:rsidR="002D4CBA" w:rsidRPr="007B081C" w:rsidRDefault="002D4CBA" w:rsidP="007B081C">
      <w:pPr>
        <w:pStyle w:val="FootnoteText"/>
        <w:jc w:val="both"/>
        <w:rPr>
          <w:rFonts w:ascii="Verdana" w:hAnsi="Verdana" w:cs="Times New Roman"/>
          <w:i/>
          <w:sz w:val="18"/>
          <w:szCs w:val="18"/>
          <w:lang w:val="en-GB"/>
        </w:rPr>
      </w:pPr>
    </w:p>
    <w:p w14:paraId="5A618636" w14:textId="174C4644" w:rsidR="002D4CBA" w:rsidRPr="007B081C" w:rsidRDefault="002D4CBA" w:rsidP="007B081C">
      <w:pPr>
        <w:pStyle w:val="FootnoteText"/>
        <w:numPr>
          <w:ilvl w:val="0"/>
          <w:numId w:val="28"/>
        </w:numPr>
        <w:jc w:val="both"/>
        <w:rPr>
          <w:rFonts w:ascii="Verdana" w:hAnsi="Verdana" w:cs="Times New Roman"/>
          <w:b/>
          <w:iCs/>
          <w:sz w:val="18"/>
          <w:szCs w:val="18"/>
          <w:lang w:val="en-GB"/>
        </w:rPr>
      </w:pPr>
      <w:r w:rsidRPr="007B081C">
        <w:rPr>
          <w:rFonts w:ascii="Verdana" w:hAnsi="Verdana" w:cs="Times New Roman"/>
          <w:b/>
          <w:iCs/>
          <w:sz w:val="18"/>
          <w:szCs w:val="18"/>
          <w:lang w:val="en-GB"/>
        </w:rPr>
        <w:t xml:space="preserve">Criminalization of SGBV </w:t>
      </w:r>
    </w:p>
    <w:p w14:paraId="643049DC" w14:textId="2B8E6EBD" w:rsidR="002D4CBA" w:rsidRPr="007B081C" w:rsidRDefault="002D4CBA" w:rsidP="007B081C">
      <w:pPr>
        <w:pStyle w:val="FootnoteText"/>
        <w:jc w:val="both"/>
        <w:rPr>
          <w:rFonts w:ascii="Verdana" w:hAnsi="Verdana" w:cs="Times New Roman"/>
          <w:i/>
          <w:iCs/>
          <w:sz w:val="18"/>
          <w:szCs w:val="18"/>
          <w:lang w:val="en-GB"/>
        </w:rPr>
      </w:pPr>
    </w:p>
    <w:p w14:paraId="123B1F21" w14:textId="542AC3FC" w:rsidR="002D4CBA" w:rsidRPr="007B081C" w:rsidRDefault="002D4CBA" w:rsidP="007B081C">
      <w:pPr>
        <w:pStyle w:val="FootnoteText"/>
        <w:ind w:firstLine="360"/>
        <w:jc w:val="both"/>
        <w:rPr>
          <w:rFonts w:ascii="Verdana" w:hAnsi="Verdana" w:cs="Times New Roman"/>
          <w:i/>
          <w:iCs/>
          <w:sz w:val="18"/>
          <w:szCs w:val="18"/>
          <w:lang w:val="en-GB"/>
        </w:rPr>
      </w:pPr>
      <w:r w:rsidRPr="007B081C">
        <w:rPr>
          <w:rFonts w:ascii="Verdana" w:hAnsi="Verdana" w:cs="Times New Roman"/>
          <w:i/>
          <w:iCs/>
          <w:sz w:val="18"/>
          <w:szCs w:val="18"/>
          <w:lang w:val="en-GB"/>
        </w:rPr>
        <w:t>Rape and other forms of sexual violence</w:t>
      </w:r>
    </w:p>
    <w:p w14:paraId="6202F2B3" w14:textId="77777777" w:rsidR="002F7837" w:rsidRPr="007B081C" w:rsidRDefault="002F7837" w:rsidP="007B081C">
      <w:pPr>
        <w:pStyle w:val="FootnoteText"/>
        <w:jc w:val="both"/>
        <w:rPr>
          <w:rFonts w:ascii="Verdana" w:hAnsi="Verdana" w:cs="Times New Roman"/>
          <w:sz w:val="18"/>
          <w:szCs w:val="18"/>
          <w:lang w:val="en-GB"/>
        </w:rPr>
      </w:pPr>
    </w:p>
    <w:p w14:paraId="3537C340" w14:textId="6FDE444E" w:rsidR="002F7837" w:rsidRPr="007B081C" w:rsidRDefault="00BF45D5"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T</w:t>
      </w:r>
      <w:r w:rsidR="006A1EB7" w:rsidRPr="007B081C">
        <w:rPr>
          <w:rFonts w:ascii="Verdana" w:hAnsi="Verdana" w:cs="Times New Roman"/>
          <w:sz w:val="18"/>
          <w:szCs w:val="18"/>
          <w:lang w:val="en-GB"/>
        </w:rPr>
        <w:t xml:space="preserve">he definition of rape </w:t>
      </w:r>
      <w:r w:rsidR="00AD6501" w:rsidRPr="007B081C">
        <w:rPr>
          <w:rFonts w:ascii="Verdana" w:hAnsi="Verdana" w:cs="Times New Roman"/>
          <w:sz w:val="18"/>
          <w:szCs w:val="18"/>
          <w:lang w:val="en-GB"/>
        </w:rPr>
        <w:t xml:space="preserve">under the CC and Law No. 293/2014 “on the protection of women and other family members from domestic violence” (Law No. 293/2014) </w:t>
      </w:r>
      <w:r w:rsidR="00EF6673" w:rsidRPr="007B081C">
        <w:rPr>
          <w:rFonts w:ascii="Verdana" w:hAnsi="Verdana" w:cs="Times New Roman"/>
          <w:sz w:val="18"/>
          <w:szCs w:val="18"/>
          <w:lang w:val="en-GB"/>
        </w:rPr>
        <w:t xml:space="preserve">does </w:t>
      </w:r>
      <w:r w:rsidR="00AD6501" w:rsidRPr="007B081C">
        <w:rPr>
          <w:rFonts w:ascii="Verdana" w:hAnsi="Verdana" w:cs="Times New Roman"/>
          <w:sz w:val="18"/>
          <w:szCs w:val="18"/>
          <w:lang w:val="en-GB"/>
        </w:rPr>
        <w:t>no</w:t>
      </w:r>
      <w:r w:rsidR="00EF6673" w:rsidRPr="007B081C">
        <w:rPr>
          <w:rFonts w:ascii="Verdana" w:hAnsi="Verdana" w:cs="Times New Roman"/>
          <w:sz w:val="18"/>
          <w:szCs w:val="18"/>
          <w:lang w:val="en-GB"/>
        </w:rPr>
        <w:t xml:space="preserve">t </w:t>
      </w:r>
      <w:r w:rsidR="00AD6501" w:rsidRPr="007B081C">
        <w:rPr>
          <w:rFonts w:ascii="Verdana" w:hAnsi="Verdana" w:cs="Times New Roman"/>
          <w:sz w:val="18"/>
          <w:szCs w:val="18"/>
          <w:lang w:val="en-GB"/>
        </w:rPr>
        <w:t>compl</w:t>
      </w:r>
      <w:r w:rsidR="00EF6673" w:rsidRPr="007B081C">
        <w:rPr>
          <w:rFonts w:ascii="Verdana" w:hAnsi="Verdana" w:cs="Times New Roman"/>
          <w:sz w:val="18"/>
          <w:szCs w:val="18"/>
          <w:lang w:val="en-GB"/>
        </w:rPr>
        <w:t xml:space="preserve">y </w:t>
      </w:r>
      <w:r w:rsidR="00AD6501" w:rsidRPr="007B081C">
        <w:rPr>
          <w:rFonts w:ascii="Verdana" w:hAnsi="Verdana" w:cs="Times New Roman"/>
          <w:sz w:val="18"/>
          <w:szCs w:val="18"/>
          <w:lang w:val="en-GB"/>
        </w:rPr>
        <w:t xml:space="preserve">with </w:t>
      </w:r>
      <w:r w:rsidR="00D4413A" w:rsidRPr="007B081C">
        <w:rPr>
          <w:rFonts w:ascii="Verdana" w:hAnsi="Verdana" w:cs="Times New Roman"/>
          <w:sz w:val="18"/>
          <w:szCs w:val="18"/>
          <w:lang w:val="en-GB"/>
        </w:rPr>
        <w:t>articles 1</w:t>
      </w:r>
      <w:r w:rsidR="008808C5" w:rsidRPr="007B081C">
        <w:rPr>
          <w:rFonts w:ascii="Verdana" w:hAnsi="Verdana" w:cs="Times New Roman"/>
          <w:sz w:val="18"/>
          <w:szCs w:val="18"/>
          <w:lang w:val="en-GB"/>
        </w:rPr>
        <w:t>,</w:t>
      </w:r>
      <w:r w:rsidR="00D4413A" w:rsidRPr="007B081C">
        <w:rPr>
          <w:rFonts w:ascii="Verdana" w:hAnsi="Verdana" w:cs="Times New Roman"/>
          <w:sz w:val="18"/>
          <w:szCs w:val="18"/>
          <w:lang w:val="en-GB"/>
        </w:rPr>
        <w:t xml:space="preserve"> 2</w:t>
      </w:r>
      <w:r w:rsidR="008808C5" w:rsidRPr="007B081C">
        <w:rPr>
          <w:rFonts w:ascii="Verdana" w:hAnsi="Verdana" w:cs="Times New Roman"/>
          <w:sz w:val="18"/>
          <w:szCs w:val="18"/>
          <w:lang w:val="en-GB"/>
        </w:rPr>
        <w:t xml:space="preserve"> and 16</w:t>
      </w:r>
      <w:r w:rsidR="00D4413A" w:rsidRPr="007B081C">
        <w:rPr>
          <w:rFonts w:ascii="Verdana" w:hAnsi="Verdana" w:cs="Times New Roman"/>
          <w:sz w:val="18"/>
          <w:szCs w:val="18"/>
          <w:lang w:val="en-GB"/>
        </w:rPr>
        <w:t xml:space="preserve"> of CEDAW, </w:t>
      </w:r>
      <w:r w:rsidR="00EF6673" w:rsidRPr="007B081C">
        <w:rPr>
          <w:rFonts w:ascii="Verdana" w:hAnsi="Verdana" w:cs="Times New Roman"/>
          <w:sz w:val="18"/>
          <w:szCs w:val="18"/>
          <w:lang w:val="en-GB"/>
        </w:rPr>
        <w:t xml:space="preserve">and </w:t>
      </w:r>
      <w:r w:rsidR="00EE66CF" w:rsidRPr="007B081C">
        <w:rPr>
          <w:rFonts w:ascii="Verdana" w:hAnsi="Verdana" w:cs="Times New Roman"/>
          <w:sz w:val="18"/>
          <w:szCs w:val="18"/>
          <w:lang w:val="en-GB"/>
        </w:rPr>
        <w:t>falls short of</w:t>
      </w:r>
      <w:r w:rsidR="00EF6673" w:rsidRPr="007B081C">
        <w:rPr>
          <w:rFonts w:ascii="Verdana" w:hAnsi="Verdana" w:cs="Times New Roman"/>
          <w:sz w:val="18"/>
          <w:szCs w:val="18"/>
          <w:lang w:val="en-GB"/>
        </w:rPr>
        <w:t xml:space="preserve"> </w:t>
      </w:r>
      <w:r w:rsidR="00FF5048" w:rsidRPr="007B081C">
        <w:rPr>
          <w:rFonts w:ascii="Verdana" w:hAnsi="Verdana" w:cs="Times New Roman"/>
          <w:sz w:val="18"/>
          <w:szCs w:val="18"/>
          <w:lang w:val="en-GB"/>
        </w:rPr>
        <w:t xml:space="preserve">General </w:t>
      </w:r>
      <w:r w:rsidR="00A21AB1" w:rsidRPr="007B081C">
        <w:rPr>
          <w:rFonts w:ascii="Verdana" w:hAnsi="Verdana" w:cs="Times New Roman"/>
          <w:sz w:val="18"/>
          <w:szCs w:val="18"/>
          <w:lang w:val="en-GB"/>
        </w:rPr>
        <w:t>R</w:t>
      </w:r>
      <w:r w:rsidR="00D4413A" w:rsidRPr="007B081C">
        <w:rPr>
          <w:rFonts w:ascii="Verdana" w:hAnsi="Verdana" w:cs="Times New Roman"/>
          <w:sz w:val="18"/>
          <w:szCs w:val="18"/>
          <w:lang w:val="en-GB"/>
        </w:rPr>
        <w:t>ecommendations issued by the CEDAW Committee</w:t>
      </w:r>
      <w:r w:rsidR="00D4413A" w:rsidRPr="007B081C">
        <w:rPr>
          <w:rStyle w:val="FootnoteReference"/>
          <w:rFonts w:ascii="Verdana" w:hAnsi="Verdana" w:cs="Times New Roman"/>
          <w:sz w:val="18"/>
          <w:szCs w:val="18"/>
          <w:lang w:val="en-GB"/>
        </w:rPr>
        <w:footnoteReference w:id="4"/>
      </w:r>
      <w:r w:rsidR="00D4413A" w:rsidRPr="007B081C">
        <w:rPr>
          <w:rFonts w:ascii="Verdana" w:hAnsi="Verdana" w:cs="Times New Roman"/>
          <w:sz w:val="18"/>
          <w:szCs w:val="18"/>
          <w:lang w:val="en-GB"/>
        </w:rPr>
        <w:t xml:space="preserve"> and CEDAW jurisprudence.</w:t>
      </w:r>
      <w:r w:rsidR="00D4413A" w:rsidRPr="007B081C">
        <w:rPr>
          <w:rStyle w:val="FootnoteReference"/>
          <w:rFonts w:ascii="Verdana" w:hAnsi="Verdana" w:cs="Times New Roman"/>
          <w:sz w:val="18"/>
          <w:szCs w:val="18"/>
          <w:lang w:val="en-GB"/>
        </w:rPr>
        <w:footnoteReference w:id="5"/>
      </w:r>
      <w:r w:rsidR="002F7837" w:rsidRPr="007B081C">
        <w:rPr>
          <w:rFonts w:ascii="Verdana" w:hAnsi="Verdana" w:cs="Times New Roman"/>
          <w:sz w:val="18"/>
          <w:szCs w:val="18"/>
          <w:lang w:val="en-GB"/>
        </w:rPr>
        <w:t xml:space="preserve"> </w:t>
      </w:r>
      <w:r w:rsidR="005E1BDF" w:rsidRPr="007B081C">
        <w:rPr>
          <w:rFonts w:ascii="Verdana" w:hAnsi="Verdana" w:cs="Times New Roman"/>
          <w:sz w:val="18"/>
          <w:szCs w:val="18"/>
          <w:lang w:val="en-GB"/>
        </w:rPr>
        <w:t>In 2008, t</w:t>
      </w:r>
      <w:r w:rsidR="00006C71" w:rsidRPr="007B081C">
        <w:rPr>
          <w:rFonts w:ascii="Verdana" w:hAnsi="Verdana" w:cs="Times New Roman"/>
          <w:sz w:val="18"/>
          <w:szCs w:val="18"/>
          <w:lang w:val="en-GB"/>
        </w:rPr>
        <w:t xml:space="preserve">he CEDAW Committee called on Lebanon </w:t>
      </w:r>
      <w:r w:rsidR="00CC6B83" w:rsidRPr="007B081C">
        <w:rPr>
          <w:rFonts w:ascii="Verdana" w:hAnsi="Verdana" w:cs="Times New Roman"/>
          <w:sz w:val="18"/>
          <w:szCs w:val="18"/>
          <w:lang w:val="en-GB"/>
        </w:rPr>
        <w:t>to ensure “that martial rape is criminalized</w:t>
      </w:r>
      <w:r w:rsidR="005E1BDF" w:rsidRPr="007B081C">
        <w:rPr>
          <w:rFonts w:ascii="Verdana" w:hAnsi="Verdana" w:cs="Times New Roman"/>
          <w:sz w:val="18"/>
          <w:szCs w:val="18"/>
          <w:lang w:val="en-GB"/>
        </w:rPr>
        <w:t>…</w:t>
      </w:r>
      <w:r w:rsidR="00E625E3" w:rsidRPr="007B081C">
        <w:rPr>
          <w:rFonts w:ascii="Verdana" w:hAnsi="Verdana" w:cs="Times New Roman"/>
          <w:sz w:val="18"/>
          <w:szCs w:val="18"/>
          <w:lang w:val="en-GB"/>
        </w:rPr>
        <w:t>;</w:t>
      </w:r>
      <w:r w:rsidR="00CC6B83" w:rsidRPr="007B081C">
        <w:rPr>
          <w:rFonts w:ascii="Verdana" w:hAnsi="Verdana" w:cs="Times New Roman"/>
          <w:sz w:val="18"/>
          <w:szCs w:val="18"/>
          <w:lang w:val="en-GB"/>
        </w:rPr>
        <w:t>”</w:t>
      </w:r>
      <w:r w:rsidR="00CC6B83" w:rsidRPr="007B081C">
        <w:rPr>
          <w:rStyle w:val="FootnoteReference"/>
          <w:rFonts w:ascii="Verdana" w:hAnsi="Verdana" w:cs="Times New Roman"/>
          <w:sz w:val="18"/>
          <w:szCs w:val="18"/>
          <w:lang w:val="en-GB"/>
        </w:rPr>
        <w:footnoteReference w:id="6"/>
      </w:r>
      <w:r w:rsidR="00CC6B83" w:rsidRPr="007B081C">
        <w:rPr>
          <w:rFonts w:ascii="Verdana" w:hAnsi="Verdana" w:cs="Times New Roman"/>
          <w:sz w:val="18"/>
          <w:szCs w:val="18"/>
          <w:lang w:val="en-GB"/>
        </w:rPr>
        <w:t xml:space="preserve"> </w:t>
      </w:r>
      <w:r w:rsidR="001E184C" w:rsidRPr="007B081C">
        <w:rPr>
          <w:rFonts w:ascii="Verdana" w:hAnsi="Verdana" w:cs="Times New Roman"/>
          <w:sz w:val="18"/>
          <w:szCs w:val="18"/>
          <w:lang w:val="en-GB"/>
        </w:rPr>
        <w:t>y</w:t>
      </w:r>
      <w:r w:rsidR="006A1EB7" w:rsidRPr="007B081C">
        <w:rPr>
          <w:rFonts w:ascii="Verdana" w:hAnsi="Verdana" w:cs="Times New Roman"/>
          <w:sz w:val="18"/>
          <w:szCs w:val="18"/>
          <w:lang w:val="en-GB"/>
        </w:rPr>
        <w:t>et</w:t>
      </w:r>
      <w:r w:rsidR="00EF6673" w:rsidRPr="007B081C">
        <w:rPr>
          <w:rFonts w:ascii="Verdana" w:hAnsi="Verdana" w:cs="Times New Roman"/>
          <w:sz w:val="18"/>
          <w:szCs w:val="18"/>
          <w:lang w:val="en-GB"/>
        </w:rPr>
        <w:t>,</w:t>
      </w:r>
      <w:r w:rsidR="006A1EB7" w:rsidRPr="007B081C">
        <w:rPr>
          <w:rFonts w:ascii="Verdana" w:hAnsi="Verdana" w:cs="Times New Roman"/>
          <w:sz w:val="18"/>
          <w:szCs w:val="18"/>
          <w:lang w:val="en-GB"/>
        </w:rPr>
        <w:t xml:space="preserve"> a</w:t>
      </w:r>
      <w:r w:rsidR="00806188" w:rsidRPr="007B081C">
        <w:rPr>
          <w:rFonts w:ascii="Verdana" w:hAnsi="Verdana" w:cs="Times New Roman"/>
          <w:sz w:val="18"/>
          <w:szCs w:val="18"/>
          <w:lang w:val="en-GB"/>
        </w:rPr>
        <w:t xml:space="preserve">rticles 503-504 of the </w:t>
      </w:r>
      <w:r w:rsidR="006859E3" w:rsidRPr="007B081C">
        <w:rPr>
          <w:rFonts w:ascii="Verdana" w:hAnsi="Verdana" w:cs="Times New Roman"/>
          <w:sz w:val="18"/>
          <w:szCs w:val="18"/>
          <w:lang w:val="en-GB"/>
        </w:rPr>
        <w:t>CC</w:t>
      </w:r>
      <w:r w:rsidR="00806188" w:rsidRPr="007B081C">
        <w:rPr>
          <w:rFonts w:ascii="Verdana" w:hAnsi="Verdana" w:cs="Times New Roman"/>
          <w:sz w:val="18"/>
          <w:szCs w:val="18"/>
          <w:lang w:val="en-GB"/>
        </w:rPr>
        <w:t xml:space="preserve"> </w:t>
      </w:r>
      <w:r w:rsidR="000B5B4C" w:rsidRPr="007B081C">
        <w:rPr>
          <w:rFonts w:ascii="Verdana" w:hAnsi="Verdana" w:cs="Times New Roman"/>
          <w:sz w:val="18"/>
          <w:szCs w:val="18"/>
          <w:lang w:val="en-GB"/>
        </w:rPr>
        <w:t xml:space="preserve">penalizing </w:t>
      </w:r>
      <w:r w:rsidR="00806188" w:rsidRPr="007B081C">
        <w:rPr>
          <w:rFonts w:ascii="Verdana" w:hAnsi="Verdana" w:cs="Times New Roman"/>
          <w:sz w:val="18"/>
          <w:szCs w:val="18"/>
          <w:lang w:val="en-GB"/>
        </w:rPr>
        <w:t xml:space="preserve">rape explicitly exclude the spouse </w:t>
      </w:r>
      <w:r w:rsidR="00EF6673" w:rsidRPr="007B081C">
        <w:rPr>
          <w:rFonts w:ascii="Verdana" w:hAnsi="Verdana" w:cs="Times New Roman"/>
          <w:sz w:val="18"/>
          <w:szCs w:val="18"/>
          <w:lang w:val="en-GB"/>
        </w:rPr>
        <w:t xml:space="preserve">as perpetrator </w:t>
      </w:r>
      <w:r w:rsidR="00806188" w:rsidRPr="007B081C">
        <w:rPr>
          <w:rFonts w:ascii="Verdana" w:hAnsi="Verdana" w:cs="Times New Roman"/>
          <w:sz w:val="18"/>
          <w:szCs w:val="18"/>
          <w:lang w:val="en-GB"/>
        </w:rPr>
        <w:t>from their scope</w:t>
      </w:r>
      <w:r w:rsidR="00EF6673" w:rsidRPr="007B081C">
        <w:rPr>
          <w:rFonts w:ascii="Verdana" w:hAnsi="Verdana" w:cs="Times New Roman"/>
          <w:sz w:val="18"/>
          <w:szCs w:val="18"/>
          <w:lang w:val="en-GB"/>
        </w:rPr>
        <w:t>,</w:t>
      </w:r>
      <w:r w:rsidR="00006C71" w:rsidRPr="007B081C">
        <w:rPr>
          <w:rFonts w:ascii="Verdana" w:hAnsi="Verdana" w:cs="Times New Roman"/>
          <w:sz w:val="18"/>
          <w:szCs w:val="18"/>
          <w:lang w:val="en-GB"/>
        </w:rPr>
        <w:t xml:space="preserve"> and Law No. 293/2014 makes no </w:t>
      </w:r>
      <w:r w:rsidR="005E1BDF" w:rsidRPr="007B081C">
        <w:rPr>
          <w:rFonts w:ascii="Verdana" w:hAnsi="Verdana" w:cs="Times New Roman"/>
          <w:sz w:val="18"/>
          <w:szCs w:val="18"/>
          <w:lang w:val="en-GB"/>
        </w:rPr>
        <w:t>reference to</w:t>
      </w:r>
      <w:r w:rsidR="00006C71" w:rsidRPr="007B081C">
        <w:rPr>
          <w:rFonts w:ascii="Verdana" w:hAnsi="Verdana" w:cs="Times New Roman"/>
          <w:sz w:val="18"/>
          <w:szCs w:val="18"/>
          <w:lang w:val="en-GB"/>
        </w:rPr>
        <w:t xml:space="preserve"> martial rape. Rather, the latter criminalizes a spouse’s use of threats or violence to claim a “marital right to intercourse”</w:t>
      </w:r>
      <w:r w:rsidR="00EE66CF" w:rsidRPr="007B081C">
        <w:rPr>
          <w:rFonts w:ascii="Verdana" w:hAnsi="Verdana" w:cs="Times New Roman"/>
          <w:sz w:val="18"/>
          <w:szCs w:val="18"/>
          <w:lang w:val="en-GB"/>
        </w:rPr>
        <w:t>,</w:t>
      </w:r>
      <w:r w:rsidR="003B1169" w:rsidRPr="007B081C">
        <w:rPr>
          <w:rFonts w:ascii="Verdana" w:hAnsi="Verdana" w:cs="Times New Roman"/>
          <w:sz w:val="18"/>
          <w:szCs w:val="18"/>
          <w:lang w:val="en-GB"/>
        </w:rPr>
        <w:t xml:space="preserve"> but</w:t>
      </w:r>
      <w:r w:rsidR="006A1EB7" w:rsidRPr="007B081C">
        <w:rPr>
          <w:rFonts w:ascii="Verdana" w:hAnsi="Verdana" w:cs="Times New Roman"/>
          <w:sz w:val="18"/>
          <w:szCs w:val="18"/>
          <w:lang w:val="en-GB"/>
        </w:rPr>
        <w:t xml:space="preserve"> not the non-consensual violation of </w:t>
      </w:r>
      <w:r w:rsidR="00ED4D59" w:rsidRPr="007B081C">
        <w:rPr>
          <w:rFonts w:ascii="Verdana" w:hAnsi="Verdana" w:cs="Times New Roman"/>
          <w:sz w:val="18"/>
          <w:szCs w:val="18"/>
          <w:lang w:val="en-GB"/>
        </w:rPr>
        <w:t>women’s right to personal security and bodily integrity</w:t>
      </w:r>
      <w:r w:rsidR="00EE66CF" w:rsidRPr="007B081C">
        <w:rPr>
          <w:rFonts w:ascii="Verdana" w:hAnsi="Verdana" w:cs="Times New Roman"/>
          <w:sz w:val="18"/>
          <w:szCs w:val="18"/>
          <w:lang w:val="en-GB"/>
        </w:rPr>
        <w:t xml:space="preserve"> that rape entails</w:t>
      </w:r>
      <w:r w:rsidR="00D4413A" w:rsidRPr="007B081C">
        <w:rPr>
          <w:rFonts w:ascii="Verdana" w:hAnsi="Verdana" w:cs="Times New Roman"/>
          <w:sz w:val="18"/>
          <w:szCs w:val="18"/>
          <w:lang w:val="en-GB"/>
        </w:rPr>
        <w:t>.</w:t>
      </w:r>
    </w:p>
    <w:p w14:paraId="2921A1A1" w14:textId="77777777" w:rsidR="008808C5" w:rsidRPr="007B081C" w:rsidRDefault="008808C5" w:rsidP="007B081C">
      <w:pPr>
        <w:pStyle w:val="FootnoteText"/>
        <w:jc w:val="both"/>
        <w:rPr>
          <w:rFonts w:ascii="Verdana" w:hAnsi="Verdana" w:cs="Times New Roman"/>
          <w:i/>
          <w:sz w:val="18"/>
          <w:szCs w:val="18"/>
          <w:lang w:val="en-GB"/>
        </w:rPr>
      </w:pPr>
    </w:p>
    <w:p w14:paraId="3FD2CBB0" w14:textId="31462577" w:rsidR="001D5B98" w:rsidRPr="007B081C" w:rsidRDefault="000B5B4C"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lastRenderedPageBreak/>
        <w:t>T</w:t>
      </w:r>
      <w:r w:rsidR="006A1EB7" w:rsidRPr="007B081C">
        <w:rPr>
          <w:rFonts w:ascii="Verdana" w:hAnsi="Verdana" w:cs="Times New Roman"/>
          <w:sz w:val="18"/>
          <w:szCs w:val="18"/>
          <w:lang w:val="en-GB"/>
        </w:rPr>
        <w:t>he</w:t>
      </w:r>
      <w:r w:rsidR="00006C71" w:rsidRPr="007B081C">
        <w:rPr>
          <w:rFonts w:ascii="Verdana" w:hAnsi="Verdana" w:cs="Times New Roman"/>
          <w:sz w:val="18"/>
          <w:szCs w:val="18"/>
          <w:lang w:val="en-GB"/>
        </w:rPr>
        <w:t xml:space="preserve"> CC </w:t>
      </w:r>
      <w:r w:rsidR="001D5B98" w:rsidRPr="007B081C">
        <w:rPr>
          <w:rFonts w:ascii="Verdana" w:hAnsi="Verdana" w:cs="Times New Roman"/>
          <w:sz w:val="18"/>
          <w:szCs w:val="18"/>
          <w:lang w:val="en-GB"/>
        </w:rPr>
        <w:t xml:space="preserve">and Law No. 293/2014 do </w:t>
      </w:r>
      <w:r w:rsidR="00006C71" w:rsidRPr="007B081C">
        <w:rPr>
          <w:rFonts w:ascii="Verdana" w:hAnsi="Verdana" w:cs="Times New Roman"/>
          <w:sz w:val="18"/>
          <w:szCs w:val="18"/>
          <w:lang w:val="en-GB"/>
        </w:rPr>
        <w:t xml:space="preserve">not </w:t>
      </w:r>
      <w:r w:rsidR="00305376" w:rsidRPr="007B081C">
        <w:rPr>
          <w:rFonts w:ascii="Verdana" w:hAnsi="Verdana" w:cs="Times New Roman"/>
          <w:sz w:val="18"/>
          <w:szCs w:val="18"/>
          <w:lang w:val="en-GB"/>
        </w:rPr>
        <w:t xml:space="preserve">adequately </w:t>
      </w:r>
      <w:r w:rsidR="00006C71" w:rsidRPr="007B081C">
        <w:rPr>
          <w:rFonts w:ascii="Verdana" w:hAnsi="Verdana" w:cs="Times New Roman"/>
          <w:sz w:val="18"/>
          <w:szCs w:val="18"/>
          <w:lang w:val="en-GB"/>
        </w:rPr>
        <w:t xml:space="preserve">define </w:t>
      </w:r>
      <w:r w:rsidR="001D5B98" w:rsidRPr="007B081C">
        <w:rPr>
          <w:rFonts w:ascii="Verdana" w:hAnsi="Verdana" w:cs="Times New Roman"/>
          <w:sz w:val="18"/>
          <w:szCs w:val="18"/>
          <w:lang w:val="en-GB"/>
        </w:rPr>
        <w:t xml:space="preserve">other forms of </w:t>
      </w:r>
      <w:r w:rsidR="00006C71" w:rsidRPr="007B081C">
        <w:rPr>
          <w:rFonts w:ascii="Verdana" w:hAnsi="Verdana" w:cs="Times New Roman"/>
          <w:sz w:val="18"/>
          <w:szCs w:val="18"/>
          <w:lang w:val="en-GB"/>
        </w:rPr>
        <w:t>sexual assault</w:t>
      </w:r>
      <w:r w:rsidRPr="007B081C">
        <w:rPr>
          <w:rFonts w:ascii="Verdana" w:hAnsi="Verdana" w:cs="Times New Roman"/>
          <w:sz w:val="18"/>
          <w:szCs w:val="18"/>
          <w:lang w:val="en-GB"/>
        </w:rPr>
        <w:t xml:space="preserve">, </w:t>
      </w:r>
      <w:r w:rsidR="00006C71" w:rsidRPr="007B081C">
        <w:rPr>
          <w:rFonts w:ascii="Verdana" w:hAnsi="Verdana"/>
          <w:sz w:val="18"/>
          <w:szCs w:val="18"/>
        </w:rPr>
        <w:t>fall</w:t>
      </w:r>
      <w:r w:rsidR="00305376" w:rsidRPr="007B081C">
        <w:rPr>
          <w:rFonts w:ascii="Verdana" w:hAnsi="Verdana"/>
          <w:sz w:val="18"/>
          <w:szCs w:val="18"/>
        </w:rPr>
        <w:t>ing</w:t>
      </w:r>
      <w:r w:rsidR="00006C71" w:rsidRPr="007B081C">
        <w:rPr>
          <w:rFonts w:ascii="Verdana" w:hAnsi="Verdana"/>
          <w:sz w:val="18"/>
          <w:szCs w:val="18"/>
        </w:rPr>
        <w:t xml:space="preserve"> short of international law and standards</w:t>
      </w:r>
      <w:r w:rsidR="00FF5048" w:rsidRPr="007B081C">
        <w:rPr>
          <w:rFonts w:ascii="Verdana" w:hAnsi="Verdana"/>
          <w:sz w:val="18"/>
          <w:szCs w:val="18"/>
        </w:rPr>
        <w:t>,</w:t>
      </w:r>
      <w:r w:rsidR="001D541E" w:rsidRPr="007B081C">
        <w:rPr>
          <w:rFonts w:ascii="Verdana" w:hAnsi="Verdana"/>
          <w:sz w:val="18"/>
          <w:szCs w:val="18"/>
        </w:rPr>
        <w:t xml:space="preserve"> including </w:t>
      </w:r>
      <w:r w:rsidR="002C6322" w:rsidRPr="007B081C">
        <w:rPr>
          <w:rFonts w:ascii="Verdana" w:hAnsi="Verdana"/>
          <w:sz w:val="18"/>
          <w:szCs w:val="18"/>
        </w:rPr>
        <w:t>articles 1 and 2 of CEDAW and</w:t>
      </w:r>
      <w:r w:rsidR="00E625E3" w:rsidRPr="007B081C">
        <w:rPr>
          <w:rFonts w:ascii="Verdana" w:hAnsi="Verdana"/>
          <w:sz w:val="18"/>
          <w:szCs w:val="18"/>
        </w:rPr>
        <w:t xml:space="preserve"> the</w:t>
      </w:r>
      <w:r w:rsidR="002C6322" w:rsidRPr="007B081C">
        <w:rPr>
          <w:rFonts w:ascii="Verdana" w:hAnsi="Verdana"/>
          <w:sz w:val="18"/>
          <w:szCs w:val="18"/>
        </w:rPr>
        <w:t xml:space="preserve"> CEDAW Committee</w:t>
      </w:r>
      <w:r w:rsidR="0047179A" w:rsidRPr="007B081C">
        <w:rPr>
          <w:rFonts w:ascii="Verdana" w:hAnsi="Verdana"/>
          <w:sz w:val="18"/>
          <w:szCs w:val="18"/>
        </w:rPr>
        <w:t>’s</w:t>
      </w:r>
      <w:r w:rsidR="00305376" w:rsidRPr="007B081C">
        <w:rPr>
          <w:rFonts w:ascii="Verdana" w:hAnsi="Verdana"/>
          <w:sz w:val="18"/>
          <w:szCs w:val="18"/>
        </w:rPr>
        <w:t xml:space="preserve"> </w:t>
      </w:r>
      <w:r w:rsidR="0047179A" w:rsidRPr="007B081C">
        <w:rPr>
          <w:rFonts w:ascii="Verdana" w:hAnsi="Verdana"/>
          <w:sz w:val="18"/>
          <w:szCs w:val="18"/>
        </w:rPr>
        <w:t xml:space="preserve">General </w:t>
      </w:r>
      <w:r w:rsidR="00305376" w:rsidRPr="007B081C">
        <w:rPr>
          <w:rFonts w:ascii="Verdana" w:hAnsi="Verdana"/>
          <w:sz w:val="18"/>
          <w:szCs w:val="18"/>
        </w:rPr>
        <w:t>recommendations.</w:t>
      </w:r>
      <w:r w:rsidR="002C6322" w:rsidRPr="007B081C">
        <w:rPr>
          <w:rStyle w:val="FootnoteReference"/>
          <w:rFonts w:ascii="Verdana" w:hAnsi="Verdana"/>
          <w:sz w:val="18"/>
          <w:szCs w:val="18"/>
        </w:rPr>
        <w:footnoteReference w:id="7"/>
      </w:r>
      <w:r w:rsidR="00006C71" w:rsidRPr="007B081C">
        <w:rPr>
          <w:rFonts w:ascii="Verdana" w:hAnsi="Verdana"/>
          <w:sz w:val="18"/>
          <w:szCs w:val="18"/>
        </w:rPr>
        <w:t xml:space="preserve"> </w:t>
      </w:r>
      <w:r w:rsidR="00305376" w:rsidRPr="007B081C">
        <w:rPr>
          <w:rFonts w:ascii="Verdana" w:hAnsi="Verdana"/>
          <w:sz w:val="18"/>
          <w:szCs w:val="18"/>
        </w:rPr>
        <w:t xml:space="preserve">Law No. 293/2014 narrowly defines </w:t>
      </w:r>
      <w:r w:rsidR="00305376" w:rsidRPr="007B081C">
        <w:rPr>
          <w:rFonts w:ascii="Verdana" w:eastAsia="Times New Roman" w:hAnsi="Verdana" w:cs="Times New Roman"/>
          <w:sz w:val="18"/>
          <w:szCs w:val="18"/>
        </w:rPr>
        <w:t xml:space="preserve">domestic violence in article 2 as “an act, act of omission, or threat of an act committed by any family member against one or more family members...related to one of the crimes stipulated in this law, and that results in killing, harming, or physical, psychological, sexual, or economic harm.” The crimes stipulated in article 3 of the Law, amending the CC, are forced begging, indecency, prostitution, homicide, adultery and causing or threatening harm to a spouse when “obtaining a marital right to intercourse.” Other than rape, </w:t>
      </w:r>
      <w:r w:rsidR="00305376" w:rsidRPr="007B081C">
        <w:rPr>
          <w:rFonts w:ascii="Verdana" w:hAnsi="Verdana" w:cstheme="minorHAnsi"/>
          <w:color w:val="000000" w:themeColor="text1"/>
          <w:sz w:val="18"/>
          <w:szCs w:val="18"/>
        </w:rPr>
        <w:t>a</w:t>
      </w:r>
      <w:r w:rsidR="001D5B98" w:rsidRPr="007B081C">
        <w:rPr>
          <w:rFonts w:ascii="Verdana" w:hAnsi="Verdana" w:cstheme="minorHAnsi"/>
          <w:color w:val="000000" w:themeColor="text1"/>
          <w:sz w:val="18"/>
          <w:szCs w:val="18"/>
        </w:rPr>
        <w:t xml:space="preserve">mong the acts not covered </w:t>
      </w:r>
      <w:proofErr w:type="gramStart"/>
      <w:r w:rsidR="001D5B98" w:rsidRPr="007B081C">
        <w:rPr>
          <w:rFonts w:ascii="Verdana" w:hAnsi="Verdana" w:cstheme="minorHAnsi"/>
          <w:color w:val="000000" w:themeColor="text1"/>
          <w:sz w:val="18"/>
          <w:szCs w:val="18"/>
        </w:rPr>
        <w:t>are</w:t>
      </w:r>
      <w:r w:rsidR="0047179A" w:rsidRPr="007B081C">
        <w:rPr>
          <w:rFonts w:ascii="Verdana" w:hAnsi="Verdana" w:cstheme="minorHAnsi"/>
          <w:color w:val="000000" w:themeColor="text1"/>
          <w:sz w:val="18"/>
          <w:szCs w:val="18"/>
        </w:rPr>
        <w:t>:</w:t>
      </w:r>
      <w:proofErr w:type="gramEnd"/>
      <w:r w:rsidR="001D5B98" w:rsidRPr="007B081C">
        <w:rPr>
          <w:rFonts w:ascii="Verdana" w:hAnsi="Verdana" w:cstheme="minorHAnsi"/>
          <w:color w:val="000000" w:themeColor="text1"/>
          <w:sz w:val="18"/>
          <w:szCs w:val="18"/>
        </w:rPr>
        <w:t xml:space="preserve"> sexual assault</w:t>
      </w:r>
      <w:r w:rsidR="006D3D20" w:rsidRPr="007B081C">
        <w:rPr>
          <w:rFonts w:ascii="Verdana" w:hAnsi="Verdana" w:cstheme="minorHAnsi"/>
          <w:color w:val="000000" w:themeColor="text1"/>
          <w:sz w:val="18"/>
          <w:szCs w:val="18"/>
        </w:rPr>
        <w:t>;</w:t>
      </w:r>
      <w:r w:rsidR="00305376" w:rsidRPr="007B081C">
        <w:rPr>
          <w:rFonts w:ascii="Verdana" w:hAnsi="Verdana" w:cstheme="minorHAnsi"/>
          <w:color w:val="000000" w:themeColor="text1"/>
          <w:sz w:val="18"/>
          <w:szCs w:val="18"/>
        </w:rPr>
        <w:t xml:space="preserve"> threats of assault</w:t>
      </w:r>
      <w:r w:rsidR="0047179A" w:rsidRPr="007B081C">
        <w:rPr>
          <w:rFonts w:ascii="Verdana" w:hAnsi="Verdana" w:cstheme="minorHAnsi"/>
          <w:color w:val="000000" w:themeColor="text1"/>
          <w:sz w:val="18"/>
          <w:szCs w:val="18"/>
        </w:rPr>
        <w:t>;</w:t>
      </w:r>
      <w:r w:rsidR="00305376" w:rsidRPr="007B081C">
        <w:rPr>
          <w:rFonts w:ascii="Verdana" w:hAnsi="Verdana" w:cstheme="minorHAnsi"/>
          <w:color w:val="000000" w:themeColor="text1"/>
          <w:sz w:val="18"/>
          <w:szCs w:val="18"/>
        </w:rPr>
        <w:t xml:space="preserve"> </w:t>
      </w:r>
      <w:r w:rsidR="001D5B98" w:rsidRPr="007B081C">
        <w:rPr>
          <w:rFonts w:ascii="Verdana" w:hAnsi="Verdana" w:cstheme="minorHAnsi"/>
          <w:color w:val="000000" w:themeColor="text1"/>
          <w:sz w:val="18"/>
          <w:szCs w:val="18"/>
        </w:rPr>
        <w:t>sexual harassment</w:t>
      </w:r>
      <w:r w:rsidR="00305376" w:rsidRPr="007B081C">
        <w:rPr>
          <w:rFonts w:ascii="Verdana" w:hAnsi="Verdana" w:cstheme="minorHAnsi"/>
          <w:color w:val="000000" w:themeColor="text1"/>
          <w:sz w:val="18"/>
          <w:szCs w:val="18"/>
        </w:rPr>
        <w:t xml:space="preserve"> and non-physical harm</w:t>
      </w:r>
      <w:r w:rsidR="0047179A" w:rsidRPr="007B081C">
        <w:rPr>
          <w:rFonts w:ascii="Verdana" w:hAnsi="Verdana" w:cstheme="minorHAnsi"/>
          <w:color w:val="000000" w:themeColor="text1"/>
          <w:sz w:val="18"/>
          <w:szCs w:val="18"/>
        </w:rPr>
        <w:t>,</w:t>
      </w:r>
      <w:r w:rsidR="00305376" w:rsidRPr="007B081C">
        <w:rPr>
          <w:rFonts w:ascii="Verdana" w:hAnsi="Verdana" w:cstheme="minorHAnsi"/>
          <w:color w:val="000000" w:themeColor="text1"/>
          <w:sz w:val="18"/>
          <w:szCs w:val="18"/>
        </w:rPr>
        <w:t xml:space="preserve"> such as psychological and economic harms not based on acts defined in article 3. A</w:t>
      </w:r>
      <w:r w:rsidR="001D5B98" w:rsidRPr="007B081C">
        <w:rPr>
          <w:rFonts w:ascii="Verdana" w:hAnsi="Verdana" w:cstheme="minorHAnsi"/>
          <w:color w:val="000000" w:themeColor="text1"/>
          <w:sz w:val="18"/>
          <w:szCs w:val="18"/>
        </w:rPr>
        <w:t xml:space="preserve">cts that </w:t>
      </w:r>
      <w:r w:rsidR="0047179A" w:rsidRPr="007B081C">
        <w:rPr>
          <w:rFonts w:ascii="Verdana" w:hAnsi="Verdana" w:cstheme="minorHAnsi"/>
          <w:color w:val="000000" w:themeColor="text1"/>
          <w:sz w:val="18"/>
          <w:szCs w:val="18"/>
        </w:rPr>
        <w:t xml:space="preserve">embody </w:t>
      </w:r>
      <w:r w:rsidR="001D5B98" w:rsidRPr="007B081C">
        <w:rPr>
          <w:rFonts w:ascii="Verdana" w:hAnsi="Verdana" w:cstheme="minorHAnsi"/>
          <w:color w:val="000000" w:themeColor="text1"/>
          <w:sz w:val="18"/>
          <w:szCs w:val="18"/>
        </w:rPr>
        <w:t xml:space="preserve">some of the most deeply entrenched </w:t>
      </w:r>
      <w:r w:rsidR="0047179A" w:rsidRPr="007B081C">
        <w:rPr>
          <w:rFonts w:ascii="Verdana" w:hAnsi="Verdana" w:cstheme="minorHAnsi"/>
          <w:color w:val="000000" w:themeColor="text1"/>
          <w:sz w:val="18"/>
          <w:szCs w:val="18"/>
        </w:rPr>
        <w:t xml:space="preserve">and harmful </w:t>
      </w:r>
      <w:r w:rsidR="001D5B98" w:rsidRPr="007B081C">
        <w:rPr>
          <w:rFonts w:ascii="Verdana" w:hAnsi="Verdana" w:cstheme="minorHAnsi"/>
          <w:color w:val="000000" w:themeColor="text1"/>
          <w:sz w:val="18"/>
          <w:szCs w:val="18"/>
        </w:rPr>
        <w:t>patriarchal traditions, such as forcing girls to marry or preventing women from leaving the house</w:t>
      </w:r>
      <w:r w:rsidR="00305376" w:rsidRPr="007B081C">
        <w:rPr>
          <w:rFonts w:ascii="Verdana" w:hAnsi="Verdana" w:cstheme="minorHAnsi"/>
          <w:color w:val="000000" w:themeColor="text1"/>
          <w:sz w:val="18"/>
          <w:szCs w:val="18"/>
        </w:rPr>
        <w:t>, are also not included</w:t>
      </w:r>
      <w:r w:rsidR="001D5B98" w:rsidRPr="007B081C">
        <w:rPr>
          <w:rFonts w:ascii="Verdana" w:hAnsi="Verdana" w:cstheme="minorHAnsi"/>
          <w:color w:val="000000" w:themeColor="text1"/>
          <w:sz w:val="18"/>
          <w:szCs w:val="18"/>
        </w:rPr>
        <w:t xml:space="preserve">. </w:t>
      </w:r>
    </w:p>
    <w:p w14:paraId="564212A9" w14:textId="77777777" w:rsidR="001D5B98" w:rsidRPr="007B081C" w:rsidRDefault="001D5B98" w:rsidP="007B081C">
      <w:pPr>
        <w:pStyle w:val="ListParagraph"/>
        <w:rPr>
          <w:rFonts w:ascii="Verdana" w:hAnsi="Verdana"/>
          <w:sz w:val="18"/>
          <w:szCs w:val="18"/>
        </w:rPr>
      </w:pPr>
    </w:p>
    <w:p w14:paraId="6C0DABB3" w14:textId="6B1823E3" w:rsidR="00494BB9" w:rsidRPr="007B081C" w:rsidRDefault="00F21170" w:rsidP="007B081C">
      <w:pPr>
        <w:pStyle w:val="FootnoteText"/>
        <w:numPr>
          <w:ilvl w:val="0"/>
          <w:numId w:val="3"/>
        </w:numPr>
        <w:jc w:val="both"/>
        <w:rPr>
          <w:rFonts w:ascii="Verdana" w:hAnsi="Verdana" w:cs="Times New Roman"/>
          <w:sz w:val="18"/>
          <w:szCs w:val="18"/>
          <w:lang w:val="en-GB"/>
        </w:rPr>
      </w:pPr>
      <w:r w:rsidRPr="007B081C">
        <w:rPr>
          <w:rFonts w:ascii="Verdana" w:hAnsi="Verdana"/>
          <w:sz w:val="18"/>
          <w:szCs w:val="18"/>
        </w:rPr>
        <w:t xml:space="preserve">The limited forms of </w:t>
      </w:r>
      <w:r w:rsidR="00494BB9" w:rsidRPr="007B081C">
        <w:rPr>
          <w:rFonts w:ascii="Verdana" w:hAnsi="Verdana"/>
          <w:sz w:val="18"/>
          <w:szCs w:val="18"/>
        </w:rPr>
        <w:t xml:space="preserve">rape and </w:t>
      </w:r>
      <w:r w:rsidR="00494BB9" w:rsidRPr="007B081C">
        <w:rPr>
          <w:rFonts w:ascii="Verdana" w:hAnsi="Verdana"/>
          <w:bCs/>
          <w:iCs/>
          <w:sz w:val="18"/>
          <w:szCs w:val="18"/>
        </w:rPr>
        <w:t xml:space="preserve">sexual assault </w:t>
      </w:r>
      <w:r w:rsidRPr="007B081C">
        <w:rPr>
          <w:rFonts w:ascii="Verdana" w:hAnsi="Verdana"/>
          <w:bCs/>
          <w:iCs/>
          <w:sz w:val="18"/>
          <w:szCs w:val="18"/>
        </w:rPr>
        <w:t xml:space="preserve">that </w:t>
      </w:r>
      <w:r w:rsidR="00494BB9" w:rsidRPr="007B081C">
        <w:rPr>
          <w:rFonts w:ascii="Verdana" w:hAnsi="Verdana"/>
          <w:bCs/>
          <w:iCs/>
          <w:sz w:val="18"/>
          <w:szCs w:val="18"/>
        </w:rPr>
        <w:t xml:space="preserve">could be prosecuted </w:t>
      </w:r>
      <w:r w:rsidRPr="007B081C">
        <w:rPr>
          <w:rFonts w:ascii="Verdana" w:hAnsi="Verdana"/>
          <w:bCs/>
          <w:iCs/>
          <w:sz w:val="18"/>
          <w:szCs w:val="18"/>
        </w:rPr>
        <w:t xml:space="preserve">are </w:t>
      </w:r>
      <w:r w:rsidR="00494BB9" w:rsidRPr="007B081C">
        <w:rPr>
          <w:rFonts w:ascii="Verdana" w:hAnsi="Verdana"/>
          <w:bCs/>
          <w:iCs/>
          <w:sz w:val="18"/>
          <w:szCs w:val="18"/>
        </w:rPr>
        <w:t>not</w:t>
      </w:r>
      <w:r w:rsidR="00494BB9" w:rsidRPr="007B081C">
        <w:rPr>
          <w:rFonts w:ascii="Verdana" w:hAnsi="Verdana"/>
          <w:sz w:val="18"/>
          <w:szCs w:val="18"/>
        </w:rPr>
        <w:t xml:space="preserve"> recognize</w:t>
      </w:r>
      <w:r w:rsidRPr="007B081C">
        <w:rPr>
          <w:rFonts w:ascii="Verdana" w:hAnsi="Verdana"/>
          <w:sz w:val="18"/>
          <w:szCs w:val="18"/>
        </w:rPr>
        <w:t>d</w:t>
      </w:r>
      <w:r w:rsidR="00494BB9" w:rsidRPr="007B081C">
        <w:rPr>
          <w:rFonts w:ascii="Verdana" w:hAnsi="Verdana"/>
          <w:sz w:val="18"/>
          <w:szCs w:val="18"/>
        </w:rPr>
        <w:t xml:space="preserve"> as a violation of physical, sexual </w:t>
      </w:r>
      <w:r w:rsidR="0047179A" w:rsidRPr="007B081C">
        <w:rPr>
          <w:rFonts w:ascii="Verdana" w:hAnsi="Verdana"/>
          <w:sz w:val="18"/>
          <w:szCs w:val="18"/>
        </w:rPr>
        <w:t xml:space="preserve">and </w:t>
      </w:r>
      <w:r w:rsidR="00494BB9" w:rsidRPr="007B081C">
        <w:rPr>
          <w:rFonts w:ascii="Verdana" w:hAnsi="Verdana"/>
          <w:sz w:val="18"/>
          <w:szCs w:val="18"/>
        </w:rPr>
        <w:t>psychological integrity</w:t>
      </w:r>
      <w:r w:rsidR="0047179A" w:rsidRPr="007B081C">
        <w:rPr>
          <w:rFonts w:ascii="Verdana" w:hAnsi="Verdana"/>
          <w:sz w:val="18"/>
          <w:szCs w:val="18"/>
        </w:rPr>
        <w:t>, contrary to</w:t>
      </w:r>
      <w:r w:rsidR="005C1BE6" w:rsidRPr="007B081C">
        <w:rPr>
          <w:rFonts w:ascii="Verdana" w:hAnsi="Verdana"/>
          <w:sz w:val="18"/>
          <w:szCs w:val="18"/>
        </w:rPr>
        <w:t xml:space="preserve"> </w:t>
      </w:r>
      <w:r w:rsidR="00E625E3" w:rsidRPr="007B081C">
        <w:rPr>
          <w:rFonts w:ascii="Verdana" w:hAnsi="Verdana"/>
          <w:sz w:val="18"/>
          <w:szCs w:val="18"/>
        </w:rPr>
        <w:t xml:space="preserve">the </w:t>
      </w:r>
      <w:r w:rsidR="005C1BE6" w:rsidRPr="007B081C">
        <w:rPr>
          <w:rFonts w:ascii="Verdana" w:hAnsi="Verdana"/>
          <w:sz w:val="18"/>
          <w:szCs w:val="18"/>
        </w:rPr>
        <w:t>CEDAW Committee</w:t>
      </w:r>
      <w:r w:rsidR="0047179A" w:rsidRPr="007B081C">
        <w:rPr>
          <w:rFonts w:ascii="Verdana" w:hAnsi="Verdana"/>
          <w:sz w:val="18"/>
          <w:szCs w:val="18"/>
        </w:rPr>
        <w:t>’s</w:t>
      </w:r>
      <w:r w:rsidR="005C1BE6" w:rsidRPr="007B081C">
        <w:rPr>
          <w:rFonts w:ascii="Verdana" w:hAnsi="Verdana"/>
          <w:sz w:val="18"/>
          <w:szCs w:val="18"/>
        </w:rPr>
        <w:t xml:space="preserve"> </w:t>
      </w:r>
      <w:r w:rsidR="0047179A" w:rsidRPr="007B081C">
        <w:rPr>
          <w:rFonts w:ascii="Verdana" w:hAnsi="Verdana"/>
          <w:sz w:val="18"/>
          <w:szCs w:val="18"/>
        </w:rPr>
        <w:t xml:space="preserve">General </w:t>
      </w:r>
      <w:r w:rsidR="005C1BE6" w:rsidRPr="007B081C">
        <w:rPr>
          <w:rFonts w:ascii="Verdana" w:hAnsi="Verdana"/>
          <w:sz w:val="18"/>
          <w:szCs w:val="18"/>
        </w:rPr>
        <w:t>recommendations.</w:t>
      </w:r>
      <w:r w:rsidR="00494BB9" w:rsidRPr="007B081C">
        <w:rPr>
          <w:rStyle w:val="FootnoteReference"/>
          <w:rFonts w:ascii="Verdana" w:hAnsi="Verdana"/>
          <w:sz w:val="18"/>
          <w:szCs w:val="18"/>
        </w:rPr>
        <w:footnoteReference w:id="8"/>
      </w:r>
      <w:r w:rsidR="00494BB9" w:rsidRPr="007B081C">
        <w:rPr>
          <w:rFonts w:ascii="Verdana" w:hAnsi="Verdana"/>
          <w:sz w:val="18"/>
          <w:szCs w:val="18"/>
        </w:rPr>
        <w:t xml:space="preserve"> </w:t>
      </w:r>
      <w:r w:rsidR="00494BB9" w:rsidRPr="007B081C">
        <w:rPr>
          <w:rFonts w:ascii="Verdana" w:hAnsi="Verdana"/>
          <w:bCs/>
          <w:iCs/>
          <w:sz w:val="18"/>
          <w:szCs w:val="18"/>
        </w:rPr>
        <w:t xml:space="preserve">Rather, the CC addresses sexual offences as crimes </w:t>
      </w:r>
      <w:r w:rsidR="00494BB9" w:rsidRPr="007B081C">
        <w:rPr>
          <w:rFonts w:ascii="Verdana" w:hAnsi="Verdana"/>
          <w:sz w:val="18"/>
          <w:szCs w:val="18"/>
        </w:rPr>
        <w:t>against “public morality and decency</w:t>
      </w:r>
      <w:r w:rsidR="00E625E3" w:rsidRPr="007B081C">
        <w:rPr>
          <w:rFonts w:ascii="Verdana" w:hAnsi="Verdana"/>
          <w:sz w:val="18"/>
          <w:szCs w:val="18"/>
        </w:rPr>
        <w:t>,</w:t>
      </w:r>
      <w:r w:rsidR="00494BB9" w:rsidRPr="007B081C">
        <w:rPr>
          <w:rFonts w:ascii="Verdana" w:hAnsi="Verdana"/>
          <w:sz w:val="18"/>
          <w:szCs w:val="18"/>
        </w:rPr>
        <w:t xml:space="preserve">” thereby characterizing these offences as intrusions on the “honour” of the </w:t>
      </w:r>
      <w:r w:rsidR="006A1EB7" w:rsidRPr="007B081C">
        <w:rPr>
          <w:rFonts w:ascii="Verdana" w:hAnsi="Verdana"/>
          <w:sz w:val="18"/>
          <w:szCs w:val="18"/>
        </w:rPr>
        <w:t>complainant</w:t>
      </w:r>
      <w:r w:rsidR="00494BB9" w:rsidRPr="007B081C">
        <w:rPr>
          <w:rFonts w:ascii="Verdana" w:hAnsi="Verdana"/>
          <w:sz w:val="18"/>
          <w:szCs w:val="18"/>
        </w:rPr>
        <w:t>/survivor, their family and society. Conceiving and criminalizing sexual offences along these lines diminishes the</w:t>
      </w:r>
      <w:r w:rsidR="008808C5" w:rsidRPr="007B081C">
        <w:rPr>
          <w:rFonts w:ascii="Verdana" w:hAnsi="Verdana"/>
          <w:sz w:val="18"/>
          <w:szCs w:val="18"/>
        </w:rPr>
        <w:t>ir</w:t>
      </w:r>
      <w:r w:rsidR="00494BB9" w:rsidRPr="007B081C">
        <w:rPr>
          <w:rFonts w:ascii="Verdana" w:hAnsi="Verdana"/>
          <w:sz w:val="18"/>
          <w:szCs w:val="18"/>
        </w:rPr>
        <w:t xml:space="preserve"> seriousness and is irreconcilable with </w:t>
      </w:r>
      <w:r w:rsidR="005C1BE6" w:rsidRPr="007B081C">
        <w:rPr>
          <w:rFonts w:ascii="Verdana" w:hAnsi="Verdana"/>
          <w:sz w:val="18"/>
          <w:szCs w:val="18"/>
        </w:rPr>
        <w:t>articles 1, 2</w:t>
      </w:r>
      <w:r w:rsidR="000931E0" w:rsidRPr="007B081C">
        <w:rPr>
          <w:rFonts w:ascii="Verdana" w:hAnsi="Verdana"/>
          <w:sz w:val="18"/>
          <w:szCs w:val="18"/>
        </w:rPr>
        <w:t>, 5(a)</w:t>
      </w:r>
      <w:r w:rsidR="005C1BE6" w:rsidRPr="007B081C">
        <w:rPr>
          <w:rFonts w:ascii="Verdana" w:hAnsi="Verdana"/>
          <w:sz w:val="18"/>
          <w:szCs w:val="18"/>
        </w:rPr>
        <w:t xml:space="preserve"> and 15 of CEDAW</w:t>
      </w:r>
      <w:r w:rsidR="00494BB9" w:rsidRPr="007B081C">
        <w:rPr>
          <w:rFonts w:ascii="Verdana" w:hAnsi="Verdana"/>
          <w:sz w:val="18"/>
          <w:szCs w:val="18"/>
        </w:rPr>
        <w:t xml:space="preserve">, infringing on women’s human rights, including their right to </w:t>
      </w:r>
      <w:r w:rsidR="00494BB9" w:rsidRPr="007B081C">
        <w:rPr>
          <w:rFonts w:ascii="Verdana" w:hAnsi="Verdana"/>
          <w:sz w:val="18"/>
          <w:szCs w:val="18"/>
          <w:lang w:val="en-GB"/>
        </w:rPr>
        <w:t xml:space="preserve">personal security, autonomy, </w:t>
      </w:r>
      <w:r w:rsidR="00494BB9" w:rsidRPr="007B081C">
        <w:rPr>
          <w:rFonts w:ascii="Verdana" w:hAnsi="Verdana"/>
          <w:sz w:val="18"/>
          <w:szCs w:val="18"/>
        </w:rPr>
        <w:t xml:space="preserve">sexual autonomy, the right to </w:t>
      </w:r>
      <w:r w:rsidR="00494BB9" w:rsidRPr="007B081C">
        <w:rPr>
          <w:rFonts w:ascii="Verdana" w:hAnsi="Verdana"/>
          <w:sz w:val="18"/>
          <w:szCs w:val="18"/>
          <w:lang w:val="en-GB"/>
        </w:rPr>
        <w:t>bodily integrity and to be free from discrimination on the basis of sex/gender, and the right to access to justice and effective remedies.</w:t>
      </w:r>
      <w:r w:rsidR="00494BB9" w:rsidRPr="007B081C">
        <w:rPr>
          <w:rFonts w:ascii="Verdana" w:hAnsi="Verdana"/>
          <w:sz w:val="18"/>
          <w:szCs w:val="18"/>
        </w:rPr>
        <w:t xml:space="preserve"> </w:t>
      </w:r>
    </w:p>
    <w:p w14:paraId="7C6599A6" w14:textId="77777777" w:rsidR="00494BB9" w:rsidRPr="007B081C" w:rsidRDefault="00494BB9" w:rsidP="007B081C">
      <w:pPr>
        <w:pStyle w:val="FootnoteText"/>
        <w:jc w:val="both"/>
        <w:rPr>
          <w:rFonts w:ascii="Verdana" w:hAnsi="Verdana" w:cs="Times New Roman"/>
          <w:sz w:val="18"/>
          <w:szCs w:val="18"/>
        </w:rPr>
      </w:pPr>
    </w:p>
    <w:p w14:paraId="12FCFA3F" w14:textId="7AE81D81" w:rsidR="006859E3" w:rsidRPr="007B081C" w:rsidRDefault="00BF3EA0"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Further, </w:t>
      </w:r>
      <w:r w:rsidR="001D5B98" w:rsidRPr="007B081C">
        <w:rPr>
          <w:rFonts w:ascii="Verdana" w:hAnsi="Verdana" w:cs="Times New Roman"/>
          <w:sz w:val="18"/>
          <w:szCs w:val="18"/>
          <w:lang w:val="en-GB"/>
        </w:rPr>
        <w:t xml:space="preserve">the </w:t>
      </w:r>
      <w:r w:rsidRPr="007B081C">
        <w:rPr>
          <w:rFonts w:ascii="Verdana" w:hAnsi="Verdana" w:cs="Times New Roman"/>
          <w:sz w:val="18"/>
          <w:szCs w:val="18"/>
          <w:lang w:val="en-GB"/>
        </w:rPr>
        <w:t>r</w:t>
      </w:r>
      <w:r w:rsidR="003B1169" w:rsidRPr="007B081C">
        <w:rPr>
          <w:rFonts w:ascii="Verdana" w:hAnsi="Verdana" w:cs="Times New Roman"/>
          <w:sz w:val="18"/>
          <w:szCs w:val="18"/>
          <w:lang w:val="en-GB"/>
        </w:rPr>
        <w:t xml:space="preserve">epeal of article 522 of the CC in 2017, which enabled the authorities to cease a prosecution or suspend a conviction if a perpetrator of sexual assault married the victim, is an incomplete step towards adequately addressing SGBV against minors. </w:t>
      </w:r>
      <w:r w:rsidR="00F21170" w:rsidRPr="007B081C">
        <w:rPr>
          <w:rFonts w:ascii="Verdana" w:hAnsi="Verdana" w:cs="Times New Roman"/>
          <w:sz w:val="18"/>
          <w:szCs w:val="18"/>
          <w:lang w:val="en-GB"/>
        </w:rPr>
        <w:t xml:space="preserve">Article 505 of the CC </w:t>
      </w:r>
      <w:r w:rsidR="000931E0" w:rsidRPr="007B081C">
        <w:rPr>
          <w:rFonts w:ascii="Verdana" w:hAnsi="Verdana" w:cs="Times New Roman"/>
          <w:sz w:val="18"/>
          <w:szCs w:val="18"/>
          <w:lang w:val="en-GB"/>
        </w:rPr>
        <w:t xml:space="preserve">criminalizes </w:t>
      </w:r>
      <w:r w:rsidR="00D33FCC" w:rsidRPr="007B081C">
        <w:rPr>
          <w:rFonts w:ascii="Verdana" w:hAnsi="Verdana" w:cs="Times New Roman"/>
          <w:sz w:val="18"/>
          <w:szCs w:val="18"/>
          <w:lang w:val="en-GB"/>
        </w:rPr>
        <w:t xml:space="preserve">rape with a minor. However, a valid marriage between the perpetrator and </w:t>
      </w:r>
      <w:r w:rsidR="00301731" w:rsidRPr="007B081C">
        <w:rPr>
          <w:rFonts w:ascii="Verdana" w:hAnsi="Verdana" w:cs="Times New Roman"/>
          <w:sz w:val="18"/>
          <w:szCs w:val="18"/>
          <w:lang w:val="en-GB"/>
        </w:rPr>
        <w:t xml:space="preserve">a </w:t>
      </w:r>
      <w:r w:rsidR="00D3579A" w:rsidRPr="007B081C">
        <w:rPr>
          <w:rFonts w:ascii="Verdana" w:hAnsi="Verdana" w:cs="Times New Roman"/>
          <w:sz w:val="18"/>
          <w:szCs w:val="18"/>
          <w:lang w:val="en-GB"/>
        </w:rPr>
        <w:t>1</w:t>
      </w:r>
      <w:r w:rsidR="00027383" w:rsidRPr="007B081C">
        <w:rPr>
          <w:rFonts w:ascii="Verdana" w:hAnsi="Verdana" w:cs="Times New Roman"/>
          <w:sz w:val="18"/>
          <w:szCs w:val="18"/>
          <w:lang w:val="en-GB"/>
        </w:rPr>
        <w:t>6</w:t>
      </w:r>
      <w:r w:rsidR="00D3579A" w:rsidRPr="007B081C">
        <w:rPr>
          <w:rFonts w:ascii="Verdana" w:hAnsi="Verdana" w:cs="Times New Roman"/>
          <w:sz w:val="18"/>
          <w:szCs w:val="18"/>
          <w:lang w:val="en-GB"/>
        </w:rPr>
        <w:t xml:space="preserve"> to </w:t>
      </w:r>
      <w:r w:rsidR="000931E0" w:rsidRPr="007B081C">
        <w:rPr>
          <w:rFonts w:ascii="Verdana" w:hAnsi="Verdana" w:cs="Times New Roman"/>
          <w:sz w:val="18"/>
          <w:szCs w:val="18"/>
          <w:lang w:val="en-GB"/>
        </w:rPr>
        <w:t>18-year-old</w:t>
      </w:r>
      <w:r w:rsidR="00D33FCC" w:rsidRPr="007B081C">
        <w:rPr>
          <w:rFonts w:ascii="Verdana" w:hAnsi="Verdana" w:cs="Times New Roman"/>
          <w:sz w:val="18"/>
          <w:szCs w:val="18"/>
          <w:lang w:val="en-GB"/>
        </w:rPr>
        <w:t xml:space="preserve"> victim prevents the </w:t>
      </w:r>
      <w:r w:rsidR="00F21170" w:rsidRPr="007B081C">
        <w:rPr>
          <w:rFonts w:ascii="Verdana" w:hAnsi="Verdana" w:cs="Times New Roman"/>
          <w:sz w:val="18"/>
          <w:szCs w:val="18"/>
          <w:lang w:val="en-GB"/>
        </w:rPr>
        <w:t xml:space="preserve">prosecution or imprisonment of the perpetrator. Similarly, </w:t>
      </w:r>
      <w:r w:rsidR="00106988" w:rsidRPr="007B081C">
        <w:rPr>
          <w:rFonts w:ascii="Verdana" w:hAnsi="Verdana" w:cs="Times New Roman"/>
          <w:sz w:val="18"/>
          <w:szCs w:val="18"/>
          <w:lang w:val="en-GB"/>
        </w:rPr>
        <w:t>article 518 of the CC</w:t>
      </w:r>
      <w:r w:rsidR="00F21170" w:rsidRPr="007B081C">
        <w:rPr>
          <w:rFonts w:ascii="Verdana" w:hAnsi="Verdana" w:cs="Times New Roman"/>
          <w:sz w:val="18"/>
          <w:szCs w:val="18"/>
          <w:lang w:val="en-GB"/>
        </w:rPr>
        <w:t xml:space="preserve"> provides that</w:t>
      </w:r>
      <w:r w:rsidR="00106988" w:rsidRPr="007B081C">
        <w:rPr>
          <w:rFonts w:ascii="Verdana" w:hAnsi="Verdana" w:cs="Times New Roman"/>
          <w:sz w:val="18"/>
          <w:szCs w:val="18"/>
          <w:lang w:val="en-GB"/>
        </w:rPr>
        <w:t xml:space="preserve"> </w:t>
      </w:r>
      <w:r w:rsidR="00F21170" w:rsidRPr="007B081C">
        <w:rPr>
          <w:rFonts w:ascii="Verdana" w:hAnsi="Verdana" w:cs="Times New Roman"/>
          <w:sz w:val="18"/>
          <w:szCs w:val="18"/>
          <w:lang w:val="en-GB"/>
        </w:rPr>
        <w:t xml:space="preserve">a valid marriage between a </w:t>
      </w:r>
      <w:r w:rsidR="00106988" w:rsidRPr="007B081C">
        <w:rPr>
          <w:rFonts w:ascii="Verdana" w:hAnsi="Verdana" w:cs="Times New Roman"/>
          <w:sz w:val="18"/>
          <w:szCs w:val="18"/>
          <w:lang w:val="en-GB"/>
        </w:rPr>
        <w:t xml:space="preserve">perpetrator </w:t>
      </w:r>
      <w:r w:rsidR="00F21170" w:rsidRPr="007B081C">
        <w:rPr>
          <w:rFonts w:ascii="Verdana" w:hAnsi="Verdana" w:cs="Times New Roman"/>
          <w:sz w:val="18"/>
          <w:szCs w:val="18"/>
          <w:lang w:val="en-GB"/>
        </w:rPr>
        <w:t xml:space="preserve">who </w:t>
      </w:r>
      <w:r w:rsidR="00D33FCC" w:rsidRPr="007B081C">
        <w:rPr>
          <w:rFonts w:ascii="Verdana" w:hAnsi="Verdana" w:cs="Times New Roman"/>
          <w:sz w:val="18"/>
          <w:szCs w:val="18"/>
          <w:lang w:val="en-GB"/>
        </w:rPr>
        <w:t>“seduces a [1</w:t>
      </w:r>
      <w:r w:rsidR="00027383" w:rsidRPr="007B081C">
        <w:rPr>
          <w:rFonts w:ascii="Verdana" w:hAnsi="Verdana" w:cs="Times New Roman"/>
          <w:sz w:val="18"/>
          <w:szCs w:val="18"/>
          <w:lang w:val="en-GB"/>
        </w:rPr>
        <w:t>6</w:t>
      </w:r>
      <w:r w:rsidR="00D33FCC" w:rsidRPr="007B081C">
        <w:rPr>
          <w:rFonts w:ascii="Verdana" w:hAnsi="Verdana" w:cs="Times New Roman"/>
          <w:sz w:val="18"/>
          <w:szCs w:val="18"/>
          <w:lang w:val="en-GB"/>
        </w:rPr>
        <w:t xml:space="preserve"> to </w:t>
      </w:r>
      <w:r w:rsidR="000931E0" w:rsidRPr="007B081C">
        <w:rPr>
          <w:rFonts w:ascii="Verdana" w:hAnsi="Verdana" w:cs="Times New Roman"/>
          <w:sz w:val="18"/>
          <w:szCs w:val="18"/>
          <w:lang w:val="en-GB"/>
        </w:rPr>
        <w:t>18-year-old</w:t>
      </w:r>
      <w:r w:rsidR="00D33FCC" w:rsidRPr="007B081C">
        <w:rPr>
          <w:rFonts w:ascii="Verdana" w:hAnsi="Verdana" w:cs="Times New Roman"/>
          <w:sz w:val="18"/>
          <w:szCs w:val="18"/>
          <w:lang w:val="en-GB"/>
        </w:rPr>
        <w:t xml:space="preserve">] virgin girl with a promise of marriage” </w:t>
      </w:r>
      <w:r w:rsidR="00F21170" w:rsidRPr="007B081C">
        <w:rPr>
          <w:rFonts w:ascii="Verdana" w:hAnsi="Verdana" w:cs="Times New Roman"/>
          <w:sz w:val="18"/>
          <w:szCs w:val="18"/>
          <w:lang w:val="en-GB"/>
        </w:rPr>
        <w:t xml:space="preserve">prevents </w:t>
      </w:r>
      <w:r w:rsidR="00D33FCC" w:rsidRPr="007B081C">
        <w:rPr>
          <w:rFonts w:ascii="Verdana" w:hAnsi="Verdana" w:cs="Times New Roman"/>
          <w:sz w:val="18"/>
          <w:szCs w:val="18"/>
          <w:lang w:val="en-GB"/>
        </w:rPr>
        <w:t xml:space="preserve">the perpetrator’s </w:t>
      </w:r>
      <w:r w:rsidR="00F21170" w:rsidRPr="007B081C">
        <w:rPr>
          <w:rFonts w:ascii="Verdana" w:hAnsi="Verdana" w:cs="Times New Roman"/>
          <w:sz w:val="18"/>
          <w:szCs w:val="18"/>
          <w:lang w:val="en-GB"/>
        </w:rPr>
        <w:t xml:space="preserve">prosecution or imprisonment. </w:t>
      </w:r>
      <w:r w:rsidR="003968D2" w:rsidRPr="007B081C">
        <w:rPr>
          <w:rFonts w:ascii="Verdana" w:hAnsi="Verdana" w:cs="Times New Roman"/>
          <w:sz w:val="18"/>
          <w:szCs w:val="18"/>
          <w:lang w:val="en-GB"/>
        </w:rPr>
        <w:t xml:space="preserve">These provisions run counter to Lebanon’s obligations under </w:t>
      </w:r>
      <w:r w:rsidR="004E31A2" w:rsidRPr="007B081C">
        <w:rPr>
          <w:rFonts w:ascii="Verdana" w:hAnsi="Verdana" w:cs="Times New Roman"/>
          <w:sz w:val="18"/>
          <w:szCs w:val="18"/>
          <w:lang w:val="en-GB"/>
        </w:rPr>
        <w:t>articles 1, 2, 3, 5(a) and 15 of</w:t>
      </w:r>
      <w:r w:rsidR="00443087">
        <w:rPr>
          <w:rFonts w:ascii="Verdana" w:hAnsi="Verdana" w:cs="Times New Roman"/>
          <w:sz w:val="18"/>
          <w:szCs w:val="18"/>
          <w:lang w:val="en-GB"/>
        </w:rPr>
        <w:t xml:space="preserve"> </w:t>
      </w:r>
      <w:r w:rsidR="004E31A2" w:rsidRPr="007B081C">
        <w:rPr>
          <w:rFonts w:ascii="Verdana" w:hAnsi="Verdana" w:cs="Times New Roman"/>
          <w:sz w:val="18"/>
          <w:szCs w:val="18"/>
          <w:lang w:val="en-GB"/>
        </w:rPr>
        <w:t>CEDAW</w:t>
      </w:r>
      <w:r w:rsidR="00B56F63" w:rsidRPr="007B081C">
        <w:rPr>
          <w:rFonts w:ascii="Verdana" w:hAnsi="Verdana" w:cs="Times New Roman"/>
          <w:sz w:val="18"/>
          <w:szCs w:val="18"/>
          <w:lang w:val="en-GB"/>
        </w:rPr>
        <w:t>. They</w:t>
      </w:r>
      <w:r w:rsidR="003968D2" w:rsidRPr="007B081C">
        <w:rPr>
          <w:rFonts w:ascii="Verdana" w:hAnsi="Verdana" w:cs="Times New Roman"/>
          <w:sz w:val="18"/>
          <w:szCs w:val="18"/>
          <w:lang w:val="en-GB"/>
        </w:rPr>
        <w:t xml:space="preserve"> perpetuat</w:t>
      </w:r>
      <w:r w:rsidR="00B56F63" w:rsidRPr="007B081C">
        <w:rPr>
          <w:rFonts w:ascii="Verdana" w:hAnsi="Verdana" w:cs="Times New Roman"/>
          <w:sz w:val="18"/>
          <w:szCs w:val="18"/>
          <w:lang w:val="en-GB"/>
        </w:rPr>
        <w:t>e</w:t>
      </w:r>
      <w:r w:rsidR="003968D2" w:rsidRPr="007B081C">
        <w:rPr>
          <w:rFonts w:ascii="Verdana" w:hAnsi="Verdana" w:cs="Times New Roman"/>
          <w:sz w:val="18"/>
          <w:szCs w:val="18"/>
          <w:lang w:val="en-GB"/>
        </w:rPr>
        <w:t xml:space="preserve"> patriarchal, archaic norms about the so-called “honour” of the victims and their families </w:t>
      </w:r>
      <w:r w:rsidR="00B56F63" w:rsidRPr="007B081C">
        <w:rPr>
          <w:rFonts w:ascii="Verdana" w:hAnsi="Verdana" w:cs="Times New Roman"/>
          <w:sz w:val="18"/>
          <w:szCs w:val="18"/>
          <w:lang w:val="en-GB"/>
        </w:rPr>
        <w:t>being restored through marriage, and shield offenders of sexual offence from accountability, entrench</w:t>
      </w:r>
      <w:r w:rsidRPr="007B081C">
        <w:rPr>
          <w:rFonts w:ascii="Verdana" w:hAnsi="Verdana" w:cs="Times New Roman"/>
          <w:sz w:val="18"/>
          <w:szCs w:val="18"/>
          <w:lang w:val="en-GB"/>
        </w:rPr>
        <w:t>ing</w:t>
      </w:r>
      <w:r w:rsidR="00B56F63" w:rsidRPr="007B081C">
        <w:rPr>
          <w:rFonts w:ascii="Verdana" w:hAnsi="Verdana" w:cs="Times New Roman"/>
          <w:sz w:val="18"/>
          <w:szCs w:val="18"/>
          <w:lang w:val="en-GB"/>
        </w:rPr>
        <w:t xml:space="preserve"> impunity</w:t>
      </w:r>
      <w:r w:rsidRPr="007B081C">
        <w:rPr>
          <w:rFonts w:ascii="Verdana" w:hAnsi="Verdana" w:cs="Times New Roman"/>
          <w:sz w:val="18"/>
          <w:szCs w:val="18"/>
          <w:lang w:val="en-GB"/>
        </w:rPr>
        <w:t xml:space="preserve"> and </w:t>
      </w:r>
      <w:r w:rsidR="00B56F63" w:rsidRPr="007B081C">
        <w:rPr>
          <w:rFonts w:ascii="Verdana" w:hAnsi="Verdana" w:cs="Times New Roman"/>
          <w:sz w:val="18"/>
          <w:szCs w:val="18"/>
          <w:lang w:val="en-GB"/>
        </w:rPr>
        <w:t>subject</w:t>
      </w:r>
      <w:r w:rsidRPr="007B081C">
        <w:rPr>
          <w:rFonts w:ascii="Verdana" w:hAnsi="Verdana" w:cs="Times New Roman"/>
          <w:sz w:val="18"/>
          <w:szCs w:val="18"/>
          <w:lang w:val="en-GB"/>
        </w:rPr>
        <w:t>ing</w:t>
      </w:r>
      <w:r w:rsidR="00B56F63" w:rsidRPr="007B081C">
        <w:rPr>
          <w:rFonts w:ascii="Verdana" w:hAnsi="Verdana" w:cs="Times New Roman"/>
          <w:sz w:val="18"/>
          <w:szCs w:val="18"/>
          <w:lang w:val="en-GB"/>
        </w:rPr>
        <w:t xml:space="preserve"> women to secondary victimization and discrimination. </w:t>
      </w:r>
    </w:p>
    <w:p w14:paraId="69E3F2E8" w14:textId="77777777" w:rsidR="009D52AC" w:rsidRPr="007B081C" w:rsidRDefault="009D52AC" w:rsidP="007B081C">
      <w:pPr>
        <w:jc w:val="both"/>
        <w:rPr>
          <w:rFonts w:ascii="Verdana" w:hAnsi="Verdana"/>
          <w:sz w:val="18"/>
          <w:szCs w:val="18"/>
        </w:rPr>
      </w:pPr>
    </w:p>
    <w:p w14:paraId="6EF8747B" w14:textId="3F7F0D1A" w:rsidR="00B56F63" w:rsidRPr="007B081C" w:rsidRDefault="004E31A2" w:rsidP="007B081C">
      <w:pPr>
        <w:pStyle w:val="ListParagraph"/>
        <w:numPr>
          <w:ilvl w:val="0"/>
          <w:numId w:val="3"/>
        </w:numPr>
        <w:jc w:val="both"/>
        <w:rPr>
          <w:rFonts w:ascii="Verdana" w:hAnsi="Verdana"/>
          <w:sz w:val="18"/>
          <w:szCs w:val="18"/>
          <w:lang w:val="en-IE"/>
        </w:rPr>
      </w:pPr>
      <w:r w:rsidRPr="007B081C">
        <w:rPr>
          <w:rFonts w:ascii="Verdana" w:hAnsi="Verdana"/>
          <w:sz w:val="18"/>
          <w:szCs w:val="18"/>
        </w:rPr>
        <w:t>A</w:t>
      </w:r>
      <w:r w:rsidR="006C3EC7" w:rsidRPr="007B081C">
        <w:rPr>
          <w:rFonts w:ascii="Verdana" w:hAnsi="Verdana"/>
          <w:sz w:val="18"/>
          <w:szCs w:val="18"/>
        </w:rPr>
        <w:t>rticle</w:t>
      </w:r>
      <w:r w:rsidRPr="007B081C">
        <w:rPr>
          <w:rFonts w:ascii="Verdana" w:hAnsi="Verdana"/>
          <w:sz w:val="18"/>
          <w:szCs w:val="18"/>
          <w:lang w:val="en-IE"/>
        </w:rPr>
        <w:t>s</w:t>
      </w:r>
      <w:r w:rsidR="00B56F63" w:rsidRPr="007B081C">
        <w:rPr>
          <w:rFonts w:ascii="Verdana" w:hAnsi="Verdana"/>
          <w:sz w:val="18"/>
          <w:szCs w:val="18"/>
          <w:lang w:val="en-IE"/>
        </w:rPr>
        <w:t xml:space="preserve"> 503-51</w:t>
      </w:r>
      <w:r w:rsidR="004C6920">
        <w:rPr>
          <w:rFonts w:ascii="Verdana" w:hAnsi="Verdana"/>
          <w:sz w:val="18"/>
          <w:szCs w:val="18"/>
          <w:lang w:val="en-IE"/>
        </w:rPr>
        <w:t>2</w:t>
      </w:r>
      <w:r w:rsidR="006C3EC7" w:rsidRPr="007B081C">
        <w:rPr>
          <w:rFonts w:ascii="Verdana" w:hAnsi="Verdana"/>
          <w:sz w:val="18"/>
          <w:szCs w:val="18"/>
          <w:lang w:val="en-IE"/>
        </w:rPr>
        <w:t xml:space="preserve"> of the CC</w:t>
      </w:r>
      <w:r w:rsidR="00B56F63" w:rsidRPr="007B081C">
        <w:rPr>
          <w:rFonts w:ascii="Verdana" w:hAnsi="Verdana"/>
          <w:sz w:val="18"/>
          <w:szCs w:val="18"/>
          <w:lang w:val="en-IE"/>
        </w:rPr>
        <w:t xml:space="preserve"> that treat “virginity” as an aggravating factor </w:t>
      </w:r>
      <w:r w:rsidR="003678AA" w:rsidRPr="007B081C">
        <w:rPr>
          <w:rFonts w:ascii="Verdana" w:hAnsi="Verdana"/>
          <w:sz w:val="18"/>
          <w:szCs w:val="18"/>
          <w:lang w:val="en-IE"/>
        </w:rPr>
        <w:t xml:space="preserve">for sentencing </w:t>
      </w:r>
      <w:r w:rsidR="00B56F63" w:rsidRPr="007B081C">
        <w:rPr>
          <w:rFonts w:ascii="Verdana" w:hAnsi="Verdana"/>
          <w:sz w:val="18"/>
          <w:szCs w:val="18"/>
          <w:lang w:val="en-IE"/>
        </w:rPr>
        <w:t>imply that rape committed against women who are not “virgins” is a “lesser” crime than that which is committed against “virgins</w:t>
      </w:r>
      <w:r w:rsidR="006D3D20" w:rsidRPr="007B081C">
        <w:rPr>
          <w:rFonts w:ascii="Verdana" w:hAnsi="Verdana"/>
          <w:sz w:val="18"/>
          <w:szCs w:val="18"/>
          <w:lang w:val="en-IE"/>
        </w:rPr>
        <w:t>,</w:t>
      </w:r>
      <w:r w:rsidR="00B56F63" w:rsidRPr="007B081C">
        <w:rPr>
          <w:rFonts w:ascii="Verdana" w:hAnsi="Verdana"/>
          <w:sz w:val="18"/>
          <w:szCs w:val="18"/>
          <w:lang w:val="en-IE"/>
        </w:rPr>
        <w:t>” and confer an unwarranted preferential victimhood status on the latter. The legal framework should refrain from making such distinctions, which are based on harmful gender stereotypes perpetuating discrimination against women</w:t>
      </w:r>
      <w:r w:rsidRPr="007B081C">
        <w:rPr>
          <w:rFonts w:ascii="Verdana" w:hAnsi="Verdana"/>
          <w:sz w:val="18"/>
          <w:szCs w:val="18"/>
          <w:lang w:val="en-IE"/>
        </w:rPr>
        <w:t xml:space="preserve"> with the meaning of article 1 of</w:t>
      </w:r>
      <w:r w:rsidR="009D68DC" w:rsidRPr="007B081C">
        <w:rPr>
          <w:rFonts w:ascii="Verdana" w:hAnsi="Verdana"/>
          <w:sz w:val="18"/>
          <w:szCs w:val="18"/>
          <w:lang w:val="en-IE"/>
        </w:rPr>
        <w:t xml:space="preserve"> </w:t>
      </w:r>
      <w:r w:rsidRPr="007B081C">
        <w:rPr>
          <w:rFonts w:ascii="Verdana" w:hAnsi="Verdana"/>
          <w:sz w:val="18"/>
          <w:szCs w:val="18"/>
          <w:lang w:val="en-IE"/>
        </w:rPr>
        <w:t>CEDAW,</w:t>
      </w:r>
      <w:r w:rsidR="00B56F63" w:rsidRPr="007B081C">
        <w:rPr>
          <w:rFonts w:ascii="Verdana" w:hAnsi="Verdana"/>
          <w:sz w:val="18"/>
          <w:szCs w:val="18"/>
          <w:lang w:val="en-IE"/>
        </w:rPr>
        <w:t xml:space="preserve"> and instead administer sentences that are commensurate with the gravity of the offence of rape.</w:t>
      </w:r>
      <w:r w:rsidR="00B56F63" w:rsidRPr="007B081C">
        <w:rPr>
          <w:rStyle w:val="FootnoteReference"/>
          <w:rFonts w:ascii="Verdana" w:hAnsi="Verdana"/>
          <w:sz w:val="18"/>
          <w:szCs w:val="18"/>
          <w:lang w:val="en-IE"/>
        </w:rPr>
        <w:footnoteReference w:id="9"/>
      </w:r>
      <w:r w:rsidR="00B56F63" w:rsidRPr="007B081C">
        <w:rPr>
          <w:rFonts w:ascii="Verdana" w:hAnsi="Verdana"/>
          <w:sz w:val="18"/>
          <w:szCs w:val="18"/>
          <w:lang w:val="en-IE"/>
        </w:rPr>
        <w:t xml:space="preserve"> </w:t>
      </w:r>
    </w:p>
    <w:p w14:paraId="27D9A38A" w14:textId="77777777" w:rsidR="00252338" w:rsidRPr="007B081C" w:rsidRDefault="00252338" w:rsidP="007B081C">
      <w:pPr>
        <w:pStyle w:val="ListParagraph"/>
        <w:rPr>
          <w:rFonts w:ascii="Verdana" w:hAnsi="Verdana"/>
          <w:sz w:val="18"/>
          <w:szCs w:val="18"/>
          <w:lang w:val="en-IE"/>
        </w:rPr>
      </w:pPr>
    </w:p>
    <w:p w14:paraId="25598000" w14:textId="0E0D400D" w:rsidR="002D4CBA" w:rsidRPr="007B081C" w:rsidRDefault="002D4CBA" w:rsidP="007B081C">
      <w:pPr>
        <w:ind w:firstLine="360"/>
        <w:jc w:val="both"/>
        <w:rPr>
          <w:rFonts w:ascii="Verdana" w:hAnsi="Verdana"/>
          <w:i/>
          <w:sz w:val="18"/>
          <w:szCs w:val="18"/>
          <w:lang w:val="en-IE"/>
        </w:rPr>
      </w:pPr>
      <w:r w:rsidRPr="007B081C">
        <w:rPr>
          <w:rFonts w:ascii="Verdana" w:hAnsi="Verdana"/>
          <w:i/>
          <w:sz w:val="18"/>
          <w:szCs w:val="18"/>
          <w:lang w:val="en-IE"/>
        </w:rPr>
        <w:t>Sexual harassment</w:t>
      </w:r>
    </w:p>
    <w:p w14:paraId="3766C6BD" w14:textId="77777777" w:rsidR="00DB190D" w:rsidRPr="007B081C" w:rsidRDefault="00DB190D" w:rsidP="007B081C">
      <w:pPr>
        <w:rPr>
          <w:rFonts w:ascii="Verdana" w:hAnsi="Verdana"/>
          <w:sz w:val="18"/>
          <w:szCs w:val="18"/>
          <w:lang w:val="en-IE"/>
        </w:rPr>
      </w:pPr>
    </w:p>
    <w:p w14:paraId="69BA9EB0" w14:textId="0826821B" w:rsidR="00DB190D" w:rsidRPr="007B081C" w:rsidRDefault="008776F5" w:rsidP="007B081C">
      <w:pPr>
        <w:pStyle w:val="ListParagraph"/>
        <w:numPr>
          <w:ilvl w:val="0"/>
          <w:numId w:val="3"/>
        </w:numPr>
        <w:jc w:val="both"/>
        <w:rPr>
          <w:rFonts w:ascii="Verdana" w:hAnsi="Verdana"/>
          <w:sz w:val="18"/>
          <w:szCs w:val="18"/>
        </w:rPr>
      </w:pPr>
      <w:r w:rsidRPr="007B081C">
        <w:rPr>
          <w:rFonts w:ascii="Verdana" w:hAnsi="Verdana" w:cs="Times New Roman"/>
          <w:sz w:val="18"/>
          <w:szCs w:val="18"/>
          <w:lang w:val="en-GB"/>
        </w:rPr>
        <w:t>I</w:t>
      </w:r>
      <w:r w:rsidR="00DB190D" w:rsidRPr="007B081C">
        <w:rPr>
          <w:rFonts w:ascii="Verdana" w:hAnsi="Verdana" w:cs="Times New Roman"/>
          <w:sz w:val="18"/>
          <w:szCs w:val="18"/>
          <w:lang w:val="en-GB"/>
        </w:rPr>
        <w:t>n Lebanon</w:t>
      </w:r>
      <w:r w:rsidRPr="007B081C">
        <w:rPr>
          <w:rFonts w:ascii="Verdana" w:hAnsi="Verdana" w:cs="Times New Roman"/>
          <w:sz w:val="18"/>
          <w:szCs w:val="18"/>
          <w:lang w:val="en-GB"/>
        </w:rPr>
        <w:t>,</w:t>
      </w:r>
      <w:r w:rsidR="00DB190D" w:rsidRPr="007B081C">
        <w:rPr>
          <w:rFonts w:ascii="Verdana" w:hAnsi="Verdana" w:cs="Times New Roman"/>
          <w:sz w:val="18"/>
          <w:szCs w:val="18"/>
          <w:lang w:val="en-GB"/>
        </w:rPr>
        <w:t xml:space="preserve"> there is no single legal text to define, criminalize and sanction sexual harassment, including in public spaces or in the workplace. </w:t>
      </w:r>
      <w:r w:rsidR="00DB190D" w:rsidRPr="007B081C">
        <w:rPr>
          <w:rFonts w:ascii="Verdana" w:hAnsi="Verdana"/>
          <w:bCs/>
          <w:iCs/>
          <w:sz w:val="18"/>
          <w:szCs w:val="18"/>
        </w:rPr>
        <w:t xml:space="preserve">While efforts have been underway to legislate against sexual harassment, including the approval of a draft law by the Lebanese Council of Ministers in 2017, the </w:t>
      </w:r>
      <w:r w:rsidRPr="007B081C">
        <w:rPr>
          <w:rFonts w:ascii="Verdana" w:hAnsi="Verdana"/>
          <w:bCs/>
          <w:iCs/>
          <w:sz w:val="18"/>
          <w:szCs w:val="18"/>
        </w:rPr>
        <w:t xml:space="preserve">draft </w:t>
      </w:r>
      <w:r w:rsidR="00DB190D" w:rsidRPr="007B081C">
        <w:rPr>
          <w:rFonts w:ascii="Verdana" w:hAnsi="Verdana"/>
          <w:bCs/>
          <w:iCs/>
          <w:sz w:val="18"/>
          <w:szCs w:val="18"/>
        </w:rPr>
        <w:t xml:space="preserve">provisions fail to meet international </w:t>
      </w:r>
      <w:r w:rsidR="0009105F" w:rsidRPr="007B081C">
        <w:rPr>
          <w:rFonts w:ascii="Verdana" w:hAnsi="Verdana"/>
          <w:bCs/>
          <w:iCs/>
          <w:sz w:val="18"/>
          <w:szCs w:val="18"/>
        </w:rPr>
        <w:t xml:space="preserve">law and </w:t>
      </w:r>
      <w:r w:rsidR="00DB190D" w:rsidRPr="007B081C">
        <w:rPr>
          <w:rFonts w:ascii="Verdana" w:hAnsi="Verdana"/>
          <w:bCs/>
          <w:iCs/>
          <w:sz w:val="18"/>
          <w:szCs w:val="18"/>
        </w:rPr>
        <w:t>standards</w:t>
      </w:r>
      <w:r w:rsidR="006B2E34" w:rsidRPr="007B081C">
        <w:rPr>
          <w:rFonts w:ascii="Verdana" w:hAnsi="Verdana"/>
          <w:bCs/>
          <w:iCs/>
          <w:sz w:val="18"/>
          <w:szCs w:val="18"/>
        </w:rPr>
        <w:t xml:space="preserve"> that </w:t>
      </w:r>
      <w:r w:rsidR="00DB190D" w:rsidRPr="007B081C">
        <w:rPr>
          <w:rFonts w:ascii="Verdana" w:hAnsi="Verdana"/>
          <w:bCs/>
          <w:iCs/>
          <w:sz w:val="18"/>
          <w:szCs w:val="18"/>
        </w:rPr>
        <w:t>require a robust definition of sexual harassment, such as that formulated by the CEDAW Committee</w:t>
      </w:r>
      <w:r w:rsidR="0009105F" w:rsidRPr="007B081C">
        <w:rPr>
          <w:rFonts w:ascii="Verdana" w:hAnsi="Verdana"/>
          <w:bCs/>
          <w:iCs/>
          <w:sz w:val="18"/>
          <w:szCs w:val="18"/>
        </w:rPr>
        <w:t>,</w:t>
      </w:r>
      <w:r w:rsidR="00DB190D" w:rsidRPr="007B081C">
        <w:rPr>
          <w:rStyle w:val="FootnoteReference"/>
          <w:rFonts w:ascii="Verdana" w:hAnsi="Verdana"/>
          <w:bCs/>
          <w:iCs/>
          <w:sz w:val="18"/>
          <w:szCs w:val="18"/>
        </w:rPr>
        <w:footnoteReference w:id="10"/>
      </w:r>
      <w:r w:rsidR="0009105F" w:rsidRPr="007B081C">
        <w:rPr>
          <w:rFonts w:ascii="Verdana" w:hAnsi="Verdana"/>
          <w:bCs/>
          <w:iCs/>
          <w:sz w:val="18"/>
          <w:szCs w:val="18"/>
        </w:rPr>
        <w:t xml:space="preserve"> and are therefore non-compliant with articles 2(b)-(e) of CEDAW.</w:t>
      </w:r>
      <w:r w:rsidR="00DB190D" w:rsidRPr="007B081C">
        <w:rPr>
          <w:rFonts w:ascii="Verdana" w:hAnsi="Verdana"/>
          <w:bCs/>
          <w:iCs/>
          <w:sz w:val="18"/>
          <w:szCs w:val="18"/>
        </w:rPr>
        <w:t xml:space="preserve"> </w:t>
      </w:r>
      <w:r w:rsidR="0009105F" w:rsidRPr="007B081C">
        <w:rPr>
          <w:rFonts w:ascii="Verdana" w:hAnsi="Verdana"/>
          <w:bCs/>
          <w:iCs/>
          <w:sz w:val="18"/>
          <w:szCs w:val="18"/>
        </w:rPr>
        <w:t>While the definition of sexual harassment in article 2 of the draft law makes explicit reference to “</w:t>
      </w:r>
      <w:proofErr w:type="spellStart"/>
      <w:r w:rsidR="0009105F" w:rsidRPr="007B081C">
        <w:rPr>
          <w:rFonts w:ascii="Verdana" w:hAnsi="Verdana"/>
          <w:bCs/>
          <w:iCs/>
          <w:sz w:val="18"/>
          <w:szCs w:val="18"/>
        </w:rPr>
        <w:t>undermin</w:t>
      </w:r>
      <w:proofErr w:type="spellEnd"/>
      <w:r w:rsidR="0009105F" w:rsidRPr="007B081C">
        <w:rPr>
          <w:rFonts w:ascii="Verdana" w:hAnsi="Verdana"/>
          <w:bCs/>
          <w:iCs/>
          <w:sz w:val="18"/>
          <w:szCs w:val="18"/>
        </w:rPr>
        <w:t>[</w:t>
      </w:r>
      <w:proofErr w:type="spellStart"/>
      <w:r w:rsidR="0009105F" w:rsidRPr="007B081C">
        <w:rPr>
          <w:rFonts w:ascii="Verdana" w:hAnsi="Verdana"/>
          <w:bCs/>
          <w:iCs/>
          <w:sz w:val="18"/>
          <w:szCs w:val="18"/>
        </w:rPr>
        <w:t>ing</w:t>
      </w:r>
      <w:proofErr w:type="spellEnd"/>
      <w:r w:rsidR="0009105F" w:rsidRPr="007B081C">
        <w:rPr>
          <w:rFonts w:ascii="Verdana" w:hAnsi="Verdana"/>
          <w:bCs/>
          <w:iCs/>
          <w:sz w:val="18"/>
          <w:szCs w:val="18"/>
        </w:rPr>
        <w:t>] the…dignity of the victim</w:t>
      </w:r>
      <w:r w:rsidR="009D68DC" w:rsidRPr="007B081C">
        <w:rPr>
          <w:rFonts w:ascii="Verdana" w:hAnsi="Verdana"/>
          <w:bCs/>
          <w:iCs/>
          <w:sz w:val="18"/>
          <w:szCs w:val="18"/>
        </w:rPr>
        <w:t>,</w:t>
      </w:r>
      <w:r w:rsidR="0009105F" w:rsidRPr="007B081C">
        <w:rPr>
          <w:rFonts w:ascii="Verdana" w:hAnsi="Verdana"/>
          <w:bCs/>
          <w:iCs/>
          <w:sz w:val="18"/>
          <w:szCs w:val="18"/>
        </w:rPr>
        <w:t xml:space="preserve">” it simultaneously refers to acts </w:t>
      </w:r>
      <w:r w:rsidR="00DA56FB" w:rsidRPr="007B081C">
        <w:rPr>
          <w:rFonts w:ascii="Verdana" w:hAnsi="Verdana"/>
          <w:bCs/>
          <w:iCs/>
          <w:sz w:val="18"/>
          <w:szCs w:val="18"/>
        </w:rPr>
        <w:t xml:space="preserve">that </w:t>
      </w:r>
      <w:r w:rsidR="0009105F" w:rsidRPr="007B081C">
        <w:rPr>
          <w:rFonts w:ascii="Verdana" w:hAnsi="Verdana"/>
          <w:bCs/>
          <w:iCs/>
          <w:sz w:val="18"/>
          <w:szCs w:val="18"/>
        </w:rPr>
        <w:t>would undermine their “honour.” Article 2 would amend article 535 of the CC, and consequently fall under the heading of “public morals and ethics.” Criminalizing and characterizing sexual harassment as a violation of the victim’s “honour” or “morality” as opposed to</w:t>
      </w:r>
      <w:r w:rsidR="00DA56FB" w:rsidRPr="007B081C">
        <w:rPr>
          <w:rFonts w:ascii="Verdana" w:hAnsi="Verdana"/>
          <w:bCs/>
          <w:iCs/>
          <w:sz w:val="18"/>
          <w:szCs w:val="18"/>
        </w:rPr>
        <w:t xml:space="preserve"> their rights to</w:t>
      </w:r>
      <w:r w:rsidR="0009105F" w:rsidRPr="007B081C">
        <w:rPr>
          <w:rFonts w:ascii="Verdana" w:hAnsi="Verdana"/>
          <w:bCs/>
          <w:iCs/>
          <w:sz w:val="18"/>
          <w:szCs w:val="18"/>
        </w:rPr>
        <w:t xml:space="preserve"> </w:t>
      </w:r>
      <w:r w:rsidR="00DA56FB" w:rsidRPr="007B081C">
        <w:rPr>
          <w:rFonts w:ascii="Verdana" w:hAnsi="Verdana"/>
          <w:bCs/>
          <w:iCs/>
          <w:sz w:val="18"/>
          <w:szCs w:val="18"/>
        </w:rPr>
        <w:t xml:space="preserve">security of person, dignity and physical and </w:t>
      </w:r>
      <w:r w:rsidR="006D3D20" w:rsidRPr="007B081C">
        <w:rPr>
          <w:rFonts w:ascii="Verdana" w:hAnsi="Verdana"/>
          <w:bCs/>
          <w:iCs/>
          <w:sz w:val="18"/>
          <w:szCs w:val="18"/>
        </w:rPr>
        <w:lastRenderedPageBreak/>
        <w:t>mental integrity</w:t>
      </w:r>
      <w:r w:rsidR="00DA56FB" w:rsidRPr="007B081C">
        <w:rPr>
          <w:rFonts w:ascii="Verdana" w:hAnsi="Verdana"/>
          <w:bCs/>
          <w:iCs/>
          <w:sz w:val="18"/>
          <w:szCs w:val="18"/>
        </w:rPr>
        <w:t>,</w:t>
      </w:r>
      <w:r w:rsidR="0009105F" w:rsidRPr="007B081C">
        <w:rPr>
          <w:rFonts w:ascii="Verdana" w:hAnsi="Verdana"/>
          <w:bCs/>
          <w:iCs/>
          <w:sz w:val="18"/>
          <w:szCs w:val="18"/>
        </w:rPr>
        <w:t xml:space="preserve"> perpetuate discrimination against women. Moreover, the law fails to explicitly envisage the wide set of circumstances in which sexual harassment may occur, including public spaces, educational institutions, receipt of services and sporting activities. </w:t>
      </w:r>
    </w:p>
    <w:p w14:paraId="0143EF66" w14:textId="427F2193" w:rsidR="004E31A2" w:rsidRPr="007B081C" w:rsidRDefault="004E31A2" w:rsidP="007B081C">
      <w:pPr>
        <w:jc w:val="both"/>
        <w:rPr>
          <w:rFonts w:ascii="Verdana" w:hAnsi="Verdana"/>
          <w:sz w:val="18"/>
          <w:szCs w:val="18"/>
        </w:rPr>
      </w:pPr>
    </w:p>
    <w:p w14:paraId="0D326811" w14:textId="161280F0" w:rsidR="002D4CBA" w:rsidRPr="007B081C" w:rsidRDefault="002D4CBA"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 xml:space="preserve">In light of the above, the ICJ and ABAAD </w:t>
      </w:r>
      <w:r w:rsidR="00DA56FB" w:rsidRPr="007B081C">
        <w:rPr>
          <w:rFonts w:ascii="Verdana" w:hAnsi="Verdana" w:cs="Times New Roman"/>
          <w:b/>
          <w:bCs/>
          <w:sz w:val="18"/>
          <w:szCs w:val="18"/>
          <w:lang w:val="en-GB"/>
        </w:rPr>
        <w:t xml:space="preserve">recommend that </w:t>
      </w:r>
      <w:r w:rsidRPr="007B081C">
        <w:rPr>
          <w:rFonts w:ascii="Verdana" w:hAnsi="Verdana" w:cs="Times New Roman"/>
          <w:b/>
          <w:bCs/>
          <w:sz w:val="18"/>
          <w:szCs w:val="18"/>
          <w:lang w:val="en-GB"/>
        </w:rPr>
        <w:t>the CEDAW Committee</w:t>
      </w:r>
      <w:r w:rsidR="00DA56FB" w:rsidRPr="007B081C">
        <w:rPr>
          <w:rFonts w:ascii="Verdana" w:hAnsi="Verdana" w:cs="Times New Roman"/>
          <w:b/>
          <w:bCs/>
          <w:sz w:val="18"/>
          <w:szCs w:val="18"/>
          <w:lang w:val="en-GB"/>
        </w:rPr>
        <w:t xml:space="preserve">’s list of issues on </w:t>
      </w:r>
      <w:r w:rsidRPr="007B081C">
        <w:rPr>
          <w:rFonts w:ascii="Verdana" w:hAnsi="Verdana" w:cs="Times New Roman"/>
          <w:b/>
          <w:bCs/>
          <w:sz w:val="18"/>
          <w:szCs w:val="18"/>
          <w:lang w:val="en-GB"/>
        </w:rPr>
        <w:t xml:space="preserve">Lebanon </w:t>
      </w:r>
      <w:r w:rsidR="00DA56FB" w:rsidRPr="007B081C">
        <w:rPr>
          <w:rFonts w:ascii="Verdana" w:hAnsi="Verdana" w:cs="Times New Roman"/>
          <w:b/>
          <w:bCs/>
          <w:sz w:val="18"/>
          <w:szCs w:val="18"/>
          <w:lang w:val="en-GB"/>
        </w:rPr>
        <w:t xml:space="preserve">should require the State party </w:t>
      </w:r>
      <w:r w:rsidRPr="007B081C">
        <w:rPr>
          <w:rFonts w:ascii="Verdana" w:hAnsi="Verdana" w:cs="Times New Roman"/>
          <w:b/>
          <w:bCs/>
          <w:sz w:val="18"/>
          <w:szCs w:val="18"/>
          <w:lang w:val="en-GB"/>
        </w:rPr>
        <w:t>to</w:t>
      </w:r>
      <w:r w:rsidRPr="007B081C">
        <w:rPr>
          <w:rFonts w:ascii="Verdana" w:hAnsi="Verdana" w:cs="Times New Roman"/>
          <w:b/>
          <w:sz w:val="18"/>
          <w:szCs w:val="18"/>
          <w:lang w:val="en-GB"/>
        </w:rPr>
        <w:t xml:space="preserve"> indicate and clarify whether any steps that have been taken to: </w:t>
      </w:r>
    </w:p>
    <w:p w14:paraId="44E72398" w14:textId="77777777" w:rsidR="000D7D20" w:rsidRPr="007B081C" w:rsidRDefault="000D7D20" w:rsidP="007B081C">
      <w:pPr>
        <w:pStyle w:val="FootnoteText"/>
        <w:jc w:val="both"/>
        <w:rPr>
          <w:rFonts w:ascii="Verdana" w:hAnsi="Verdana" w:cs="Times New Roman"/>
          <w:b/>
          <w:sz w:val="18"/>
          <w:szCs w:val="18"/>
          <w:lang w:val="en-GB"/>
        </w:rPr>
      </w:pPr>
    </w:p>
    <w:p w14:paraId="61CF1AC2" w14:textId="3CEF5D58" w:rsidR="002D4CBA" w:rsidRPr="007B081C" w:rsidRDefault="002D4CBA" w:rsidP="007B081C">
      <w:pPr>
        <w:pStyle w:val="FootnoteText"/>
        <w:numPr>
          <w:ilvl w:val="0"/>
          <w:numId w:val="11"/>
        </w:numPr>
        <w:jc w:val="both"/>
        <w:rPr>
          <w:rFonts w:ascii="Verdana" w:hAnsi="Verdana" w:cs="Times New Roman"/>
          <w:b/>
          <w:sz w:val="18"/>
          <w:szCs w:val="18"/>
          <w:lang w:val="en-GB"/>
        </w:rPr>
      </w:pPr>
      <w:r w:rsidRPr="007B081C">
        <w:rPr>
          <w:rFonts w:ascii="Verdana" w:hAnsi="Verdana" w:cs="Times New Roman"/>
          <w:b/>
          <w:sz w:val="18"/>
          <w:szCs w:val="18"/>
          <w:lang w:val="en-GB"/>
        </w:rPr>
        <w:t xml:space="preserve">Criminalize martial rape, including by abolishing article </w:t>
      </w:r>
      <w:r w:rsidR="004C6920">
        <w:rPr>
          <w:rFonts w:ascii="Verdana" w:hAnsi="Verdana" w:cs="Times New Roman"/>
          <w:b/>
          <w:sz w:val="18"/>
          <w:szCs w:val="18"/>
          <w:lang w:val="en-GB"/>
        </w:rPr>
        <w:t>3</w:t>
      </w:r>
      <w:r w:rsidRPr="007B081C">
        <w:rPr>
          <w:rFonts w:ascii="Verdana" w:hAnsi="Verdana" w:cs="Times New Roman"/>
          <w:b/>
          <w:sz w:val="18"/>
          <w:szCs w:val="18"/>
          <w:lang w:val="en-GB"/>
        </w:rPr>
        <w:t xml:space="preserve"> of Law No. 293/2014 that provides for a religion-based right to claim marital rights;</w:t>
      </w:r>
    </w:p>
    <w:p w14:paraId="6142625C" w14:textId="5EE92CE9" w:rsidR="002D4CBA" w:rsidRPr="007B081C" w:rsidRDefault="002D4CBA" w:rsidP="007B081C">
      <w:pPr>
        <w:pStyle w:val="FootnoteText"/>
        <w:numPr>
          <w:ilvl w:val="0"/>
          <w:numId w:val="11"/>
        </w:numPr>
        <w:jc w:val="both"/>
        <w:rPr>
          <w:rFonts w:ascii="Verdana" w:hAnsi="Verdana" w:cs="Times New Roman"/>
          <w:b/>
          <w:sz w:val="18"/>
          <w:szCs w:val="18"/>
          <w:lang w:val="en-GB"/>
        </w:rPr>
      </w:pPr>
      <w:r w:rsidRPr="007B081C">
        <w:rPr>
          <w:rFonts w:ascii="Verdana" w:hAnsi="Verdana" w:cs="Times New Roman"/>
          <w:b/>
          <w:sz w:val="18"/>
          <w:szCs w:val="18"/>
          <w:lang w:val="en-GB"/>
        </w:rPr>
        <w:t>Amend articles 503-504 of the CC to define rape as a form of sexual assault</w:t>
      </w:r>
      <w:r w:rsidR="00DA56FB" w:rsidRPr="007B081C">
        <w:rPr>
          <w:rFonts w:ascii="Verdana" w:hAnsi="Verdana" w:cs="Times New Roman"/>
          <w:b/>
          <w:sz w:val="18"/>
          <w:szCs w:val="18"/>
          <w:lang w:val="en-GB"/>
        </w:rPr>
        <w:t>,</w:t>
      </w:r>
      <w:r w:rsidRPr="007B081C">
        <w:rPr>
          <w:rFonts w:ascii="Verdana" w:hAnsi="Verdana" w:cs="Times New Roman"/>
          <w:b/>
          <w:sz w:val="18"/>
          <w:szCs w:val="18"/>
          <w:lang w:val="en-GB"/>
        </w:rPr>
        <w:t xml:space="preserve"> that is</w:t>
      </w:r>
      <w:r w:rsidR="00DA56FB" w:rsidRPr="007B081C">
        <w:rPr>
          <w:rFonts w:ascii="Verdana" w:hAnsi="Verdana" w:cs="Times New Roman"/>
          <w:b/>
          <w:sz w:val="18"/>
          <w:szCs w:val="18"/>
          <w:lang w:val="en-GB"/>
        </w:rPr>
        <w:t>,</w:t>
      </w:r>
      <w:r w:rsidRPr="007B081C">
        <w:rPr>
          <w:rFonts w:ascii="Verdana" w:hAnsi="Verdana" w:cs="Times New Roman"/>
          <w:b/>
          <w:sz w:val="18"/>
          <w:szCs w:val="18"/>
          <w:lang w:val="en-GB"/>
        </w:rPr>
        <w:t xml:space="preserve"> a physical invasion of a sexual nature without consent</w:t>
      </w:r>
      <w:r w:rsidR="00DA56FB" w:rsidRPr="007B081C">
        <w:rPr>
          <w:rFonts w:ascii="Verdana" w:hAnsi="Verdana" w:cs="Times New Roman"/>
          <w:b/>
          <w:sz w:val="18"/>
          <w:szCs w:val="18"/>
          <w:lang w:val="en-GB"/>
        </w:rPr>
        <w:t xml:space="preserve">, including </w:t>
      </w:r>
      <w:r w:rsidRPr="007B081C">
        <w:rPr>
          <w:rFonts w:ascii="Verdana" w:hAnsi="Verdana" w:cs="Times New Roman"/>
          <w:b/>
          <w:sz w:val="18"/>
          <w:szCs w:val="18"/>
          <w:lang w:val="en-GB"/>
        </w:rPr>
        <w:t>under coercive circumstances;</w:t>
      </w:r>
    </w:p>
    <w:p w14:paraId="4AC4541D" w14:textId="77777777" w:rsidR="002D4CBA" w:rsidRPr="007B081C" w:rsidRDefault="002D4CBA" w:rsidP="007B081C">
      <w:pPr>
        <w:pStyle w:val="FootnoteText"/>
        <w:numPr>
          <w:ilvl w:val="0"/>
          <w:numId w:val="11"/>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Amend the CC by comprehensively defining sexual assault as a violation of bodily integrity and sexual autonomy; </w:t>
      </w:r>
    </w:p>
    <w:p w14:paraId="68DBBD91" w14:textId="77777777" w:rsidR="002D4CBA" w:rsidRPr="007B081C" w:rsidRDefault="002D4CBA" w:rsidP="007B081C">
      <w:pPr>
        <w:pStyle w:val="FootnoteText"/>
        <w:numPr>
          <w:ilvl w:val="0"/>
          <w:numId w:val="8"/>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Amend articles 505 and 518 of the CC to ensure that marriage to a victim of sexual assault does not shield or exempt a sexual offender from punishment; </w:t>
      </w:r>
    </w:p>
    <w:p w14:paraId="51044621" w14:textId="77777777" w:rsidR="002D4CBA" w:rsidRPr="007B081C" w:rsidRDefault="002D4CBA" w:rsidP="007B081C">
      <w:pPr>
        <w:pStyle w:val="FootnoteText"/>
        <w:numPr>
          <w:ilvl w:val="0"/>
          <w:numId w:val="8"/>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Amend the CC to ensure that sentences for sexual assault are not aggravated on the basis of the loss of the victim’s “virginity,” but are instead </w:t>
      </w:r>
      <w:r w:rsidRPr="007B081C">
        <w:rPr>
          <w:rFonts w:ascii="Verdana" w:hAnsi="Verdana"/>
          <w:b/>
          <w:sz w:val="18"/>
          <w:szCs w:val="18"/>
          <w:lang w:val="en-IE"/>
        </w:rPr>
        <w:t xml:space="preserve">meted out in a manner that is commensurate with the gravity of the offence; </w:t>
      </w:r>
    </w:p>
    <w:p w14:paraId="2C0353C1" w14:textId="77777777" w:rsidR="002D4CBA" w:rsidRPr="007B081C" w:rsidRDefault="002D4CBA" w:rsidP="007B081C">
      <w:pPr>
        <w:pStyle w:val="FootnoteText"/>
        <w:numPr>
          <w:ilvl w:val="0"/>
          <w:numId w:val="8"/>
        </w:numPr>
        <w:jc w:val="both"/>
        <w:rPr>
          <w:rFonts w:ascii="Verdana" w:hAnsi="Verdana" w:cs="Times New Roman"/>
          <w:b/>
          <w:sz w:val="18"/>
          <w:szCs w:val="18"/>
          <w:lang w:val="en-GB"/>
        </w:rPr>
      </w:pPr>
      <w:r w:rsidRPr="007B081C">
        <w:rPr>
          <w:rFonts w:ascii="Verdana" w:hAnsi="Verdana" w:cs="Times New Roman"/>
          <w:b/>
          <w:sz w:val="18"/>
          <w:szCs w:val="18"/>
          <w:lang w:val="en-GB"/>
        </w:rPr>
        <w:t>Adopt legislation that specifically defines, criminalizes and sanctions sexual harassment, including that which is committed in public spaces and the workplace.</w:t>
      </w:r>
    </w:p>
    <w:p w14:paraId="16B0DEF2" w14:textId="77777777" w:rsidR="002D4CBA" w:rsidRPr="007B081C" w:rsidRDefault="002D4CBA" w:rsidP="007B081C">
      <w:pPr>
        <w:pStyle w:val="FootnoteText"/>
        <w:jc w:val="both"/>
        <w:rPr>
          <w:rFonts w:ascii="Verdana" w:hAnsi="Verdana" w:cs="Times New Roman"/>
          <w:b/>
          <w:sz w:val="18"/>
          <w:szCs w:val="18"/>
          <w:lang w:val="en-GB"/>
        </w:rPr>
      </w:pPr>
    </w:p>
    <w:p w14:paraId="2237DA46" w14:textId="326CC98D" w:rsidR="002D4CBA" w:rsidRPr="007B081C" w:rsidRDefault="00CE21FD" w:rsidP="007B081C">
      <w:pPr>
        <w:pStyle w:val="ListParagraph"/>
        <w:numPr>
          <w:ilvl w:val="0"/>
          <w:numId w:val="28"/>
        </w:numPr>
        <w:jc w:val="both"/>
        <w:rPr>
          <w:rFonts w:ascii="Verdana" w:hAnsi="Verdana"/>
          <w:b/>
          <w:sz w:val="18"/>
          <w:szCs w:val="18"/>
        </w:rPr>
      </w:pPr>
      <w:r w:rsidRPr="007B081C">
        <w:rPr>
          <w:rFonts w:ascii="Verdana" w:hAnsi="Verdana"/>
          <w:b/>
          <w:sz w:val="18"/>
          <w:szCs w:val="18"/>
        </w:rPr>
        <w:t xml:space="preserve">Repeal of </w:t>
      </w:r>
      <w:r w:rsidR="002D4CBA" w:rsidRPr="007B081C">
        <w:rPr>
          <w:rFonts w:ascii="Verdana" w:hAnsi="Verdana"/>
          <w:b/>
          <w:sz w:val="18"/>
          <w:szCs w:val="18"/>
        </w:rPr>
        <w:t xml:space="preserve">discriminatory </w:t>
      </w:r>
      <w:r w:rsidRPr="007B081C">
        <w:rPr>
          <w:rFonts w:ascii="Verdana" w:hAnsi="Verdana"/>
          <w:b/>
          <w:sz w:val="18"/>
          <w:szCs w:val="18"/>
        </w:rPr>
        <w:t xml:space="preserve">criminal </w:t>
      </w:r>
      <w:r w:rsidR="002D4CBA" w:rsidRPr="007B081C">
        <w:rPr>
          <w:rFonts w:ascii="Verdana" w:hAnsi="Verdana"/>
          <w:b/>
          <w:sz w:val="18"/>
          <w:szCs w:val="18"/>
        </w:rPr>
        <w:t>offences</w:t>
      </w:r>
    </w:p>
    <w:p w14:paraId="446CED03" w14:textId="77777777" w:rsidR="002D4CBA" w:rsidRPr="007B081C" w:rsidRDefault="002D4CBA" w:rsidP="007B081C">
      <w:pPr>
        <w:jc w:val="both"/>
        <w:rPr>
          <w:rFonts w:ascii="Verdana" w:hAnsi="Verdana"/>
          <w:sz w:val="18"/>
          <w:szCs w:val="18"/>
        </w:rPr>
      </w:pPr>
    </w:p>
    <w:p w14:paraId="62265D81" w14:textId="6BF8F229" w:rsidR="008808C5" w:rsidRPr="007B081C" w:rsidRDefault="008808C5" w:rsidP="007B081C">
      <w:pPr>
        <w:ind w:left="360"/>
        <w:jc w:val="both"/>
        <w:rPr>
          <w:rFonts w:ascii="Verdana" w:hAnsi="Verdana"/>
          <w:i/>
          <w:sz w:val="18"/>
          <w:szCs w:val="18"/>
        </w:rPr>
      </w:pPr>
      <w:r w:rsidRPr="007B081C">
        <w:rPr>
          <w:rFonts w:ascii="Verdana" w:hAnsi="Verdana"/>
          <w:i/>
          <w:sz w:val="18"/>
          <w:szCs w:val="18"/>
        </w:rPr>
        <w:t>Adultery</w:t>
      </w:r>
    </w:p>
    <w:p w14:paraId="486EF0D3" w14:textId="77777777" w:rsidR="008808C5" w:rsidRPr="007B081C" w:rsidRDefault="008808C5" w:rsidP="007B081C">
      <w:pPr>
        <w:ind w:left="360"/>
        <w:jc w:val="both"/>
        <w:rPr>
          <w:rFonts w:ascii="Verdana" w:hAnsi="Verdana"/>
          <w:sz w:val="18"/>
          <w:szCs w:val="18"/>
        </w:rPr>
      </w:pPr>
    </w:p>
    <w:p w14:paraId="68DDDA82" w14:textId="3C5612DE" w:rsidR="00265637" w:rsidRPr="007B081C" w:rsidRDefault="009D52AC" w:rsidP="007B081C">
      <w:pPr>
        <w:pStyle w:val="ListParagraph"/>
        <w:numPr>
          <w:ilvl w:val="0"/>
          <w:numId w:val="3"/>
        </w:numPr>
        <w:jc w:val="both"/>
        <w:rPr>
          <w:rFonts w:ascii="Verdana" w:hAnsi="Verdana"/>
          <w:sz w:val="18"/>
          <w:szCs w:val="18"/>
        </w:rPr>
      </w:pPr>
      <w:r w:rsidRPr="007B081C">
        <w:rPr>
          <w:rFonts w:ascii="Verdana" w:hAnsi="Verdana"/>
          <w:bCs/>
          <w:iCs/>
          <w:sz w:val="18"/>
          <w:szCs w:val="18"/>
        </w:rPr>
        <w:t xml:space="preserve">Articles 487-489 of the CC, as amended by article 3 of Law No. 293/2014, criminalize adultery by a man or woman. </w:t>
      </w:r>
      <w:r w:rsidRPr="007B081C">
        <w:rPr>
          <w:rFonts w:ascii="Verdana" w:hAnsi="Verdana"/>
          <w:sz w:val="18"/>
          <w:szCs w:val="18"/>
        </w:rPr>
        <w:t xml:space="preserve">In addition to violating </w:t>
      </w:r>
      <w:r w:rsidR="00772EF4" w:rsidRPr="007B081C">
        <w:rPr>
          <w:rFonts w:ascii="Verdana" w:hAnsi="Verdana"/>
          <w:sz w:val="18"/>
          <w:szCs w:val="18"/>
        </w:rPr>
        <w:t>articles 1, 2 and 15 of</w:t>
      </w:r>
      <w:r w:rsidR="009D68DC" w:rsidRPr="007B081C">
        <w:rPr>
          <w:rFonts w:ascii="Verdana" w:hAnsi="Verdana"/>
          <w:sz w:val="18"/>
          <w:szCs w:val="18"/>
        </w:rPr>
        <w:t xml:space="preserve"> </w:t>
      </w:r>
      <w:r w:rsidR="00772EF4" w:rsidRPr="007B081C">
        <w:rPr>
          <w:rFonts w:ascii="Verdana" w:hAnsi="Verdana"/>
          <w:sz w:val="18"/>
          <w:szCs w:val="18"/>
        </w:rPr>
        <w:t xml:space="preserve">CEDAW, </w:t>
      </w:r>
      <w:r w:rsidRPr="007B081C">
        <w:rPr>
          <w:rFonts w:ascii="Verdana" w:hAnsi="Verdana"/>
          <w:sz w:val="18"/>
          <w:szCs w:val="18"/>
        </w:rPr>
        <w:t>the criminalization of adultery specifically has been found to amount to sex discrimination</w:t>
      </w:r>
      <w:r w:rsidR="00772EF4" w:rsidRPr="007B081C">
        <w:rPr>
          <w:rFonts w:ascii="Verdana" w:hAnsi="Verdana"/>
          <w:sz w:val="18"/>
          <w:szCs w:val="18"/>
        </w:rPr>
        <w:t xml:space="preserve"> by the CEDAW Committee</w:t>
      </w:r>
      <w:r w:rsidRPr="007B081C">
        <w:rPr>
          <w:rFonts w:ascii="Verdana" w:hAnsi="Verdana"/>
          <w:sz w:val="18"/>
          <w:szCs w:val="18"/>
        </w:rPr>
        <w:t>.</w:t>
      </w:r>
      <w:r w:rsidRPr="007B081C">
        <w:rPr>
          <w:rStyle w:val="FootnoteReference"/>
          <w:rFonts w:ascii="Verdana" w:hAnsi="Verdana"/>
          <w:sz w:val="18"/>
          <w:szCs w:val="18"/>
        </w:rPr>
        <w:footnoteReference w:id="11"/>
      </w:r>
    </w:p>
    <w:p w14:paraId="6CB7A08B" w14:textId="15454D3E" w:rsidR="008808C5" w:rsidRPr="007B081C" w:rsidRDefault="008808C5" w:rsidP="007B081C">
      <w:pPr>
        <w:jc w:val="both"/>
        <w:rPr>
          <w:rFonts w:ascii="Verdana" w:hAnsi="Verdana"/>
          <w:sz w:val="18"/>
          <w:szCs w:val="18"/>
        </w:rPr>
      </w:pPr>
    </w:p>
    <w:p w14:paraId="6CCE4D62" w14:textId="417BA9EE" w:rsidR="008808C5" w:rsidRPr="007B081C" w:rsidRDefault="008808C5" w:rsidP="007B081C">
      <w:pPr>
        <w:ind w:left="360"/>
        <w:jc w:val="both"/>
        <w:rPr>
          <w:rFonts w:ascii="Verdana" w:hAnsi="Verdana"/>
          <w:i/>
          <w:sz w:val="18"/>
          <w:szCs w:val="18"/>
        </w:rPr>
      </w:pPr>
      <w:r w:rsidRPr="007B081C">
        <w:rPr>
          <w:rFonts w:ascii="Verdana" w:hAnsi="Verdana"/>
          <w:i/>
          <w:sz w:val="18"/>
          <w:szCs w:val="18"/>
        </w:rPr>
        <w:t>Prostitution</w:t>
      </w:r>
    </w:p>
    <w:p w14:paraId="3C1E764A" w14:textId="77777777" w:rsidR="004239A4" w:rsidRPr="007B081C" w:rsidRDefault="004239A4" w:rsidP="007B081C">
      <w:pPr>
        <w:rPr>
          <w:rFonts w:ascii="Verdana" w:hAnsi="Verdana"/>
          <w:sz w:val="18"/>
          <w:szCs w:val="18"/>
        </w:rPr>
      </w:pPr>
    </w:p>
    <w:p w14:paraId="063E661F" w14:textId="3696FF51" w:rsidR="00D44694" w:rsidRPr="00B44704" w:rsidRDefault="00D44694" w:rsidP="00D44694">
      <w:pPr>
        <w:pStyle w:val="ListParagraph"/>
        <w:numPr>
          <w:ilvl w:val="0"/>
          <w:numId w:val="3"/>
        </w:numPr>
        <w:jc w:val="both"/>
        <w:rPr>
          <w:rFonts w:ascii="Verdana" w:hAnsi="Verdana"/>
          <w:sz w:val="18"/>
          <w:szCs w:val="18"/>
        </w:rPr>
      </w:pPr>
      <w:r w:rsidRPr="00B44704">
        <w:rPr>
          <w:rFonts w:ascii="Verdana" w:hAnsi="Verdana" w:cstheme="minorHAnsi"/>
          <w:sz w:val="18"/>
          <w:szCs w:val="18"/>
        </w:rPr>
        <w:t>While the Law on Public Health of 1931 permitted the sale of sex in licensed locations, no new licenses have been issued since 1975.</w:t>
      </w:r>
      <w:r w:rsidRPr="00B44704">
        <w:rPr>
          <w:rStyle w:val="FootnoteReference"/>
          <w:rFonts w:ascii="Verdana" w:hAnsi="Verdana" w:cstheme="minorHAnsi"/>
          <w:sz w:val="18"/>
          <w:szCs w:val="18"/>
        </w:rPr>
        <w:footnoteReference w:id="12"/>
      </w:r>
      <w:r w:rsidRPr="00B44704">
        <w:rPr>
          <w:rFonts w:ascii="Verdana" w:hAnsi="Verdana" w:cstheme="minorHAnsi"/>
          <w:sz w:val="18"/>
          <w:szCs w:val="18"/>
        </w:rPr>
        <w:t xml:space="preserve"> Article 523 of the CC criminalizes those who engage in “secret prostitution” or facilitate the practice, </w:t>
      </w:r>
      <w:proofErr w:type="gramStart"/>
      <w:r w:rsidRPr="00B44704">
        <w:rPr>
          <w:rFonts w:ascii="Verdana" w:hAnsi="Verdana" w:cstheme="minorHAnsi"/>
          <w:sz w:val="18"/>
          <w:szCs w:val="18"/>
        </w:rPr>
        <w:t>making sex</w:t>
      </w:r>
      <w:proofErr w:type="gramEnd"/>
      <w:r w:rsidRPr="00B44704">
        <w:rPr>
          <w:rFonts w:ascii="Verdana" w:hAnsi="Verdana" w:cstheme="minorHAnsi"/>
          <w:sz w:val="18"/>
          <w:szCs w:val="18"/>
        </w:rPr>
        <w:t xml:space="preserve"> work </w:t>
      </w:r>
      <w:r w:rsidRPr="006A2495">
        <w:rPr>
          <w:rFonts w:ascii="Verdana" w:hAnsi="Verdana" w:cstheme="minorHAnsi"/>
          <w:i/>
          <w:iCs/>
          <w:sz w:val="18"/>
          <w:szCs w:val="18"/>
        </w:rPr>
        <w:t>per se</w:t>
      </w:r>
      <w:r w:rsidRPr="00B44704">
        <w:rPr>
          <w:rFonts w:ascii="Verdana" w:hAnsi="Verdana" w:cstheme="minorHAnsi"/>
          <w:sz w:val="18"/>
          <w:szCs w:val="18"/>
        </w:rPr>
        <w:t xml:space="preserve"> a criminal offence in Lebanon. Law No. 164/2011 also criminalizes engagement in “prostitution” by victims of trafficking,</w:t>
      </w:r>
      <w:r w:rsidRPr="00B44704">
        <w:rPr>
          <w:rStyle w:val="FootnoteReference"/>
          <w:rFonts w:ascii="Verdana" w:hAnsi="Verdana" w:cstheme="minorHAnsi"/>
          <w:sz w:val="18"/>
          <w:szCs w:val="18"/>
        </w:rPr>
        <w:footnoteReference w:id="13"/>
      </w:r>
      <w:r w:rsidRPr="00B44704">
        <w:rPr>
          <w:rFonts w:ascii="Verdana" w:hAnsi="Verdana" w:cstheme="minorHAnsi"/>
          <w:sz w:val="18"/>
          <w:szCs w:val="18"/>
        </w:rPr>
        <w:t xml:space="preserve"> unless the “victim […] proves that she was compelled to commit acts that are punishable by law or that she was compelled to violate the terms of residency or work,” in which case the victim may avail of an amnesty from punishment.</w:t>
      </w:r>
      <w:r w:rsidRPr="00B44704">
        <w:rPr>
          <w:rStyle w:val="FootnoteReference"/>
          <w:rFonts w:ascii="Verdana" w:hAnsi="Verdana" w:cstheme="minorHAnsi"/>
          <w:sz w:val="18"/>
          <w:szCs w:val="18"/>
        </w:rPr>
        <w:footnoteReference w:id="14"/>
      </w:r>
      <w:r w:rsidRPr="00B44704">
        <w:rPr>
          <w:rFonts w:ascii="Verdana" w:hAnsi="Verdana" w:cstheme="minorHAnsi"/>
          <w:sz w:val="18"/>
          <w:szCs w:val="18"/>
        </w:rPr>
        <w:t xml:space="preserve"> The CEDAW Committee has found that the “criminalization of prostitution” violates articles 1, 2 and 15 of CEDAW, and acts as a barrier to women’s effective access to justice.</w:t>
      </w:r>
      <w:r w:rsidRPr="00B44704">
        <w:rPr>
          <w:rStyle w:val="FootnoteReference"/>
          <w:rFonts w:ascii="Verdana" w:hAnsi="Verdana" w:cstheme="minorHAnsi"/>
          <w:sz w:val="18"/>
          <w:szCs w:val="18"/>
        </w:rPr>
        <w:footnoteReference w:id="15"/>
      </w:r>
      <w:r w:rsidRPr="00B44704">
        <w:rPr>
          <w:rFonts w:ascii="Verdana" w:hAnsi="Verdana" w:cstheme="minorHAnsi"/>
          <w:sz w:val="18"/>
          <w:szCs w:val="18"/>
        </w:rPr>
        <w:t xml:space="preserve"> </w:t>
      </w:r>
    </w:p>
    <w:p w14:paraId="7717438F" w14:textId="5287CAD8" w:rsidR="00D44694" w:rsidRPr="00443087" w:rsidRDefault="00D44694" w:rsidP="00443087">
      <w:pPr>
        <w:jc w:val="both"/>
        <w:rPr>
          <w:rFonts w:ascii="Verdana" w:hAnsi="Verdana"/>
          <w:sz w:val="18"/>
          <w:szCs w:val="18"/>
        </w:rPr>
      </w:pPr>
      <w:r>
        <w:rPr>
          <w:rFonts w:ascii="Verdana" w:hAnsi="Verdana"/>
          <w:sz w:val="18"/>
          <w:szCs w:val="18"/>
        </w:rPr>
        <w:tab/>
      </w:r>
    </w:p>
    <w:p w14:paraId="796420B7" w14:textId="670285D1" w:rsidR="008808C5" w:rsidRPr="00443087" w:rsidRDefault="008808C5" w:rsidP="00443087">
      <w:pPr>
        <w:ind w:firstLine="360"/>
        <w:rPr>
          <w:rFonts w:ascii="Verdana" w:hAnsi="Verdana"/>
          <w:i/>
          <w:sz w:val="18"/>
          <w:szCs w:val="18"/>
        </w:rPr>
      </w:pPr>
      <w:r w:rsidRPr="00443087">
        <w:rPr>
          <w:rFonts w:ascii="Verdana" w:hAnsi="Verdana"/>
          <w:i/>
          <w:sz w:val="18"/>
          <w:szCs w:val="18"/>
        </w:rPr>
        <w:t>Abortion</w:t>
      </w:r>
    </w:p>
    <w:p w14:paraId="66D49198" w14:textId="77777777" w:rsidR="008808C5" w:rsidRPr="007B081C" w:rsidRDefault="008808C5" w:rsidP="007B081C">
      <w:pPr>
        <w:ind w:left="360"/>
        <w:rPr>
          <w:rFonts w:ascii="Verdana" w:hAnsi="Verdana"/>
          <w:sz w:val="18"/>
          <w:szCs w:val="18"/>
        </w:rPr>
      </w:pPr>
    </w:p>
    <w:p w14:paraId="70898A42" w14:textId="59CD915A" w:rsidR="00E73411" w:rsidRPr="007B081C" w:rsidRDefault="00195BA7" w:rsidP="007B081C">
      <w:pPr>
        <w:pStyle w:val="ListParagraph"/>
        <w:numPr>
          <w:ilvl w:val="0"/>
          <w:numId w:val="3"/>
        </w:numPr>
        <w:jc w:val="both"/>
        <w:rPr>
          <w:rFonts w:ascii="Verdana" w:hAnsi="Verdana"/>
          <w:sz w:val="18"/>
          <w:szCs w:val="18"/>
        </w:rPr>
      </w:pPr>
      <w:r w:rsidRPr="007B081C">
        <w:rPr>
          <w:rFonts w:ascii="Verdana" w:hAnsi="Verdana"/>
          <w:sz w:val="18"/>
          <w:szCs w:val="18"/>
        </w:rPr>
        <w:t>Pursuant to a</w:t>
      </w:r>
      <w:r w:rsidR="00617052" w:rsidRPr="007B081C">
        <w:rPr>
          <w:rFonts w:ascii="Verdana" w:hAnsi="Verdana"/>
          <w:sz w:val="18"/>
          <w:szCs w:val="18"/>
        </w:rPr>
        <w:t>rticle 541 of the CC</w:t>
      </w:r>
      <w:r w:rsidRPr="007B081C">
        <w:rPr>
          <w:rFonts w:ascii="Verdana" w:hAnsi="Verdana"/>
          <w:sz w:val="18"/>
          <w:szCs w:val="18"/>
        </w:rPr>
        <w:t>, abortion is a criminal offence</w:t>
      </w:r>
      <w:r w:rsidR="00DD00AC" w:rsidRPr="007B081C">
        <w:rPr>
          <w:rFonts w:ascii="Verdana" w:hAnsi="Verdana"/>
          <w:sz w:val="18"/>
          <w:szCs w:val="18"/>
        </w:rPr>
        <w:t xml:space="preserve"> and both </w:t>
      </w:r>
      <w:r w:rsidR="00617052" w:rsidRPr="007B081C">
        <w:rPr>
          <w:rFonts w:ascii="Verdana" w:hAnsi="Verdana"/>
          <w:sz w:val="18"/>
          <w:szCs w:val="18"/>
        </w:rPr>
        <w:t xml:space="preserve">women who undergo </w:t>
      </w:r>
      <w:r w:rsidR="00DD00AC" w:rsidRPr="007B081C">
        <w:rPr>
          <w:rFonts w:ascii="Verdana" w:hAnsi="Verdana"/>
          <w:sz w:val="18"/>
          <w:szCs w:val="18"/>
        </w:rPr>
        <w:t xml:space="preserve">them and </w:t>
      </w:r>
      <w:r w:rsidR="00617052" w:rsidRPr="007B081C">
        <w:rPr>
          <w:rFonts w:ascii="Verdana" w:hAnsi="Verdana"/>
          <w:sz w:val="18"/>
          <w:szCs w:val="18"/>
        </w:rPr>
        <w:t>individuals who perform them are subject to severe penalties.</w:t>
      </w:r>
      <w:r w:rsidR="00617052" w:rsidRPr="007B081C">
        <w:rPr>
          <w:rStyle w:val="FootnoteReference"/>
          <w:rFonts w:ascii="Verdana" w:hAnsi="Verdana"/>
          <w:sz w:val="18"/>
          <w:szCs w:val="18"/>
        </w:rPr>
        <w:footnoteReference w:id="16"/>
      </w:r>
      <w:r w:rsidR="00617052" w:rsidRPr="007B081C">
        <w:rPr>
          <w:rFonts w:ascii="Verdana" w:hAnsi="Verdana"/>
          <w:sz w:val="18"/>
          <w:szCs w:val="18"/>
        </w:rPr>
        <w:t xml:space="preserve"> While there is no explicit exception to the criminalization of abortion</w:t>
      </w:r>
      <w:r w:rsidR="00F0107E" w:rsidRPr="007B081C">
        <w:rPr>
          <w:rFonts w:ascii="Verdana" w:hAnsi="Verdana"/>
          <w:sz w:val="18"/>
          <w:szCs w:val="18"/>
        </w:rPr>
        <w:t xml:space="preserve"> in the CC</w:t>
      </w:r>
      <w:r w:rsidR="00617052" w:rsidRPr="007B081C">
        <w:rPr>
          <w:rFonts w:ascii="Verdana" w:hAnsi="Verdana"/>
          <w:sz w:val="18"/>
          <w:szCs w:val="18"/>
        </w:rPr>
        <w:t>, women who terminate pregnancies in order to preserve or “save their honour” may benefit from “attenuating circumstances”</w:t>
      </w:r>
      <w:r w:rsidR="00DE45D5" w:rsidRPr="007B081C">
        <w:rPr>
          <w:rFonts w:ascii="Verdana" w:hAnsi="Verdana"/>
          <w:sz w:val="18"/>
          <w:szCs w:val="18"/>
        </w:rPr>
        <w:t xml:space="preserve"> (article 545</w:t>
      </w:r>
      <w:r w:rsidR="00F0107E" w:rsidRPr="007B081C">
        <w:rPr>
          <w:rFonts w:ascii="Verdana" w:hAnsi="Verdana"/>
          <w:sz w:val="18"/>
          <w:szCs w:val="18"/>
        </w:rPr>
        <w:t xml:space="preserve">). </w:t>
      </w:r>
      <w:r w:rsidR="00617052" w:rsidRPr="007B081C">
        <w:rPr>
          <w:rFonts w:ascii="Verdana" w:hAnsi="Verdana"/>
          <w:sz w:val="18"/>
          <w:szCs w:val="18"/>
        </w:rPr>
        <w:t xml:space="preserve">It is not clear, however, whether such circumstances apply to </w:t>
      </w:r>
      <w:r w:rsidR="00DE45D5" w:rsidRPr="007B081C">
        <w:rPr>
          <w:rFonts w:ascii="Verdana" w:hAnsi="Verdana"/>
          <w:sz w:val="18"/>
          <w:szCs w:val="18"/>
        </w:rPr>
        <w:t>complainants</w:t>
      </w:r>
      <w:r w:rsidR="00617052" w:rsidRPr="007B081C">
        <w:rPr>
          <w:rFonts w:ascii="Verdana" w:hAnsi="Verdana"/>
          <w:sz w:val="18"/>
          <w:szCs w:val="18"/>
        </w:rPr>
        <w:t xml:space="preserve">/survivors of sexual </w:t>
      </w:r>
      <w:r w:rsidR="00DE45D5" w:rsidRPr="007B081C">
        <w:rPr>
          <w:rFonts w:ascii="Verdana" w:hAnsi="Verdana"/>
          <w:sz w:val="18"/>
          <w:szCs w:val="18"/>
        </w:rPr>
        <w:t>assault</w:t>
      </w:r>
      <w:r w:rsidR="00617052" w:rsidRPr="007B081C">
        <w:rPr>
          <w:rFonts w:ascii="Verdana" w:hAnsi="Verdana"/>
          <w:sz w:val="18"/>
          <w:szCs w:val="18"/>
        </w:rPr>
        <w:t xml:space="preserve"> and</w:t>
      </w:r>
      <w:r w:rsidR="00B2135B" w:rsidRPr="007B081C">
        <w:rPr>
          <w:rFonts w:ascii="Verdana" w:hAnsi="Verdana"/>
          <w:sz w:val="18"/>
          <w:szCs w:val="18"/>
        </w:rPr>
        <w:t>,</w:t>
      </w:r>
      <w:r w:rsidR="00617052" w:rsidRPr="007B081C">
        <w:rPr>
          <w:rFonts w:ascii="Verdana" w:hAnsi="Verdana"/>
          <w:sz w:val="18"/>
          <w:szCs w:val="18"/>
        </w:rPr>
        <w:t xml:space="preserve"> in the </w:t>
      </w:r>
      <w:proofErr w:type="gramStart"/>
      <w:r w:rsidR="00617052" w:rsidRPr="007B081C">
        <w:rPr>
          <w:rFonts w:ascii="Verdana" w:hAnsi="Verdana"/>
          <w:sz w:val="18"/>
          <w:szCs w:val="18"/>
        </w:rPr>
        <w:t>event</w:t>
      </w:r>
      <w:proofErr w:type="gramEnd"/>
      <w:r w:rsidR="00617052" w:rsidRPr="007B081C">
        <w:rPr>
          <w:rFonts w:ascii="Verdana" w:hAnsi="Verdana"/>
          <w:sz w:val="18"/>
          <w:szCs w:val="18"/>
        </w:rPr>
        <w:t xml:space="preserve"> they do, the provision itself is a patriarchal construct that </w:t>
      </w:r>
      <w:r w:rsidR="00DE45D5" w:rsidRPr="007B081C">
        <w:rPr>
          <w:rFonts w:ascii="Verdana" w:hAnsi="Verdana"/>
          <w:sz w:val="18"/>
          <w:szCs w:val="18"/>
        </w:rPr>
        <w:t>discriminate</w:t>
      </w:r>
      <w:r w:rsidRPr="007B081C">
        <w:rPr>
          <w:rFonts w:ascii="Verdana" w:hAnsi="Verdana"/>
          <w:sz w:val="18"/>
          <w:szCs w:val="18"/>
        </w:rPr>
        <w:t>s</w:t>
      </w:r>
      <w:r w:rsidR="00DE45D5" w:rsidRPr="007B081C">
        <w:rPr>
          <w:rFonts w:ascii="Verdana" w:hAnsi="Verdana"/>
          <w:sz w:val="18"/>
          <w:szCs w:val="18"/>
        </w:rPr>
        <w:t xml:space="preserve"> against women, contravening Lebanon’s obligations </w:t>
      </w:r>
      <w:r w:rsidRPr="007B081C">
        <w:rPr>
          <w:rFonts w:ascii="Verdana" w:hAnsi="Verdana"/>
          <w:sz w:val="18"/>
          <w:szCs w:val="18"/>
        </w:rPr>
        <w:t>under</w:t>
      </w:r>
      <w:r w:rsidR="00DE45D5" w:rsidRPr="007B081C">
        <w:rPr>
          <w:rFonts w:ascii="Verdana" w:hAnsi="Verdana"/>
          <w:sz w:val="18"/>
          <w:szCs w:val="18"/>
        </w:rPr>
        <w:t xml:space="preserve"> articles 1</w:t>
      </w:r>
      <w:r w:rsidR="00F0107E" w:rsidRPr="007B081C">
        <w:rPr>
          <w:rFonts w:ascii="Verdana" w:hAnsi="Verdana"/>
          <w:sz w:val="18"/>
          <w:szCs w:val="18"/>
        </w:rPr>
        <w:t xml:space="preserve">, </w:t>
      </w:r>
      <w:r w:rsidR="00DE45D5" w:rsidRPr="007B081C">
        <w:rPr>
          <w:rFonts w:ascii="Verdana" w:hAnsi="Verdana"/>
          <w:sz w:val="18"/>
          <w:szCs w:val="18"/>
        </w:rPr>
        <w:t xml:space="preserve">2 </w:t>
      </w:r>
      <w:r w:rsidR="00F0107E" w:rsidRPr="007B081C">
        <w:rPr>
          <w:rFonts w:ascii="Verdana" w:hAnsi="Verdana"/>
          <w:sz w:val="18"/>
          <w:szCs w:val="18"/>
        </w:rPr>
        <w:t xml:space="preserve">and 12(1) </w:t>
      </w:r>
      <w:r w:rsidR="00DE45D5" w:rsidRPr="007B081C">
        <w:rPr>
          <w:rFonts w:ascii="Verdana" w:hAnsi="Verdana"/>
          <w:sz w:val="18"/>
          <w:szCs w:val="18"/>
        </w:rPr>
        <w:t>of CEDAW.</w:t>
      </w:r>
      <w:r w:rsidRPr="007B081C">
        <w:rPr>
          <w:rFonts w:ascii="Verdana" w:hAnsi="Verdana"/>
          <w:sz w:val="18"/>
          <w:szCs w:val="18"/>
        </w:rPr>
        <w:t xml:space="preserve"> In order for complainants/survivors of sexual assault to exercise their right to effective remedy and reparation, and to deter women from seeking unsafe abortions, </w:t>
      </w:r>
      <w:r w:rsidR="005C54B5" w:rsidRPr="007B081C">
        <w:rPr>
          <w:rFonts w:ascii="Verdana" w:hAnsi="Verdana"/>
          <w:sz w:val="18"/>
          <w:szCs w:val="18"/>
        </w:rPr>
        <w:t>Lebanon</w:t>
      </w:r>
      <w:r w:rsidRPr="007B081C">
        <w:rPr>
          <w:rFonts w:ascii="Verdana" w:hAnsi="Verdana"/>
          <w:sz w:val="18"/>
          <w:szCs w:val="18"/>
        </w:rPr>
        <w:t xml:space="preserve"> </w:t>
      </w:r>
      <w:r w:rsidRPr="007B081C">
        <w:rPr>
          <w:rFonts w:ascii="Verdana" w:hAnsi="Verdana"/>
          <w:sz w:val="18"/>
          <w:szCs w:val="18"/>
        </w:rPr>
        <w:lastRenderedPageBreak/>
        <w:t xml:space="preserve">must ensure effective access to </w:t>
      </w:r>
      <w:r w:rsidR="00B2135B" w:rsidRPr="007B081C">
        <w:rPr>
          <w:rFonts w:ascii="Verdana" w:hAnsi="Verdana"/>
          <w:sz w:val="18"/>
          <w:szCs w:val="18"/>
        </w:rPr>
        <w:t xml:space="preserve">the provision of </w:t>
      </w:r>
      <w:r w:rsidRPr="007B081C">
        <w:rPr>
          <w:rFonts w:ascii="Verdana" w:hAnsi="Verdana"/>
          <w:sz w:val="18"/>
          <w:szCs w:val="18"/>
        </w:rPr>
        <w:t>sexual and reproductive healthcare</w:t>
      </w:r>
      <w:r w:rsidR="00B2135B" w:rsidRPr="007B081C">
        <w:rPr>
          <w:rFonts w:ascii="Verdana" w:hAnsi="Verdana"/>
          <w:sz w:val="18"/>
          <w:szCs w:val="18"/>
        </w:rPr>
        <w:t>, goods and</w:t>
      </w:r>
      <w:r w:rsidRPr="007B081C">
        <w:rPr>
          <w:rFonts w:ascii="Verdana" w:hAnsi="Verdana"/>
          <w:sz w:val="18"/>
          <w:szCs w:val="18"/>
        </w:rPr>
        <w:t xml:space="preserve"> services</w:t>
      </w:r>
      <w:r w:rsidR="00B2135B" w:rsidRPr="007B081C">
        <w:rPr>
          <w:rFonts w:ascii="Verdana" w:hAnsi="Verdana"/>
          <w:sz w:val="18"/>
          <w:szCs w:val="18"/>
        </w:rPr>
        <w:t xml:space="preserve">, </w:t>
      </w:r>
      <w:r w:rsidRPr="007B081C">
        <w:rPr>
          <w:rFonts w:ascii="Verdana" w:hAnsi="Verdana"/>
          <w:sz w:val="18"/>
          <w:szCs w:val="18"/>
        </w:rPr>
        <w:t>including safe access to legal abortion</w:t>
      </w:r>
      <w:r w:rsidR="009F2F94" w:rsidRPr="007B081C">
        <w:rPr>
          <w:rFonts w:ascii="Verdana" w:hAnsi="Verdana"/>
          <w:sz w:val="18"/>
          <w:szCs w:val="18"/>
        </w:rPr>
        <w:t xml:space="preserve"> </w:t>
      </w:r>
      <w:r w:rsidRPr="007B081C">
        <w:rPr>
          <w:rFonts w:ascii="Verdana" w:hAnsi="Verdana"/>
          <w:sz w:val="18"/>
          <w:szCs w:val="18"/>
        </w:rPr>
        <w:t>and post-abortion care in all cases</w:t>
      </w:r>
      <w:r w:rsidR="009F2F94" w:rsidRPr="007B081C">
        <w:rPr>
          <w:rFonts w:ascii="Verdana" w:hAnsi="Verdana"/>
          <w:sz w:val="18"/>
          <w:szCs w:val="18"/>
        </w:rPr>
        <w:t>,</w:t>
      </w:r>
      <w:r w:rsidRPr="007B081C">
        <w:rPr>
          <w:rFonts w:ascii="Verdana" w:hAnsi="Verdana"/>
          <w:sz w:val="18"/>
          <w:szCs w:val="18"/>
        </w:rPr>
        <w:t xml:space="preserve"> and particularly in cases of rape.</w:t>
      </w:r>
      <w:r w:rsidRPr="007B081C">
        <w:rPr>
          <w:rStyle w:val="FootnoteReference"/>
          <w:rFonts w:ascii="Verdana" w:hAnsi="Verdana"/>
          <w:sz w:val="18"/>
          <w:szCs w:val="18"/>
        </w:rPr>
        <w:footnoteReference w:id="17"/>
      </w:r>
    </w:p>
    <w:p w14:paraId="48DDC4A5" w14:textId="17F74965" w:rsidR="002F7837" w:rsidRPr="007B081C" w:rsidRDefault="002F7837" w:rsidP="007B081C">
      <w:pPr>
        <w:jc w:val="both"/>
        <w:rPr>
          <w:rFonts w:ascii="Verdana" w:hAnsi="Verdana"/>
          <w:sz w:val="18"/>
          <w:szCs w:val="18"/>
        </w:rPr>
      </w:pPr>
    </w:p>
    <w:p w14:paraId="0BED473E" w14:textId="7211670B" w:rsidR="002D4CBA" w:rsidRPr="007B081C" w:rsidRDefault="002D4CBA"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 xml:space="preserve">In light of the above, the ICJ and ABAAD </w:t>
      </w:r>
      <w:r w:rsidR="00B2135B" w:rsidRPr="007B081C">
        <w:rPr>
          <w:rFonts w:ascii="Verdana" w:hAnsi="Verdana" w:cs="Times New Roman"/>
          <w:b/>
          <w:bCs/>
          <w:sz w:val="18"/>
          <w:szCs w:val="18"/>
          <w:lang w:val="en-GB"/>
        </w:rPr>
        <w:t xml:space="preserve">recommend that the CEDAW Committee’s list of issues on Lebanon should require the State party </w:t>
      </w:r>
      <w:r w:rsidRPr="007B081C">
        <w:rPr>
          <w:rFonts w:ascii="Verdana" w:hAnsi="Verdana" w:cs="Times New Roman"/>
          <w:b/>
          <w:bCs/>
          <w:sz w:val="18"/>
          <w:szCs w:val="18"/>
          <w:lang w:val="en-GB"/>
        </w:rPr>
        <w:t>to</w:t>
      </w:r>
      <w:r w:rsidR="00633200" w:rsidRPr="007B081C">
        <w:rPr>
          <w:rFonts w:ascii="Verdana" w:hAnsi="Verdana" w:cs="Times New Roman"/>
          <w:b/>
          <w:sz w:val="18"/>
          <w:szCs w:val="18"/>
          <w:lang w:val="en-GB"/>
        </w:rPr>
        <w:t xml:space="preserve"> </w:t>
      </w:r>
      <w:r w:rsidRPr="007B081C">
        <w:rPr>
          <w:rFonts w:ascii="Verdana" w:hAnsi="Verdana" w:cs="Times New Roman"/>
          <w:b/>
          <w:sz w:val="18"/>
          <w:szCs w:val="18"/>
          <w:lang w:val="en-GB"/>
        </w:rPr>
        <w:t>indicate and clarify whether any steps have been taken to:</w:t>
      </w:r>
    </w:p>
    <w:p w14:paraId="32ED0226" w14:textId="77777777" w:rsidR="000D7D20" w:rsidRPr="007B081C" w:rsidRDefault="000D7D20" w:rsidP="007B081C">
      <w:pPr>
        <w:pStyle w:val="FootnoteText"/>
        <w:jc w:val="both"/>
        <w:rPr>
          <w:rFonts w:ascii="Verdana" w:hAnsi="Verdana" w:cs="Times New Roman"/>
          <w:b/>
          <w:sz w:val="18"/>
          <w:szCs w:val="18"/>
          <w:lang w:val="en-GB"/>
        </w:rPr>
      </w:pPr>
    </w:p>
    <w:p w14:paraId="28D2C8C7" w14:textId="77777777" w:rsidR="002D4CBA" w:rsidRPr="007B081C" w:rsidRDefault="002D4CBA" w:rsidP="007B081C">
      <w:pPr>
        <w:pStyle w:val="FootnoteText"/>
        <w:numPr>
          <w:ilvl w:val="0"/>
          <w:numId w:val="9"/>
        </w:numPr>
        <w:jc w:val="both"/>
        <w:rPr>
          <w:rFonts w:ascii="Verdana" w:hAnsi="Verdana" w:cs="Times New Roman"/>
          <w:b/>
          <w:sz w:val="18"/>
          <w:szCs w:val="18"/>
          <w:lang w:val="en-GB"/>
        </w:rPr>
      </w:pPr>
      <w:r w:rsidRPr="007B081C">
        <w:rPr>
          <w:rFonts w:ascii="Verdana" w:hAnsi="Verdana" w:cs="Times New Roman"/>
          <w:b/>
          <w:sz w:val="18"/>
          <w:szCs w:val="18"/>
          <w:lang w:val="en-GB"/>
        </w:rPr>
        <w:t xml:space="preserve">Repeal articles </w:t>
      </w:r>
      <w:r w:rsidRPr="007B081C">
        <w:rPr>
          <w:rFonts w:ascii="Verdana" w:hAnsi="Verdana"/>
          <w:b/>
          <w:bCs/>
          <w:iCs/>
          <w:sz w:val="18"/>
          <w:szCs w:val="18"/>
        </w:rPr>
        <w:t xml:space="preserve">487-489 of the CC relating to adultery; </w:t>
      </w:r>
    </w:p>
    <w:p w14:paraId="396D370F" w14:textId="3E4E1C1C" w:rsidR="002D4CBA" w:rsidRPr="007B081C" w:rsidRDefault="002D4CBA" w:rsidP="007B081C">
      <w:pPr>
        <w:pStyle w:val="FootnoteText"/>
        <w:numPr>
          <w:ilvl w:val="0"/>
          <w:numId w:val="9"/>
        </w:numPr>
        <w:jc w:val="both"/>
        <w:rPr>
          <w:rFonts w:ascii="Verdana" w:hAnsi="Verdana" w:cs="Times New Roman"/>
          <w:b/>
          <w:sz w:val="18"/>
          <w:szCs w:val="18"/>
          <w:lang w:val="en-GB"/>
        </w:rPr>
      </w:pPr>
      <w:r w:rsidRPr="00F172C7">
        <w:rPr>
          <w:rFonts w:ascii="Verdana" w:hAnsi="Verdana"/>
          <w:b/>
          <w:bCs/>
          <w:iCs/>
          <w:sz w:val="18"/>
          <w:szCs w:val="18"/>
        </w:rPr>
        <w:t xml:space="preserve">Repeal </w:t>
      </w:r>
      <w:r w:rsidRPr="00F172C7">
        <w:rPr>
          <w:rFonts w:ascii="Verdana" w:hAnsi="Verdana"/>
          <w:b/>
          <w:sz w:val="18"/>
          <w:szCs w:val="18"/>
        </w:rPr>
        <w:t>articles 523 of the CC relating to “prostitution</w:t>
      </w:r>
      <w:r w:rsidRPr="007B081C">
        <w:rPr>
          <w:rFonts w:ascii="Verdana" w:hAnsi="Verdana"/>
          <w:b/>
          <w:sz w:val="18"/>
          <w:szCs w:val="18"/>
        </w:rPr>
        <w:t>;”</w:t>
      </w:r>
    </w:p>
    <w:p w14:paraId="7015BF03" w14:textId="3B804F41" w:rsidR="00DA5CB7" w:rsidRPr="007B081C" w:rsidRDefault="002D4CBA" w:rsidP="007B081C">
      <w:pPr>
        <w:pStyle w:val="FootnoteText"/>
        <w:numPr>
          <w:ilvl w:val="0"/>
          <w:numId w:val="9"/>
        </w:numPr>
        <w:jc w:val="both"/>
        <w:rPr>
          <w:rFonts w:ascii="Verdana" w:eastAsia="Times New Roman" w:hAnsi="Verdana" w:cs="Times New Roman"/>
          <w:sz w:val="18"/>
          <w:szCs w:val="18"/>
        </w:rPr>
      </w:pPr>
      <w:r w:rsidRPr="007B081C">
        <w:rPr>
          <w:rFonts w:ascii="Verdana" w:hAnsi="Verdana"/>
          <w:b/>
          <w:sz w:val="18"/>
          <w:szCs w:val="18"/>
        </w:rPr>
        <w:t>Repeal article 541 of the CC relating to abortion;</w:t>
      </w:r>
    </w:p>
    <w:p w14:paraId="706E37FD" w14:textId="52B875DD" w:rsidR="002D4CBA" w:rsidRPr="007B081C" w:rsidRDefault="00DA5CB7" w:rsidP="007B081C">
      <w:pPr>
        <w:pStyle w:val="FootnoteText"/>
        <w:numPr>
          <w:ilvl w:val="0"/>
          <w:numId w:val="9"/>
        </w:numPr>
        <w:jc w:val="both"/>
        <w:rPr>
          <w:rFonts w:ascii="Verdana" w:eastAsia="Times New Roman" w:hAnsi="Verdana" w:cs="Times New Roman"/>
          <w:b/>
          <w:sz w:val="18"/>
          <w:szCs w:val="18"/>
        </w:rPr>
      </w:pPr>
      <w:r w:rsidRPr="007B081C">
        <w:rPr>
          <w:rFonts w:ascii="Verdana" w:eastAsia="Times New Roman" w:hAnsi="Verdana" w:cs="Calibri"/>
          <w:b/>
          <w:color w:val="000000"/>
          <w:sz w:val="18"/>
          <w:szCs w:val="18"/>
          <w:shd w:val="clear" w:color="auto" w:fill="FFFFFF"/>
        </w:rPr>
        <w:t>Introducing legislation that ensures the </w:t>
      </w:r>
      <w:r w:rsidRPr="007B081C">
        <w:rPr>
          <w:rFonts w:ascii="Verdana" w:eastAsia="Times New Roman" w:hAnsi="Verdana" w:cs="Calibri"/>
          <w:b/>
          <w:i/>
          <w:iCs/>
          <w:color w:val="000000"/>
          <w:sz w:val="18"/>
          <w:szCs w:val="18"/>
          <w:shd w:val="clear" w:color="auto" w:fill="FFFFFF"/>
        </w:rPr>
        <w:t>de jure </w:t>
      </w:r>
      <w:r w:rsidRPr="007B081C">
        <w:rPr>
          <w:rFonts w:ascii="Verdana" w:eastAsia="Times New Roman" w:hAnsi="Verdana" w:cs="Calibri"/>
          <w:b/>
          <w:color w:val="000000"/>
          <w:sz w:val="18"/>
          <w:szCs w:val="18"/>
          <w:shd w:val="clear" w:color="auto" w:fill="FFFFFF"/>
        </w:rPr>
        <w:t>and </w:t>
      </w:r>
      <w:r w:rsidRPr="007B081C">
        <w:rPr>
          <w:rFonts w:ascii="Verdana" w:eastAsia="Times New Roman" w:hAnsi="Verdana" w:cs="Calibri"/>
          <w:b/>
          <w:i/>
          <w:iCs/>
          <w:color w:val="000000"/>
          <w:sz w:val="18"/>
          <w:szCs w:val="18"/>
          <w:shd w:val="clear" w:color="auto" w:fill="FFFFFF"/>
        </w:rPr>
        <w:t>de facto </w:t>
      </w:r>
      <w:r w:rsidRPr="007B081C">
        <w:rPr>
          <w:rFonts w:ascii="Verdana" w:eastAsia="Times New Roman" w:hAnsi="Verdana" w:cs="Calibri"/>
          <w:b/>
          <w:color w:val="000000"/>
          <w:sz w:val="18"/>
          <w:szCs w:val="18"/>
          <w:shd w:val="clear" w:color="auto" w:fill="FFFFFF"/>
        </w:rPr>
        <w:t>exercise of the right to obtain a safe</w:t>
      </w:r>
      <w:r w:rsidR="00262C68" w:rsidRPr="007B081C">
        <w:rPr>
          <w:rFonts w:ascii="Verdana" w:eastAsia="Times New Roman" w:hAnsi="Verdana" w:cs="Calibri"/>
          <w:b/>
          <w:color w:val="000000"/>
          <w:sz w:val="18"/>
          <w:szCs w:val="18"/>
          <w:shd w:val="clear" w:color="auto" w:fill="FFFFFF"/>
        </w:rPr>
        <w:t xml:space="preserve"> </w:t>
      </w:r>
      <w:r w:rsidRPr="007B081C">
        <w:rPr>
          <w:rFonts w:ascii="Verdana" w:eastAsia="Times New Roman" w:hAnsi="Verdana" w:cs="Calibri"/>
          <w:b/>
          <w:color w:val="000000"/>
          <w:sz w:val="18"/>
          <w:szCs w:val="18"/>
          <w:shd w:val="clear" w:color="auto" w:fill="FFFFFF"/>
        </w:rPr>
        <w:t>and </w:t>
      </w:r>
      <w:r w:rsidRPr="007B081C">
        <w:rPr>
          <w:rFonts w:ascii="Verdana" w:eastAsia="Times New Roman" w:hAnsi="Verdana" w:cs="Calibri"/>
          <w:b/>
          <w:bCs/>
          <w:color w:val="000000"/>
          <w:sz w:val="18"/>
          <w:szCs w:val="18"/>
          <w:shd w:val="clear" w:color="auto" w:fill="FFFFFF"/>
        </w:rPr>
        <w:t>legal abortion</w:t>
      </w:r>
      <w:r w:rsidRPr="007B081C">
        <w:rPr>
          <w:rFonts w:ascii="Verdana" w:eastAsia="Times New Roman" w:hAnsi="Verdana" w:cs="Calibri"/>
          <w:b/>
          <w:color w:val="000000"/>
          <w:sz w:val="18"/>
          <w:szCs w:val="18"/>
          <w:shd w:val="clear" w:color="auto" w:fill="FFFFFF"/>
        </w:rPr>
        <w:t xml:space="preserve">, including in cases of SGBV if the </w:t>
      </w:r>
      <w:r w:rsidR="009D68DC" w:rsidRPr="007B081C">
        <w:rPr>
          <w:rFonts w:ascii="Verdana" w:eastAsia="Times New Roman" w:hAnsi="Verdana" w:cs="Calibri"/>
          <w:b/>
          <w:color w:val="000000"/>
          <w:sz w:val="18"/>
          <w:szCs w:val="18"/>
          <w:shd w:val="clear" w:color="auto" w:fill="FFFFFF"/>
        </w:rPr>
        <w:t>complainant</w:t>
      </w:r>
      <w:r w:rsidRPr="007B081C">
        <w:rPr>
          <w:rFonts w:ascii="Verdana" w:eastAsia="Times New Roman" w:hAnsi="Verdana" w:cs="Calibri"/>
          <w:b/>
          <w:color w:val="000000"/>
          <w:sz w:val="18"/>
          <w:szCs w:val="18"/>
          <w:shd w:val="clear" w:color="auto" w:fill="FFFFFF"/>
        </w:rPr>
        <w:t>/survivor so desires</w:t>
      </w:r>
      <w:r w:rsidR="00426F27" w:rsidRPr="007B081C">
        <w:rPr>
          <w:rFonts w:ascii="Verdana" w:hAnsi="Verdana"/>
          <w:b/>
          <w:sz w:val="18"/>
          <w:szCs w:val="18"/>
        </w:rPr>
        <w:t xml:space="preserve">, in addition to </w:t>
      </w:r>
      <w:r w:rsidRPr="007B081C">
        <w:rPr>
          <w:rFonts w:ascii="Verdana" w:hAnsi="Verdana"/>
          <w:b/>
          <w:sz w:val="18"/>
          <w:szCs w:val="18"/>
        </w:rPr>
        <w:t xml:space="preserve">ensuring </w:t>
      </w:r>
      <w:r w:rsidR="00426F27" w:rsidRPr="007B081C">
        <w:rPr>
          <w:rFonts w:ascii="Verdana" w:hAnsi="Verdana"/>
          <w:b/>
          <w:sz w:val="18"/>
          <w:szCs w:val="18"/>
        </w:rPr>
        <w:t>the provision of post-abortion care.</w:t>
      </w:r>
    </w:p>
    <w:p w14:paraId="04C753AE" w14:textId="77777777" w:rsidR="002D4CBA" w:rsidRPr="007B081C" w:rsidRDefault="002D4CBA" w:rsidP="007B081C">
      <w:pPr>
        <w:jc w:val="both"/>
        <w:rPr>
          <w:rFonts w:ascii="Verdana" w:hAnsi="Verdana"/>
          <w:sz w:val="18"/>
          <w:szCs w:val="18"/>
        </w:rPr>
      </w:pPr>
    </w:p>
    <w:p w14:paraId="47F83FBF" w14:textId="26B569B2" w:rsidR="00D25AC6" w:rsidRPr="007B081C" w:rsidRDefault="00D25AC6" w:rsidP="007B081C">
      <w:pPr>
        <w:pStyle w:val="ListParagraph"/>
        <w:numPr>
          <w:ilvl w:val="0"/>
          <w:numId w:val="28"/>
        </w:numPr>
        <w:jc w:val="both"/>
        <w:rPr>
          <w:rFonts w:ascii="Verdana" w:hAnsi="Verdana"/>
          <w:b/>
          <w:iCs/>
          <w:sz w:val="18"/>
          <w:szCs w:val="18"/>
          <w:lang w:val="en-IE"/>
        </w:rPr>
      </w:pPr>
      <w:r w:rsidRPr="007B081C">
        <w:rPr>
          <w:rFonts w:ascii="Verdana" w:hAnsi="Verdana"/>
          <w:b/>
          <w:iCs/>
          <w:sz w:val="18"/>
          <w:szCs w:val="18"/>
          <w:lang w:val="en-IE"/>
        </w:rPr>
        <w:t xml:space="preserve">Laws that discriminate against women </w:t>
      </w:r>
    </w:p>
    <w:p w14:paraId="69389DDF" w14:textId="77777777" w:rsidR="00D25AC6" w:rsidRPr="007B081C" w:rsidRDefault="00D25AC6" w:rsidP="007B081C">
      <w:pPr>
        <w:jc w:val="both"/>
        <w:rPr>
          <w:rFonts w:ascii="Verdana" w:hAnsi="Verdana"/>
          <w:sz w:val="18"/>
          <w:szCs w:val="18"/>
          <w:lang w:val="en-IE"/>
        </w:rPr>
      </w:pPr>
    </w:p>
    <w:p w14:paraId="27C77253" w14:textId="74202493" w:rsidR="00556AA6" w:rsidRPr="007B081C" w:rsidRDefault="00B2135B"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Despite its </w:t>
      </w:r>
      <w:r w:rsidR="00D25AC6" w:rsidRPr="007B081C">
        <w:rPr>
          <w:rFonts w:ascii="Verdana" w:hAnsi="Verdana" w:cs="Times New Roman"/>
          <w:sz w:val="18"/>
          <w:szCs w:val="18"/>
          <w:lang w:val="en-GB"/>
        </w:rPr>
        <w:t>inclu</w:t>
      </w:r>
      <w:r w:rsidRPr="007B081C">
        <w:rPr>
          <w:rFonts w:ascii="Verdana" w:hAnsi="Verdana" w:cs="Times New Roman"/>
          <w:sz w:val="18"/>
          <w:szCs w:val="18"/>
          <w:lang w:val="en-GB"/>
        </w:rPr>
        <w:t xml:space="preserve">sion of </w:t>
      </w:r>
      <w:r w:rsidR="00D25AC6" w:rsidRPr="007B081C">
        <w:rPr>
          <w:rFonts w:ascii="Verdana" w:hAnsi="Verdana" w:cs="Times New Roman"/>
          <w:sz w:val="18"/>
          <w:szCs w:val="18"/>
          <w:lang w:val="en-GB"/>
        </w:rPr>
        <w:t xml:space="preserve">the right to equality of all citizens before the law without discrimination (article 7), </w:t>
      </w:r>
      <w:r w:rsidRPr="007B081C">
        <w:rPr>
          <w:rFonts w:ascii="Verdana" w:hAnsi="Verdana" w:cs="Times New Roman"/>
          <w:sz w:val="18"/>
          <w:szCs w:val="18"/>
          <w:lang w:val="en-GB"/>
        </w:rPr>
        <w:t>the Lebanese Constitution</w:t>
      </w:r>
      <w:r w:rsidR="00D25AC6" w:rsidRPr="007B081C">
        <w:rPr>
          <w:rFonts w:ascii="Verdana" w:hAnsi="Verdana" w:cs="Times New Roman"/>
          <w:sz w:val="18"/>
          <w:szCs w:val="18"/>
          <w:lang w:val="en-GB"/>
        </w:rPr>
        <w:t xml:space="preserve"> does not explicitly ensure the right to equality between women and men</w:t>
      </w:r>
      <w:r w:rsidR="00617052" w:rsidRPr="007B081C">
        <w:rPr>
          <w:rFonts w:ascii="Verdana" w:hAnsi="Verdana" w:cs="Times New Roman"/>
          <w:sz w:val="18"/>
          <w:szCs w:val="18"/>
          <w:lang w:val="en-GB"/>
        </w:rPr>
        <w:t>,</w:t>
      </w:r>
      <w:r w:rsidR="00D25AC6" w:rsidRPr="007B081C">
        <w:rPr>
          <w:rFonts w:ascii="Verdana" w:hAnsi="Verdana" w:cs="Times New Roman"/>
          <w:sz w:val="18"/>
          <w:szCs w:val="18"/>
          <w:lang w:val="en-GB"/>
        </w:rPr>
        <w:t xml:space="preserve"> and explicitly excludes female </w:t>
      </w:r>
      <w:r w:rsidR="00BB1FFA" w:rsidRPr="007B081C">
        <w:rPr>
          <w:rFonts w:ascii="Verdana" w:hAnsi="Verdana" w:cs="Times New Roman"/>
          <w:sz w:val="18"/>
          <w:szCs w:val="18"/>
          <w:lang w:val="en-GB"/>
        </w:rPr>
        <w:t>non-</w:t>
      </w:r>
      <w:r w:rsidR="002204F5" w:rsidRPr="007B081C">
        <w:rPr>
          <w:rFonts w:ascii="Verdana" w:hAnsi="Verdana" w:cs="Times New Roman"/>
          <w:sz w:val="18"/>
          <w:szCs w:val="18"/>
          <w:lang w:val="en-GB"/>
        </w:rPr>
        <w:t>citizens from constitutional protection against discrimination. This is in breach of international law</w:t>
      </w:r>
      <w:r w:rsidRPr="007B081C">
        <w:rPr>
          <w:rFonts w:ascii="Verdana" w:hAnsi="Verdana" w:cs="Times New Roman"/>
          <w:sz w:val="18"/>
          <w:szCs w:val="18"/>
          <w:lang w:val="en-GB"/>
        </w:rPr>
        <w:t>,</w:t>
      </w:r>
      <w:r w:rsidR="00BB1FFA" w:rsidRPr="007B081C">
        <w:rPr>
          <w:rFonts w:ascii="Verdana" w:hAnsi="Verdana" w:cs="Times New Roman"/>
          <w:sz w:val="18"/>
          <w:szCs w:val="18"/>
          <w:lang w:val="en-GB"/>
        </w:rPr>
        <w:t xml:space="preserve"> including articles 1 and 15 of</w:t>
      </w:r>
      <w:r w:rsidR="009D68DC" w:rsidRPr="007B081C">
        <w:rPr>
          <w:rFonts w:ascii="Verdana" w:hAnsi="Verdana" w:cs="Times New Roman"/>
          <w:sz w:val="18"/>
          <w:szCs w:val="18"/>
          <w:lang w:val="en-GB"/>
        </w:rPr>
        <w:t xml:space="preserve"> </w:t>
      </w:r>
      <w:r w:rsidR="00BB1FFA" w:rsidRPr="007B081C">
        <w:rPr>
          <w:rFonts w:ascii="Verdana" w:hAnsi="Verdana" w:cs="Times New Roman"/>
          <w:sz w:val="18"/>
          <w:szCs w:val="18"/>
          <w:lang w:val="en-GB"/>
        </w:rPr>
        <w:t>CEDAW,</w:t>
      </w:r>
      <w:r w:rsidR="002204F5" w:rsidRPr="007B081C">
        <w:rPr>
          <w:rFonts w:ascii="Verdana" w:hAnsi="Verdana" w:cs="Times New Roman"/>
          <w:sz w:val="18"/>
          <w:szCs w:val="18"/>
          <w:lang w:val="en-GB"/>
        </w:rPr>
        <w:t xml:space="preserve"> </w:t>
      </w:r>
      <w:r w:rsidR="00BB1FFA" w:rsidRPr="007B081C">
        <w:rPr>
          <w:rFonts w:ascii="Verdana" w:hAnsi="Verdana" w:cs="Times New Roman"/>
          <w:sz w:val="18"/>
          <w:szCs w:val="18"/>
          <w:lang w:val="en-GB"/>
        </w:rPr>
        <w:t xml:space="preserve">which </w:t>
      </w:r>
      <w:r w:rsidR="002204F5" w:rsidRPr="007B081C">
        <w:rPr>
          <w:rFonts w:ascii="Verdana" w:hAnsi="Verdana" w:cs="Times New Roman"/>
          <w:sz w:val="18"/>
          <w:szCs w:val="18"/>
          <w:lang w:val="en-GB"/>
        </w:rPr>
        <w:t xml:space="preserve">require </w:t>
      </w:r>
      <w:r w:rsidR="00BB1FFA" w:rsidRPr="007B081C">
        <w:rPr>
          <w:rFonts w:ascii="Verdana" w:hAnsi="Verdana" w:cs="Times New Roman"/>
          <w:sz w:val="18"/>
          <w:szCs w:val="18"/>
          <w:lang w:val="en-GB"/>
        </w:rPr>
        <w:t xml:space="preserve">Lebanon </w:t>
      </w:r>
      <w:r w:rsidR="002204F5" w:rsidRPr="007B081C">
        <w:rPr>
          <w:rFonts w:ascii="Verdana" w:hAnsi="Verdana" w:cs="Times New Roman"/>
          <w:sz w:val="18"/>
          <w:szCs w:val="18"/>
          <w:lang w:val="en-GB"/>
        </w:rPr>
        <w:t>to respect and ensure the respect of human rights of all people within its jurisdiction without discrimination, including on the basis of sex and/or gender</w:t>
      </w:r>
      <w:r w:rsidR="00BB1FFA" w:rsidRPr="007B081C">
        <w:rPr>
          <w:rFonts w:ascii="Verdana" w:hAnsi="Verdana" w:cs="Times New Roman"/>
          <w:sz w:val="18"/>
          <w:szCs w:val="18"/>
          <w:lang w:val="en-GB"/>
        </w:rPr>
        <w:t xml:space="preserve">, </w:t>
      </w:r>
      <w:r w:rsidR="002204F5" w:rsidRPr="007B081C">
        <w:rPr>
          <w:rFonts w:ascii="Verdana" w:hAnsi="Verdana" w:cs="Times New Roman"/>
          <w:sz w:val="18"/>
          <w:szCs w:val="18"/>
          <w:lang w:val="en-GB"/>
        </w:rPr>
        <w:t xml:space="preserve">irrespective of nationality.  </w:t>
      </w:r>
    </w:p>
    <w:p w14:paraId="6C191609" w14:textId="77777777" w:rsidR="002E187F" w:rsidRPr="007B081C" w:rsidRDefault="002E187F" w:rsidP="007B081C">
      <w:pPr>
        <w:pStyle w:val="FootnoteText"/>
        <w:ind w:left="360"/>
        <w:jc w:val="both"/>
        <w:rPr>
          <w:rFonts w:ascii="Verdana" w:hAnsi="Verdana" w:cs="Times New Roman"/>
          <w:sz w:val="18"/>
          <w:szCs w:val="18"/>
          <w:lang w:val="en-GB"/>
        </w:rPr>
      </w:pPr>
    </w:p>
    <w:p w14:paraId="65A783C7" w14:textId="6D254193" w:rsidR="002E187F" w:rsidRPr="007B081C" w:rsidRDefault="000A18BC"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The</w:t>
      </w:r>
      <w:r w:rsidR="00E816B1" w:rsidRPr="007B081C">
        <w:rPr>
          <w:rFonts w:ascii="Verdana" w:hAnsi="Verdana" w:cs="Times New Roman"/>
          <w:sz w:val="18"/>
          <w:szCs w:val="18"/>
          <w:lang w:val="en-GB"/>
        </w:rPr>
        <w:t xml:space="preserve"> Lebanese</w:t>
      </w:r>
      <w:r w:rsidRPr="007B081C">
        <w:rPr>
          <w:rFonts w:ascii="Verdana" w:hAnsi="Verdana" w:cs="Times New Roman"/>
          <w:sz w:val="18"/>
          <w:szCs w:val="18"/>
          <w:lang w:val="en-GB"/>
        </w:rPr>
        <w:t xml:space="preserve"> Constitution also specifies that the State “guarantees that the personal status and religious interests of the population, to whatever religious group they belong, shall be respected” </w:t>
      </w:r>
      <w:r w:rsidR="003968D2" w:rsidRPr="007B081C">
        <w:rPr>
          <w:rFonts w:ascii="Verdana" w:hAnsi="Verdana" w:cs="Times New Roman"/>
          <w:sz w:val="18"/>
          <w:szCs w:val="18"/>
          <w:lang w:val="en-GB"/>
        </w:rPr>
        <w:t xml:space="preserve">(article 9). </w:t>
      </w:r>
      <w:r w:rsidRPr="007B081C">
        <w:rPr>
          <w:rFonts w:ascii="Verdana" w:hAnsi="Verdana" w:cs="Times New Roman"/>
          <w:sz w:val="18"/>
          <w:szCs w:val="18"/>
          <w:lang w:val="en-GB"/>
        </w:rPr>
        <w:t xml:space="preserve">This provision has enabled the application of discriminatory </w:t>
      </w:r>
      <w:r w:rsidR="00CB543C" w:rsidRPr="007B081C">
        <w:rPr>
          <w:rFonts w:ascii="Verdana" w:hAnsi="Verdana" w:cs="Times New Roman"/>
          <w:sz w:val="18"/>
          <w:szCs w:val="18"/>
          <w:lang w:val="en-GB"/>
        </w:rPr>
        <w:t>personal status laws (</w:t>
      </w:r>
      <w:r w:rsidRPr="007B081C">
        <w:rPr>
          <w:rFonts w:ascii="Verdana" w:hAnsi="Verdana" w:cs="Times New Roman"/>
          <w:sz w:val="18"/>
          <w:szCs w:val="18"/>
          <w:lang w:val="en-GB"/>
        </w:rPr>
        <w:t>PSLs</w:t>
      </w:r>
      <w:r w:rsidR="00CB543C" w:rsidRPr="007B081C">
        <w:rPr>
          <w:rFonts w:ascii="Verdana" w:hAnsi="Verdana" w:cs="Times New Roman"/>
          <w:sz w:val="18"/>
          <w:szCs w:val="18"/>
          <w:lang w:val="en-GB"/>
        </w:rPr>
        <w:t>)</w:t>
      </w:r>
      <w:r w:rsidRPr="007B081C">
        <w:rPr>
          <w:rFonts w:ascii="Verdana" w:hAnsi="Verdana" w:cs="Times New Roman"/>
          <w:sz w:val="18"/>
          <w:szCs w:val="18"/>
          <w:lang w:val="en-GB"/>
        </w:rPr>
        <w:t xml:space="preserve">, which regulate, </w:t>
      </w:r>
      <w:r w:rsidRPr="007B081C">
        <w:rPr>
          <w:rFonts w:ascii="Verdana" w:hAnsi="Verdana" w:cs="Times New Roman"/>
          <w:i/>
          <w:iCs/>
          <w:sz w:val="18"/>
          <w:szCs w:val="18"/>
          <w:lang w:val="en-GB"/>
        </w:rPr>
        <w:t>inter alia</w:t>
      </w:r>
      <w:r w:rsidRPr="007B081C">
        <w:rPr>
          <w:rFonts w:ascii="Verdana" w:hAnsi="Verdana" w:cs="Times New Roman"/>
          <w:sz w:val="18"/>
          <w:szCs w:val="18"/>
          <w:lang w:val="en-GB"/>
        </w:rPr>
        <w:t xml:space="preserve">, marriage, divorce, </w:t>
      </w:r>
      <w:r w:rsidR="003968D2" w:rsidRPr="007B081C">
        <w:rPr>
          <w:rFonts w:ascii="Verdana" w:hAnsi="Verdana" w:cs="Times New Roman"/>
          <w:sz w:val="18"/>
          <w:szCs w:val="18"/>
          <w:lang w:val="en-GB"/>
        </w:rPr>
        <w:t>parenthood,</w:t>
      </w:r>
      <w:r w:rsidRPr="007B081C">
        <w:rPr>
          <w:rFonts w:ascii="Verdana" w:hAnsi="Verdana" w:cs="Times New Roman"/>
          <w:sz w:val="18"/>
          <w:szCs w:val="18"/>
          <w:lang w:val="en-GB"/>
        </w:rPr>
        <w:t xml:space="preserve"> child custody</w:t>
      </w:r>
      <w:r w:rsidR="003968D2" w:rsidRPr="007B081C">
        <w:rPr>
          <w:rFonts w:ascii="Verdana" w:hAnsi="Verdana" w:cs="Times New Roman"/>
          <w:sz w:val="18"/>
          <w:szCs w:val="18"/>
          <w:lang w:val="en-GB"/>
        </w:rPr>
        <w:t xml:space="preserve"> and inheritance,</w:t>
      </w:r>
      <w:r w:rsidRPr="007B081C">
        <w:rPr>
          <w:rFonts w:ascii="Verdana" w:hAnsi="Verdana" w:cs="Times New Roman"/>
          <w:sz w:val="18"/>
          <w:szCs w:val="18"/>
          <w:lang w:val="en-GB"/>
        </w:rPr>
        <w:t xml:space="preserve"> and is inconsistent with </w:t>
      </w:r>
      <w:r w:rsidR="002E187F" w:rsidRPr="007B081C">
        <w:rPr>
          <w:rFonts w:ascii="Verdana" w:hAnsi="Verdana" w:cs="Times New Roman"/>
          <w:sz w:val="18"/>
          <w:szCs w:val="18"/>
          <w:lang w:val="en-GB"/>
        </w:rPr>
        <w:t>article</w:t>
      </w:r>
      <w:r w:rsidR="00CC645F" w:rsidRPr="007B081C">
        <w:rPr>
          <w:rFonts w:ascii="Verdana" w:hAnsi="Verdana" w:cs="Times New Roman"/>
          <w:sz w:val="18"/>
          <w:szCs w:val="18"/>
          <w:lang w:val="en-GB"/>
        </w:rPr>
        <w:t>s</w:t>
      </w:r>
      <w:r w:rsidR="002E187F" w:rsidRPr="007B081C">
        <w:rPr>
          <w:rFonts w:ascii="Verdana" w:hAnsi="Verdana" w:cs="Times New Roman"/>
          <w:sz w:val="18"/>
          <w:szCs w:val="18"/>
          <w:lang w:val="en-GB"/>
        </w:rPr>
        <w:t xml:space="preserve"> 2(a</w:t>
      </w:r>
      <w:r w:rsidR="00CC645F" w:rsidRPr="007B081C">
        <w:rPr>
          <w:rFonts w:ascii="Verdana" w:hAnsi="Verdana" w:cs="Times New Roman"/>
          <w:sz w:val="18"/>
          <w:szCs w:val="18"/>
          <w:lang w:val="en-GB"/>
        </w:rPr>
        <w:t>) and (f)</w:t>
      </w:r>
      <w:r w:rsidR="002E187F" w:rsidRPr="007B081C">
        <w:rPr>
          <w:rFonts w:ascii="Verdana" w:hAnsi="Verdana" w:cs="Times New Roman"/>
          <w:sz w:val="18"/>
          <w:szCs w:val="18"/>
          <w:lang w:val="en-GB"/>
        </w:rPr>
        <w:t xml:space="preserve"> of</w:t>
      </w:r>
      <w:r w:rsidR="009D68DC" w:rsidRPr="007B081C">
        <w:rPr>
          <w:rFonts w:ascii="Verdana" w:hAnsi="Verdana" w:cs="Times New Roman"/>
          <w:sz w:val="18"/>
          <w:szCs w:val="18"/>
          <w:lang w:val="en-GB"/>
        </w:rPr>
        <w:t xml:space="preserve"> </w:t>
      </w:r>
      <w:r w:rsidR="002E187F" w:rsidRPr="007B081C">
        <w:rPr>
          <w:rFonts w:ascii="Verdana" w:hAnsi="Verdana" w:cs="Times New Roman"/>
          <w:sz w:val="18"/>
          <w:szCs w:val="18"/>
          <w:lang w:val="en-GB"/>
        </w:rPr>
        <w:t xml:space="preserve">CEDAW. In Lebanon, there is no uniform PSL applied to all Lebanese citizens. Rather, each citizen is subject to the PSLs and </w:t>
      </w:r>
      <w:r w:rsidR="00B0291F" w:rsidRPr="007B081C">
        <w:rPr>
          <w:rFonts w:ascii="Verdana" w:hAnsi="Verdana" w:cs="Times New Roman"/>
          <w:sz w:val="18"/>
          <w:szCs w:val="18"/>
          <w:lang w:val="en-GB"/>
        </w:rPr>
        <w:t xml:space="preserve">respective jurisdiction of </w:t>
      </w:r>
      <w:r w:rsidR="002E187F" w:rsidRPr="007B081C">
        <w:rPr>
          <w:rFonts w:ascii="Verdana" w:hAnsi="Verdana" w:cs="Times New Roman"/>
          <w:sz w:val="18"/>
          <w:szCs w:val="18"/>
          <w:lang w:val="en-GB"/>
        </w:rPr>
        <w:t xml:space="preserve">courts of one of the 18 recognized confessional communities. </w:t>
      </w:r>
    </w:p>
    <w:p w14:paraId="639ADBCD" w14:textId="77777777" w:rsidR="002E187F" w:rsidRPr="007B081C" w:rsidRDefault="002E187F" w:rsidP="007B081C">
      <w:pPr>
        <w:pStyle w:val="ListParagraph"/>
        <w:rPr>
          <w:rFonts w:ascii="Verdana" w:hAnsi="Verdana" w:cs="Times New Roman"/>
          <w:sz w:val="18"/>
          <w:szCs w:val="18"/>
          <w:lang w:val="en-GB"/>
        </w:rPr>
      </w:pPr>
    </w:p>
    <w:p w14:paraId="3227C5A2" w14:textId="49519026" w:rsidR="004B7609" w:rsidRPr="007B081C" w:rsidRDefault="00D827EB"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R</w:t>
      </w:r>
      <w:r w:rsidR="002A2B41" w:rsidRPr="007B081C">
        <w:rPr>
          <w:rFonts w:ascii="Verdana" w:hAnsi="Verdana" w:cs="Times New Roman"/>
          <w:sz w:val="18"/>
          <w:szCs w:val="18"/>
          <w:lang w:val="en-GB"/>
        </w:rPr>
        <w:t>eligious laws relating to child custody often enable and contribute to domestic violence and discrimination against women.</w:t>
      </w:r>
      <w:r w:rsidR="002A2B41" w:rsidRPr="007B081C">
        <w:rPr>
          <w:rStyle w:val="FootnoteReference"/>
          <w:rFonts w:ascii="Verdana" w:hAnsi="Verdana" w:cs="Times New Roman"/>
          <w:sz w:val="18"/>
          <w:szCs w:val="18"/>
          <w:lang w:val="en-GB"/>
        </w:rPr>
        <w:footnoteReference w:id="18"/>
      </w:r>
      <w:r w:rsidR="002A2B41" w:rsidRPr="007B081C">
        <w:rPr>
          <w:rFonts w:ascii="Verdana" w:hAnsi="Verdana" w:cs="Times New Roman"/>
          <w:sz w:val="18"/>
          <w:szCs w:val="18"/>
          <w:lang w:val="en-GB"/>
        </w:rPr>
        <w:t xml:space="preserve"> Expressly </w:t>
      </w:r>
      <w:r w:rsidR="00EB0572" w:rsidRPr="007B081C">
        <w:rPr>
          <w:rFonts w:ascii="Verdana" w:hAnsi="Verdana" w:cs="Times New Roman"/>
          <w:sz w:val="18"/>
          <w:szCs w:val="18"/>
          <w:lang w:val="en-GB"/>
        </w:rPr>
        <w:t>discriminatory provisions in these laws can deter women from filing domestic violence complaints if they risk losing custody</w:t>
      </w:r>
      <w:r w:rsidR="00F4447A" w:rsidRPr="007B081C">
        <w:rPr>
          <w:rFonts w:ascii="Verdana" w:hAnsi="Verdana" w:cs="Times New Roman"/>
          <w:sz w:val="18"/>
          <w:szCs w:val="18"/>
          <w:lang w:val="en-GB"/>
        </w:rPr>
        <w:t xml:space="preserve"> of their children</w:t>
      </w:r>
      <w:r w:rsidR="00EB0572" w:rsidRPr="007B081C">
        <w:rPr>
          <w:rFonts w:ascii="Verdana" w:hAnsi="Verdana" w:cs="Times New Roman"/>
          <w:sz w:val="18"/>
          <w:szCs w:val="18"/>
          <w:lang w:val="en-GB"/>
        </w:rPr>
        <w:t>. Each confession sets a maximum age for child custody ranging f</w:t>
      </w:r>
      <w:r w:rsidR="00CC645F" w:rsidRPr="007B081C">
        <w:rPr>
          <w:rFonts w:ascii="Verdana" w:hAnsi="Verdana" w:cs="Times New Roman"/>
          <w:sz w:val="18"/>
          <w:szCs w:val="18"/>
          <w:lang w:val="en-GB"/>
        </w:rPr>
        <w:t>ro</w:t>
      </w:r>
      <w:r w:rsidR="00EB0572" w:rsidRPr="007B081C">
        <w:rPr>
          <w:rFonts w:ascii="Verdana" w:hAnsi="Verdana" w:cs="Times New Roman"/>
          <w:sz w:val="18"/>
          <w:szCs w:val="18"/>
          <w:lang w:val="en-GB"/>
        </w:rPr>
        <w:t xml:space="preserve">m </w:t>
      </w:r>
      <w:r w:rsidR="00F4447A" w:rsidRPr="007B081C">
        <w:rPr>
          <w:rFonts w:ascii="Verdana" w:hAnsi="Verdana" w:cs="Times New Roman"/>
          <w:sz w:val="18"/>
          <w:szCs w:val="18"/>
          <w:lang w:val="en-GB"/>
        </w:rPr>
        <w:t>two</w:t>
      </w:r>
      <w:r w:rsidR="00EB0572" w:rsidRPr="007B081C">
        <w:rPr>
          <w:rFonts w:ascii="Verdana" w:hAnsi="Verdana" w:cs="Times New Roman"/>
          <w:sz w:val="18"/>
          <w:szCs w:val="18"/>
          <w:lang w:val="en-GB"/>
        </w:rPr>
        <w:t xml:space="preserve"> to 15 years old. Under Law No. 293/2014</w:t>
      </w:r>
      <w:r w:rsidR="0024213E" w:rsidRPr="007B081C">
        <w:rPr>
          <w:rFonts w:ascii="Verdana" w:hAnsi="Verdana" w:cs="Times New Roman"/>
          <w:sz w:val="18"/>
          <w:szCs w:val="18"/>
          <w:lang w:val="en-GB"/>
        </w:rPr>
        <w:t>,</w:t>
      </w:r>
      <w:r w:rsidR="00EB0572" w:rsidRPr="007B081C">
        <w:rPr>
          <w:rFonts w:ascii="Verdana" w:hAnsi="Verdana" w:cs="Times New Roman"/>
          <w:sz w:val="18"/>
          <w:szCs w:val="18"/>
          <w:lang w:val="en-GB"/>
        </w:rPr>
        <w:t xml:space="preserve"> a domestic violence victim only has the right to custody of her children when leaving the martial home or when seeking a protection order where such children are of custody age (</w:t>
      </w:r>
      <w:r w:rsidR="004B7609" w:rsidRPr="007B081C">
        <w:rPr>
          <w:rFonts w:ascii="Verdana" w:hAnsi="Verdana" w:cs="Times New Roman"/>
          <w:sz w:val="18"/>
          <w:szCs w:val="18"/>
          <w:lang w:val="en-GB"/>
        </w:rPr>
        <w:t>a</w:t>
      </w:r>
      <w:r w:rsidR="00EB0572" w:rsidRPr="007B081C">
        <w:rPr>
          <w:rFonts w:ascii="Verdana" w:hAnsi="Verdana" w:cs="Times New Roman"/>
          <w:sz w:val="18"/>
          <w:szCs w:val="18"/>
          <w:lang w:val="en-GB"/>
        </w:rPr>
        <w:t xml:space="preserve">rticle 12). While article 22 of Law No. 293/2014 provides that all provisions contrary to the Law are annulled, it makes exception for PSLs, which means that a domestic violence victim who does not have the right to custody of children over the age of custody may elect to stay in the marital home to stay with her children. </w:t>
      </w:r>
      <w:r w:rsidR="004B7609" w:rsidRPr="007B081C">
        <w:rPr>
          <w:rFonts w:ascii="Verdana" w:hAnsi="Verdana" w:cs="Times New Roman"/>
          <w:sz w:val="18"/>
          <w:szCs w:val="18"/>
          <w:lang w:val="en-GB"/>
        </w:rPr>
        <w:t>Discriminatory PSLs contravene Lebanon’s obligation under article 2 of CEDAW to respect, protect and fulfil women’s right to non-discrimination and the enjoyment of equality.</w:t>
      </w:r>
      <w:r w:rsidR="004B7609" w:rsidRPr="007B081C">
        <w:rPr>
          <w:rStyle w:val="FootnoteReference"/>
          <w:rFonts w:ascii="Verdana" w:hAnsi="Verdana" w:cs="Times New Roman"/>
          <w:sz w:val="18"/>
          <w:szCs w:val="18"/>
          <w:lang w:val="en-GB"/>
        </w:rPr>
        <w:footnoteReference w:id="19"/>
      </w:r>
    </w:p>
    <w:p w14:paraId="22BC9DE0" w14:textId="77777777" w:rsidR="004B7609" w:rsidRPr="007B081C" w:rsidRDefault="004B7609" w:rsidP="007B081C">
      <w:pPr>
        <w:pStyle w:val="FootnoteText"/>
        <w:ind w:left="360"/>
        <w:jc w:val="both"/>
        <w:rPr>
          <w:rFonts w:ascii="Verdana" w:hAnsi="Verdana" w:cs="Times New Roman"/>
          <w:sz w:val="18"/>
          <w:szCs w:val="18"/>
          <w:lang w:val="en-GB"/>
        </w:rPr>
      </w:pPr>
    </w:p>
    <w:p w14:paraId="58434181" w14:textId="40CA9DE4" w:rsidR="00AF16F5" w:rsidRPr="007B081C" w:rsidRDefault="004B7609"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In light of the above, the ICJ and ABAA</w:t>
      </w:r>
      <w:r w:rsidR="00EA28B0" w:rsidRPr="007B081C">
        <w:rPr>
          <w:rFonts w:ascii="Verdana" w:hAnsi="Verdana" w:cs="Times New Roman"/>
          <w:b/>
          <w:bCs/>
          <w:sz w:val="18"/>
          <w:szCs w:val="18"/>
          <w:lang w:val="en-GB"/>
        </w:rPr>
        <w:t>D</w:t>
      </w:r>
      <w:r w:rsidRPr="007B081C">
        <w:rPr>
          <w:rFonts w:ascii="Verdana" w:hAnsi="Verdana" w:cs="Times New Roman"/>
          <w:b/>
          <w:bCs/>
          <w:sz w:val="18"/>
          <w:szCs w:val="18"/>
          <w:lang w:val="en-GB"/>
        </w:rPr>
        <w:t xml:space="preserve"> </w:t>
      </w:r>
      <w:r w:rsidR="00F4447A" w:rsidRPr="007B081C">
        <w:rPr>
          <w:rFonts w:ascii="Verdana" w:hAnsi="Verdana" w:cs="Times New Roman"/>
          <w:b/>
          <w:bCs/>
          <w:sz w:val="18"/>
          <w:szCs w:val="18"/>
          <w:lang w:val="en-GB"/>
        </w:rPr>
        <w:t xml:space="preserve">recommend that the CEDAW Committee’s list of issues on Lebanon should require the State party </w:t>
      </w:r>
      <w:r w:rsidR="00AF16F5" w:rsidRPr="007B081C">
        <w:rPr>
          <w:rFonts w:ascii="Verdana" w:hAnsi="Verdana" w:cs="Times New Roman"/>
          <w:b/>
          <w:sz w:val="18"/>
          <w:szCs w:val="18"/>
          <w:lang w:val="en-GB"/>
        </w:rPr>
        <w:t>to indicate and clarify whether any steps have been taken to:</w:t>
      </w:r>
    </w:p>
    <w:p w14:paraId="159FF596" w14:textId="77777777" w:rsidR="000D7D20" w:rsidRPr="007B081C" w:rsidRDefault="000D7D20" w:rsidP="007B081C">
      <w:pPr>
        <w:pStyle w:val="FootnoteText"/>
        <w:jc w:val="both"/>
        <w:rPr>
          <w:rFonts w:ascii="Verdana" w:hAnsi="Verdana" w:cs="Times New Roman"/>
          <w:b/>
          <w:sz w:val="18"/>
          <w:szCs w:val="18"/>
          <w:lang w:val="en-GB"/>
        </w:rPr>
      </w:pPr>
    </w:p>
    <w:p w14:paraId="002530E5" w14:textId="6DC84FE5" w:rsidR="00CC645F" w:rsidRPr="007B081C" w:rsidRDefault="003C5E8F" w:rsidP="007B081C">
      <w:pPr>
        <w:pStyle w:val="FootnoteText"/>
        <w:numPr>
          <w:ilvl w:val="0"/>
          <w:numId w:val="10"/>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Amend </w:t>
      </w:r>
      <w:r w:rsidR="00CC645F" w:rsidRPr="007B081C">
        <w:rPr>
          <w:rFonts w:ascii="Verdana" w:hAnsi="Verdana" w:cs="Times New Roman"/>
          <w:b/>
          <w:sz w:val="18"/>
          <w:szCs w:val="18"/>
          <w:lang w:val="en-GB"/>
        </w:rPr>
        <w:t>article 7 of the Constitution so as to ensure that it embodies the principle of equality between the sexes, removing any provision that discriminates against female foreigners;</w:t>
      </w:r>
    </w:p>
    <w:p w14:paraId="01F6B17B" w14:textId="1B1A1034" w:rsidR="003C5E8F" w:rsidRPr="007B081C" w:rsidRDefault="00CC645F" w:rsidP="007B081C">
      <w:pPr>
        <w:pStyle w:val="FootnoteText"/>
        <w:numPr>
          <w:ilvl w:val="0"/>
          <w:numId w:val="10"/>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Abolish article 9 of the Constitution; </w:t>
      </w:r>
    </w:p>
    <w:p w14:paraId="5D5FCFB9" w14:textId="1408DE5B" w:rsidR="00AF16F5" w:rsidRPr="007B081C" w:rsidRDefault="001C18CA" w:rsidP="007B081C">
      <w:pPr>
        <w:pStyle w:val="FootnoteText"/>
        <w:numPr>
          <w:ilvl w:val="0"/>
          <w:numId w:val="10"/>
        </w:numPr>
        <w:jc w:val="both"/>
        <w:rPr>
          <w:rFonts w:ascii="Verdana" w:hAnsi="Verdana" w:cs="Times New Roman"/>
          <w:b/>
          <w:sz w:val="18"/>
          <w:szCs w:val="18"/>
          <w:lang w:val="en-GB"/>
        </w:rPr>
      </w:pPr>
      <w:r w:rsidRPr="007B081C">
        <w:rPr>
          <w:rFonts w:ascii="Verdana" w:hAnsi="Verdana" w:cs="Times New Roman"/>
          <w:b/>
          <w:sz w:val="18"/>
          <w:szCs w:val="18"/>
          <w:lang w:val="en-GB"/>
        </w:rPr>
        <w:t xml:space="preserve">Reform PSLs, including by </w:t>
      </w:r>
      <w:r w:rsidR="003C5E8F" w:rsidRPr="007B081C">
        <w:rPr>
          <w:rFonts w:ascii="Verdana" w:hAnsi="Verdana" w:cs="Times New Roman"/>
          <w:b/>
          <w:sz w:val="18"/>
          <w:szCs w:val="18"/>
          <w:lang w:val="en-GB"/>
        </w:rPr>
        <w:t>ensuring that all</w:t>
      </w:r>
      <w:r w:rsidRPr="007B081C">
        <w:rPr>
          <w:rFonts w:ascii="Verdana" w:hAnsi="Verdana" w:cs="Times New Roman"/>
          <w:b/>
          <w:sz w:val="18"/>
          <w:szCs w:val="18"/>
          <w:lang w:val="en-GB"/>
        </w:rPr>
        <w:t xml:space="preserve"> traditions and customs inconsistent with human rights, including particularly the rights of women to equality and equal </w:t>
      </w:r>
      <w:r w:rsidRPr="007B081C">
        <w:rPr>
          <w:rFonts w:ascii="Verdana" w:hAnsi="Verdana" w:cs="Times New Roman"/>
          <w:b/>
          <w:sz w:val="18"/>
          <w:szCs w:val="18"/>
          <w:lang w:val="en-GB"/>
        </w:rPr>
        <w:lastRenderedPageBreak/>
        <w:t>access to justice</w:t>
      </w:r>
      <w:r w:rsidR="00F337AE" w:rsidRPr="007B081C">
        <w:rPr>
          <w:rFonts w:ascii="Verdana" w:hAnsi="Verdana" w:cs="Times New Roman"/>
          <w:b/>
          <w:sz w:val="18"/>
          <w:szCs w:val="18"/>
          <w:lang w:val="en-GB"/>
        </w:rPr>
        <w:t>,</w:t>
      </w:r>
      <w:r w:rsidRPr="007B081C">
        <w:rPr>
          <w:rFonts w:ascii="Verdana" w:hAnsi="Verdana" w:cs="Times New Roman"/>
          <w:b/>
          <w:sz w:val="18"/>
          <w:szCs w:val="18"/>
          <w:lang w:val="en-GB"/>
        </w:rPr>
        <w:t xml:space="preserve"> and the prohibition of discrimination against women, </w:t>
      </w:r>
      <w:r w:rsidR="00F337AE" w:rsidRPr="007B081C">
        <w:rPr>
          <w:rFonts w:ascii="Verdana" w:hAnsi="Verdana" w:cs="Times New Roman"/>
          <w:b/>
          <w:sz w:val="18"/>
          <w:szCs w:val="18"/>
          <w:lang w:val="en-GB"/>
        </w:rPr>
        <w:t>have been</w:t>
      </w:r>
      <w:r w:rsidRPr="007B081C">
        <w:rPr>
          <w:rFonts w:ascii="Verdana" w:hAnsi="Verdana" w:cs="Times New Roman"/>
          <w:b/>
          <w:sz w:val="18"/>
          <w:szCs w:val="18"/>
          <w:lang w:val="en-GB"/>
        </w:rPr>
        <w:t xml:space="preserve"> overridden</w:t>
      </w:r>
      <w:r w:rsidR="003C5E8F" w:rsidRPr="007B081C">
        <w:rPr>
          <w:rFonts w:ascii="Verdana" w:hAnsi="Verdana" w:cs="Times New Roman"/>
          <w:b/>
          <w:sz w:val="18"/>
          <w:szCs w:val="18"/>
          <w:lang w:val="en-GB"/>
        </w:rPr>
        <w:t xml:space="preserve"> in accordance with article 2(f) of CEDAW</w:t>
      </w:r>
      <w:r w:rsidRPr="007B081C">
        <w:rPr>
          <w:rFonts w:ascii="Verdana" w:hAnsi="Verdana" w:cs="Times New Roman"/>
          <w:b/>
          <w:sz w:val="18"/>
          <w:szCs w:val="18"/>
          <w:lang w:val="en-GB"/>
        </w:rPr>
        <w:t>;</w:t>
      </w:r>
    </w:p>
    <w:p w14:paraId="3FC7E086" w14:textId="54E5211D" w:rsidR="001C18CA" w:rsidRPr="007B081C" w:rsidRDefault="001C18CA" w:rsidP="007B081C">
      <w:pPr>
        <w:pStyle w:val="FootnoteText"/>
        <w:numPr>
          <w:ilvl w:val="0"/>
          <w:numId w:val="10"/>
        </w:numPr>
        <w:jc w:val="both"/>
        <w:rPr>
          <w:rFonts w:ascii="Verdana" w:hAnsi="Verdana" w:cs="Times New Roman"/>
          <w:b/>
          <w:sz w:val="18"/>
          <w:szCs w:val="18"/>
          <w:lang w:val="en-GB"/>
        </w:rPr>
      </w:pPr>
      <w:r w:rsidRPr="007B081C">
        <w:rPr>
          <w:rFonts w:ascii="Verdana" w:hAnsi="Verdana" w:cs="Times New Roman"/>
          <w:b/>
          <w:sz w:val="18"/>
          <w:szCs w:val="18"/>
          <w:lang w:val="en-GB"/>
        </w:rPr>
        <w:t>Incorporate international standards relating to women’s rights in PSL</w:t>
      </w:r>
      <w:r w:rsidR="003C5E8F" w:rsidRPr="007B081C">
        <w:rPr>
          <w:rFonts w:ascii="Verdana" w:hAnsi="Verdana" w:cs="Times New Roman"/>
          <w:b/>
          <w:sz w:val="18"/>
          <w:szCs w:val="18"/>
          <w:lang w:val="en-GB"/>
        </w:rPr>
        <w:t>s;</w:t>
      </w:r>
    </w:p>
    <w:p w14:paraId="6E322C18" w14:textId="6B9CB539" w:rsidR="003C5E8F" w:rsidRPr="007B081C" w:rsidRDefault="003C5E8F" w:rsidP="007B081C">
      <w:pPr>
        <w:pStyle w:val="FootnoteText"/>
        <w:numPr>
          <w:ilvl w:val="0"/>
          <w:numId w:val="10"/>
        </w:numPr>
        <w:jc w:val="both"/>
        <w:rPr>
          <w:rFonts w:ascii="Verdana" w:hAnsi="Verdana" w:cs="Times New Roman"/>
          <w:b/>
          <w:sz w:val="18"/>
          <w:szCs w:val="18"/>
          <w:lang w:val="en-GB"/>
        </w:rPr>
      </w:pPr>
      <w:r w:rsidRPr="007B081C">
        <w:rPr>
          <w:rFonts w:ascii="Verdana" w:hAnsi="Verdana" w:cs="Times New Roman"/>
          <w:b/>
          <w:sz w:val="18"/>
          <w:szCs w:val="18"/>
          <w:lang w:val="en-GB"/>
        </w:rPr>
        <w:t>Ensure that issues covered by PSLs, such as divorce and child custody</w:t>
      </w:r>
      <w:r w:rsidR="00106AB2" w:rsidRPr="007B081C">
        <w:rPr>
          <w:rFonts w:ascii="Verdana" w:hAnsi="Verdana" w:cs="Times New Roman"/>
          <w:b/>
          <w:sz w:val="18"/>
          <w:szCs w:val="18"/>
          <w:lang w:val="en-GB"/>
        </w:rPr>
        <w:t>,</w:t>
      </w:r>
      <w:r w:rsidRPr="007B081C">
        <w:rPr>
          <w:rFonts w:ascii="Verdana" w:hAnsi="Verdana" w:cs="Times New Roman"/>
          <w:b/>
          <w:sz w:val="18"/>
          <w:szCs w:val="18"/>
          <w:lang w:val="en-GB"/>
        </w:rPr>
        <w:t xml:space="preserve"> are adjudicated before civilian courts;</w:t>
      </w:r>
    </w:p>
    <w:p w14:paraId="19B91280" w14:textId="3A29A0E4" w:rsidR="00E06B3B" w:rsidRPr="007B081C" w:rsidRDefault="003C5E8F" w:rsidP="007B081C">
      <w:pPr>
        <w:pStyle w:val="FootnoteText"/>
        <w:numPr>
          <w:ilvl w:val="0"/>
          <w:numId w:val="10"/>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Abolish article 22 of Law No. 293/2014 that preserves the application of PSL provisions on child custody. </w:t>
      </w:r>
    </w:p>
    <w:p w14:paraId="6FB69DDB" w14:textId="77777777" w:rsidR="00F0107E" w:rsidRPr="007B081C" w:rsidRDefault="00F0107E" w:rsidP="007B081C">
      <w:pPr>
        <w:jc w:val="lowKashida"/>
        <w:rPr>
          <w:rFonts w:ascii="Verdana" w:hAnsi="Verdana"/>
          <w:sz w:val="18"/>
          <w:szCs w:val="18"/>
        </w:rPr>
      </w:pPr>
    </w:p>
    <w:p w14:paraId="2BA9B1E2" w14:textId="2B9416C7" w:rsidR="0094773F" w:rsidRPr="007B081C" w:rsidRDefault="00D25AC6" w:rsidP="007B081C">
      <w:pPr>
        <w:pStyle w:val="FootnoteText"/>
        <w:numPr>
          <w:ilvl w:val="0"/>
          <w:numId w:val="5"/>
        </w:numPr>
        <w:jc w:val="both"/>
        <w:rPr>
          <w:rFonts w:ascii="Verdana" w:hAnsi="Verdana" w:cs="Times New Roman"/>
          <w:sz w:val="18"/>
          <w:szCs w:val="18"/>
          <w:lang w:val="en-GB"/>
        </w:rPr>
      </w:pPr>
      <w:r w:rsidRPr="007B081C">
        <w:rPr>
          <w:rFonts w:ascii="Verdana" w:hAnsi="Verdana"/>
          <w:b/>
          <w:bCs/>
          <w:sz w:val="18"/>
          <w:szCs w:val="18"/>
        </w:rPr>
        <w:t xml:space="preserve">Obstacles in the administration of justice </w:t>
      </w:r>
    </w:p>
    <w:p w14:paraId="7288CD29" w14:textId="05338DD7" w:rsidR="005B61DD" w:rsidRPr="007B081C" w:rsidRDefault="005B61DD" w:rsidP="007B081C">
      <w:pPr>
        <w:pStyle w:val="FootnoteText"/>
        <w:jc w:val="both"/>
        <w:rPr>
          <w:rFonts w:ascii="Verdana" w:hAnsi="Verdana"/>
          <w:sz w:val="18"/>
          <w:szCs w:val="18"/>
        </w:rPr>
      </w:pPr>
    </w:p>
    <w:p w14:paraId="54808166" w14:textId="6B090D29" w:rsidR="009F2F94" w:rsidRPr="007B081C" w:rsidRDefault="005B61DD" w:rsidP="007B081C">
      <w:pPr>
        <w:pStyle w:val="FootnoteText"/>
        <w:numPr>
          <w:ilvl w:val="0"/>
          <w:numId w:val="3"/>
        </w:numPr>
        <w:jc w:val="both"/>
        <w:rPr>
          <w:rFonts w:ascii="Verdana" w:hAnsi="Verdana"/>
          <w:sz w:val="18"/>
          <w:szCs w:val="18"/>
        </w:rPr>
      </w:pPr>
      <w:r w:rsidRPr="007B081C">
        <w:rPr>
          <w:rFonts w:ascii="Verdana" w:hAnsi="Verdana"/>
          <w:sz w:val="18"/>
          <w:szCs w:val="18"/>
        </w:rPr>
        <w:t xml:space="preserve">In Lebanon, a number of procedural obstacles continue to hamper women’s effective access to justice </w:t>
      </w:r>
      <w:r w:rsidR="003B1712" w:rsidRPr="007B081C">
        <w:rPr>
          <w:rFonts w:ascii="Verdana" w:hAnsi="Verdana"/>
          <w:sz w:val="18"/>
          <w:szCs w:val="18"/>
        </w:rPr>
        <w:t xml:space="preserve">giving rise to </w:t>
      </w:r>
      <w:r w:rsidRPr="007B081C">
        <w:rPr>
          <w:rFonts w:ascii="Verdana" w:hAnsi="Verdana"/>
          <w:sz w:val="18"/>
          <w:szCs w:val="18"/>
        </w:rPr>
        <w:t>concern</w:t>
      </w:r>
      <w:r w:rsidR="003B1712" w:rsidRPr="007B081C">
        <w:rPr>
          <w:rFonts w:ascii="Verdana" w:hAnsi="Verdana"/>
          <w:sz w:val="18"/>
          <w:szCs w:val="18"/>
        </w:rPr>
        <w:t xml:space="preserve"> about </w:t>
      </w:r>
      <w:r w:rsidRPr="007B081C">
        <w:rPr>
          <w:rFonts w:ascii="Verdana" w:hAnsi="Verdana"/>
          <w:sz w:val="18"/>
          <w:szCs w:val="18"/>
        </w:rPr>
        <w:t xml:space="preserve">non-compliance </w:t>
      </w:r>
      <w:r w:rsidR="00213ED4" w:rsidRPr="007B081C">
        <w:rPr>
          <w:rFonts w:ascii="Verdana" w:hAnsi="Verdana"/>
          <w:sz w:val="18"/>
          <w:szCs w:val="18"/>
        </w:rPr>
        <w:t>with</w:t>
      </w:r>
      <w:r w:rsidR="00FF5346" w:rsidRPr="007B081C">
        <w:rPr>
          <w:rFonts w:ascii="Verdana" w:hAnsi="Verdana"/>
          <w:sz w:val="18"/>
          <w:szCs w:val="18"/>
        </w:rPr>
        <w:t xml:space="preserve"> </w:t>
      </w:r>
      <w:r w:rsidRPr="007B081C">
        <w:rPr>
          <w:rFonts w:ascii="Verdana" w:hAnsi="Verdana"/>
          <w:sz w:val="18"/>
          <w:szCs w:val="18"/>
        </w:rPr>
        <w:t>CEDAW</w:t>
      </w:r>
      <w:r w:rsidR="00FF4096" w:rsidRPr="007B081C">
        <w:rPr>
          <w:rFonts w:ascii="Verdana" w:hAnsi="Verdana"/>
          <w:sz w:val="18"/>
          <w:szCs w:val="18"/>
        </w:rPr>
        <w:t>, including</w:t>
      </w:r>
      <w:r w:rsidRPr="007B081C">
        <w:rPr>
          <w:rFonts w:ascii="Verdana" w:hAnsi="Verdana"/>
          <w:sz w:val="18"/>
          <w:szCs w:val="18"/>
        </w:rPr>
        <w:t xml:space="preserve"> articles 2(a), (b), (c), (d), (e), (f), 5(a) and 15. </w:t>
      </w:r>
    </w:p>
    <w:p w14:paraId="0A3E35A7" w14:textId="77777777" w:rsidR="0094773F" w:rsidRPr="007B081C" w:rsidRDefault="0094773F" w:rsidP="007B081C">
      <w:pPr>
        <w:rPr>
          <w:rFonts w:ascii="Verdana" w:hAnsi="Verdana"/>
          <w:sz w:val="18"/>
          <w:szCs w:val="18"/>
        </w:rPr>
      </w:pPr>
    </w:p>
    <w:p w14:paraId="5835B018" w14:textId="098E75D5" w:rsidR="00A05F6F" w:rsidRPr="007B081C" w:rsidRDefault="00F337AE" w:rsidP="007B081C">
      <w:pPr>
        <w:pStyle w:val="ListParagraph"/>
        <w:numPr>
          <w:ilvl w:val="0"/>
          <w:numId w:val="29"/>
        </w:numPr>
        <w:rPr>
          <w:rFonts w:ascii="Verdana" w:hAnsi="Verdana" w:cs="Times New Roman"/>
          <w:sz w:val="18"/>
          <w:szCs w:val="18"/>
          <w:lang w:val="en-GB"/>
        </w:rPr>
      </w:pPr>
      <w:r w:rsidRPr="007B081C">
        <w:rPr>
          <w:rFonts w:ascii="Verdana" w:hAnsi="Verdana"/>
          <w:b/>
          <w:iCs/>
          <w:sz w:val="18"/>
          <w:szCs w:val="18"/>
        </w:rPr>
        <w:t xml:space="preserve">Lack of effective investigations </w:t>
      </w:r>
      <w:r w:rsidR="00EF1CFF" w:rsidRPr="007B081C">
        <w:rPr>
          <w:rFonts w:ascii="Verdana" w:hAnsi="Verdana"/>
          <w:b/>
          <w:iCs/>
          <w:sz w:val="18"/>
          <w:szCs w:val="18"/>
        </w:rPr>
        <w:t xml:space="preserve">and prosecutions </w:t>
      </w:r>
    </w:p>
    <w:p w14:paraId="0AE706CA" w14:textId="2099C7C3" w:rsidR="00511EB8" w:rsidRPr="007B081C" w:rsidRDefault="00511EB8" w:rsidP="007B081C">
      <w:pPr>
        <w:jc w:val="both"/>
        <w:rPr>
          <w:rFonts w:ascii="Verdana" w:hAnsi="Verdana"/>
          <w:sz w:val="18"/>
          <w:szCs w:val="18"/>
        </w:rPr>
      </w:pPr>
    </w:p>
    <w:p w14:paraId="39806E61" w14:textId="554AD70D" w:rsidR="00511EB8" w:rsidRPr="007B081C" w:rsidRDefault="00FF5346" w:rsidP="007B081C">
      <w:pPr>
        <w:pStyle w:val="FootnoteText"/>
        <w:numPr>
          <w:ilvl w:val="0"/>
          <w:numId w:val="3"/>
        </w:numPr>
        <w:jc w:val="both"/>
        <w:rPr>
          <w:rFonts w:ascii="Verdana" w:hAnsi="Verdana" w:cs="Times New Roman"/>
          <w:sz w:val="18"/>
          <w:szCs w:val="18"/>
          <w:lang w:val="en-GB"/>
        </w:rPr>
      </w:pPr>
      <w:r w:rsidRPr="007B081C">
        <w:rPr>
          <w:rFonts w:ascii="Verdana" w:hAnsi="Verdana"/>
          <w:sz w:val="18"/>
          <w:szCs w:val="18"/>
          <w:lang w:val="en-GB"/>
        </w:rPr>
        <w:t>In Lebanon, i</w:t>
      </w:r>
      <w:r w:rsidR="00511EB8" w:rsidRPr="007B081C">
        <w:rPr>
          <w:rFonts w:ascii="Verdana" w:hAnsi="Verdana"/>
          <w:sz w:val="18"/>
          <w:szCs w:val="18"/>
          <w:lang w:val="en-GB"/>
        </w:rPr>
        <w:t>nvestigations</w:t>
      </w:r>
      <w:r w:rsidR="00511EB8" w:rsidRPr="007B081C">
        <w:rPr>
          <w:rFonts w:ascii="Verdana" w:hAnsi="Verdana"/>
          <w:sz w:val="18"/>
          <w:szCs w:val="18"/>
        </w:rPr>
        <w:t xml:space="preserve"> and prosecutions of SGBV offences are frequently undercut by discriminatory practices and bias against women espoused by investigators, which can deter women from reporting cases of sexual assault. </w:t>
      </w:r>
      <w:r w:rsidR="00511EB8" w:rsidRPr="007B081C">
        <w:rPr>
          <w:rFonts w:ascii="Verdana" w:hAnsi="Verdana" w:cs="Times New Roman"/>
          <w:sz w:val="18"/>
          <w:szCs w:val="18"/>
          <w:lang w:val="en-GB"/>
        </w:rPr>
        <w:t xml:space="preserve">Women who report sexual assault allegations often open themselves up to suspicions of engaging in “prostitution” or “adultery.” Owing to assumptions that women should be “chaste” or have a “good reputation” in order to benefit from the protection of the criminal law, the proper focus on the criminal responsibility of the preparator shifts to the behaviour of the complainant. Such discriminatory attitudes contravene articles 2(d), (e), (f) and 5(a) of CEDAW. </w:t>
      </w:r>
    </w:p>
    <w:p w14:paraId="654021F1" w14:textId="77777777" w:rsidR="00FF5346" w:rsidRPr="007B081C" w:rsidRDefault="00FF5346" w:rsidP="007B081C">
      <w:pPr>
        <w:pStyle w:val="FootnoteText"/>
        <w:ind w:left="360"/>
        <w:jc w:val="both"/>
        <w:rPr>
          <w:rFonts w:ascii="Verdana" w:hAnsi="Verdana" w:cs="Times New Roman"/>
          <w:sz w:val="18"/>
          <w:szCs w:val="18"/>
          <w:lang w:val="en-GB"/>
        </w:rPr>
      </w:pPr>
    </w:p>
    <w:p w14:paraId="3A44048E" w14:textId="1A4A8184" w:rsidR="00FF5346" w:rsidRPr="007B081C" w:rsidRDefault="00FF5346" w:rsidP="007B081C">
      <w:pPr>
        <w:pStyle w:val="ListParagraph"/>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The ICJ and ABAAD are concerned about investigators’ lack of gender-sensitivity when dealing with SGBV cases, particularly those who are first responders. </w:t>
      </w:r>
      <w:r w:rsidRPr="007B081C">
        <w:rPr>
          <w:rFonts w:ascii="Verdana" w:hAnsi="Verdana"/>
          <w:sz w:val="18"/>
          <w:szCs w:val="18"/>
          <w:lang w:val="en-GB"/>
        </w:rPr>
        <w:t>Presently,</w:t>
      </w:r>
      <w:r w:rsidRPr="007B081C">
        <w:rPr>
          <w:rFonts w:ascii="Verdana" w:hAnsi="Verdana"/>
          <w:sz w:val="18"/>
          <w:szCs w:val="18"/>
        </w:rPr>
        <w:t xml:space="preserve"> the only document that provides instructions on how to interact with, and respond to, complainants of SGBV-related crimes is </w:t>
      </w:r>
      <w:r w:rsidRPr="007B081C">
        <w:rPr>
          <w:rFonts w:ascii="Verdana" w:hAnsi="Verdana" w:cstheme="minorHAnsi"/>
          <w:color w:val="000000" w:themeColor="text1"/>
          <w:sz w:val="18"/>
          <w:szCs w:val="18"/>
        </w:rPr>
        <w:t>supplementary guidance published by the Internal Security Forces</w:t>
      </w:r>
      <w:r w:rsidRPr="007B081C">
        <w:rPr>
          <w:rStyle w:val="FootnoteReference"/>
          <w:rFonts w:ascii="Verdana" w:hAnsi="Verdana" w:cstheme="minorHAnsi"/>
          <w:color w:val="000000" w:themeColor="text1"/>
          <w:sz w:val="18"/>
          <w:szCs w:val="18"/>
        </w:rPr>
        <w:footnoteReference w:id="20"/>
      </w:r>
      <w:r w:rsidRPr="007B081C">
        <w:rPr>
          <w:rFonts w:ascii="Verdana" w:hAnsi="Verdana" w:cstheme="minorHAnsi"/>
          <w:color w:val="000000" w:themeColor="text1"/>
          <w:sz w:val="18"/>
          <w:szCs w:val="18"/>
        </w:rPr>
        <w:t xml:space="preserve"> </w:t>
      </w:r>
      <w:r w:rsidRPr="007B081C">
        <w:rPr>
          <w:rFonts w:ascii="Verdana" w:hAnsi="Verdana"/>
          <w:sz w:val="18"/>
          <w:szCs w:val="18"/>
        </w:rPr>
        <w:t>–</w:t>
      </w:r>
      <w:r w:rsidRPr="007B081C">
        <w:rPr>
          <w:rFonts w:ascii="Verdana" w:hAnsi="Verdana" w:cstheme="minorHAnsi"/>
          <w:color w:val="000000" w:themeColor="text1"/>
          <w:sz w:val="18"/>
          <w:szCs w:val="18"/>
        </w:rPr>
        <w:t xml:space="preserve"> a service memorandum governing “</w:t>
      </w:r>
      <w:r w:rsidRPr="007B081C">
        <w:rPr>
          <w:rFonts w:ascii="Verdana" w:hAnsi="Verdana"/>
          <w:sz w:val="18"/>
          <w:szCs w:val="18"/>
        </w:rPr>
        <w:t>the rules of communication and treatment by ISF officers in relation to complaints of domestic violence” (ISF General Memo</w:t>
      </w:r>
      <w:r w:rsidR="005A12DF" w:rsidRPr="007B081C">
        <w:rPr>
          <w:rFonts w:ascii="Verdana" w:hAnsi="Verdana"/>
          <w:sz w:val="18"/>
          <w:szCs w:val="18"/>
        </w:rPr>
        <w:t>randum</w:t>
      </w:r>
      <w:r w:rsidRPr="007B081C">
        <w:rPr>
          <w:rFonts w:ascii="Verdana" w:hAnsi="Verdana"/>
          <w:sz w:val="18"/>
          <w:szCs w:val="18"/>
        </w:rPr>
        <w:t>). While commendable, the extent to which this memorandum has been coupled with training of relevant justice sector actors</w:t>
      </w:r>
      <w:r w:rsidR="00E93CC0">
        <w:rPr>
          <w:rFonts w:ascii="Verdana" w:hAnsi="Verdana"/>
          <w:sz w:val="18"/>
          <w:szCs w:val="18"/>
        </w:rPr>
        <w:t xml:space="preserve"> (JSAs)</w:t>
      </w:r>
      <w:r w:rsidRPr="007B081C">
        <w:rPr>
          <w:rFonts w:ascii="Verdana" w:hAnsi="Verdana"/>
          <w:sz w:val="18"/>
          <w:szCs w:val="18"/>
        </w:rPr>
        <w:t xml:space="preserve"> remains unclear.</w:t>
      </w:r>
    </w:p>
    <w:p w14:paraId="6C6E8E05" w14:textId="77777777" w:rsidR="005B7D75" w:rsidRPr="007B081C" w:rsidRDefault="005B7D75" w:rsidP="007B081C">
      <w:pPr>
        <w:pStyle w:val="ListParagraph"/>
        <w:ind w:left="360"/>
        <w:jc w:val="both"/>
        <w:rPr>
          <w:rFonts w:ascii="Verdana" w:hAnsi="Verdana"/>
          <w:sz w:val="18"/>
          <w:szCs w:val="18"/>
        </w:rPr>
      </w:pPr>
    </w:p>
    <w:p w14:paraId="63486C45" w14:textId="332902FD" w:rsidR="005B7D75" w:rsidRPr="007B081C" w:rsidRDefault="00A54525" w:rsidP="007B081C">
      <w:pPr>
        <w:pStyle w:val="ListParagraph"/>
        <w:numPr>
          <w:ilvl w:val="0"/>
          <w:numId w:val="3"/>
        </w:numPr>
        <w:jc w:val="both"/>
        <w:rPr>
          <w:rFonts w:ascii="Verdana" w:hAnsi="Verdana"/>
          <w:sz w:val="18"/>
          <w:szCs w:val="18"/>
        </w:rPr>
      </w:pPr>
      <w:r w:rsidRPr="007B081C">
        <w:rPr>
          <w:rFonts w:ascii="Verdana" w:hAnsi="Verdana"/>
          <w:sz w:val="18"/>
          <w:szCs w:val="18"/>
        </w:rPr>
        <w:t xml:space="preserve">Some domestic cases have demonstrated the </w:t>
      </w:r>
      <w:r w:rsidR="005B7D75" w:rsidRPr="007B081C">
        <w:rPr>
          <w:rFonts w:ascii="Verdana" w:hAnsi="Verdana"/>
          <w:sz w:val="18"/>
          <w:szCs w:val="18"/>
        </w:rPr>
        <w:t xml:space="preserve">failure </w:t>
      </w:r>
      <w:r w:rsidRPr="007B081C">
        <w:rPr>
          <w:rFonts w:ascii="Verdana" w:hAnsi="Verdana"/>
          <w:sz w:val="18"/>
          <w:szCs w:val="18"/>
        </w:rPr>
        <w:t xml:space="preserve">of </w:t>
      </w:r>
      <w:r w:rsidR="00E93CC0">
        <w:rPr>
          <w:rFonts w:ascii="Verdana" w:hAnsi="Verdana"/>
          <w:sz w:val="18"/>
          <w:szCs w:val="18"/>
        </w:rPr>
        <w:t>JSAs</w:t>
      </w:r>
      <w:r w:rsidR="00C61188" w:rsidRPr="007B081C">
        <w:rPr>
          <w:rFonts w:ascii="Verdana" w:hAnsi="Verdana"/>
          <w:sz w:val="18"/>
          <w:szCs w:val="18"/>
        </w:rPr>
        <w:t xml:space="preserve">, including forensic practitioners, </w:t>
      </w:r>
      <w:r w:rsidR="005B7D75" w:rsidRPr="007B081C">
        <w:rPr>
          <w:rFonts w:ascii="Verdana" w:hAnsi="Verdana"/>
          <w:sz w:val="18"/>
          <w:szCs w:val="18"/>
        </w:rPr>
        <w:t>to conduct prompt, effective and thorough investigations into SGBV offences</w:t>
      </w:r>
      <w:r w:rsidR="00C61188" w:rsidRPr="007B081C">
        <w:rPr>
          <w:rFonts w:ascii="Verdana" w:hAnsi="Verdana"/>
          <w:sz w:val="18"/>
          <w:szCs w:val="18"/>
        </w:rPr>
        <w:t>.</w:t>
      </w:r>
      <w:r w:rsidR="00D91167" w:rsidRPr="007B081C">
        <w:rPr>
          <w:rFonts w:ascii="Verdana" w:hAnsi="Verdana"/>
          <w:sz w:val="18"/>
          <w:szCs w:val="18"/>
        </w:rPr>
        <w:t xml:space="preserve"> </w:t>
      </w:r>
      <w:r w:rsidR="005B7D75" w:rsidRPr="007B081C">
        <w:rPr>
          <w:rFonts w:ascii="Verdana" w:hAnsi="Verdana"/>
          <w:sz w:val="18"/>
          <w:szCs w:val="18"/>
        </w:rPr>
        <w:t xml:space="preserve">In the </w:t>
      </w:r>
      <w:proofErr w:type="spellStart"/>
      <w:r w:rsidR="00D91167" w:rsidRPr="007B081C">
        <w:rPr>
          <w:rFonts w:ascii="Verdana" w:hAnsi="Verdana"/>
          <w:i/>
          <w:sz w:val="18"/>
          <w:szCs w:val="18"/>
        </w:rPr>
        <w:t>Roula</w:t>
      </w:r>
      <w:proofErr w:type="spellEnd"/>
      <w:r w:rsidR="00D91167" w:rsidRPr="007B081C">
        <w:rPr>
          <w:rFonts w:ascii="Verdana" w:hAnsi="Verdana"/>
          <w:i/>
          <w:sz w:val="18"/>
          <w:szCs w:val="18"/>
        </w:rPr>
        <w:t xml:space="preserve"> </w:t>
      </w:r>
      <w:proofErr w:type="spellStart"/>
      <w:r w:rsidR="00D91167" w:rsidRPr="007B081C">
        <w:rPr>
          <w:rFonts w:ascii="Verdana" w:hAnsi="Verdana"/>
          <w:i/>
          <w:sz w:val="18"/>
          <w:szCs w:val="18"/>
        </w:rPr>
        <w:t>Yaacoub</w:t>
      </w:r>
      <w:proofErr w:type="spellEnd"/>
      <w:r w:rsidR="005E2FD3" w:rsidRPr="007B081C">
        <w:rPr>
          <w:rFonts w:ascii="Verdana" w:hAnsi="Verdana"/>
          <w:sz w:val="18"/>
          <w:szCs w:val="18"/>
        </w:rPr>
        <w:t xml:space="preserve"> </w:t>
      </w:r>
      <w:r w:rsidR="005B7D75" w:rsidRPr="007B081C">
        <w:rPr>
          <w:rFonts w:ascii="Verdana" w:hAnsi="Verdana"/>
          <w:sz w:val="18"/>
          <w:szCs w:val="18"/>
        </w:rPr>
        <w:t>case</w:t>
      </w:r>
      <w:r w:rsidR="00CA1AEE" w:rsidRPr="007B081C">
        <w:rPr>
          <w:rFonts w:ascii="Verdana" w:hAnsi="Verdana"/>
          <w:sz w:val="18"/>
          <w:szCs w:val="18"/>
        </w:rPr>
        <w:t xml:space="preserve">, </w:t>
      </w:r>
      <w:r w:rsidRPr="007B081C">
        <w:rPr>
          <w:rFonts w:ascii="Verdana" w:hAnsi="Verdana"/>
          <w:sz w:val="18"/>
          <w:szCs w:val="18"/>
        </w:rPr>
        <w:t xml:space="preserve">an </w:t>
      </w:r>
      <w:r w:rsidR="007041A7" w:rsidRPr="007B081C">
        <w:rPr>
          <w:rFonts w:ascii="Verdana" w:hAnsi="Verdana"/>
          <w:sz w:val="18"/>
          <w:szCs w:val="18"/>
        </w:rPr>
        <w:t xml:space="preserve">Investigating Judge </w:t>
      </w:r>
      <w:r w:rsidR="007B0B42" w:rsidRPr="007B081C">
        <w:rPr>
          <w:rFonts w:ascii="Verdana" w:hAnsi="Verdana"/>
          <w:sz w:val="18"/>
          <w:szCs w:val="18"/>
        </w:rPr>
        <w:t xml:space="preserve">concluded </w:t>
      </w:r>
      <w:r w:rsidR="007041A7" w:rsidRPr="007B081C">
        <w:rPr>
          <w:rFonts w:ascii="Verdana" w:hAnsi="Verdana"/>
          <w:sz w:val="18"/>
          <w:szCs w:val="18"/>
        </w:rPr>
        <w:t xml:space="preserve">there was insufficient evidence to prosecute the husband </w:t>
      </w:r>
      <w:r w:rsidRPr="007B081C">
        <w:rPr>
          <w:rFonts w:ascii="Verdana" w:hAnsi="Verdana"/>
          <w:sz w:val="18"/>
          <w:szCs w:val="18"/>
        </w:rPr>
        <w:t xml:space="preserve">for the death of his wife despite significant evidence she was beaten to death, </w:t>
      </w:r>
      <w:r w:rsidR="007041A7" w:rsidRPr="007B081C">
        <w:rPr>
          <w:rFonts w:ascii="Verdana" w:hAnsi="Verdana"/>
          <w:sz w:val="18"/>
          <w:szCs w:val="18"/>
        </w:rPr>
        <w:t>includ</w:t>
      </w:r>
      <w:r w:rsidR="007B0B42" w:rsidRPr="007B081C">
        <w:rPr>
          <w:rFonts w:ascii="Verdana" w:hAnsi="Verdana"/>
          <w:sz w:val="18"/>
          <w:szCs w:val="18"/>
        </w:rPr>
        <w:t>ing</w:t>
      </w:r>
      <w:r w:rsidR="00CA1AEE" w:rsidRPr="007B081C">
        <w:rPr>
          <w:rFonts w:ascii="Verdana" w:hAnsi="Verdana"/>
          <w:sz w:val="18"/>
          <w:szCs w:val="18"/>
        </w:rPr>
        <w:t xml:space="preserve"> </w:t>
      </w:r>
      <w:r w:rsidRPr="007B081C">
        <w:rPr>
          <w:rFonts w:ascii="Verdana" w:hAnsi="Verdana"/>
          <w:sz w:val="18"/>
          <w:szCs w:val="18"/>
        </w:rPr>
        <w:t xml:space="preserve">witness </w:t>
      </w:r>
      <w:r w:rsidR="00CA1AEE" w:rsidRPr="007B081C">
        <w:rPr>
          <w:rFonts w:ascii="Verdana" w:hAnsi="Verdana"/>
          <w:sz w:val="18"/>
          <w:szCs w:val="18"/>
        </w:rPr>
        <w:t xml:space="preserve">statements that the husband regularly beat </w:t>
      </w:r>
      <w:r w:rsidRPr="007B081C">
        <w:rPr>
          <w:rFonts w:ascii="Verdana" w:hAnsi="Verdana"/>
          <w:sz w:val="18"/>
          <w:szCs w:val="18"/>
        </w:rPr>
        <w:t>the wife</w:t>
      </w:r>
      <w:r w:rsidR="00791CC1" w:rsidRPr="007B081C">
        <w:rPr>
          <w:rFonts w:ascii="Verdana" w:hAnsi="Verdana"/>
          <w:sz w:val="18"/>
          <w:szCs w:val="18"/>
        </w:rPr>
        <w:t>,</w:t>
      </w:r>
      <w:r w:rsidRPr="007B081C">
        <w:rPr>
          <w:rFonts w:ascii="Verdana" w:hAnsi="Verdana"/>
          <w:sz w:val="18"/>
          <w:szCs w:val="18"/>
        </w:rPr>
        <w:t xml:space="preserve"> statements by two daughters that their father </w:t>
      </w:r>
      <w:r w:rsidR="00791CC1" w:rsidRPr="007B081C">
        <w:rPr>
          <w:rFonts w:ascii="Verdana" w:hAnsi="Verdana"/>
          <w:sz w:val="18"/>
          <w:szCs w:val="18"/>
        </w:rPr>
        <w:t>had beaten their mother three days before her death</w:t>
      </w:r>
      <w:r w:rsidR="007B0B42" w:rsidRPr="007B081C">
        <w:rPr>
          <w:rFonts w:ascii="Verdana" w:hAnsi="Verdana"/>
          <w:sz w:val="18"/>
          <w:szCs w:val="18"/>
        </w:rPr>
        <w:t>,</w:t>
      </w:r>
      <w:r w:rsidR="00791CC1" w:rsidRPr="007B081C">
        <w:rPr>
          <w:rFonts w:ascii="Verdana" w:hAnsi="Verdana"/>
          <w:sz w:val="18"/>
          <w:szCs w:val="18"/>
        </w:rPr>
        <w:t xml:space="preserve"> and </w:t>
      </w:r>
      <w:r w:rsidRPr="007B081C">
        <w:rPr>
          <w:rFonts w:ascii="Verdana" w:hAnsi="Verdana"/>
          <w:sz w:val="18"/>
          <w:szCs w:val="18"/>
        </w:rPr>
        <w:t xml:space="preserve">was beating </w:t>
      </w:r>
      <w:r w:rsidR="00791CC1" w:rsidRPr="007B081C">
        <w:rPr>
          <w:rFonts w:ascii="Verdana" w:hAnsi="Verdana"/>
          <w:sz w:val="18"/>
          <w:szCs w:val="18"/>
        </w:rPr>
        <w:t xml:space="preserve">her </w:t>
      </w:r>
      <w:r w:rsidRPr="007B081C">
        <w:rPr>
          <w:rFonts w:ascii="Verdana" w:hAnsi="Verdana"/>
          <w:sz w:val="18"/>
          <w:szCs w:val="18"/>
        </w:rPr>
        <w:t>with a stick on the day of her death.</w:t>
      </w:r>
      <w:r w:rsidR="007D4EB7" w:rsidRPr="007B081C">
        <w:rPr>
          <w:rStyle w:val="FootnoteReference"/>
          <w:rFonts w:ascii="Verdana" w:hAnsi="Verdana"/>
          <w:sz w:val="18"/>
          <w:szCs w:val="18"/>
        </w:rPr>
        <w:footnoteReference w:id="21"/>
      </w:r>
      <w:r w:rsidRPr="007B081C">
        <w:rPr>
          <w:rFonts w:ascii="Verdana" w:hAnsi="Verdana"/>
          <w:sz w:val="18"/>
          <w:szCs w:val="18"/>
        </w:rPr>
        <w:t xml:space="preserve"> The </w:t>
      </w:r>
      <w:r w:rsidR="00506082">
        <w:rPr>
          <w:rFonts w:ascii="Verdana" w:hAnsi="Verdana"/>
          <w:sz w:val="18"/>
          <w:szCs w:val="18"/>
        </w:rPr>
        <w:t>I</w:t>
      </w:r>
      <w:r w:rsidRPr="007B081C">
        <w:rPr>
          <w:rFonts w:ascii="Verdana" w:hAnsi="Verdana"/>
          <w:sz w:val="18"/>
          <w:szCs w:val="18"/>
        </w:rPr>
        <w:t xml:space="preserve">nvestigating </w:t>
      </w:r>
      <w:r w:rsidR="00506082">
        <w:rPr>
          <w:rFonts w:ascii="Verdana" w:hAnsi="Verdana"/>
          <w:sz w:val="18"/>
          <w:szCs w:val="18"/>
        </w:rPr>
        <w:t>J</w:t>
      </w:r>
      <w:r w:rsidRPr="007B081C">
        <w:rPr>
          <w:rFonts w:ascii="Verdana" w:hAnsi="Verdana"/>
          <w:sz w:val="18"/>
          <w:szCs w:val="18"/>
        </w:rPr>
        <w:t>udge relied on subsequent statements by the victim’s daughters rejecting the claim that their father was beating their mother with a stick without investigating whether they were provided under duress.</w:t>
      </w:r>
      <w:r w:rsidR="00C61188" w:rsidRPr="007B081C">
        <w:rPr>
          <w:rFonts w:ascii="Verdana" w:hAnsi="Verdana"/>
          <w:sz w:val="18"/>
          <w:szCs w:val="18"/>
        </w:rPr>
        <w:t xml:space="preserve"> The Investigating Judge’s decision was later quashed by the Indictment Chamber, </w:t>
      </w:r>
      <w:r w:rsidR="00EA3706" w:rsidRPr="007B081C">
        <w:rPr>
          <w:rFonts w:ascii="Verdana" w:hAnsi="Verdana"/>
          <w:sz w:val="18"/>
          <w:szCs w:val="18"/>
        </w:rPr>
        <w:t>which indicted</w:t>
      </w:r>
      <w:r w:rsidR="00C61188" w:rsidRPr="007B081C">
        <w:rPr>
          <w:rFonts w:ascii="Verdana" w:hAnsi="Verdana"/>
          <w:sz w:val="18"/>
          <w:szCs w:val="18"/>
        </w:rPr>
        <w:t xml:space="preserve"> the accused for the murder of his wife. </w:t>
      </w:r>
      <w:r w:rsidR="00791CC1" w:rsidRPr="007B081C">
        <w:rPr>
          <w:rFonts w:ascii="Verdana" w:hAnsi="Verdana"/>
          <w:sz w:val="18"/>
          <w:szCs w:val="18"/>
        </w:rPr>
        <w:t>A</w:t>
      </w:r>
      <w:r w:rsidR="00C61188" w:rsidRPr="007B081C">
        <w:rPr>
          <w:rFonts w:ascii="Verdana" w:hAnsi="Verdana"/>
          <w:sz w:val="18"/>
          <w:szCs w:val="18"/>
        </w:rPr>
        <w:t xml:space="preserve"> subsequent investigation </w:t>
      </w:r>
      <w:r w:rsidR="00791CC1" w:rsidRPr="007B081C">
        <w:rPr>
          <w:rFonts w:ascii="Verdana" w:hAnsi="Verdana"/>
          <w:sz w:val="18"/>
          <w:szCs w:val="18"/>
        </w:rPr>
        <w:t xml:space="preserve">also </w:t>
      </w:r>
      <w:r w:rsidR="00C61188" w:rsidRPr="007B081C">
        <w:rPr>
          <w:rFonts w:ascii="Verdana" w:hAnsi="Verdana"/>
          <w:sz w:val="18"/>
          <w:szCs w:val="18"/>
        </w:rPr>
        <w:t xml:space="preserve">revealed that </w:t>
      </w:r>
      <w:r w:rsidR="005B7D75" w:rsidRPr="007B081C">
        <w:rPr>
          <w:rFonts w:ascii="Verdana" w:hAnsi="Verdana"/>
          <w:sz w:val="18"/>
          <w:szCs w:val="18"/>
        </w:rPr>
        <w:t>erroneous methodologies and gaps in the forensic examination caused forensic practitioners</w:t>
      </w:r>
      <w:r w:rsidR="00EA3706" w:rsidRPr="007B081C">
        <w:rPr>
          <w:rFonts w:ascii="Verdana" w:hAnsi="Verdana"/>
          <w:sz w:val="18"/>
          <w:szCs w:val="18"/>
        </w:rPr>
        <w:t xml:space="preserve"> in the preliminary investigation to</w:t>
      </w:r>
      <w:r w:rsidR="005B7D75" w:rsidRPr="007B081C">
        <w:rPr>
          <w:rFonts w:ascii="Verdana" w:hAnsi="Verdana"/>
          <w:sz w:val="18"/>
          <w:szCs w:val="18"/>
        </w:rPr>
        <w:t xml:space="preserve"> misidentify the cause of death</w:t>
      </w:r>
      <w:r w:rsidR="00EA3706" w:rsidRPr="007B081C">
        <w:rPr>
          <w:rFonts w:ascii="Verdana" w:hAnsi="Verdana"/>
          <w:sz w:val="18"/>
          <w:szCs w:val="18"/>
        </w:rPr>
        <w:t>, attributing it to</w:t>
      </w:r>
      <w:r w:rsidR="005B7D75" w:rsidRPr="007B081C">
        <w:rPr>
          <w:rFonts w:ascii="Verdana" w:hAnsi="Verdana"/>
          <w:sz w:val="18"/>
          <w:szCs w:val="18"/>
        </w:rPr>
        <w:t xml:space="preserve"> a “ruptured aneurysm” caused by a “congenital malformation,” </w:t>
      </w:r>
      <w:r w:rsidR="005E2FD3" w:rsidRPr="007B081C">
        <w:rPr>
          <w:rFonts w:ascii="Verdana" w:hAnsi="Verdana"/>
          <w:sz w:val="18"/>
          <w:szCs w:val="18"/>
        </w:rPr>
        <w:t xml:space="preserve">as </w:t>
      </w:r>
      <w:r w:rsidR="00EA3706" w:rsidRPr="007B081C">
        <w:rPr>
          <w:rFonts w:ascii="Verdana" w:hAnsi="Verdana"/>
          <w:sz w:val="18"/>
          <w:szCs w:val="18"/>
        </w:rPr>
        <w:t>opposed to</w:t>
      </w:r>
      <w:r w:rsidR="005B7D75" w:rsidRPr="007B081C">
        <w:rPr>
          <w:rFonts w:ascii="Verdana" w:hAnsi="Verdana"/>
          <w:sz w:val="18"/>
          <w:szCs w:val="18"/>
        </w:rPr>
        <w:t xml:space="preserve"> violence.</w:t>
      </w:r>
      <w:r w:rsidR="0017549A" w:rsidRPr="007B081C">
        <w:rPr>
          <w:rStyle w:val="FootnoteReference"/>
          <w:rFonts w:ascii="Verdana" w:hAnsi="Verdana"/>
          <w:sz w:val="18"/>
          <w:szCs w:val="18"/>
        </w:rPr>
        <w:footnoteReference w:id="22"/>
      </w:r>
      <w:r w:rsidR="005B7D75" w:rsidRPr="007B081C">
        <w:rPr>
          <w:rFonts w:ascii="Verdana" w:hAnsi="Verdana"/>
          <w:sz w:val="18"/>
          <w:szCs w:val="18"/>
        </w:rPr>
        <w:t xml:space="preserve">  </w:t>
      </w:r>
    </w:p>
    <w:p w14:paraId="4900FB92" w14:textId="77777777" w:rsidR="00EA3706" w:rsidRPr="007B081C" w:rsidRDefault="00EA3706" w:rsidP="007B081C">
      <w:pPr>
        <w:pStyle w:val="ListParagraph"/>
        <w:ind w:left="360"/>
        <w:jc w:val="both"/>
        <w:rPr>
          <w:rFonts w:ascii="Verdana" w:hAnsi="Verdana"/>
          <w:sz w:val="18"/>
          <w:szCs w:val="18"/>
        </w:rPr>
      </w:pPr>
    </w:p>
    <w:p w14:paraId="5E7568C8" w14:textId="4AC7505B" w:rsidR="00EA3706" w:rsidRPr="007B081C" w:rsidRDefault="00EA3706" w:rsidP="007B081C">
      <w:pPr>
        <w:pStyle w:val="ListParagraph"/>
        <w:numPr>
          <w:ilvl w:val="0"/>
          <w:numId w:val="3"/>
        </w:numPr>
        <w:jc w:val="both"/>
        <w:rPr>
          <w:rFonts w:ascii="Verdana" w:hAnsi="Verdana"/>
          <w:sz w:val="18"/>
          <w:szCs w:val="18"/>
        </w:rPr>
      </w:pPr>
      <w:r w:rsidRPr="007B081C">
        <w:rPr>
          <w:rFonts w:ascii="Verdana" w:hAnsi="Verdana"/>
          <w:sz w:val="18"/>
          <w:szCs w:val="18"/>
        </w:rPr>
        <w:t xml:space="preserve">Complainants have limited rights to seek review of decisions made </w:t>
      </w:r>
      <w:r w:rsidR="00791CC1" w:rsidRPr="007B081C">
        <w:rPr>
          <w:rFonts w:ascii="Verdana" w:hAnsi="Verdana"/>
          <w:sz w:val="18"/>
          <w:szCs w:val="18"/>
        </w:rPr>
        <w:t xml:space="preserve">by </w:t>
      </w:r>
      <w:r w:rsidR="00262C68" w:rsidRPr="007B081C">
        <w:rPr>
          <w:rFonts w:ascii="Verdana" w:hAnsi="Verdana"/>
          <w:sz w:val="18"/>
          <w:szCs w:val="18"/>
        </w:rPr>
        <w:t>I</w:t>
      </w:r>
      <w:r w:rsidR="00791CC1" w:rsidRPr="007B081C">
        <w:rPr>
          <w:rFonts w:ascii="Verdana" w:hAnsi="Verdana"/>
          <w:sz w:val="18"/>
          <w:szCs w:val="18"/>
        </w:rPr>
        <w:t xml:space="preserve">nvestigating </w:t>
      </w:r>
      <w:r w:rsidR="00262C68" w:rsidRPr="007B081C">
        <w:rPr>
          <w:rFonts w:ascii="Verdana" w:hAnsi="Verdana"/>
          <w:sz w:val="18"/>
          <w:szCs w:val="18"/>
        </w:rPr>
        <w:t>J</w:t>
      </w:r>
      <w:r w:rsidR="00791CC1" w:rsidRPr="007B081C">
        <w:rPr>
          <w:rFonts w:ascii="Verdana" w:hAnsi="Verdana"/>
          <w:sz w:val="18"/>
          <w:szCs w:val="18"/>
        </w:rPr>
        <w:t>udges and prosecutors</w:t>
      </w:r>
      <w:r w:rsidR="007B0B42" w:rsidRPr="007B081C">
        <w:rPr>
          <w:rFonts w:ascii="Verdana" w:hAnsi="Verdana"/>
          <w:sz w:val="18"/>
          <w:szCs w:val="18"/>
        </w:rPr>
        <w:t xml:space="preserve"> in SGBV cases</w:t>
      </w:r>
      <w:r w:rsidRPr="007B081C">
        <w:rPr>
          <w:rFonts w:ascii="Verdana" w:hAnsi="Verdana"/>
          <w:sz w:val="18"/>
          <w:szCs w:val="18"/>
        </w:rPr>
        <w:t xml:space="preserve">. </w:t>
      </w:r>
      <w:r w:rsidR="00791CC1" w:rsidRPr="007B081C">
        <w:rPr>
          <w:rFonts w:ascii="Verdana" w:hAnsi="Verdana"/>
          <w:sz w:val="18"/>
          <w:szCs w:val="18"/>
        </w:rPr>
        <w:t>A complainant cannot appeal the O</w:t>
      </w:r>
      <w:r w:rsidR="00FF5346" w:rsidRPr="007B081C">
        <w:rPr>
          <w:rFonts w:ascii="Verdana" w:hAnsi="Verdana"/>
          <w:sz w:val="18"/>
          <w:szCs w:val="18"/>
        </w:rPr>
        <w:t xml:space="preserve">ffice of </w:t>
      </w:r>
      <w:r w:rsidR="00791CC1" w:rsidRPr="007B081C">
        <w:rPr>
          <w:rFonts w:ascii="Verdana" w:hAnsi="Verdana"/>
          <w:sz w:val="18"/>
          <w:szCs w:val="18"/>
        </w:rPr>
        <w:t>P</w:t>
      </w:r>
      <w:r w:rsidR="00FF5346" w:rsidRPr="007B081C">
        <w:rPr>
          <w:rFonts w:ascii="Verdana" w:hAnsi="Verdana"/>
          <w:sz w:val="18"/>
          <w:szCs w:val="18"/>
        </w:rPr>
        <w:t xml:space="preserve">ublic </w:t>
      </w:r>
      <w:r w:rsidR="00791CC1" w:rsidRPr="007B081C">
        <w:rPr>
          <w:rFonts w:ascii="Verdana" w:hAnsi="Verdana"/>
          <w:sz w:val="18"/>
          <w:szCs w:val="18"/>
        </w:rPr>
        <w:t>P</w:t>
      </w:r>
      <w:r w:rsidR="00FF5346" w:rsidRPr="007B081C">
        <w:rPr>
          <w:rFonts w:ascii="Verdana" w:hAnsi="Verdana"/>
          <w:sz w:val="18"/>
          <w:szCs w:val="18"/>
        </w:rPr>
        <w:t>rosecution</w:t>
      </w:r>
      <w:r w:rsidR="00791CC1" w:rsidRPr="007B081C">
        <w:rPr>
          <w:rFonts w:ascii="Verdana" w:hAnsi="Verdana"/>
          <w:sz w:val="18"/>
          <w:szCs w:val="18"/>
        </w:rPr>
        <w:t>’s</w:t>
      </w:r>
      <w:r w:rsidR="00FF5346" w:rsidRPr="007B081C">
        <w:rPr>
          <w:rFonts w:ascii="Verdana" w:hAnsi="Verdana"/>
          <w:sz w:val="18"/>
          <w:szCs w:val="18"/>
        </w:rPr>
        <w:t xml:space="preserve"> (OPP)</w:t>
      </w:r>
      <w:r w:rsidR="00791CC1" w:rsidRPr="007B081C">
        <w:rPr>
          <w:rFonts w:ascii="Verdana" w:hAnsi="Verdana"/>
          <w:sz w:val="18"/>
          <w:szCs w:val="18"/>
        </w:rPr>
        <w:t xml:space="preserve"> decision under article 50 of the C</w:t>
      </w:r>
      <w:r w:rsidR="007B081C">
        <w:rPr>
          <w:rFonts w:ascii="Verdana" w:hAnsi="Verdana"/>
          <w:sz w:val="18"/>
          <w:szCs w:val="18"/>
        </w:rPr>
        <w:t xml:space="preserve">ode of </w:t>
      </w:r>
      <w:r w:rsidR="00791CC1" w:rsidRPr="007B081C">
        <w:rPr>
          <w:rFonts w:ascii="Verdana" w:hAnsi="Verdana"/>
          <w:sz w:val="18"/>
          <w:szCs w:val="18"/>
        </w:rPr>
        <w:t>C</w:t>
      </w:r>
      <w:r w:rsidR="007B081C">
        <w:rPr>
          <w:rFonts w:ascii="Verdana" w:hAnsi="Verdana"/>
          <w:sz w:val="18"/>
          <w:szCs w:val="18"/>
        </w:rPr>
        <w:t xml:space="preserve">riminal </w:t>
      </w:r>
      <w:r w:rsidR="00791CC1" w:rsidRPr="007B081C">
        <w:rPr>
          <w:rFonts w:ascii="Verdana" w:hAnsi="Verdana"/>
          <w:sz w:val="18"/>
          <w:szCs w:val="18"/>
        </w:rPr>
        <w:t>P</w:t>
      </w:r>
      <w:r w:rsidR="007B081C">
        <w:rPr>
          <w:rFonts w:ascii="Verdana" w:hAnsi="Verdana"/>
          <w:sz w:val="18"/>
          <w:szCs w:val="18"/>
        </w:rPr>
        <w:t>rocedure (CCP)</w:t>
      </w:r>
      <w:r w:rsidR="00791CC1" w:rsidRPr="007B081C">
        <w:rPr>
          <w:rFonts w:ascii="Verdana" w:hAnsi="Verdana"/>
          <w:sz w:val="18"/>
          <w:szCs w:val="18"/>
        </w:rPr>
        <w:t xml:space="preserve"> </w:t>
      </w:r>
      <w:r w:rsidRPr="007B081C">
        <w:rPr>
          <w:rFonts w:ascii="Verdana" w:hAnsi="Verdana"/>
          <w:sz w:val="18"/>
          <w:szCs w:val="18"/>
        </w:rPr>
        <w:t xml:space="preserve">to close </w:t>
      </w:r>
      <w:r w:rsidR="007B0B42" w:rsidRPr="007B081C">
        <w:rPr>
          <w:rFonts w:ascii="Verdana" w:hAnsi="Verdana"/>
          <w:sz w:val="18"/>
          <w:szCs w:val="18"/>
        </w:rPr>
        <w:t xml:space="preserve">the </w:t>
      </w:r>
      <w:r w:rsidRPr="007B081C">
        <w:rPr>
          <w:rFonts w:ascii="Verdana" w:hAnsi="Verdana"/>
          <w:sz w:val="18"/>
          <w:szCs w:val="18"/>
        </w:rPr>
        <w:t>preliminary investigation if it concludes that the act does not constitute a crime</w:t>
      </w:r>
      <w:r w:rsidR="007B0B42" w:rsidRPr="007B081C">
        <w:rPr>
          <w:rFonts w:ascii="Verdana" w:hAnsi="Verdana"/>
          <w:sz w:val="18"/>
          <w:szCs w:val="18"/>
        </w:rPr>
        <w:t>,</w:t>
      </w:r>
      <w:r w:rsidRPr="007B081C">
        <w:rPr>
          <w:rFonts w:ascii="Verdana" w:hAnsi="Verdana"/>
          <w:sz w:val="18"/>
          <w:szCs w:val="18"/>
        </w:rPr>
        <w:t xml:space="preserve"> or the available evidence is insufficient</w:t>
      </w:r>
      <w:r w:rsidR="00791CC1" w:rsidRPr="007B081C">
        <w:rPr>
          <w:rFonts w:ascii="Verdana" w:hAnsi="Verdana"/>
          <w:sz w:val="18"/>
          <w:szCs w:val="18"/>
        </w:rPr>
        <w:t xml:space="preserve">. </w:t>
      </w:r>
      <w:r w:rsidRPr="007B081C">
        <w:rPr>
          <w:rFonts w:ascii="Verdana" w:hAnsi="Verdana"/>
          <w:sz w:val="18"/>
          <w:szCs w:val="18"/>
        </w:rPr>
        <w:t xml:space="preserve">While decisions by Investigating Judges are subject to review before the Indictment Chamber, decisions of the Charging Authority are subject to a more limited </w:t>
      </w:r>
      <w:r w:rsidR="00FF5346" w:rsidRPr="007B081C">
        <w:rPr>
          <w:rFonts w:ascii="Verdana" w:hAnsi="Verdana"/>
          <w:sz w:val="18"/>
          <w:szCs w:val="18"/>
        </w:rPr>
        <w:t xml:space="preserve">scope of </w:t>
      </w:r>
      <w:r w:rsidRPr="007B081C">
        <w:rPr>
          <w:rFonts w:ascii="Verdana" w:hAnsi="Verdana"/>
          <w:sz w:val="18"/>
          <w:szCs w:val="18"/>
        </w:rPr>
        <w:t>review.</w:t>
      </w:r>
      <w:r w:rsidR="00791CC1" w:rsidRPr="007B081C">
        <w:rPr>
          <w:rStyle w:val="FootnoteReference"/>
          <w:rFonts w:ascii="Verdana" w:hAnsi="Verdana"/>
          <w:sz w:val="18"/>
          <w:szCs w:val="18"/>
        </w:rPr>
        <w:footnoteReference w:id="23"/>
      </w:r>
    </w:p>
    <w:p w14:paraId="10395667" w14:textId="77777777" w:rsidR="00A47ABF" w:rsidRPr="007B081C" w:rsidRDefault="00A47ABF" w:rsidP="007B081C">
      <w:pPr>
        <w:jc w:val="both"/>
        <w:rPr>
          <w:rFonts w:ascii="Verdana" w:hAnsi="Verdana"/>
          <w:sz w:val="18"/>
          <w:szCs w:val="18"/>
        </w:rPr>
      </w:pPr>
    </w:p>
    <w:p w14:paraId="08C7029B" w14:textId="710310EB" w:rsidR="005B7D75" w:rsidRPr="007B081C" w:rsidRDefault="007B0B42" w:rsidP="007B081C">
      <w:pPr>
        <w:pStyle w:val="ListParagraph"/>
        <w:numPr>
          <w:ilvl w:val="0"/>
          <w:numId w:val="3"/>
        </w:numPr>
        <w:jc w:val="both"/>
        <w:rPr>
          <w:rFonts w:ascii="Verdana" w:hAnsi="Verdana"/>
          <w:sz w:val="18"/>
          <w:szCs w:val="18"/>
        </w:rPr>
      </w:pPr>
      <w:r w:rsidRPr="007B081C">
        <w:rPr>
          <w:rFonts w:ascii="Verdana" w:hAnsi="Verdana"/>
          <w:sz w:val="18"/>
          <w:szCs w:val="18"/>
        </w:rPr>
        <w:t xml:space="preserve">It is also of concern </w:t>
      </w:r>
      <w:r w:rsidR="00A47ABF" w:rsidRPr="007B081C">
        <w:rPr>
          <w:rFonts w:ascii="Verdana" w:hAnsi="Verdana"/>
          <w:sz w:val="18"/>
          <w:szCs w:val="18"/>
        </w:rPr>
        <w:t xml:space="preserve">that for </w:t>
      </w:r>
      <w:r w:rsidRPr="007B081C">
        <w:rPr>
          <w:rFonts w:ascii="Verdana" w:hAnsi="Verdana"/>
          <w:sz w:val="18"/>
          <w:szCs w:val="18"/>
        </w:rPr>
        <w:t>SGBV</w:t>
      </w:r>
      <w:r w:rsidR="00A47ABF" w:rsidRPr="007B081C">
        <w:rPr>
          <w:rFonts w:ascii="Verdana" w:hAnsi="Verdana"/>
          <w:sz w:val="18"/>
          <w:szCs w:val="18"/>
        </w:rPr>
        <w:t xml:space="preserve"> crimes charges are automatically dismissed if the complainant </w:t>
      </w:r>
      <w:r w:rsidR="007B081C">
        <w:rPr>
          <w:rFonts w:ascii="Verdana" w:hAnsi="Verdana"/>
          <w:sz w:val="18"/>
          <w:szCs w:val="18"/>
        </w:rPr>
        <w:t>waives</w:t>
      </w:r>
      <w:r w:rsidR="007B081C" w:rsidRPr="007B081C">
        <w:rPr>
          <w:rFonts w:ascii="Verdana" w:hAnsi="Verdana"/>
          <w:sz w:val="18"/>
          <w:szCs w:val="18"/>
        </w:rPr>
        <w:t xml:space="preserve"> </w:t>
      </w:r>
      <w:r w:rsidR="00A47ABF" w:rsidRPr="007B081C">
        <w:rPr>
          <w:rFonts w:ascii="Verdana" w:hAnsi="Verdana"/>
          <w:sz w:val="18"/>
          <w:szCs w:val="18"/>
        </w:rPr>
        <w:t>her personal rights in the case at any stage of the litigation process.</w:t>
      </w:r>
      <w:r w:rsidR="00A47ABF" w:rsidRPr="007B081C">
        <w:rPr>
          <w:rStyle w:val="FootnoteReference"/>
          <w:rFonts w:ascii="Verdana" w:hAnsi="Verdana"/>
          <w:sz w:val="18"/>
          <w:szCs w:val="18"/>
        </w:rPr>
        <w:footnoteReference w:id="24"/>
      </w:r>
      <w:r w:rsidR="00A47ABF" w:rsidRPr="007B081C">
        <w:rPr>
          <w:rFonts w:ascii="Verdana" w:hAnsi="Verdana"/>
          <w:sz w:val="18"/>
          <w:szCs w:val="18"/>
        </w:rPr>
        <w:t xml:space="preserve"> Complainants </w:t>
      </w:r>
      <w:r w:rsidR="00A47ABF" w:rsidRPr="007B081C">
        <w:rPr>
          <w:rFonts w:ascii="Verdana" w:hAnsi="Verdana"/>
          <w:sz w:val="18"/>
          <w:szCs w:val="18"/>
        </w:rPr>
        <w:lastRenderedPageBreak/>
        <w:t xml:space="preserve">usually </w:t>
      </w:r>
      <w:r w:rsidR="00506082">
        <w:rPr>
          <w:rFonts w:ascii="Verdana" w:hAnsi="Verdana"/>
          <w:sz w:val="18"/>
          <w:szCs w:val="18"/>
        </w:rPr>
        <w:t>waive</w:t>
      </w:r>
      <w:r w:rsidR="00A47ABF" w:rsidRPr="007B081C">
        <w:rPr>
          <w:rFonts w:ascii="Verdana" w:hAnsi="Verdana"/>
          <w:sz w:val="18"/>
          <w:szCs w:val="18"/>
        </w:rPr>
        <w:t xml:space="preserve"> their rights as a result of coercion by the family or due to social stigma.</w:t>
      </w:r>
      <w:r w:rsidR="00890817" w:rsidRPr="007B081C">
        <w:rPr>
          <w:rFonts w:ascii="Verdana" w:hAnsi="Verdana"/>
          <w:sz w:val="18"/>
          <w:szCs w:val="18"/>
        </w:rPr>
        <w:t xml:space="preserve"> </w:t>
      </w:r>
      <w:r w:rsidR="00A47ABF" w:rsidRPr="007B081C">
        <w:rPr>
          <w:rFonts w:ascii="Verdana" w:hAnsi="Verdana"/>
          <w:sz w:val="18"/>
          <w:szCs w:val="18"/>
        </w:rPr>
        <w:t>The automatic dismissal of charges constitutes a violation of Lebanon’s obligation</w:t>
      </w:r>
      <w:r w:rsidRPr="007B081C">
        <w:rPr>
          <w:rFonts w:ascii="Verdana" w:hAnsi="Verdana"/>
          <w:sz w:val="18"/>
          <w:szCs w:val="18"/>
        </w:rPr>
        <w:t>, including under article 2(e) of</w:t>
      </w:r>
      <w:r w:rsidR="00443087">
        <w:rPr>
          <w:rFonts w:ascii="Verdana" w:hAnsi="Verdana"/>
          <w:sz w:val="18"/>
          <w:szCs w:val="18"/>
        </w:rPr>
        <w:t xml:space="preserve"> </w:t>
      </w:r>
      <w:r w:rsidRPr="007B081C">
        <w:rPr>
          <w:rFonts w:ascii="Verdana" w:hAnsi="Verdana"/>
          <w:sz w:val="18"/>
          <w:szCs w:val="18"/>
        </w:rPr>
        <w:t>CEDAW,</w:t>
      </w:r>
      <w:r w:rsidR="00A47ABF" w:rsidRPr="007B081C">
        <w:rPr>
          <w:rFonts w:ascii="Verdana" w:hAnsi="Verdana"/>
          <w:sz w:val="18"/>
          <w:szCs w:val="18"/>
        </w:rPr>
        <w:t xml:space="preserve"> to </w:t>
      </w:r>
      <w:r w:rsidR="00890817" w:rsidRPr="007B081C">
        <w:rPr>
          <w:rFonts w:ascii="Verdana" w:hAnsi="Verdana"/>
          <w:sz w:val="18"/>
          <w:szCs w:val="18"/>
        </w:rPr>
        <w:t xml:space="preserve">exercise due diligence to </w:t>
      </w:r>
      <w:r w:rsidR="00A47ABF" w:rsidRPr="007B081C">
        <w:rPr>
          <w:rFonts w:ascii="Verdana" w:hAnsi="Verdana"/>
          <w:sz w:val="18"/>
          <w:szCs w:val="18"/>
        </w:rPr>
        <w:t>ensure</w:t>
      </w:r>
      <w:r w:rsidR="00890817" w:rsidRPr="007B081C">
        <w:rPr>
          <w:rFonts w:ascii="Verdana" w:hAnsi="Verdana"/>
          <w:sz w:val="18"/>
          <w:szCs w:val="18"/>
        </w:rPr>
        <w:t xml:space="preserve"> the</w:t>
      </w:r>
      <w:r w:rsidR="00A47ABF" w:rsidRPr="007B081C">
        <w:rPr>
          <w:rFonts w:ascii="Verdana" w:hAnsi="Verdana"/>
          <w:sz w:val="18"/>
          <w:szCs w:val="18"/>
        </w:rPr>
        <w:t xml:space="preserve"> investigation, prosecution and punishment </w:t>
      </w:r>
      <w:r w:rsidRPr="007B081C">
        <w:rPr>
          <w:rFonts w:ascii="Verdana" w:hAnsi="Verdana"/>
          <w:sz w:val="18"/>
          <w:szCs w:val="18"/>
        </w:rPr>
        <w:t xml:space="preserve">of </w:t>
      </w:r>
      <w:r w:rsidR="00A47ABF" w:rsidRPr="007B081C">
        <w:rPr>
          <w:rFonts w:ascii="Verdana" w:hAnsi="Verdana"/>
          <w:sz w:val="18"/>
          <w:szCs w:val="18"/>
        </w:rPr>
        <w:t xml:space="preserve">SGBV, and an unjustified indulgence towards domestic violence offenders. </w:t>
      </w:r>
    </w:p>
    <w:p w14:paraId="1327AF8B" w14:textId="77777777" w:rsidR="00B6032A" w:rsidRPr="007B081C" w:rsidRDefault="00B6032A" w:rsidP="007B081C">
      <w:pPr>
        <w:pStyle w:val="ListParagraph"/>
        <w:rPr>
          <w:rFonts w:ascii="Verdana" w:hAnsi="Verdana"/>
          <w:sz w:val="18"/>
          <w:szCs w:val="18"/>
        </w:rPr>
      </w:pPr>
    </w:p>
    <w:p w14:paraId="75B1B677" w14:textId="08D397F2" w:rsidR="000D7D20" w:rsidRPr="007B081C" w:rsidRDefault="00B6032A"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In light of the above, the ICJ and ABAAD</w:t>
      </w:r>
      <w:r w:rsidR="006A67A4" w:rsidRPr="007B081C">
        <w:rPr>
          <w:rFonts w:ascii="Verdana" w:hAnsi="Verdana" w:cs="Times New Roman"/>
          <w:b/>
          <w:bCs/>
          <w:sz w:val="18"/>
          <w:szCs w:val="18"/>
          <w:lang w:val="en-GB"/>
        </w:rPr>
        <w:t xml:space="preserve"> recommend that the CEDAW Committee’s list of issues on Lebanon should require the State party</w:t>
      </w:r>
      <w:r w:rsidRPr="007B081C">
        <w:rPr>
          <w:rFonts w:ascii="Verdana" w:hAnsi="Verdana" w:cs="Times New Roman"/>
          <w:b/>
          <w:bCs/>
          <w:sz w:val="18"/>
          <w:szCs w:val="18"/>
          <w:lang w:val="en-GB"/>
        </w:rPr>
        <w:t xml:space="preserve"> to</w:t>
      </w:r>
      <w:r w:rsidRPr="007B081C">
        <w:rPr>
          <w:rFonts w:ascii="Verdana" w:hAnsi="Verdana" w:cs="Times New Roman"/>
          <w:b/>
          <w:sz w:val="18"/>
          <w:szCs w:val="18"/>
          <w:lang w:val="en-GB"/>
        </w:rPr>
        <w:t xml:space="preserve"> indicate and clarify whether any steps have been taken to:</w:t>
      </w:r>
    </w:p>
    <w:p w14:paraId="3878D0BE" w14:textId="77777777" w:rsidR="000C1F49" w:rsidRPr="007B081C" w:rsidRDefault="000C1F49" w:rsidP="007B081C">
      <w:pPr>
        <w:pStyle w:val="FootnoteText"/>
        <w:jc w:val="both"/>
        <w:rPr>
          <w:rFonts w:ascii="Verdana" w:hAnsi="Verdana" w:cs="Times New Roman"/>
          <w:b/>
          <w:sz w:val="18"/>
          <w:szCs w:val="18"/>
          <w:lang w:val="en-GB"/>
        </w:rPr>
      </w:pPr>
    </w:p>
    <w:p w14:paraId="63F28C7C" w14:textId="4025C8A6" w:rsidR="009C0226" w:rsidRPr="007B081C" w:rsidRDefault="00E76F44" w:rsidP="007B081C">
      <w:pPr>
        <w:pStyle w:val="FootnoteText"/>
        <w:numPr>
          <w:ilvl w:val="0"/>
          <w:numId w:val="15"/>
        </w:numPr>
        <w:jc w:val="both"/>
        <w:rPr>
          <w:rFonts w:ascii="Verdana" w:hAnsi="Verdana" w:cs="Times New Roman"/>
          <w:b/>
          <w:sz w:val="18"/>
          <w:szCs w:val="18"/>
          <w:lang w:val="en-GB"/>
        </w:rPr>
      </w:pPr>
      <w:r w:rsidRPr="007B081C">
        <w:rPr>
          <w:rFonts w:ascii="Verdana" w:hAnsi="Verdana" w:cs="Times New Roman"/>
          <w:b/>
          <w:sz w:val="18"/>
          <w:szCs w:val="18"/>
          <w:lang w:val="en-GB"/>
        </w:rPr>
        <w:t>Address and eliminate all discriminatory practices and harmful gender stereotyping against women that undermine criminal investigations and prosecutions in SGBV cases;</w:t>
      </w:r>
    </w:p>
    <w:p w14:paraId="70FB619B" w14:textId="0862D5B5" w:rsidR="00E76F44" w:rsidRPr="007B081C" w:rsidRDefault="009C0226" w:rsidP="007B081C">
      <w:pPr>
        <w:pStyle w:val="FootnoteText"/>
        <w:numPr>
          <w:ilvl w:val="0"/>
          <w:numId w:val="26"/>
        </w:numPr>
        <w:jc w:val="both"/>
        <w:rPr>
          <w:rFonts w:ascii="Verdana" w:hAnsi="Verdana" w:cs="Times New Roman"/>
          <w:b/>
          <w:sz w:val="18"/>
          <w:szCs w:val="18"/>
          <w:lang w:val="en-GB"/>
        </w:rPr>
      </w:pPr>
      <w:r w:rsidRPr="007B081C">
        <w:rPr>
          <w:rFonts w:ascii="Verdana" w:hAnsi="Verdana" w:cs="Times New Roman"/>
          <w:b/>
          <w:sz w:val="18"/>
          <w:szCs w:val="18"/>
          <w:lang w:val="en-GB"/>
        </w:rPr>
        <w:t>Enact new laws that prohibit discriminatory behaviours against women;</w:t>
      </w:r>
    </w:p>
    <w:p w14:paraId="52AD27A4" w14:textId="0DD83477" w:rsidR="009C0226" w:rsidRPr="007B081C" w:rsidRDefault="00131C35" w:rsidP="007B081C">
      <w:pPr>
        <w:pStyle w:val="FootnoteText"/>
        <w:numPr>
          <w:ilvl w:val="0"/>
          <w:numId w:val="26"/>
        </w:numPr>
        <w:jc w:val="both"/>
        <w:rPr>
          <w:rFonts w:ascii="Verdana" w:hAnsi="Verdana" w:cs="Times New Roman"/>
          <w:b/>
          <w:sz w:val="18"/>
          <w:szCs w:val="18"/>
          <w:lang w:val="en-GB"/>
        </w:rPr>
      </w:pPr>
      <w:r w:rsidRPr="007B081C">
        <w:rPr>
          <w:rFonts w:ascii="Verdana" w:hAnsi="Verdana" w:cs="Times New Roman"/>
          <w:b/>
          <w:sz w:val="18"/>
          <w:szCs w:val="18"/>
          <w:lang w:val="en-GB"/>
        </w:rPr>
        <w:t xml:space="preserve">Enhance the ability of </w:t>
      </w:r>
      <w:r w:rsidR="00E93CC0">
        <w:rPr>
          <w:rFonts w:ascii="Verdana" w:hAnsi="Verdana" w:cs="Times New Roman"/>
          <w:b/>
          <w:sz w:val="18"/>
          <w:szCs w:val="18"/>
          <w:lang w:val="en-GB"/>
        </w:rPr>
        <w:t>JSAs</w:t>
      </w:r>
      <w:r w:rsidR="000C1F49" w:rsidRPr="007B081C">
        <w:rPr>
          <w:rFonts w:ascii="Verdana" w:hAnsi="Verdana" w:cs="Times New Roman"/>
          <w:b/>
          <w:sz w:val="18"/>
          <w:szCs w:val="18"/>
          <w:lang w:val="en-GB"/>
        </w:rPr>
        <w:t xml:space="preserve"> through training </w:t>
      </w:r>
      <w:r w:rsidR="009C0226" w:rsidRPr="007B081C">
        <w:rPr>
          <w:rFonts w:ascii="Verdana" w:hAnsi="Verdana" w:cs="Times New Roman"/>
          <w:b/>
          <w:sz w:val="18"/>
          <w:szCs w:val="18"/>
          <w:lang w:val="en-GB"/>
        </w:rPr>
        <w:t>on gender equality and non-discrimination in law and practice, especially any training on the application of CEDAW and related jurisprudence;</w:t>
      </w:r>
    </w:p>
    <w:p w14:paraId="4DC17819" w14:textId="048F53FC" w:rsidR="00FF5346" w:rsidRPr="007B081C" w:rsidRDefault="00FF5346" w:rsidP="007B081C">
      <w:pPr>
        <w:pStyle w:val="FootnoteText"/>
        <w:numPr>
          <w:ilvl w:val="0"/>
          <w:numId w:val="26"/>
        </w:numPr>
        <w:jc w:val="both"/>
        <w:rPr>
          <w:rFonts w:ascii="Verdana" w:hAnsi="Verdana" w:cs="Times New Roman"/>
          <w:b/>
          <w:sz w:val="18"/>
          <w:szCs w:val="18"/>
          <w:lang w:val="en-GB"/>
        </w:rPr>
      </w:pPr>
      <w:r w:rsidRPr="007B081C">
        <w:rPr>
          <w:rFonts w:ascii="Verdana" w:hAnsi="Verdana" w:cs="Times New Roman"/>
          <w:b/>
          <w:sz w:val="18"/>
          <w:szCs w:val="18"/>
          <w:lang w:val="en-GB"/>
        </w:rPr>
        <w:t>Establish gender-sensitive legal procedures and processes, including by amending the CC, CCP and Law No. 293/2014 to include gender-sensitive investigations and evidence-gathering procedures in order to enable women to report violence against them and enhance their access to justice;</w:t>
      </w:r>
    </w:p>
    <w:p w14:paraId="6B3E43C2" w14:textId="3A617CD1" w:rsidR="00B6032A" w:rsidRPr="007B081C" w:rsidRDefault="00B6032A" w:rsidP="007B081C">
      <w:pPr>
        <w:pStyle w:val="FootnoteText"/>
        <w:numPr>
          <w:ilvl w:val="0"/>
          <w:numId w:val="15"/>
        </w:numPr>
        <w:jc w:val="both"/>
        <w:rPr>
          <w:rFonts w:ascii="Verdana" w:hAnsi="Verdana" w:cs="Times New Roman"/>
          <w:b/>
          <w:sz w:val="18"/>
          <w:szCs w:val="18"/>
          <w:lang w:val="en-GB"/>
        </w:rPr>
      </w:pPr>
      <w:r w:rsidRPr="007B081C">
        <w:rPr>
          <w:rFonts w:ascii="Verdana" w:hAnsi="Verdana" w:cs="Times New Roman"/>
          <w:b/>
          <w:sz w:val="18"/>
          <w:szCs w:val="18"/>
          <w:lang w:val="en-GB"/>
        </w:rPr>
        <w:t xml:space="preserve">Amend laws and regulations governing </w:t>
      </w:r>
      <w:r w:rsidR="00E93CC0">
        <w:rPr>
          <w:rFonts w:ascii="Verdana" w:hAnsi="Verdana" w:cs="Times New Roman"/>
          <w:b/>
          <w:sz w:val="18"/>
          <w:szCs w:val="18"/>
          <w:lang w:val="en-GB"/>
        </w:rPr>
        <w:t>JSAs</w:t>
      </w:r>
      <w:r w:rsidR="00FF5346" w:rsidRPr="007B081C">
        <w:rPr>
          <w:rFonts w:ascii="Verdana" w:hAnsi="Verdana" w:cs="Times New Roman"/>
          <w:b/>
          <w:sz w:val="18"/>
          <w:szCs w:val="18"/>
          <w:lang w:val="en-GB"/>
        </w:rPr>
        <w:t xml:space="preserve"> </w:t>
      </w:r>
      <w:r w:rsidRPr="007B081C">
        <w:rPr>
          <w:rFonts w:ascii="Verdana" w:hAnsi="Verdana" w:cs="Times New Roman"/>
          <w:b/>
          <w:sz w:val="18"/>
          <w:szCs w:val="18"/>
          <w:lang w:val="en-GB"/>
        </w:rPr>
        <w:t>to give priority to dealing with SGBV in a timely manner without undue delays, and ensuring that</w:t>
      </w:r>
      <w:r w:rsidR="006A67A4" w:rsidRPr="007B081C">
        <w:rPr>
          <w:rFonts w:ascii="Verdana" w:hAnsi="Verdana" w:cs="Times New Roman"/>
          <w:b/>
          <w:sz w:val="18"/>
          <w:szCs w:val="18"/>
          <w:lang w:val="en-GB"/>
        </w:rPr>
        <w:t xml:space="preserve"> complainants’</w:t>
      </w:r>
      <w:r w:rsidRPr="007B081C">
        <w:rPr>
          <w:rFonts w:ascii="Verdana" w:hAnsi="Verdana" w:cs="Times New Roman"/>
          <w:b/>
          <w:sz w:val="18"/>
          <w:szCs w:val="18"/>
          <w:lang w:val="en-GB"/>
        </w:rPr>
        <w:t xml:space="preserve"> legal and social needs are </w:t>
      </w:r>
      <w:r w:rsidR="006A67A4" w:rsidRPr="007B081C">
        <w:rPr>
          <w:rFonts w:ascii="Verdana" w:hAnsi="Verdana" w:cs="Times New Roman"/>
          <w:b/>
          <w:sz w:val="18"/>
          <w:szCs w:val="18"/>
          <w:lang w:val="en-GB"/>
        </w:rPr>
        <w:t xml:space="preserve">adequately addressed </w:t>
      </w:r>
      <w:r w:rsidRPr="007B081C">
        <w:rPr>
          <w:rFonts w:ascii="Verdana" w:hAnsi="Verdana" w:cs="Times New Roman"/>
          <w:b/>
          <w:sz w:val="18"/>
          <w:szCs w:val="18"/>
          <w:lang w:val="en-GB"/>
        </w:rPr>
        <w:t>during investigations and prosecutions;</w:t>
      </w:r>
    </w:p>
    <w:p w14:paraId="4EBA6987" w14:textId="48FE319F" w:rsidR="00B6032A" w:rsidRPr="007B081C" w:rsidRDefault="00B6032A" w:rsidP="007B081C">
      <w:pPr>
        <w:pStyle w:val="FootnoteText"/>
        <w:numPr>
          <w:ilvl w:val="0"/>
          <w:numId w:val="15"/>
        </w:numPr>
        <w:jc w:val="both"/>
        <w:rPr>
          <w:rFonts w:ascii="Verdana" w:hAnsi="Verdana" w:cs="Times New Roman"/>
          <w:b/>
          <w:sz w:val="18"/>
          <w:szCs w:val="18"/>
          <w:lang w:val="en-GB"/>
        </w:rPr>
      </w:pPr>
      <w:r w:rsidRPr="007B081C">
        <w:rPr>
          <w:rFonts w:ascii="Verdana" w:hAnsi="Verdana" w:cs="Times New Roman"/>
          <w:b/>
          <w:sz w:val="18"/>
          <w:szCs w:val="18"/>
          <w:lang w:val="en-GB"/>
        </w:rPr>
        <w:t xml:space="preserve">Provide adequate training to all </w:t>
      </w:r>
      <w:r w:rsidR="00E93CC0">
        <w:rPr>
          <w:rFonts w:ascii="Verdana" w:hAnsi="Verdana" w:cs="Times New Roman"/>
          <w:b/>
          <w:sz w:val="18"/>
          <w:szCs w:val="18"/>
          <w:lang w:val="en-GB"/>
        </w:rPr>
        <w:t>JSAs</w:t>
      </w:r>
      <w:r w:rsidR="00FF5346" w:rsidRPr="007B081C">
        <w:rPr>
          <w:rFonts w:ascii="Verdana" w:hAnsi="Verdana" w:cs="Times New Roman"/>
          <w:b/>
          <w:sz w:val="18"/>
          <w:szCs w:val="18"/>
          <w:lang w:val="en-GB"/>
        </w:rPr>
        <w:t xml:space="preserve"> </w:t>
      </w:r>
      <w:r w:rsidRPr="007B081C">
        <w:rPr>
          <w:rFonts w:ascii="Verdana" w:hAnsi="Verdana" w:cs="Times New Roman"/>
          <w:b/>
          <w:sz w:val="18"/>
          <w:szCs w:val="18"/>
          <w:lang w:val="en-GB"/>
        </w:rPr>
        <w:t>on how to appropriately deal with SGBV complainants;</w:t>
      </w:r>
    </w:p>
    <w:p w14:paraId="606F4A37" w14:textId="590D7267" w:rsidR="00B6032A" w:rsidRPr="007B081C" w:rsidRDefault="00B6032A" w:rsidP="007B081C">
      <w:pPr>
        <w:pStyle w:val="FootnoteText"/>
        <w:numPr>
          <w:ilvl w:val="0"/>
          <w:numId w:val="15"/>
        </w:numPr>
        <w:jc w:val="both"/>
        <w:rPr>
          <w:rFonts w:ascii="Verdana" w:hAnsi="Verdana" w:cs="Times New Roman"/>
          <w:b/>
          <w:sz w:val="18"/>
          <w:szCs w:val="18"/>
          <w:lang w:val="en-GB"/>
        </w:rPr>
      </w:pPr>
      <w:r w:rsidRPr="007B081C">
        <w:rPr>
          <w:rFonts w:ascii="Verdana" w:hAnsi="Verdana" w:cs="Times New Roman"/>
          <w:b/>
          <w:sz w:val="18"/>
          <w:szCs w:val="18"/>
          <w:lang w:val="en-GB"/>
        </w:rPr>
        <w:t>Ensure that prosecuting authorities investigat</w:t>
      </w:r>
      <w:r w:rsidR="00ED2B95" w:rsidRPr="007B081C">
        <w:rPr>
          <w:rFonts w:ascii="Verdana" w:hAnsi="Verdana" w:cs="Times New Roman"/>
          <w:b/>
          <w:sz w:val="18"/>
          <w:szCs w:val="18"/>
          <w:lang w:val="en-GB"/>
        </w:rPr>
        <w:t>e</w:t>
      </w:r>
      <w:r w:rsidRPr="007B081C">
        <w:rPr>
          <w:rFonts w:ascii="Verdana" w:hAnsi="Verdana" w:cs="Times New Roman"/>
          <w:b/>
          <w:sz w:val="18"/>
          <w:szCs w:val="18"/>
          <w:lang w:val="en-GB"/>
        </w:rPr>
        <w:t xml:space="preserve"> </w:t>
      </w:r>
      <w:r w:rsidR="00ED2B95" w:rsidRPr="007B081C">
        <w:rPr>
          <w:rFonts w:ascii="Verdana" w:hAnsi="Verdana" w:cs="Times New Roman"/>
          <w:b/>
          <w:sz w:val="18"/>
          <w:szCs w:val="18"/>
          <w:lang w:val="en-GB"/>
        </w:rPr>
        <w:t xml:space="preserve">and prosecute </w:t>
      </w:r>
      <w:r w:rsidRPr="007B081C">
        <w:rPr>
          <w:rFonts w:ascii="Verdana" w:hAnsi="Verdana" w:cs="Times New Roman"/>
          <w:b/>
          <w:sz w:val="18"/>
          <w:szCs w:val="18"/>
          <w:lang w:val="en-GB"/>
        </w:rPr>
        <w:t>SGBV diligently and effectively whenever warranted by the evidence, even where no formal complaint has been lodged;</w:t>
      </w:r>
    </w:p>
    <w:p w14:paraId="6AB742D8" w14:textId="2D3D1453" w:rsidR="00030A2B" w:rsidRPr="007B081C" w:rsidRDefault="00030A2B" w:rsidP="007B081C">
      <w:pPr>
        <w:pStyle w:val="FootnoteText"/>
        <w:numPr>
          <w:ilvl w:val="0"/>
          <w:numId w:val="15"/>
        </w:numPr>
        <w:jc w:val="both"/>
        <w:rPr>
          <w:rFonts w:ascii="Verdana" w:hAnsi="Verdana" w:cs="Times New Roman"/>
          <w:b/>
          <w:sz w:val="18"/>
          <w:szCs w:val="18"/>
          <w:lang w:val="en-GB"/>
        </w:rPr>
      </w:pPr>
      <w:r w:rsidRPr="007B081C">
        <w:rPr>
          <w:rFonts w:ascii="Verdana" w:hAnsi="Verdana" w:cs="Times New Roman"/>
          <w:b/>
          <w:sz w:val="18"/>
          <w:szCs w:val="18"/>
          <w:lang w:val="en-GB"/>
        </w:rPr>
        <w:t xml:space="preserve">Ensure that </w:t>
      </w:r>
      <w:r w:rsidR="00FA3C65" w:rsidRPr="007B081C">
        <w:rPr>
          <w:rFonts w:ascii="Verdana" w:hAnsi="Verdana" w:cs="Times New Roman"/>
          <w:b/>
          <w:sz w:val="18"/>
          <w:szCs w:val="18"/>
          <w:lang w:val="en-GB"/>
        </w:rPr>
        <w:t xml:space="preserve">SGBV complainants are afforded a right to appeal at all stages of the criminal process;  </w:t>
      </w:r>
    </w:p>
    <w:p w14:paraId="287F0895" w14:textId="34ED1DA5" w:rsidR="00B6032A" w:rsidRPr="007B081C" w:rsidRDefault="00B6032A" w:rsidP="007B081C">
      <w:pPr>
        <w:pStyle w:val="FootnoteText"/>
        <w:numPr>
          <w:ilvl w:val="0"/>
          <w:numId w:val="15"/>
        </w:numPr>
        <w:jc w:val="both"/>
        <w:rPr>
          <w:rFonts w:ascii="Verdana" w:hAnsi="Verdana" w:cs="Times New Roman"/>
          <w:b/>
          <w:sz w:val="18"/>
          <w:szCs w:val="18"/>
          <w:lang w:val="en-GB"/>
        </w:rPr>
      </w:pPr>
      <w:r w:rsidRPr="007B081C">
        <w:rPr>
          <w:rFonts w:ascii="Verdana" w:hAnsi="Verdana" w:cs="Times New Roman"/>
          <w:b/>
          <w:sz w:val="18"/>
          <w:szCs w:val="18"/>
          <w:lang w:val="en-GB"/>
        </w:rPr>
        <w:t xml:space="preserve">Repeal article 3(7)(b) </w:t>
      </w:r>
      <w:r w:rsidR="00FF5346" w:rsidRPr="007B081C">
        <w:rPr>
          <w:rFonts w:ascii="Verdana" w:hAnsi="Verdana" w:cs="Times New Roman"/>
          <w:b/>
          <w:sz w:val="18"/>
          <w:szCs w:val="18"/>
          <w:lang w:val="en-GB"/>
        </w:rPr>
        <w:t xml:space="preserve">of Law No. 293/2014 </w:t>
      </w:r>
      <w:r w:rsidRPr="007B081C">
        <w:rPr>
          <w:rFonts w:ascii="Verdana" w:hAnsi="Verdana" w:cs="Times New Roman"/>
          <w:b/>
          <w:sz w:val="18"/>
          <w:szCs w:val="18"/>
          <w:lang w:val="en-GB"/>
        </w:rPr>
        <w:t>so as to ensure that the OPP can continue to prosecute SGBV even where complainant</w:t>
      </w:r>
      <w:r w:rsidR="00495496" w:rsidRPr="007B081C">
        <w:rPr>
          <w:rFonts w:ascii="Verdana" w:hAnsi="Verdana" w:cs="Times New Roman"/>
          <w:b/>
          <w:sz w:val="18"/>
          <w:szCs w:val="18"/>
          <w:lang w:val="en-GB"/>
        </w:rPr>
        <w:t>s</w:t>
      </w:r>
      <w:r w:rsidRPr="007B081C">
        <w:rPr>
          <w:rFonts w:ascii="Verdana" w:hAnsi="Verdana" w:cs="Times New Roman"/>
          <w:b/>
          <w:sz w:val="18"/>
          <w:szCs w:val="18"/>
          <w:lang w:val="en-GB"/>
        </w:rPr>
        <w:t xml:space="preserve"> withdraw their complaint.</w:t>
      </w:r>
    </w:p>
    <w:p w14:paraId="5505AA8E" w14:textId="49DBE48A" w:rsidR="005401F0" w:rsidRPr="007B081C" w:rsidRDefault="005401F0" w:rsidP="007B081C">
      <w:pPr>
        <w:jc w:val="both"/>
        <w:rPr>
          <w:rFonts w:ascii="Verdana" w:hAnsi="Verdana"/>
          <w:sz w:val="18"/>
          <w:szCs w:val="18"/>
        </w:rPr>
      </w:pPr>
    </w:p>
    <w:p w14:paraId="4D05920E" w14:textId="6DDC26D1" w:rsidR="005401F0" w:rsidRPr="007B081C" w:rsidRDefault="005401F0" w:rsidP="007B081C">
      <w:pPr>
        <w:pStyle w:val="ListParagraph"/>
        <w:numPr>
          <w:ilvl w:val="0"/>
          <w:numId w:val="29"/>
        </w:numPr>
        <w:jc w:val="both"/>
        <w:rPr>
          <w:rFonts w:ascii="Verdana" w:hAnsi="Verdana"/>
          <w:b/>
          <w:iCs/>
          <w:sz w:val="18"/>
          <w:szCs w:val="18"/>
        </w:rPr>
      </w:pPr>
      <w:r w:rsidRPr="007B081C">
        <w:rPr>
          <w:rFonts w:ascii="Verdana" w:hAnsi="Verdana"/>
          <w:b/>
          <w:iCs/>
          <w:sz w:val="18"/>
          <w:szCs w:val="18"/>
        </w:rPr>
        <w:t>Lack of effective measure</w:t>
      </w:r>
      <w:r w:rsidR="00994C2D" w:rsidRPr="007B081C">
        <w:rPr>
          <w:rFonts w:ascii="Verdana" w:hAnsi="Verdana"/>
          <w:b/>
          <w:iCs/>
          <w:sz w:val="18"/>
          <w:szCs w:val="18"/>
        </w:rPr>
        <w:t>s</w:t>
      </w:r>
      <w:r w:rsidRPr="007B081C">
        <w:rPr>
          <w:rFonts w:ascii="Verdana" w:hAnsi="Verdana"/>
          <w:b/>
          <w:iCs/>
          <w:sz w:val="18"/>
          <w:szCs w:val="18"/>
        </w:rPr>
        <w:t xml:space="preserve"> for protecting against SGBV </w:t>
      </w:r>
    </w:p>
    <w:p w14:paraId="33386D84" w14:textId="16CE38B2" w:rsidR="005401F0" w:rsidRPr="007B081C" w:rsidRDefault="005401F0" w:rsidP="007B081C">
      <w:pPr>
        <w:jc w:val="both"/>
        <w:rPr>
          <w:rFonts w:ascii="Verdana" w:hAnsi="Verdana"/>
          <w:i/>
          <w:iCs/>
          <w:sz w:val="18"/>
          <w:szCs w:val="18"/>
        </w:rPr>
      </w:pPr>
    </w:p>
    <w:p w14:paraId="0061D30B" w14:textId="5B39ED5A" w:rsidR="005401F0" w:rsidRPr="007B081C" w:rsidRDefault="005401F0" w:rsidP="007B081C">
      <w:pPr>
        <w:pStyle w:val="ListParagraph"/>
        <w:numPr>
          <w:ilvl w:val="0"/>
          <w:numId w:val="3"/>
        </w:numPr>
        <w:jc w:val="both"/>
        <w:rPr>
          <w:rFonts w:ascii="Verdana" w:hAnsi="Verdana"/>
          <w:sz w:val="18"/>
          <w:szCs w:val="18"/>
        </w:rPr>
      </w:pPr>
      <w:r w:rsidRPr="007B081C">
        <w:rPr>
          <w:rFonts w:ascii="Verdana" w:hAnsi="Verdana"/>
          <w:sz w:val="18"/>
          <w:szCs w:val="18"/>
        </w:rPr>
        <w:t>Law No. 293/2014 establishes a framework for granting temporary protective measures to a complainant of SGBV</w:t>
      </w:r>
      <w:r w:rsidR="00E266F8" w:rsidRPr="007B081C">
        <w:rPr>
          <w:rFonts w:ascii="Verdana" w:hAnsi="Verdana"/>
          <w:sz w:val="18"/>
          <w:szCs w:val="18"/>
        </w:rPr>
        <w:t>, which</w:t>
      </w:r>
      <w:r w:rsidRPr="007B081C">
        <w:rPr>
          <w:rFonts w:ascii="Verdana" w:hAnsi="Verdana"/>
          <w:sz w:val="18"/>
          <w:szCs w:val="18"/>
        </w:rPr>
        <w:t xml:space="preserve"> may be granted by</w:t>
      </w:r>
      <w:r w:rsidR="006009BB" w:rsidRPr="007B081C">
        <w:rPr>
          <w:rFonts w:ascii="Verdana" w:hAnsi="Verdana"/>
          <w:sz w:val="18"/>
          <w:szCs w:val="18"/>
        </w:rPr>
        <w:t xml:space="preserve"> the OPP</w:t>
      </w:r>
      <w:r w:rsidR="002255B3" w:rsidRPr="007B081C">
        <w:rPr>
          <w:rFonts w:ascii="Verdana" w:hAnsi="Verdana"/>
          <w:sz w:val="18"/>
          <w:szCs w:val="18"/>
        </w:rPr>
        <w:t xml:space="preserve"> (article 11) while the complainants await a protection order from Investigating Judges, the Criminal Court, or Judges for Urgent Matters (article 13).</w:t>
      </w:r>
      <w:r w:rsidRPr="007B081C">
        <w:rPr>
          <w:rFonts w:ascii="Verdana" w:hAnsi="Verdana"/>
          <w:sz w:val="18"/>
          <w:szCs w:val="18"/>
        </w:rPr>
        <w:t xml:space="preserve"> </w:t>
      </w:r>
      <w:r w:rsidR="00E266F8" w:rsidRPr="007B081C">
        <w:rPr>
          <w:rFonts w:ascii="Verdana" w:hAnsi="Verdana"/>
          <w:sz w:val="18"/>
          <w:szCs w:val="18"/>
        </w:rPr>
        <w:t xml:space="preserve">The framework presents procedural and substantive limitations that </w:t>
      </w:r>
      <w:r w:rsidR="0092771F" w:rsidRPr="007B081C">
        <w:rPr>
          <w:rFonts w:ascii="Verdana" w:hAnsi="Verdana"/>
          <w:sz w:val="18"/>
          <w:szCs w:val="18"/>
        </w:rPr>
        <w:t xml:space="preserve">undermine </w:t>
      </w:r>
      <w:r w:rsidR="00E266F8" w:rsidRPr="007B081C">
        <w:rPr>
          <w:rFonts w:ascii="Verdana" w:hAnsi="Verdana"/>
          <w:sz w:val="18"/>
          <w:szCs w:val="18"/>
        </w:rPr>
        <w:t xml:space="preserve">the effectiveness of measures </w:t>
      </w:r>
      <w:r w:rsidR="0092771F" w:rsidRPr="007B081C">
        <w:rPr>
          <w:rFonts w:ascii="Verdana" w:hAnsi="Verdana"/>
          <w:sz w:val="18"/>
          <w:szCs w:val="18"/>
        </w:rPr>
        <w:t xml:space="preserve">to </w:t>
      </w:r>
      <w:r w:rsidR="00E266F8" w:rsidRPr="007B081C">
        <w:rPr>
          <w:rFonts w:ascii="Verdana" w:hAnsi="Verdana"/>
          <w:sz w:val="18"/>
          <w:szCs w:val="18"/>
        </w:rPr>
        <w:t xml:space="preserve">protect victims from further SGBV. </w:t>
      </w:r>
    </w:p>
    <w:p w14:paraId="66C7EA73" w14:textId="77777777" w:rsidR="00E266F8" w:rsidRPr="007B081C" w:rsidRDefault="00E266F8" w:rsidP="007B081C">
      <w:pPr>
        <w:pStyle w:val="ListParagraph"/>
        <w:ind w:left="360"/>
        <w:jc w:val="both"/>
        <w:rPr>
          <w:rFonts w:ascii="Verdana" w:hAnsi="Verdana"/>
          <w:sz w:val="18"/>
          <w:szCs w:val="18"/>
        </w:rPr>
      </w:pPr>
    </w:p>
    <w:p w14:paraId="779ED398" w14:textId="5AC2767A" w:rsidR="00E266F8" w:rsidRPr="007B081C" w:rsidRDefault="00E266F8" w:rsidP="007B081C">
      <w:pPr>
        <w:pStyle w:val="ListParagraph"/>
        <w:numPr>
          <w:ilvl w:val="0"/>
          <w:numId w:val="3"/>
        </w:numPr>
        <w:jc w:val="both"/>
        <w:rPr>
          <w:rFonts w:ascii="Verdana" w:hAnsi="Verdana"/>
          <w:sz w:val="18"/>
          <w:szCs w:val="18"/>
        </w:rPr>
      </w:pPr>
      <w:r w:rsidRPr="007B081C">
        <w:rPr>
          <w:rFonts w:ascii="Verdana" w:hAnsi="Verdana"/>
          <w:sz w:val="18"/>
          <w:szCs w:val="18"/>
        </w:rPr>
        <w:t xml:space="preserve">The protection framework is limited in scope and, as a result, only complainants of </w:t>
      </w:r>
      <w:r w:rsidR="0069765F" w:rsidRPr="007B081C">
        <w:rPr>
          <w:rFonts w:ascii="Verdana" w:hAnsi="Verdana"/>
          <w:sz w:val="18"/>
          <w:szCs w:val="18"/>
        </w:rPr>
        <w:t>SGBV</w:t>
      </w:r>
      <w:r w:rsidRPr="007B081C">
        <w:rPr>
          <w:rFonts w:ascii="Verdana" w:hAnsi="Verdana"/>
          <w:sz w:val="18"/>
          <w:szCs w:val="18"/>
        </w:rPr>
        <w:t xml:space="preserve"> who fall within the meaning of “family”</w:t>
      </w:r>
      <w:r w:rsidR="006009BB" w:rsidRPr="007B081C">
        <w:rPr>
          <w:rStyle w:val="FootnoteReference"/>
          <w:rFonts w:ascii="Verdana" w:hAnsi="Verdana"/>
          <w:sz w:val="18"/>
          <w:szCs w:val="18"/>
        </w:rPr>
        <w:footnoteReference w:id="25"/>
      </w:r>
      <w:r w:rsidRPr="007B081C">
        <w:rPr>
          <w:rFonts w:ascii="Verdana" w:hAnsi="Verdana"/>
          <w:sz w:val="18"/>
          <w:szCs w:val="18"/>
        </w:rPr>
        <w:t xml:space="preserve"> in article 2 of Law No. 293/2014 may have recourse to protection orders. Given the limited definition upon which the framework rests, some SGBV complainants who face an ongoing risk of violence may be precluded from qualifying for protection under this framework. Limiting such protection to particular categories of complainants is discriminatory and constitutes an impediment to the right of access to justice and effective remedies for complainants of SGBV. Under articles 2(b) and (c) of CEDAW, it is incumbent upon the State to ensure that the justice system be capable of providing protection to women who are at risk of becoming victims of SGBV, as well as</w:t>
      </w:r>
      <w:r w:rsidR="00D72680" w:rsidRPr="007B081C">
        <w:rPr>
          <w:rFonts w:ascii="Verdana" w:hAnsi="Verdana"/>
          <w:sz w:val="18"/>
          <w:szCs w:val="18"/>
        </w:rPr>
        <w:t xml:space="preserve"> to</w:t>
      </w:r>
      <w:r w:rsidRPr="007B081C">
        <w:rPr>
          <w:rFonts w:ascii="Verdana" w:hAnsi="Verdana"/>
          <w:sz w:val="18"/>
          <w:szCs w:val="18"/>
        </w:rPr>
        <w:t xml:space="preserve"> those against whom SGBV acts have</w:t>
      </w:r>
      <w:r w:rsidR="00D72680" w:rsidRPr="007B081C">
        <w:rPr>
          <w:rFonts w:ascii="Verdana" w:hAnsi="Verdana"/>
          <w:sz w:val="18"/>
          <w:szCs w:val="18"/>
        </w:rPr>
        <w:t xml:space="preserve"> already</w:t>
      </w:r>
      <w:r w:rsidRPr="007B081C">
        <w:rPr>
          <w:rFonts w:ascii="Verdana" w:hAnsi="Verdana"/>
          <w:sz w:val="18"/>
          <w:szCs w:val="18"/>
        </w:rPr>
        <w:t xml:space="preserve"> been inflicted, without distinction. </w:t>
      </w:r>
    </w:p>
    <w:p w14:paraId="1DB444AF" w14:textId="77777777" w:rsidR="00E266F8" w:rsidRPr="007B081C" w:rsidRDefault="00E266F8" w:rsidP="007B081C">
      <w:pPr>
        <w:pStyle w:val="ListParagraph"/>
        <w:rPr>
          <w:rFonts w:ascii="Verdana" w:hAnsi="Verdana"/>
          <w:sz w:val="18"/>
          <w:szCs w:val="18"/>
        </w:rPr>
      </w:pPr>
    </w:p>
    <w:p w14:paraId="087222F8" w14:textId="71481EBA" w:rsidR="00E266F8" w:rsidRPr="007B081C" w:rsidRDefault="006009BB" w:rsidP="007B081C">
      <w:pPr>
        <w:pStyle w:val="ListParagraph"/>
        <w:numPr>
          <w:ilvl w:val="0"/>
          <w:numId w:val="3"/>
        </w:numPr>
        <w:jc w:val="both"/>
        <w:rPr>
          <w:rFonts w:ascii="Verdana" w:hAnsi="Verdana"/>
          <w:sz w:val="18"/>
          <w:szCs w:val="18"/>
        </w:rPr>
      </w:pPr>
      <w:r w:rsidRPr="007B081C">
        <w:rPr>
          <w:rFonts w:ascii="Verdana" w:hAnsi="Verdana"/>
          <w:sz w:val="18"/>
          <w:szCs w:val="18"/>
        </w:rPr>
        <w:t>Access to protection orders is limited to persons who are victims of GBV as defined in the CC and Law No. 293/2014, which, as set out above, is overly restrictive and excludes categories of persons who are SGBV victims, including some married women and minors and</w:t>
      </w:r>
      <w:r w:rsidR="002D47FE" w:rsidRPr="007B081C">
        <w:rPr>
          <w:rFonts w:ascii="Verdana" w:hAnsi="Verdana"/>
          <w:sz w:val="18"/>
          <w:szCs w:val="18"/>
        </w:rPr>
        <w:t>,</w:t>
      </w:r>
      <w:r w:rsidR="00D72680" w:rsidRPr="007B081C">
        <w:rPr>
          <w:rFonts w:ascii="Verdana" w:hAnsi="Verdana"/>
          <w:sz w:val="18"/>
          <w:szCs w:val="18"/>
        </w:rPr>
        <w:t xml:space="preserve"> as such, it does </w:t>
      </w:r>
      <w:r w:rsidR="00947CE2" w:rsidRPr="007B081C">
        <w:rPr>
          <w:rFonts w:ascii="Verdana" w:hAnsi="Verdana"/>
          <w:sz w:val="18"/>
          <w:szCs w:val="18"/>
        </w:rPr>
        <w:t>no</w:t>
      </w:r>
      <w:r w:rsidR="00D72680" w:rsidRPr="007B081C">
        <w:rPr>
          <w:rFonts w:ascii="Verdana" w:hAnsi="Verdana"/>
          <w:sz w:val="18"/>
          <w:szCs w:val="18"/>
        </w:rPr>
        <w:t xml:space="preserve">t </w:t>
      </w:r>
      <w:r w:rsidR="00947CE2" w:rsidRPr="007B081C">
        <w:rPr>
          <w:rFonts w:ascii="Verdana" w:hAnsi="Verdana"/>
          <w:sz w:val="18"/>
          <w:szCs w:val="18"/>
        </w:rPr>
        <w:t>compl</w:t>
      </w:r>
      <w:r w:rsidR="00D72680" w:rsidRPr="007B081C">
        <w:rPr>
          <w:rFonts w:ascii="Verdana" w:hAnsi="Verdana"/>
          <w:sz w:val="18"/>
          <w:szCs w:val="18"/>
        </w:rPr>
        <w:t xml:space="preserve">y </w:t>
      </w:r>
      <w:r w:rsidR="00947CE2" w:rsidRPr="007B081C">
        <w:rPr>
          <w:rFonts w:ascii="Verdana" w:hAnsi="Verdana"/>
          <w:sz w:val="18"/>
          <w:szCs w:val="18"/>
        </w:rPr>
        <w:t xml:space="preserve">with </w:t>
      </w:r>
      <w:r w:rsidR="00994C2D" w:rsidRPr="007B081C">
        <w:rPr>
          <w:rFonts w:ascii="Verdana" w:hAnsi="Verdana"/>
          <w:sz w:val="18"/>
          <w:szCs w:val="18"/>
        </w:rPr>
        <w:t xml:space="preserve">articles 2(b), (c), (d) and (e) of CEDAW. </w:t>
      </w:r>
    </w:p>
    <w:p w14:paraId="12A5BBFF" w14:textId="77777777" w:rsidR="009570F3" w:rsidRPr="007B081C" w:rsidRDefault="009570F3" w:rsidP="007B081C">
      <w:pPr>
        <w:pStyle w:val="ListParagraph"/>
        <w:rPr>
          <w:rFonts w:ascii="Verdana" w:hAnsi="Verdana"/>
          <w:sz w:val="18"/>
          <w:szCs w:val="18"/>
        </w:rPr>
      </w:pPr>
    </w:p>
    <w:p w14:paraId="4E8BD2BC" w14:textId="7A7EDA96" w:rsidR="009570F3" w:rsidRPr="007B081C" w:rsidRDefault="00994C2D" w:rsidP="007B081C">
      <w:pPr>
        <w:pStyle w:val="ListParagraph"/>
        <w:numPr>
          <w:ilvl w:val="0"/>
          <w:numId w:val="3"/>
        </w:numPr>
        <w:jc w:val="both"/>
        <w:rPr>
          <w:rFonts w:ascii="Verdana" w:hAnsi="Verdana"/>
          <w:sz w:val="18"/>
          <w:szCs w:val="18"/>
        </w:rPr>
      </w:pPr>
      <w:r w:rsidRPr="007B081C">
        <w:rPr>
          <w:rFonts w:ascii="Verdana" w:hAnsi="Verdana"/>
          <w:sz w:val="18"/>
          <w:szCs w:val="18"/>
        </w:rPr>
        <w:lastRenderedPageBreak/>
        <w:t xml:space="preserve">While Law No. 293/2014 provides that protection orders are temporary measures, it does not specify their duration. </w:t>
      </w:r>
      <w:r w:rsidR="009570F3" w:rsidRPr="007B081C">
        <w:rPr>
          <w:rFonts w:ascii="Verdana" w:hAnsi="Verdana"/>
          <w:sz w:val="18"/>
          <w:szCs w:val="18"/>
        </w:rPr>
        <w:t xml:space="preserve">Some protection orders are granted for a period as short as one week, which is </w:t>
      </w:r>
      <w:r w:rsidR="005D4CEB" w:rsidRPr="007B081C">
        <w:rPr>
          <w:rFonts w:ascii="Verdana" w:hAnsi="Verdana"/>
          <w:sz w:val="18"/>
          <w:szCs w:val="18"/>
        </w:rPr>
        <w:t xml:space="preserve">wholly </w:t>
      </w:r>
      <w:r w:rsidR="009570F3" w:rsidRPr="007B081C">
        <w:rPr>
          <w:rFonts w:ascii="Verdana" w:hAnsi="Verdana"/>
          <w:sz w:val="18"/>
          <w:szCs w:val="18"/>
        </w:rPr>
        <w:t xml:space="preserve">inadequate </w:t>
      </w:r>
      <w:r w:rsidR="00331692" w:rsidRPr="007B081C">
        <w:rPr>
          <w:rFonts w:ascii="Verdana" w:hAnsi="Verdana"/>
          <w:sz w:val="18"/>
          <w:szCs w:val="18"/>
        </w:rPr>
        <w:t xml:space="preserve">to address </w:t>
      </w:r>
      <w:r w:rsidR="005D4CEB" w:rsidRPr="007B081C">
        <w:rPr>
          <w:rFonts w:ascii="Verdana" w:hAnsi="Verdana"/>
          <w:sz w:val="18"/>
          <w:szCs w:val="18"/>
        </w:rPr>
        <w:t xml:space="preserve">any threats of violence, and more particularly </w:t>
      </w:r>
      <w:r w:rsidR="009570F3" w:rsidRPr="007B081C">
        <w:rPr>
          <w:rFonts w:ascii="Verdana" w:hAnsi="Verdana"/>
          <w:sz w:val="18"/>
          <w:szCs w:val="18"/>
        </w:rPr>
        <w:t>violence</w:t>
      </w:r>
      <w:r w:rsidR="005D4CEB" w:rsidRPr="007B081C">
        <w:rPr>
          <w:rFonts w:ascii="Verdana" w:hAnsi="Verdana"/>
          <w:sz w:val="18"/>
          <w:szCs w:val="18"/>
        </w:rPr>
        <w:t xml:space="preserve"> that</w:t>
      </w:r>
      <w:r w:rsidR="009570F3" w:rsidRPr="007B081C">
        <w:rPr>
          <w:rFonts w:ascii="Verdana" w:hAnsi="Verdana"/>
          <w:sz w:val="18"/>
          <w:szCs w:val="18"/>
        </w:rPr>
        <w:t>, in many cases, has been ongoing for years. Moreover</w:t>
      </w:r>
      <w:r w:rsidR="002255B3" w:rsidRPr="007B081C">
        <w:rPr>
          <w:rFonts w:ascii="Verdana" w:hAnsi="Verdana"/>
          <w:sz w:val="18"/>
          <w:szCs w:val="18"/>
        </w:rPr>
        <w:t>, t</w:t>
      </w:r>
      <w:r w:rsidR="005D4CEB" w:rsidRPr="007B081C">
        <w:rPr>
          <w:rFonts w:ascii="Verdana" w:hAnsi="Verdana"/>
          <w:sz w:val="18"/>
          <w:szCs w:val="18"/>
        </w:rPr>
        <w:t>he information available indicates that Judges have been un</w:t>
      </w:r>
      <w:r w:rsidR="009570F3" w:rsidRPr="007B081C">
        <w:rPr>
          <w:rFonts w:ascii="Verdana" w:hAnsi="Verdana"/>
          <w:sz w:val="18"/>
          <w:szCs w:val="18"/>
        </w:rPr>
        <w:t>able to hear application</w:t>
      </w:r>
      <w:r w:rsidR="005D4CEB" w:rsidRPr="007B081C">
        <w:rPr>
          <w:rFonts w:ascii="Verdana" w:hAnsi="Verdana"/>
          <w:sz w:val="18"/>
          <w:szCs w:val="18"/>
        </w:rPr>
        <w:t>s</w:t>
      </w:r>
      <w:r w:rsidR="009570F3" w:rsidRPr="007B081C">
        <w:rPr>
          <w:rFonts w:ascii="Verdana" w:hAnsi="Verdana"/>
          <w:sz w:val="18"/>
          <w:szCs w:val="18"/>
        </w:rPr>
        <w:t xml:space="preserve"> in a timely fashion</w:t>
      </w:r>
      <w:r w:rsidR="005D4CEB" w:rsidRPr="007B081C">
        <w:rPr>
          <w:rFonts w:ascii="Verdana" w:hAnsi="Verdana"/>
          <w:sz w:val="18"/>
          <w:szCs w:val="18"/>
        </w:rPr>
        <w:t>,</w:t>
      </w:r>
      <w:r w:rsidR="002255B3" w:rsidRPr="007B081C">
        <w:rPr>
          <w:rFonts w:ascii="Verdana" w:hAnsi="Verdana"/>
          <w:sz w:val="18"/>
          <w:szCs w:val="18"/>
        </w:rPr>
        <w:t xml:space="preserve"> </w:t>
      </w:r>
      <w:r w:rsidR="005D4CEB" w:rsidRPr="007B081C">
        <w:rPr>
          <w:rFonts w:ascii="Verdana" w:hAnsi="Verdana"/>
          <w:sz w:val="18"/>
          <w:szCs w:val="18"/>
        </w:rPr>
        <w:t xml:space="preserve">and that injunctions issued under protection orders are only effective </w:t>
      </w:r>
      <w:r w:rsidR="009570F3" w:rsidRPr="007B081C">
        <w:rPr>
          <w:rFonts w:ascii="Verdana" w:hAnsi="Verdana"/>
          <w:sz w:val="18"/>
          <w:szCs w:val="18"/>
        </w:rPr>
        <w:t xml:space="preserve">48 hours </w:t>
      </w:r>
      <w:r w:rsidR="005D4CEB" w:rsidRPr="007B081C">
        <w:rPr>
          <w:rFonts w:ascii="Verdana" w:hAnsi="Verdana"/>
          <w:sz w:val="18"/>
          <w:szCs w:val="18"/>
        </w:rPr>
        <w:t>a</w:t>
      </w:r>
      <w:r w:rsidR="0043264E" w:rsidRPr="007B081C">
        <w:rPr>
          <w:rFonts w:ascii="Verdana" w:hAnsi="Verdana"/>
          <w:sz w:val="18"/>
          <w:szCs w:val="18"/>
        </w:rPr>
        <w:t>fte</w:t>
      </w:r>
      <w:r w:rsidR="005D4CEB" w:rsidRPr="007B081C">
        <w:rPr>
          <w:rFonts w:ascii="Verdana" w:hAnsi="Verdana"/>
          <w:sz w:val="18"/>
          <w:szCs w:val="18"/>
        </w:rPr>
        <w:t xml:space="preserve">r </w:t>
      </w:r>
      <w:r w:rsidR="009570F3" w:rsidRPr="007B081C">
        <w:rPr>
          <w:rFonts w:ascii="Verdana" w:hAnsi="Verdana"/>
          <w:sz w:val="18"/>
          <w:szCs w:val="18"/>
        </w:rPr>
        <w:t xml:space="preserve">being granted, </w:t>
      </w:r>
      <w:r w:rsidR="005D4CEB" w:rsidRPr="007B081C">
        <w:rPr>
          <w:rFonts w:ascii="Verdana" w:hAnsi="Verdana"/>
          <w:sz w:val="18"/>
          <w:szCs w:val="18"/>
        </w:rPr>
        <w:t xml:space="preserve">during which </w:t>
      </w:r>
      <w:r w:rsidR="009570F3" w:rsidRPr="007B081C">
        <w:rPr>
          <w:rFonts w:ascii="Verdana" w:hAnsi="Verdana"/>
          <w:sz w:val="18"/>
          <w:szCs w:val="18"/>
        </w:rPr>
        <w:t>time the victim/survivor is unprotected and potentially at an even greater risk of violence.</w:t>
      </w:r>
      <w:r w:rsidR="002255B3" w:rsidRPr="007B081C">
        <w:rPr>
          <w:rStyle w:val="FootnoteReference"/>
          <w:rFonts w:ascii="Verdana" w:hAnsi="Verdana"/>
          <w:sz w:val="18"/>
          <w:szCs w:val="18"/>
        </w:rPr>
        <w:footnoteReference w:id="26"/>
      </w:r>
      <w:r w:rsidR="009570F3" w:rsidRPr="007B081C">
        <w:rPr>
          <w:rFonts w:ascii="Verdana" w:hAnsi="Verdana"/>
          <w:sz w:val="18"/>
          <w:szCs w:val="18"/>
        </w:rPr>
        <w:t xml:space="preserve"> </w:t>
      </w:r>
    </w:p>
    <w:p w14:paraId="3D2733C7" w14:textId="77777777" w:rsidR="009570F3" w:rsidRPr="007B081C" w:rsidRDefault="009570F3" w:rsidP="007B081C">
      <w:pPr>
        <w:jc w:val="both"/>
        <w:rPr>
          <w:rFonts w:ascii="Verdana" w:hAnsi="Verdana"/>
          <w:sz w:val="18"/>
          <w:szCs w:val="18"/>
        </w:rPr>
      </w:pPr>
    </w:p>
    <w:p w14:paraId="5F9BC174" w14:textId="6F94A5B9" w:rsidR="00994C2D" w:rsidRPr="007B081C" w:rsidRDefault="009570F3" w:rsidP="007B081C">
      <w:pPr>
        <w:pStyle w:val="ListParagraph"/>
        <w:numPr>
          <w:ilvl w:val="0"/>
          <w:numId w:val="3"/>
        </w:numPr>
        <w:jc w:val="both"/>
        <w:rPr>
          <w:rFonts w:ascii="Verdana" w:hAnsi="Verdana"/>
          <w:sz w:val="18"/>
          <w:szCs w:val="18"/>
        </w:rPr>
      </w:pPr>
      <w:r w:rsidRPr="007B081C">
        <w:rPr>
          <w:rFonts w:ascii="Verdana" w:hAnsi="Verdana"/>
          <w:sz w:val="18"/>
          <w:szCs w:val="18"/>
        </w:rPr>
        <w:t xml:space="preserve">Protection orders are largely not subject to monitoring by law enforcement authorities. Any monitoring is, rather, undertaken by non-governmental organizations (NGOs), which can put the complainant at ongoing risk given </w:t>
      </w:r>
      <w:r w:rsidR="0043264E" w:rsidRPr="007B081C">
        <w:rPr>
          <w:rFonts w:ascii="Verdana" w:hAnsi="Verdana"/>
          <w:sz w:val="18"/>
          <w:szCs w:val="18"/>
        </w:rPr>
        <w:t xml:space="preserve">that </w:t>
      </w:r>
      <w:r w:rsidRPr="007B081C">
        <w:rPr>
          <w:rFonts w:ascii="Verdana" w:hAnsi="Verdana"/>
          <w:sz w:val="18"/>
          <w:szCs w:val="18"/>
        </w:rPr>
        <w:t xml:space="preserve">NGOs </w:t>
      </w:r>
      <w:r w:rsidR="006C1FDC" w:rsidRPr="007B081C">
        <w:rPr>
          <w:rFonts w:ascii="Verdana" w:hAnsi="Verdana"/>
          <w:sz w:val="18"/>
          <w:szCs w:val="18"/>
        </w:rPr>
        <w:t>do not have law enforcement powers and are reliant on notifying the appropriate law enforcement authorities. Even where a breach can be established, the consequences of failing to comply with a protection order</w:t>
      </w:r>
      <w:r w:rsidR="001A19E8" w:rsidRPr="007B081C">
        <w:rPr>
          <w:rFonts w:ascii="Verdana" w:hAnsi="Verdana"/>
          <w:sz w:val="18"/>
          <w:szCs w:val="18"/>
        </w:rPr>
        <w:t xml:space="preserve"> – up to three months’ imprisonment and a fine, which increases when the violation involves violence or recidivism (article 18 of Law No. 293/2014) –</w:t>
      </w:r>
      <w:r w:rsidR="006C1FDC" w:rsidRPr="007B081C">
        <w:rPr>
          <w:rFonts w:ascii="Verdana" w:hAnsi="Verdana"/>
          <w:sz w:val="18"/>
          <w:szCs w:val="18"/>
        </w:rPr>
        <w:t xml:space="preserve"> are minimal </w:t>
      </w:r>
      <w:r w:rsidR="000A2D7E" w:rsidRPr="007B081C">
        <w:rPr>
          <w:rFonts w:ascii="Verdana" w:hAnsi="Verdana"/>
          <w:sz w:val="18"/>
          <w:szCs w:val="18"/>
        </w:rPr>
        <w:t xml:space="preserve">in comparison </w:t>
      </w:r>
      <w:r w:rsidR="006C1FDC" w:rsidRPr="007B081C">
        <w:rPr>
          <w:rFonts w:ascii="Verdana" w:hAnsi="Verdana"/>
          <w:sz w:val="18"/>
          <w:szCs w:val="18"/>
        </w:rPr>
        <w:t>to the harm that may be inflicted</w:t>
      </w:r>
      <w:r w:rsidR="00D63617" w:rsidRPr="007B081C">
        <w:rPr>
          <w:rFonts w:ascii="Verdana" w:hAnsi="Verdana"/>
          <w:sz w:val="18"/>
          <w:szCs w:val="18"/>
        </w:rPr>
        <w:t xml:space="preserve"> against the complainant</w:t>
      </w:r>
      <w:r w:rsidR="001A19E8" w:rsidRPr="007B081C">
        <w:rPr>
          <w:rFonts w:ascii="Verdana" w:hAnsi="Verdana"/>
          <w:sz w:val="18"/>
          <w:szCs w:val="18"/>
        </w:rPr>
        <w:t xml:space="preserve">. </w:t>
      </w:r>
      <w:r w:rsidR="00D63617" w:rsidRPr="007B081C">
        <w:rPr>
          <w:rFonts w:ascii="Verdana" w:hAnsi="Verdana"/>
          <w:sz w:val="18"/>
          <w:szCs w:val="18"/>
        </w:rPr>
        <w:t xml:space="preserve">Moreover, penalties for non-compliance are rarely mentioned in protection orders issued by the relevant judicial authority. </w:t>
      </w:r>
    </w:p>
    <w:p w14:paraId="3CD987EE" w14:textId="77777777" w:rsidR="00D63617" w:rsidRPr="007B081C" w:rsidRDefault="00D63617" w:rsidP="007B081C">
      <w:pPr>
        <w:pStyle w:val="ListParagraph"/>
        <w:rPr>
          <w:rFonts w:ascii="Verdana" w:hAnsi="Verdana"/>
          <w:sz w:val="18"/>
          <w:szCs w:val="18"/>
        </w:rPr>
      </w:pPr>
    </w:p>
    <w:p w14:paraId="37DF5C61" w14:textId="2EF8BA36" w:rsidR="00212232" w:rsidRPr="007B081C" w:rsidRDefault="00212232" w:rsidP="007B081C">
      <w:pPr>
        <w:pStyle w:val="ListParagraph"/>
        <w:numPr>
          <w:ilvl w:val="0"/>
          <w:numId w:val="3"/>
        </w:numPr>
        <w:jc w:val="both"/>
        <w:rPr>
          <w:rFonts w:ascii="Verdana" w:hAnsi="Verdana"/>
          <w:sz w:val="18"/>
          <w:szCs w:val="18"/>
        </w:rPr>
      </w:pPr>
      <w:r w:rsidRPr="007B081C">
        <w:rPr>
          <w:rFonts w:ascii="Verdana" w:hAnsi="Verdana"/>
          <w:sz w:val="18"/>
          <w:szCs w:val="18"/>
        </w:rPr>
        <w:t>While, a</w:t>
      </w:r>
      <w:r w:rsidR="00D63617" w:rsidRPr="007B081C">
        <w:rPr>
          <w:rFonts w:ascii="Verdana" w:hAnsi="Verdana"/>
          <w:sz w:val="18"/>
          <w:szCs w:val="18"/>
        </w:rPr>
        <w:t xml:space="preserve">rticle 20 of Law No. 293/2014 empowers </w:t>
      </w:r>
      <w:r w:rsidRPr="007B081C">
        <w:rPr>
          <w:rFonts w:ascii="Verdana" w:hAnsi="Verdana"/>
          <w:sz w:val="18"/>
          <w:szCs w:val="18"/>
        </w:rPr>
        <w:t xml:space="preserve">the Court </w:t>
      </w:r>
      <w:r w:rsidR="00D63617" w:rsidRPr="007B081C">
        <w:rPr>
          <w:rFonts w:ascii="Verdana" w:hAnsi="Verdana"/>
          <w:sz w:val="18"/>
          <w:szCs w:val="18"/>
        </w:rPr>
        <w:t>to compel domestic violence offenders to undertake “anti-violence rehabilitation at specialized centers</w:t>
      </w:r>
      <w:r w:rsidR="00FF5346" w:rsidRPr="007B081C">
        <w:rPr>
          <w:rFonts w:ascii="Verdana" w:hAnsi="Verdana"/>
          <w:sz w:val="18"/>
          <w:szCs w:val="18"/>
        </w:rPr>
        <w:t>,</w:t>
      </w:r>
      <w:r w:rsidR="00D63617" w:rsidRPr="007B081C">
        <w:rPr>
          <w:rFonts w:ascii="Verdana" w:hAnsi="Verdana"/>
          <w:sz w:val="18"/>
          <w:szCs w:val="18"/>
        </w:rPr>
        <w:t xml:space="preserve">” </w:t>
      </w:r>
      <w:r w:rsidRPr="007B081C">
        <w:rPr>
          <w:rFonts w:ascii="Verdana" w:hAnsi="Verdana"/>
          <w:sz w:val="18"/>
          <w:szCs w:val="18"/>
        </w:rPr>
        <w:t>measures for rehabilitation</w:t>
      </w:r>
      <w:r w:rsidR="00F55916" w:rsidRPr="007B081C">
        <w:rPr>
          <w:rFonts w:ascii="Verdana" w:hAnsi="Verdana"/>
          <w:sz w:val="18"/>
          <w:szCs w:val="18"/>
        </w:rPr>
        <w:t xml:space="preserve"> </w:t>
      </w:r>
      <w:r w:rsidRPr="007B081C">
        <w:rPr>
          <w:rFonts w:ascii="Verdana" w:hAnsi="Verdana"/>
          <w:sz w:val="18"/>
          <w:szCs w:val="18"/>
        </w:rPr>
        <w:t xml:space="preserve">are not mandatory. </w:t>
      </w:r>
      <w:r w:rsidRPr="007B081C">
        <w:rPr>
          <w:rFonts w:ascii="Verdana" w:hAnsi="Verdana" w:cstheme="minorHAnsi"/>
          <w:bCs/>
          <w:sz w:val="18"/>
          <w:szCs w:val="18"/>
        </w:rPr>
        <w:t>While these programmes appear to be a tool at the disposal of judges hearing applications for protection orders, the small sample of protection orders reviewed by the ICJ indicate</w:t>
      </w:r>
      <w:r w:rsidR="00B94842" w:rsidRPr="007B081C">
        <w:rPr>
          <w:rFonts w:ascii="Verdana" w:hAnsi="Verdana" w:cstheme="minorHAnsi"/>
          <w:bCs/>
          <w:sz w:val="18"/>
          <w:szCs w:val="18"/>
        </w:rPr>
        <w:t>s</w:t>
      </w:r>
      <w:r w:rsidRPr="007B081C">
        <w:rPr>
          <w:rFonts w:ascii="Verdana" w:hAnsi="Verdana" w:cstheme="minorHAnsi"/>
          <w:bCs/>
          <w:sz w:val="18"/>
          <w:szCs w:val="18"/>
        </w:rPr>
        <w:t xml:space="preserve"> that article 20 of Law No. 293/2014 is rarely invoked in the context of protection order applications. This is confirmed by a 2020 report by KAFA,</w:t>
      </w:r>
      <w:r w:rsidRPr="007B081C">
        <w:rPr>
          <w:rStyle w:val="FootnoteReference"/>
          <w:rFonts w:ascii="Verdana" w:hAnsi="Verdana" w:cstheme="minorHAnsi"/>
          <w:bCs/>
          <w:sz w:val="18"/>
          <w:szCs w:val="18"/>
        </w:rPr>
        <w:footnoteReference w:id="27"/>
      </w:r>
      <w:r w:rsidRPr="007B081C">
        <w:rPr>
          <w:rFonts w:ascii="Verdana" w:hAnsi="Verdana" w:cstheme="minorHAnsi"/>
          <w:bCs/>
          <w:sz w:val="18"/>
          <w:szCs w:val="18"/>
        </w:rPr>
        <w:t xml:space="preserve"> which examined 380 protection orders issued in 2018 and 2019, and where the organization noted the small number of decisions that referred offenders to anti-violence rehabilitation.</w:t>
      </w:r>
    </w:p>
    <w:p w14:paraId="0EE7D680" w14:textId="77777777" w:rsidR="00212232" w:rsidRPr="007B081C" w:rsidRDefault="00212232" w:rsidP="007B081C">
      <w:pPr>
        <w:pStyle w:val="ListParagraph"/>
        <w:rPr>
          <w:rFonts w:ascii="Verdana" w:hAnsi="Verdana"/>
          <w:sz w:val="18"/>
          <w:szCs w:val="18"/>
        </w:rPr>
      </w:pPr>
    </w:p>
    <w:p w14:paraId="3BF7D722" w14:textId="76CFC1CC" w:rsidR="00C73871" w:rsidRPr="007B081C" w:rsidRDefault="00C73871" w:rsidP="007B081C">
      <w:pPr>
        <w:pStyle w:val="ListParagraph"/>
        <w:numPr>
          <w:ilvl w:val="0"/>
          <w:numId w:val="3"/>
        </w:numPr>
        <w:jc w:val="both"/>
        <w:rPr>
          <w:rFonts w:ascii="Verdana" w:hAnsi="Verdana" w:cs="Arial"/>
          <w:color w:val="222222"/>
          <w:sz w:val="18"/>
          <w:szCs w:val="18"/>
          <w:shd w:val="clear" w:color="auto" w:fill="FFFFFF"/>
        </w:rPr>
      </w:pPr>
      <w:r w:rsidRPr="007B081C">
        <w:rPr>
          <w:rFonts w:ascii="Verdana" w:hAnsi="Verdana"/>
          <w:color w:val="161616"/>
          <w:sz w:val="18"/>
          <w:szCs w:val="18"/>
          <w:shd w:val="clear" w:color="auto" w:fill="FFFFFF"/>
        </w:rPr>
        <w:t>One of the most pressing concerns in the Lebanese context is that</w:t>
      </w:r>
      <w:r w:rsidR="007D4EB7" w:rsidRPr="007B081C">
        <w:rPr>
          <w:rFonts w:ascii="Verdana" w:hAnsi="Verdana"/>
          <w:color w:val="161616"/>
          <w:sz w:val="18"/>
          <w:szCs w:val="18"/>
          <w:shd w:val="clear" w:color="auto" w:fill="FFFFFF"/>
        </w:rPr>
        <w:t xml:space="preserve"> </w:t>
      </w:r>
      <w:r w:rsidR="00E93CC0">
        <w:rPr>
          <w:rFonts w:ascii="Verdana" w:hAnsi="Verdana"/>
          <w:color w:val="161616"/>
          <w:sz w:val="18"/>
          <w:szCs w:val="18"/>
          <w:shd w:val="clear" w:color="auto" w:fill="FFFFFF"/>
        </w:rPr>
        <w:t>JSAs</w:t>
      </w:r>
      <w:r w:rsidRPr="007B081C">
        <w:rPr>
          <w:rFonts w:ascii="Verdana" w:hAnsi="Verdana"/>
          <w:color w:val="161616"/>
          <w:sz w:val="18"/>
          <w:szCs w:val="18"/>
          <w:shd w:val="clear" w:color="auto" w:fill="FFFFFF"/>
        </w:rPr>
        <w:t xml:space="preserve"> do not conduct thorough, exhaustive risk-assessments </w:t>
      </w:r>
      <w:r w:rsidRPr="007B081C">
        <w:rPr>
          <w:rFonts w:ascii="Verdana" w:hAnsi="Verdana" w:cs="Arial"/>
          <w:color w:val="222222"/>
          <w:sz w:val="18"/>
          <w:szCs w:val="18"/>
          <w:shd w:val="clear" w:color="auto" w:fill="FFFFFF"/>
        </w:rPr>
        <w:t>vis-à-vis SGBV complainants. Even when considering protection orders, the relevant authorities tend to overlook key risk-assessment factors. For example, in one case analyzed by the ICJ, a Judge for Urgent Matters ruling on a protection order application failed to consider the perpetrator’s possession of a firearm, which he had used to threaten his wife, the applicant, and which she had brought to the Court’s attention. Consequently, the protective measures imposed by the judge failed to address the resulting heightened risk to the applicant.</w:t>
      </w:r>
      <w:r w:rsidRPr="007B081C">
        <w:rPr>
          <w:rStyle w:val="FootnoteReference"/>
          <w:rFonts w:ascii="Verdana" w:hAnsi="Verdana" w:cs="Arial"/>
          <w:color w:val="222222"/>
          <w:sz w:val="18"/>
          <w:szCs w:val="18"/>
          <w:shd w:val="clear" w:color="auto" w:fill="FFFFFF"/>
        </w:rPr>
        <w:footnoteReference w:id="28"/>
      </w:r>
      <w:r w:rsidRPr="007B081C">
        <w:rPr>
          <w:rFonts w:ascii="Verdana" w:hAnsi="Verdana" w:cs="Arial"/>
          <w:color w:val="222222"/>
          <w:sz w:val="18"/>
          <w:szCs w:val="18"/>
          <w:shd w:val="clear" w:color="auto" w:fill="FFFFFF"/>
        </w:rPr>
        <w:t xml:space="preserve"> </w:t>
      </w:r>
    </w:p>
    <w:p w14:paraId="4FF3A43F" w14:textId="77777777" w:rsidR="00C73871" w:rsidRPr="007B081C" w:rsidRDefault="00C73871" w:rsidP="007B081C">
      <w:pPr>
        <w:pStyle w:val="ListParagraph"/>
        <w:rPr>
          <w:rFonts w:ascii="Verdana" w:hAnsi="Verdana" w:cs="Arial"/>
          <w:color w:val="222222"/>
          <w:sz w:val="18"/>
          <w:szCs w:val="18"/>
          <w:shd w:val="clear" w:color="auto" w:fill="FFFFFF"/>
        </w:rPr>
      </w:pPr>
    </w:p>
    <w:p w14:paraId="65AD99D6" w14:textId="0A65C569" w:rsidR="00C73871" w:rsidRPr="007B081C" w:rsidRDefault="00C73871" w:rsidP="007B081C">
      <w:pPr>
        <w:pStyle w:val="ListParagraph"/>
        <w:numPr>
          <w:ilvl w:val="0"/>
          <w:numId w:val="3"/>
        </w:numPr>
        <w:jc w:val="both"/>
        <w:rPr>
          <w:rFonts w:ascii="Verdana" w:hAnsi="Verdana" w:cs="Arial"/>
          <w:color w:val="222222"/>
          <w:sz w:val="18"/>
          <w:szCs w:val="18"/>
          <w:shd w:val="clear" w:color="auto" w:fill="FFFFFF"/>
        </w:rPr>
      </w:pPr>
      <w:r w:rsidRPr="007B081C">
        <w:rPr>
          <w:rFonts w:ascii="Verdana" w:hAnsi="Verdana"/>
          <w:sz w:val="18"/>
          <w:szCs w:val="18"/>
        </w:rPr>
        <w:t>With regard to the police, neither the</w:t>
      </w:r>
      <w:r w:rsidR="007B081C">
        <w:rPr>
          <w:rFonts w:ascii="Verdana" w:hAnsi="Verdana"/>
          <w:sz w:val="18"/>
          <w:szCs w:val="18"/>
        </w:rPr>
        <w:t xml:space="preserve"> CCP</w:t>
      </w:r>
      <w:r w:rsidRPr="007B081C">
        <w:rPr>
          <w:rFonts w:ascii="Verdana" w:hAnsi="Verdana"/>
          <w:sz w:val="18"/>
          <w:szCs w:val="18"/>
        </w:rPr>
        <w:t>, nor the ISF General Memo</w:t>
      </w:r>
      <w:r w:rsidR="00B94842" w:rsidRPr="007B081C">
        <w:rPr>
          <w:rFonts w:ascii="Verdana" w:hAnsi="Verdana"/>
          <w:sz w:val="18"/>
          <w:szCs w:val="18"/>
        </w:rPr>
        <w:t>randum</w:t>
      </w:r>
      <w:r w:rsidR="001A19E8" w:rsidRPr="007B081C">
        <w:rPr>
          <w:rFonts w:ascii="Verdana" w:hAnsi="Verdana"/>
          <w:sz w:val="18"/>
          <w:szCs w:val="18"/>
        </w:rPr>
        <w:t>,</w:t>
      </w:r>
      <w:r w:rsidRPr="007B081C">
        <w:rPr>
          <w:rFonts w:ascii="Verdana" w:hAnsi="Verdana"/>
          <w:sz w:val="18"/>
          <w:szCs w:val="18"/>
        </w:rPr>
        <w:t xml:space="preserve"> specifically cover the need to conduct a risk-assessment. The guidance provided within the ISF General Memo</w:t>
      </w:r>
      <w:r w:rsidR="00B94842" w:rsidRPr="007B081C">
        <w:rPr>
          <w:rFonts w:ascii="Verdana" w:hAnsi="Verdana"/>
          <w:sz w:val="18"/>
          <w:szCs w:val="18"/>
        </w:rPr>
        <w:t>randum,</w:t>
      </w:r>
      <w:r w:rsidRPr="007B081C">
        <w:rPr>
          <w:rFonts w:ascii="Verdana" w:hAnsi="Verdana"/>
          <w:sz w:val="18"/>
          <w:szCs w:val="18"/>
        </w:rPr>
        <w:t xml:space="preserve"> in particular</w:t>
      </w:r>
      <w:r w:rsidR="00B94842" w:rsidRPr="007B081C">
        <w:rPr>
          <w:rFonts w:ascii="Verdana" w:hAnsi="Verdana"/>
          <w:sz w:val="18"/>
          <w:szCs w:val="18"/>
        </w:rPr>
        <w:t>,</w:t>
      </w:r>
      <w:r w:rsidRPr="007B081C">
        <w:rPr>
          <w:rFonts w:ascii="Verdana" w:hAnsi="Verdana"/>
          <w:sz w:val="18"/>
          <w:szCs w:val="18"/>
        </w:rPr>
        <w:t xml:space="preserve"> is markedly vague, failing to specify factors that necessitate immediate action on the part of first responders.</w:t>
      </w:r>
    </w:p>
    <w:p w14:paraId="44C2FABA" w14:textId="77777777" w:rsidR="000D7D20" w:rsidRPr="007B081C" w:rsidRDefault="000D7D20" w:rsidP="007B081C">
      <w:pPr>
        <w:pStyle w:val="ListParagraph"/>
        <w:rPr>
          <w:rFonts w:ascii="Verdana" w:hAnsi="Verdana" w:cs="Arial"/>
          <w:color w:val="222222"/>
          <w:sz w:val="18"/>
          <w:szCs w:val="18"/>
          <w:shd w:val="clear" w:color="auto" w:fill="FFFFFF"/>
        </w:rPr>
      </w:pPr>
    </w:p>
    <w:p w14:paraId="2B785A04" w14:textId="7D53106D" w:rsidR="000D7D20" w:rsidRDefault="000D7D20"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In light of the above, the ICJ and ABAAD</w:t>
      </w:r>
      <w:r w:rsidR="006952D0" w:rsidRPr="007B081C">
        <w:rPr>
          <w:rFonts w:ascii="Verdana" w:hAnsi="Verdana" w:cs="Times New Roman"/>
          <w:b/>
          <w:bCs/>
          <w:sz w:val="18"/>
          <w:szCs w:val="18"/>
          <w:lang w:val="en-GB"/>
        </w:rPr>
        <w:t xml:space="preserve"> recommend that the CEDAW Committee’s list of issues on Lebanon should require the State party to </w:t>
      </w:r>
      <w:r w:rsidRPr="007B081C">
        <w:rPr>
          <w:rFonts w:ascii="Verdana" w:hAnsi="Verdana" w:cs="Times New Roman"/>
          <w:b/>
          <w:sz w:val="18"/>
          <w:szCs w:val="18"/>
          <w:lang w:val="en-GB"/>
        </w:rPr>
        <w:t>indicate and clarify whether any steps have been taken to:</w:t>
      </w:r>
    </w:p>
    <w:p w14:paraId="76AA2A25" w14:textId="77777777" w:rsidR="001F43CE" w:rsidRPr="007B081C" w:rsidRDefault="001F43CE" w:rsidP="007B081C">
      <w:pPr>
        <w:pStyle w:val="FootnoteText"/>
        <w:jc w:val="both"/>
        <w:rPr>
          <w:rFonts w:ascii="Verdana" w:hAnsi="Verdana" w:cs="Times New Roman"/>
          <w:b/>
          <w:sz w:val="18"/>
          <w:szCs w:val="18"/>
          <w:lang w:val="en-GB"/>
        </w:rPr>
      </w:pPr>
    </w:p>
    <w:p w14:paraId="43221B1A" w14:textId="77777777" w:rsidR="000D7D20" w:rsidRPr="007B081C" w:rsidRDefault="000D7D20" w:rsidP="007B081C">
      <w:pPr>
        <w:pStyle w:val="FootnoteText"/>
        <w:numPr>
          <w:ilvl w:val="0"/>
          <w:numId w:val="18"/>
        </w:numPr>
        <w:jc w:val="both"/>
        <w:rPr>
          <w:rFonts w:ascii="Verdana" w:hAnsi="Verdana" w:cs="Times New Roman"/>
          <w:b/>
          <w:sz w:val="18"/>
          <w:szCs w:val="18"/>
          <w:lang w:val="en-GB"/>
        </w:rPr>
      </w:pPr>
      <w:r w:rsidRPr="007B081C">
        <w:rPr>
          <w:rFonts w:ascii="Verdana" w:hAnsi="Verdana" w:cs="Times New Roman"/>
          <w:b/>
          <w:sz w:val="18"/>
          <w:szCs w:val="18"/>
          <w:lang w:val="en-GB"/>
        </w:rPr>
        <w:t xml:space="preserve">Extend the protection </w:t>
      </w:r>
      <w:r w:rsidRPr="007B081C">
        <w:rPr>
          <w:rFonts w:ascii="Verdana" w:hAnsi="Verdana" w:cs="Arial"/>
          <w:b/>
          <w:sz w:val="18"/>
          <w:szCs w:val="18"/>
        </w:rPr>
        <w:t xml:space="preserve">mechanism to all SGBV complainants and applying it to all forms of SGBV, as opposed to limiting its scope of application to domestic violence cases; </w:t>
      </w:r>
    </w:p>
    <w:p w14:paraId="0E769182" w14:textId="77777777" w:rsidR="000D7D20" w:rsidRPr="007B081C" w:rsidRDefault="000D7D20" w:rsidP="007B081C">
      <w:pPr>
        <w:pStyle w:val="FootnoteText"/>
        <w:numPr>
          <w:ilvl w:val="0"/>
          <w:numId w:val="18"/>
        </w:numPr>
        <w:jc w:val="both"/>
        <w:rPr>
          <w:rFonts w:ascii="Verdana" w:hAnsi="Verdana" w:cs="Times New Roman"/>
          <w:b/>
          <w:sz w:val="18"/>
          <w:szCs w:val="18"/>
          <w:lang w:val="en-GB"/>
        </w:rPr>
      </w:pPr>
      <w:r w:rsidRPr="007B081C">
        <w:rPr>
          <w:rFonts w:ascii="Verdana" w:hAnsi="Verdana" w:cs="Arial"/>
          <w:b/>
          <w:sz w:val="18"/>
          <w:szCs w:val="18"/>
        </w:rPr>
        <w:t xml:space="preserve">Ensure that applications for protection orders are expedited, including by establishing a specialized judicial body empowered </w:t>
      </w:r>
      <w:r w:rsidRPr="007B081C">
        <w:rPr>
          <w:rFonts w:ascii="Verdana" w:hAnsi="Verdana"/>
          <w:b/>
          <w:sz w:val="18"/>
          <w:szCs w:val="18"/>
        </w:rPr>
        <w:t>to hear protection order applications</w:t>
      </w:r>
      <w:r w:rsidRPr="007B081C">
        <w:rPr>
          <w:rFonts w:ascii="Verdana" w:hAnsi="Verdana" w:cs="Arial"/>
          <w:b/>
          <w:sz w:val="18"/>
          <w:szCs w:val="18"/>
        </w:rPr>
        <w:t>;</w:t>
      </w:r>
    </w:p>
    <w:p w14:paraId="75B8F2A1" w14:textId="77777777" w:rsidR="000D7D20" w:rsidRPr="007B081C" w:rsidRDefault="000D7D20" w:rsidP="007B081C">
      <w:pPr>
        <w:pStyle w:val="ListParagraph"/>
        <w:numPr>
          <w:ilvl w:val="0"/>
          <w:numId w:val="16"/>
        </w:numPr>
        <w:spacing w:after="160"/>
        <w:jc w:val="both"/>
        <w:rPr>
          <w:rFonts w:ascii="Verdana" w:hAnsi="Verdana" w:cs="Arial"/>
          <w:b/>
          <w:sz w:val="18"/>
          <w:szCs w:val="18"/>
        </w:rPr>
      </w:pPr>
      <w:r w:rsidRPr="007B081C">
        <w:rPr>
          <w:rFonts w:ascii="Verdana" w:hAnsi="Verdana" w:cs="Arial"/>
          <w:b/>
          <w:sz w:val="18"/>
          <w:szCs w:val="18"/>
        </w:rPr>
        <w:t>Ensure that protection orders are fully enforced;</w:t>
      </w:r>
    </w:p>
    <w:p w14:paraId="5340F27D" w14:textId="77777777" w:rsidR="000D7D20" w:rsidRPr="007B081C" w:rsidRDefault="000D7D20" w:rsidP="007B081C">
      <w:pPr>
        <w:pStyle w:val="ListParagraph"/>
        <w:numPr>
          <w:ilvl w:val="0"/>
          <w:numId w:val="16"/>
        </w:numPr>
        <w:spacing w:after="160"/>
        <w:jc w:val="both"/>
        <w:rPr>
          <w:rFonts w:ascii="Verdana" w:hAnsi="Verdana" w:cs="Arial"/>
          <w:b/>
          <w:sz w:val="18"/>
          <w:szCs w:val="18"/>
        </w:rPr>
      </w:pPr>
      <w:r w:rsidRPr="007B081C">
        <w:rPr>
          <w:rFonts w:ascii="Verdana" w:hAnsi="Verdana" w:cs="Arial"/>
          <w:b/>
          <w:sz w:val="18"/>
          <w:szCs w:val="18"/>
        </w:rPr>
        <w:t xml:space="preserve">Conduct an assessment of dangerousness in all SGBV cases, including by ensuring that all necessary measures are taken to mitigate the risk posed to the complainant, her children and extended family;  </w:t>
      </w:r>
    </w:p>
    <w:p w14:paraId="7DA383BE" w14:textId="77777777" w:rsidR="000D7D20" w:rsidRPr="007B081C" w:rsidRDefault="000D7D20" w:rsidP="007B081C">
      <w:pPr>
        <w:pStyle w:val="ListParagraph"/>
        <w:numPr>
          <w:ilvl w:val="0"/>
          <w:numId w:val="16"/>
        </w:numPr>
        <w:spacing w:after="160"/>
        <w:jc w:val="both"/>
        <w:rPr>
          <w:rFonts w:ascii="Verdana" w:hAnsi="Verdana"/>
          <w:b/>
          <w:sz w:val="18"/>
          <w:szCs w:val="18"/>
        </w:rPr>
      </w:pPr>
      <w:r w:rsidRPr="007B081C">
        <w:rPr>
          <w:rFonts w:ascii="Verdana" w:hAnsi="Verdana"/>
          <w:b/>
          <w:sz w:val="18"/>
          <w:szCs w:val="18"/>
        </w:rPr>
        <w:t xml:space="preserve">Enhance the monitoring of protection orders and ensure the offender’s adherence thereto;  </w:t>
      </w:r>
    </w:p>
    <w:p w14:paraId="0502042B" w14:textId="77777777" w:rsidR="000D7D20" w:rsidRPr="007B081C" w:rsidRDefault="000D7D20" w:rsidP="007B081C">
      <w:pPr>
        <w:pStyle w:val="ListParagraph"/>
        <w:numPr>
          <w:ilvl w:val="0"/>
          <w:numId w:val="16"/>
        </w:numPr>
        <w:spacing w:after="160"/>
        <w:jc w:val="both"/>
        <w:rPr>
          <w:rFonts w:ascii="Verdana" w:hAnsi="Verdana" w:cs="Arial"/>
          <w:b/>
          <w:sz w:val="18"/>
          <w:szCs w:val="18"/>
        </w:rPr>
      </w:pPr>
      <w:r w:rsidRPr="007B081C">
        <w:rPr>
          <w:rFonts w:ascii="Verdana" w:hAnsi="Verdana" w:cs="Arial"/>
          <w:b/>
          <w:sz w:val="18"/>
          <w:szCs w:val="18"/>
        </w:rPr>
        <w:lastRenderedPageBreak/>
        <w:t xml:space="preserve">Ensure </w:t>
      </w:r>
      <w:r w:rsidRPr="007B081C">
        <w:rPr>
          <w:rFonts w:ascii="Verdana" w:hAnsi="Verdana"/>
          <w:b/>
          <w:sz w:val="18"/>
          <w:szCs w:val="18"/>
        </w:rPr>
        <w:t>the consequences of non-compliance are explicitly outlined in protection orders;</w:t>
      </w:r>
    </w:p>
    <w:p w14:paraId="767A16A0" w14:textId="0E65D513" w:rsidR="000D7D20" w:rsidRPr="007B081C" w:rsidRDefault="000D7D20" w:rsidP="007B081C">
      <w:pPr>
        <w:pStyle w:val="ListParagraph"/>
        <w:numPr>
          <w:ilvl w:val="0"/>
          <w:numId w:val="16"/>
        </w:numPr>
        <w:spacing w:after="160"/>
        <w:jc w:val="both"/>
        <w:rPr>
          <w:rFonts w:ascii="Verdana" w:hAnsi="Verdana"/>
          <w:b/>
          <w:sz w:val="18"/>
          <w:szCs w:val="18"/>
        </w:rPr>
      </w:pPr>
      <w:r w:rsidRPr="007B081C">
        <w:rPr>
          <w:rFonts w:ascii="Verdana" w:hAnsi="Verdana" w:cs="Arial"/>
          <w:b/>
          <w:sz w:val="18"/>
          <w:szCs w:val="18"/>
        </w:rPr>
        <w:t xml:space="preserve">Inform judges </w:t>
      </w:r>
      <w:r w:rsidRPr="007B081C">
        <w:rPr>
          <w:rFonts w:ascii="Verdana" w:hAnsi="Verdana"/>
          <w:b/>
          <w:bCs/>
          <w:sz w:val="18"/>
          <w:szCs w:val="18"/>
        </w:rPr>
        <w:t xml:space="preserve">about the preventive and deterrent value in SGBV offenders’ engagement in rehabilitation programmes. </w:t>
      </w:r>
    </w:p>
    <w:p w14:paraId="60E9392F" w14:textId="77777777" w:rsidR="00C73871" w:rsidRPr="007B081C" w:rsidRDefault="00C73871" w:rsidP="007B081C">
      <w:pPr>
        <w:pStyle w:val="ListParagraph"/>
        <w:rPr>
          <w:rFonts w:ascii="Verdana" w:hAnsi="Verdana" w:cs="Arial"/>
          <w:i/>
          <w:iCs/>
          <w:color w:val="222222"/>
          <w:sz w:val="18"/>
          <w:szCs w:val="18"/>
          <w:shd w:val="clear" w:color="auto" w:fill="FFFFFF"/>
        </w:rPr>
      </w:pPr>
    </w:p>
    <w:p w14:paraId="218974DF" w14:textId="44FB0299" w:rsidR="00C73871" w:rsidRPr="007B081C" w:rsidRDefault="00C73871" w:rsidP="007B081C">
      <w:pPr>
        <w:pStyle w:val="ListParagraph"/>
        <w:numPr>
          <w:ilvl w:val="0"/>
          <w:numId w:val="29"/>
        </w:numPr>
        <w:jc w:val="both"/>
        <w:rPr>
          <w:rFonts w:ascii="Verdana" w:hAnsi="Verdana" w:cs="Arial"/>
          <w:b/>
          <w:color w:val="222222"/>
          <w:sz w:val="18"/>
          <w:szCs w:val="18"/>
          <w:shd w:val="clear" w:color="auto" w:fill="FFFFFF"/>
        </w:rPr>
      </w:pPr>
      <w:r w:rsidRPr="007B081C">
        <w:rPr>
          <w:rFonts w:ascii="Verdana" w:hAnsi="Verdana" w:cs="Arial"/>
          <w:b/>
          <w:iCs/>
          <w:color w:val="222222"/>
          <w:sz w:val="18"/>
          <w:szCs w:val="18"/>
          <w:shd w:val="clear" w:color="auto" w:fill="FFFFFF"/>
        </w:rPr>
        <w:t xml:space="preserve">Lack of judicial coherence in </w:t>
      </w:r>
      <w:r w:rsidR="00BF1506" w:rsidRPr="007B081C">
        <w:rPr>
          <w:rFonts w:ascii="Verdana" w:hAnsi="Verdana" w:cs="Arial"/>
          <w:b/>
          <w:iCs/>
          <w:color w:val="222222"/>
          <w:sz w:val="18"/>
          <w:szCs w:val="18"/>
          <w:shd w:val="clear" w:color="auto" w:fill="FFFFFF"/>
        </w:rPr>
        <w:t xml:space="preserve">sentencing in </w:t>
      </w:r>
      <w:r w:rsidRPr="007B081C">
        <w:rPr>
          <w:rFonts w:ascii="Verdana" w:hAnsi="Verdana" w:cs="Arial"/>
          <w:b/>
          <w:iCs/>
          <w:color w:val="222222"/>
          <w:sz w:val="18"/>
          <w:szCs w:val="18"/>
          <w:shd w:val="clear" w:color="auto" w:fill="FFFFFF"/>
        </w:rPr>
        <w:t>SGBV cases</w:t>
      </w:r>
    </w:p>
    <w:p w14:paraId="419FB9EF" w14:textId="27ACD1CE" w:rsidR="000F187A" w:rsidRPr="007B081C" w:rsidRDefault="000F187A" w:rsidP="007B081C">
      <w:pPr>
        <w:jc w:val="both"/>
        <w:rPr>
          <w:rFonts w:ascii="Verdana" w:hAnsi="Verdana" w:cs="Arial"/>
          <w:color w:val="222222"/>
          <w:sz w:val="18"/>
          <w:szCs w:val="18"/>
          <w:shd w:val="clear" w:color="auto" w:fill="FFFFFF"/>
        </w:rPr>
      </w:pPr>
    </w:p>
    <w:p w14:paraId="4ECA01BD" w14:textId="6935D390" w:rsidR="00C73871" w:rsidRPr="007B081C" w:rsidRDefault="00884D05" w:rsidP="007B081C">
      <w:pPr>
        <w:pStyle w:val="ListParagraph"/>
        <w:numPr>
          <w:ilvl w:val="0"/>
          <w:numId w:val="3"/>
        </w:numPr>
        <w:jc w:val="both"/>
        <w:rPr>
          <w:rFonts w:ascii="Verdana" w:hAnsi="Verdana" w:cs="Arial"/>
          <w:color w:val="222222"/>
          <w:sz w:val="18"/>
          <w:szCs w:val="18"/>
          <w:shd w:val="clear" w:color="auto" w:fill="FFFFFF"/>
        </w:rPr>
      </w:pPr>
      <w:r w:rsidRPr="007B081C">
        <w:rPr>
          <w:rFonts w:ascii="Verdana" w:hAnsi="Verdana" w:cs="Times New Roman"/>
          <w:sz w:val="18"/>
          <w:szCs w:val="18"/>
          <w:lang w:val="en-GB"/>
        </w:rPr>
        <w:t xml:space="preserve">With respect to SGBV offences, gender stereotyping has </w:t>
      </w:r>
      <w:r w:rsidR="00131C35" w:rsidRPr="007B081C">
        <w:rPr>
          <w:rFonts w:ascii="Verdana" w:hAnsi="Verdana" w:cs="Times New Roman"/>
          <w:sz w:val="18"/>
          <w:szCs w:val="18"/>
          <w:lang w:val="en-GB"/>
        </w:rPr>
        <w:t xml:space="preserve">also </w:t>
      </w:r>
      <w:r w:rsidR="002905B9" w:rsidRPr="007B081C">
        <w:rPr>
          <w:rFonts w:ascii="Verdana" w:hAnsi="Verdana" w:cs="Times New Roman"/>
          <w:sz w:val="18"/>
          <w:szCs w:val="18"/>
          <w:lang w:val="en-GB"/>
        </w:rPr>
        <w:t xml:space="preserve">been documented </w:t>
      </w:r>
      <w:r w:rsidRPr="007B081C">
        <w:rPr>
          <w:rFonts w:ascii="Verdana" w:hAnsi="Verdana" w:cs="Times New Roman"/>
          <w:sz w:val="18"/>
          <w:szCs w:val="18"/>
          <w:lang w:val="en-GB"/>
        </w:rPr>
        <w:t xml:space="preserve">at the </w:t>
      </w:r>
      <w:r w:rsidR="002905B9" w:rsidRPr="007B081C">
        <w:rPr>
          <w:rFonts w:ascii="Verdana" w:hAnsi="Verdana" w:cs="Times New Roman"/>
          <w:sz w:val="18"/>
          <w:szCs w:val="18"/>
          <w:lang w:val="en-GB"/>
        </w:rPr>
        <w:t xml:space="preserve">sentencing </w:t>
      </w:r>
      <w:r w:rsidRPr="007B081C">
        <w:rPr>
          <w:rFonts w:ascii="Verdana" w:hAnsi="Verdana" w:cs="Times New Roman"/>
          <w:sz w:val="18"/>
          <w:szCs w:val="18"/>
          <w:lang w:val="en-GB"/>
        </w:rPr>
        <w:t xml:space="preserve">stage </w:t>
      </w:r>
      <w:r w:rsidR="002905B9" w:rsidRPr="007B081C">
        <w:rPr>
          <w:rFonts w:ascii="Verdana" w:hAnsi="Verdana" w:cs="Times New Roman"/>
          <w:sz w:val="18"/>
          <w:szCs w:val="18"/>
          <w:lang w:val="en-GB"/>
        </w:rPr>
        <w:t>of trials for these offences</w:t>
      </w:r>
      <w:r w:rsidRPr="007B081C">
        <w:rPr>
          <w:rFonts w:ascii="Verdana" w:hAnsi="Verdana"/>
          <w:sz w:val="18"/>
          <w:szCs w:val="18"/>
          <w:lang w:val="en-GB"/>
        </w:rPr>
        <w:t xml:space="preserve">. </w:t>
      </w:r>
      <w:r w:rsidR="00C73871" w:rsidRPr="007B081C">
        <w:rPr>
          <w:rFonts w:ascii="Verdana" w:hAnsi="Verdana"/>
          <w:sz w:val="18"/>
          <w:szCs w:val="18"/>
        </w:rPr>
        <w:t>In some cases of SGBV, sentencing determinations have been incoherent and have failed to reflect the gravity of the offence in question. In such cases, it appears that the sentencing Court failed to conduct a thorough assessment of the pertinent evidence, including evidence attesting to the presence of aggravating circumstances, and to adequately explain the rationale for the sentence it imposed. In case 775/2019, the defendant</w:t>
      </w:r>
      <w:r w:rsidR="000F187A" w:rsidRPr="007B081C">
        <w:rPr>
          <w:rFonts w:ascii="Verdana" w:hAnsi="Verdana"/>
          <w:sz w:val="18"/>
          <w:szCs w:val="18"/>
        </w:rPr>
        <w:t xml:space="preserve"> drugged, and subsequently </w:t>
      </w:r>
      <w:r w:rsidR="00C73871" w:rsidRPr="007B081C">
        <w:rPr>
          <w:rFonts w:ascii="Verdana" w:hAnsi="Verdana"/>
          <w:sz w:val="18"/>
          <w:szCs w:val="18"/>
        </w:rPr>
        <w:t xml:space="preserve">raped his </w:t>
      </w:r>
      <w:r w:rsidR="000204FB" w:rsidRPr="007B081C">
        <w:rPr>
          <w:rFonts w:ascii="Verdana" w:hAnsi="Verdana"/>
          <w:sz w:val="18"/>
          <w:szCs w:val="18"/>
        </w:rPr>
        <w:t>16-year-old</w:t>
      </w:r>
      <w:r w:rsidR="0047335E" w:rsidRPr="007B081C">
        <w:rPr>
          <w:rFonts w:ascii="Verdana" w:hAnsi="Verdana"/>
          <w:sz w:val="18"/>
          <w:szCs w:val="18"/>
        </w:rPr>
        <w:t xml:space="preserve"> </w:t>
      </w:r>
      <w:r w:rsidR="00C73871" w:rsidRPr="007B081C">
        <w:rPr>
          <w:rFonts w:ascii="Verdana" w:hAnsi="Verdana"/>
          <w:sz w:val="18"/>
          <w:szCs w:val="18"/>
        </w:rPr>
        <w:t>stepdaughter on multiple occasions</w:t>
      </w:r>
      <w:r w:rsidR="000F187A" w:rsidRPr="007B081C">
        <w:rPr>
          <w:rFonts w:ascii="Verdana" w:hAnsi="Verdana"/>
          <w:sz w:val="18"/>
          <w:szCs w:val="18"/>
        </w:rPr>
        <w:t xml:space="preserve">. The Court convicted the defendant under Article 505 of the CC for engaging in “sexual intercourse with a minor.” </w:t>
      </w:r>
      <w:r w:rsidR="0047335E" w:rsidRPr="007B081C">
        <w:rPr>
          <w:rFonts w:ascii="Verdana" w:hAnsi="Verdana"/>
          <w:sz w:val="18"/>
          <w:szCs w:val="18"/>
        </w:rPr>
        <w:t xml:space="preserve">Although the Court should </w:t>
      </w:r>
      <w:r w:rsidR="000F187A" w:rsidRPr="007B081C">
        <w:rPr>
          <w:rFonts w:ascii="Verdana" w:hAnsi="Verdana"/>
          <w:sz w:val="18"/>
          <w:szCs w:val="18"/>
        </w:rPr>
        <w:t>have sentenced him to five years’ imprisonment with hard labour</w:t>
      </w:r>
      <w:r w:rsidR="0047335E" w:rsidRPr="007B081C">
        <w:rPr>
          <w:rFonts w:ascii="Verdana" w:hAnsi="Verdana"/>
          <w:sz w:val="18"/>
          <w:szCs w:val="18"/>
        </w:rPr>
        <w:t xml:space="preserve"> given the age of the victim, it </w:t>
      </w:r>
      <w:r w:rsidR="000F187A" w:rsidRPr="007B081C">
        <w:rPr>
          <w:rFonts w:ascii="Verdana" w:hAnsi="Verdana"/>
          <w:sz w:val="18"/>
          <w:szCs w:val="18"/>
        </w:rPr>
        <w:t>sentenced him to one year</w:t>
      </w:r>
      <w:r w:rsidR="00AB73CD" w:rsidRPr="007B081C">
        <w:rPr>
          <w:rFonts w:ascii="Verdana" w:hAnsi="Verdana"/>
          <w:sz w:val="18"/>
          <w:szCs w:val="18"/>
        </w:rPr>
        <w:t>’s</w:t>
      </w:r>
      <w:r w:rsidR="0047335E" w:rsidRPr="007B081C">
        <w:rPr>
          <w:rFonts w:ascii="Verdana" w:hAnsi="Verdana"/>
          <w:sz w:val="18"/>
          <w:szCs w:val="18"/>
        </w:rPr>
        <w:t xml:space="preserve"> </w:t>
      </w:r>
      <w:r w:rsidR="000F187A" w:rsidRPr="007B081C">
        <w:rPr>
          <w:rFonts w:ascii="Verdana" w:hAnsi="Verdana"/>
          <w:sz w:val="18"/>
          <w:szCs w:val="18"/>
        </w:rPr>
        <w:t xml:space="preserve">imprisonment, ruling that it was satisfied with the </w:t>
      </w:r>
      <w:r w:rsidR="0047335E" w:rsidRPr="007B081C">
        <w:rPr>
          <w:rFonts w:ascii="Verdana" w:hAnsi="Verdana"/>
          <w:sz w:val="18"/>
          <w:szCs w:val="18"/>
        </w:rPr>
        <w:t xml:space="preserve">three months </w:t>
      </w:r>
      <w:r w:rsidR="000F187A" w:rsidRPr="007B081C">
        <w:rPr>
          <w:rFonts w:ascii="Verdana" w:hAnsi="Verdana"/>
          <w:sz w:val="18"/>
          <w:szCs w:val="18"/>
        </w:rPr>
        <w:t>of detention that the defendant had already served while awaiting trial.</w:t>
      </w:r>
      <w:r w:rsidR="005B7D75" w:rsidRPr="007B081C">
        <w:rPr>
          <w:rStyle w:val="FootnoteReference"/>
          <w:rFonts w:ascii="Verdana" w:hAnsi="Verdana"/>
          <w:sz w:val="18"/>
          <w:szCs w:val="18"/>
        </w:rPr>
        <w:footnoteReference w:id="29"/>
      </w:r>
      <w:r w:rsidR="000F187A" w:rsidRPr="007B081C">
        <w:rPr>
          <w:rFonts w:ascii="Verdana" w:hAnsi="Verdana"/>
          <w:sz w:val="18"/>
          <w:szCs w:val="18"/>
        </w:rPr>
        <w:t xml:space="preserve"> </w:t>
      </w:r>
    </w:p>
    <w:p w14:paraId="6E549EAB" w14:textId="77777777" w:rsidR="00C73871" w:rsidRPr="007B081C" w:rsidRDefault="00C73871" w:rsidP="007B081C">
      <w:pPr>
        <w:pStyle w:val="ListParagraph"/>
        <w:spacing w:after="160"/>
        <w:ind w:left="360"/>
        <w:jc w:val="both"/>
        <w:rPr>
          <w:rFonts w:ascii="Verdana" w:hAnsi="Verdana"/>
          <w:sz w:val="18"/>
          <w:szCs w:val="18"/>
        </w:rPr>
      </w:pPr>
    </w:p>
    <w:p w14:paraId="0005BBB4" w14:textId="66289358" w:rsidR="00C73871" w:rsidRPr="007B081C" w:rsidRDefault="00C73871" w:rsidP="007B081C">
      <w:pPr>
        <w:pStyle w:val="ListParagraph"/>
        <w:numPr>
          <w:ilvl w:val="0"/>
          <w:numId w:val="3"/>
        </w:numPr>
        <w:jc w:val="both"/>
        <w:rPr>
          <w:rFonts w:ascii="Verdana" w:hAnsi="Verdana" w:cs="Arial"/>
          <w:color w:val="222222"/>
          <w:sz w:val="18"/>
          <w:szCs w:val="18"/>
          <w:shd w:val="clear" w:color="auto" w:fill="FFFFFF"/>
        </w:rPr>
      </w:pPr>
      <w:r w:rsidRPr="007B081C">
        <w:rPr>
          <w:rFonts w:ascii="Verdana" w:hAnsi="Verdana"/>
          <w:sz w:val="18"/>
          <w:szCs w:val="18"/>
        </w:rPr>
        <w:t xml:space="preserve">Perceptions relating to the complaiant’s “chastity” and her social “worth” </w:t>
      </w:r>
      <w:r w:rsidR="000F187A" w:rsidRPr="007B081C">
        <w:rPr>
          <w:rFonts w:ascii="Verdana" w:hAnsi="Verdana"/>
          <w:sz w:val="18"/>
          <w:szCs w:val="18"/>
        </w:rPr>
        <w:t xml:space="preserve">also </w:t>
      </w:r>
      <w:r w:rsidRPr="007B081C">
        <w:rPr>
          <w:rFonts w:ascii="Verdana" w:hAnsi="Verdana"/>
          <w:sz w:val="18"/>
          <w:szCs w:val="18"/>
        </w:rPr>
        <w:t>inform sentencing practices</w:t>
      </w:r>
      <w:r w:rsidR="00AB73CD" w:rsidRPr="007B081C">
        <w:rPr>
          <w:rFonts w:ascii="Verdana" w:hAnsi="Verdana"/>
          <w:sz w:val="18"/>
          <w:szCs w:val="18"/>
        </w:rPr>
        <w:t>,</w:t>
      </w:r>
      <w:r w:rsidRPr="007B081C">
        <w:rPr>
          <w:rFonts w:ascii="Verdana" w:hAnsi="Verdana"/>
          <w:sz w:val="18"/>
          <w:szCs w:val="18"/>
        </w:rPr>
        <w:t xml:space="preserve"> and often result in the imposition of a more lenient sentence on those convicted,</w:t>
      </w:r>
      <w:r w:rsidR="00C006B7" w:rsidRPr="007B081C">
        <w:rPr>
          <w:rStyle w:val="FootnoteReference"/>
          <w:rFonts w:ascii="Verdana" w:hAnsi="Verdana"/>
          <w:sz w:val="18"/>
          <w:szCs w:val="18"/>
        </w:rPr>
        <w:footnoteReference w:id="30"/>
      </w:r>
      <w:r w:rsidRPr="007B081C">
        <w:rPr>
          <w:rFonts w:ascii="Verdana" w:hAnsi="Verdana"/>
          <w:sz w:val="18"/>
          <w:szCs w:val="18"/>
        </w:rPr>
        <w:t xml:space="preserve"> or by contrast, the imposition of a harsher sentence where the </w:t>
      </w:r>
      <w:r w:rsidR="000F187A" w:rsidRPr="007B081C">
        <w:rPr>
          <w:rFonts w:ascii="Verdana" w:hAnsi="Verdana"/>
          <w:sz w:val="18"/>
          <w:szCs w:val="18"/>
        </w:rPr>
        <w:t>complainant</w:t>
      </w:r>
      <w:r w:rsidRPr="007B081C">
        <w:rPr>
          <w:rFonts w:ascii="Verdana" w:hAnsi="Verdana"/>
          <w:sz w:val="18"/>
          <w:szCs w:val="18"/>
        </w:rPr>
        <w:t xml:space="preserve"> was a “virgin</w:t>
      </w:r>
      <w:r w:rsidR="00A21AB1" w:rsidRPr="007B081C">
        <w:rPr>
          <w:rFonts w:ascii="Verdana" w:hAnsi="Verdana"/>
          <w:sz w:val="18"/>
          <w:szCs w:val="18"/>
        </w:rPr>
        <w:t>,</w:t>
      </w:r>
      <w:r w:rsidRPr="007B081C">
        <w:rPr>
          <w:rFonts w:ascii="Verdana" w:hAnsi="Verdana"/>
          <w:sz w:val="18"/>
          <w:szCs w:val="18"/>
        </w:rPr>
        <w:t>”</w:t>
      </w:r>
      <w:r w:rsidRPr="007B081C">
        <w:rPr>
          <w:rStyle w:val="FootnoteReference"/>
          <w:rFonts w:ascii="Verdana" w:hAnsi="Verdana"/>
          <w:sz w:val="18"/>
          <w:szCs w:val="18"/>
        </w:rPr>
        <w:footnoteReference w:id="31"/>
      </w:r>
      <w:r w:rsidRPr="007B081C">
        <w:rPr>
          <w:rFonts w:ascii="Verdana" w:hAnsi="Verdana"/>
          <w:sz w:val="18"/>
          <w:szCs w:val="18"/>
        </w:rPr>
        <w:t xml:space="preserve"> pursuant to article 512 of the </w:t>
      </w:r>
      <w:r w:rsidR="000F187A" w:rsidRPr="007B081C">
        <w:rPr>
          <w:rFonts w:ascii="Verdana" w:hAnsi="Verdana"/>
          <w:sz w:val="18"/>
          <w:szCs w:val="18"/>
        </w:rPr>
        <w:t xml:space="preserve">CC. </w:t>
      </w:r>
    </w:p>
    <w:p w14:paraId="5544E5A3" w14:textId="77777777" w:rsidR="000F187A" w:rsidRPr="007B081C" w:rsidRDefault="000F187A" w:rsidP="007B081C">
      <w:pPr>
        <w:pStyle w:val="ListParagraph"/>
        <w:rPr>
          <w:rFonts w:ascii="Verdana" w:hAnsi="Verdana" w:cs="Arial"/>
          <w:color w:val="222222"/>
          <w:sz w:val="18"/>
          <w:szCs w:val="18"/>
          <w:shd w:val="clear" w:color="auto" w:fill="FFFFFF"/>
        </w:rPr>
      </w:pPr>
    </w:p>
    <w:p w14:paraId="72CE5DFA" w14:textId="7FC7E2F6" w:rsidR="00D25AC6" w:rsidRPr="007B081C" w:rsidRDefault="000F187A" w:rsidP="007B081C">
      <w:pPr>
        <w:pStyle w:val="ListParagraph"/>
        <w:numPr>
          <w:ilvl w:val="0"/>
          <w:numId w:val="3"/>
        </w:numPr>
        <w:jc w:val="both"/>
        <w:rPr>
          <w:rFonts w:ascii="Verdana" w:hAnsi="Verdana" w:cs="Arial"/>
          <w:color w:val="222222"/>
          <w:sz w:val="18"/>
          <w:szCs w:val="18"/>
          <w:shd w:val="clear" w:color="auto" w:fill="FFFFFF"/>
        </w:rPr>
      </w:pPr>
      <w:r w:rsidRPr="007B081C">
        <w:rPr>
          <w:rFonts w:ascii="Verdana" w:hAnsi="Verdana"/>
          <w:sz w:val="18"/>
          <w:szCs w:val="18"/>
        </w:rPr>
        <w:t xml:space="preserve">The </w:t>
      </w:r>
      <w:r w:rsidR="005A12DF" w:rsidRPr="007B081C">
        <w:rPr>
          <w:rFonts w:ascii="Verdana" w:hAnsi="Verdana"/>
          <w:sz w:val="18"/>
          <w:szCs w:val="18"/>
        </w:rPr>
        <w:t>CC</w:t>
      </w:r>
      <w:r w:rsidRPr="007B081C">
        <w:rPr>
          <w:rFonts w:ascii="Verdana" w:hAnsi="Verdana"/>
          <w:sz w:val="18"/>
          <w:szCs w:val="18"/>
        </w:rPr>
        <w:t xml:space="preserve"> provides that</w:t>
      </w:r>
      <w:r w:rsidR="0047335E" w:rsidRPr="007B081C">
        <w:rPr>
          <w:rFonts w:ascii="Verdana" w:hAnsi="Verdana"/>
          <w:sz w:val="18"/>
          <w:szCs w:val="18"/>
        </w:rPr>
        <w:t>,</w:t>
      </w:r>
      <w:r w:rsidRPr="007B081C">
        <w:rPr>
          <w:rFonts w:ascii="Verdana" w:hAnsi="Verdana"/>
          <w:sz w:val="18"/>
          <w:szCs w:val="18"/>
        </w:rPr>
        <w:t xml:space="preserve"> if there are “extenuating grounds in a case</w:t>
      </w:r>
      <w:r w:rsidR="00511EB8" w:rsidRPr="007B081C">
        <w:rPr>
          <w:rFonts w:ascii="Verdana" w:hAnsi="Verdana"/>
          <w:sz w:val="18"/>
          <w:szCs w:val="18"/>
        </w:rPr>
        <w:t>,</w:t>
      </w:r>
      <w:r w:rsidRPr="007B081C">
        <w:rPr>
          <w:rFonts w:ascii="Verdana" w:hAnsi="Verdana"/>
          <w:sz w:val="18"/>
          <w:szCs w:val="18"/>
        </w:rPr>
        <w:t>” the Court has discretionary authority to reduce the penalty imposed on the offender.</w:t>
      </w:r>
      <w:r w:rsidRPr="007B081C">
        <w:rPr>
          <w:rStyle w:val="FootnoteReference"/>
          <w:rFonts w:ascii="Verdana" w:hAnsi="Verdana"/>
          <w:sz w:val="18"/>
          <w:szCs w:val="18"/>
        </w:rPr>
        <w:footnoteReference w:id="32"/>
      </w:r>
      <w:r w:rsidR="005B7D75" w:rsidRPr="007B081C">
        <w:rPr>
          <w:rFonts w:ascii="Verdana" w:hAnsi="Verdana"/>
          <w:sz w:val="18"/>
          <w:szCs w:val="18"/>
        </w:rPr>
        <w:t xml:space="preserve"> In the vast majority of SGBV cases analyzed by the ICJ, convicted offenders appear to have benefitted from a considerable reduction in their sentence </w:t>
      </w:r>
      <w:r w:rsidR="0047335E" w:rsidRPr="007B081C">
        <w:rPr>
          <w:rFonts w:ascii="Verdana" w:hAnsi="Verdana"/>
          <w:sz w:val="18"/>
          <w:szCs w:val="18"/>
        </w:rPr>
        <w:t xml:space="preserve">based on </w:t>
      </w:r>
      <w:r w:rsidR="00AB73CD" w:rsidRPr="007B081C">
        <w:rPr>
          <w:rFonts w:ascii="Verdana" w:hAnsi="Verdana"/>
          <w:sz w:val="18"/>
          <w:szCs w:val="18"/>
        </w:rPr>
        <w:t>“</w:t>
      </w:r>
      <w:r w:rsidR="0047335E" w:rsidRPr="007B081C">
        <w:rPr>
          <w:rFonts w:ascii="Verdana" w:hAnsi="Verdana"/>
          <w:sz w:val="18"/>
          <w:szCs w:val="18"/>
        </w:rPr>
        <w:t xml:space="preserve">mitigating </w:t>
      </w:r>
      <w:r w:rsidR="005B7D75" w:rsidRPr="007B081C">
        <w:rPr>
          <w:rFonts w:ascii="Verdana" w:hAnsi="Verdana"/>
          <w:sz w:val="18"/>
          <w:szCs w:val="18"/>
        </w:rPr>
        <w:t>circumstances</w:t>
      </w:r>
      <w:r w:rsidR="00AB73CD" w:rsidRPr="007B081C">
        <w:rPr>
          <w:rFonts w:ascii="Verdana" w:hAnsi="Verdana"/>
          <w:sz w:val="18"/>
          <w:szCs w:val="18"/>
        </w:rPr>
        <w:t>”</w:t>
      </w:r>
      <w:r w:rsidR="005B7D75" w:rsidRPr="007B081C">
        <w:rPr>
          <w:rFonts w:ascii="Verdana" w:hAnsi="Verdana"/>
          <w:sz w:val="18"/>
          <w:szCs w:val="18"/>
        </w:rPr>
        <w:t xml:space="preserve"> with either little, or no explicit </w:t>
      </w:r>
      <w:r w:rsidR="00AB73CD" w:rsidRPr="007B081C">
        <w:rPr>
          <w:rFonts w:ascii="Verdana" w:hAnsi="Verdana"/>
          <w:sz w:val="18"/>
          <w:szCs w:val="18"/>
        </w:rPr>
        <w:t xml:space="preserve">evidence, let alone </w:t>
      </w:r>
      <w:r w:rsidR="005B7D75" w:rsidRPr="007B081C">
        <w:rPr>
          <w:rFonts w:ascii="Verdana" w:hAnsi="Verdana"/>
          <w:sz w:val="18"/>
          <w:szCs w:val="18"/>
        </w:rPr>
        <w:t>explanation</w:t>
      </w:r>
      <w:r w:rsidR="0047335E" w:rsidRPr="007B081C">
        <w:rPr>
          <w:rFonts w:ascii="Verdana" w:hAnsi="Verdana"/>
          <w:sz w:val="18"/>
          <w:szCs w:val="18"/>
        </w:rPr>
        <w:t xml:space="preserve"> justifying their </w:t>
      </w:r>
      <w:r w:rsidR="00AB73CD" w:rsidRPr="007B081C">
        <w:rPr>
          <w:rFonts w:ascii="Verdana" w:hAnsi="Verdana"/>
          <w:sz w:val="18"/>
          <w:szCs w:val="18"/>
        </w:rPr>
        <w:t>consideration in the first place</w:t>
      </w:r>
      <w:r w:rsidR="005B7D75" w:rsidRPr="007B081C">
        <w:rPr>
          <w:rFonts w:ascii="Verdana" w:hAnsi="Verdana"/>
          <w:sz w:val="18"/>
          <w:szCs w:val="18"/>
        </w:rPr>
        <w:t>.</w:t>
      </w:r>
      <w:r w:rsidR="005B7D75" w:rsidRPr="007B081C">
        <w:rPr>
          <w:rStyle w:val="FootnoteReference"/>
          <w:rFonts w:ascii="Verdana" w:hAnsi="Verdana"/>
          <w:sz w:val="18"/>
          <w:szCs w:val="18"/>
        </w:rPr>
        <w:footnoteReference w:id="33"/>
      </w:r>
    </w:p>
    <w:p w14:paraId="656AEC57" w14:textId="77777777" w:rsidR="00511EB8" w:rsidRPr="007B081C" w:rsidRDefault="00511EB8" w:rsidP="007B081C">
      <w:pPr>
        <w:pStyle w:val="ListParagraph"/>
        <w:rPr>
          <w:rFonts w:ascii="Verdana" w:hAnsi="Verdana" w:cs="Arial"/>
          <w:color w:val="222222"/>
          <w:sz w:val="18"/>
          <w:szCs w:val="18"/>
          <w:shd w:val="clear" w:color="auto" w:fill="FFFFFF"/>
        </w:rPr>
      </w:pPr>
    </w:p>
    <w:p w14:paraId="5B5F79BA" w14:textId="3E4C4B51" w:rsidR="00511EB8" w:rsidRPr="007B081C" w:rsidRDefault="00511EB8"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Although article 56</w:t>
      </w:r>
      <w:r w:rsidR="00884D05" w:rsidRPr="007B081C">
        <w:rPr>
          <w:rFonts w:ascii="Verdana" w:hAnsi="Verdana" w:cs="Times New Roman"/>
          <w:sz w:val="18"/>
          <w:szCs w:val="18"/>
          <w:lang w:val="en-GB"/>
        </w:rPr>
        <w:t>2</w:t>
      </w:r>
      <w:r w:rsidRPr="007B081C">
        <w:rPr>
          <w:rFonts w:ascii="Verdana" w:hAnsi="Verdana" w:cs="Times New Roman"/>
          <w:sz w:val="18"/>
          <w:szCs w:val="18"/>
          <w:lang w:val="en-GB"/>
        </w:rPr>
        <w:t xml:space="preserve"> of the CC</w:t>
      </w:r>
      <w:r w:rsidR="00884D05" w:rsidRPr="007B081C">
        <w:rPr>
          <w:rStyle w:val="FootnoteReference"/>
          <w:rFonts w:ascii="Verdana" w:hAnsi="Verdana" w:cs="Times New Roman"/>
          <w:sz w:val="18"/>
          <w:szCs w:val="18"/>
          <w:lang w:val="en-GB"/>
        </w:rPr>
        <w:footnoteReference w:id="34"/>
      </w:r>
      <w:r w:rsidRPr="007B081C">
        <w:rPr>
          <w:rFonts w:ascii="Verdana" w:hAnsi="Verdana" w:cs="Times New Roman"/>
          <w:sz w:val="18"/>
          <w:szCs w:val="18"/>
          <w:lang w:val="en-GB"/>
        </w:rPr>
        <w:t xml:space="preserve"> was repealed in 2011, until November 2017, some criminal courts still considered “honour” as a “mitigating circumstance” in their decisions, granting reduced sentences pursuant to article 252 of the CC to abusers who claimed that they committed violence to protect the honour of their family in a “fit of fury” provoked by the victim’s acts or behaviour.  Article 252 allows for reduced punishment if a crime occurred as a result of extreme rage caused by “dangerous and wrongful action committed by the victim.”</w:t>
      </w:r>
    </w:p>
    <w:p w14:paraId="555956EE" w14:textId="77777777" w:rsidR="00511EB8" w:rsidRPr="007B081C" w:rsidRDefault="00511EB8" w:rsidP="007B081C">
      <w:pPr>
        <w:pStyle w:val="FootnoteText"/>
        <w:jc w:val="both"/>
        <w:rPr>
          <w:rFonts w:ascii="Verdana" w:hAnsi="Verdana" w:cs="Times New Roman"/>
          <w:sz w:val="18"/>
          <w:szCs w:val="18"/>
          <w:lang w:val="en-GB"/>
        </w:rPr>
      </w:pPr>
    </w:p>
    <w:p w14:paraId="2968D1AD" w14:textId="1C25D6F3" w:rsidR="00511EB8" w:rsidRPr="007B081C" w:rsidRDefault="00511EB8"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In the case of </w:t>
      </w:r>
      <w:r w:rsidR="00884D05" w:rsidRPr="007B081C">
        <w:rPr>
          <w:rFonts w:ascii="Verdana" w:hAnsi="Verdana" w:cs="Times New Roman"/>
          <w:i/>
          <w:iCs/>
          <w:sz w:val="18"/>
          <w:szCs w:val="18"/>
          <w:lang w:val="en-GB"/>
        </w:rPr>
        <w:t xml:space="preserve">Manal </w:t>
      </w:r>
      <w:proofErr w:type="spellStart"/>
      <w:r w:rsidR="00884D05" w:rsidRPr="007B081C">
        <w:rPr>
          <w:rFonts w:ascii="Verdana" w:hAnsi="Verdana" w:cs="Times New Roman"/>
          <w:i/>
          <w:iCs/>
          <w:sz w:val="18"/>
          <w:szCs w:val="18"/>
          <w:lang w:val="en-GB"/>
        </w:rPr>
        <w:t>Assi</w:t>
      </w:r>
      <w:proofErr w:type="spellEnd"/>
      <w:r w:rsidRPr="007B081C">
        <w:rPr>
          <w:rFonts w:ascii="Verdana" w:hAnsi="Verdana" w:cs="Times New Roman"/>
          <w:sz w:val="18"/>
          <w:szCs w:val="18"/>
          <w:lang w:val="en-GB"/>
        </w:rPr>
        <w:t xml:space="preserve">, the victim </w:t>
      </w:r>
      <w:r w:rsidRPr="007B081C">
        <w:rPr>
          <w:rFonts w:ascii="Verdana" w:hAnsi="Verdana"/>
          <w:bCs/>
          <w:sz w:val="18"/>
          <w:szCs w:val="18"/>
        </w:rPr>
        <w:t xml:space="preserve">was brutally beaten and tortured for some six hours by the defendant, her husband, following an argument between them. The victim sustained a number of injuries to her head and body, in addition to burns as a result of the pressure cooker the defendant threw at her. The defendant left the victim locked in the house, unconscious and drowning in her own blood, and intentionally obstructed her mother and children, who were present, from seeking assistance. Upon his return, he allowed the victim to be transported to the hospital, where she was pronounced dead. The defendant claimed that he had committed the crime in a “fit of fury,” provoked by the victim’s behaviour, namely her alleged engagement in an extra-marital affair. In 2016, the Criminal Court convicted him of intentional homicide pursuant to article 549 of the Criminal Code, which carries the death penalty. However, in view of the victim’s supposed infidelity, among other “mitigating circumstances”, the Court reduced </w:t>
      </w:r>
      <w:r w:rsidRPr="007B081C">
        <w:rPr>
          <w:rFonts w:ascii="Verdana" w:hAnsi="Verdana"/>
          <w:bCs/>
          <w:sz w:val="18"/>
          <w:szCs w:val="18"/>
        </w:rPr>
        <w:lastRenderedPageBreak/>
        <w:t xml:space="preserve">his sentence from death to five years’ imprisonment, giving little regard to the fact that his actions had spanned several hours, and to his antecedents of violence against the victim prior to her death as testimonies in the case file showed. While on appeal the Court of Cassation replaced the initial overly lenient sentence with a term of 18 years’ imprisonment with hard labour, in the course of its deliberations, the Court set a precedent reasoning that where offenders are purportedly provoked in a “fit of fury,” it may lead other Courts to hold that such “provocation” mitigates the seriousness of the offences committed. The Court also considered “the society in which the defendant lives”, “its well-established social traditions relating to the husband’s honour”, and “the fact that the victim committed adultery” were relevant circumstances to take into account in resentencing him. The mere consideration of these stereotyped factors amounts to discrimination within the meaning of article 1 of CEDAW and, in practice, endorses the possibility for notions of “honour” to play a critical misplaced role in the adjudication of SGBV crimes, in contravention of </w:t>
      </w:r>
      <w:r w:rsidRPr="007B081C">
        <w:rPr>
          <w:rFonts w:ascii="Verdana" w:hAnsi="Verdana" w:cs="Times New Roman"/>
          <w:sz w:val="18"/>
          <w:szCs w:val="18"/>
          <w:lang w:val="en-GB"/>
        </w:rPr>
        <w:t xml:space="preserve">articles 2(d), (e), (f) and 5(a) of CEDAW. </w:t>
      </w:r>
      <w:r w:rsidRPr="007B081C">
        <w:rPr>
          <w:rFonts w:ascii="Verdana" w:hAnsi="Verdana"/>
          <w:bCs/>
          <w:sz w:val="18"/>
          <w:szCs w:val="18"/>
        </w:rPr>
        <w:t>This</w:t>
      </w:r>
      <w:r w:rsidRPr="007B081C">
        <w:rPr>
          <w:rFonts w:ascii="Verdana" w:hAnsi="Verdana" w:cs="Times New Roman"/>
          <w:b/>
          <w:bCs/>
          <w:sz w:val="18"/>
          <w:szCs w:val="18"/>
        </w:rPr>
        <w:t xml:space="preserve"> </w:t>
      </w:r>
      <w:r w:rsidRPr="007B081C">
        <w:rPr>
          <w:rFonts w:ascii="Verdana" w:hAnsi="Verdana"/>
          <w:bCs/>
          <w:sz w:val="18"/>
          <w:szCs w:val="18"/>
        </w:rPr>
        <w:t>gives rise to the misapplication of the concept of mitigation in the context of sentencing in SGBV cases.</w:t>
      </w:r>
    </w:p>
    <w:p w14:paraId="147206EF" w14:textId="77777777" w:rsidR="000D7D20" w:rsidRPr="007B081C" w:rsidRDefault="000D7D20" w:rsidP="007B081C">
      <w:pPr>
        <w:rPr>
          <w:rFonts w:ascii="Verdana" w:hAnsi="Verdana" w:cs="Arial"/>
          <w:color w:val="222222"/>
          <w:sz w:val="18"/>
          <w:szCs w:val="18"/>
          <w:shd w:val="clear" w:color="auto" w:fill="FFFFFF"/>
        </w:rPr>
      </w:pPr>
    </w:p>
    <w:p w14:paraId="02E6BEE8" w14:textId="0DECDAD9" w:rsidR="000D7D20" w:rsidRPr="007B081C" w:rsidRDefault="000D7D20"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 xml:space="preserve">In light of the above, the ICJ and ABAAD </w:t>
      </w:r>
      <w:r w:rsidR="00163201" w:rsidRPr="007B081C">
        <w:rPr>
          <w:rFonts w:ascii="Verdana" w:hAnsi="Verdana" w:cs="Times New Roman"/>
          <w:b/>
          <w:bCs/>
          <w:sz w:val="18"/>
          <w:szCs w:val="18"/>
          <w:lang w:val="en-GB"/>
        </w:rPr>
        <w:t>recommend that the CEDAW Committee’s list of issues on Lebanon should require the State party</w:t>
      </w:r>
      <w:r w:rsidRPr="007B081C">
        <w:rPr>
          <w:rFonts w:ascii="Verdana" w:hAnsi="Verdana" w:cs="Times New Roman"/>
          <w:b/>
          <w:bCs/>
          <w:sz w:val="18"/>
          <w:szCs w:val="18"/>
          <w:lang w:val="en-GB"/>
        </w:rPr>
        <w:t xml:space="preserve"> </w:t>
      </w:r>
      <w:r w:rsidRPr="007B081C">
        <w:rPr>
          <w:rFonts w:ascii="Verdana" w:hAnsi="Verdana"/>
          <w:b/>
          <w:sz w:val="18"/>
          <w:szCs w:val="18"/>
        </w:rPr>
        <w:t>to</w:t>
      </w:r>
      <w:r w:rsidRPr="007B081C">
        <w:rPr>
          <w:rFonts w:ascii="Verdana" w:hAnsi="Verdana" w:cs="Times New Roman"/>
          <w:b/>
          <w:sz w:val="18"/>
          <w:szCs w:val="18"/>
          <w:lang w:val="en-GB"/>
        </w:rPr>
        <w:t xml:space="preserve"> indicate and clarify whether any steps have been taken to:</w:t>
      </w:r>
    </w:p>
    <w:p w14:paraId="529477CB" w14:textId="77777777" w:rsidR="000C1F49" w:rsidRPr="007B081C" w:rsidRDefault="000C1F49" w:rsidP="007B081C">
      <w:pPr>
        <w:pStyle w:val="FootnoteText"/>
        <w:jc w:val="both"/>
        <w:rPr>
          <w:rFonts w:ascii="Verdana" w:hAnsi="Verdana" w:cs="Times New Roman"/>
          <w:b/>
          <w:sz w:val="18"/>
          <w:szCs w:val="18"/>
          <w:lang w:val="en-GB"/>
        </w:rPr>
      </w:pPr>
    </w:p>
    <w:p w14:paraId="693688FE" w14:textId="77777777" w:rsidR="000D7D20" w:rsidRPr="007B081C" w:rsidRDefault="000D7D20" w:rsidP="007B081C">
      <w:pPr>
        <w:pStyle w:val="ListParagraph"/>
        <w:numPr>
          <w:ilvl w:val="0"/>
          <w:numId w:val="21"/>
        </w:numPr>
        <w:spacing w:after="160"/>
        <w:jc w:val="both"/>
        <w:rPr>
          <w:rFonts w:ascii="Verdana" w:hAnsi="Verdana"/>
          <w:b/>
          <w:sz w:val="18"/>
          <w:szCs w:val="18"/>
        </w:rPr>
      </w:pPr>
      <w:r w:rsidRPr="007B081C">
        <w:rPr>
          <w:rFonts w:ascii="Verdana" w:hAnsi="Verdana"/>
          <w:b/>
          <w:sz w:val="18"/>
          <w:szCs w:val="18"/>
        </w:rPr>
        <w:t>Ensure that sentencing Courts impose sentences that are commensurate with the gravity of the SGBV offence committed, ensuring accountability and deterrence for violence perpetrated against women;</w:t>
      </w:r>
    </w:p>
    <w:p w14:paraId="6C3279C0" w14:textId="77777777" w:rsidR="000D7D20" w:rsidRPr="007B081C" w:rsidRDefault="000D7D20" w:rsidP="007B081C">
      <w:pPr>
        <w:pStyle w:val="ListParagraph"/>
        <w:numPr>
          <w:ilvl w:val="0"/>
          <w:numId w:val="21"/>
        </w:numPr>
        <w:spacing w:after="160"/>
        <w:jc w:val="both"/>
        <w:rPr>
          <w:rFonts w:ascii="Verdana" w:hAnsi="Verdana"/>
          <w:b/>
          <w:sz w:val="18"/>
          <w:szCs w:val="18"/>
        </w:rPr>
      </w:pPr>
      <w:r w:rsidRPr="007B081C">
        <w:rPr>
          <w:rFonts w:ascii="Verdana" w:hAnsi="Verdana"/>
          <w:b/>
          <w:sz w:val="18"/>
          <w:szCs w:val="18"/>
        </w:rPr>
        <w:t xml:space="preserve">Ensure that sentencing Courts make a comprehensive assessment of the SGBV offence and its impact on the SGBV complainant, taking into consideration any aggravating circumstances, such as the offender’s antecedents and recidivism; </w:t>
      </w:r>
    </w:p>
    <w:p w14:paraId="04C8FC1D" w14:textId="0995AF8F" w:rsidR="009C0226" w:rsidRPr="007B081C" w:rsidRDefault="000D7D20" w:rsidP="001F43CE">
      <w:pPr>
        <w:pStyle w:val="ListParagraph"/>
        <w:numPr>
          <w:ilvl w:val="0"/>
          <w:numId w:val="21"/>
        </w:numPr>
        <w:ind w:left="714" w:hanging="357"/>
        <w:jc w:val="both"/>
        <w:rPr>
          <w:rFonts w:ascii="Verdana" w:hAnsi="Verdana"/>
          <w:b/>
          <w:sz w:val="18"/>
          <w:szCs w:val="18"/>
        </w:rPr>
      </w:pPr>
      <w:r w:rsidRPr="007B081C">
        <w:rPr>
          <w:rFonts w:ascii="Verdana" w:hAnsi="Verdana"/>
          <w:b/>
          <w:sz w:val="18"/>
          <w:szCs w:val="18"/>
        </w:rPr>
        <w:t xml:space="preserve">Ensure that at sentencing </w:t>
      </w:r>
      <w:r w:rsidR="00205671" w:rsidRPr="007B081C">
        <w:rPr>
          <w:rFonts w:ascii="Verdana" w:hAnsi="Verdana"/>
          <w:b/>
          <w:sz w:val="18"/>
          <w:szCs w:val="18"/>
        </w:rPr>
        <w:t>“</w:t>
      </w:r>
      <w:r w:rsidRPr="007B081C">
        <w:rPr>
          <w:rFonts w:ascii="Verdana" w:hAnsi="Verdana"/>
          <w:b/>
          <w:sz w:val="18"/>
          <w:szCs w:val="18"/>
        </w:rPr>
        <w:t>mitigating circumstances</w:t>
      </w:r>
      <w:r w:rsidR="00205671" w:rsidRPr="007B081C">
        <w:rPr>
          <w:rFonts w:ascii="Verdana" w:hAnsi="Verdana"/>
          <w:b/>
          <w:sz w:val="18"/>
          <w:szCs w:val="18"/>
        </w:rPr>
        <w:t>”</w:t>
      </w:r>
      <w:r w:rsidRPr="007B081C">
        <w:rPr>
          <w:rFonts w:ascii="Verdana" w:hAnsi="Verdana"/>
          <w:b/>
          <w:sz w:val="18"/>
          <w:szCs w:val="18"/>
        </w:rPr>
        <w:t xml:space="preserve"> are only taken into account when judici</w:t>
      </w:r>
      <w:r w:rsidR="00B44D17" w:rsidRPr="007B081C">
        <w:rPr>
          <w:rFonts w:ascii="Verdana" w:hAnsi="Verdana"/>
          <w:b/>
          <w:sz w:val="18"/>
          <w:szCs w:val="18"/>
        </w:rPr>
        <w:t>ally</w:t>
      </w:r>
      <w:r w:rsidRPr="007B081C">
        <w:rPr>
          <w:rFonts w:ascii="Verdana" w:hAnsi="Verdana"/>
          <w:b/>
          <w:sz w:val="18"/>
          <w:szCs w:val="18"/>
        </w:rPr>
        <w:t xml:space="preserve"> and evidentially warranted</w:t>
      </w:r>
      <w:r w:rsidR="009C0226" w:rsidRPr="007B081C">
        <w:rPr>
          <w:rFonts w:ascii="Verdana" w:hAnsi="Verdana"/>
          <w:b/>
          <w:sz w:val="18"/>
          <w:szCs w:val="18"/>
        </w:rPr>
        <w:t>;</w:t>
      </w:r>
    </w:p>
    <w:p w14:paraId="6EDE9DE1" w14:textId="5FDEE375" w:rsidR="009C0226" w:rsidRPr="007B081C" w:rsidRDefault="009C0226" w:rsidP="001F43CE">
      <w:pPr>
        <w:pStyle w:val="ListParagraph"/>
        <w:numPr>
          <w:ilvl w:val="0"/>
          <w:numId w:val="21"/>
        </w:numPr>
        <w:ind w:left="714" w:hanging="357"/>
        <w:jc w:val="both"/>
        <w:rPr>
          <w:rFonts w:ascii="Verdana" w:hAnsi="Verdana"/>
          <w:b/>
          <w:sz w:val="18"/>
          <w:szCs w:val="18"/>
        </w:rPr>
      </w:pPr>
      <w:r w:rsidRPr="007B081C">
        <w:rPr>
          <w:rFonts w:ascii="Verdana" w:hAnsi="Verdana" w:cs="Times New Roman"/>
          <w:b/>
          <w:sz w:val="18"/>
          <w:szCs w:val="18"/>
          <w:lang w:val="en-GB"/>
        </w:rPr>
        <w:t>Limit the application of article 252 of the CC;</w:t>
      </w:r>
    </w:p>
    <w:p w14:paraId="6D5BC3A3" w14:textId="77777777" w:rsidR="009C0226" w:rsidRPr="007B081C" w:rsidRDefault="009C0226" w:rsidP="001F43CE">
      <w:pPr>
        <w:pStyle w:val="FootnoteText"/>
        <w:numPr>
          <w:ilvl w:val="0"/>
          <w:numId w:val="21"/>
        </w:numPr>
        <w:ind w:left="714" w:hanging="357"/>
        <w:jc w:val="both"/>
        <w:rPr>
          <w:rFonts w:ascii="Verdana" w:hAnsi="Verdana" w:cs="Times New Roman"/>
          <w:b/>
          <w:sz w:val="18"/>
          <w:szCs w:val="18"/>
          <w:lang w:val="en-GB"/>
        </w:rPr>
      </w:pPr>
      <w:r w:rsidRPr="007B081C">
        <w:rPr>
          <w:rFonts w:ascii="Verdana" w:hAnsi="Verdana" w:cs="Times New Roman"/>
          <w:b/>
          <w:sz w:val="18"/>
          <w:szCs w:val="18"/>
          <w:lang w:val="en-GB"/>
        </w:rPr>
        <w:t>Provide training on gender-sensitivity in judicial, prosecutorial and law enforcement training programmes;</w:t>
      </w:r>
    </w:p>
    <w:p w14:paraId="746D2AA4" w14:textId="36E99A49" w:rsidR="009C0226" w:rsidRPr="007B081C" w:rsidRDefault="009C0226" w:rsidP="001F43CE">
      <w:pPr>
        <w:pStyle w:val="FootnoteText"/>
        <w:numPr>
          <w:ilvl w:val="0"/>
          <w:numId w:val="21"/>
        </w:numPr>
        <w:ind w:left="714" w:hanging="357"/>
        <w:jc w:val="both"/>
        <w:rPr>
          <w:rFonts w:ascii="Verdana" w:hAnsi="Verdana" w:cs="Times New Roman"/>
          <w:b/>
          <w:sz w:val="18"/>
          <w:szCs w:val="18"/>
          <w:lang w:val="en-GB"/>
        </w:rPr>
      </w:pPr>
      <w:r w:rsidRPr="007B081C">
        <w:rPr>
          <w:rFonts w:ascii="Verdana" w:hAnsi="Verdana" w:cs="Times New Roman"/>
          <w:b/>
          <w:sz w:val="18"/>
          <w:szCs w:val="18"/>
          <w:lang w:val="en-GB"/>
        </w:rPr>
        <w:t xml:space="preserve">Raise awareness among </w:t>
      </w:r>
      <w:r w:rsidR="00E93CC0">
        <w:rPr>
          <w:rFonts w:ascii="Verdana" w:hAnsi="Verdana" w:cs="Times New Roman"/>
          <w:b/>
          <w:sz w:val="18"/>
          <w:szCs w:val="18"/>
          <w:lang w:val="en-GB"/>
        </w:rPr>
        <w:t>JSAs</w:t>
      </w:r>
      <w:r w:rsidRPr="007B081C">
        <w:rPr>
          <w:rFonts w:ascii="Verdana" w:hAnsi="Verdana" w:cs="Times New Roman"/>
          <w:b/>
          <w:sz w:val="18"/>
          <w:szCs w:val="18"/>
          <w:lang w:val="en-GB"/>
        </w:rPr>
        <w:t xml:space="preserve"> and citizens to reject violence, discrimination and stereotypes against women.</w:t>
      </w:r>
    </w:p>
    <w:p w14:paraId="176A94E4" w14:textId="77777777" w:rsidR="009C0226" w:rsidRPr="007B081C" w:rsidRDefault="009C0226" w:rsidP="007B081C">
      <w:pPr>
        <w:pStyle w:val="ListParagraph"/>
        <w:spacing w:after="160"/>
        <w:jc w:val="both"/>
        <w:rPr>
          <w:rFonts w:ascii="Verdana" w:hAnsi="Verdana"/>
          <w:b/>
          <w:sz w:val="18"/>
          <w:szCs w:val="18"/>
        </w:rPr>
      </w:pPr>
    </w:p>
    <w:p w14:paraId="304B97FD" w14:textId="77777777" w:rsidR="005B7D75" w:rsidRPr="007B081C" w:rsidRDefault="005B7D75" w:rsidP="007B081C">
      <w:pPr>
        <w:pStyle w:val="ListParagraph"/>
        <w:rPr>
          <w:rFonts w:ascii="Verdana" w:hAnsi="Verdana" w:cs="Arial"/>
          <w:color w:val="222222"/>
          <w:sz w:val="18"/>
          <w:szCs w:val="18"/>
          <w:shd w:val="clear" w:color="auto" w:fill="FFFFFF"/>
        </w:rPr>
      </w:pPr>
    </w:p>
    <w:p w14:paraId="2A5C418D" w14:textId="43A9A758" w:rsidR="005B7D75" w:rsidRPr="007B081C" w:rsidRDefault="005B7D75" w:rsidP="007B081C">
      <w:pPr>
        <w:pStyle w:val="ListParagraph"/>
        <w:numPr>
          <w:ilvl w:val="0"/>
          <w:numId w:val="29"/>
        </w:numPr>
        <w:jc w:val="both"/>
        <w:rPr>
          <w:rFonts w:ascii="Verdana" w:hAnsi="Verdana" w:cs="Arial"/>
          <w:b/>
          <w:iCs/>
          <w:color w:val="222222"/>
          <w:sz w:val="18"/>
          <w:szCs w:val="18"/>
          <w:shd w:val="clear" w:color="auto" w:fill="FFFFFF"/>
        </w:rPr>
      </w:pPr>
      <w:r w:rsidRPr="007B081C">
        <w:rPr>
          <w:rFonts w:ascii="Verdana" w:hAnsi="Verdana" w:cs="Arial"/>
          <w:b/>
          <w:iCs/>
          <w:color w:val="222222"/>
          <w:sz w:val="18"/>
          <w:szCs w:val="18"/>
          <w:shd w:val="clear" w:color="auto" w:fill="FFFFFF"/>
        </w:rPr>
        <w:t xml:space="preserve">Lack of adequate capacity and resources </w:t>
      </w:r>
    </w:p>
    <w:p w14:paraId="431A12B2" w14:textId="77777777" w:rsidR="005B7D75" w:rsidRPr="007B081C" w:rsidRDefault="005B7D75" w:rsidP="007B081C">
      <w:pPr>
        <w:rPr>
          <w:rFonts w:ascii="Verdana" w:hAnsi="Verdana"/>
          <w:sz w:val="18"/>
          <w:szCs w:val="18"/>
        </w:rPr>
      </w:pPr>
    </w:p>
    <w:p w14:paraId="5A4C0B42" w14:textId="4EDC2263" w:rsidR="005B7D75" w:rsidRPr="007B081C" w:rsidRDefault="005B7D75" w:rsidP="007B081C">
      <w:pPr>
        <w:pStyle w:val="ListParagraph"/>
        <w:numPr>
          <w:ilvl w:val="0"/>
          <w:numId w:val="3"/>
        </w:numPr>
        <w:jc w:val="both"/>
        <w:rPr>
          <w:rFonts w:ascii="Verdana" w:hAnsi="Verdana"/>
          <w:sz w:val="18"/>
          <w:szCs w:val="18"/>
        </w:rPr>
      </w:pPr>
      <w:r w:rsidRPr="007B081C">
        <w:rPr>
          <w:rFonts w:ascii="Verdana" w:hAnsi="Verdana"/>
          <w:sz w:val="18"/>
          <w:szCs w:val="18"/>
        </w:rPr>
        <w:t>According to the Lebanese Ministry of Justice, the Department of Forensic Medicine and Criminal Evidence has a roster of 81 forensic doctors,</w:t>
      </w:r>
      <w:r w:rsidRPr="007B081C">
        <w:rPr>
          <w:rStyle w:val="FootnoteReference"/>
          <w:rFonts w:ascii="Verdana" w:hAnsi="Verdana"/>
          <w:sz w:val="18"/>
          <w:szCs w:val="18"/>
        </w:rPr>
        <w:footnoteReference w:id="35"/>
      </w:r>
      <w:r w:rsidRPr="007B081C">
        <w:rPr>
          <w:rFonts w:ascii="Verdana" w:hAnsi="Verdana"/>
          <w:sz w:val="18"/>
          <w:szCs w:val="18"/>
        </w:rPr>
        <w:t xml:space="preserve"> with a minimum of 13 forensic practitioners in Beirut; 11 in North Lebanon; ten in Mount Lebanon; seven in South Lebanon; eight in Beqaa; and five in Nabatieh.</w:t>
      </w:r>
      <w:r w:rsidRPr="007B081C">
        <w:rPr>
          <w:rStyle w:val="FootnoteReference"/>
          <w:rFonts w:ascii="Verdana" w:hAnsi="Verdana"/>
          <w:sz w:val="18"/>
          <w:szCs w:val="18"/>
        </w:rPr>
        <w:footnoteReference w:id="36"/>
      </w:r>
      <w:r w:rsidRPr="007B081C">
        <w:rPr>
          <w:rFonts w:ascii="Verdana" w:hAnsi="Verdana"/>
          <w:sz w:val="18"/>
          <w:szCs w:val="18"/>
        </w:rPr>
        <w:t xml:space="preserve"> However, out of the 81 registered forensic practitioners, only </w:t>
      </w:r>
      <w:r w:rsidR="00152CEA" w:rsidRPr="007B081C">
        <w:rPr>
          <w:rFonts w:ascii="Verdana" w:hAnsi="Verdana"/>
          <w:sz w:val="18"/>
          <w:szCs w:val="18"/>
        </w:rPr>
        <w:t>12</w:t>
      </w:r>
      <w:r w:rsidRPr="007B081C">
        <w:rPr>
          <w:rFonts w:ascii="Verdana" w:hAnsi="Verdana"/>
          <w:sz w:val="18"/>
          <w:szCs w:val="18"/>
        </w:rPr>
        <w:t xml:space="preserve"> have received formal training in forensic medicine. The ICJ and ABAAD </w:t>
      </w:r>
      <w:r w:rsidR="00CD7317" w:rsidRPr="007B081C">
        <w:rPr>
          <w:rFonts w:ascii="Verdana" w:hAnsi="Verdana"/>
          <w:sz w:val="18"/>
          <w:szCs w:val="18"/>
        </w:rPr>
        <w:t xml:space="preserve">are </w:t>
      </w:r>
      <w:r w:rsidRPr="007B081C">
        <w:rPr>
          <w:rFonts w:ascii="Verdana" w:hAnsi="Verdana"/>
          <w:sz w:val="18"/>
          <w:szCs w:val="18"/>
        </w:rPr>
        <w:t xml:space="preserve">concerned that the remaining 69 forensic practitioners are not formally trained in their discipline. Moreover, of the </w:t>
      </w:r>
      <w:r w:rsidR="00152CEA" w:rsidRPr="007B081C">
        <w:rPr>
          <w:rFonts w:ascii="Verdana" w:hAnsi="Verdana"/>
          <w:sz w:val="18"/>
          <w:szCs w:val="18"/>
        </w:rPr>
        <w:t xml:space="preserve">12 </w:t>
      </w:r>
      <w:r w:rsidRPr="007B081C">
        <w:rPr>
          <w:rFonts w:ascii="Verdana" w:hAnsi="Verdana"/>
          <w:sz w:val="18"/>
          <w:szCs w:val="18"/>
        </w:rPr>
        <w:t xml:space="preserve">qualified forensic practitioners, only two are women, which means that SGBV survivors are more likely to be examined by a male forensic practitioner than a female one. </w:t>
      </w:r>
    </w:p>
    <w:p w14:paraId="572FAFCE" w14:textId="77777777" w:rsidR="00A2341B" w:rsidRPr="007B081C" w:rsidRDefault="00A2341B" w:rsidP="007B081C">
      <w:pPr>
        <w:pStyle w:val="ListParagraph"/>
        <w:ind w:left="360"/>
        <w:jc w:val="both"/>
        <w:rPr>
          <w:rFonts w:ascii="Verdana" w:hAnsi="Verdana"/>
          <w:sz w:val="18"/>
          <w:szCs w:val="18"/>
        </w:rPr>
      </w:pPr>
    </w:p>
    <w:p w14:paraId="64FFAECD" w14:textId="069E0F4D" w:rsidR="00A2341B" w:rsidRPr="007B081C" w:rsidRDefault="00E244EC" w:rsidP="007B081C">
      <w:pPr>
        <w:pStyle w:val="ListParagraph"/>
        <w:numPr>
          <w:ilvl w:val="0"/>
          <w:numId w:val="3"/>
        </w:numPr>
        <w:jc w:val="both"/>
        <w:rPr>
          <w:rFonts w:ascii="Verdana" w:hAnsi="Verdana"/>
          <w:sz w:val="18"/>
          <w:szCs w:val="18"/>
        </w:rPr>
      </w:pPr>
      <w:r w:rsidRPr="007B081C">
        <w:rPr>
          <w:rFonts w:ascii="Verdana" w:hAnsi="Verdana"/>
          <w:sz w:val="18"/>
          <w:szCs w:val="18"/>
        </w:rPr>
        <w:t>The very limited number of forensic practitioners across the country are not provide</w:t>
      </w:r>
      <w:r w:rsidR="00B6032A" w:rsidRPr="007B081C">
        <w:rPr>
          <w:rFonts w:ascii="Verdana" w:hAnsi="Verdana"/>
          <w:sz w:val="18"/>
          <w:szCs w:val="18"/>
        </w:rPr>
        <w:t>d</w:t>
      </w:r>
      <w:r w:rsidRPr="007B081C">
        <w:rPr>
          <w:rFonts w:ascii="Verdana" w:hAnsi="Verdana"/>
          <w:sz w:val="18"/>
          <w:szCs w:val="18"/>
        </w:rPr>
        <w:t xml:space="preserve"> with adequate equipment to ensure the proper examination of SGBV complainants, such as evidence collection kits containing labels to effectively document the chain of custody. In addition, while the ISF allocated rooms within their investigation units to examine women subjected to SGBV, these rooms only contain </w:t>
      </w:r>
      <w:r w:rsidR="00EF1CFF" w:rsidRPr="007B081C">
        <w:rPr>
          <w:rFonts w:ascii="Verdana" w:hAnsi="Verdana"/>
          <w:sz w:val="18"/>
          <w:szCs w:val="18"/>
        </w:rPr>
        <w:t>an examination bed</w:t>
      </w:r>
      <w:r w:rsidR="00CD7317" w:rsidRPr="007B081C">
        <w:rPr>
          <w:rFonts w:ascii="Verdana" w:hAnsi="Verdana"/>
          <w:sz w:val="18"/>
          <w:szCs w:val="18"/>
        </w:rPr>
        <w:t xml:space="preserve"> </w:t>
      </w:r>
      <w:r w:rsidR="00EF1CFF" w:rsidRPr="007B081C">
        <w:rPr>
          <w:rFonts w:ascii="Verdana" w:hAnsi="Verdana"/>
          <w:sz w:val="18"/>
          <w:szCs w:val="18"/>
        </w:rPr>
        <w:t xml:space="preserve">and lack specialized forensic </w:t>
      </w:r>
      <w:r w:rsidRPr="007B081C">
        <w:rPr>
          <w:rFonts w:ascii="Verdana" w:hAnsi="Verdana"/>
          <w:sz w:val="18"/>
          <w:szCs w:val="18"/>
        </w:rPr>
        <w:t>equipment. The location of these rooms is problematic in that they are placed in security settings</w:t>
      </w:r>
      <w:r w:rsidR="00CD7317" w:rsidRPr="007B081C">
        <w:rPr>
          <w:rFonts w:ascii="Verdana" w:hAnsi="Verdana"/>
          <w:sz w:val="18"/>
          <w:szCs w:val="18"/>
        </w:rPr>
        <w:t>,</w:t>
      </w:r>
      <w:r w:rsidRPr="007B081C">
        <w:rPr>
          <w:rFonts w:ascii="Verdana" w:hAnsi="Verdana"/>
          <w:sz w:val="18"/>
          <w:szCs w:val="18"/>
        </w:rPr>
        <w:t xml:space="preserve"> rather than specialized healthcare centers</w:t>
      </w:r>
      <w:r w:rsidR="00CD7317" w:rsidRPr="007B081C">
        <w:rPr>
          <w:rFonts w:ascii="Verdana" w:hAnsi="Verdana"/>
          <w:sz w:val="18"/>
          <w:szCs w:val="18"/>
        </w:rPr>
        <w:t>,</w:t>
      </w:r>
      <w:r w:rsidRPr="007B081C">
        <w:rPr>
          <w:rFonts w:ascii="Verdana" w:hAnsi="Verdana"/>
          <w:sz w:val="18"/>
          <w:szCs w:val="18"/>
        </w:rPr>
        <w:t xml:space="preserve"> and thus afford limited privacy to SGBV complainants. </w:t>
      </w:r>
      <w:r w:rsidR="00EF1CFF" w:rsidRPr="007B081C">
        <w:rPr>
          <w:rFonts w:ascii="Verdana" w:hAnsi="Verdana"/>
          <w:sz w:val="18"/>
          <w:szCs w:val="18"/>
        </w:rPr>
        <w:t xml:space="preserve">Moreover, the expense of medical treatment must be covered </w:t>
      </w:r>
      <w:r w:rsidR="00B6032A" w:rsidRPr="007B081C">
        <w:rPr>
          <w:rFonts w:ascii="Verdana" w:hAnsi="Verdana"/>
          <w:sz w:val="18"/>
          <w:szCs w:val="18"/>
        </w:rPr>
        <w:t>by</w:t>
      </w:r>
      <w:r w:rsidR="00EF1CFF" w:rsidRPr="007B081C">
        <w:rPr>
          <w:rFonts w:ascii="Verdana" w:hAnsi="Verdana"/>
          <w:sz w:val="18"/>
          <w:szCs w:val="18"/>
        </w:rPr>
        <w:t xml:space="preserve"> the complainant</w:t>
      </w:r>
      <w:r w:rsidR="00CD7317" w:rsidRPr="007B081C">
        <w:rPr>
          <w:rFonts w:ascii="Verdana" w:hAnsi="Verdana"/>
          <w:sz w:val="18"/>
          <w:szCs w:val="18"/>
        </w:rPr>
        <w:t xml:space="preserve">, except when </w:t>
      </w:r>
      <w:r w:rsidR="00EF1CFF" w:rsidRPr="007B081C">
        <w:rPr>
          <w:rFonts w:ascii="Verdana" w:hAnsi="Verdana"/>
          <w:sz w:val="18"/>
          <w:szCs w:val="18"/>
        </w:rPr>
        <w:t>a judge</w:t>
      </w:r>
      <w:r w:rsidR="00CD7317" w:rsidRPr="007B081C">
        <w:rPr>
          <w:rFonts w:ascii="Verdana" w:hAnsi="Verdana"/>
          <w:sz w:val="18"/>
          <w:szCs w:val="18"/>
        </w:rPr>
        <w:t xml:space="preserve"> orders </w:t>
      </w:r>
      <w:r w:rsidR="00EF1CFF" w:rsidRPr="007B081C">
        <w:rPr>
          <w:rFonts w:ascii="Verdana" w:hAnsi="Verdana"/>
          <w:sz w:val="18"/>
          <w:szCs w:val="18"/>
        </w:rPr>
        <w:t>the offender</w:t>
      </w:r>
      <w:r w:rsidR="00CD7317" w:rsidRPr="007B081C">
        <w:rPr>
          <w:rFonts w:ascii="Verdana" w:hAnsi="Verdana"/>
          <w:sz w:val="18"/>
          <w:szCs w:val="18"/>
        </w:rPr>
        <w:t xml:space="preserve"> to do so</w:t>
      </w:r>
      <w:r w:rsidR="00EF1CFF" w:rsidRPr="007B081C">
        <w:rPr>
          <w:rFonts w:ascii="Verdana" w:hAnsi="Verdana"/>
          <w:sz w:val="18"/>
          <w:szCs w:val="18"/>
        </w:rPr>
        <w:t xml:space="preserve">. </w:t>
      </w:r>
    </w:p>
    <w:p w14:paraId="42900846" w14:textId="77777777" w:rsidR="00EF1CFF" w:rsidRPr="007B081C" w:rsidRDefault="00EF1CFF" w:rsidP="007B081C">
      <w:pPr>
        <w:pStyle w:val="ListParagraph"/>
        <w:rPr>
          <w:rFonts w:ascii="Verdana" w:hAnsi="Verdana"/>
          <w:sz w:val="18"/>
          <w:szCs w:val="18"/>
        </w:rPr>
      </w:pPr>
    </w:p>
    <w:p w14:paraId="22826539" w14:textId="24C49318" w:rsidR="006601D8" w:rsidRPr="007B081C" w:rsidRDefault="00EF1CFF"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 xml:space="preserve">In light of the above, the ICJ and ABAAD </w:t>
      </w:r>
      <w:r w:rsidR="00CD7317" w:rsidRPr="007B081C">
        <w:rPr>
          <w:rFonts w:ascii="Verdana" w:hAnsi="Verdana" w:cs="Times New Roman"/>
          <w:b/>
          <w:bCs/>
          <w:sz w:val="18"/>
          <w:szCs w:val="18"/>
          <w:lang w:val="en-GB"/>
        </w:rPr>
        <w:t xml:space="preserve">recommend that the CEDAW Committee’s list of issues on Lebanon should require the State party </w:t>
      </w:r>
      <w:r w:rsidR="00801F1F" w:rsidRPr="007B081C">
        <w:rPr>
          <w:rFonts w:ascii="Verdana" w:hAnsi="Verdana"/>
          <w:b/>
          <w:sz w:val="18"/>
          <w:szCs w:val="18"/>
        </w:rPr>
        <w:t>to</w:t>
      </w:r>
      <w:r w:rsidR="00801F1F" w:rsidRPr="007B081C">
        <w:rPr>
          <w:rFonts w:ascii="Verdana" w:hAnsi="Verdana" w:cs="Times New Roman"/>
          <w:b/>
          <w:sz w:val="18"/>
          <w:szCs w:val="18"/>
          <w:lang w:val="en-GB"/>
        </w:rPr>
        <w:t xml:space="preserve"> </w:t>
      </w:r>
      <w:r w:rsidR="006601D8" w:rsidRPr="007B081C">
        <w:rPr>
          <w:rFonts w:ascii="Verdana" w:hAnsi="Verdana" w:cs="Times New Roman"/>
          <w:b/>
          <w:sz w:val="18"/>
          <w:szCs w:val="18"/>
          <w:lang w:val="en-GB"/>
        </w:rPr>
        <w:t>indicate and clarify whether any steps have been taken to:</w:t>
      </w:r>
    </w:p>
    <w:p w14:paraId="244BCC39" w14:textId="77777777" w:rsidR="000C1F49" w:rsidRPr="007B081C" w:rsidRDefault="000C1F49" w:rsidP="007B081C">
      <w:pPr>
        <w:pStyle w:val="FootnoteText"/>
        <w:jc w:val="both"/>
        <w:rPr>
          <w:rFonts w:ascii="Verdana" w:hAnsi="Verdana" w:cs="Times New Roman"/>
          <w:b/>
          <w:sz w:val="18"/>
          <w:szCs w:val="18"/>
          <w:lang w:val="en-GB"/>
        </w:rPr>
      </w:pPr>
    </w:p>
    <w:p w14:paraId="2D04CD50" w14:textId="3A43B4A6" w:rsidR="006601D8" w:rsidRPr="007B081C" w:rsidRDefault="006601D8" w:rsidP="007B081C">
      <w:pPr>
        <w:pStyle w:val="FootnoteText"/>
        <w:numPr>
          <w:ilvl w:val="0"/>
          <w:numId w:val="25"/>
        </w:numPr>
        <w:jc w:val="both"/>
        <w:rPr>
          <w:rFonts w:ascii="Verdana" w:hAnsi="Verdana" w:cs="Times New Roman"/>
          <w:b/>
          <w:sz w:val="18"/>
          <w:szCs w:val="18"/>
          <w:lang w:val="en-GB"/>
        </w:rPr>
      </w:pPr>
      <w:r w:rsidRPr="007B081C">
        <w:rPr>
          <w:rFonts w:ascii="Verdana" w:hAnsi="Verdana" w:cs="Times New Roman"/>
          <w:b/>
          <w:sz w:val="18"/>
          <w:szCs w:val="18"/>
          <w:lang w:val="en-GB"/>
        </w:rPr>
        <w:lastRenderedPageBreak/>
        <w:t xml:space="preserve">Increase the number of qualified forensic practitioners, including female practitioners; </w:t>
      </w:r>
    </w:p>
    <w:p w14:paraId="6226AF1A" w14:textId="58EF9051" w:rsidR="006601D8" w:rsidRPr="007B081C" w:rsidRDefault="006601D8" w:rsidP="007B081C">
      <w:pPr>
        <w:pStyle w:val="FootnoteText"/>
        <w:numPr>
          <w:ilvl w:val="0"/>
          <w:numId w:val="25"/>
        </w:numPr>
        <w:jc w:val="both"/>
        <w:rPr>
          <w:rFonts w:ascii="Verdana" w:hAnsi="Verdana" w:cs="Times New Roman"/>
          <w:b/>
          <w:sz w:val="18"/>
          <w:szCs w:val="18"/>
          <w:lang w:val="en-GB"/>
        </w:rPr>
      </w:pPr>
      <w:r w:rsidRPr="007B081C">
        <w:rPr>
          <w:rFonts w:ascii="Verdana" w:hAnsi="Verdana" w:cs="Times New Roman"/>
          <w:b/>
          <w:sz w:val="18"/>
          <w:szCs w:val="18"/>
          <w:lang w:val="en-GB"/>
        </w:rPr>
        <w:t>Provide forensic practitioners with adequate equipment to ensure the proper examination of SGBV complainants, including evidence collection kits with relevant labels necessary for documenting the chain of custody;</w:t>
      </w:r>
    </w:p>
    <w:p w14:paraId="0F57A3BF" w14:textId="7E3FC810" w:rsidR="00EF2F76" w:rsidRPr="007B081C" w:rsidRDefault="00C659F2" w:rsidP="007B081C">
      <w:pPr>
        <w:pStyle w:val="FootnoteText"/>
        <w:numPr>
          <w:ilvl w:val="0"/>
          <w:numId w:val="25"/>
        </w:numPr>
        <w:jc w:val="both"/>
        <w:rPr>
          <w:rFonts w:ascii="Verdana" w:hAnsi="Verdana" w:cs="Times New Roman"/>
          <w:b/>
          <w:bCs/>
          <w:sz w:val="18"/>
          <w:szCs w:val="18"/>
          <w:lang w:val="en-GB"/>
        </w:rPr>
      </w:pPr>
      <w:r w:rsidRPr="007B081C">
        <w:rPr>
          <w:rFonts w:ascii="Verdana" w:hAnsi="Verdana"/>
          <w:b/>
          <w:sz w:val="18"/>
          <w:szCs w:val="18"/>
        </w:rPr>
        <w:t>Establish government-funded medico-legal facilities for the provision of healthcare and forensic testing</w:t>
      </w:r>
      <w:r w:rsidRPr="007B081C">
        <w:rPr>
          <w:rFonts w:ascii="Verdana" w:hAnsi="Verdana" w:cs="Times New Roman"/>
          <w:b/>
          <w:sz w:val="18"/>
          <w:szCs w:val="18"/>
          <w:lang w:val="en-GB"/>
        </w:rPr>
        <w:t xml:space="preserve"> </w:t>
      </w:r>
      <w:r w:rsidR="006601D8" w:rsidRPr="007B081C">
        <w:rPr>
          <w:rFonts w:ascii="Verdana" w:hAnsi="Verdana" w:cs="Times New Roman"/>
          <w:b/>
          <w:sz w:val="18"/>
          <w:szCs w:val="18"/>
          <w:lang w:val="en-GB"/>
        </w:rPr>
        <w:t>independent from police station</w:t>
      </w:r>
      <w:r w:rsidRPr="007B081C">
        <w:rPr>
          <w:rFonts w:ascii="Verdana" w:hAnsi="Verdana" w:cs="Times New Roman"/>
          <w:b/>
          <w:sz w:val="18"/>
          <w:szCs w:val="18"/>
          <w:lang w:val="en-GB"/>
        </w:rPr>
        <w:t>s.</w:t>
      </w:r>
    </w:p>
    <w:p w14:paraId="6EF03D9A" w14:textId="77777777" w:rsidR="00D25AC6" w:rsidRPr="007B081C" w:rsidRDefault="00D25AC6" w:rsidP="007B081C">
      <w:pPr>
        <w:rPr>
          <w:rFonts w:ascii="Verdana" w:hAnsi="Verdana"/>
          <w:b/>
          <w:bCs/>
          <w:sz w:val="18"/>
          <w:szCs w:val="18"/>
          <w:lang w:val="en-GB"/>
        </w:rPr>
      </w:pPr>
    </w:p>
    <w:p w14:paraId="28B32767" w14:textId="5E777518" w:rsidR="00D274DA" w:rsidRPr="007B081C" w:rsidRDefault="00FA3C65" w:rsidP="007B081C">
      <w:pPr>
        <w:pStyle w:val="FootnoteText"/>
        <w:numPr>
          <w:ilvl w:val="0"/>
          <w:numId w:val="5"/>
        </w:numPr>
        <w:jc w:val="both"/>
        <w:rPr>
          <w:rFonts w:ascii="Verdana" w:hAnsi="Verdana" w:cs="Times New Roman"/>
          <w:b/>
          <w:bCs/>
          <w:sz w:val="18"/>
          <w:szCs w:val="18"/>
          <w:lang w:val="en-GB"/>
        </w:rPr>
      </w:pPr>
      <w:r w:rsidRPr="007B081C">
        <w:rPr>
          <w:rFonts w:ascii="Verdana" w:hAnsi="Verdana" w:cs="Times New Roman"/>
          <w:b/>
          <w:bCs/>
          <w:sz w:val="18"/>
          <w:szCs w:val="18"/>
          <w:lang w:val="en-GB"/>
        </w:rPr>
        <w:t>The</w:t>
      </w:r>
      <w:r w:rsidR="004E74A5" w:rsidRPr="007B081C">
        <w:rPr>
          <w:rFonts w:ascii="Verdana" w:hAnsi="Verdana" w:cs="Times New Roman"/>
          <w:b/>
          <w:bCs/>
          <w:sz w:val="18"/>
          <w:szCs w:val="18"/>
          <w:lang w:val="en-GB"/>
        </w:rPr>
        <w:t xml:space="preserve"> impact of </w:t>
      </w:r>
      <w:r w:rsidR="00D25AC6" w:rsidRPr="007B081C">
        <w:rPr>
          <w:rFonts w:ascii="Verdana" w:hAnsi="Verdana" w:cs="Times New Roman"/>
          <w:b/>
          <w:bCs/>
          <w:sz w:val="18"/>
          <w:szCs w:val="18"/>
          <w:lang w:val="en-GB"/>
        </w:rPr>
        <w:t xml:space="preserve">COVID-19 </w:t>
      </w:r>
      <w:r w:rsidR="004E74A5" w:rsidRPr="007B081C">
        <w:rPr>
          <w:rFonts w:ascii="Verdana" w:hAnsi="Verdana" w:cs="Times New Roman"/>
          <w:b/>
          <w:bCs/>
          <w:sz w:val="18"/>
          <w:szCs w:val="18"/>
          <w:lang w:val="en-GB"/>
        </w:rPr>
        <w:t xml:space="preserve">on SGBV </w:t>
      </w:r>
    </w:p>
    <w:p w14:paraId="4DBB30EE" w14:textId="2150F294" w:rsidR="00D274DA" w:rsidRPr="007B081C" w:rsidRDefault="00D274DA" w:rsidP="007B081C">
      <w:pPr>
        <w:pStyle w:val="FootnoteText"/>
        <w:jc w:val="both"/>
        <w:rPr>
          <w:rFonts w:ascii="Verdana" w:hAnsi="Verdana" w:cs="Times New Roman"/>
          <w:b/>
          <w:bCs/>
          <w:sz w:val="18"/>
          <w:szCs w:val="18"/>
          <w:lang w:val="en-GB"/>
        </w:rPr>
      </w:pPr>
    </w:p>
    <w:p w14:paraId="14DFF024" w14:textId="25DF17AC" w:rsidR="00D25AC6" w:rsidRPr="00065FE3" w:rsidRDefault="00D25AC6" w:rsidP="007B081C">
      <w:pPr>
        <w:pStyle w:val="FootnoteText"/>
        <w:numPr>
          <w:ilvl w:val="0"/>
          <w:numId w:val="3"/>
        </w:numPr>
        <w:jc w:val="both"/>
        <w:rPr>
          <w:rFonts w:ascii="Verdana" w:hAnsi="Verdana" w:cs="Times New Roman"/>
          <w:b/>
          <w:bCs/>
          <w:sz w:val="18"/>
          <w:szCs w:val="18"/>
          <w:lang w:val="en-GB"/>
        </w:rPr>
      </w:pPr>
      <w:r w:rsidRPr="007B081C">
        <w:rPr>
          <w:rFonts w:ascii="Verdana" w:hAnsi="Verdana"/>
          <w:sz w:val="18"/>
          <w:szCs w:val="18"/>
        </w:rPr>
        <w:t xml:space="preserve">The 2020 </w:t>
      </w:r>
      <w:r w:rsidR="00D274DA" w:rsidRPr="007B081C">
        <w:rPr>
          <w:rFonts w:ascii="Verdana" w:hAnsi="Verdana"/>
          <w:sz w:val="18"/>
          <w:szCs w:val="18"/>
        </w:rPr>
        <w:t>COVID-19</w:t>
      </w:r>
      <w:r w:rsidRPr="007B081C">
        <w:rPr>
          <w:rFonts w:ascii="Verdana" w:hAnsi="Verdana"/>
          <w:sz w:val="18"/>
          <w:szCs w:val="18"/>
        </w:rPr>
        <w:t xml:space="preserve"> pandemic highlight</w:t>
      </w:r>
      <w:r w:rsidR="00696225" w:rsidRPr="007B081C">
        <w:rPr>
          <w:rFonts w:ascii="Verdana" w:hAnsi="Verdana"/>
          <w:sz w:val="18"/>
          <w:szCs w:val="18"/>
        </w:rPr>
        <w:t>ed</w:t>
      </w:r>
      <w:r w:rsidRPr="007B081C">
        <w:rPr>
          <w:rFonts w:ascii="Verdana" w:hAnsi="Verdana"/>
          <w:sz w:val="18"/>
          <w:szCs w:val="18"/>
        </w:rPr>
        <w:t xml:space="preserve"> the fact that, </w:t>
      </w:r>
      <w:r w:rsidR="00D274DA" w:rsidRPr="007B081C">
        <w:rPr>
          <w:rFonts w:ascii="Verdana" w:hAnsi="Verdana"/>
          <w:sz w:val="18"/>
          <w:szCs w:val="18"/>
        </w:rPr>
        <w:t>in Lebanon</w:t>
      </w:r>
      <w:r w:rsidRPr="007B081C">
        <w:rPr>
          <w:rFonts w:ascii="Verdana" w:hAnsi="Verdana"/>
          <w:sz w:val="18"/>
          <w:szCs w:val="18"/>
        </w:rPr>
        <w:t>, women and girls remain the perennial victims/survivors of SGBV in the country</w:t>
      </w:r>
      <w:r w:rsidR="00696225" w:rsidRPr="007B081C">
        <w:rPr>
          <w:rFonts w:ascii="Verdana" w:hAnsi="Verdana"/>
          <w:sz w:val="18"/>
          <w:szCs w:val="18"/>
        </w:rPr>
        <w:t>. S</w:t>
      </w:r>
      <w:r w:rsidRPr="007B081C">
        <w:rPr>
          <w:rFonts w:ascii="Verdana" w:hAnsi="Verdana"/>
          <w:sz w:val="18"/>
          <w:szCs w:val="18"/>
        </w:rPr>
        <w:t xml:space="preserve">tudies </w:t>
      </w:r>
      <w:r w:rsidR="00696225" w:rsidRPr="007B081C">
        <w:rPr>
          <w:rFonts w:ascii="Verdana" w:hAnsi="Verdana"/>
          <w:sz w:val="18"/>
          <w:szCs w:val="18"/>
        </w:rPr>
        <w:t xml:space="preserve">have found </w:t>
      </w:r>
      <w:r w:rsidRPr="007B081C">
        <w:rPr>
          <w:rFonts w:ascii="Verdana" w:hAnsi="Verdana"/>
          <w:sz w:val="18"/>
          <w:szCs w:val="18"/>
        </w:rPr>
        <w:t xml:space="preserve">that </w:t>
      </w:r>
      <w:r w:rsidR="00696225" w:rsidRPr="007B081C">
        <w:rPr>
          <w:rFonts w:ascii="Verdana" w:hAnsi="Verdana"/>
          <w:sz w:val="18"/>
          <w:szCs w:val="18"/>
        </w:rPr>
        <w:t xml:space="preserve">the </w:t>
      </w:r>
      <w:r w:rsidR="00030A2B" w:rsidRPr="007B081C">
        <w:rPr>
          <w:rFonts w:ascii="Verdana" w:hAnsi="Verdana"/>
          <w:sz w:val="18"/>
          <w:szCs w:val="18"/>
        </w:rPr>
        <w:t xml:space="preserve">incidence </w:t>
      </w:r>
      <w:r w:rsidR="00696225" w:rsidRPr="007B081C">
        <w:rPr>
          <w:rFonts w:ascii="Verdana" w:hAnsi="Verdana"/>
          <w:sz w:val="18"/>
          <w:szCs w:val="18"/>
        </w:rPr>
        <w:t xml:space="preserve">of SGBV </w:t>
      </w:r>
      <w:r w:rsidRPr="007B081C">
        <w:rPr>
          <w:rFonts w:ascii="Verdana" w:hAnsi="Verdana"/>
          <w:sz w:val="18"/>
          <w:szCs w:val="18"/>
        </w:rPr>
        <w:t xml:space="preserve">has surged amid </w:t>
      </w:r>
      <w:r w:rsidR="0006507E" w:rsidRPr="007B081C">
        <w:rPr>
          <w:rFonts w:ascii="Verdana" w:hAnsi="Verdana"/>
          <w:sz w:val="18"/>
          <w:szCs w:val="18"/>
        </w:rPr>
        <w:t>government-imposed</w:t>
      </w:r>
      <w:r w:rsidR="0006507E">
        <w:rPr>
          <w:rFonts w:ascii="Verdana" w:hAnsi="Verdana"/>
          <w:sz w:val="18"/>
          <w:szCs w:val="18"/>
        </w:rPr>
        <w:t>,</w:t>
      </w:r>
      <w:r w:rsidR="0006507E" w:rsidRPr="007B081C">
        <w:rPr>
          <w:rFonts w:ascii="Verdana" w:hAnsi="Verdana"/>
          <w:sz w:val="18"/>
          <w:szCs w:val="18"/>
        </w:rPr>
        <w:t xml:space="preserve"> </w:t>
      </w:r>
      <w:r w:rsidR="00696225" w:rsidRPr="007B081C">
        <w:rPr>
          <w:rFonts w:ascii="Verdana" w:hAnsi="Verdana"/>
          <w:sz w:val="18"/>
          <w:szCs w:val="18"/>
        </w:rPr>
        <w:t xml:space="preserve">COVID-19 related </w:t>
      </w:r>
      <w:r w:rsidRPr="007B081C">
        <w:rPr>
          <w:rFonts w:ascii="Verdana" w:hAnsi="Verdana"/>
          <w:sz w:val="18"/>
          <w:szCs w:val="18"/>
        </w:rPr>
        <w:t>confinement measures.</w:t>
      </w:r>
      <w:r w:rsidRPr="007B081C">
        <w:rPr>
          <w:rStyle w:val="FootnoteReference"/>
          <w:rFonts w:ascii="Verdana" w:hAnsi="Verdana"/>
          <w:sz w:val="18"/>
          <w:szCs w:val="18"/>
        </w:rPr>
        <w:footnoteReference w:id="37"/>
      </w:r>
      <w:r w:rsidR="00D274DA" w:rsidRPr="007B081C">
        <w:rPr>
          <w:rFonts w:ascii="Verdana" w:hAnsi="Verdana"/>
          <w:sz w:val="18"/>
          <w:szCs w:val="18"/>
        </w:rPr>
        <w:t xml:space="preserve"> Prolonged periods of isolation, income insecurity and restricted access to medical and social services have exacerbated the incidence o</w:t>
      </w:r>
      <w:r w:rsidR="00027383" w:rsidRPr="007B081C">
        <w:rPr>
          <w:rFonts w:ascii="Verdana" w:hAnsi="Verdana"/>
          <w:sz w:val="18"/>
          <w:szCs w:val="18"/>
        </w:rPr>
        <w:t>f</w:t>
      </w:r>
      <w:r w:rsidR="00D274DA" w:rsidRPr="007B081C">
        <w:rPr>
          <w:rFonts w:ascii="Verdana" w:hAnsi="Verdana"/>
          <w:sz w:val="18"/>
          <w:szCs w:val="18"/>
        </w:rPr>
        <w:t xml:space="preserve"> SGBV.</w:t>
      </w:r>
    </w:p>
    <w:p w14:paraId="16D4110C" w14:textId="77777777" w:rsidR="004C6920" w:rsidRPr="00065FE3" w:rsidRDefault="004C6920" w:rsidP="00065FE3">
      <w:pPr>
        <w:pStyle w:val="FootnoteText"/>
        <w:ind w:left="360"/>
        <w:jc w:val="both"/>
        <w:rPr>
          <w:rFonts w:ascii="Verdana" w:hAnsi="Verdana" w:cs="Times New Roman"/>
          <w:sz w:val="18"/>
          <w:szCs w:val="18"/>
          <w:lang w:val="en-GB"/>
        </w:rPr>
      </w:pPr>
    </w:p>
    <w:p w14:paraId="0402649F" w14:textId="46F0ADD5" w:rsidR="00BD57C7" w:rsidRPr="00065FE3" w:rsidRDefault="009544D8" w:rsidP="00BD57C7">
      <w:pPr>
        <w:pStyle w:val="FootnoteText"/>
        <w:numPr>
          <w:ilvl w:val="0"/>
          <w:numId w:val="3"/>
        </w:numPr>
        <w:jc w:val="both"/>
        <w:rPr>
          <w:rFonts w:ascii="Verdana" w:hAnsi="Verdana" w:cs="Times New Roman"/>
          <w:sz w:val="18"/>
          <w:szCs w:val="18"/>
          <w:lang w:val="en-GB"/>
        </w:rPr>
      </w:pPr>
      <w:r>
        <w:rPr>
          <w:rFonts w:ascii="Verdana" w:hAnsi="Verdana" w:cs="Times New Roman"/>
          <w:sz w:val="18"/>
          <w:szCs w:val="18"/>
          <w:lang w:val="en-GB"/>
        </w:rPr>
        <w:t xml:space="preserve">Between March and August 2020, ABAAD received a total of 2,370 phone calls on its 24/7 </w:t>
      </w:r>
      <w:r w:rsidR="00065FE3">
        <w:rPr>
          <w:rFonts w:ascii="Verdana" w:hAnsi="Verdana" w:cs="Times New Roman"/>
          <w:sz w:val="18"/>
          <w:szCs w:val="18"/>
          <w:lang w:val="en-GB"/>
        </w:rPr>
        <w:t xml:space="preserve">SGBV </w:t>
      </w:r>
      <w:r>
        <w:rPr>
          <w:rFonts w:ascii="Verdana" w:hAnsi="Verdana" w:cs="Times New Roman"/>
          <w:sz w:val="18"/>
          <w:szCs w:val="18"/>
          <w:lang w:val="en-GB"/>
        </w:rPr>
        <w:t xml:space="preserve">hotline, compared with 1,193 phone calls in all of 2019. </w:t>
      </w:r>
      <w:r w:rsidR="00BD57C7">
        <w:rPr>
          <w:rFonts w:ascii="Verdana" w:hAnsi="Verdana" w:cs="Times New Roman"/>
          <w:sz w:val="18"/>
          <w:szCs w:val="18"/>
          <w:lang w:val="en-GB"/>
        </w:rPr>
        <w:t xml:space="preserve">ABAAD </w:t>
      </w:r>
      <w:r w:rsidR="00DE3050">
        <w:rPr>
          <w:rFonts w:ascii="Verdana" w:hAnsi="Verdana" w:cs="Times New Roman"/>
          <w:sz w:val="18"/>
          <w:szCs w:val="18"/>
          <w:lang w:val="en-GB"/>
        </w:rPr>
        <w:t xml:space="preserve">also </w:t>
      </w:r>
      <w:r w:rsidR="00BD57C7">
        <w:rPr>
          <w:rFonts w:ascii="Verdana" w:hAnsi="Verdana" w:cs="Times New Roman"/>
          <w:sz w:val="18"/>
          <w:szCs w:val="18"/>
          <w:lang w:val="en-GB"/>
        </w:rPr>
        <w:t>conducted a survey which found that 10% out of 500</w:t>
      </w:r>
      <w:r w:rsidR="00DE3050">
        <w:rPr>
          <w:rFonts w:ascii="Verdana" w:hAnsi="Verdana" w:cs="Times New Roman"/>
          <w:sz w:val="18"/>
          <w:szCs w:val="18"/>
          <w:lang w:val="en-GB"/>
        </w:rPr>
        <w:t xml:space="preserve"> </w:t>
      </w:r>
      <w:r w:rsidR="00BD57C7">
        <w:rPr>
          <w:rFonts w:ascii="Verdana" w:hAnsi="Verdana" w:cs="Times New Roman"/>
          <w:sz w:val="18"/>
          <w:szCs w:val="18"/>
          <w:lang w:val="en-GB"/>
        </w:rPr>
        <w:t>men and women observed an increase in violence and abuse against women since the outbreak of COVID-19</w:t>
      </w:r>
      <w:r w:rsidR="00DE3050">
        <w:rPr>
          <w:rFonts w:ascii="Verdana" w:hAnsi="Verdana" w:cs="Times New Roman"/>
          <w:sz w:val="18"/>
          <w:szCs w:val="18"/>
          <w:lang w:val="en-GB"/>
        </w:rPr>
        <w:t>; and</w:t>
      </w:r>
      <w:r w:rsidR="00BD57C7">
        <w:rPr>
          <w:rFonts w:ascii="Verdana" w:hAnsi="Verdana" w:cs="Times New Roman"/>
          <w:sz w:val="18"/>
          <w:szCs w:val="18"/>
          <w:lang w:val="en-GB"/>
        </w:rPr>
        <w:t xml:space="preserve"> 37% of women out of 250 reported feeling less safe since lockdown.</w:t>
      </w:r>
      <w:r w:rsidR="00BD57C7">
        <w:rPr>
          <w:rStyle w:val="FootnoteReference"/>
          <w:rFonts w:ascii="Verdana" w:hAnsi="Verdana" w:cs="Times New Roman"/>
          <w:sz w:val="18"/>
          <w:szCs w:val="18"/>
          <w:lang w:val="en-GB"/>
        </w:rPr>
        <w:footnoteReference w:id="38"/>
      </w:r>
    </w:p>
    <w:p w14:paraId="646A788A" w14:textId="77777777" w:rsidR="00D274DA" w:rsidRPr="007B081C" w:rsidRDefault="00D274DA" w:rsidP="007B081C">
      <w:pPr>
        <w:pStyle w:val="FootnoteText"/>
        <w:jc w:val="both"/>
        <w:rPr>
          <w:rFonts w:ascii="Verdana" w:hAnsi="Verdana" w:cs="Times New Roman"/>
          <w:b/>
          <w:bCs/>
          <w:sz w:val="18"/>
          <w:szCs w:val="18"/>
          <w:lang w:val="en-GB"/>
        </w:rPr>
      </w:pPr>
    </w:p>
    <w:p w14:paraId="2454BE64" w14:textId="6B16B6E3" w:rsidR="00FC541E" w:rsidRDefault="002501B2"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 xml:space="preserve">The increasing reliance of first responders on </w:t>
      </w:r>
      <w:r w:rsidR="00FC541E" w:rsidRPr="007B081C">
        <w:rPr>
          <w:rFonts w:ascii="Verdana" w:hAnsi="Verdana" w:cs="Times New Roman"/>
          <w:sz w:val="18"/>
          <w:szCs w:val="18"/>
          <w:lang w:val="en-GB"/>
        </w:rPr>
        <w:t>remote</w:t>
      </w:r>
      <w:r w:rsidRPr="007B081C">
        <w:rPr>
          <w:rFonts w:ascii="Verdana" w:hAnsi="Verdana" w:cs="Times New Roman"/>
          <w:sz w:val="18"/>
          <w:szCs w:val="18"/>
          <w:lang w:val="en-GB"/>
        </w:rPr>
        <w:t xml:space="preserve"> and online platforms to respond </w:t>
      </w:r>
      <w:r w:rsidR="00FC541E" w:rsidRPr="007B081C">
        <w:rPr>
          <w:rFonts w:ascii="Verdana" w:hAnsi="Verdana" w:cs="Times New Roman"/>
          <w:sz w:val="18"/>
          <w:szCs w:val="18"/>
          <w:lang w:val="en-GB"/>
        </w:rPr>
        <w:t xml:space="preserve">to </w:t>
      </w:r>
      <w:r w:rsidRPr="007B081C">
        <w:rPr>
          <w:rFonts w:ascii="Verdana" w:hAnsi="Verdana" w:cs="Times New Roman"/>
          <w:sz w:val="18"/>
          <w:szCs w:val="18"/>
          <w:lang w:val="en-GB"/>
        </w:rPr>
        <w:t xml:space="preserve">incidents of SGBV </w:t>
      </w:r>
      <w:r w:rsidR="00D255AE" w:rsidRPr="007B081C">
        <w:rPr>
          <w:rFonts w:ascii="Verdana" w:hAnsi="Verdana" w:cs="Times New Roman"/>
          <w:sz w:val="18"/>
          <w:szCs w:val="18"/>
          <w:lang w:val="en-GB"/>
        </w:rPr>
        <w:t>during</w:t>
      </w:r>
      <w:r w:rsidRPr="007B081C">
        <w:rPr>
          <w:rFonts w:ascii="Verdana" w:hAnsi="Verdana" w:cs="Times New Roman"/>
          <w:sz w:val="18"/>
          <w:szCs w:val="18"/>
          <w:lang w:val="en-GB"/>
        </w:rPr>
        <w:t xml:space="preserve"> the pandemic</w:t>
      </w:r>
      <w:r w:rsidR="00FC541E" w:rsidRPr="007B081C">
        <w:rPr>
          <w:rFonts w:ascii="Verdana" w:hAnsi="Verdana" w:cs="Times New Roman"/>
          <w:sz w:val="18"/>
          <w:szCs w:val="18"/>
          <w:lang w:val="en-GB"/>
        </w:rPr>
        <w:t xml:space="preserve"> has underscored</w:t>
      </w:r>
      <w:r w:rsidRPr="007B081C">
        <w:rPr>
          <w:rFonts w:ascii="Verdana" w:hAnsi="Verdana" w:cs="Times New Roman"/>
          <w:sz w:val="18"/>
          <w:szCs w:val="18"/>
          <w:lang w:val="en-GB"/>
        </w:rPr>
        <w:t xml:space="preserve"> technology gaps</w:t>
      </w:r>
      <w:r w:rsidR="00FC541E" w:rsidRPr="007B081C">
        <w:rPr>
          <w:rFonts w:ascii="Verdana" w:hAnsi="Verdana" w:cs="Times New Roman"/>
          <w:sz w:val="18"/>
          <w:szCs w:val="18"/>
          <w:lang w:val="en-GB"/>
        </w:rPr>
        <w:t xml:space="preserve"> that</w:t>
      </w:r>
      <w:r w:rsidRPr="007B081C">
        <w:rPr>
          <w:rFonts w:ascii="Verdana" w:hAnsi="Verdana" w:cs="Times New Roman"/>
          <w:sz w:val="18"/>
          <w:szCs w:val="18"/>
          <w:lang w:val="en-GB"/>
        </w:rPr>
        <w:t xml:space="preserve"> have disproportionately affected many women, leaving some completely disconnected from essential information and services, including a m</w:t>
      </w:r>
      <w:r w:rsidR="00FC541E" w:rsidRPr="007B081C">
        <w:rPr>
          <w:rFonts w:ascii="Verdana" w:hAnsi="Verdana" w:cs="Times New Roman"/>
          <w:sz w:val="18"/>
          <w:szCs w:val="18"/>
          <w:lang w:val="en-GB"/>
        </w:rPr>
        <w:t>odality</w:t>
      </w:r>
      <w:r w:rsidRPr="007B081C">
        <w:rPr>
          <w:rFonts w:ascii="Verdana" w:hAnsi="Verdana" w:cs="Times New Roman"/>
          <w:sz w:val="18"/>
          <w:szCs w:val="18"/>
          <w:lang w:val="en-GB"/>
        </w:rPr>
        <w:t xml:space="preserve"> to report SGBV.</w:t>
      </w:r>
      <w:r w:rsidRPr="007B081C">
        <w:rPr>
          <w:rStyle w:val="FootnoteReference"/>
          <w:rFonts w:ascii="Verdana" w:hAnsi="Verdana"/>
          <w:sz w:val="18"/>
          <w:szCs w:val="18"/>
        </w:rPr>
        <w:footnoteReference w:id="39"/>
      </w:r>
    </w:p>
    <w:p w14:paraId="61731926" w14:textId="77777777" w:rsidR="00BD57C7" w:rsidRDefault="00BD57C7" w:rsidP="00065FE3">
      <w:pPr>
        <w:pStyle w:val="FootnoteText"/>
        <w:ind w:left="360"/>
        <w:jc w:val="both"/>
        <w:rPr>
          <w:rFonts w:ascii="Verdana" w:hAnsi="Verdana" w:cs="Times New Roman"/>
          <w:sz w:val="18"/>
          <w:szCs w:val="18"/>
          <w:lang w:val="en-GB"/>
        </w:rPr>
      </w:pPr>
    </w:p>
    <w:p w14:paraId="7D174DD3" w14:textId="29E1CA4F" w:rsidR="00BD57C7" w:rsidRPr="00065FE3" w:rsidRDefault="00BD57C7" w:rsidP="00A12698">
      <w:pPr>
        <w:pStyle w:val="FootnoteText"/>
        <w:numPr>
          <w:ilvl w:val="0"/>
          <w:numId w:val="3"/>
        </w:numPr>
        <w:jc w:val="both"/>
        <w:rPr>
          <w:rFonts w:ascii="Verdana" w:hAnsi="Verdana" w:cs="Times New Roman"/>
          <w:sz w:val="18"/>
          <w:szCs w:val="18"/>
          <w:lang w:val="en-GB"/>
        </w:rPr>
      </w:pPr>
      <w:r>
        <w:rPr>
          <w:rFonts w:ascii="Verdana" w:hAnsi="Verdana" w:cs="Times New Roman"/>
          <w:sz w:val="18"/>
          <w:szCs w:val="18"/>
          <w:lang w:val="en-GB"/>
        </w:rPr>
        <w:t xml:space="preserve">First responders and aid agencies </w:t>
      </w:r>
      <w:r w:rsidR="00DE3050">
        <w:rPr>
          <w:rFonts w:ascii="Verdana" w:hAnsi="Verdana" w:cs="Times New Roman"/>
          <w:sz w:val="18"/>
          <w:szCs w:val="18"/>
          <w:lang w:val="en-GB"/>
        </w:rPr>
        <w:t xml:space="preserve">are not trained in </w:t>
      </w:r>
      <w:r w:rsidR="00AE45D2">
        <w:rPr>
          <w:rFonts w:ascii="Verdana" w:hAnsi="Verdana" w:cs="Times New Roman"/>
          <w:sz w:val="18"/>
          <w:szCs w:val="18"/>
          <w:lang w:val="en-GB"/>
        </w:rPr>
        <w:t>remote</w:t>
      </w:r>
      <w:r w:rsidR="00DE3050">
        <w:rPr>
          <w:rFonts w:ascii="Verdana" w:hAnsi="Verdana" w:cs="Times New Roman"/>
          <w:sz w:val="18"/>
          <w:szCs w:val="18"/>
          <w:lang w:val="en-GB"/>
        </w:rPr>
        <w:t xml:space="preserve"> case management, including</w:t>
      </w:r>
      <w:r w:rsidR="00AE45D2">
        <w:rPr>
          <w:rFonts w:ascii="Verdana" w:hAnsi="Verdana" w:cs="Times New Roman"/>
          <w:sz w:val="18"/>
          <w:szCs w:val="18"/>
          <w:lang w:val="en-GB"/>
        </w:rPr>
        <w:t xml:space="preserve"> online</w:t>
      </w:r>
      <w:r w:rsidR="00DE3050">
        <w:rPr>
          <w:rFonts w:ascii="Verdana" w:hAnsi="Verdana" w:cs="Times New Roman"/>
          <w:sz w:val="18"/>
          <w:szCs w:val="18"/>
          <w:lang w:val="en-GB"/>
        </w:rPr>
        <w:t xml:space="preserve"> safety measures</w:t>
      </w:r>
      <w:r w:rsidR="00AE45D2">
        <w:rPr>
          <w:rFonts w:ascii="Verdana" w:hAnsi="Verdana" w:cs="Times New Roman"/>
          <w:sz w:val="18"/>
          <w:szCs w:val="18"/>
          <w:lang w:val="en-GB"/>
        </w:rPr>
        <w:t>,</w:t>
      </w:r>
      <w:r w:rsidR="00A12698">
        <w:rPr>
          <w:rFonts w:ascii="Verdana" w:hAnsi="Verdana" w:cs="Times New Roman"/>
          <w:sz w:val="18"/>
          <w:szCs w:val="18"/>
          <w:lang w:val="en-GB"/>
        </w:rPr>
        <w:t xml:space="preserve"> which may </w:t>
      </w:r>
      <w:r w:rsidR="00E7672D">
        <w:rPr>
          <w:rFonts w:ascii="Verdana" w:hAnsi="Verdana" w:cs="Times New Roman"/>
          <w:sz w:val="18"/>
          <w:szCs w:val="18"/>
          <w:lang w:val="en-GB"/>
        </w:rPr>
        <w:t>leave</w:t>
      </w:r>
      <w:r w:rsidR="00A12698">
        <w:rPr>
          <w:rFonts w:ascii="Verdana" w:hAnsi="Verdana" w:cs="Times New Roman"/>
          <w:sz w:val="18"/>
          <w:szCs w:val="18"/>
          <w:lang w:val="en-GB"/>
        </w:rPr>
        <w:t xml:space="preserve"> SGBV</w:t>
      </w:r>
      <w:r w:rsidR="00DE3050">
        <w:rPr>
          <w:rFonts w:ascii="Verdana" w:hAnsi="Verdana" w:cs="Times New Roman"/>
          <w:sz w:val="18"/>
          <w:szCs w:val="18"/>
          <w:lang w:val="en-GB"/>
        </w:rPr>
        <w:t xml:space="preserve"> complainants </w:t>
      </w:r>
      <w:r w:rsidR="00E7672D">
        <w:rPr>
          <w:rFonts w:ascii="Verdana" w:hAnsi="Verdana" w:cs="Times New Roman"/>
          <w:sz w:val="18"/>
          <w:szCs w:val="18"/>
          <w:lang w:val="en-GB"/>
        </w:rPr>
        <w:t xml:space="preserve">exposed </w:t>
      </w:r>
      <w:r w:rsidR="00DE3050">
        <w:rPr>
          <w:rFonts w:ascii="Verdana" w:hAnsi="Verdana" w:cs="Times New Roman"/>
          <w:sz w:val="18"/>
          <w:szCs w:val="18"/>
          <w:lang w:val="en-GB"/>
        </w:rPr>
        <w:t>to further harm</w:t>
      </w:r>
      <w:r w:rsidR="002F4C5A">
        <w:rPr>
          <w:rFonts w:ascii="Verdana" w:hAnsi="Verdana" w:cs="Times New Roman"/>
          <w:sz w:val="18"/>
          <w:szCs w:val="18"/>
          <w:lang w:val="en-GB"/>
        </w:rPr>
        <w:t>,</w:t>
      </w:r>
      <w:r w:rsidR="00AE45D2">
        <w:rPr>
          <w:rFonts w:ascii="Verdana" w:hAnsi="Verdana" w:cs="Times New Roman"/>
          <w:sz w:val="18"/>
          <w:szCs w:val="18"/>
          <w:lang w:val="en-GB"/>
        </w:rPr>
        <w:t xml:space="preserve"> and impede</w:t>
      </w:r>
      <w:r w:rsidR="00E7672D">
        <w:rPr>
          <w:rFonts w:ascii="Verdana" w:hAnsi="Verdana" w:cs="Times New Roman"/>
          <w:sz w:val="18"/>
          <w:szCs w:val="18"/>
          <w:lang w:val="en-GB"/>
        </w:rPr>
        <w:t xml:space="preserve"> the p</w:t>
      </w:r>
      <w:r w:rsidR="00A12698">
        <w:rPr>
          <w:rFonts w:ascii="Verdana" w:hAnsi="Verdana" w:cs="Times New Roman"/>
          <w:sz w:val="18"/>
          <w:szCs w:val="18"/>
          <w:lang w:val="en-GB"/>
        </w:rPr>
        <w:t xml:space="preserve">revention </w:t>
      </w:r>
      <w:r w:rsidR="00E7672D">
        <w:rPr>
          <w:rFonts w:ascii="Verdana" w:hAnsi="Verdana" w:cs="Times New Roman"/>
          <w:sz w:val="18"/>
          <w:szCs w:val="18"/>
          <w:lang w:val="en-GB"/>
        </w:rPr>
        <w:t>of s</w:t>
      </w:r>
      <w:r w:rsidR="00A12698">
        <w:rPr>
          <w:rFonts w:ascii="Verdana" w:hAnsi="Verdana" w:cs="Times New Roman"/>
          <w:sz w:val="18"/>
          <w:szCs w:val="18"/>
          <w:lang w:val="en-GB"/>
        </w:rPr>
        <w:t xml:space="preserve">exual </w:t>
      </w:r>
      <w:r w:rsidR="00E7672D">
        <w:rPr>
          <w:rFonts w:ascii="Verdana" w:hAnsi="Verdana" w:cs="Times New Roman"/>
          <w:sz w:val="18"/>
          <w:szCs w:val="18"/>
          <w:lang w:val="en-GB"/>
        </w:rPr>
        <w:t>e</w:t>
      </w:r>
      <w:r w:rsidR="00A12698">
        <w:rPr>
          <w:rFonts w:ascii="Verdana" w:hAnsi="Verdana" w:cs="Times New Roman"/>
          <w:sz w:val="18"/>
          <w:szCs w:val="18"/>
          <w:lang w:val="en-GB"/>
        </w:rPr>
        <w:t xml:space="preserve">xploitation and </w:t>
      </w:r>
      <w:r w:rsidR="00E7672D">
        <w:rPr>
          <w:rFonts w:ascii="Verdana" w:hAnsi="Verdana" w:cs="Times New Roman"/>
          <w:sz w:val="18"/>
          <w:szCs w:val="18"/>
          <w:lang w:val="en-GB"/>
        </w:rPr>
        <w:t>a</w:t>
      </w:r>
      <w:r w:rsidR="00A12698">
        <w:rPr>
          <w:rFonts w:ascii="Verdana" w:hAnsi="Verdana" w:cs="Times New Roman"/>
          <w:sz w:val="18"/>
          <w:szCs w:val="18"/>
          <w:lang w:val="en-GB"/>
        </w:rPr>
        <w:t xml:space="preserve">buse and </w:t>
      </w:r>
      <w:r w:rsidR="00E7672D">
        <w:rPr>
          <w:rFonts w:ascii="Verdana" w:hAnsi="Verdana" w:cs="Times New Roman"/>
          <w:sz w:val="18"/>
          <w:szCs w:val="18"/>
          <w:lang w:val="en-GB"/>
        </w:rPr>
        <w:t xml:space="preserve">undermine </w:t>
      </w:r>
      <w:r w:rsidR="00120E0C">
        <w:rPr>
          <w:rFonts w:ascii="Verdana" w:hAnsi="Verdana" w:cs="Times New Roman"/>
          <w:sz w:val="18"/>
          <w:szCs w:val="18"/>
          <w:lang w:val="en-GB"/>
        </w:rPr>
        <w:t xml:space="preserve">accurate </w:t>
      </w:r>
      <w:r w:rsidR="00A12698">
        <w:rPr>
          <w:rFonts w:ascii="Verdana" w:hAnsi="Verdana" w:cs="Times New Roman"/>
          <w:sz w:val="18"/>
          <w:szCs w:val="18"/>
          <w:lang w:val="en-GB"/>
        </w:rPr>
        <w:t xml:space="preserve">reporting, as service providers lack </w:t>
      </w:r>
      <w:r w:rsidR="002F4C5A">
        <w:rPr>
          <w:rFonts w:ascii="Verdana" w:hAnsi="Verdana" w:cs="Times New Roman"/>
          <w:sz w:val="18"/>
          <w:szCs w:val="18"/>
          <w:lang w:val="en-GB"/>
        </w:rPr>
        <w:t>knowledge about</w:t>
      </w:r>
      <w:r w:rsidR="00A12698">
        <w:rPr>
          <w:rFonts w:ascii="Verdana" w:hAnsi="Verdana" w:cs="Times New Roman"/>
          <w:sz w:val="18"/>
          <w:szCs w:val="18"/>
          <w:lang w:val="en-GB"/>
        </w:rPr>
        <w:t xml:space="preserve"> </w:t>
      </w:r>
      <w:r w:rsidR="00120E0C">
        <w:rPr>
          <w:rFonts w:ascii="Verdana" w:hAnsi="Verdana" w:cs="Times New Roman"/>
          <w:sz w:val="18"/>
          <w:szCs w:val="18"/>
          <w:lang w:val="en-GB"/>
        </w:rPr>
        <w:t>early warning signs of SGBV</w:t>
      </w:r>
      <w:r w:rsidR="00A12698">
        <w:rPr>
          <w:rFonts w:ascii="Verdana" w:hAnsi="Verdana" w:cs="Times New Roman"/>
          <w:sz w:val="18"/>
          <w:szCs w:val="18"/>
          <w:lang w:val="en-GB"/>
        </w:rPr>
        <w:t>.</w:t>
      </w:r>
      <w:r w:rsidR="00A12698">
        <w:rPr>
          <w:rStyle w:val="FootnoteReference"/>
          <w:rFonts w:ascii="Verdana" w:hAnsi="Verdana" w:cs="Times New Roman"/>
          <w:sz w:val="18"/>
          <w:szCs w:val="18"/>
          <w:lang w:val="en-GB"/>
        </w:rPr>
        <w:footnoteReference w:id="40"/>
      </w:r>
      <w:r w:rsidR="00A12698">
        <w:rPr>
          <w:rFonts w:ascii="Verdana" w:hAnsi="Verdana" w:cs="Times New Roman"/>
          <w:sz w:val="18"/>
          <w:szCs w:val="18"/>
          <w:lang w:val="en-GB"/>
        </w:rPr>
        <w:t xml:space="preserve">     </w:t>
      </w:r>
    </w:p>
    <w:p w14:paraId="6AFD02DF" w14:textId="77777777" w:rsidR="00030A2B" w:rsidRPr="007B081C" w:rsidRDefault="00030A2B" w:rsidP="007B081C">
      <w:pPr>
        <w:pStyle w:val="ListParagraph"/>
        <w:rPr>
          <w:rFonts w:ascii="Verdana" w:hAnsi="Verdana" w:cs="Times New Roman"/>
          <w:sz w:val="18"/>
          <w:szCs w:val="18"/>
          <w:lang w:val="en-GB"/>
        </w:rPr>
      </w:pPr>
    </w:p>
    <w:p w14:paraId="02CC198E" w14:textId="570E41F5" w:rsidR="00030A2B" w:rsidRPr="007B081C" w:rsidRDefault="00030A2B" w:rsidP="007B081C">
      <w:pPr>
        <w:pStyle w:val="FootnoteText"/>
        <w:numPr>
          <w:ilvl w:val="0"/>
          <w:numId w:val="3"/>
        </w:numPr>
        <w:jc w:val="both"/>
        <w:rPr>
          <w:rFonts w:ascii="Verdana" w:hAnsi="Verdana" w:cs="Times New Roman"/>
          <w:sz w:val="18"/>
          <w:szCs w:val="18"/>
          <w:lang w:val="en-GB"/>
        </w:rPr>
      </w:pPr>
      <w:r w:rsidRPr="007B081C">
        <w:rPr>
          <w:rFonts w:ascii="Verdana" w:hAnsi="Verdana" w:cs="Times New Roman"/>
          <w:sz w:val="18"/>
          <w:szCs w:val="18"/>
          <w:lang w:val="en-GB"/>
        </w:rPr>
        <w:t>Generalization No. 77/2020 issued by the High Judicial Council establishes an online mechanism for judges to accept complaints via email and rule thereon</w:t>
      </w:r>
      <w:r w:rsidR="00993C41" w:rsidRPr="007B081C">
        <w:rPr>
          <w:rFonts w:ascii="Verdana" w:hAnsi="Verdana" w:cs="Times New Roman"/>
          <w:sz w:val="18"/>
          <w:szCs w:val="18"/>
          <w:lang w:val="en-GB"/>
        </w:rPr>
        <w:t>.</w:t>
      </w:r>
      <w:r w:rsidRPr="007B081C">
        <w:rPr>
          <w:rFonts w:ascii="Verdana" w:hAnsi="Verdana" w:cs="Times New Roman"/>
          <w:sz w:val="18"/>
          <w:szCs w:val="18"/>
          <w:lang w:val="en-GB"/>
        </w:rPr>
        <w:t xml:space="preserve"> Similarly, Generalization No. 68/2020 was issued </w:t>
      </w:r>
      <w:r w:rsidR="00993C41" w:rsidRPr="007B081C">
        <w:rPr>
          <w:rFonts w:ascii="Verdana" w:hAnsi="Verdana" w:cs="Times New Roman"/>
          <w:sz w:val="18"/>
          <w:szCs w:val="18"/>
          <w:lang w:val="en-GB"/>
        </w:rPr>
        <w:t xml:space="preserve">by the Ministry of Justice </w:t>
      </w:r>
      <w:r w:rsidRPr="007B081C">
        <w:rPr>
          <w:rFonts w:ascii="Verdana" w:hAnsi="Verdana" w:cs="Times New Roman"/>
          <w:sz w:val="18"/>
          <w:szCs w:val="18"/>
          <w:lang w:val="en-GB"/>
        </w:rPr>
        <w:t>in order to ensure effective prosecution responses to domestic violence victims during lockdown</w:t>
      </w:r>
      <w:r w:rsidR="00895C38" w:rsidRPr="007B081C">
        <w:rPr>
          <w:rFonts w:ascii="Verdana" w:hAnsi="Verdana" w:cs="Times New Roman"/>
          <w:sz w:val="18"/>
          <w:szCs w:val="18"/>
          <w:lang w:val="en-GB"/>
        </w:rPr>
        <w:t>, pursuant to which</w:t>
      </w:r>
      <w:r w:rsidRPr="007B081C">
        <w:rPr>
          <w:rFonts w:ascii="Verdana" w:hAnsi="Verdana" w:cs="Times New Roman"/>
          <w:sz w:val="18"/>
          <w:szCs w:val="18"/>
          <w:lang w:val="en-GB"/>
        </w:rPr>
        <w:t xml:space="preserve"> Judicial Police were requested to record all cases of domestic violence, even without witnesses and empowered to interview complainants remotely.</w:t>
      </w:r>
      <w:r w:rsidR="00993C41" w:rsidRPr="007B081C">
        <w:rPr>
          <w:rFonts w:ascii="Verdana" w:hAnsi="Verdana" w:cs="Times New Roman"/>
          <w:sz w:val="18"/>
          <w:szCs w:val="18"/>
          <w:lang w:val="en-GB"/>
        </w:rPr>
        <w:t xml:space="preserve"> However, the extent to which these mechanisms have been used in practice</w:t>
      </w:r>
      <w:r w:rsidR="00490E58" w:rsidRPr="007B081C">
        <w:rPr>
          <w:rFonts w:ascii="Verdana" w:hAnsi="Verdana" w:cs="Times New Roman"/>
          <w:sz w:val="18"/>
          <w:szCs w:val="18"/>
          <w:lang w:val="en-GB"/>
        </w:rPr>
        <w:t xml:space="preserve"> and are effective remains unclear</w:t>
      </w:r>
      <w:r w:rsidR="00993C41" w:rsidRPr="007B081C">
        <w:rPr>
          <w:rFonts w:ascii="Verdana" w:hAnsi="Verdana" w:cs="Times New Roman"/>
          <w:sz w:val="18"/>
          <w:szCs w:val="18"/>
          <w:lang w:val="en-GB"/>
        </w:rPr>
        <w:t>.</w:t>
      </w:r>
    </w:p>
    <w:p w14:paraId="49BDBD80" w14:textId="77777777" w:rsidR="00FC541E" w:rsidRPr="007B081C" w:rsidRDefault="00FC541E" w:rsidP="007B081C">
      <w:pPr>
        <w:pStyle w:val="ListParagraph"/>
        <w:ind w:left="360"/>
        <w:rPr>
          <w:rFonts w:ascii="Verdana" w:hAnsi="Verdana" w:cs="Times New Roman"/>
          <w:sz w:val="18"/>
          <w:szCs w:val="18"/>
          <w:lang w:val="en-GB"/>
        </w:rPr>
      </w:pPr>
    </w:p>
    <w:p w14:paraId="7DB9348A" w14:textId="0AE66BA5" w:rsidR="00696225" w:rsidRPr="007B081C" w:rsidRDefault="00FC541E" w:rsidP="007B081C">
      <w:pPr>
        <w:pStyle w:val="FootnoteText"/>
        <w:jc w:val="both"/>
        <w:rPr>
          <w:rFonts w:ascii="Verdana" w:hAnsi="Verdana" w:cs="Times New Roman"/>
          <w:b/>
          <w:sz w:val="18"/>
          <w:szCs w:val="18"/>
          <w:lang w:val="en-GB"/>
        </w:rPr>
      </w:pPr>
      <w:r w:rsidRPr="007B081C">
        <w:rPr>
          <w:rFonts w:ascii="Verdana" w:hAnsi="Verdana" w:cs="Times New Roman"/>
          <w:b/>
          <w:bCs/>
          <w:sz w:val="18"/>
          <w:szCs w:val="18"/>
          <w:lang w:val="en-GB"/>
        </w:rPr>
        <w:t xml:space="preserve">In light of the above, the ICJ and ABAAD </w:t>
      </w:r>
      <w:r w:rsidR="004C2BF9" w:rsidRPr="007B081C">
        <w:rPr>
          <w:rFonts w:ascii="Verdana" w:hAnsi="Verdana" w:cs="Times New Roman"/>
          <w:b/>
          <w:bCs/>
          <w:sz w:val="18"/>
          <w:szCs w:val="18"/>
          <w:lang w:val="en-GB"/>
        </w:rPr>
        <w:t xml:space="preserve">recommend that the CEDAW Committee’s list of issues on Lebanon should require the State party </w:t>
      </w:r>
      <w:r w:rsidRPr="007B081C">
        <w:rPr>
          <w:rFonts w:ascii="Verdana" w:hAnsi="Verdana" w:cs="Times New Roman"/>
          <w:b/>
          <w:bCs/>
          <w:sz w:val="18"/>
          <w:szCs w:val="18"/>
          <w:lang w:val="en-GB"/>
        </w:rPr>
        <w:t>to</w:t>
      </w:r>
      <w:r w:rsidR="00696225" w:rsidRPr="007B081C">
        <w:rPr>
          <w:rFonts w:ascii="Verdana" w:hAnsi="Verdana"/>
          <w:b/>
          <w:sz w:val="18"/>
          <w:szCs w:val="18"/>
        </w:rPr>
        <w:t xml:space="preserve"> </w:t>
      </w:r>
      <w:r w:rsidR="00F55916" w:rsidRPr="007B081C">
        <w:rPr>
          <w:rFonts w:ascii="Verdana" w:hAnsi="Verdana" w:cs="Times New Roman"/>
          <w:b/>
          <w:sz w:val="18"/>
          <w:szCs w:val="18"/>
          <w:lang w:val="en-GB"/>
        </w:rPr>
        <w:t>indicate</w:t>
      </w:r>
      <w:r w:rsidRPr="007B081C">
        <w:rPr>
          <w:rFonts w:ascii="Verdana" w:hAnsi="Verdana" w:cs="Times New Roman"/>
          <w:b/>
          <w:sz w:val="18"/>
          <w:szCs w:val="18"/>
          <w:lang w:val="en-GB"/>
        </w:rPr>
        <w:t xml:space="preserve"> and clarify whether any steps have been taken to:</w:t>
      </w:r>
    </w:p>
    <w:p w14:paraId="44BC509D" w14:textId="77777777" w:rsidR="000C1F49" w:rsidRPr="007B081C" w:rsidRDefault="000C1F49" w:rsidP="007B081C">
      <w:pPr>
        <w:pStyle w:val="FootnoteText"/>
        <w:jc w:val="both"/>
        <w:rPr>
          <w:rFonts w:ascii="Verdana" w:hAnsi="Verdana" w:cs="Times New Roman"/>
          <w:b/>
          <w:sz w:val="18"/>
          <w:szCs w:val="18"/>
          <w:lang w:val="en-GB"/>
        </w:rPr>
      </w:pPr>
    </w:p>
    <w:p w14:paraId="42A73ABB" w14:textId="2AC89891" w:rsidR="00FC541E" w:rsidRDefault="009A6BE8" w:rsidP="007B081C">
      <w:pPr>
        <w:pStyle w:val="FootnoteText"/>
        <w:numPr>
          <w:ilvl w:val="0"/>
          <w:numId w:val="27"/>
        </w:numPr>
        <w:jc w:val="both"/>
        <w:rPr>
          <w:rFonts w:ascii="Verdana" w:hAnsi="Verdana" w:cs="Times New Roman"/>
          <w:b/>
          <w:sz w:val="18"/>
          <w:szCs w:val="18"/>
          <w:lang w:val="en-GB"/>
        </w:rPr>
      </w:pPr>
      <w:r w:rsidRPr="007B081C">
        <w:rPr>
          <w:rFonts w:ascii="Verdana" w:hAnsi="Verdana" w:cs="Times New Roman"/>
          <w:b/>
          <w:sz w:val="18"/>
          <w:szCs w:val="18"/>
          <w:lang w:val="en-GB"/>
        </w:rPr>
        <w:t>Counter the disproportionate impact of COVID-19</w:t>
      </w:r>
      <w:r w:rsidRPr="007B081C">
        <w:rPr>
          <w:rFonts w:ascii="Verdana" w:hAnsi="Verdana" w:cs="Times New Roman"/>
          <w:b/>
          <w:sz w:val="18"/>
          <w:szCs w:val="18"/>
          <w:lang w:val="en-GB"/>
        </w:rPr>
        <w:tab/>
        <w:t xml:space="preserve"> related</w:t>
      </w:r>
      <w:r w:rsidR="001D541E" w:rsidRPr="007B081C">
        <w:rPr>
          <w:rFonts w:ascii="Verdana" w:hAnsi="Verdana" w:cs="Times New Roman"/>
          <w:b/>
          <w:sz w:val="18"/>
          <w:szCs w:val="18"/>
          <w:lang w:val="en-GB"/>
        </w:rPr>
        <w:t xml:space="preserve"> restrictions </w:t>
      </w:r>
      <w:r w:rsidRPr="007B081C">
        <w:rPr>
          <w:rFonts w:ascii="Verdana" w:hAnsi="Verdana" w:cs="Times New Roman"/>
          <w:b/>
          <w:sz w:val="18"/>
          <w:szCs w:val="18"/>
          <w:lang w:val="en-GB"/>
        </w:rPr>
        <w:t xml:space="preserve">on women and, in particular, </w:t>
      </w:r>
      <w:r w:rsidR="001D541E" w:rsidRPr="007B081C">
        <w:rPr>
          <w:rFonts w:ascii="Verdana" w:hAnsi="Verdana" w:cs="Times New Roman"/>
          <w:b/>
          <w:sz w:val="18"/>
          <w:szCs w:val="18"/>
          <w:lang w:val="en-GB"/>
        </w:rPr>
        <w:t>complainants</w:t>
      </w:r>
      <w:r w:rsidRPr="007B081C">
        <w:rPr>
          <w:rFonts w:ascii="Verdana" w:hAnsi="Verdana" w:cs="Times New Roman"/>
          <w:b/>
          <w:sz w:val="18"/>
          <w:szCs w:val="18"/>
          <w:lang w:val="en-GB"/>
        </w:rPr>
        <w:t xml:space="preserve">/survivors of </w:t>
      </w:r>
      <w:r w:rsidR="00FC541E" w:rsidRPr="007B081C">
        <w:rPr>
          <w:rFonts w:ascii="Verdana" w:hAnsi="Verdana" w:cs="Times New Roman"/>
          <w:b/>
          <w:sz w:val="18"/>
          <w:szCs w:val="18"/>
          <w:lang w:val="en-GB"/>
        </w:rPr>
        <w:t>SGBV;</w:t>
      </w:r>
    </w:p>
    <w:p w14:paraId="6C91C94A" w14:textId="159F727A" w:rsidR="00A12698" w:rsidRPr="00A12698" w:rsidRDefault="00A12698" w:rsidP="00A12698">
      <w:pPr>
        <w:pStyle w:val="FootnoteText"/>
        <w:numPr>
          <w:ilvl w:val="0"/>
          <w:numId w:val="27"/>
        </w:numPr>
        <w:jc w:val="both"/>
        <w:rPr>
          <w:rFonts w:ascii="Verdana" w:hAnsi="Verdana" w:cs="Times New Roman"/>
          <w:b/>
          <w:sz w:val="18"/>
          <w:szCs w:val="18"/>
          <w:lang w:val="en-GB"/>
        </w:rPr>
      </w:pPr>
      <w:r>
        <w:rPr>
          <w:rFonts w:ascii="Verdana" w:hAnsi="Verdana" w:cs="Times New Roman"/>
          <w:b/>
          <w:sz w:val="18"/>
          <w:szCs w:val="18"/>
          <w:lang w:val="en-GB"/>
        </w:rPr>
        <w:t>Ensur</w:t>
      </w:r>
      <w:r w:rsidR="00120E0C">
        <w:rPr>
          <w:rFonts w:ascii="Verdana" w:hAnsi="Verdana" w:cs="Times New Roman"/>
          <w:b/>
          <w:sz w:val="18"/>
          <w:szCs w:val="18"/>
          <w:lang w:val="en-GB"/>
        </w:rPr>
        <w:t>e that first responders are trained in remote case management, including online safety measures</w:t>
      </w:r>
      <w:r>
        <w:rPr>
          <w:rFonts w:ascii="Verdana" w:hAnsi="Verdana" w:cs="Times New Roman"/>
          <w:b/>
          <w:sz w:val="18"/>
          <w:szCs w:val="18"/>
          <w:lang w:val="en-GB"/>
        </w:rPr>
        <w:t xml:space="preserve">; </w:t>
      </w:r>
    </w:p>
    <w:p w14:paraId="071A8512" w14:textId="5CACB621" w:rsidR="007B1237" w:rsidRPr="00443087" w:rsidRDefault="00FC541E" w:rsidP="00443087">
      <w:pPr>
        <w:pStyle w:val="FootnoteText"/>
        <w:numPr>
          <w:ilvl w:val="0"/>
          <w:numId w:val="27"/>
        </w:numPr>
        <w:jc w:val="both"/>
      </w:pPr>
      <w:r w:rsidRPr="007B081C">
        <w:rPr>
          <w:rFonts w:ascii="Verdana" w:hAnsi="Verdana" w:cs="Times New Roman"/>
          <w:b/>
          <w:sz w:val="18"/>
          <w:szCs w:val="18"/>
          <w:lang w:val="en-GB"/>
        </w:rPr>
        <w:t xml:space="preserve">Ensure the effective access to justice of all women, including </w:t>
      </w:r>
      <w:r w:rsidR="00EA48EC" w:rsidRPr="007B081C">
        <w:rPr>
          <w:rFonts w:ascii="Verdana" w:hAnsi="Verdana" w:cs="Times New Roman"/>
          <w:b/>
          <w:sz w:val="18"/>
          <w:szCs w:val="18"/>
          <w:lang w:val="en-GB"/>
        </w:rPr>
        <w:t xml:space="preserve">to </w:t>
      </w:r>
      <w:r w:rsidRPr="007B081C">
        <w:rPr>
          <w:rFonts w:ascii="Verdana" w:hAnsi="Verdana" w:cs="Times New Roman"/>
          <w:b/>
          <w:sz w:val="18"/>
          <w:szCs w:val="18"/>
          <w:lang w:val="en-GB"/>
        </w:rPr>
        <w:t>protection mechanisms</w:t>
      </w:r>
      <w:r w:rsidR="009A6BE8" w:rsidRPr="007B081C">
        <w:rPr>
          <w:rFonts w:ascii="Verdana" w:hAnsi="Verdana" w:cs="Times New Roman"/>
          <w:b/>
          <w:sz w:val="18"/>
          <w:szCs w:val="18"/>
          <w:lang w:val="en-GB"/>
        </w:rPr>
        <w:t xml:space="preserve"> against SGBV,</w:t>
      </w:r>
      <w:r w:rsidRPr="007B081C">
        <w:rPr>
          <w:rFonts w:ascii="Verdana" w:hAnsi="Verdana" w:cs="Times New Roman"/>
          <w:b/>
          <w:sz w:val="18"/>
          <w:szCs w:val="18"/>
          <w:lang w:val="en-GB"/>
        </w:rPr>
        <w:t xml:space="preserve"> </w:t>
      </w:r>
      <w:r w:rsidR="00EA48EC" w:rsidRPr="007B081C">
        <w:rPr>
          <w:rFonts w:ascii="Verdana" w:hAnsi="Verdana" w:cs="Times New Roman"/>
          <w:b/>
          <w:sz w:val="18"/>
          <w:szCs w:val="18"/>
          <w:lang w:val="en-GB"/>
        </w:rPr>
        <w:t>during the pandemic.</w:t>
      </w:r>
    </w:p>
    <w:sectPr w:rsidR="007B1237" w:rsidRPr="00443087" w:rsidSect="00A21AB1">
      <w:footerReference w:type="even" r:id="rId12"/>
      <w:foot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C70F07" w14:textId="77777777" w:rsidR="00A97E8B" w:rsidRDefault="00A97E8B" w:rsidP="007B1237">
      <w:r>
        <w:separator/>
      </w:r>
    </w:p>
  </w:endnote>
  <w:endnote w:type="continuationSeparator" w:id="0">
    <w:p w14:paraId="03DB621E" w14:textId="77777777" w:rsidR="00A97E8B" w:rsidRDefault="00A97E8B" w:rsidP="007B1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07607092"/>
      <w:docPartObj>
        <w:docPartGallery w:val="Page Numbers (Bottom of Page)"/>
        <w:docPartUnique/>
      </w:docPartObj>
    </w:sdtPr>
    <w:sdtEndPr>
      <w:rPr>
        <w:rStyle w:val="PageNumber"/>
      </w:rPr>
    </w:sdtEndPr>
    <w:sdtContent>
      <w:p w14:paraId="21AFB017" w14:textId="4F9CC4B4" w:rsidR="00511EB8" w:rsidRDefault="00511EB8" w:rsidP="00AA73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227A04" w14:textId="77777777" w:rsidR="00511EB8" w:rsidRDefault="00511E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Verdana" w:hAnsi="Verdana"/>
        <w:sz w:val="20"/>
        <w:szCs w:val="20"/>
      </w:rPr>
      <w:id w:val="-1021622757"/>
      <w:docPartObj>
        <w:docPartGallery w:val="Page Numbers (Bottom of Page)"/>
        <w:docPartUnique/>
      </w:docPartObj>
    </w:sdtPr>
    <w:sdtEndPr>
      <w:rPr>
        <w:rStyle w:val="PageNumber"/>
      </w:rPr>
    </w:sdtEndPr>
    <w:sdtContent>
      <w:p w14:paraId="6C5E2080" w14:textId="37CDEC89" w:rsidR="00511EB8" w:rsidRPr="00E73411" w:rsidRDefault="00511EB8" w:rsidP="00525430">
        <w:pPr>
          <w:pStyle w:val="Footer"/>
          <w:framePr w:wrap="none" w:vAnchor="text" w:hAnchor="margin" w:xAlign="center" w:y="1"/>
          <w:rPr>
            <w:rStyle w:val="PageNumber"/>
            <w:rFonts w:ascii="Verdana" w:hAnsi="Verdana"/>
            <w:sz w:val="20"/>
            <w:szCs w:val="20"/>
          </w:rPr>
        </w:pPr>
        <w:r w:rsidRPr="00E73411">
          <w:rPr>
            <w:rStyle w:val="PageNumber"/>
            <w:rFonts w:ascii="Verdana" w:hAnsi="Verdana"/>
            <w:sz w:val="20"/>
            <w:szCs w:val="20"/>
          </w:rPr>
          <w:fldChar w:fldCharType="begin"/>
        </w:r>
        <w:r w:rsidRPr="00E73411">
          <w:rPr>
            <w:rStyle w:val="PageNumber"/>
            <w:rFonts w:ascii="Verdana" w:hAnsi="Verdana"/>
            <w:sz w:val="20"/>
            <w:szCs w:val="20"/>
          </w:rPr>
          <w:instrText xml:space="preserve"> PAGE </w:instrText>
        </w:r>
        <w:r w:rsidRPr="00E73411">
          <w:rPr>
            <w:rStyle w:val="PageNumber"/>
            <w:rFonts w:ascii="Verdana" w:hAnsi="Verdana"/>
            <w:sz w:val="20"/>
            <w:szCs w:val="20"/>
          </w:rPr>
          <w:fldChar w:fldCharType="separate"/>
        </w:r>
        <w:r w:rsidRPr="00E73411">
          <w:rPr>
            <w:rStyle w:val="PageNumber"/>
            <w:rFonts w:ascii="Verdana" w:hAnsi="Verdana"/>
            <w:noProof/>
            <w:sz w:val="20"/>
            <w:szCs w:val="20"/>
          </w:rPr>
          <w:t>1</w:t>
        </w:r>
        <w:r w:rsidRPr="00E73411">
          <w:rPr>
            <w:rStyle w:val="PageNumber"/>
            <w:rFonts w:ascii="Verdana" w:hAnsi="Verdana"/>
            <w:sz w:val="20"/>
            <w:szCs w:val="20"/>
          </w:rPr>
          <w:fldChar w:fldCharType="end"/>
        </w:r>
      </w:p>
    </w:sdtContent>
  </w:sdt>
  <w:p w14:paraId="1CE3DB3B" w14:textId="77777777" w:rsidR="00511EB8" w:rsidRDefault="00511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573B8" w14:textId="77777777" w:rsidR="00A97E8B" w:rsidRDefault="00A97E8B" w:rsidP="007B1237">
      <w:r>
        <w:separator/>
      </w:r>
    </w:p>
  </w:footnote>
  <w:footnote w:type="continuationSeparator" w:id="0">
    <w:p w14:paraId="1303CB74" w14:textId="77777777" w:rsidR="00A97E8B" w:rsidRDefault="00A97E8B" w:rsidP="007B1237">
      <w:r>
        <w:continuationSeparator/>
      </w:r>
    </w:p>
  </w:footnote>
  <w:footnote w:id="1">
    <w:p w14:paraId="3CBE0AF3" w14:textId="73778087" w:rsidR="00511EB8" w:rsidRPr="00E93CC0" w:rsidRDefault="00511EB8" w:rsidP="000C1F49">
      <w:pPr>
        <w:pStyle w:val="FootnoteText"/>
        <w:jc w:val="both"/>
        <w:rPr>
          <w:rFonts w:ascii="Verdana" w:hAnsi="Verdana"/>
          <w:sz w:val="16"/>
          <w:szCs w:val="16"/>
          <w:lang w:val="en-GB"/>
        </w:rPr>
      </w:pPr>
      <w:r w:rsidRPr="00E93CC0">
        <w:rPr>
          <w:rStyle w:val="FootnoteReference"/>
          <w:rFonts w:ascii="Verdana" w:hAnsi="Verdana"/>
          <w:sz w:val="16"/>
          <w:szCs w:val="16"/>
        </w:rPr>
        <w:footnoteRef/>
      </w:r>
      <w:r w:rsidRPr="00E93CC0">
        <w:rPr>
          <w:rFonts w:ascii="Verdana" w:hAnsi="Verdana"/>
          <w:sz w:val="16"/>
          <w:szCs w:val="16"/>
        </w:rPr>
        <w:t xml:space="preserve"> </w:t>
      </w:r>
      <w:r w:rsidRPr="00E93CC0">
        <w:rPr>
          <w:rFonts w:ascii="Verdana" w:hAnsi="Verdana"/>
          <w:sz w:val="16"/>
          <w:szCs w:val="16"/>
          <w:lang w:val="en-GB"/>
        </w:rPr>
        <w:t xml:space="preserve">Throughout this document, the term woman or women should be understood to include girl/s. </w:t>
      </w:r>
    </w:p>
  </w:footnote>
  <w:footnote w:id="2">
    <w:p w14:paraId="558D8907" w14:textId="3AE5790F" w:rsidR="00511EB8" w:rsidRPr="00E93CC0" w:rsidRDefault="00511EB8" w:rsidP="000C1F49">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ICJ, </w:t>
      </w:r>
      <w:r w:rsidRPr="00E93CC0">
        <w:rPr>
          <w:rFonts w:ascii="Verdana" w:hAnsi="Verdana"/>
          <w:i/>
          <w:iCs/>
          <w:sz w:val="16"/>
          <w:szCs w:val="16"/>
        </w:rPr>
        <w:t>Gender-based Violence in Lebanon: Inadequate Framework, Ineffective Remedies</w:t>
      </w:r>
      <w:r w:rsidR="007B081C" w:rsidRPr="00E93CC0">
        <w:rPr>
          <w:rFonts w:ascii="Verdana" w:hAnsi="Verdana" w:cs="Times New Roman"/>
          <w:iCs/>
          <w:sz w:val="16"/>
          <w:szCs w:val="16"/>
          <w:lang w:val="en-GB"/>
        </w:rPr>
        <w:t xml:space="preserve">, </w:t>
      </w:r>
      <w:r w:rsidRPr="00E93CC0">
        <w:rPr>
          <w:rFonts w:ascii="Verdana" w:hAnsi="Verdana" w:cs="Times New Roman"/>
          <w:iCs/>
          <w:sz w:val="16"/>
          <w:szCs w:val="16"/>
          <w:lang w:val="en-GB"/>
        </w:rPr>
        <w:t>July 2019</w:t>
      </w:r>
      <w:r w:rsidR="007B081C" w:rsidRPr="00E93CC0">
        <w:rPr>
          <w:rFonts w:ascii="Verdana" w:hAnsi="Verdana" w:cs="Times New Roman"/>
          <w:iCs/>
          <w:sz w:val="16"/>
          <w:szCs w:val="16"/>
          <w:lang w:val="en-GB"/>
        </w:rPr>
        <w:t>,</w:t>
      </w:r>
      <w:r w:rsidRPr="00E93CC0">
        <w:rPr>
          <w:rFonts w:ascii="Verdana" w:hAnsi="Verdana" w:cs="Times New Roman"/>
          <w:iCs/>
          <w:sz w:val="16"/>
          <w:szCs w:val="16"/>
          <w:lang w:val="en-GB"/>
        </w:rPr>
        <w:t xml:space="preserve"> (ICJ GBV Lebanon report): </w:t>
      </w:r>
      <w:hyperlink r:id="rId1" w:history="1">
        <w:r w:rsidRPr="00E93CC0">
          <w:rPr>
            <w:rStyle w:val="Hyperlink"/>
            <w:rFonts w:ascii="Verdana" w:hAnsi="Verdana" w:cs="Times New Roman"/>
            <w:iCs/>
            <w:sz w:val="16"/>
            <w:szCs w:val="16"/>
            <w:lang w:val="en-GB"/>
          </w:rPr>
          <w:t>https://www.icj.org/wp-content/uploads/2019/07/Lebanon-Gender-Violence-Publications.pdf</w:t>
        </w:r>
      </w:hyperlink>
      <w:r w:rsidRPr="00E93CC0">
        <w:rPr>
          <w:rFonts w:ascii="Verdana" w:hAnsi="Verdana" w:cs="Times New Roman"/>
          <w:iCs/>
          <w:sz w:val="16"/>
          <w:szCs w:val="16"/>
          <w:lang w:val="en-GB"/>
        </w:rPr>
        <w:t xml:space="preserve">. </w:t>
      </w:r>
    </w:p>
  </w:footnote>
  <w:footnote w:id="3">
    <w:p w14:paraId="731B9C39" w14:textId="2A74BF0F" w:rsidR="00511EB8" w:rsidRPr="00E93CC0" w:rsidRDefault="00511EB8" w:rsidP="000C1F49">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C</w:t>
      </w:r>
      <w:proofErr w:type="spellStart"/>
      <w:r w:rsidRPr="00E93CC0">
        <w:rPr>
          <w:rFonts w:ascii="Verdana" w:eastAsia="Times New Roman" w:hAnsi="Verdana" w:cstheme="majorHAnsi"/>
          <w:sz w:val="16"/>
          <w:szCs w:val="16"/>
          <w:lang w:val="en-IE"/>
        </w:rPr>
        <w:t>ommittee</w:t>
      </w:r>
      <w:proofErr w:type="spellEnd"/>
      <w:r w:rsidRPr="00E93CC0">
        <w:rPr>
          <w:rFonts w:ascii="Verdana" w:eastAsia="Times New Roman" w:hAnsi="Verdana" w:cstheme="majorHAnsi"/>
          <w:sz w:val="16"/>
          <w:szCs w:val="16"/>
          <w:lang w:val="en-IE"/>
        </w:rPr>
        <w:t xml:space="preserve">, </w:t>
      </w:r>
      <w:r w:rsidRPr="00E93CC0">
        <w:rPr>
          <w:rFonts w:ascii="Verdana" w:eastAsia="Times New Roman" w:hAnsi="Verdana" w:cstheme="majorHAnsi"/>
          <w:i/>
          <w:iCs/>
          <w:sz w:val="16"/>
          <w:szCs w:val="16"/>
          <w:lang w:val="en-IE"/>
        </w:rPr>
        <w:t>General recommendation No. 35:</w:t>
      </w:r>
      <w:r w:rsidRPr="00E93CC0">
        <w:rPr>
          <w:rFonts w:ascii="Verdana" w:hAnsi="Verdana"/>
          <w:i/>
          <w:iCs/>
          <w:sz w:val="16"/>
          <w:szCs w:val="16"/>
          <w:lang w:val="uz-Cyrl-UZ"/>
        </w:rPr>
        <w:t xml:space="preserve"> gender-based violence against women, updating general recommendation No. 19</w:t>
      </w:r>
      <w:r w:rsidRPr="00E93CC0">
        <w:rPr>
          <w:rFonts w:ascii="Verdana" w:hAnsi="Verdana"/>
          <w:sz w:val="16"/>
          <w:szCs w:val="16"/>
        </w:rPr>
        <w:t xml:space="preserve">, UN Doc. </w:t>
      </w:r>
      <w:r w:rsidRPr="00E93CC0">
        <w:rPr>
          <w:rFonts w:ascii="Verdana" w:hAnsi="Verdana"/>
          <w:sz w:val="16"/>
          <w:szCs w:val="16"/>
          <w:lang w:val="uz-Cyrl-UZ"/>
        </w:rPr>
        <w:t>CEDAW/C/GC/35</w:t>
      </w:r>
      <w:r w:rsidRPr="00E93CC0">
        <w:rPr>
          <w:rFonts w:ascii="Verdana" w:hAnsi="Verdana"/>
          <w:sz w:val="16"/>
          <w:szCs w:val="16"/>
        </w:rPr>
        <w:t xml:space="preserve"> (2017)</w:t>
      </w:r>
      <w:r w:rsidRPr="00E93CC0">
        <w:rPr>
          <w:rFonts w:ascii="Verdana" w:eastAsia="Times New Roman" w:hAnsi="Verdana" w:cstheme="majorHAnsi"/>
          <w:sz w:val="16"/>
          <w:szCs w:val="16"/>
          <w:lang w:val="en-IE"/>
        </w:rPr>
        <w:t xml:space="preserve">, para. 14. </w:t>
      </w:r>
    </w:p>
  </w:footnote>
  <w:footnote w:id="4">
    <w:p w14:paraId="08C30460" w14:textId="77777777" w:rsidR="00511EB8" w:rsidRPr="00E93CC0" w:rsidRDefault="00511EB8" w:rsidP="000C1F49">
      <w:pPr>
        <w:pStyle w:val="FootnoteText"/>
        <w:jc w:val="both"/>
        <w:rPr>
          <w:rFonts w:ascii="Verdana" w:hAnsi="Verdana"/>
          <w:sz w:val="16"/>
          <w:szCs w:val="16"/>
          <w:lang w:val="es-ES"/>
        </w:rPr>
      </w:pPr>
      <w:r w:rsidRPr="00E93CC0">
        <w:rPr>
          <w:rStyle w:val="FootnoteReference"/>
          <w:rFonts w:ascii="Verdana" w:hAnsi="Verdana"/>
          <w:sz w:val="16"/>
          <w:szCs w:val="16"/>
        </w:rPr>
        <w:footnoteRef/>
      </w:r>
      <w:r w:rsidRPr="00E93CC0">
        <w:rPr>
          <w:rFonts w:ascii="Verdana" w:hAnsi="Verdana"/>
          <w:sz w:val="16"/>
          <w:szCs w:val="16"/>
        </w:rPr>
        <w:t xml:space="preserve"> CEDAW C</w:t>
      </w:r>
      <w:proofErr w:type="spellStart"/>
      <w:r w:rsidRPr="00E93CC0">
        <w:rPr>
          <w:rFonts w:ascii="Verdana" w:eastAsia="Times New Roman" w:hAnsi="Verdana" w:cstheme="majorHAnsi"/>
          <w:sz w:val="16"/>
          <w:szCs w:val="16"/>
          <w:lang w:val="en-IE"/>
        </w:rPr>
        <w:t>ommittee</w:t>
      </w:r>
      <w:proofErr w:type="spellEnd"/>
      <w:r w:rsidRPr="00E93CC0">
        <w:rPr>
          <w:rFonts w:ascii="Verdana" w:eastAsia="Times New Roman" w:hAnsi="Verdana" w:cstheme="majorHAnsi"/>
          <w:sz w:val="16"/>
          <w:szCs w:val="16"/>
          <w:lang w:val="en-IE"/>
        </w:rPr>
        <w:t xml:space="preserve">, </w:t>
      </w:r>
      <w:r w:rsidRPr="00E93CC0">
        <w:rPr>
          <w:rFonts w:ascii="Verdana" w:eastAsia="Times New Roman" w:hAnsi="Verdana" w:cstheme="majorHAnsi"/>
          <w:i/>
          <w:iCs/>
          <w:sz w:val="16"/>
          <w:szCs w:val="16"/>
          <w:lang w:val="en-IE"/>
        </w:rPr>
        <w:t xml:space="preserve">General recommendation No. 35, </w:t>
      </w:r>
      <w:r w:rsidRPr="00E93CC0">
        <w:rPr>
          <w:rFonts w:ascii="Verdana" w:eastAsia="Times New Roman" w:hAnsi="Verdana" w:cstheme="majorHAnsi"/>
          <w:sz w:val="16"/>
          <w:szCs w:val="16"/>
          <w:lang w:val="en-IE"/>
        </w:rPr>
        <w:t>para. 29(e);</w:t>
      </w:r>
      <w:r w:rsidRPr="00E93CC0">
        <w:rPr>
          <w:rFonts w:ascii="Verdana" w:hAnsi="Verdana"/>
          <w:sz w:val="16"/>
          <w:szCs w:val="16"/>
        </w:rPr>
        <w:t xml:space="preserve"> </w:t>
      </w:r>
      <w:r w:rsidRPr="00E93CC0">
        <w:rPr>
          <w:rFonts w:ascii="Verdana" w:eastAsia="Times New Roman" w:hAnsi="Verdana" w:cs="Times New Roman"/>
          <w:sz w:val="16"/>
          <w:szCs w:val="16"/>
          <w:lang w:val="en-IE"/>
        </w:rPr>
        <w:t xml:space="preserve">CEDAW Committee, </w:t>
      </w:r>
      <w:r w:rsidRPr="00E93CC0">
        <w:rPr>
          <w:rFonts w:ascii="Verdana" w:eastAsia="Times New Roman" w:hAnsi="Verdana" w:cs="Times New Roman"/>
          <w:i/>
          <w:iCs/>
          <w:sz w:val="16"/>
          <w:szCs w:val="16"/>
          <w:lang w:val="en-IE"/>
        </w:rPr>
        <w:t>General Recommendation No. 19: Violence against Women</w:t>
      </w:r>
      <w:r w:rsidRPr="00E93CC0">
        <w:rPr>
          <w:rFonts w:ascii="Verdana" w:eastAsia="Times New Roman" w:hAnsi="Verdana" w:cs="Times New Roman"/>
          <w:sz w:val="16"/>
          <w:szCs w:val="16"/>
          <w:lang w:val="en-IE"/>
        </w:rPr>
        <w:t xml:space="preserve">, UN Doc. </w:t>
      </w:r>
      <w:r w:rsidRPr="00E93CC0">
        <w:rPr>
          <w:rFonts w:ascii="Verdana" w:eastAsia="Times New Roman" w:hAnsi="Verdana" w:cs="Times New Roman"/>
          <w:sz w:val="16"/>
          <w:szCs w:val="16"/>
          <w:lang w:val="es-ES"/>
        </w:rPr>
        <w:t xml:space="preserve">A/47/38 (1992), para. 24(b). </w:t>
      </w:r>
    </w:p>
  </w:footnote>
  <w:footnote w:id="5">
    <w:p w14:paraId="3C8B9272" w14:textId="77777777" w:rsidR="00511EB8" w:rsidRPr="00E93CC0" w:rsidRDefault="00511EB8" w:rsidP="000C1F49">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lang w:val="es-ES"/>
        </w:rPr>
        <w:t xml:space="preserve"> </w:t>
      </w:r>
      <w:r w:rsidRPr="00E93CC0">
        <w:rPr>
          <w:rFonts w:ascii="Verdana" w:hAnsi="Verdana"/>
          <w:i/>
          <w:sz w:val="16"/>
          <w:szCs w:val="16"/>
          <w:lang w:val="es-ES"/>
        </w:rPr>
        <w:t>Karen Tayag Vertido v. Philippines</w:t>
      </w:r>
      <w:r w:rsidRPr="00E93CC0">
        <w:rPr>
          <w:rFonts w:ascii="Verdana" w:hAnsi="Verdana"/>
          <w:sz w:val="16"/>
          <w:szCs w:val="16"/>
          <w:lang w:val="es-ES"/>
        </w:rPr>
        <w:t xml:space="preserve">, Communication No. 018/2008, UN Doc. </w:t>
      </w:r>
      <w:r w:rsidRPr="00E93CC0">
        <w:rPr>
          <w:rFonts w:ascii="Verdana" w:hAnsi="Verdana"/>
          <w:sz w:val="16"/>
          <w:szCs w:val="16"/>
          <w:lang w:val="en-GB"/>
        </w:rPr>
        <w:t xml:space="preserve">CEDAW/C/46/D/18/2008 (2010), para. 8.7. </w:t>
      </w:r>
    </w:p>
  </w:footnote>
  <w:footnote w:id="6">
    <w:p w14:paraId="0BAC5319" w14:textId="6A79A88D" w:rsidR="00511EB8" w:rsidRPr="00E93CC0" w:rsidRDefault="00511EB8" w:rsidP="000C1F49">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Committee, </w:t>
      </w:r>
      <w:r w:rsidRPr="00E93CC0">
        <w:rPr>
          <w:rFonts w:ascii="Verdana" w:hAnsi="Verdana"/>
          <w:i/>
          <w:iCs/>
          <w:sz w:val="16"/>
          <w:szCs w:val="16"/>
        </w:rPr>
        <w:t>Concluding Comments of the Committee on the Elimination of Discrimination against Women: Lebanon</w:t>
      </w:r>
      <w:r w:rsidRPr="00E93CC0">
        <w:rPr>
          <w:rFonts w:ascii="Verdana" w:hAnsi="Verdana"/>
          <w:sz w:val="16"/>
          <w:szCs w:val="16"/>
        </w:rPr>
        <w:t xml:space="preserve">, UN Doc. CEDAW/C/LBN/CO/3 (2008), para. 27. </w:t>
      </w:r>
    </w:p>
  </w:footnote>
  <w:footnote w:id="7">
    <w:p w14:paraId="7E233FFD" w14:textId="2D03A137" w:rsidR="00511EB8" w:rsidRPr="00E93CC0" w:rsidRDefault="00511EB8" w:rsidP="004C2FCE">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C</w:t>
      </w:r>
      <w:proofErr w:type="spellStart"/>
      <w:r w:rsidRPr="00E93CC0">
        <w:rPr>
          <w:rFonts w:ascii="Verdana" w:eastAsia="Times New Roman" w:hAnsi="Verdana" w:cstheme="majorHAnsi"/>
          <w:sz w:val="16"/>
          <w:szCs w:val="16"/>
          <w:lang w:val="en-IE"/>
        </w:rPr>
        <w:t>ommittee</w:t>
      </w:r>
      <w:proofErr w:type="spellEnd"/>
      <w:r w:rsidRPr="00E93CC0">
        <w:rPr>
          <w:rFonts w:ascii="Verdana" w:eastAsia="Times New Roman" w:hAnsi="Verdana" w:cstheme="majorHAnsi"/>
          <w:sz w:val="16"/>
          <w:szCs w:val="16"/>
          <w:lang w:val="en-IE"/>
        </w:rPr>
        <w:t xml:space="preserve">, </w:t>
      </w:r>
      <w:r w:rsidRPr="00E93CC0">
        <w:rPr>
          <w:rFonts w:ascii="Verdana" w:eastAsia="Times New Roman" w:hAnsi="Verdana" w:cstheme="majorHAnsi"/>
          <w:i/>
          <w:iCs/>
          <w:sz w:val="16"/>
          <w:szCs w:val="16"/>
          <w:lang w:val="en-IE"/>
        </w:rPr>
        <w:t xml:space="preserve">General recommendation No. 35, </w:t>
      </w:r>
      <w:r w:rsidRPr="00E93CC0">
        <w:rPr>
          <w:rFonts w:ascii="Verdana" w:eastAsia="Times New Roman" w:hAnsi="Verdana" w:cstheme="majorHAnsi"/>
          <w:sz w:val="16"/>
          <w:szCs w:val="16"/>
          <w:lang w:val="en-IE"/>
        </w:rPr>
        <w:t xml:space="preserve">para. 2; CEDAW Committee, </w:t>
      </w:r>
      <w:r w:rsidRPr="00E93CC0">
        <w:rPr>
          <w:rFonts w:ascii="Verdana" w:eastAsia="Times New Roman" w:hAnsi="Verdana" w:cs="Times New Roman"/>
          <w:i/>
          <w:iCs/>
          <w:sz w:val="16"/>
          <w:szCs w:val="16"/>
          <w:lang w:val="en-IE"/>
        </w:rPr>
        <w:t>General Recommendation No. 19</w:t>
      </w:r>
      <w:r w:rsidR="007B081C" w:rsidRPr="00E93CC0">
        <w:rPr>
          <w:rFonts w:ascii="Verdana" w:eastAsia="Times New Roman" w:hAnsi="Verdana" w:cs="Times New Roman"/>
          <w:i/>
          <w:iCs/>
          <w:sz w:val="16"/>
          <w:szCs w:val="16"/>
          <w:lang w:val="en-IE"/>
        </w:rPr>
        <w:t xml:space="preserve">, </w:t>
      </w:r>
      <w:r w:rsidRPr="00E93CC0">
        <w:rPr>
          <w:rFonts w:ascii="Verdana" w:eastAsia="Times New Roman" w:hAnsi="Verdana" w:cs="Times New Roman"/>
          <w:sz w:val="16"/>
          <w:szCs w:val="16"/>
          <w:lang w:val="en-IE"/>
        </w:rPr>
        <w:t xml:space="preserve">paras. 6 &amp; 7; Convention on the Rights of the Child, arts. 19(1) &amp; 34. </w:t>
      </w:r>
    </w:p>
  </w:footnote>
  <w:footnote w:id="8">
    <w:p w14:paraId="60086ABC" w14:textId="30C13731" w:rsidR="00511EB8" w:rsidRPr="00E93CC0" w:rsidRDefault="00511EB8" w:rsidP="004E31A2">
      <w:pPr>
        <w:pStyle w:val="FootnoteText"/>
        <w:jc w:val="both"/>
        <w:rPr>
          <w:rFonts w:ascii="Verdana" w:hAnsi="Verdana"/>
          <w:sz w:val="16"/>
          <w:szCs w:val="16"/>
          <w:lang w:val="en-GB"/>
        </w:rPr>
      </w:pPr>
      <w:r w:rsidRPr="00E93CC0">
        <w:rPr>
          <w:rStyle w:val="FootnoteReference"/>
          <w:rFonts w:ascii="Verdana" w:hAnsi="Verdana"/>
          <w:sz w:val="16"/>
          <w:szCs w:val="16"/>
        </w:rPr>
        <w:footnoteRef/>
      </w:r>
      <w:r w:rsidRPr="00E93CC0">
        <w:rPr>
          <w:rFonts w:ascii="Verdana" w:hAnsi="Verdana"/>
          <w:sz w:val="16"/>
          <w:szCs w:val="16"/>
        </w:rPr>
        <w:t xml:space="preserve"> CEDAW C</w:t>
      </w:r>
      <w:proofErr w:type="spellStart"/>
      <w:r w:rsidRPr="00E93CC0">
        <w:rPr>
          <w:rFonts w:ascii="Verdana" w:eastAsia="Times New Roman" w:hAnsi="Verdana" w:cstheme="majorHAnsi"/>
          <w:sz w:val="16"/>
          <w:szCs w:val="16"/>
          <w:lang w:val="en-IE"/>
        </w:rPr>
        <w:t>ommittee</w:t>
      </w:r>
      <w:proofErr w:type="spellEnd"/>
      <w:r w:rsidRPr="00E93CC0">
        <w:rPr>
          <w:rFonts w:ascii="Verdana" w:eastAsia="Times New Roman" w:hAnsi="Verdana" w:cstheme="majorHAnsi"/>
          <w:sz w:val="16"/>
          <w:szCs w:val="16"/>
          <w:lang w:val="en-IE"/>
        </w:rPr>
        <w:t xml:space="preserve">, </w:t>
      </w:r>
      <w:r w:rsidRPr="00E93CC0">
        <w:rPr>
          <w:rFonts w:ascii="Verdana" w:eastAsia="Times New Roman" w:hAnsi="Verdana" w:cstheme="majorHAnsi"/>
          <w:i/>
          <w:iCs/>
          <w:sz w:val="16"/>
          <w:szCs w:val="16"/>
          <w:lang w:val="en-IE"/>
        </w:rPr>
        <w:t xml:space="preserve">General recommendation No. 35, </w:t>
      </w:r>
      <w:r w:rsidRPr="00E93CC0">
        <w:rPr>
          <w:rFonts w:ascii="Verdana" w:eastAsia="Times New Roman" w:hAnsi="Verdana" w:cstheme="majorHAnsi"/>
          <w:sz w:val="16"/>
          <w:szCs w:val="16"/>
          <w:lang w:val="en-IE"/>
        </w:rPr>
        <w:t xml:space="preserve">paras. 29(a) &amp; (e). </w:t>
      </w:r>
    </w:p>
  </w:footnote>
  <w:footnote w:id="9">
    <w:p w14:paraId="14F27D5A" w14:textId="77777777" w:rsidR="00511EB8" w:rsidRPr="00E93CC0" w:rsidRDefault="00511EB8" w:rsidP="004E31A2">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Committee, </w:t>
      </w:r>
      <w:r w:rsidRPr="00E93CC0">
        <w:rPr>
          <w:rFonts w:ascii="Verdana" w:hAnsi="Verdana"/>
          <w:i/>
          <w:iCs/>
          <w:sz w:val="16"/>
          <w:szCs w:val="16"/>
        </w:rPr>
        <w:t>General Recommendation No. 35</w:t>
      </w:r>
      <w:r w:rsidRPr="00E93CC0">
        <w:rPr>
          <w:rFonts w:ascii="Verdana" w:hAnsi="Verdana"/>
          <w:sz w:val="16"/>
          <w:szCs w:val="16"/>
        </w:rPr>
        <w:t xml:space="preserve">, para. 29(a). </w:t>
      </w:r>
    </w:p>
  </w:footnote>
  <w:footnote w:id="10">
    <w:p w14:paraId="51A1C91D" w14:textId="0202A6F6" w:rsidR="00511EB8" w:rsidRPr="00E93CC0" w:rsidRDefault="00511EB8" w:rsidP="00DB190D">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w:t>
      </w:r>
      <w:r w:rsidRPr="00E93CC0">
        <w:rPr>
          <w:rFonts w:ascii="Verdana" w:eastAsia="Times New Roman" w:hAnsi="Verdana" w:cstheme="majorBidi"/>
          <w:sz w:val="16"/>
          <w:szCs w:val="16"/>
          <w:lang w:val="en-IE" w:eastAsia="en-GB"/>
        </w:rPr>
        <w:t>Committee,</w:t>
      </w:r>
      <w:r w:rsidRPr="00E93CC0">
        <w:rPr>
          <w:rFonts w:ascii="Verdana" w:hAnsi="Verdana"/>
          <w:sz w:val="16"/>
          <w:szCs w:val="16"/>
        </w:rPr>
        <w:t xml:space="preserve"> </w:t>
      </w:r>
      <w:r w:rsidRPr="00E93CC0">
        <w:rPr>
          <w:rFonts w:ascii="Verdana" w:eastAsia="Times New Roman" w:hAnsi="Verdana" w:cs="Times New Roman"/>
          <w:i/>
          <w:iCs/>
          <w:sz w:val="16"/>
          <w:szCs w:val="16"/>
          <w:lang w:val="en-IE"/>
        </w:rPr>
        <w:t>General Recommendation No. 19: Violence against Women</w:t>
      </w:r>
      <w:r w:rsidRPr="00E93CC0">
        <w:rPr>
          <w:rFonts w:ascii="Verdana" w:eastAsia="Times New Roman" w:hAnsi="Verdana" w:cs="Times New Roman"/>
          <w:sz w:val="16"/>
          <w:szCs w:val="16"/>
          <w:lang w:val="en-IE"/>
        </w:rPr>
        <w:t xml:space="preserve">, para. 18. </w:t>
      </w:r>
    </w:p>
  </w:footnote>
  <w:footnote w:id="11">
    <w:p w14:paraId="0E968300" w14:textId="5FFE7A8D" w:rsidR="00511EB8" w:rsidRPr="00E93CC0" w:rsidRDefault="00511EB8" w:rsidP="009D52AC">
      <w:pPr>
        <w:pStyle w:val="FootnoteText"/>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Committee, </w:t>
      </w:r>
      <w:r w:rsidRPr="00E93CC0">
        <w:rPr>
          <w:rFonts w:ascii="Verdana" w:hAnsi="Verdana"/>
          <w:i/>
          <w:iCs/>
          <w:sz w:val="16"/>
          <w:szCs w:val="16"/>
        </w:rPr>
        <w:t>General Recommendation No. 33: Women’s Access to Justice</w:t>
      </w:r>
      <w:r w:rsidRPr="00E93CC0">
        <w:rPr>
          <w:rFonts w:ascii="Verdana" w:hAnsi="Verdana"/>
          <w:sz w:val="16"/>
          <w:szCs w:val="16"/>
        </w:rPr>
        <w:t xml:space="preserve">, UN Doc. CEDAW/C/GC/33 (2015), para. 9. </w:t>
      </w:r>
    </w:p>
  </w:footnote>
  <w:footnote w:id="12">
    <w:p w14:paraId="50AAD19C" w14:textId="10620A9F" w:rsidR="00D44694" w:rsidRPr="00E93CC0" w:rsidRDefault="00D44694">
      <w:pPr>
        <w:pStyle w:val="FootnoteText"/>
        <w:rPr>
          <w:rFonts w:ascii="Verdana" w:hAnsi="Verdana"/>
          <w:sz w:val="16"/>
          <w:szCs w:val="16"/>
        </w:rPr>
      </w:pPr>
      <w:r w:rsidRPr="00E93CC0">
        <w:rPr>
          <w:rStyle w:val="FootnoteReference"/>
          <w:rFonts w:ascii="Verdana" w:hAnsi="Verdana"/>
          <w:sz w:val="16"/>
          <w:szCs w:val="16"/>
        </w:rPr>
        <w:footnoteRef/>
      </w:r>
      <w:r w:rsidR="00E93CC0">
        <w:rPr>
          <w:rFonts w:ascii="Verdana" w:hAnsi="Verdana"/>
          <w:sz w:val="16"/>
          <w:szCs w:val="16"/>
        </w:rPr>
        <w:t xml:space="preserve"> </w:t>
      </w:r>
      <w:r w:rsidRPr="00E93CC0">
        <w:rPr>
          <w:rFonts w:ascii="Verdana" w:hAnsi="Verdana"/>
          <w:sz w:val="16"/>
          <w:szCs w:val="16"/>
        </w:rPr>
        <w:t>See</w:t>
      </w:r>
      <w:r w:rsidR="00443087">
        <w:rPr>
          <w:rFonts w:ascii="Verdana" w:hAnsi="Verdana"/>
          <w:sz w:val="16"/>
          <w:szCs w:val="16"/>
        </w:rPr>
        <w:t>:</w:t>
      </w:r>
      <w:r w:rsidRPr="00E93CC0">
        <w:rPr>
          <w:rFonts w:ascii="Verdana" w:hAnsi="Verdana"/>
          <w:sz w:val="16"/>
          <w:szCs w:val="16"/>
        </w:rPr>
        <w:t xml:space="preserve"> </w:t>
      </w:r>
      <w:hyperlink r:id="rId2" w:history="1">
        <w:r w:rsidRPr="00E93CC0">
          <w:rPr>
            <w:rStyle w:val="Hyperlink"/>
            <w:rFonts w:ascii="Verdana" w:hAnsi="Verdana"/>
            <w:sz w:val="16"/>
            <w:szCs w:val="16"/>
          </w:rPr>
          <w:t>file:///Users/admin/Downloads/Lebanon%20Country%20Assessment%20-%20English.pdf</w:t>
        </w:r>
      </w:hyperlink>
      <w:r w:rsidRPr="00E93CC0">
        <w:rPr>
          <w:rStyle w:val="Hyperlink"/>
          <w:rFonts w:ascii="Verdana" w:hAnsi="Verdana"/>
          <w:sz w:val="16"/>
          <w:szCs w:val="16"/>
        </w:rPr>
        <w:t>.</w:t>
      </w:r>
    </w:p>
  </w:footnote>
  <w:footnote w:id="13">
    <w:p w14:paraId="5EDCCB7D" w14:textId="77777777" w:rsidR="00D44694" w:rsidRPr="00E93CC0" w:rsidRDefault="00D44694" w:rsidP="00D44694">
      <w:pPr>
        <w:pStyle w:val="FootnoteText"/>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CC, art. 586(1), amended by Law No. 164/2011.</w:t>
      </w:r>
    </w:p>
  </w:footnote>
  <w:footnote w:id="14">
    <w:p w14:paraId="5777687B" w14:textId="77777777" w:rsidR="00D44694" w:rsidRPr="00E93CC0" w:rsidRDefault="00D44694" w:rsidP="00D44694">
      <w:pPr>
        <w:pStyle w:val="FootnoteText"/>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CC, art. 586(8), amended by Law No. 164/2011. </w:t>
      </w:r>
    </w:p>
  </w:footnote>
  <w:footnote w:id="15">
    <w:p w14:paraId="1AF00A02" w14:textId="77777777" w:rsidR="00D44694" w:rsidRPr="00E93CC0" w:rsidRDefault="00D44694" w:rsidP="00D44694">
      <w:pPr>
        <w:jc w:val="both"/>
        <w:rPr>
          <w:rFonts w:ascii="Verdana" w:hAnsi="Verdana"/>
          <w:sz w:val="16"/>
          <w:szCs w:val="16"/>
        </w:rPr>
      </w:pPr>
      <w:r w:rsidRPr="00E93CC0">
        <w:rPr>
          <w:rStyle w:val="FootnoteReference"/>
          <w:rFonts w:ascii="Verdana" w:hAnsi="Verdana"/>
          <w:sz w:val="16"/>
          <w:szCs w:val="16"/>
        </w:rPr>
        <w:footnoteRef/>
      </w:r>
      <w:r w:rsidRPr="00E93CC0">
        <w:rPr>
          <w:rFonts w:ascii="Verdana" w:hAnsi="Verdana"/>
          <w:sz w:val="16"/>
          <w:szCs w:val="16"/>
        </w:rPr>
        <w:t xml:space="preserve"> CEDAW Committee, </w:t>
      </w:r>
      <w:r w:rsidRPr="00E93CC0">
        <w:rPr>
          <w:rFonts w:ascii="Verdana" w:hAnsi="Verdana"/>
          <w:i/>
          <w:iCs/>
          <w:sz w:val="16"/>
          <w:szCs w:val="16"/>
        </w:rPr>
        <w:t>General Recommendation No. 33</w:t>
      </w:r>
      <w:r w:rsidRPr="00E93CC0">
        <w:rPr>
          <w:rFonts w:ascii="Verdana" w:hAnsi="Verdana"/>
          <w:sz w:val="16"/>
          <w:szCs w:val="16"/>
        </w:rPr>
        <w:t>, paras. 9 &amp; 49.</w:t>
      </w:r>
    </w:p>
  </w:footnote>
  <w:footnote w:id="16">
    <w:p w14:paraId="5381AB85" w14:textId="7F196F41" w:rsidR="00511EB8" w:rsidRPr="00F75C34" w:rsidRDefault="00511EB8" w:rsidP="00617052">
      <w:pPr>
        <w:pStyle w:val="FootnoteText"/>
        <w:jc w:val="both"/>
        <w:rPr>
          <w:rFonts w:ascii="Verdana" w:hAnsi="Verdana" w:cstheme="majorBidi"/>
          <w:sz w:val="16"/>
          <w:szCs w:val="16"/>
        </w:rPr>
      </w:pPr>
      <w:r w:rsidRPr="00E93CC0">
        <w:rPr>
          <w:rStyle w:val="FootnoteReference"/>
          <w:rFonts w:ascii="Verdana" w:hAnsi="Verdana" w:cstheme="majorBidi"/>
          <w:sz w:val="16"/>
          <w:szCs w:val="16"/>
        </w:rPr>
        <w:footnoteRef/>
      </w:r>
      <w:r w:rsidRPr="00E93CC0">
        <w:rPr>
          <w:rFonts w:ascii="Verdana" w:hAnsi="Verdana" w:cstheme="majorBidi"/>
          <w:sz w:val="16"/>
          <w:szCs w:val="16"/>
        </w:rPr>
        <w:t xml:space="preserve"> CC, art. 541 stipulates that women who undergo abortions can be punished with a term of imprisonment ranging from six months up to three years.</w:t>
      </w:r>
      <w:r w:rsidRPr="00F75C34">
        <w:rPr>
          <w:rFonts w:ascii="Verdana" w:hAnsi="Verdana" w:cstheme="majorBidi"/>
          <w:sz w:val="16"/>
          <w:szCs w:val="16"/>
        </w:rPr>
        <w:t xml:space="preserve"> </w:t>
      </w:r>
    </w:p>
  </w:footnote>
  <w:footnote w:id="17">
    <w:p w14:paraId="1EC5AA30" w14:textId="5B97574D" w:rsidR="00511EB8" w:rsidRPr="001970E3" w:rsidRDefault="00511EB8" w:rsidP="00195BA7">
      <w:pPr>
        <w:pStyle w:val="FootnoteText"/>
        <w:jc w:val="both"/>
        <w:rPr>
          <w:rFonts w:ascii="Verdana" w:hAnsi="Verdana" w:cstheme="majorBidi"/>
          <w:sz w:val="16"/>
          <w:szCs w:val="16"/>
        </w:rPr>
      </w:pPr>
      <w:r w:rsidRPr="00F75C34">
        <w:rPr>
          <w:rStyle w:val="FootnoteReference"/>
          <w:rFonts w:ascii="Verdana" w:hAnsi="Verdana" w:cstheme="majorBidi"/>
          <w:sz w:val="16"/>
          <w:szCs w:val="16"/>
        </w:rPr>
        <w:footnoteRef/>
      </w:r>
      <w:r w:rsidRPr="00F75C34">
        <w:rPr>
          <w:rFonts w:ascii="Verdana" w:hAnsi="Verdana" w:cstheme="majorBidi"/>
          <w:sz w:val="16"/>
          <w:szCs w:val="16"/>
        </w:rPr>
        <w:t xml:space="preserve"> CEDAW </w:t>
      </w:r>
      <w:r w:rsidRPr="00F75C34">
        <w:rPr>
          <w:rFonts w:ascii="Verdana" w:eastAsia="Times New Roman" w:hAnsi="Verdana" w:cstheme="majorBidi"/>
          <w:sz w:val="16"/>
          <w:szCs w:val="16"/>
          <w:lang w:val="en-IE"/>
        </w:rPr>
        <w:t xml:space="preserve">Committee, </w:t>
      </w:r>
      <w:r w:rsidRPr="00F75C34">
        <w:rPr>
          <w:rFonts w:ascii="Verdana" w:eastAsia="Times New Roman" w:hAnsi="Verdana" w:cstheme="majorBidi"/>
          <w:i/>
          <w:iCs/>
          <w:sz w:val="16"/>
          <w:szCs w:val="16"/>
          <w:lang w:val="en-IE"/>
        </w:rPr>
        <w:t>General recommendation</w:t>
      </w:r>
      <w:r w:rsidRPr="00BC79F3">
        <w:rPr>
          <w:rFonts w:ascii="Verdana" w:eastAsia="Times New Roman" w:hAnsi="Verdana" w:cstheme="majorBidi"/>
          <w:i/>
          <w:iCs/>
          <w:sz w:val="16"/>
          <w:szCs w:val="16"/>
          <w:lang w:val="en-IE"/>
        </w:rPr>
        <w:t xml:space="preserve"> No. 35</w:t>
      </w:r>
      <w:r>
        <w:rPr>
          <w:rFonts w:ascii="Verdana" w:eastAsia="Times New Roman" w:hAnsi="Verdana" w:cstheme="majorBidi"/>
          <w:sz w:val="16"/>
          <w:szCs w:val="16"/>
          <w:lang w:val="en-IE"/>
        </w:rPr>
        <w:t>,</w:t>
      </w:r>
      <w:r w:rsidRPr="001970E3">
        <w:rPr>
          <w:rFonts w:ascii="Verdana" w:eastAsia="Times New Roman" w:hAnsi="Verdana" w:cstheme="majorBidi"/>
          <w:sz w:val="16"/>
          <w:szCs w:val="16"/>
          <w:lang w:val="en-IE"/>
        </w:rPr>
        <w:t xml:space="preserve"> para. 18</w:t>
      </w:r>
      <w:r>
        <w:rPr>
          <w:rFonts w:ascii="Verdana" w:eastAsia="Times New Roman" w:hAnsi="Verdana" w:cstheme="majorBidi"/>
          <w:sz w:val="16"/>
          <w:szCs w:val="16"/>
          <w:lang w:val="en-IE"/>
        </w:rPr>
        <w:t>.</w:t>
      </w:r>
    </w:p>
  </w:footnote>
  <w:footnote w:id="18">
    <w:p w14:paraId="5E5CFE84" w14:textId="1EE07BE0" w:rsidR="00511EB8" w:rsidRPr="004B7609" w:rsidRDefault="00511EB8" w:rsidP="004B7609">
      <w:pPr>
        <w:pStyle w:val="FootnoteText"/>
        <w:jc w:val="both"/>
        <w:rPr>
          <w:rFonts w:ascii="Verdana" w:hAnsi="Verdana" w:cstheme="minorHAnsi"/>
          <w:sz w:val="16"/>
          <w:szCs w:val="16"/>
        </w:rPr>
      </w:pPr>
      <w:r w:rsidRPr="004B7609">
        <w:rPr>
          <w:rStyle w:val="FootnoteReference"/>
          <w:rFonts w:ascii="Verdana" w:hAnsi="Verdana" w:cstheme="minorHAnsi"/>
          <w:sz w:val="16"/>
          <w:szCs w:val="16"/>
        </w:rPr>
        <w:footnoteRef/>
      </w:r>
      <w:r w:rsidRPr="004B7609">
        <w:rPr>
          <w:rFonts w:ascii="Verdana" w:hAnsi="Verdana" w:cstheme="minorHAnsi"/>
          <w:sz w:val="16"/>
          <w:szCs w:val="16"/>
        </w:rPr>
        <w:t xml:space="preserve"> Lebanon filed a reservation to the CEDAW excluding the application of equal rights relating to children and child custody. </w:t>
      </w:r>
    </w:p>
  </w:footnote>
  <w:footnote w:id="19">
    <w:p w14:paraId="2E598D00" w14:textId="50E56C72" w:rsidR="00511EB8" w:rsidRPr="004B7609" w:rsidRDefault="00511EB8" w:rsidP="004B7609">
      <w:pPr>
        <w:pStyle w:val="FootnoteText"/>
        <w:jc w:val="both"/>
        <w:rPr>
          <w:rFonts w:ascii="Verdana" w:hAnsi="Verdana"/>
          <w:sz w:val="16"/>
          <w:szCs w:val="16"/>
        </w:rPr>
      </w:pPr>
      <w:r w:rsidRPr="004B7609">
        <w:rPr>
          <w:rStyle w:val="FootnoteReference"/>
          <w:rFonts w:ascii="Verdana" w:hAnsi="Verdana"/>
          <w:sz w:val="16"/>
          <w:szCs w:val="16"/>
        </w:rPr>
        <w:footnoteRef/>
      </w:r>
      <w:r w:rsidRPr="004B7609">
        <w:rPr>
          <w:rFonts w:ascii="Verdana" w:hAnsi="Verdana"/>
          <w:sz w:val="16"/>
          <w:szCs w:val="16"/>
        </w:rPr>
        <w:t xml:space="preserve"> CEDAW Committee, </w:t>
      </w:r>
      <w:r w:rsidRPr="004B7609">
        <w:rPr>
          <w:rFonts w:ascii="Verdana" w:hAnsi="Verdana"/>
          <w:i/>
          <w:iCs/>
          <w:sz w:val="16"/>
          <w:szCs w:val="16"/>
        </w:rPr>
        <w:t>General Recommendation No. 28 on the Core obligations of States Parties under article 2 of the Convention on the Elimination of All Forms of Discrimination against Women</w:t>
      </w:r>
      <w:r w:rsidRPr="004B7609">
        <w:rPr>
          <w:rFonts w:ascii="Verdana" w:hAnsi="Verdana"/>
          <w:sz w:val="16"/>
          <w:szCs w:val="16"/>
        </w:rPr>
        <w:t xml:space="preserve">, UN Doc. CEDAW/C/GC/28 (2010), para. 9. </w:t>
      </w:r>
    </w:p>
  </w:footnote>
  <w:footnote w:id="20">
    <w:p w14:paraId="2C38029F" w14:textId="77777777" w:rsidR="00FF5346" w:rsidRPr="007D4EB7" w:rsidRDefault="00FF5346" w:rsidP="00FF5346">
      <w:pPr>
        <w:pStyle w:val="FootnoteText"/>
        <w:jc w:val="both"/>
        <w:rPr>
          <w:rFonts w:ascii="Verdana" w:hAnsi="Verdana"/>
          <w:sz w:val="16"/>
          <w:szCs w:val="16"/>
        </w:rPr>
      </w:pPr>
      <w:r w:rsidRPr="007D4EB7">
        <w:rPr>
          <w:rStyle w:val="FootnoteReference"/>
          <w:rFonts w:ascii="Verdana" w:hAnsi="Verdana"/>
          <w:sz w:val="16"/>
          <w:szCs w:val="16"/>
        </w:rPr>
        <w:footnoteRef/>
      </w:r>
      <w:r w:rsidRPr="007D4EB7">
        <w:rPr>
          <w:rFonts w:ascii="Verdana" w:hAnsi="Verdana"/>
          <w:sz w:val="16"/>
          <w:szCs w:val="16"/>
        </w:rPr>
        <w:t xml:space="preserve"> The national police agency of Lebanon. </w:t>
      </w:r>
    </w:p>
  </w:footnote>
  <w:footnote w:id="21">
    <w:p w14:paraId="763180F0" w14:textId="51C32D87" w:rsidR="00511EB8" w:rsidRPr="00131C35" w:rsidRDefault="00511EB8">
      <w:pPr>
        <w:pStyle w:val="FootnoteText"/>
        <w:rPr>
          <w:rFonts w:ascii="Verdana" w:hAnsi="Verdana"/>
          <w:sz w:val="16"/>
          <w:szCs w:val="16"/>
        </w:rPr>
      </w:pPr>
      <w:r w:rsidRPr="00131C35">
        <w:rPr>
          <w:rStyle w:val="FootnoteReference"/>
          <w:rFonts w:ascii="Verdana" w:hAnsi="Verdana"/>
          <w:sz w:val="16"/>
          <w:szCs w:val="16"/>
        </w:rPr>
        <w:footnoteRef/>
      </w:r>
      <w:r w:rsidRPr="00131C35">
        <w:rPr>
          <w:rFonts w:ascii="Verdana" w:hAnsi="Verdana"/>
          <w:sz w:val="16"/>
          <w:szCs w:val="16"/>
        </w:rPr>
        <w:t xml:space="preserve"> For more detail, see ICJ GBV Lebanon report, pp. 29-30.  </w:t>
      </w:r>
    </w:p>
  </w:footnote>
  <w:footnote w:id="22">
    <w:p w14:paraId="150EDDED" w14:textId="1CDEEB61" w:rsidR="00511EB8" w:rsidRPr="003C1951" w:rsidRDefault="00511EB8">
      <w:pPr>
        <w:pStyle w:val="FootnoteText"/>
        <w:rPr>
          <w:rFonts w:ascii="Verdana" w:hAnsi="Verdana"/>
          <w:sz w:val="16"/>
          <w:szCs w:val="16"/>
        </w:rPr>
      </w:pPr>
      <w:r w:rsidRPr="007D4EB7">
        <w:rPr>
          <w:rStyle w:val="FootnoteReference"/>
          <w:rFonts w:ascii="Verdana" w:hAnsi="Verdana"/>
          <w:sz w:val="16"/>
          <w:szCs w:val="16"/>
        </w:rPr>
        <w:footnoteRef/>
      </w:r>
      <w:r w:rsidRPr="007D4EB7">
        <w:rPr>
          <w:rFonts w:ascii="Verdana" w:hAnsi="Verdana"/>
          <w:sz w:val="16"/>
          <w:szCs w:val="16"/>
        </w:rPr>
        <w:t xml:space="preserve"> For more detail, see </w:t>
      </w:r>
      <w:r w:rsidRPr="007D4EB7">
        <w:rPr>
          <w:rFonts w:ascii="Verdana" w:hAnsi="Verdana" w:cs="Times New Roman"/>
          <w:iCs/>
          <w:sz w:val="16"/>
          <w:szCs w:val="16"/>
          <w:lang w:val="en-GB"/>
        </w:rPr>
        <w:t>ICJ GBV Lebanon report, pp. 29-30</w:t>
      </w:r>
      <w:r w:rsidRPr="00511EB8">
        <w:rPr>
          <w:rFonts w:ascii="Verdana" w:hAnsi="Verdana" w:cs="Times New Roman"/>
          <w:iCs/>
          <w:sz w:val="16"/>
          <w:szCs w:val="16"/>
          <w:lang w:val="en-GB"/>
        </w:rPr>
        <w:t xml:space="preserve"> &amp;</w:t>
      </w:r>
      <w:r w:rsidRPr="003C1951">
        <w:rPr>
          <w:rFonts w:ascii="Verdana" w:hAnsi="Verdana" w:cs="Times New Roman"/>
          <w:iCs/>
          <w:sz w:val="16"/>
          <w:szCs w:val="16"/>
          <w:lang w:val="en-GB"/>
        </w:rPr>
        <w:t xml:space="preserve"> 38-39.</w:t>
      </w:r>
    </w:p>
  </w:footnote>
  <w:footnote w:id="23">
    <w:p w14:paraId="2DF74299" w14:textId="4558EE68" w:rsidR="00511EB8" w:rsidRPr="007D4EB7" w:rsidRDefault="00511EB8" w:rsidP="00791CC1">
      <w:pPr>
        <w:pStyle w:val="FootnoteText"/>
        <w:rPr>
          <w:rFonts w:ascii="Verdana" w:hAnsi="Verdana"/>
          <w:sz w:val="16"/>
          <w:szCs w:val="16"/>
          <w:lang w:val="en-GB"/>
        </w:rPr>
      </w:pPr>
      <w:r w:rsidRPr="007D4EB7">
        <w:rPr>
          <w:rStyle w:val="FootnoteReference"/>
          <w:rFonts w:ascii="Verdana" w:hAnsi="Verdana"/>
          <w:sz w:val="16"/>
          <w:szCs w:val="16"/>
        </w:rPr>
        <w:footnoteRef/>
      </w:r>
      <w:r w:rsidRPr="007D4EB7">
        <w:rPr>
          <w:rFonts w:ascii="Verdana" w:hAnsi="Verdana"/>
          <w:sz w:val="16"/>
          <w:szCs w:val="16"/>
        </w:rPr>
        <w:t xml:space="preserve"> C</w:t>
      </w:r>
      <w:r w:rsidR="007B081C">
        <w:rPr>
          <w:rFonts w:ascii="Verdana" w:hAnsi="Verdana"/>
          <w:sz w:val="16"/>
          <w:szCs w:val="16"/>
        </w:rPr>
        <w:t xml:space="preserve">ode of </w:t>
      </w:r>
      <w:r w:rsidRPr="007D4EB7">
        <w:rPr>
          <w:rFonts w:ascii="Verdana" w:hAnsi="Verdana"/>
          <w:sz w:val="16"/>
          <w:szCs w:val="16"/>
        </w:rPr>
        <w:t>C</w:t>
      </w:r>
      <w:r w:rsidR="007B081C">
        <w:rPr>
          <w:rFonts w:ascii="Verdana" w:hAnsi="Verdana"/>
          <w:sz w:val="16"/>
          <w:szCs w:val="16"/>
        </w:rPr>
        <w:t xml:space="preserve">riminal </w:t>
      </w:r>
      <w:r w:rsidRPr="007D4EB7">
        <w:rPr>
          <w:rFonts w:ascii="Verdana" w:hAnsi="Verdana"/>
          <w:sz w:val="16"/>
          <w:szCs w:val="16"/>
        </w:rPr>
        <w:t>P</w:t>
      </w:r>
      <w:r w:rsidR="007B081C">
        <w:rPr>
          <w:rFonts w:ascii="Verdana" w:hAnsi="Verdana"/>
          <w:sz w:val="16"/>
          <w:szCs w:val="16"/>
        </w:rPr>
        <w:t>rocedure (CCP)</w:t>
      </w:r>
      <w:r w:rsidRPr="007D4EB7">
        <w:rPr>
          <w:rFonts w:ascii="Verdana" w:hAnsi="Verdana"/>
          <w:sz w:val="16"/>
          <w:szCs w:val="16"/>
        </w:rPr>
        <w:t xml:space="preserve">, arts. 52, 65, 73, 121, 125, 135 &amp; 143. </w:t>
      </w:r>
    </w:p>
  </w:footnote>
  <w:footnote w:id="24">
    <w:p w14:paraId="7ED20204" w14:textId="2943E13B" w:rsidR="00511EB8" w:rsidRPr="00EA3706" w:rsidRDefault="00511EB8" w:rsidP="00A47ABF">
      <w:pPr>
        <w:pStyle w:val="FootnoteText"/>
        <w:jc w:val="both"/>
        <w:rPr>
          <w:rFonts w:ascii="Verdana" w:hAnsi="Verdana"/>
          <w:sz w:val="16"/>
          <w:szCs w:val="16"/>
        </w:rPr>
      </w:pPr>
      <w:r w:rsidRPr="007D4EB7">
        <w:rPr>
          <w:rStyle w:val="FootnoteReference"/>
          <w:rFonts w:ascii="Verdana" w:hAnsi="Verdana"/>
          <w:sz w:val="16"/>
          <w:szCs w:val="16"/>
        </w:rPr>
        <w:footnoteRef/>
      </w:r>
      <w:r w:rsidRPr="007D4EB7">
        <w:rPr>
          <w:rFonts w:ascii="Verdana" w:hAnsi="Verdana"/>
          <w:sz w:val="16"/>
          <w:szCs w:val="16"/>
        </w:rPr>
        <w:t xml:space="preserve"> Law No. 293/2014, </w:t>
      </w:r>
      <w:r w:rsidR="007B081C" w:rsidRPr="007D4EB7">
        <w:rPr>
          <w:rFonts w:ascii="Verdana" w:hAnsi="Verdana"/>
          <w:sz w:val="16"/>
          <w:szCs w:val="16"/>
        </w:rPr>
        <w:t>art</w:t>
      </w:r>
      <w:r w:rsidR="007B081C">
        <w:rPr>
          <w:rFonts w:ascii="Verdana" w:hAnsi="Verdana"/>
          <w:sz w:val="16"/>
          <w:szCs w:val="16"/>
        </w:rPr>
        <w:t>.</w:t>
      </w:r>
      <w:r w:rsidR="007B081C" w:rsidRPr="007D4EB7">
        <w:rPr>
          <w:rFonts w:ascii="Verdana" w:hAnsi="Verdana"/>
          <w:sz w:val="16"/>
          <w:szCs w:val="16"/>
        </w:rPr>
        <w:t xml:space="preserve"> </w:t>
      </w:r>
      <w:r w:rsidRPr="007D4EB7">
        <w:rPr>
          <w:rFonts w:ascii="Verdana" w:hAnsi="Verdana"/>
          <w:sz w:val="16"/>
          <w:szCs w:val="16"/>
        </w:rPr>
        <w:t>3(7)(b).</w:t>
      </w:r>
      <w:r w:rsidRPr="00EA3706">
        <w:rPr>
          <w:rFonts w:ascii="Verdana" w:hAnsi="Verdana"/>
          <w:sz w:val="16"/>
          <w:szCs w:val="16"/>
        </w:rPr>
        <w:t xml:space="preserve"> </w:t>
      </w:r>
    </w:p>
  </w:footnote>
  <w:footnote w:id="25">
    <w:p w14:paraId="21BDBA14" w14:textId="49DBD849" w:rsidR="00511EB8" w:rsidRPr="002255B3" w:rsidRDefault="00511EB8" w:rsidP="002255B3">
      <w:pPr>
        <w:spacing w:line="276" w:lineRule="auto"/>
        <w:jc w:val="both"/>
        <w:rPr>
          <w:rFonts w:ascii="Verdana" w:hAnsi="Verdana"/>
          <w:sz w:val="16"/>
          <w:szCs w:val="16"/>
        </w:rPr>
      </w:pPr>
      <w:r w:rsidRPr="00EA3706">
        <w:rPr>
          <w:rStyle w:val="FootnoteReference"/>
          <w:rFonts w:ascii="Verdana" w:hAnsi="Verdana"/>
          <w:sz w:val="16"/>
          <w:szCs w:val="16"/>
        </w:rPr>
        <w:footnoteRef/>
      </w:r>
      <w:r w:rsidRPr="00EA3706">
        <w:rPr>
          <w:rFonts w:ascii="Verdana" w:hAnsi="Verdana"/>
          <w:sz w:val="16"/>
          <w:szCs w:val="16"/>
        </w:rPr>
        <w:t xml:space="preserve"> Law No. 293/2014</w:t>
      </w:r>
      <w:r w:rsidRPr="00EA3706">
        <w:rPr>
          <w:rFonts w:ascii="Verdana" w:hAnsi="Verdana"/>
          <w:bCs/>
          <w:sz w:val="16"/>
          <w:szCs w:val="16"/>
        </w:rPr>
        <w:t>, art. 2 stipulates that family includes either of the spouses, the father and mother of each, brother, sisters, ascendants</w:t>
      </w:r>
      <w:r w:rsidRPr="002255B3">
        <w:rPr>
          <w:rFonts w:ascii="Verdana" w:hAnsi="Verdana"/>
          <w:bCs/>
          <w:sz w:val="16"/>
          <w:szCs w:val="16"/>
        </w:rPr>
        <w:t xml:space="preserve"> and descendants, whether “legitimate” or “illegitimate”, and those related by adoption, marriage up to the second degree</w:t>
      </w:r>
      <w:r w:rsidRPr="00C006B7">
        <w:rPr>
          <w:rFonts w:ascii="Verdana" w:hAnsi="Verdana"/>
          <w:bCs/>
          <w:sz w:val="16"/>
          <w:szCs w:val="16"/>
        </w:rPr>
        <w:t xml:space="preserve">, guardianship, orphan sponsorship and the mother’s spouse or the father’s spouse. </w:t>
      </w:r>
    </w:p>
  </w:footnote>
  <w:footnote w:id="26">
    <w:p w14:paraId="149F0322" w14:textId="65B9164F" w:rsidR="00511EB8" w:rsidRPr="000C1F49" w:rsidRDefault="00511EB8">
      <w:pPr>
        <w:pStyle w:val="FootnoteText"/>
        <w:rPr>
          <w:rFonts w:ascii="Verdana" w:hAnsi="Verdana"/>
          <w:sz w:val="16"/>
          <w:szCs w:val="16"/>
          <w:lang w:val="sv-SE"/>
        </w:rPr>
      </w:pPr>
      <w:r w:rsidRPr="007C332F">
        <w:rPr>
          <w:rStyle w:val="FootnoteReference"/>
          <w:rFonts w:ascii="Verdana" w:hAnsi="Verdana"/>
          <w:sz w:val="16"/>
          <w:szCs w:val="16"/>
        </w:rPr>
        <w:footnoteRef/>
      </w:r>
      <w:r w:rsidRPr="000C1F49">
        <w:rPr>
          <w:rFonts w:ascii="Verdana" w:hAnsi="Verdana"/>
          <w:sz w:val="16"/>
          <w:szCs w:val="16"/>
          <w:lang w:val="sv-SE"/>
        </w:rPr>
        <w:t xml:space="preserve"> </w:t>
      </w:r>
      <w:r w:rsidRPr="000C1F49">
        <w:rPr>
          <w:rFonts w:ascii="Verdana" w:hAnsi="Verdana" w:cs="Times New Roman"/>
          <w:iCs/>
          <w:sz w:val="16"/>
          <w:szCs w:val="16"/>
          <w:lang w:val="sv-SE"/>
        </w:rPr>
        <w:t xml:space="preserve">ICJ GBV Lebanon report, p.33. </w:t>
      </w:r>
    </w:p>
  </w:footnote>
  <w:footnote w:id="27">
    <w:p w14:paraId="6E269682" w14:textId="724BF9E7" w:rsidR="00511EB8" w:rsidRPr="007C332F" w:rsidRDefault="00511EB8" w:rsidP="00212232">
      <w:pPr>
        <w:jc w:val="both"/>
        <w:rPr>
          <w:rFonts w:ascii="Verdana" w:hAnsi="Verdana"/>
          <w:sz w:val="16"/>
          <w:szCs w:val="16"/>
          <w:lang w:val="en-IE"/>
        </w:rPr>
      </w:pPr>
      <w:r w:rsidRPr="007C332F">
        <w:rPr>
          <w:rStyle w:val="FootnoteReference"/>
          <w:rFonts w:ascii="Verdana" w:hAnsi="Verdana"/>
          <w:sz w:val="16"/>
          <w:szCs w:val="16"/>
        </w:rPr>
        <w:footnoteRef/>
      </w:r>
      <w:r w:rsidRPr="007C332F">
        <w:rPr>
          <w:rFonts w:ascii="Verdana" w:hAnsi="Verdana"/>
          <w:sz w:val="16"/>
          <w:szCs w:val="16"/>
        </w:rPr>
        <w:t xml:space="preserve"> KAFA (Enough Violence Against Women), </w:t>
      </w:r>
      <w:r w:rsidRPr="007C332F">
        <w:rPr>
          <w:rFonts w:ascii="Verdana" w:hAnsi="Verdana"/>
          <w:i/>
          <w:iCs/>
          <w:sz w:val="16"/>
          <w:szCs w:val="16"/>
        </w:rPr>
        <w:t>Analytical Reading of Protection Decisions Issued in 2018-2019</w:t>
      </w:r>
      <w:r w:rsidRPr="007C332F">
        <w:rPr>
          <w:rFonts w:ascii="Verdana" w:hAnsi="Verdana"/>
          <w:sz w:val="16"/>
          <w:szCs w:val="16"/>
        </w:rPr>
        <w:t>, 16 July 2020, p. 7</w:t>
      </w:r>
      <w:r w:rsidR="00443087">
        <w:rPr>
          <w:rFonts w:ascii="Verdana" w:hAnsi="Verdana"/>
          <w:sz w:val="16"/>
          <w:szCs w:val="16"/>
        </w:rPr>
        <w:t xml:space="preserve">: </w:t>
      </w:r>
      <w:hyperlink r:id="rId3" w:history="1">
        <w:r w:rsidRPr="007C332F">
          <w:rPr>
            <w:rStyle w:val="Hyperlink"/>
            <w:rFonts w:ascii="Verdana" w:hAnsi="Verdana"/>
            <w:sz w:val="16"/>
            <w:szCs w:val="16"/>
          </w:rPr>
          <w:t>https://www.kafa.org.lb/sites/default/files/2020-07/study-on-protection-orders.pdf</w:t>
        </w:r>
      </w:hyperlink>
      <w:r w:rsidRPr="007C332F">
        <w:rPr>
          <w:rFonts w:ascii="Verdana" w:hAnsi="Verdana"/>
          <w:sz w:val="16"/>
          <w:szCs w:val="16"/>
        </w:rPr>
        <w:t xml:space="preserve">. </w:t>
      </w:r>
    </w:p>
  </w:footnote>
  <w:footnote w:id="28">
    <w:p w14:paraId="149B2E2C" w14:textId="77777777" w:rsidR="00511EB8" w:rsidRPr="005B7D75" w:rsidRDefault="00511EB8" w:rsidP="00C73871">
      <w:pPr>
        <w:jc w:val="both"/>
        <w:rPr>
          <w:rFonts w:ascii="Verdana" w:hAnsi="Verdana"/>
          <w:b/>
          <w:i/>
          <w:iCs/>
          <w:sz w:val="16"/>
          <w:szCs w:val="16"/>
        </w:rPr>
      </w:pPr>
      <w:r w:rsidRPr="007C332F">
        <w:rPr>
          <w:rStyle w:val="FootnoteReference"/>
          <w:rFonts w:ascii="Verdana" w:hAnsi="Verdana"/>
          <w:sz w:val="16"/>
          <w:szCs w:val="16"/>
        </w:rPr>
        <w:footnoteRef/>
      </w:r>
      <w:r w:rsidRPr="007C332F">
        <w:rPr>
          <w:rFonts w:ascii="Verdana" w:hAnsi="Verdana"/>
          <w:sz w:val="16"/>
          <w:szCs w:val="16"/>
        </w:rPr>
        <w:t xml:space="preserve"> </w:t>
      </w:r>
      <w:r w:rsidRPr="007C332F">
        <w:rPr>
          <w:rFonts w:ascii="Verdana" w:hAnsi="Verdana"/>
          <w:iCs/>
          <w:sz w:val="16"/>
          <w:szCs w:val="16"/>
        </w:rPr>
        <w:t xml:space="preserve">Judge for Urgent Matters in </w:t>
      </w:r>
      <w:proofErr w:type="spellStart"/>
      <w:r w:rsidRPr="007C332F">
        <w:rPr>
          <w:rFonts w:ascii="Verdana" w:hAnsi="Verdana"/>
          <w:i/>
          <w:sz w:val="16"/>
          <w:szCs w:val="16"/>
        </w:rPr>
        <w:t>Jdeidet</w:t>
      </w:r>
      <w:proofErr w:type="spellEnd"/>
      <w:r w:rsidRPr="007C332F">
        <w:rPr>
          <w:rFonts w:ascii="Verdana" w:hAnsi="Verdana"/>
          <w:i/>
          <w:sz w:val="16"/>
          <w:szCs w:val="16"/>
        </w:rPr>
        <w:t xml:space="preserve"> Al-</w:t>
      </w:r>
      <w:proofErr w:type="spellStart"/>
      <w:r w:rsidRPr="007C332F">
        <w:rPr>
          <w:rFonts w:ascii="Verdana" w:hAnsi="Verdana"/>
          <w:i/>
          <w:sz w:val="16"/>
          <w:szCs w:val="16"/>
        </w:rPr>
        <w:t>Matn</w:t>
      </w:r>
      <w:proofErr w:type="spellEnd"/>
      <w:r w:rsidRPr="007C332F">
        <w:rPr>
          <w:rFonts w:ascii="Verdana" w:hAnsi="Verdana"/>
          <w:iCs/>
          <w:sz w:val="16"/>
          <w:szCs w:val="16"/>
        </w:rPr>
        <w:t>, 21 May 2015.</w:t>
      </w:r>
      <w:r w:rsidRPr="005B7D75">
        <w:rPr>
          <w:rFonts w:ascii="Verdana" w:hAnsi="Verdana"/>
          <w:iCs/>
          <w:sz w:val="16"/>
          <w:szCs w:val="16"/>
        </w:rPr>
        <w:t xml:space="preserve"> </w:t>
      </w:r>
    </w:p>
  </w:footnote>
  <w:footnote w:id="29">
    <w:p w14:paraId="38901A74" w14:textId="510217A0" w:rsidR="00511EB8" w:rsidRPr="00884D05" w:rsidRDefault="00511EB8" w:rsidP="00EF1CFF">
      <w:pPr>
        <w:pStyle w:val="FootnoteText"/>
        <w:jc w:val="both"/>
        <w:rPr>
          <w:rFonts w:ascii="Verdana" w:hAnsi="Verdana"/>
          <w:sz w:val="16"/>
          <w:szCs w:val="16"/>
        </w:rPr>
      </w:pPr>
      <w:r w:rsidRPr="00EF1CFF">
        <w:rPr>
          <w:rStyle w:val="FootnoteReference"/>
          <w:rFonts w:ascii="Verdana" w:hAnsi="Verdana"/>
          <w:sz w:val="16"/>
          <w:szCs w:val="16"/>
        </w:rPr>
        <w:footnoteRef/>
      </w:r>
      <w:r w:rsidRPr="00EF1CFF">
        <w:rPr>
          <w:rFonts w:ascii="Verdana" w:hAnsi="Verdana"/>
          <w:sz w:val="16"/>
          <w:szCs w:val="16"/>
        </w:rPr>
        <w:t xml:space="preserve"> </w:t>
      </w:r>
      <w:r w:rsidRPr="00884D05">
        <w:rPr>
          <w:rFonts w:ascii="Verdana" w:hAnsi="Verdana"/>
          <w:sz w:val="16"/>
          <w:szCs w:val="16"/>
        </w:rPr>
        <w:t xml:space="preserve">ICJ, </w:t>
      </w:r>
      <w:r w:rsidR="005A12DF" w:rsidRPr="00884D05">
        <w:rPr>
          <w:rFonts w:ascii="Verdana" w:hAnsi="Verdana" w:cs="Times New Roman"/>
          <w:i/>
          <w:iCs/>
          <w:sz w:val="16"/>
          <w:szCs w:val="16"/>
          <w:lang w:val="en-GB"/>
        </w:rPr>
        <w:t>Accountability for Sexual and Gender-based Violence in Lebanon: Guidance and Recommendations for Criminal Justice Actors</w:t>
      </w:r>
      <w:r w:rsidRPr="00884D05">
        <w:rPr>
          <w:rFonts w:ascii="Verdana" w:hAnsi="Verdana" w:cs="Times New Roman"/>
          <w:iCs/>
          <w:sz w:val="16"/>
          <w:szCs w:val="16"/>
          <w:lang w:val="en-GB"/>
        </w:rPr>
        <w:t xml:space="preserve"> (ICJ forthcoming GBV memo)</w:t>
      </w:r>
      <w:r w:rsidRPr="00884D05">
        <w:rPr>
          <w:rFonts w:ascii="Verdana" w:hAnsi="Verdana" w:cs="Times New Roman"/>
          <w:i/>
          <w:iCs/>
          <w:sz w:val="16"/>
          <w:szCs w:val="16"/>
          <w:lang w:val="en-GB"/>
        </w:rPr>
        <w:t xml:space="preserve">, </w:t>
      </w:r>
      <w:r w:rsidRPr="00884D05">
        <w:rPr>
          <w:rFonts w:ascii="Verdana" w:hAnsi="Verdana" w:cs="Times New Roman"/>
          <w:sz w:val="16"/>
          <w:szCs w:val="16"/>
          <w:lang w:val="en-GB"/>
        </w:rPr>
        <w:t>section 4.2.3 (forthcoming).</w:t>
      </w:r>
    </w:p>
  </w:footnote>
  <w:footnote w:id="30">
    <w:p w14:paraId="0C79EB87" w14:textId="46FEDF66" w:rsidR="00511EB8" w:rsidRPr="00131C35" w:rsidRDefault="00511EB8">
      <w:pPr>
        <w:pStyle w:val="FootnoteText"/>
        <w:rPr>
          <w:rFonts w:ascii="Verdana" w:hAnsi="Verdana"/>
          <w:sz w:val="16"/>
          <w:szCs w:val="16"/>
        </w:rPr>
      </w:pPr>
      <w:r w:rsidRPr="00131C35">
        <w:rPr>
          <w:rStyle w:val="FootnoteReference"/>
          <w:rFonts w:ascii="Verdana" w:hAnsi="Verdana"/>
          <w:sz w:val="16"/>
          <w:szCs w:val="16"/>
        </w:rPr>
        <w:footnoteRef/>
      </w:r>
      <w:r w:rsidRPr="00131C35">
        <w:rPr>
          <w:rFonts w:ascii="Verdana" w:hAnsi="Verdana"/>
          <w:sz w:val="16"/>
          <w:szCs w:val="16"/>
        </w:rPr>
        <w:t xml:space="preserve"> See, </w:t>
      </w:r>
      <w:r w:rsidR="007B081C">
        <w:rPr>
          <w:rFonts w:ascii="Verdana" w:hAnsi="Verdana"/>
          <w:sz w:val="16"/>
          <w:szCs w:val="16"/>
        </w:rPr>
        <w:t>for example,</w:t>
      </w:r>
      <w:r w:rsidRPr="00131C35">
        <w:rPr>
          <w:rFonts w:ascii="Verdana" w:hAnsi="Verdana"/>
          <w:sz w:val="16"/>
          <w:szCs w:val="16"/>
        </w:rPr>
        <w:t xml:space="preserve"> the </w:t>
      </w:r>
      <w:r w:rsidRPr="007B081C">
        <w:rPr>
          <w:rFonts w:ascii="Verdana" w:hAnsi="Verdana"/>
          <w:i/>
          <w:iCs/>
          <w:sz w:val="16"/>
          <w:szCs w:val="16"/>
        </w:rPr>
        <w:t xml:space="preserve">Manal </w:t>
      </w:r>
      <w:proofErr w:type="spellStart"/>
      <w:r w:rsidRPr="007B081C">
        <w:rPr>
          <w:rFonts w:ascii="Verdana" w:hAnsi="Verdana"/>
          <w:i/>
          <w:iCs/>
          <w:sz w:val="16"/>
          <w:szCs w:val="16"/>
        </w:rPr>
        <w:t>Assi</w:t>
      </w:r>
      <w:proofErr w:type="spellEnd"/>
      <w:r w:rsidRPr="00131C35">
        <w:rPr>
          <w:rFonts w:ascii="Verdana" w:hAnsi="Verdana"/>
          <w:sz w:val="16"/>
          <w:szCs w:val="16"/>
        </w:rPr>
        <w:t xml:space="preserve"> case, discussed in, </w:t>
      </w:r>
      <w:r w:rsidRPr="00884D05">
        <w:rPr>
          <w:rFonts w:ascii="Verdana" w:hAnsi="Verdana" w:cs="Times New Roman"/>
          <w:iCs/>
          <w:sz w:val="16"/>
          <w:szCs w:val="16"/>
          <w:lang w:val="en-GB"/>
        </w:rPr>
        <w:t xml:space="preserve">ICJ GBV Lebanon report, pp. 43-44. </w:t>
      </w:r>
    </w:p>
  </w:footnote>
  <w:footnote w:id="31">
    <w:p w14:paraId="505B3311" w14:textId="77777777" w:rsidR="00511EB8" w:rsidRPr="00884D05" w:rsidRDefault="00511EB8" w:rsidP="00EF1CFF">
      <w:pPr>
        <w:pStyle w:val="FootnoteText"/>
        <w:jc w:val="both"/>
        <w:rPr>
          <w:rFonts w:ascii="Verdana" w:hAnsi="Verdana"/>
          <w:sz w:val="16"/>
          <w:szCs w:val="16"/>
          <w:lang w:val="en-GB"/>
        </w:rPr>
      </w:pPr>
      <w:r w:rsidRPr="00884D05">
        <w:rPr>
          <w:rStyle w:val="FootnoteReference"/>
          <w:rFonts w:ascii="Verdana" w:hAnsi="Verdana"/>
          <w:sz w:val="16"/>
          <w:szCs w:val="16"/>
        </w:rPr>
        <w:footnoteRef/>
      </w:r>
      <w:r w:rsidRPr="00884D05">
        <w:rPr>
          <w:rFonts w:ascii="Verdana" w:hAnsi="Verdana"/>
          <w:sz w:val="16"/>
          <w:szCs w:val="16"/>
        </w:rPr>
        <w:t xml:space="preserve"> </w:t>
      </w:r>
      <w:r w:rsidRPr="00884D05">
        <w:rPr>
          <w:rFonts w:ascii="Verdana" w:hAnsi="Verdana"/>
          <w:sz w:val="16"/>
          <w:szCs w:val="16"/>
          <w:lang w:val="en-GB"/>
        </w:rPr>
        <w:t xml:space="preserve">See for example, Criminal Court in Beirut, Decision Number. 204/2016, 16 March 2016, where the loss of the victim’s virginity aggravated the defendant’s sentence from five to seven years’ hard labour. </w:t>
      </w:r>
    </w:p>
  </w:footnote>
  <w:footnote w:id="32">
    <w:p w14:paraId="0844F13D" w14:textId="21B0E0E1" w:rsidR="00511EB8" w:rsidRPr="00884D05" w:rsidRDefault="00511EB8" w:rsidP="00EF1CFF">
      <w:pPr>
        <w:spacing w:line="276" w:lineRule="auto"/>
        <w:jc w:val="both"/>
        <w:rPr>
          <w:rFonts w:ascii="Verdana" w:hAnsi="Verdana"/>
          <w:sz w:val="16"/>
          <w:szCs w:val="16"/>
        </w:rPr>
      </w:pPr>
      <w:r w:rsidRPr="00884D05">
        <w:rPr>
          <w:rStyle w:val="FootnoteReference"/>
          <w:rFonts w:ascii="Verdana" w:hAnsi="Verdana"/>
          <w:sz w:val="16"/>
          <w:szCs w:val="16"/>
        </w:rPr>
        <w:footnoteRef/>
      </w:r>
      <w:r w:rsidRPr="00884D05">
        <w:rPr>
          <w:rFonts w:ascii="Verdana" w:hAnsi="Verdana"/>
          <w:sz w:val="16"/>
          <w:szCs w:val="16"/>
        </w:rPr>
        <w:t xml:space="preserve"> CC, art. 253</w:t>
      </w:r>
      <w:r w:rsidR="00884D05" w:rsidRPr="00884D05">
        <w:rPr>
          <w:rFonts w:ascii="Verdana" w:hAnsi="Verdana"/>
          <w:sz w:val="16"/>
          <w:szCs w:val="16"/>
        </w:rPr>
        <w:t>,</w:t>
      </w:r>
      <w:r w:rsidRPr="00884D05">
        <w:rPr>
          <w:rFonts w:ascii="Verdana" w:hAnsi="Verdana"/>
          <w:sz w:val="16"/>
          <w:szCs w:val="16"/>
        </w:rPr>
        <w:t xml:space="preserve"> which stipulates that these penalty reductions include, </w:t>
      </w:r>
      <w:r w:rsidRPr="00884D05">
        <w:rPr>
          <w:rFonts w:ascii="Verdana" w:hAnsi="Verdana"/>
          <w:i/>
          <w:iCs/>
          <w:sz w:val="16"/>
          <w:szCs w:val="16"/>
        </w:rPr>
        <w:t>inter alia</w:t>
      </w:r>
      <w:r w:rsidRPr="00884D05">
        <w:rPr>
          <w:rFonts w:ascii="Verdana" w:hAnsi="Verdana"/>
          <w:sz w:val="16"/>
          <w:szCs w:val="16"/>
        </w:rPr>
        <w:t>, replacing the death penalty with hard labour for life or fixed-term hard labour from seven to 20 years; hard labour for life with a fixed-term hard labour for not less than five years; and life imprisonment with fixed-term imprisonment for not less than five years.</w:t>
      </w:r>
    </w:p>
  </w:footnote>
  <w:footnote w:id="33">
    <w:p w14:paraId="616E232F" w14:textId="625C70D7" w:rsidR="00511EB8" w:rsidRPr="00884D05" w:rsidRDefault="00511EB8" w:rsidP="00EF1CFF">
      <w:pPr>
        <w:pStyle w:val="FootnoteText"/>
        <w:jc w:val="both"/>
        <w:rPr>
          <w:rFonts w:ascii="Verdana" w:hAnsi="Verdana"/>
          <w:sz w:val="16"/>
          <w:szCs w:val="16"/>
        </w:rPr>
      </w:pPr>
      <w:r w:rsidRPr="00884D05">
        <w:rPr>
          <w:rStyle w:val="FootnoteReference"/>
          <w:rFonts w:ascii="Verdana" w:hAnsi="Verdana"/>
          <w:sz w:val="16"/>
          <w:szCs w:val="16"/>
        </w:rPr>
        <w:footnoteRef/>
      </w:r>
      <w:r w:rsidRPr="00884D05">
        <w:rPr>
          <w:rFonts w:ascii="Verdana" w:hAnsi="Verdana"/>
          <w:sz w:val="16"/>
          <w:szCs w:val="16"/>
        </w:rPr>
        <w:t xml:space="preserve"> </w:t>
      </w:r>
      <w:r w:rsidRPr="00884D05">
        <w:rPr>
          <w:rFonts w:ascii="Verdana" w:hAnsi="Verdana" w:cs="Times New Roman"/>
          <w:iCs/>
          <w:sz w:val="16"/>
          <w:szCs w:val="16"/>
          <w:lang w:val="en-GB"/>
        </w:rPr>
        <w:t>ICJ forthcoming GBV memo</w:t>
      </w:r>
      <w:r w:rsidRPr="00884D05">
        <w:rPr>
          <w:rFonts w:ascii="Verdana" w:hAnsi="Verdana" w:cs="Times New Roman"/>
          <w:i/>
          <w:iCs/>
          <w:sz w:val="16"/>
          <w:szCs w:val="16"/>
          <w:lang w:val="en-GB"/>
        </w:rPr>
        <w:t xml:space="preserve">, </w:t>
      </w:r>
      <w:r w:rsidRPr="00884D05">
        <w:rPr>
          <w:rFonts w:ascii="Verdana" w:hAnsi="Verdana" w:cs="Times New Roman"/>
          <w:sz w:val="16"/>
          <w:szCs w:val="16"/>
          <w:lang w:val="en-GB"/>
        </w:rPr>
        <w:t>section 4.2.4.</w:t>
      </w:r>
    </w:p>
  </w:footnote>
  <w:footnote w:id="34">
    <w:p w14:paraId="390FB0E7" w14:textId="02B7FD98" w:rsidR="00884D05" w:rsidRPr="00884D05" w:rsidRDefault="00884D05">
      <w:pPr>
        <w:pStyle w:val="FootnoteText"/>
      </w:pPr>
      <w:r w:rsidRPr="007B081C">
        <w:rPr>
          <w:rStyle w:val="FootnoteReference"/>
          <w:rFonts w:ascii="Verdana" w:hAnsi="Verdana"/>
          <w:sz w:val="16"/>
          <w:szCs w:val="16"/>
        </w:rPr>
        <w:footnoteRef/>
      </w:r>
      <w:r w:rsidRPr="007B081C">
        <w:rPr>
          <w:rFonts w:ascii="Verdana" w:hAnsi="Verdana"/>
          <w:sz w:val="16"/>
          <w:szCs w:val="16"/>
        </w:rPr>
        <w:t xml:space="preserve"> </w:t>
      </w:r>
      <w:r w:rsidRPr="007B081C">
        <w:rPr>
          <w:rFonts w:ascii="Verdana" w:hAnsi="Verdana"/>
          <w:bCs/>
          <w:sz w:val="16"/>
          <w:szCs w:val="16"/>
        </w:rPr>
        <w:t xml:space="preserve">Stipulated that the sentence of a man who claimed to have killed or injured his wife, daughter or other relative in the name of “honour” may be reduced in mitigation. </w:t>
      </w:r>
      <w:r w:rsidRPr="00884D05">
        <w:rPr>
          <w:rFonts w:ascii="Verdana" w:hAnsi="Verdana"/>
          <w:sz w:val="16"/>
          <w:szCs w:val="16"/>
        </w:rPr>
        <w:t xml:space="preserve">Under article 193 of the Criminal Code, the motive is deemed honourable if it is of a chivalrous, magnanimous and unselfish nature and is free of any personal interest and financial gain. </w:t>
      </w:r>
    </w:p>
  </w:footnote>
  <w:footnote w:id="35">
    <w:p w14:paraId="3258BF97" w14:textId="1C3E24E5" w:rsidR="00511EB8" w:rsidRPr="007B081C" w:rsidRDefault="00511EB8" w:rsidP="00EF1CFF">
      <w:pPr>
        <w:jc w:val="both"/>
        <w:rPr>
          <w:rFonts w:ascii="Verdana" w:hAnsi="Verdana" w:cstheme="minorHAnsi"/>
          <w:sz w:val="16"/>
          <w:szCs w:val="16"/>
          <w:highlight w:val="cyan"/>
        </w:rPr>
      </w:pPr>
      <w:r w:rsidRPr="007B081C">
        <w:rPr>
          <w:rStyle w:val="FootnoteReference"/>
          <w:rFonts w:ascii="Verdana" w:hAnsi="Verdana" w:cstheme="minorHAnsi"/>
          <w:sz w:val="16"/>
          <w:szCs w:val="16"/>
        </w:rPr>
        <w:footnoteRef/>
      </w:r>
      <w:r w:rsidRPr="007B081C">
        <w:rPr>
          <w:rFonts w:ascii="Verdana" w:hAnsi="Verdana" w:cstheme="minorHAnsi"/>
          <w:sz w:val="16"/>
          <w:szCs w:val="16"/>
        </w:rPr>
        <w:t xml:space="preserve"> Ministry of Justice: </w:t>
      </w:r>
      <w:hyperlink r:id="rId4" w:history="1">
        <w:r w:rsidR="007B081C" w:rsidRPr="007B081C">
          <w:rPr>
            <w:rStyle w:val="Hyperlink"/>
            <w:rFonts w:ascii="Verdana" w:hAnsi="Verdana" w:cstheme="minorHAnsi"/>
            <w:sz w:val="16"/>
            <w:szCs w:val="16"/>
          </w:rPr>
          <w:t>https://www.justice.gov.lb/index.php/modernization-projects-details/9/2</w:t>
        </w:r>
      </w:hyperlink>
      <w:r w:rsidRPr="007B081C">
        <w:rPr>
          <w:rFonts w:ascii="Verdana" w:hAnsi="Verdana" w:cstheme="minorHAnsi"/>
          <w:sz w:val="16"/>
          <w:szCs w:val="16"/>
        </w:rPr>
        <w:t xml:space="preserve">. </w:t>
      </w:r>
    </w:p>
  </w:footnote>
  <w:footnote w:id="36">
    <w:p w14:paraId="11BACAD1" w14:textId="77777777" w:rsidR="00511EB8" w:rsidRPr="00A47ABF" w:rsidRDefault="00511EB8" w:rsidP="00EF1CFF">
      <w:pPr>
        <w:pStyle w:val="FootnoteText"/>
        <w:jc w:val="both"/>
        <w:rPr>
          <w:rFonts w:ascii="Verdana" w:hAnsi="Verdana" w:cstheme="minorHAnsi"/>
          <w:sz w:val="16"/>
          <w:szCs w:val="16"/>
        </w:rPr>
      </w:pPr>
      <w:r w:rsidRPr="007B081C">
        <w:rPr>
          <w:rStyle w:val="FootnoteReference"/>
          <w:rFonts w:ascii="Verdana" w:hAnsi="Verdana" w:cstheme="minorHAnsi"/>
          <w:sz w:val="16"/>
          <w:szCs w:val="16"/>
        </w:rPr>
        <w:footnoteRef/>
      </w:r>
      <w:r w:rsidRPr="007B081C">
        <w:rPr>
          <w:rFonts w:ascii="Verdana" w:hAnsi="Verdana" w:cstheme="minorHAnsi"/>
          <w:sz w:val="16"/>
          <w:szCs w:val="16"/>
        </w:rPr>
        <w:t xml:space="preserve"> </w:t>
      </w:r>
      <w:r w:rsidRPr="007B081C">
        <w:rPr>
          <w:rFonts w:ascii="Verdana" w:hAnsi="Verdana" w:cstheme="minorHAnsi"/>
          <w:color w:val="000000" w:themeColor="text1"/>
          <w:sz w:val="16"/>
          <w:szCs w:val="16"/>
        </w:rPr>
        <w:t>Decree No. 7384, 14 November 1946.</w:t>
      </w:r>
    </w:p>
  </w:footnote>
  <w:footnote w:id="37">
    <w:p w14:paraId="162AFEBC" w14:textId="171A2256" w:rsidR="00511EB8" w:rsidRPr="00E93CC0" w:rsidRDefault="00511EB8" w:rsidP="00E93CC0">
      <w:pPr>
        <w:rPr>
          <w:rFonts w:ascii="Verdana" w:hAnsi="Verdana"/>
          <w:sz w:val="16"/>
          <w:szCs w:val="16"/>
        </w:rPr>
      </w:pPr>
      <w:r w:rsidRPr="00E93CC0">
        <w:rPr>
          <w:rStyle w:val="FootnoteReference"/>
          <w:rFonts w:ascii="Verdana" w:hAnsi="Verdana" w:cstheme="minorHAnsi"/>
          <w:sz w:val="16"/>
          <w:szCs w:val="16"/>
        </w:rPr>
        <w:footnoteRef/>
      </w:r>
      <w:r w:rsidRPr="00E93CC0">
        <w:rPr>
          <w:rFonts w:ascii="Verdana" w:hAnsi="Verdana" w:cstheme="minorHAnsi"/>
          <w:sz w:val="16"/>
          <w:szCs w:val="16"/>
        </w:rPr>
        <w:t xml:space="preserve"> For a detailed overview</w:t>
      </w:r>
      <w:r w:rsidRPr="00E93CC0">
        <w:rPr>
          <w:rFonts w:ascii="Verdana" w:hAnsi="Verdana"/>
          <w:sz w:val="16"/>
          <w:szCs w:val="16"/>
        </w:rPr>
        <w:t xml:space="preserve"> and statistics see, National Commission for Lebanese Women, United Nations Entity for Gender Equality and the Empowerment of Women, United Nations Population Fund &amp; World Health Organization, </w:t>
      </w:r>
      <w:r w:rsidRPr="00E93CC0">
        <w:rPr>
          <w:rFonts w:ascii="Verdana" w:hAnsi="Verdana"/>
          <w:i/>
          <w:iCs/>
          <w:sz w:val="16"/>
          <w:szCs w:val="16"/>
        </w:rPr>
        <w:t>Gender Alert on COVID-19 Lebanon</w:t>
      </w:r>
      <w:r w:rsidRPr="00E93CC0">
        <w:rPr>
          <w:rFonts w:ascii="Verdana" w:hAnsi="Verdana"/>
          <w:sz w:val="16"/>
          <w:szCs w:val="16"/>
        </w:rPr>
        <w:t>,</w:t>
      </w:r>
      <w:r w:rsidR="007B081C" w:rsidRPr="00E93CC0">
        <w:rPr>
          <w:rFonts w:ascii="Verdana" w:hAnsi="Verdana"/>
          <w:sz w:val="16"/>
          <w:szCs w:val="16"/>
        </w:rPr>
        <w:t xml:space="preserve"> </w:t>
      </w:r>
      <w:r w:rsidRPr="00E93CC0">
        <w:rPr>
          <w:rFonts w:ascii="Verdana" w:hAnsi="Verdana"/>
          <w:sz w:val="16"/>
          <w:szCs w:val="16"/>
        </w:rPr>
        <w:t xml:space="preserve">June 2020: </w:t>
      </w:r>
      <w:hyperlink r:id="rId5" w:history="1">
        <w:r w:rsidRPr="00E93CC0">
          <w:rPr>
            <w:rStyle w:val="Hyperlink"/>
            <w:rFonts w:ascii="Verdana" w:hAnsi="Verdana"/>
            <w:sz w:val="16"/>
            <w:szCs w:val="16"/>
          </w:rPr>
          <w:t>https://www2.unwomen.org/-/media/field%20office%20arab%20states/attachments/publications/2020/06/lebanon%20gender%20alert%20issue3/gender%20alert%20on%20covidlebanon%20issue%203english.pdf?la=en&amp;vs=1002</w:t>
        </w:r>
      </w:hyperlink>
      <w:r w:rsidRPr="00E93CC0">
        <w:rPr>
          <w:rFonts w:ascii="Verdana" w:hAnsi="Verdana"/>
          <w:sz w:val="16"/>
          <w:szCs w:val="16"/>
        </w:rPr>
        <w:t>.</w:t>
      </w:r>
    </w:p>
  </w:footnote>
  <w:footnote w:id="38">
    <w:p w14:paraId="72730673" w14:textId="0D988609" w:rsidR="00BD57C7" w:rsidRPr="00E93CC0" w:rsidRDefault="00BD57C7" w:rsidP="00AE45D2">
      <w:pPr>
        <w:pStyle w:val="FootnoteText"/>
        <w:rPr>
          <w:rFonts w:ascii="Verdana" w:hAnsi="Verdana"/>
          <w:sz w:val="16"/>
          <w:szCs w:val="16"/>
          <w:lang w:val="en-GB"/>
        </w:rPr>
      </w:pPr>
      <w:r w:rsidRPr="00E93CC0">
        <w:rPr>
          <w:rStyle w:val="FootnoteReference"/>
          <w:rFonts w:ascii="Verdana" w:hAnsi="Verdana"/>
          <w:sz w:val="16"/>
          <w:szCs w:val="16"/>
        </w:rPr>
        <w:footnoteRef/>
      </w:r>
      <w:r w:rsidRPr="00E93CC0">
        <w:rPr>
          <w:rFonts w:ascii="Verdana" w:hAnsi="Verdana"/>
          <w:sz w:val="16"/>
          <w:szCs w:val="16"/>
        </w:rPr>
        <w:t xml:space="preserve"> </w:t>
      </w:r>
      <w:r w:rsidR="00E93CC0" w:rsidRPr="00E93CC0">
        <w:rPr>
          <w:rFonts w:ascii="Verdana" w:hAnsi="Verdana"/>
          <w:sz w:val="16"/>
          <w:szCs w:val="16"/>
        </w:rPr>
        <w:t xml:space="preserve">ABAAD, </w:t>
      </w:r>
      <w:r w:rsidR="00E93CC0" w:rsidRPr="00E93CC0">
        <w:rPr>
          <w:rFonts w:ascii="Verdana" w:hAnsi="Verdana"/>
          <w:i/>
          <w:iCs/>
          <w:sz w:val="16"/>
          <w:szCs w:val="16"/>
        </w:rPr>
        <w:t>Our Response to GBV during COVID-19 Pandemic</w:t>
      </w:r>
      <w:r w:rsidR="00E93CC0" w:rsidRPr="00E93CC0">
        <w:rPr>
          <w:rFonts w:ascii="Verdana" w:hAnsi="Verdana"/>
          <w:sz w:val="16"/>
          <w:szCs w:val="16"/>
        </w:rPr>
        <w:t xml:space="preserve">, May 2020:  </w:t>
      </w:r>
      <w:r w:rsidRPr="00E93CC0">
        <w:rPr>
          <w:rFonts w:ascii="Verdana" w:hAnsi="Verdana"/>
          <w:sz w:val="16"/>
          <w:szCs w:val="16"/>
          <w:lang w:val="en-GB"/>
        </w:rPr>
        <w:t xml:space="preserve"> </w:t>
      </w:r>
      <w:hyperlink r:id="rId6" w:history="1">
        <w:r w:rsidRPr="00E93CC0">
          <w:rPr>
            <w:rStyle w:val="Hyperlink"/>
            <w:rFonts w:ascii="Verdana" w:hAnsi="Verdana"/>
            <w:sz w:val="16"/>
            <w:szCs w:val="16"/>
            <w:lang w:val="en-GB"/>
          </w:rPr>
          <w:t>https://www.abaadmena.org/documents/ebook.1590737262.pdf</w:t>
        </w:r>
      </w:hyperlink>
      <w:r w:rsidRPr="00E93CC0">
        <w:rPr>
          <w:rFonts w:ascii="Verdana" w:hAnsi="Verdana"/>
          <w:sz w:val="16"/>
          <w:szCs w:val="16"/>
          <w:lang w:val="en-GB"/>
        </w:rPr>
        <w:t xml:space="preserve">; </w:t>
      </w:r>
      <w:r w:rsidR="00E93CC0" w:rsidRPr="00E93CC0">
        <w:rPr>
          <w:rFonts w:ascii="Verdana" w:hAnsi="Verdana"/>
          <w:i/>
          <w:iCs/>
          <w:sz w:val="16"/>
          <w:szCs w:val="16"/>
        </w:rPr>
        <w:t>ABAAD’s Response to GBV during the Crises in Lebanon</w:t>
      </w:r>
      <w:r w:rsidR="00E93CC0" w:rsidRPr="00E93CC0">
        <w:rPr>
          <w:rFonts w:ascii="Verdana" w:hAnsi="Verdana"/>
          <w:sz w:val="16"/>
          <w:szCs w:val="16"/>
        </w:rPr>
        <w:t xml:space="preserve">, August 2020: </w:t>
      </w:r>
      <w:hyperlink r:id="rId7" w:history="1">
        <w:r w:rsidR="00E93CC0" w:rsidRPr="00E93CC0">
          <w:rPr>
            <w:rStyle w:val="Hyperlink"/>
            <w:rFonts w:ascii="Verdana" w:hAnsi="Verdana"/>
            <w:sz w:val="16"/>
            <w:szCs w:val="16"/>
            <w:lang w:val="en-GB"/>
          </w:rPr>
          <w:t>https://www.abaadmena.org/documents/ebook.1601377248.pdf</w:t>
        </w:r>
      </w:hyperlink>
      <w:r w:rsidRPr="00E93CC0">
        <w:rPr>
          <w:rFonts w:ascii="Verdana" w:hAnsi="Verdana"/>
          <w:sz w:val="16"/>
          <w:szCs w:val="16"/>
          <w:lang w:val="en-GB"/>
        </w:rPr>
        <w:t xml:space="preserve">. </w:t>
      </w:r>
    </w:p>
  </w:footnote>
  <w:footnote w:id="39">
    <w:p w14:paraId="4E90EFA6" w14:textId="77777777" w:rsidR="00511EB8" w:rsidRPr="00E93CC0" w:rsidRDefault="00511EB8" w:rsidP="00E93CC0">
      <w:pPr>
        <w:pStyle w:val="FootnoteText"/>
        <w:rPr>
          <w:rFonts w:ascii="Verdana" w:hAnsi="Verdana"/>
          <w:i/>
          <w:iCs/>
          <w:sz w:val="16"/>
          <w:szCs w:val="16"/>
          <w:lang w:val="en-GB"/>
        </w:rPr>
      </w:pPr>
      <w:r w:rsidRPr="00E93CC0">
        <w:rPr>
          <w:rStyle w:val="FootnoteReference"/>
          <w:rFonts w:ascii="Verdana" w:hAnsi="Verdana"/>
          <w:sz w:val="16"/>
          <w:szCs w:val="16"/>
        </w:rPr>
        <w:footnoteRef/>
      </w:r>
      <w:r w:rsidRPr="00E93CC0">
        <w:rPr>
          <w:rFonts w:ascii="Verdana" w:hAnsi="Verdana"/>
          <w:sz w:val="16"/>
          <w:szCs w:val="16"/>
        </w:rPr>
        <w:t xml:space="preserve"> </w:t>
      </w:r>
      <w:r w:rsidRPr="00E93CC0">
        <w:rPr>
          <w:rFonts w:ascii="Verdana" w:hAnsi="Verdana"/>
          <w:i/>
          <w:iCs/>
          <w:sz w:val="16"/>
          <w:szCs w:val="16"/>
          <w:lang w:val="en-GB"/>
        </w:rPr>
        <w:t xml:space="preserve">Ibid. </w:t>
      </w:r>
    </w:p>
  </w:footnote>
  <w:footnote w:id="40">
    <w:p w14:paraId="595DBF34" w14:textId="467BC5E7" w:rsidR="00A12698" w:rsidRDefault="00A12698" w:rsidP="00AE45D2">
      <w:pPr>
        <w:pStyle w:val="FootnoteText"/>
      </w:pPr>
      <w:r w:rsidRPr="00E93CC0">
        <w:rPr>
          <w:rStyle w:val="FootnoteReference"/>
          <w:rFonts w:ascii="Verdana" w:hAnsi="Verdana"/>
          <w:sz w:val="16"/>
          <w:szCs w:val="16"/>
        </w:rPr>
        <w:footnoteRef/>
      </w:r>
      <w:r w:rsidRPr="00E93CC0">
        <w:rPr>
          <w:rFonts w:ascii="Verdana" w:hAnsi="Verdana"/>
          <w:sz w:val="16"/>
          <w:szCs w:val="16"/>
        </w:rPr>
        <w:t xml:space="preserve"> See, COVID-19 and Prevention of Sexual Exploitation and Abuse (PSEA) Guidance Note No 1</w:t>
      </w:r>
      <w:r w:rsidR="00E93CC0" w:rsidRPr="00E93CC0">
        <w:rPr>
          <w:rFonts w:ascii="Verdana" w:hAnsi="Verdana"/>
          <w:sz w:val="16"/>
          <w:szCs w:val="16"/>
        </w:rPr>
        <w:t>: Lebanon In-Country PSEA Network,</w:t>
      </w:r>
      <w:r w:rsidRPr="00E93CC0">
        <w:rPr>
          <w:rFonts w:ascii="Verdana" w:hAnsi="Verdana"/>
          <w:sz w:val="16"/>
          <w:szCs w:val="16"/>
        </w:rPr>
        <w:t xml:space="preserve"> April 2020</w:t>
      </w:r>
      <w:r w:rsidR="00E93CC0" w:rsidRPr="00E93CC0">
        <w:rPr>
          <w:rFonts w:ascii="Verdana" w:hAnsi="Verdana"/>
          <w:sz w:val="16"/>
          <w:szCs w:val="16"/>
        </w:rPr>
        <w:t xml:space="preserve">: </w:t>
      </w:r>
      <w:hyperlink r:id="rId8" w:history="1">
        <w:r w:rsidR="00E93CC0" w:rsidRPr="00E93CC0">
          <w:rPr>
            <w:rStyle w:val="Hyperlink"/>
            <w:rFonts w:ascii="Verdana" w:hAnsi="Verdana"/>
            <w:sz w:val="16"/>
            <w:szCs w:val="16"/>
          </w:rPr>
          <w:t>https://interagencystandingcommittee.org/system/files/2020-05/COVID-19%20and%20PSEA%20Guidance%20Note%20No.1%20Lebanon%20In-Country%20PSEA%20Network.pdf</w:t>
        </w:r>
      </w:hyperlink>
      <w:r w:rsidR="00E93CC0" w:rsidRPr="00E93CC0">
        <w:rPr>
          <w:rFonts w:ascii="Verdana" w:hAnsi="Verdana"/>
          <w:sz w:val="16"/>
          <w:szCs w:val="16"/>
        </w:rPr>
        <w:t>.</w:t>
      </w:r>
      <w:r w:rsidR="00E93CC0">
        <w:rPr>
          <w:rFonts w:ascii="Verdana" w:hAnsi="Verdana"/>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E33E3"/>
    <w:multiLevelType w:val="hybridMultilevel"/>
    <w:tmpl w:val="B68ED854"/>
    <w:lvl w:ilvl="0" w:tplc="AA3E8E6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C0127E6"/>
    <w:multiLevelType w:val="hybridMultilevel"/>
    <w:tmpl w:val="A6CC7A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309BF"/>
    <w:multiLevelType w:val="hybridMultilevel"/>
    <w:tmpl w:val="41384D8C"/>
    <w:lvl w:ilvl="0" w:tplc="AA3E8E6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B011A5C"/>
    <w:multiLevelType w:val="hybridMultilevel"/>
    <w:tmpl w:val="465E173A"/>
    <w:lvl w:ilvl="0" w:tplc="81320452">
      <w:start w:val="1"/>
      <w:numFmt w:val="decimal"/>
      <w:lvlText w:val="%1."/>
      <w:lvlJc w:val="left"/>
      <w:pPr>
        <w:ind w:left="360" w:hanging="360"/>
      </w:pPr>
      <w:rPr>
        <w:rFonts w:ascii="Verdana" w:hAnsi="Verdana" w:hint="default"/>
        <w:b w:val="0"/>
        <w:bCs w:val="0"/>
        <w:sz w:val="18"/>
        <w:szCs w:val="18"/>
      </w:rPr>
    </w:lvl>
    <w:lvl w:ilvl="1" w:tplc="08090005">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36260A"/>
    <w:multiLevelType w:val="hybridMultilevel"/>
    <w:tmpl w:val="66E49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D2CC0"/>
    <w:multiLevelType w:val="hybridMultilevel"/>
    <w:tmpl w:val="103626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41DAE"/>
    <w:multiLevelType w:val="hybridMultilevel"/>
    <w:tmpl w:val="A2CA8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D7BE2"/>
    <w:multiLevelType w:val="hybridMultilevel"/>
    <w:tmpl w:val="B72A52C2"/>
    <w:lvl w:ilvl="0" w:tplc="AA3E8E6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5F44290"/>
    <w:multiLevelType w:val="hybridMultilevel"/>
    <w:tmpl w:val="8500DFE0"/>
    <w:lvl w:ilvl="0" w:tplc="1158C59C">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A55D2"/>
    <w:multiLevelType w:val="hybridMultilevel"/>
    <w:tmpl w:val="38D241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A3606"/>
    <w:multiLevelType w:val="hybridMultilevel"/>
    <w:tmpl w:val="8528F4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4936D3"/>
    <w:multiLevelType w:val="hybridMultilevel"/>
    <w:tmpl w:val="DC80CD8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DBB7186"/>
    <w:multiLevelType w:val="hybridMultilevel"/>
    <w:tmpl w:val="954E63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B07F4C"/>
    <w:multiLevelType w:val="hybridMultilevel"/>
    <w:tmpl w:val="D3D04F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84FD5"/>
    <w:multiLevelType w:val="hybridMultilevel"/>
    <w:tmpl w:val="B7A495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3A541C"/>
    <w:multiLevelType w:val="hybridMultilevel"/>
    <w:tmpl w:val="866427D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3C03327"/>
    <w:multiLevelType w:val="hybridMultilevel"/>
    <w:tmpl w:val="18969A5A"/>
    <w:lvl w:ilvl="0" w:tplc="1138D59C">
      <w:start w:val="1"/>
      <w:numFmt w:val="upperRoman"/>
      <w:lvlText w:val="%1."/>
      <w:lvlJc w:val="left"/>
      <w:pPr>
        <w:ind w:left="720" w:hanging="720"/>
      </w:pPr>
      <w:rPr>
        <w:rFonts w:ascii="Verdana" w:hAnsi="Verdana"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A32A58"/>
    <w:multiLevelType w:val="hybridMultilevel"/>
    <w:tmpl w:val="607249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8819BD"/>
    <w:multiLevelType w:val="hybridMultilevel"/>
    <w:tmpl w:val="38EAE8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461B14"/>
    <w:multiLevelType w:val="hybridMultilevel"/>
    <w:tmpl w:val="F3D28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861A70"/>
    <w:multiLevelType w:val="hybridMultilevel"/>
    <w:tmpl w:val="064ABFBA"/>
    <w:lvl w:ilvl="0" w:tplc="04090001">
      <w:start w:val="1"/>
      <w:numFmt w:val="bullet"/>
      <w:lvlText w:val=""/>
      <w:lvlJc w:val="left"/>
      <w:pPr>
        <w:ind w:left="360" w:hanging="360"/>
      </w:pPr>
      <w:rPr>
        <w:rFonts w:ascii="Symbol" w:hAnsi="Symbol" w:hint="default"/>
      </w:rPr>
    </w:lvl>
    <w:lvl w:ilvl="1" w:tplc="AA3E8E6A">
      <w:numFmt w:val="bullet"/>
      <w:lvlText w:val="-"/>
      <w:lvlJc w:val="left"/>
      <w:pPr>
        <w:ind w:left="1980" w:hanging="360"/>
      </w:pPr>
      <w:rPr>
        <w:rFonts w:ascii="Arial" w:eastAsiaTheme="minorHAns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9C02C04"/>
    <w:multiLevelType w:val="hybridMultilevel"/>
    <w:tmpl w:val="7D3838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FA06D2"/>
    <w:multiLevelType w:val="hybridMultilevel"/>
    <w:tmpl w:val="C97AEE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775C43"/>
    <w:multiLevelType w:val="hybridMultilevel"/>
    <w:tmpl w:val="6EEE3F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0F0B15"/>
    <w:multiLevelType w:val="hybridMultilevel"/>
    <w:tmpl w:val="9042B78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6B67437"/>
    <w:multiLevelType w:val="hybridMultilevel"/>
    <w:tmpl w:val="53741C28"/>
    <w:lvl w:ilvl="0" w:tplc="AA3E8E6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7A3758E3"/>
    <w:multiLevelType w:val="hybridMultilevel"/>
    <w:tmpl w:val="B0F66F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FB7122"/>
    <w:multiLevelType w:val="hybridMultilevel"/>
    <w:tmpl w:val="A0BA6D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AA3E8E6A">
      <w:numFmt w:val="bullet"/>
      <w:lvlText w:val="-"/>
      <w:lvlJc w:val="left"/>
      <w:pPr>
        <w:ind w:left="1980" w:hanging="360"/>
      </w:pPr>
      <w:rPr>
        <w:rFonts w:ascii="Arial" w:eastAsiaTheme="minorHAnsi" w:hAnsi="Arial" w:cs="Aria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8E0EAD"/>
    <w:multiLevelType w:val="hybridMultilevel"/>
    <w:tmpl w:val="AD2CFAF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9"/>
  </w:num>
  <w:num w:numId="3">
    <w:abstractNumId w:val="3"/>
  </w:num>
  <w:num w:numId="4">
    <w:abstractNumId w:val="24"/>
  </w:num>
  <w:num w:numId="5">
    <w:abstractNumId w:val="16"/>
  </w:num>
  <w:num w:numId="6">
    <w:abstractNumId w:val="15"/>
  </w:num>
  <w:num w:numId="7">
    <w:abstractNumId w:val="11"/>
  </w:num>
  <w:num w:numId="8">
    <w:abstractNumId w:val="17"/>
  </w:num>
  <w:num w:numId="9">
    <w:abstractNumId w:val="1"/>
  </w:num>
  <w:num w:numId="10">
    <w:abstractNumId w:val="13"/>
  </w:num>
  <w:num w:numId="11">
    <w:abstractNumId w:val="23"/>
  </w:num>
  <w:num w:numId="12">
    <w:abstractNumId w:val="14"/>
  </w:num>
  <w:num w:numId="13">
    <w:abstractNumId w:val="28"/>
  </w:num>
  <w:num w:numId="14">
    <w:abstractNumId w:val="21"/>
  </w:num>
  <w:num w:numId="15">
    <w:abstractNumId w:val="18"/>
  </w:num>
  <w:num w:numId="16">
    <w:abstractNumId w:val="26"/>
  </w:num>
  <w:num w:numId="17">
    <w:abstractNumId w:val="0"/>
  </w:num>
  <w:num w:numId="18">
    <w:abstractNumId w:val="22"/>
  </w:num>
  <w:num w:numId="19">
    <w:abstractNumId w:val="20"/>
  </w:num>
  <w:num w:numId="20">
    <w:abstractNumId w:val="25"/>
  </w:num>
  <w:num w:numId="21">
    <w:abstractNumId w:val="9"/>
  </w:num>
  <w:num w:numId="22">
    <w:abstractNumId w:val="2"/>
  </w:num>
  <w:num w:numId="23">
    <w:abstractNumId w:val="27"/>
  </w:num>
  <w:num w:numId="24">
    <w:abstractNumId w:val="7"/>
  </w:num>
  <w:num w:numId="25">
    <w:abstractNumId w:val="5"/>
  </w:num>
  <w:num w:numId="26">
    <w:abstractNumId w:val="10"/>
  </w:num>
  <w:num w:numId="27">
    <w:abstractNumId w:val="6"/>
  </w:num>
  <w:num w:numId="28">
    <w:abstractNumId w:val="12"/>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775"/>
    <w:rsid w:val="000032D5"/>
    <w:rsid w:val="00004698"/>
    <w:rsid w:val="00006C71"/>
    <w:rsid w:val="000204FB"/>
    <w:rsid w:val="00027383"/>
    <w:rsid w:val="00030A2B"/>
    <w:rsid w:val="00042725"/>
    <w:rsid w:val="00044E7D"/>
    <w:rsid w:val="0006507E"/>
    <w:rsid w:val="00065FE3"/>
    <w:rsid w:val="00080EC8"/>
    <w:rsid w:val="00082C45"/>
    <w:rsid w:val="0009105F"/>
    <w:rsid w:val="000931E0"/>
    <w:rsid w:val="000A18BC"/>
    <w:rsid w:val="000A2D7E"/>
    <w:rsid w:val="000B5B4C"/>
    <w:rsid w:val="000C19A1"/>
    <w:rsid w:val="000C1F49"/>
    <w:rsid w:val="000C502A"/>
    <w:rsid w:val="000D7D20"/>
    <w:rsid w:val="000F187A"/>
    <w:rsid w:val="000F2623"/>
    <w:rsid w:val="00106988"/>
    <w:rsid w:val="00106AB2"/>
    <w:rsid w:val="00120E0C"/>
    <w:rsid w:val="00131C35"/>
    <w:rsid w:val="0013280B"/>
    <w:rsid w:val="001356BB"/>
    <w:rsid w:val="00152CEA"/>
    <w:rsid w:val="00163201"/>
    <w:rsid w:val="001712CB"/>
    <w:rsid w:val="00173180"/>
    <w:rsid w:val="00175027"/>
    <w:rsid w:val="0017549A"/>
    <w:rsid w:val="00181775"/>
    <w:rsid w:val="00190F1A"/>
    <w:rsid w:val="00195BA7"/>
    <w:rsid w:val="001A19E8"/>
    <w:rsid w:val="001B2830"/>
    <w:rsid w:val="001C18CA"/>
    <w:rsid w:val="001D3603"/>
    <w:rsid w:val="001D541E"/>
    <w:rsid w:val="001D5B98"/>
    <w:rsid w:val="001E011C"/>
    <w:rsid w:val="001E184C"/>
    <w:rsid w:val="001E1A74"/>
    <w:rsid w:val="001F43CE"/>
    <w:rsid w:val="00205671"/>
    <w:rsid w:val="00212232"/>
    <w:rsid w:val="00213ED4"/>
    <w:rsid w:val="002204F5"/>
    <w:rsid w:val="002255B3"/>
    <w:rsid w:val="0024213E"/>
    <w:rsid w:val="00247103"/>
    <w:rsid w:val="002501B2"/>
    <w:rsid w:val="00252338"/>
    <w:rsid w:val="00262C68"/>
    <w:rsid w:val="00265637"/>
    <w:rsid w:val="00277A17"/>
    <w:rsid w:val="002905B9"/>
    <w:rsid w:val="002A2B41"/>
    <w:rsid w:val="002A5EF1"/>
    <w:rsid w:val="002C5B44"/>
    <w:rsid w:val="002C6322"/>
    <w:rsid w:val="002D47FE"/>
    <w:rsid w:val="002D4CBA"/>
    <w:rsid w:val="002D5830"/>
    <w:rsid w:val="002E187F"/>
    <w:rsid w:val="002F4C5A"/>
    <w:rsid w:val="002F7837"/>
    <w:rsid w:val="00301731"/>
    <w:rsid w:val="00305376"/>
    <w:rsid w:val="00331692"/>
    <w:rsid w:val="00346301"/>
    <w:rsid w:val="00346FF7"/>
    <w:rsid w:val="003678AA"/>
    <w:rsid w:val="003968D2"/>
    <w:rsid w:val="003A6E3B"/>
    <w:rsid w:val="003B1169"/>
    <w:rsid w:val="003B1712"/>
    <w:rsid w:val="003C064E"/>
    <w:rsid w:val="003C1951"/>
    <w:rsid w:val="003C5E8F"/>
    <w:rsid w:val="003D1419"/>
    <w:rsid w:val="003D3832"/>
    <w:rsid w:val="003F78DE"/>
    <w:rsid w:val="00421D44"/>
    <w:rsid w:val="004239A4"/>
    <w:rsid w:val="00426F27"/>
    <w:rsid w:val="004322D8"/>
    <w:rsid w:val="0043264E"/>
    <w:rsid w:val="00443087"/>
    <w:rsid w:val="00462B1E"/>
    <w:rsid w:val="0047179A"/>
    <w:rsid w:val="0047335E"/>
    <w:rsid w:val="00475B98"/>
    <w:rsid w:val="00476614"/>
    <w:rsid w:val="00477499"/>
    <w:rsid w:val="00477EB9"/>
    <w:rsid w:val="00487102"/>
    <w:rsid w:val="00490E58"/>
    <w:rsid w:val="00494BB9"/>
    <w:rsid w:val="00494C7B"/>
    <w:rsid w:val="00495496"/>
    <w:rsid w:val="00497F76"/>
    <w:rsid w:val="004A7186"/>
    <w:rsid w:val="004B7609"/>
    <w:rsid w:val="004C2BF9"/>
    <w:rsid w:val="004C2FCE"/>
    <w:rsid w:val="004C6920"/>
    <w:rsid w:val="004E31A2"/>
    <w:rsid w:val="004E74A5"/>
    <w:rsid w:val="004F3BB3"/>
    <w:rsid w:val="0050169C"/>
    <w:rsid w:val="00506082"/>
    <w:rsid w:val="00511EB8"/>
    <w:rsid w:val="005129CA"/>
    <w:rsid w:val="00512CC1"/>
    <w:rsid w:val="005161F6"/>
    <w:rsid w:val="00525430"/>
    <w:rsid w:val="00536394"/>
    <w:rsid w:val="005401F0"/>
    <w:rsid w:val="00554035"/>
    <w:rsid w:val="00556AA6"/>
    <w:rsid w:val="00561C42"/>
    <w:rsid w:val="00564506"/>
    <w:rsid w:val="00580A3A"/>
    <w:rsid w:val="00595359"/>
    <w:rsid w:val="005A12DF"/>
    <w:rsid w:val="005A26F9"/>
    <w:rsid w:val="005A42EB"/>
    <w:rsid w:val="005B61DD"/>
    <w:rsid w:val="005B7D75"/>
    <w:rsid w:val="005C1BE6"/>
    <w:rsid w:val="005C54B5"/>
    <w:rsid w:val="005C64ED"/>
    <w:rsid w:val="005D4CEB"/>
    <w:rsid w:val="005E1BDF"/>
    <w:rsid w:val="005E2FD3"/>
    <w:rsid w:val="005F2D18"/>
    <w:rsid w:val="005F4054"/>
    <w:rsid w:val="006009BB"/>
    <w:rsid w:val="00601758"/>
    <w:rsid w:val="006065C2"/>
    <w:rsid w:val="00617052"/>
    <w:rsid w:val="0063256E"/>
    <w:rsid w:val="00633200"/>
    <w:rsid w:val="00642DA1"/>
    <w:rsid w:val="00654983"/>
    <w:rsid w:val="00656AEF"/>
    <w:rsid w:val="006601D8"/>
    <w:rsid w:val="00660A87"/>
    <w:rsid w:val="006859E3"/>
    <w:rsid w:val="006934ED"/>
    <w:rsid w:val="006952D0"/>
    <w:rsid w:val="00696225"/>
    <w:rsid w:val="0069765F"/>
    <w:rsid w:val="006A1EB7"/>
    <w:rsid w:val="006A2495"/>
    <w:rsid w:val="006A67A4"/>
    <w:rsid w:val="006B2E34"/>
    <w:rsid w:val="006B3814"/>
    <w:rsid w:val="006C1032"/>
    <w:rsid w:val="006C1FDC"/>
    <w:rsid w:val="006C3EC7"/>
    <w:rsid w:val="006D3D20"/>
    <w:rsid w:val="006E1695"/>
    <w:rsid w:val="006F555D"/>
    <w:rsid w:val="006F744A"/>
    <w:rsid w:val="00703FBF"/>
    <w:rsid w:val="007041A7"/>
    <w:rsid w:val="00714941"/>
    <w:rsid w:val="00730AF7"/>
    <w:rsid w:val="00732F17"/>
    <w:rsid w:val="00756BF8"/>
    <w:rsid w:val="00756EF8"/>
    <w:rsid w:val="0076141E"/>
    <w:rsid w:val="00772EF4"/>
    <w:rsid w:val="00791CC1"/>
    <w:rsid w:val="007A3E01"/>
    <w:rsid w:val="007A3E31"/>
    <w:rsid w:val="007B081C"/>
    <w:rsid w:val="007B0B42"/>
    <w:rsid w:val="007B1237"/>
    <w:rsid w:val="007B3685"/>
    <w:rsid w:val="007C332F"/>
    <w:rsid w:val="007D4EB7"/>
    <w:rsid w:val="00801F1F"/>
    <w:rsid w:val="00806188"/>
    <w:rsid w:val="00807E1D"/>
    <w:rsid w:val="008571B0"/>
    <w:rsid w:val="008648EB"/>
    <w:rsid w:val="00871D30"/>
    <w:rsid w:val="00875166"/>
    <w:rsid w:val="008776F5"/>
    <w:rsid w:val="008808C5"/>
    <w:rsid w:val="00884D05"/>
    <w:rsid w:val="00890817"/>
    <w:rsid w:val="00895C38"/>
    <w:rsid w:val="008A70EA"/>
    <w:rsid w:val="008B4D82"/>
    <w:rsid w:val="008B6E0F"/>
    <w:rsid w:val="008D1FA7"/>
    <w:rsid w:val="008E1F39"/>
    <w:rsid w:val="008E68C6"/>
    <w:rsid w:val="00910CC7"/>
    <w:rsid w:val="0092771F"/>
    <w:rsid w:val="0094773F"/>
    <w:rsid w:val="00947CE2"/>
    <w:rsid w:val="009544D8"/>
    <w:rsid w:val="009570F3"/>
    <w:rsid w:val="00962557"/>
    <w:rsid w:val="0099357D"/>
    <w:rsid w:val="00993C41"/>
    <w:rsid w:val="00994C2D"/>
    <w:rsid w:val="009A6BE8"/>
    <w:rsid w:val="009C0226"/>
    <w:rsid w:val="009C7645"/>
    <w:rsid w:val="009D52AC"/>
    <w:rsid w:val="009D68DC"/>
    <w:rsid w:val="009D73B3"/>
    <w:rsid w:val="009E5664"/>
    <w:rsid w:val="009F0800"/>
    <w:rsid w:val="009F0A9D"/>
    <w:rsid w:val="009F2F94"/>
    <w:rsid w:val="009F4A59"/>
    <w:rsid w:val="00A058D9"/>
    <w:rsid w:val="00A05F6F"/>
    <w:rsid w:val="00A12698"/>
    <w:rsid w:val="00A13178"/>
    <w:rsid w:val="00A21AB1"/>
    <w:rsid w:val="00A2330A"/>
    <w:rsid w:val="00A2341B"/>
    <w:rsid w:val="00A2778C"/>
    <w:rsid w:val="00A36FD0"/>
    <w:rsid w:val="00A47ABF"/>
    <w:rsid w:val="00A50AC0"/>
    <w:rsid w:val="00A51CB2"/>
    <w:rsid w:val="00A54525"/>
    <w:rsid w:val="00A71A1E"/>
    <w:rsid w:val="00A80067"/>
    <w:rsid w:val="00A94AAC"/>
    <w:rsid w:val="00A97E8B"/>
    <w:rsid w:val="00AA73BE"/>
    <w:rsid w:val="00AB63F9"/>
    <w:rsid w:val="00AB73CD"/>
    <w:rsid w:val="00AC314A"/>
    <w:rsid w:val="00AC7EE5"/>
    <w:rsid w:val="00AD1F35"/>
    <w:rsid w:val="00AD4780"/>
    <w:rsid w:val="00AD4918"/>
    <w:rsid w:val="00AD6501"/>
    <w:rsid w:val="00AE45D2"/>
    <w:rsid w:val="00AE7236"/>
    <w:rsid w:val="00AF16F5"/>
    <w:rsid w:val="00B0291F"/>
    <w:rsid w:val="00B02F92"/>
    <w:rsid w:val="00B06458"/>
    <w:rsid w:val="00B16EFA"/>
    <w:rsid w:val="00B2135B"/>
    <w:rsid w:val="00B44704"/>
    <w:rsid w:val="00B44D17"/>
    <w:rsid w:val="00B56F63"/>
    <w:rsid w:val="00B6032A"/>
    <w:rsid w:val="00B70BD4"/>
    <w:rsid w:val="00B7635F"/>
    <w:rsid w:val="00B92065"/>
    <w:rsid w:val="00B94842"/>
    <w:rsid w:val="00BA786C"/>
    <w:rsid w:val="00BB13E2"/>
    <w:rsid w:val="00BB1FFA"/>
    <w:rsid w:val="00BB7C9C"/>
    <w:rsid w:val="00BD57C7"/>
    <w:rsid w:val="00BF1506"/>
    <w:rsid w:val="00BF241D"/>
    <w:rsid w:val="00BF3EA0"/>
    <w:rsid w:val="00BF45D5"/>
    <w:rsid w:val="00C006B7"/>
    <w:rsid w:val="00C139DF"/>
    <w:rsid w:val="00C216FD"/>
    <w:rsid w:val="00C61188"/>
    <w:rsid w:val="00C64301"/>
    <w:rsid w:val="00C659F2"/>
    <w:rsid w:val="00C73871"/>
    <w:rsid w:val="00C80E0A"/>
    <w:rsid w:val="00C849BE"/>
    <w:rsid w:val="00C9141C"/>
    <w:rsid w:val="00CA1AEE"/>
    <w:rsid w:val="00CB45E8"/>
    <w:rsid w:val="00CB543C"/>
    <w:rsid w:val="00CB5E74"/>
    <w:rsid w:val="00CB6333"/>
    <w:rsid w:val="00CC645F"/>
    <w:rsid w:val="00CC6B83"/>
    <w:rsid w:val="00CD6984"/>
    <w:rsid w:val="00CD7317"/>
    <w:rsid w:val="00CE21FD"/>
    <w:rsid w:val="00D2275F"/>
    <w:rsid w:val="00D255AE"/>
    <w:rsid w:val="00D25AC6"/>
    <w:rsid w:val="00D274DA"/>
    <w:rsid w:val="00D33FCC"/>
    <w:rsid w:val="00D3579A"/>
    <w:rsid w:val="00D4413A"/>
    <w:rsid w:val="00D44694"/>
    <w:rsid w:val="00D4589E"/>
    <w:rsid w:val="00D45BE4"/>
    <w:rsid w:val="00D63617"/>
    <w:rsid w:val="00D64185"/>
    <w:rsid w:val="00D72680"/>
    <w:rsid w:val="00D7566D"/>
    <w:rsid w:val="00D758CE"/>
    <w:rsid w:val="00D827EB"/>
    <w:rsid w:val="00D82CF2"/>
    <w:rsid w:val="00D91167"/>
    <w:rsid w:val="00D951CF"/>
    <w:rsid w:val="00DA56FB"/>
    <w:rsid w:val="00DA5CB7"/>
    <w:rsid w:val="00DB190D"/>
    <w:rsid w:val="00DC27D1"/>
    <w:rsid w:val="00DD00AC"/>
    <w:rsid w:val="00DE097B"/>
    <w:rsid w:val="00DE3050"/>
    <w:rsid w:val="00DE45D5"/>
    <w:rsid w:val="00E06B3B"/>
    <w:rsid w:val="00E13D5C"/>
    <w:rsid w:val="00E14A96"/>
    <w:rsid w:val="00E244EC"/>
    <w:rsid w:val="00E266F8"/>
    <w:rsid w:val="00E32D72"/>
    <w:rsid w:val="00E625E3"/>
    <w:rsid w:val="00E70615"/>
    <w:rsid w:val="00E73411"/>
    <w:rsid w:val="00E7672D"/>
    <w:rsid w:val="00E76F44"/>
    <w:rsid w:val="00E816B1"/>
    <w:rsid w:val="00E93CC0"/>
    <w:rsid w:val="00E95678"/>
    <w:rsid w:val="00EA28B0"/>
    <w:rsid w:val="00EA3706"/>
    <w:rsid w:val="00EA48EC"/>
    <w:rsid w:val="00EA6007"/>
    <w:rsid w:val="00EA6F85"/>
    <w:rsid w:val="00EB0572"/>
    <w:rsid w:val="00ED2B95"/>
    <w:rsid w:val="00ED4D59"/>
    <w:rsid w:val="00EE66CF"/>
    <w:rsid w:val="00EF1CFF"/>
    <w:rsid w:val="00EF2F76"/>
    <w:rsid w:val="00EF6673"/>
    <w:rsid w:val="00F0107E"/>
    <w:rsid w:val="00F172C7"/>
    <w:rsid w:val="00F21170"/>
    <w:rsid w:val="00F337AE"/>
    <w:rsid w:val="00F4447A"/>
    <w:rsid w:val="00F47371"/>
    <w:rsid w:val="00F55916"/>
    <w:rsid w:val="00F70734"/>
    <w:rsid w:val="00F71429"/>
    <w:rsid w:val="00F75C34"/>
    <w:rsid w:val="00F945A6"/>
    <w:rsid w:val="00FA3C65"/>
    <w:rsid w:val="00FC541E"/>
    <w:rsid w:val="00FD5717"/>
    <w:rsid w:val="00FD75B3"/>
    <w:rsid w:val="00FE4F32"/>
    <w:rsid w:val="00FF0657"/>
    <w:rsid w:val="00FF4096"/>
    <w:rsid w:val="00FF5048"/>
    <w:rsid w:val="00FF5346"/>
    <w:rsid w:val="00FF5E45"/>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8A542"/>
  <w15:chartTrackingRefBased/>
  <w15:docId w15:val="{86437EF1-FED2-7341-9FAA-6DDEEF746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177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1775"/>
    <w:rPr>
      <w:rFonts w:ascii="Times New Roman" w:hAnsi="Times New Roman" w:cs="Times New Roman"/>
      <w:sz w:val="18"/>
      <w:szCs w:val="18"/>
      <w:lang w:val="en-US"/>
    </w:rPr>
  </w:style>
  <w:style w:type="character" w:styleId="PageNumber">
    <w:name w:val="page number"/>
    <w:basedOn w:val="DefaultParagraphFont"/>
    <w:unhideWhenUsed/>
    <w:rsid w:val="00181775"/>
  </w:style>
  <w:style w:type="paragraph" w:customStyle="1" w:styleId="BodyA">
    <w:name w:val="Body A"/>
    <w:rsid w:val="00181775"/>
    <w:pPr>
      <w:pBdr>
        <w:top w:val="nil"/>
        <w:left w:val="nil"/>
        <w:bottom w:val="nil"/>
        <w:right w:val="nil"/>
        <w:between w:val="nil"/>
        <w:bar w:val="nil"/>
      </w:pBdr>
      <w:spacing w:after="160" w:line="259" w:lineRule="auto"/>
    </w:pPr>
    <w:rPr>
      <w:rFonts w:ascii="Cambria" w:eastAsia="Cambria" w:hAnsi="Cambria" w:cs="Cambria"/>
      <w:color w:val="000000"/>
      <w:u w:color="000000"/>
      <w:bdr w:val="nil"/>
      <w:lang w:val="en-US" w:bidi="th-TH"/>
    </w:rPr>
  </w:style>
  <w:style w:type="character" w:customStyle="1" w:styleId="Hyperlink0">
    <w:name w:val="Hyperlink.0"/>
    <w:basedOn w:val="PageNumber"/>
    <w:rsid w:val="00181775"/>
    <w:rPr>
      <w:rFonts w:ascii="Verdana" w:eastAsia="Verdana" w:hAnsi="Verdana" w:cs="Verdana"/>
      <w:color w:val="0000FF"/>
      <w:sz w:val="19"/>
      <w:szCs w:val="19"/>
      <w:u w:val="single" w:color="0000FF"/>
      <w:lang w:val="en-US"/>
    </w:rPr>
  </w:style>
  <w:style w:type="character" w:customStyle="1" w:styleId="Hyperlink1">
    <w:name w:val="Hyperlink.1"/>
    <w:basedOn w:val="PageNumber"/>
    <w:rsid w:val="00181775"/>
    <w:rPr>
      <w:rFonts w:ascii="Verdana" w:eastAsia="Verdana" w:hAnsi="Verdana" w:cs="Verdana"/>
      <w:color w:val="0000FF"/>
      <w:sz w:val="19"/>
      <w:szCs w:val="19"/>
      <w:u w:val="single" w:color="0000FF"/>
    </w:rPr>
  </w:style>
  <w:style w:type="paragraph" w:styleId="ListParagraph">
    <w:name w:val="List Paragraph"/>
    <w:basedOn w:val="Normal"/>
    <w:uiPriority w:val="34"/>
    <w:qFormat/>
    <w:rsid w:val="007B1237"/>
    <w:pPr>
      <w:ind w:left="720"/>
      <w:contextualSpacing/>
    </w:pPr>
  </w:style>
  <w:style w:type="paragraph" w:styleId="FootnoteText">
    <w:name w:val="footnote text"/>
    <w:aliases w:val="5_G,Voetnoottekst1,Char1,FA Fu1,Footnote Text Char Char Char1,Footnote Text Char Char Char Char1,Footnote Text Char Char1,Footnote Text Char Char Char Char Char1,FA Fu,FA Fußnotentext,Footnote reference,ßnotentext,FA,Ca"/>
    <w:basedOn w:val="Normal"/>
    <w:link w:val="FootnoteTextChar"/>
    <w:uiPriority w:val="99"/>
    <w:unhideWhenUsed/>
    <w:qFormat/>
    <w:rsid w:val="007B1237"/>
    <w:rPr>
      <w:sz w:val="20"/>
      <w:szCs w:val="20"/>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FA Fu Char,FA Fußnotentext Char"/>
    <w:basedOn w:val="DefaultParagraphFont"/>
    <w:link w:val="FootnoteText"/>
    <w:uiPriority w:val="99"/>
    <w:rsid w:val="007B1237"/>
    <w:rPr>
      <w:sz w:val="20"/>
      <w:szCs w:val="20"/>
      <w:lang w:val="en-US"/>
    </w:rPr>
  </w:style>
  <w:style w:type="character" w:styleId="FootnoteReference">
    <w:name w:val="footnote reference"/>
    <w:aliases w:val="Footnote number,4_G,Footnote Reference Char3,Footnote Reference Char1 Char,Char Char Car Char Car Char Car Char Car Char Car Char Char Char1 Char,Footnote Reference Char Char Char"/>
    <w:basedOn w:val="DefaultParagraphFont"/>
    <w:uiPriority w:val="99"/>
    <w:unhideWhenUsed/>
    <w:qFormat/>
    <w:rsid w:val="007B1237"/>
    <w:rPr>
      <w:vertAlign w:val="superscript"/>
    </w:rPr>
  </w:style>
  <w:style w:type="character" w:styleId="Hyperlink">
    <w:name w:val="Hyperlink"/>
    <w:basedOn w:val="DefaultParagraphFont"/>
    <w:uiPriority w:val="99"/>
    <w:unhideWhenUsed/>
    <w:rsid w:val="00E06B3B"/>
    <w:rPr>
      <w:color w:val="0563C1" w:themeColor="hyperlink"/>
      <w:u w:val="single"/>
    </w:rPr>
  </w:style>
  <w:style w:type="character" w:styleId="UnresolvedMention">
    <w:name w:val="Unresolved Mention"/>
    <w:basedOn w:val="DefaultParagraphFont"/>
    <w:uiPriority w:val="99"/>
    <w:semiHidden/>
    <w:unhideWhenUsed/>
    <w:rsid w:val="00E06B3B"/>
    <w:rPr>
      <w:color w:val="605E5C"/>
      <w:shd w:val="clear" w:color="auto" w:fill="E1DFDD"/>
    </w:rPr>
  </w:style>
  <w:style w:type="character" w:styleId="FollowedHyperlink">
    <w:name w:val="FollowedHyperlink"/>
    <w:basedOn w:val="DefaultParagraphFont"/>
    <w:uiPriority w:val="99"/>
    <w:semiHidden/>
    <w:unhideWhenUsed/>
    <w:rsid w:val="00494C7B"/>
    <w:rPr>
      <w:color w:val="954F72" w:themeColor="followedHyperlink"/>
      <w:u w:val="single"/>
    </w:rPr>
  </w:style>
  <w:style w:type="paragraph" w:styleId="Footer">
    <w:name w:val="footer"/>
    <w:basedOn w:val="Normal"/>
    <w:link w:val="FooterChar"/>
    <w:uiPriority w:val="99"/>
    <w:unhideWhenUsed/>
    <w:rsid w:val="005C54B5"/>
    <w:pPr>
      <w:tabs>
        <w:tab w:val="center" w:pos="4513"/>
        <w:tab w:val="right" w:pos="9026"/>
      </w:tabs>
    </w:pPr>
  </w:style>
  <w:style w:type="character" w:customStyle="1" w:styleId="FooterChar">
    <w:name w:val="Footer Char"/>
    <w:basedOn w:val="DefaultParagraphFont"/>
    <w:link w:val="Footer"/>
    <w:uiPriority w:val="99"/>
    <w:rsid w:val="005C54B5"/>
    <w:rPr>
      <w:lang w:val="en-US"/>
    </w:rPr>
  </w:style>
  <w:style w:type="paragraph" w:styleId="Header">
    <w:name w:val="header"/>
    <w:basedOn w:val="Normal"/>
    <w:link w:val="HeaderChar"/>
    <w:uiPriority w:val="99"/>
    <w:unhideWhenUsed/>
    <w:rsid w:val="00E73411"/>
    <w:pPr>
      <w:tabs>
        <w:tab w:val="center" w:pos="4513"/>
        <w:tab w:val="right" w:pos="9026"/>
      </w:tabs>
    </w:pPr>
  </w:style>
  <w:style w:type="character" w:customStyle="1" w:styleId="HeaderChar">
    <w:name w:val="Header Char"/>
    <w:basedOn w:val="DefaultParagraphFont"/>
    <w:link w:val="Header"/>
    <w:uiPriority w:val="99"/>
    <w:rsid w:val="00E73411"/>
    <w:rPr>
      <w:lang w:val="en-US"/>
    </w:rPr>
  </w:style>
  <w:style w:type="character" w:styleId="CommentReference">
    <w:name w:val="annotation reference"/>
    <w:basedOn w:val="DefaultParagraphFont"/>
    <w:uiPriority w:val="99"/>
    <w:semiHidden/>
    <w:unhideWhenUsed/>
    <w:rsid w:val="008808C5"/>
    <w:rPr>
      <w:sz w:val="16"/>
      <w:szCs w:val="16"/>
    </w:rPr>
  </w:style>
  <w:style w:type="paragraph" w:styleId="CommentText">
    <w:name w:val="annotation text"/>
    <w:basedOn w:val="Normal"/>
    <w:link w:val="CommentTextChar"/>
    <w:uiPriority w:val="99"/>
    <w:semiHidden/>
    <w:unhideWhenUsed/>
    <w:rsid w:val="008808C5"/>
    <w:rPr>
      <w:sz w:val="20"/>
      <w:szCs w:val="20"/>
    </w:rPr>
  </w:style>
  <w:style w:type="character" w:customStyle="1" w:styleId="CommentTextChar">
    <w:name w:val="Comment Text Char"/>
    <w:basedOn w:val="DefaultParagraphFont"/>
    <w:link w:val="CommentText"/>
    <w:uiPriority w:val="99"/>
    <w:semiHidden/>
    <w:rsid w:val="008808C5"/>
    <w:rPr>
      <w:sz w:val="20"/>
      <w:szCs w:val="20"/>
      <w:lang w:val="en-US"/>
    </w:rPr>
  </w:style>
  <w:style w:type="paragraph" w:styleId="CommentSubject">
    <w:name w:val="annotation subject"/>
    <w:basedOn w:val="CommentText"/>
    <w:next w:val="CommentText"/>
    <w:link w:val="CommentSubjectChar"/>
    <w:uiPriority w:val="99"/>
    <w:semiHidden/>
    <w:unhideWhenUsed/>
    <w:rsid w:val="008808C5"/>
    <w:rPr>
      <w:b/>
      <w:bCs/>
    </w:rPr>
  </w:style>
  <w:style w:type="character" w:customStyle="1" w:styleId="CommentSubjectChar">
    <w:name w:val="Comment Subject Char"/>
    <w:basedOn w:val="CommentTextChar"/>
    <w:link w:val="CommentSubject"/>
    <w:uiPriority w:val="99"/>
    <w:semiHidden/>
    <w:rsid w:val="008808C5"/>
    <w:rPr>
      <w:b/>
      <w:bCs/>
      <w:sz w:val="20"/>
      <w:szCs w:val="20"/>
      <w:lang w:val="en-US"/>
    </w:rPr>
  </w:style>
  <w:style w:type="paragraph" w:styleId="Revision">
    <w:name w:val="Revision"/>
    <w:hidden/>
    <w:uiPriority w:val="99"/>
    <w:semiHidden/>
    <w:rsid w:val="00F70734"/>
    <w:rPr>
      <w:lang w:val="en-US"/>
    </w:rPr>
  </w:style>
  <w:style w:type="paragraph" w:styleId="HTMLPreformatted">
    <w:name w:val="HTML Preformatted"/>
    <w:basedOn w:val="Normal"/>
    <w:link w:val="HTMLPreformattedChar"/>
    <w:uiPriority w:val="99"/>
    <w:semiHidden/>
    <w:unhideWhenUsed/>
    <w:rsid w:val="00A12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IE" w:eastAsia="en-GB"/>
    </w:rPr>
  </w:style>
  <w:style w:type="character" w:customStyle="1" w:styleId="HTMLPreformattedChar">
    <w:name w:val="HTML Preformatted Char"/>
    <w:basedOn w:val="DefaultParagraphFont"/>
    <w:link w:val="HTMLPreformatted"/>
    <w:uiPriority w:val="99"/>
    <w:semiHidden/>
    <w:rsid w:val="00A1269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802">
      <w:bodyDiv w:val="1"/>
      <w:marLeft w:val="0"/>
      <w:marRight w:val="0"/>
      <w:marTop w:val="0"/>
      <w:marBottom w:val="0"/>
      <w:divBdr>
        <w:top w:val="none" w:sz="0" w:space="0" w:color="auto"/>
        <w:left w:val="none" w:sz="0" w:space="0" w:color="auto"/>
        <w:bottom w:val="none" w:sz="0" w:space="0" w:color="auto"/>
        <w:right w:val="none" w:sz="0" w:space="0" w:color="auto"/>
      </w:divBdr>
    </w:div>
    <w:div w:id="333267009">
      <w:bodyDiv w:val="1"/>
      <w:marLeft w:val="0"/>
      <w:marRight w:val="0"/>
      <w:marTop w:val="0"/>
      <w:marBottom w:val="0"/>
      <w:divBdr>
        <w:top w:val="none" w:sz="0" w:space="0" w:color="auto"/>
        <w:left w:val="none" w:sz="0" w:space="0" w:color="auto"/>
        <w:bottom w:val="none" w:sz="0" w:space="0" w:color="auto"/>
        <w:right w:val="none" w:sz="0" w:space="0" w:color="auto"/>
      </w:divBdr>
    </w:div>
    <w:div w:id="656765993">
      <w:bodyDiv w:val="1"/>
      <w:marLeft w:val="0"/>
      <w:marRight w:val="0"/>
      <w:marTop w:val="0"/>
      <w:marBottom w:val="0"/>
      <w:divBdr>
        <w:top w:val="none" w:sz="0" w:space="0" w:color="auto"/>
        <w:left w:val="none" w:sz="0" w:space="0" w:color="auto"/>
        <w:bottom w:val="none" w:sz="0" w:space="0" w:color="auto"/>
        <w:right w:val="none" w:sz="0" w:space="0" w:color="auto"/>
      </w:divBdr>
    </w:div>
    <w:div w:id="849873610">
      <w:bodyDiv w:val="1"/>
      <w:marLeft w:val="0"/>
      <w:marRight w:val="0"/>
      <w:marTop w:val="0"/>
      <w:marBottom w:val="0"/>
      <w:divBdr>
        <w:top w:val="none" w:sz="0" w:space="0" w:color="auto"/>
        <w:left w:val="none" w:sz="0" w:space="0" w:color="auto"/>
        <w:bottom w:val="none" w:sz="0" w:space="0" w:color="auto"/>
        <w:right w:val="none" w:sz="0" w:space="0" w:color="auto"/>
      </w:divBdr>
    </w:div>
    <w:div w:id="973560512">
      <w:bodyDiv w:val="1"/>
      <w:marLeft w:val="0"/>
      <w:marRight w:val="0"/>
      <w:marTop w:val="0"/>
      <w:marBottom w:val="0"/>
      <w:divBdr>
        <w:top w:val="none" w:sz="0" w:space="0" w:color="auto"/>
        <w:left w:val="none" w:sz="0" w:space="0" w:color="auto"/>
        <w:bottom w:val="none" w:sz="0" w:space="0" w:color="auto"/>
        <w:right w:val="none" w:sz="0" w:space="0" w:color="auto"/>
      </w:divBdr>
    </w:div>
    <w:div w:id="983124468">
      <w:bodyDiv w:val="1"/>
      <w:marLeft w:val="0"/>
      <w:marRight w:val="0"/>
      <w:marTop w:val="0"/>
      <w:marBottom w:val="0"/>
      <w:divBdr>
        <w:top w:val="none" w:sz="0" w:space="0" w:color="auto"/>
        <w:left w:val="none" w:sz="0" w:space="0" w:color="auto"/>
        <w:bottom w:val="none" w:sz="0" w:space="0" w:color="auto"/>
        <w:right w:val="none" w:sz="0" w:space="0" w:color="auto"/>
      </w:divBdr>
    </w:div>
    <w:div w:id="1109004611">
      <w:bodyDiv w:val="1"/>
      <w:marLeft w:val="0"/>
      <w:marRight w:val="0"/>
      <w:marTop w:val="0"/>
      <w:marBottom w:val="0"/>
      <w:divBdr>
        <w:top w:val="none" w:sz="0" w:space="0" w:color="auto"/>
        <w:left w:val="none" w:sz="0" w:space="0" w:color="auto"/>
        <w:bottom w:val="none" w:sz="0" w:space="0" w:color="auto"/>
        <w:right w:val="none" w:sz="0" w:space="0" w:color="auto"/>
      </w:divBdr>
    </w:div>
    <w:div w:id="1275089352">
      <w:bodyDiv w:val="1"/>
      <w:marLeft w:val="0"/>
      <w:marRight w:val="0"/>
      <w:marTop w:val="0"/>
      <w:marBottom w:val="0"/>
      <w:divBdr>
        <w:top w:val="none" w:sz="0" w:space="0" w:color="auto"/>
        <w:left w:val="none" w:sz="0" w:space="0" w:color="auto"/>
        <w:bottom w:val="none" w:sz="0" w:space="0" w:color="auto"/>
        <w:right w:val="none" w:sz="0" w:space="0" w:color="auto"/>
      </w:divBdr>
    </w:div>
    <w:div w:id="1397434071">
      <w:bodyDiv w:val="1"/>
      <w:marLeft w:val="0"/>
      <w:marRight w:val="0"/>
      <w:marTop w:val="0"/>
      <w:marBottom w:val="0"/>
      <w:divBdr>
        <w:top w:val="none" w:sz="0" w:space="0" w:color="auto"/>
        <w:left w:val="none" w:sz="0" w:space="0" w:color="auto"/>
        <w:bottom w:val="none" w:sz="0" w:space="0" w:color="auto"/>
        <w:right w:val="none" w:sz="0" w:space="0" w:color="auto"/>
      </w:divBdr>
    </w:div>
    <w:div w:id="1603684272">
      <w:bodyDiv w:val="1"/>
      <w:marLeft w:val="0"/>
      <w:marRight w:val="0"/>
      <w:marTop w:val="0"/>
      <w:marBottom w:val="0"/>
      <w:divBdr>
        <w:top w:val="none" w:sz="0" w:space="0" w:color="auto"/>
        <w:left w:val="none" w:sz="0" w:space="0" w:color="auto"/>
        <w:bottom w:val="none" w:sz="0" w:space="0" w:color="auto"/>
        <w:right w:val="none" w:sz="0" w:space="0" w:color="auto"/>
      </w:divBdr>
    </w:div>
    <w:div w:id="1854949362">
      <w:bodyDiv w:val="1"/>
      <w:marLeft w:val="0"/>
      <w:marRight w:val="0"/>
      <w:marTop w:val="0"/>
      <w:marBottom w:val="0"/>
      <w:divBdr>
        <w:top w:val="none" w:sz="0" w:space="0" w:color="auto"/>
        <w:left w:val="none" w:sz="0" w:space="0" w:color="auto"/>
        <w:bottom w:val="none" w:sz="0" w:space="0" w:color="auto"/>
        <w:right w:val="none" w:sz="0" w:space="0" w:color="auto"/>
      </w:divBdr>
    </w:div>
    <w:div w:id="20938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icj.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cj.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nteragencystandingcommittee.org/system/files/2020-05/COVID-19%20and%20PSEA%20Guidance%20Note%20No.1%20Lebanon%20In-Country%20PSEA%20Network.pdf" TargetMode="External"/><Relationship Id="rId3" Type="http://schemas.openxmlformats.org/officeDocument/2006/relationships/hyperlink" Target="https://www.kafa.org.lb/sites/default/files/2020-07/study-on-protection-orders.pdf" TargetMode="External"/><Relationship Id="rId7" Type="http://schemas.openxmlformats.org/officeDocument/2006/relationships/hyperlink" Target="https://www.abaadmena.org/documents/ebook.1601377248.pdf" TargetMode="External"/><Relationship Id="rId2" Type="http://schemas.openxmlformats.org/officeDocument/2006/relationships/hyperlink" Target="file:///Users/admin/Downloads/Lebanon%20Country%20Assessment%20-%20English.pdf" TargetMode="External"/><Relationship Id="rId1" Type="http://schemas.openxmlformats.org/officeDocument/2006/relationships/hyperlink" Target="https://www.icj.org/wp-content/uploads/2019/07/Lebanon-Gender-Violence-Publications.pdf" TargetMode="External"/><Relationship Id="rId6" Type="http://schemas.openxmlformats.org/officeDocument/2006/relationships/hyperlink" Target="https://www.abaadmena.org/documents/ebook.1590737262.pdf" TargetMode="External"/><Relationship Id="rId5" Type="http://schemas.openxmlformats.org/officeDocument/2006/relationships/hyperlink" Target="https://www2.unwomen.org/-/media/field%20office%20arab%20states/attachments/publications/2020/06/lebanon%20gender%20alert%20issue3/gender%20alert%20on%20covidlebanon%20issue%203english.pdf?la=en&amp;vs=1002" TargetMode="External"/><Relationship Id="rId4" Type="http://schemas.openxmlformats.org/officeDocument/2006/relationships/hyperlink" Target="https://www.justice.gov.lb/index.php/modernization-projects-details/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328071-9E9A-634B-A43D-9AF6BD86A16D}">
  <ds:schemaRefs>
    <ds:schemaRef ds:uri="http://schemas.openxmlformats.org/officeDocument/2006/bibliography"/>
  </ds:schemaRefs>
</ds:datastoreItem>
</file>

<file path=customXml/itemProps2.xml><?xml version="1.0" encoding="utf-8"?>
<ds:datastoreItem xmlns:ds="http://schemas.openxmlformats.org/officeDocument/2006/customXml" ds:itemID="{30501859-F588-4379-AE32-C3787A90B082}"/>
</file>

<file path=customXml/itemProps3.xml><?xml version="1.0" encoding="utf-8"?>
<ds:datastoreItem xmlns:ds="http://schemas.openxmlformats.org/officeDocument/2006/customXml" ds:itemID="{8E8F1AF2-7965-4380-8574-7D99B5D14E68}"/>
</file>

<file path=customXml/itemProps4.xml><?xml version="1.0" encoding="utf-8"?>
<ds:datastoreItem xmlns:ds="http://schemas.openxmlformats.org/officeDocument/2006/customXml" ds:itemID="{E3D1C088-3461-4623-AC45-1D94A68E9C4E}"/>
</file>

<file path=docProps/app.xml><?xml version="1.0" encoding="utf-8"?>
<Properties xmlns="http://schemas.openxmlformats.org/officeDocument/2006/extended-properties" xmlns:vt="http://schemas.openxmlformats.org/officeDocument/2006/docPropsVTypes">
  <Template>Normal.dotm</Template>
  <TotalTime>10</TotalTime>
  <Pages>11</Pages>
  <Words>6137</Words>
  <Characters>33636</Characters>
  <Application>Microsoft Office Word</Application>
  <DocSecurity>0</DocSecurity>
  <Lines>611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lujanebenamer@gmail.com</dc:creator>
  <cp:keywords/>
  <dc:description/>
  <cp:lastModifiedBy>Livio Zilli</cp:lastModifiedBy>
  <cp:revision>11</cp:revision>
  <dcterms:created xsi:type="dcterms:W3CDTF">2020-10-12T11:07:00Z</dcterms:created>
  <dcterms:modified xsi:type="dcterms:W3CDTF">2020-10-12T11:55:00Z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