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F9B" w:rsidRDefault="00805DB6">
      <w:pPr>
        <w:spacing w:after="200" w:line="240" w:lineRule="auto"/>
        <w:jc w:val="center"/>
        <w:rPr>
          <w:b/>
          <w:sz w:val="24"/>
          <w:szCs w:val="24"/>
        </w:rPr>
      </w:pPr>
      <w:r>
        <w:rPr>
          <w:b/>
          <w:sz w:val="24"/>
          <w:szCs w:val="24"/>
        </w:rPr>
        <w:t xml:space="preserve"> </w:t>
      </w:r>
    </w:p>
    <w:p w:rsidR="00200F9B" w:rsidRDefault="00200F9B">
      <w:pPr>
        <w:spacing w:after="200" w:line="240" w:lineRule="auto"/>
        <w:jc w:val="center"/>
        <w:rPr>
          <w:b/>
          <w:sz w:val="24"/>
          <w:szCs w:val="24"/>
        </w:rPr>
      </w:pPr>
    </w:p>
    <w:p w:rsidR="00200F9B" w:rsidRDefault="00200F9B">
      <w:pPr>
        <w:spacing w:after="200" w:line="240" w:lineRule="auto"/>
        <w:jc w:val="center"/>
        <w:rPr>
          <w:b/>
          <w:sz w:val="38"/>
          <w:szCs w:val="38"/>
        </w:rPr>
      </w:pPr>
    </w:p>
    <w:p w:rsidR="00200F9B" w:rsidRDefault="00200F9B">
      <w:pPr>
        <w:spacing w:after="200" w:line="240" w:lineRule="auto"/>
        <w:jc w:val="center"/>
        <w:rPr>
          <w:b/>
          <w:sz w:val="38"/>
          <w:szCs w:val="38"/>
        </w:rPr>
      </w:pPr>
    </w:p>
    <w:p w:rsidR="00200F9B" w:rsidRDefault="00805DB6">
      <w:pPr>
        <w:spacing w:after="200" w:line="240" w:lineRule="auto"/>
        <w:jc w:val="center"/>
        <w:rPr>
          <w:b/>
          <w:sz w:val="38"/>
          <w:szCs w:val="38"/>
        </w:rPr>
      </w:pPr>
      <w:r>
        <w:rPr>
          <w:b/>
          <w:sz w:val="38"/>
          <w:szCs w:val="38"/>
        </w:rPr>
        <w:t xml:space="preserve">Informe alternativo </w:t>
      </w:r>
    </w:p>
    <w:p w:rsidR="00200F9B" w:rsidRDefault="00805DB6">
      <w:pPr>
        <w:spacing w:after="200" w:line="240" w:lineRule="auto"/>
        <w:jc w:val="center"/>
        <w:rPr>
          <w:b/>
          <w:sz w:val="38"/>
          <w:szCs w:val="38"/>
        </w:rPr>
      </w:pPr>
      <w:r>
        <w:rPr>
          <w:b/>
          <w:sz w:val="38"/>
          <w:szCs w:val="38"/>
        </w:rPr>
        <w:t xml:space="preserve">de la </w:t>
      </w:r>
      <w:bookmarkStart w:id="0" w:name="_GoBack"/>
      <w:r>
        <w:rPr>
          <w:b/>
          <w:sz w:val="38"/>
          <w:szCs w:val="38"/>
        </w:rPr>
        <w:t>Coalición Nacional de Organizaciones de la Sociedad Civil de Paraguay - CDIA</w:t>
      </w:r>
      <w:bookmarkEnd w:id="0"/>
      <w:r>
        <w:rPr>
          <w:b/>
          <w:sz w:val="38"/>
          <w:szCs w:val="38"/>
        </w:rPr>
        <w:t xml:space="preserve"> - para el Comité de los Derechos del Niño de Naciones Unidas. </w:t>
      </w:r>
    </w:p>
    <w:p w:rsidR="00200F9B" w:rsidRDefault="00200F9B">
      <w:pPr>
        <w:spacing w:after="200" w:line="240" w:lineRule="auto"/>
        <w:jc w:val="center"/>
        <w:rPr>
          <w:b/>
          <w:sz w:val="38"/>
          <w:szCs w:val="38"/>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805DB6">
      <w:pPr>
        <w:spacing w:after="200" w:line="240" w:lineRule="auto"/>
        <w:jc w:val="center"/>
        <w:rPr>
          <w:b/>
          <w:sz w:val="26"/>
          <w:szCs w:val="26"/>
        </w:rPr>
      </w:pPr>
      <w:r>
        <w:rPr>
          <w:b/>
          <w:sz w:val="26"/>
          <w:szCs w:val="26"/>
        </w:rPr>
        <w:t>Informe Integrado de la Convención sobre los Derechos del Niño, el Protocolo Facultativo Relativo a la Venta de Niños, la Prostitución Infantil y la Utilización de los Niños en la Pornografía, y el Protocolo Facultativo Relativo a la Participación de Niños</w:t>
      </w:r>
      <w:r>
        <w:rPr>
          <w:b/>
          <w:sz w:val="26"/>
          <w:szCs w:val="26"/>
        </w:rPr>
        <w:t xml:space="preserve"> en Conflictos Armados</w:t>
      </w:r>
    </w:p>
    <w:p w:rsidR="00200F9B" w:rsidRDefault="00805DB6">
      <w:pPr>
        <w:spacing w:after="200" w:line="240" w:lineRule="auto"/>
        <w:jc w:val="center"/>
        <w:rPr>
          <w:b/>
          <w:sz w:val="26"/>
          <w:szCs w:val="26"/>
        </w:rPr>
      </w:pPr>
      <w:r>
        <w:rPr>
          <w:b/>
          <w:sz w:val="26"/>
          <w:szCs w:val="26"/>
        </w:rPr>
        <w:t>Periodo de sesiones 95, mayo, 2023</w:t>
      </w:r>
    </w:p>
    <w:p w:rsidR="00200F9B" w:rsidRDefault="00200F9B">
      <w:pPr>
        <w:spacing w:after="200" w:line="240" w:lineRule="auto"/>
        <w:jc w:val="center"/>
        <w:rPr>
          <w:b/>
          <w:sz w:val="24"/>
          <w:szCs w:val="24"/>
        </w:rPr>
      </w:pPr>
    </w:p>
    <w:p w:rsidR="00200F9B" w:rsidRDefault="00200F9B">
      <w:pPr>
        <w:spacing w:after="200" w:line="240" w:lineRule="auto"/>
        <w:rPr>
          <w:b/>
          <w:sz w:val="24"/>
          <w:szCs w:val="24"/>
        </w:rPr>
      </w:pPr>
    </w:p>
    <w:p w:rsidR="00200F9B" w:rsidRDefault="00200F9B">
      <w:pPr>
        <w:spacing w:after="200" w:line="240" w:lineRule="auto"/>
        <w:jc w:val="center"/>
        <w:rPr>
          <w:b/>
          <w:sz w:val="24"/>
          <w:szCs w:val="24"/>
        </w:rPr>
      </w:pPr>
    </w:p>
    <w:p w:rsidR="00200F9B" w:rsidRDefault="00805DB6">
      <w:pPr>
        <w:spacing w:after="200" w:line="240" w:lineRule="auto"/>
        <w:jc w:val="center"/>
        <w:rPr>
          <w:b/>
          <w:sz w:val="24"/>
          <w:szCs w:val="24"/>
        </w:rPr>
      </w:pPr>
      <w:r>
        <w:rPr>
          <w:b/>
          <w:sz w:val="24"/>
          <w:szCs w:val="24"/>
        </w:rPr>
        <w:t>Marzo, 2023</w:t>
      </w:r>
      <w:r>
        <w:rPr>
          <w:b/>
          <w:noProof/>
          <w:sz w:val="24"/>
          <w:szCs w:val="24"/>
          <w:lang w:val="en-GB"/>
        </w:rPr>
        <w:drawing>
          <wp:anchor distT="0" distB="0" distL="114300" distR="114300" simplePos="0" relativeHeight="251658240" behindDoc="0" locked="0" layoutInCell="1" hidden="0" allowOverlap="1">
            <wp:simplePos x="0" y="0"/>
            <wp:positionH relativeFrom="margin">
              <wp:posOffset>-153523</wp:posOffset>
            </wp:positionH>
            <wp:positionV relativeFrom="margin">
              <wp:posOffset>7111404</wp:posOffset>
            </wp:positionV>
            <wp:extent cx="6573375" cy="138489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573375" cy="1384895"/>
                    </a:xfrm>
                    <a:prstGeom prst="rect">
                      <a:avLst/>
                    </a:prstGeom>
                    <a:ln/>
                  </pic:spPr>
                </pic:pic>
              </a:graphicData>
            </a:graphic>
          </wp:anchor>
        </w:drawing>
      </w: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200F9B">
      <w:pPr>
        <w:spacing w:after="200" w:line="240" w:lineRule="auto"/>
        <w:jc w:val="center"/>
        <w:rPr>
          <w:b/>
          <w:sz w:val="24"/>
          <w:szCs w:val="24"/>
        </w:rPr>
      </w:pPr>
    </w:p>
    <w:p w:rsidR="00200F9B" w:rsidRDefault="00805DB6">
      <w:pPr>
        <w:spacing w:after="200" w:line="240" w:lineRule="auto"/>
        <w:jc w:val="center"/>
        <w:rPr>
          <w:b/>
          <w:sz w:val="24"/>
          <w:szCs w:val="24"/>
        </w:rPr>
      </w:pPr>
      <w:r>
        <w:rPr>
          <w:rFonts w:ascii="Quattrocento Sans" w:eastAsia="Quattrocento Sans" w:hAnsi="Quattrocento Sans" w:cs="Quattrocento Sans"/>
          <w:b/>
          <w:noProof/>
          <w:color w:val="1B7AB4"/>
          <w:sz w:val="18"/>
          <w:szCs w:val="18"/>
          <w:lang w:val="en-GB"/>
        </w:rPr>
        <w:drawing>
          <wp:inline distT="0" distB="0" distL="0" distR="0">
            <wp:extent cx="4733900" cy="23227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4693" b="14693"/>
                    <a:stretch>
                      <a:fillRect/>
                    </a:stretch>
                  </pic:blipFill>
                  <pic:spPr>
                    <a:xfrm>
                      <a:off x="0" y="0"/>
                      <a:ext cx="4733900" cy="232271"/>
                    </a:xfrm>
                    <a:prstGeom prst="rect">
                      <a:avLst/>
                    </a:prstGeom>
                    <a:ln/>
                  </pic:spPr>
                </pic:pic>
              </a:graphicData>
            </a:graphic>
          </wp:inline>
        </w:drawing>
      </w:r>
    </w:p>
    <w:p w:rsidR="00200F9B" w:rsidRDefault="00200F9B">
      <w:pPr>
        <w:spacing w:after="200" w:line="275" w:lineRule="auto"/>
        <w:ind w:left="360" w:right="359"/>
        <w:jc w:val="center"/>
      </w:pPr>
    </w:p>
    <w:p w:rsidR="00200F9B" w:rsidRDefault="00805DB6">
      <w:pPr>
        <w:pStyle w:val="Title"/>
        <w:spacing w:before="200" w:after="200" w:line="259" w:lineRule="auto"/>
        <w:rPr>
          <w:sz w:val="24"/>
          <w:szCs w:val="24"/>
        </w:rPr>
      </w:pPr>
      <w:bookmarkStart w:id="1" w:name="_heading=h.gjdgxs" w:colFirst="0" w:colLast="0"/>
      <w:bookmarkEnd w:id="1"/>
      <w:r>
        <w:rPr>
          <w:b/>
          <w:sz w:val="24"/>
          <w:szCs w:val="24"/>
        </w:rPr>
        <w:lastRenderedPageBreak/>
        <w:t xml:space="preserve">INTRODUCCIÓN </w:t>
      </w:r>
    </w:p>
    <w:p w:rsidR="00200F9B" w:rsidRDefault="00805DB6">
      <w:pPr>
        <w:numPr>
          <w:ilvl w:val="0"/>
          <w:numId w:val="41"/>
        </w:numPr>
        <w:spacing w:before="200" w:after="200" w:line="259" w:lineRule="auto"/>
        <w:jc w:val="both"/>
        <w:rPr>
          <w:sz w:val="24"/>
          <w:szCs w:val="24"/>
        </w:rPr>
      </w:pPr>
      <w:r>
        <w:rPr>
          <w:sz w:val="24"/>
          <w:szCs w:val="24"/>
        </w:rPr>
        <w:t>El presente informe alternativo es presentado por la Coordinadora por los Derechos de la Infancia y la Adolescencia (CDIA), trabaja desde 1993 como una asociación que nuclea a diversas organizaciones, a través de acciones de promoción, defensa y vigilancia</w:t>
      </w:r>
      <w:r>
        <w:rPr>
          <w:sz w:val="24"/>
          <w:szCs w:val="24"/>
        </w:rPr>
        <w:t xml:space="preserve"> de los derechos de la niñez y la adolescencia a nivel nacional y regional; está conformada por 29 organizaciones de la sociedad civil. Ha sido realizado con el apoyo de Girls Not Brides: The Global Partnership to End Child Marriage, la Red de Coaliciones </w:t>
      </w:r>
      <w:r>
        <w:rPr>
          <w:sz w:val="24"/>
          <w:szCs w:val="24"/>
        </w:rPr>
        <w:t xml:space="preserve">Sur y el Proyecto Regional Defendiendo Nuestros Derechos Sexuales y Reproductivos (Plan/SIDA). </w:t>
      </w:r>
    </w:p>
    <w:p w:rsidR="00200F9B" w:rsidRDefault="00805DB6">
      <w:pPr>
        <w:numPr>
          <w:ilvl w:val="0"/>
          <w:numId w:val="41"/>
        </w:numPr>
        <w:spacing w:before="200" w:after="200" w:line="259" w:lineRule="auto"/>
        <w:jc w:val="both"/>
        <w:rPr>
          <w:sz w:val="24"/>
          <w:szCs w:val="24"/>
        </w:rPr>
      </w:pPr>
      <w:r>
        <w:rPr>
          <w:sz w:val="24"/>
          <w:szCs w:val="24"/>
        </w:rPr>
        <w:t>En 1990, Paraguay ha ratificado la Convención Internacional sobre los Derechos del Niño asumiendo la obligación y responsabilidad de adaptar su legislación conf</w:t>
      </w:r>
      <w:r>
        <w:rPr>
          <w:sz w:val="24"/>
          <w:szCs w:val="24"/>
        </w:rPr>
        <w:t>orme a los términos de dicho instrumento para garantizar los derechos de todas las niñas, niños y adolescentes (NNA) del país.</w:t>
      </w:r>
    </w:p>
    <w:p w:rsidR="00200F9B" w:rsidRDefault="00805DB6">
      <w:pPr>
        <w:numPr>
          <w:ilvl w:val="0"/>
          <w:numId w:val="41"/>
        </w:numPr>
        <w:spacing w:before="200" w:after="200" w:line="259" w:lineRule="auto"/>
        <w:jc w:val="both"/>
        <w:rPr>
          <w:rFonts w:ascii="Calibri" w:eastAsia="Calibri" w:hAnsi="Calibri" w:cs="Calibri"/>
          <w:sz w:val="24"/>
          <w:szCs w:val="24"/>
        </w:rPr>
      </w:pPr>
      <w:r>
        <w:rPr>
          <w:sz w:val="24"/>
          <w:szCs w:val="24"/>
        </w:rPr>
        <w:t>Este informe alternativo se basa en las observaciones finales al Estado paraguayo como respuestas al tercer informe periódico del</w:t>
      </w:r>
      <w:r>
        <w:rPr>
          <w:sz w:val="24"/>
          <w:szCs w:val="24"/>
        </w:rPr>
        <w:t xml:space="preserve"> Paraguay (CRC/C/PRY/3) en sus sesiones 1457ª y 1459ª, celebradas el 12 de enero de 2010, y en la 1501ª sesión, celebrada el 29 de enero de 2010, donde se aprobaron dichas observaciones. </w:t>
      </w:r>
    </w:p>
    <w:p w:rsidR="00200F9B" w:rsidRDefault="00805DB6">
      <w:pPr>
        <w:pStyle w:val="Heading1"/>
        <w:numPr>
          <w:ilvl w:val="0"/>
          <w:numId w:val="21"/>
        </w:numPr>
        <w:spacing w:before="200" w:line="240" w:lineRule="auto"/>
      </w:pPr>
      <w:bookmarkStart w:id="2" w:name="_heading=h.30j0zll" w:colFirst="0" w:colLast="0"/>
      <w:bookmarkEnd w:id="2"/>
      <w:r>
        <w:t>Medidas generales de aplicación (arts. 4, 42, 44(6)</w:t>
      </w:r>
    </w:p>
    <w:p w:rsidR="00200F9B" w:rsidRDefault="00805DB6">
      <w:pPr>
        <w:numPr>
          <w:ilvl w:val="0"/>
          <w:numId w:val="53"/>
        </w:numPr>
        <w:spacing w:after="200"/>
        <w:rPr>
          <w:b/>
          <w:sz w:val="24"/>
          <w:szCs w:val="24"/>
        </w:rPr>
      </w:pPr>
      <w:r>
        <w:rPr>
          <w:b/>
          <w:sz w:val="24"/>
          <w:szCs w:val="24"/>
        </w:rPr>
        <w:t xml:space="preserve">Legislación </w:t>
      </w:r>
    </w:p>
    <w:p w:rsidR="00200F9B" w:rsidRDefault="00805DB6">
      <w:pPr>
        <w:numPr>
          <w:ilvl w:val="0"/>
          <w:numId w:val="41"/>
        </w:numPr>
        <w:spacing w:after="200"/>
        <w:jc w:val="both"/>
        <w:rPr>
          <w:sz w:val="24"/>
          <w:szCs w:val="24"/>
        </w:rPr>
      </w:pPr>
      <w:r>
        <w:rPr>
          <w:sz w:val="24"/>
          <w:szCs w:val="24"/>
        </w:rPr>
        <w:t xml:space="preserve">Se </w:t>
      </w:r>
      <w:r>
        <w:rPr>
          <w:sz w:val="24"/>
          <w:szCs w:val="24"/>
        </w:rPr>
        <w:t>reconoce que en materia de protección de los derechos de NNA, Paraguay posee una vasta legislación y que el Código Penal Paraguayo</w:t>
      </w:r>
      <w:r>
        <w:rPr>
          <w:sz w:val="24"/>
          <w:szCs w:val="24"/>
          <w:vertAlign w:val="superscript"/>
        </w:rPr>
        <w:footnoteReference w:id="1"/>
      </w:r>
      <w:r>
        <w:rPr>
          <w:sz w:val="24"/>
          <w:szCs w:val="24"/>
        </w:rPr>
        <w:t xml:space="preserve"> ha tenido varias reformas donde han modificado artículos que afectan a NNA; sin embargo, los datos demuestran que mayormente</w:t>
      </w:r>
      <w:r>
        <w:rPr>
          <w:sz w:val="24"/>
          <w:szCs w:val="24"/>
        </w:rPr>
        <w:t xml:space="preserve"> estas leyes resultan ineficaces. El país no cuenta con un sistema que permita medir la eficacia de las leyes, pero los indicadores de cumplimiento de derechos evidencian la insuficiencia de la aplicación del sistema normativo; es decir, se han ofrecido re</w:t>
      </w:r>
      <w:r>
        <w:rPr>
          <w:sz w:val="24"/>
          <w:szCs w:val="24"/>
        </w:rPr>
        <w:t xml:space="preserve">spuestas normativas, pero la garantía y cumplimiento de derechos son meramente declarativos. </w:t>
      </w:r>
    </w:p>
    <w:p w:rsidR="00200F9B" w:rsidRDefault="00805DB6">
      <w:pPr>
        <w:numPr>
          <w:ilvl w:val="0"/>
          <w:numId w:val="30"/>
        </w:numPr>
        <w:spacing w:after="200"/>
        <w:jc w:val="both"/>
        <w:rPr>
          <w:b/>
          <w:sz w:val="24"/>
          <w:szCs w:val="24"/>
        </w:rPr>
      </w:pPr>
      <w:r>
        <w:rPr>
          <w:b/>
          <w:sz w:val="24"/>
          <w:szCs w:val="24"/>
        </w:rPr>
        <w:t xml:space="preserve">Coordinación </w:t>
      </w:r>
    </w:p>
    <w:p w:rsidR="00200F9B" w:rsidRDefault="00805DB6">
      <w:pPr>
        <w:numPr>
          <w:ilvl w:val="0"/>
          <w:numId w:val="41"/>
        </w:numPr>
        <w:spacing w:after="200"/>
        <w:jc w:val="both"/>
        <w:rPr>
          <w:sz w:val="24"/>
          <w:szCs w:val="24"/>
        </w:rPr>
      </w:pPr>
      <w:r>
        <w:rPr>
          <w:sz w:val="24"/>
          <w:szCs w:val="24"/>
        </w:rPr>
        <w:t xml:space="preserve">Un aspecto relevante es la elevación por ley del rango de la Secretaría Nacional de Niñez y Adolescencia a Ministerio de la Niñez y la Adolescencia </w:t>
      </w:r>
      <w:r>
        <w:rPr>
          <w:sz w:val="24"/>
          <w:szCs w:val="24"/>
        </w:rPr>
        <w:t>(MINNA)</w:t>
      </w:r>
      <w:r>
        <w:rPr>
          <w:sz w:val="24"/>
          <w:szCs w:val="24"/>
          <w:vertAlign w:val="superscript"/>
        </w:rPr>
        <w:footnoteReference w:id="2"/>
      </w:r>
      <w:r>
        <w:rPr>
          <w:sz w:val="24"/>
          <w:szCs w:val="24"/>
        </w:rPr>
        <w:t>, hecho que no significó avances en la inversión y acciones del ente rector de las políticas públicas de NNA. El Consejo Nacional de Niñez y Adolescencia, teniendo un rol clave de coordinación interinstitucional e intersectorial; en los últimos 4 a</w:t>
      </w:r>
      <w:r>
        <w:rPr>
          <w:sz w:val="24"/>
          <w:szCs w:val="24"/>
        </w:rPr>
        <w:t xml:space="preserve">ños, se reunió </w:t>
      </w:r>
      <w:r>
        <w:rPr>
          <w:color w:val="202124"/>
          <w:sz w:val="33"/>
          <w:szCs w:val="33"/>
          <w:highlight w:val="white"/>
        </w:rPr>
        <w:t>—</w:t>
      </w:r>
      <w:r>
        <w:rPr>
          <w:sz w:val="24"/>
          <w:szCs w:val="24"/>
        </w:rPr>
        <w:t>en promedio</w:t>
      </w:r>
      <w:r>
        <w:rPr>
          <w:color w:val="202124"/>
          <w:sz w:val="33"/>
          <w:szCs w:val="33"/>
          <w:highlight w:val="white"/>
        </w:rPr>
        <w:t>—</w:t>
      </w:r>
      <w:r>
        <w:rPr>
          <w:sz w:val="24"/>
          <w:szCs w:val="24"/>
        </w:rPr>
        <w:t xml:space="preserve"> tan solo 7 veces por año, contrario a lo indicado por el Estado, cada 15 días</w:t>
      </w:r>
      <w:r>
        <w:rPr>
          <w:sz w:val="24"/>
          <w:szCs w:val="24"/>
          <w:vertAlign w:val="superscript"/>
        </w:rPr>
        <w:footnoteReference w:id="3"/>
      </w:r>
      <w:r>
        <w:rPr>
          <w:sz w:val="24"/>
          <w:szCs w:val="24"/>
        </w:rPr>
        <w:t xml:space="preserve">. Los Consejos Departamentales y Municipales de Niñez siguen siendo </w:t>
      </w:r>
      <w:r>
        <w:rPr>
          <w:sz w:val="24"/>
          <w:szCs w:val="24"/>
        </w:rPr>
        <w:lastRenderedPageBreak/>
        <w:t>reducidos, apenas 68,7% de los Departamentos</w:t>
      </w:r>
      <w:r>
        <w:rPr>
          <w:sz w:val="24"/>
          <w:szCs w:val="24"/>
          <w:vertAlign w:val="superscript"/>
        </w:rPr>
        <w:footnoteReference w:id="4"/>
      </w:r>
      <w:r>
        <w:rPr>
          <w:sz w:val="24"/>
          <w:szCs w:val="24"/>
        </w:rPr>
        <w:t xml:space="preserve"> y el 29,9% de los Municipios</w:t>
      </w:r>
      <w:r>
        <w:rPr>
          <w:sz w:val="24"/>
          <w:szCs w:val="24"/>
          <w:vertAlign w:val="superscript"/>
        </w:rPr>
        <w:footnoteReference w:id="5"/>
      </w:r>
      <w:r>
        <w:rPr>
          <w:sz w:val="24"/>
          <w:szCs w:val="24"/>
        </w:rPr>
        <w:t xml:space="preserve"> tenían Consejos en el 2020. Cerca del 10% de las Municipalidades no contaban con Consejerías Municipales por los Derechos de la Niñez (CODENI)</w:t>
      </w:r>
      <w:r>
        <w:rPr>
          <w:sz w:val="24"/>
          <w:szCs w:val="24"/>
          <w:vertAlign w:val="superscript"/>
        </w:rPr>
        <w:footnoteReference w:id="6"/>
      </w:r>
      <w:r>
        <w:rPr>
          <w:sz w:val="24"/>
          <w:szCs w:val="24"/>
        </w:rPr>
        <w:t>. Con relación a la dotación de recursos, solo 15% de las CODENI y 12,5% de las Secretarías Departamentales de N</w:t>
      </w:r>
      <w:r>
        <w:rPr>
          <w:sz w:val="24"/>
          <w:szCs w:val="24"/>
        </w:rPr>
        <w:t>iñez tienen presupuesto propio</w:t>
      </w:r>
      <w:r>
        <w:rPr>
          <w:sz w:val="24"/>
          <w:szCs w:val="24"/>
          <w:vertAlign w:val="superscript"/>
        </w:rPr>
        <w:footnoteReference w:id="7"/>
      </w:r>
      <w:r>
        <w:rPr>
          <w:sz w:val="24"/>
          <w:szCs w:val="24"/>
        </w:rPr>
        <w:t>; 74,9% de los municipios cuentan con una única persona en la  Consejería y el 12% tiene dos personas</w:t>
      </w:r>
      <w:r>
        <w:rPr>
          <w:sz w:val="24"/>
          <w:szCs w:val="24"/>
          <w:vertAlign w:val="superscript"/>
        </w:rPr>
        <w:footnoteReference w:id="8"/>
      </w:r>
      <w:r>
        <w:rPr>
          <w:sz w:val="24"/>
          <w:szCs w:val="24"/>
        </w:rPr>
        <w:t xml:space="preserve">; por tanto, no cuentan con el equipo interdisciplinario mínimo requerido para brindar las atenciones pertinentes. </w:t>
      </w:r>
    </w:p>
    <w:p w:rsidR="00200F9B" w:rsidRDefault="00805DB6">
      <w:pPr>
        <w:numPr>
          <w:ilvl w:val="0"/>
          <w:numId w:val="50"/>
        </w:numPr>
        <w:spacing w:after="200" w:line="240" w:lineRule="auto"/>
        <w:rPr>
          <w:b/>
          <w:sz w:val="24"/>
          <w:szCs w:val="24"/>
        </w:rPr>
      </w:pPr>
      <w:r>
        <w:rPr>
          <w:b/>
          <w:sz w:val="24"/>
          <w:szCs w:val="24"/>
        </w:rPr>
        <w:t>Plan de</w:t>
      </w:r>
      <w:r>
        <w:rPr>
          <w:b/>
          <w:sz w:val="24"/>
          <w:szCs w:val="24"/>
        </w:rPr>
        <w:t xml:space="preserve"> acción nacional</w:t>
      </w:r>
    </w:p>
    <w:p w:rsidR="00200F9B" w:rsidRDefault="00805DB6">
      <w:pPr>
        <w:numPr>
          <w:ilvl w:val="0"/>
          <w:numId w:val="41"/>
        </w:numPr>
        <w:spacing w:after="200"/>
        <w:jc w:val="both"/>
        <w:rPr>
          <w:sz w:val="24"/>
          <w:szCs w:val="24"/>
        </w:rPr>
      </w:pPr>
      <w:r>
        <w:rPr>
          <w:sz w:val="24"/>
          <w:szCs w:val="24"/>
        </w:rPr>
        <w:t>En el año 2020, se aprobó el Plan Nacional de Niñez y Adolescencia (PNA) 2020-2024, pero grupos antiderechos se opusieron al documento, generando campañas de ataque, exigiendo dejarlo sin efecto por tener los enfoques de género, participac</w:t>
      </w:r>
      <w:r>
        <w:rPr>
          <w:sz w:val="24"/>
          <w:szCs w:val="24"/>
        </w:rPr>
        <w:t>ión, diversidad, inclusión e interculturalidad. El Estado cedió anulando el PNA e iniciando una nueva redacción, hecho que implicó un retroceso debido a la exclusión del enfoque basado en derechos humanos; y se incorporó el inexistente “enfoque de familia”</w:t>
      </w:r>
      <w:r>
        <w:rPr>
          <w:sz w:val="24"/>
          <w:szCs w:val="24"/>
        </w:rPr>
        <w:t>. El proceso concluyó con la aprobación del nuevo PNA 2022-2024</w:t>
      </w:r>
      <w:r>
        <w:rPr>
          <w:sz w:val="24"/>
          <w:szCs w:val="24"/>
          <w:vertAlign w:val="superscript"/>
        </w:rPr>
        <w:footnoteReference w:id="9"/>
      </w:r>
      <w:r>
        <w:rPr>
          <w:sz w:val="24"/>
          <w:szCs w:val="24"/>
        </w:rPr>
        <w:t xml:space="preserve"> contrario a los estándares del ordenamiento jurídico vigente.   </w:t>
      </w:r>
    </w:p>
    <w:p w:rsidR="00200F9B" w:rsidRDefault="00805DB6">
      <w:pPr>
        <w:numPr>
          <w:ilvl w:val="0"/>
          <w:numId w:val="56"/>
        </w:numPr>
        <w:spacing w:after="200" w:line="240" w:lineRule="auto"/>
        <w:rPr>
          <w:b/>
          <w:sz w:val="24"/>
          <w:szCs w:val="24"/>
        </w:rPr>
      </w:pPr>
      <w:r>
        <w:rPr>
          <w:b/>
          <w:sz w:val="24"/>
          <w:szCs w:val="24"/>
        </w:rPr>
        <w:t xml:space="preserve">Vigilancia independiente </w:t>
      </w:r>
    </w:p>
    <w:p w:rsidR="00200F9B" w:rsidRDefault="00805DB6">
      <w:pPr>
        <w:numPr>
          <w:ilvl w:val="0"/>
          <w:numId w:val="41"/>
        </w:numPr>
        <w:spacing w:after="200"/>
        <w:jc w:val="both"/>
        <w:rPr>
          <w:sz w:val="24"/>
          <w:szCs w:val="24"/>
        </w:rPr>
      </w:pPr>
      <w:r>
        <w:rPr>
          <w:sz w:val="24"/>
          <w:szCs w:val="24"/>
        </w:rPr>
        <w:t>La Ley N°. 631/1995 Orgánica de la Defensoría del Pueblo</w:t>
      </w:r>
      <w:r>
        <w:rPr>
          <w:sz w:val="24"/>
          <w:szCs w:val="24"/>
          <w:vertAlign w:val="superscript"/>
        </w:rPr>
        <w:footnoteReference w:id="10"/>
      </w:r>
      <w:r>
        <w:rPr>
          <w:sz w:val="24"/>
          <w:szCs w:val="24"/>
        </w:rPr>
        <w:t xml:space="preserve"> no cuenta con reglamentación; y las priori</w:t>
      </w:r>
      <w:r>
        <w:rPr>
          <w:sz w:val="24"/>
          <w:szCs w:val="24"/>
        </w:rPr>
        <w:t xml:space="preserve">dades y enfoques dependen en exclusiva de la voluntad del titular de la institución, en funciones. No se tiene claridad sobre las funciones del Departamento de Niñez. Los datos sobre NNA no se publican en los informes institucionales de forma desagregada, </w:t>
      </w:r>
      <w:r>
        <w:rPr>
          <w:sz w:val="24"/>
          <w:szCs w:val="24"/>
        </w:rPr>
        <w:t xml:space="preserve">están como dato general de “personas vulnerables”; y no se accede a información precisa. Los mecanismos de queja para NNA no están adaptados a lo establecido en la Observación General N.º 2. </w:t>
      </w:r>
    </w:p>
    <w:p w:rsidR="00200F9B" w:rsidRDefault="00805DB6">
      <w:pPr>
        <w:pStyle w:val="Heading3"/>
        <w:numPr>
          <w:ilvl w:val="0"/>
          <w:numId w:val="61"/>
        </w:numPr>
        <w:jc w:val="both"/>
        <w:rPr>
          <w:i w:val="0"/>
        </w:rPr>
      </w:pPr>
      <w:bookmarkStart w:id="6" w:name="_heading=h.1fob9te" w:colFirst="0" w:colLast="0"/>
      <w:bookmarkEnd w:id="6"/>
      <w:r>
        <w:rPr>
          <w:i w:val="0"/>
        </w:rPr>
        <w:t xml:space="preserve">Asignación de recursos </w:t>
      </w:r>
    </w:p>
    <w:p w:rsidR="00200F9B" w:rsidRDefault="00805DB6">
      <w:pPr>
        <w:numPr>
          <w:ilvl w:val="0"/>
          <w:numId w:val="41"/>
        </w:numPr>
        <w:spacing w:after="200"/>
        <w:jc w:val="both"/>
        <w:rPr>
          <w:sz w:val="24"/>
          <w:szCs w:val="24"/>
        </w:rPr>
      </w:pPr>
      <w:r>
        <w:rPr>
          <w:sz w:val="24"/>
          <w:szCs w:val="24"/>
        </w:rPr>
        <w:t>En el Presupuesto General de la Nación (</w:t>
      </w:r>
      <w:r>
        <w:rPr>
          <w:sz w:val="24"/>
          <w:szCs w:val="24"/>
        </w:rPr>
        <w:t>PGN), las partidas presupuestarias dirigidas a NNA, en muchos casos, no están especificadas, lo que dificulta el monitoreo y la planificación. Desde el año 2014, de manera conjunta con UNICEF, se construyó y estableció la “Metodología de medición de la inv</w:t>
      </w:r>
      <w:r>
        <w:rPr>
          <w:sz w:val="24"/>
          <w:szCs w:val="24"/>
        </w:rPr>
        <w:t>ersión en los niños, niñas y adolescentes”</w:t>
      </w:r>
      <w:r>
        <w:rPr>
          <w:sz w:val="24"/>
          <w:szCs w:val="24"/>
          <w:vertAlign w:val="superscript"/>
        </w:rPr>
        <w:footnoteReference w:id="11"/>
      </w:r>
      <w:r>
        <w:rPr>
          <w:sz w:val="24"/>
          <w:szCs w:val="24"/>
        </w:rPr>
        <w:t>, pero el formato de presentación no resulta accesible para el público no técnico. Actualmente, el Estado no invierte ni lo mínimo necesario en NNA. La realidad muestra que el presupuesto para este grupo de poblac</w:t>
      </w:r>
      <w:r>
        <w:rPr>
          <w:sz w:val="24"/>
          <w:szCs w:val="24"/>
        </w:rPr>
        <w:t xml:space="preserve">ión se reduce año a año: 2018, 5,7%; 2019, 4,6%; 2020, 4,7%; 2021, 4,2% </w:t>
      </w:r>
      <w:r>
        <w:rPr>
          <w:sz w:val="24"/>
          <w:szCs w:val="24"/>
          <w:vertAlign w:val="superscript"/>
        </w:rPr>
        <w:footnoteReference w:id="12"/>
      </w:r>
      <w:r>
        <w:rPr>
          <w:sz w:val="24"/>
          <w:szCs w:val="24"/>
        </w:rPr>
        <w:t xml:space="preserve"> con relación al PIB. La baja recaudación fiscal y la inequidad tributaria de Paraguay, junto con la corrupción, la impunidad y la falta de transparencia y rendición de cuentas, hacen</w:t>
      </w:r>
      <w:r>
        <w:rPr>
          <w:sz w:val="24"/>
          <w:szCs w:val="24"/>
        </w:rPr>
        <w:t xml:space="preserve"> que los recursos no lleguen adecuadamente a financiar los servicios públicos en todos los niveles de gobierno.</w:t>
      </w:r>
    </w:p>
    <w:p w:rsidR="00200F9B" w:rsidRDefault="00805DB6">
      <w:pPr>
        <w:numPr>
          <w:ilvl w:val="0"/>
          <w:numId w:val="4"/>
        </w:numPr>
        <w:spacing w:after="200"/>
        <w:jc w:val="both"/>
        <w:rPr>
          <w:b/>
          <w:sz w:val="24"/>
          <w:szCs w:val="24"/>
        </w:rPr>
      </w:pPr>
      <w:r>
        <w:rPr>
          <w:b/>
          <w:sz w:val="24"/>
          <w:szCs w:val="24"/>
        </w:rPr>
        <w:t xml:space="preserve">Recopilación de datos </w:t>
      </w:r>
    </w:p>
    <w:p w:rsidR="00200F9B" w:rsidRDefault="00805DB6">
      <w:pPr>
        <w:numPr>
          <w:ilvl w:val="0"/>
          <w:numId w:val="41"/>
        </w:numPr>
        <w:spacing w:after="200"/>
        <w:jc w:val="both"/>
        <w:rPr>
          <w:sz w:val="24"/>
          <w:szCs w:val="24"/>
        </w:rPr>
      </w:pPr>
      <w:r>
        <w:rPr>
          <w:sz w:val="24"/>
          <w:szCs w:val="24"/>
        </w:rPr>
        <w:t>En el 2020, la Dirección General de Estadísticas Encuestas y Censos fue recategorizada a Instituto Nacional de Estadístic</w:t>
      </w:r>
      <w:r>
        <w:rPr>
          <w:sz w:val="24"/>
          <w:szCs w:val="24"/>
        </w:rPr>
        <w:t>a</w:t>
      </w:r>
      <w:r>
        <w:rPr>
          <w:sz w:val="24"/>
          <w:szCs w:val="24"/>
          <w:vertAlign w:val="superscript"/>
        </w:rPr>
        <w:footnoteReference w:id="13"/>
      </w:r>
      <w:r>
        <w:rPr>
          <w:sz w:val="24"/>
          <w:szCs w:val="24"/>
        </w:rPr>
        <w:t xml:space="preserve"> convirtiéndose en el ente rector del sistema estadístico nacional. No obstante, persiste la ausencia de datos actualizados y de calidad, especialmente de NNA, personas indígenas y con discapacidad. En el último Censo Nacional</w:t>
      </w:r>
      <w:r>
        <w:rPr>
          <w:sz w:val="24"/>
          <w:szCs w:val="24"/>
          <w:vertAlign w:val="superscript"/>
        </w:rPr>
        <w:footnoteReference w:id="14"/>
      </w:r>
      <w:r>
        <w:rPr>
          <w:sz w:val="24"/>
          <w:szCs w:val="24"/>
        </w:rPr>
        <w:t xml:space="preserve"> fue excluida la pregunta d</w:t>
      </w:r>
      <w:r>
        <w:rPr>
          <w:sz w:val="24"/>
          <w:szCs w:val="24"/>
        </w:rPr>
        <w:t>e identificación étnica, también sobre discapacidades de tipo intelectual y/o psicosocial; hechos que impiden planificar y evaluar con eficacia las políticas públicas y la inversión social</w:t>
      </w:r>
      <w:r>
        <w:rPr>
          <w:sz w:val="24"/>
          <w:szCs w:val="24"/>
          <w:vertAlign w:val="superscript"/>
        </w:rPr>
        <w:footnoteReference w:id="15"/>
      </w:r>
      <w:r>
        <w:rPr>
          <w:sz w:val="24"/>
          <w:szCs w:val="24"/>
        </w:rPr>
        <w:t>. En el 2014, se estableció la Ley N.° 5282 de Acceso Ciudadano a l</w:t>
      </w:r>
      <w:r>
        <w:rPr>
          <w:sz w:val="24"/>
          <w:szCs w:val="24"/>
        </w:rPr>
        <w:t>a Información Pública</w:t>
      </w:r>
      <w:r>
        <w:rPr>
          <w:sz w:val="24"/>
          <w:szCs w:val="24"/>
          <w:vertAlign w:val="superscript"/>
        </w:rPr>
        <w:footnoteReference w:id="16"/>
      </w:r>
      <w:r>
        <w:rPr>
          <w:sz w:val="24"/>
          <w:szCs w:val="24"/>
        </w:rPr>
        <w:t xml:space="preserve">, con lo cual se creó un sistema de acceso a información, sin embargo, persisten los obstáculos para el acceso a datos actualizados y desagregados. </w:t>
      </w:r>
    </w:p>
    <w:p w:rsidR="00200F9B" w:rsidRDefault="00805DB6">
      <w:pPr>
        <w:pStyle w:val="Heading3"/>
        <w:numPr>
          <w:ilvl w:val="0"/>
          <w:numId w:val="37"/>
        </w:numPr>
        <w:jc w:val="both"/>
        <w:rPr>
          <w:i w:val="0"/>
        </w:rPr>
      </w:pPr>
      <w:bookmarkStart w:id="7" w:name="_heading=h.3znysh7" w:colFirst="0" w:colLast="0"/>
      <w:bookmarkEnd w:id="7"/>
      <w:r>
        <w:rPr>
          <w:i w:val="0"/>
        </w:rPr>
        <w:t>Difusión de la Convención y capacitación</w:t>
      </w:r>
    </w:p>
    <w:p w:rsidR="00200F9B" w:rsidRDefault="00805DB6">
      <w:pPr>
        <w:numPr>
          <w:ilvl w:val="0"/>
          <w:numId w:val="41"/>
        </w:numPr>
        <w:spacing w:after="200"/>
        <w:jc w:val="both"/>
        <w:rPr>
          <w:sz w:val="24"/>
          <w:szCs w:val="24"/>
        </w:rPr>
      </w:pPr>
      <w:r>
        <w:rPr>
          <w:sz w:val="24"/>
          <w:szCs w:val="24"/>
        </w:rPr>
        <w:t>La difusión de materiales informativos sobre la Convención por parte del Estado es limitada y, exclusivamente, en castellano. No existen materiales en Guaraní</w:t>
      </w:r>
      <w:r>
        <w:rPr>
          <w:sz w:val="24"/>
          <w:szCs w:val="24"/>
          <w:vertAlign w:val="superscript"/>
        </w:rPr>
        <w:footnoteReference w:id="17"/>
      </w:r>
      <w:r>
        <w:rPr>
          <w:sz w:val="24"/>
          <w:szCs w:val="24"/>
        </w:rPr>
        <w:t xml:space="preserve"> y otras lenguas indígenas. En el ámbito educativo, persiste la necesidad de incorporar de manera</w:t>
      </w:r>
      <w:r>
        <w:rPr>
          <w:sz w:val="24"/>
          <w:szCs w:val="24"/>
        </w:rPr>
        <w:t xml:space="preserve"> real el enfoque de derechos, que sea transversal en la formación y el ejercicio de los equipos docentes.</w:t>
      </w:r>
    </w:p>
    <w:p w:rsidR="00200F9B" w:rsidRDefault="00805DB6">
      <w:pPr>
        <w:spacing w:after="200"/>
        <w:jc w:val="both"/>
        <w:rPr>
          <w:b/>
          <w:sz w:val="24"/>
          <w:szCs w:val="24"/>
        </w:rPr>
      </w:pPr>
      <w:r>
        <w:rPr>
          <w:b/>
          <w:sz w:val="24"/>
          <w:szCs w:val="24"/>
        </w:rPr>
        <w:t xml:space="preserve">Recomendaciones: </w:t>
      </w:r>
    </w:p>
    <w:p w:rsidR="00200F9B" w:rsidRDefault="00805DB6">
      <w:pPr>
        <w:numPr>
          <w:ilvl w:val="0"/>
          <w:numId w:val="41"/>
        </w:numPr>
        <w:spacing w:after="200"/>
        <w:jc w:val="both"/>
        <w:rPr>
          <w:sz w:val="24"/>
          <w:szCs w:val="24"/>
        </w:rPr>
      </w:pPr>
      <w:r>
        <w:rPr>
          <w:sz w:val="24"/>
          <w:szCs w:val="24"/>
        </w:rPr>
        <w:t>Mejorar la articulación y coordinación interinstitucional, multinivel e intersectorial del Sistema Nacional de Protección y Promoció</w:t>
      </w:r>
      <w:r>
        <w:rPr>
          <w:sz w:val="24"/>
          <w:szCs w:val="24"/>
        </w:rPr>
        <w:t>n de los derechos de Niñez y la Adolescencia (SIPPINA) en los tres niveles de Gobierno a través del fortalecimiento de los Consejos de Niñez y Adolescencia, y la conformación de los mismos en los territorios faltantes, e incorporar el enfoque de derechos h</w:t>
      </w:r>
      <w:r>
        <w:rPr>
          <w:sz w:val="24"/>
          <w:szCs w:val="24"/>
        </w:rPr>
        <w:t>umanos, género, inclusión e interculturalidad en los planes elaborados y brindarle presupuesto.</w:t>
      </w:r>
    </w:p>
    <w:p w:rsidR="00200F9B" w:rsidRDefault="00805DB6">
      <w:pPr>
        <w:numPr>
          <w:ilvl w:val="0"/>
          <w:numId w:val="41"/>
        </w:numPr>
        <w:spacing w:after="200"/>
        <w:jc w:val="both"/>
        <w:rPr>
          <w:sz w:val="24"/>
          <w:szCs w:val="24"/>
        </w:rPr>
      </w:pPr>
      <w:r>
        <w:rPr>
          <w:sz w:val="24"/>
          <w:szCs w:val="24"/>
        </w:rPr>
        <w:t xml:space="preserve">Reglamentar la Ley Orgánica de la Defensoría del Pueblo (N.° 631/1995), estableciendo de manera clara en el organigrama las funciones del Departamento de Niñez </w:t>
      </w:r>
      <w:r>
        <w:rPr>
          <w:sz w:val="24"/>
          <w:szCs w:val="24"/>
        </w:rPr>
        <w:t xml:space="preserve">; y garantizar su fortalecimiento con presupuesto y descentralización. </w:t>
      </w:r>
    </w:p>
    <w:p w:rsidR="00200F9B" w:rsidRDefault="00805DB6">
      <w:pPr>
        <w:numPr>
          <w:ilvl w:val="0"/>
          <w:numId w:val="41"/>
        </w:numPr>
        <w:spacing w:after="200"/>
        <w:jc w:val="both"/>
        <w:rPr>
          <w:sz w:val="24"/>
          <w:szCs w:val="24"/>
        </w:rPr>
      </w:pPr>
      <w:r>
        <w:rPr>
          <w:sz w:val="24"/>
          <w:szCs w:val="24"/>
        </w:rPr>
        <w:t>Incrementar la recaudación fiscal, por medio de impuestos equitativos, donde los grupos de población más ricos paguen más impuestos; a fin de redistribuir los recursos en servicios púb</w:t>
      </w:r>
      <w:r>
        <w:rPr>
          <w:sz w:val="24"/>
          <w:szCs w:val="24"/>
        </w:rPr>
        <w:t>licos de calidad en todo el territorio del país.</w:t>
      </w:r>
    </w:p>
    <w:p w:rsidR="00200F9B" w:rsidRDefault="00805DB6">
      <w:pPr>
        <w:numPr>
          <w:ilvl w:val="0"/>
          <w:numId w:val="41"/>
        </w:numPr>
        <w:spacing w:after="200"/>
        <w:jc w:val="both"/>
        <w:rPr>
          <w:sz w:val="24"/>
          <w:szCs w:val="24"/>
        </w:rPr>
      </w:pPr>
      <w:r>
        <w:rPr>
          <w:sz w:val="24"/>
          <w:szCs w:val="24"/>
        </w:rPr>
        <w:t xml:space="preserve">Garantizar el presupuesto necesario para el cumplimiento de las leyes vigentes, y el efectivo funcionamiento del SIPPINA, en los tres niveles de Gobierno. </w:t>
      </w:r>
    </w:p>
    <w:p w:rsidR="00200F9B" w:rsidRDefault="00805DB6">
      <w:pPr>
        <w:numPr>
          <w:ilvl w:val="0"/>
          <w:numId w:val="41"/>
        </w:numPr>
        <w:spacing w:after="200"/>
        <w:jc w:val="both"/>
        <w:rPr>
          <w:sz w:val="24"/>
          <w:szCs w:val="24"/>
        </w:rPr>
      </w:pPr>
      <w:r>
        <w:rPr>
          <w:sz w:val="24"/>
          <w:szCs w:val="24"/>
        </w:rPr>
        <w:t xml:space="preserve">Generar indicadores específicos en los programas y </w:t>
      </w:r>
      <w:r>
        <w:rPr>
          <w:sz w:val="24"/>
          <w:szCs w:val="24"/>
        </w:rPr>
        <w:t>presupuestos vinculados a NNA, que permitan monitorear la cantidad y la calidad del gasto público en el cumplimiento de sus derechos, garantizando el acceso a la información sobre las asignaciones y ejecuciones de recursos.</w:t>
      </w:r>
    </w:p>
    <w:p w:rsidR="00200F9B" w:rsidRDefault="00805DB6">
      <w:pPr>
        <w:numPr>
          <w:ilvl w:val="0"/>
          <w:numId w:val="41"/>
        </w:numPr>
        <w:spacing w:after="200"/>
        <w:jc w:val="both"/>
        <w:rPr>
          <w:sz w:val="24"/>
          <w:szCs w:val="24"/>
        </w:rPr>
      </w:pPr>
      <w:r>
        <w:rPr>
          <w:sz w:val="24"/>
          <w:szCs w:val="24"/>
        </w:rPr>
        <w:t>Fortalecer, el sistema estadísti</w:t>
      </w:r>
      <w:r>
        <w:rPr>
          <w:sz w:val="24"/>
          <w:szCs w:val="24"/>
        </w:rPr>
        <w:t>co de NNA, conectando los resultados de la Encuesta Permanente de Hogares Continua (EPHC) con registros administrativos y vitales de las instituciones; intensificando la generación y procesamiento de datos oficiales, desglosados por territorios, edad, géne</w:t>
      </w:r>
      <w:r>
        <w:rPr>
          <w:sz w:val="24"/>
          <w:szCs w:val="24"/>
        </w:rPr>
        <w:t>ro, origen étnico, renta familiar y discapacidad, entre otros.</w:t>
      </w:r>
    </w:p>
    <w:p w:rsidR="00200F9B" w:rsidRDefault="00805DB6">
      <w:pPr>
        <w:numPr>
          <w:ilvl w:val="0"/>
          <w:numId w:val="41"/>
        </w:numPr>
        <w:spacing w:after="200"/>
        <w:jc w:val="both"/>
        <w:rPr>
          <w:sz w:val="24"/>
          <w:szCs w:val="24"/>
        </w:rPr>
      </w:pPr>
      <w:r>
        <w:rPr>
          <w:sz w:val="24"/>
          <w:szCs w:val="24"/>
        </w:rPr>
        <w:t>Disponibilizar de manera accesible, clara y oportuna materiales comunicacionales, en diversos formatos, sobre la Convención en ambos idiomas oficiales y lenguas indígenas; e incluir una línea p</w:t>
      </w:r>
      <w:r>
        <w:rPr>
          <w:sz w:val="24"/>
          <w:szCs w:val="24"/>
        </w:rPr>
        <w:t>resupuestaria para campañas anuales de comunicación en el MINNA.</w:t>
      </w:r>
    </w:p>
    <w:p w:rsidR="00200F9B" w:rsidRDefault="00805DB6">
      <w:pPr>
        <w:numPr>
          <w:ilvl w:val="0"/>
          <w:numId w:val="21"/>
        </w:numPr>
        <w:spacing w:after="200"/>
        <w:rPr>
          <w:sz w:val="24"/>
          <w:szCs w:val="24"/>
        </w:rPr>
      </w:pPr>
      <w:r>
        <w:rPr>
          <w:b/>
          <w:sz w:val="24"/>
          <w:szCs w:val="24"/>
        </w:rPr>
        <w:t>Definición del niño (art. 1)</w:t>
      </w:r>
    </w:p>
    <w:p w:rsidR="00200F9B" w:rsidRDefault="00805DB6">
      <w:pPr>
        <w:numPr>
          <w:ilvl w:val="0"/>
          <w:numId w:val="41"/>
        </w:numPr>
        <w:spacing w:after="200"/>
        <w:jc w:val="both"/>
        <w:rPr>
          <w:sz w:val="24"/>
          <w:szCs w:val="24"/>
        </w:rPr>
      </w:pPr>
      <w:r>
        <w:rPr>
          <w:sz w:val="24"/>
          <w:szCs w:val="24"/>
        </w:rPr>
        <w:t xml:space="preserve">La Ley N.° 5419/2015 modificó la edad mínima para contraer matrimonio. El Estado, en su informe, no explicita que la misma contempla salvedades, por lo cual, con </w:t>
      </w:r>
      <w:r>
        <w:rPr>
          <w:sz w:val="24"/>
          <w:szCs w:val="24"/>
        </w:rPr>
        <w:t>autorización de la familia, adolescentes pueden contraer matrimonio desde los 16 años. El Estado, en el año 2021, registró a un niño varón que ha contraído matrimonio entre los 10 y 14 años, siendo que la ley lo prohíbe</w:t>
      </w:r>
      <w:r>
        <w:rPr>
          <w:sz w:val="24"/>
          <w:szCs w:val="24"/>
          <w:vertAlign w:val="superscript"/>
        </w:rPr>
        <w:footnoteReference w:id="18"/>
      </w:r>
      <w:r>
        <w:rPr>
          <w:sz w:val="24"/>
          <w:szCs w:val="24"/>
        </w:rPr>
        <w:t>; además, se dieron 1.857 matrimonio</w:t>
      </w:r>
      <w:r>
        <w:rPr>
          <w:sz w:val="24"/>
          <w:szCs w:val="24"/>
        </w:rPr>
        <w:t>s en el rango de 15 a 19 años</w:t>
      </w:r>
      <w:r>
        <w:rPr>
          <w:sz w:val="24"/>
          <w:szCs w:val="24"/>
          <w:vertAlign w:val="superscript"/>
        </w:rPr>
        <w:footnoteReference w:id="19"/>
      </w:r>
      <w:r>
        <w:rPr>
          <w:sz w:val="24"/>
          <w:szCs w:val="24"/>
        </w:rPr>
        <w:t xml:space="preserve">. </w:t>
      </w:r>
    </w:p>
    <w:p w:rsidR="00200F9B" w:rsidRDefault="00805DB6">
      <w:pPr>
        <w:spacing w:after="200"/>
        <w:jc w:val="both"/>
        <w:rPr>
          <w:b/>
          <w:sz w:val="24"/>
          <w:szCs w:val="24"/>
        </w:rPr>
      </w:pPr>
      <w:r>
        <w:rPr>
          <w:b/>
          <w:sz w:val="24"/>
          <w:szCs w:val="24"/>
        </w:rPr>
        <w:t xml:space="preserve">Recomendaciones: </w:t>
      </w:r>
    </w:p>
    <w:p w:rsidR="00200F9B" w:rsidRDefault="00805DB6">
      <w:pPr>
        <w:numPr>
          <w:ilvl w:val="0"/>
          <w:numId w:val="41"/>
        </w:numPr>
        <w:spacing w:after="200"/>
        <w:jc w:val="both"/>
        <w:rPr>
          <w:sz w:val="24"/>
          <w:szCs w:val="24"/>
        </w:rPr>
      </w:pPr>
      <w:r>
        <w:rPr>
          <w:sz w:val="24"/>
          <w:szCs w:val="24"/>
        </w:rPr>
        <w:t>Promover medidas legislativas y políticas públicas enfocadas a evitar matrimonios infantiles y uniones tempranas y forzadas, así como medidas de acompañamiento para adolescentes casadas o unidas, desde un enfoque multisectorial y con recursos; con particip</w:t>
      </w:r>
      <w:r>
        <w:rPr>
          <w:sz w:val="24"/>
          <w:szCs w:val="24"/>
        </w:rPr>
        <w:t xml:space="preserve">ación significativa de NNA y las organizaciones que trabajan dichas temáticas para su elaboración, monitoreo y evaluación. </w:t>
      </w:r>
    </w:p>
    <w:p w:rsidR="00200F9B" w:rsidRDefault="00805DB6">
      <w:pPr>
        <w:pStyle w:val="Heading2"/>
        <w:numPr>
          <w:ilvl w:val="0"/>
          <w:numId w:val="21"/>
        </w:numPr>
        <w:jc w:val="both"/>
      </w:pPr>
      <w:bookmarkStart w:id="8" w:name="_heading=h.2et92p0" w:colFirst="0" w:colLast="0"/>
      <w:bookmarkEnd w:id="8"/>
      <w:r>
        <w:t>Principios generales</w:t>
      </w:r>
    </w:p>
    <w:p w:rsidR="00200F9B" w:rsidRDefault="00805DB6">
      <w:pPr>
        <w:pStyle w:val="Heading3"/>
        <w:numPr>
          <w:ilvl w:val="0"/>
          <w:numId w:val="15"/>
        </w:numPr>
        <w:jc w:val="both"/>
        <w:rPr>
          <w:i w:val="0"/>
        </w:rPr>
      </w:pPr>
      <w:bookmarkStart w:id="9" w:name="_heading=h.tyjcwt" w:colFirst="0" w:colLast="0"/>
      <w:bookmarkEnd w:id="9"/>
      <w:r>
        <w:rPr>
          <w:i w:val="0"/>
        </w:rPr>
        <w:t>La no discriminación (art. 2)</w:t>
      </w:r>
    </w:p>
    <w:p w:rsidR="00200F9B" w:rsidRDefault="00805DB6">
      <w:pPr>
        <w:numPr>
          <w:ilvl w:val="0"/>
          <w:numId w:val="41"/>
        </w:numPr>
        <w:spacing w:after="200"/>
        <w:jc w:val="both"/>
        <w:rPr>
          <w:rFonts w:ascii="Calibri" w:eastAsia="Calibri" w:hAnsi="Calibri" w:cs="Calibri"/>
          <w:sz w:val="24"/>
          <w:szCs w:val="24"/>
        </w:rPr>
      </w:pPr>
      <w:r>
        <w:rPr>
          <w:sz w:val="24"/>
          <w:szCs w:val="24"/>
        </w:rPr>
        <w:t>En Paraguay, la ley contra toda forma de discriminación no fue aprobada, por tant</w:t>
      </w:r>
      <w:r>
        <w:rPr>
          <w:sz w:val="24"/>
          <w:szCs w:val="24"/>
        </w:rPr>
        <w:t>o, sigue sin marco jurídico.</w:t>
      </w:r>
      <w:r>
        <w:rPr>
          <w:color w:val="666666"/>
          <w:sz w:val="24"/>
          <w:szCs w:val="24"/>
        </w:rPr>
        <w:t xml:space="preserve"> </w:t>
      </w:r>
      <w:r>
        <w:rPr>
          <w:sz w:val="24"/>
          <w:szCs w:val="24"/>
        </w:rPr>
        <w:t>Los Pueblos Indigenas sufren discriminación estructural y sistemática, el Estado no garantiza abordajes integrales que den respuestas reales y sostenidas a sus demandas, siendo complice de multiples vulneraciones, como los desa</w:t>
      </w:r>
      <w:r>
        <w:rPr>
          <w:sz w:val="24"/>
          <w:szCs w:val="24"/>
        </w:rPr>
        <w:t>lojos forzosos</w:t>
      </w:r>
      <w:r>
        <w:rPr>
          <w:sz w:val="24"/>
          <w:szCs w:val="24"/>
          <w:vertAlign w:val="superscript"/>
        </w:rPr>
        <w:footnoteReference w:id="20"/>
      </w:r>
      <w:r>
        <w:rPr>
          <w:sz w:val="24"/>
          <w:szCs w:val="24"/>
        </w:rPr>
        <w:t>, e imponen trabas para acceder a servicios y derechos.</w:t>
      </w:r>
    </w:p>
    <w:p w:rsidR="00200F9B" w:rsidRDefault="00805DB6">
      <w:pPr>
        <w:pStyle w:val="Heading3"/>
        <w:numPr>
          <w:ilvl w:val="0"/>
          <w:numId w:val="55"/>
        </w:numPr>
        <w:jc w:val="both"/>
        <w:rPr>
          <w:i w:val="0"/>
        </w:rPr>
      </w:pPr>
      <w:bookmarkStart w:id="10" w:name="_heading=h.3dy6vkm" w:colFirst="0" w:colLast="0"/>
      <w:bookmarkEnd w:id="10"/>
      <w:r>
        <w:rPr>
          <w:i w:val="0"/>
        </w:rPr>
        <w:t>El interés superior del niño</w:t>
      </w:r>
    </w:p>
    <w:p w:rsidR="00200F9B" w:rsidRDefault="00805DB6">
      <w:pPr>
        <w:numPr>
          <w:ilvl w:val="0"/>
          <w:numId w:val="41"/>
        </w:numPr>
        <w:spacing w:after="200"/>
        <w:jc w:val="both"/>
        <w:rPr>
          <w:rFonts w:ascii="Calibri" w:eastAsia="Calibri" w:hAnsi="Calibri" w:cs="Calibri"/>
          <w:sz w:val="24"/>
          <w:szCs w:val="24"/>
        </w:rPr>
      </w:pPr>
      <w:r>
        <w:rPr>
          <w:sz w:val="24"/>
          <w:szCs w:val="24"/>
        </w:rPr>
        <w:t>Existe una amplia brecha entre la Convención y las prácticas de operadores del SIPPINA, principalmente en el ámbito de la justicia y educación.</w:t>
      </w:r>
      <w:r>
        <w:rPr>
          <w:color w:val="666666"/>
          <w:sz w:val="24"/>
          <w:szCs w:val="24"/>
        </w:rPr>
        <w:t xml:space="preserve"> </w:t>
      </w:r>
      <w:r>
        <w:rPr>
          <w:sz w:val="24"/>
          <w:szCs w:val="24"/>
        </w:rPr>
        <w:t>Un ejemplo c</w:t>
      </w:r>
      <w:r>
        <w:rPr>
          <w:sz w:val="24"/>
          <w:szCs w:val="24"/>
        </w:rPr>
        <w:t xml:space="preserve">laro </w:t>
      </w:r>
      <w:r>
        <w:rPr>
          <w:sz w:val="21"/>
          <w:szCs w:val="21"/>
          <w:highlight w:val="white"/>
        </w:rPr>
        <w:t>—</w:t>
      </w:r>
      <w:r>
        <w:rPr>
          <w:sz w:val="24"/>
          <w:szCs w:val="24"/>
        </w:rPr>
        <w:t>a inicios de la pandemia, con educación a distancia</w:t>
      </w:r>
      <w:r>
        <w:rPr>
          <w:sz w:val="21"/>
          <w:szCs w:val="21"/>
          <w:highlight w:val="white"/>
        </w:rPr>
        <w:t>—</w:t>
      </w:r>
      <w:r>
        <w:rPr>
          <w:sz w:val="24"/>
          <w:szCs w:val="24"/>
        </w:rPr>
        <w:t xml:space="preserve"> el Ministro de Educación y Ciencias, declaró que serían beneficiados con kits de alimentación únicamente estudiantes que entregaran las tareas escolares</w:t>
      </w:r>
      <w:r>
        <w:rPr>
          <w:sz w:val="24"/>
          <w:szCs w:val="24"/>
          <w:vertAlign w:val="superscript"/>
        </w:rPr>
        <w:footnoteReference w:id="21"/>
      </w:r>
      <w:r>
        <w:rPr>
          <w:sz w:val="24"/>
          <w:szCs w:val="24"/>
        </w:rPr>
        <w:t>. Los fallos judiciales no tienen necesariam</w:t>
      </w:r>
      <w:r>
        <w:rPr>
          <w:sz w:val="24"/>
          <w:szCs w:val="24"/>
        </w:rPr>
        <w:t>ente en sus redacciones como foco el interés superior de la niñez, esto se ha demostrado con una investigación realizada por la CDIA en conjunto con la Corte Suprema de Justicia (CSJ) de Paraguay</w:t>
      </w:r>
      <w:r>
        <w:rPr>
          <w:sz w:val="24"/>
          <w:szCs w:val="24"/>
          <w:vertAlign w:val="superscript"/>
        </w:rPr>
        <w:footnoteReference w:id="22"/>
      </w:r>
      <w:r>
        <w:rPr>
          <w:sz w:val="24"/>
          <w:szCs w:val="24"/>
        </w:rPr>
        <w:t xml:space="preserve">. </w:t>
      </w:r>
    </w:p>
    <w:p w:rsidR="00200F9B" w:rsidRDefault="00805DB6">
      <w:pPr>
        <w:numPr>
          <w:ilvl w:val="0"/>
          <w:numId w:val="46"/>
        </w:numPr>
        <w:spacing w:after="200"/>
        <w:jc w:val="both"/>
        <w:rPr>
          <w:sz w:val="24"/>
          <w:szCs w:val="24"/>
        </w:rPr>
      </w:pPr>
      <w:r>
        <w:rPr>
          <w:b/>
          <w:sz w:val="24"/>
          <w:szCs w:val="24"/>
        </w:rPr>
        <w:t>El derecho a la vida, la supervivencia y el desarrollo (a</w:t>
      </w:r>
      <w:r>
        <w:rPr>
          <w:b/>
          <w:sz w:val="24"/>
          <w:szCs w:val="24"/>
        </w:rPr>
        <w:t>rt. 6)</w:t>
      </w:r>
    </w:p>
    <w:p w:rsidR="00200F9B" w:rsidRDefault="00805DB6">
      <w:pPr>
        <w:numPr>
          <w:ilvl w:val="0"/>
          <w:numId w:val="41"/>
        </w:numPr>
        <w:spacing w:after="200"/>
        <w:jc w:val="both"/>
        <w:rPr>
          <w:sz w:val="24"/>
          <w:szCs w:val="24"/>
        </w:rPr>
      </w:pPr>
      <w:r>
        <w:rPr>
          <w:sz w:val="24"/>
          <w:szCs w:val="24"/>
        </w:rPr>
        <w:t>Los NNA, en 2023, representan el 33,4% de la población del país</w:t>
      </w:r>
      <w:r>
        <w:rPr>
          <w:sz w:val="24"/>
          <w:szCs w:val="24"/>
          <w:vertAlign w:val="superscript"/>
        </w:rPr>
        <w:footnoteReference w:id="23"/>
      </w:r>
      <w:r>
        <w:rPr>
          <w:sz w:val="24"/>
          <w:szCs w:val="24"/>
        </w:rPr>
        <w:t>. De acuerdo a la EPHC 2021, 40,7% viven en la zona rural y 59,3% en la zona urbana; alrededor de 1% son de pueblos indígenas; el 37,8% estaban en condición de pobreza y 6,3% en pobreza</w:t>
      </w:r>
      <w:r>
        <w:rPr>
          <w:sz w:val="24"/>
          <w:szCs w:val="24"/>
        </w:rPr>
        <w:t xml:space="preserve"> extrema</w:t>
      </w:r>
      <w:r>
        <w:rPr>
          <w:sz w:val="24"/>
          <w:szCs w:val="24"/>
          <w:vertAlign w:val="superscript"/>
        </w:rPr>
        <w:footnoteReference w:id="24"/>
      </w:r>
      <w:r>
        <w:rPr>
          <w:sz w:val="24"/>
          <w:szCs w:val="24"/>
        </w:rPr>
        <w:t>, imposibilitando que puedan vivir en condiciones dignas y tengan un desarrollo integral. Existen NNA que residen en zonas inundables y asentamientos precarios: sin viviendas adecuadas, sin acceso a servicios básicos como salud y educación, camino</w:t>
      </w:r>
      <w:r>
        <w:rPr>
          <w:sz w:val="24"/>
          <w:szCs w:val="24"/>
        </w:rPr>
        <w:t xml:space="preserve">s de todo tiempo, entre otros. </w:t>
      </w:r>
    </w:p>
    <w:p w:rsidR="00200F9B" w:rsidRDefault="00805DB6">
      <w:pPr>
        <w:numPr>
          <w:ilvl w:val="0"/>
          <w:numId w:val="41"/>
        </w:numPr>
        <w:spacing w:after="200"/>
        <w:jc w:val="both"/>
        <w:rPr>
          <w:sz w:val="24"/>
          <w:szCs w:val="24"/>
        </w:rPr>
      </w:pPr>
      <w:r>
        <w:rPr>
          <w:sz w:val="24"/>
          <w:szCs w:val="24"/>
        </w:rPr>
        <w:t xml:space="preserve">En Paraguay persiste un elevado número de desapariciones de NNA a nivel nacional, en el 2021 se registraron más de 2.500 personas desaparecidas, de las cuales 1.306 eran NNA, y el 78,6% eran niñas y adolescentes mujeres, al </w:t>
      </w:r>
      <w:r>
        <w:rPr>
          <w:sz w:val="24"/>
          <w:szCs w:val="24"/>
        </w:rPr>
        <w:t>cierre del mismo año, 646 NNA seguían en búsqueda, es decir, no habían sido localizados</w:t>
      </w:r>
      <w:r>
        <w:rPr>
          <w:sz w:val="24"/>
          <w:szCs w:val="24"/>
          <w:vertAlign w:val="superscript"/>
        </w:rPr>
        <w:footnoteReference w:id="25"/>
      </w:r>
      <w:r>
        <w:rPr>
          <w:sz w:val="24"/>
          <w:szCs w:val="24"/>
        </w:rPr>
        <w:t>. La Policía Nacional no tiene recursos para realizar su trabajo, las instituciones del SIPPINA no se coordinan y el Ministerio del Interior no incorpora esta situación</w:t>
      </w:r>
      <w:r>
        <w:rPr>
          <w:sz w:val="24"/>
          <w:szCs w:val="24"/>
        </w:rPr>
        <w:t xml:space="preserve"> en el Plan de Seguridad Ciudadana. </w:t>
      </w:r>
    </w:p>
    <w:p w:rsidR="00200F9B" w:rsidRDefault="00805DB6">
      <w:pPr>
        <w:numPr>
          <w:ilvl w:val="0"/>
          <w:numId w:val="32"/>
        </w:numPr>
        <w:spacing w:after="200"/>
        <w:jc w:val="both"/>
        <w:rPr>
          <w:sz w:val="24"/>
          <w:szCs w:val="24"/>
        </w:rPr>
      </w:pPr>
      <w:r>
        <w:rPr>
          <w:b/>
          <w:sz w:val="24"/>
          <w:szCs w:val="24"/>
        </w:rPr>
        <w:t>El respeto por la opinión del niño (art. 12)</w:t>
      </w:r>
    </w:p>
    <w:p w:rsidR="00200F9B" w:rsidRDefault="00805DB6">
      <w:pPr>
        <w:numPr>
          <w:ilvl w:val="0"/>
          <w:numId w:val="41"/>
        </w:numPr>
        <w:spacing w:after="200"/>
        <w:jc w:val="both"/>
        <w:rPr>
          <w:sz w:val="24"/>
          <w:szCs w:val="24"/>
        </w:rPr>
      </w:pPr>
      <w:r>
        <w:rPr>
          <w:sz w:val="24"/>
          <w:szCs w:val="24"/>
        </w:rPr>
        <w:t>La participación y respeto a la opinión de NNA se encuentra limitada, restringida y en riesgo. Desde el 2020, la Dirección de Participación del MINNA fue reducida a Departamento, limitando su autonomía y recursos. Además, la Red Nacional de Niñez y Adolesc</w:t>
      </w:r>
      <w:r>
        <w:rPr>
          <w:sz w:val="24"/>
          <w:szCs w:val="24"/>
        </w:rPr>
        <w:t>encia (REDNNA)</w:t>
      </w:r>
      <w:r>
        <w:rPr>
          <w:sz w:val="24"/>
          <w:szCs w:val="24"/>
          <w:vertAlign w:val="superscript"/>
        </w:rPr>
        <w:footnoteReference w:id="26"/>
      </w:r>
      <w:r>
        <w:rPr>
          <w:sz w:val="24"/>
          <w:szCs w:val="24"/>
        </w:rPr>
        <w:t>, manifestó no tener respuestas ni acompañamientos técnicos por parte del MINNA, como históricamente habían tenido. A su vez, el nuevo PNA</w:t>
      </w:r>
      <w:r>
        <w:rPr>
          <w:sz w:val="24"/>
          <w:szCs w:val="24"/>
          <w:vertAlign w:val="superscript"/>
        </w:rPr>
        <w:footnoteReference w:id="27"/>
      </w:r>
      <w:r>
        <w:rPr>
          <w:sz w:val="24"/>
          <w:szCs w:val="24"/>
        </w:rPr>
        <w:t>, ante la presión de grupos antiderechos, eliminó la palabra “protagónica” quedando únicamente partici</w:t>
      </w:r>
      <w:r>
        <w:rPr>
          <w:sz w:val="24"/>
          <w:szCs w:val="24"/>
        </w:rPr>
        <w:t xml:space="preserve">pación, sosteniendo que NNA son propiedad de progenitores, desconociendo que: son sujetos de derechos, la autonomía progresiva, el derecho a organizarse, a peticionar ante las autoridades y a expresarse. </w:t>
      </w:r>
    </w:p>
    <w:p w:rsidR="00200F9B" w:rsidRDefault="00805DB6">
      <w:pPr>
        <w:spacing w:after="200"/>
        <w:jc w:val="both"/>
        <w:rPr>
          <w:b/>
          <w:sz w:val="24"/>
          <w:szCs w:val="24"/>
        </w:rPr>
      </w:pPr>
      <w:r>
        <w:rPr>
          <w:b/>
          <w:sz w:val="24"/>
          <w:szCs w:val="24"/>
        </w:rPr>
        <w:t xml:space="preserve">Recomendaciones: </w:t>
      </w:r>
    </w:p>
    <w:p w:rsidR="00200F9B" w:rsidRDefault="00805DB6">
      <w:pPr>
        <w:numPr>
          <w:ilvl w:val="0"/>
          <w:numId w:val="41"/>
        </w:numPr>
        <w:spacing w:after="200"/>
        <w:jc w:val="both"/>
        <w:rPr>
          <w:sz w:val="24"/>
          <w:szCs w:val="24"/>
        </w:rPr>
      </w:pPr>
      <w:r>
        <w:rPr>
          <w:sz w:val="24"/>
          <w:szCs w:val="24"/>
        </w:rPr>
        <w:t>Sancionar y promulgar una Ley Con</w:t>
      </w:r>
      <w:r>
        <w:rPr>
          <w:sz w:val="24"/>
          <w:szCs w:val="24"/>
        </w:rPr>
        <w:t>tra Toda Forma de Discriminación, con enfoque de derechos humanos, género, inclusión e interculturalidad y con presupuesto adecuado para su implementación en todo el país.</w:t>
      </w:r>
    </w:p>
    <w:p w:rsidR="00200F9B" w:rsidRDefault="00805DB6">
      <w:pPr>
        <w:numPr>
          <w:ilvl w:val="0"/>
          <w:numId w:val="41"/>
        </w:numPr>
        <w:spacing w:after="200"/>
        <w:jc w:val="both"/>
        <w:rPr>
          <w:sz w:val="24"/>
          <w:szCs w:val="24"/>
        </w:rPr>
      </w:pPr>
      <w:r>
        <w:rPr>
          <w:sz w:val="24"/>
          <w:szCs w:val="24"/>
        </w:rPr>
        <w:t>Garantizar que servidores públicos, en todos los niveles de gobierno y poderes del E</w:t>
      </w:r>
      <w:r>
        <w:rPr>
          <w:sz w:val="24"/>
          <w:szCs w:val="24"/>
        </w:rPr>
        <w:t>stado, integren, respeten y hagan prevalecer el interés superior de NNA en el ejercicio de sus funciones, garantizando la formación en derechos humanos y las Observaciones Generales emitidas por el CDN; y brindándoles acompañamiento y seguimiento sistemáti</w:t>
      </w:r>
      <w:r>
        <w:rPr>
          <w:sz w:val="24"/>
          <w:szCs w:val="24"/>
        </w:rPr>
        <w:t xml:space="preserve">co en sus prácticas para garantizar el cumplimiento. </w:t>
      </w:r>
    </w:p>
    <w:p w:rsidR="00200F9B" w:rsidRDefault="00805DB6">
      <w:pPr>
        <w:numPr>
          <w:ilvl w:val="0"/>
          <w:numId w:val="41"/>
        </w:numPr>
        <w:spacing w:after="200"/>
        <w:jc w:val="both"/>
        <w:rPr>
          <w:sz w:val="24"/>
          <w:szCs w:val="24"/>
        </w:rPr>
      </w:pPr>
      <w:r>
        <w:rPr>
          <w:sz w:val="24"/>
          <w:szCs w:val="24"/>
        </w:rPr>
        <w:t>Garantizar la implementación universal del Sistema de Protección Social</w:t>
      </w:r>
      <w:r>
        <w:rPr>
          <w:sz w:val="24"/>
          <w:szCs w:val="24"/>
          <w:vertAlign w:val="superscript"/>
        </w:rPr>
        <w:footnoteReference w:id="28"/>
      </w:r>
      <w:r>
        <w:rPr>
          <w:sz w:val="24"/>
          <w:szCs w:val="24"/>
        </w:rPr>
        <w:t>, y que prioritariamente atienda a NNA y sus familias que se encuentran en condiciones de mayor vulnerabilidad social y económica,</w:t>
      </w:r>
      <w:r>
        <w:rPr>
          <w:sz w:val="24"/>
          <w:szCs w:val="24"/>
        </w:rPr>
        <w:t xml:space="preserve"> incluidas personas con discapacidad y de pueblos indígenas. </w:t>
      </w:r>
    </w:p>
    <w:p w:rsidR="00200F9B" w:rsidRDefault="00805DB6">
      <w:pPr>
        <w:numPr>
          <w:ilvl w:val="0"/>
          <w:numId w:val="41"/>
        </w:numPr>
        <w:spacing w:after="200"/>
        <w:jc w:val="both"/>
        <w:rPr>
          <w:sz w:val="24"/>
          <w:szCs w:val="24"/>
        </w:rPr>
      </w:pPr>
      <w:r>
        <w:rPr>
          <w:sz w:val="24"/>
          <w:szCs w:val="24"/>
        </w:rPr>
        <w:t>Reforzar los programas de lucha contra la pobreza y de transferencia monetaria condicionada, a modo que, luego de una evaluación, sus metodológicas sean ajustadas con base en el interés superior</w:t>
      </w:r>
      <w:r>
        <w:rPr>
          <w:sz w:val="24"/>
          <w:szCs w:val="24"/>
        </w:rPr>
        <w:t xml:space="preserve"> del niño. </w:t>
      </w:r>
    </w:p>
    <w:p w:rsidR="00200F9B" w:rsidRDefault="00805DB6">
      <w:pPr>
        <w:numPr>
          <w:ilvl w:val="0"/>
          <w:numId w:val="41"/>
        </w:numPr>
        <w:spacing w:after="200"/>
        <w:jc w:val="both"/>
        <w:rPr>
          <w:sz w:val="24"/>
          <w:szCs w:val="24"/>
        </w:rPr>
      </w:pPr>
      <w:r>
        <w:rPr>
          <w:sz w:val="24"/>
          <w:szCs w:val="24"/>
        </w:rPr>
        <w:t>Generar un centro de búsqueda y localización de personas, con énfasis en NNA, coordinado por la Policía Nacional, con recursos suficientes para el trabajo en todo el territorio nacional; incorporar esta situación en el Plan Nacional de Segurida</w:t>
      </w:r>
      <w:r>
        <w:rPr>
          <w:sz w:val="24"/>
          <w:szCs w:val="24"/>
        </w:rPr>
        <w:t xml:space="preserve">d Ciudadana, y hacer un ajuste a los procedimientos legales y administrativos para garantizar la vida de NNA. </w:t>
      </w:r>
    </w:p>
    <w:p w:rsidR="00200F9B" w:rsidRDefault="00805DB6">
      <w:pPr>
        <w:numPr>
          <w:ilvl w:val="0"/>
          <w:numId w:val="41"/>
        </w:numPr>
        <w:spacing w:after="200"/>
        <w:jc w:val="both"/>
        <w:rPr>
          <w:sz w:val="24"/>
          <w:szCs w:val="24"/>
        </w:rPr>
      </w:pPr>
      <w:r>
        <w:rPr>
          <w:sz w:val="24"/>
          <w:szCs w:val="24"/>
        </w:rPr>
        <w:t>Respetar la opinión de NNA según los lineamientos de la Observación General N.º 12 sobre el derecho del niño a ser escuchado, evitando la censura</w:t>
      </w:r>
      <w:r>
        <w:rPr>
          <w:sz w:val="24"/>
          <w:szCs w:val="24"/>
        </w:rPr>
        <w:t xml:space="preserve"> en todos los ámbitos, especialmente educativos, de salud y formales de participación. </w:t>
      </w:r>
    </w:p>
    <w:p w:rsidR="00200F9B" w:rsidRDefault="00805DB6">
      <w:pPr>
        <w:numPr>
          <w:ilvl w:val="0"/>
          <w:numId w:val="21"/>
        </w:numPr>
        <w:spacing w:after="200"/>
        <w:rPr>
          <w:sz w:val="24"/>
          <w:szCs w:val="24"/>
        </w:rPr>
      </w:pPr>
      <w:r>
        <w:rPr>
          <w:b/>
          <w:sz w:val="24"/>
          <w:szCs w:val="24"/>
        </w:rPr>
        <w:t>Derechos y libertades civiles</w:t>
      </w:r>
    </w:p>
    <w:p w:rsidR="00200F9B" w:rsidRDefault="00805DB6">
      <w:pPr>
        <w:numPr>
          <w:ilvl w:val="0"/>
          <w:numId w:val="43"/>
        </w:numPr>
        <w:spacing w:after="200"/>
        <w:rPr>
          <w:b/>
          <w:sz w:val="24"/>
          <w:szCs w:val="24"/>
        </w:rPr>
      </w:pPr>
      <w:r>
        <w:rPr>
          <w:b/>
          <w:sz w:val="24"/>
          <w:szCs w:val="24"/>
        </w:rPr>
        <w:t xml:space="preserve">Registro de nacimiento </w:t>
      </w:r>
    </w:p>
    <w:p w:rsidR="00200F9B" w:rsidRDefault="00805DB6">
      <w:pPr>
        <w:numPr>
          <w:ilvl w:val="0"/>
          <w:numId w:val="41"/>
        </w:numPr>
        <w:spacing w:after="200"/>
        <w:jc w:val="both"/>
        <w:rPr>
          <w:sz w:val="24"/>
          <w:szCs w:val="24"/>
        </w:rPr>
      </w:pPr>
      <w:r>
        <w:rPr>
          <w:sz w:val="24"/>
          <w:szCs w:val="24"/>
        </w:rPr>
        <w:t>De los nacimientos durante el 2021, solo el 70,5% se inscribió en el registro civil en el mismo año</w:t>
      </w:r>
      <w:r>
        <w:rPr>
          <w:sz w:val="24"/>
          <w:szCs w:val="24"/>
          <w:vertAlign w:val="superscript"/>
        </w:rPr>
        <w:footnoteReference w:id="29"/>
      </w:r>
      <w:r>
        <w:rPr>
          <w:sz w:val="24"/>
          <w:szCs w:val="24"/>
        </w:rPr>
        <w:t>, situación agravada en las zonas rurales y pueblos indígenas, ya que dicho registro no es accesible al momento del nacimiento, debiendo trasladarse hasta otro lugar para poder realizarlo. De las personas de pueblos indígenas, el 55,5% de NNA no tenían céd</w:t>
      </w:r>
      <w:r>
        <w:rPr>
          <w:sz w:val="24"/>
          <w:szCs w:val="24"/>
        </w:rPr>
        <w:t>ula y tampoco se había registrado su nacimiento</w:t>
      </w:r>
      <w:r>
        <w:rPr>
          <w:sz w:val="24"/>
          <w:szCs w:val="24"/>
          <w:vertAlign w:val="superscript"/>
        </w:rPr>
        <w:footnoteReference w:id="30"/>
      </w:r>
      <w:r>
        <w:rPr>
          <w:sz w:val="24"/>
          <w:szCs w:val="24"/>
        </w:rPr>
        <w:t>. Esto demuestra las deficiencias que tiene el registro civil y el sistema de identificaciones en el país.</w:t>
      </w:r>
    </w:p>
    <w:p w:rsidR="00200F9B" w:rsidRDefault="00805DB6">
      <w:pPr>
        <w:pStyle w:val="Heading3"/>
        <w:numPr>
          <w:ilvl w:val="0"/>
          <w:numId w:val="57"/>
        </w:numPr>
        <w:jc w:val="both"/>
        <w:rPr>
          <w:i w:val="0"/>
        </w:rPr>
      </w:pPr>
      <w:bookmarkStart w:id="11" w:name="_heading=h.1t3h5sf" w:colFirst="0" w:colLast="0"/>
      <w:bookmarkEnd w:id="11"/>
      <w:r>
        <w:rPr>
          <w:i w:val="0"/>
        </w:rPr>
        <w:t>Tortura y otros tratos o penas crueles, inhumanos o degradantes</w:t>
      </w:r>
    </w:p>
    <w:p w:rsidR="00200F9B" w:rsidRDefault="00805DB6">
      <w:pPr>
        <w:numPr>
          <w:ilvl w:val="0"/>
          <w:numId w:val="41"/>
        </w:numPr>
        <w:spacing w:after="200"/>
        <w:jc w:val="both"/>
        <w:rPr>
          <w:sz w:val="24"/>
          <w:szCs w:val="24"/>
        </w:rPr>
      </w:pPr>
      <w:r>
        <w:rPr>
          <w:sz w:val="24"/>
          <w:szCs w:val="24"/>
        </w:rPr>
        <w:t xml:space="preserve">Se destaca la creación del Mecanismo </w:t>
      </w:r>
      <w:r>
        <w:rPr>
          <w:sz w:val="24"/>
          <w:szCs w:val="24"/>
        </w:rPr>
        <w:t>Nacional de Prevención de la Tortura (MNP)</w:t>
      </w:r>
      <w:r>
        <w:rPr>
          <w:sz w:val="24"/>
          <w:szCs w:val="24"/>
          <w:vertAlign w:val="superscript"/>
        </w:rPr>
        <w:footnoteReference w:id="31"/>
      </w:r>
      <w:r>
        <w:rPr>
          <w:sz w:val="24"/>
          <w:szCs w:val="24"/>
        </w:rPr>
        <w:t>; pero, sus recomendaciones no son traducidas en acciones concretas para la prevención y erradicación de estos flagelos por las instituciones que las reciben. Un alto porcentaje de adolescentes en conflicto con la</w:t>
      </w:r>
      <w:r>
        <w:rPr>
          <w:sz w:val="24"/>
          <w:szCs w:val="24"/>
        </w:rPr>
        <w:t xml:space="preserve"> ley, manifiestan que reciben golpes y malos tratos al momento de la detención y traslado, tanto en las comisarías como dentro de los Centros Educativos</w:t>
      </w:r>
      <w:r>
        <w:rPr>
          <w:sz w:val="24"/>
          <w:szCs w:val="24"/>
          <w:vertAlign w:val="superscript"/>
        </w:rPr>
        <w:footnoteReference w:id="32"/>
      </w:r>
      <w:r>
        <w:rPr>
          <w:sz w:val="24"/>
          <w:szCs w:val="24"/>
        </w:rPr>
        <w:t>. Además, no existen mecanismos seguros, confidenciales y accesibles para hacer denuncias.</w:t>
      </w:r>
    </w:p>
    <w:p w:rsidR="00200F9B" w:rsidRDefault="00805DB6">
      <w:pPr>
        <w:pStyle w:val="Heading3"/>
        <w:numPr>
          <w:ilvl w:val="0"/>
          <w:numId w:val="5"/>
        </w:numPr>
        <w:jc w:val="both"/>
        <w:rPr>
          <w:i w:val="0"/>
        </w:rPr>
      </w:pPr>
      <w:bookmarkStart w:id="12" w:name="_heading=h.4d34og8" w:colFirst="0" w:colLast="0"/>
      <w:bookmarkEnd w:id="12"/>
      <w:r>
        <w:rPr>
          <w:i w:val="0"/>
        </w:rPr>
        <w:t>Castigo corp</w:t>
      </w:r>
      <w:r>
        <w:rPr>
          <w:i w:val="0"/>
        </w:rPr>
        <w:t xml:space="preserve">oral </w:t>
      </w:r>
    </w:p>
    <w:p w:rsidR="00200F9B" w:rsidRDefault="00805DB6">
      <w:pPr>
        <w:numPr>
          <w:ilvl w:val="0"/>
          <w:numId w:val="41"/>
        </w:numPr>
        <w:spacing w:after="200"/>
        <w:jc w:val="both"/>
        <w:rPr>
          <w:sz w:val="24"/>
          <w:szCs w:val="24"/>
        </w:rPr>
      </w:pPr>
      <w:r>
        <w:rPr>
          <w:sz w:val="24"/>
          <w:szCs w:val="24"/>
        </w:rPr>
        <w:t>Un paso importante fue la aprobación de la Ley N.° 5659/2016 del buen trato, y la prohibición del castigo físico y tratos humillantes</w:t>
      </w:r>
      <w:r>
        <w:rPr>
          <w:sz w:val="24"/>
          <w:szCs w:val="24"/>
          <w:vertAlign w:val="superscript"/>
        </w:rPr>
        <w:footnoteReference w:id="33"/>
      </w:r>
      <w:r>
        <w:rPr>
          <w:sz w:val="24"/>
          <w:szCs w:val="24"/>
        </w:rPr>
        <w:t>. El Estado, en su informe, indicó que se encontraba construyendo una política pública integral de promoción de la c</w:t>
      </w:r>
      <w:r>
        <w:rPr>
          <w:sz w:val="24"/>
          <w:szCs w:val="24"/>
        </w:rPr>
        <w:t xml:space="preserve">rianza positiva; la cual existe desde el 2017, pero no se implementa y ni cuenta con recursos. El castigo corporal sigue registrándose en altos porcentajes, muchas familias siguen considerandolo como la única forma de crianza, por tanto la violencia sigue </w:t>
      </w:r>
      <w:r>
        <w:rPr>
          <w:sz w:val="24"/>
          <w:szCs w:val="24"/>
        </w:rPr>
        <w:t xml:space="preserve">normalizada al interior de las familias, en todas clases sociales, y es justificada en la sociedad. </w:t>
      </w:r>
    </w:p>
    <w:p w:rsidR="00200F9B" w:rsidRDefault="00805DB6">
      <w:pPr>
        <w:spacing w:after="200"/>
        <w:jc w:val="both"/>
        <w:rPr>
          <w:b/>
          <w:sz w:val="24"/>
          <w:szCs w:val="24"/>
        </w:rPr>
      </w:pPr>
      <w:r>
        <w:rPr>
          <w:b/>
          <w:sz w:val="24"/>
          <w:szCs w:val="24"/>
        </w:rPr>
        <w:t xml:space="preserve">Recomendaciones: </w:t>
      </w:r>
    </w:p>
    <w:p w:rsidR="00200F9B" w:rsidRDefault="00805DB6">
      <w:pPr>
        <w:numPr>
          <w:ilvl w:val="0"/>
          <w:numId w:val="41"/>
        </w:numPr>
        <w:spacing w:after="200"/>
        <w:jc w:val="both"/>
        <w:rPr>
          <w:sz w:val="24"/>
          <w:szCs w:val="24"/>
        </w:rPr>
      </w:pPr>
      <w:r>
        <w:rPr>
          <w:sz w:val="24"/>
          <w:szCs w:val="24"/>
        </w:rPr>
        <w:t>Generar una alianza interinstitucional entre el Ministerio de Salud, el Registro Civil y el Departamento de Identificaciones, a fin de ga</w:t>
      </w:r>
      <w:r>
        <w:rPr>
          <w:sz w:val="24"/>
          <w:szCs w:val="24"/>
        </w:rPr>
        <w:t>rantizar un sistema legal, inmediato, gratuito y oportuno mediante el cual recién nacidos egresen del sistema de salud con su certificado de nacimiento y cédula de identidad, asegurando este derecho y evitando burocracias y gastos innecesarios para las fam</w:t>
      </w:r>
      <w:r>
        <w:rPr>
          <w:sz w:val="24"/>
          <w:szCs w:val="24"/>
        </w:rPr>
        <w:t>ilias.</w:t>
      </w:r>
    </w:p>
    <w:p w:rsidR="00200F9B" w:rsidRDefault="00805DB6">
      <w:pPr>
        <w:numPr>
          <w:ilvl w:val="0"/>
          <w:numId w:val="41"/>
        </w:numPr>
        <w:spacing w:after="200"/>
        <w:jc w:val="both"/>
        <w:rPr>
          <w:sz w:val="24"/>
          <w:szCs w:val="24"/>
        </w:rPr>
      </w:pPr>
      <w:r>
        <w:rPr>
          <w:sz w:val="24"/>
          <w:szCs w:val="24"/>
        </w:rPr>
        <w:t xml:space="preserve">Que las instituciones públicas adopten las recomendaciones del MNP, con la seriedad y diligencia que requiere para disminuir y erradicar los malos tratos y la tortura hacia adolescentes en conflicto con la ley. </w:t>
      </w:r>
    </w:p>
    <w:p w:rsidR="00200F9B" w:rsidRDefault="00805DB6">
      <w:pPr>
        <w:numPr>
          <w:ilvl w:val="0"/>
          <w:numId w:val="41"/>
        </w:numPr>
        <w:spacing w:after="200"/>
        <w:jc w:val="both"/>
        <w:rPr>
          <w:sz w:val="24"/>
          <w:szCs w:val="24"/>
        </w:rPr>
      </w:pPr>
      <w:r>
        <w:rPr>
          <w:sz w:val="24"/>
          <w:szCs w:val="24"/>
        </w:rPr>
        <w:t>Brindar al MNP un presupuesto suficie</w:t>
      </w:r>
      <w:r>
        <w:rPr>
          <w:sz w:val="24"/>
          <w:szCs w:val="24"/>
        </w:rPr>
        <w:t>nte para el cumplimiento de su mandato institucional. Además, que se establezca un mecanismo de denuncias seguro, confidencial y accesible para todas las personas víctimas.</w:t>
      </w:r>
    </w:p>
    <w:p w:rsidR="00200F9B" w:rsidRDefault="00805DB6">
      <w:pPr>
        <w:numPr>
          <w:ilvl w:val="0"/>
          <w:numId w:val="41"/>
        </w:numPr>
        <w:pBdr>
          <w:top w:val="nil"/>
          <w:left w:val="nil"/>
          <w:bottom w:val="nil"/>
          <w:right w:val="nil"/>
          <w:between w:val="nil"/>
        </w:pBdr>
        <w:spacing w:after="200"/>
        <w:jc w:val="both"/>
        <w:rPr>
          <w:sz w:val="24"/>
          <w:szCs w:val="24"/>
        </w:rPr>
      </w:pPr>
      <w:r>
        <w:rPr>
          <w:sz w:val="24"/>
          <w:szCs w:val="24"/>
        </w:rPr>
        <w:t xml:space="preserve">Incorporar en el Sistema de Salud y el Sistema Educativo la formación de equipos técnicos para el acompañamiento en territorio de las familias en la crianza positiva de NNA, para detectar, prevenir y atender situaciones de malos tratos y violencia. </w:t>
      </w:r>
    </w:p>
    <w:p w:rsidR="00200F9B" w:rsidRDefault="00805DB6">
      <w:pPr>
        <w:pStyle w:val="Heading2"/>
        <w:numPr>
          <w:ilvl w:val="0"/>
          <w:numId w:val="21"/>
        </w:numPr>
        <w:jc w:val="both"/>
      </w:pPr>
      <w:bookmarkStart w:id="13" w:name="_heading=h.2s8eyo1" w:colFirst="0" w:colLast="0"/>
      <w:bookmarkEnd w:id="13"/>
      <w:r>
        <w:t>Entorn</w:t>
      </w:r>
      <w:r>
        <w:t>o familiar y cuidado alternativo (artículos 5, 18 (párrafos 1 y 2), 9 a 11, 19 a 21, 25, 27 (párrafo 4) y 39 de la Convención)</w:t>
      </w:r>
    </w:p>
    <w:p w:rsidR="00200F9B" w:rsidRDefault="00805DB6">
      <w:pPr>
        <w:pStyle w:val="Heading3"/>
        <w:numPr>
          <w:ilvl w:val="0"/>
          <w:numId w:val="47"/>
        </w:numPr>
        <w:jc w:val="both"/>
        <w:rPr>
          <w:i w:val="0"/>
        </w:rPr>
      </w:pPr>
      <w:bookmarkStart w:id="14" w:name="_heading=h.17dp8vu" w:colFirst="0" w:colLast="0"/>
      <w:bookmarkEnd w:id="14"/>
      <w:r>
        <w:rPr>
          <w:i w:val="0"/>
        </w:rPr>
        <w:t>Entorno familiar, cuidado alternativo y adopción</w:t>
      </w:r>
    </w:p>
    <w:p w:rsidR="00200F9B" w:rsidRDefault="00805DB6">
      <w:pPr>
        <w:numPr>
          <w:ilvl w:val="0"/>
          <w:numId w:val="41"/>
        </w:numPr>
        <w:spacing w:after="200"/>
        <w:jc w:val="both"/>
        <w:rPr>
          <w:sz w:val="24"/>
          <w:szCs w:val="24"/>
        </w:rPr>
      </w:pPr>
      <w:r>
        <w:rPr>
          <w:sz w:val="24"/>
          <w:szCs w:val="24"/>
        </w:rPr>
        <w:t>Se tiene una nueva Ley N.º 6486/2020, de Promoción y Protección del Derecho de N</w:t>
      </w:r>
      <w:r>
        <w:rPr>
          <w:sz w:val="24"/>
          <w:szCs w:val="24"/>
        </w:rPr>
        <w:t>iñas, Niños y Adolescentes a Vivir en Familia, y que regula las Medidas de Cuidados Alternativos y la Adopción</w:t>
      </w:r>
      <w:r>
        <w:rPr>
          <w:sz w:val="24"/>
          <w:szCs w:val="24"/>
          <w:vertAlign w:val="superscript"/>
        </w:rPr>
        <w:footnoteReference w:id="34"/>
      </w:r>
      <w:r>
        <w:rPr>
          <w:sz w:val="24"/>
          <w:szCs w:val="24"/>
        </w:rPr>
        <w:t xml:space="preserve">. Pero no se aplica efectivamente por falta de recursos, hecho que imposibilita la conformación de los equipos interdisciplinarios para asegurar </w:t>
      </w:r>
      <w:r>
        <w:rPr>
          <w:sz w:val="24"/>
          <w:szCs w:val="24"/>
        </w:rPr>
        <w:t>la aplicación de la ley.</w:t>
      </w:r>
    </w:p>
    <w:p w:rsidR="00200F9B" w:rsidRDefault="00805DB6">
      <w:pPr>
        <w:numPr>
          <w:ilvl w:val="0"/>
          <w:numId w:val="17"/>
        </w:numPr>
        <w:spacing w:after="200"/>
        <w:jc w:val="both"/>
        <w:rPr>
          <w:b/>
          <w:sz w:val="24"/>
          <w:szCs w:val="24"/>
        </w:rPr>
      </w:pPr>
      <w:r>
        <w:rPr>
          <w:b/>
          <w:sz w:val="24"/>
          <w:szCs w:val="24"/>
        </w:rPr>
        <w:t xml:space="preserve">Maltrato </w:t>
      </w:r>
      <w:r>
        <w:rPr>
          <w:b/>
          <w:sz w:val="24"/>
          <w:szCs w:val="24"/>
        </w:rPr>
        <w:t>y negligencia</w:t>
      </w:r>
    </w:p>
    <w:p w:rsidR="00200F9B" w:rsidRDefault="00805DB6">
      <w:pPr>
        <w:pStyle w:val="Heading3"/>
        <w:numPr>
          <w:ilvl w:val="0"/>
          <w:numId w:val="41"/>
        </w:numPr>
        <w:jc w:val="both"/>
        <w:rPr>
          <w:i w:val="0"/>
        </w:rPr>
      </w:pPr>
      <w:bookmarkStart w:id="15" w:name="_heading=h.3rdcrjn" w:colFirst="0" w:colLast="0"/>
      <w:bookmarkEnd w:id="15"/>
      <w:r>
        <w:rPr>
          <w:b w:val="0"/>
          <w:i w:val="0"/>
        </w:rPr>
        <w:t xml:space="preserve">Existe aumento en las denuncias por maltratos, pero persiste la baja cobertura en atención oportuna y  abordaje integral. El Ministerio Público ha reportado que, entre los años 2008 y 2019, ocurrieron 39.323 </w:t>
      </w:r>
      <w:r>
        <w:rPr>
          <w:b w:val="0"/>
          <w:i w:val="0"/>
        </w:rPr>
        <w:t>denuncias de hechos punibles hacia NNA; de los cuales, 25% corresponden a maltrato</w:t>
      </w:r>
      <w:r>
        <w:rPr>
          <w:b w:val="0"/>
          <w:i w:val="0"/>
          <w:vertAlign w:val="superscript"/>
        </w:rPr>
        <w:footnoteReference w:id="35"/>
      </w:r>
      <w:r>
        <w:rPr>
          <w:b w:val="0"/>
          <w:i w:val="0"/>
        </w:rPr>
        <w:t>. Durante la pandemia, esta situación se agravó. En el 2020, el MINNA, a través de Fono Ayuda (147), recibió 3.809 reportes de maltrato y 1.313 por violación del deber del c</w:t>
      </w:r>
      <w:r>
        <w:rPr>
          <w:b w:val="0"/>
          <w:i w:val="0"/>
        </w:rPr>
        <w:t>uidado o negligencia hacia NNA</w:t>
      </w:r>
      <w:r>
        <w:rPr>
          <w:b w:val="0"/>
          <w:i w:val="0"/>
          <w:vertAlign w:val="superscript"/>
        </w:rPr>
        <w:footnoteReference w:id="36"/>
      </w:r>
      <w:r>
        <w:rPr>
          <w:b w:val="0"/>
          <w:i w:val="0"/>
        </w:rPr>
        <w:t>. Estos datos no están cruzados entre las instituciones, situación que hace difícil darle un seguimiento adecuado.</w:t>
      </w:r>
    </w:p>
    <w:p w:rsidR="00200F9B" w:rsidRDefault="00805DB6">
      <w:pPr>
        <w:pStyle w:val="Heading3"/>
        <w:jc w:val="both"/>
      </w:pPr>
      <w:bookmarkStart w:id="16" w:name="_heading=h.26in1rg" w:colFirst="0" w:colLast="0"/>
      <w:bookmarkEnd w:id="16"/>
      <w:r>
        <w:t xml:space="preserve">Recomendaciones: </w:t>
      </w:r>
    </w:p>
    <w:p w:rsidR="00200F9B" w:rsidRDefault="00805DB6">
      <w:pPr>
        <w:numPr>
          <w:ilvl w:val="0"/>
          <w:numId w:val="41"/>
        </w:numPr>
        <w:spacing w:after="200"/>
        <w:jc w:val="both"/>
        <w:rPr>
          <w:sz w:val="24"/>
          <w:szCs w:val="24"/>
        </w:rPr>
      </w:pPr>
      <w:r>
        <w:rPr>
          <w:sz w:val="24"/>
          <w:szCs w:val="24"/>
        </w:rPr>
        <w:t>Brindar el presupuesto  necesario desde el Ministerio de Hacienda al MINNA, para ejercer una</w:t>
      </w:r>
      <w:r>
        <w:rPr>
          <w:sz w:val="24"/>
          <w:szCs w:val="24"/>
        </w:rPr>
        <w:t xml:space="preserve"> rectoría efectiva de las políticas públicas de cuidados alternativos e implementar la Ley N.º 6486/2020.</w:t>
      </w:r>
    </w:p>
    <w:p w:rsidR="00200F9B" w:rsidRDefault="00805DB6">
      <w:pPr>
        <w:numPr>
          <w:ilvl w:val="0"/>
          <w:numId w:val="41"/>
        </w:numPr>
        <w:spacing w:after="200"/>
        <w:jc w:val="both"/>
        <w:rPr>
          <w:sz w:val="24"/>
          <w:szCs w:val="24"/>
        </w:rPr>
      </w:pPr>
      <w:r>
        <w:rPr>
          <w:sz w:val="24"/>
          <w:szCs w:val="24"/>
        </w:rPr>
        <w:t>Conformar en el MINNA y de modo descentralizado los equipos interdisciplinarios de Cuidados Alternativos y Adopciones para brindar las garantías estab</w:t>
      </w:r>
      <w:r>
        <w:rPr>
          <w:sz w:val="24"/>
          <w:szCs w:val="24"/>
        </w:rPr>
        <w:t xml:space="preserve">lecidas en la Ley respecto al mantenimiento del vínculo, el cuidado alternativo y la adopción. </w:t>
      </w:r>
    </w:p>
    <w:p w:rsidR="00200F9B" w:rsidRDefault="00805DB6">
      <w:pPr>
        <w:numPr>
          <w:ilvl w:val="0"/>
          <w:numId w:val="41"/>
        </w:numPr>
        <w:spacing w:after="200"/>
        <w:jc w:val="both"/>
        <w:rPr>
          <w:sz w:val="24"/>
          <w:szCs w:val="24"/>
        </w:rPr>
      </w:pPr>
      <w:r>
        <w:rPr>
          <w:sz w:val="24"/>
          <w:szCs w:val="24"/>
        </w:rPr>
        <w:t>Que las municipalidades a cargo de las CODENI tengan un rol activo en la promoción de los derechos y la prevención de las situaciones de violencia, como el malt</w:t>
      </w:r>
      <w:r>
        <w:rPr>
          <w:sz w:val="24"/>
          <w:szCs w:val="24"/>
        </w:rPr>
        <w:t>rato y la negligencia en el cuidado, designando los recursos humanos y presupuestarios necesarios para la conformación de equipos interdisciplinarios.</w:t>
      </w:r>
    </w:p>
    <w:p w:rsidR="00200F9B" w:rsidRDefault="00805DB6">
      <w:pPr>
        <w:numPr>
          <w:ilvl w:val="0"/>
          <w:numId w:val="21"/>
        </w:numPr>
        <w:spacing w:after="200"/>
        <w:rPr>
          <w:sz w:val="24"/>
          <w:szCs w:val="24"/>
        </w:rPr>
      </w:pPr>
      <w:r>
        <w:rPr>
          <w:b/>
          <w:sz w:val="24"/>
          <w:szCs w:val="24"/>
        </w:rPr>
        <w:t>Salud básica y bienestar (artículos 6, 18 (párrafo 3), 23, 24, 26 y 27 (párrafos 1 a 3) de la Convención)</w:t>
      </w:r>
    </w:p>
    <w:p w:rsidR="00200F9B" w:rsidRDefault="00805DB6">
      <w:pPr>
        <w:numPr>
          <w:ilvl w:val="0"/>
          <w:numId w:val="35"/>
        </w:numPr>
        <w:spacing w:after="200"/>
        <w:jc w:val="both"/>
        <w:rPr>
          <w:b/>
          <w:sz w:val="24"/>
          <w:szCs w:val="24"/>
        </w:rPr>
      </w:pPr>
      <w:r>
        <w:rPr>
          <w:b/>
          <w:sz w:val="24"/>
          <w:szCs w:val="24"/>
        </w:rPr>
        <w:t>Niñez con discapacidad</w:t>
      </w:r>
      <w:r>
        <w:rPr>
          <w:b/>
          <w:sz w:val="24"/>
          <w:szCs w:val="24"/>
        </w:rPr>
        <w:tab/>
      </w:r>
    </w:p>
    <w:p w:rsidR="00200F9B" w:rsidRDefault="00805DB6">
      <w:pPr>
        <w:numPr>
          <w:ilvl w:val="0"/>
          <w:numId w:val="41"/>
        </w:numPr>
        <w:spacing w:after="200"/>
        <w:jc w:val="both"/>
        <w:rPr>
          <w:sz w:val="24"/>
          <w:szCs w:val="24"/>
        </w:rPr>
      </w:pPr>
      <w:r>
        <w:rPr>
          <w:sz w:val="24"/>
          <w:szCs w:val="24"/>
        </w:rPr>
        <w:t>Se reconoce los avances significativos en materia legislativa para la inclusión de las personas con discapacidad; sin embargo, las mismas no se han traducido en políticas públicas que aborden de manera integral las necesidades y de</w:t>
      </w:r>
      <w:r>
        <w:rPr>
          <w:sz w:val="24"/>
          <w:szCs w:val="24"/>
        </w:rPr>
        <w:t>rechos de accesibilidad, movilidad, salud, educación, empleo y acceso a la justicia; además existe enormes desafíos para la articulación, transversalización, implementación y financiamiento de estos en el Estado.</w:t>
      </w:r>
    </w:p>
    <w:p w:rsidR="00200F9B" w:rsidRDefault="00805DB6">
      <w:pPr>
        <w:numPr>
          <w:ilvl w:val="0"/>
          <w:numId w:val="41"/>
        </w:numPr>
        <w:spacing w:after="200"/>
        <w:jc w:val="both"/>
        <w:rPr>
          <w:sz w:val="24"/>
          <w:szCs w:val="24"/>
        </w:rPr>
      </w:pPr>
      <w:r>
        <w:rPr>
          <w:sz w:val="24"/>
          <w:szCs w:val="24"/>
        </w:rPr>
        <w:t>La Secretaría Nacional por los Derechos Hum</w:t>
      </w:r>
      <w:r>
        <w:rPr>
          <w:sz w:val="24"/>
          <w:szCs w:val="24"/>
        </w:rPr>
        <w:t xml:space="preserve">anos de las Personas con Discapacidad (SENADIS) cuenta con limitados recursos para la atención, la mayoría de las respuestas proceden de la sociedad civil. Se cuenta con una Ley de Educación Inclusiva, aprobada y reglamentada, pero sin presupuesto para su </w:t>
      </w:r>
      <w:r>
        <w:rPr>
          <w:sz w:val="24"/>
          <w:szCs w:val="24"/>
        </w:rPr>
        <w:t>implementación en todo el Sistema Educativo</w:t>
      </w:r>
      <w:r>
        <w:rPr>
          <w:sz w:val="24"/>
          <w:szCs w:val="24"/>
          <w:vertAlign w:val="superscript"/>
        </w:rPr>
        <w:footnoteReference w:id="37"/>
      </w:r>
      <w:r>
        <w:rPr>
          <w:sz w:val="24"/>
          <w:szCs w:val="24"/>
        </w:rPr>
        <w:t>. No se cuenta con datos que permitan identificar la cantidad exacta de NNA con discapacidad en Paraguay</w:t>
      </w:r>
      <w:r>
        <w:rPr>
          <w:sz w:val="24"/>
          <w:szCs w:val="24"/>
          <w:vertAlign w:val="superscript"/>
        </w:rPr>
        <w:footnoteReference w:id="38"/>
      </w:r>
      <w:r>
        <w:rPr>
          <w:sz w:val="24"/>
          <w:szCs w:val="24"/>
        </w:rPr>
        <w:t xml:space="preserve">. </w:t>
      </w:r>
    </w:p>
    <w:p w:rsidR="00200F9B" w:rsidRDefault="00805DB6">
      <w:pPr>
        <w:numPr>
          <w:ilvl w:val="0"/>
          <w:numId w:val="62"/>
        </w:numPr>
        <w:spacing w:after="200"/>
        <w:jc w:val="both"/>
        <w:rPr>
          <w:b/>
          <w:sz w:val="24"/>
          <w:szCs w:val="24"/>
        </w:rPr>
      </w:pPr>
      <w:r>
        <w:rPr>
          <w:b/>
          <w:sz w:val="24"/>
          <w:szCs w:val="24"/>
        </w:rPr>
        <w:t>Salud y servicios de salud</w:t>
      </w:r>
    </w:p>
    <w:p w:rsidR="00200F9B" w:rsidRDefault="00805DB6">
      <w:pPr>
        <w:numPr>
          <w:ilvl w:val="0"/>
          <w:numId w:val="41"/>
        </w:numPr>
        <w:spacing w:after="200"/>
        <w:jc w:val="both"/>
        <w:rPr>
          <w:sz w:val="24"/>
          <w:szCs w:val="24"/>
        </w:rPr>
      </w:pPr>
      <w:r>
        <w:rPr>
          <w:sz w:val="24"/>
          <w:szCs w:val="24"/>
        </w:rPr>
        <w:t>El acceso a la salud en Paraguay es deficiente. Según la EPHC 2021, del total de NNA que tuvo algún episodio de salud, tan solo el 32,3% consultaron. Esto se intensifica en zonas rurales y en pueblos indígenas, donde la automedicación y la consulta con cur</w:t>
      </w:r>
      <w:r>
        <w:rPr>
          <w:sz w:val="24"/>
          <w:szCs w:val="24"/>
        </w:rPr>
        <w:t>anderos siguen vigentes</w:t>
      </w:r>
      <w:r>
        <w:rPr>
          <w:sz w:val="24"/>
          <w:szCs w:val="24"/>
          <w:vertAlign w:val="superscript"/>
        </w:rPr>
        <w:footnoteReference w:id="39"/>
      </w:r>
      <w:r>
        <w:rPr>
          <w:sz w:val="24"/>
          <w:szCs w:val="24"/>
        </w:rPr>
        <w:t>.</w:t>
      </w:r>
    </w:p>
    <w:p w:rsidR="00200F9B" w:rsidRDefault="00805DB6">
      <w:pPr>
        <w:numPr>
          <w:ilvl w:val="0"/>
          <w:numId w:val="41"/>
        </w:numPr>
        <w:spacing w:after="200"/>
        <w:jc w:val="both"/>
        <w:rPr>
          <w:sz w:val="24"/>
          <w:szCs w:val="24"/>
        </w:rPr>
      </w:pPr>
      <w:r>
        <w:rPr>
          <w:sz w:val="24"/>
          <w:szCs w:val="24"/>
        </w:rPr>
        <w:t xml:space="preserve">Tras la pandemia persiste una deficiencia en la cobertura de vacunación, ya sea por falta de disponibilidad como por rechazo de la población ante la circulación de informaciones falsas contra las vacunas. </w:t>
      </w:r>
    </w:p>
    <w:p w:rsidR="00200F9B" w:rsidRDefault="00805DB6">
      <w:pPr>
        <w:numPr>
          <w:ilvl w:val="0"/>
          <w:numId w:val="41"/>
        </w:numPr>
        <w:spacing w:after="200"/>
        <w:jc w:val="both"/>
        <w:rPr>
          <w:sz w:val="24"/>
          <w:szCs w:val="24"/>
        </w:rPr>
      </w:pPr>
      <w:r>
        <w:rPr>
          <w:sz w:val="24"/>
          <w:szCs w:val="24"/>
        </w:rPr>
        <w:t xml:space="preserve">El Estado no dispone de </w:t>
      </w:r>
      <w:r>
        <w:rPr>
          <w:sz w:val="24"/>
          <w:szCs w:val="24"/>
        </w:rPr>
        <w:t>datos estadísticos sobre el impacto de los agrotóxicos en la vida de las personas</w:t>
      </w:r>
      <w:r>
        <w:rPr>
          <w:sz w:val="24"/>
          <w:szCs w:val="24"/>
          <w:vertAlign w:val="superscript"/>
        </w:rPr>
        <w:footnoteReference w:id="40"/>
      </w:r>
      <w:r>
        <w:rPr>
          <w:sz w:val="24"/>
          <w:szCs w:val="24"/>
        </w:rPr>
        <w:t>. No obstante, las limitadas investigaciones existentes evidencian los efectos negativos sobre la salud humana</w:t>
      </w:r>
      <w:r>
        <w:rPr>
          <w:sz w:val="24"/>
          <w:szCs w:val="24"/>
          <w:vertAlign w:val="superscript"/>
        </w:rPr>
        <w:footnoteReference w:id="41"/>
      </w:r>
      <w:r>
        <w:rPr>
          <w:sz w:val="24"/>
          <w:szCs w:val="24"/>
        </w:rPr>
        <w:t>, existen territorios donde prevalen hechos de muertes</w:t>
      </w:r>
      <w:r>
        <w:rPr>
          <w:sz w:val="24"/>
          <w:szCs w:val="24"/>
          <w:vertAlign w:val="superscript"/>
        </w:rPr>
        <w:footnoteReference w:id="42"/>
      </w:r>
      <w:r>
        <w:rPr>
          <w:sz w:val="24"/>
          <w:szCs w:val="24"/>
        </w:rPr>
        <w:t>, malfor</w:t>
      </w:r>
      <w:r>
        <w:rPr>
          <w:sz w:val="24"/>
          <w:szCs w:val="24"/>
        </w:rPr>
        <w:t>maciones congénitas y enfermedades de todo tipo</w:t>
      </w:r>
      <w:r>
        <w:rPr>
          <w:sz w:val="24"/>
          <w:szCs w:val="24"/>
          <w:vertAlign w:val="superscript"/>
        </w:rPr>
        <w:footnoteReference w:id="43"/>
      </w:r>
      <w:r>
        <w:rPr>
          <w:sz w:val="24"/>
          <w:szCs w:val="24"/>
        </w:rPr>
        <w:t xml:space="preserve">. </w:t>
      </w:r>
    </w:p>
    <w:p w:rsidR="00200F9B" w:rsidRDefault="00805DB6">
      <w:pPr>
        <w:numPr>
          <w:ilvl w:val="0"/>
          <w:numId w:val="22"/>
        </w:numPr>
        <w:spacing w:after="200"/>
        <w:jc w:val="both"/>
        <w:rPr>
          <w:b/>
          <w:sz w:val="24"/>
          <w:szCs w:val="24"/>
        </w:rPr>
      </w:pPr>
      <w:r>
        <w:rPr>
          <w:b/>
          <w:sz w:val="24"/>
          <w:szCs w:val="24"/>
        </w:rPr>
        <w:t>Salud de los adolescentes</w:t>
      </w:r>
    </w:p>
    <w:p w:rsidR="00200F9B" w:rsidRDefault="00805DB6">
      <w:pPr>
        <w:numPr>
          <w:ilvl w:val="0"/>
          <w:numId w:val="41"/>
        </w:numPr>
        <w:spacing w:after="200"/>
        <w:jc w:val="both"/>
        <w:rPr>
          <w:sz w:val="24"/>
          <w:szCs w:val="24"/>
        </w:rPr>
      </w:pPr>
      <w:r>
        <w:rPr>
          <w:sz w:val="24"/>
          <w:szCs w:val="24"/>
        </w:rPr>
        <w:t xml:space="preserve">El Plan Nacional de Salud Adolescente feneció en 2021. Existe un nuevo plan pendiente de aprobación. El Ministerio de Salud tiene una Dirección de Salud Integral de la Niñez y la </w:t>
      </w:r>
      <w:r>
        <w:rPr>
          <w:sz w:val="24"/>
          <w:szCs w:val="24"/>
        </w:rPr>
        <w:t>Adolescencia, con un programa de “Atención integral y diferenciada para adolescentes”, con consultorios amigables, de alcance limitado, en capitales departamentales y sin presupuesto específico</w:t>
      </w:r>
      <w:r>
        <w:rPr>
          <w:sz w:val="24"/>
          <w:szCs w:val="24"/>
          <w:vertAlign w:val="superscript"/>
        </w:rPr>
        <w:footnoteReference w:id="44"/>
      </w:r>
      <w:r>
        <w:rPr>
          <w:sz w:val="24"/>
          <w:szCs w:val="24"/>
        </w:rPr>
        <w:t xml:space="preserve">. La expansión depende de la cooperación. </w:t>
      </w:r>
    </w:p>
    <w:p w:rsidR="00200F9B" w:rsidRDefault="00805DB6">
      <w:pPr>
        <w:numPr>
          <w:ilvl w:val="0"/>
          <w:numId w:val="41"/>
        </w:numPr>
        <w:spacing w:after="200"/>
        <w:jc w:val="both"/>
        <w:rPr>
          <w:sz w:val="24"/>
          <w:szCs w:val="24"/>
        </w:rPr>
      </w:pPr>
      <w:r>
        <w:rPr>
          <w:sz w:val="24"/>
          <w:szCs w:val="24"/>
        </w:rPr>
        <w:t>El incremento de la</w:t>
      </w:r>
      <w:r>
        <w:rPr>
          <w:sz w:val="24"/>
          <w:szCs w:val="24"/>
        </w:rPr>
        <w:t xml:space="preserve">s ITS incluido el VIH, en los últimos años, denotan la urgencia de brindar servicios de salud preventivos para adolescentes, y educación integral de la sexualidad en el sistema educativo.  </w:t>
      </w:r>
    </w:p>
    <w:p w:rsidR="00200F9B" w:rsidRDefault="00805DB6">
      <w:pPr>
        <w:numPr>
          <w:ilvl w:val="0"/>
          <w:numId w:val="28"/>
        </w:numPr>
        <w:spacing w:after="200"/>
        <w:jc w:val="both"/>
        <w:rPr>
          <w:b/>
          <w:sz w:val="24"/>
          <w:szCs w:val="24"/>
        </w:rPr>
      </w:pPr>
      <w:r>
        <w:rPr>
          <w:b/>
          <w:sz w:val="24"/>
          <w:szCs w:val="24"/>
        </w:rPr>
        <w:t xml:space="preserve">Lactancia materna </w:t>
      </w:r>
    </w:p>
    <w:p w:rsidR="00200F9B" w:rsidRDefault="00805DB6">
      <w:pPr>
        <w:numPr>
          <w:ilvl w:val="0"/>
          <w:numId w:val="41"/>
        </w:numPr>
        <w:spacing w:after="200"/>
        <w:jc w:val="both"/>
        <w:rPr>
          <w:sz w:val="24"/>
          <w:szCs w:val="24"/>
        </w:rPr>
      </w:pPr>
      <w:r>
        <w:rPr>
          <w:sz w:val="24"/>
          <w:szCs w:val="24"/>
        </w:rPr>
        <w:t>Se tiene la Ley N.º 5508/2015 de Promoción y Pr</w:t>
      </w:r>
      <w:r>
        <w:rPr>
          <w:sz w:val="24"/>
          <w:szCs w:val="24"/>
        </w:rPr>
        <w:t>otección de la Maternidad y Apoyo a la Lactancia Materna</w:t>
      </w:r>
      <w:r>
        <w:rPr>
          <w:sz w:val="24"/>
          <w:szCs w:val="24"/>
          <w:vertAlign w:val="superscript"/>
        </w:rPr>
        <w:footnoteReference w:id="45"/>
      </w:r>
      <w:r>
        <w:rPr>
          <w:sz w:val="24"/>
          <w:szCs w:val="24"/>
        </w:rPr>
        <w:t>, que promueve la creación de bancos de leche, salas de lactancia materna y permisos para amamantar y/o extracción de leche, pero no existe un mecanismo de control de cumplimiento. Un caso paradigmát</w:t>
      </w:r>
      <w:r>
        <w:rPr>
          <w:sz w:val="24"/>
          <w:szCs w:val="24"/>
        </w:rPr>
        <w:t>ico se dio en las Fuerzas Armadas, en 2019, donde una mujer de carrera militar fue arrestada por solicitar el permiso de amamantamiento</w:t>
      </w:r>
      <w:r>
        <w:rPr>
          <w:sz w:val="24"/>
          <w:szCs w:val="24"/>
          <w:vertAlign w:val="superscript"/>
        </w:rPr>
        <w:footnoteReference w:id="46"/>
      </w:r>
      <w:r>
        <w:rPr>
          <w:sz w:val="24"/>
          <w:szCs w:val="24"/>
        </w:rPr>
        <w:t xml:space="preserve">. Los datos muestran que sólo tres de cada diez bebés con menos de seis meses son alimentados con leche materna de modo </w:t>
      </w:r>
      <w:r>
        <w:rPr>
          <w:sz w:val="24"/>
          <w:szCs w:val="24"/>
        </w:rPr>
        <w:t>exclusivo</w:t>
      </w:r>
      <w:r>
        <w:rPr>
          <w:sz w:val="24"/>
          <w:szCs w:val="24"/>
          <w:vertAlign w:val="superscript"/>
        </w:rPr>
        <w:footnoteReference w:id="47"/>
      </w:r>
      <w:r>
        <w:rPr>
          <w:sz w:val="24"/>
          <w:szCs w:val="24"/>
        </w:rPr>
        <w:t xml:space="preserve">. </w:t>
      </w:r>
    </w:p>
    <w:p w:rsidR="00200F9B" w:rsidRDefault="00805DB6">
      <w:pPr>
        <w:numPr>
          <w:ilvl w:val="0"/>
          <w:numId w:val="24"/>
        </w:numPr>
        <w:spacing w:after="200"/>
        <w:jc w:val="both"/>
        <w:rPr>
          <w:rFonts w:ascii="Calibri" w:eastAsia="Calibri" w:hAnsi="Calibri" w:cs="Calibri"/>
          <w:sz w:val="24"/>
          <w:szCs w:val="24"/>
        </w:rPr>
      </w:pPr>
      <w:r>
        <w:rPr>
          <w:b/>
          <w:sz w:val="24"/>
          <w:szCs w:val="24"/>
        </w:rPr>
        <w:t>Nivel de vida</w:t>
      </w:r>
    </w:p>
    <w:p w:rsidR="00200F9B" w:rsidRDefault="00805DB6">
      <w:pPr>
        <w:numPr>
          <w:ilvl w:val="0"/>
          <w:numId w:val="41"/>
        </w:numPr>
        <w:spacing w:after="200"/>
        <w:jc w:val="both"/>
        <w:rPr>
          <w:sz w:val="24"/>
          <w:szCs w:val="24"/>
        </w:rPr>
      </w:pPr>
      <w:r>
        <w:rPr>
          <w:sz w:val="24"/>
          <w:szCs w:val="24"/>
        </w:rPr>
        <w:t>En el 2020, el 60,8% de NNA vivía en hogares sin acceso a servicios básicos de calidad, para los NNA en condición de pobreza el porcentaje es  de 79,2%. En el 2021, el 12,6% de niños/as con menos de 5 años presentaban desnutrició</w:t>
      </w:r>
      <w:r>
        <w:rPr>
          <w:sz w:val="24"/>
          <w:szCs w:val="24"/>
        </w:rPr>
        <w:t>n crónica y 21% estaban en riesgo de sufrirlo</w:t>
      </w:r>
      <w:r>
        <w:rPr>
          <w:sz w:val="24"/>
          <w:szCs w:val="24"/>
          <w:vertAlign w:val="superscript"/>
        </w:rPr>
        <w:footnoteReference w:id="48"/>
      </w:r>
      <w:r>
        <w:rPr>
          <w:sz w:val="24"/>
          <w:szCs w:val="24"/>
        </w:rPr>
        <w:t>; y se registraron 14 muertes de NNA de 0 a 14 años por desnutrición</w:t>
      </w:r>
      <w:r>
        <w:rPr>
          <w:sz w:val="24"/>
          <w:szCs w:val="24"/>
          <w:vertAlign w:val="superscript"/>
        </w:rPr>
        <w:footnoteReference w:id="49"/>
      </w:r>
      <w:r>
        <w:rPr>
          <w:sz w:val="24"/>
          <w:szCs w:val="24"/>
        </w:rPr>
        <w:t>. A pesar de que el Ministerio de Salud cuenta con el Programa Alimentario Nutricional Integral (PANI)</w:t>
      </w:r>
      <w:r>
        <w:rPr>
          <w:sz w:val="24"/>
          <w:szCs w:val="24"/>
          <w:vertAlign w:val="superscript"/>
        </w:rPr>
        <w:footnoteReference w:id="50"/>
      </w:r>
      <w:r>
        <w:rPr>
          <w:sz w:val="24"/>
          <w:szCs w:val="24"/>
        </w:rPr>
        <w:t xml:space="preserve"> establecido por ley</w:t>
      </w:r>
      <w:r>
        <w:rPr>
          <w:sz w:val="24"/>
          <w:szCs w:val="24"/>
          <w:vertAlign w:val="superscript"/>
        </w:rPr>
        <w:footnoteReference w:id="51"/>
      </w:r>
      <w:r>
        <w:rPr>
          <w:sz w:val="24"/>
          <w:szCs w:val="24"/>
        </w:rPr>
        <w:t xml:space="preserve">, el presupuesto </w:t>
      </w:r>
      <w:r>
        <w:rPr>
          <w:sz w:val="24"/>
          <w:szCs w:val="24"/>
        </w:rPr>
        <w:t>asignado a Seguridad Alimentaria presenta un promedio de ejecución de 51%</w:t>
      </w:r>
      <w:r>
        <w:rPr>
          <w:sz w:val="24"/>
          <w:szCs w:val="24"/>
          <w:vertAlign w:val="superscript"/>
        </w:rPr>
        <w:footnoteReference w:id="52"/>
      </w:r>
      <w:r>
        <w:rPr>
          <w:sz w:val="24"/>
          <w:szCs w:val="24"/>
        </w:rPr>
        <w:t xml:space="preserve"> en los últimos 3 años, hecho que evidencia falta de gestión.</w:t>
      </w:r>
    </w:p>
    <w:p w:rsidR="00200F9B" w:rsidRDefault="00805DB6">
      <w:pPr>
        <w:numPr>
          <w:ilvl w:val="0"/>
          <w:numId w:val="2"/>
        </w:numPr>
        <w:spacing w:after="200"/>
        <w:jc w:val="both"/>
        <w:rPr>
          <w:b/>
          <w:sz w:val="24"/>
          <w:szCs w:val="24"/>
        </w:rPr>
      </w:pPr>
      <w:r>
        <w:rPr>
          <w:b/>
          <w:sz w:val="24"/>
          <w:szCs w:val="24"/>
        </w:rPr>
        <w:t>VIH/SIDA</w:t>
      </w:r>
    </w:p>
    <w:p w:rsidR="00200F9B" w:rsidRDefault="00805DB6">
      <w:pPr>
        <w:numPr>
          <w:ilvl w:val="0"/>
          <w:numId w:val="41"/>
        </w:numPr>
        <w:spacing w:after="200"/>
        <w:jc w:val="both"/>
        <w:rPr>
          <w:sz w:val="24"/>
          <w:szCs w:val="24"/>
        </w:rPr>
      </w:pPr>
      <w:r>
        <w:rPr>
          <w:sz w:val="24"/>
          <w:szCs w:val="24"/>
        </w:rPr>
        <w:t>En Paraguay, del 2017 al 2021, en el rango de 0 a 19 años de edad, se registraron 460 nuevos diagnósticos de VI</w:t>
      </w:r>
      <w:r>
        <w:rPr>
          <w:sz w:val="24"/>
          <w:szCs w:val="24"/>
        </w:rPr>
        <w:t>H</w:t>
      </w:r>
      <w:r>
        <w:rPr>
          <w:sz w:val="24"/>
          <w:szCs w:val="24"/>
          <w:vertAlign w:val="superscript"/>
        </w:rPr>
        <w:footnoteReference w:id="53"/>
      </w:r>
      <w:r>
        <w:rPr>
          <w:sz w:val="24"/>
          <w:szCs w:val="24"/>
        </w:rPr>
        <w:t>. El acceso a diagnóstico y tratamiento en zonas rurales es nula; el abordaje del VIH no se incorpora a salud integral y preventiva. El estigma y discriminación siguen reproduciéndose ante la falta de concienciación para prevenir el VIH/SIDA, y por no en</w:t>
      </w:r>
      <w:r>
        <w:rPr>
          <w:sz w:val="24"/>
          <w:szCs w:val="24"/>
        </w:rPr>
        <w:t>tregar informacion cientifica, de calidad y laica</w:t>
      </w:r>
      <w:r>
        <w:rPr>
          <w:sz w:val="24"/>
          <w:szCs w:val="24"/>
          <w:vertAlign w:val="superscript"/>
        </w:rPr>
        <w:footnoteReference w:id="54"/>
      </w:r>
      <w:r>
        <w:rPr>
          <w:sz w:val="24"/>
          <w:szCs w:val="24"/>
        </w:rPr>
        <w:t xml:space="preserve"> de acuerdo a la edad.</w:t>
      </w:r>
    </w:p>
    <w:p w:rsidR="00200F9B" w:rsidRDefault="00805DB6">
      <w:pPr>
        <w:spacing w:after="200"/>
        <w:ind w:right="145"/>
        <w:jc w:val="both"/>
        <w:rPr>
          <w:b/>
          <w:sz w:val="24"/>
          <w:szCs w:val="24"/>
        </w:rPr>
      </w:pPr>
      <w:r>
        <w:rPr>
          <w:b/>
          <w:sz w:val="24"/>
          <w:szCs w:val="24"/>
        </w:rPr>
        <w:t>Recomendaciones:</w:t>
      </w:r>
    </w:p>
    <w:p w:rsidR="00200F9B" w:rsidRDefault="00805DB6">
      <w:pPr>
        <w:numPr>
          <w:ilvl w:val="0"/>
          <w:numId w:val="41"/>
        </w:numPr>
        <w:spacing w:after="200"/>
        <w:jc w:val="both"/>
        <w:rPr>
          <w:sz w:val="24"/>
          <w:szCs w:val="24"/>
        </w:rPr>
      </w:pPr>
      <w:r>
        <w:rPr>
          <w:sz w:val="24"/>
          <w:szCs w:val="24"/>
        </w:rPr>
        <w:t>El Estado debe garantizar, por medio de políticas públicas y con presupuesto, la inclusión de NNA con discapacidad en los sistemas de salud y educación, fortaleciendo</w:t>
      </w:r>
      <w:r>
        <w:rPr>
          <w:sz w:val="24"/>
          <w:szCs w:val="24"/>
        </w:rPr>
        <w:t xml:space="preserve"> la accesibilidad de servicios, la formación profesional para la atención y acompañamiento pertinente, con enfoque territorial.</w:t>
      </w:r>
    </w:p>
    <w:p w:rsidR="00200F9B" w:rsidRDefault="00805DB6">
      <w:pPr>
        <w:numPr>
          <w:ilvl w:val="0"/>
          <w:numId w:val="41"/>
        </w:numPr>
        <w:spacing w:after="200"/>
        <w:jc w:val="both"/>
        <w:rPr>
          <w:sz w:val="24"/>
          <w:szCs w:val="24"/>
        </w:rPr>
      </w:pPr>
      <w:r>
        <w:rPr>
          <w:sz w:val="24"/>
          <w:szCs w:val="24"/>
        </w:rPr>
        <w:t>Acelerar la expansión de las Unidades de Salud de la Famila (USF), como estrategia de atención primaria de la salud, a comunidad</w:t>
      </w:r>
      <w:r>
        <w:rPr>
          <w:sz w:val="24"/>
          <w:szCs w:val="24"/>
        </w:rPr>
        <w:t>es más vulnerables; garantizando el mantenimiento de las USF existentes, el equipamiento adecuado, asegurar personal calificado e insumos para su funcionamiento efectivo. El abordaje con Pueblos Indígenas debe ser pertinente, respetando su cosmovisión y mo</w:t>
      </w:r>
      <w:r>
        <w:rPr>
          <w:sz w:val="24"/>
          <w:szCs w:val="24"/>
        </w:rPr>
        <w:t>dos de vida.</w:t>
      </w:r>
    </w:p>
    <w:p w:rsidR="00200F9B" w:rsidRDefault="00805DB6">
      <w:pPr>
        <w:numPr>
          <w:ilvl w:val="0"/>
          <w:numId w:val="41"/>
        </w:numPr>
        <w:spacing w:after="200"/>
        <w:jc w:val="both"/>
        <w:rPr>
          <w:sz w:val="24"/>
          <w:szCs w:val="24"/>
        </w:rPr>
      </w:pPr>
      <w:r>
        <w:rPr>
          <w:sz w:val="24"/>
          <w:szCs w:val="24"/>
        </w:rPr>
        <w:t>Expandir los servicios amigables de salud para adolescentes, especialmente en los territorios con mayor porcentaje de violencia, abusos sexual y embarazo adolescente, realizando abordajes y acompañamientos preventivos con enfoque de atención i</w:t>
      </w:r>
      <w:r>
        <w:rPr>
          <w:sz w:val="24"/>
          <w:szCs w:val="24"/>
        </w:rPr>
        <w:t xml:space="preserve">ntegral a los derechos sexuales y reproductivos. Además, ampliar los servicios de salud mental gratuitos, en base a la Ley 7.018/22. </w:t>
      </w:r>
    </w:p>
    <w:p w:rsidR="00200F9B" w:rsidRDefault="00805DB6">
      <w:pPr>
        <w:numPr>
          <w:ilvl w:val="0"/>
          <w:numId w:val="41"/>
        </w:numPr>
        <w:spacing w:after="200"/>
        <w:jc w:val="both"/>
        <w:rPr>
          <w:sz w:val="24"/>
          <w:szCs w:val="24"/>
        </w:rPr>
      </w:pPr>
      <w:r>
        <w:rPr>
          <w:sz w:val="24"/>
          <w:szCs w:val="24"/>
        </w:rPr>
        <w:t>Establecer mecanismos de seguimiento y monitoreo, claros y efectivos, para dar cumplimiento de la Ley N.º 5.508 de materni</w:t>
      </w:r>
      <w:r>
        <w:rPr>
          <w:sz w:val="24"/>
          <w:szCs w:val="24"/>
        </w:rPr>
        <w:t>dad y apoyo a la lactancia, tanto en sector público como privado, garantizando los derechos de las mujeres, y el derecho de los niños/as a ser amamantados por sus madres.</w:t>
      </w:r>
    </w:p>
    <w:p w:rsidR="00200F9B" w:rsidRDefault="00805DB6">
      <w:pPr>
        <w:numPr>
          <w:ilvl w:val="0"/>
          <w:numId w:val="41"/>
        </w:numPr>
        <w:spacing w:after="200"/>
        <w:jc w:val="both"/>
        <w:rPr>
          <w:sz w:val="24"/>
          <w:szCs w:val="24"/>
        </w:rPr>
      </w:pPr>
      <w:r>
        <w:rPr>
          <w:sz w:val="24"/>
          <w:szCs w:val="24"/>
        </w:rPr>
        <w:t>Expandir la cobertura del Programa de Alimentación Nutricional Integral (PANI), garan</w:t>
      </w:r>
      <w:r>
        <w:rPr>
          <w:sz w:val="24"/>
          <w:szCs w:val="24"/>
        </w:rPr>
        <w:t>tizando la asignación de recursos y la calidad de la ejecución.</w:t>
      </w:r>
    </w:p>
    <w:p w:rsidR="00200F9B" w:rsidRDefault="00805DB6">
      <w:pPr>
        <w:numPr>
          <w:ilvl w:val="0"/>
          <w:numId w:val="41"/>
        </w:numPr>
        <w:spacing w:after="200"/>
        <w:jc w:val="both"/>
        <w:rPr>
          <w:sz w:val="24"/>
          <w:szCs w:val="24"/>
        </w:rPr>
      </w:pPr>
      <w:r>
        <w:rPr>
          <w:sz w:val="24"/>
          <w:szCs w:val="24"/>
        </w:rPr>
        <w:t>Reforzar los programas estatales de producción de alimentos, con énfasis en la agricultura familiar campesina, generando desarrollo territorial y circuitos cortos de comercialización, a modo d</w:t>
      </w:r>
      <w:r>
        <w:rPr>
          <w:sz w:val="24"/>
          <w:szCs w:val="24"/>
        </w:rPr>
        <w:t>e evitar el desperdicio de alimentos en la cadena.</w:t>
      </w:r>
    </w:p>
    <w:p w:rsidR="00200F9B" w:rsidRDefault="00805DB6">
      <w:pPr>
        <w:numPr>
          <w:ilvl w:val="0"/>
          <w:numId w:val="41"/>
        </w:numPr>
        <w:spacing w:after="200"/>
        <w:ind w:right="359"/>
        <w:jc w:val="both"/>
        <w:rPr>
          <w:sz w:val="24"/>
          <w:szCs w:val="24"/>
        </w:rPr>
      </w:pPr>
      <w:r>
        <w:rPr>
          <w:sz w:val="24"/>
          <w:szCs w:val="24"/>
        </w:rPr>
        <w:t>Asegurar el acceso a agua potable y servicios de saneamiento, proveyendo infraestructura, especialmente en las zonas rurales, los territorios más alejados, en los pueblos indígenas y en otros grupos poblacionales más vulnerables.</w:t>
      </w:r>
    </w:p>
    <w:p w:rsidR="00200F9B" w:rsidRDefault="00805DB6">
      <w:pPr>
        <w:numPr>
          <w:ilvl w:val="0"/>
          <w:numId w:val="41"/>
        </w:numPr>
        <w:spacing w:after="200"/>
        <w:ind w:right="359"/>
        <w:jc w:val="both"/>
        <w:rPr>
          <w:sz w:val="24"/>
          <w:szCs w:val="24"/>
        </w:rPr>
      </w:pPr>
      <w:r>
        <w:rPr>
          <w:sz w:val="24"/>
          <w:szCs w:val="24"/>
        </w:rPr>
        <w:t xml:space="preserve">Aumentar los esfuerzos en </w:t>
      </w:r>
      <w:r>
        <w:rPr>
          <w:sz w:val="24"/>
          <w:szCs w:val="24"/>
        </w:rPr>
        <w:t>la prevención de la transmisión del VIH, y mejorar la prevención y atención de personas diagnosticadas, en todo el territorio, desde una perspectiva de integralidad y sin discriminación; mejorando la coordinación entre el sistema de salud y educación, para</w:t>
      </w:r>
      <w:r>
        <w:rPr>
          <w:sz w:val="24"/>
          <w:szCs w:val="24"/>
        </w:rPr>
        <w:t xml:space="preserve"> cumplir la Ley N.º 3.940/2009</w:t>
      </w:r>
      <w:r>
        <w:rPr>
          <w:sz w:val="24"/>
          <w:szCs w:val="24"/>
          <w:vertAlign w:val="superscript"/>
        </w:rPr>
        <w:footnoteReference w:id="55"/>
      </w:r>
      <w:r>
        <w:rPr>
          <w:sz w:val="24"/>
          <w:szCs w:val="24"/>
        </w:rPr>
        <w:t xml:space="preserve">. </w:t>
      </w:r>
    </w:p>
    <w:p w:rsidR="00200F9B" w:rsidRDefault="00805DB6">
      <w:pPr>
        <w:numPr>
          <w:ilvl w:val="0"/>
          <w:numId w:val="21"/>
        </w:numPr>
        <w:spacing w:after="200"/>
        <w:rPr>
          <w:sz w:val="24"/>
          <w:szCs w:val="24"/>
        </w:rPr>
      </w:pPr>
      <w:r>
        <w:rPr>
          <w:b/>
          <w:sz w:val="24"/>
          <w:szCs w:val="24"/>
        </w:rPr>
        <w:t>Educación, esparcimiento y actividades culturales (artículos 28, 29 y 31 de la Convención)</w:t>
      </w:r>
    </w:p>
    <w:p w:rsidR="00200F9B" w:rsidRDefault="00805DB6">
      <w:pPr>
        <w:numPr>
          <w:ilvl w:val="0"/>
          <w:numId w:val="33"/>
        </w:numPr>
        <w:spacing w:after="200"/>
        <w:ind w:right="145"/>
        <w:jc w:val="both"/>
        <w:rPr>
          <w:b/>
          <w:sz w:val="24"/>
          <w:szCs w:val="24"/>
        </w:rPr>
      </w:pPr>
      <w:r>
        <w:rPr>
          <w:b/>
          <w:sz w:val="24"/>
          <w:szCs w:val="24"/>
        </w:rPr>
        <w:t xml:space="preserve">La educación, incluidas la formación y orientación profesional </w:t>
      </w:r>
    </w:p>
    <w:p w:rsidR="00200F9B" w:rsidRDefault="00805DB6">
      <w:pPr>
        <w:numPr>
          <w:ilvl w:val="0"/>
          <w:numId w:val="41"/>
        </w:numPr>
        <w:spacing w:after="200"/>
        <w:ind w:right="145"/>
        <w:jc w:val="both"/>
        <w:rPr>
          <w:sz w:val="24"/>
          <w:szCs w:val="24"/>
        </w:rPr>
      </w:pPr>
      <w:r>
        <w:rPr>
          <w:sz w:val="24"/>
          <w:szCs w:val="24"/>
        </w:rPr>
        <w:t>La cantidad de niñas, niños y adolescentes fuera del sistema educativo, en Paraguay, es cerca de 457.844, al año 2022; es decir, 1 de cada 4 NNA está fuera de la escuela</w:t>
      </w:r>
      <w:r>
        <w:rPr>
          <w:sz w:val="24"/>
          <w:szCs w:val="24"/>
          <w:vertAlign w:val="superscript"/>
        </w:rPr>
        <w:footnoteReference w:id="56"/>
      </w:r>
      <w:r>
        <w:rPr>
          <w:sz w:val="24"/>
          <w:szCs w:val="24"/>
        </w:rPr>
        <w:t xml:space="preserve">. En el 2020 fueron excluidos 40.000 estudiantes por la pandemia. El país se mantiene </w:t>
      </w:r>
      <w:r>
        <w:rPr>
          <w:sz w:val="24"/>
          <w:szCs w:val="24"/>
        </w:rPr>
        <w:t xml:space="preserve">entre los peores sistemas educativos del mundo; se requiere de mejoramiento en inversión, cobertura, pertinencia y calidad. </w:t>
      </w:r>
    </w:p>
    <w:p w:rsidR="00200F9B" w:rsidRDefault="00805DB6">
      <w:pPr>
        <w:numPr>
          <w:ilvl w:val="0"/>
          <w:numId w:val="41"/>
        </w:numPr>
        <w:spacing w:after="200"/>
        <w:ind w:right="145"/>
        <w:jc w:val="both"/>
        <w:rPr>
          <w:sz w:val="24"/>
          <w:szCs w:val="24"/>
        </w:rPr>
      </w:pPr>
      <w:r>
        <w:rPr>
          <w:sz w:val="24"/>
          <w:szCs w:val="24"/>
        </w:rPr>
        <w:t>En 2019 se inició un proceso de reforma educativa denominado “Transformación Educativa”</w:t>
      </w:r>
      <w:r>
        <w:rPr>
          <w:sz w:val="24"/>
          <w:szCs w:val="24"/>
          <w:vertAlign w:val="superscript"/>
        </w:rPr>
        <w:footnoteReference w:id="57"/>
      </w:r>
      <w:r>
        <w:rPr>
          <w:sz w:val="24"/>
          <w:szCs w:val="24"/>
        </w:rPr>
        <w:t>, el cual contó con bajo involucramiento de</w:t>
      </w:r>
      <w:r>
        <w:rPr>
          <w:sz w:val="24"/>
          <w:szCs w:val="24"/>
        </w:rPr>
        <w:t xml:space="preserve"> la comunidad educativa</w:t>
      </w:r>
      <w:r>
        <w:rPr>
          <w:sz w:val="24"/>
          <w:szCs w:val="24"/>
          <w:vertAlign w:val="superscript"/>
        </w:rPr>
        <w:footnoteReference w:id="58"/>
      </w:r>
      <w:r>
        <w:rPr>
          <w:sz w:val="24"/>
          <w:szCs w:val="24"/>
        </w:rPr>
        <w:t xml:space="preserve"> y  un alto grado de desinformación. Los grupos antiderechos lanzaron una campaña de miedo, odio, discriminación y desinformación, basados en “la ideología” de género, alterando negativamente el proceso. Parte de la desinformación d</w:t>
      </w:r>
      <w:r>
        <w:rPr>
          <w:sz w:val="24"/>
          <w:szCs w:val="24"/>
        </w:rPr>
        <w:t xml:space="preserve">ifundida fue realizada por docentes y directivos de las escuelas públicas. El proceso, que tenía financiamiento público y un enfoque estructural, ha sido parado. </w:t>
      </w:r>
    </w:p>
    <w:p w:rsidR="00200F9B" w:rsidRDefault="00805DB6">
      <w:pPr>
        <w:numPr>
          <w:ilvl w:val="0"/>
          <w:numId w:val="41"/>
        </w:numPr>
        <w:spacing w:after="200"/>
        <w:ind w:right="145"/>
        <w:jc w:val="both"/>
        <w:rPr>
          <w:sz w:val="24"/>
          <w:szCs w:val="24"/>
        </w:rPr>
      </w:pPr>
      <w:r>
        <w:rPr>
          <w:sz w:val="24"/>
          <w:szCs w:val="24"/>
        </w:rPr>
        <w:t>En educación inicial siguen las dificultades de cobertura e inversión. Solo para el año 2023,</w:t>
      </w:r>
      <w:r>
        <w:rPr>
          <w:sz w:val="24"/>
          <w:szCs w:val="24"/>
        </w:rPr>
        <w:t xml:space="preserve"> el presupuesto referente a la atención oportuna al prejardín y jardín disminuyó 45,2%</w:t>
      </w:r>
      <w:r>
        <w:rPr>
          <w:sz w:val="24"/>
          <w:szCs w:val="24"/>
          <w:vertAlign w:val="superscript"/>
        </w:rPr>
        <w:footnoteReference w:id="59"/>
      </w:r>
      <w:r>
        <w:rPr>
          <w:sz w:val="24"/>
          <w:szCs w:val="24"/>
        </w:rPr>
        <w:t>, dejando a diversas comunidades del país sin los servicios. De los estudiantes que inician el primer grado solo 52% logra ingresar al tercer año de la educación media</w:t>
      </w:r>
      <w:r>
        <w:rPr>
          <w:sz w:val="24"/>
          <w:szCs w:val="24"/>
          <w:vertAlign w:val="superscript"/>
        </w:rPr>
        <w:footnoteReference w:id="60"/>
      </w:r>
      <w:r>
        <w:rPr>
          <w:sz w:val="24"/>
          <w:szCs w:val="24"/>
        </w:rPr>
        <w:t>,</w:t>
      </w:r>
      <w:r>
        <w:rPr>
          <w:sz w:val="24"/>
          <w:szCs w:val="24"/>
        </w:rPr>
        <w:t xml:space="preserve"> 12 años después. Entre las causas de exclusión escolar prevalecen la necesidad de generar ingresos para contribuir al sustento familiar; la falta de acceso al servicio educativo y la inexistencia de transporte, también la violencia, discriminación, embara</w:t>
      </w:r>
      <w:r>
        <w:rPr>
          <w:sz w:val="24"/>
          <w:szCs w:val="24"/>
        </w:rPr>
        <w:t>zo infantil forzado y el embarazo adolescente</w:t>
      </w:r>
      <w:r>
        <w:rPr>
          <w:sz w:val="24"/>
          <w:szCs w:val="24"/>
          <w:vertAlign w:val="superscript"/>
        </w:rPr>
        <w:footnoteReference w:id="61"/>
      </w:r>
      <w:r>
        <w:rPr>
          <w:sz w:val="24"/>
          <w:szCs w:val="24"/>
        </w:rPr>
        <w:t>.</w:t>
      </w:r>
    </w:p>
    <w:p w:rsidR="00200F9B" w:rsidRDefault="00805DB6">
      <w:pPr>
        <w:numPr>
          <w:ilvl w:val="0"/>
          <w:numId w:val="41"/>
        </w:numPr>
        <w:spacing w:after="200"/>
        <w:ind w:right="145"/>
        <w:jc w:val="both"/>
        <w:rPr>
          <w:sz w:val="24"/>
          <w:szCs w:val="24"/>
        </w:rPr>
      </w:pPr>
      <w:r>
        <w:rPr>
          <w:sz w:val="24"/>
          <w:szCs w:val="24"/>
        </w:rPr>
        <w:t>La formación docente es la principal debilidad del sistema educativo, generando la reproducción intergeneracional de la baja calidad educativa. El 68% de los estudiantes no comprende lo que lee</w:t>
      </w:r>
      <w:r>
        <w:rPr>
          <w:sz w:val="24"/>
          <w:szCs w:val="24"/>
          <w:vertAlign w:val="superscript"/>
        </w:rPr>
        <w:footnoteReference w:id="62"/>
      </w:r>
      <w:r>
        <w:rPr>
          <w:sz w:val="24"/>
          <w:szCs w:val="24"/>
        </w:rPr>
        <w:t xml:space="preserve"> y los resulta</w:t>
      </w:r>
      <w:r>
        <w:rPr>
          <w:sz w:val="24"/>
          <w:szCs w:val="24"/>
        </w:rPr>
        <w:t>dos promedio para las áreas de matemática, comunicación castellana y guaraní fueron inferiores al mínimo esperado en todos los niveles estudiados</w:t>
      </w:r>
      <w:r>
        <w:rPr>
          <w:sz w:val="24"/>
          <w:szCs w:val="24"/>
          <w:vertAlign w:val="superscript"/>
        </w:rPr>
        <w:footnoteReference w:id="63"/>
      </w:r>
      <w:r>
        <w:rPr>
          <w:sz w:val="24"/>
          <w:szCs w:val="24"/>
        </w:rPr>
        <w:t>. La crisis educativa en Paraguay es pedagógica y estructural.</w:t>
      </w:r>
    </w:p>
    <w:p w:rsidR="00200F9B" w:rsidRDefault="00805DB6">
      <w:pPr>
        <w:numPr>
          <w:ilvl w:val="0"/>
          <w:numId w:val="41"/>
        </w:numPr>
        <w:spacing w:after="200"/>
        <w:ind w:right="145"/>
        <w:jc w:val="both"/>
        <w:rPr>
          <w:sz w:val="24"/>
          <w:szCs w:val="24"/>
        </w:rPr>
      </w:pPr>
      <w:r>
        <w:rPr>
          <w:sz w:val="24"/>
          <w:szCs w:val="24"/>
        </w:rPr>
        <w:t>La educación para NNA de zonas rurales, Pueblos</w:t>
      </w:r>
      <w:r>
        <w:rPr>
          <w:sz w:val="24"/>
          <w:szCs w:val="24"/>
        </w:rPr>
        <w:t xml:space="preserve"> Indígenas, con discapacidad, adolescentes en situación de encierro, de la diversidad sexual, no está garantizada. La Ley de Educación Inclusiva es sólo para personas con discapacidad, no se perciben prácticas que cumplan con el derecho a la inclusión; si </w:t>
      </w:r>
      <w:r>
        <w:rPr>
          <w:sz w:val="24"/>
          <w:szCs w:val="24"/>
        </w:rPr>
        <w:t>bien está prohibido, persiste el rechazo de inscripción de NNA con discapacidad intelectual y psicosocial en centros educativos, o aceptan sus inscripciones únicamente si las familias cubren los costos de docentes integradores.</w:t>
      </w:r>
    </w:p>
    <w:p w:rsidR="00200F9B" w:rsidRDefault="00805DB6">
      <w:pPr>
        <w:numPr>
          <w:ilvl w:val="0"/>
          <w:numId w:val="41"/>
        </w:numPr>
        <w:spacing w:after="200"/>
        <w:ind w:right="145"/>
        <w:jc w:val="both"/>
        <w:rPr>
          <w:sz w:val="24"/>
          <w:szCs w:val="24"/>
        </w:rPr>
      </w:pPr>
      <w:r>
        <w:rPr>
          <w:sz w:val="24"/>
          <w:szCs w:val="24"/>
        </w:rPr>
        <w:t xml:space="preserve">La educación integral de la </w:t>
      </w:r>
      <w:r>
        <w:rPr>
          <w:sz w:val="24"/>
          <w:szCs w:val="24"/>
        </w:rPr>
        <w:t>sexualidad, con todos los hechos de violencias, vulneraciones de derechos sexuales y reproductivos y discriminaciones, no se implementa. En 2017, el MEC aprobó la Resolución N° 29.664</w:t>
      </w:r>
      <w:r>
        <w:rPr>
          <w:sz w:val="24"/>
          <w:szCs w:val="24"/>
          <w:vertAlign w:val="superscript"/>
        </w:rPr>
        <w:footnoteReference w:id="64"/>
      </w:r>
      <w:r>
        <w:rPr>
          <w:sz w:val="24"/>
          <w:szCs w:val="24"/>
        </w:rPr>
        <w:t xml:space="preserve"> “por la cual se prohíbe la difusión y utilización de materiales impreso</w:t>
      </w:r>
      <w:r>
        <w:rPr>
          <w:sz w:val="24"/>
          <w:szCs w:val="24"/>
        </w:rPr>
        <w:t>s como digitales referentes a la teoría y/o ideología de género, en instituciones educativas dependientes del Ministerio de Educación y Ciencias”; el ministro de ese momento indico en el Parlamento, que quemaría libros de texto que hablen de género en la p</w:t>
      </w:r>
      <w:r>
        <w:rPr>
          <w:sz w:val="24"/>
          <w:szCs w:val="24"/>
        </w:rPr>
        <w:t>laza</w:t>
      </w:r>
      <w:r>
        <w:rPr>
          <w:sz w:val="24"/>
          <w:szCs w:val="24"/>
          <w:vertAlign w:val="superscript"/>
        </w:rPr>
        <w:footnoteReference w:id="65"/>
      </w:r>
      <w:r>
        <w:rPr>
          <w:sz w:val="24"/>
          <w:szCs w:val="24"/>
        </w:rPr>
        <w:t>.</w:t>
      </w:r>
    </w:p>
    <w:p w:rsidR="00200F9B" w:rsidRDefault="00805DB6">
      <w:pPr>
        <w:spacing w:after="200"/>
        <w:ind w:right="145"/>
        <w:jc w:val="both"/>
        <w:rPr>
          <w:b/>
          <w:sz w:val="24"/>
          <w:szCs w:val="24"/>
        </w:rPr>
      </w:pPr>
      <w:r>
        <w:rPr>
          <w:b/>
          <w:sz w:val="24"/>
          <w:szCs w:val="24"/>
        </w:rPr>
        <w:t xml:space="preserve">Recomendaciones: </w:t>
      </w:r>
    </w:p>
    <w:p w:rsidR="00200F9B" w:rsidRDefault="00805DB6">
      <w:pPr>
        <w:numPr>
          <w:ilvl w:val="0"/>
          <w:numId w:val="41"/>
        </w:numPr>
        <w:spacing w:after="200"/>
        <w:ind w:right="145"/>
        <w:jc w:val="both"/>
        <w:rPr>
          <w:sz w:val="24"/>
          <w:szCs w:val="24"/>
        </w:rPr>
      </w:pPr>
      <w:r>
        <w:rPr>
          <w:sz w:val="24"/>
          <w:szCs w:val="24"/>
        </w:rPr>
        <w:t>Incorporar la transversalización del enfoque de derechos humanos, interculturalidad, inclusión y de género en la formación docente inicial y continua, brindando herramientas pedagógicas y metodológicas que resignifiquen los proceso</w:t>
      </w:r>
      <w:r>
        <w:rPr>
          <w:sz w:val="24"/>
          <w:szCs w:val="24"/>
        </w:rPr>
        <w:t xml:space="preserve">s de aprendizajes y que contribuyan al mejoramiento de la democracia, la convivencia pacífica y el respeto a los derechos humanos.  </w:t>
      </w:r>
    </w:p>
    <w:p w:rsidR="00200F9B" w:rsidRDefault="00805DB6">
      <w:pPr>
        <w:numPr>
          <w:ilvl w:val="0"/>
          <w:numId w:val="41"/>
        </w:numPr>
        <w:spacing w:after="200"/>
        <w:ind w:right="145"/>
        <w:jc w:val="both"/>
        <w:rPr>
          <w:sz w:val="24"/>
          <w:szCs w:val="24"/>
        </w:rPr>
      </w:pPr>
      <w:r>
        <w:rPr>
          <w:sz w:val="24"/>
          <w:szCs w:val="24"/>
        </w:rPr>
        <w:t>Generar evaluaciones contextualizadas y estrategias territoriales para abordar la exclusión educativa, teniendo en cuenta a</w:t>
      </w:r>
      <w:r>
        <w:rPr>
          <w:sz w:val="24"/>
          <w:szCs w:val="24"/>
        </w:rPr>
        <w:t xml:space="preserve"> los grupos más vulnerables: zonas rurales, Pueblos Indígenas, adolescentes en situación de encierro, con discapacidad y LGTBIQ+. </w:t>
      </w:r>
    </w:p>
    <w:p w:rsidR="00200F9B" w:rsidRDefault="00805DB6">
      <w:pPr>
        <w:numPr>
          <w:ilvl w:val="0"/>
          <w:numId w:val="41"/>
        </w:numPr>
        <w:spacing w:after="200"/>
        <w:ind w:right="145"/>
        <w:jc w:val="both"/>
        <w:rPr>
          <w:sz w:val="24"/>
          <w:szCs w:val="24"/>
        </w:rPr>
      </w:pPr>
      <w:r>
        <w:rPr>
          <w:sz w:val="24"/>
          <w:szCs w:val="24"/>
        </w:rPr>
        <w:t>Para garantizar un abordaje estructural se debe aumentar el presupuesto para educación, hasta alcanzar el 7% del PIB. En 2022</w:t>
      </w:r>
      <w:r>
        <w:rPr>
          <w:sz w:val="24"/>
          <w:szCs w:val="24"/>
        </w:rPr>
        <w:t>, el presupuesto del MEC representaba solo el 3,2% del PIB</w:t>
      </w:r>
      <w:r>
        <w:rPr>
          <w:sz w:val="24"/>
          <w:szCs w:val="24"/>
          <w:vertAlign w:val="superscript"/>
        </w:rPr>
        <w:footnoteReference w:id="66"/>
      </w:r>
      <w:r>
        <w:rPr>
          <w:sz w:val="24"/>
          <w:szCs w:val="24"/>
        </w:rPr>
        <w:t xml:space="preserve">. </w:t>
      </w:r>
    </w:p>
    <w:p w:rsidR="00200F9B" w:rsidRDefault="00805DB6">
      <w:pPr>
        <w:numPr>
          <w:ilvl w:val="0"/>
          <w:numId w:val="41"/>
        </w:numPr>
        <w:spacing w:after="200"/>
        <w:jc w:val="both"/>
        <w:rPr>
          <w:sz w:val="24"/>
          <w:szCs w:val="24"/>
        </w:rPr>
      </w:pPr>
      <w:r>
        <w:rPr>
          <w:sz w:val="24"/>
          <w:szCs w:val="24"/>
        </w:rPr>
        <w:t>Derogar la Resolución del MEC N° 29.664/2017 “por la cual se prohíbe la difusión y utilización de materiales impresos como digitales referentes a la teoría y/o ideología de género, en institucio</w:t>
      </w:r>
      <w:r>
        <w:rPr>
          <w:sz w:val="24"/>
          <w:szCs w:val="24"/>
        </w:rPr>
        <w:t>nes educativas (...)”, e impulsar y promulgar una ley de educación integral de la sexualidad que garantice su aplicación en el sistema educativo y salud de todo el país, con base científica.</w:t>
      </w:r>
    </w:p>
    <w:p w:rsidR="00200F9B" w:rsidRDefault="00805DB6">
      <w:pPr>
        <w:numPr>
          <w:ilvl w:val="0"/>
          <w:numId w:val="21"/>
        </w:numPr>
        <w:spacing w:after="200"/>
        <w:rPr>
          <w:sz w:val="24"/>
          <w:szCs w:val="24"/>
        </w:rPr>
      </w:pPr>
      <w:r>
        <w:rPr>
          <w:b/>
          <w:sz w:val="24"/>
          <w:szCs w:val="24"/>
        </w:rPr>
        <w:t>Medidas especiales de protección (artículos 22, 30, 38, 39, 40, 3</w:t>
      </w:r>
      <w:r>
        <w:rPr>
          <w:b/>
          <w:sz w:val="24"/>
          <w:szCs w:val="24"/>
        </w:rPr>
        <w:t>7 (apartados b) a d)), y 32 a 36 de la Convención)</w:t>
      </w:r>
      <w:r>
        <w:rPr>
          <w:b/>
          <w:sz w:val="24"/>
          <w:szCs w:val="24"/>
        </w:rPr>
        <w:tab/>
      </w:r>
    </w:p>
    <w:p w:rsidR="00200F9B" w:rsidRDefault="00805DB6">
      <w:pPr>
        <w:pStyle w:val="Heading3"/>
        <w:numPr>
          <w:ilvl w:val="0"/>
          <w:numId w:val="60"/>
        </w:numPr>
        <w:jc w:val="both"/>
        <w:rPr>
          <w:i w:val="0"/>
        </w:rPr>
      </w:pPr>
      <w:bookmarkStart w:id="17" w:name="_heading=h.lnxbz9" w:colFirst="0" w:colLast="0"/>
      <w:bookmarkEnd w:id="17"/>
      <w:r>
        <w:rPr>
          <w:i w:val="0"/>
        </w:rPr>
        <w:t>Niños refugiados no acompañados</w:t>
      </w:r>
      <w:r>
        <w:rPr>
          <w:i w:val="0"/>
        </w:rPr>
        <w:tab/>
      </w:r>
    </w:p>
    <w:p w:rsidR="00200F9B" w:rsidRDefault="00805DB6">
      <w:pPr>
        <w:numPr>
          <w:ilvl w:val="0"/>
          <w:numId w:val="41"/>
        </w:numPr>
        <w:spacing w:after="200"/>
        <w:ind w:right="145"/>
        <w:jc w:val="both"/>
        <w:rPr>
          <w:sz w:val="24"/>
          <w:szCs w:val="24"/>
        </w:rPr>
      </w:pPr>
      <w:r>
        <w:rPr>
          <w:sz w:val="24"/>
          <w:szCs w:val="24"/>
        </w:rPr>
        <w:t>Los datos que evidencien la situación de NNA refugiados no acompañados en el país es limitada o inaccesible. La Ley Nº 6984/2022 de Migraciones</w:t>
      </w:r>
      <w:r>
        <w:rPr>
          <w:sz w:val="24"/>
          <w:szCs w:val="24"/>
          <w:vertAlign w:val="superscript"/>
        </w:rPr>
        <w:footnoteReference w:id="67"/>
      </w:r>
      <w:r>
        <w:rPr>
          <w:sz w:val="24"/>
          <w:szCs w:val="24"/>
        </w:rPr>
        <w:t>, establece el “Principio d</w:t>
      </w:r>
      <w:r>
        <w:rPr>
          <w:sz w:val="24"/>
          <w:szCs w:val="24"/>
        </w:rPr>
        <w:t>e protección integral e interés superior de los derechos de NNA”; no obstante, no hay información que permita contrastar cómo se desarrolla en la práctica. La CDIA asistió un caso de un adolescente no acompañado de Venezuela, en donde el sistema de justici</w:t>
      </w:r>
      <w:r>
        <w:rPr>
          <w:sz w:val="24"/>
          <w:szCs w:val="24"/>
        </w:rPr>
        <w:t xml:space="preserve">a lo expulsó del país, en vez de dictar una medida de protección. </w:t>
      </w:r>
    </w:p>
    <w:p w:rsidR="00200F9B" w:rsidRDefault="00805DB6">
      <w:pPr>
        <w:numPr>
          <w:ilvl w:val="0"/>
          <w:numId w:val="6"/>
        </w:numPr>
        <w:spacing w:after="200"/>
        <w:ind w:right="145"/>
        <w:jc w:val="both"/>
        <w:rPr>
          <w:rFonts w:ascii="Calibri" w:eastAsia="Calibri" w:hAnsi="Calibri" w:cs="Calibri"/>
          <w:sz w:val="24"/>
          <w:szCs w:val="24"/>
        </w:rPr>
      </w:pPr>
      <w:r>
        <w:rPr>
          <w:b/>
          <w:sz w:val="24"/>
          <w:szCs w:val="24"/>
        </w:rPr>
        <w:t>Explotación económica, incluido el trabajo infantil</w:t>
      </w:r>
      <w:r>
        <w:rPr>
          <w:sz w:val="24"/>
          <w:szCs w:val="24"/>
        </w:rPr>
        <w:tab/>
      </w:r>
    </w:p>
    <w:p w:rsidR="00200F9B" w:rsidRDefault="00805DB6">
      <w:pPr>
        <w:numPr>
          <w:ilvl w:val="0"/>
          <w:numId w:val="41"/>
        </w:numPr>
        <w:spacing w:after="200"/>
        <w:ind w:right="145"/>
        <w:jc w:val="both"/>
        <w:rPr>
          <w:sz w:val="24"/>
          <w:szCs w:val="24"/>
        </w:rPr>
      </w:pPr>
      <w:r>
        <w:rPr>
          <w:sz w:val="24"/>
          <w:szCs w:val="24"/>
        </w:rPr>
        <w:t>Existe una Estrategia de Prevención y Erradicación del Trabajo Infantil y Protección del Trabajo Adolescente</w:t>
      </w:r>
      <w:r>
        <w:rPr>
          <w:sz w:val="24"/>
          <w:szCs w:val="24"/>
          <w:vertAlign w:val="superscript"/>
        </w:rPr>
        <w:footnoteReference w:id="68"/>
      </w:r>
      <w:r>
        <w:rPr>
          <w:sz w:val="24"/>
          <w:szCs w:val="24"/>
        </w:rPr>
        <w:t>, y el trabajo infantil de 0 a 13 años está prohibido. En el 2021, el 16,4% de NNA de entre 10 a 17 años desempeñaron algún tipo de actividad económica</w:t>
      </w:r>
      <w:r>
        <w:rPr>
          <w:sz w:val="24"/>
          <w:szCs w:val="24"/>
          <w:vertAlign w:val="superscript"/>
        </w:rPr>
        <w:footnoteReference w:id="69"/>
      </w:r>
      <w:r>
        <w:rPr>
          <w:sz w:val="24"/>
          <w:szCs w:val="24"/>
        </w:rPr>
        <w:t>. Los NNA que participan en el sector no agropecuario no cuentan con ningún tipo de seguridad laboral ni</w:t>
      </w:r>
      <w:r>
        <w:rPr>
          <w:sz w:val="24"/>
          <w:szCs w:val="24"/>
        </w:rPr>
        <w:t xml:space="preserve"> acceso a prestaciones sociales</w:t>
      </w:r>
      <w:r>
        <w:rPr>
          <w:sz w:val="24"/>
          <w:szCs w:val="24"/>
          <w:vertAlign w:val="superscript"/>
        </w:rPr>
        <w:footnoteReference w:id="70"/>
      </w:r>
      <w:r>
        <w:rPr>
          <w:sz w:val="24"/>
          <w:szCs w:val="24"/>
        </w:rPr>
        <w:t xml:space="preserve">. Los NNA trabajan para generar ingresos y aportar a la subsistencia familiar, debido a la ineficiencia del sistema de protección social. </w:t>
      </w:r>
    </w:p>
    <w:p w:rsidR="00200F9B" w:rsidRDefault="00805DB6">
      <w:pPr>
        <w:numPr>
          <w:ilvl w:val="0"/>
          <w:numId w:val="20"/>
        </w:numPr>
        <w:spacing w:after="200"/>
        <w:ind w:right="145"/>
        <w:jc w:val="both"/>
        <w:rPr>
          <w:rFonts w:ascii="Calibri" w:eastAsia="Calibri" w:hAnsi="Calibri" w:cs="Calibri"/>
          <w:sz w:val="24"/>
          <w:szCs w:val="24"/>
        </w:rPr>
      </w:pPr>
      <w:r>
        <w:rPr>
          <w:b/>
          <w:sz w:val="24"/>
          <w:szCs w:val="24"/>
        </w:rPr>
        <w:t>Práctica del criadazgo</w:t>
      </w:r>
      <w:r>
        <w:rPr>
          <w:b/>
          <w:sz w:val="24"/>
          <w:szCs w:val="24"/>
        </w:rPr>
        <w:tab/>
      </w:r>
      <w:r>
        <w:rPr>
          <w:sz w:val="24"/>
          <w:szCs w:val="24"/>
        </w:rPr>
        <w:tab/>
      </w:r>
      <w:r>
        <w:rPr>
          <w:sz w:val="24"/>
          <w:szCs w:val="24"/>
        </w:rPr>
        <w:tab/>
      </w:r>
      <w:r>
        <w:rPr>
          <w:sz w:val="24"/>
          <w:szCs w:val="24"/>
        </w:rPr>
        <w:tab/>
      </w:r>
    </w:p>
    <w:p w:rsidR="00200F9B" w:rsidRDefault="00805DB6">
      <w:pPr>
        <w:numPr>
          <w:ilvl w:val="0"/>
          <w:numId w:val="41"/>
        </w:numPr>
        <w:spacing w:after="200"/>
        <w:ind w:right="145"/>
        <w:jc w:val="both"/>
        <w:rPr>
          <w:sz w:val="24"/>
          <w:szCs w:val="24"/>
        </w:rPr>
      </w:pPr>
      <w:r>
        <w:rPr>
          <w:sz w:val="24"/>
          <w:szCs w:val="24"/>
        </w:rPr>
        <w:t>El criadazgo sigue siendo una práctica vigente, y no se cu</w:t>
      </w:r>
      <w:r>
        <w:rPr>
          <w:sz w:val="24"/>
          <w:szCs w:val="24"/>
        </w:rPr>
        <w:t>enta con indicadores oficiales para su medición. Es atravesada por factores estructurales, evidencia la ausencia del Estado para garantizar derechos. Los NNA son forzados/as y/o expuestos/as a esta situación de desprotección, las familias ven esto como úni</w:t>
      </w:r>
      <w:r>
        <w:rPr>
          <w:sz w:val="24"/>
          <w:szCs w:val="24"/>
        </w:rPr>
        <w:t>ca alternativa para su subsistencia, educación y acceso a oportunidades; ignorando aspectos del bienestar físico y emocional, que inciden de manera negativa en el desarrollo integral de NNA.</w:t>
      </w:r>
    </w:p>
    <w:p w:rsidR="00200F9B" w:rsidRDefault="00805DB6">
      <w:pPr>
        <w:numPr>
          <w:ilvl w:val="0"/>
          <w:numId w:val="38"/>
        </w:numPr>
        <w:spacing w:after="200"/>
        <w:ind w:right="145"/>
        <w:jc w:val="both"/>
        <w:rPr>
          <w:rFonts w:ascii="Calibri" w:eastAsia="Calibri" w:hAnsi="Calibri" w:cs="Calibri"/>
          <w:sz w:val="24"/>
          <w:szCs w:val="24"/>
        </w:rPr>
      </w:pPr>
      <w:r>
        <w:rPr>
          <w:b/>
          <w:sz w:val="24"/>
          <w:szCs w:val="24"/>
        </w:rPr>
        <w:t>Niños en situación de calle</w:t>
      </w:r>
      <w:r>
        <w:rPr>
          <w:sz w:val="24"/>
          <w:szCs w:val="24"/>
        </w:rPr>
        <w:tab/>
      </w:r>
      <w:r>
        <w:rPr>
          <w:sz w:val="24"/>
          <w:szCs w:val="24"/>
        </w:rPr>
        <w:tab/>
      </w:r>
      <w:r>
        <w:rPr>
          <w:sz w:val="24"/>
          <w:szCs w:val="24"/>
        </w:rPr>
        <w:tab/>
      </w:r>
      <w:r>
        <w:rPr>
          <w:sz w:val="24"/>
          <w:szCs w:val="24"/>
        </w:rPr>
        <w:tab/>
      </w:r>
    </w:p>
    <w:p w:rsidR="00200F9B" w:rsidRDefault="00805DB6">
      <w:pPr>
        <w:numPr>
          <w:ilvl w:val="0"/>
          <w:numId w:val="41"/>
        </w:numPr>
        <w:spacing w:after="200"/>
        <w:ind w:right="145"/>
        <w:jc w:val="both"/>
        <w:rPr>
          <w:sz w:val="24"/>
          <w:szCs w:val="24"/>
        </w:rPr>
      </w:pPr>
      <w:r>
        <w:rPr>
          <w:sz w:val="24"/>
          <w:szCs w:val="24"/>
        </w:rPr>
        <w:t>El MINNA cuenta con el Programa A</w:t>
      </w:r>
      <w:r>
        <w:rPr>
          <w:sz w:val="24"/>
          <w:szCs w:val="24"/>
        </w:rPr>
        <w:t>brazo y un Dispositivo de Respuesta Inmediata (DRI Calle) este último tiene presencia en cinco ciudades, de junio a junio de 2021/2022, atendió a 1.426 NNA de 0 a 17 años</w:t>
      </w:r>
      <w:r>
        <w:rPr>
          <w:sz w:val="24"/>
          <w:szCs w:val="24"/>
          <w:vertAlign w:val="superscript"/>
        </w:rPr>
        <w:footnoteReference w:id="71"/>
      </w:r>
      <w:r>
        <w:rPr>
          <w:sz w:val="24"/>
          <w:szCs w:val="24"/>
        </w:rPr>
        <w:t>. La respuesta es asistencialista e incluso represivo; no cuentan con mecanismos de implementación de la Observación General N.º 21</w:t>
      </w:r>
      <w:r>
        <w:rPr>
          <w:sz w:val="24"/>
          <w:szCs w:val="24"/>
          <w:vertAlign w:val="superscript"/>
        </w:rPr>
        <w:footnoteReference w:id="72"/>
      </w:r>
      <w:r>
        <w:rPr>
          <w:sz w:val="24"/>
          <w:szCs w:val="24"/>
        </w:rPr>
        <w:t>. El abordaje se deriva al sistema de justicia y sin enfoque integral, debido a que no visibiliza a la pobreza y a las desig</w:t>
      </w:r>
      <w:r>
        <w:rPr>
          <w:sz w:val="24"/>
          <w:szCs w:val="24"/>
        </w:rPr>
        <w:t>ualdades estructurales como expulsores de NNA a las calles.</w:t>
      </w:r>
    </w:p>
    <w:p w:rsidR="00200F9B" w:rsidRDefault="00805DB6">
      <w:pPr>
        <w:pStyle w:val="Heading3"/>
        <w:numPr>
          <w:ilvl w:val="0"/>
          <w:numId w:val="18"/>
        </w:numPr>
        <w:ind w:right="145"/>
        <w:jc w:val="both"/>
        <w:rPr>
          <w:i w:val="0"/>
        </w:rPr>
      </w:pPr>
      <w:bookmarkStart w:id="18" w:name="_heading=h.35nkun2" w:colFirst="0" w:colLast="0"/>
      <w:bookmarkEnd w:id="18"/>
      <w:r>
        <w:rPr>
          <w:i w:val="0"/>
        </w:rPr>
        <w:t xml:space="preserve">Explotación y abusos sexuales </w:t>
      </w:r>
    </w:p>
    <w:p w:rsidR="00200F9B" w:rsidRDefault="00805DB6">
      <w:pPr>
        <w:numPr>
          <w:ilvl w:val="0"/>
          <w:numId w:val="41"/>
        </w:numPr>
        <w:spacing w:after="200"/>
        <w:ind w:right="145"/>
        <w:jc w:val="both"/>
        <w:rPr>
          <w:sz w:val="24"/>
          <w:szCs w:val="24"/>
        </w:rPr>
      </w:pPr>
      <w:r>
        <w:rPr>
          <w:sz w:val="24"/>
          <w:szCs w:val="24"/>
        </w:rPr>
        <w:t>En 2018, se promulgó la Ley 6.202 de Prevención del abuso sexual y atención integral a NNA víctimas de abuso sexual</w:t>
      </w:r>
      <w:r>
        <w:rPr>
          <w:sz w:val="24"/>
          <w:szCs w:val="24"/>
          <w:vertAlign w:val="superscript"/>
        </w:rPr>
        <w:footnoteReference w:id="73"/>
      </w:r>
      <w:r>
        <w:rPr>
          <w:sz w:val="24"/>
          <w:szCs w:val="24"/>
        </w:rPr>
        <w:t>, a la fecha sin reglamentación e implementación.</w:t>
      </w:r>
      <w:r>
        <w:rPr>
          <w:sz w:val="24"/>
          <w:szCs w:val="24"/>
        </w:rPr>
        <w:t xml:space="preserve"> La violencia sexual hacia NNA se han incrementado, pasando del promedio de dos denuncias por día en el 2010 a diez por día en 2022</w:t>
      </w:r>
      <w:r>
        <w:rPr>
          <w:sz w:val="24"/>
          <w:szCs w:val="24"/>
          <w:vertAlign w:val="superscript"/>
        </w:rPr>
        <w:footnoteReference w:id="74"/>
      </w:r>
      <w:r>
        <w:rPr>
          <w:sz w:val="24"/>
          <w:szCs w:val="24"/>
        </w:rPr>
        <w:t>. En 2021, 492 nacidos vivos han sido de niñas de entre 10 y 14 años</w:t>
      </w:r>
      <w:r>
        <w:rPr>
          <w:sz w:val="24"/>
          <w:szCs w:val="24"/>
          <w:vertAlign w:val="superscript"/>
        </w:rPr>
        <w:footnoteReference w:id="75"/>
      </w:r>
      <w:r>
        <w:rPr>
          <w:sz w:val="24"/>
          <w:szCs w:val="24"/>
        </w:rPr>
        <w:t>. En Paraguay, aunque jurídicamente existe la posibilid</w:t>
      </w:r>
      <w:r>
        <w:rPr>
          <w:sz w:val="24"/>
          <w:szCs w:val="24"/>
        </w:rPr>
        <w:t>ad de realizar la interrupción del embarazo cuando corre peligro la vida de la persona gestante, no es una opción del sistema de salud ni de justicia ante hechos de abuso sexual en niñas y adolescentes</w:t>
      </w:r>
      <w:r>
        <w:rPr>
          <w:sz w:val="24"/>
          <w:szCs w:val="24"/>
          <w:vertAlign w:val="superscript"/>
        </w:rPr>
        <w:footnoteReference w:id="76"/>
      </w:r>
      <w:r>
        <w:rPr>
          <w:sz w:val="24"/>
          <w:szCs w:val="24"/>
        </w:rPr>
        <w:t>.</w:t>
      </w:r>
    </w:p>
    <w:p w:rsidR="00200F9B" w:rsidRDefault="00805DB6">
      <w:pPr>
        <w:numPr>
          <w:ilvl w:val="0"/>
          <w:numId w:val="41"/>
        </w:numPr>
        <w:spacing w:after="200"/>
        <w:ind w:right="145"/>
        <w:jc w:val="both"/>
        <w:rPr>
          <w:sz w:val="24"/>
          <w:szCs w:val="24"/>
        </w:rPr>
      </w:pPr>
      <w:r>
        <w:rPr>
          <w:sz w:val="24"/>
          <w:szCs w:val="24"/>
        </w:rPr>
        <w:t>En el 2021 se dieron graves denuncias de abusos y ma</w:t>
      </w:r>
      <w:r>
        <w:rPr>
          <w:sz w:val="24"/>
          <w:szCs w:val="24"/>
        </w:rPr>
        <w:t xml:space="preserve">trimonios forzados, que involucran a pastores de Iglesias evangélicas, realizadas por líderes del Pueblo Indigena Paĩ Tavyterã, ante la inacción del Ministerio Público y otras instituciones, ante la Comisión de Pueblos Indígenas de la Cámara de Diputados, </w:t>
      </w:r>
      <w:r>
        <w:rPr>
          <w:sz w:val="24"/>
          <w:szCs w:val="24"/>
        </w:rPr>
        <w:t>por hechos de embarazo de más de una decena de niñas de sus comunidades y que, además de abusos, las niñas fueron ofrecidas a personas mayores para casarlas y obligarlas a pagar un diezmo</w:t>
      </w:r>
      <w:r>
        <w:rPr>
          <w:sz w:val="24"/>
          <w:szCs w:val="24"/>
          <w:vertAlign w:val="superscript"/>
        </w:rPr>
        <w:footnoteReference w:id="77"/>
      </w:r>
      <w:r>
        <w:rPr>
          <w:sz w:val="24"/>
          <w:szCs w:val="24"/>
        </w:rPr>
        <w:t>.</w:t>
      </w:r>
    </w:p>
    <w:p w:rsidR="00200F9B" w:rsidRDefault="00805DB6">
      <w:pPr>
        <w:numPr>
          <w:ilvl w:val="0"/>
          <w:numId w:val="41"/>
        </w:numPr>
        <w:spacing w:after="200"/>
        <w:ind w:right="145"/>
        <w:jc w:val="both"/>
        <w:rPr>
          <w:sz w:val="24"/>
          <w:szCs w:val="24"/>
        </w:rPr>
      </w:pPr>
      <w:r>
        <w:rPr>
          <w:sz w:val="24"/>
          <w:szCs w:val="24"/>
        </w:rPr>
        <w:t>En Paraguay, en los últimos 5 años se registraron un total de 17.1</w:t>
      </w:r>
      <w:r>
        <w:rPr>
          <w:sz w:val="24"/>
          <w:szCs w:val="24"/>
        </w:rPr>
        <w:t>56 víctimas por abuso sexual, que tienen entre 0 y 17 edad</w:t>
      </w:r>
      <w:r>
        <w:rPr>
          <w:sz w:val="24"/>
          <w:szCs w:val="24"/>
          <w:vertAlign w:val="superscript"/>
        </w:rPr>
        <w:footnoteReference w:id="78"/>
      </w:r>
      <w:r>
        <w:rPr>
          <w:sz w:val="24"/>
          <w:szCs w:val="24"/>
        </w:rPr>
        <w:t>; el Estado no tiene un programa de atencion integral para NNA sobrevivientes de violencia sexual, no existen equipos interdiscipinarios y no cuentan con acompañamiento especializado</w:t>
      </w:r>
      <w:r>
        <w:rPr>
          <w:sz w:val="24"/>
          <w:szCs w:val="24"/>
          <w:vertAlign w:val="superscript"/>
        </w:rPr>
        <w:footnoteReference w:id="79"/>
      </w:r>
      <w:r>
        <w:rPr>
          <w:sz w:val="24"/>
          <w:szCs w:val="24"/>
        </w:rPr>
        <w:t>; esto debe se</w:t>
      </w:r>
      <w:r>
        <w:rPr>
          <w:sz w:val="24"/>
          <w:szCs w:val="24"/>
        </w:rPr>
        <w:t>r instalado en el Ministerio de Salud con extensión en todo el territorio.</w:t>
      </w:r>
    </w:p>
    <w:p w:rsidR="00200F9B" w:rsidRDefault="00805DB6">
      <w:pPr>
        <w:numPr>
          <w:ilvl w:val="0"/>
          <w:numId w:val="41"/>
        </w:numPr>
        <w:spacing w:after="200"/>
        <w:ind w:right="145"/>
        <w:jc w:val="both"/>
        <w:rPr>
          <w:sz w:val="24"/>
          <w:szCs w:val="24"/>
        </w:rPr>
      </w:pPr>
      <w:r>
        <w:rPr>
          <w:sz w:val="24"/>
          <w:szCs w:val="24"/>
        </w:rPr>
        <w:t>El Ministerio de Educación, desde el 2015, contaba con la “Guía de intervención interinstitucional para la atención de casos de vulneración de derechos sexuales y derechos reproduct</w:t>
      </w:r>
      <w:r>
        <w:rPr>
          <w:sz w:val="24"/>
          <w:szCs w:val="24"/>
        </w:rPr>
        <w:t>ivos en el ámbito educativo”</w:t>
      </w:r>
      <w:r>
        <w:rPr>
          <w:sz w:val="24"/>
          <w:szCs w:val="24"/>
          <w:vertAlign w:val="superscript"/>
        </w:rPr>
        <w:footnoteReference w:id="80"/>
      </w:r>
      <w:r>
        <w:rPr>
          <w:sz w:val="24"/>
          <w:szCs w:val="24"/>
        </w:rPr>
        <w:t>, pero al inicio del 2023 -por presión los grupos antiderechos- ha sido cercenada, eliminando todo el marco teórico, y el apartado de discriminación, excluyendo el enfoque de derechos humanos y de género; hecho que implica un r</w:t>
      </w:r>
      <w:r>
        <w:rPr>
          <w:sz w:val="24"/>
          <w:szCs w:val="24"/>
        </w:rPr>
        <w:t xml:space="preserve">etroceso en el ámbito de los derechos y que expone a mayores vulnerabilidades a NNA. </w:t>
      </w:r>
    </w:p>
    <w:p w:rsidR="00200F9B" w:rsidRDefault="00805DB6">
      <w:pPr>
        <w:numPr>
          <w:ilvl w:val="0"/>
          <w:numId w:val="41"/>
        </w:numPr>
        <w:spacing w:after="200"/>
        <w:jc w:val="both"/>
        <w:rPr>
          <w:sz w:val="24"/>
          <w:szCs w:val="24"/>
        </w:rPr>
      </w:pPr>
      <w:r>
        <w:rPr>
          <w:sz w:val="24"/>
          <w:szCs w:val="24"/>
        </w:rPr>
        <w:t>La tipificación de Estupro solo considera la violencia sexual hacia las adolescenes mujeres y no hacia los adolescentes varones, quienes tambien son victimas de este crim</w:t>
      </w:r>
      <w:r>
        <w:rPr>
          <w:sz w:val="24"/>
          <w:szCs w:val="24"/>
        </w:rPr>
        <w:t>en; dicha categorización no está en línea con la protección integral y las normas internacionales</w:t>
      </w:r>
      <w:r>
        <w:rPr>
          <w:sz w:val="24"/>
          <w:szCs w:val="24"/>
          <w:vertAlign w:val="superscript"/>
        </w:rPr>
        <w:footnoteReference w:id="81"/>
      </w:r>
      <w:r>
        <w:rPr>
          <w:sz w:val="24"/>
          <w:szCs w:val="24"/>
        </w:rPr>
        <w:t>.</w:t>
      </w:r>
      <w:r>
        <w:rPr>
          <w:color w:val="FF0000"/>
          <w:sz w:val="24"/>
          <w:szCs w:val="24"/>
        </w:rPr>
        <w:t xml:space="preserve"> </w:t>
      </w:r>
    </w:p>
    <w:p w:rsidR="00200F9B" w:rsidRDefault="00805DB6">
      <w:pPr>
        <w:numPr>
          <w:ilvl w:val="0"/>
          <w:numId w:val="26"/>
        </w:numPr>
        <w:spacing w:after="200"/>
        <w:ind w:right="145"/>
        <w:jc w:val="both"/>
        <w:rPr>
          <w:rFonts w:ascii="Calibri" w:eastAsia="Calibri" w:hAnsi="Calibri" w:cs="Calibri"/>
          <w:sz w:val="24"/>
          <w:szCs w:val="24"/>
        </w:rPr>
      </w:pPr>
      <w:r>
        <w:rPr>
          <w:b/>
          <w:sz w:val="24"/>
          <w:szCs w:val="24"/>
        </w:rPr>
        <w:t>Venta y trata</w:t>
      </w:r>
      <w:r>
        <w:rPr>
          <w:b/>
          <w:sz w:val="24"/>
          <w:szCs w:val="24"/>
        </w:rPr>
        <w:tab/>
        <w:t xml:space="preserve"> </w:t>
      </w:r>
    </w:p>
    <w:p w:rsidR="00200F9B" w:rsidRDefault="00805DB6">
      <w:pPr>
        <w:numPr>
          <w:ilvl w:val="0"/>
          <w:numId w:val="41"/>
        </w:numPr>
        <w:spacing w:after="200"/>
        <w:ind w:right="359"/>
        <w:jc w:val="both"/>
        <w:rPr>
          <w:sz w:val="24"/>
          <w:szCs w:val="24"/>
        </w:rPr>
      </w:pPr>
      <w:r>
        <w:rPr>
          <w:sz w:val="24"/>
          <w:szCs w:val="24"/>
        </w:rPr>
        <w:t>En el 2021, se registraron 183 casos de NNA víctimas de trata de personas, 159 mujeres y 24 varones</w:t>
      </w:r>
      <w:r>
        <w:rPr>
          <w:sz w:val="24"/>
          <w:szCs w:val="24"/>
          <w:vertAlign w:val="superscript"/>
        </w:rPr>
        <w:footnoteReference w:id="82"/>
      </w:r>
      <w:r>
        <w:rPr>
          <w:sz w:val="24"/>
          <w:szCs w:val="24"/>
        </w:rPr>
        <w:t>. Durante el 2020, en pandemia, 160 niñ</w:t>
      </w:r>
      <w:r>
        <w:rPr>
          <w:sz w:val="24"/>
          <w:szCs w:val="24"/>
        </w:rPr>
        <w:t>as y adolescentes de entre 12 y 17 años, entre ellas 22 eran víctimas de trata con fines de explotación sexual y laboral fueron abandonadas en la zona del puente fronterizo entre Paraguay y Brasil</w:t>
      </w:r>
      <w:r>
        <w:rPr>
          <w:sz w:val="24"/>
          <w:szCs w:val="24"/>
          <w:vertAlign w:val="superscript"/>
        </w:rPr>
        <w:footnoteReference w:id="83"/>
      </w:r>
      <w:r>
        <w:rPr>
          <w:sz w:val="24"/>
          <w:szCs w:val="24"/>
        </w:rPr>
        <w:t>; quienes indicaron que en los sitios donde fueron explotad</w:t>
      </w:r>
      <w:r>
        <w:rPr>
          <w:sz w:val="24"/>
          <w:szCs w:val="24"/>
        </w:rPr>
        <w:t>as siguen estando cientos de víctimas paraguayas</w:t>
      </w:r>
      <w:r>
        <w:rPr>
          <w:sz w:val="24"/>
          <w:szCs w:val="24"/>
          <w:vertAlign w:val="superscript"/>
        </w:rPr>
        <w:footnoteReference w:id="84"/>
      </w:r>
      <w:r>
        <w:rPr>
          <w:sz w:val="24"/>
          <w:szCs w:val="24"/>
        </w:rPr>
        <w:t xml:space="preserve">. Esto evidencia la permisividad para que NNA salgan del país sin ningún registro del movimiento, ni que instancias, como la educativa, levanten una alerta. </w:t>
      </w:r>
    </w:p>
    <w:p w:rsidR="00200F9B" w:rsidRDefault="00805DB6">
      <w:pPr>
        <w:numPr>
          <w:ilvl w:val="0"/>
          <w:numId w:val="41"/>
        </w:numPr>
        <w:spacing w:after="200"/>
        <w:ind w:right="359"/>
        <w:jc w:val="both"/>
        <w:rPr>
          <w:sz w:val="24"/>
          <w:szCs w:val="24"/>
        </w:rPr>
      </w:pPr>
      <w:r>
        <w:rPr>
          <w:sz w:val="24"/>
          <w:szCs w:val="24"/>
        </w:rPr>
        <w:t>Paraguay cuenta con un único lugar de acogida esp</w:t>
      </w:r>
      <w:r>
        <w:rPr>
          <w:sz w:val="24"/>
          <w:szCs w:val="24"/>
        </w:rPr>
        <w:t>ecializado para niñas y adolescentes mujeres víctimas de trata, y no dispone de albergues para niños y adolescentes varones víctimas de estos delitos. Las acciones no se articulan con las políticas públicas de prevención, atención y represión de estos crím</w:t>
      </w:r>
      <w:r>
        <w:rPr>
          <w:sz w:val="24"/>
          <w:szCs w:val="24"/>
        </w:rPr>
        <w:t>enes y no se cuenta con el presupuesto para su sostenibilidad</w:t>
      </w:r>
      <w:r>
        <w:rPr>
          <w:sz w:val="24"/>
          <w:szCs w:val="24"/>
          <w:vertAlign w:val="superscript"/>
        </w:rPr>
        <w:footnoteReference w:id="85"/>
      </w:r>
      <w:r>
        <w:rPr>
          <w:sz w:val="24"/>
          <w:szCs w:val="24"/>
        </w:rPr>
        <w:t>.</w:t>
      </w:r>
    </w:p>
    <w:p w:rsidR="00200F9B" w:rsidRDefault="00805DB6">
      <w:pPr>
        <w:numPr>
          <w:ilvl w:val="0"/>
          <w:numId w:val="58"/>
        </w:numPr>
        <w:spacing w:after="200"/>
        <w:ind w:right="145"/>
        <w:jc w:val="both"/>
        <w:rPr>
          <w:rFonts w:ascii="Calibri" w:eastAsia="Calibri" w:hAnsi="Calibri" w:cs="Calibri"/>
          <w:sz w:val="24"/>
          <w:szCs w:val="24"/>
        </w:rPr>
      </w:pPr>
      <w:r>
        <w:rPr>
          <w:b/>
          <w:sz w:val="24"/>
          <w:szCs w:val="24"/>
        </w:rPr>
        <w:t>Servicio telefónico de asistencia</w:t>
      </w:r>
      <w:r>
        <w:rPr>
          <w:sz w:val="24"/>
          <w:szCs w:val="24"/>
        </w:rPr>
        <w:t xml:space="preserve"> </w:t>
      </w:r>
    </w:p>
    <w:p w:rsidR="00200F9B" w:rsidRDefault="00805DB6">
      <w:pPr>
        <w:numPr>
          <w:ilvl w:val="0"/>
          <w:numId w:val="41"/>
        </w:numPr>
        <w:spacing w:after="200"/>
        <w:ind w:right="145"/>
        <w:jc w:val="both"/>
        <w:rPr>
          <w:sz w:val="24"/>
          <w:szCs w:val="24"/>
        </w:rPr>
      </w:pPr>
      <w:r>
        <w:rPr>
          <w:sz w:val="24"/>
          <w:szCs w:val="24"/>
        </w:rPr>
        <w:t>El Servicio Fono Ayuda 147, línea exclusiva de orientación para niñez y adolescencia, es gratuito. La gran difusión que ha tenido el servicio y su reconocimiento, por parte de NNA y personas adultas, como puerta de entrada al SIPPINA a nivel nacional, es f</w:t>
      </w:r>
      <w:r>
        <w:rPr>
          <w:sz w:val="24"/>
          <w:szCs w:val="24"/>
        </w:rPr>
        <w:t>avorable; sin embargo, el elevado número de llamadas y la cantidad limitada de profesionales</w:t>
      </w:r>
      <w:r>
        <w:rPr>
          <w:sz w:val="24"/>
          <w:szCs w:val="24"/>
          <w:vertAlign w:val="superscript"/>
        </w:rPr>
        <w:footnoteReference w:id="86"/>
      </w:r>
      <w:r>
        <w:rPr>
          <w:sz w:val="24"/>
          <w:szCs w:val="24"/>
        </w:rPr>
        <w:t xml:space="preserve"> desencadena que: a. el tiempo para la atención sea prolongada o que directamente no se atienda; b. el seguimiento a los casos sea limitado o nulo, centrando las a</w:t>
      </w:r>
      <w:r>
        <w:rPr>
          <w:sz w:val="24"/>
          <w:szCs w:val="24"/>
        </w:rPr>
        <w:t>cciones en la recepción, orientación y/o derivación. Esta situación es grave ya que quienes llaman al servicio reciben la orientación del lugar donde realizar la denuncia pero luego no lo hacen, esto conlleva que miles de NNA estén sin la debida protección</w:t>
      </w:r>
      <w:r>
        <w:rPr>
          <w:sz w:val="24"/>
          <w:szCs w:val="24"/>
        </w:rPr>
        <w:t xml:space="preserve">. </w:t>
      </w:r>
    </w:p>
    <w:p w:rsidR="00200F9B" w:rsidRDefault="00805DB6">
      <w:pPr>
        <w:numPr>
          <w:ilvl w:val="0"/>
          <w:numId w:val="8"/>
        </w:numPr>
        <w:spacing w:after="200"/>
        <w:ind w:right="145"/>
        <w:jc w:val="both"/>
        <w:rPr>
          <w:rFonts w:ascii="Calibri" w:eastAsia="Calibri" w:hAnsi="Calibri" w:cs="Calibri"/>
          <w:sz w:val="24"/>
          <w:szCs w:val="24"/>
        </w:rPr>
      </w:pPr>
      <w:r>
        <w:rPr>
          <w:b/>
          <w:sz w:val="24"/>
          <w:szCs w:val="24"/>
        </w:rPr>
        <w:t>Administración de justicia juvenil</w:t>
      </w:r>
    </w:p>
    <w:p w:rsidR="00200F9B" w:rsidRDefault="00805DB6">
      <w:pPr>
        <w:numPr>
          <w:ilvl w:val="0"/>
          <w:numId w:val="41"/>
        </w:numPr>
        <w:spacing w:after="200"/>
        <w:ind w:right="145"/>
        <w:jc w:val="both"/>
        <w:rPr>
          <w:sz w:val="24"/>
          <w:szCs w:val="24"/>
        </w:rPr>
      </w:pPr>
      <w:r>
        <w:rPr>
          <w:sz w:val="24"/>
          <w:szCs w:val="24"/>
        </w:rPr>
        <w:t>El modelo de justicia juvenil adoptado por Paraguay prevé una justicia especializada, donde la imposición de penas privativas de libertad sea mínima y como último recurso. No obstante, a febrero del 2023, 186 adolescen</w:t>
      </w:r>
      <w:r>
        <w:rPr>
          <w:sz w:val="24"/>
          <w:szCs w:val="24"/>
        </w:rPr>
        <w:t>tes se encontraban privados de libertad en centros educativos y el 80,5% estaban sin condena; generado por la falta de un procedimiento penal adolescente con características propias que garanticen sus derechos y se diferencie del de adultos. Existe un pilo</w:t>
      </w:r>
      <w:r>
        <w:rPr>
          <w:sz w:val="24"/>
          <w:szCs w:val="24"/>
        </w:rPr>
        <w:t xml:space="preserve">to sobre justicia restaurativa en una ciudad, pero éste no fue ampliado a las demás jurisdicciones por falta de voluntad política y presupuesto. </w:t>
      </w:r>
    </w:p>
    <w:p w:rsidR="00200F9B" w:rsidRDefault="00805DB6">
      <w:pPr>
        <w:numPr>
          <w:ilvl w:val="0"/>
          <w:numId w:val="41"/>
        </w:numPr>
        <w:spacing w:after="200"/>
        <w:ind w:right="145"/>
        <w:jc w:val="both"/>
        <w:rPr>
          <w:sz w:val="24"/>
          <w:szCs w:val="24"/>
        </w:rPr>
      </w:pPr>
      <w:r>
        <w:rPr>
          <w:sz w:val="24"/>
          <w:szCs w:val="24"/>
        </w:rPr>
        <w:t>Preocupa que se siga implementando un sistema de cumplimiento de medidas desde la lógica penitenciaria, sin pr</w:t>
      </w:r>
      <w:r>
        <w:rPr>
          <w:sz w:val="24"/>
          <w:szCs w:val="24"/>
        </w:rPr>
        <w:t xml:space="preserve">imar las alternativas socioeducativas en un régimen de libertad, y de acompañamiento para la inserción social de adolescentes en conflicto con la Ley. </w:t>
      </w:r>
    </w:p>
    <w:p w:rsidR="00200F9B" w:rsidRDefault="00805DB6">
      <w:pPr>
        <w:numPr>
          <w:ilvl w:val="0"/>
          <w:numId w:val="36"/>
        </w:numPr>
        <w:spacing w:after="200"/>
        <w:ind w:right="145"/>
        <w:jc w:val="both"/>
        <w:rPr>
          <w:rFonts w:ascii="Calibri" w:eastAsia="Calibri" w:hAnsi="Calibri" w:cs="Calibri"/>
          <w:sz w:val="24"/>
          <w:szCs w:val="24"/>
        </w:rPr>
      </w:pPr>
      <w:r>
        <w:rPr>
          <w:b/>
          <w:sz w:val="24"/>
          <w:szCs w:val="24"/>
        </w:rPr>
        <w:t>Protección de los testigos y de las víctimas de delitos</w:t>
      </w:r>
    </w:p>
    <w:p w:rsidR="00200F9B" w:rsidRDefault="00805DB6">
      <w:pPr>
        <w:numPr>
          <w:ilvl w:val="0"/>
          <w:numId w:val="41"/>
        </w:numPr>
        <w:spacing w:after="200"/>
        <w:ind w:right="145"/>
        <w:jc w:val="both"/>
        <w:rPr>
          <w:sz w:val="24"/>
          <w:szCs w:val="24"/>
        </w:rPr>
      </w:pPr>
      <w:r>
        <w:rPr>
          <w:sz w:val="24"/>
          <w:szCs w:val="24"/>
        </w:rPr>
        <w:t>La Ley sobre acompañamiento y protección a testi</w:t>
      </w:r>
      <w:r>
        <w:rPr>
          <w:sz w:val="24"/>
          <w:szCs w:val="24"/>
        </w:rPr>
        <w:t>gos de Paraguay cuenta con unos lineamientos generales, no específicos para NNA, excepto “prestar especial atención a víctimas especialmente vulnerables como las NNA”. Se evidencia la actuación de la víctima en el proceso penal limitada sólo al rol de test</w:t>
      </w:r>
      <w:r>
        <w:rPr>
          <w:sz w:val="24"/>
          <w:szCs w:val="24"/>
        </w:rPr>
        <w:t>igo; y la falta de adecuación de los procedimientos judiciales a las necesidades de NNA víctimas, protegiendo su intimidad y garantizando su seguridad y la de sus familiares. Preocupa que la protección brindada desde el Programa se limite al tiempo que dur</w:t>
      </w:r>
      <w:r>
        <w:rPr>
          <w:sz w:val="24"/>
          <w:szCs w:val="24"/>
        </w:rPr>
        <w:t xml:space="preserve">a el proceso penal, en lugar de garantizar antes, durante y después a fin de evitar los riesgos tanto para testigos como víctimas. </w:t>
      </w:r>
    </w:p>
    <w:p w:rsidR="00200F9B" w:rsidRDefault="00805DB6">
      <w:pPr>
        <w:numPr>
          <w:ilvl w:val="0"/>
          <w:numId w:val="25"/>
        </w:numPr>
        <w:spacing w:after="200"/>
        <w:ind w:right="145"/>
        <w:jc w:val="both"/>
        <w:rPr>
          <w:rFonts w:ascii="Calibri" w:eastAsia="Calibri" w:hAnsi="Calibri" w:cs="Calibri"/>
          <w:sz w:val="24"/>
          <w:szCs w:val="24"/>
        </w:rPr>
      </w:pPr>
      <w:r>
        <w:rPr>
          <w:b/>
          <w:sz w:val="24"/>
          <w:szCs w:val="24"/>
        </w:rPr>
        <w:t>Niñez indígena</w:t>
      </w:r>
    </w:p>
    <w:p w:rsidR="00200F9B" w:rsidRDefault="00805DB6">
      <w:pPr>
        <w:numPr>
          <w:ilvl w:val="0"/>
          <w:numId w:val="41"/>
        </w:numPr>
        <w:spacing w:after="200"/>
        <w:ind w:right="145"/>
        <w:jc w:val="both"/>
        <w:rPr>
          <w:sz w:val="24"/>
          <w:szCs w:val="24"/>
        </w:rPr>
      </w:pPr>
      <w:r>
        <w:rPr>
          <w:sz w:val="24"/>
          <w:szCs w:val="24"/>
        </w:rPr>
        <w:t>La población indigena representa cerca del 2% del total de la población del país, de los cuales 51,3% son NNA</w:t>
      </w:r>
      <w:r>
        <w:rPr>
          <w:sz w:val="24"/>
          <w:szCs w:val="24"/>
        </w:rPr>
        <w:t>, y 73,7% de los mismos se encuentran en situación de pobreza</w:t>
      </w:r>
      <w:r>
        <w:rPr>
          <w:sz w:val="24"/>
          <w:szCs w:val="24"/>
          <w:vertAlign w:val="superscript"/>
        </w:rPr>
        <w:footnoteReference w:id="87"/>
      </w:r>
      <w:r>
        <w:rPr>
          <w:sz w:val="24"/>
          <w:szCs w:val="24"/>
        </w:rPr>
        <w:t>. Cerca de la mitad de NNA indígenas viven en comunidades que no tienen aseguradas sus tierras, experimentando una situación de inestabilidad y exclusión de sus tierras por los desalojos forzado</w:t>
      </w:r>
      <w:r>
        <w:rPr>
          <w:sz w:val="24"/>
          <w:szCs w:val="24"/>
        </w:rPr>
        <w:t>s</w:t>
      </w:r>
      <w:r>
        <w:rPr>
          <w:sz w:val="24"/>
          <w:szCs w:val="24"/>
          <w:vertAlign w:val="superscript"/>
        </w:rPr>
        <w:footnoteReference w:id="88"/>
      </w:r>
      <w:r>
        <w:rPr>
          <w:sz w:val="24"/>
          <w:szCs w:val="24"/>
        </w:rPr>
        <w:t>. La población indígena de 15 años y más tiene un promedio de solo 4,13 años de estudio, frente a 8,3 años de otros adolescentes</w:t>
      </w:r>
      <w:r>
        <w:rPr>
          <w:sz w:val="24"/>
          <w:szCs w:val="24"/>
          <w:vertAlign w:val="superscript"/>
        </w:rPr>
        <w:footnoteReference w:id="89"/>
      </w:r>
      <w:r>
        <w:rPr>
          <w:sz w:val="24"/>
          <w:szCs w:val="24"/>
        </w:rPr>
        <w:t>.</w:t>
      </w:r>
    </w:p>
    <w:p w:rsidR="00200F9B" w:rsidRDefault="00805DB6">
      <w:pPr>
        <w:pStyle w:val="Heading3"/>
        <w:ind w:right="145"/>
        <w:jc w:val="both"/>
        <w:rPr>
          <w:i w:val="0"/>
        </w:rPr>
      </w:pPr>
      <w:bookmarkStart w:id="19" w:name="_heading=h.1ksv4uv" w:colFirst="0" w:colLast="0"/>
      <w:bookmarkEnd w:id="19"/>
      <w:r>
        <w:rPr>
          <w:i w:val="0"/>
        </w:rPr>
        <w:t xml:space="preserve">Recomendaciones: </w:t>
      </w:r>
    </w:p>
    <w:p w:rsidR="00200F9B" w:rsidRDefault="00805DB6">
      <w:pPr>
        <w:numPr>
          <w:ilvl w:val="0"/>
          <w:numId w:val="41"/>
        </w:numPr>
        <w:spacing w:after="200"/>
        <w:ind w:right="145"/>
        <w:jc w:val="both"/>
        <w:rPr>
          <w:sz w:val="26"/>
          <w:szCs w:val="26"/>
        </w:rPr>
      </w:pPr>
      <w:r>
        <w:rPr>
          <w:sz w:val="24"/>
          <w:szCs w:val="24"/>
        </w:rPr>
        <w:t>Generar un mecanismo de registro de datos sobre la situaciones de NNA refugiados en el país, que permita contar con la información necesaria para la toma de decisiones y construcción de políticas, planes y programas que puedan brindar respuestas y protecci</w:t>
      </w:r>
      <w:r>
        <w:rPr>
          <w:sz w:val="24"/>
          <w:szCs w:val="24"/>
        </w:rPr>
        <w:t xml:space="preserve">ón a NNA. </w:t>
      </w:r>
    </w:p>
    <w:p w:rsidR="00200F9B" w:rsidRDefault="00805DB6">
      <w:pPr>
        <w:numPr>
          <w:ilvl w:val="0"/>
          <w:numId w:val="41"/>
        </w:numPr>
        <w:spacing w:after="200"/>
        <w:ind w:right="145"/>
        <w:jc w:val="both"/>
        <w:rPr>
          <w:rFonts w:ascii="Roboto" w:eastAsia="Roboto" w:hAnsi="Roboto" w:cs="Roboto"/>
        </w:rPr>
      </w:pPr>
      <w:r>
        <w:rPr>
          <w:sz w:val="24"/>
          <w:szCs w:val="24"/>
        </w:rPr>
        <w:t>El Estado debe implementar eficientemente la Estrategia de Prevención y Erradicación del Trabajo Infantil, brindando una respuesta integral para prevenir la exposición de NNA a trabajos peligrosos y no protegidos, deben implementarse programas e</w:t>
      </w:r>
      <w:r>
        <w:rPr>
          <w:sz w:val="24"/>
          <w:szCs w:val="24"/>
        </w:rPr>
        <w:t xml:space="preserve">n los territorios. </w:t>
      </w:r>
    </w:p>
    <w:p w:rsidR="00200F9B" w:rsidRDefault="00805DB6">
      <w:pPr>
        <w:numPr>
          <w:ilvl w:val="0"/>
          <w:numId w:val="41"/>
        </w:numPr>
        <w:spacing w:after="200"/>
        <w:ind w:right="145"/>
        <w:jc w:val="both"/>
        <w:rPr>
          <w:sz w:val="24"/>
          <w:szCs w:val="24"/>
        </w:rPr>
      </w:pPr>
      <w:r>
        <w:rPr>
          <w:sz w:val="24"/>
          <w:szCs w:val="24"/>
        </w:rPr>
        <w:t>Abordar la problemática de NNA en situación de calle desde un enfoque integral y territorial, contemplando los factores estructurales que lo propicia, abandonando el modelo represivo o de invisibilización actual.</w:t>
      </w:r>
    </w:p>
    <w:p w:rsidR="00200F9B" w:rsidRDefault="00805DB6">
      <w:pPr>
        <w:numPr>
          <w:ilvl w:val="0"/>
          <w:numId w:val="41"/>
        </w:numPr>
        <w:spacing w:after="200"/>
        <w:ind w:right="145"/>
        <w:jc w:val="both"/>
        <w:rPr>
          <w:sz w:val="24"/>
          <w:szCs w:val="24"/>
        </w:rPr>
      </w:pPr>
      <w:r>
        <w:rPr>
          <w:sz w:val="24"/>
          <w:szCs w:val="24"/>
        </w:rPr>
        <w:t>Que el Estado aborde el</w:t>
      </w:r>
      <w:r>
        <w:rPr>
          <w:sz w:val="24"/>
          <w:szCs w:val="24"/>
        </w:rPr>
        <w:t xml:space="preserve"> criadazgo reconociendo su origen en la desigualdad estructural e histórica, a través de un abordaje integral y no centrado en la penalización, con un plan de acción que contenga ejes de prevención, detección, atención, reintegración familiar y restauració</w:t>
      </w:r>
      <w:r>
        <w:rPr>
          <w:sz w:val="24"/>
          <w:szCs w:val="24"/>
        </w:rPr>
        <w:t>n de derechos, garantizando el acceso a educación, salud y trabajo digno.</w:t>
      </w:r>
    </w:p>
    <w:p w:rsidR="00200F9B" w:rsidRDefault="00805DB6">
      <w:pPr>
        <w:numPr>
          <w:ilvl w:val="0"/>
          <w:numId w:val="41"/>
        </w:numPr>
        <w:spacing w:after="200"/>
        <w:ind w:right="145"/>
        <w:jc w:val="both"/>
        <w:rPr>
          <w:sz w:val="24"/>
          <w:szCs w:val="24"/>
        </w:rPr>
      </w:pPr>
      <w:r>
        <w:rPr>
          <w:sz w:val="24"/>
          <w:szCs w:val="24"/>
        </w:rPr>
        <w:t>Reglamentar e implementar la Ley Nº 6.202 “De prevención del abuso sexual y la atención integral de los NNA víctimas de abuso sexual” estableciendo acciones claras de prevención a se</w:t>
      </w:r>
      <w:r>
        <w:rPr>
          <w:sz w:val="24"/>
          <w:szCs w:val="24"/>
        </w:rPr>
        <w:t>r impulsadas desde el sistema educativo, asegurando el financiamiento para la implementación diligente de la ley; y que el Estado tome todas las medidas necesarias para evitar el retroceso en derechos ya reconocidos y la cesión constante ante la presión de</w:t>
      </w:r>
      <w:r>
        <w:rPr>
          <w:sz w:val="24"/>
          <w:szCs w:val="24"/>
        </w:rPr>
        <w:t xml:space="preserve"> grupos antiderechos.</w:t>
      </w:r>
    </w:p>
    <w:p w:rsidR="00200F9B" w:rsidRDefault="00805DB6">
      <w:pPr>
        <w:numPr>
          <w:ilvl w:val="0"/>
          <w:numId w:val="41"/>
        </w:numPr>
        <w:spacing w:after="200"/>
        <w:jc w:val="both"/>
        <w:rPr>
          <w:sz w:val="24"/>
          <w:szCs w:val="24"/>
        </w:rPr>
      </w:pPr>
      <w:r>
        <w:rPr>
          <w:sz w:val="24"/>
          <w:szCs w:val="24"/>
        </w:rPr>
        <w:t>Atender la recomendación realizada por CEDAW, respecto a eliminar la figura del Estupro del Código Penal, adquiriendo su naturaleza real de abuso, y que esté en línea con las normas internacionales.</w:t>
      </w:r>
    </w:p>
    <w:p w:rsidR="00200F9B" w:rsidRDefault="00805DB6">
      <w:pPr>
        <w:numPr>
          <w:ilvl w:val="0"/>
          <w:numId w:val="41"/>
        </w:numPr>
        <w:spacing w:after="200"/>
        <w:ind w:right="145"/>
        <w:jc w:val="both"/>
        <w:rPr>
          <w:sz w:val="24"/>
          <w:szCs w:val="24"/>
        </w:rPr>
      </w:pPr>
      <w:r>
        <w:rPr>
          <w:sz w:val="24"/>
          <w:szCs w:val="24"/>
        </w:rPr>
        <w:t>Que la Fiscalía investigue sin dila</w:t>
      </w:r>
      <w:r>
        <w:rPr>
          <w:sz w:val="24"/>
          <w:szCs w:val="24"/>
        </w:rPr>
        <w:t>ciones, todas las denuncias formuladas sobre el abuso sexual y embarazo de niñas, así como matrimonios y uniones forzados, con especial atención a NNA de Pueblos Indigenas.</w:t>
      </w:r>
    </w:p>
    <w:p w:rsidR="00200F9B" w:rsidRDefault="00805DB6">
      <w:pPr>
        <w:numPr>
          <w:ilvl w:val="0"/>
          <w:numId w:val="41"/>
        </w:numPr>
        <w:spacing w:after="200"/>
        <w:ind w:right="145"/>
        <w:jc w:val="both"/>
        <w:rPr>
          <w:sz w:val="24"/>
          <w:szCs w:val="24"/>
        </w:rPr>
      </w:pPr>
      <w:r>
        <w:rPr>
          <w:sz w:val="24"/>
          <w:szCs w:val="24"/>
        </w:rPr>
        <w:t>Promover mecanismos de detección temprana de potenciales víctimas de trata de perso</w:t>
      </w:r>
      <w:r>
        <w:rPr>
          <w:sz w:val="24"/>
          <w:szCs w:val="24"/>
        </w:rPr>
        <w:t>nas y explotación, con énfasis en la protección integral, y brindar atención con urgencia a NNA que se encuentran en situación de trata, siendo un eje central la restitución de derechos, considerando la integralidad de las víctimas, que requieren asistenci</w:t>
      </w:r>
      <w:r>
        <w:rPr>
          <w:sz w:val="24"/>
          <w:szCs w:val="24"/>
        </w:rPr>
        <w:t>a psicológica, económica, sanitaria, a largo plazo, en el marco de la configuración de proyectos de vida emancipadores.</w:t>
      </w:r>
    </w:p>
    <w:p w:rsidR="00200F9B" w:rsidRDefault="00805DB6">
      <w:pPr>
        <w:numPr>
          <w:ilvl w:val="0"/>
          <w:numId w:val="41"/>
        </w:numPr>
        <w:spacing w:after="200"/>
        <w:ind w:right="145"/>
        <w:jc w:val="both"/>
        <w:rPr>
          <w:sz w:val="24"/>
          <w:szCs w:val="24"/>
        </w:rPr>
      </w:pPr>
      <w:r>
        <w:rPr>
          <w:sz w:val="24"/>
          <w:szCs w:val="24"/>
        </w:rPr>
        <w:t>Fortalecer la línea gratuita Fono Ayuda 147, reconociendo su importancia, a pesar de las limitaciones del SIPPINA, realizando la comunic</w:t>
      </w:r>
      <w:r>
        <w:rPr>
          <w:sz w:val="24"/>
          <w:szCs w:val="24"/>
        </w:rPr>
        <w:t xml:space="preserve">ación de los hechos las 24 horas. Debe asegurarse que el servicio cuente con la cantidad de profesionales requeridos y con perfil idóneo para la atención integral. Brindar seguimiento a los casos para determinar si efectivamente ingresaron al SIPPINA y si </w:t>
      </w:r>
      <w:r>
        <w:rPr>
          <w:sz w:val="24"/>
          <w:szCs w:val="24"/>
        </w:rPr>
        <w:t xml:space="preserve">los NNA han sido protegidos. </w:t>
      </w:r>
    </w:p>
    <w:p w:rsidR="00200F9B" w:rsidRDefault="00805DB6">
      <w:pPr>
        <w:numPr>
          <w:ilvl w:val="0"/>
          <w:numId w:val="41"/>
        </w:numPr>
        <w:spacing w:after="200"/>
        <w:ind w:right="145"/>
        <w:jc w:val="both"/>
        <w:rPr>
          <w:sz w:val="24"/>
          <w:szCs w:val="24"/>
        </w:rPr>
      </w:pPr>
      <w:r>
        <w:rPr>
          <w:sz w:val="24"/>
          <w:szCs w:val="24"/>
        </w:rPr>
        <w:t>Que los Juzgados Penales de la Adolescencia implementen las disposiciones del Libro Quinto del Código de la Niñez; que la prisión preventiva tenga un carácter absolutamente excepcional, dando prioridad a las medidas en régimen de libertad. La Fiscalía, deb</w:t>
      </w:r>
      <w:r>
        <w:rPr>
          <w:sz w:val="24"/>
          <w:szCs w:val="24"/>
        </w:rPr>
        <w:t xml:space="preserve">e reabrir la Unidad Especializada Penal Adolescente conformada por Fiscales con conocimiento en la materia. </w:t>
      </w:r>
    </w:p>
    <w:p w:rsidR="00200F9B" w:rsidRDefault="00805DB6">
      <w:pPr>
        <w:numPr>
          <w:ilvl w:val="0"/>
          <w:numId w:val="41"/>
        </w:numPr>
        <w:spacing w:after="200"/>
        <w:ind w:right="145"/>
        <w:jc w:val="both"/>
        <w:rPr>
          <w:sz w:val="24"/>
          <w:szCs w:val="24"/>
        </w:rPr>
      </w:pPr>
      <w:r>
        <w:rPr>
          <w:sz w:val="24"/>
          <w:szCs w:val="24"/>
        </w:rPr>
        <w:t>El Ministerio de Justicia debe implementar y presupuestar con el MINNA la Política Penal Adolescente, y así también, diseñar, instalar e implementa</w:t>
      </w:r>
      <w:r>
        <w:rPr>
          <w:sz w:val="24"/>
          <w:szCs w:val="24"/>
        </w:rPr>
        <w:t>r un Modelo de Aplicación de Medidas en Régimen de Libertad, dotándolo de los recursos humanos y materiales necesarios.</w:t>
      </w:r>
    </w:p>
    <w:p w:rsidR="00200F9B" w:rsidRDefault="00805DB6">
      <w:pPr>
        <w:numPr>
          <w:ilvl w:val="0"/>
          <w:numId w:val="41"/>
        </w:numPr>
        <w:spacing w:after="200"/>
        <w:ind w:right="145"/>
        <w:jc w:val="both"/>
        <w:rPr>
          <w:sz w:val="24"/>
          <w:szCs w:val="24"/>
        </w:rPr>
      </w:pPr>
      <w:r>
        <w:rPr>
          <w:sz w:val="24"/>
          <w:szCs w:val="24"/>
        </w:rPr>
        <w:t>Delimitar de manera clara los procedimientos para que NNA víctimas o testigos de delitos tengan la protección y el acompañamiento requer</w:t>
      </w:r>
      <w:r>
        <w:rPr>
          <w:sz w:val="24"/>
          <w:szCs w:val="24"/>
        </w:rPr>
        <w:t xml:space="preserve">ido antes, durante y después del proceso penal, evitando su revictimización o exposición a nuevas situaciones de vulneración de derechos.  </w:t>
      </w:r>
    </w:p>
    <w:p w:rsidR="00200F9B" w:rsidRDefault="00805DB6">
      <w:pPr>
        <w:numPr>
          <w:ilvl w:val="0"/>
          <w:numId w:val="41"/>
        </w:numPr>
        <w:spacing w:after="200"/>
        <w:ind w:right="145"/>
        <w:jc w:val="both"/>
        <w:rPr>
          <w:sz w:val="24"/>
          <w:szCs w:val="24"/>
        </w:rPr>
      </w:pPr>
      <w:r>
        <w:rPr>
          <w:sz w:val="24"/>
          <w:szCs w:val="24"/>
        </w:rPr>
        <w:t>Implementar de manera efectiva el Plan Nacional de Pueblos Indígenas y dotarlo del presupuesto necesario para llevar</w:t>
      </w:r>
      <w:r>
        <w:rPr>
          <w:sz w:val="24"/>
          <w:szCs w:val="24"/>
        </w:rPr>
        <w:t xml:space="preserve"> adelante su ejecución. Reestructurar el INDI, contemplando y asegurando presupuesto para la compra y conservación de tierras indígenas, y apoyando el arraigo comunitario. </w:t>
      </w:r>
    </w:p>
    <w:p w:rsidR="00200F9B" w:rsidRDefault="00805DB6">
      <w:pPr>
        <w:pStyle w:val="Heading2"/>
        <w:numPr>
          <w:ilvl w:val="0"/>
          <w:numId w:val="21"/>
        </w:numPr>
        <w:jc w:val="both"/>
      </w:pPr>
      <w:bookmarkStart w:id="20" w:name="_heading=h.44sinio" w:colFirst="0" w:colLast="0"/>
      <w:bookmarkEnd w:id="20"/>
      <w:r>
        <w:t>Protocolo Facultativo Relativo a la Venta de Niños, la Prostitución Infantil y la U</w:t>
      </w:r>
      <w:r>
        <w:t>tilización de los Niños en la Pornografía</w:t>
      </w:r>
    </w:p>
    <w:p w:rsidR="00200F9B" w:rsidRDefault="00805DB6">
      <w:pPr>
        <w:numPr>
          <w:ilvl w:val="0"/>
          <w:numId w:val="10"/>
        </w:numPr>
        <w:spacing w:after="200"/>
        <w:rPr>
          <w:b/>
          <w:sz w:val="24"/>
          <w:szCs w:val="24"/>
        </w:rPr>
      </w:pPr>
      <w:r>
        <w:rPr>
          <w:b/>
          <w:sz w:val="24"/>
          <w:szCs w:val="24"/>
        </w:rPr>
        <w:t xml:space="preserve">Datos </w:t>
      </w:r>
    </w:p>
    <w:p w:rsidR="00200F9B" w:rsidRDefault="00805DB6">
      <w:pPr>
        <w:numPr>
          <w:ilvl w:val="0"/>
          <w:numId w:val="41"/>
        </w:numPr>
        <w:spacing w:after="200"/>
        <w:ind w:right="145"/>
        <w:jc w:val="both"/>
        <w:rPr>
          <w:sz w:val="24"/>
          <w:szCs w:val="24"/>
        </w:rPr>
      </w:pPr>
      <w:r>
        <w:rPr>
          <w:sz w:val="24"/>
          <w:szCs w:val="24"/>
        </w:rPr>
        <w:t>La producción estadística ha mostrado avances, pero persisten deficiencias, en el ámbito judicial, por falta de desagregaciones y de trazabilidad de los datos, imposibilitando hacer seguimientos a los proces</w:t>
      </w:r>
      <w:r>
        <w:rPr>
          <w:sz w:val="24"/>
          <w:szCs w:val="24"/>
        </w:rPr>
        <w:t>os judiciales, desde el ingreso de la denuncia hasta la condena.</w:t>
      </w:r>
    </w:p>
    <w:p w:rsidR="00200F9B" w:rsidRDefault="00805DB6">
      <w:pPr>
        <w:numPr>
          <w:ilvl w:val="0"/>
          <w:numId w:val="41"/>
        </w:numPr>
        <w:spacing w:after="200"/>
        <w:ind w:right="145"/>
        <w:jc w:val="both"/>
        <w:rPr>
          <w:sz w:val="24"/>
          <w:szCs w:val="24"/>
        </w:rPr>
      </w:pPr>
      <w:r>
        <w:rPr>
          <w:sz w:val="24"/>
          <w:szCs w:val="24"/>
        </w:rPr>
        <w:t>En el 2020, se promulgó la Ley N° 6572 que crea el Registro Nacional de Agresores Sexuales de Niños, Niñas y Adolescentes y el Banco Genético</w:t>
      </w:r>
      <w:r>
        <w:rPr>
          <w:sz w:val="24"/>
          <w:szCs w:val="24"/>
          <w:vertAlign w:val="superscript"/>
        </w:rPr>
        <w:footnoteReference w:id="90"/>
      </w:r>
      <w:r>
        <w:rPr>
          <w:sz w:val="24"/>
          <w:szCs w:val="24"/>
        </w:rPr>
        <w:t>, no obstante, existe un escaso número de condena</w:t>
      </w:r>
      <w:r>
        <w:rPr>
          <w:sz w:val="24"/>
          <w:szCs w:val="24"/>
        </w:rPr>
        <w:t xml:space="preserve">s. Además, no se cuenta con información sobre su presupuesto y mecanismo de funcionamiento. </w:t>
      </w:r>
    </w:p>
    <w:p w:rsidR="00200F9B" w:rsidRDefault="00805DB6">
      <w:pPr>
        <w:numPr>
          <w:ilvl w:val="0"/>
          <w:numId w:val="45"/>
        </w:numPr>
        <w:spacing w:after="200"/>
        <w:ind w:right="145"/>
        <w:jc w:val="both"/>
        <w:rPr>
          <w:rFonts w:ascii="Calibri" w:eastAsia="Calibri" w:hAnsi="Calibri" w:cs="Calibri"/>
          <w:sz w:val="24"/>
          <w:szCs w:val="24"/>
        </w:rPr>
      </w:pPr>
      <w:r>
        <w:rPr>
          <w:b/>
          <w:sz w:val="24"/>
          <w:szCs w:val="24"/>
        </w:rPr>
        <w:t>Plan de acción nacional</w:t>
      </w:r>
      <w:r>
        <w:rPr>
          <w:sz w:val="24"/>
          <w:szCs w:val="24"/>
        </w:rPr>
        <w:tab/>
      </w:r>
    </w:p>
    <w:p w:rsidR="00200F9B" w:rsidRDefault="00805DB6">
      <w:pPr>
        <w:numPr>
          <w:ilvl w:val="0"/>
          <w:numId w:val="41"/>
        </w:numPr>
        <w:spacing w:after="200"/>
        <w:ind w:right="145"/>
        <w:jc w:val="both"/>
        <w:rPr>
          <w:sz w:val="24"/>
          <w:szCs w:val="24"/>
        </w:rPr>
      </w:pPr>
      <w:r>
        <w:rPr>
          <w:sz w:val="24"/>
          <w:szCs w:val="24"/>
        </w:rPr>
        <w:t>Existe un Plan Nacional para la Prevención y el Combate de la Trata de Personas</w:t>
      </w:r>
      <w:r>
        <w:rPr>
          <w:sz w:val="24"/>
          <w:szCs w:val="24"/>
          <w:vertAlign w:val="superscript"/>
        </w:rPr>
        <w:footnoteReference w:id="91"/>
      </w:r>
      <w:r>
        <w:rPr>
          <w:sz w:val="24"/>
          <w:szCs w:val="24"/>
        </w:rPr>
        <w:t>, incluyendo la explotación sexual y la pornografía, pero,</w:t>
      </w:r>
      <w:r>
        <w:rPr>
          <w:sz w:val="24"/>
          <w:szCs w:val="24"/>
        </w:rPr>
        <w:t xml:space="preserve"> no ha logrado desarrollar un abordaje que genere prevención y atienda de manera integral a las personas víctimas; y que los hechos sean investigados con celeridad. Las acciones no se articulan con las políticas públicas de prevención y represión de estos </w:t>
      </w:r>
      <w:r>
        <w:rPr>
          <w:sz w:val="24"/>
          <w:szCs w:val="24"/>
        </w:rPr>
        <w:t>crímenes y no cuentan con el presupuesto necesario.</w:t>
      </w:r>
    </w:p>
    <w:p w:rsidR="00200F9B" w:rsidRDefault="00805DB6">
      <w:pPr>
        <w:numPr>
          <w:ilvl w:val="0"/>
          <w:numId w:val="48"/>
        </w:numPr>
        <w:spacing w:after="200"/>
        <w:ind w:right="145"/>
        <w:jc w:val="both"/>
        <w:rPr>
          <w:b/>
          <w:sz w:val="24"/>
          <w:szCs w:val="24"/>
        </w:rPr>
      </w:pPr>
      <w:r>
        <w:rPr>
          <w:b/>
          <w:sz w:val="24"/>
          <w:szCs w:val="24"/>
        </w:rPr>
        <w:t>Coordinación y evaluación</w:t>
      </w:r>
      <w:r>
        <w:rPr>
          <w:b/>
          <w:sz w:val="24"/>
          <w:szCs w:val="24"/>
        </w:rPr>
        <w:tab/>
      </w:r>
    </w:p>
    <w:p w:rsidR="00200F9B" w:rsidRDefault="00805DB6">
      <w:pPr>
        <w:numPr>
          <w:ilvl w:val="0"/>
          <w:numId w:val="41"/>
        </w:numPr>
        <w:spacing w:after="200"/>
        <w:ind w:right="145"/>
        <w:jc w:val="both"/>
        <w:rPr>
          <w:sz w:val="24"/>
          <w:szCs w:val="24"/>
        </w:rPr>
      </w:pPr>
      <w:r>
        <w:rPr>
          <w:sz w:val="24"/>
          <w:szCs w:val="24"/>
        </w:rPr>
        <w:t>La coordinación y articulación interinstitucional, multinivel e intersectorial es deficiente; existe la mesa interinstitucional de la prevención y combate a la trata, pero sin i</w:t>
      </w:r>
      <w:r>
        <w:rPr>
          <w:sz w:val="24"/>
          <w:szCs w:val="24"/>
        </w:rPr>
        <w:t>nformación pública y detallada sobre la vigencia y funcionamiento de la misma. Además, si bien en todos los ámbitos es clave el trabajo articulado entre Estado y Sociedad Civil, la participación de sociedad civil fue excluida de esta mesa</w:t>
      </w:r>
      <w:r>
        <w:rPr>
          <w:sz w:val="24"/>
          <w:szCs w:val="24"/>
          <w:vertAlign w:val="superscript"/>
        </w:rPr>
        <w:footnoteReference w:id="92"/>
      </w:r>
      <w:r>
        <w:rPr>
          <w:sz w:val="24"/>
          <w:szCs w:val="24"/>
        </w:rPr>
        <w:t>. La instancia es</w:t>
      </w:r>
      <w:r>
        <w:rPr>
          <w:sz w:val="24"/>
          <w:szCs w:val="24"/>
        </w:rPr>
        <w:t xml:space="preserve"> coordinada por la Cancillería, sin fuerza política para sostener procesos de gestión institucional de políticas públicas y presupuestos.  </w:t>
      </w:r>
    </w:p>
    <w:p w:rsidR="00200F9B" w:rsidRDefault="00805DB6">
      <w:pPr>
        <w:numPr>
          <w:ilvl w:val="0"/>
          <w:numId w:val="42"/>
        </w:numPr>
        <w:spacing w:after="200"/>
        <w:ind w:right="145"/>
        <w:jc w:val="both"/>
        <w:rPr>
          <w:rFonts w:ascii="Calibri" w:eastAsia="Calibri" w:hAnsi="Calibri" w:cs="Calibri"/>
          <w:sz w:val="24"/>
          <w:szCs w:val="24"/>
        </w:rPr>
      </w:pPr>
      <w:r>
        <w:rPr>
          <w:b/>
          <w:sz w:val="24"/>
          <w:szCs w:val="24"/>
        </w:rPr>
        <w:t>Difusión y Sensibilización</w:t>
      </w:r>
      <w:r>
        <w:rPr>
          <w:sz w:val="24"/>
          <w:szCs w:val="24"/>
        </w:rPr>
        <w:tab/>
      </w:r>
    </w:p>
    <w:p w:rsidR="00200F9B" w:rsidRDefault="00805DB6">
      <w:pPr>
        <w:numPr>
          <w:ilvl w:val="0"/>
          <w:numId w:val="41"/>
        </w:numPr>
        <w:spacing w:after="200"/>
        <w:ind w:right="145"/>
        <w:jc w:val="both"/>
        <w:rPr>
          <w:sz w:val="24"/>
          <w:szCs w:val="24"/>
        </w:rPr>
      </w:pPr>
      <w:r>
        <w:rPr>
          <w:sz w:val="24"/>
          <w:szCs w:val="24"/>
        </w:rPr>
        <w:t>Si bien existe difusión sobre la trata -no sobre el protocolo en sí- por medio de campañ</w:t>
      </w:r>
      <w:r>
        <w:rPr>
          <w:sz w:val="24"/>
          <w:szCs w:val="24"/>
        </w:rPr>
        <w:t>as, estas no son suficientes, no tiene alcance masivo y es financiado por la cooperación. Aún se presenta un alto grado de desconocimiento sobre la problemática, cómo prevenirla y cómo actuar o donde ocurrir ante el conocimiento de un hecho. El sistema edu</w:t>
      </w:r>
      <w:r>
        <w:rPr>
          <w:sz w:val="24"/>
          <w:szCs w:val="24"/>
        </w:rPr>
        <w:t xml:space="preserve">cativo, siendo clave, no es aprovechado. </w:t>
      </w:r>
    </w:p>
    <w:p w:rsidR="00200F9B" w:rsidRDefault="00805DB6">
      <w:pPr>
        <w:numPr>
          <w:ilvl w:val="0"/>
          <w:numId w:val="7"/>
        </w:numPr>
        <w:spacing w:after="200"/>
        <w:ind w:right="145"/>
        <w:jc w:val="both"/>
        <w:rPr>
          <w:b/>
          <w:sz w:val="24"/>
          <w:szCs w:val="24"/>
        </w:rPr>
      </w:pPr>
      <w:r>
        <w:rPr>
          <w:b/>
          <w:sz w:val="24"/>
          <w:szCs w:val="24"/>
        </w:rPr>
        <w:t xml:space="preserve">Capacitación </w:t>
      </w:r>
      <w:r>
        <w:rPr>
          <w:b/>
          <w:sz w:val="24"/>
          <w:szCs w:val="24"/>
        </w:rPr>
        <w:tab/>
      </w:r>
    </w:p>
    <w:p w:rsidR="00200F9B" w:rsidRDefault="00805DB6">
      <w:pPr>
        <w:numPr>
          <w:ilvl w:val="0"/>
          <w:numId w:val="41"/>
        </w:numPr>
        <w:spacing w:after="200"/>
        <w:ind w:right="145"/>
        <w:jc w:val="both"/>
        <w:rPr>
          <w:sz w:val="24"/>
          <w:szCs w:val="24"/>
        </w:rPr>
      </w:pPr>
      <w:r>
        <w:rPr>
          <w:sz w:val="24"/>
          <w:szCs w:val="24"/>
        </w:rPr>
        <w:t>Las capacitaciones a diferentes actores de justicia y profesionales vinculados al sector de niñez se desarrollan en forma aislada y esporádica, -sin necesariamente abordar el protocolo facultativo- s</w:t>
      </w:r>
      <w:r>
        <w:rPr>
          <w:sz w:val="24"/>
          <w:szCs w:val="24"/>
        </w:rPr>
        <w:t xml:space="preserve">in lograr que sean sistemáticas y periódicas. </w:t>
      </w:r>
    </w:p>
    <w:p w:rsidR="00200F9B" w:rsidRDefault="00805DB6">
      <w:pPr>
        <w:numPr>
          <w:ilvl w:val="0"/>
          <w:numId w:val="39"/>
        </w:numPr>
        <w:spacing w:after="200"/>
        <w:ind w:right="145"/>
        <w:jc w:val="both"/>
        <w:rPr>
          <w:rFonts w:ascii="Calibri" w:eastAsia="Calibri" w:hAnsi="Calibri" w:cs="Calibri"/>
          <w:sz w:val="24"/>
          <w:szCs w:val="24"/>
        </w:rPr>
      </w:pPr>
      <w:r>
        <w:rPr>
          <w:b/>
          <w:sz w:val="24"/>
          <w:szCs w:val="24"/>
        </w:rPr>
        <w:t>Asignación de recursos</w:t>
      </w:r>
      <w:r>
        <w:rPr>
          <w:sz w:val="24"/>
          <w:szCs w:val="24"/>
        </w:rPr>
        <w:tab/>
      </w:r>
    </w:p>
    <w:p w:rsidR="00200F9B" w:rsidRDefault="00805DB6">
      <w:pPr>
        <w:numPr>
          <w:ilvl w:val="0"/>
          <w:numId w:val="41"/>
        </w:numPr>
        <w:spacing w:after="200"/>
        <w:ind w:right="145"/>
        <w:jc w:val="both"/>
        <w:rPr>
          <w:sz w:val="24"/>
          <w:szCs w:val="24"/>
        </w:rPr>
      </w:pPr>
      <w:r>
        <w:rPr>
          <w:sz w:val="24"/>
          <w:szCs w:val="24"/>
        </w:rPr>
        <w:t>Si bien el Estado posee partidas presupuestarias concretas, no son suficientes, un ejemplo claro es la inversión del Ministerio de la Mujer para abordar la trata de personas, menos de m</w:t>
      </w:r>
      <w:r>
        <w:rPr>
          <w:sz w:val="24"/>
          <w:szCs w:val="24"/>
        </w:rPr>
        <w:t>il seiscientos (1600) dólares anuales. La asignación eficiente de los recursos para la prevención, protección, rehabilitación física y psicológica y reintegración social de NNA víctimas, así como a la investigación sigue siendo deficiente por parte del Est</w:t>
      </w:r>
      <w:r>
        <w:rPr>
          <w:sz w:val="24"/>
          <w:szCs w:val="24"/>
        </w:rPr>
        <w:t>ado.</w:t>
      </w:r>
    </w:p>
    <w:p w:rsidR="00200F9B" w:rsidRDefault="00805DB6">
      <w:pPr>
        <w:numPr>
          <w:ilvl w:val="0"/>
          <w:numId w:val="14"/>
        </w:numPr>
        <w:spacing w:after="200"/>
        <w:ind w:right="145"/>
        <w:jc w:val="both"/>
        <w:rPr>
          <w:b/>
          <w:sz w:val="24"/>
          <w:szCs w:val="24"/>
        </w:rPr>
      </w:pPr>
      <w:r>
        <w:rPr>
          <w:b/>
          <w:sz w:val="24"/>
          <w:szCs w:val="24"/>
        </w:rPr>
        <w:t>La sociedad civil</w:t>
      </w:r>
      <w:r>
        <w:rPr>
          <w:b/>
          <w:sz w:val="24"/>
          <w:szCs w:val="24"/>
        </w:rPr>
        <w:tab/>
      </w:r>
    </w:p>
    <w:p w:rsidR="00200F9B" w:rsidRDefault="00805DB6">
      <w:pPr>
        <w:numPr>
          <w:ilvl w:val="0"/>
          <w:numId w:val="41"/>
        </w:numPr>
        <w:spacing w:after="200"/>
        <w:ind w:right="145"/>
        <w:jc w:val="both"/>
        <w:rPr>
          <w:sz w:val="24"/>
          <w:szCs w:val="24"/>
        </w:rPr>
      </w:pPr>
      <w:r>
        <w:rPr>
          <w:sz w:val="24"/>
          <w:szCs w:val="24"/>
        </w:rPr>
        <w:t>Si bien la Ley</w:t>
      </w:r>
      <w:r>
        <w:rPr>
          <w:sz w:val="24"/>
          <w:szCs w:val="24"/>
          <w:vertAlign w:val="superscript"/>
        </w:rPr>
        <w:footnoteReference w:id="93"/>
      </w:r>
      <w:r>
        <w:rPr>
          <w:sz w:val="24"/>
          <w:szCs w:val="24"/>
        </w:rPr>
        <w:t xml:space="preserve"> establece que “El Estado paraguayo buscará, siempre que las circunstancias lo permitan, un trabajo coordinado con la sociedad civil y sector privado en general, a efecto de la prevención y reinserción de las víctimas de la trata de personas”, la propia le</w:t>
      </w:r>
      <w:r>
        <w:rPr>
          <w:sz w:val="24"/>
          <w:szCs w:val="24"/>
        </w:rPr>
        <w:t>y excluye su participación, es decir, no prevé representación de la sociedad civil en la mesa interinstitucional de trata. No obstante, desde la sociedad civil, ante la gravedad de la situación y la falta de respuesta por parte del Estado, continúa realiza</w:t>
      </w:r>
      <w:r>
        <w:rPr>
          <w:sz w:val="24"/>
          <w:szCs w:val="24"/>
        </w:rPr>
        <w:t xml:space="preserve">ndo acciones que contribuyen a prevenir y atender a las personas víctimas. En este aspecto, se puede mencionar a la Fundación Buen Pastor quienes en co-coordinación con el MINNA, impulsan el único albergue para la atención de niñas y adolescentes víctimas </w:t>
      </w:r>
      <w:r>
        <w:rPr>
          <w:sz w:val="24"/>
          <w:szCs w:val="24"/>
        </w:rPr>
        <w:t xml:space="preserve">de trata.   </w:t>
      </w:r>
    </w:p>
    <w:p w:rsidR="00200F9B" w:rsidRDefault="00805DB6">
      <w:pPr>
        <w:numPr>
          <w:ilvl w:val="0"/>
          <w:numId w:val="1"/>
        </w:numPr>
        <w:spacing w:after="200"/>
        <w:ind w:right="145"/>
        <w:jc w:val="both"/>
        <w:rPr>
          <w:b/>
          <w:sz w:val="24"/>
          <w:szCs w:val="24"/>
        </w:rPr>
      </w:pPr>
      <w:r>
        <w:rPr>
          <w:b/>
          <w:sz w:val="24"/>
          <w:szCs w:val="24"/>
        </w:rPr>
        <w:t>Medidas adoptadas para prevenir los delitos prohibidos por el Protocolo</w:t>
      </w:r>
    </w:p>
    <w:p w:rsidR="00200F9B" w:rsidRDefault="00805DB6">
      <w:pPr>
        <w:numPr>
          <w:ilvl w:val="0"/>
          <w:numId w:val="41"/>
        </w:numPr>
        <w:spacing w:after="200"/>
        <w:ind w:right="145"/>
        <w:jc w:val="both"/>
        <w:rPr>
          <w:sz w:val="24"/>
          <w:szCs w:val="24"/>
        </w:rPr>
      </w:pPr>
      <w:r>
        <w:rPr>
          <w:sz w:val="24"/>
          <w:szCs w:val="24"/>
        </w:rPr>
        <w:t>Si bien se cuenta con legislación que prohíben los delitos y existe la Unidad Penal de la Trata de Personas, responsable de realizar las investigaciones sobre la naturalez</w:t>
      </w:r>
      <w:r>
        <w:rPr>
          <w:sz w:val="24"/>
          <w:szCs w:val="24"/>
        </w:rPr>
        <w:t>a y el alcance de la venta de niños, la prostitución infantil y la utilización de niños en la pornografía, no se han abordado los factores preventivos para evitar que sigan ocurriendo o puedan identificarse de manera rápida si se encuentran en riesgo. Ante</w:t>
      </w:r>
      <w:r>
        <w:rPr>
          <w:sz w:val="24"/>
          <w:szCs w:val="24"/>
        </w:rPr>
        <w:t xml:space="preserve"> la preocupación del CDN con relación a la participación de niñas y adolescentes en concursos de bellezas, estos hechos se siguen realizando y son fomentados por autoridades, a nivel local y de instituciones educativas.</w:t>
      </w:r>
    </w:p>
    <w:p w:rsidR="00200F9B" w:rsidRDefault="00805DB6">
      <w:pPr>
        <w:numPr>
          <w:ilvl w:val="0"/>
          <w:numId w:val="31"/>
        </w:numPr>
        <w:spacing w:after="200"/>
        <w:ind w:right="145"/>
        <w:jc w:val="both"/>
        <w:rPr>
          <w:b/>
          <w:sz w:val="24"/>
          <w:szCs w:val="24"/>
        </w:rPr>
      </w:pPr>
      <w:r>
        <w:rPr>
          <w:b/>
          <w:sz w:val="24"/>
          <w:szCs w:val="24"/>
        </w:rPr>
        <w:t>Adopción</w:t>
      </w:r>
      <w:r>
        <w:rPr>
          <w:b/>
          <w:sz w:val="24"/>
          <w:szCs w:val="24"/>
        </w:rPr>
        <w:tab/>
      </w:r>
    </w:p>
    <w:p w:rsidR="00200F9B" w:rsidRDefault="00805DB6">
      <w:pPr>
        <w:numPr>
          <w:ilvl w:val="0"/>
          <w:numId w:val="41"/>
        </w:numPr>
        <w:spacing w:after="200"/>
        <w:ind w:right="145"/>
        <w:jc w:val="both"/>
        <w:rPr>
          <w:sz w:val="24"/>
          <w:szCs w:val="24"/>
        </w:rPr>
      </w:pPr>
      <w:r>
        <w:rPr>
          <w:sz w:val="24"/>
          <w:szCs w:val="24"/>
        </w:rPr>
        <w:t xml:space="preserve">Con la nueva legislación, </w:t>
      </w:r>
      <w:r>
        <w:rPr>
          <w:sz w:val="24"/>
          <w:szCs w:val="24"/>
        </w:rPr>
        <w:t>la Ley 6486/2020 sobre cuidados alternativos y adopción</w:t>
      </w:r>
      <w:r>
        <w:rPr>
          <w:sz w:val="24"/>
          <w:szCs w:val="24"/>
          <w:vertAlign w:val="superscript"/>
        </w:rPr>
        <w:footnoteReference w:id="94"/>
      </w:r>
      <w:r>
        <w:rPr>
          <w:sz w:val="24"/>
          <w:szCs w:val="24"/>
        </w:rPr>
        <w:t>, se ha eliminado la figura de la guarda provisoria y se establece, en el Art. 112 las infracciones que pueden desencadenar incumplimiento de obligaciones por parte de toda persona física o jurídica d</w:t>
      </w:r>
      <w:r>
        <w:rPr>
          <w:sz w:val="24"/>
          <w:szCs w:val="24"/>
        </w:rPr>
        <w:t>e la cual dependiera el ejercicio o goce del derecho de NNA, reconocidos en instrumentos nacionales e internacionales, no obstante, la Ley no tiene presupuesto.</w:t>
      </w:r>
    </w:p>
    <w:p w:rsidR="00200F9B" w:rsidRDefault="00805DB6">
      <w:pPr>
        <w:numPr>
          <w:ilvl w:val="0"/>
          <w:numId w:val="49"/>
        </w:numPr>
        <w:spacing w:after="200"/>
        <w:ind w:right="145"/>
        <w:jc w:val="both"/>
        <w:rPr>
          <w:b/>
          <w:sz w:val="24"/>
          <w:szCs w:val="24"/>
        </w:rPr>
      </w:pPr>
      <w:r>
        <w:rPr>
          <w:b/>
          <w:sz w:val="24"/>
          <w:szCs w:val="24"/>
        </w:rPr>
        <w:t xml:space="preserve">Utilización de niños en el turismo sexual infantil </w:t>
      </w:r>
    </w:p>
    <w:p w:rsidR="00200F9B" w:rsidRDefault="00805DB6">
      <w:pPr>
        <w:numPr>
          <w:ilvl w:val="0"/>
          <w:numId w:val="41"/>
        </w:numPr>
        <w:spacing w:after="200"/>
        <w:ind w:right="145"/>
        <w:jc w:val="both"/>
        <w:rPr>
          <w:sz w:val="24"/>
          <w:szCs w:val="24"/>
        </w:rPr>
      </w:pPr>
      <w:r>
        <w:rPr>
          <w:sz w:val="24"/>
          <w:szCs w:val="24"/>
        </w:rPr>
        <w:t>Se destacan las campañas impulsadas desde e</w:t>
      </w:r>
      <w:r>
        <w:rPr>
          <w:sz w:val="24"/>
          <w:szCs w:val="24"/>
        </w:rPr>
        <w:t>l Estado para la reducción de estos hechos durante la carrera de autos en el Chaco</w:t>
      </w:r>
      <w:r>
        <w:rPr>
          <w:sz w:val="24"/>
          <w:szCs w:val="24"/>
          <w:vertAlign w:val="superscript"/>
        </w:rPr>
        <w:footnoteReference w:id="95"/>
      </w:r>
      <w:r>
        <w:rPr>
          <w:sz w:val="24"/>
          <w:szCs w:val="24"/>
        </w:rPr>
        <w:t>; pero existen otras situaciones de explotación sexual de niñas y adolescentes en embarcaciones que se originan en zonas fronterizas, hecho que se conoce como “barqueritas”.</w:t>
      </w:r>
      <w:r>
        <w:rPr>
          <w:sz w:val="24"/>
          <w:szCs w:val="24"/>
        </w:rPr>
        <w:t xml:space="preserve"> Esto requiere de presupuesto necesario para una mayor investigación y mejor abordaje para prevenir, detectar, atender y sancionar.</w:t>
      </w:r>
    </w:p>
    <w:p w:rsidR="00200F9B" w:rsidRDefault="00805DB6">
      <w:pPr>
        <w:numPr>
          <w:ilvl w:val="0"/>
          <w:numId w:val="49"/>
        </w:numPr>
        <w:spacing w:after="200"/>
        <w:ind w:right="145"/>
        <w:jc w:val="both"/>
        <w:rPr>
          <w:b/>
          <w:sz w:val="24"/>
          <w:szCs w:val="24"/>
        </w:rPr>
      </w:pPr>
      <w:r>
        <w:rPr>
          <w:b/>
          <w:sz w:val="24"/>
          <w:szCs w:val="24"/>
        </w:rPr>
        <w:t>Programas dirigidos a grupos particulares</w:t>
      </w:r>
      <w:r>
        <w:rPr>
          <w:b/>
          <w:sz w:val="24"/>
          <w:szCs w:val="24"/>
        </w:rPr>
        <w:tab/>
      </w:r>
    </w:p>
    <w:p w:rsidR="00200F9B" w:rsidRDefault="00805DB6">
      <w:pPr>
        <w:numPr>
          <w:ilvl w:val="0"/>
          <w:numId w:val="41"/>
        </w:numPr>
        <w:spacing w:after="200"/>
        <w:ind w:right="145"/>
        <w:jc w:val="both"/>
        <w:rPr>
          <w:sz w:val="24"/>
          <w:szCs w:val="24"/>
        </w:rPr>
      </w:pPr>
      <w:r>
        <w:rPr>
          <w:sz w:val="24"/>
          <w:szCs w:val="24"/>
        </w:rPr>
        <w:t xml:space="preserve">El Estado cuenta con programas específicos para abordar las situaciones de trata </w:t>
      </w:r>
      <w:r>
        <w:rPr>
          <w:sz w:val="24"/>
          <w:szCs w:val="24"/>
        </w:rPr>
        <w:t>pero sin presupuestos suficientes. No se trabaja en la prevención y no se tiene enfoque de género -dado que afecta mayoritariamente a niñas y adolescentes mujeres-. Se conoce las zonas de riesgo, por la pobreza como: Caaguazú, Alto Paraná, y Asunción, en e</w:t>
      </w:r>
      <w:r>
        <w:rPr>
          <w:sz w:val="24"/>
          <w:szCs w:val="24"/>
        </w:rPr>
        <w:t>special en la terminal de ómnibus</w:t>
      </w:r>
      <w:r>
        <w:rPr>
          <w:sz w:val="24"/>
          <w:szCs w:val="24"/>
          <w:vertAlign w:val="superscript"/>
        </w:rPr>
        <w:footnoteReference w:id="96"/>
      </w:r>
      <w:r>
        <w:rPr>
          <w:sz w:val="24"/>
          <w:szCs w:val="24"/>
        </w:rPr>
        <w:t xml:space="preserve"> es un foco de peligro para niñas y adolescentes de comunidades indígenas</w:t>
      </w:r>
      <w:r>
        <w:rPr>
          <w:sz w:val="24"/>
          <w:szCs w:val="24"/>
          <w:vertAlign w:val="superscript"/>
        </w:rPr>
        <w:footnoteReference w:id="97"/>
      </w:r>
      <w:r>
        <w:rPr>
          <w:sz w:val="24"/>
          <w:szCs w:val="24"/>
        </w:rPr>
        <w:t>.</w:t>
      </w:r>
    </w:p>
    <w:p w:rsidR="00200F9B" w:rsidRDefault="00805DB6">
      <w:pPr>
        <w:numPr>
          <w:ilvl w:val="0"/>
          <w:numId w:val="54"/>
        </w:numPr>
        <w:spacing w:after="200"/>
        <w:ind w:right="145"/>
        <w:jc w:val="both"/>
        <w:rPr>
          <w:b/>
          <w:sz w:val="24"/>
          <w:szCs w:val="24"/>
        </w:rPr>
      </w:pPr>
      <w:r>
        <w:rPr>
          <w:b/>
          <w:sz w:val="24"/>
          <w:szCs w:val="24"/>
        </w:rPr>
        <w:t xml:space="preserve">Leyes y reglamentos penales vigentes </w:t>
      </w:r>
    </w:p>
    <w:p w:rsidR="00200F9B" w:rsidRDefault="00805DB6">
      <w:pPr>
        <w:numPr>
          <w:ilvl w:val="0"/>
          <w:numId w:val="41"/>
        </w:numPr>
        <w:spacing w:after="200"/>
        <w:ind w:right="145"/>
        <w:jc w:val="both"/>
        <w:rPr>
          <w:sz w:val="24"/>
          <w:szCs w:val="24"/>
        </w:rPr>
      </w:pPr>
      <w:r>
        <w:rPr>
          <w:sz w:val="24"/>
          <w:szCs w:val="24"/>
        </w:rPr>
        <w:t xml:space="preserve">Posterior a las recomendaciones del Comité, Paraguay promulgó la </w:t>
      </w:r>
      <w:r>
        <w:rPr>
          <w:color w:val="2B2B2B"/>
          <w:sz w:val="21"/>
          <w:szCs w:val="21"/>
          <w:highlight w:val="white"/>
        </w:rPr>
        <w:t>L</w:t>
      </w:r>
      <w:r>
        <w:rPr>
          <w:sz w:val="24"/>
          <w:szCs w:val="24"/>
        </w:rPr>
        <w:t>ey N.° 4439/2011</w:t>
      </w:r>
      <w:r>
        <w:rPr>
          <w:sz w:val="24"/>
          <w:szCs w:val="24"/>
          <w:vertAlign w:val="superscript"/>
        </w:rPr>
        <w:footnoteReference w:id="98"/>
      </w:r>
      <w:r>
        <w:rPr>
          <w:sz w:val="24"/>
          <w:szCs w:val="24"/>
        </w:rPr>
        <w:t xml:space="preserve"> que modifica la pena par</w:t>
      </w:r>
      <w:r>
        <w:rPr>
          <w:sz w:val="24"/>
          <w:szCs w:val="24"/>
        </w:rPr>
        <w:t>a casos de pornografía relativa a NNA, elevando hasta cinco años, pudiendo ser aumentada a diez años ante situaciones agravantes; la Ley N.º 4788/2012 Integral contra la trata de personas</w:t>
      </w:r>
      <w:r>
        <w:rPr>
          <w:sz w:val="24"/>
          <w:szCs w:val="24"/>
          <w:vertAlign w:val="superscript"/>
        </w:rPr>
        <w:footnoteReference w:id="99"/>
      </w:r>
      <w:r>
        <w:rPr>
          <w:sz w:val="24"/>
          <w:szCs w:val="24"/>
        </w:rPr>
        <w:t xml:space="preserve">, además de la prevención, sanción y tipificación del delito abarca </w:t>
      </w:r>
      <w:r>
        <w:rPr>
          <w:sz w:val="24"/>
          <w:szCs w:val="24"/>
        </w:rPr>
        <w:t>la protección, asistencia y resarcimiento económico de las víctimas; La Ley Nº 5683/2016 establece la obligación de exhibir una leyenda en lugares públicos y visibles que diga “la trata de personas y en especial cuando es con fines de explotación sexual de</w:t>
      </w:r>
      <w:r>
        <w:rPr>
          <w:sz w:val="24"/>
          <w:szCs w:val="24"/>
        </w:rPr>
        <w:t xml:space="preserve"> niños, niñas y adolescentes es un crimen en la República del Paraguay; y La ley Nº 6002/2017</w:t>
      </w:r>
      <w:r>
        <w:rPr>
          <w:sz w:val="24"/>
          <w:szCs w:val="24"/>
          <w:vertAlign w:val="superscript"/>
        </w:rPr>
        <w:footnoteReference w:id="100"/>
      </w:r>
      <w:r>
        <w:rPr>
          <w:sz w:val="24"/>
          <w:szCs w:val="24"/>
        </w:rPr>
        <w:t xml:space="preserve"> introdujo una modificación al artículo 135 del Código Penal con lo que se incluye el delito de abuso por medios tecnológicos y establece que será castigado con p</w:t>
      </w:r>
      <w:r>
        <w:rPr>
          <w:sz w:val="24"/>
          <w:szCs w:val="24"/>
        </w:rPr>
        <w:t xml:space="preserve">ena privativa de libertad de hasta tres años, incluyendo la tentativa. Si bien existe una vasta producción legislativa, se carece de inversión y articulación interinstitucional para la efectividad de las mismas. </w:t>
      </w:r>
    </w:p>
    <w:p w:rsidR="00200F9B" w:rsidRDefault="00805DB6">
      <w:pPr>
        <w:numPr>
          <w:ilvl w:val="0"/>
          <w:numId w:val="27"/>
        </w:numPr>
        <w:spacing w:after="200"/>
        <w:ind w:right="145"/>
        <w:jc w:val="both"/>
        <w:rPr>
          <w:b/>
          <w:sz w:val="24"/>
          <w:szCs w:val="24"/>
        </w:rPr>
      </w:pPr>
      <w:r>
        <w:rPr>
          <w:b/>
          <w:sz w:val="24"/>
          <w:szCs w:val="24"/>
        </w:rPr>
        <w:t>Impunidad</w:t>
      </w:r>
      <w:r>
        <w:rPr>
          <w:b/>
          <w:sz w:val="24"/>
          <w:szCs w:val="24"/>
        </w:rPr>
        <w:tab/>
      </w:r>
    </w:p>
    <w:p w:rsidR="00200F9B" w:rsidRDefault="00805DB6">
      <w:pPr>
        <w:numPr>
          <w:ilvl w:val="0"/>
          <w:numId w:val="41"/>
        </w:numPr>
        <w:spacing w:after="200"/>
        <w:ind w:right="145"/>
        <w:jc w:val="both"/>
        <w:rPr>
          <w:sz w:val="24"/>
          <w:szCs w:val="24"/>
        </w:rPr>
      </w:pPr>
      <w:r>
        <w:rPr>
          <w:sz w:val="24"/>
          <w:szCs w:val="24"/>
        </w:rPr>
        <w:t>La impunidad es una realidad por</w:t>
      </w:r>
      <w:r>
        <w:rPr>
          <w:sz w:val="24"/>
          <w:szCs w:val="24"/>
        </w:rPr>
        <w:t xml:space="preserve"> el alto grado de corrupción de las instituciones del Estado, principalmente las que están relacionadas al sistema de justicia, su acceso está limitado para quienes tienen recursos. Existen hechos naturalizados que no llegan a las instancias judiciales, ot</w:t>
      </w:r>
      <w:r>
        <w:rPr>
          <w:sz w:val="24"/>
          <w:szCs w:val="24"/>
        </w:rPr>
        <w:t>ros cuyos procesos son dilatados, dejando así sin la protección requerida a NNA víctimas. Por otro lado, también se halla un escaso número de condenas concretadas, por ejemplo, durante el 2021, la Unidad de Trata de la Fiscalía, recibió 179 denuncias, y só</w:t>
      </w:r>
      <w:r>
        <w:rPr>
          <w:sz w:val="24"/>
          <w:szCs w:val="24"/>
        </w:rPr>
        <w:t xml:space="preserve">lo 26 condenas para el mismo año. Existe una alta mora judicial como consecuencia del escaso presupuesto asignado a la justicia especializada de niñez y adolescencia. </w:t>
      </w:r>
    </w:p>
    <w:p w:rsidR="00200F9B" w:rsidRDefault="00805DB6">
      <w:pPr>
        <w:numPr>
          <w:ilvl w:val="0"/>
          <w:numId w:val="52"/>
        </w:numPr>
        <w:spacing w:after="200"/>
        <w:ind w:right="145"/>
        <w:jc w:val="both"/>
        <w:rPr>
          <w:b/>
          <w:sz w:val="24"/>
          <w:szCs w:val="24"/>
        </w:rPr>
      </w:pPr>
      <w:r>
        <w:rPr>
          <w:b/>
          <w:sz w:val="24"/>
          <w:szCs w:val="24"/>
        </w:rPr>
        <w:t>Responsabilidad de personas jurídicas</w:t>
      </w:r>
    </w:p>
    <w:p w:rsidR="00200F9B" w:rsidRDefault="00805DB6">
      <w:pPr>
        <w:numPr>
          <w:ilvl w:val="0"/>
          <w:numId w:val="41"/>
        </w:numPr>
        <w:spacing w:after="200"/>
        <w:ind w:right="145"/>
        <w:jc w:val="both"/>
        <w:rPr>
          <w:sz w:val="24"/>
          <w:szCs w:val="24"/>
        </w:rPr>
      </w:pPr>
      <w:r>
        <w:rPr>
          <w:sz w:val="24"/>
          <w:szCs w:val="24"/>
        </w:rPr>
        <w:t>La Ley 6486/2020 sobre cuidados alternativos y ado</w:t>
      </w:r>
      <w:r>
        <w:rPr>
          <w:sz w:val="24"/>
          <w:szCs w:val="24"/>
        </w:rPr>
        <w:t>pción en sus Arts. 112 y 114 considera como infracciones aquellas acciones u omisiones que pueden desencadenar incumplimiento de obligaciones por parte de toda persona física o jurídica de la cual dependiera el ejercicio o goce del derecho de NNA y estable</w:t>
      </w:r>
      <w:r>
        <w:rPr>
          <w:sz w:val="24"/>
          <w:szCs w:val="24"/>
        </w:rPr>
        <w:t>ce para ello un régimen de sanciones, sin embargo, éstas son sólo de carácter administrativo y no penal. El Estado paraguayo continúa sin sancionar leyes que dispongan sobre la responsabilidad penal de las personas jurídicas, de conformidad con el artículo</w:t>
      </w:r>
      <w:r>
        <w:rPr>
          <w:sz w:val="24"/>
          <w:szCs w:val="24"/>
        </w:rPr>
        <w:t xml:space="preserve"> 3, párrafo 4, del Protocolo facultativo; es decir, éstas continúan sin poder ser objeto de un proceso penal.</w:t>
      </w:r>
    </w:p>
    <w:p w:rsidR="00200F9B" w:rsidRDefault="00805DB6">
      <w:pPr>
        <w:numPr>
          <w:ilvl w:val="0"/>
          <w:numId w:val="34"/>
        </w:numPr>
        <w:spacing w:after="200"/>
        <w:ind w:right="145"/>
        <w:jc w:val="both"/>
        <w:rPr>
          <w:b/>
          <w:sz w:val="24"/>
          <w:szCs w:val="24"/>
        </w:rPr>
      </w:pPr>
      <w:r>
        <w:rPr>
          <w:b/>
          <w:sz w:val="24"/>
          <w:szCs w:val="24"/>
        </w:rPr>
        <w:t>Jurisdicción y extradición</w:t>
      </w:r>
      <w:r>
        <w:rPr>
          <w:b/>
          <w:sz w:val="24"/>
          <w:szCs w:val="24"/>
        </w:rPr>
        <w:tab/>
      </w:r>
    </w:p>
    <w:p w:rsidR="00200F9B" w:rsidRDefault="00805DB6">
      <w:pPr>
        <w:numPr>
          <w:ilvl w:val="0"/>
          <w:numId w:val="41"/>
        </w:numPr>
        <w:spacing w:after="200"/>
        <w:ind w:right="145"/>
        <w:jc w:val="both"/>
        <w:rPr>
          <w:sz w:val="24"/>
          <w:szCs w:val="24"/>
        </w:rPr>
      </w:pPr>
      <w:r>
        <w:rPr>
          <w:sz w:val="24"/>
          <w:szCs w:val="24"/>
        </w:rPr>
        <w:t>De conformidad a la normativa paraguaya los delitos abarcados en el Protocolo Facultativo están sujetos a jurisdicción extraterritorial y al principio de justicia universal, sin embargo, la jurisdicción del Estado paraguayo sobre los delitos previstos en e</w:t>
      </w:r>
      <w:r>
        <w:rPr>
          <w:sz w:val="24"/>
          <w:szCs w:val="24"/>
        </w:rPr>
        <w:t>l Protocolo Facultativo, que sean cometidos en el extranjero queda sujeta al principio de la doble incriminación, es decir que el hecho sean considerados delito en ambos países. No existe información sistematizada relativa a los casos respecto de los cuale</w:t>
      </w:r>
      <w:r>
        <w:rPr>
          <w:sz w:val="24"/>
          <w:szCs w:val="24"/>
        </w:rPr>
        <w:t>s ha hecho efectiva su jurisdicción el Estado Parte.  En cuanto a la extradición, Paraguay no cuenta con una Ley específica que la regule, sólo se indica el procedimiento en algunos artículos del Código Procesal Penal. En este caso, no existiría inconvenie</w:t>
      </w:r>
      <w:r>
        <w:rPr>
          <w:sz w:val="24"/>
          <w:szCs w:val="24"/>
        </w:rPr>
        <w:t>nte alguno en extraditar a una persona que sea requerida por los hechos punibles contemplados en el párrafo 1 del Artículo 3 del Protocolo Facultativo, sin embargo, los hechos punibles por los cuales se puede otorgar una extradición, deben ser aquellos que</w:t>
      </w:r>
      <w:r>
        <w:rPr>
          <w:sz w:val="24"/>
          <w:szCs w:val="24"/>
        </w:rPr>
        <w:t xml:space="preserve"> se castiguen tanto en la parte requirente como en la parte requerida (principio de la “doble incriminación”).</w:t>
      </w:r>
    </w:p>
    <w:p w:rsidR="00200F9B" w:rsidRDefault="00805DB6">
      <w:pPr>
        <w:pStyle w:val="Heading3"/>
        <w:numPr>
          <w:ilvl w:val="0"/>
          <w:numId w:val="29"/>
        </w:numPr>
        <w:ind w:right="145"/>
        <w:jc w:val="both"/>
        <w:rPr>
          <w:i w:val="0"/>
        </w:rPr>
      </w:pPr>
      <w:bookmarkStart w:id="21" w:name="_heading=h.2jxsxqh" w:colFirst="0" w:colLast="0"/>
      <w:bookmarkEnd w:id="21"/>
      <w:r>
        <w:rPr>
          <w:i w:val="0"/>
        </w:rPr>
        <w:t>Medidas adoptadas para proteger los derechos e intereses de los niños víctimas de los delitos prohibidos en virtud del Protocolo Facultativo</w:t>
      </w:r>
      <w:r>
        <w:rPr>
          <w:i w:val="0"/>
        </w:rPr>
        <w:tab/>
      </w:r>
    </w:p>
    <w:p w:rsidR="00200F9B" w:rsidRDefault="00805DB6">
      <w:pPr>
        <w:numPr>
          <w:ilvl w:val="0"/>
          <w:numId w:val="41"/>
        </w:numPr>
        <w:spacing w:after="200"/>
        <w:ind w:right="145"/>
        <w:jc w:val="both"/>
        <w:rPr>
          <w:sz w:val="24"/>
          <w:szCs w:val="24"/>
        </w:rPr>
      </w:pPr>
      <w:r>
        <w:rPr>
          <w:sz w:val="24"/>
          <w:szCs w:val="24"/>
        </w:rPr>
        <w:t>Las</w:t>
      </w:r>
      <w:r>
        <w:rPr>
          <w:sz w:val="24"/>
          <w:szCs w:val="24"/>
        </w:rPr>
        <w:t xml:space="preserve"> medidas adoptadas requieren de revisión y seguimiento para la prevención y el abordaje adecuado de los hechos impidiendo la revictimización de NNA. Paraguay participó de la redada internacional “luz de Infancia”, con allanamientos para desbaratar la red d</w:t>
      </w:r>
      <w:r>
        <w:rPr>
          <w:sz w:val="24"/>
          <w:szCs w:val="24"/>
        </w:rPr>
        <w:t>e explotación sexual de NNA</w:t>
      </w:r>
      <w:r>
        <w:rPr>
          <w:sz w:val="24"/>
          <w:szCs w:val="24"/>
          <w:vertAlign w:val="superscript"/>
        </w:rPr>
        <w:footnoteReference w:id="101"/>
      </w:r>
      <w:r>
        <w:rPr>
          <w:sz w:val="24"/>
          <w:szCs w:val="24"/>
        </w:rPr>
        <w:t>. El auge de las TIC’s hace que los desafíos sean mayores, en el año 2021, el Ministerio Público reportó que los casos de pornografía infantil aumentaron en 300% respecto al 2020</w:t>
      </w:r>
      <w:r>
        <w:rPr>
          <w:sz w:val="24"/>
          <w:szCs w:val="24"/>
          <w:vertAlign w:val="superscript"/>
        </w:rPr>
        <w:footnoteReference w:id="102"/>
      </w:r>
      <w:r>
        <w:rPr>
          <w:sz w:val="24"/>
          <w:szCs w:val="24"/>
        </w:rPr>
        <w:t>, hecho grave y alarmante, requiriendo nuevos mec</w:t>
      </w:r>
      <w:r>
        <w:rPr>
          <w:sz w:val="24"/>
          <w:szCs w:val="24"/>
        </w:rPr>
        <w:t xml:space="preserve">anismos de prevención, intervención, sanciones para los responsables, y la atención integral para las víctimas. Estos hechos afectan a los NNA en toda su multidimensionalidad, así como a las personas de su entorno familiar. </w:t>
      </w:r>
    </w:p>
    <w:p w:rsidR="00200F9B" w:rsidRDefault="00805DB6">
      <w:pPr>
        <w:numPr>
          <w:ilvl w:val="0"/>
          <w:numId w:val="23"/>
        </w:numPr>
        <w:spacing w:after="200"/>
        <w:ind w:right="145"/>
        <w:jc w:val="both"/>
        <w:rPr>
          <w:b/>
          <w:sz w:val="24"/>
          <w:szCs w:val="24"/>
        </w:rPr>
      </w:pPr>
      <w:r>
        <w:rPr>
          <w:b/>
          <w:sz w:val="24"/>
          <w:szCs w:val="24"/>
        </w:rPr>
        <w:t>Recuperación y reintegración de</w:t>
      </w:r>
      <w:r>
        <w:rPr>
          <w:b/>
          <w:sz w:val="24"/>
          <w:szCs w:val="24"/>
        </w:rPr>
        <w:t xml:space="preserve"> las víctimas</w:t>
      </w:r>
      <w:r>
        <w:rPr>
          <w:b/>
          <w:sz w:val="24"/>
          <w:szCs w:val="24"/>
        </w:rPr>
        <w:tab/>
      </w:r>
    </w:p>
    <w:p w:rsidR="00200F9B" w:rsidRDefault="00805DB6">
      <w:pPr>
        <w:numPr>
          <w:ilvl w:val="0"/>
          <w:numId w:val="41"/>
        </w:numPr>
        <w:spacing w:after="200"/>
        <w:ind w:right="145"/>
        <w:jc w:val="both"/>
        <w:rPr>
          <w:sz w:val="24"/>
          <w:szCs w:val="24"/>
        </w:rPr>
      </w:pPr>
      <w:r>
        <w:rPr>
          <w:sz w:val="24"/>
          <w:szCs w:val="24"/>
        </w:rPr>
        <w:t>Si bien el MINNA cuenta con el programa de Atención Integral a NNA para la restitución de  sus derechos, este cuenta con un presupuesto anual de apenas 17.000 dólares; más allá del abordaje multidisciplinario brindado de manera transitoria a</w:t>
      </w:r>
      <w:r>
        <w:rPr>
          <w:sz w:val="24"/>
          <w:szCs w:val="24"/>
        </w:rPr>
        <w:t xml:space="preserve"> las niñas y adolescentes que ingresan al albergue Rosa Virginia</w:t>
      </w:r>
      <w:r>
        <w:rPr>
          <w:sz w:val="24"/>
          <w:szCs w:val="24"/>
          <w:vertAlign w:val="superscript"/>
        </w:rPr>
        <w:footnoteReference w:id="103"/>
      </w:r>
      <w:r>
        <w:rPr>
          <w:sz w:val="24"/>
          <w:szCs w:val="24"/>
        </w:rPr>
        <w:t xml:space="preserve">, no se contempla un abordaje integral para su recuperación y reinserción, como tampoco el seguimiento para evitar la recurrencia de la situación. </w:t>
      </w:r>
    </w:p>
    <w:p w:rsidR="00200F9B" w:rsidRDefault="00805DB6">
      <w:pPr>
        <w:numPr>
          <w:ilvl w:val="0"/>
          <w:numId w:val="16"/>
        </w:numPr>
        <w:spacing w:after="200"/>
        <w:ind w:right="145"/>
        <w:jc w:val="both"/>
        <w:rPr>
          <w:b/>
          <w:sz w:val="24"/>
          <w:szCs w:val="24"/>
        </w:rPr>
      </w:pPr>
      <w:r>
        <w:rPr>
          <w:b/>
          <w:sz w:val="24"/>
          <w:szCs w:val="24"/>
        </w:rPr>
        <w:t xml:space="preserve">Servicio de asistencia telefónica </w:t>
      </w:r>
      <w:r>
        <w:rPr>
          <w:b/>
          <w:sz w:val="24"/>
          <w:szCs w:val="24"/>
        </w:rPr>
        <w:tab/>
      </w:r>
    </w:p>
    <w:p w:rsidR="00200F9B" w:rsidRDefault="00805DB6">
      <w:pPr>
        <w:numPr>
          <w:ilvl w:val="0"/>
          <w:numId w:val="41"/>
        </w:numPr>
        <w:spacing w:after="200"/>
        <w:ind w:right="145"/>
        <w:jc w:val="both"/>
        <w:rPr>
          <w:sz w:val="24"/>
          <w:szCs w:val="24"/>
        </w:rPr>
      </w:pPr>
      <w:r>
        <w:rPr>
          <w:sz w:val="24"/>
          <w:szCs w:val="24"/>
        </w:rPr>
        <w:t>En Para</w:t>
      </w:r>
      <w:r>
        <w:rPr>
          <w:sz w:val="24"/>
          <w:szCs w:val="24"/>
        </w:rPr>
        <w:t>guay se tienen líneas de asistencia telefónica, 147 del MINNA, que hoy recoge todo tipo de denuncias sobre vulneraciones, 133 del Ministerio de la Defensa Pública, 137 del Ministerio de la Mujer y 911 de la Policía Nacional.  Si bien se cuenta con diferent</w:t>
      </w:r>
      <w:r>
        <w:rPr>
          <w:sz w:val="24"/>
          <w:szCs w:val="24"/>
        </w:rPr>
        <w:t>es líneas habilitadas, 137, 147 y 133 no funcionan de manera coordinada ni eficiente debido al número reducido de profesionales asignados para la ejecución de las tareas y la alta demanda de llamadas por día.</w:t>
      </w:r>
    </w:p>
    <w:p w:rsidR="00200F9B" w:rsidRDefault="00805DB6">
      <w:pPr>
        <w:spacing w:after="200"/>
        <w:ind w:right="145"/>
        <w:jc w:val="both"/>
        <w:rPr>
          <w:b/>
          <w:sz w:val="24"/>
          <w:szCs w:val="24"/>
        </w:rPr>
      </w:pPr>
      <w:r>
        <w:rPr>
          <w:b/>
          <w:sz w:val="24"/>
          <w:szCs w:val="24"/>
        </w:rPr>
        <w:t>Recomendaciones:</w:t>
      </w:r>
    </w:p>
    <w:p w:rsidR="00200F9B" w:rsidRDefault="00805DB6">
      <w:pPr>
        <w:numPr>
          <w:ilvl w:val="0"/>
          <w:numId w:val="41"/>
        </w:numPr>
        <w:spacing w:after="200"/>
        <w:ind w:right="145"/>
        <w:jc w:val="both"/>
        <w:rPr>
          <w:sz w:val="24"/>
          <w:szCs w:val="24"/>
        </w:rPr>
      </w:pPr>
      <w:r>
        <w:rPr>
          <w:sz w:val="24"/>
          <w:szCs w:val="24"/>
        </w:rPr>
        <w:t>Generar un mecanismo de  traza</w:t>
      </w:r>
      <w:r>
        <w:rPr>
          <w:sz w:val="24"/>
          <w:szCs w:val="24"/>
        </w:rPr>
        <w:t xml:space="preserve">bilidad de los datos de las diferentes instancias del SIPPINA, especialmente del sistema de justicia que permita contar con información fidedigna y actualizada de las acciones del Estado para la protección de NNA. </w:t>
      </w:r>
    </w:p>
    <w:p w:rsidR="00200F9B" w:rsidRDefault="00805DB6">
      <w:pPr>
        <w:numPr>
          <w:ilvl w:val="0"/>
          <w:numId w:val="41"/>
        </w:numPr>
        <w:spacing w:after="200"/>
        <w:ind w:right="145"/>
        <w:jc w:val="both"/>
        <w:rPr>
          <w:sz w:val="24"/>
          <w:szCs w:val="24"/>
        </w:rPr>
      </w:pPr>
      <w:r>
        <w:rPr>
          <w:sz w:val="24"/>
          <w:szCs w:val="24"/>
        </w:rPr>
        <w:t xml:space="preserve">Brindar presupuesto al Plan Nacional de Trata de personas, y realizar un abordaje centrado en la prevención, atencion integral y represión de los crímenes de trata de personas y pornografía relativa a NNA.  </w:t>
      </w:r>
    </w:p>
    <w:p w:rsidR="00200F9B" w:rsidRDefault="00805DB6">
      <w:pPr>
        <w:numPr>
          <w:ilvl w:val="0"/>
          <w:numId w:val="41"/>
        </w:numPr>
        <w:spacing w:after="200"/>
        <w:ind w:right="145"/>
        <w:jc w:val="both"/>
        <w:rPr>
          <w:sz w:val="24"/>
          <w:szCs w:val="24"/>
        </w:rPr>
      </w:pPr>
      <w:r>
        <w:rPr>
          <w:sz w:val="24"/>
          <w:szCs w:val="24"/>
        </w:rPr>
        <w:t>Fortalecer la coordinación, articulación y la ev</w:t>
      </w:r>
      <w:r>
        <w:rPr>
          <w:sz w:val="24"/>
          <w:szCs w:val="24"/>
        </w:rPr>
        <w:t xml:space="preserve">aluación por medio de la mesa interinstitucional de combate a la trata de personas, generando procesos sistematicos entre los diferentes niveles de Gobierno y Poderes del Estado. </w:t>
      </w:r>
    </w:p>
    <w:p w:rsidR="00200F9B" w:rsidRDefault="00805DB6">
      <w:pPr>
        <w:numPr>
          <w:ilvl w:val="0"/>
          <w:numId w:val="41"/>
        </w:numPr>
        <w:spacing w:after="200"/>
        <w:ind w:right="145"/>
        <w:jc w:val="both"/>
        <w:rPr>
          <w:sz w:val="24"/>
          <w:szCs w:val="24"/>
        </w:rPr>
      </w:pPr>
      <w:r>
        <w:rPr>
          <w:sz w:val="24"/>
          <w:szCs w:val="24"/>
        </w:rPr>
        <w:t xml:space="preserve">Realizar una amplia difusión y capacitación sobre el Protocolo Facultativo, </w:t>
      </w:r>
      <w:r>
        <w:rPr>
          <w:sz w:val="24"/>
          <w:szCs w:val="24"/>
        </w:rPr>
        <w:t xml:space="preserve">en los idiomas oficiales y lenguas indígenas, con propuestas adecuadas en diversos formatos, para asegurar la llegada intergeneracional de la información, con énfasis en los espacios educativos y comunitarios. </w:t>
      </w:r>
    </w:p>
    <w:p w:rsidR="00200F9B" w:rsidRDefault="00805DB6">
      <w:pPr>
        <w:numPr>
          <w:ilvl w:val="0"/>
          <w:numId w:val="41"/>
        </w:numPr>
        <w:spacing w:after="200"/>
        <w:ind w:right="145"/>
        <w:jc w:val="both"/>
        <w:rPr>
          <w:sz w:val="24"/>
          <w:szCs w:val="24"/>
        </w:rPr>
      </w:pPr>
      <w:r>
        <w:rPr>
          <w:sz w:val="24"/>
          <w:szCs w:val="24"/>
        </w:rPr>
        <w:t>Generar procesos de capacitación sistemáticos</w:t>
      </w:r>
      <w:r>
        <w:rPr>
          <w:sz w:val="24"/>
          <w:szCs w:val="24"/>
        </w:rPr>
        <w:t xml:space="preserve"> para los servidores públicos, desde el enfoque de derechos y especialmente el enfoque de género, teniendo presente que esta problemática afecta mayoritariamente a mujeres. Además, la formación sobre el Protocolo Facultativo debe ser vinculada con las polí</w:t>
      </w:r>
      <w:r>
        <w:rPr>
          <w:sz w:val="24"/>
          <w:szCs w:val="24"/>
        </w:rPr>
        <w:t xml:space="preserve">ticas públicas existentes que permitan el pleno ejercicio de todos los derechos.  </w:t>
      </w:r>
    </w:p>
    <w:p w:rsidR="00200F9B" w:rsidRDefault="00805DB6">
      <w:pPr>
        <w:numPr>
          <w:ilvl w:val="0"/>
          <w:numId w:val="41"/>
        </w:numPr>
        <w:spacing w:after="200"/>
        <w:ind w:right="145"/>
        <w:jc w:val="both"/>
        <w:rPr>
          <w:sz w:val="24"/>
          <w:szCs w:val="24"/>
        </w:rPr>
      </w:pPr>
      <w:r>
        <w:rPr>
          <w:sz w:val="24"/>
          <w:szCs w:val="24"/>
        </w:rPr>
        <w:t>Asignar los recursos necesarios para Plan para la prevención y combate de la trata, acorde a las necesidades y contar con un mecanismo de sostenibilidad financiera; con un m</w:t>
      </w:r>
      <w:r>
        <w:rPr>
          <w:sz w:val="24"/>
          <w:szCs w:val="24"/>
        </w:rPr>
        <w:t>ínimo porcentaje del PGN para la prevención y atención a víctimas de trata, imposibilitando su disminución hasta que los casos/indicadores se reduzcan.</w:t>
      </w:r>
    </w:p>
    <w:p w:rsidR="00200F9B" w:rsidRDefault="00805DB6">
      <w:pPr>
        <w:numPr>
          <w:ilvl w:val="0"/>
          <w:numId w:val="41"/>
        </w:numPr>
        <w:spacing w:after="200"/>
        <w:ind w:right="145"/>
        <w:jc w:val="both"/>
        <w:rPr>
          <w:sz w:val="24"/>
          <w:szCs w:val="24"/>
        </w:rPr>
      </w:pPr>
      <w:r>
        <w:rPr>
          <w:sz w:val="24"/>
          <w:szCs w:val="24"/>
        </w:rPr>
        <w:t xml:space="preserve">Modificar el Art. 45 de la integración de la mesa interinstitucional de Ley N.º 4788 Integral contra la </w:t>
      </w:r>
      <w:r>
        <w:rPr>
          <w:sz w:val="24"/>
          <w:szCs w:val="24"/>
        </w:rPr>
        <w:t>trata de personas, estableciendo la representación de la sociedad civil en dicha mesa; tal como se da en otros mecanismos estatales.</w:t>
      </w:r>
    </w:p>
    <w:p w:rsidR="00200F9B" w:rsidRDefault="00805DB6">
      <w:pPr>
        <w:numPr>
          <w:ilvl w:val="0"/>
          <w:numId w:val="41"/>
        </w:numPr>
        <w:spacing w:after="200"/>
        <w:ind w:right="145"/>
        <w:jc w:val="both"/>
        <w:rPr>
          <w:sz w:val="24"/>
          <w:szCs w:val="24"/>
        </w:rPr>
      </w:pPr>
      <w:r>
        <w:rPr>
          <w:sz w:val="24"/>
          <w:szCs w:val="24"/>
        </w:rPr>
        <w:t>Generar programas de promoción y prevención, con acciones articuladas entre los tres niveles de Gobierno, interinstituciona</w:t>
      </w:r>
      <w:r>
        <w:rPr>
          <w:sz w:val="24"/>
          <w:szCs w:val="24"/>
        </w:rPr>
        <w:t>les y con llegada territorial, especialmente con las instituciones educativas y las CODENI para promover derechos y prevenir situaciones de trata, generando espacios con familias y estudiantes en el ámbito educativo, de salud y comunitario.</w:t>
      </w:r>
    </w:p>
    <w:p w:rsidR="00200F9B" w:rsidRDefault="00805DB6">
      <w:pPr>
        <w:numPr>
          <w:ilvl w:val="0"/>
          <w:numId w:val="41"/>
        </w:numPr>
        <w:spacing w:after="200"/>
        <w:ind w:right="145"/>
        <w:jc w:val="both"/>
        <w:rPr>
          <w:sz w:val="24"/>
          <w:szCs w:val="24"/>
        </w:rPr>
      </w:pPr>
      <w:r>
        <w:rPr>
          <w:sz w:val="24"/>
          <w:szCs w:val="24"/>
        </w:rPr>
        <w:t>Impulsar invest</w:t>
      </w:r>
      <w:r>
        <w:rPr>
          <w:sz w:val="24"/>
          <w:szCs w:val="24"/>
        </w:rPr>
        <w:t xml:space="preserve">igaciones judiciales, junto con campañas comunicacionales para prevenir la utilización de NNA en el turismo sexual, con planes específicos por sector y territorio. </w:t>
      </w:r>
    </w:p>
    <w:p w:rsidR="00200F9B" w:rsidRDefault="00805DB6">
      <w:pPr>
        <w:numPr>
          <w:ilvl w:val="0"/>
          <w:numId w:val="41"/>
        </w:numPr>
        <w:spacing w:after="200"/>
        <w:ind w:right="145"/>
        <w:jc w:val="both"/>
        <w:rPr>
          <w:sz w:val="24"/>
          <w:szCs w:val="24"/>
        </w:rPr>
      </w:pPr>
      <w:r>
        <w:rPr>
          <w:sz w:val="24"/>
          <w:szCs w:val="24"/>
        </w:rPr>
        <w:t>Generar mecanismos de prevención urgente para grupos o zonas de riesgo de trata o explotaci</w:t>
      </w:r>
      <w:r>
        <w:rPr>
          <w:sz w:val="24"/>
          <w:szCs w:val="24"/>
        </w:rPr>
        <w:t xml:space="preserve">ón, y que los hechos sean atendidos con estrategias claras para evitar la ocurrencia de nuevos casos. </w:t>
      </w:r>
    </w:p>
    <w:p w:rsidR="00200F9B" w:rsidRDefault="00805DB6">
      <w:pPr>
        <w:numPr>
          <w:ilvl w:val="0"/>
          <w:numId w:val="41"/>
        </w:numPr>
        <w:spacing w:after="200"/>
        <w:ind w:right="145"/>
        <w:jc w:val="both"/>
        <w:rPr>
          <w:sz w:val="24"/>
          <w:szCs w:val="24"/>
        </w:rPr>
      </w:pPr>
      <w:r>
        <w:rPr>
          <w:sz w:val="24"/>
          <w:szCs w:val="24"/>
        </w:rPr>
        <w:t>El Estado debe garantizar procesos judiciales justos y transparentes que permitan salvaguardar el interés superior de NNA, asegurando el debido proceso y</w:t>
      </w:r>
      <w:r>
        <w:rPr>
          <w:sz w:val="24"/>
          <w:szCs w:val="24"/>
        </w:rPr>
        <w:t xml:space="preserve"> sin revictimizaciones.</w:t>
      </w:r>
    </w:p>
    <w:p w:rsidR="00200F9B" w:rsidRDefault="00805DB6">
      <w:pPr>
        <w:numPr>
          <w:ilvl w:val="0"/>
          <w:numId w:val="41"/>
        </w:numPr>
        <w:spacing w:after="200"/>
        <w:ind w:right="145"/>
        <w:jc w:val="both"/>
        <w:rPr>
          <w:sz w:val="24"/>
          <w:szCs w:val="24"/>
        </w:rPr>
      </w:pPr>
      <w:r>
        <w:rPr>
          <w:sz w:val="24"/>
          <w:szCs w:val="24"/>
        </w:rPr>
        <w:t>El Estado debe realizar recaudos para la extradición de responsables de los hechos punibles expuestos en este protocolo cometidos en la jurisdicción nacional, a fin de que sean sometidos a los procesos del país, utilizando los acuerdos firmados entre los E</w:t>
      </w:r>
      <w:r>
        <w:rPr>
          <w:sz w:val="24"/>
          <w:szCs w:val="24"/>
        </w:rPr>
        <w:t>stados parte, así también se debe garantizar los recursos para la agilización de estos procesos.</w:t>
      </w:r>
    </w:p>
    <w:p w:rsidR="00200F9B" w:rsidRDefault="00805DB6">
      <w:pPr>
        <w:numPr>
          <w:ilvl w:val="0"/>
          <w:numId w:val="41"/>
        </w:numPr>
        <w:spacing w:after="200"/>
        <w:ind w:right="145"/>
        <w:jc w:val="both"/>
        <w:rPr>
          <w:sz w:val="24"/>
          <w:szCs w:val="24"/>
        </w:rPr>
      </w:pPr>
      <w:r>
        <w:rPr>
          <w:sz w:val="24"/>
          <w:szCs w:val="24"/>
        </w:rPr>
        <w:t>Diseñar e implementar medidas de protección que atienda a los NNA en toda su multidimensionalidad, así como a las personas de su entorno familiar, garantizando</w:t>
      </w:r>
      <w:r>
        <w:rPr>
          <w:sz w:val="24"/>
          <w:szCs w:val="24"/>
        </w:rPr>
        <w:t xml:space="preserve"> la protección de testigos.</w:t>
      </w:r>
    </w:p>
    <w:p w:rsidR="00200F9B" w:rsidRDefault="00805DB6">
      <w:pPr>
        <w:numPr>
          <w:ilvl w:val="0"/>
          <w:numId w:val="41"/>
        </w:numPr>
        <w:spacing w:after="200"/>
        <w:ind w:right="145"/>
        <w:jc w:val="both"/>
        <w:rPr>
          <w:sz w:val="24"/>
          <w:szCs w:val="24"/>
        </w:rPr>
      </w:pPr>
      <w:r>
        <w:rPr>
          <w:sz w:val="24"/>
          <w:szCs w:val="24"/>
        </w:rPr>
        <w:t>Establecer procedimientos multidisciplinarios de recuperación y reintegración de las víctimas en espacios sociales, sobre todo el educativo, contando con los respaldos de seguridad suficientes para ellas y sus familias.</w:t>
      </w:r>
    </w:p>
    <w:p w:rsidR="00200F9B" w:rsidRDefault="00805DB6">
      <w:pPr>
        <w:pStyle w:val="Heading2"/>
        <w:ind w:firstLine="0"/>
      </w:pPr>
      <w:bookmarkStart w:id="22" w:name="_heading=h.z337ya" w:colFirst="0" w:colLast="0"/>
      <w:bookmarkEnd w:id="22"/>
      <w:r>
        <w:t>X. Proto</w:t>
      </w:r>
      <w:r>
        <w:t>colo Facultativo Relativo a la Participación de Niños en Conflictos Armados</w:t>
      </w:r>
    </w:p>
    <w:p w:rsidR="00200F9B" w:rsidRDefault="00805DB6">
      <w:pPr>
        <w:numPr>
          <w:ilvl w:val="0"/>
          <w:numId w:val="12"/>
        </w:numPr>
        <w:spacing w:after="200"/>
        <w:jc w:val="both"/>
        <w:rPr>
          <w:rFonts w:ascii="Calibri" w:eastAsia="Calibri" w:hAnsi="Calibri" w:cs="Calibri"/>
          <w:sz w:val="24"/>
          <w:szCs w:val="24"/>
        </w:rPr>
      </w:pPr>
      <w:r>
        <w:rPr>
          <w:b/>
          <w:sz w:val="24"/>
          <w:szCs w:val="24"/>
        </w:rPr>
        <w:t xml:space="preserve">Coordinación </w:t>
      </w:r>
      <w:r>
        <w:rPr>
          <w:sz w:val="24"/>
          <w:szCs w:val="24"/>
        </w:rPr>
        <w:tab/>
      </w:r>
    </w:p>
    <w:p w:rsidR="00200F9B" w:rsidRDefault="00805DB6">
      <w:pPr>
        <w:numPr>
          <w:ilvl w:val="0"/>
          <w:numId w:val="41"/>
        </w:numPr>
        <w:spacing w:after="200"/>
        <w:ind w:right="145"/>
        <w:jc w:val="both"/>
        <w:rPr>
          <w:sz w:val="24"/>
          <w:szCs w:val="24"/>
        </w:rPr>
      </w:pPr>
      <w:r>
        <w:rPr>
          <w:sz w:val="24"/>
          <w:szCs w:val="24"/>
        </w:rPr>
        <w:t>No se tiene información de acciones específicas realizadas por el Consejo Nacional de Niñez y Adolescencia referente a este protocolo</w:t>
      </w:r>
      <w:r>
        <w:rPr>
          <w:sz w:val="24"/>
          <w:szCs w:val="24"/>
          <w:vertAlign w:val="superscript"/>
        </w:rPr>
        <w:footnoteReference w:id="104"/>
      </w:r>
      <w:r>
        <w:rPr>
          <w:sz w:val="24"/>
          <w:szCs w:val="24"/>
        </w:rPr>
        <w:t>; en los últimos 6 años el tema</w:t>
      </w:r>
      <w:r>
        <w:rPr>
          <w:sz w:val="24"/>
          <w:szCs w:val="24"/>
        </w:rPr>
        <w:t xml:space="preserve"> fue abordado una única vez, ante el asesinato de dos niñas por parte de la Fuerza de Tarea Conjunta (FTC). Preocupa que la situación en la zona norte del país no tome la importancia requerida para impedir el reclutamiento en grupos armados, dada la milita</w:t>
      </w:r>
      <w:r>
        <w:rPr>
          <w:sz w:val="24"/>
          <w:szCs w:val="24"/>
        </w:rPr>
        <w:t>rización estatal y la presencia de grupos armados no estatales vinculados al crimen organizado. La estrategia e inversión actual del Estado es únicamente represiva por parte de la FTC</w:t>
      </w:r>
      <w:r>
        <w:rPr>
          <w:sz w:val="24"/>
          <w:szCs w:val="24"/>
          <w:vertAlign w:val="superscript"/>
        </w:rPr>
        <w:footnoteReference w:id="105"/>
      </w:r>
      <w:r>
        <w:rPr>
          <w:sz w:val="24"/>
          <w:szCs w:val="24"/>
        </w:rPr>
        <w:t xml:space="preserve">. </w:t>
      </w:r>
    </w:p>
    <w:p w:rsidR="00200F9B" w:rsidRDefault="00805DB6">
      <w:pPr>
        <w:numPr>
          <w:ilvl w:val="0"/>
          <w:numId w:val="9"/>
        </w:numPr>
        <w:spacing w:after="200"/>
        <w:ind w:right="145"/>
        <w:jc w:val="both"/>
        <w:rPr>
          <w:rFonts w:ascii="Calibri" w:eastAsia="Calibri" w:hAnsi="Calibri" w:cs="Calibri"/>
          <w:sz w:val="24"/>
          <w:szCs w:val="24"/>
        </w:rPr>
      </w:pPr>
      <w:r>
        <w:rPr>
          <w:b/>
          <w:sz w:val="24"/>
          <w:szCs w:val="24"/>
        </w:rPr>
        <w:t xml:space="preserve">Difusión y sensibilización </w:t>
      </w:r>
      <w:r>
        <w:rPr>
          <w:b/>
          <w:sz w:val="24"/>
          <w:szCs w:val="24"/>
        </w:rPr>
        <w:tab/>
      </w:r>
      <w:r>
        <w:rPr>
          <w:sz w:val="24"/>
          <w:szCs w:val="24"/>
        </w:rPr>
        <w:t xml:space="preserve"> </w:t>
      </w:r>
    </w:p>
    <w:p w:rsidR="00200F9B" w:rsidRDefault="00805DB6">
      <w:pPr>
        <w:numPr>
          <w:ilvl w:val="0"/>
          <w:numId w:val="41"/>
        </w:numPr>
        <w:spacing w:after="200"/>
        <w:ind w:right="145"/>
        <w:jc w:val="both"/>
        <w:rPr>
          <w:sz w:val="24"/>
          <w:szCs w:val="24"/>
        </w:rPr>
      </w:pPr>
      <w:r>
        <w:rPr>
          <w:sz w:val="24"/>
          <w:szCs w:val="24"/>
        </w:rPr>
        <w:t>No se ha accedido a información sobre d</w:t>
      </w:r>
      <w:r>
        <w:rPr>
          <w:sz w:val="24"/>
          <w:szCs w:val="24"/>
        </w:rPr>
        <w:t>ifusiones y procesos de sensibilización sobre el Protocolo, concluyendo que de haberse realizado ha sido limitado y que la información no es accesible. Ante la muerte de las dos niñas, las Fuerzas Armadas no han presentado ante el Parlamento un protocolo d</w:t>
      </w:r>
      <w:r>
        <w:rPr>
          <w:sz w:val="24"/>
          <w:szCs w:val="24"/>
        </w:rPr>
        <w:t xml:space="preserve">e abordaje ante la presencia de NNA en conflictos armados en el país. </w:t>
      </w:r>
    </w:p>
    <w:p w:rsidR="00200F9B" w:rsidRDefault="00805DB6">
      <w:pPr>
        <w:numPr>
          <w:ilvl w:val="0"/>
          <w:numId w:val="13"/>
        </w:numPr>
        <w:spacing w:after="200"/>
        <w:ind w:right="145"/>
        <w:jc w:val="both"/>
        <w:rPr>
          <w:b/>
          <w:sz w:val="24"/>
          <w:szCs w:val="24"/>
        </w:rPr>
      </w:pPr>
      <w:r>
        <w:rPr>
          <w:b/>
          <w:sz w:val="24"/>
          <w:szCs w:val="24"/>
        </w:rPr>
        <w:t>Capacitación</w:t>
      </w:r>
    </w:p>
    <w:p w:rsidR="00200F9B" w:rsidRDefault="00805DB6">
      <w:pPr>
        <w:numPr>
          <w:ilvl w:val="0"/>
          <w:numId w:val="41"/>
        </w:numPr>
        <w:spacing w:after="200"/>
        <w:ind w:right="145"/>
        <w:jc w:val="both"/>
        <w:rPr>
          <w:sz w:val="24"/>
          <w:szCs w:val="24"/>
        </w:rPr>
      </w:pPr>
      <w:r>
        <w:rPr>
          <w:sz w:val="24"/>
          <w:szCs w:val="24"/>
        </w:rPr>
        <w:t xml:space="preserve">Los espacios de formación son escasos y aislados, </w:t>
      </w:r>
      <w:r>
        <w:rPr>
          <w:color w:val="2D2D2D"/>
          <w:sz w:val="24"/>
          <w:szCs w:val="24"/>
        </w:rPr>
        <w:t xml:space="preserve">tampoco abordan los derechos humanos de manera transversal; en los Cuarteles y Liceos Militares, en </w:t>
      </w:r>
      <w:r>
        <w:rPr>
          <w:sz w:val="24"/>
          <w:szCs w:val="24"/>
        </w:rPr>
        <w:t>las dinámicas de forma</w:t>
      </w:r>
      <w:r>
        <w:rPr>
          <w:sz w:val="24"/>
          <w:szCs w:val="24"/>
        </w:rPr>
        <w:t xml:space="preserve">ción, sigue imperando el autoritarismo desmedido, especialmente en el trato con quienes tienen menor jerarquía. </w:t>
      </w:r>
    </w:p>
    <w:p w:rsidR="00200F9B" w:rsidRDefault="00805DB6">
      <w:pPr>
        <w:numPr>
          <w:ilvl w:val="0"/>
          <w:numId w:val="44"/>
        </w:numPr>
        <w:spacing w:after="200"/>
        <w:ind w:right="145"/>
        <w:jc w:val="both"/>
        <w:rPr>
          <w:rFonts w:ascii="Calibri" w:eastAsia="Calibri" w:hAnsi="Calibri" w:cs="Calibri"/>
          <w:sz w:val="24"/>
          <w:szCs w:val="24"/>
        </w:rPr>
      </w:pPr>
      <w:r>
        <w:rPr>
          <w:b/>
          <w:sz w:val="24"/>
          <w:szCs w:val="24"/>
        </w:rPr>
        <w:t xml:space="preserve">Datos </w:t>
      </w:r>
      <w:r>
        <w:rPr>
          <w:sz w:val="24"/>
          <w:szCs w:val="24"/>
        </w:rPr>
        <w:tab/>
      </w:r>
    </w:p>
    <w:p w:rsidR="00200F9B" w:rsidRDefault="00805DB6">
      <w:pPr>
        <w:numPr>
          <w:ilvl w:val="0"/>
          <w:numId w:val="41"/>
        </w:numPr>
        <w:spacing w:after="200"/>
        <w:ind w:right="145"/>
        <w:jc w:val="both"/>
        <w:rPr>
          <w:sz w:val="24"/>
          <w:szCs w:val="24"/>
        </w:rPr>
      </w:pPr>
      <w:r>
        <w:rPr>
          <w:sz w:val="24"/>
          <w:szCs w:val="24"/>
        </w:rPr>
        <w:t>En el 2019</w:t>
      </w:r>
      <w:r>
        <w:rPr>
          <w:sz w:val="24"/>
          <w:szCs w:val="24"/>
          <w:vertAlign w:val="superscript"/>
        </w:rPr>
        <w:footnoteReference w:id="106"/>
      </w:r>
      <w:r>
        <w:rPr>
          <w:sz w:val="24"/>
          <w:szCs w:val="24"/>
        </w:rPr>
        <w:t>, el Liceo Militar Acosta Ñú tenía registrado aproximadamente 218 estudiantes</w:t>
      </w:r>
      <w:r>
        <w:rPr>
          <w:sz w:val="24"/>
          <w:szCs w:val="24"/>
          <w:vertAlign w:val="superscript"/>
        </w:rPr>
        <w:footnoteReference w:id="107"/>
      </w:r>
      <w:r>
        <w:rPr>
          <w:sz w:val="24"/>
          <w:szCs w:val="24"/>
        </w:rPr>
        <w:t xml:space="preserve">, no se logró obtener datos segregados de los </w:t>
      </w:r>
      <w:r>
        <w:rPr>
          <w:sz w:val="24"/>
          <w:szCs w:val="24"/>
        </w:rPr>
        <w:t>estudiantes. Tampoco se cuenta con datos sobre NNA participantes de conflictos armados y víctimas de reclutamiento forzado, y sobre NNA solicitantes de asilo, refugiados y migrantes que pudieron ser reclutados o utilizados en conflictos armados en otros pa</w:t>
      </w:r>
      <w:r>
        <w:rPr>
          <w:sz w:val="24"/>
          <w:szCs w:val="24"/>
        </w:rPr>
        <w:t xml:space="preserve">íses. </w:t>
      </w:r>
    </w:p>
    <w:p w:rsidR="00200F9B" w:rsidRDefault="00805DB6">
      <w:pPr>
        <w:numPr>
          <w:ilvl w:val="0"/>
          <w:numId w:val="41"/>
        </w:numPr>
        <w:spacing w:after="200"/>
        <w:ind w:right="145"/>
        <w:jc w:val="both"/>
        <w:rPr>
          <w:sz w:val="24"/>
          <w:szCs w:val="24"/>
        </w:rPr>
      </w:pPr>
      <w:r>
        <w:rPr>
          <w:sz w:val="24"/>
          <w:szCs w:val="24"/>
        </w:rPr>
        <w:t>El MINNA indicó que no se tienen denuncias de reclutamiento por parte de las familias, pero en 2022, un padre de un adolescente indigena, indicó que su hijo había desaparecido a los 13 años, y que ahora había sido asesinado en un enfrentamiento a lo</w:t>
      </w:r>
      <w:r>
        <w:rPr>
          <w:sz w:val="24"/>
          <w:szCs w:val="24"/>
        </w:rPr>
        <w:t>s 17 años</w:t>
      </w:r>
      <w:r>
        <w:rPr>
          <w:sz w:val="24"/>
          <w:szCs w:val="24"/>
          <w:vertAlign w:val="superscript"/>
        </w:rPr>
        <w:footnoteReference w:id="108"/>
      </w:r>
      <w:r>
        <w:rPr>
          <w:sz w:val="24"/>
          <w:szCs w:val="24"/>
        </w:rPr>
        <w:t>. Las familias no realizan denuncias por temor a represalias de parte de los grupos criminales y de las fuerzas públicas de seguridad, dado que operan en la zona con violencia</w:t>
      </w:r>
      <w:r>
        <w:rPr>
          <w:sz w:val="24"/>
          <w:szCs w:val="24"/>
          <w:vertAlign w:val="superscript"/>
        </w:rPr>
        <w:footnoteReference w:id="109"/>
      </w:r>
      <w:r>
        <w:rPr>
          <w:sz w:val="24"/>
          <w:szCs w:val="24"/>
        </w:rPr>
        <w:t xml:space="preserve">.  </w:t>
      </w:r>
    </w:p>
    <w:p w:rsidR="00200F9B" w:rsidRDefault="00805DB6">
      <w:pPr>
        <w:numPr>
          <w:ilvl w:val="0"/>
          <w:numId w:val="40"/>
        </w:numPr>
        <w:spacing w:after="200"/>
        <w:ind w:right="145"/>
        <w:jc w:val="both"/>
        <w:rPr>
          <w:b/>
          <w:sz w:val="24"/>
          <w:szCs w:val="24"/>
        </w:rPr>
      </w:pPr>
      <w:r>
        <w:rPr>
          <w:b/>
          <w:sz w:val="24"/>
          <w:szCs w:val="24"/>
        </w:rPr>
        <w:t>Procedimientos de verificación de edad</w:t>
      </w:r>
      <w:r>
        <w:rPr>
          <w:b/>
          <w:sz w:val="24"/>
          <w:szCs w:val="24"/>
        </w:rPr>
        <w:tab/>
      </w:r>
    </w:p>
    <w:p w:rsidR="00200F9B" w:rsidRDefault="00805DB6">
      <w:pPr>
        <w:numPr>
          <w:ilvl w:val="0"/>
          <w:numId w:val="41"/>
        </w:numPr>
        <w:spacing w:after="200"/>
        <w:ind w:right="145"/>
        <w:jc w:val="both"/>
        <w:rPr>
          <w:sz w:val="24"/>
          <w:szCs w:val="24"/>
        </w:rPr>
      </w:pPr>
      <w:r>
        <w:rPr>
          <w:sz w:val="24"/>
          <w:szCs w:val="24"/>
        </w:rPr>
        <w:t xml:space="preserve">Entre los requisitos para </w:t>
      </w:r>
      <w:r>
        <w:rPr>
          <w:sz w:val="24"/>
          <w:szCs w:val="24"/>
        </w:rPr>
        <w:t xml:space="preserve">la inscripción en la Academia Militar Mcal. Francisco Solano López se encuentra “Poseer edad mínima de 18 años para el día de ingreso (…)”, la presentación de acta de nacimiento y cédula de identidad. Si bien existe la prohibición del ingreso de NNA, esto </w:t>
      </w:r>
      <w:r>
        <w:rPr>
          <w:sz w:val="24"/>
          <w:szCs w:val="24"/>
        </w:rPr>
        <w:t xml:space="preserve">fue incumplido -según datos que se detallan más adelante- durante el 2016, 2018 y 2019. </w:t>
      </w:r>
    </w:p>
    <w:p w:rsidR="00200F9B" w:rsidRDefault="00805DB6">
      <w:pPr>
        <w:numPr>
          <w:ilvl w:val="0"/>
          <w:numId w:val="63"/>
        </w:numPr>
        <w:spacing w:after="200"/>
        <w:ind w:right="145"/>
        <w:jc w:val="both"/>
        <w:rPr>
          <w:b/>
          <w:sz w:val="24"/>
          <w:szCs w:val="24"/>
        </w:rPr>
      </w:pPr>
      <w:r>
        <w:rPr>
          <w:b/>
          <w:sz w:val="24"/>
          <w:szCs w:val="24"/>
        </w:rPr>
        <w:t>Escuelas militares</w:t>
      </w:r>
      <w:r>
        <w:rPr>
          <w:b/>
          <w:sz w:val="24"/>
          <w:szCs w:val="24"/>
        </w:rPr>
        <w:tab/>
      </w:r>
    </w:p>
    <w:p w:rsidR="00200F9B" w:rsidRDefault="00805DB6">
      <w:pPr>
        <w:numPr>
          <w:ilvl w:val="0"/>
          <w:numId w:val="41"/>
        </w:numPr>
        <w:spacing w:after="200"/>
        <w:ind w:right="145"/>
        <w:jc w:val="both"/>
        <w:rPr>
          <w:sz w:val="24"/>
          <w:szCs w:val="24"/>
        </w:rPr>
      </w:pPr>
      <w:r>
        <w:rPr>
          <w:sz w:val="24"/>
          <w:szCs w:val="24"/>
        </w:rPr>
        <w:t>El Liceo Militar Acosta Ñú, solicita el consentimiento firmado por la madre y padre en el juzgado de paz para el ingreso al Liceo. No se tiene info</w:t>
      </w:r>
      <w:r>
        <w:rPr>
          <w:sz w:val="24"/>
          <w:szCs w:val="24"/>
        </w:rPr>
        <w:t>rmación referente a procesos de verificación que aseguren que los adolescentes no sean obligados, por sus familias a ingresar al liceo. Otro factor preocupante, observado en el informe del MNP</w:t>
      </w:r>
      <w:r>
        <w:rPr>
          <w:sz w:val="24"/>
          <w:szCs w:val="24"/>
          <w:vertAlign w:val="superscript"/>
        </w:rPr>
        <w:footnoteReference w:id="110"/>
      </w:r>
      <w:r>
        <w:rPr>
          <w:sz w:val="24"/>
          <w:szCs w:val="24"/>
        </w:rPr>
        <w:t>, es que detrás del concepto de educación de nivel medio, predo</w:t>
      </w:r>
      <w:r>
        <w:rPr>
          <w:sz w:val="24"/>
          <w:szCs w:val="24"/>
        </w:rPr>
        <w:t>mina un aproximado de 60% de "formación militar"</w:t>
      </w:r>
      <w:r>
        <w:rPr>
          <w:sz w:val="24"/>
          <w:szCs w:val="24"/>
          <w:vertAlign w:val="superscript"/>
        </w:rPr>
        <w:footnoteReference w:id="111"/>
      </w:r>
      <w:r>
        <w:rPr>
          <w:sz w:val="24"/>
          <w:szCs w:val="24"/>
        </w:rPr>
        <w:t xml:space="preserve"> y lo restante conforme al currículum del MEC, convirtiéndose en adiestramiento militar que no prepara a los adolescentes para la vida civil</w:t>
      </w:r>
      <w:r>
        <w:rPr>
          <w:sz w:val="24"/>
          <w:szCs w:val="24"/>
          <w:vertAlign w:val="superscript"/>
        </w:rPr>
        <w:footnoteReference w:id="112"/>
      </w:r>
      <w:r>
        <w:rPr>
          <w:sz w:val="24"/>
          <w:szCs w:val="24"/>
        </w:rPr>
        <w:t>.</w:t>
      </w:r>
    </w:p>
    <w:p w:rsidR="00200F9B" w:rsidRDefault="00805DB6">
      <w:pPr>
        <w:numPr>
          <w:ilvl w:val="0"/>
          <w:numId w:val="3"/>
        </w:numPr>
        <w:spacing w:after="200"/>
        <w:ind w:right="145"/>
        <w:jc w:val="both"/>
        <w:rPr>
          <w:b/>
          <w:sz w:val="24"/>
          <w:szCs w:val="24"/>
        </w:rPr>
      </w:pPr>
      <w:r>
        <w:rPr>
          <w:b/>
          <w:sz w:val="24"/>
          <w:szCs w:val="24"/>
        </w:rPr>
        <w:t>Educación para la paz y sobre los derechos humanos</w:t>
      </w:r>
      <w:r>
        <w:rPr>
          <w:b/>
          <w:sz w:val="24"/>
          <w:szCs w:val="24"/>
        </w:rPr>
        <w:tab/>
      </w:r>
    </w:p>
    <w:p w:rsidR="00200F9B" w:rsidRDefault="00805DB6">
      <w:pPr>
        <w:numPr>
          <w:ilvl w:val="0"/>
          <w:numId w:val="41"/>
        </w:numPr>
        <w:spacing w:after="200"/>
        <w:ind w:right="145"/>
        <w:jc w:val="both"/>
        <w:rPr>
          <w:sz w:val="24"/>
          <w:szCs w:val="24"/>
        </w:rPr>
      </w:pPr>
      <w:r>
        <w:rPr>
          <w:sz w:val="24"/>
          <w:szCs w:val="24"/>
        </w:rPr>
        <w:t>En Paraguay, las prácticas autoritarias siguen presentes en la educación. El Estado indica la inclusión de DDHH y educación para la paz en la formación de estudiantes y docentes pero, estas se dan de manera aislada y no aseguran la incorporación del enfoqu</w:t>
      </w:r>
      <w:r>
        <w:rPr>
          <w:sz w:val="24"/>
          <w:szCs w:val="24"/>
        </w:rPr>
        <w:t>e en todos los niveles de formación. Se observan prácticas claras y constantes de censuras a las voces de NNA, interferencias para la participación, entre otros hechos mencionados en apartados anteriores. Existen hechos de torturas que no son denunciados d</w:t>
      </w:r>
      <w:r>
        <w:rPr>
          <w:sz w:val="24"/>
          <w:szCs w:val="24"/>
        </w:rPr>
        <w:t>ebidamente</w:t>
      </w:r>
      <w:r>
        <w:rPr>
          <w:sz w:val="24"/>
          <w:szCs w:val="24"/>
          <w:vertAlign w:val="superscript"/>
        </w:rPr>
        <w:footnoteReference w:id="113"/>
      </w:r>
      <w:r>
        <w:rPr>
          <w:sz w:val="24"/>
          <w:szCs w:val="24"/>
        </w:rPr>
        <w:t xml:space="preserve">. </w:t>
      </w:r>
    </w:p>
    <w:p w:rsidR="00200F9B" w:rsidRDefault="00805DB6">
      <w:pPr>
        <w:numPr>
          <w:ilvl w:val="0"/>
          <w:numId w:val="51"/>
        </w:numPr>
        <w:spacing w:after="200"/>
        <w:ind w:right="145"/>
        <w:jc w:val="both"/>
        <w:rPr>
          <w:b/>
          <w:sz w:val="24"/>
          <w:szCs w:val="24"/>
        </w:rPr>
      </w:pPr>
      <w:r>
        <w:rPr>
          <w:b/>
          <w:sz w:val="24"/>
          <w:szCs w:val="24"/>
        </w:rPr>
        <w:t>Prohibición de reclutamiento</w:t>
      </w:r>
    </w:p>
    <w:p w:rsidR="00200F9B" w:rsidRDefault="00805DB6">
      <w:pPr>
        <w:numPr>
          <w:ilvl w:val="0"/>
          <w:numId w:val="41"/>
        </w:numPr>
        <w:spacing w:after="200"/>
        <w:ind w:right="145"/>
        <w:jc w:val="both"/>
        <w:rPr>
          <w:sz w:val="24"/>
          <w:szCs w:val="24"/>
        </w:rPr>
      </w:pPr>
      <w:r>
        <w:rPr>
          <w:sz w:val="24"/>
          <w:szCs w:val="24"/>
        </w:rPr>
        <w:t>Luego de varios años sin tener reclutamiento adolescente por las FF.AA., en 2016 se produce un hecho puntual, casos de arreo</w:t>
      </w:r>
      <w:r>
        <w:rPr>
          <w:sz w:val="24"/>
          <w:szCs w:val="24"/>
          <w:vertAlign w:val="superscript"/>
        </w:rPr>
        <w:footnoteReference w:id="114"/>
      </w:r>
      <w:r>
        <w:rPr>
          <w:sz w:val="24"/>
          <w:szCs w:val="24"/>
        </w:rPr>
        <w:t>; y otro en 2018, cuando el actual Presidente intentó reinstalar el servicio militar obl</w:t>
      </w:r>
      <w:r>
        <w:rPr>
          <w:sz w:val="24"/>
          <w:szCs w:val="24"/>
        </w:rPr>
        <w:t>igatorio, comunicando inclusive haber autorizado a su hijo de 17 años el ingreso al cuartel</w:t>
      </w:r>
      <w:r>
        <w:rPr>
          <w:sz w:val="24"/>
          <w:szCs w:val="24"/>
          <w:vertAlign w:val="superscript"/>
        </w:rPr>
        <w:footnoteReference w:id="115"/>
      </w:r>
      <w:r>
        <w:rPr>
          <w:sz w:val="24"/>
          <w:szCs w:val="24"/>
        </w:rPr>
        <w:t>. En 2019, 142 adolescentes prestaban servicio en las Fuerzas Armadas</w:t>
      </w:r>
      <w:r>
        <w:rPr>
          <w:sz w:val="24"/>
          <w:szCs w:val="24"/>
          <w:vertAlign w:val="superscript"/>
        </w:rPr>
        <w:footnoteReference w:id="116"/>
      </w:r>
      <w:r>
        <w:rPr>
          <w:sz w:val="24"/>
          <w:szCs w:val="24"/>
        </w:rPr>
        <w:t xml:space="preserve">, dándose un retroceso a las garantías de derechos de este grupo de población, y en contra de </w:t>
      </w:r>
      <w:r>
        <w:rPr>
          <w:sz w:val="24"/>
          <w:szCs w:val="24"/>
        </w:rPr>
        <w:t>los acuerdos con la CIDH sobre el tema. En el 2020, dos niñas de 11 años fueron asesinadas a manos de la FTC en un operativo contra integrantes del grupo armado Ejército del Pueblo Paraguayo (EPP), fueron presentadas como mujeres adultos, como trofeos de g</w:t>
      </w:r>
      <w:r>
        <w:rPr>
          <w:sz w:val="24"/>
          <w:szCs w:val="24"/>
        </w:rPr>
        <w:t xml:space="preserve">uerra por el Presidente, y luego fueron enterradas en tumbas NN, sin ser identificadas, hasta que el Gobierno de Argentina reclamó sus cuerpos por ser nacionales de dicho país. </w:t>
      </w:r>
    </w:p>
    <w:p w:rsidR="00200F9B" w:rsidRDefault="00805DB6">
      <w:pPr>
        <w:numPr>
          <w:ilvl w:val="0"/>
          <w:numId w:val="41"/>
        </w:numPr>
        <w:spacing w:after="200"/>
        <w:ind w:right="145"/>
        <w:jc w:val="both"/>
        <w:rPr>
          <w:sz w:val="24"/>
          <w:szCs w:val="24"/>
        </w:rPr>
      </w:pPr>
      <w:r>
        <w:rPr>
          <w:sz w:val="24"/>
          <w:szCs w:val="24"/>
        </w:rPr>
        <w:t>Se destaca el proyecto de ley “Que establece medidas de prevención, protección</w:t>
      </w:r>
      <w:r>
        <w:rPr>
          <w:sz w:val="24"/>
          <w:szCs w:val="24"/>
        </w:rPr>
        <w:t xml:space="preserve"> y penaliza el reclutamiento de NNA y su utilización en la comisión de hechos punibles”; sin desconocer la relevancia política e institucional de este proyecto, preocupa que no contemple derechos fundamentales, en concordancia con lo que dispone el Protoco</w:t>
      </w:r>
      <w:r>
        <w:rPr>
          <w:sz w:val="24"/>
          <w:szCs w:val="24"/>
        </w:rPr>
        <w:t>lo Facultativo de la Convención sobre Derechos del Niño relativo a la participación de niños en conflictos armados (Ley 1897/2002)</w:t>
      </w:r>
      <w:r>
        <w:rPr>
          <w:sz w:val="24"/>
          <w:szCs w:val="24"/>
          <w:vertAlign w:val="superscript"/>
        </w:rPr>
        <w:footnoteReference w:id="117"/>
      </w:r>
      <w:r>
        <w:rPr>
          <w:sz w:val="24"/>
          <w:szCs w:val="24"/>
        </w:rPr>
        <w:t>.</w:t>
      </w:r>
    </w:p>
    <w:p w:rsidR="00200F9B" w:rsidRDefault="00805DB6">
      <w:pPr>
        <w:numPr>
          <w:ilvl w:val="0"/>
          <w:numId w:val="59"/>
        </w:numPr>
        <w:spacing w:after="200"/>
        <w:ind w:right="145"/>
        <w:jc w:val="both"/>
        <w:rPr>
          <w:b/>
          <w:sz w:val="24"/>
          <w:szCs w:val="24"/>
        </w:rPr>
      </w:pPr>
      <w:r>
        <w:rPr>
          <w:b/>
          <w:sz w:val="24"/>
          <w:szCs w:val="24"/>
        </w:rPr>
        <w:t>Jurisdicción extraterritorial y extradición</w:t>
      </w:r>
      <w:r>
        <w:rPr>
          <w:b/>
          <w:sz w:val="24"/>
          <w:szCs w:val="24"/>
        </w:rPr>
        <w:tab/>
      </w:r>
    </w:p>
    <w:p w:rsidR="00200F9B" w:rsidRDefault="00805DB6">
      <w:pPr>
        <w:numPr>
          <w:ilvl w:val="0"/>
          <w:numId w:val="41"/>
        </w:numPr>
        <w:spacing w:after="200"/>
        <w:ind w:right="145"/>
        <w:jc w:val="both"/>
        <w:rPr>
          <w:sz w:val="24"/>
          <w:szCs w:val="24"/>
        </w:rPr>
      </w:pPr>
      <w:r>
        <w:rPr>
          <w:sz w:val="24"/>
          <w:szCs w:val="24"/>
        </w:rPr>
        <w:t>Con relación a la jurisdicción extraterritorial y extradición aplica lo ya exp</w:t>
      </w:r>
      <w:r>
        <w:rPr>
          <w:sz w:val="24"/>
          <w:szCs w:val="24"/>
        </w:rPr>
        <w:t>uesto en el punto 111 de este mismo informe.</w:t>
      </w:r>
    </w:p>
    <w:p w:rsidR="00200F9B" w:rsidRDefault="00805DB6">
      <w:pPr>
        <w:numPr>
          <w:ilvl w:val="0"/>
          <w:numId w:val="11"/>
        </w:numPr>
        <w:spacing w:after="200"/>
        <w:ind w:right="145"/>
        <w:jc w:val="both"/>
        <w:rPr>
          <w:rFonts w:ascii="Calibri" w:eastAsia="Calibri" w:hAnsi="Calibri" w:cs="Calibri"/>
          <w:sz w:val="24"/>
          <w:szCs w:val="24"/>
        </w:rPr>
      </w:pPr>
      <w:r>
        <w:rPr>
          <w:b/>
          <w:sz w:val="24"/>
          <w:szCs w:val="24"/>
        </w:rPr>
        <w:t>Medidas de protección</w:t>
      </w:r>
      <w:r>
        <w:rPr>
          <w:sz w:val="24"/>
          <w:szCs w:val="24"/>
        </w:rPr>
        <w:tab/>
      </w:r>
    </w:p>
    <w:p w:rsidR="00200F9B" w:rsidRDefault="00805DB6">
      <w:pPr>
        <w:numPr>
          <w:ilvl w:val="0"/>
          <w:numId w:val="41"/>
        </w:numPr>
        <w:spacing w:after="200"/>
        <w:ind w:right="145"/>
        <w:jc w:val="both"/>
        <w:rPr>
          <w:sz w:val="24"/>
          <w:szCs w:val="24"/>
        </w:rPr>
      </w:pPr>
      <w:r>
        <w:rPr>
          <w:sz w:val="24"/>
          <w:szCs w:val="24"/>
        </w:rPr>
        <w:t>La militarización masiva y sostenida en la zona Norte de Paraguay</w:t>
      </w:r>
      <w:r>
        <w:rPr>
          <w:sz w:val="24"/>
          <w:szCs w:val="24"/>
          <w:vertAlign w:val="superscript"/>
        </w:rPr>
        <w:footnoteReference w:id="118"/>
      </w:r>
      <w:r>
        <w:rPr>
          <w:sz w:val="24"/>
          <w:szCs w:val="24"/>
        </w:rPr>
        <w:t>, ha generado casos de violaciones de Derechos Humanos por la FTC con allanamientos y desalojos constantes y violentos. El</w:t>
      </w:r>
      <w:r>
        <w:rPr>
          <w:sz w:val="24"/>
          <w:szCs w:val="24"/>
        </w:rPr>
        <w:t xml:space="preserve"> 23 de mayo de 2018 se realizó un desalojo en Sexta Línea Yvype, Departamento de San Pedro, la FTC derribó todas las viviendas aprehendiendo arbitrariamente a tres adolescentes de entre 14 y 16 años, quienes fueron víctimas de maltrato físico y psicológico</w:t>
      </w:r>
      <w:r>
        <w:rPr>
          <w:sz w:val="24"/>
          <w:szCs w:val="24"/>
          <w:vertAlign w:val="superscript"/>
        </w:rPr>
        <w:footnoteReference w:id="119"/>
      </w:r>
      <w:r>
        <w:rPr>
          <w:sz w:val="24"/>
          <w:szCs w:val="24"/>
        </w:rPr>
        <w:t>. A la fecha, ningún integrante de la FTC fue procesado penalmente por estos hechos violentos; la Fiscalía de Derechos Humanos no hace investigaciones debidamente.</w:t>
      </w:r>
    </w:p>
    <w:p w:rsidR="00200F9B" w:rsidRDefault="00805DB6">
      <w:pPr>
        <w:numPr>
          <w:ilvl w:val="0"/>
          <w:numId w:val="19"/>
        </w:numPr>
        <w:spacing w:after="200"/>
        <w:ind w:right="145"/>
        <w:jc w:val="both"/>
        <w:rPr>
          <w:sz w:val="24"/>
          <w:szCs w:val="24"/>
        </w:rPr>
      </w:pPr>
      <w:r>
        <w:rPr>
          <w:b/>
          <w:sz w:val="24"/>
          <w:szCs w:val="24"/>
        </w:rPr>
        <w:t>Medidas adoptadas para proteger los derechos de los niños víctimas</w:t>
      </w:r>
      <w:r>
        <w:rPr>
          <w:sz w:val="24"/>
          <w:szCs w:val="24"/>
        </w:rPr>
        <w:tab/>
      </w:r>
    </w:p>
    <w:p w:rsidR="00200F9B" w:rsidRDefault="00805DB6">
      <w:pPr>
        <w:numPr>
          <w:ilvl w:val="0"/>
          <w:numId w:val="41"/>
        </w:numPr>
        <w:spacing w:after="200"/>
        <w:jc w:val="both"/>
        <w:rPr>
          <w:sz w:val="24"/>
          <w:szCs w:val="24"/>
        </w:rPr>
      </w:pPr>
      <w:r>
        <w:rPr>
          <w:sz w:val="24"/>
          <w:szCs w:val="24"/>
        </w:rPr>
        <w:t>La Policía Nacional cue</w:t>
      </w:r>
      <w:r>
        <w:rPr>
          <w:sz w:val="24"/>
          <w:szCs w:val="24"/>
        </w:rPr>
        <w:t>nta con la Resolución N.° 665 “Por la cual se aprueba el protocolo de intervención policial con personas adolescentes entre 14 y 17 años en transgresión a la ley penal y para la protección policial con niñas, niños y adolescentes en situación de riesgo”</w:t>
      </w:r>
      <w:r>
        <w:rPr>
          <w:sz w:val="24"/>
          <w:szCs w:val="24"/>
          <w:vertAlign w:val="superscript"/>
        </w:rPr>
        <w:footnoteReference w:id="120"/>
      </w:r>
      <w:r>
        <w:rPr>
          <w:sz w:val="24"/>
          <w:szCs w:val="24"/>
        </w:rPr>
        <w:t xml:space="preserve">. </w:t>
      </w:r>
      <w:r>
        <w:rPr>
          <w:sz w:val="24"/>
          <w:szCs w:val="24"/>
        </w:rPr>
        <w:t>Pero, no se aplica en los procedimientos.</w:t>
      </w:r>
    </w:p>
    <w:p w:rsidR="00200F9B" w:rsidRDefault="00805DB6">
      <w:pPr>
        <w:numPr>
          <w:ilvl w:val="0"/>
          <w:numId w:val="41"/>
        </w:numPr>
        <w:spacing w:after="200"/>
        <w:jc w:val="both"/>
        <w:rPr>
          <w:sz w:val="24"/>
          <w:szCs w:val="24"/>
        </w:rPr>
      </w:pPr>
      <w:r>
        <w:rPr>
          <w:sz w:val="24"/>
          <w:szCs w:val="24"/>
        </w:rPr>
        <w:t xml:space="preserve">La vinculación de Estado, con adolescentes cercanos a estos grupos armados criminales, se da por medio de las fuerzas de seguridad y del sistema de justicia </w:t>
      </w:r>
      <w:r>
        <w:rPr>
          <w:sz w:val="24"/>
          <w:szCs w:val="24"/>
          <w:vertAlign w:val="superscript"/>
        </w:rPr>
        <w:footnoteReference w:id="121"/>
      </w:r>
      <w:r>
        <w:rPr>
          <w:sz w:val="24"/>
          <w:szCs w:val="24"/>
        </w:rPr>
        <w:t xml:space="preserve"> que los secuestra, tortura y criminaliza</w:t>
      </w:r>
      <w:r>
        <w:rPr>
          <w:sz w:val="24"/>
          <w:szCs w:val="24"/>
          <w:vertAlign w:val="superscript"/>
        </w:rPr>
        <w:footnoteReference w:id="122"/>
      </w:r>
      <w:r>
        <w:rPr>
          <w:sz w:val="24"/>
          <w:szCs w:val="24"/>
        </w:rPr>
        <w:t>, en vez de ac</w:t>
      </w:r>
      <w:r>
        <w:rPr>
          <w:sz w:val="24"/>
          <w:szCs w:val="24"/>
        </w:rPr>
        <w:t xml:space="preserve">tivar las medidas de prevención y protección para NNA ante el reclutamiento, indicadas por el Protocolo Facultativo. </w:t>
      </w:r>
    </w:p>
    <w:p w:rsidR="00200F9B" w:rsidRDefault="00805DB6">
      <w:pPr>
        <w:numPr>
          <w:ilvl w:val="0"/>
          <w:numId w:val="41"/>
        </w:numPr>
        <w:spacing w:after="200"/>
        <w:jc w:val="both"/>
        <w:rPr>
          <w:sz w:val="24"/>
          <w:szCs w:val="24"/>
        </w:rPr>
      </w:pPr>
      <w:r>
        <w:rPr>
          <w:sz w:val="24"/>
          <w:szCs w:val="24"/>
        </w:rPr>
        <w:t>El MNP ha realizado un informe específico en 2017</w:t>
      </w:r>
      <w:r>
        <w:rPr>
          <w:sz w:val="24"/>
          <w:szCs w:val="24"/>
          <w:vertAlign w:val="superscript"/>
        </w:rPr>
        <w:footnoteReference w:id="123"/>
      </w:r>
      <w:r>
        <w:rPr>
          <w:sz w:val="24"/>
          <w:szCs w:val="24"/>
        </w:rPr>
        <w:t>, pero sus recomendaciones no son consideradas. El Estado tiene conocimiento sobre el te</w:t>
      </w:r>
      <w:r>
        <w:rPr>
          <w:sz w:val="24"/>
          <w:szCs w:val="24"/>
        </w:rPr>
        <w:t>ma, inclusive indicando la formación de una segunda generación de estos grupos criminales, integrada por adolescentes incluso de pueblos indígenas, sin realizar ninguna acción para la prevención del reclutamiento forzado de NNA</w:t>
      </w:r>
      <w:r>
        <w:rPr>
          <w:sz w:val="24"/>
          <w:szCs w:val="24"/>
          <w:vertAlign w:val="superscript"/>
        </w:rPr>
        <w:footnoteReference w:id="124"/>
      </w:r>
      <w:r>
        <w:rPr>
          <w:sz w:val="24"/>
          <w:szCs w:val="24"/>
        </w:rPr>
        <w:t xml:space="preserve">. </w:t>
      </w:r>
    </w:p>
    <w:p w:rsidR="00200F9B" w:rsidRDefault="00805DB6">
      <w:pPr>
        <w:spacing w:after="200"/>
        <w:ind w:right="145"/>
        <w:jc w:val="both"/>
        <w:rPr>
          <w:sz w:val="24"/>
          <w:szCs w:val="24"/>
        </w:rPr>
      </w:pPr>
      <w:r>
        <w:rPr>
          <w:b/>
          <w:sz w:val="24"/>
          <w:szCs w:val="24"/>
        </w:rPr>
        <w:t xml:space="preserve">Recomendaciones: </w:t>
      </w:r>
    </w:p>
    <w:p w:rsidR="00200F9B" w:rsidRDefault="00805DB6">
      <w:pPr>
        <w:numPr>
          <w:ilvl w:val="0"/>
          <w:numId w:val="41"/>
        </w:numPr>
        <w:spacing w:after="200"/>
        <w:ind w:right="145"/>
        <w:jc w:val="both"/>
        <w:rPr>
          <w:sz w:val="24"/>
          <w:szCs w:val="24"/>
        </w:rPr>
      </w:pPr>
      <w:r>
        <w:rPr>
          <w:sz w:val="24"/>
          <w:szCs w:val="24"/>
        </w:rPr>
        <w:t xml:space="preserve">Que el </w:t>
      </w:r>
      <w:r>
        <w:rPr>
          <w:sz w:val="24"/>
          <w:szCs w:val="24"/>
        </w:rPr>
        <w:t>Consejo Nacional de Niñez y Adolescencia asuma su responsabilidad como instancia de articulación y coordinación, generando estrategías para la aplicación de este Protocolo Facultativo, delimitando acciones de prevención de nuevos hechos y de abordaje integ</w:t>
      </w:r>
      <w:r>
        <w:rPr>
          <w:sz w:val="24"/>
          <w:szCs w:val="24"/>
        </w:rPr>
        <w:t xml:space="preserve">ral de los ya ocurridos. </w:t>
      </w:r>
    </w:p>
    <w:p w:rsidR="00200F9B" w:rsidRDefault="00805DB6">
      <w:pPr>
        <w:numPr>
          <w:ilvl w:val="0"/>
          <w:numId w:val="41"/>
        </w:numPr>
        <w:spacing w:after="200"/>
        <w:ind w:right="145"/>
        <w:jc w:val="both"/>
        <w:rPr>
          <w:sz w:val="24"/>
          <w:szCs w:val="24"/>
        </w:rPr>
      </w:pPr>
      <w:r>
        <w:rPr>
          <w:sz w:val="24"/>
          <w:szCs w:val="24"/>
        </w:rPr>
        <w:t>Redireccionar la inversión pública en la FTC hacia el desarrollo de condiciones de vida dignas para que los niños, niñas y adolescentes no sean reclutados, especialmente los que viven en la zona norte.</w:t>
      </w:r>
    </w:p>
    <w:p w:rsidR="00200F9B" w:rsidRDefault="00805DB6">
      <w:pPr>
        <w:numPr>
          <w:ilvl w:val="0"/>
          <w:numId w:val="41"/>
        </w:numPr>
        <w:spacing w:after="200"/>
        <w:ind w:right="145"/>
        <w:jc w:val="both"/>
        <w:rPr>
          <w:sz w:val="24"/>
          <w:szCs w:val="24"/>
        </w:rPr>
      </w:pPr>
      <w:r>
        <w:rPr>
          <w:sz w:val="24"/>
          <w:szCs w:val="24"/>
        </w:rPr>
        <w:t>Generar procesos de difusión</w:t>
      </w:r>
      <w:r>
        <w:rPr>
          <w:sz w:val="24"/>
          <w:szCs w:val="24"/>
        </w:rPr>
        <w:t xml:space="preserve">, sensibilización y capacitación sobre la Convención sobre los Derechos del Niño y el Protocolo Facultativo Relativo a la Participación de Niños en Conflictos Armados, especialmente con servidores públicos y con las personas de la zona Norte, para conocer </w:t>
      </w:r>
      <w:r>
        <w:rPr>
          <w:sz w:val="24"/>
          <w:szCs w:val="24"/>
        </w:rPr>
        <w:t xml:space="preserve">y exigir la garantía de sus derechos. </w:t>
      </w:r>
    </w:p>
    <w:p w:rsidR="00200F9B" w:rsidRDefault="00805DB6">
      <w:pPr>
        <w:numPr>
          <w:ilvl w:val="0"/>
          <w:numId w:val="41"/>
        </w:numPr>
        <w:spacing w:after="200"/>
        <w:ind w:right="145"/>
        <w:jc w:val="both"/>
        <w:rPr>
          <w:sz w:val="24"/>
          <w:szCs w:val="24"/>
        </w:rPr>
      </w:pPr>
      <w:r>
        <w:rPr>
          <w:sz w:val="24"/>
          <w:szCs w:val="24"/>
        </w:rPr>
        <w:t>Instalar un sistema de datos accesible y público referente a los datos del Liceo Militar Acosta Ñú, NNA participantes de conflictos armados, víctimas de reclutamiento forzado, de NNA solicitantes de asilo, refugiados y migrantes, de manera segregada por te</w:t>
      </w:r>
      <w:r>
        <w:rPr>
          <w:sz w:val="24"/>
          <w:szCs w:val="24"/>
        </w:rPr>
        <w:t>rritorios, edad, sexo, origen étnico, renta familiar y discapacidad.</w:t>
      </w:r>
    </w:p>
    <w:p w:rsidR="00200F9B" w:rsidRDefault="00805DB6">
      <w:pPr>
        <w:numPr>
          <w:ilvl w:val="0"/>
          <w:numId w:val="41"/>
        </w:numPr>
        <w:spacing w:after="200"/>
        <w:ind w:right="145"/>
        <w:jc w:val="both"/>
        <w:rPr>
          <w:sz w:val="24"/>
          <w:szCs w:val="24"/>
        </w:rPr>
      </w:pPr>
      <w:r>
        <w:rPr>
          <w:sz w:val="24"/>
          <w:szCs w:val="24"/>
        </w:rPr>
        <w:t>Que el Estado cumpla en todos los casos sin excepciones lo establecido en la Ley Ley N.º 569/75 del Servicio Militar Obligatorio, que dispone que en ningún caso podrá admitirse la prestac</w:t>
      </w:r>
      <w:r>
        <w:rPr>
          <w:sz w:val="24"/>
          <w:szCs w:val="24"/>
        </w:rPr>
        <w:t>ión del servicio antes de los dieciocho años de edad.</w:t>
      </w:r>
    </w:p>
    <w:p w:rsidR="00200F9B" w:rsidRDefault="00805DB6">
      <w:pPr>
        <w:numPr>
          <w:ilvl w:val="0"/>
          <w:numId w:val="41"/>
        </w:numPr>
        <w:spacing w:after="200"/>
        <w:ind w:right="145"/>
        <w:jc w:val="both"/>
        <w:rPr>
          <w:sz w:val="24"/>
          <w:szCs w:val="24"/>
        </w:rPr>
      </w:pPr>
      <w:r>
        <w:rPr>
          <w:sz w:val="24"/>
          <w:szCs w:val="24"/>
        </w:rPr>
        <w:t>Que el Estado, a través del MEC, monitoree y evalúe el Plan de Formación de los estudiantes del Liceo Militar Acosta Ñu, la distribución de la carga horaria entre el Programa Regular de Educación y el P</w:t>
      </w:r>
      <w:r>
        <w:rPr>
          <w:sz w:val="24"/>
          <w:szCs w:val="24"/>
        </w:rPr>
        <w:t>rograma Especial de Ciencias Militares  en concordancia con el plan regular del sistema educativo público, garantizando a los adolescentes, que no continuaran con la formación militar, la preparación adecuada para desempeñarse en el ámbito civil.</w:t>
      </w:r>
    </w:p>
    <w:p w:rsidR="00200F9B" w:rsidRDefault="00805DB6">
      <w:pPr>
        <w:numPr>
          <w:ilvl w:val="0"/>
          <w:numId w:val="41"/>
        </w:numPr>
        <w:spacing w:after="200"/>
        <w:ind w:right="145"/>
        <w:jc w:val="both"/>
        <w:rPr>
          <w:sz w:val="24"/>
          <w:szCs w:val="24"/>
        </w:rPr>
      </w:pPr>
      <w:r>
        <w:rPr>
          <w:sz w:val="24"/>
          <w:szCs w:val="24"/>
        </w:rPr>
        <w:t>Propiciar</w:t>
      </w:r>
      <w:r>
        <w:rPr>
          <w:sz w:val="24"/>
          <w:szCs w:val="24"/>
        </w:rPr>
        <w:t xml:space="preserve"> la formación transversal en Derechos Humanos y educación para la paz en los sistemas educativo, militar, policial y judicial como medio para  incorporar a su práctica profesional dinámicas democráticas, de respeto a la dignidad, integridad y derechos de t</w:t>
      </w:r>
      <w:r>
        <w:rPr>
          <w:sz w:val="24"/>
          <w:szCs w:val="24"/>
        </w:rPr>
        <w:t xml:space="preserve">odas las personas, en especial NNA. </w:t>
      </w:r>
    </w:p>
    <w:p w:rsidR="00200F9B" w:rsidRDefault="00805DB6">
      <w:pPr>
        <w:numPr>
          <w:ilvl w:val="0"/>
          <w:numId w:val="41"/>
        </w:numPr>
        <w:spacing w:after="200"/>
        <w:ind w:right="145"/>
        <w:jc w:val="both"/>
        <w:rPr>
          <w:sz w:val="24"/>
          <w:szCs w:val="24"/>
        </w:rPr>
      </w:pPr>
      <w:r>
        <w:rPr>
          <w:sz w:val="24"/>
          <w:szCs w:val="24"/>
        </w:rPr>
        <w:t>Generar medidas de prevención del reclutamiento forzado, tanto por grupos armados estatales como no estatales, reconociendo a NNA como sujetos de protección especial en función a lo indicado por el Protocolo Facultativo</w:t>
      </w:r>
      <w:r>
        <w:rPr>
          <w:sz w:val="24"/>
          <w:szCs w:val="24"/>
        </w:rPr>
        <w:t xml:space="preserve">. </w:t>
      </w:r>
    </w:p>
    <w:p w:rsidR="00200F9B" w:rsidRDefault="00805DB6">
      <w:pPr>
        <w:numPr>
          <w:ilvl w:val="0"/>
          <w:numId w:val="41"/>
        </w:numPr>
        <w:spacing w:after="200"/>
        <w:jc w:val="both"/>
        <w:rPr>
          <w:sz w:val="24"/>
          <w:szCs w:val="24"/>
        </w:rPr>
      </w:pPr>
      <w:r>
        <w:rPr>
          <w:sz w:val="24"/>
          <w:szCs w:val="24"/>
        </w:rPr>
        <w:t xml:space="preserve">Que el Estado ofrezca las garantías de derechos a todas las personas que residen en la zona norte del país, investigando con celeridad, eficacia e imparcialidad todas las violaciones de derechos humanos cometidas por la FTC, enjuiciando a los presuntos </w:t>
      </w:r>
      <w:r>
        <w:rPr>
          <w:sz w:val="24"/>
          <w:szCs w:val="24"/>
        </w:rPr>
        <w:t>autores y condenando a los responsables. Así también, debe otorgar reparación integral a las víctimas.</w:t>
      </w:r>
    </w:p>
    <w:p w:rsidR="00200F9B" w:rsidRDefault="00805DB6">
      <w:pPr>
        <w:numPr>
          <w:ilvl w:val="0"/>
          <w:numId w:val="41"/>
        </w:numPr>
        <w:spacing w:after="200"/>
        <w:ind w:right="145"/>
        <w:jc w:val="both"/>
        <w:rPr>
          <w:sz w:val="24"/>
          <w:szCs w:val="24"/>
        </w:rPr>
      </w:pPr>
      <w:r>
        <w:rPr>
          <w:sz w:val="24"/>
          <w:szCs w:val="24"/>
        </w:rPr>
        <w:t>Establecer una Ley que contemple medidas de prevención, protección y penalización del reclutamiento de NNA y su utilización en la comisión de hechos puni</w:t>
      </w:r>
      <w:r>
        <w:rPr>
          <w:sz w:val="24"/>
          <w:szCs w:val="24"/>
        </w:rPr>
        <w:t>bles, contemplando derechos fundamentales que deben ser reconocidos a NNA en situación o en riesgo de reclutamiento forzoso, esta propuesta normativa debe considerar especialmente los factores económicos, sociales y políticos que inciden en la participació</w:t>
      </w:r>
      <w:r>
        <w:rPr>
          <w:sz w:val="24"/>
          <w:szCs w:val="24"/>
        </w:rPr>
        <w:t xml:space="preserve">n y/o utilización de NNA en conflictos armados y temas vinculados al crimen organizado. </w:t>
      </w:r>
    </w:p>
    <w:p w:rsidR="00200F9B" w:rsidRDefault="00805DB6">
      <w:pPr>
        <w:numPr>
          <w:ilvl w:val="0"/>
          <w:numId w:val="41"/>
        </w:numPr>
        <w:spacing w:after="200"/>
        <w:ind w:right="145"/>
        <w:jc w:val="both"/>
        <w:rPr>
          <w:sz w:val="24"/>
          <w:szCs w:val="24"/>
        </w:rPr>
      </w:pPr>
      <w:r>
        <w:rPr>
          <w:sz w:val="24"/>
          <w:szCs w:val="24"/>
        </w:rPr>
        <w:t>Modificar la Ley de Defensa y Seguridad (Ley N° 5036/2013) con el fin de redireccionar las labores de control de la seguridad interna al cuerpo policial, debidamente entrenado en materia de derechos humanos.</w:t>
      </w:r>
    </w:p>
    <w:p w:rsidR="00200F9B" w:rsidRDefault="00805DB6">
      <w:pPr>
        <w:numPr>
          <w:ilvl w:val="0"/>
          <w:numId w:val="41"/>
        </w:numPr>
        <w:spacing w:after="200"/>
        <w:ind w:right="145"/>
        <w:jc w:val="both"/>
        <w:rPr>
          <w:sz w:val="24"/>
          <w:szCs w:val="24"/>
        </w:rPr>
      </w:pPr>
      <w:r>
        <w:rPr>
          <w:sz w:val="24"/>
          <w:szCs w:val="24"/>
        </w:rPr>
        <w:t xml:space="preserve">Derogar la Ley N°5063/13, que modifica y amplía </w:t>
      </w:r>
      <w:r>
        <w:rPr>
          <w:sz w:val="24"/>
          <w:szCs w:val="24"/>
        </w:rPr>
        <w:t xml:space="preserve">los artículos 2, 3 y 56 de la Ley N°1337/99 de Defensa Nacional y Seguridad Interna, que habilita a operar a las FF.AA. en territorio nacional y en cuestiones de seguridad interna, debido a las violaciones de Derechos Humanos en la zona norte del país. </w:t>
      </w:r>
    </w:p>
    <w:p w:rsidR="00200F9B" w:rsidRDefault="00805DB6">
      <w:pPr>
        <w:numPr>
          <w:ilvl w:val="0"/>
          <w:numId w:val="41"/>
        </w:numPr>
        <w:spacing w:after="200"/>
        <w:ind w:right="145"/>
        <w:jc w:val="both"/>
        <w:rPr>
          <w:sz w:val="24"/>
          <w:szCs w:val="24"/>
        </w:rPr>
      </w:pPr>
      <w:r>
        <w:rPr>
          <w:sz w:val="24"/>
          <w:szCs w:val="24"/>
        </w:rPr>
        <w:t>Pr</w:t>
      </w:r>
      <w:r>
        <w:rPr>
          <w:sz w:val="24"/>
          <w:szCs w:val="24"/>
        </w:rPr>
        <w:t xml:space="preserve">omover la apertura de una investigación independiente e imparcial, con apoyo internacional, para esclarecer el asesinato de las dos niñas por parte de la FTC, estableciendo medidas que impidan su repetición.  </w:t>
      </w:r>
    </w:p>
    <w:p w:rsidR="00200F9B" w:rsidRDefault="00805DB6">
      <w:pPr>
        <w:numPr>
          <w:ilvl w:val="0"/>
          <w:numId w:val="41"/>
        </w:numPr>
        <w:spacing w:after="200"/>
        <w:ind w:right="145"/>
        <w:jc w:val="both"/>
        <w:rPr>
          <w:sz w:val="24"/>
          <w:szCs w:val="24"/>
        </w:rPr>
      </w:pPr>
      <w:r>
        <w:rPr>
          <w:sz w:val="24"/>
          <w:szCs w:val="24"/>
          <w:highlight w:val="white"/>
        </w:rPr>
        <w:t xml:space="preserve">Que el Estado aplique la Convención sobre los </w:t>
      </w:r>
      <w:r>
        <w:rPr>
          <w:sz w:val="24"/>
          <w:szCs w:val="24"/>
          <w:highlight w:val="white"/>
        </w:rPr>
        <w:t xml:space="preserve">Derechos del Niño y sus protocolos facultativos, tomando las medidas necesarias a través de políticas de protección social, facilitando el acceso a derechos universales como salud, educación, alimentación, vivienda y trabajo digno, previniendo que </w:t>
      </w:r>
      <w:r>
        <w:rPr>
          <w:sz w:val="24"/>
          <w:szCs w:val="24"/>
        </w:rPr>
        <w:t>NNA</w:t>
      </w:r>
      <w:r>
        <w:rPr>
          <w:sz w:val="24"/>
          <w:szCs w:val="24"/>
          <w:highlight w:val="white"/>
        </w:rPr>
        <w:t xml:space="preserve"> sean</w:t>
      </w:r>
      <w:r>
        <w:rPr>
          <w:sz w:val="24"/>
          <w:szCs w:val="24"/>
          <w:highlight w:val="white"/>
        </w:rPr>
        <w:t xml:space="preserve"> reclutados por grupos criminales de cualquier índole, y vivan libres de violencia y pobreza.</w:t>
      </w:r>
    </w:p>
    <w:p w:rsidR="00200F9B" w:rsidRDefault="00200F9B">
      <w:pPr>
        <w:spacing w:after="200"/>
        <w:jc w:val="both"/>
        <w:rPr>
          <w:sz w:val="24"/>
          <w:szCs w:val="24"/>
        </w:rPr>
      </w:pPr>
    </w:p>
    <w:p w:rsidR="00200F9B" w:rsidRDefault="00805DB6">
      <w:pPr>
        <w:spacing w:after="200"/>
        <w:jc w:val="both"/>
        <w:rPr>
          <w:sz w:val="24"/>
          <w:szCs w:val="24"/>
        </w:rPr>
      </w:pPr>
      <w:r>
        <w:pict>
          <v:rect id="_x0000_i1025" style="width:0;height:1.5pt" o:hralign="center" o:hrstd="t" o:hr="t" fillcolor="#a0a0a0" stroked="f"/>
        </w:pict>
      </w:r>
    </w:p>
    <w:p w:rsidR="00200F9B" w:rsidRDefault="00200F9B">
      <w:pPr>
        <w:spacing w:after="200"/>
        <w:ind w:right="359"/>
        <w:jc w:val="both"/>
        <w:rPr>
          <w:sz w:val="24"/>
          <w:szCs w:val="24"/>
        </w:rPr>
      </w:pPr>
    </w:p>
    <w:sectPr w:rsidR="00200F9B">
      <w:headerReference w:type="default" r:id="rId10"/>
      <w:footerReference w:type="default" r:id="rId11"/>
      <w:pgSz w:w="11909" w:h="16834"/>
      <w:pgMar w:top="1133" w:right="1132"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05DB6">
      <w:pPr>
        <w:spacing w:line="240" w:lineRule="auto"/>
      </w:pPr>
      <w:r>
        <w:separator/>
      </w:r>
    </w:p>
  </w:endnote>
  <w:endnote w:type="continuationSeparator" w:id="0">
    <w:p w:rsidR="00000000" w:rsidRDefault="00805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Calibri">
    <w:panose1 w:val="020F0502020204030204"/>
    <w:charset w:val="00"/>
    <w:family w:val="swiss"/>
    <w:pitch w:val="variable"/>
    <w:sig w:usb0="E4002EFF" w:usb1="C000247B" w:usb2="00000009" w:usb3="00000000" w:csb0="000001FF" w:csb1="00000000"/>
  </w:font>
  <w:font w:name="Roboto Condensed">
    <w:charset w:val="00"/>
    <w:family w:val="auto"/>
    <w:pitch w:val="default"/>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9B" w:rsidRDefault="00805DB6">
    <w:pPr>
      <w:jc w:val="right"/>
    </w:pPr>
    <w:r>
      <w:t xml:space="preserve"> CDIA Paraguay -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05DB6">
      <w:pPr>
        <w:spacing w:line="240" w:lineRule="auto"/>
      </w:pPr>
      <w:r>
        <w:separator/>
      </w:r>
    </w:p>
  </w:footnote>
  <w:footnote w:type="continuationSeparator" w:id="0">
    <w:p w:rsidR="00000000" w:rsidRDefault="00805DB6">
      <w:pPr>
        <w:spacing w:line="240" w:lineRule="auto"/>
      </w:pPr>
      <w:r>
        <w:continuationSeparator/>
      </w:r>
    </w:p>
  </w:footnote>
  <w:footnote w:id="1">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1" w:anchor=":~:text=Nadie%20ser%C3%A1%20sancionado%20con%20una,omisi%C3%B3n%20que%20motive%20la%20sanci%C3%B3n.">
        <w:r>
          <w:rPr>
            <w:color w:val="1155CC"/>
            <w:sz w:val="20"/>
            <w:szCs w:val="20"/>
          </w:rPr>
          <w:t>Biblioteca y Archivo Central del Congreso Nacional. Código Penal Paraguayo, Ley 1160/1998.</w:t>
        </w:r>
      </w:hyperlink>
      <w:r>
        <w:rPr>
          <w:color w:val="1155CC"/>
          <w:sz w:val="20"/>
          <w:szCs w:val="20"/>
        </w:rPr>
        <w:t xml:space="preserve"> </w:t>
      </w:r>
    </w:p>
  </w:footnote>
  <w:footnote w:id="2">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2">
        <w:r>
          <w:rPr>
            <w:color w:val="1155CC"/>
            <w:sz w:val="20"/>
            <w:szCs w:val="20"/>
            <w:highlight w:val="white"/>
          </w:rPr>
          <w:t>Biblioteca y Archivo Cent</w:t>
        </w:r>
        <w:r>
          <w:rPr>
            <w:color w:val="1155CC"/>
            <w:sz w:val="20"/>
            <w:szCs w:val="20"/>
            <w:highlight w:val="white"/>
          </w:rPr>
          <w:t>ral del Congreso Nacional. Ley N°6174/2018 Que Eleva a Rango de Ministerio, a la Secretaría Nacional de la Niñez y la Adolescencia (MINNA)</w:t>
        </w:r>
      </w:hyperlink>
    </w:p>
  </w:footnote>
  <w:footnote w:id="3">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3" w:anchor="!/ciudadano/solicitud/65495">
        <w:r>
          <w:rPr>
            <w:color w:val="1155CC"/>
            <w:sz w:val="20"/>
            <w:szCs w:val="20"/>
          </w:rPr>
          <w:t>Ministerio d</w:t>
        </w:r>
        <w:r>
          <w:rPr>
            <w:color w:val="1155CC"/>
            <w:sz w:val="20"/>
            <w:szCs w:val="20"/>
          </w:rPr>
          <w:t>e la Niñez y la Adolescencia (MINNA), 2023. Portal unificado de acceso a información pública. Solicitud N.º 65495</w:t>
        </w:r>
      </w:hyperlink>
      <w:r>
        <w:rPr>
          <w:color w:val="1155CC"/>
          <w:sz w:val="20"/>
          <w:szCs w:val="20"/>
        </w:rPr>
        <w:t xml:space="preserve"> </w:t>
      </w:r>
    </w:p>
  </w:footnote>
  <w:footnote w:id="4">
    <w:p w:rsidR="00200F9B" w:rsidRDefault="00805DB6">
      <w:pPr>
        <w:pStyle w:val="Heading1"/>
        <w:keepNext w:val="0"/>
        <w:keepLines w:val="0"/>
        <w:shd w:val="clear" w:color="auto" w:fill="FFFFFF"/>
        <w:spacing w:after="0" w:line="240" w:lineRule="auto"/>
        <w:ind w:firstLine="0"/>
        <w:jc w:val="both"/>
        <w:rPr>
          <w:b w:val="0"/>
          <w:color w:val="1155CC"/>
          <w:sz w:val="20"/>
          <w:szCs w:val="20"/>
        </w:rPr>
      </w:pPr>
      <w:bookmarkStart w:id="3" w:name="_heading=h.3j2qqm3" w:colFirst="0" w:colLast="0"/>
      <w:bookmarkEnd w:id="3"/>
      <w:r>
        <w:rPr>
          <w:vertAlign w:val="superscript"/>
        </w:rPr>
        <w:footnoteRef/>
      </w:r>
      <w:r>
        <w:rPr>
          <w:color w:val="1155CC"/>
          <w:sz w:val="20"/>
          <w:szCs w:val="20"/>
        </w:rPr>
        <w:t xml:space="preserve"> </w:t>
      </w:r>
      <w:hyperlink r:id="rId4">
        <w:r>
          <w:rPr>
            <w:b w:val="0"/>
            <w:color w:val="1155CC"/>
            <w:sz w:val="20"/>
            <w:szCs w:val="20"/>
          </w:rPr>
          <w:t>CDIA Observa, 2020. Diagnóstico situacional de las Secretarías Departamentales de Niñez y Adolescencia de Paraguay. Asunción, Paraguay</w:t>
        </w:r>
      </w:hyperlink>
      <w:r>
        <w:rPr>
          <w:b w:val="0"/>
          <w:color w:val="1155CC"/>
          <w:sz w:val="20"/>
          <w:szCs w:val="20"/>
        </w:rPr>
        <w:t>, pág. 12</w:t>
      </w:r>
    </w:p>
  </w:footnote>
  <w:footnote w:id="5">
    <w:p w:rsidR="00200F9B" w:rsidRDefault="00805DB6">
      <w:pPr>
        <w:pStyle w:val="Heading1"/>
        <w:keepNext w:val="0"/>
        <w:keepLines w:val="0"/>
        <w:shd w:val="clear" w:color="auto" w:fill="FFFFFF"/>
        <w:spacing w:after="0" w:line="240" w:lineRule="auto"/>
        <w:ind w:firstLine="0"/>
        <w:jc w:val="both"/>
        <w:rPr>
          <w:b w:val="0"/>
          <w:color w:val="1155CC"/>
          <w:sz w:val="20"/>
          <w:szCs w:val="20"/>
        </w:rPr>
      </w:pPr>
      <w:bookmarkStart w:id="4" w:name="_heading=h.1y810tw" w:colFirst="0" w:colLast="0"/>
      <w:bookmarkEnd w:id="4"/>
      <w:r>
        <w:rPr>
          <w:vertAlign w:val="superscript"/>
        </w:rPr>
        <w:footnoteRef/>
      </w:r>
      <w:r>
        <w:rPr>
          <w:color w:val="1155CC"/>
          <w:sz w:val="20"/>
          <w:szCs w:val="20"/>
        </w:rPr>
        <w:t xml:space="preserve"> </w:t>
      </w:r>
      <w:hyperlink r:id="rId5">
        <w:r>
          <w:rPr>
            <w:b w:val="0"/>
            <w:color w:val="1155CC"/>
            <w:sz w:val="20"/>
            <w:szCs w:val="20"/>
          </w:rPr>
          <w:t>CDIA Observa, 2020. Diagnóstico situacional de las Consejerías Municipales por los Derechos de la Niña, Niño y Adolescente (CODENI) de Paraguay. Asunción, Paragu</w:t>
        </w:r>
        <w:r>
          <w:rPr>
            <w:b w:val="0"/>
            <w:color w:val="1155CC"/>
            <w:sz w:val="20"/>
            <w:szCs w:val="20"/>
          </w:rPr>
          <w:t>ay</w:t>
        </w:r>
      </w:hyperlink>
      <w:r>
        <w:rPr>
          <w:b w:val="0"/>
          <w:color w:val="1155CC"/>
          <w:sz w:val="20"/>
          <w:szCs w:val="20"/>
        </w:rPr>
        <w:t>, pág. 25</w:t>
      </w:r>
    </w:p>
  </w:footnote>
  <w:footnote w:id="6">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6">
        <w:r>
          <w:rPr>
            <w:color w:val="1155CC"/>
            <w:sz w:val="20"/>
            <w:szCs w:val="20"/>
          </w:rPr>
          <w:t>MINNA, 2022. Rendición de Cuentas sobre los 20 Compromisos con la Infancia y la Adolescencia. Cuarto Informe de Gobier</w:t>
        </w:r>
        <w:r>
          <w:rPr>
            <w:color w:val="1155CC"/>
            <w:sz w:val="20"/>
            <w:szCs w:val="20"/>
          </w:rPr>
          <w:t>no</w:t>
        </w:r>
      </w:hyperlink>
      <w:r>
        <w:rPr>
          <w:color w:val="1155CC"/>
          <w:sz w:val="20"/>
          <w:szCs w:val="20"/>
        </w:rPr>
        <w:t>, pág. 13</w:t>
      </w:r>
    </w:p>
  </w:footnote>
  <w:footnote w:id="7">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7">
        <w:r>
          <w:rPr>
            <w:color w:val="1155CC"/>
            <w:sz w:val="20"/>
            <w:szCs w:val="20"/>
          </w:rPr>
          <w:t>CDIA Observa, 2020. Diagnóstico situacional de las Consejerías Municipales por los Derechos de la Niña, Niño y Adolescente (CODENI) de Paraguay. Asunción, Paraguay</w:t>
        </w:r>
      </w:hyperlink>
      <w:r>
        <w:rPr>
          <w:color w:val="1155CC"/>
          <w:sz w:val="20"/>
          <w:szCs w:val="20"/>
        </w:rPr>
        <w:t>, pág. 38</w:t>
      </w:r>
    </w:p>
  </w:footnote>
  <w:footnote w:id="8">
    <w:p w:rsidR="00200F9B" w:rsidRDefault="00805DB6">
      <w:pPr>
        <w:pStyle w:val="Heading1"/>
        <w:keepNext w:val="0"/>
        <w:keepLines w:val="0"/>
        <w:shd w:val="clear" w:color="auto" w:fill="FFFFFF"/>
        <w:spacing w:after="0" w:line="240" w:lineRule="auto"/>
        <w:ind w:firstLine="0"/>
        <w:jc w:val="both"/>
        <w:rPr>
          <w:b w:val="0"/>
          <w:color w:val="1155CC"/>
          <w:sz w:val="20"/>
          <w:szCs w:val="20"/>
        </w:rPr>
      </w:pPr>
      <w:bookmarkStart w:id="5" w:name="_heading=h.4i7ojhp" w:colFirst="0" w:colLast="0"/>
      <w:bookmarkEnd w:id="5"/>
      <w:r>
        <w:rPr>
          <w:vertAlign w:val="superscript"/>
        </w:rPr>
        <w:footnoteRef/>
      </w:r>
      <w:r>
        <w:rPr>
          <w:color w:val="1155CC"/>
          <w:sz w:val="20"/>
          <w:szCs w:val="20"/>
        </w:rPr>
        <w:t xml:space="preserve"> </w:t>
      </w:r>
      <w:hyperlink r:id="rId8">
        <w:r>
          <w:rPr>
            <w:b w:val="0"/>
            <w:color w:val="1155CC"/>
            <w:sz w:val="20"/>
            <w:szCs w:val="20"/>
          </w:rPr>
          <w:t>CDIA Observa, 2020. Diagnóstico situacional de las Consejerías Municipales por los Derechos de la Niña, Niño y Adolescente (CODENI) de Paraguay. Asunción, Paraguay</w:t>
        </w:r>
      </w:hyperlink>
      <w:r>
        <w:rPr>
          <w:b w:val="0"/>
          <w:color w:val="1155CC"/>
          <w:sz w:val="20"/>
          <w:szCs w:val="20"/>
        </w:rPr>
        <w:t>,</w:t>
      </w:r>
      <w:r>
        <w:rPr>
          <w:color w:val="1155CC"/>
          <w:sz w:val="20"/>
          <w:szCs w:val="20"/>
        </w:rPr>
        <w:t xml:space="preserve"> </w:t>
      </w:r>
      <w:r>
        <w:rPr>
          <w:b w:val="0"/>
          <w:color w:val="1155CC"/>
          <w:sz w:val="20"/>
          <w:szCs w:val="20"/>
        </w:rPr>
        <w:t>pág. 35</w:t>
      </w:r>
    </w:p>
  </w:footnote>
  <w:footnote w:id="9">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9">
        <w:r>
          <w:rPr>
            <w:color w:val="1155CC"/>
            <w:sz w:val="20"/>
            <w:szCs w:val="20"/>
          </w:rPr>
          <w:t>El proceso concluyó en el 2022. estableciéndose el nuevo Plan Nacional de Niñez y Adolescencia (PNA) 2022-2024.</w:t>
        </w:r>
      </w:hyperlink>
      <w:r>
        <w:rPr>
          <w:color w:val="1155CC"/>
          <w:sz w:val="20"/>
          <w:szCs w:val="20"/>
        </w:rPr>
        <w:t xml:space="preserve"> </w:t>
      </w:r>
    </w:p>
  </w:footnote>
  <w:footnote w:id="10">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0">
        <w:r>
          <w:rPr>
            <w:color w:val="1155CC"/>
            <w:sz w:val="20"/>
            <w:szCs w:val="20"/>
          </w:rPr>
          <w:t>Defensoría del Pueblo. Ley N.º 631/95. Orgánica de la Defensoría del Pueblo</w:t>
        </w:r>
      </w:hyperlink>
      <w:r>
        <w:rPr>
          <w:color w:val="1155CC"/>
          <w:sz w:val="20"/>
          <w:szCs w:val="20"/>
        </w:rPr>
        <w:t xml:space="preserve"> </w:t>
      </w:r>
    </w:p>
  </w:footnote>
  <w:footnote w:id="11">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11">
        <w:r>
          <w:rPr>
            <w:color w:val="1155CC"/>
            <w:sz w:val="20"/>
            <w:szCs w:val="20"/>
          </w:rPr>
          <w:t>Ministerio de Hacienda, 2021. Guía Metodológica. Medición de la inversión en los niños, niñas y adolescentes</w:t>
        </w:r>
      </w:hyperlink>
    </w:p>
  </w:footnote>
  <w:footnote w:id="12">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2">
        <w:r>
          <w:rPr>
            <w:color w:val="1155CC"/>
            <w:sz w:val="20"/>
            <w:szCs w:val="20"/>
          </w:rPr>
          <w:t>MINNA, 2022. Rendición de Cuentas sobre los 20 Compromisos con la Infancia y la Adolescencia. Cuarto Informe de Gobierno, pág. 9</w:t>
        </w:r>
      </w:hyperlink>
    </w:p>
  </w:footnote>
  <w:footnote w:id="13">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3" w:anchor=":~:text=Ley%20N%C2%BA%206670%20%2F%20ESTABLECE%20LA,INSTITUTO%20NACIONAL%20DE%20ESTAD%C3%8DSTICA%20(INE)">
        <w:r>
          <w:rPr>
            <w:color w:val="1155CC"/>
            <w:sz w:val="20"/>
            <w:szCs w:val="20"/>
          </w:rPr>
          <w:t>Bibliote</w:t>
        </w:r>
        <w:r>
          <w:rPr>
            <w:color w:val="1155CC"/>
            <w:sz w:val="20"/>
            <w:szCs w:val="20"/>
          </w:rPr>
          <w:t>ca y Archivo Central del Congreso Nacional. Ley Nº 6670 /2020 Establece la modernización del Sistema Estadístico Nacional (SISEN) y Crea el Instituto Nacional de Estadística (INE)</w:t>
        </w:r>
      </w:hyperlink>
    </w:p>
  </w:footnote>
  <w:footnote w:id="14">
    <w:p w:rsidR="00200F9B" w:rsidRDefault="00805DB6">
      <w:pPr>
        <w:spacing w:line="240" w:lineRule="auto"/>
        <w:rPr>
          <w:sz w:val="20"/>
          <w:szCs w:val="20"/>
        </w:rPr>
      </w:pPr>
      <w:r>
        <w:rPr>
          <w:vertAlign w:val="superscript"/>
        </w:rPr>
        <w:footnoteRef/>
      </w:r>
      <w:r>
        <w:rPr>
          <w:sz w:val="20"/>
          <w:szCs w:val="20"/>
        </w:rPr>
        <w:t xml:space="preserve"> El último Censo de Población se realizó en el año 2022. </w:t>
      </w:r>
    </w:p>
  </w:footnote>
  <w:footnote w:id="15">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14">
        <w:r>
          <w:rPr>
            <w:color w:val="1155CC"/>
            <w:sz w:val="20"/>
            <w:szCs w:val="20"/>
          </w:rPr>
          <w:t>Olmedo Zelaya R., 2022. Acceso a la justicia como medio para exigir los derechos de la población con discapacidad. En Codehupy (Ed.), Derechos Humanos en Paraguay 2022 (107-120).</w:t>
        </w:r>
        <w:r>
          <w:rPr>
            <w:color w:val="1155CC"/>
            <w:sz w:val="20"/>
            <w:szCs w:val="20"/>
          </w:rPr>
          <w:t xml:space="preserve"> Asunción, Paraguay: Codehupy.</w:t>
        </w:r>
      </w:hyperlink>
      <w:r>
        <w:rPr>
          <w:color w:val="1155CC"/>
          <w:sz w:val="20"/>
          <w:szCs w:val="20"/>
        </w:rPr>
        <w:t xml:space="preserve"> </w:t>
      </w:r>
    </w:p>
  </w:footnote>
  <w:footnote w:id="16">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5">
        <w:r>
          <w:rPr>
            <w:color w:val="1155CC"/>
            <w:sz w:val="20"/>
            <w:szCs w:val="20"/>
          </w:rPr>
          <w:t xml:space="preserve">Biblioteca y Archivo Central del Congreso Nacional. Ley N.° 5282/2014 De Libre </w:t>
        </w:r>
        <w:r>
          <w:rPr>
            <w:color w:val="1155CC"/>
            <w:sz w:val="20"/>
            <w:szCs w:val="20"/>
          </w:rPr>
          <w:t xml:space="preserve">Acceso Ciudadano a la Información Pública y Transparencia Gubernamental </w:t>
        </w:r>
      </w:hyperlink>
    </w:p>
  </w:footnote>
  <w:footnote w:id="17">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6" w:anchor="!/ciudadano/solicitud/65495">
        <w:r>
          <w:rPr>
            <w:color w:val="1155CC"/>
            <w:sz w:val="20"/>
            <w:szCs w:val="20"/>
          </w:rPr>
          <w:t>Ministerio de la Niñez y la Adolescencia (MINNA), 2023. Portal unificado de acceso a información pública. Solicitud N.º 65495</w:t>
        </w:r>
      </w:hyperlink>
      <w:r>
        <w:rPr>
          <w:color w:val="1155CC"/>
          <w:sz w:val="20"/>
          <w:szCs w:val="20"/>
        </w:rPr>
        <w:t xml:space="preserve"> adjunto 4-5. </w:t>
      </w:r>
    </w:p>
  </w:footnote>
  <w:footnote w:id="18">
    <w:p w:rsidR="00200F9B" w:rsidRDefault="00805DB6">
      <w:pPr>
        <w:widowControl w:val="0"/>
        <w:spacing w:line="240" w:lineRule="auto"/>
        <w:rPr>
          <w:color w:val="1155CC"/>
          <w:sz w:val="20"/>
          <w:szCs w:val="20"/>
        </w:rPr>
      </w:pPr>
      <w:r>
        <w:rPr>
          <w:vertAlign w:val="superscript"/>
        </w:rPr>
        <w:footnoteRef/>
      </w:r>
      <w:r>
        <w:rPr>
          <w:color w:val="1155CC"/>
          <w:sz w:val="20"/>
          <w:szCs w:val="20"/>
        </w:rPr>
        <w:t xml:space="preserve"> </w:t>
      </w:r>
      <w:hyperlink r:id="rId17">
        <w:r>
          <w:rPr>
            <w:color w:val="1155CC"/>
            <w:sz w:val="20"/>
            <w:szCs w:val="20"/>
          </w:rPr>
          <w:t xml:space="preserve">INE, 2022. Estadísticas Vitales del Paraguay 2021 </w:t>
        </w:r>
      </w:hyperlink>
    </w:p>
  </w:footnote>
  <w:footnote w:id="19">
    <w:p w:rsidR="00200F9B" w:rsidRDefault="00805DB6">
      <w:pPr>
        <w:spacing w:line="240" w:lineRule="auto"/>
        <w:rPr>
          <w:sz w:val="20"/>
          <w:szCs w:val="20"/>
        </w:rPr>
      </w:pPr>
      <w:r>
        <w:rPr>
          <w:vertAlign w:val="superscript"/>
        </w:rPr>
        <w:footnoteRef/>
      </w:r>
      <w:r>
        <w:rPr>
          <w:sz w:val="20"/>
          <w:szCs w:val="20"/>
        </w:rPr>
        <w:t xml:space="preserve"> </w:t>
      </w:r>
      <w:r>
        <w:rPr>
          <w:rFonts w:ascii="Roboto Condensed" w:eastAsia="Roboto Condensed" w:hAnsi="Roboto Condensed" w:cs="Roboto Condensed"/>
          <w:sz w:val="20"/>
          <w:szCs w:val="20"/>
        </w:rPr>
        <w:t xml:space="preserve">INE/DGREC. Registros administrativos de estadísticas vitales 2021. </w:t>
      </w:r>
      <w:hyperlink r:id="rId18">
        <w:r>
          <w:rPr>
            <w:color w:val="1155CC"/>
            <w:sz w:val="20"/>
            <w:szCs w:val="20"/>
            <w:u w:val="single"/>
          </w:rPr>
          <w:t>https://www.ine.gov.py/Publicaciones/Biblioteca/documento/203/EV%20del%20Paraguay%202021.pdf</w:t>
        </w:r>
      </w:hyperlink>
    </w:p>
  </w:footnote>
  <w:footnote w:id="20">
    <w:p w:rsidR="00200F9B" w:rsidRDefault="00805DB6">
      <w:pPr>
        <w:spacing w:line="240" w:lineRule="auto"/>
        <w:rPr>
          <w:color w:val="1155CC"/>
          <w:sz w:val="20"/>
          <w:szCs w:val="20"/>
        </w:rPr>
      </w:pPr>
      <w:r>
        <w:rPr>
          <w:vertAlign w:val="superscript"/>
        </w:rPr>
        <w:footnoteRef/>
      </w:r>
      <w:r>
        <w:rPr>
          <w:color w:val="1155CC"/>
          <w:sz w:val="20"/>
          <w:szCs w:val="20"/>
        </w:rPr>
        <w:t xml:space="preserve"> Desalojos forzados: expulsión de sus tierras</w:t>
      </w:r>
    </w:p>
  </w:footnote>
  <w:footnote w:id="21">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19">
        <w:r>
          <w:rPr>
            <w:color w:val="1155CC"/>
            <w:sz w:val="20"/>
            <w:szCs w:val="20"/>
          </w:rPr>
          <w:t>Última Hora, 2020. Petta condiciona entrega de kits alimenticios</w:t>
        </w:r>
        <w:r>
          <w:rPr>
            <w:color w:val="1155CC"/>
            <w:sz w:val="20"/>
            <w:szCs w:val="20"/>
          </w:rPr>
          <w:t xml:space="preserve"> a cambio de tareas.</w:t>
        </w:r>
      </w:hyperlink>
    </w:p>
  </w:footnote>
  <w:footnote w:id="22">
    <w:p w:rsidR="00200F9B" w:rsidRDefault="00805DB6">
      <w:pPr>
        <w:spacing w:line="240" w:lineRule="auto"/>
        <w:rPr>
          <w:sz w:val="20"/>
          <w:szCs w:val="20"/>
        </w:rPr>
      </w:pPr>
      <w:r>
        <w:rPr>
          <w:vertAlign w:val="superscript"/>
        </w:rPr>
        <w:footnoteRef/>
      </w:r>
      <w:r>
        <w:rPr>
          <w:sz w:val="20"/>
          <w:szCs w:val="20"/>
        </w:rPr>
        <w:t xml:space="preserve"> </w:t>
      </w:r>
      <w:hyperlink r:id="rId20">
        <w:r>
          <w:rPr>
            <w:color w:val="1155CC"/>
            <w:sz w:val="20"/>
            <w:szCs w:val="20"/>
            <w:u w:val="single"/>
          </w:rPr>
          <w:t>Estudio sobre la asistencia alimenticia y su vinculación con el derecho a la protección de niñas, niños y adolescentes. (2018).</w:t>
        </w:r>
      </w:hyperlink>
      <w:r>
        <w:rPr>
          <w:sz w:val="20"/>
          <w:szCs w:val="20"/>
        </w:rPr>
        <w:t xml:space="preserve">  </w:t>
      </w:r>
    </w:p>
  </w:footnote>
  <w:footnote w:id="23">
    <w:p w:rsidR="00200F9B" w:rsidRDefault="00805DB6">
      <w:pPr>
        <w:spacing w:line="240" w:lineRule="auto"/>
        <w:rPr>
          <w:color w:val="1155CC"/>
        </w:rPr>
      </w:pPr>
      <w:r>
        <w:rPr>
          <w:vertAlign w:val="superscript"/>
        </w:rPr>
        <w:footnoteRef/>
      </w:r>
      <w:hyperlink r:id="rId21">
        <w:r>
          <w:rPr>
            <w:color w:val="1155CC"/>
            <w:sz w:val="20"/>
            <w:szCs w:val="20"/>
          </w:rPr>
          <w:t>CDIA Observa, 2023. Procesado a partir de los datos del INE/STP. Proyección de la población 2000-2025.</w:t>
        </w:r>
      </w:hyperlink>
    </w:p>
    <w:p w:rsidR="00200F9B" w:rsidRDefault="00805DB6">
      <w:pPr>
        <w:spacing w:line="240" w:lineRule="auto"/>
        <w:rPr>
          <w:color w:val="1155CC"/>
          <w:sz w:val="20"/>
          <w:szCs w:val="20"/>
        </w:rPr>
      </w:pPr>
      <w:r>
        <w:rPr>
          <w:color w:val="1155CC"/>
        </w:rPr>
        <w:t xml:space="preserve">   </w:t>
      </w:r>
      <w:hyperlink r:id="rId22">
        <w:r>
          <w:rPr>
            <w:color w:val="1155CC"/>
            <w:sz w:val="20"/>
            <w:szCs w:val="20"/>
          </w:rPr>
          <w:t>Revisión 2015.</w:t>
        </w:r>
      </w:hyperlink>
      <w:r>
        <w:rPr>
          <w:color w:val="1155CC"/>
          <w:sz w:val="20"/>
          <w:szCs w:val="20"/>
        </w:rPr>
        <w:t xml:space="preserve"> </w:t>
      </w:r>
    </w:p>
  </w:footnote>
  <w:footnote w:id="24">
    <w:p w:rsidR="00200F9B" w:rsidRDefault="00805DB6">
      <w:pPr>
        <w:spacing w:line="240" w:lineRule="auto"/>
        <w:rPr>
          <w:rFonts w:ascii="Roboto" w:eastAsia="Roboto" w:hAnsi="Roboto" w:cs="Roboto"/>
          <w:color w:val="1155CC"/>
          <w:sz w:val="20"/>
          <w:szCs w:val="20"/>
        </w:rPr>
      </w:pPr>
      <w:r>
        <w:rPr>
          <w:vertAlign w:val="superscript"/>
        </w:rPr>
        <w:footnoteRef/>
      </w:r>
      <w:r>
        <w:rPr>
          <w:rFonts w:ascii="Roboto" w:eastAsia="Roboto" w:hAnsi="Roboto" w:cs="Roboto"/>
          <w:sz w:val="20"/>
          <w:szCs w:val="20"/>
        </w:rPr>
        <w:t xml:space="preserve"> </w:t>
      </w:r>
      <w:hyperlink r:id="rId23">
        <w:r>
          <w:rPr>
            <w:rFonts w:ascii="Roboto" w:eastAsia="Roboto" w:hAnsi="Roboto" w:cs="Roboto"/>
            <w:color w:val="1155CC"/>
            <w:sz w:val="20"/>
            <w:szCs w:val="20"/>
          </w:rPr>
          <w:t xml:space="preserve">CDIA Observa, 2023. Procesado a partir de los datos de la EPHC 2021 del INE. </w:t>
        </w:r>
      </w:hyperlink>
    </w:p>
  </w:footnote>
  <w:footnote w:id="25">
    <w:p w:rsidR="00200F9B" w:rsidRDefault="00805DB6">
      <w:pPr>
        <w:spacing w:line="240" w:lineRule="auto"/>
        <w:rPr>
          <w:sz w:val="20"/>
          <w:szCs w:val="20"/>
        </w:rPr>
      </w:pPr>
      <w:r>
        <w:rPr>
          <w:vertAlign w:val="superscript"/>
        </w:rPr>
        <w:footnoteRef/>
      </w:r>
      <w:r>
        <w:rPr>
          <w:sz w:val="20"/>
          <w:szCs w:val="20"/>
        </w:rPr>
        <w:t xml:space="preserve"> </w:t>
      </w:r>
      <w:r>
        <w:rPr>
          <w:sz w:val="20"/>
          <w:szCs w:val="20"/>
          <w:highlight w:val="white"/>
        </w:rPr>
        <w:t xml:space="preserve">Departamento Especializado de Búsqueda y Localización de Personas Desaparecidas de la Policía Nacional de Paraguay, 2021. </w:t>
      </w:r>
    </w:p>
  </w:footnote>
  <w:footnote w:id="26">
    <w:p w:rsidR="00200F9B" w:rsidRDefault="00805DB6">
      <w:pPr>
        <w:spacing w:line="240" w:lineRule="auto"/>
        <w:jc w:val="both"/>
        <w:rPr>
          <w:sz w:val="20"/>
          <w:szCs w:val="20"/>
        </w:rPr>
      </w:pPr>
      <w:r>
        <w:rPr>
          <w:vertAlign w:val="superscript"/>
        </w:rPr>
        <w:footnoteRef/>
      </w:r>
      <w:r>
        <w:rPr>
          <w:sz w:val="20"/>
          <w:szCs w:val="20"/>
        </w:rPr>
        <w:t xml:space="preserve"> La REDNNA está conformada por 16 organizaciones de Niños, Niñas y Adolescentes  que promueven, difunden y protegen los derechos de NNA, crea</w:t>
      </w:r>
      <w:r>
        <w:rPr>
          <w:sz w:val="20"/>
          <w:szCs w:val="20"/>
        </w:rPr>
        <w:t xml:space="preserve">da en agosto del 2016. </w:t>
      </w:r>
    </w:p>
  </w:footnote>
  <w:footnote w:id="27">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24">
        <w:r>
          <w:rPr>
            <w:color w:val="1155CC"/>
            <w:sz w:val="20"/>
            <w:szCs w:val="20"/>
          </w:rPr>
          <w:t>Plan Nacional de Niñez y Adolescencia 2022-2024</w:t>
        </w:r>
      </w:hyperlink>
      <w:r>
        <w:rPr>
          <w:color w:val="1155CC"/>
          <w:sz w:val="20"/>
          <w:szCs w:val="20"/>
        </w:rPr>
        <w:t xml:space="preserve"> </w:t>
      </w:r>
    </w:p>
  </w:footnote>
  <w:footnote w:id="28">
    <w:p w:rsidR="00200F9B" w:rsidRDefault="00805DB6">
      <w:pPr>
        <w:spacing w:line="240" w:lineRule="auto"/>
        <w:rPr>
          <w:sz w:val="20"/>
          <w:szCs w:val="20"/>
        </w:rPr>
      </w:pPr>
      <w:r>
        <w:rPr>
          <w:vertAlign w:val="superscript"/>
        </w:rPr>
        <w:footnoteRef/>
      </w:r>
      <w:hyperlink r:id="rId25">
        <w:r>
          <w:rPr>
            <w:color w:val="1155CC"/>
            <w:sz w:val="20"/>
            <w:szCs w:val="20"/>
            <w:u w:val="single"/>
          </w:rPr>
          <w:t xml:space="preserve"> ¡Vamos! -</w:t>
        </w:r>
        <w:r>
          <w:rPr>
            <w:color w:val="1155CC"/>
            <w:sz w:val="20"/>
            <w:szCs w:val="20"/>
            <w:u w:val="single"/>
          </w:rPr>
          <w:t xml:space="preserve"> Sistema de Protección Social</w:t>
        </w:r>
      </w:hyperlink>
    </w:p>
  </w:footnote>
  <w:footnote w:id="29">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26" w:anchor="gid=0">
        <w:r>
          <w:rPr>
            <w:color w:val="1155CC"/>
            <w:sz w:val="20"/>
            <w:szCs w:val="20"/>
          </w:rPr>
          <w:t>CDIA Observa, 2023.</w:t>
        </w:r>
      </w:hyperlink>
      <w:r>
        <w:rPr>
          <w:sz w:val="20"/>
          <w:szCs w:val="20"/>
        </w:rPr>
        <w:t xml:space="preserve"> Calculado a partir de las  </w:t>
      </w:r>
      <w:hyperlink r:id="rId27">
        <w:r>
          <w:rPr>
            <w:color w:val="1155CC"/>
            <w:sz w:val="20"/>
            <w:szCs w:val="20"/>
          </w:rPr>
          <w:t>Estadísticas Vitales del Paraguay 2021 del INE pág. 11</w:t>
        </w:r>
      </w:hyperlink>
      <w:r>
        <w:rPr>
          <w:sz w:val="20"/>
          <w:szCs w:val="20"/>
        </w:rPr>
        <w:t xml:space="preserve"> y el</w:t>
      </w:r>
      <w:hyperlink r:id="rId28">
        <w:r>
          <w:rPr>
            <w:color w:val="1155CC"/>
            <w:sz w:val="20"/>
            <w:szCs w:val="20"/>
          </w:rPr>
          <w:t xml:space="preserve"> Número de nacidos vivos registrados por el  Ministerio de Salud Pública y Bienestar Social.</w:t>
        </w:r>
      </w:hyperlink>
    </w:p>
  </w:footnote>
  <w:footnote w:id="30">
    <w:p w:rsidR="00200F9B" w:rsidRDefault="00805DB6">
      <w:pPr>
        <w:spacing w:line="240" w:lineRule="auto"/>
        <w:jc w:val="both"/>
        <w:rPr>
          <w:color w:val="1155CC"/>
          <w:sz w:val="20"/>
          <w:szCs w:val="20"/>
        </w:rPr>
      </w:pPr>
      <w:r>
        <w:rPr>
          <w:vertAlign w:val="superscript"/>
        </w:rPr>
        <w:footnoteRef/>
      </w:r>
      <w:r>
        <w:rPr>
          <w:color w:val="1155CC"/>
          <w:sz w:val="20"/>
          <w:szCs w:val="20"/>
        </w:rPr>
        <w:t xml:space="preserve"> CDIA Observa 2023, procesado a partir de la EPH a comunidades indígenas en 2017 de la DGEEC (actual INE)</w:t>
      </w:r>
    </w:p>
  </w:footnote>
  <w:footnote w:id="31">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29">
        <w:r>
          <w:rPr>
            <w:color w:val="1155CC"/>
            <w:sz w:val="20"/>
            <w:szCs w:val="20"/>
            <w:highlight w:val="white"/>
          </w:rPr>
          <w:t>Biblioteca y Archivo Central del Congreso Nacional. Ley N° 4288/2011 Crea el Mecanismo Nacional de Prevención contra la Tortura y otros tratos o penas crueles, inhumanos o degradantes</w:t>
        </w:r>
      </w:hyperlink>
    </w:p>
  </w:footnote>
  <w:footnote w:id="32">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30">
        <w:r>
          <w:rPr>
            <w:color w:val="1155CC"/>
            <w:sz w:val="20"/>
            <w:szCs w:val="20"/>
          </w:rPr>
          <w:t>Puede verse un ejemplo en la página 14 de este enlace.</w:t>
        </w:r>
      </w:hyperlink>
      <w:r>
        <w:rPr>
          <w:color w:val="1155CC"/>
          <w:sz w:val="20"/>
          <w:szCs w:val="20"/>
        </w:rPr>
        <w:t xml:space="preserve"> </w:t>
      </w:r>
    </w:p>
  </w:footnote>
  <w:footnote w:id="33">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31">
        <w:r>
          <w:rPr>
            <w:color w:val="1155CC"/>
            <w:sz w:val="20"/>
            <w:szCs w:val="20"/>
          </w:rPr>
          <w:t>Biblioteca y Archivo Central del Congreso Nacional. Le</w:t>
        </w:r>
        <w:r>
          <w:rPr>
            <w:color w:val="1155CC"/>
            <w:sz w:val="20"/>
            <w:szCs w:val="20"/>
          </w:rPr>
          <w:t>y Nº 5659/2016 Promoción del Buen Trato, Crianza Positiva y de la Protección a Niños, Niñas y Adolescentes Contra el Castigo Físico o Cualquier Tipo de Violencia como Método de Corrección o Disciplina</w:t>
        </w:r>
      </w:hyperlink>
      <w:r>
        <w:rPr>
          <w:color w:val="1155CC"/>
          <w:sz w:val="20"/>
          <w:szCs w:val="20"/>
        </w:rPr>
        <w:t xml:space="preserve"> </w:t>
      </w:r>
    </w:p>
  </w:footnote>
  <w:footnote w:id="34">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32">
        <w:r>
          <w:rPr>
            <w:color w:val="1155CC"/>
            <w:sz w:val="20"/>
            <w:szCs w:val="20"/>
          </w:rPr>
          <w:t xml:space="preserve">Biblioteca y Archivo Central del </w:t>
        </w:r>
        <w:r>
          <w:rPr>
            <w:color w:val="1155CC"/>
            <w:sz w:val="20"/>
            <w:szCs w:val="20"/>
          </w:rPr>
          <w:t>Congreso Nacional. Ley N.º 6486/2020 de Promoción y Protección del Derecho de Niños, Niñas y Adolescentes a Vivir en Familia, Que Regula las Medidas de Cuidados Alternativos y la Adopción</w:t>
        </w:r>
      </w:hyperlink>
    </w:p>
  </w:footnote>
  <w:footnote w:id="35">
    <w:p w:rsidR="00200F9B" w:rsidRDefault="00805DB6">
      <w:pPr>
        <w:spacing w:line="240" w:lineRule="auto"/>
        <w:rPr>
          <w:sz w:val="20"/>
          <w:szCs w:val="20"/>
        </w:rPr>
      </w:pPr>
      <w:r>
        <w:rPr>
          <w:vertAlign w:val="superscript"/>
        </w:rPr>
        <w:footnoteRef/>
      </w:r>
      <w:r>
        <w:rPr>
          <w:sz w:val="20"/>
          <w:szCs w:val="20"/>
        </w:rPr>
        <w:t xml:space="preserve"> Datos procesados por CDIA Observa a partir de los datos del Ministerio Público, proveídos en el 2020.. </w:t>
      </w:r>
    </w:p>
  </w:footnote>
  <w:footnote w:id="36">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33" w:anchor="!/ciudadano/solicitud/58511">
        <w:r>
          <w:rPr>
            <w:color w:val="1155CC"/>
            <w:sz w:val="20"/>
            <w:szCs w:val="20"/>
            <w:highlight w:val="white"/>
          </w:rPr>
          <w:t xml:space="preserve">Ministerio de la Niñez y la Adolescencia (MINNA), 2022. Estadística de FONO Ayuda. Portal unificado de acceso a información pública. Solicitud N.º 58511 </w:t>
        </w:r>
      </w:hyperlink>
    </w:p>
  </w:footnote>
  <w:footnote w:id="37">
    <w:p w:rsidR="00200F9B" w:rsidRDefault="00805DB6">
      <w:pPr>
        <w:spacing w:line="240" w:lineRule="auto"/>
        <w:rPr>
          <w:sz w:val="20"/>
          <w:szCs w:val="20"/>
        </w:rPr>
      </w:pPr>
      <w:r>
        <w:rPr>
          <w:vertAlign w:val="superscript"/>
        </w:rPr>
        <w:footnoteRef/>
      </w:r>
      <w:r>
        <w:rPr>
          <w:sz w:val="20"/>
          <w:szCs w:val="20"/>
        </w:rPr>
        <w:t xml:space="preserve"> </w:t>
      </w:r>
      <w:hyperlink r:id="rId34">
        <w:r>
          <w:rPr>
            <w:color w:val="1155CC"/>
            <w:sz w:val="20"/>
            <w:szCs w:val="20"/>
            <w:u w:val="single"/>
          </w:rPr>
          <w:t xml:space="preserve">Ley Nº 5136 de Educación Inclusiva </w:t>
        </w:r>
      </w:hyperlink>
    </w:p>
  </w:footnote>
  <w:footnote w:id="38">
    <w:p w:rsidR="00200F9B" w:rsidRDefault="00805DB6">
      <w:pPr>
        <w:spacing w:line="240" w:lineRule="auto"/>
        <w:rPr>
          <w:sz w:val="20"/>
          <w:szCs w:val="20"/>
        </w:rPr>
      </w:pPr>
      <w:r>
        <w:rPr>
          <w:vertAlign w:val="superscript"/>
        </w:rPr>
        <w:footnoteRef/>
      </w:r>
      <w:r>
        <w:rPr>
          <w:sz w:val="20"/>
          <w:szCs w:val="20"/>
        </w:rPr>
        <w:t xml:space="preserve"> </w:t>
      </w:r>
      <w:hyperlink r:id="rId35">
        <w:r>
          <w:rPr>
            <w:color w:val="1155CC"/>
            <w:sz w:val="20"/>
            <w:szCs w:val="20"/>
            <w:u w:val="single"/>
          </w:rPr>
          <w:t xml:space="preserve">Situación de la niñez y la adolescencia con discapacidad en Paraguay, 2019. </w:t>
        </w:r>
      </w:hyperlink>
    </w:p>
  </w:footnote>
  <w:footnote w:id="39">
    <w:p w:rsidR="00200F9B" w:rsidRDefault="00805DB6">
      <w:pPr>
        <w:spacing w:line="240" w:lineRule="auto"/>
        <w:rPr>
          <w:sz w:val="20"/>
          <w:szCs w:val="20"/>
        </w:rPr>
      </w:pPr>
      <w:r>
        <w:rPr>
          <w:vertAlign w:val="superscript"/>
        </w:rPr>
        <w:footnoteRef/>
      </w:r>
      <w:r>
        <w:rPr>
          <w:sz w:val="20"/>
          <w:szCs w:val="20"/>
        </w:rPr>
        <w:t xml:space="preserve"> </w:t>
      </w:r>
      <w:hyperlink r:id="rId36">
        <w:r>
          <w:rPr>
            <w:color w:val="1155CC"/>
            <w:sz w:val="20"/>
            <w:szCs w:val="20"/>
            <w:u w:val="single"/>
          </w:rPr>
          <w:t>Noticias Paraguay, 2022. Muere bebé atendido por curandero ñaná en Ciudad del Este.</w:t>
        </w:r>
      </w:hyperlink>
    </w:p>
  </w:footnote>
  <w:footnote w:id="40">
    <w:p w:rsidR="00200F9B" w:rsidRDefault="00805DB6">
      <w:pPr>
        <w:spacing w:line="240" w:lineRule="auto"/>
        <w:rPr>
          <w:sz w:val="20"/>
          <w:szCs w:val="20"/>
        </w:rPr>
      </w:pPr>
      <w:r>
        <w:rPr>
          <w:vertAlign w:val="superscript"/>
        </w:rPr>
        <w:footnoteRef/>
      </w:r>
      <w:r>
        <w:rPr>
          <w:sz w:val="20"/>
          <w:szCs w:val="20"/>
        </w:rPr>
        <w:t xml:space="preserve"> </w:t>
      </w:r>
      <w:hyperlink r:id="rId37">
        <w:r>
          <w:rPr>
            <w:color w:val="1155CC"/>
            <w:sz w:val="20"/>
            <w:szCs w:val="20"/>
            <w:u w:val="single"/>
          </w:rPr>
          <w:t>Paraguay confirma muerte de 12 indígenas en po</w:t>
        </w:r>
        <w:r>
          <w:rPr>
            <w:color w:val="1155CC"/>
            <w:sz w:val="20"/>
            <w:szCs w:val="20"/>
            <w:u w:val="single"/>
          </w:rPr>
          <w:t>lémica pesticidas | Reuters</w:t>
        </w:r>
      </w:hyperlink>
      <w:r>
        <w:rPr>
          <w:sz w:val="20"/>
          <w:szCs w:val="20"/>
        </w:rPr>
        <w:t xml:space="preserve"> </w:t>
      </w:r>
    </w:p>
  </w:footnote>
  <w:footnote w:id="41">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38">
        <w:r>
          <w:rPr>
            <w:color w:val="1155CC"/>
            <w:sz w:val="20"/>
            <w:szCs w:val="20"/>
          </w:rPr>
          <w:t>Benítez Leite, Stela, 2021. El impacto en la salud de los principales agrotóxicos importados en el país. En con la soja al cuello. Informe sobre Agronegocios 2021. Asunción, BASE-IS, Noviembre de 2021. págs. 100 al 103.</w:t>
        </w:r>
      </w:hyperlink>
    </w:p>
  </w:footnote>
  <w:footnote w:id="42">
    <w:p w:rsidR="00200F9B" w:rsidRDefault="00805DB6">
      <w:pPr>
        <w:spacing w:line="240" w:lineRule="auto"/>
        <w:rPr>
          <w:sz w:val="20"/>
          <w:szCs w:val="20"/>
        </w:rPr>
      </w:pPr>
      <w:r>
        <w:rPr>
          <w:vertAlign w:val="superscript"/>
        </w:rPr>
        <w:footnoteRef/>
      </w:r>
      <w:r>
        <w:rPr>
          <w:sz w:val="20"/>
          <w:szCs w:val="20"/>
        </w:rPr>
        <w:t xml:space="preserve"> </w:t>
      </w:r>
      <w:hyperlink r:id="rId39">
        <w:r>
          <w:rPr>
            <w:color w:val="1155CC"/>
            <w:sz w:val="20"/>
            <w:szCs w:val="20"/>
            <w:u w:val="single"/>
          </w:rPr>
          <w:t xml:space="preserve">ONU: “Paraguay viola derechos humanos al no controlar fumigaciones en cultivos de soja” </w:t>
        </w:r>
        <w:r>
          <w:rPr>
            <w:color w:val="1155CC"/>
            <w:sz w:val="20"/>
            <w:szCs w:val="20"/>
            <w:u w:val="single"/>
          </w:rPr>
          <w:t>| El Mundo | DW | 14.08.2019</w:t>
        </w:r>
      </w:hyperlink>
      <w:r>
        <w:rPr>
          <w:sz w:val="20"/>
          <w:szCs w:val="20"/>
        </w:rPr>
        <w:t xml:space="preserve"> </w:t>
      </w:r>
    </w:p>
  </w:footnote>
  <w:footnote w:id="43">
    <w:p w:rsidR="00200F9B" w:rsidRDefault="00805DB6">
      <w:pPr>
        <w:spacing w:line="240" w:lineRule="auto"/>
        <w:rPr>
          <w:sz w:val="20"/>
          <w:szCs w:val="20"/>
        </w:rPr>
      </w:pPr>
      <w:r>
        <w:rPr>
          <w:vertAlign w:val="superscript"/>
        </w:rPr>
        <w:footnoteRef/>
      </w:r>
      <w:r>
        <w:rPr>
          <w:sz w:val="20"/>
          <w:szCs w:val="20"/>
        </w:rPr>
        <w:t xml:space="preserve"> </w:t>
      </w:r>
      <w:hyperlink r:id="rId40">
        <w:r>
          <w:rPr>
            <w:color w:val="1155CC"/>
            <w:sz w:val="20"/>
            <w:szCs w:val="20"/>
            <w:u w:val="single"/>
          </w:rPr>
          <w:t>Dramática situación de “escuelas fumigadas” - baseis.org.py</w:t>
        </w:r>
      </w:hyperlink>
      <w:r>
        <w:rPr>
          <w:sz w:val="20"/>
          <w:szCs w:val="20"/>
        </w:rPr>
        <w:t xml:space="preserve"> </w:t>
      </w:r>
    </w:p>
  </w:footnote>
  <w:footnote w:id="44">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41">
        <w:r>
          <w:rPr>
            <w:color w:val="1155CC"/>
            <w:sz w:val="20"/>
            <w:szCs w:val="20"/>
          </w:rPr>
          <w:t>Ministerio de Salud Pública y Bienestar Social, 2023. Portal unificado de acceso a información pública. Solicitud N.º 65172</w:t>
        </w:r>
      </w:hyperlink>
    </w:p>
  </w:footnote>
  <w:footnote w:id="45">
    <w:p w:rsidR="00200F9B" w:rsidRDefault="00805DB6">
      <w:pPr>
        <w:spacing w:line="240" w:lineRule="auto"/>
        <w:jc w:val="both"/>
        <w:rPr>
          <w:color w:val="1155CC"/>
          <w:sz w:val="20"/>
          <w:szCs w:val="20"/>
        </w:rPr>
      </w:pPr>
      <w:r>
        <w:rPr>
          <w:vertAlign w:val="superscript"/>
        </w:rPr>
        <w:footnoteRef/>
      </w:r>
      <w:r>
        <w:rPr>
          <w:color w:val="1155CC"/>
        </w:rPr>
        <w:t xml:space="preserve"> </w:t>
      </w:r>
      <w:hyperlink r:id="rId42">
        <w:r>
          <w:rPr>
            <w:color w:val="1155CC"/>
            <w:sz w:val="20"/>
            <w:szCs w:val="20"/>
          </w:rPr>
          <w:t>Biblioteca y Archivo Central del Congreso Nacional. Ley N.º 5508 /2015 Promoción, Protección de la Maternidad y Apoyo a la Lactancia Materna</w:t>
        </w:r>
      </w:hyperlink>
      <w:r>
        <w:rPr>
          <w:color w:val="1155CC"/>
          <w:sz w:val="20"/>
          <w:szCs w:val="20"/>
        </w:rPr>
        <w:t xml:space="preserve"> </w:t>
      </w:r>
    </w:p>
  </w:footnote>
  <w:footnote w:id="46">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43">
        <w:r>
          <w:rPr>
            <w:color w:val="1155CC"/>
            <w:sz w:val="20"/>
            <w:szCs w:val="20"/>
          </w:rPr>
          <w:t>La Vanguardia, 2019. El Supremo de Paraguay envía a prisión a una militar que pidió permiso para amamantar a su bebé.</w:t>
        </w:r>
      </w:hyperlink>
      <w:r>
        <w:rPr>
          <w:color w:val="1155CC"/>
          <w:sz w:val="20"/>
          <w:szCs w:val="20"/>
        </w:rPr>
        <w:t xml:space="preserve"> </w:t>
      </w:r>
    </w:p>
  </w:footnote>
  <w:footnote w:id="47">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44">
        <w:r>
          <w:rPr>
            <w:color w:val="1155CC"/>
            <w:sz w:val="20"/>
            <w:szCs w:val="20"/>
          </w:rPr>
          <w:t xml:space="preserve">DGEEC </w:t>
        </w:r>
        <w:r>
          <w:rPr>
            <w:color w:val="1155CC"/>
            <w:sz w:val="20"/>
            <w:szCs w:val="20"/>
          </w:rPr>
          <w:t xml:space="preserve">(actual INE)/ UNICEF, 2016. Encuesta de Indicadores Múltiples por Conglomerados. MICS Paraguay 2016 </w:t>
        </w:r>
      </w:hyperlink>
    </w:p>
  </w:footnote>
  <w:footnote w:id="48">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45">
        <w:r>
          <w:rPr>
            <w:color w:val="1155CC"/>
            <w:sz w:val="20"/>
            <w:szCs w:val="20"/>
          </w:rPr>
          <w:t>Instituto Nacional de Alimentación y Nutrición, 2022. I</w:t>
        </w:r>
        <w:r>
          <w:rPr>
            <w:color w:val="1155CC"/>
            <w:sz w:val="20"/>
            <w:szCs w:val="20"/>
          </w:rPr>
          <w:t>nforme Situación nutricional de niños y niñas menores de 5 años que asisten a Servicios Públicos de Salud. Años 2001 a 2021 pág. 60.</w:t>
        </w:r>
      </w:hyperlink>
    </w:p>
  </w:footnote>
  <w:footnote w:id="49">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46" w:anchor="!/ciudadano/solicitud/57688">
        <w:r>
          <w:rPr>
            <w:color w:val="1155CC"/>
            <w:sz w:val="20"/>
            <w:szCs w:val="20"/>
          </w:rPr>
          <w:t>MSPBS/ DIGIES, 202</w:t>
        </w:r>
        <w:r>
          <w:rPr>
            <w:color w:val="1155CC"/>
            <w:sz w:val="20"/>
            <w:szCs w:val="20"/>
          </w:rPr>
          <w:t>2. Portal unificado de acceso a información pública. Solicitud N.º 57688</w:t>
        </w:r>
      </w:hyperlink>
    </w:p>
  </w:footnote>
  <w:footnote w:id="50">
    <w:p w:rsidR="00200F9B" w:rsidRDefault="00805DB6">
      <w:pPr>
        <w:spacing w:line="240" w:lineRule="auto"/>
        <w:rPr>
          <w:sz w:val="20"/>
          <w:szCs w:val="20"/>
        </w:rPr>
      </w:pPr>
      <w:r>
        <w:rPr>
          <w:vertAlign w:val="superscript"/>
        </w:rPr>
        <w:footnoteRef/>
      </w:r>
      <w:r>
        <w:rPr>
          <w:sz w:val="20"/>
          <w:szCs w:val="20"/>
        </w:rPr>
        <w:t xml:space="preserve"> </w:t>
      </w:r>
      <w:hyperlink r:id="rId47">
        <w:r>
          <w:rPr>
            <w:color w:val="1155CC"/>
            <w:sz w:val="20"/>
            <w:szCs w:val="20"/>
          </w:rPr>
          <w:t>Programa Alimentario Nutricional Integral (PANI)</w:t>
        </w:r>
      </w:hyperlink>
      <w:r>
        <w:rPr>
          <w:sz w:val="20"/>
          <w:szCs w:val="20"/>
        </w:rPr>
        <w:t xml:space="preserve"> </w:t>
      </w:r>
    </w:p>
  </w:footnote>
  <w:footnote w:id="51">
    <w:p w:rsidR="00200F9B" w:rsidRDefault="00805DB6">
      <w:pPr>
        <w:spacing w:line="240" w:lineRule="auto"/>
        <w:rPr>
          <w:sz w:val="20"/>
          <w:szCs w:val="20"/>
        </w:rPr>
      </w:pPr>
      <w:r>
        <w:rPr>
          <w:vertAlign w:val="superscript"/>
        </w:rPr>
        <w:footnoteRef/>
      </w:r>
      <w:r>
        <w:rPr>
          <w:sz w:val="20"/>
          <w:szCs w:val="20"/>
        </w:rPr>
        <w:t xml:space="preserve"> </w:t>
      </w:r>
      <w:hyperlink r:id="rId48">
        <w:r>
          <w:rPr>
            <w:color w:val="1155CC"/>
            <w:sz w:val="20"/>
            <w:szCs w:val="20"/>
            <w:u w:val="single"/>
          </w:rPr>
          <w:t>Biblioteca y Archivo Central del Congreso Nacional. Ley N.º 4698/</w:t>
        </w:r>
        <w:r>
          <w:rPr>
            <w:color w:val="1155CC"/>
            <w:sz w:val="20"/>
            <w:szCs w:val="20"/>
            <w:u w:val="single"/>
          </w:rPr>
          <w:t xml:space="preserve"> 2012 Garantía Nutricional en la Primera Infancia</w:t>
        </w:r>
      </w:hyperlink>
    </w:p>
  </w:footnote>
  <w:footnote w:id="52">
    <w:p w:rsidR="00200F9B" w:rsidRDefault="00805DB6">
      <w:pPr>
        <w:spacing w:line="240" w:lineRule="auto"/>
        <w:jc w:val="both"/>
        <w:rPr>
          <w:sz w:val="20"/>
          <w:szCs w:val="20"/>
        </w:rPr>
      </w:pPr>
      <w:r>
        <w:rPr>
          <w:vertAlign w:val="superscript"/>
        </w:rPr>
        <w:footnoteRef/>
      </w:r>
      <w:r>
        <w:rPr>
          <w:sz w:val="20"/>
          <w:szCs w:val="20"/>
        </w:rPr>
        <w:t xml:space="preserve"> Tablero de Control del Congreso Nacional, Ejecución Presupuestaria de la actividad Seguridad Alimentaria Nutricional Humana Mejorada del MSPBS:</w:t>
      </w:r>
    </w:p>
    <w:p w:rsidR="00200F9B" w:rsidRDefault="00805DB6">
      <w:pPr>
        <w:spacing w:line="240" w:lineRule="auto"/>
        <w:rPr>
          <w:color w:val="1155CC"/>
          <w:sz w:val="20"/>
          <w:szCs w:val="20"/>
        </w:rPr>
      </w:pPr>
      <w:hyperlink r:id="rId49">
        <w:r>
          <w:rPr>
            <w:color w:val="1155CC"/>
            <w:sz w:val="20"/>
            <w:szCs w:val="20"/>
          </w:rPr>
          <w:t>Año 2020: 52%, pág. 37</w:t>
        </w:r>
      </w:hyperlink>
    </w:p>
    <w:p w:rsidR="00200F9B" w:rsidRDefault="00805DB6">
      <w:pPr>
        <w:spacing w:line="240" w:lineRule="auto"/>
        <w:rPr>
          <w:color w:val="1155CC"/>
          <w:sz w:val="20"/>
          <w:szCs w:val="20"/>
        </w:rPr>
      </w:pPr>
      <w:hyperlink r:id="rId50">
        <w:r>
          <w:rPr>
            <w:color w:val="1155CC"/>
            <w:sz w:val="20"/>
            <w:szCs w:val="20"/>
          </w:rPr>
          <w:t xml:space="preserve">Año 2021: 45%, pág. 37 </w:t>
        </w:r>
      </w:hyperlink>
    </w:p>
    <w:p w:rsidR="00200F9B" w:rsidRDefault="00805DB6">
      <w:pPr>
        <w:spacing w:line="240" w:lineRule="auto"/>
        <w:rPr>
          <w:color w:val="1155CC"/>
          <w:sz w:val="20"/>
          <w:szCs w:val="20"/>
        </w:rPr>
      </w:pPr>
      <w:hyperlink r:id="rId51">
        <w:r>
          <w:rPr>
            <w:color w:val="1155CC"/>
            <w:sz w:val="20"/>
            <w:szCs w:val="20"/>
          </w:rPr>
          <w:t>Año 2022: 56%, pág. 38</w:t>
        </w:r>
      </w:hyperlink>
      <w:r>
        <w:rPr>
          <w:color w:val="1155CC"/>
          <w:sz w:val="20"/>
          <w:szCs w:val="20"/>
        </w:rPr>
        <w:t xml:space="preserve"> </w:t>
      </w:r>
    </w:p>
  </w:footnote>
  <w:footnote w:id="53">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52">
        <w:r>
          <w:rPr>
            <w:color w:val="1155CC"/>
            <w:sz w:val="20"/>
            <w:szCs w:val="20"/>
            <w:highlight w:val="white"/>
          </w:rPr>
          <w:t xml:space="preserve">MSPBS/PRONASIDA, 2022. Informe -Situación Epidemiológica del VIH. Paraguay (2017 al 2021). </w:t>
        </w:r>
      </w:hyperlink>
    </w:p>
  </w:footnote>
  <w:footnote w:id="54">
    <w:p w:rsidR="00200F9B" w:rsidRDefault="00805DB6">
      <w:pPr>
        <w:spacing w:line="240" w:lineRule="auto"/>
        <w:rPr>
          <w:sz w:val="20"/>
          <w:szCs w:val="20"/>
        </w:rPr>
      </w:pPr>
      <w:r>
        <w:rPr>
          <w:vertAlign w:val="superscript"/>
        </w:rPr>
        <w:footnoteRef/>
      </w:r>
      <w:r>
        <w:rPr>
          <w:sz w:val="20"/>
          <w:szCs w:val="20"/>
        </w:rPr>
        <w:t xml:space="preserve"> </w:t>
      </w:r>
      <w:hyperlink r:id="rId53">
        <w:r>
          <w:rPr>
            <w:color w:val="1155CC"/>
            <w:sz w:val="20"/>
            <w:szCs w:val="20"/>
            <w:u w:val="single"/>
          </w:rPr>
          <w:t>El plan de Petta para la salud mental de los niños: una ONG evangélica</w:t>
        </w:r>
      </w:hyperlink>
      <w:r>
        <w:rPr>
          <w:sz w:val="20"/>
          <w:szCs w:val="20"/>
        </w:rPr>
        <w:t xml:space="preserve"> </w:t>
      </w:r>
    </w:p>
  </w:footnote>
  <w:footnote w:id="55">
    <w:p w:rsidR="00200F9B" w:rsidRDefault="00805DB6">
      <w:pPr>
        <w:spacing w:line="240" w:lineRule="auto"/>
        <w:rPr>
          <w:sz w:val="20"/>
          <w:szCs w:val="20"/>
        </w:rPr>
      </w:pPr>
      <w:r>
        <w:rPr>
          <w:vertAlign w:val="superscript"/>
        </w:rPr>
        <w:footnoteRef/>
      </w:r>
      <w:hyperlink r:id="rId54">
        <w:r>
          <w:rPr>
            <w:color w:val="1155CC"/>
            <w:sz w:val="20"/>
            <w:szCs w:val="20"/>
            <w:u w:val="single"/>
          </w:rPr>
          <w:t xml:space="preserve"> Ley 3940/</w:t>
        </w:r>
        <w:r>
          <w:rPr>
            <w:color w:val="1155CC"/>
            <w:sz w:val="20"/>
            <w:szCs w:val="20"/>
            <w:u w:val="single"/>
          </w:rPr>
          <w:t xml:space="preserve">2009 </w:t>
        </w:r>
      </w:hyperlink>
      <w:hyperlink r:id="rId55">
        <w:r>
          <w:rPr>
            <w:color w:val="1155CC"/>
            <w:sz w:val="21"/>
            <w:szCs w:val="21"/>
            <w:highlight w:val="white"/>
            <w:u w:val="single"/>
          </w:rPr>
          <w:t>Establece derechos, obligaciones y medidas preventivas de las personas afectadas por el VIH y SIDA</w:t>
        </w:r>
      </w:hyperlink>
      <w:r>
        <w:rPr>
          <w:color w:val="2B2B2B"/>
          <w:sz w:val="21"/>
          <w:szCs w:val="21"/>
          <w:highlight w:val="white"/>
        </w:rPr>
        <w:t xml:space="preserve"> </w:t>
      </w:r>
    </w:p>
  </w:footnote>
  <w:footnote w:id="56">
    <w:p w:rsidR="00200F9B" w:rsidRDefault="00805DB6">
      <w:pPr>
        <w:spacing w:line="240" w:lineRule="auto"/>
        <w:rPr>
          <w:sz w:val="20"/>
          <w:szCs w:val="20"/>
        </w:rPr>
      </w:pPr>
      <w:r>
        <w:rPr>
          <w:vertAlign w:val="superscript"/>
        </w:rPr>
        <w:footnoteRef/>
      </w:r>
      <w:r>
        <w:rPr>
          <w:sz w:val="20"/>
          <w:szCs w:val="20"/>
        </w:rPr>
        <w:t xml:space="preserve"> </w:t>
      </w:r>
      <w:hyperlink r:id="rId56" w:anchor=":~:text=en%20Paraguay%2C%20457.844%20ni%C3%B1as%2C%20ni%C3%B1os%20y%20adolescentes%20de%205%20a%2017%20a%C3%B1os%20se%20encuentran%20fuera%20del%20sistema%20educativo%2C%20el%2025%2C3%25%20o%201%20de%20cada%204%20de%20la%20poblaci%C3%B3n%20de%20este%20grupo%20etario%2C%20seg%C3%BAn%20datos%20del%20MEC.%20Esta%20situaci%C3%B3n%20ha%20sido%20agravada%20por%20el%20impacto%20de%20la%20pandemia%20de%20COVID%2D19">
        <w:r>
          <w:rPr>
            <w:color w:val="1155CC"/>
            <w:sz w:val="20"/>
            <w:szCs w:val="20"/>
          </w:rPr>
          <w:t>Unicef, 2023. UNICEF inicia una campaña preguntale a tu candidato sobre niños, niñas y adolescentes fuera de la escuela.</w:t>
        </w:r>
      </w:hyperlink>
      <w:r>
        <w:rPr>
          <w:sz w:val="20"/>
          <w:szCs w:val="20"/>
        </w:rPr>
        <w:t>.</w:t>
      </w:r>
    </w:p>
  </w:footnote>
  <w:footnote w:id="57">
    <w:p w:rsidR="00200F9B" w:rsidRDefault="00805DB6">
      <w:pPr>
        <w:spacing w:line="240" w:lineRule="auto"/>
        <w:rPr>
          <w:sz w:val="20"/>
          <w:szCs w:val="20"/>
        </w:rPr>
      </w:pPr>
      <w:r>
        <w:rPr>
          <w:vertAlign w:val="superscript"/>
        </w:rPr>
        <w:footnoteRef/>
      </w:r>
      <w:r>
        <w:rPr>
          <w:sz w:val="20"/>
          <w:szCs w:val="20"/>
        </w:rPr>
        <w:t xml:space="preserve"> </w:t>
      </w:r>
      <w:hyperlink r:id="rId57">
        <w:r>
          <w:rPr>
            <w:color w:val="1155CC"/>
            <w:sz w:val="20"/>
            <w:szCs w:val="20"/>
          </w:rPr>
          <w:t>Plan Nacional de Transformación Educativa Paraguay 2040.</w:t>
        </w:r>
      </w:hyperlink>
    </w:p>
  </w:footnote>
  <w:footnote w:id="58">
    <w:p w:rsidR="00200F9B" w:rsidRDefault="00805DB6">
      <w:pPr>
        <w:spacing w:line="240" w:lineRule="auto"/>
        <w:rPr>
          <w:sz w:val="20"/>
          <w:szCs w:val="20"/>
        </w:rPr>
      </w:pPr>
      <w:r>
        <w:rPr>
          <w:vertAlign w:val="superscript"/>
        </w:rPr>
        <w:footnoteRef/>
      </w:r>
      <w:r>
        <w:rPr>
          <w:sz w:val="20"/>
          <w:szCs w:val="20"/>
        </w:rPr>
        <w:t xml:space="preserve"> Comunidad Educativa:  estudiantes, familias y docentes</w:t>
      </w:r>
    </w:p>
  </w:footnote>
  <w:footnote w:id="59">
    <w:p w:rsidR="00200F9B" w:rsidRDefault="00805DB6">
      <w:pPr>
        <w:spacing w:line="240" w:lineRule="auto"/>
        <w:jc w:val="both"/>
        <w:rPr>
          <w:sz w:val="20"/>
          <w:szCs w:val="20"/>
        </w:rPr>
      </w:pPr>
      <w:r>
        <w:rPr>
          <w:vertAlign w:val="superscript"/>
        </w:rPr>
        <w:footnoteRef/>
      </w:r>
      <w:r>
        <w:rPr>
          <w:sz w:val="20"/>
          <w:szCs w:val="20"/>
        </w:rPr>
        <w:t xml:space="preserve"> CDIA Observa,2023. Presupuesto asignado al  Ministerio de Educación y Ciencias en 2022 y 2023.</w:t>
      </w:r>
    </w:p>
    <w:p w:rsidR="00200F9B" w:rsidRDefault="00805DB6">
      <w:pPr>
        <w:spacing w:line="240" w:lineRule="auto"/>
        <w:jc w:val="both"/>
        <w:rPr>
          <w:color w:val="1155CC"/>
          <w:sz w:val="20"/>
          <w:szCs w:val="20"/>
        </w:rPr>
      </w:pPr>
      <w:r>
        <w:rPr>
          <w:sz w:val="20"/>
          <w:szCs w:val="20"/>
        </w:rPr>
        <w:t>Año 2022:</w:t>
      </w:r>
      <w:r>
        <w:rPr>
          <w:color w:val="1155CC"/>
          <w:sz w:val="20"/>
          <w:szCs w:val="20"/>
        </w:rPr>
        <w:t xml:space="preserve"> https://bit.ly/3mSRxD7_MECpresupuesto2022</w:t>
      </w:r>
    </w:p>
    <w:p w:rsidR="00200F9B" w:rsidRDefault="00805DB6">
      <w:pPr>
        <w:spacing w:line="240" w:lineRule="auto"/>
        <w:jc w:val="both"/>
        <w:rPr>
          <w:color w:val="1155CC"/>
          <w:sz w:val="20"/>
          <w:szCs w:val="20"/>
        </w:rPr>
      </w:pPr>
      <w:r>
        <w:rPr>
          <w:sz w:val="20"/>
          <w:szCs w:val="20"/>
        </w:rPr>
        <w:t xml:space="preserve">Año 2023: </w:t>
      </w:r>
      <w:r>
        <w:rPr>
          <w:color w:val="1155CC"/>
          <w:sz w:val="20"/>
          <w:szCs w:val="20"/>
        </w:rPr>
        <w:t>https://bit.ly/407CvaC_MECpresupuesto2023</w:t>
      </w:r>
    </w:p>
  </w:footnote>
  <w:footnote w:id="60">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58">
        <w:r>
          <w:rPr>
            <w:color w:val="1155CC"/>
            <w:sz w:val="20"/>
            <w:szCs w:val="20"/>
          </w:rPr>
          <w:t>Ministerio de Educación y Ciencias. Datos Educativos. Mapa Escolar</w:t>
        </w:r>
      </w:hyperlink>
    </w:p>
  </w:footnote>
  <w:footnote w:id="61">
    <w:p w:rsidR="00200F9B" w:rsidRDefault="00805DB6">
      <w:pPr>
        <w:spacing w:line="240" w:lineRule="auto"/>
        <w:rPr>
          <w:sz w:val="20"/>
          <w:szCs w:val="20"/>
        </w:rPr>
      </w:pPr>
      <w:r>
        <w:rPr>
          <w:vertAlign w:val="superscript"/>
        </w:rPr>
        <w:footnoteRef/>
      </w:r>
      <w:r>
        <w:rPr>
          <w:sz w:val="20"/>
          <w:szCs w:val="20"/>
        </w:rPr>
        <w:t xml:space="preserve"> CDIA, 2023. Relevamiento sobre participación y exclusión educativa. </w:t>
      </w:r>
    </w:p>
  </w:footnote>
  <w:footnote w:id="62">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59">
        <w:r>
          <w:rPr>
            <w:color w:val="1155CC"/>
            <w:sz w:val="20"/>
            <w:szCs w:val="20"/>
          </w:rPr>
          <w:t>Ministerio de Educación y Ciencias (MEC), 2019. Reporte Nacional. PISA D - Paraguay 2018.</w:t>
        </w:r>
      </w:hyperlink>
    </w:p>
  </w:footnote>
  <w:footnote w:id="63">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60">
        <w:r>
          <w:rPr>
            <w:color w:val="1155CC"/>
            <w:sz w:val="20"/>
            <w:szCs w:val="20"/>
          </w:rPr>
          <w:t>MEC/</w:t>
        </w:r>
        <w:r>
          <w:rPr>
            <w:color w:val="1155CC"/>
            <w:sz w:val="20"/>
            <w:szCs w:val="20"/>
          </w:rPr>
          <w:t xml:space="preserve"> INE/ SNEPE, 2018. Mapa Escolar. Datos Educativos. Niveles de Desempeño de los Estudiantes</w:t>
        </w:r>
      </w:hyperlink>
    </w:p>
  </w:footnote>
  <w:footnote w:id="64">
    <w:p w:rsidR="00200F9B" w:rsidRDefault="00805DB6">
      <w:pPr>
        <w:spacing w:line="240" w:lineRule="auto"/>
        <w:rPr>
          <w:sz w:val="20"/>
          <w:szCs w:val="20"/>
        </w:rPr>
      </w:pPr>
      <w:r>
        <w:rPr>
          <w:vertAlign w:val="superscript"/>
        </w:rPr>
        <w:footnoteRef/>
      </w:r>
      <w:r>
        <w:rPr>
          <w:sz w:val="20"/>
          <w:szCs w:val="20"/>
        </w:rPr>
        <w:t xml:space="preserve"> </w:t>
      </w:r>
      <w:hyperlink r:id="rId61">
        <w:r>
          <w:rPr>
            <w:color w:val="1155CC"/>
            <w:sz w:val="20"/>
            <w:szCs w:val="20"/>
          </w:rPr>
          <w:t>MEC. Resolución N.º 29.664/2017 Por la cual se prohíbe la difusión y utilización de mat</w:t>
        </w:r>
        <w:r>
          <w:rPr>
            <w:color w:val="1155CC"/>
            <w:sz w:val="20"/>
            <w:szCs w:val="20"/>
          </w:rPr>
          <w:t>eriales impresos como digitales referentes a la teoría de género, en instituciones educativas dependientes del Ministerio de Educación y Ciencias.</w:t>
        </w:r>
      </w:hyperlink>
    </w:p>
  </w:footnote>
  <w:footnote w:id="65">
    <w:p w:rsidR="00200F9B" w:rsidRDefault="00805DB6">
      <w:pPr>
        <w:spacing w:line="240" w:lineRule="auto"/>
        <w:rPr>
          <w:sz w:val="20"/>
          <w:szCs w:val="20"/>
        </w:rPr>
      </w:pPr>
      <w:r>
        <w:rPr>
          <w:vertAlign w:val="superscript"/>
        </w:rPr>
        <w:footnoteRef/>
      </w:r>
      <w:r>
        <w:rPr>
          <w:sz w:val="20"/>
          <w:szCs w:val="20"/>
        </w:rPr>
        <w:t xml:space="preserve"> </w:t>
      </w:r>
      <w:hyperlink r:id="rId62">
        <w:r>
          <w:rPr>
            <w:color w:val="1155CC"/>
            <w:sz w:val="20"/>
            <w:szCs w:val="20"/>
            <w:u w:val="single"/>
          </w:rPr>
          <w:t>Ministro Riera se ofreció a quemar libros sobre ideología de género - Locales - ABC Color</w:t>
        </w:r>
      </w:hyperlink>
      <w:r>
        <w:rPr>
          <w:sz w:val="20"/>
          <w:szCs w:val="20"/>
        </w:rPr>
        <w:t xml:space="preserve"> </w:t>
      </w:r>
    </w:p>
  </w:footnote>
  <w:footnote w:id="66">
    <w:p w:rsidR="00200F9B" w:rsidRDefault="00805DB6">
      <w:pPr>
        <w:spacing w:line="240" w:lineRule="auto"/>
        <w:rPr>
          <w:sz w:val="20"/>
          <w:szCs w:val="20"/>
        </w:rPr>
      </w:pPr>
      <w:r>
        <w:rPr>
          <w:vertAlign w:val="superscript"/>
        </w:rPr>
        <w:footnoteRef/>
      </w:r>
      <w:r>
        <w:rPr>
          <w:sz w:val="20"/>
          <w:szCs w:val="20"/>
        </w:rPr>
        <w:t xml:space="preserve"> CDIA Observa, 2023. calculado a partir del anexo estadístico del BCP y de la Ley N° 6.873/2022 del PGN.</w:t>
      </w:r>
    </w:p>
    <w:p w:rsidR="00200F9B" w:rsidRDefault="00805DB6">
      <w:pPr>
        <w:spacing w:line="240" w:lineRule="auto"/>
        <w:rPr>
          <w:sz w:val="20"/>
          <w:szCs w:val="20"/>
        </w:rPr>
      </w:pPr>
      <w:hyperlink r:id="rId63">
        <w:r>
          <w:rPr>
            <w:color w:val="1155CC"/>
            <w:sz w:val="20"/>
            <w:szCs w:val="20"/>
          </w:rPr>
          <w:t>PIB en guaraníes corrientes en 2022 (dato preliminar): 288.275.130.018.673</w:t>
        </w:r>
      </w:hyperlink>
    </w:p>
    <w:p w:rsidR="00200F9B" w:rsidRDefault="00805DB6">
      <w:pPr>
        <w:spacing w:line="240" w:lineRule="auto"/>
        <w:rPr>
          <w:sz w:val="20"/>
          <w:szCs w:val="20"/>
        </w:rPr>
      </w:pPr>
      <w:hyperlink r:id="rId64">
        <w:r>
          <w:rPr>
            <w:color w:val="1155CC"/>
            <w:sz w:val="20"/>
            <w:szCs w:val="20"/>
          </w:rPr>
          <w:t>Presupuesto asignado al MEC en 2022: 9.200.178.494.915</w:t>
        </w:r>
      </w:hyperlink>
    </w:p>
    <w:p w:rsidR="00200F9B" w:rsidRDefault="00200F9B">
      <w:pPr>
        <w:spacing w:line="240" w:lineRule="auto"/>
        <w:rPr>
          <w:sz w:val="20"/>
          <w:szCs w:val="20"/>
        </w:rPr>
      </w:pPr>
    </w:p>
  </w:footnote>
  <w:footnote w:id="67">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65">
        <w:r>
          <w:rPr>
            <w:color w:val="1155CC"/>
            <w:sz w:val="20"/>
            <w:szCs w:val="20"/>
          </w:rPr>
          <w:t>Biblioteca y Archivo Central del Congreso Nacional. Ley Nº</w:t>
        </w:r>
        <w:r>
          <w:rPr>
            <w:color w:val="1155CC"/>
            <w:sz w:val="20"/>
            <w:szCs w:val="20"/>
          </w:rPr>
          <w:t xml:space="preserve"> 6984 /2022 De Migraciones</w:t>
        </w:r>
      </w:hyperlink>
      <w:r>
        <w:rPr>
          <w:color w:val="1155CC"/>
          <w:sz w:val="20"/>
          <w:szCs w:val="20"/>
        </w:rPr>
        <w:t xml:space="preserve"> </w:t>
      </w:r>
    </w:p>
  </w:footnote>
  <w:footnote w:id="68">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66">
        <w:r>
          <w:rPr>
            <w:color w:val="1155CC"/>
            <w:sz w:val="20"/>
            <w:szCs w:val="20"/>
          </w:rPr>
          <w:t>MTESS, 2018. Estrategia Nacional de Prevención y Erradicaci</w:t>
        </w:r>
        <w:r>
          <w:rPr>
            <w:color w:val="1155CC"/>
            <w:sz w:val="20"/>
            <w:szCs w:val="20"/>
          </w:rPr>
          <w:t xml:space="preserve">ón del Trabajo Infantil y Protección del Trabajo Adolescente del Paraguay 2019-2024 </w:t>
        </w:r>
      </w:hyperlink>
      <w:r>
        <w:rPr>
          <w:color w:val="1155CC"/>
          <w:sz w:val="20"/>
          <w:szCs w:val="20"/>
        </w:rPr>
        <w:t xml:space="preserve"> </w:t>
      </w:r>
    </w:p>
  </w:footnote>
  <w:footnote w:id="69">
    <w:p w:rsidR="00200F9B" w:rsidRDefault="00805DB6">
      <w:pPr>
        <w:spacing w:line="240" w:lineRule="auto"/>
        <w:rPr>
          <w:color w:val="1155CC"/>
          <w:sz w:val="20"/>
          <w:szCs w:val="20"/>
        </w:rPr>
      </w:pPr>
      <w:r>
        <w:rPr>
          <w:vertAlign w:val="superscript"/>
        </w:rPr>
        <w:footnoteRef/>
      </w:r>
      <w:r>
        <w:rPr>
          <w:color w:val="1155CC"/>
          <w:sz w:val="20"/>
          <w:szCs w:val="20"/>
        </w:rPr>
        <w:t xml:space="preserve"> CDIA Observa, 2022; a partir de los microdatos de la EPHC 2021 del INE.</w:t>
      </w:r>
    </w:p>
  </w:footnote>
  <w:footnote w:id="70">
    <w:p w:rsidR="00200F9B" w:rsidRDefault="00805DB6">
      <w:pPr>
        <w:spacing w:line="240" w:lineRule="auto"/>
        <w:rPr>
          <w:sz w:val="20"/>
          <w:szCs w:val="20"/>
        </w:rPr>
      </w:pPr>
      <w:r>
        <w:rPr>
          <w:vertAlign w:val="superscript"/>
        </w:rPr>
        <w:footnoteRef/>
      </w:r>
      <w:r>
        <w:rPr>
          <w:sz w:val="20"/>
          <w:szCs w:val="20"/>
        </w:rPr>
        <w:t xml:space="preserve"> CDIA Observa a partir de la variable de informalidad laboral de los microdatos de la EPHC 2021 del INE.</w:t>
      </w:r>
    </w:p>
  </w:footnote>
  <w:footnote w:id="71">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67">
        <w:r>
          <w:rPr>
            <w:color w:val="1155CC"/>
            <w:sz w:val="20"/>
            <w:szCs w:val="20"/>
          </w:rPr>
          <w:t>MINNA, 2023. Informe de gestión 2022, pág. 34.</w:t>
        </w:r>
      </w:hyperlink>
    </w:p>
  </w:footnote>
  <w:footnote w:id="72">
    <w:p w:rsidR="00200F9B" w:rsidRDefault="00805DB6">
      <w:pPr>
        <w:spacing w:line="240" w:lineRule="auto"/>
        <w:rPr>
          <w:color w:val="1155CC"/>
          <w:sz w:val="20"/>
          <w:szCs w:val="20"/>
        </w:rPr>
      </w:pPr>
      <w:r>
        <w:rPr>
          <w:vertAlign w:val="superscript"/>
        </w:rPr>
        <w:footnoteRef/>
      </w:r>
      <w:r>
        <w:rPr>
          <w:color w:val="1155CC"/>
        </w:rPr>
        <w:t xml:space="preserve"> </w:t>
      </w:r>
      <w:hyperlink r:id="rId68">
        <w:r>
          <w:rPr>
            <w:color w:val="1155CC"/>
            <w:sz w:val="20"/>
            <w:szCs w:val="20"/>
          </w:rPr>
          <w:t>Naciones Unidas. Comité de los Derechos del Niño. Observación general núm. 21 (2017) sobre los niños en situación de calle</w:t>
        </w:r>
      </w:hyperlink>
      <w:r>
        <w:rPr>
          <w:color w:val="1155CC"/>
          <w:sz w:val="20"/>
          <w:szCs w:val="20"/>
        </w:rPr>
        <w:t xml:space="preserve"> </w:t>
      </w:r>
    </w:p>
  </w:footnote>
  <w:footnote w:id="73">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69">
        <w:r>
          <w:rPr>
            <w:color w:val="1155CC"/>
            <w:sz w:val="20"/>
            <w:szCs w:val="20"/>
          </w:rPr>
          <w:t>Biblioteca y Archivo Central del Congreso Nacional. Ley Nº 6202 /2018 Adopta Normas para la Preven</w:t>
        </w:r>
        <w:r>
          <w:rPr>
            <w:color w:val="1155CC"/>
            <w:sz w:val="20"/>
            <w:szCs w:val="20"/>
          </w:rPr>
          <w:t xml:space="preserve">ción del Abuso Sexual y la Atención Integral de los Niños, Niñas y Adolescentes Víctimas de Abuso Sexual </w:t>
        </w:r>
      </w:hyperlink>
      <w:r>
        <w:rPr>
          <w:color w:val="1155CC"/>
          <w:sz w:val="20"/>
          <w:szCs w:val="20"/>
        </w:rPr>
        <w:t xml:space="preserve"> </w:t>
      </w:r>
    </w:p>
  </w:footnote>
  <w:footnote w:id="74">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70">
        <w:r>
          <w:rPr>
            <w:color w:val="1155CC"/>
            <w:sz w:val="20"/>
            <w:szCs w:val="20"/>
          </w:rPr>
          <w:t>Ministerio Público, 2023.</w:t>
        </w:r>
      </w:hyperlink>
    </w:p>
  </w:footnote>
  <w:footnote w:id="75">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71">
        <w:r>
          <w:rPr>
            <w:color w:val="1155CC"/>
            <w:sz w:val="20"/>
            <w:szCs w:val="20"/>
          </w:rPr>
          <w:t>MSPBS/ DIGIES, 2023. Portal unificado de acceso a información pública. Solicitud N.º 63211</w:t>
        </w:r>
      </w:hyperlink>
      <w:r>
        <w:rPr>
          <w:color w:val="1155CC"/>
          <w:sz w:val="20"/>
          <w:szCs w:val="20"/>
        </w:rPr>
        <w:t xml:space="preserve"> </w:t>
      </w:r>
    </w:p>
  </w:footnote>
  <w:footnote w:id="76">
    <w:p w:rsidR="00200F9B" w:rsidRDefault="00805DB6">
      <w:pPr>
        <w:spacing w:line="240" w:lineRule="auto"/>
        <w:jc w:val="both"/>
        <w:rPr>
          <w:sz w:val="20"/>
          <w:szCs w:val="20"/>
        </w:rPr>
      </w:pPr>
      <w:r>
        <w:rPr>
          <w:vertAlign w:val="superscript"/>
        </w:rPr>
        <w:footnoteRef/>
      </w:r>
      <w:r>
        <w:rPr>
          <w:sz w:val="20"/>
          <w:szCs w:val="20"/>
        </w:rPr>
        <w:t xml:space="preserve"> Código Penal. Art. 109:  Muerte indirecta por estado de necesidad en el parto. No obra antijuridicamente el que causara indirectamente la muerte del feto mediante actos propios del parto si ello, según los conocimientos y las experiencias del arte médico,</w:t>
      </w:r>
      <w:r>
        <w:rPr>
          <w:sz w:val="20"/>
          <w:szCs w:val="20"/>
        </w:rPr>
        <w:t xml:space="preserve"> fuera necesario e inevitable para desviar un peligro serio para la vida o la salud de la madre. </w:t>
      </w:r>
    </w:p>
  </w:footnote>
  <w:footnote w:id="77">
    <w:p w:rsidR="00200F9B" w:rsidRDefault="00805DB6">
      <w:pPr>
        <w:spacing w:line="240" w:lineRule="auto"/>
        <w:jc w:val="both"/>
        <w:rPr>
          <w:color w:val="1155CC"/>
          <w:sz w:val="20"/>
          <w:szCs w:val="20"/>
        </w:rPr>
      </w:pPr>
      <w:r>
        <w:rPr>
          <w:vertAlign w:val="superscript"/>
        </w:rPr>
        <w:footnoteRef/>
      </w:r>
      <w:r>
        <w:rPr>
          <w:color w:val="1155CC"/>
        </w:rPr>
        <w:t xml:space="preserve"> </w:t>
      </w:r>
      <w:hyperlink r:id="rId72">
        <w:r>
          <w:rPr>
            <w:color w:val="1155CC"/>
            <w:sz w:val="20"/>
            <w:szCs w:val="20"/>
          </w:rPr>
          <w:t xml:space="preserve">Barrios Cáceres, 2021. Un año de violencia, </w:t>
        </w:r>
        <w:r>
          <w:rPr>
            <w:color w:val="1155CC"/>
            <w:sz w:val="20"/>
            <w:szCs w:val="20"/>
          </w:rPr>
          <w:t>exclusión y desalojos contra comunidades indígenas. En Codehupy (Ed.), Derechos Humanos en Paraguay 2021 (55-68). Asunción, Paraguay.</w:t>
        </w:r>
      </w:hyperlink>
      <w:r>
        <w:rPr>
          <w:color w:val="1155CC"/>
          <w:sz w:val="20"/>
          <w:szCs w:val="20"/>
        </w:rPr>
        <w:t xml:space="preserve"> </w:t>
      </w:r>
    </w:p>
  </w:footnote>
  <w:footnote w:id="78">
    <w:p w:rsidR="00200F9B" w:rsidRDefault="00805DB6">
      <w:pPr>
        <w:spacing w:line="240" w:lineRule="auto"/>
        <w:rPr>
          <w:sz w:val="20"/>
          <w:szCs w:val="20"/>
        </w:rPr>
      </w:pPr>
      <w:r>
        <w:rPr>
          <w:vertAlign w:val="superscript"/>
        </w:rPr>
        <w:footnoteRef/>
      </w:r>
      <w:r>
        <w:rPr>
          <w:sz w:val="20"/>
          <w:szCs w:val="20"/>
        </w:rPr>
        <w:t xml:space="preserve"> Informe Especial CDIA Obser</w:t>
      </w:r>
      <w:r>
        <w:rPr>
          <w:sz w:val="20"/>
          <w:szCs w:val="20"/>
        </w:rPr>
        <w:t xml:space="preserve">va, 2023 -  </w:t>
      </w:r>
      <w:hyperlink r:id="rId73">
        <w:r>
          <w:rPr>
            <w:rFonts w:ascii="Roboto" w:eastAsia="Roboto" w:hAnsi="Roboto" w:cs="Roboto"/>
            <w:color w:val="1D9BF0"/>
            <w:sz w:val="20"/>
            <w:szCs w:val="20"/>
            <w:u w:val="single"/>
          </w:rPr>
          <w:t>cdia.info/abusosNNA</w:t>
        </w:r>
      </w:hyperlink>
      <w:r>
        <w:rPr>
          <w:sz w:val="20"/>
          <w:szCs w:val="20"/>
        </w:rPr>
        <w:t xml:space="preserve"> </w:t>
      </w:r>
    </w:p>
  </w:footnote>
  <w:footnote w:id="79">
    <w:p w:rsidR="00200F9B" w:rsidRDefault="00805DB6">
      <w:pPr>
        <w:spacing w:line="240" w:lineRule="auto"/>
        <w:rPr>
          <w:sz w:val="20"/>
          <w:szCs w:val="20"/>
        </w:rPr>
      </w:pPr>
      <w:r>
        <w:rPr>
          <w:vertAlign w:val="superscript"/>
        </w:rPr>
        <w:footnoteRef/>
      </w:r>
      <w:r>
        <w:rPr>
          <w:sz w:val="20"/>
          <w:szCs w:val="20"/>
        </w:rPr>
        <w:t xml:space="preserve"> </w:t>
      </w:r>
      <w:hyperlink r:id="rId74">
        <w:r>
          <w:rPr>
            <w:color w:val="1155CC"/>
            <w:sz w:val="20"/>
            <w:szCs w:val="20"/>
            <w:u w:val="single"/>
          </w:rPr>
          <w:t>Paraguay: Son #NiñasNoMadres: Medidas para poner fin a la violencia sexual contra niñas, niños y adolescentes y a la maternidad forzada de niñas en Paraguay - Amnistía Internacional</w:t>
        </w:r>
      </w:hyperlink>
      <w:r>
        <w:rPr>
          <w:sz w:val="20"/>
          <w:szCs w:val="20"/>
        </w:rPr>
        <w:t xml:space="preserve"> </w:t>
      </w:r>
    </w:p>
  </w:footnote>
  <w:footnote w:id="80">
    <w:p w:rsidR="00200F9B" w:rsidRDefault="00805DB6">
      <w:pPr>
        <w:spacing w:line="240" w:lineRule="auto"/>
        <w:jc w:val="both"/>
        <w:rPr>
          <w:color w:val="1155CC"/>
          <w:sz w:val="20"/>
          <w:szCs w:val="20"/>
        </w:rPr>
      </w:pPr>
      <w:r>
        <w:rPr>
          <w:vertAlign w:val="superscript"/>
        </w:rPr>
        <w:footnoteRef/>
      </w:r>
      <w:r>
        <w:rPr>
          <w:color w:val="1155CC"/>
        </w:rPr>
        <w:t xml:space="preserve"> </w:t>
      </w:r>
      <w:hyperlink r:id="rId75">
        <w:r>
          <w:rPr>
            <w:color w:val="1155CC"/>
            <w:sz w:val="20"/>
            <w:szCs w:val="20"/>
          </w:rPr>
          <w:t>Ministerio de Edu</w:t>
        </w:r>
        <w:r>
          <w:rPr>
            <w:color w:val="1155CC"/>
            <w:sz w:val="20"/>
            <w:szCs w:val="20"/>
          </w:rPr>
          <w:t>cación y Cultura, 2015. Guía de intervención interinstitucional para la atención de casos de vulneración de derechos sexuales y derechos reproductivos en el ámbito educativo.</w:t>
        </w:r>
      </w:hyperlink>
      <w:r>
        <w:rPr>
          <w:color w:val="1155CC"/>
          <w:sz w:val="20"/>
          <w:szCs w:val="20"/>
        </w:rPr>
        <w:t xml:space="preserve"> </w:t>
      </w:r>
    </w:p>
  </w:footnote>
  <w:footnote w:id="81">
    <w:p w:rsidR="00200F9B" w:rsidRDefault="00805DB6">
      <w:pPr>
        <w:spacing w:line="240" w:lineRule="auto"/>
        <w:rPr>
          <w:sz w:val="20"/>
          <w:szCs w:val="20"/>
        </w:rPr>
      </w:pPr>
      <w:r>
        <w:rPr>
          <w:vertAlign w:val="superscript"/>
        </w:rPr>
        <w:footnoteRef/>
      </w:r>
      <w:r>
        <w:rPr>
          <w:sz w:val="20"/>
          <w:szCs w:val="20"/>
        </w:rPr>
        <w:t xml:space="preserve"> </w:t>
      </w:r>
      <w:hyperlink r:id="rId76">
        <w:r>
          <w:rPr>
            <w:color w:val="1155CC"/>
            <w:sz w:val="20"/>
            <w:szCs w:val="20"/>
            <w:u w:val="single"/>
          </w:rPr>
          <w:t>La Corte Interamericana de Derechos Humanos sanciona a Bolivia por no investigar ni castigar la violación de una niña | Internacional | EL PAÍS</w:t>
        </w:r>
      </w:hyperlink>
      <w:r>
        <w:rPr>
          <w:sz w:val="20"/>
          <w:szCs w:val="20"/>
        </w:rPr>
        <w:t xml:space="preserve"> </w:t>
      </w:r>
    </w:p>
  </w:footnote>
  <w:footnote w:id="82">
    <w:p w:rsidR="00200F9B" w:rsidRDefault="00805DB6">
      <w:pPr>
        <w:spacing w:line="240" w:lineRule="auto"/>
        <w:rPr>
          <w:sz w:val="20"/>
          <w:szCs w:val="20"/>
        </w:rPr>
      </w:pPr>
      <w:r>
        <w:rPr>
          <w:vertAlign w:val="superscript"/>
        </w:rPr>
        <w:footnoteRef/>
      </w:r>
      <w:r>
        <w:rPr>
          <w:sz w:val="20"/>
          <w:szCs w:val="20"/>
        </w:rPr>
        <w:t xml:space="preserve"> </w:t>
      </w:r>
      <w:hyperlink r:id="rId77">
        <w:r>
          <w:rPr>
            <w:color w:val="1155CC"/>
            <w:sz w:val="20"/>
            <w:szCs w:val="20"/>
          </w:rPr>
          <w:t>Ministerio Público, 2022. Trata de Personas.</w:t>
        </w:r>
      </w:hyperlink>
    </w:p>
  </w:footnote>
  <w:footnote w:id="83">
    <w:p w:rsidR="00200F9B" w:rsidRDefault="00805DB6">
      <w:pPr>
        <w:spacing w:line="240" w:lineRule="auto"/>
        <w:jc w:val="both"/>
        <w:rPr>
          <w:sz w:val="20"/>
          <w:szCs w:val="20"/>
        </w:rPr>
      </w:pPr>
      <w:r>
        <w:rPr>
          <w:vertAlign w:val="superscript"/>
        </w:rPr>
        <w:footnoteRef/>
      </w:r>
      <w:r>
        <w:t xml:space="preserve"> </w:t>
      </w:r>
      <w:hyperlink r:id="rId78">
        <w:r>
          <w:rPr>
            <w:color w:val="1155CC"/>
            <w:sz w:val="20"/>
            <w:szCs w:val="20"/>
          </w:rPr>
          <w:t>Última Hora, 20</w:t>
        </w:r>
        <w:r>
          <w:rPr>
            <w:color w:val="1155CC"/>
            <w:sz w:val="20"/>
            <w:szCs w:val="20"/>
          </w:rPr>
          <w:t>20. Unas 22 niñas paraguayas víctimas de trata en Brasil fueron abandonadas en la frontera</w:t>
        </w:r>
      </w:hyperlink>
      <w:r>
        <w:rPr>
          <w:sz w:val="20"/>
          <w:szCs w:val="20"/>
        </w:rPr>
        <w:t xml:space="preserve"> </w:t>
      </w:r>
    </w:p>
  </w:footnote>
  <w:footnote w:id="84">
    <w:p w:rsidR="00200F9B" w:rsidRDefault="00805DB6">
      <w:pPr>
        <w:spacing w:line="240" w:lineRule="auto"/>
        <w:jc w:val="both"/>
        <w:rPr>
          <w:sz w:val="20"/>
          <w:szCs w:val="20"/>
        </w:rPr>
      </w:pPr>
      <w:r>
        <w:rPr>
          <w:vertAlign w:val="superscript"/>
        </w:rPr>
        <w:footnoteRef/>
      </w:r>
      <w:r>
        <w:rPr>
          <w:sz w:val="20"/>
          <w:szCs w:val="20"/>
        </w:rPr>
        <w:t xml:space="preserve"> </w:t>
      </w:r>
      <w:hyperlink r:id="rId79">
        <w:r>
          <w:rPr>
            <w:color w:val="1155CC"/>
            <w:sz w:val="20"/>
            <w:szCs w:val="20"/>
          </w:rPr>
          <w:t>Caputo y Cá</w:t>
        </w:r>
        <w:r>
          <w:rPr>
            <w:color w:val="1155CC"/>
            <w:sz w:val="20"/>
            <w:szCs w:val="20"/>
          </w:rPr>
          <w:t xml:space="preserve">rdenas, 2021. En Paraguay persisten la explotación y el despojo de las infancias y las adolescencias. Codehupy.  </w:t>
        </w:r>
      </w:hyperlink>
    </w:p>
  </w:footnote>
  <w:footnote w:id="85">
    <w:p w:rsidR="00200F9B" w:rsidRDefault="00805DB6">
      <w:pPr>
        <w:spacing w:line="240" w:lineRule="auto"/>
        <w:jc w:val="both"/>
        <w:rPr>
          <w:color w:val="1155CC"/>
          <w:sz w:val="20"/>
          <w:szCs w:val="20"/>
        </w:rPr>
      </w:pPr>
      <w:r>
        <w:rPr>
          <w:vertAlign w:val="superscript"/>
        </w:rPr>
        <w:footnoteRef/>
      </w:r>
      <w:r>
        <w:rPr>
          <w:color w:val="1155CC"/>
          <w:sz w:val="20"/>
          <w:szCs w:val="20"/>
        </w:rPr>
        <w:t xml:space="preserve"> Caputo y Cárdenas </w:t>
      </w:r>
      <w:hyperlink r:id="rId80">
        <w:r>
          <w:rPr>
            <w:color w:val="1155CC"/>
            <w:sz w:val="20"/>
            <w:szCs w:val="20"/>
          </w:rPr>
          <w:t>(2019). Buenas intenciones no alcanzan, el Estado debe actuar</w:t>
        </w:r>
        <w:r>
          <w:rPr>
            <w:color w:val="1155CC"/>
            <w:sz w:val="20"/>
            <w:szCs w:val="20"/>
          </w:rPr>
          <w:t xml:space="preserve"> de verdad. En Yvypóra Derécho Paraguáipe – Derechos Humanos en Paraguay 2019 (pp. 311-328). Codehupy.</w:t>
        </w:r>
      </w:hyperlink>
    </w:p>
  </w:footnote>
  <w:footnote w:id="86">
    <w:p w:rsidR="00200F9B" w:rsidRDefault="00805DB6">
      <w:pPr>
        <w:spacing w:line="240" w:lineRule="auto"/>
        <w:jc w:val="both"/>
        <w:rPr>
          <w:sz w:val="20"/>
          <w:szCs w:val="20"/>
        </w:rPr>
      </w:pPr>
      <w:r>
        <w:rPr>
          <w:vertAlign w:val="superscript"/>
        </w:rPr>
        <w:footnoteRef/>
      </w:r>
      <w:r>
        <w:rPr>
          <w:sz w:val="20"/>
          <w:szCs w:val="20"/>
        </w:rPr>
        <w:t xml:space="preserve"> Preocupa que las limitadas nuevas incorporaciones de personas para la atención</w:t>
      </w:r>
      <w:r>
        <w:rPr>
          <w:sz w:val="20"/>
          <w:szCs w:val="20"/>
        </w:rPr>
        <w:t xml:space="preserve"> no sean profesionales con idónea formación para asegurar una atención pertinente, lo cual en vez de fortalecer el sistema, debilita y pone en riesgo la vida de NNA porque pueden recibir orientaciones erróneas. </w:t>
      </w:r>
    </w:p>
  </w:footnote>
  <w:footnote w:id="87">
    <w:p w:rsidR="00200F9B" w:rsidRDefault="00805DB6">
      <w:pPr>
        <w:spacing w:line="240" w:lineRule="auto"/>
        <w:rPr>
          <w:sz w:val="20"/>
          <w:szCs w:val="20"/>
        </w:rPr>
      </w:pPr>
      <w:r>
        <w:rPr>
          <w:vertAlign w:val="superscript"/>
        </w:rPr>
        <w:footnoteRef/>
      </w:r>
      <w:r>
        <w:rPr>
          <w:sz w:val="20"/>
          <w:szCs w:val="20"/>
        </w:rPr>
        <w:t xml:space="preserve"> CDIA Observa a partir de los microdatos de la EPH 2017 a pueblos indígenas del INE</w:t>
      </w:r>
    </w:p>
  </w:footnote>
  <w:footnote w:id="88">
    <w:p w:rsidR="00200F9B" w:rsidRDefault="00805DB6">
      <w:pPr>
        <w:spacing w:line="240" w:lineRule="auto"/>
        <w:jc w:val="both"/>
        <w:rPr>
          <w:color w:val="1155CC"/>
          <w:sz w:val="20"/>
          <w:szCs w:val="20"/>
        </w:rPr>
      </w:pPr>
      <w:r>
        <w:rPr>
          <w:vertAlign w:val="superscript"/>
        </w:rPr>
        <w:footnoteRef/>
      </w:r>
      <w:hyperlink r:id="rId81">
        <w:r>
          <w:rPr>
            <w:color w:val="1155CC"/>
            <w:sz w:val="20"/>
            <w:szCs w:val="20"/>
          </w:rPr>
          <w:t>Barrios Cáceres, M. 2021. Un año de violencia, exclusión y desalojos contra comunidades indígenas. En Codehupy (Ed.), Derechos Humanos en Paraguay 202</w:t>
        </w:r>
        <w:r>
          <w:rPr>
            <w:color w:val="1155CC"/>
            <w:sz w:val="20"/>
            <w:szCs w:val="20"/>
          </w:rPr>
          <w:t>1 (55-68). Asunción, Paraguay</w:t>
        </w:r>
      </w:hyperlink>
      <w:r>
        <w:rPr>
          <w:color w:val="1155CC"/>
          <w:sz w:val="20"/>
          <w:szCs w:val="20"/>
        </w:rPr>
        <w:t xml:space="preserve"> </w:t>
      </w:r>
    </w:p>
  </w:footnote>
  <w:footnote w:id="89">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82">
        <w:r>
          <w:rPr>
            <w:color w:val="1155CC"/>
            <w:sz w:val="20"/>
            <w:szCs w:val="20"/>
          </w:rPr>
          <w:t>DGEEC (actual INE), 2018 citado en  CDIA, 2020. Informe alternativo para el Examen Periódico Universal (EPU)</w:t>
        </w:r>
      </w:hyperlink>
    </w:p>
    <w:p w:rsidR="00200F9B" w:rsidRDefault="00200F9B">
      <w:pPr>
        <w:spacing w:line="240" w:lineRule="auto"/>
        <w:rPr>
          <w:sz w:val="20"/>
          <w:szCs w:val="20"/>
        </w:rPr>
      </w:pPr>
    </w:p>
  </w:footnote>
  <w:footnote w:id="90">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83" w:anchor=":~:text=La%20presente%20Ley%20tiene%20por,agresores%20sexuales%2C%20que%20hayan%20cometido">
        <w:r>
          <w:rPr>
            <w:color w:val="1155CC"/>
            <w:sz w:val="20"/>
            <w:szCs w:val="20"/>
          </w:rPr>
          <w:t xml:space="preserve">Biblioteca y Archivo Central del Congreso Nacional. Ley Nº 6572 Que Crea el Registro Nacional de Agresores Sexuales de Niños, Niñas y Adolescentes y el Banco Genético. </w:t>
        </w:r>
      </w:hyperlink>
      <w:r>
        <w:rPr>
          <w:color w:val="1155CC"/>
          <w:sz w:val="20"/>
          <w:szCs w:val="20"/>
        </w:rPr>
        <w:t xml:space="preserve"> </w:t>
      </w:r>
    </w:p>
  </w:footnote>
  <w:footnote w:id="91">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84">
        <w:r>
          <w:rPr>
            <w:color w:val="1155CC"/>
            <w:sz w:val="20"/>
            <w:szCs w:val="20"/>
          </w:rPr>
          <w:t>Plan Nacional para la Prevención y el Combate de la Trata de Personas</w:t>
        </w:r>
      </w:hyperlink>
      <w:r>
        <w:rPr>
          <w:color w:val="1155CC"/>
          <w:sz w:val="20"/>
          <w:szCs w:val="20"/>
        </w:rPr>
        <w:t xml:space="preserve"> 2020-2024 </w:t>
      </w:r>
    </w:p>
  </w:footnote>
  <w:footnote w:id="92">
    <w:p w:rsidR="00200F9B" w:rsidRDefault="00805DB6">
      <w:pPr>
        <w:spacing w:line="240" w:lineRule="auto"/>
        <w:rPr>
          <w:sz w:val="20"/>
          <w:szCs w:val="20"/>
        </w:rPr>
      </w:pPr>
      <w:r>
        <w:rPr>
          <w:vertAlign w:val="superscript"/>
        </w:rPr>
        <w:footnoteRef/>
      </w:r>
      <w:r>
        <w:rPr>
          <w:sz w:val="20"/>
          <w:szCs w:val="20"/>
        </w:rPr>
        <w:t xml:space="preserve"> </w:t>
      </w:r>
      <w:hyperlink r:id="rId85">
        <w:r>
          <w:rPr>
            <w:color w:val="1155CC"/>
            <w:sz w:val="21"/>
            <w:szCs w:val="21"/>
            <w:highlight w:val="white"/>
            <w:u w:val="single"/>
          </w:rPr>
          <w:t xml:space="preserve">Ley N° 4788 | Integral contra la trata de personas </w:t>
        </w:r>
      </w:hyperlink>
    </w:p>
  </w:footnote>
  <w:footnote w:id="93">
    <w:p w:rsidR="00200F9B" w:rsidRDefault="00805DB6">
      <w:pPr>
        <w:spacing w:line="240" w:lineRule="auto"/>
        <w:rPr>
          <w:sz w:val="20"/>
          <w:szCs w:val="20"/>
        </w:rPr>
      </w:pPr>
      <w:r>
        <w:rPr>
          <w:vertAlign w:val="superscript"/>
        </w:rPr>
        <w:footnoteRef/>
      </w:r>
      <w:r>
        <w:rPr>
          <w:sz w:val="20"/>
          <w:szCs w:val="20"/>
        </w:rPr>
        <w:t xml:space="preserve"> </w:t>
      </w:r>
      <w:hyperlink r:id="rId86">
        <w:r>
          <w:rPr>
            <w:color w:val="1155CC"/>
            <w:sz w:val="21"/>
            <w:szCs w:val="21"/>
            <w:highlight w:val="white"/>
            <w:u w:val="single"/>
          </w:rPr>
          <w:t xml:space="preserve">Ley N° 4788 | Integral contra la trata de personas </w:t>
        </w:r>
      </w:hyperlink>
    </w:p>
  </w:footnote>
  <w:footnote w:id="94">
    <w:p w:rsidR="00200F9B" w:rsidRDefault="00805DB6">
      <w:pPr>
        <w:spacing w:line="240" w:lineRule="auto"/>
        <w:rPr>
          <w:sz w:val="20"/>
          <w:szCs w:val="20"/>
        </w:rPr>
      </w:pPr>
      <w:r>
        <w:rPr>
          <w:vertAlign w:val="superscript"/>
        </w:rPr>
        <w:footnoteRef/>
      </w:r>
      <w:r>
        <w:rPr>
          <w:sz w:val="20"/>
          <w:szCs w:val="20"/>
        </w:rPr>
        <w:t xml:space="preserve"> </w:t>
      </w:r>
      <w:hyperlink r:id="rId87">
        <w:r>
          <w:rPr>
            <w:color w:val="1155CC"/>
            <w:sz w:val="20"/>
            <w:szCs w:val="20"/>
          </w:rPr>
          <w:t>Biblioteca y Archivo Central del Con</w:t>
        </w:r>
        <w:r>
          <w:rPr>
            <w:color w:val="1155CC"/>
            <w:sz w:val="20"/>
            <w:szCs w:val="20"/>
          </w:rPr>
          <w:t>greso Nacional. Ley N.º 6486/2020 de Promoción y Protección del Derecho de Niños, Niñas y Adolescentes a Vivir en Familia, Que Regula las Medidas de Cuidados Alternativos y la Adopción</w:t>
        </w:r>
      </w:hyperlink>
    </w:p>
  </w:footnote>
  <w:footnote w:id="95">
    <w:p w:rsidR="00200F9B" w:rsidRDefault="00805DB6">
      <w:pPr>
        <w:spacing w:line="240" w:lineRule="auto"/>
        <w:rPr>
          <w:sz w:val="20"/>
          <w:szCs w:val="20"/>
        </w:rPr>
      </w:pPr>
      <w:r>
        <w:rPr>
          <w:vertAlign w:val="superscript"/>
        </w:rPr>
        <w:footnoteRef/>
      </w:r>
      <w:r>
        <w:rPr>
          <w:sz w:val="20"/>
          <w:szCs w:val="20"/>
        </w:rPr>
        <w:t xml:space="preserve"> </w:t>
      </w:r>
      <w:hyperlink r:id="rId88">
        <w:r>
          <w:rPr>
            <w:color w:val="1155CC"/>
            <w:sz w:val="20"/>
            <w:szCs w:val="20"/>
            <w:u w:val="single"/>
          </w:rPr>
          <w:t>Ministerio Público conforma equipos de trabajo para el Transchaco Rally</w:t>
        </w:r>
      </w:hyperlink>
      <w:r>
        <w:rPr>
          <w:sz w:val="20"/>
          <w:szCs w:val="20"/>
        </w:rPr>
        <w:t xml:space="preserve"> </w:t>
      </w:r>
    </w:p>
  </w:footnote>
  <w:footnote w:id="96">
    <w:p w:rsidR="00200F9B" w:rsidRDefault="00805DB6">
      <w:pPr>
        <w:spacing w:line="240" w:lineRule="auto"/>
        <w:rPr>
          <w:sz w:val="20"/>
          <w:szCs w:val="20"/>
        </w:rPr>
      </w:pPr>
      <w:r>
        <w:rPr>
          <w:vertAlign w:val="superscript"/>
        </w:rPr>
        <w:footnoteRef/>
      </w:r>
      <w:r>
        <w:rPr>
          <w:sz w:val="20"/>
          <w:szCs w:val="20"/>
        </w:rPr>
        <w:t xml:space="preserve"> </w:t>
      </w:r>
      <w:hyperlink r:id="rId89">
        <w:r>
          <w:rPr>
            <w:color w:val="1155CC"/>
            <w:sz w:val="20"/>
            <w:szCs w:val="20"/>
            <w:u w:val="single"/>
          </w:rPr>
          <w:t>La Nación / Realizaron allanamientos por explotación sexual de niñas indígenas: 6 fueron rescatados</w:t>
        </w:r>
      </w:hyperlink>
      <w:r>
        <w:rPr>
          <w:sz w:val="20"/>
          <w:szCs w:val="20"/>
        </w:rPr>
        <w:t xml:space="preserve"> </w:t>
      </w:r>
    </w:p>
  </w:footnote>
  <w:footnote w:id="97">
    <w:p w:rsidR="00200F9B" w:rsidRDefault="00805DB6">
      <w:pPr>
        <w:spacing w:line="240" w:lineRule="auto"/>
        <w:rPr>
          <w:sz w:val="20"/>
          <w:szCs w:val="20"/>
        </w:rPr>
      </w:pPr>
      <w:r>
        <w:rPr>
          <w:vertAlign w:val="superscript"/>
        </w:rPr>
        <w:footnoteRef/>
      </w:r>
      <w:r>
        <w:rPr>
          <w:sz w:val="20"/>
          <w:szCs w:val="20"/>
        </w:rPr>
        <w:t xml:space="preserve"> </w:t>
      </w:r>
      <w:hyperlink r:id="rId90">
        <w:r>
          <w:rPr>
            <w:color w:val="1155CC"/>
            <w:sz w:val="20"/>
            <w:szCs w:val="20"/>
            <w:u w:val="single"/>
          </w:rPr>
          <w:t>Niña indigena descuartizada en la zona de terminal de buses de Asunción</w:t>
        </w:r>
      </w:hyperlink>
    </w:p>
  </w:footnote>
  <w:footnote w:id="98">
    <w:p w:rsidR="00200F9B" w:rsidRDefault="00805DB6">
      <w:pPr>
        <w:spacing w:line="240" w:lineRule="auto"/>
        <w:rPr>
          <w:sz w:val="20"/>
          <w:szCs w:val="20"/>
        </w:rPr>
      </w:pPr>
      <w:r>
        <w:rPr>
          <w:vertAlign w:val="superscript"/>
        </w:rPr>
        <w:footnoteRef/>
      </w:r>
      <w:r>
        <w:rPr>
          <w:sz w:val="20"/>
          <w:szCs w:val="20"/>
        </w:rPr>
        <w:t xml:space="preserve"> </w:t>
      </w:r>
      <w:hyperlink r:id="rId91">
        <w:r>
          <w:rPr>
            <w:color w:val="1155CC"/>
            <w:sz w:val="20"/>
            <w:szCs w:val="20"/>
            <w:u w:val="single"/>
          </w:rPr>
          <w:t xml:space="preserve">Ley N° 4439 | Modifica y amplía artículos del Código, Art. 140. </w:t>
        </w:r>
      </w:hyperlink>
    </w:p>
  </w:footnote>
  <w:footnote w:id="99">
    <w:p w:rsidR="00200F9B" w:rsidRDefault="00805DB6">
      <w:pPr>
        <w:spacing w:line="240" w:lineRule="auto"/>
        <w:rPr>
          <w:sz w:val="20"/>
          <w:szCs w:val="20"/>
        </w:rPr>
      </w:pPr>
      <w:r>
        <w:rPr>
          <w:vertAlign w:val="superscript"/>
        </w:rPr>
        <w:footnoteRef/>
      </w:r>
      <w:r>
        <w:rPr>
          <w:sz w:val="20"/>
          <w:szCs w:val="20"/>
        </w:rPr>
        <w:t xml:space="preserve"> </w:t>
      </w:r>
      <w:hyperlink r:id="rId92">
        <w:r>
          <w:rPr>
            <w:color w:val="1155CC"/>
            <w:sz w:val="21"/>
            <w:szCs w:val="21"/>
            <w:highlight w:val="white"/>
            <w:u w:val="single"/>
          </w:rPr>
          <w:t xml:space="preserve">Ley N° 4788 | Integral contra la trata de personas </w:t>
        </w:r>
      </w:hyperlink>
    </w:p>
  </w:footnote>
  <w:footnote w:id="100">
    <w:p w:rsidR="00200F9B" w:rsidRDefault="00805DB6">
      <w:pPr>
        <w:spacing w:line="240" w:lineRule="auto"/>
        <w:rPr>
          <w:sz w:val="20"/>
          <w:szCs w:val="20"/>
        </w:rPr>
      </w:pPr>
      <w:r>
        <w:rPr>
          <w:vertAlign w:val="superscript"/>
        </w:rPr>
        <w:footnoteRef/>
      </w:r>
      <w:hyperlink r:id="rId93" w:anchor=":~:text=%2D%20Abuso%20sexual%20en%20ni%C3%B1os.,de%20cuatro%20a%20quince%20a%C3%B1os.">
        <w:r>
          <w:rPr>
            <w:color w:val="1155CC"/>
            <w:sz w:val="20"/>
            <w:szCs w:val="20"/>
            <w:u w:val="single"/>
          </w:rPr>
          <w:t xml:space="preserve"> La ley Nº 6002/2017</w:t>
        </w:r>
      </w:hyperlink>
      <w:r>
        <w:rPr>
          <w:sz w:val="20"/>
          <w:szCs w:val="20"/>
        </w:rPr>
        <w:t xml:space="preserve">, Art. 135b. </w:t>
      </w:r>
    </w:p>
  </w:footnote>
  <w:footnote w:id="101">
    <w:p w:rsidR="00200F9B" w:rsidRDefault="00805DB6">
      <w:pPr>
        <w:spacing w:line="240" w:lineRule="auto"/>
        <w:rPr>
          <w:sz w:val="20"/>
          <w:szCs w:val="20"/>
        </w:rPr>
      </w:pPr>
      <w:r>
        <w:rPr>
          <w:vertAlign w:val="superscript"/>
        </w:rPr>
        <w:footnoteRef/>
      </w:r>
      <w:r>
        <w:rPr>
          <w:sz w:val="20"/>
          <w:szCs w:val="20"/>
        </w:rPr>
        <w:t xml:space="preserve"> </w:t>
      </w:r>
      <w:hyperlink r:id="rId94">
        <w:r>
          <w:rPr>
            <w:color w:val="1155CC"/>
            <w:sz w:val="20"/>
            <w:szCs w:val="20"/>
          </w:rPr>
          <w:t xml:space="preserve">Agencia d e Información Paraguaya, 2022. Operativo “Luz </w:t>
        </w:r>
        <w:r>
          <w:rPr>
            <w:color w:val="1155CC"/>
            <w:sz w:val="20"/>
            <w:szCs w:val="20"/>
          </w:rPr>
          <w:t>de Infancia” busca luchar frontalmente contra la explotación sexual infantil.</w:t>
        </w:r>
      </w:hyperlink>
    </w:p>
  </w:footnote>
  <w:footnote w:id="102">
    <w:p w:rsidR="00200F9B" w:rsidRDefault="00805DB6">
      <w:pPr>
        <w:spacing w:line="240" w:lineRule="auto"/>
        <w:rPr>
          <w:sz w:val="20"/>
          <w:szCs w:val="20"/>
          <w:highlight w:val="red"/>
        </w:rPr>
      </w:pPr>
      <w:r>
        <w:rPr>
          <w:vertAlign w:val="superscript"/>
        </w:rPr>
        <w:footnoteRef/>
      </w:r>
      <w:r>
        <w:rPr>
          <w:sz w:val="20"/>
          <w:szCs w:val="20"/>
        </w:rPr>
        <w:t xml:space="preserve"> </w:t>
      </w:r>
      <w:hyperlink r:id="rId95" w:anchor=":~:text=Pornograf%C3%ADa%20Infantil%3A%20Se,los%20a%C3%B1os%20anteriores">
        <w:r>
          <w:rPr>
            <w:color w:val="1155CC"/>
            <w:sz w:val="20"/>
            <w:szCs w:val="20"/>
          </w:rPr>
          <w:t>Ministerio Público, 2022. Pornografía Infantil.</w:t>
        </w:r>
      </w:hyperlink>
    </w:p>
  </w:footnote>
  <w:footnote w:id="103">
    <w:p w:rsidR="00200F9B" w:rsidRDefault="00805DB6">
      <w:pPr>
        <w:spacing w:line="240" w:lineRule="auto"/>
        <w:rPr>
          <w:sz w:val="20"/>
          <w:szCs w:val="20"/>
        </w:rPr>
      </w:pPr>
      <w:r>
        <w:rPr>
          <w:vertAlign w:val="superscript"/>
        </w:rPr>
        <w:footnoteRef/>
      </w:r>
      <w:r>
        <w:rPr>
          <w:sz w:val="20"/>
          <w:szCs w:val="20"/>
        </w:rPr>
        <w:t xml:space="preserve"> A cargo de la Fundación Buen Pastor en coordinación con el MINNA. </w:t>
      </w:r>
    </w:p>
  </w:footnote>
  <w:footnote w:id="104">
    <w:p w:rsidR="00200F9B" w:rsidRDefault="00805DB6">
      <w:pPr>
        <w:spacing w:line="240" w:lineRule="auto"/>
        <w:rPr>
          <w:sz w:val="20"/>
          <w:szCs w:val="20"/>
        </w:rPr>
      </w:pPr>
      <w:r>
        <w:rPr>
          <w:vertAlign w:val="superscript"/>
        </w:rPr>
        <w:footnoteRef/>
      </w:r>
      <w:r>
        <w:rPr>
          <w:sz w:val="20"/>
          <w:szCs w:val="20"/>
        </w:rPr>
        <w:t xml:space="preserve"> </w:t>
      </w:r>
      <w:hyperlink r:id="rId96">
        <w:r>
          <w:rPr>
            <w:color w:val="1155CC"/>
            <w:sz w:val="20"/>
            <w:szCs w:val="20"/>
            <w:u w:val="single"/>
          </w:rPr>
          <w:t>Reclutamiento forzado de niños nunca fue atendido por el Estado - El Independien</w:t>
        </w:r>
        <w:r>
          <w:rPr>
            <w:color w:val="1155CC"/>
            <w:sz w:val="20"/>
            <w:szCs w:val="20"/>
            <w:u w:val="single"/>
          </w:rPr>
          <w:t>te</w:t>
        </w:r>
      </w:hyperlink>
      <w:r>
        <w:rPr>
          <w:sz w:val="20"/>
          <w:szCs w:val="20"/>
        </w:rPr>
        <w:t xml:space="preserve"> </w:t>
      </w:r>
    </w:p>
  </w:footnote>
  <w:footnote w:id="105">
    <w:p w:rsidR="00200F9B" w:rsidRDefault="00805DB6">
      <w:pPr>
        <w:spacing w:line="240" w:lineRule="auto"/>
        <w:rPr>
          <w:color w:val="1155CC"/>
          <w:sz w:val="20"/>
          <w:szCs w:val="20"/>
        </w:rPr>
      </w:pPr>
      <w:r>
        <w:rPr>
          <w:vertAlign w:val="superscript"/>
        </w:rPr>
        <w:footnoteRef/>
      </w:r>
      <w:r>
        <w:rPr>
          <w:color w:val="1155CC"/>
          <w:sz w:val="20"/>
          <w:szCs w:val="20"/>
        </w:rPr>
        <w:t xml:space="preserve"> </w:t>
      </w:r>
      <w:hyperlink r:id="rId97">
        <w:r>
          <w:rPr>
            <w:color w:val="1155CC"/>
            <w:sz w:val="20"/>
            <w:szCs w:val="20"/>
          </w:rPr>
          <w:t>BASE IS. Investigaciones Sociales. Con la FTC en el Norte, la población se siente más insegura</w:t>
        </w:r>
      </w:hyperlink>
      <w:r>
        <w:rPr>
          <w:color w:val="1155CC"/>
          <w:sz w:val="20"/>
          <w:szCs w:val="20"/>
        </w:rPr>
        <w:t xml:space="preserve"> </w:t>
      </w:r>
    </w:p>
  </w:footnote>
  <w:footnote w:id="106">
    <w:p w:rsidR="00200F9B" w:rsidRDefault="00805DB6">
      <w:pPr>
        <w:spacing w:line="240" w:lineRule="auto"/>
        <w:rPr>
          <w:sz w:val="20"/>
          <w:szCs w:val="20"/>
        </w:rPr>
      </w:pPr>
      <w:r>
        <w:rPr>
          <w:vertAlign w:val="superscript"/>
        </w:rPr>
        <w:footnoteRef/>
      </w:r>
      <w:r>
        <w:rPr>
          <w:sz w:val="20"/>
          <w:szCs w:val="20"/>
        </w:rPr>
        <w:t xml:space="preserve"> No se logró acceder a información pública más reciente. </w:t>
      </w:r>
    </w:p>
  </w:footnote>
  <w:footnote w:id="107">
    <w:p w:rsidR="00200F9B" w:rsidRDefault="00805DB6">
      <w:pPr>
        <w:spacing w:line="240" w:lineRule="auto"/>
        <w:rPr>
          <w:sz w:val="20"/>
          <w:szCs w:val="20"/>
        </w:rPr>
      </w:pPr>
      <w:r>
        <w:rPr>
          <w:vertAlign w:val="superscript"/>
        </w:rPr>
        <w:footnoteRef/>
      </w:r>
      <w:r>
        <w:rPr>
          <w:sz w:val="20"/>
          <w:szCs w:val="20"/>
        </w:rPr>
        <w:t xml:space="preserve"> </w:t>
      </w:r>
      <w:hyperlink r:id="rId98">
        <w:r>
          <w:rPr>
            <w:color w:val="1155CC"/>
            <w:sz w:val="20"/>
            <w:szCs w:val="20"/>
            <w:u w:val="single"/>
          </w:rPr>
          <w:t>Informe de monitoreo al Liceo Mil</w:t>
        </w:r>
        <w:r>
          <w:rPr>
            <w:color w:val="1155CC"/>
            <w:sz w:val="20"/>
            <w:szCs w:val="20"/>
            <w:u w:val="single"/>
          </w:rPr>
          <w:t xml:space="preserve">itar Acosta Ñú (2019). </w:t>
        </w:r>
      </w:hyperlink>
      <w:hyperlink r:id="rId99">
        <w:r>
          <w:rPr>
            <w:i/>
            <w:color w:val="1155CC"/>
            <w:sz w:val="20"/>
            <w:szCs w:val="20"/>
            <w:u w:val="single"/>
          </w:rPr>
          <w:t xml:space="preserve">Mecanismo de Prevención de la Tortura, </w:t>
        </w:r>
      </w:hyperlink>
      <w:hyperlink r:id="rId100">
        <w:r>
          <w:rPr>
            <w:color w:val="1155CC"/>
            <w:sz w:val="20"/>
            <w:szCs w:val="20"/>
            <w:u w:val="single"/>
          </w:rPr>
          <w:t xml:space="preserve">p. </w:t>
        </w:r>
      </w:hyperlink>
      <w:r>
        <w:rPr>
          <w:sz w:val="20"/>
          <w:szCs w:val="20"/>
        </w:rPr>
        <w:t xml:space="preserve">4. </w:t>
      </w:r>
    </w:p>
  </w:footnote>
  <w:footnote w:id="108">
    <w:p w:rsidR="00200F9B" w:rsidRDefault="00805DB6">
      <w:pPr>
        <w:spacing w:line="240" w:lineRule="auto"/>
        <w:rPr>
          <w:sz w:val="20"/>
          <w:szCs w:val="20"/>
        </w:rPr>
      </w:pPr>
      <w:r>
        <w:rPr>
          <w:vertAlign w:val="superscript"/>
        </w:rPr>
        <w:footnoteRef/>
      </w:r>
      <w:r>
        <w:rPr>
          <w:sz w:val="20"/>
          <w:szCs w:val="20"/>
        </w:rPr>
        <w:t xml:space="preserve"> </w:t>
      </w:r>
      <w:hyperlink r:id="rId101">
        <w:r>
          <w:rPr>
            <w:color w:val="1155CC"/>
            <w:sz w:val="20"/>
            <w:szCs w:val="20"/>
            <w:u w:val="single"/>
          </w:rPr>
          <w:t>Presumen que uno de los tres muertos en combate en Paraguay era menor de edad - SWI swissinfo.ch</w:t>
        </w:r>
      </w:hyperlink>
      <w:r>
        <w:rPr>
          <w:sz w:val="20"/>
          <w:szCs w:val="20"/>
        </w:rPr>
        <w:t xml:space="preserve"> </w:t>
      </w:r>
    </w:p>
  </w:footnote>
  <w:footnote w:id="109">
    <w:p w:rsidR="00200F9B" w:rsidRDefault="00805DB6">
      <w:pPr>
        <w:spacing w:line="240" w:lineRule="auto"/>
        <w:rPr>
          <w:sz w:val="20"/>
          <w:szCs w:val="20"/>
        </w:rPr>
      </w:pPr>
      <w:r>
        <w:rPr>
          <w:vertAlign w:val="superscript"/>
        </w:rPr>
        <w:footnoteRef/>
      </w:r>
      <w:r>
        <w:rPr>
          <w:sz w:val="20"/>
          <w:szCs w:val="20"/>
        </w:rPr>
        <w:t xml:space="preserve"> </w:t>
      </w:r>
      <w:hyperlink r:id="rId102">
        <w:r>
          <w:rPr>
            <w:color w:val="1155CC"/>
            <w:sz w:val="20"/>
            <w:szCs w:val="20"/>
            <w:u w:val="single"/>
          </w:rPr>
          <w:t>MNP zona norte adolescentes</w:t>
        </w:r>
      </w:hyperlink>
      <w:r>
        <w:rPr>
          <w:sz w:val="20"/>
          <w:szCs w:val="20"/>
        </w:rPr>
        <w:t xml:space="preserve"> </w:t>
      </w:r>
    </w:p>
  </w:footnote>
  <w:footnote w:id="110">
    <w:p w:rsidR="00200F9B" w:rsidRDefault="00805DB6">
      <w:pPr>
        <w:spacing w:line="240" w:lineRule="auto"/>
        <w:rPr>
          <w:sz w:val="20"/>
          <w:szCs w:val="20"/>
        </w:rPr>
      </w:pPr>
      <w:r>
        <w:rPr>
          <w:vertAlign w:val="superscript"/>
        </w:rPr>
        <w:footnoteRef/>
      </w:r>
      <w:r>
        <w:rPr>
          <w:sz w:val="20"/>
          <w:szCs w:val="20"/>
        </w:rPr>
        <w:t xml:space="preserve"> Mecanismo de Prevención de la Tortura </w:t>
      </w:r>
    </w:p>
  </w:footnote>
  <w:footnote w:id="111">
    <w:p w:rsidR="00200F9B" w:rsidRDefault="00805DB6">
      <w:pPr>
        <w:spacing w:line="240" w:lineRule="auto"/>
        <w:rPr>
          <w:sz w:val="20"/>
          <w:szCs w:val="20"/>
        </w:rPr>
      </w:pPr>
      <w:r>
        <w:rPr>
          <w:vertAlign w:val="superscript"/>
        </w:rPr>
        <w:footnoteRef/>
      </w:r>
      <w:r>
        <w:rPr>
          <w:sz w:val="20"/>
          <w:szCs w:val="20"/>
        </w:rPr>
        <w:t xml:space="preserve"> </w:t>
      </w:r>
      <w:hyperlink r:id="rId103">
        <w:r>
          <w:rPr>
            <w:color w:val="1155CC"/>
            <w:sz w:val="20"/>
            <w:szCs w:val="20"/>
            <w:u w:val="single"/>
          </w:rPr>
          <w:t xml:space="preserve">Informe de monitoreo al Liceo Militar Acosta Ñú (2019). </w:t>
        </w:r>
      </w:hyperlink>
      <w:hyperlink r:id="rId104">
        <w:r>
          <w:rPr>
            <w:i/>
            <w:color w:val="1155CC"/>
            <w:sz w:val="20"/>
            <w:szCs w:val="20"/>
            <w:u w:val="single"/>
          </w:rPr>
          <w:t xml:space="preserve">Mecanismo de Prevención de la Tortura, </w:t>
        </w:r>
      </w:hyperlink>
      <w:hyperlink r:id="rId105">
        <w:r>
          <w:rPr>
            <w:color w:val="1155CC"/>
            <w:sz w:val="20"/>
            <w:szCs w:val="20"/>
            <w:u w:val="single"/>
          </w:rPr>
          <w:t>p. 1</w:t>
        </w:r>
      </w:hyperlink>
      <w:r>
        <w:rPr>
          <w:sz w:val="20"/>
          <w:szCs w:val="20"/>
        </w:rPr>
        <w:t xml:space="preserve">1. </w:t>
      </w:r>
    </w:p>
  </w:footnote>
  <w:footnote w:id="112">
    <w:p w:rsidR="00200F9B" w:rsidRDefault="00805DB6">
      <w:pPr>
        <w:spacing w:line="240" w:lineRule="auto"/>
        <w:rPr>
          <w:sz w:val="20"/>
          <w:szCs w:val="20"/>
        </w:rPr>
      </w:pPr>
      <w:r>
        <w:rPr>
          <w:vertAlign w:val="superscript"/>
        </w:rPr>
        <w:footnoteRef/>
      </w:r>
      <w:r>
        <w:rPr>
          <w:sz w:val="20"/>
          <w:szCs w:val="20"/>
        </w:rPr>
        <w:t xml:space="preserve"> </w:t>
      </w:r>
      <w:hyperlink r:id="rId106">
        <w:r>
          <w:rPr>
            <w:color w:val="1155CC"/>
            <w:sz w:val="20"/>
            <w:szCs w:val="20"/>
            <w:u w:val="single"/>
          </w:rPr>
          <w:t xml:space="preserve">Informe de monitoreo al Liceo Militar Acosta Ñú (2019). </w:t>
        </w:r>
      </w:hyperlink>
      <w:hyperlink r:id="rId107">
        <w:r>
          <w:rPr>
            <w:i/>
            <w:color w:val="1155CC"/>
            <w:sz w:val="20"/>
            <w:szCs w:val="20"/>
            <w:u w:val="single"/>
          </w:rPr>
          <w:t>M</w:t>
        </w:r>
        <w:r>
          <w:rPr>
            <w:i/>
            <w:color w:val="1155CC"/>
            <w:sz w:val="20"/>
            <w:szCs w:val="20"/>
            <w:u w:val="single"/>
          </w:rPr>
          <w:t xml:space="preserve">ecanismo de Prevención de la Tortura, </w:t>
        </w:r>
      </w:hyperlink>
      <w:hyperlink r:id="rId108">
        <w:r>
          <w:rPr>
            <w:color w:val="1155CC"/>
            <w:sz w:val="20"/>
            <w:szCs w:val="20"/>
            <w:u w:val="single"/>
          </w:rPr>
          <w:t>p. 19.</w:t>
        </w:r>
      </w:hyperlink>
    </w:p>
  </w:footnote>
  <w:footnote w:id="113">
    <w:p w:rsidR="00200F9B" w:rsidRDefault="00805DB6">
      <w:pPr>
        <w:spacing w:line="240" w:lineRule="auto"/>
        <w:rPr>
          <w:sz w:val="20"/>
          <w:szCs w:val="20"/>
        </w:rPr>
      </w:pPr>
      <w:r>
        <w:rPr>
          <w:vertAlign w:val="superscript"/>
        </w:rPr>
        <w:footnoteRef/>
      </w:r>
      <w:r>
        <w:rPr>
          <w:sz w:val="20"/>
          <w:szCs w:val="20"/>
        </w:rPr>
        <w:t xml:space="preserve"> </w:t>
      </w:r>
      <w:hyperlink r:id="rId109">
        <w:r>
          <w:rPr>
            <w:color w:val="1155CC"/>
            <w:sz w:val="20"/>
            <w:szCs w:val="20"/>
            <w:u w:val="single"/>
          </w:rPr>
          <w:t>Padres de cadete amplían denuncias por tortura: “Apagaban cigarrillos en sus fosas nasales” - Na</w:t>
        </w:r>
        <w:r>
          <w:rPr>
            <w:color w:val="1155CC"/>
            <w:sz w:val="20"/>
            <w:szCs w:val="20"/>
            <w:u w:val="single"/>
          </w:rPr>
          <w:t>cionales - ABC Color</w:t>
        </w:r>
      </w:hyperlink>
      <w:r>
        <w:rPr>
          <w:sz w:val="20"/>
          <w:szCs w:val="20"/>
        </w:rPr>
        <w:t xml:space="preserve"> </w:t>
      </w:r>
    </w:p>
  </w:footnote>
  <w:footnote w:id="114">
    <w:p w:rsidR="00200F9B" w:rsidRDefault="00805DB6">
      <w:pPr>
        <w:spacing w:line="240" w:lineRule="auto"/>
        <w:jc w:val="both"/>
        <w:rPr>
          <w:color w:val="1155CC"/>
          <w:sz w:val="20"/>
          <w:szCs w:val="20"/>
        </w:rPr>
      </w:pPr>
      <w:r>
        <w:rPr>
          <w:vertAlign w:val="superscript"/>
        </w:rPr>
        <w:footnoteRef/>
      </w:r>
      <w:r>
        <w:rPr>
          <w:color w:val="1155CC"/>
          <w:sz w:val="20"/>
          <w:szCs w:val="20"/>
        </w:rPr>
        <w:t xml:space="preserve">  </w:t>
      </w:r>
      <w:hyperlink r:id="rId110">
        <w:r>
          <w:rPr>
            <w:color w:val="1155CC"/>
            <w:sz w:val="20"/>
            <w:szCs w:val="20"/>
          </w:rPr>
          <w:t xml:space="preserve">SERPAJ-Py y CDIA, 2016. Comunicado: Nuevos métodos, el mismo arreo de siempre. </w:t>
        </w:r>
      </w:hyperlink>
    </w:p>
  </w:footnote>
  <w:footnote w:id="115">
    <w:p w:rsidR="00200F9B" w:rsidRDefault="00805DB6">
      <w:pPr>
        <w:spacing w:line="240" w:lineRule="auto"/>
        <w:rPr>
          <w:sz w:val="20"/>
          <w:szCs w:val="20"/>
        </w:rPr>
      </w:pPr>
      <w:r>
        <w:rPr>
          <w:vertAlign w:val="superscript"/>
        </w:rPr>
        <w:footnoteRef/>
      </w:r>
      <w:r>
        <w:rPr>
          <w:sz w:val="20"/>
          <w:szCs w:val="20"/>
        </w:rPr>
        <w:t xml:space="preserve"> </w:t>
      </w:r>
      <w:hyperlink r:id="rId111">
        <w:r>
          <w:rPr>
            <w:color w:val="1155CC"/>
            <w:sz w:val="20"/>
            <w:szCs w:val="20"/>
            <w:u w:val="single"/>
          </w:rPr>
          <w:t>Piden medidas de protección para hijo de Mario Abdo que está</w:t>
        </w:r>
        <w:r>
          <w:rPr>
            <w:color w:val="1155CC"/>
            <w:sz w:val="20"/>
            <w:szCs w:val="20"/>
            <w:u w:val="single"/>
          </w:rPr>
          <w:t xml:space="preserve"> en el SMO, Diario Última Hora, 04 de enero de 2019. </w:t>
        </w:r>
      </w:hyperlink>
    </w:p>
  </w:footnote>
  <w:footnote w:id="116">
    <w:p w:rsidR="00200F9B" w:rsidRDefault="00805DB6">
      <w:pPr>
        <w:spacing w:line="240" w:lineRule="auto"/>
        <w:jc w:val="both"/>
        <w:rPr>
          <w:rFonts w:ascii="Roboto" w:eastAsia="Roboto" w:hAnsi="Roboto" w:cs="Roboto"/>
          <w:color w:val="1155CC"/>
          <w:sz w:val="20"/>
          <w:szCs w:val="20"/>
        </w:rPr>
      </w:pPr>
      <w:r>
        <w:rPr>
          <w:vertAlign w:val="superscript"/>
        </w:rPr>
        <w:footnoteRef/>
      </w:r>
      <w:r>
        <w:rPr>
          <w:color w:val="1155CC"/>
          <w:sz w:val="20"/>
          <w:szCs w:val="20"/>
        </w:rPr>
        <w:t xml:space="preserve"> </w:t>
      </w:r>
      <w:hyperlink r:id="rId112">
        <w:r>
          <w:rPr>
            <w:color w:val="1155CC"/>
            <w:sz w:val="20"/>
            <w:szCs w:val="20"/>
          </w:rPr>
          <w:t>La Nación, 2019. Fuerzas Armadas detalla que 142 menores están en cuarteles.</w:t>
        </w:r>
      </w:hyperlink>
    </w:p>
  </w:footnote>
  <w:footnote w:id="117">
    <w:p w:rsidR="00200F9B" w:rsidRDefault="00805DB6">
      <w:pPr>
        <w:spacing w:line="240" w:lineRule="auto"/>
        <w:jc w:val="both"/>
        <w:rPr>
          <w:sz w:val="20"/>
          <w:szCs w:val="20"/>
        </w:rPr>
      </w:pPr>
      <w:r>
        <w:rPr>
          <w:vertAlign w:val="superscript"/>
        </w:rPr>
        <w:footnoteRef/>
      </w:r>
      <w:r>
        <w:rPr>
          <w:sz w:val="20"/>
          <w:szCs w:val="20"/>
        </w:rPr>
        <w:t xml:space="preserve"> </w:t>
      </w:r>
      <w:hyperlink r:id="rId113">
        <w:r>
          <w:rPr>
            <w:sz w:val="20"/>
            <w:szCs w:val="20"/>
          </w:rPr>
          <w:t>Coordinadora por los Derechos Humanos del Paraguay, 2022. Derechos Humanos en Paraguay. Versión resumida. 2022, pág. 38.</w:t>
        </w:r>
      </w:hyperlink>
    </w:p>
  </w:footnote>
  <w:footnote w:id="118">
    <w:p w:rsidR="00200F9B" w:rsidRDefault="00805DB6">
      <w:pPr>
        <w:spacing w:line="240" w:lineRule="auto"/>
        <w:rPr>
          <w:sz w:val="20"/>
          <w:szCs w:val="20"/>
        </w:rPr>
      </w:pPr>
      <w:r>
        <w:rPr>
          <w:vertAlign w:val="superscript"/>
        </w:rPr>
        <w:footnoteRef/>
      </w:r>
      <w:r>
        <w:rPr>
          <w:sz w:val="20"/>
          <w:szCs w:val="20"/>
        </w:rPr>
        <w:t xml:space="preserve"> Zona norte: San Pedro, Concepción y Amambay, están bajo una Ley inconstitucional que autoriza el despliegue de las Fuerzas Armadas en tiempos de paz en territorio interno. </w:t>
      </w:r>
    </w:p>
  </w:footnote>
  <w:footnote w:id="119">
    <w:p w:rsidR="00200F9B" w:rsidRDefault="00805DB6">
      <w:pPr>
        <w:spacing w:line="240" w:lineRule="auto"/>
        <w:rPr>
          <w:sz w:val="20"/>
          <w:szCs w:val="20"/>
        </w:rPr>
      </w:pPr>
      <w:r>
        <w:rPr>
          <w:vertAlign w:val="superscript"/>
        </w:rPr>
        <w:footnoteRef/>
      </w:r>
      <w:r>
        <w:rPr>
          <w:sz w:val="20"/>
          <w:szCs w:val="20"/>
        </w:rPr>
        <w:t xml:space="preserve"> </w:t>
      </w:r>
      <w:hyperlink r:id="rId114" w:anchor=":~:text=Asunci%C3%B3n%2022%20de%20junio%202018,14%20de%20junio%20de%202018">
        <w:r>
          <w:rPr>
            <w:sz w:val="20"/>
            <w:szCs w:val="20"/>
          </w:rPr>
          <w:t>Base IS, 2018. Desalojo y criminalización contra campesinos en San Pedro.</w:t>
        </w:r>
      </w:hyperlink>
      <w:r>
        <w:rPr>
          <w:sz w:val="20"/>
          <w:szCs w:val="20"/>
        </w:rPr>
        <w:t>.</w:t>
      </w:r>
    </w:p>
  </w:footnote>
  <w:footnote w:id="120">
    <w:p w:rsidR="00200F9B" w:rsidRDefault="00805DB6">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Rodríguez, Natalia Paola y Acevedo, Vidal (2018). A cinco años de la seguridad militarizada, siguen los atropellos y violaciones de derechos humanos en la zona Norte y sigue la violencia estructural por parte del Estado paraguayo. En </w:t>
      </w:r>
      <w:r>
        <w:rPr>
          <w:rFonts w:ascii="Roboto" w:eastAsia="Roboto" w:hAnsi="Roboto" w:cs="Roboto"/>
          <w:i/>
          <w:sz w:val="20"/>
          <w:szCs w:val="20"/>
        </w:rPr>
        <w:t>Yvypóra Derécho Parag</w:t>
      </w:r>
      <w:r>
        <w:rPr>
          <w:rFonts w:ascii="Roboto" w:eastAsia="Roboto" w:hAnsi="Roboto" w:cs="Roboto"/>
          <w:i/>
          <w:sz w:val="20"/>
          <w:szCs w:val="20"/>
        </w:rPr>
        <w:t>uáipe – Derechos Humanos en Paraguay 2018</w:t>
      </w:r>
      <w:r>
        <w:rPr>
          <w:rFonts w:ascii="Roboto" w:eastAsia="Roboto" w:hAnsi="Roboto" w:cs="Roboto"/>
          <w:sz w:val="20"/>
          <w:szCs w:val="20"/>
        </w:rPr>
        <w:t xml:space="preserve"> (pp. 447-462). Codehupy.</w:t>
      </w:r>
    </w:p>
  </w:footnote>
  <w:footnote w:id="121">
    <w:p w:rsidR="00200F9B" w:rsidRDefault="00805DB6">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hyperlink r:id="rId115">
        <w:r>
          <w:rPr>
            <w:rFonts w:ascii="Roboto" w:eastAsia="Roboto" w:hAnsi="Roboto" w:cs="Roboto"/>
            <w:color w:val="1155CC"/>
            <w:sz w:val="20"/>
            <w:szCs w:val="20"/>
            <w:u w:val="single"/>
          </w:rPr>
          <w:t>Abogada denuncia torturas a su cliente y obstrucción” (24 de noviembre de 2016).</w:t>
        </w:r>
      </w:hyperlink>
      <w:r>
        <w:rPr>
          <w:rFonts w:ascii="Roboto" w:eastAsia="Roboto" w:hAnsi="Roboto" w:cs="Roboto"/>
          <w:sz w:val="20"/>
          <w:szCs w:val="20"/>
        </w:rPr>
        <w:t xml:space="preserve"> ABC Color. </w:t>
      </w:r>
    </w:p>
  </w:footnote>
  <w:footnote w:id="122">
    <w:p w:rsidR="00200F9B" w:rsidRDefault="00805DB6">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hyperlink r:id="rId116">
        <w:r>
          <w:rPr>
            <w:rFonts w:ascii="Roboto" w:eastAsia="Roboto" w:hAnsi="Roboto" w:cs="Roboto"/>
            <w:color w:val="1155CC"/>
            <w:sz w:val="20"/>
            <w:szCs w:val="20"/>
            <w:u w:val="single"/>
          </w:rPr>
          <w:t>FTC causó trauma a adolescente detenida</w:t>
        </w:r>
      </w:hyperlink>
      <w:r>
        <w:rPr>
          <w:rFonts w:ascii="Roboto" w:eastAsia="Roboto" w:hAnsi="Roboto" w:cs="Roboto"/>
          <w:sz w:val="20"/>
          <w:szCs w:val="20"/>
        </w:rPr>
        <w:t xml:space="preserve">” (09 de julio de 2015). Última Hora. </w:t>
      </w:r>
    </w:p>
  </w:footnote>
  <w:footnote w:id="123">
    <w:p w:rsidR="00200F9B" w:rsidRDefault="00805DB6">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MNP (2015</w:t>
      </w:r>
      <w:r>
        <w:rPr>
          <w:rFonts w:ascii="Roboto" w:eastAsia="Roboto" w:hAnsi="Roboto" w:cs="Roboto"/>
          <w:sz w:val="20"/>
          <w:szCs w:val="20"/>
        </w:rPr>
        <w:t xml:space="preserve">). </w:t>
      </w:r>
      <w:hyperlink r:id="rId117">
        <w:r>
          <w:rPr>
            <w:rFonts w:ascii="Roboto" w:eastAsia="Roboto" w:hAnsi="Roboto" w:cs="Roboto"/>
            <w:color w:val="1155CC"/>
            <w:sz w:val="20"/>
            <w:szCs w:val="20"/>
            <w:u w:val="single"/>
          </w:rPr>
          <w:t>Análisis de la actuación de la Fuerza de Tareas Conjuntas (FTC), del ministerio público y del poder judicial en la zona norte del país. Parte I - Adolescentes</w:t>
        </w:r>
      </w:hyperlink>
      <w:r>
        <w:rPr>
          <w:rFonts w:ascii="Roboto" w:eastAsia="Roboto" w:hAnsi="Roboto" w:cs="Roboto"/>
          <w:sz w:val="20"/>
          <w:szCs w:val="20"/>
        </w:rPr>
        <w:t xml:space="preserve">. </w:t>
      </w:r>
    </w:p>
  </w:footnote>
  <w:footnote w:id="124">
    <w:p w:rsidR="00200F9B" w:rsidRDefault="00805DB6">
      <w:pPr>
        <w:spacing w:line="240" w:lineRule="auto"/>
        <w:rPr>
          <w:rFonts w:ascii="Roboto" w:eastAsia="Roboto" w:hAnsi="Roboto" w:cs="Roboto"/>
          <w:sz w:val="20"/>
          <w:szCs w:val="20"/>
        </w:rPr>
      </w:pPr>
      <w:r>
        <w:rPr>
          <w:vertAlign w:val="superscript"/>
        </w:rPr>
        <w:footnoteRef/>
      </w:r>
      <w:r>
        <w:rPr>
          <w:rFonts w:ascii="Roboto" w:eastAsia="Roboto" w:hAnsi="Roboto" w:cs="Roboto"/>
          <w:sz w:val="20"/>
          <w:szCs w:val="20"/>
        </w:rPr>
        <w:t xml:space="preserve"> </w:t>
      </w:r>
      <w:hyperlink r:id="rId118">
        <w:r>
          <w:rPr>
            <w:rFonts w:ascii="Roboto" w:eastAsia="Roboto" w:hAnsi="Roboto" w:cs="Roboto"/>
            <w:color w:val="1155CC"/>
            <w:sz w:val="20"/>
            <w:szCs w:val="20"/>
            <w:u w:val="single"/>
          </w:rPr>
          <w:t>Confirman una segunda generación del EPP integrada por adolescentes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F9B" w:rsidRDefault="00200F9B">
    <w:pPr>
      <w:spacing w:after="20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D42"/>
    <w:multiLevelType w:val="multilevel"/>
    <w:tmpl w:val="3C8E8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B97303"/>
    <w:multiLevelType w:val="multilevel"/>
    <w:tmpl w:val="06F65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101EAE"/>
    <w:multiLevelType w:val="multilevel"/>
    <w:tmpl w:val="7592B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11626B"/>
    <w:multiLevelType w:val="multilevel"/>
    <w:tmpl w:val="B70E1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DE35B6"/>
    <w:multiLevelType w:val="multilevel"/>
    <w:tmpl w:val="79E01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4C3316"/>
    <w:multiLevelType w:val="multilevel"/>
    <w:tmpl w:val="05061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55050A0"/>
    <w:multiLevelType w:val="multilevel"/>
    <w:tmpl w:val="BAA25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834240"/>
    <w:multiLevelType w:val="multilevel"/>
    <w:tmpl w:val="A4527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6D34CE2"/>
    <w:multiLevelType w:val="multilevel"/>
    <w:tmpl w:val="A4C48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674BC3"/>
    <w:multiLevelType w:val="multilevel"/>
    <w:tmpl w:val="67164D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F51F2B"/>
    <w:multiLevelType w:val="multilevel"/>
    <w:tmpl w:val="DB000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917424B"/>
    <w:multiLevelType w:val="multilevel"/>
    <w:tmpl w:val="E34ED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CD500E"/>
    <w:multiLevelType w:val="multilevel"/>
    <w:tmpl w:val="F78AF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BD9792E"/>
    <w:multiLevelType w:val="multilevel"/>
    <w:tmpl w:val="68225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D8115DD"/>
    <w:multiLevelType w:val="multilevel"/>
    <w:tmpl w:val="0D189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EFA2590"/>
    <w:multiLevelType w:val="multilevel"/>
    <w:tmpl w:val="7758E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54358B"/>
    <w:multiLevelType w:val="multilevel"/>
    <w:tmpl w:val="B3D20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6F42323"/>
    <w:multiLevelType w:val="multilevel"/>
    <w:tmpl w:val="4894B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9D62D2D"/>
    <w:multiLevelType w:val="multilevel"/>
    <w:tmpl w:val="8E6E90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A1764CB"/>
    <w:multiLevelType w:val="multilevel"/>
    <w:tmpl w:val="1CD8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5107080"/>
    <w:multiLevelType w:val="multilevel"/>
    <w:tmpl w:val="5B461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AE47B69"/>
    <w:multiLevelType w:val="multilevel"/>
    <w:tmpl w:val="81787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B9032A4"/>
    <w:multiLevelType w:val="multilevel"/>
    <w:tmpl w:val="F62CA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D053788"/>
    <w:multiLevelType w:val="multilevel"/>
    <w:tmpl w:val="33C69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0216394"/>
    <w:multiLevelType w:val="multilevel"/>
    <w:tmpl w:val="F134E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0426348"/>
    <w:multiLevelType w:val="multilevel"/>
    <w:tmpl w:val="12FA52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1BF6CF4"/>
    <w:multiLevelType w:val="multilevel"/>
    <w:tmpl w:val="5D5A9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401209A"/>
    <w:multiLevelType w:val="multilevel"/>
    <w:tmpl w:val="CB04D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485737A"/>
    <w:multiLevelType w:val="multilevel"/>
    <w:tmpl w:val="C382C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52F7220"/>
    <w:multiLevelType w:val="multilevel"/>
    <w:tmpl w:val="27485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E27DD5"/>
    <w:multiLevelType w:val="multilevel"/>
    <w:tmpl w:val="667E7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B5C55D1"/>
    <w:multiLevelType w:val="multilevel"/>
    <w:tmpl w:val="0CBCE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F327399"/>
    <w:multiLevelType w:val="multilevel"/>
    <w:tmpl w:val="2F982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1810614"/>
    <w:multiLevelType w:val="multilevel"/>
    <w:tmpl w:val="C1B84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4160486"/>
    <w:multiLevelType w:val="multilevel"/>
    <w:tmpl w:val="8A86B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53A648C"/>
    <w:multiLevelType w:val="multilevel"/>
    <w:tmpl w:val="1CDA4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8AA2AFF"/>
    <w:multiLevelType w:val="multilevel"/>
    <w:tmpl w:val="47EA4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B6F0671"/>
    <w:multiLevelType w:val="multilevel"/>
    <w:tmpl w:val="A4F4D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B830A57"/>
    <w:multiLevelType w:val="multilevel"/>
    <w:tmpl w:val="A5089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EA774CB"/>
    <w:multiLevelType w:val="multilevel"/>
    <w:tmpl w:val="B18E06D8"/>
    <w:lvl w:ilvl="0">
      <w:start w:val="1"/>
      <w:numFmt w:val="upperRoman"/>
      <w:lvlText w:val="%1."/>
      <w:lvlJc w:val="right"/>
      <w:pPr>
        <w:ind w:left="1440" w:hanging="360"/>
      </w:pPr>
      <w:rPr>
        <w:rFonts w:ascii="Arial" w:eastAsia="Arial" w:hAnsi="Arial" w:cs="Arial"/>
        <w:b/>
        <w:u w:val="none"/>
      </w:rPr>
    </w:lvl>
    <w:lvl w:ilvl="1">
      <w:start w:val="1"/>
      <w:numFmt w:val="upperLetter"/>
      <w:lvlText w:val="%2."/>
      <w:lvlJc w:val="left"/>
      <w:pPr>
        <w:ind w:left="2160" w:hanging="360"/>
      </w:pPr>
      <w:rPr>
        <w:rFonts w:ascii="Arial" w:eastAsia="Arial" w:hAnsi="Arial" w:cs="Arial"/>
        <w:b/>
        <w:i w:val="0"/>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0" w15:restartNumberingAfterBreak="0">
    <w:nsid w:val="5F0351A2"/>
    <w:multiLevelType w:val="multilevel"/>
    <w:tmpl w:val="F4305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3341F73"/>
    <w:multiLevelType w:val="multilevel"/>
    <w:tmpl w:val="8B3620E0"/>
    <w:lvl w:ilvl="0">
      <w:start w:val="1"/>
      <w:numFmt w:val="decimal"/>
      <w:lvlText w:val="%1."/>
      <w:lvlJc w:val="right"/>
      <w:pPr>
        <w:ind w:left="720" w:hanging="360"/>
      </w:pPr>
      <w:rPr>
        <w:rFonts w:ascii="Arial" w:eastAsia="Arial" w:hAnsi="Arial" w:cs="Arial"/>
        <w:b w:val="0"/>
        <w:color w:val="00000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2" w15:restartNumberingAfterBreak="0">
    <w:nsid w:val="665638B4"/>
    <w:multiLevelType w:val="multilevel"/>
    <w:tmpl w:val="3CC6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67023C3"/>
    <w:multiLevelType w:val="multilevel"/>
    <w:tmpl w:val="406A8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68E23DB"/>
    <w:multiLevelType w:val="multilevel"/>
    <w:tmpl w:val="81FAE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6A4C2466"/>
    <w:multiLevelType w:val="multilevel"/>
    <w:tmpl w:val="3AF2B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CC45AB4"/>
    <w:multiLevelType w:val="multilevel"/>
    <w:tmpl w:val="C93C8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D577860"/>
    <w:multiLevelType w:val="multilevel"/>
    <w:tmpl w:val="76B80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DEF25FE"/>
    <w:multiLevelType w:val="multilevel"/>
    <w:tmpl w:val="83B66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F6E312A"/>
    <w:multiLevelType w:val="multilevel"/>
    <w:tmpl w:val="B4BE7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FA67E50"/>
    <w:multiLevelType w:val="multilevel"/>
    <w:tmpl w:val="44225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09D7FB8"/>
    <w:multiLevelType w:val="multilevel"/>
    <w:tmpl w:val="3710D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0E41C0A"/>
    <w:multiLevelType w:val="multilevel"/>
    <w:tmpl w:val="CC08E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2A6097E"/>
    <w:multiLevelType w:val="multilevel"/>
    <w:tmpl w:val="C736D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4400EBC"/>
    <w:multiLevelType w:val="multilevel"/>
    <w:tmpl w:val="E28E0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553462D"/>
    <w:multiLevelType w:val="multilevel"/>
    <w:tmpl w:val="F9247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99229E1"/>
    <w:multiLevelType w:val="multilevel"/>
    <w:tmpl w:val="9E6E8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A4D3414"/>
    <w:multiLevelType w:val="multilevel"/>
    <w:tmpl w:val="338AA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A8B6D2D"/>
    <w:multiLevelType w:val="multilevel"/>
    <w:tmpl w:val="5BCC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B5F4FF7"/>
    <w:multiLevelType w:val="multilevel"/>
    <w:tmpl w:val="D5F0D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BEA0B09"/>
    <w:multiLevelType w:val="multilevel"/>
    <w:tmpl w:val="30FE0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C1036DB"/>
    <w:multiLevelType w:val="multilevel"/>
    <w:tmpl w:val="5622D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D046495"/>
    <w:multiLevelType w:val="multilevel"/>
    <w:tmpl w:val="FF74A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37"/>
  </w:num>
  <w:num w:numId="3">
    <w:abstractNumId w:val="2"/>
  </w:num>
  <w:num w:numId="4">
    <w:abstractNumId w:val="55"/>
  </w:num>
  <w:num w:numId="5">
    <w:abstractNumId w:val="7"/>
  </w:num>
  <w:num w:numId="6">
    <w:abstractNumId w:val="22"/>
  </w:num>
  <w:num w:numId="7">
    <w:abstractNumId w:val="10"/>
  </w:num>
  <w:num w:numId="8">
    <w:abstractNumId w:val="24"/>
  </w:num>
  <w:num w:numId="9">
    <w:abstractNumId w:val="56"/>
  </w:num>
  <w:num w:numId="10">
    <w:abstractNumId w:val="29"/>
  </w:num>
  <w:num w:numId="11">
    <w:abstractNumId w:val="19"/>
  </w:num>
  <w:num w:numId="12">
    <w:abstractNumId w:val="9"/>
  </w:num>
  <w:num w:numId="13">
    <w:abstractNumId w:val="25"/>
  </w:num>
  <w:num w:numId="14">
    <w:abstractNumId w:val="48"/>
  </w:num>
  <w:num w:numId="15">
    <w:abstractNumId w:val="46"/>
  </w:num>
  <w:num w:numId="16">
    <w:abstractNumId w:val="52"/>
  </w:num>
  <w:num w:numId="17">
    <w:abstractNumId w:val="59"/>
  </w:num>
  <w:num w:numId="18">
    <w:abstractNumId w:val="50"/>
  </w:num>
  <w:num w:numId="19">
    <w:abstractNumId w:val="54"/>
  </w:num>
  <w:num w:numId="20">
    <w:abstractNumId w:val="42"/>
  </w:num>
  <w:num w:numId="21">
    <w:abstractNumId w:val="39"/>
  </w:num>
  <w:num w:numId="22">
    <w:abstractNumId w:val="60"/>
  </w:num>
  <w:num w:numId="23">
    <w:abstractNumId w:val="11"/>
  </w:num>
  <w:num w:numId="24">
    <w:abstractNumId w:val="20"/>
  </w:num>
  <w:num w:numId="25">
    <w:abstractNumId w:val="58"/>
  </w:num>
  <w:num w:numId="26">
    <w:abstractNumId w:val="23"/>
  </w:num>
  <w:num w:numId="27">
    <w:abstractNumId w:val="35"/>
  </w:num>
  <w:num w:numId="28">
    <w:abstractNumId w:val="49"/>
  </w:num>
  <w:num w:numId="29">
    <w:abstractNumId w:val="0"/>
  </w:num>
  <w:num w:numId="30">
    <w:abstractNumId w:val="62"/>
  </w:num>
  <w:num w:numId="31">
    <w:abstractNumId w:val="30"/>
  </w:num>
  <w:num w:numId="32">
    <w:abstractNumId w:val="43"/>
  </w:num>
  <w:num w:numId="33">
    <w:abstractNumId w:val="15"/>
  </w:num>
  <w:num w:numId="34">
    <w:abstractNumId w:val="14"/>
  </w:num>
  <w:num w:numId="35">
    <w:abstractNumId w:val="40"/>
  </w:num>
  <w:num w:numId="36">
    <w:abstractNumId w:val="32"/>
  </w:num>
  <w:num w:numId="37">
    <w:abstractNumId w:val="51"/>
  </w:num>
  <w:num w:numId="38">
    <w:abstractNumId w:val="34"/>
  </w:num>
  <w:num w:numId="39">
    <w:abstractNumId w:val="27"/>
  </w:num>
  <w:num w:numId="40">
    <w:abstractNumId w:val="47"/>
  </w:num>
  <w:num w:numId="41">
    <w:abstractNumId w:val="41"/>
  </w:num>
  <w:num w:numId="42">
    <w:abstractNumId w:val="26"/>
  </w:num>
  <w:num w:numId="43">
    <w:abstractNumId w:val="28"/>
  </w:num>
  <w:num w:numId="44">
    <w:abstractNumId w:val="57"/>
  </w:num>
  <w:num w:numId="45">
    <w:abstractNumId w:val="1"/>
  </w:num>
  <w:num w:numId="46">
    <w:abstractNumId w:val="8"/>
  </w:num>
  <w:num w:numId="47">
    <w:abstractNumId w:val="16"/>
  </w:num>
  <w:num w:numId="48">
    <w:abstractNumId w:val="17"/>
  </w:num>
  <w:num w:numId="49">
    <w:abstractNumId w:val="5"/>
  </w:num>
  <w:num w:numId="50">
    <w:abstractNumId w:val="31"/>
  </w:num>
  <w:num w:numId="51">
    <w:abstractNumId w:val="12"/>
  </w:num>
  <w:num w:numId="52">
    <w:abstractNumId w:val="21"/>
  </w:num>
  <w:num w:numId="53">
    <w:abstractNumId w:val="36"/>
  </w:num>
  <w:num w:numId="54">
    <w:abstractNumId w:val="45"/>
  </w:num>
  <w:num w:numId="55">
    <w:abstractNumId w:val="61"/>
  </w:num>
  <w:num w:numId="56">
    <w:abstractNumId w:val="53"/>
  </w:num>
  <w:num w:numId="57">
    <w:abstractNumId w:val="3"/>
  </w:num>
  <w:num w:numId="58">
    <w:abstractNumId w:val="4"/>
  </w:num>
  <w:num w:numId="59">
    <w:abstractNumId w:val="38"/>
  </w:num>
  <w:num w:numId="60">
    <w:abstractNumId w:val="33"/>
  </w:num>
  <w:num w:numId="61">
    <w:abstractNumId w:val="13"/>
  </w:num>
  <w:num w:numId="62">
    <w:abstractNumId w:val="44"/>
  </w:num>
  <w:num w:numId="63">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9B"/>
    <w:rsid w:val="00200F9B"/>
    <w:rsid w:val="00805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7E721792-12B4-40A6-A519-EB6328D2E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after="200"/>
      <w:ind w:firstLine="720"/>
      <w:outlineLvl w:val="0"/>
    </w:pPr>
    <w:rPr>
      <w:b/>
      <w:sz w:val="24"/>
      <w:szCs w:val="24"/>
    </w:rPr>
  </w:style>
  <w:style w:type="paragraph" w:styleId="Heading2">
    <w:name w:val="heading 2"/>
    <w:basedOn w:val="Normal"/>
    <w:next w:val="Normal"/>
    <w:pPr>
      <w:keepNext/>
      <w:keepLines/>
      <w:spacing w:after="200"/>
      <w:ind w:firstLine="720"/>
      <w:outlineLvl w:val="1"/>
    </w:pPr>
    <w:rPr>
      <w:b/>
      <w:sz w:val="24"/>
      <w:szCs w:val="24"/>
    </w:rPr>
  </w:style>
  <w:style w:type="paragraph" w:styleId="Heading3">
    <w:name w:val="heading 3"/>
    <w:basedOn w:val="Normal"/>
    <w:next w:val="Normal"/>
    <w:pPr>
      <w:keepNext/>
      <w:keepLines/>
      <w:spacing w:after="200"/>
      <w:outlineLvl w:val="2"/>
    </w:pPr>
    <w:rPr>
      <w:b/>
      <w:i/>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google.com/spreadsheets/d/12xsKNczkWrzkE9qOShbxIAg2zC4fNL39AVKw2x_lVDg/edit" TargetMode="External"/><Relationship Id="rId117" Type="http://schemas.openxmlformats.org/officeDocument/2006/relationships/hyperlink" Target="http://www.mnp.gov.py/index.php/about/informacion-publica/Informes-especiales/An%C3%A1lisis-de-la-actuaci%C3%B3n-de-la-Fuerza-de-Tareas-Conjuntas-(FTC)-del-ministerio-p%C3%BAblico-y-del-poder-judicial-en-la-zona-norte-del-pa%C3%ADs.-Parte-I---Adolescentes/" TargetMode="External"/><Relationship Id="rId21" Type="http://schemas.openxmlformats.org/officeDocument/2006/relationships/hyperlink" Target="https://bit.ly/3mQ4v4q_ine_poblaci%C3%B3n" TargetMode="External"/><Relationship Id="rId42" Type="http://schemas.openxmlformats.org/officeDocument/2006/relationships/hyperlink" Target="https://www.bacn.gov.py/leyes-paraguayas/4428/promocion-proteccion-de-la-maternidad-y-apoyo-a-la-lactancia-materna" TargetMode="External"/><Relationship Id="rId47" Type="http://schemas.openxmlformats.org/officeDocument/2006/relationships/hyperlink" Target="https://www.gabinetesocial.gov.py/archivos/documentos/PANI-docu-eva_uhfqt18i.pdf" TargetMode="External"/><Relationship Id="rId63" Type="http://schemas.openxmlformats.org/officeDocument/2006/relationships/hyperlink" Target="https://www.bcp.gov.py/userfiles/files/Anexo_Estad%C3%ADstico_del_Informe_Econ%C3%B3mico_14_03_2023.xlsx" TargetMode="External"/><Relationship Id="rId68" Type="http://schemas.openxmlformats.org/officeDocument/2006/relationships/hyperlink" Target="https://www.plataformadeinfancia.org/wp-content/uploads/2018/09/observacion-general-21-sobre-ninos-situacion-de-calle.pdf" TargetMode="External"/><Relationship Id="rId84" Type="http://schemas.openxmlformats.org/officeDocument/2006/relationships/hyperlink" Target="http://biblioteca.mds.gov.py:8080/bitstream/handle/123456789/835/ANEXO%20DE%20LA%20NOTA%20MDS%201280%20-%20MRE.pdf?sequence=2&amp;isAllowed=y" TargetMode="External"/><Relationship Id="rId89" Type="http://schemas.openxmlformats.org/officeDocument/2006/relationships/hyperlink" Target="https://www.lanacion.com.py/pais/2023/03/13/realizaron-allanamientos-por-explotacion-sexual-de-ninas-indigenas-6-fueron-rescatados/" TargetMode="External"/><Relationship Id="rId112" Type="http://schemas.openxmlformats.org/officeDocument/2006/relationships/hyperlink" Target="https://www.lanacion.com.py/politica_edicion_impresa/2019/01/09/fuerzas-armadas-detalla-que-142-menores-estan-en-cuarteles/" TargetMode="External"/><Relationship Id="rId16" Type="http://schemas.openxmlformats.org/officeDocument/2006/relationships/hyperlink" Target="https://informacionpublica.paraguay.gov.py/portal/" TargetMode="External"/><Relationship Id="rId107" Type="http://schemas.openxmlformats.org/officeDocument/2006/relationships/hyperlink" Target="http://www.mnp.gov.py/index.php/repository/informes-de-monitoreo-y-seguimiento/establecimientos-policiales-y-militares/func-startdown/339/" TargetMode="External"/><Relationship Id="rId11" Type="http://schemas.openxmlformats.org/officeDocument/2006/relationships/hyperlink" Target="https://www.hacienda.gov.py/web-presupuesto/archivo.php?a=keke1117221b211c20dbdedcdededb161b23121f20161c1bdb142216kecc1a12211c111c191c141610kecc1112cc19kecc1a121116101670601bcc1112cc19kecc161b23121f201670601bcc121bcc19kecc1bkeda1d1113ke0ac&amp;x=22220c0&amp;y=c3c3062" TargetMode="External"/><Relationship Id="rId24" Type="http://schemas.openxmlformats.org/officeDocument/2006/relationships/hyperlink" Target="http://www.minna.gov.py/archivos/documentos/2022_Plan%20Nacional%20de%20la%20Ni%C3%B1ez%20ok_phocpzwe.pdf" TargetMode="External"/><Relationship Id="rId32" Type="http://schemas.openxmlformats.org/officeDocument/2006/relationships/hyperlink" Target="https://www.bacn.gov.py/leyes-paraguayas/9165/ley-n-6486-de-promocion-y-proteccion-del-derecho-de-ninos-ninas-y-adolescentes-a-vivir-en-familia-que-regula-las-medidas-de-cuidados-alternativos-y-la-adopcion" TargetMode="External"/><Relationship Id="rId37" Type="http://schemas.openxmlformats.org/officeDocument/2006/relationships/hyperlink" Target="https://www.reuters.com/article/latinoamerica-paraguay-indigenas-pestici-idLTASIE58L1P520090922" TargetMode="External"/><Relationship Id="rId40" Type="http://schemas.openxmlformats.org/officeDocument/2006/relationships/hyperlink" Target="https://www.baseis.org.py/dramatica-situacion-de-escuelas-fumigadas/" TargetMode="External"/><Relationship Id="rId45" Type="http://schemas.openxmlformats.org/officeDocument/2006/relationships/hyperlink" Target="https://drive.google.com/file/d/1TJsWz6L03fI4zFWS6klNZrc2FfCd5xHP/view" TargetMode="External"/><Relationship Id="rId53" Type="http://schemas.openxmlformats.org/officeDocument/2006/relationships/hyperlink" Target="https://elsurti.com/futuros/reportaje/2020/08/05/el-plan-de-petta-para-la-salud-mental-de-los-ninos-una-ong-evangelica/" TargetMode="External"/><Relationship Id="rId58" Type="http://schemas.openxmlformats.org/officeDocument/2006/relationships/hyperlink" Target="https://mapaescolar.mec.gov.py/mapa_escolar/contenido/datos_educativos" TargetMode="External"/><Relationship Id="rId66" Type="http://schemas.openxmlformats.org/officeDocument/2006/relationships/hyperlink" Target="https://www.mtess.gov.py/application/files/9715/6926/1549/Estrategia_Nacional_-_para_impresion.pdf" TargetMode="External"/><Relationship Id="rId74" Type="http://schemas.openxmlformats.org/officeDocument/2006/relationships/hyperlink" Target="https://www.amnesty.org/es/documents/amr45/5031/2021/es/" TargetMode="External"/><Relationship Id="rId79" Type="http://schemas.openxmlformats.org/officeDocument/2006/relationships/hyperlink" Target="https://ddhh2020.codehupy.org.py/en-paraguay-persisten-la-explotacion-y-el-despojo-de-las-infancias-y-las-adolescencias/" TargetMode="External"/><Relationship Id="rId87" Type="http://schemas.openxmlformats.org/officeDocument/2006/relationships/hyperlink" Target="https://www.bacn.gov.py/leyes-paraguayas/9165/ley-n-6486-de-promocion-y-proteccion-del-derecho-de-ninos-ninas-y-adolescentes-a-vivir-en-familia-que-regula-las-medidas-de-cuidados-alternativos-y-la-adopcion" TargetMode="External"/><Relationship Id="rId102" Type="http://schemas.openxmlformats.org/officeDocument/2006/relationships/hyperlink" Target="http://www.mnp.gov.py/index.php/contenido.php?id=4&amp;ca=ok" TargetMode="External"/><Relationship Id="rId110" Type="http://schemas.openxmlformats.org/officeDocument/2006/relationships/hyperlink" Target="https://www.cdia.org.py/2016/07/20/serpaj-py-y-cdia-comunicado-nuevos-metodos-el-mismo-arreo-de-siempre/" TargetMode="External"/><Relationship Id="rId115" Type="http://schemas.openxmlformats.org/officeDocument/2006/relationships/hyperlink" Target="https://www.abc.com.py/nacionales/abogada-denuncia-obstruccion-1540813.html" TargetMode="External"/><Relationship Id="rId5" Type="http://schemas.openxmlformats.org/officeDocument/2006/relationships/hyperlink" Target="https://www.cdiaobserva.org.py/2021/09/29/diagnostico-situacional-de-las-consejerias-municipales-por-los-derechos-de-la-ninez-y-la-adolescencia-de-paraguay/" TargetMode="External"/><Relationship Id="rId61" Type="http://schemas.openxmlformats.org/officeDocument/2006/relationships/hyperlink" Target="https://www.mec.gov.py/sigmec/resoluciones/29664-2017-RIERA.pdf" TargetMode="External"/><Relationship Id="rId82" Type="http://schemas.openxmlformats.org/officeDocument/2006/relationships/hyperlink" Target="https://www.cdiaobserva.org.py/2021/04/26/informe-alternativo-de-sociedad-civil-presentado-al-consejo-de-derechos-humanos-de-naciones-unidas-examen-periodico-universal-tercer-ciclo-republica-del-paraguay-octubre-2020/" TargetMode="External"/><Relationship Id="rId90" Type="http://schemas.openxmlformats.org/officeDocument/2006/relationships/hyperlink" Target="https://www.lanacion.com.py/pais/2020/02/25/nina-indigena-hallada-muerta-en-zona-de-la-terminal-fue-estrangulada/" TargetMode="External"/><Relationship Id="rId95" Type="http://schemas.openxmlformats.org/officeDocument/2006/relationships/hyperlink" Target="https://ministeriopublico.gov.py/abuso-sexual-" TargetMode="External"/><Relationship Id="rId19" Type="http://schemas.openxmlformats.org/officeDocument/2006/relationships/hyperlink" Target="https://www.ultimahora.com/petta-condiciona-entrega-kits-alimenticios-cambio-tareas-n2882299.html" TargetMode="External"/><Relationship Id="rId14" Type="http://schemas.openxmlformats.org/officeDocument/2006/relationships/hyperlink" Target="https://ddhh2022.codehupy.org.py/acceso-a-la-justicia-como-medio-para-exigir-los-derechos-de-la-poblacion-con-discapacidad/" TargetMode="External"/><Relationship Id="rId22" Type="http://schemas.openxmlformats.org/officeDocument/2006/relationships/hyperlink" Target="https://bit.ly/3mQ4v4q_ine_poblaci%C3%B3n" TargetMode="External"/><Relationship Id="rId27" Type="http://schemas.openxmlformats.org/officeDocument/2006/relationships/hyperlink" Target="https://www.ine.gov.py/Publicaciones/Biblioteca/documento/203/EV%20del%20Paraguay%202021.pdf" TargetMode="External"/><Relationship Id="rId30" Type="http://schemas.openxmlformats.org/officeDocument/2006/relationships/hyperlink" Target="http://www.mnp.gov.py/index.php/repository/informes-de-monitoreo-y-seguimiento/centros-educativos/func-startdown/615/" TargetMode="External"/><Relationship Id="rId35" Type="http://schemas.openxmlformats.org/officeDocument/2006/relationships/hyperlink" Target="https://www.paraguayincluye.org/wp-content/uploads/2020/08/Resumen-Situacion-de-la-NInez-y-Adolescencia-en-Paraguay.pdf" TargetMode="External"/><Relationship Id="rId43" Type="http://schemas.openxmlformats.org/officeDocument/2006/relationships/hyperlink" Target="https://www.lavanguardia.com/internacional/20190410/461575214288/paraguay-prision-militar-permiso-bebe.html" TargetMode="External"/><Relationship Id="rId48" Type="http://schemas.openxmlformats.org/officeDocument/2006/relationships/hyperlink" Target="https://www.bacn.gov.py/leyes-paraguayas/1215/garantia-nutricional-en-la-primera-infancia" TargetMode="External"/><Relationship Id="rId56" Type="http://schemas.openxmlformats.org/officeDocument/2006/relationships/hyperlink" Target="https://www.unicef.org/paraguay/comunicados-prensa/unicef-inicia-campa%C3%B1a-preguntale-tu-candidato-sobre-ni%C3%B1os-ni%C3%B1as-y-adolescentes" TargetMode="External"/><Relationship Id="rId64" Type="http://schemas.openxmlformats.org/officeDocument/2006/relationships/hyperlink" Target="http://bicameral.congreso.gov.py/application/files/9216/3947/0076/12_-_07_MINISTERIO_DE_EDUCACION_Y_CIENCIAS.pdf" TargetMode="External"/><Relationship Id="rId69" Type="http://schemas.openxmlformats.org/officeDocument/2006/relationships/hyperlink" Target="https://www.bacn.gov.py/leyes-paraguayas/8927/ley-n-6202-adopta-normas-para-la-prevencion-del-abuso-sexual-y-la-atencion-integral-de-los-ninos-ninas-y-adolescentes-victimas-de-abuso-sexual-" TargetMode="External"/><Relationship Id="rId77" Type="http://schemas.openxmlformats.org/officeDocument/2006/relationships/hyperlink" Target="https://ministeriopublico.gov.py/trata-de-personas-" TargetMode="External"/><Relationship Id="rId100" Type="http://schemas.openxmlformats.org/officeDocument/2006/relationships/hyperlink" Target="http://www.mnp.gov.py/index.php/repository/informes-de-monitoreo-y-seguimiento/establecimientos-policiales-y-militares/func-startdown/339/" TargetMode="External"/><Relationship Id="rId105" Type="http://schemas.openxmlformats.org/officeDocument/2006/relationships/hyperlink" Target="http://www.mnp.gov.py/index.php/repository/informes-de-monitoreo-y-seguimiento/establecimientos-policiales-y-militares/func-startdown/339/" TargetMode="External"/><Relationship Id="rId113" Type="http://schemas.openxmlformats.org/officeDocument/2006/relationships/hyperlink" Target="https://www.codehupy.org.py/wp-content/uploads/2022/07/Informe-Resumido-DDHH-2021.pdf" TargetMode="External"/><Relationship Id="rId118" Type="http://schemas.openxmlformats.org/officeDocument/2006/relationships/hyperlink" Target="https://www.ultimahora.com/confirman-una-segunda-generacion-del-epp-integrada-adolescentes-n2909370.html" TargetMode="External"/><Relationship Id="rId8" Type="http://schemas.openxmlformats.org/officeDocument/2006/relationships/hyperlink" Target="https://www.cdiaobserva.org.py/2021/09/29/diagnostico-situacional-de-las-consejerias-municipales-por-los-derechos-de-la-ninez-y-la-adolescencia-de-paraguay/" TargetMode="External"/><Relationship Id="rId51" Type="http://schemas.openxmlformats.org/officeDocument/2006/relationships/hyperlink" Target="https://webadm.senado.gov.py/SENADOWEB-web/faces/publico/DescargaArchivo?g=tablero-13529" TargetMode="External"/><Relationship Id="rId72" Type="http://schemas.openxmlformats.org/officeDocument/2006/relationships/hyperlink" Target="https://ddhh2021.codehupy.org.py/un-ano-de-violencia-exclusion-y-desalojos-contra-comunidades-indigenas/" TargetMode="External"/><Relationship Id="rId80" Type="http://schemas.openxmlformats.org/officeDocument/2006/relationships/hyperlink" Target="http://codehupy.org.py/wp-content/uploads/2019/12/DDHH-2019.pdf" TargetMode="External"/><Relationship Id="rId85" Type="http://schemas.openxmlformats.org/officeDocument/2006/relationships/hyperlink" Target="https://www.bacn.gov.py/leyes-paraguayas/3158/ley-n-4788-integral-contra-la-trata-de-personas" TargetMode="External"/><Relationship Id="rId93" Type="http://schemas.openxmlformats.org/officeDocument/2006/relationships/hyperlink" Target="https://www.bacn.gov.py/leyes-paraguayas/9906/ley-n-6002-modifica-el-articulo-135-de-la-ley-n-116097-codigo-penal-modificado-por-el-articulo-1-de-la-ley-n-344008-que-modifica-varias-disposiciones-de-la-ley-n-116097-codigo-penal" TargetMode="External"/><Relationship Id="rId98" Type="http://schemas.openxmlformats.org/officeDocument/2006/relationships/hyperlink" Target="http://www.mnp.gov.py/index.php/repository/informes-de-monitoreo-y-seguimiento/establecimientos-policiales-y-militares/func-startdown/339/" TargetMode="External"/><Relationship Id="rId3" Type="http://schemas.openxmlformats.org/officeDocument/2006/relationships/hyperlink" Target="https://informacionpublica.paraguay.gov.py/portal/" TargetMode="External"/><Relationship Id="rId12" Type="http://schemas.openxmlformats.org/officeDocument/2006/relationships/hyperlink" Target="http://www.minna.gov.py/archivos/documentos/Rendici%C3%B3n%20de%20cuentas_MINNA%202022%20ok_formxrp0.pdf" TargetMode="External"/><Relationship Id="rId17" Type="http://schemas.openxmlformats.org/officeDocument/2006/relationships/hyperlink" Target="https://www.ine.gov.py/Publicaciones/Biblioteca/documento/203/EV%20del%20Paraguay%202021.pdf" TargetMode="External"/><Relationship Id="rId25" Type="http://schemas.openxmlformats.org/officeDocument/2006/relationships/hyperlink" Target="https://www.gabinetesocial.gov.py/articulo/664-vamos-sistema-de-proteccion-social-documentos.html" TargetMode="External"/><Relationship Id="rId33" Type="http://schemas.openxmlformats.org/officeDocument/2006/relationships/hyperlink" Target="https://informacionpublica.paraguay.gov.py/portal/" TargetMode="External"/><Relationship Id="rId38" Type="http://schemas.openxmlformats.org/officeDocument/2006/relationships/hyperlink" Target="https://www.baseis.org.py/wp-content/uploads/2021/11/Sojaalcuello2021-WEB.pdf" TargetMode="External"/><Relationship Id="rId46" Type="http://schemas.openxmlformats.org/officeDocument/2006/relationships/hyperlink" Target="https://informacionpublica.paraguay.gov.py/portal/" TargetMode="External"/><Relationship Id="rId59" Type="http://schemas.openxmlformats.org/officeDocument/2006/relationships/hyperlink" Target="https://mec.gov.py/cms_v2/adjuntos/15247?1545325232" TargetMode="External"/><Relationship Id="rId67" Type="http://schemas.openxmlformats.org/officeDocument/2006/relationships/hyperlink" Target="http://www.minna.gov.py/archivos/documentos/Informe%20de%20Gestion%20MINNA%202022_tuk92a2g.pdf" TargetMode="External"/><Relationship Id="rId103" Type="http://schemas.openxmlformats.org/officeDocument/2006/relationships/hyperlink" Target="http://www.mnp.gov.py/index.php/repository/informes-de-monitoreo-y-seguimiento/establecimientos-policiales-y-militares/func-startdown/339/" TargetMode="External"/><Relationship Id="rId108" Type="http://schemas.openxmlformats.org/officeDocument/2006/relationships/hyperlink" Target="http://www.mnp.gov.py/index.php/repository/informes-de-monitoreo-y-seguimiento/establecimientos-policiales-y-militares/func-startdown/339/" TargetMode="External"/><Relationship Id="rId116" Type="http://schemas.openxmlformats.org/officeDocument/2006/relationships/hyperlink" Target="https://www.ultimahora.com/ftc-causo-trauma-adolescente-detenida-n911695.html" TargetMode="External"/><Relationship Id="rId20" Type="http://schemas.openxmlformats.org/officeDocument/2006/relationships/hyperlink" Target="https://www.cdiaobserva.org.py/2020/11/19/estudio-sobre-la-asistencia-alimenticia-y-su-vinculacion-con-el-derecho-a-la-proteccion-de-ninas-ninos-y-adolescentes-en-paraguay/" TargetMode="External"/><Relationship Id="rId41" Type="http://schemas.openxmlformats.org/officeDocument/2006/relationships/hyperlink" Target="https://informacionpublica.paraguay.gov.py/public/846966-SIP65172DGPSPDF-SIP65172DGPS.PDF" TargetMode="External"/><Relationship Id="rId54" Type="http://schemas.openxmlformats.org/officeDocument/2006/relationships/hyperlink" Target="https://www.bacn.gov.py/leyes-paraguayas/3192/establece-derechos-obligaciones-y-medidas-preventivas-con-relacion-a-los-efectos-producidos-por-el-virus-de-inmunodeficiencia-humana-vih-y-el-sindrome-de-inmunodeficiencia-adquirida-sida" TargetMode="External"/><Relationship Id="rId62" Type="http://schemas.openxmlformats.org/officeDocument/2006/relationships/hyperlink" Target="https://www.abc.com.py/edicion-impresa/locales/ministro-riera-se-ofrecio-a-quemar-libros-sobre-ideologia-de-genero-1638050.html" TargetMode="External"/><Relationship Id="rId70" Type="http://schemas.openxmlformats.org/officeDocument/2006/relationships/hyperlink" Target="https://www.facebook.com/story.php?story_fbid=pfbid02S6kqWmd339TQfsToAaBTCUdr7qyM7kgtJ9dKzda3sySsg7gQfVzq17az9bZo7vnol&amp;id=100069131352985&amp;mibextid=Nif5oz&amp;_rdr" TargetMode="External"/><Relationship Id="rId75" Type="http://schemas.openxmlformats.org/officeDocument/2006/relationships/hyperlink" Target="https://data.miraquetemiro.org/sites/default/files/documentos/Libro_Guia%20de%20Interv_completo%20-%20baja.pdf" TargetMode="External"/><Relationship Id="rId83" Type="http://schemas.openxmlformats.org/officeDocument/2006/relationships/hyperlink" Target="https://www.bacn.gov.py/leyes-paraguayas/9303/ley-n-6572-crea-el-registro-nacional-de-agresores-sexuales-de-ninos-ninas-y-adolescentes-y-el-banco-genetico" TargetMode="External"/><Relationship Id="rId88" Type="http://schemas.openxmlformats.org/officeDocument/2006/relationships/hyperlink" Target="https://www.ultimahora.com/ministerio-publico-conforma-equipos-trabajo-el-transchaco-rally-n1026378.html" TargetMode="External"/><Relationship Id="rId91" Type="http://schemas.openxmlformats.org/officeDocument/2006/relationships/hyperlink" Target="https://www.bacn.gov.py/leyes-paraguayas/3777/modifica-y-amplia-varios-articulos-de-la-ley-n-116097-codigo-penal" TargetMode="External"/><Relationship Id="rId96" Type="http://schemas.openxmlformats.org/officeDocument/2006/relationships/hyperlink" Target="https://independiente.com.py/reclutamiento-forzado-de-ninos-nunca-fue-atendido-por-el-estado/" TargetMode="External"/><Relationship Id="rId111" Type="http://schemas.openxmlformats.org/officeDocument/2006/relationships/hyperlink" Target="https://www.ultimahora.com/piden-medidas-proteccion-hijo-mario-abdo-que-esta-el-smo-n2789506.html" TargetMode="External"/><Relationship Id="rId1" Type="http://schemas.openxmlformats.org/officeDocument/2006/relationships/hyperlink" Target="https://www.bacn.gov.py/leyes-paraguayas/3497/codigo-penal" TargetMode="External"/><Relationship Id="rId6" Type="http://schemas.openxmlformats.org/officeDocument/2006/relationships/hyperlink" Target="http://www.minna.gov.py/archivos/documentos/Rendici%C3%B3n%20de%20cuentas_MINNA%202022%20ok_formxrp0.pdf" TargetMode="External"/><Relationship Id="rId15" Type="http://schemas.openxmlformats.org/officeDocument/2006/relationships/hyperlink" Target="https://www.bacn.gov.py/leyes-paraguayas/3013/libre-acceso-ciudadano-a-la-informacion-publica-y-transparencia-gubernamental" TargetMode="External"/><Relationship Id="rId23" Type="http://schemas.openxmlformats.org/officeDocument/2006/relationships/hyperlink" Target="https://www.ine.gov.py/datos/encuestas/eph/Poblacion/" TargetMode="External"/><Relationship Id="rId28" Type="http://schemas.openxmlformats.org/officeDocument/2006/relationships/hyperlink" Target="https://informacionpublica.paraguay.gov.py/public/72231-SIPN61100nvcontrolresidareaedad2018-2021pxlsx-S.I.P.N61.100nv.control.resid.area.edad.2018-2021p.xlsx" TargetMode="External"/><Relationship Id="rId36" Type="http://schemas.openxmlformats.org/officeDocument/2006/relationships/hyperlink" Target="https://npy.com.py/2022/06/muere-bebe-atendido-por-curandero-nana-en-ciudad-del-este/" TargetMode="External"/><Relationship Id="rId49" Type="http://schemas.openxmlformats.org/officeDocument/2006/relationships/hyperlink" Target="https://webadm.senado.gov.py/SENADOWEB-web/faces/publico/DescargaArchivo?g=tablero-8246" TargetMode="External"/><Relationship Id="rId57" Type="http://schemas.openxmlformats.org/officeDocument/2006/relationships/hyperlink" Target="https://www.transformacioneducativa.edu.py/_files/ugd/39c664_9e8cfaa3f9ce4e0bbc23370e0f479fdf.pdf" TargetMode="External"/><Relationship Id="rId106" Type="http://schemas.openxmlformats.org/officeDocument/2006/relationships/hyperlink" Target="http://www.mnp.gov.py/index.php/repository/informes-de-monitoreo-y-seguimiento/establecimientos-policiales-y-militares/func-startdown/339/" TargetMode="External"/><Relationship Id="rId114" Type="http://schemas.openxmlformats.org/officeDocument/2006/relationships/hyperlink" Target="https://www.baseis.org.py/desalojo-y-criminalizacion-contra-campesinos-en-san-pedro/" TargetMode="External"/><Relationship Id="rId10" Type="http://schemas.openxmlformats.org/officeDocument/2006/relationships/hyperlink" Target="http://www.defensoriadelpueblo.gov.py/normativa/Ley%20Nro%20631-95.pdf" TargetMode="External"/><Relationship Id="rId31" Type="http://schemas.openxmlformats.org/officeDocument/2006/relationships/hyperlink" Target="https://www.bacn.gov.py/leyes-paraguayas/5176/ley-n-5659-promocion-del-buen-trato-crianza-positiva-y-de-proteccion-a-ninos-ninas-y-adolescentes-contra-el-castigo-fisico-o-cualquier-tipo-de-violencia-como-metodo-de-correccion-o-disciplina" TargetMode="External"/><Relationship Id="rId44" Type="http://schemas.openxmlformats.org/officeDocument/2006/relationships/hyperlink" Target="https://www.ine.gov.py/Publicaciones/Biblioteca/mics2016/Encuesta%20MICS%20Paraguay%202016.pdf" TargetMode="External"/><Relationship Id="rId52" Type="http://schemas.openxmlformats.org/officeDocument/2006/relationships/hyperlink" Target="https://www.mspbs.gov.py/pronasida/informes-varios.html" TargetMode="External"/><Relationship Id="rId60" Type="http://schemas.openxmlformats.org/officeDocument/2006/relationships/hyperlink" Target="https://mapaescolar.mec.gov.py/mapa_escolar/contenido/datos_educativos" TargetMode="External"/><Relationship Id="rId65" Type="http://schemas.openxmlformats.org/officeDocument/2006/relationships/hyperlink" Target="https://www.bacn.gov.py/leyes-paraguayas/10973/ley-n-6984-de-migraciones" TargetMode="External"/><Relationship Id="rId73" Type="http://schemas.openxmlformats.org/officeDocument/2006/relationships/hyperlink" Target="https://t.co/gADY410IHB" TargetMode="External"/><Relationship Id="rId78" Type="http://schemas.openxmlformats.org/officeDocument/2006/relationships/hyperlink" Target="https://www.ultimahora.com/unas-22-ninas-paraguayas-victimas-trata-brasil-fueron-abandonadas-la-frontera-n2884090.html" TargetMode="External"/><Relationship Id="rId81" Type="http://schemas.openxmlformats.org/officeDocument/2006/relationships/hyperlink" Target="https://ddhh2021.codehupy.org.py/un-ano-de-violencia-exclusion-y-desalojos-contra-comunidades-indigenas/" TargetMode="External"/><Relationship Id="rId86" Type="http://schemas.openxmlformats.org/officeDocument/2006/relationships/hyperlink" Target="https://www.bacn.gov.py/leyes-paraguayas/3158/ley-n-4788-integral-contra-la-trata-de-personas" TargetMode="External"/><Relationship Id="rId94" Type="http://schemas.openxmlformats.org/officeDocument/2006/relationships/hyperlink" Target="https://www.ip.gov.py/ip/operativo-luz-de-infancia-busca-luchar-frontalmente-contra-la-explotacion-sexual-infantil/" TargetMode="External"/><Relationship Id="rId99" Type="http://schemas.openxmlformats.org/officeDocument/2006/relationships/hyperlink" Target="http://www.mnp.gov.py/index.php/repository/informes-de-monitoreo-y-seguimiento/establecimientos-policiales-y-militares/func-startdown/339/" TargetMode="External"/><Relationship Id="rId101" Type="http://schemas.openxmlformats.org/officeDocument/2006/relationships/hyperlink" Target="https://www.swissinfo.ch/spa/paraguay-guerrilla_presumen-que-uno-de-los-tres-muertos-en-combate-en-paraguay-era-menor-de-edad/48007238" TargetMode="External"/><Relationship Id="rId4" Type="http://schemas.openxmlformats.org/officeDocument/2006/relationships/hyperlink" Target="https://www.cdiaobserva.org.py/2022/03/01/diagnostico-situacional-de-las-secretarias-departamentales-de-ninez-y-adolescencia-de-paraguay-julio-2020/" TargetMode="External"/><Relationship Id="rId9" Type="http://schemas.openxmlformats.org/officeDocument/2006/relationships/hyperlink" Target="http://www.minna.gov.py/archivos/documentos/2022_Plan%20Nacional%20de%20la%20Ni%C3%B1ez%20ok_phocpzwe.pdf" TargetMode="External"/><Relationship Id="rId13" Type="http://schemas.openxmlformats.org/officeDocument/2006/relationships/hyperlink" Target="https://www.bacn.gov.py/leyes-paraguayas/9490/ley-n-6670-establece-la-modernizacion-del-sistema-estadistico-nacional-sisen-y-crea-el-instituto-nacional-de-estadistica-ine" TargetMode="External"/><Relationship Id="rId18" Type="http://schemas.openxmlformats.org/officeDocument/2006/relationships/hyperlink" Target="https://www.ine.gov.py/Publicaciones/Biblioteca/documento/203/EV%20del%20Paraguay%202021.pdf" TargetMode="External"/><Relationship Id="rId39" Type="http://schemas.openxmlformats.org/officeDocument/2006/relationships/hyperlink" Target="https://www.dw.com/es/onu-paraguay-viola-derechos-humanos-al-no-controlar-fumigaciones-en-cultivos-de-soja/a-50025655" TargetMode="External"/><Relationship Id="rId109" Type="http://schemas.openxmlformats.org/officeDocument/2006/relationships/hyperlink" Target="https://www.abc.com.py/nacionales/2022/04/01/padres-de-cadete-amplian-denuncias-por-tortura-apagaban-cigarrillos-en-sus-fosas-nasales/" TargetMode="External"/><Relationship Id="rId34" Type="http://schemas.openxmlformats.org/officeDocument/2006/relationships/hyperlink" Target="https://www.google.com/search?q=ley+de+educaci%C3%B3n+inclusiva&amp;rlz=1C5CHFA_enPY900PY900&amp;oq=ley+de+educaci%C3%B3n+in&amp;aqs=chrome.0.0i512j69i57j0i512j69i59j0i512l6.2888j0j9&amp;sourceid=chrome&amp;ie=UTF-8" TargetMode="External"/><Relationship Id="rId50" Type="http://schemas.openxmlformats.org/officeDocument/2006/relationships/hyperlink" Target="https://webadm.senado.gov.py/SENADOWEB-web/faces/publico/DescargaArchivo?g=tablero-10422" TargetMode="External"/><Relationship Id="rId55" Type="http://schemas.openxmlformats.org/officeDocument/2006/relationships/hyperlink" Target="https://www.bacn.gov.py/leyes-paraguayas/3192/establece-derechos-obligaciones-y-medidas-preventivas-con-relacion-a-los-efectos-producidos-por-el-virus-de-inmunodeficiencia-humana-vih-y-el-sindrome-de-inmunodeficiencia-adquirida-sida" TargetMode="External"/><Relationship Id="rId76" Type="http://schemas.openxmlformats.org/officeDocument/2006/relationships/hyperlink" Target="https://elpais.com/internacional/2023-01-19/la-corte-idh-sanciona-a-bolivia-por-no-investigar-ni-castigar-la-violacion-de-una-nina-por-parte-de-su-primo.html" TargetMode="External"/><Relationship Id="rId97" Type="http://schemas.openxmlformats.org/officeDocument/2006/relationships/hyperlink" Target="https://www.baseis.org.py/con-la-ftc-en-el-norte-la-poblacion-se-siente-mas-insegura/" TargetMode="External"/><Relationship Id="rId104" Type="http://schemas.openxmlformats.org/officeDocument/2006/relationships/hyperlink" Target="http://www.mnp.gov.py/index.php/repository/informes-de-monitoreo-y-seguimiento/establecimientos-policiales-y-militares/func-startdown/339/" TargetMode="External"/><Relationship Id="rId7" Type="http://schemas.openxmlformats.org/officeDocument/2006/relationships/hyperlink" Target="https://www.cdiaobserva.org.py/2021/09/29/diagnostico-situacional-de-las-consejerias-municipales-por-los-derechos-de-la-ninez-y-la-adolescencia-de-paraguay/" TargetMode="External"/><Relationship Id="rId71" Type="http://schemas.openxmlformats.org/officeDocument/2006/relationships/hyperlink" Target="https://informacionpublica.paraguay.gov.py/public/63211-nvnrohijosnvedadsimple182021P-2022pxlsx-nv.nro.hijos.nv.edad.simple.18.2021P-2022p.xlsx" TargetMode="External"/><Relationship Id="rId92" Type="http://schemas.openxmlformats.org/officeDocument/2006/relationships/hyperlink" Target="https://www.bacn.gov.py/leyes-paraguayas/3158/ley-n-4788-integral-contra-la-trata-de-personas" TargetMode="External"/><Relationship Id="rId2" Type="http://schemas.openxmlformats.org/officeDocument/2006/relationships/hyperlink" Target="https://www.bacn.gov.py/leyes-paraguayas/8805/ley-n-6174-eleva-al-rango-de-ministerio-a-la-secretaria-nacional-de-la-ninez-y-la-adolescencia-snna-y-pasa-a-denominarse-ministerio-de-la-ninez-y-la-adolescencia-minna" TargetMode="External"/><Relationship Id="rId29" Type="http://schemas.openxmlformats.org/officeDocument/2006/relationships/hyperlink" Target="https://www.bacn.gov.py/leyes-paraguayas/3667/mecanismo-nacional-de-prevencion-contra-la-tortura-y-otros-tratos-o-penas-crueles-e-inhumanos-o-degradan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cnzNpaZh2Tk11RrLnUXGHGlcQ==">AMUW2mXNQ5NQvF9I3NVvBu/b3vFhND2HrZna2Dthvs9AXK0Ehh4vIt5m4zFlyrqpEC3mSPnS2gcGDNRcjMvd/x5xuHxWi+PK+jkZtf17ycO4wz+lobHniVcnDbKcgfGOUlmdMsfZZkQpBGn/qrCllFP7+Q1G3HNqsNnDBJ4MdJtsjAW2Nlk+osnCZKh0tDQ3U37OybrpIQK8fPL5vBleiZpq0ud/s3ZB04Tm/GbiZn4d48XCtBpKqxBWhV7t0jK2CJvntkgkCVKeZtmw/Q6WbGpCXVrWAl3w/rv+1Rm81f0EySkMi+lmo2fxl/a0BS0Hbbd0jHj/AgzCzrblGrKxbugPMbCRrcHzp7QLnKEi6yvZZYv2zx08MhVBpVJJrQtB8GA31PNK49X8zaceVMj2eA7viFnF7nAcdPKDjJE1Zg+ze6tZNV5Vf3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10384</Words>
  <Characters>59189</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dcterms:created xsi:type="dcterms:W3CDTF">2023-04-12T09:07:00Z</dcterms:created>
  <dcterms:modified xsi:type="dcterms:W3CDTF">2023-04-12T09:07:00Z</dcterms:modified>
</cp:coreProperties>
</file>