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B94E0" w14:textId="77777777" w:rsidR="00392978" w:rsidRDefault="00392978">
      <w:pPr>
        <w:spacing w:line="360" w:lineRule="auto"/>
        <w:rPr>
          <w:sz w:val="60"/>
          <w:szCs w:val="60"/>
        </w:rPr>
      </w:pPr>
    </w:p>
    <w:p w14:paraId="124B154B" w14:textId="77777777" w:rsidR="00392978" w:rsidRDefault="00392978">
      <w:pPr>
        <w:spacing w:line="360" w:lineRule="auto"/>
        <w:rPr>
          <w:sz w:val="30"/>
          <w:szCs w:val="30"/>
        </w:rPr>
      </w:pPr>
    </w:p>
    <w:p w14:paraId="657C8F66" w14:textId="77777777" w:rsidR="00392978" w:rsidRDefault="00000000">
      <w:pPr>
        <w:spacing w:line="360" w:lineRule="auto"/>
        <w:rPr>
          <w:sz w:val="60"/>
          <w:szCs w:val="60"/>
        </w:rPr>
      </w:pPr>
      <w:r>
        <w:rPr>
          <w:sz w:val="60"/>
          <w:szCs w:val="60"/>
        </w:rPr>
        <w:t>Submission to the UN Committee on the Elimination of all forms of Discrimination against Women</w:t>
      </w:r>
    </w:p>
    <w:p w14:paraId="76961BE3" w14:textId="77777777" w:rsidR="00392978" w:rsidRDefault="00392978">
      <w:pPr>
        <w:spacing w:line="360" w:lineRule="auto"/>
        <w:rPr>
          <w:sz w:val="54"/>
          <w:szCs w:val="54"/>
        </w:rPr>
      </w:pPr>
    </w:p>
    <w:p w14:paraId="77B8B984" w14:textId="77777777" w:rsidR="00392978" w:rsidRDefault="00000000">
      <w:pPr>
        <w:pStyle w:val="Title"/>
        <w:spacing w:line="360" w:lineRule="auto"/>
        <w:rPr>
          <w:rFonts w:ascii="Arial" w:eastAsia="Arial" w:hAnsi="Arial" w:cs="Arial"/>
          <w:sz w:val="40"/>
          <w:szCs w:val="40"/>
        </w:rPr>
      </w:pPr>
      <w:bookmarkStart w:id="0" w:name="_heading=h.60aeff9uw7p9" w:colFirst="0" w:colLast="0"/>
      <w:bookmarkEnd w:id="0"/>
      <w:r>
        <w:rPr>
          <w:sz w:val="48"/>
          <w:szCs w:val="48"/>
        </w:rPr>
        <w:t>Coalition Shadow Report</w:t>
      </w:r>
    </w:p>
    <w:p w14:paraId="04B1E615" w14:textId="77777777" w:rsidR="00392978" w:rsidRDefault="00000000">
      <w:pPr>
        <w:spacing w:line="360" w:lineRule="auto"/>
        <w:rPr>
          <w:rFonts w:ascii="Arial" w:eastAsia="Arial" w:hAnsi="Arial" w:cs="Arial"/>
          <w:b/>
          <w:sz w:val="40"/>
          <w:szCs w:val="40"/>
        </w:rPr>
      </w:pPr>
      <w:r>
        <w:rPr>
          <w:rFonts w:ascii="Arial" w:eastAsia="Arial" w:hAnsi="Arial" w:cs="Arial"/>
          <w:b/>
          <w:sz w:val="40"/>
          <w:szCs w:val="40"/>
        </w:rPr>
        <w:t>Disabled Women Ireland &amp; Neuro Pride Ireland</w:t>
      </w:r>
    </w:p>
    <w:p w14:paraId="37D4611C" w14:textId="77777777" w:rsidR="00392978" w:rsidRDefault="00000000">
      <w:pPr>
        <w:spacing w:line="360" w:lineRule="auto"/>
        <w:rPr>
          <w:rFonts w:ascii="Arial" w:eastAsia="Arial" w:hAnsi="Arial" w:cs="Arial"/>
          <w:b/>
          <w:sz w:val="12"/>
          <w:szCs w:val="12"/>
        </w:rPr>
      </w:pPr>
      <w:r>
        <w:rPr>
          <w:rFonts w:ascii="Arial" w:eastAsia="Arial" w:hAnsi="Arial" w:cs="Arial"/>
          <w:b/>
          <w:sz w:val="12"/>
          <w:szCs w:val="12"/>
        </w:rPr>
        <w:t xml:space="preserve"> </w:t>
      </w:r>
    </w:p>
    <w:p w14:paraId="699E52D3" w14:textId="77777777" w:rsidR="00392978" w:rsidRDefault="00000000">
      <w:pPr>
        <w:spacing w:line="360" w:lineRule="auto"/>
        <w:rPr>
          <w:rFonts w:ascii="Arial" w:eastAsia="Arial" w:hAnsi="Arial" w:cs="Arial"/>
          <w:b/>
          <w:sz w:val="40"/>
          <w:szCs w:val="40"/>
        </w:rPr>
      </w:pPr>
      <w:r>
        <w:rPr>
          <w:rFonts w:ascii="Arial" w:eastAsia="Arial" w:hAnsi="Arial" w:cs="Arial"/>
          <w:b/>
          <w:sz w:val="40"/>
          <w:szCs w:val="40"/>
        </w:rPr>
        <w:t>May 2025</w:t>
      </w:r>
    </w:p>
    <w:p w14:paraId="79DC58D1" w14:textId="77777777" w:rsidR="00392978" w:rsidRDefault="00392978">
      <w:pPr>
        <w:spacing w:line="360" w:lineRule="auto"/>
        <w:rPr>
          <w:rFonts w:ascii="Arial" w:eastAsia="Arial" w:hAnsi="Arial" w:cs="Arial"/>
          <w:b/>
          <w:sz w:val="34"/>
          <w:szCs w:val="34"/>
        </w:rPr>
      </w:pPr>
    </w:p>
    <w:p w14:paraId="154846E9" w14:textId="77777777" w:rsidR="00392978" w:rsidRDefault="00392978">
      <w:pPr>
        <w:spacing w:line="360" w:lineRule="auto"/>
        <w:rPr>
          <w:rFonts w:ascii="Arial" w:eastAsia="Arial" w:hAnsi="Arial" w:cs="Arial"/>
          <w:sz w:val="2"/>
          <w:szCs w:val="2"/>
        </w:rPr>
      </w:pPr>
    </w:p>
    <w:p w14:paraId="10D50B39" w14:textId="77777777" w:rsidR="00392978" w:rsidRDefault="00000000">
      <w:pPr>
        <w:spacing w:line="360" w:lineRule="auto"/>
        <w:rPr>
          <w:rFonts w:ascii="Arial" w:eastAsia="Arial" w:hAnsi="Arial" w:cs="Arial"/>
          <w:b/>
          <w:sz w:val="36"/>
          <w:szCs w:val="36"/>
        </w:rPr>
      </w:pPr>
      <w:r>
        <w:rPr>
          <w:rFonts w:ascii="Arial" w:eastAsia="Arial" w:hAnsi="Arial" w:cs="Arial"/>
          <w:b/>
          <w:sz w:val="36"/>
          <w:szCs w:val="36"/>
        </w:rPr>
        <w:t>Contact information:</w:t>
      </w:r>
    </w:p>
    <w:p w14:paraId="581C547C" w14:textId="77777777" w:rsidR="00392978" w:rsidRDefault="00000000">
      <w:pPr>
        <w:spacing w:line="360" w:lineRule="auto"/>
        <w:rPr>
          <w:rFonts w:ascii="Arial" w:eastAsia="Arial" w:hAnsi="Arial" w:cs="Arial"/>
          <w:sz w:val="32"/>
          <w:szCs w:val="32"/>
        </w:rPr>
      </w:pPr>
      <w:r>
        <w:rPr>
          <w:rFonts w:ascii="Arial" w:eastAsia="Arial" w:hAnsi="Arial" w:cs="Arial"/>
          <w:b/>
          <w:sz w:val="32"/>
          <w:szCs w:val="32"/>
        </w:rPr>
        <w:t>Email:</w:t>
      </w:r>
      <w:r>
        <w:rPr>
          <w:rFonts w:ascii="Arial" w:eastAsia="Arial" w:hAnsi="Arial" w:cs="Arial"/>
          <w:sz w:val="32"/>
          <w:szCs w:val="32"/>
        </w:rPr>
        <w:t xml:space="preserve"> </w:t>
      </w:r>
      <w:hyperlink r:id="rId8">
        <w:r w:rsidR="00392978">
          <w:rPr>
            <w:rFonts w:ascii="Arial" w:eastAsia="Arial" w:hAnsi="Arial" w:cs="Arial"/>
            <w:color w:val="1155CC"/>
            <w:sz w:val="32"/>
            <w:szCs w:val="32"/>
            <w:u w:val="single"/>
          </w:rPr>
          <w:t>DisabledWomenIreland@gmail.com</w:t>
        </w:r>
      </w:hyperlink>
      <w:r>
        <w:rPr>
          <w:rFonts w:ascii="Arial" w:eastAsia="Arial" w:hAnsi="Arial" w:cs="Arial"/>
          <w:sz w:val="32"/>
          <w:szCs w:val="32"/>
        </w:rPr>
        <w:t xml:space="preserve"> / </w:t>
      </w:r>
      <w:hyperlink r:id="rId9">
        <w:r w:rsidR="00392978">
          <w:rPr>
            <w:rFonts w:ascii="Arial" w:eastAsia="Arial" w:hAnsi="Arial" w:cs="Arial"/>
            <w:color w:val="1155CC"/>
            <w:sz w:val="32"/>
            <w:szCs w:val="32"/>
            <w:u w:val="single"/>
          </w:rPr>
          <w:t>NeuroPrideIreland@gmail.com</w:t>
        </w:r>
      </w:hyperlink>
    </w:p>
    <w:p w14:paraId="51E1FD86" w14:textId="77777777" w:rsidR="00392978" w:rsidRDefault="00000000">
      <w:pPr>
        <w:spacing w:line="360" w:lineRule="auto"/>
        <w:rPr>
          <w:rFonts w:ascii="Arial" w:eastAsia="Arial" w:hAnsi="Arial" w:cs="Arial"/>
          <w:sz w:val="32"/>
          <w:szCs w:val="32"/>
        </w:rPr>
      </w:pPr>
      <w:r>
        <w:rPr>
          <w:rFonts w:ascii="Arial" w:eastAsia="Arial" w:hAnsi="Arial" w:cs="Arial"/>
          <w:b/>
          <w:sz w:val="32"/>
          <w:szCs w:val="32"/>
        </w:rPr>
        <w:t xml:space="preserve">Telephone: </w:t>
      </w:r>
      <w:r>
        <w:rPr>
          <w:rFonts w:ascii="Arial" w:eastAsia="Arial" w:hAnsi="Arial" w:cs="Arial"/>
          <w:sz w:val="32"/>
          <w:szCs w:val="32"/>
        </w:rPr>
        <w:t>+353 86 345 2299</w:t>
      </w:r>
    </w:p>
    <w:p w14:paraId="65C7EDC5" w14:textId="77777777" w:rsidR="00392978" w:rsidRDefault="00392978">
      <w:pPr>
        <w:spacing w:line="360" w:lineRule="auto"/>
        <w:rPr>
          <w:rFonts w:ascii="Arial" w:eastAsia="Arial" w:hAnsi="Arial" w:cs="Arial"/>
          <w:sz w:val="34"/>
          <w:szCs w:val="34"/>
        </w:rPr>
      </w:pPr>
    </w:p>
    <w:p w14:paraId="41F99494" w14:textId="77777777" w:rsidR="00392978" w:rsidRDefault="00000000">
      <w:pPr>
        <w:pStyle w:val="Heading1"/>
        <w:spacing w:after="400" w:line="360" w:lineRule="auto"/>
        <w:jc w:val="left"/>
        <w:rPr>
          <w:rFonts w:ascii="Arial" w:eastAsia="Arial" w:hAnsi="Arial" w:cs="Arial"/>
          <w:color w:val="741B47"/>
          <w:sz w:val="40"/>
          <w:szCs w:val="40"/>
        </w:rPr>
      </w:pPr>
      <w:bookmarkStart w:id="1" w:name="_heading=h.eclh0mgqb0bb" w:colFirst="0" w:colLast="0"/>
      <w:bookmarkEnd w:id="1"/>
      <w:r>
        <w:rPr>
          <w:rFonts w:ascii="Arial" w:eastAsia="Arial" w:hAnsi="Arial" w:cs="Arial"/>
          <w:color w:val="741B47"/>
        </w:rPr>
        <w:lastRenderedPageBreak/>
        <w:t>Introduction</w:t>
      </w:r>
    </w:p>
    <w:p w14:paraId="1EC5CED4" w14:textId="77777777" w:rsidR="00392978" w:rsidRDefault="00000000">
      <w:pPr>
        <w:spacing w:line="360" w:lineRule="auto"/>
        <w:jc w:val="center"/>
        <w:rPr>
          <w:rFonts w:ascii="Arial" w:eastAsia="Arial" w:hAnsi="Arial" w:cs="Arial"/>
          <w:sz w:val="22"/>
          <w:szCs w:val="22"/>
        </w:rPr>
      </w:pPr>
      <w:r>
        <w:rPr>
          <w:rFonts w:ascii="Arial" w:eastAsia="Arial" w:hAnsi="Arial" w:cs="Arial"/>
          <w:b/>
        </w:rPr>
        <w:t>Neuro Pride Ireland (NeuroPride) and Disabled Women Ireland (DWI) welcome this opportunity to outline the lived experiences of disabled women in Ireland from our perspective as Disabled Persons’ Organisations.</w:t>
      </w:r>
      <w:r>
        <w:rPr>
          <w:rFonts w:ascii="Arial" w:eastAsia="Arial" w:hAnsi="Arial" w:cs="Arial"/>
          <w:sz w:val="22"/>
          <w:szCs w:val="22"/>
        </w:rPr>
        <w:t xml:space="preserve"> </w:t>
      </w:r>
    </w:p>
    <w:p w14:paraId="259C656C" w14:textId="77777777" w:rsidR="00392978" w:rsidRDefault="00392978">
      <w:pPr>
        <w:spacing w:line="360" w:lineRule="auto"/>
        <w:rPr>
          <w:rFonts w:ascii="Arial" w:eastAsia="Arial" w:hAnsi="Arial" w:cs="Arial"/>
          <w:sz w:val="22"/>
          <w:szCs w:val="22"/>
        </w:rPr>
      </w:pPr>
    </w:p>
    <w:p w14:paraId="7BEBA1DE" w14:textId="77777777" w:rsidR="00392978" w:rsidRDefault="00000000">
      <w:pPr>
        <w:spacing w:line="360" w:lineRule="auto"/>
        <w:rPr>
          <w:rFonts w:ascii="Arial" w:eastAsia="Arial" w:hAnsi="Arial" w:cs="Arial"/>
          <w:sz w:val="23"/>
          <w:szCs w:val="23"/>
        </w:rPr>
      </w:pPr>
      <w:r>
        <w:rPr>
          <w:rFonts w:ascii="Arial" w:eastAsia="Arial" w:hAnsi="Arial" w:cs="Arial"/>
          <w:b/>
          <w:color w:val="741B47"/>
          <w:sz w:val="23"/>
          <w:szCs w:val="23"/>
        </w:rPr>
        <w:t>DWI</w:t>
      </w:r>
      <w:r>
        <w:rPr>
          <w:rFonts w:ascii="Arial" w:eastAsia="Arial" w:hAnsi="Arial" w:cs="Arial"/>
          <w:sz w:val="23"/>
          <w:szCs w:val="23"/>
        </w:rPr>
        <w:t xml:space="preserve"> is Ireland’s only national Disabled Persons’ Organisation (DPO) representing disabled women, girls, non-binary and gender fluid people. We adopt a broad conceptualisation of disability in line with Article 1 of the UNCRPD. Therefore, our members self-identify as having ‘long-term physical, mental, intellectual or sensory impairments which in interaction with various barriers may hinder their full and effective participation in society on an equal basis with others.’</w:t>
      </w:r>
    </w:p>
    <w:p w14:paraId="19ADC659" w14:textId="77777777" w:rsidR="00392978" w:rsidRDefault="00392978">
      <w:pPr>
        <w:spacing w:line="360" w:lineRule="auto"/>
        <w:rPr>
          <w:rFonts w:ascii="Arial" w:eastAsia="Arial" w:hAnsi="Arial" w:cs="Arial"/>
          <w:sz w:val="23"/>
          <w:szCs w:val="23"/>
        </w:rPr>
      </w:pPr>
    </w:p>
    <w:p w14:paraId="3A9F122F" w14:textId="77777777" w:rsidR="00392978" w:rsidRDefault="00392978">
      <w:pPr>
        <w:spacing w:line="360" w:lineRule="auto"/>
        <w:rPr>
          <w:rFonts w:ascii="Arial" w:eastAsia="Arial" w:hAnsi="Arial" w:cs="Arial"/>
          <w:sz w:val="16"/>
          <w:szCs w:val="16"/>
        </w:rPr>
      </w:pPr>
    </w:p>
    <w:p w14:paraId="0389645A" w14:textId="77777777" w:rsidR="00392978" w:rsidRDefault="00000000">
      <w:pPr>
        <w:spacing w:line="360" w:lineRule="auto"/>
        <w:rPr>
          <w:rFonts w:ascii="Arial" w:eastAsia="Arial" w:hAnsi="Arial" w:cs="Arial"/>
          <w:sz w:val="23"/>
          <w:szCs w:val="23"/>
        </w:rPr>
      </w:pPr>
      <w:r>
        <w:rPr>
          <w:rFonts w:ascii="Arial" w:eastAsia="Arial" w:hAnsi="Arial" w:cs="Arial"/>
          <w:b/>
          <w:color w:val="741B47"/>
          <w:sz w:val="23"/>
          <w:szCs w:val="23"/>
        </w:rPr>
        <w:t>NeuroPride</w:t>
      </w:r>
      <w:r>
        <w:rPr>
          <w:rFonts w:ascii="Arial" w:eastAsia="Arial" w:hAnsi="Arial" w:cs="Arial"/>
          <w:sz w:val="23"/>
          <w:szCs w:val="23"/>
        </w:rPr>
        <w:t xml:space="preserve"> is Ireland’s national DPO advocating on behalf of the cross-Neurodivergent community. Neuro Pride understand that neurodivergency includes a broad range of identities and experiences, and recognise as members anyone whose neurology is not typical to such an extent that it plays a significant role in their day-to-day life and identity. However for the purposes of this submission we will use the term Neurodivergent to refer to experiences such as Autistic, OCD, Dyspraxia, Personality Disorders, ADHD etc. as distinct from intellectual/cognitive impairment or psychosocial disabilities. This is for purposes of clarity in areas where these groups’ experiences diverge and due to lack of cross-Neurodivergency data, but the broader understanding given is the focus of most of our other work.</w:t>
      </w:r>
    </w:p>
    <w:p w14:paraId="48DB8AEA" w14:textId="77777777" w:rsidR="00392978" w:rsidRDefault="00392978">
      <w:pPr>
        <w:spacing w:line="360" w:lineRule="auto"/>
        <w:rPr>
          <w:rFonts w:ascii="Arial" w:eastAsia="Arial" w:hAnsi="Arial" w:cs="Arial"/>
          <w:sz w:val="23"/>
          <w:szCs w:val="23"/>
        </w:rPr>
      </w:pPr>
    </w:p>
    <w:p w14:paraId="296D1205" w14:textId="77777777" w:rsidR="00392978" w:rsidRDefault="00392978">
      <w:pPr>
        <w:spacing w:line="360" w:lineRule="auto"/>
        <w:rPr>
          <w:rFonts w:ascii="Arial" w:eastAsia="Arial" w:hAnsi="Arial" w:cs="Arial"/>
          <w:sz w:val="16"/>
          <w:szCs w:val="16"/>
        </w:rPr>
      </w:pPr>
    </w:p>
    <w:p w14:paraId="58590994" w14:textId="77777777" w:rsidR="00392978" w:rsidRDefault="00000000">
      <w:pPr>
        <w:spacing w:line="360" w:lineRule="auto"/>
        <w:rPr>
          <w:rFonts w:ascii="Arial" w:eastAsia="Arial" w:hAnsi="Arial" w:cs="Arial"/>
          <w:sz w:val="23"/>
          <w:szCs w:val="23"/>
        </w:rPr>
      </w:pPr>
      <w:r>
        <w:rPr>
          <w:rFonts w:ascii="Arial" w:eastAsia="Arial" w:hAnsi="Arial" w:cs="Arial"/>
          <w:sz w:val="23"/>
          <w:szCs w:val="23"/>
        </w:rPr>
        <w:t>This report focuses on three core issues relating to the rights of disabled women</w:t>
      </w:r>
      <w:r>
        <w:rPr>
          <w:rFonts w:ascii="Arial" w:eastAsia="Arial" w:hAnsi="Arial" w:cs="Arial"/>
          <w:b/>
          <w:color w:val="741B47"/>
          <w:sz w:val="23"/>
          <w:szCs w:val="23"/>
          <w:vertAlign w:val="superscript"/>
        </w:rPr>
        <w:footnoteReference w:id="1"/>
      </w:r>
      <w:r>
        <w:rPr>
          <w:rFonts w:ascii="Arial" w:eastAsia="Arial" w:hAnsi="Arial" w:cs="Arial"/>
          <w:sz w:val="23"/>
          <w:szCs w:val="23"/>
        </w:rPr>
        <w:t xml:space="preserve"> - sexual and reproductive health and rights (SRHR) and parenting as a disabled person, gender-based violence, and poverty and social exclusion. These areas, and the content therein, were identified in collaboration with NeuroPride and DWI Steering Group members and following desk-based research. Unfortunately, constraints on funding and other resources limited the extent of our consultation and research.</w:t>
      </w:r>
    </w:p>
    <w:p w14:paraId="6AD162B5" w14:textId="77777777" w:rsidR="00392978" w:rsidRDefault="00392978">
      <w:pPr>
        <w:spacing w:line="360" w:lineRule="auto"/>
        <w:rPr>
          <w:rFonts w:ascii="Arial" w:eastAsia="Arial" w:hAnsi="Arial" w:cs="Arial"/>
          <w:sz w:val="22"/>
          <w:szCs w:val="22"/>
        </w:rPr>
      </w:pPr>
    </w:p>
    <w:p w14:paraId="7DC4A1D3" w14:textId="77777777" w:rsidR="00392978" w:rsidRDefault="00000000">
      <w:pPr>
        <w:spacing w:line="360" w:lineRule="auto"/>
        <w:rPr>
          <w:rFonts w:ascii="Arial" w:eastAsia="Arial" w:hAnsi="Arial" w:cs="Arial"/>
          <w:sz w:val="22"/>
          <w:szCs w:val="22"/>
        </w:rPr>
      </w:pPr>
      <w:r>
        <w:pict w14:anchorId="404039DB">
          <v:rect id="_x0000_i1025" style="width:0;height:1.5pt" o:hralign="center" o:hrstd="t" o:hr="t" fillcolor="#a0a0a0" stroked="f"/>
        </w:pict>
      </w:r>
    </w:p>
    <w:p w14:paraId="7B812764" w14:textId="77777777" w:rsidR="00392978" w:rsidRDefault="00392978">
      <w:pPr>
        <w:spacing w:line="360" w:lineRule="auto"/>
        <w:rPr>
          <w:rFonts w:ascii="Arial" w:eastAsia="Arial" w:hAnsi="Arial" w:cs="Arial"/>
          <w:sz w:val="2"/>
          <w:szCs w:val="2"/>
        </w:rPr>
      </w:pPr>
    </w:p>
    <w:sdt>
      <w:sdtPr>
        <w:id w:val="-2018292365"/>
        <w:docPartObj>
          <w:docPartGallery w:val="Table of Contents"/>
          <w:docPartUnique/>
        </w:docPartObj>
      </w:sdtPr>
      <w:sdtContent>
        <w:p w14:paraId="24D11E64" w14:textId="77777777" w:rsidR="00392978" w:rsidRDefault="00000000">
          <w:pPr>
            <w:widowControl w:val="0"/>
            <w:tabs>
              <w:tab w:val="right" w:pos="9025"/>
            </w:tabs>
            <w:spacing w:before="60" w:after="400"/>
            <w:rPr>
              <w:b/>
            </w:rPr>
          </w:pPr>
          <w:r>
            <w:fldChar w:fldCharType="begin"/>
          </w:r>
          <w:r>
            <w:instrText xml:space="preserve"> TOC \h \u \z \t "Heading 1,1,Heading 2,2,Heading 3,3,Heading 4,4,Heading 5,5,Heading 6,6,"</w:instrText>
          </w:r>
          <w:r>
            <w:fldChar w:fldCharType="separate"/>
          </w:r>
          <w:r>
            <w:rPr>
              <w:rFonts w:ascii="Arial" w:eastAsia="Arial" w:hAnsi="Arial" w:cs="Arial"/>
              <w:b/>
              <w:color w:val="741B47"/>
              <w:sz w:val="36"/>
              <w:szCs w:val="36"/>
            </w:rPr>
            <w:t>Report Structure</w:t>
          </w:r>
          <w:hyperlink w:anchor="_heading=h.eclh0mgqb0bb">
            <w:r w:rsidR="00392978">
              <w:rPr>
                <w:b/>
              </w:rPr>
              <w:tab/>
            </w:r>
          </w:hyperlink>
        </w:p>
        <w:p w14:paraId="0587ADEF" w14:textId="6F217720" w:rsidR="00392978" w:rsidRDefault="00392978">
          <w:pPr>
            <w:widowControl w:val="0"/>
            <w:tabs>
              <w:tab w:val="right" w:pos="9025"/>
            </w:tabs>
            <w:spacing w:before="60"/>
            <w:ind w:left="283"/>
            <w:rPr>
              <w:rFonts w:ascii="Times New Roman" w:eastAsia="Times New Roman" w:hAnsi="Times New Roman" w:cs="Times New Roman"/>
              <w:b/>
              <w:sz w:val="28"/>
              <w:szCs w:val="28"/>
            </w:rPr>
          </w:pPr>
          <w:hyperlink w:anchor="_heading=h.ounhdx5ma80h">
            <w:r>
              <w:rPr>
                <w:rFonts w:ascii="Times New Roman" w:eastAsia="Times New Roman" w:hAnsi="Times New Roman" w:cs="Times New Roman"/>
                <w:b/>
                <w:sz w:val="28"/>
                <w:szCs w:val="28"/>
              </w:rPr>
              <w:t>O</w:t>
            </w:r>
          </w:hyperlink>
          <w:hyperlink w:anchor="_heading=h.dp1ftniwxojq">
            <w:r>
              <w:rPr>
                <w:rFonts w:ascii="Times New Roman" w:eastAsia="Times New Roman" w:hAnsi="Times New Roman" w:cs="Times New Roman"/>
                <w:b/>
                <w:sz w:val="28"/>
                <w:szCs w:val="28"/>
              </w:rPr>
              <w:t>verarching issues</w:t>
            </w:r>
          </w:hyperlink>
          <w:hyperlink w:anchor="_heading=h.dp1ftniwxojq">
            <w:r>
              <w:rPr>
                <w:rFonts w:ascii="Times New Roman" w:eastAsia="Times New Roman" w:hAnsi="Times New Roman" w:cs="Times New Roman"/>
                <w:sz w:val="28"/>
                <w:szCs w:val="28"/>
              </w:rPr>
              <w:tab/>
            </w:r>
          </w:hyperlink>
          <w:r w:rsidR="00000000">
            <w:fldChar w:fldCharType="begin"/>
          </w:r>
          <w:r w:rsidR="00000000">
            <w:instrText xml:space="preserve"> PAGEREF _heading=h.dp1ftniwxojq \h </w:instrText>
          </w:r>
          <w:r w:rsidR="00000000">
            <w:fldChar w:fldCharType="separate"/>
          </w:r>
          <w:r w:rsidR="00BD698D">
            <w:rPr>
              <w:noProof/>
            </w:rPr>
            <w:t>2</w:t>
          </w:r>
          <w:r w:rsidR="00000000">
            <w:fldChar w:fldCharType="end"/>
          </w:r>
        </w:p>
        <w:p w14:paraId="412867DD" w14:textId="52E6F059" w:rsidR="00392978" w:rsidRDefault="00392978">
          <w:pPr>
            <w:widowControl w:val="0"/>
            <w:tabs>
              <w:tab w:val="right" w:pos="9025"/>
            </w:tabs>
            <w:spacing w:before="60"/>
            <w:ind w:left="720"/>
            <w:rPr>
              <w:rFonts w:ascii="Times New Roman" w:eastAsia="Times New Roman" w:hAnsi="Times New Roman" w:cs="Times New Roman"/>
              <w:color w:val="741B47"/>
              <w:sz w:val="28"/>
              <w:szCs w:val="28"/>
            </w:rPr>
          </w:pPr>
          <w:hyperlink w:anchor="_heading=h.c5np1bkd447s">
            <w:r>
              <w:rPr>
                <w:rFonts w:ascii="Times New Roman" w:eastAsia="Times New Roman" w:hAnsi="Times New Roman" w:cs="Times New Roman"/>
                <w:i/>
                <w:color w:val="741B47"/>
                <w:sz w:val="28"/>
                <w:szCs w:val="28"/>
              </w:rPr>
              <w:t>Recommendations:</w:t>
            </w:r>
          </w:hyperlink>
          <w:hyperlink w:anchor="_heading=h.c5np1bkd447s">
            <w:r>
              <w:rPr>
                <w:rFonts w:ascii="Times New Roman" w:eastAsia="Times New Roman" w:hAnsi="Times New Roman" w:cs="Times New Roman"/>
                <w:sz w:val="28"/>
                <w:szCs w:val="28"/>
              </w:rPr>
              <w:tab/>
            </w:r>
          </w:hyperlink>
          <w:r w:rsidR="00000000">
            <w:fldChar w:fldCharType="begin"/>
          </w:r>
          <w:r w:rsidR="00000000">
            <w:instrText xml:space="preserve"> PAGEREF _heading=h.c5np1bkd447s \h </w:instrText>
          </w:r>
          <w:r w:rsidR="00000000">
            <w:fldChar w:fldCharType="separate"/>
          </w:r>
          <w:r w:rsidR="00BD698D">
            <w:rPr>
              <w:noProof/>
            </w:rPr>
            <w:t>4</w:t>
          </w:r>
          <w:r w:rsidR="00000000">
            <w:fldChar w:fldCharType="end"/>
          </w:r>
        </w:p>
        <w:p w14:paraId="46257269" w14:textId="7CBACF58" w:rsidR="00392978" w:rsidRDefault="00392978">
          <w:pPr>
            <w:widowControl w:val="0"/>
            <w:tabs>
              <w:tab w:val="right" w:pos="9025"/>
            </w:tabs>
            <w:spacing w:before="60"/>
            <w:ind w:left="360"/>
            <w:rPr>
              <w:rFonts w:ascii="Times New Roman" w:eastAsia="Times New Roman" w:hAnsi="Times New Roman" w:cs="Times New Roman"/>
              <w:b/>
              <w:sz w:val="28"/>
              <w:szCs w:val="28"/>
            </w:rPr>
          </w:pPr>
          <w:hyperlink w:anchor="_heading=h.gtmkxdiy7wgd">
            <w:r>
              <w:rPr>
                <w:rFonts w:ascii="Times New Roman" w:eastAsia="Times New Roman" w:hAnsi="Times New Roman" w:cs="Times New Roman"/>
                <w:b/>
                <w:sz w:val="28"/>
                <w:szCs w:val="28"/>
              </w:rPr>
              <w:t>Parenting</w:t>
            </w:r>
          </w:hyperlink>
          <w:hyperlink w:anchor="_heading=h.gtmkxdiy7wgd">
            <w:r>
              <w:rPr>
                <w:rFonts w:ascii="Times New Roman" w:eastAsia="Times New Roman" w:hAnsi="Times New Roman" w:cs="Times New Roman"/>
                <w:sz w:val="28"/>
                <w:szCs w:val="28"/>
              </w:rPr>
              <w:tab/>
            </w:r>
          </w:hyperlink>
          <w:r w:rsidR="00000000">
            <w:fldChar w:fldCharType="begin"/>
          </w:r>
          <w:r w:rsidR="00000000">
            <w:instrText xml:space="preserve"> PAGEREF _heading=h.gtmkxdiy7wgd \h </w:instrText>
          </w:r>
          <w:r w:rsidR="00000000">
            <w:fldChar w:fldCharType="separate"/>
          </w:r>
          <w:r w:rsidR="00BD698D">
            <w:rPr>
              <w:noProof/>
            </w:rPr>
            <w:t>5</w:t>
          </w:r>
          <w:r w:rsidR="00000000">
            <w:fldChar w:fldCharType="end"/>
          </w:r>
          <w:r w:rsidR="00000000">
            <w:rPr>
              <w:rFonts w:ascii="Times New Roman" w:eastAsia="Times New Roman" w:hAnsi="Times New Roman" w:cs="Times New Roman"/>
              <w:b/>
              <w:sz w:val="28"/>
              <w:szCs w:val="28"/>
            </w:rPr>
            <w:t>-9</w:t>
          </w:r>
        </w:p>
        <w:p w14:paraId="25A2F9EB" w14:textId="1F92BF27" w:rsidR="00392978" w:rsidRDefault="00392978">
          <w:pPr>
            <w:widowControl w:val="0"/>
            <w:tabs>
              <w:tab w:val="right" w:pos="9025"/>
            </w:tabs>
            <w:spacing w:before="60"/>
            <w:ind w:left="360"/>
            <w:rPr>
              <w:rFonts w:ascii="Times New Roman" w:eastAsia="Times New Roman" w:hAnsi="Times New Roman" w:cs="Times New Roman"/>
              <w:b/>
              <w:sz w:val="28"/>
              <w:szCs w:val="28"/>
            </w:rPr>
          </w:pPr>
          <w:hyperlink w:anchor="_heading=h.gtmkxdiy7wgd">
            <w:r>
              <w:rPr>
                <w:rFonts w:ascii="Times New Roman" w:eastAsia="Times New Roman" w:hAnsi="Times New Roman" w:cs="Times New Roman"/>
                <w:b/>
                <w:sz w:val="28"/>
                <w:szCs w:val="28"/>
              </w:rPr>
              <w:t>Healthcare and SRHR</w:t>
            </w:r>
          </w:hyperlink>
          <w:r w:rsidR="00000000">
            <w:t xml:space="preserve"> </w:t>
          </w:r>
          <w:r w:rsidR="00000000">
            <w:rPr>
              <w:rFonts w:ascii="Times New Roman" w:eastAsia="Times New Roman" w:hAnsi="Times New Roman" w:cs="Times New Roman"/>
              <w:b/>
              <w:color w:val="741B47"/>
              <w:sz w:val="22"/>
              <w:szCs w:val="22"/>
            </w:rPr>
            <w:t>(Articles 12 &amp; 16)</w:t>
          </w:r>
          <w:hyperlink w:anchor="_heading=h.nb9tvdbsk3ei">
            <w:r>
              <w:rPr>
                <w:rFonts w:ascii="Times New Roman" w:eastAsia="Times New Roman" w:hAnsi="Times New Roman" w:cs="Times New Roman"/>
                <w:sz w:val="28"/>
                <w:szCs w:val="28"/>
              </w:rPr>
              <w:tab/>
            </w:r>
          </w:hyperlink>
          <w:r w:rsidR="00000000">
            <w:fldChar w:fldCharType="begin"/>
          </w:r>
          <w:r w:rsidR="00000000">
            <w:instrText xml:space="preserve"> PAGEREF _heading=h.nb9tvdbsk3ei \h </w:instrText>
          </w:r>
          <w:r w:rsidR="00000000">
            <w:fldChar w:fldCharType="separate"/>
          </w:r>
          <w:r w:rsidR="00BD698D">
            <w:rPr>
              <w:noProof/>
            </w:rPr>
            <w:t>10</w:t>
          </w:r>
          <w:r w:rsidR="00000000">
            <w:fldChar w:fldCharType="end"/>
          </w:r>
          <w:r w:rsidR="00000000">
            <w:rPr>
              <w:rFonts w:ascii="Times New Roman" w:eastAsia="Times New Roman" w:hAnsi="Times New Roman" w:cs="Times New Roman"/>
              <w:b/>
              <w:sz w:val="28"/>
              <w:szCs w:val="28"/>
            </w:rPr>
            <w:t>-12</w:t>
          </w:r>
        </w:p>
        <w:p w14:paraId="785A62B1" w14:textId="587EEAE8" w:rsidR="00392978" w:rsidRDefault="00392978">
          <w:pPr>
            <w:widowControl w:val="0"/>
            <w:tabs>
              <w:tab w:val="right" w:pos="9025"/>
            </w:tabs>
            <w:spacing w:before="60"/>
            <w:ind w:left="720"/>
            <w:rPr>
              <w:rFonts w:ascii="Times New Roman" w:eastAsia="Times New Roman" w:hAnsi="Times New Roman" w:cs="Times New Roman"/>
              <w:color w:val="741B47"/>
              <w:sz w:val="28"/>
              <w:szCs w:val="28"/>
            </w:rPr>
          </w:pPr>
          <w:hyperlink w:anchor="_heading=h.m3z7jaomrjmz">
            <w:r>
              <w:rPr>
                <w:rFonts w:ascii="Times New Roman" w:eastAsia="Times New Roman" w:hAnsi="Times New Roman" w:cs="Times New Roman"/>
                <w:i/>
                <w:color w:val="741B47"/>
                <w:sz w:val="28"/>
                <w:szCs w:val="28"/>
              </w:rPr>
              <w:t>Recommendations:</w:t>
            </w:r>
          </w:hyperlink>
          <w:hyperlink w:anchor="_heading=h.m3z7jaomrjmz">
            <w:r>
              <w:rPr>
                <w:rFonts w:ascii="Times New Roman" w:eastAsia="Times New Roman" w:hAnsi="Times New Roman" w:cs="Times New Roman"/>
                <w:sz w:val="28"/>
                <w:szCs w:val="28"/>
              </w:rPr>
              <w:tab/>
            </w:r>
          </w:hyperlink>
          <w:r w:rsidR="00000000">
            <w:fldChar w:fldCharType="begin"/>
          </w:r>
          <w:r w:rsidR="00000000">
            <w:instrText xml:space="preserve"> PAGEREF _heading=h.m3z7jaomrjmz \h </w:instrText>
          </w:r>
          <w:r w:rsidR="00000000">
            <w:fldChar w:fldCharType="separate"/>
          </w:r>
          <w:r w:rsidR="00BD698D">
            <w:rPr>
              <w:noProof/>
            </w:rPr>
            <w:t>13</w:t>
          </w:r>
          <w:r w:rsidR="00000000">
            <w:fldChar w:fldCharType="end"/>
          </w:r>
        </w:p>
        <w:p w14:paraId="3E891497" w14:textId="77777777" w:rsidR="00392978" w:rsidRDefault="00392978">
          <w:pPr>
            <w:widowControl w:val="0"/>
            <w:tabs>
              <w:tab w:val="right" w:pos="9025"/>
            </w:tabs>
            <w:spacing w:before="60"/>
            <w:ind w:left="360"/>
            <w:rPr>
              <w:rFonts w:ascii="Times New Roman" w:eastAsia="Times New Roman" w:hAnsi="Times New Roman" w:cs="Times New Roman"/>
              <w:b/>
              <w:sz w:val="28"/>
              <w:szCs w:val="28"/>
            </w:rPr>
          </w:pPr>
          <w:hyperlink w:anchor="_heading=h.xi4ruh4ojl3d">
            <w:r>
              <w:rPr>
                <w:rFonts w:ascii="Times New Roman" w:eastAsia="Times New Roman" w:hAnsi="Times New Roman" w:cs="Times New Roman"/>
                <w:b/>
                <w:sz w:val="28"/>
                <w:szCs w:val="28"/>
              </w:rPr>
              <w:t xml:space="preserve">Domestic, Sexual and Gender-Based Violence </w:t>
            </w:r>
          </w:hyperlink>
          <w:r w:rsidR="00000000">
            <w:rPr>
              <w:rFonts w:ascii="Times New Roman" w:eastAsia="Times New Roman" w:hAnsi="Times New Roman" w:cs="Times New Roman"/>
              <w:b/>
              <w:color w:val="741B47"/>
              <w:sz w:val="22"/>
              <w:szCs w:val="22"/>
            </w:rPr>
            <w:t>(GC 35)</w:t>
          </w:r>
          <w:hyperlink w:anchor="_heading=h.xi4ruh4ojl3d">
            <w:r>
              <w:rPr>
                <w:rFonts w:ascii="Times New Roman" w:eastAsia="Times New Roman" w:hAnsi="Times New Roman" w:cs="Times New Roman"/>
                <w:sz w:val="28"/>
                <w:szCs w:val="28"/>
              </w:rPr>
              <w:tab/>
            </w:r>
          </w:hyperlink>
          <w:r w:rsidR="00000000">
            <w:rPr>
              <w:rFonts w:ascii="Times New Roman" w:eastAsia="Times New Roman" w:hAnsi="Times New Roman" w:cs="Times New Roman"/>
              <w:b/>
              <w:sz w:val="28"/>
              <w:szCs w:val="28"/>
            </w:rPr>
            <w:t>15-17</w:t>
          </w:r>
        </w:p>
        <w:p w14:paraId="2BE7BB19" w14:textId="54615298" w:rsidR="00392978" w:rsidRDefault="00392978">
          <w:pPr>
            <w:widowControl w:val="0"/>
            <w:tabs>
              <w:tab w:val="right" w:pos="9025"/>
            </w:tabs>
            <w:spacing w:before="60"/>
            <w:ind w:left="708"/>
            <w:rPr>
              <w:rFonts w:ascii="Times New Roman" w:eastAsia="Times New Roman" w:hAnsi="Times New Roman" w:cs="Times New Roman"/>
              <w:color w:val="741B47"/>
              <w:sz w:val="28"/>
              <w:szCs w:val="28"/>
            </w:rPr>
          </w:pPr>
          <w:hyperlink w:anchor="_heading=h.m3z7jaomrjmz">
            <w:r>
              <w:rPr>
                <w:rFonts w:ascii="Times New Roman" w:eastAsia="Times New Roman" w:hAnsi="Times New Roman" w:cs="Times New Roman"/>
                <w:i/>
                <w:color w:val="741B47"/>
                <w:sz w:val="28"/>
                <w:szCs w:val="28"/>
              </w:rPr>
              <w:t>Recommendations:</w:t>
            </w:r>
          </w:hyperlink>
          <w:hyperlink w:anchor="_heading=h.nb9tvdbsk3ei">
            <w:r>
              <w:rPr>
                <w:rFonts w:ascii="Times New Roman" w:eastAsia="Times New Roman" w:hAnsi="Times New Roman" w:cs="Times New Roman"/>
                <w:sz w:val="28"/>
                <w:szCs w:val="28"/>
              </w:rPr>
              <w:tab/>
            </w:r>
          </w:hyperlink>
          <w:r w:rsidR="00000000">
            <w:fldChar w:fldCharType="begin"/>
          </w:r>
          <w:r w:rsidR="00000000">
            <w:instrText xml:space="preserve"> PAGEREF _heading=h.nb9tvdbsk3ei \h </w:instrText>
          </w:r>
          <w:r w:rsidR="00000000">
            <w:fldChar w:fldCharType="separate"/>
          </w:r>
          <w:r w:rsidR="00BD698D">
            <w:rPr>
              <w:noProof/>
            </w:rPr>
            <w:t>10</w:t>
          </w:r>
          <w:r w:rsidR="00000000">
            <w:fldChar w:fldCharType="end"/>
          </w:r>
          <w:r w:rsidR="00000000">
            <w:rPr>
              <w:rFonts w:ascii="Times New Roman" w:eastAsia="Times New Roman" w:hAnsi="Times New Roman" w:cs="Times New Roman"/>
              <w:color w:val="741B47"/>
              <w:sz w:val="28"/>
              <w:szCs w:val="28"/>
            </w:rPr>
            <w:t>8</w:t>
          </w:r>
        </w:p>
        <w:p w14:paraId="74018A8A" w14:textId="07B79D30" w:rsidR="00392978" w:rsidRDefault="00392978">
          <w:pPr>
            <w:widowControl w:val="0"/>
            <w:tabs>
              <w:tab w:val="right" w:pos="9025"/>
            </w:tabs>
            <w:spacing w:before="60"/>
            <w:ind w:left="360"/>
            <w:rPr>
              <w:rFonts w:ascii="Times New Roman" w:eastAsia="Times New Roman" w:hAnsi="Times New Roman" w:cs="Times New Roman"/>
              <w:b/>
              <w:sz w:val="28"/>
              <w:szCs w:val="28"/>
            </w:rPr>
          </w:pPr>
          <w:hyperlink w:anchor="_heading=h.cgdp1cfxwwku">
            <w:r>
              <w:rPr>
                <w:rFonts w:ascii="Times New Roman" w:eastAsia="Times New Roman" w:hAnsi="Times New Roman" w:cs="Times New Roman"/>
                <w:b/>
                <w:sz w:val="28"/>
                <w:szCs w:val="28"/>
              </w:rPr>
              <w:t xml:space="preserve">Poverty and Social Exclusion </w:t>
            </w:r>
          </w:hyperlink>
          <w:r w:rsidR="00000000">
            <w:rPr>
              <w:rFonts w:ascii="Times New Roman" w:eastAsia="Times New Roman" w:hAnsi="Times New Roman" w:cs="Times New Roman"/>
              <w:b/>
              <w:color w:val="741B47"/>
              <w:sz w:val="22"/>
              <w:szCs w:val="22"/>
            </w:rPr>
            <w:t>(Article 11)</w:t>
          </w:r>
          <w:hyperlink w:anchor="_heading=h.cgdp1cfxwwku">
            <w:r>
              <w:rPr>
                <w:rFonts w:ascii="Times New Roman" w:eastAsia="Times New Roman" w:hAnsi="Times New Roman" w:cs="Times New Roman"/>
                <w:sz w:val="28"/>
                <w:szCs w:val="28"/>
              </w:rPr>
              <w:tab/>
            </w:r>
          </w:hyperlink>
          <w:r w:rsidR="00000000">
            <w:fldChar w:fldCharType="begin"/>
          </w:r>
          <w:r w:rsidR="00000000">
            <w:instrText xml:space="preserve"> PAGEREF _heading=h.cgdp1cfxwwku \h </w:instrText>
          </w:r>
          <w:r w:rsidR="00000000">
            <w:fldChar w:fldCharType="separate"/>
          </w:r>
          <w:r w:rsidR="00BD698D">
            <w:rPr>
              <w:noProof/>
            </w:rPr>
            <w:t>19</w:t>
          </w:r>
          <w:r w:rsidR="00000000">
            <w:fldChar w:fldCharType="end"/>
          </w:r>
          <w:r w:rsidR="00000000">
            <w:rPr>
              <w:rFonts w:ascii="Times New Roman" w:eastAsia="Times New Roman" w:hAnsi="Times New Roman" w:cs="Times New Roman"/>
              <w:b/>
              <w:sz w:val="28"/>
              <w:szCs w:val="28"/>
            </w:rPr>
            <w:t>-22</w:t>
          </w:r>
        </w:p>
        <w:p w14:paraId="7A2CD5E0" w14:textId="2566666A" w:rsidR="00392978" w:rsidRDefault="00392978">
          <w:pPr>
            <w:widowControl w:val="0"/>
            <w:tabs>
              <w:tab w:val="right" w:pos="9025"/>
            </w:tabs>
            <w:spacing w:before="60"/>
            <w:ind w:left="708"/>
            <w:rPr>
              <w:rFonts w:ascii="Times New Roman" w:eastAsia="Times New Roman" w:hAnsi="Times New Roman" w:cs="Times New Roman"/>
              <w:color w:val="741B47"/>
              <w:sz w:val="28"/>
              <w:szCs w:val="28"/>
            </w:rPr>
          </w:pPr>
          <w:hyperlink w:anchor="_heading=h.81bxvjusr9zx">
            <w:r>
              <w:rPr>
                <w:rFonts w:ascii="Times New Roman" w:eastAsia="Times New Roman" w:hAnsi="Times New Roman" w:cs="Times New Roman"/>
                <w:i/>
                <w:color w:val="741B47"/>
                <w:sz w:val="28"/>
                <w:szCs w:val="28"/>
              </w:rPr>
              <w:t>Recommendations:</w:t>
            </w:r>
          </w:hyperlink>
          <w:hyperlink w:anchor="_heading=h.81bxvjusr9zx">
            <w:r>
              <w:rPr>
                <w:rFonts w:ascii="Times New Roman" w:eastAsia="Times New Roman" w:hAnsi="Times New Roman" w:cs="Times New Roman"/>
                <w:sz w:val="28"/>
                <w:szCs w:val="28"/>
              </w:rPr>
              <w:tab/>
            </w:r>
          </w:hyperlink>
          <w:r w:rsidR="00000000">
            <w:fldChar w:fldCharType="begin"/>
          </w:r>
          <w:r w:rsidR="00000000">
            <w:instrText xml:space="preserve"> PAGEREF _heading=h.81bxvjusr9zx \h </w:instrText>
          </w:r>
          <w:r w:rsidR="00000000">
            <w:fldChar w:fldCharType="separate"/>
          </w:r>
          <w:r w:rsidR="00BD698D">
            <w:rPr>
              <w:noProof/>
            </w:rPr>
            <w:t>23</w:t>
          </w:r>
          <w:r w:rsidR="00000000">
            <w:fldChar w:fldCharType="end"/>
          </w:r>
          <w:r w:rsidR="00000000">
            <w:rPr>
              <w:rFonts w:ascii="Times New Roman" w:eastAsia="Times New Roman" w:hAnsi="Times New Roman" w:cs="Times New Roman"/>
              <w:color w:val="741B47"/>
              <w:sz w:val="28"/>
              <w:szCs w:val="28"/>
            </w:rPr>
            <w:t>3</w:t>
          </w:r>
          <w:r w:rsidR="00000000">
            <w:fldChar w:fldCharType="end"/>
          </w:r>
        </w:p>
      </w:sdtContent>
    </w:sdt>
    <w:p w14:paraId="2515FB6C" w14:textId="77777777" w:rsidR="00392978" w:rsidRDefault="00000000">
      <w:pPr>
        <w:pStyle w:val="Heading1"/>
        <w:spacing w:line="360" w:lineRule="auto"/>
        <w:jc w:val="left"/>
        <w:rPr>
          <w:rFonts w:ascii="Arial" w:eastAsia="Arial" w:hAnsi="Arial" w:cs="Arial"/>
          <w:color w:val="741B47"/>
        </w:rPr>
      </w:pPr>
      <w:bookmarkStart w:id="2" w:name="_heading=h.yfuodm6x0xf" w:colFirst="0" w:colLast="0"/>
      <w:bookmarkEnd w:id="2"/>
      <w:r>
        <w:rPr>
          <w:rFonts w:ascii="Arial" w:eastAsia="Arial" w:hAnsi="Arial" w:cs="Arial"/>
          <w:color w:val="741B47"/>
        </w:rPr>
        <w:t>__________________________________________________</w:t>
      </w:r>
    </w:p>
    <w:p w14:paraId="5D0AF60B" w14:textId="77777777" w:rsidR="00392978" w:rsidRDefault="00000000">
      <w:pPr>
        <w:pStyle w:val="Heading1"/>
        <w:spacing w:line="360" w:lineRule="auto"/>
        <w:jc w:val="left"/>
        <w:rPr>
          <w:rFonts w:ascii="Arial" w:eastAsia="Arial" w:hAnsi="Arial" w:cs="Arial"/>
          <w:color w:val="741B47"/>
        </w:rPr>
      </w:pPr>
      <w:bookmarkStart w:id="3" w:name="_heading=h.i9sia72dmre2" w:colFirst="0" w:colLast="0"/>
      <w:bookmarkStart w:id="4" w:name="_heading=h.ounhdx5ma80h" w:colFirst="0" w:colLast="0"/>
      <w:bookmarkEnd w:id="3"/>
      <w:bookmarkEnd w:id="4"/>
      <w:r>
        <w:rPr>
          <w:rFonts w:ascii="Arial" w:eastAsia="Arial" w:hAnsi="Arial" w:cs="Arial"/>
          <w:color w:val="741B47"/>
        </w:rPr>
        <w:t>Overview of the situation for disabled women in Ireland</w:t>
      </w:r>
    </w:p>
    <w:p w14:paraId="088DFA50"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As of Census 2022, there are 1,109,557 disabled people living in Ireland, representing 22% of the population.</w:t>
      </w:r>
      <w:r>
        <w:rPr>
          <w:rFonts w:ascii="Arial" w:eastAsia="Arial" w:hAnsi="Arial" w:cs="Arial"/>
          <w:b/>
          <w:color w:val="741B47"/>
          <w:sz w:val="22"/>
          <w:szCs w:val="22"/>
          <w:vertAlign w:val="superscript"/>
        </w:rPr>
        <w:footnoteReference w:id="2"/>
      </w:r>
      <w:r>
        <w:rPr>
          <w:rFonts w:ascii="Arial" w:eastAsia="Arial" w:hAnsi="Arial" w:cs="Arial"/>
          <w:sz w:val="22"/>
          <w:szCs w:val="22"/>
        </w:rPr>
        <w:t xml:space="preserve"> Women in Ireland were also more likely to be disabled than men,</w:t>
      </w:r>
      <w:r>
        <w:rPr>
          <w:rFonts w:ascii="Arial" w:eastAsia="Arial" w:hAnsi="Arial" w:cs="Arial"/>
          <w:b/>
          <w:color w:val="741B47"/>
          <w:sz w:val="22"/>
          <w:szCs w:val="22"/>
          <w:vertAlign w:val="superscript"/>
        </w:rPr>
        <w:footnoteReference w:id="3"/>
      </w:r>
      <w:r>
        <w:rPr>
          <w:rFonts w:ascii="Arial" w:eastAsia="Arial" w:hAnsi="Arial" w:cs="Arial"/>
          <w:sz w:val="22"/>
          <w:szCs w:val="22"/>
        </w:rPr>
        <w:t xml:space="preserve"> representing 52% of all disabled people.</w:t>
      </w:r>
    </w:p>
    <w:p w14:paraId="49C87B45" w14:textId="77777777" w:rsidR="00392978" w:rsidRDefault="00392978">
      <w:pPr>
        <w:spacing w:line="360" w:lineRule="auto"/>
        <w:rPr>
          <w:rFonts w:ascii="Arial" w:eastAsia="Arial" w:hAnsi="Arial" w:cs="Arial"/>
          <w:sz w:val="22"/>
          <w:szCs w:val="22"/>
        </w:rPr>
      </w:pPr>
    </w:p>
    <w:p w14:paraId="2B2DE65A"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Ireland has obligations to women with disabilities under both the UN Convention on the Elimination of Discrimination Against Women and the UN Convention on the Rights of Persons with Disabilities. Despite the ratification of both treaties, disabled women continue to face discrimination and barriers to their full participation in society as a result of these intersecting identities both as disabled people and as women. </w:t>
      </w:r>
    </w:p>
    <w:p w14:paraId="1AEACDD5" w14:textId="77777777" w:rsidR="00392978" w:rsidRDefault="00392978">
      <w:pPr>
        <w:spacing w:line="360" w:lineRule="auto"/>
        <w:rPr>
          <w:rFonts w:ascii="Arial" w:eastAsia="Arial" w:hAnsi="Arial" w:cs="Arial"/>
        </w:rPr>
      </w:pPr>
    </w:p>
    <w:p w14:paraId="3CE734A1" w14:textId="77777777" w:rsidR="00392978" w:rsidRDefault="00392978">
      <w:pPr>
        <w:spacing w:line="360" w:lineRule="auto"/>
        <w:rPr>
          <w:rFonts w:ascii="Arial" w:eastAsia="Arial" w:hAnsi="Arial" w:cs="Arial"/>
        </w:rPr>
      </w:pPr>
    </w:p>
    <w:p w14:paraId="0CDACC93" w14:textId="77777777" w:rsidR="00392978" w:rsidRDefault="00000000">
      <w:pPr>
        <w:pStyle w:val="Heading2"/>
        <w:spacing w:line="360" w:lineRule="auto"/>
        <w:rPr>
          <w:rFonts w:ascii="Arial" w:eastAsia="Arial" w:hAnsi="Arial" w:cs="Arial"/>
          <w:sz w:val="26"/>
        </w:rPr>
      </w:pPr>
      <w:bookmarkStart w:id="5" w:name="_heading=h.dp1ftniwxojq" w:colFirst="0" w:colLast="0"/>
      <w:bookmarkEnd w:id="5"/>
      <w:r>
        <w:rPr>
          <w:rFonts w:ascii="Arial" w:eastAsia="Arial" w:hAnsi="Arial" w:cs="Arial"/>
          <w:sz w:val="26"/>
        </w:rPr>
        <w:t xml:space="preserve">Overarching issues </w:t>
      </w:r>
    </w:p>
    <w:p w14:paraId="40E6CCD7" w14:textId="77777777" w:rsidR="00392978" w:rsidRDefault="00000000">
      <w:pPr>
        <w:pStyle w:val="Heading3"/>
        <w:spacing w:line="360" w:lineRule="auto"/>
        <w:rPr>
          <w:rFonts w:ascii="Arial" w:eastAsia="Arial" w:hAnsi="Arial" w:cs="Arial"/>
          <w:b/>
          <w:color w:val="741B47"/>
          <w:sz w:val="22"/>
          <w:szCs w:val="22"/>
        </w:rPr>
      </w:pPr>
      <w:bookmarkStart w:id="6" w:name="_heading=h.67o1wxl03dil" w:colFirst="0" w:colLast="0"/>
      <w:bookmarkEnd w:id="6"/>
      <w:r>
        <w:rPr>
          <w:rFonts w:ascii="Arial" w:eastAsia="Arial" w:hAnsi="Arial" w:cs="Arial"/>
          <w:b/>
          <w:color w:val="741B47"/>
          <w:sz w:val="22"/>
          <w:szCs w:val="22"/>
        </w:rPr>
        <w:t>Data collection</w:t>
      </w:r>
    </w:p>
    <w:p w14:paraId="714D18BD"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In previous Concluding Observations, the Committee noted their concern with </w:t>
      </w:r>
      <w:r>
        <w:rPr>
          <w:rFonts w:ascii="Arial" w:eastAsia="Arial" w:hAnsi="Arial" w:cs="Arial"/>
          <w:i/>
          <w:sz w:val="22"/>
          <w:szCs w:val="22"/>
        </w:rPr>
        <w:t>‘reports of the lack of data disaggregated by sex, gender, ethnicity, disability and age</w:t>
      </w:r>
      <w:r>
        <w:rPr>
          <w:rFonts w:ascii="Arial" w:eastAsia="Arial" w:hAnsi="Arial" w:cs="Arial"/>
          <w:sz w:val="22"/>
          <w:szCs w:val="22"/>
        </w:rPr>
        <w:t xml:space="preserve">’, and recommended </w:t>
      </w:r>
      <w:r>
        <w:rPr>
          <w:rFonts w:ascii="Arial" w:eastAsia="Arial" w:hAnsi="Arial" w:cs="Arial"/>
          <w:sz w:val="22"/>
          <w:szCs w:val="22"/>
        </w:rPr>
        <w:lastRenderedPageBreak/>
        <w:t>that the State take measures to collect such data.</w:t>
      </w:r>
      <w:r>
        <w:rPr>
          <w:rFonts w:ascii="Arial" w:eastAsia="Arial" w:hAnsi="Arial" w:cs="Arial"/>
          <w:b/>
          <w:color w:val="741B47"/>
          <w:sz w:val="22"/>
          <w:szCs w:val="22"/>
          <w:vertAlign w:val="superscript"/>
        </w:rPr>
        <w:footnoteReference w:id="4"/>
      </w:r>
      <w:r>
        <w:rPr>
          <w:rFonts w:ascii="Arial" w:eastAsia="Arial" w:hAnsi="Arial" w:cs="Arial"/>
          <w:sz w:val="22"/>
          <w:szCs w:val="22"/>
        </w:rPr>
        <w:t xml:space="preserve"> Regrettably, we believe little has changed in the intervening years. The extent to which challenging the discrimination experienced by women in Ireland is hampered by this lack of disaggregated data cannot be overstated. </w:t>
      </w:r>
    </w:p>
    <w:p w14:paraId="35BAF330" w14:textId="77777777" w:rsidR="00392978" w:rsidRDefault="00392978">
      <w:pPr>
        <w:spacing w:line="360" w:lineRule="auto"/>
        <w:rPr>
          <w:rFonts w:ascii="Arial" w:eastAsia="Arial" w:hAnsi="Arial" w:cs="Arial"/>
          <w:sz w:val="22"/>
          <w:szCs w:val="22"/>
        </w:rPr>
      </w:pPr>
    </w:p>
    <w:p w14:paraId="60103AE6"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As a result of this, the intersecting forms of discrimination experienced by disabled women continues to go unrecognised in policies and legislation. Disability law and policy often focuses on the needs of disabled people as a whole and tends to not recognise the specific forms of discrimination and barriers experienced by disabled women, while policy relating to gender equality does not consider the unique perspectives and experiences of disabled women. For example, while the </w:t>
      </w:r>
      <w:r>
        <w:rPr>
          <w:rFonts w:ascii="Arial" w:eastAsia="Arial" w:hAnsi="Arial" w:cs="Arial"/>
          <w:i/>
          <w:sz w:val="22"/>
          <w:szCs w:val="22"/>
        </w:rPr>
        <w:t>National Strategy for Women and Girls</w:t>
      </w:r>
      <w:r>
        <w:rPr>
          <w:rFonts w:ascii="Arial" w:eastAsia="Arial" w:hAnsi="Arial" w:cs="Arial"/>
          <w:sz w:val="22"/>
          <w:szCs w:val="22"/>
        </w:rPr>
        <w:t xml:space="preserve"> notes that disabled women experience greater marginalisation, poverty and unemployment,</w:t>
      </w:r>
      <w:r>
        <w:rPr>
          <w:rFonts w:ascii="Arial" w:eastAsia="Arial" w:hAnsi="Arial" w:cs="Arial"/>
          <w:b/>
          <w:color w:val="741B47"/>
          <w:sz w:val="22"/>
          <w:szCs w:val="22"/>
          <w:vertAlign w:val="superscript"/>
        </w:rPr>
        <w:footnoteReference w:id="5"/>
      </w:r>
      <w:r>
        <w:rPr>
          <w:rFonts w:ascii="Arial" w:eastAsia="Arial" w:hAnsi="Arial" w:cs="Arial"/>
          <w:sz w:val="22"/>
          <w:szCs w:val="22"/>
        </w:rPr>
        <w:t xml:space="preserve"> it states that this should be addressed through the </w:t>
      </w:r>
      <w:r>
        <w:rPr>
          <w:rFonts w:ascii="Arial" w:eastAsia="Arial" w:hAnsi="Arial" w:cs="Arial"/>
          <w:i/>
          <w:sz w:val="22"/>
          <w:szCs w:val="22"/>
        </w:rPr>
        <w:t>National Disability Inclusion Strategy</w:t>
      </w:r>
      <w:r>
        <w:rPr>
          <w:rFonts w:ascii="Arial" w:eastAsia="Arial" w:hAnsi="Arial" w:cs="Arial"/>
          <w:b/>
          <w:color w:val="741B47"/>
          <w:sz w:val="22"/>
          <w:szCs w:val="22"/>
          <w:vertAlign w:val="superscript"/>
        </w:rPr>
        <w:footnoteReference w:id="6"/>
      </w:r>
      <w:r>
        <w:rPr>
          <w:rFonts w:ascii="Arial" w:eastAsia="Arial" w:hAnsi="Arial" w:cs="Arial"/>
          <w:sz w:val="22"/>
          <w:szCs w:val="22"/>
        </w:rPr>
        <w:t xml:space="preserve"> (NDIS). However, the NDIS contains only has one mention of women and the </w:t>
      </w:r>
      <w:r>
        <w:rPr>
          <w:rFonts w:ascii="Arial" w:eastAsia="Arial" w:hAnsi="Arial" w:cs="Arial"/>
          <w:i/>
          <w:sz w:val="22"/>
          <w:szCs w:val="22"/>
        </w:rPr>
        <w:t>Comprehensive Employment Strategy for People with Disabilities</w:t>
      </w:r>
      <w:r>
        <w:rPr>
          <w:rFonts w:ascii="Arial" w:eastAsia="Arial" w:hAnsi="Arial" w:cs="Arial"/>
          <w:b/>
          <w:color w:val="741B47"/>
          <w:sz w:val="22"/>
          <w:szCs w:val="22"/>
          <w:vertAlign w:val="superscript"/>
        </w:rPr>
        <w:footnoteReference w:id="7"/>
      </w:r>
      <w:r>
        <w:rPr>
          <w:rFonts w:ascii="Arial" w:eastAsia="Arial" w:hAnsi="Arial" w:cs="Arial"/>
          <w:sz w:val="22"/>
          <w:szCs w:val="22"/>
        </w:rPr>
        <w:t xml:space="preserve"> doesn’t mention women at all. </w:t>
      </w:r>
    </w:p>
    <w:p w14:paraId="69B067D0" w14:textId="77777777" w:rsidR="00392978" w:rsidRDefault="00392978">
      <w:pPr>
        <w:spacing w:line="360" w:lineRule="auto"/>
        <w:rPr>
          <w:rFonts w:ascii="Arial" w:eastAsia="Arial" w:hAnsi="Arial" w:cs="Arial"/>
          <w:sz w:val="22"/>
          <w:szCs w:val="22"/>
        </w:rPr>
      </w:pPr>
    </w:p>
    <w:p w14:paraId="2F8B83BC" w14:textId="77777777" w:rsidR="00392978" w:rsidRDefault="00392978">
      <w:pPr>
        <w:spacing w:line="360" w:lineRule="auto"/>
        <w:rPr>
          <w:rFonts w:ascii="Arial" w:eastAsia="Arial" w:hAnsi="Arial" w:cs="Arial"/>
          <w:sz w:val="22"/>
          <w:szCs w:val="22"/>
        </w:rPr>
      </w:pPr>
    </w:p>
    <w:p w14:paraId="16498FBA" w14:textId="77777777" w:rsidR="00392978" w:rsidRDefault="00000000">
      <w:pPr>
        <w:pStyle w:val="Heading3"/>
        <w:spacing w:line="360" w:lineRule="auto"/>
        <w:rPr>
          <w:rFonts w:ascii="Arial" w:eastAsia="Arial" w:hAnsi="Arial" w:cs="Arial"/>
          <w:b/>
          <w:color w:val="741B47"/>
          <w:sz w:val="22"/>
          <w:szCs w:val="22"/>
        </w:rPr>
      </w:pPr>
      <w:bookmarkStart w:id="7" w:name="_heading=h.m2c37wl6ey5e" w:colFirst="0" w:colLast="0"/>
      <w:bookmarkEnd w:id="7"/>
      <w:r>
        <w:rPr>
          <w:rFonts w:ascii="Arial" w:eastAsia="Arial" w:hAnsi="Arial" w:cs="Arial"/>
          <w:b/>
          <w:color w:val="741B47"/>
          <w:sz w:val="22"/>
          <w:szCs w:val="22"/>
        </w:rPr>
        <w:t>Ireland as a policy-rich, implementation-poor country</w:t>
      </w:r>
    </w:p>
    <w:p w14:paraId="1F1B908A" w14:textId="77777777" w:rsidR="00392978" w:rsidRDefault="00000000">
      <w:pPr>
        <w:spacing w:line="360" w:lineRule="auto"/>
        <w:rPr>
          <w:rFonts w:ascii="Arial" w:eastAsia="Arial" w:hAnsi="Arial" w:cs="Arial"/>
          <w:b/>
          <w:color w:val="741B47"/>
          <w:sz w:val="22"/>
          <w:szCs w:val="22"/>
        </w:rPr>
      </w:pPr>
      <w:r>
        <w:rPr>
          <w:rFonts w:ascii="Arial" w:eastAsia="Arial" w:hAnsi="Arial" w:cs="Arial"/>
          <w:sz w:val="22"/>
          <w:szCs w:val="22"/>
        </w:rPr>
        <w:t>Indeed, a secondary challenge to the policy and legislative framework in Ireland is that we lack systems to monitor the implementation of various policies relating to marginalised groups, including disabled women. For example, a recently commissioned review of three of the Irish Government’s Strategies relating to marginalised groups, including the</w:t>
      </w:r>
      <w:r>
        <w:rPr>
          <w:rFonts w:ascii="Arial" w:eastAsia="Arial" w:hAnsi="Arial" w:cs="Arial"/>
          <w:i/>
          <w:sz w:val="22"/>
          <w:szCs w:val="22"/>
        </w:rPr>
        <w:t xml:space="preserve"> National Strategy for Women and Girls,</w:t>
      </w:r>
      <w:r>
        <w:rPr>
          <w:rFonts w:ascii="Arial" w:eastAsia="Arial" w:hAnsi="Arial" w:cs="Arial"/>
          <w:sz w:val="22"/>
          <w:szCs w:val="22"/>
        </w:rPr>
        <w:t xml:space="preserve"> recommended that implementation plans for strategies should be created in parallel with strategy development, and that sets of indicators of progress should be created before such strategies are launched.</w:t>
      </w:r>
      <w:r>
        <w:rPr>
          <w:rFonts w:ascii="Arial" w:eastAsia="Arial" w:hAnsi="Arial" w:cs="Arial"/>
          <w:b/>
          <w:color w:val="741B47"/>
          <w:sz w:val="22"/>
          <w:szCs w:val="22"/>
          <w:vertAlign w:val="superscript"/>
        </w:rPr>
        <w:footnoteReference w:id="8"/>
      </w:r>
    </w:p>
    <w:p w14:paraId="7F84B9EC" w14:textId="77777777" w:rsidR="00392978" w:rsidRDefault="00392978">
      <w:pPr>
        <w:spacing w:line="360" w:lineRule="auto"/>
        <w:rPr>
          <w:rFonts w:ascii="Arial" w:eastAsia="Arial" w:hAnsi="Arial" w:cs="Arial"/>
          <w:sz w:val="22"/>
          <w:szCs w:val="22"/>
        </w:rPr>
      </w:pPr>
    </w:p>
    <w:p w14:paraId="21DD90FE" w14:textId="77777777" w:rsidR="00392978" w:rsidRDefault="00000000">
      <w:pPr>
        <w:pStyle w:val="Heading3"/>
        <w:spacing w:line="360" w:lineRule="auto"/>
        <w:rPr>
          <w:rFonts w:ascii="Arial" w:eastAsia="Arial" w:hAnsi="Arial" w:cs="Arial"/>
          <w:b/>
          <w:color w:val="741B47"/>
          <w:sz w:val="22"/>
          <w:szCs w:val="22"/>
        </w:rPr>
      </w:pPr>
      <w:bookmarkStart w:id="8" w:name="_heading=h.76ckptiy4w23" w:colFirst="0" w:colLast="0"/>
      <w:bookmarkEnd w:id="8"/>
      <w:r>
        <w:rPr>
          <w:rFonts w:ascii="Arial" w:eastAsia="Arial" w:hAnsi="Arial" w:cs="Arial"/>
          <w:b/>
          <w:color w:val="741B47"/>
          <w:sz w:val="22"/>
          <w:szCs w:val="22"/>
        </w:rPr>
        <w:t>Disabled women who experience intersecting forms of discrimination</w:t>
      </w:r>
    </w:p>
    <w:p w14:paraId="4C10164C"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We also note that the barriers faced by disabled women are more pronounced where the woman is part of multiple marginalised groups, for example Traveller and Roma women, women experiencing homelessness, women in Direct Provision and LGBTQIA+ women. Additionally, these groups are similarly impacted by the lack of disaggregated data, and as a result information relating to the experiences of disabled women from these backgrounds is largely unavailable (we have included such data where available).</w:t>
      </w:r>
    </w:p>
    <w:p w14:paraId="20343A07" w14:textId="77777777" w:rsidR="00392978" w:rsidRDefault="00392978">
      <w:pPr>
        <w:spacing w:line="360" w:lineRule="auto"/>
        <w:rPr>
          <w:rFonts w:ascii="Arial" w:eastAsia="Arial" w:hAnsi="Arial" w:cs="Arial"/>
          <w:sz w:val="22"/>
          <w:szCs w:val="22"/>
        </w:rPr>
      </w:pPr>
    </w:p>
    <w:p w14:paraId="0EA2DEE9" w14:textId="77777777" w:rsidR="00392978" w:rsidRDefault="00392978">
      <w:pPr>
        <w:spacing w:line="360" w:lineRule="auto"/>
        <w:rPr>
          <w:rFonts w:ascii="Arial" w:eastAsia="Arial" w:hAnsi="Arial" w:cs="Arial"/>
          <w:sz w:val="22"/>
          <w:szCs w:val="22"/>
        </w:rPr>
      </w:pPr>
    </w:p>
    <w:p w14:paraId="194E453F" w14:textId="77777777" w:rsidR="00392978" w:rsidRDefault="00000000">
      <w:pPr>
        <w:pStyle w:val="Heading3"/>
        <w:spacing w:after="200" w:line="360" w:lineRule="auto"/>
        <w:rPr>
          <w:sz w:val="32"/>
          <w:szCs w:val="32"/>
        </w:rPr>
      </w:pPr>
      <w:bookmarkStart w:id="9" w:name="_heading=h.c5np1bkd447s" w:colFirst="0" w:colLast="0"/>
      <w:bookmarkEnd w:id="9"/>
      <w:r>
        <w:rPr>
          <w:b/>
          <w:color w:val="741B47"/>
          <w:sz w:val="32"/>
          <w:szCs w:val="32"/>
        </w:rPr>
        <w:t>Recommendations:</w:t>
      </w:r>
    </w:p>
    <w:p w14:paraId="6AC348FE" w14:textId="77777777" w:rsidR="00392978" w:rsidRDefault="00000000" w:rsidP="00FF26E7">
      <w:pPr>
        <w:numPr>
          <w:ilvl w:val="0"/>
          <w:numId w:val="8"/>
        </w:numPr>
        <w:spacing w:before="120" w:after="360"/>
        <w:rPr>
          <w:sz w:val="26"/>
          <w:szCs w:val="26"/>
        </w:rPr>
      </w:pPr>
      <w:r>
        <w:rPr>
          <w:sz w:val="26"/>
          <w:szCs w:val="26"/>
        </w:rPr>
        <w:t xml:space="preserve">That Action Plans be produced and published for all irish National Equality Strategies (including the National Strategy for Women and Girls, the National Disability Inclusion Strategy, the National Traveller and Roma Inclusion Strategy, the Migrant Integration Strategy, and the National LGBTI+ Inclusion Strategy) which include measurable metrics and targets on actions to promote women’s full rights under both the CEDAW and CRPD Conventions. </w:t>
      </w:r>
    </w:p>
    <w:p w14:paraId="60D42092" w14:textId="77777777" w:rsidR="00392978" w:rsidRDefault="00392978" w:rsidP="00FF26E7">
      <w:pPr>
        <w:spacing w:before="120" w:after="360"/>
        <w:ind w:left="720"/>
        <w:rPr>
          <w:sz w:val="26"/>
          <w:szCs w:val="26"/>
        </w:rPr>
      </w:pPr>
    </w:p>
    <w:p w14:paraId="44F27B3F" w14:textId="77777777" w:rsidR="00392978" w:rsidRDefault="00000000" w:rsidP="00FF26E7">
      <w:pPr>
        <w:numPr>
          <w:ilvl w:val="0"/>
          <w:numId w:val="8"/>
        </w:numPr>
        <w:spacing w:before="120" w:after="360"/>
        <w:rPr>
          <w:sz w:val="26"/>
          <w:szCs w:val="26"/>
        </w:rPr>
      </w:pPr>
      <w:r>
        <w:rPr>
          <w:sz w:val="26"/>
          <w:szCs w:val="26"/>
        </w:rPr>
        <w:t>That the Irish Government produce a Roadmap to incorporate all provisions of these Conventions into domestic law, wherever domestic law falls short of upholding the Conventions’ provisions, which are shared with the Irish Human Rights and Equality Commission, and other monitoring bodies and key stakeholders identified under the Conventions.</w:t>
      </w:r>
    </w:p>
    <w:p w14:paraId="256F038B" w14:textId="77777777" w:rsidR="00392978" w:rsidRDefault="00392978" w:rsidP="00FF26E7">
      <w:pPr>
        <w:spacing w:before="120" w:after="360"/>
        <w:ind w:left="720"/>
        <w:rPr>
          <w:sz w:val="26"/>
          <w:szCs w:val="26"/>
        </w:rPr>
      </w:pPr>
    </w:p>
    <w:p w14:paraId="2EE7B54D" w14:textId="77777777" w:rsidR="00392978" w:rsidRDefault="00000000" w:rsidP="00FF26E7">
      <w:pPr>
        <w:numPr>
          <w:ilvl w:val="0"/>
          <w:numId w:val="8"/>
        </w:numPr>
        <w:spacing w:before="120" w:after="360"/>
        <w:rPr>
          <w:sz w:val="26"/>
          <w:szCs w:val="26"/>
        </w:rPr>
      </w:pPr>
      <w:r>
        <w:rPr>
          <w:sz w:val="26"/>
          <w:szCs w:val="26"/>
        </w:rPr>
        <w:t>That the Central Statistics Office and national surveying instruments contracted on behalf of the State be obliged to collect and report data disaggregated by the characteristics protected under the Equality Acts</w:t>
      </w:r>
      <w:r>
        <w:rPr>
          <w:b/>
          <w:color w:val="741B47"/>
          <w:sz w:val="26"/>
          <w:szCs w:val="26"/>
          <w:vertAlign w:val="superscript"/>
        </w:rPr>
        <w:footnoteReference w:id="9"/>
      </w:r>
      <w:r>
        <w:rPr>
          <w:sz w:val="26"/>
          <w:szCs w:val="26"/>
        </w:rPr>
        <w:t xml:space="preserve"> (gender, age, disability, race etc.)</w:t>
      </w:r>
    </w:p>
    <w:p w14:paraId="0A232198" w14:textId="77777777" w:rsidR="00392978" w:rsidRDefault="00392978" w:rsidP="00FF26E7">
      <w:pPr>
        <w:spacing w:before="120" w:after="360"/>
        <w:ind w:left="720"/>
        <w:rPr>
          <w:sz w:val="26"/>
          <w:szCs w:val="26"/>
        </w:rPr>
      </w:pPr>
    </w:p>
    <w:p w14:paraId="00CC76CD" w14:textId="77777777" w:rsidR="00392978" w:rsidRDefault="00000000" w:rsidP="00FF26E7">
      <w:pPr>
        <w:numPr>
          <w:ilvl w:val="0"/>
          <w:numId w:val="8"/>
        </w:numPr>
        <w:spacing w:before="120" w:after="360"/>
        <w:rPr>
          <w:sz w:val="26"/>
          <w:szCs w:val="26"/>
        </w:rPr>
      </w:pPr>
      <w:r>
        <w:rPr>
          <w:sz w:val="26"/>
          <w:szCs w:val="26"/>
        </w:rPr>
        <w:t>That any such data relevant to their function be provided to the IHREC, other monitoring bodies and key stakeholders identified under the Conventions.</w:t>
      </w:r>
    </w:p>
    <w:p w14:paraId="3EF63AE3" w14:textId="77777777" w:rsidR="00392978" w:rsidRDefault="00392978" w:rsidP="00FF26E7">
      <w:pPr>
        <w:spacing w:before="120" w:after="360"/>
        <w:ind w:left="720"/>
        <w:rPr>
          <w:sz w:val="26"/>
          <w:szCs w:val="26"/>
        </w:rPr>
      </w:pPr>
    </w:p>
    <w:p w14:paraId="073DFAF3" w14:textId="77777777" w:rsidR="00392978" w:rsidRDefault="00000000" w:rsidP="00FF26E7">
      <w:pPr>
        <w:numPr>
          <w:ilvl w:val="0"/>
          <w:numId w:val="8"/>
        </w:numPr>
        <w:spacing w:before="120" w:after="360"/>
        <w:rPr>
          <w:sz w:val="26"/>
          <w:szCs w:val="26"/>
        </w:rPr>
      </w:pPr>
      <w:r>
        <w:rPr>
          <w:sz w:val="26"/>
          <w:szCs w:val="26"/>
        </w:rPr>
        <w:t xml:space="preserve">That provisions to protect people with intersecting marginalised identities / with multiple protected characteristics from discrimination on an equal basis to others, and that measures to prevent discrimination on socio-economic grounds, be included in all relevant legislation and Government actions, most urgently the Equal Status Acts. </w:t>
      </w:r>
    </w:p>
    <w:p w14:paraId="6012459D" w14:textId="77777777" w:rsidR="00392978" w:rsidRDefault="00000000">
      <w:pPr>
        <w:pStyle w:val="Heading2"/>
        <w:spacing w:before="0" w:line="360" w:lineRule="auto"/>
        <w:rPr>
          <w:color w:val="741B47"/>
          <w:sz w:val="28"/>
          <w:szCs w:val="28"/>
        </w:rPr>
      </w:pPr>
      <w:bookmarkStart w:id="10" w:name="_heading=h.gtmkxdiy7wgd" w:colFirst="0" w:colLast="0"/>
      <w:bookmarkEnd w:id="10"/>
      <w:r>
        <w:rPr>
          <w:rFonts w:ascii="Arial" w:eastAsia="Arial" w:hAnsi="Arial" w:cs="Arial"/>
          <w:color w:val="741B47"/>
          <w:sz w:val="28"/>
          <w:szCs w:val="28"/>
        </w:rPr>
        <w:lastRenderedPageBreak/>
        <w:t>Parenting and Healthcare, and SRHR</w:t>
      </w:r>
      <w:r>
        <w:rPr>
          <w:rFonts w:ascii="Arial" w:eastAsia="Arial" w:hAnsi="Arial" w:cs="Arial"/>
          <w:color w:val="741B47"/>
          <w:sz w:val="28"/>
          <w:szCs w:val="28"/>
        </w:rPr>
        <w:tab/>
      </w:r>
      <w:r>
        <w:rPr>
          <w:rFonts w:ascii="Arial" w:eastAsia="Arial" w:hAnsi="Arial" w:cs="Arial"/>
          <w:color w:val="741B47"/>
        </w:rPr>
        <w:tab/>
      </w:r>
    </w:p>
    <w:p w14:paraId="38058B93" w14:textId="77777777" w:rsidR="00392978" w:rsidRDefault="00000000">
      <w:pPr>
        <w:pStyle w:val="Heading2"/>
        <w:spacing w:before="0" w:line="360" w:lineRule="auto"/>
        <w:rPr>
          <w:i/>
          <w:color w:val="741B47"/>
          <w:sz w:val="28"/>
          <w:szCs w:val="28"/>
        </w:rPr>
      </w:pPr>
      <w:bookmarkStart w:id="11" w:name="_heading=h.2yr5sa8n3zon" w:colFirst="0" w:colLast="0"/>
      <w:bookmarkEnd w:id="11"/>
      <w:r>
        <w:rPr>
          <w:i/>
          <w:color w:val="741B47"/>
          <w:sz w:val="28"/>
          <w:szCs w:val="28"/>
        </w:rPr>
        <w:t>Parenting</w:t>
      </w:r>
    </w:p>
    <w:p w14:paraId="47C863B0" w14:textId="77777777" w:rsidR="00392978" w:rsidRDefault="00000000">
      <w:pPr>
        <w:spacing w:after="240" w:line="360" w:lineRule="auto"/>
        <w:rPr>
          <w:rFonts w:ascii="Arial" w:eastAsia="Arial" w:hAnsi="Arial" w:cs="Arial"/>
        </w:rPr>
      </w:pPr>
      <w:r>
        <w:rPr>
          <w:rFonts w:ascii="Arial" w:eastAsia="Arial" w:hAnsi="Arial" w:cs="Arial"/>
        </w:rPr>
        <w:t>There are approximately 230,000 disabled women and girls of childbearing age in Ireland.</w:t>
      </w:r>
      <w:r>
        <w:rPr>
          <w:rFonts w:ascii="Arial" w:eastAsia="Arial" w:hAnsi="Arial" w:cs="Arial"/>
          <w:b/>
          <w:color w:val="741B47"/>
          <w:vertAlign w:val="superscript"/>
        </w:rPr>
        <w:footnoteReference w:id="10"/>
      </w:r>
      <w:r>
        <w:rPr>
          <w:rFonts w:ascii="Arial" w:eastAsia="Arial" w:hAnsi="Arial" w:cs="Arial"/>
        </w:rPr>
        <w:t xml:space="preserve"> Disabled women in Ireland face significant barriers relating to pregnancy and parenting, rooted in systemic ableism interacting with deep-rooted prejudices regarding gendered roles in parenting.</w:t>
      </w:r>
    </w:p>
    <w:p w14:paraId="6DA5363E" w14:textId="77777777" w:rsidR="00392978" w:rsidRDefault="00000000">
      <w:pPr>
        <w:spacing w:before="240" w:after="240" w:line="360" w:lineRule="auto"/>
        <w:rPr>
          <w:rFonts w:ascii="Arial" w:eastAsia="Arial" w:hAnsi="Arial" w:cs="Arial"/>
        </w:rPr>
      </w:pPr>
      <w:r>
        <w:rPr>
          <w:rFonts w:ascii="Arial" w:eastAsia="Arial" w:hAnsi="Arial" w:cs="Arial"/>
        </w:rPr>
        <w:t>Expectations that women be the primary or sole caregivers to children - particularly beliefs that personal care of children are the mother’s responsibility - permeate Irish society, including amongst individuals working in State bodies and the family court system. Marginalised women frequently find that these gendered expectations are the foundation on which their consistent experience of discrimination is built. This includes being denied or having restricted access to parenting rights to a vastly greater extent than men from their communities. Where their marginalised identity is viewed as diverging too far from ‘what a mother should look like’, these women can find their capacity to parent called into question and find an adversarial approach is taken against them by the very services they reach out to for support. This is true for many women from Traveller, Roma and other ethnic minority communities, and is disproportionately true for disabled women of all backgrounds.</w:t>
      </w:r>
    </w:p>
    <w:p w14:paraId="761EEA85" w14:textId="77777777" w:rsidR="00392978" w:rsidRDefault="00000000">
      <w:pPr>
        <w:spacing w:before="240" w:after="240" w:line="360" w:lineRule="auto"/>
        <w:ind w:left="850" w:right="526"/>
        <w:rPr>
          <w:rFonts w:ascii="Arial" w:eastAsia="Arial" w:hAnsi="Arial" w:cs="Arial"/>
          <w:b/>
          <w:i/>
        </w:rPr>
      </w:pPr>
      <w:r>
        <w:rPr>
          <w:rFonts w:ascii="Arial" w:eastAsia="Arial" w:hAnsi="Arial" w:cs="Arial"/>
          <w:b/>
          <w:i/>
        </w:rPr>
        <w:t>“As a Traveller, I have to be twice as good as a mother so [State services] don't look at me with suspicion. Me and my family hide the fact that I have a physical disability because we know they'd take my children from me if they knew."</w:t>
      </w:r>
    </w:p>
    <w:p w14:paraId="1B17F637" w14:textId="77777777" w:rsidR="00392978" w:rsidRDefault="00000000">
      <w:pPr>
        <w:numPr>
          <w:ilvl w:val="0"/>
          <w:numId w:val="5"/>
        </w:numPr>
        <w:spacing w:before="200" w:after="400" w:line="360" w:lineRule="auto"/>
        <w:ind w:left="720" w:right="526"/>
        <w:jc w:val="right"/>
        <w:rPr>
          <w:rFonts w:ascii="Arial" w:eastAsia="Arial" w:hAnsi="Arial" w:cs="Arial"/>
          <w:b/>
          <w:color w:val="741B47"/>
        </w:rPr>
      </w:pPr>
      <w:r>
        <w:rPr>
          <w:rFonts w:ascii="Arial" w:eastAsia="Arial" w:hAnsi="Arial" w:cs="Arial"/>
          <w:b/>
          <w:color w:val="741B47"/>
        </w:rPr>
        <w:t>Traveller rights activist &amp; disabled woman, DWI consultation</w:t>
      </w:r>
    </w:p>
    <w:p w14:paraId="091D3C06" w14:textId="77777777" w:rsidR="007A0944" w:rsidRPr="007A0944" w:rsidRDefault="007A0944">
      <w:pPr>
        <w:spacing w:before="240" w:line="360" w:lineRule="auto"/>
        <w:rPr>
          <w:rFonts w:ascii="Arial" w:eastAsia="Arial" w:hAnsi="Arial" w:cs="Arial"/>
          <w:sz w:val="8"/>
          <w:szCs w:val="8"/>
        </w:rPr>
      </w:pPr>
    </w:p>
    <w:p w14:paraId="014D663D" w14:textId="6E247EB1" w:rsidR="00392978" w:rsidRDefault="00000000">
      <w:pPr>
        <w:spacing w:before="240" w:line="360" w:lineRule="auto"/>
        <w:rPr>
          <w:rFonts w:ascii="Arial" w:eastAsia="Arial" w:hAnsi="Arial" w:cs="Arial"/>
        </w:rPr>
      </w:pPr>
      <w:r>
        <w:rPr>
          <w:rFonts w:ascii="Arial" w:eastAsia="Arial" w:hAnsi="Arial" w:cs="Arial"/>
        </w:rPr>
        <w:t xml:space="preserve">Over the past four years, NeuroPride and DWI have received over 100 reports from disabled women who have had their capacity to parent called into question due solely to their disabled identity, rather than to any specific risk to their children’s welfare. We have also been notified of over a dozen cases where Túsla, the Irish Child and Family Agency, have initiated proceedings to remove a child into State </w:t>
      </w:r>
      <w:r>
        <w:rPr>
          <w:rFonts w:ascii="Arial" w:eastAsia="Arial" w:hAnsi="Arial" w:cs="Arial"/>
        </w:rPr>
        <w:lastRenderedPageBreak/>
        <w:t>custody solely on the basis that their mother is disabled. While women who are Neurodivergent, have a mental illness diagnosis or have intellectual disabilities are at increased risk of facing this discrimination, the threat is present for any disabled person in Ireland who is pregnant or has given birth.</w:t>
      </w:r>
    </w:p>
    <w:p w14:paraId="1157E5DD" w14:textId="77777777" w:rsidR="00392978" w:rsidRDefault="00000000">
      <w:pPr>
        <w:spacing w:before="240" w:line="360" w:lineRule="auto"/>
        <w:rPr>
          <w:rFonts w:ascii="Arial" w:eastAsia="Arial" w:hAnsi="Arial" w:cs="Arial"/>
          <w:b/>
          <w:color w:val="741B47"/>
          <w:vertAlign w:val="superscript"/>
        </w:rPr>
      </w:pPr>
      <w:r>
        <w:rPr>
          <w:rFonts w:ascii="Arial" w:eastAsia="Arial" w:hAnsi="Arial" w:cs="Arial"/>
        </w:rPr>
        <w:t>Although Túsla guidelines direct that disability should not, in itself, be grounds to question parenting capacity,</w:t>
      </w:r>
      <w:r>
        <w:rPr>
          <w:rFonts w:ascii="Arial" w:eastAsia="Arial" w:hAnsi="Arial" w:cs="Arial"/>
          <w:b/>
          <w:color w:val="741B47"/>
          <w:vertAlign w:val="superscript"/>
        </w:rPr>
        <w:footnoteReference w:id="11"/>
      </w:r>
      <w:r>
        <w:rPr>
          <w:rFonts w:ascii="Arial" w:eastAsia="Arial" w:hAnsi="Arial" w:cs="Arial"/>
        </w:rPr>
        <w:t xml:space="preserve"> overwhelming first-hand accounts within our membership and community show that this guidance is not being followed in practice. Research undertaken by the CDLP and Women’s Aid has also highlighted this as an urgent and ignored form of discrimination against women in Ireland.</w:t>
      </w:r>
      <w:r>
        <w:rPr>
          <w:rFonts w:ascii="Arial" w:eastAsia="Arial" w:hAnsi="Arial" w:cs="Arial"/>
          <w:b/>
          <w:color w:val="741B47"/>
          <w:vertAlign w:val="superscript"/>
        </w:rPr>
        <w:footnoteReference w:id="12"/>
      </w:r>
    </w:p>
    <w:p w14:paraId="741A0F7F" w14:textId="77777777" w:rsidR="00392978" w:rsidRDefault="00392978">
      <w:pPr>
        <w:spacing w:before="240" w:line="360" w:lineRule="auto"/>
        <w:rPr>
          <w:rFonts w:ascii="Arial" w:eastAsia="Arial" w:hAnsi="Arial" w:cs="Arial"/>
          <w:b/>
          <w:color w:val="741B47"/>
          <w:vertAlign w:val="superscript"/>
        </w:rPr>
      </w:pPr>
    </w:p>
    <w:p w14:paraId="26D17A08" w14:textId="77777777" w:rsidR="00392978" w:rsidRDefault="00392978">
      <w:pPr>
        <w:spacing w:line="360" w:lineRule="auto"/>
        <w:rPr>
          <w:rFonts w:ascii="Arial" w:eastAsia="Arial" w:hAnsi="Arial" w:cs="Arial"/>
          <w:sz w:val="20"/>
          <w:szCs w:val="20"/>
        </w:rPr>
      </w:pPr>
    </w:p>
    <w:p w14:paraId="4D433C94" w14:textId="77777777" w:rsidR="00392978" w:rsidRDefault="00000000">
      <w:pPr>
        <w:spacing w:line="360" w:lineRule="auto"/>
        <w:ind w:left="720" w:right="526"/>
        <w:rPr>
          <w:rFonts w:ascii="Arial" w:eastAsia="Arial" w:hAnsi="Arial" w:cs="Arial"/>
          <w:b/>
        </w:rPr>
      </w:pPr>
      <w:r>
        <w:rPr>
          <w:rFonts w:ascii="Arial" w:eastAsia="Arial" w:hAnsi="Arial" w:cs="Arial"/>
          <w:b/>
        </w:rPr>
        <w:t xml:space="preserve">“Women’s Aid has, through the provision of helpline and one to one support services, supported thousands of women subjected to domestic violence and abuse. We have supported women who report that their disability or illness is weaponized and used as a tool to undermine their ability to independently parent their children. The narrative that she is too mentally or physically unwell is often propagated by an abusive partner, who will attempt to discredit her, to her family, friends, professionals and to the Family Law Courts. </w:t>
      </w:r>
    </w:p>
    <w:p w14:paraId="2777D208" w14:textId="77777777" w:rsidR="00392978" w:rsidRDefault="00392978">
      <w:pPr>
        <w:spacing w:line="360" w:lineRule="auto"/>
        <w:ind w:left="720" w:right="526"/>
        <w:rPr>
          <w:rFonts w:ascii="Arial" w:eastAsia="Arial" w:hAnsi="Arial" w:cs="Arial"/>
          <w:b/>
        </w:rPr>
      </w:pPr>
    </w:p>
    <w:p w14:paraId="3AC155B2" w14:textId="77777777" w:rsidR="00392978" w:rsidRDefault="00000000">
      <w:pPr>
        <w:spacing w:line="360" w:lineRule="auto"/>
        <w:ind w:left="720" w:right="526"/>
        <w:rPr>
          <w:rFonts w:ascii="Arial" w:eastAsia="Arial" w:hAnsi="Arial" w:cs="Arial"/>
          <w:b/>
        </w:rPr>
      </w:pPr>
      <w:r>
        <w:rPr>
          <w:rFonts w:ascii="Arial" w:eastAsia="Arial" w:hAnsi="Arial" w:cs="Arial"/>
          <w:b/>
        </w:rPr>
        <w:t xml:space="preserve">Too often women will have the custody of her children removed and access limited or even denied as a false label that she is mentally “unstable” has been attributed to her and once this label has been assigned, it can be incredibly difficult for a woman to be heard and believed, particularly withing the Family Law Court system. Neurodivergent women report their neurodivergence being used to abuse them and to undermine them, both privately and publicly, this constant undermining of her mothering role can have detrimental impacts on the mother/child relationship.  </w:t>
      </w:r>
    </w:p>
    <w:p w14:paraId="260170DF" w14:textId="77777777" w:rsidR="00392978" w:rsidRDefault="00392978">
      <w:pPr>
        <w:spacing w:after="80" w:line="360" w:lineRule="auto"/>
        <w:ind w:left="720" w:right="526"/>
        <w:rPr>
          <w:rFonts w:ascii="Arial" w:eastAsia="Arial" w:hAnsi="Arial" w:cs="Arial"/>
          <w:b/>
        </w:rPr>
      </w:pPr>
    </w:p>
    <w:p w14:paraId="2053E15F" w14:textId="77777777" w:rsidR="00392978" w:rsidRDefault="00000000">
      <w:pPr>
        <w:spacing w:after="80" w:line="360" w:lineRule="auto"/>
        <w:ind w:left="720" w:right="526"/>
        <w:rPr>
          <w:rFonts w:ascii="Arial" w:eastAsia="Arial" w:hAnsi="Arial" w:cs="Arial"/>
          <w:b/>
        </w:rPr>
      </w:pPr>
      <w:r>
        <w:rPr>
          <w:rFonts w:ascii="Arial" w:eastAsia="Arial" w:hAnsi="Arial" w:cs="Arial"/>
          <w:b/>
        </w:rPr>
        <w:t xml:space="preserve">Women have also reported being afraid to speak to their GP about mental health difficulties they are experiencing, for fear that her abusive partner will get access to this information and use it against her, particularly to have her children removed from her care.”  </w:t>
      </w:r>
    </w:p>
    <w:p w14:paraId="4CF9C27E" w14:textId="77777777" w:rsidR="00392978" w:rsidRDefault="00000000">
      <w:pPr>
        <w:spacing w:line="360" w:lineRule="auto"/>
        <w:ind w:left="720" w:right="526"/>
        <w:jc w:val="right"/>
        <w:rPr>
          <w:rFonts w:ascii="Arial" w:eastAsia="Arial" w:hAnsi="Arial" w:cs="Arial"/>
        </w:rPr>
      </w:pPr>
      <w:r>
        <w:rPr>
          <w:rFonts w:ascii="Arial" w:eastAsia="Arial" w:hAnsi="Arial" w:cs="Arial"/>
          <w:b/>
        </w:rPr>
        <w:t xml:space="preserve">- </w:t>
      </w:r>
      <w:r>
        <w:rPr>
          <w:rFonts w:ascii="Arial" w:eastAsia="Arial" w:hAnsi="Arial" w:cs="Arial"/>
          <w:b/>
          <w:color w:val="741B47"/>
        </w:rPr>
        <w:t>Eavan Ward, national Head of Regional Services at Women's Aid</w:t>
      </w:r>
      <w:r>
        <w:rPr>
          <w:rFonts w:ascii="Arial" w:eastAsia="Arial" w:hAnsi="Arial" w:cs="Arial"/>
          <w:b/>
          <w:color w:val="741B47"/>
          <w:vertAlign w:val="superscript"/>
        </w:rPr>
        <w:footnoteReference w:id="13"/>
      </w:r>
    </w:p>
    <w:p w14:paraId="24A73278" w14:textId="77777777" w:rsidR="00392978" w:rsidRDefault="00392978">
      <w:pPr>
        <w:spacing w:before="240" w:after="240" w:line="360" w:lineRule="auto"/>
        <w:rPr>
          <w:rFonts w:ascii="Arial" w:eastAsia="Arial" w:hAnsi="Arial" w:cs="Arial"/>
          <w:sz w:val="16"/>
          <w:szCs w:val="16"/>
        </w:rPr>
      </w:pPr>
    </w:p>
    <w:p w14:paraId="3D47DF24" w14:textId="77777777" w:rsidR="00392978" w:rsidRDefault="00000000">
      <w:pPr>
        <w:spacing w:before="240" w:after="240" w:line="360" w:lineRule="auto"/>
        <w:rPr>
          <w:rFonts w:ascii="Arial" w:eastAsia="Arial" w:hAnsi="Arial" w:cs="Arial"/>
          <w:b/>
        </w:rPr>
      </w:pPr>
      <w:r>
        <w:rPr>
          <w:rFonts w:ascii="Arial" w:eastAsia="Arial" w:hAnsi="Arial" w:cs="Arial"/>
        </w:rPr>
        <w:t>While we are unable to discuss individual cases due to the danger of accidentally identifying these women, some of whom are currently involved in</w:t>
      </w:r>
      <w:r>
        <w:rPr>
          <w:rFonts w:ascii="Arial" w:eastAsia="Arial" w:hAnsi="Arial" w:cs="Arial"/>
          <w:sz w:val="22"/>
          <w:szCs w:val="22"/>
        </w:rPr>
        <w:t xml:space="preserve"> </w:t>
      </w:r>
      <w:r>
        <w:rPr>
          <w:rFonts w:ascii="Arial" w:eastAsia="Arial" w:hAnsi="Arial" w:cs="Arial"/>
        </w:rPr>
        <w:t>legal proceedings on these matters, DWI can report that physically and sensorily disabled women also experience this form of discrimination, with some facing proceedings to remove their child from their care before they have even given birth.</w:t>
      </w:r>
    </w:p>
    <w:p w14:paraId="09482EBD" w14:textId="77777777" w:rsidR="00392978" w:rsidRDefault="00000000">
      <w:pPr>
        <w:spacing w:before="240" w:after="240" w:line="360" w:lineRule="auto"/>
        <w:rPr>
          <w:rFonts w:ascii="Arial" w:eastAsia="Arial" w:hAnsi="Arial" w:cs="Arial"/>
        </w:rPr>
      </w:pPr>
      <w:r>
        <w:rPr>
          <w:rFonts w:ascii="Arial" w:eastAsia="Arial" w:hAnsi="Arial" w:cs="Arial"/>
        </w:rPr>
        <w:t>DWI have also had individuals referred to us by other women’s and feminist organisations whose members are experiencing this form of discrimination. These organisations have mostly requested not to be named, due to concerns of potentially negatively impacting their working relationship with the Irish Government. This reflects a broader culture of silence around disabled women’s experiences of discrimination in accessing SRHR and parenting, with the Government appearing reluctant to investigate such claims and individual women afraid of reprisal should they speak publicly.</w:t>
      </w:r>
    </w:p>
    <w:p w14:paraId="3135C727" w14:textId="77777777" w:rsidR="00392978" w:rsidRDefault="00392978">
      <w:pPr>
        <w:spacing w:before="240" w:after="240" w:line="360" w:lineRule="auto"/>
        <w:rPr>
          <w:rFonts w:ascii="Arial" w:eastAsia="Arial" w:hAnsi="Arial" w:cs="Arial"/>
        </w:rPr>
      </w:pPr>
    </w:p>
    <w:p w14:paraId="0476E949" w14:textId="56A6F60B" w:rsidR="00392978" w:rsidRPr="007A0944" w:rsidRDefault="00000000" w:rsidP="007A0944">
      <w:pPr>
        <w:spacing w:before="240" w:after="240" w:line="360" w:lineRule="auto"/>
        <w:rPr>
          <w:rFonts w:ascii="Arial" w:eastAsia="Arial" w:hAnsi="Arial" w:cs="Arial"/>
        </w:rPr>
      </w:pPr>
      <w:r>
        <w:rPr>
          <w:rFonts w:ascii="Arial" w:eastAsia="Arial" w:hAnsi="Arial" w:cs="Arial"/>
        </w:rPr>
        <w:t xml:space="preserve">Members of Neuro Pride Ireland have repeatedly highlighted the use of instruments such as the Parental Capacity Assessment being used by both State bodies and abusive partners/ex-partners to undermine Neurodivergent women’s parenting rights and to limit or remove access to their children. This has created an atmosphere of fear within the community: fear of disclosing neurodivergence or seeking support; fear of seeking formal diagnosis and fear of admitting to any struggles at all. This is </w:t>
      </w:r>
      <w:r>
        <w:rPr>
          <w:rFonts w:ascii="Arial" w:eastAsia="Arial" w:hAnsi="Arial" w:cs="Arial"/>
        </w:rPr>
        <w:lastRenderedPageBreak/>
        <w:t>particularly an issue for more stigmatised forms of neurodivergence such as cluster B and cluster C diagnoses, or Autism.</w:t>
      </w:r>
    </w:p>
    <w:p w14:paraId="60E04E17" w14:textId="77777777" w:rsidR="00392978" w:rsidRDefault="00000000">
      <w:pPr>
        <w:spacing w:line="360" w:lineRule="auto"/>
        <w:ind w:left="566" w:right="526"/>
        <w:rPr>
          <w:rFonts w:ascii="Arial" w:eastAsia="Arial" w:hAnsi="Arial" w:cs="Arial"/>
          <w:b/>
          <w:i/>
        </w:rPr>
      </w:pPr>
      <w:r>
        <w:rPr>
          <w:rFonts w:ascii="Arial" w:eastAsia="Arial" w:hAnsi="Arial" w:cs="Arial"/>
        </w:rPr>
        <w:tab/>
      </w:r>
      <w:r>
        <w:rPr>
          <w:rFonts w:ascii="Arial" w:eastAsia="Arial" w:hAnsi="Arial" w:cs="Arial"/>
          <w:i/>
        </w:rPr>
        <w:t>“</w:t>
      </w:r>
      <w:r>
        <w:rPr>
          <w:rFonts w:ascii="Arial" w:eastAsia="Arial" w:hAnsi="Arial" w:cs="Arial"/>
          <w:b/>
          <w:i/>
        </w:rPr>
        <w:t>Over the years we have had many members reach out to us in distress    seeking legal and emotional support as they have experienced their neurodivergence being weaponised against them in family law courts and when interacting with social services. These have exclusively been mothers, even though our organisation represents people of all genders, therefore we fully believe that is gendered discrimination on the basis of both gender and diagnosis.”</w:t>
      </w:r>
    </w:p>
    <w:p w14:paraId="1820A784" w14:textId="77777777" w:rsidR="00392978" w:rsidRDefault="00000000" w:rsidP="007A0944">
      <w:pPr>
        <w:spacing w:before="80" w:after="400" w:line="360" w:lineRule="auto"/>
        <w:jc w:val="right"/>
        <w:rPr>
          <w:rFonts w:ascii="Arial" w:eastAsia="Arial" w:hAnsi="Arial" w:cs="Arial"/>
          <w:b/>
          <w:color w:val="741B47"/>
        </w:rPr>
      </w:pPr>
      <w:r>
        <w:rPr>
          <w:rFonts w:ascii="Arial" w:eastAsia="Arial" w:hAnsi="Arial" w:cs="Arial"/>
          <w:b/>
          <w:color w:val="741B47"/>
        </w:rPr>
        <w:t>–     Gillian Kearns, NeuroPride Co-founder</w:t>
      </w:r>
    </w:p>
    <w:p w14:paraId="37C740A8" w14:textId="77777777" w:rsidR="00392978" w:rsidRPr="007A0944" w:rsidRDefault="00392978" w:rsidP="007A0944">
      <w:pPr>
        <w:spacing w:before="200" w:after="240" w:line="360" w:lineRule="auto"/>
        <w:jc w:val="right"/>
        <w:rPr>
          <w:rFonts w:ascii="Arial" w:eastAsia="Arial" w:hAnsi="Arial" w:cs="Arial"/>
          <w:b/>
          <w:color w:val="741B47"/>
          <w:sz w:val="4"/>
          <w:szCs w:val="4"/>
        </w:rPr>
      </w:pPr>
    </w:p>
    <w:p w14:paraId="3EE7B4F9" w14:textId="5BD59A17" w:rsidR="00392978" w:rsidRPr="007A0944" w:rsidRDefault="00000000" w:rsidP="007A0944">
      <w:pPr>
        <w:spacing w:before="240" w:after="240" w:line="360" w:lineRule="auto"/>
        <w:rPr>
          <w:rFonts w:ascii="Arial" w:eastAsia="Arial" w:hAnsi="Arial" w:cs="Arial"/>
          <w:b/>
          <w:color w:val="741B47"/>
          <w:vertAlign w:val="superscript"/>
        </w:rPr>
      </w:pPr>
      <w:r>
        <w:rPr>
          <w:rFonts w:ascii="Arial" w:eastAsia="Arial" w:hAnsi="Arial" w:cs="Arial"/>
        </w:rPr>
        <w:t>To our best knowledge, despite having repeatedly raised this issue for Government response via all channels available to both our organisations</w:t>
      </w:r>
      <w:r>
        <w:rPr>
          <w:rFonts w:ascii="Arial" w:eastAsia="Arial" w:hAnsi="Arial" w:cs="Arial"/>
          <w:b/>
          <w:color w:val="741B47"/>
          <w:vertAlign w:val="superscript"/>
        </w:rPr>
        <w:footnoteReference w:id="14"/>
      </w:r>
      <w:r>
        <w:rPr>
          <w:rFonts w:ascii="Arial" w:eastAsia="Arial" w:hAnsi="Arial" w:cs="Arial"/>
        </w:rPr>
        <w:t xml:space="preserve"> - and despite the issue being raised by experts in other DPOs,</w:t>
      </w:r>
      <w:r>
        <w:rPr>
          <w:rFonts w:ascii="Arial" w:eastAsia="Arial" w:hAnsi="Arial" w:cs="Arial"/>
          <w:b/>
          <w:color w:val="741B47"/>
          <w:vertAlign w:val="superscript"/>
        </w:rPr>
        <w:footnoteReference w:id="15"/>
      </w:r>
      <w:r>
        <w:rPr>
          <w:rFonts w:ascii="Arial" w:eastAsia="Arial" w:hAnsi="Arial" w:cs="Arial"/>
        </w:rPr>
        <w:t xml:space="preserve"> academic and legal institutions, State bodies,</w:t>
      </w:r>
      <w:r>
        <w:rPr>
          <w:rFonts w:ascii="Arial" w:eastAsia="Arial" w:hAnsi="Arial" w:cs="Arial"/>
          <w:b/>
          <w:color w:val="741B47"/>
          <w:vertAlign w:val="superscript"/>
        </w:rPr>
        <w:footnoteReference w:id="16"/>
      </w:r>
      <w:r>
        <w:rPr>
          <w:rFonts w:ascii="Arial" w:eastAsia="Arial" w:hAnsi="Arial" w:cs="Arial"/>
        </w:rPr>
        <w:t xml:space="preserve"> and even by members of Parliament directly - no meaningful response or investigation into these allegations of systemic discrimination has been made to date by the Irish Government.</w:t>
      </w:r>
      <w:r>
        <w:rPr>
          <w:rFonts w:ascii="Arial" w:eastAsia="Arial" w:hAnsi="Arial" w:cs="Arial"/>
          <w:b/>
          <w:color w:val="741B47"/>
          <w:vertAlign w:val="superscript"/>
        </w:rPr>
        <w:footnoteReference w:id="17"/>
      </w:r>
      <w:r>
        <w:rPr>
          <w:rFonts w:ascii="Arial" w:eastAsia="Arial" w:hAnsi="Arial" w:cs="Arial"/>
        </w:rPr>
        <w:t xml:space="preserve"> Furthermore no disaggregated data on the use of Parental Capacity Assessments appears to be collected by the State, or be made available to our national human rights monitoring bodies.</w:t>
      </w:r>
      <w:r>
        <w:rPr>
          <w:rFonts w:ascii="Arial" w:eastAsia="Arial" w:hAnsi="Arial" w:cs="Arial"/>
          <w:b/>
          <w:color w:val="741B47"/>
          <w:vertAlign w:val="superscript"/>
        </w:rPr>
        <w:footnoteReference w:id="18"/>
      </w:r>
    </w:p>
    <w:p w14:paraId="5A1692CA" w14:textId="77777777" w:rsidR="00392978" w:rsidRDefault="00000000">
      <w:pPr>
        <w:spacing w:after="240" w:line="360" w:lineRule="auto"/>
        <w:ind w:left="720" w:right="526"/>
        <w:rPr>
          <w:rFonts w:ascii="Arial" w:eastAsia="Arial" w:hAnsi="Arial" w:cs="Arial"/>
          <w:b/>
          <w:i/>
        </w:rPr>
      </w:pPr>
      <w:r>
        <w:rPr>
          <w:rFonts w:ascii="Arial" w:eastAsia="Arial" w:hAnsi="Arial" w:cs="Arial"/>
          <w:b/>
          <w:i/>
        </w:rPr>
        <w:t xml:space="preserve">“Parental capacity assessments are a tick-box exercise designed to separate disabled people from their children because we do not trust disabled women to be parents. That is simply it.. We do not actually provide people with the support to parent. We need to stop looking at disabled parents as a danger and start seeing what measures we have to support them.” </w:t>
      </w:r>
      <w:r>
        <w:rPr>
          <w:rFonts w:ascii="Arial" w:eastAsia="Arial" w:hAnsi="Arial" w:cs="Arial"/>
          <w:b/>
          <w:color w:val="741B47"/>
          <w:vertAlign w:val="superscript"/>
        </w:rPr>
        <w:footnoteReference w:id="19"/>
      </w:r>
    </w:p>
    <w:p w14:paraId="2F0A4386" w14:textId="77777777" w:rsidR="00392978" w:rsidRDefault="00000000" w:rsidP="007A0944">
      <w:pPr>
        <w:spacing w:line="360" w:lineRule="auto"/>
        <w:ind w:left="720" w:right="100"/>
        <w:jc w:val="right"/>
        <w:rPr>
          <w:rFonts w:ascii="Arial" w:eastAsia="Arial" w:hAnsi="Arial" w:cs="Arial"/>
          <w:b/>
          <w:color w:val="741B47"/>
        </w:rPr>
      </w:pPr>
      <w:r>
        <w:rPr>
          <w:rFonts w:ascii="Arial" w:eastAsia="Arial" w:hAnsi="Arial" w:cs="Arial"/>
          <w:b/>
        </w:rPr>
        <w:t xml:space="preserve">- </w:t>
      </w:r>
      <w:r>
        <w:rPr>
          <w:rFonts w:ascii="Arial" w:eastAsia="Arial" w:hAnsi="Arial" w:cs="Arial"/>
          <w:b/>
          <w:color w:val="741B47"/>
        </w:rPr>
        <w:t>Maria Ní Fhlatharta to Oireachtas Committee on Disability Matters</w:t>
      </w:r>
    </w:p>
    <w:p w14:paraId="37CD33FC" w14:textId="77777777" w:rsidR="00392978" w:rsidRDefault="00392978">
      <w:pPr>
        <w:spacing w:before="240" w:after="240" w:line="360" w:lineRule="auto"/>
        <w:ind w:left="720" w:right="100"/>
        <w:jc w:val="right"/>
        <w:rPr>
          <w:rFonts w:ascii="Arial" w:eastAsia="Arial" w:hAnsi="Arial" w:cs="Arial"/>
          <w:b/>
          <w:color w:val="741B47"/>
        </w:rPr>
      </w:pPr>
    </w:p>
    <w:p w14:paraId="56502F40" w14:textId="77777777" w:rsidR="00392978" w:rsidRDefault="00000000">
      <w:pPr>
        <w:spacing w:after="240" w:line="360" w:lineRule="auto"/>
        <w:rPr>
          <w:rFonts w:ascii="Arial" w:eastAsia="Arial" w:hAnsi="Arial" w:cs="Arial"/>
        </w:rPr>
      </w:pPr>
      <w:r>
        <w:rPr>
          <w:rFonts w:ascii="Arial" w:eastAsia="Arial" w:hAnsi="Arial" w:cs="Arial"/>
        </w:rPr>
        <w:t xml:space="preserve">Whether or not these women have an able-bodied partner, gendered biases position them as an unfit parent on the (often false) assumption that they will not be able to provide personal care such as feeding, bathing and dressing to their infants and young children. Disabled fathers with able-bodied female partners do not face this level of scrutiny and discrimination, in our experience, so we appeal to the Committee to acknowledge this form of discrimination against women which goes unrecognised in Ireland. </w:t>
      </w:r>
    </w:p>
    <w:p w14:paraId="5D3188E2" w14:textId="77777777" w:rsidR="00392978" w:rsidRDefault="00000000">
      <w:pPr>
        <w:spacing w:before="240" w:after="240" w:line="360" w:lineRule="auto"/>
        <w:rPr>
          <w:rFonts w:ascii="Arial" w:eastAsia="Arial" w:hAnsi="Arial" w:cs="Arial"/>
        </w:rPr>
      </w:pPr>
      <w:r>
        <w:rPr>
          <w:rFonts w:ascii="Arial" w:eastAsia="Arial" w:hAnsi="Arial" w:cs="Arial"/>
        </w:rPr>
        <w:t>It is due to biases that disabled bodies are not fully capable of performing ‘women’s duties’ that this discrimination persists.</w:t>
      </w:r>
    </w:p>
    <w:p w14:paraId="505D2FC0" w14:textId="77777777" w:rsidR="00392978" w:rsidRDefault="00392978">
      <w:pPr>
        <w:spacing w:before="240" w:after="240" w:line="360" w:lineRule="auto"/>
        <w:rPr>
          <w:rFonts w:ascii="Arial" w:eastAsia="Arial" w:hAnsi="Arial" w:cs="Arial"/>
        </w:rPr>
      </w:pPr>
    </w:p>
    <w:p w14:paraId="21FDB6F0" w14:textId="77777777" w:rsidR="00392978" w:rsidRDefault="00000000">
      <w:pPr>
        <w:spacing w:before="240" w:after="200" w:line="360" w:lineRule="auto"/>
        <w:ind w:left="720"/>
        <w:rPr>
          <w:rFonts w:ascii="Arial" w:eastAsia="Arial" w:hAnsi="Arial" w:cs="Arial"/>
          <w:b/>
          <w:color w:val="741B47"/>
        </w:rPr>
      </w:pPr>
      <w:r>
        <w:rPr>
          <w:rFonts w:ascii="Arial" w:eastAsia="Arial" w:hAnsi="Arial" w:cs="Arial"/>
          <w:b/>
        </w:rPr>
        <w:t xml:space="preserve"> “[Disabled women] harbour innate fear that as parents, their expert witness of their abilities and limitations go unheard and that any attempt to seek support is viewed as a failure in their capacity or capability, requiring intervention or even threat of separation from their child.”</w:t>
      </w:r>
      <w:r>
        <w:rPr>
          <w:rFonts w:ascii="Arial" w:eastAsia="Arial" w:hAnsi="Arial" w:cs="Arial"/>
          <w:b/>
          <w:color w:val="741B47"/>
          <w:vertAlign w:val="superscript"/>
        </w:rPr>
        <w:footnoteReference w:id="20"/>
      </w:r>
    </w:p>
    <w:p w14:paraId="1D5FD507" w14:textId="77777777" w:rsidR="00392978" w:rsidRDefault="00000000">
      <w:pPr>
        <w:spacing w:before="240" w:after="240" w:line="360" w:lineRule="auto"/>
        <w:ind w:left="720" w:right="-182"/>
        <w:jc w:val="right"/>
        <w:rPr>
          <w:rFonts w:ascii="Arial" w:eastAsia="Arial" w:hAnsi="Arial" w:cs="Arial"/>
          <w:b/>
          <w:color w:val="741B47"/>
        </w:rPr>
      </w:pPr>
      <w:r>
        <w:rPr>
          <w:rFonts w:ascii="Arial" w:eastAsia="Arial" w:hAnsi="Arial" w:cs="Arial"/>
          <w:b/>
        </w:rPr>
        <w:t xml:space="preserve">- </w:t>
      </w:r>
      <w:r>
        <w:rPr>
          <w:rFonts w:ascii="Arial" w:eastAsia="Arial" w:hAnsi="Arial" w:cs="Arial"/>
          <w:b/>
          <w:color w:val="741B47"/>
        </w:rPr>
        <w:t>Re(al) Productive Justice Project</w:t>
      </w:r>
    </w:p>
    <w:p w14:paraId="007C3E18" w14:textId="77777777" w:rsidR="00392978" w:rsidRDefault="00392978">
      <w:pPr>
        <w:pStyle w:val="Heading2"/>
        <w:spacing w:line="360" w:lineRule="auto"/>
        <w:rPr>
          <w:rFonts w:ascii="Arial" w:eastAsia="Arial" w:hAnsi="Arial" w:cs="Arial"/>
          <w:color w:val="741B47"/>
          <w:sz w:val="26"/>
        </w:rPr>
      </w:pPr>
      <w:bookmarkStart w:id="12" w:name="_heading=h.389b4cmen1hl" w:colFirst="0" w:colLast="0"/>
      <w:bookmarkEnd w:id="12"/>
    </w:p>
    <w:p w14:paraId="3966DC4F" w14:textId="77777777" w:rsidR="00392978" w:rsidRDefault="00392978"/>
    <w:p w14:paraId="3A1EA861" w14:textId="77777777" w:rsidR="00392978" w:rsidRDefault="00392978"/>
    <w:p w14:paraId="452E62D6" w14:textId="77777777" w:rsidR="00392978" w:rsidRDefault="00392978"/>
    <w:p w14:paraId="1F927E2A" w14:textId="77777777" w:rsidR="00392978" w:rsidRDefault="00392978"/>
    <w:p w14:paraId="51FEE39A" w14:textId="77777777" w:rsidR="00392978" w:rsidRDefault="00392978"/>
    <w:p w14:paraId="3A6E7CB0" w14:textId="77777777" w:rsidR="00392978" w:rsidRDefault="00392978"/>
    <w:p w14:paraId="3BB23B70" w14:textId="77777777" w:rsidR="00392978" w:rsidRDefault="00392978"/>
    <w:p w14:paraId="3F9F06D0" w14:textId="77777777" w:rsidR="00392978" w:rsidRDefault="00392978"/>
    <w:p w14:paraId="52D52C35" w14:textId="77777777" w:rsidR="00392978" w:rsidRDefault="00392978"/>
    <w:p w14:paraId="570DD481" w14:textId="77777777" w:rsidR="00392978" w:rsidRDefault="00392978"/>
    <w:p w14:paraId="489E3E3E" w14:textId="77777777" w:rsidR="00392978" w:rsidRDefault="00392978"/>
    <w:p w14:paraId="79C6A125" w14:textId="77777777" w:rsidR="00392978" w:rsidRDefault="00392978"/>
    <w:p w14:paraId="5420F35D" w14:textId="77777777" w:rsidR="00392978" w:rsidRDefault="00392978"/>
    <w:p w14:paraId="0F25186C" w14:textId="77777777" w:rsidR="00392978" w:rsidRDefault="00392978"/>
    <w:p w14:paraId="1D268E59" w14:textId="77777777" w:rsidR="00392978" w:rsidRDefault="00392978"/>
    <w:p w14:paraId="6B2FBF20" w14:textId="77777777" w:rsidR="00392978" w:rsidRDefault="00392978"/>
    <w:p w14:paraId="21C423D1" w14:textId="77777777" w:rsidR="00392978" w:rsidRDefault="00000000">
      <w:pPr>
        <w:pStyle w:val="Heading2"/>
        <w:spacing w:before="0" w:line="360" w:lineRule="auto"/>
        <w:rPr>
          <w:i/>
          <w:color w:val="741B47"/>
          <w:sz w:val="26"/>
        </w:rPr>
      </w:pPr>
      <w:bookmarkStart w:id="13" w:name="_heading=h.nb9tvdbsk3ei" w:colFirst="0" w:colLast="0"/>
      <w:bookmarkEnd w:id="13"/>
      <w:r>
        <w:rPr>
          <w:i/>
          <w:color w:val="741B47"/>
          <w:sz w:val="28"/>
          <w:szCs w:val="28"/>
        </w:rPr>
        <w:lastRenderedPageBreak/>
        <w:t>Sexual and Reproductive Health and Rights, and Healthcare</w:t>
      </w:r>
    </w:p>
    <w:p w14:paraId="7C9EBFB2" w14:textId="77777777" w:rsidR="00392978" w:rsidRDefault="00000000">
      <w:pPr>
        <w:spacing w:after="200" w:line="360" w:lineRule="auto"/>
        <w:rPr>
          <w:rFonts w:ascii="Arial" w:eastAsia="Arial" w:hAnsi="Arial" w:cs="Arial"/>
          <w:b/>
          <w:color w:val="741B47"/>
        </w:rPr>
      </w:pPr>
      <w:r>
        <w:rPr>
          <w:rFonts w:ascii="Arial" w:eastAsia="Arial" w:hAnsi="Arial" w:cs="Arial"/>
        </w:rPr>
        <w:t>Disabled women and pregnant people face numerous barriers to adequate maternity, sexual, and reproductive health services, barriers which endanger their lives and increase their risk of mistreatment within healthcare services. Pregnant people with pre-existing medical conditions accounted for 68% of maternal deaths in the 2013-2015 period.</w:t>
      </w:r>
      <w:r>
        <w:rPr>
          <w:rFonts w:ascii="Arial" w:eastAsia="Arial" w:hAnsi="Arial" w:cs="Arial"/>
          <w:b/>
          <w:color w:val="741B47"/>
          <w:vertAlign w:val="superscript"/>
        </w:rPr>
        <w:footnoteReference w:id="21"/>
      </w:r>
    </w:p>
    <w:p w14:paraId="712D0766" w14:textId="77777777" w:rsidR="00392978" w:rsidRDefault="00000000">
      <w:pPr>
        <w:spacing w:after="200" w:line="360" w:lineRule="auto"/>
        <w:rPr>
          <w:rFonts w:ascii="Arial" w:eastAsia="Arial" w:hAnsi="Arial" w:cs="Arial"/>
        </w:rPr>
      </w:pPr>
      <w:r>
        <w:rPr>
          <w:rFonts w:ascii="Arial" w:eastAsia="Arial" w:hAnsi="Arial" w:cs="Arial"/>
        </w:rPr>
        <w:t>Discrimination against disabled women can manifest in denial of access to services to disabled people, in the withholding or information about sexual and reproductive options and in the questioning of their capacity to make self-directed decisions or to consent to long-term treatments.</w:t>
      </w:r>
    </w:p>
    <w:p w14:paraId="6781B815" w14:textId="77777777" w:rsidR="00392978" w:rsidRDefault="00392978">
      <w:pPr>
        <w:spacing w:before="240" w:after="200"/>
        <w:rPr>
          <w:rFonts w:ascii="Arial" w:eastAsia="Arial" w:hAnsi="Arial" w:cs="Arial"/>
          <w:sz w:val="8"/>
          <w:szCs w:val="8"/>
        </w:rPr>
      </w:pPr>
    </w:p>
    <w:p w14:paraId="767FEA59" w14:textId="77777777" w:rsidR="00392978" w:rsidRDefault="00000000">
      <w:pPr>
        <w:spacing w:before="240" w:after="200" w:line="360" w:lineRule="auto"/>
        <w:ind w:left="720"/>
        <w:rPr>
          <w:rFonts w:ascii="Arial" w:eastAsia="Arial" w:hAnsi="Arial" w:cs="Arial"/>
          <w:b/>
        </w:rPr>
      </w:pPr>
      <w:r>
        <w:rPr>
          <w:rFonts w:ascii="Arial" w:eastAsia="Arial" w:hAnsi="Arial" w:cs="Arial"/>
          <w:b/>
        </w:rPr>
        <w:t>“Coercive practices: whether pressure from professionals to accept contraception or the undue influence of family members on reproductive choices, exertion of control and coercion prevents many disabled people from accessing fertility and contraceptive services on an equal basis with non-disabled people.”</w:t>
      </w:r>
    </w:p>
    <w:p w14:paraId="244E47AD" w14:textId="77777777" w:rsidR="00392978" w:rsidRDefault="00000000">
      <w:pPr>
        <w:spacing w:before="200" w:line="360" w:lineRule="auto"/>
        <w:ind w:left="720"/>
        <w:rPr>
          <w:rFonts w:ascii="Arial" w:eastAsia="Arial" w:hAnsi="Arial" w:cs="Arial"/>
          <w:b/>
        </w:rPr>
      </w:pPr>
      <w:r>
        <w:rPr>
          <w:rFonts w:ascii="Arial" w:eastAsia="Arial" w:hAnsi="Arial" w:cs="Arial"/>
          <w:b/>
        </w:rPr>
        <w:t>“There are also higher rates of sterilisation, and forced abortion among disabled women and girls”</w:t>
      </w:r>
      <w:r>
        <w:rPr>
          <w:rFonts w:ascii="Arial" w:eastAsia="Arial" w:hAnsi="Arial" w:cs="Arial"/>
          <w:b/>
          <w:color w:val="741B47"/>
          <w:sz w:val="21"/>
          <w:szCs w:val="21"/>
          <w:vertAlign w:val="superscript"/>
        </w:rPr>
        <w:footnoteReference w:id="22"/>
      </w:r>
    </w:p>
    <w:p w14:paraId="6A208EB0" w14:textId="77777777" w:rsidR="00392978" w:rsidRDefault="00000000">
      <w:pPr>
        <w:spacing w:before="200" w:after="400" w:line="360" w:lineRule="auto"/>
        <w:ind w:left="720" w:right="-182"/>
        <w:jc w:val="right"/>
        <w:rPr>
          <w:rFonts w:ascii="Arial" w:eastAsia="Arial" w:hAnsi="Arial" w:cs="Arial"/>
          <w:b/>
          <w:color w:val="A61C00"/>
          <w:sz w:val="26"/>
          <w:szCs w:val="26"/>
        </w:rPr>
      </w:pPr>
      <w:r>
        <w:rPr>
          <w:rFonts w:ascii="Arial" w:eastAsia="Arial" w:hAnsi="Arial" w:cs="Arial"/>
          <w:b/>
        </w:rPr>
        <w:t xml:space="preserve">- </w:t>
      </w:r>
      <w:r>
        <w:rPr>
          <w:rFonts w:ascii="Arial" w:eastAsia="Arial" w:hAnsi="Arial" w:cs="Arial"/>
          <w:b/>
          <w:color w:val="741B47"/>
        </w:rPr>
        <w:t>Re(al) Productive Justice Project findings</w:t>
      </w:r>
    </w:p>
    <w:p w14:paraId="7E0EE3C7" w14:textId="77777777" w:rsidR="00392978" w:rsidRDefault="00000000">
      <w:pPr>
        <w:spacing w:line="360" w:lineRule="auto"/>
        <w:rPr>
          <w:rFonts w:ascii="Arial" w:eastAsia="Arial" w:hAnsi="Arial" w:cs="Arial"/>
        </w:rPr>
      </w:pPr>
      <w:r>
        <w:rPr>
          <w:rFonts w:ascii="Arial" w:eastAsia="Arial" w:hAnsi="Arial" w:cs="Arial"/>
        </w:rPr>
        <w:t>The challenges faced by disabled women in becoming parents begin even before pregnancy. Access to reproductive healthcare is often limited by physical inaccessibility and attitudinal assumptions about disabled women’s capacity to make decisions about their bodies.</w:t>
      </w:r>
      <w:r>
        <w:rPr>
          <w:rFonts w:ascii="Arial" w:eastAsia="Arial" w:hAnsi="Arial" w:cs="Arial"/>
          <w:b/>
          <w:color w:val="741B47"/>
          <w:vertAlign w:val="superscript"/>
        </w:rPr>
        <w:footnoteReference w:id="23"/>
      </w:r>
      <w:r>
        <w:rPr>
          <w:rFonts w:ascii="Arial" w:eastAsia="Arial" w:hAnsi="Arial" w:cs="Arial"/>
          <w:b/>
          <w:color w:val="741B47"/>
        </w:rPr>
        <w:t xml:space="preserve"> </w:t>
      </w:r>
      <w:r>
        <w:rPr>
          <w:rFonts w:ascii="Arial" w:eastAsia="Arial" w:hAnsi="Arial" w:cs="Arial"/>
          <w:b/>
          <w:color w:val="741B47"/>
          <w:vertAlign w:val="superscript"/>
        </w:rPr>
        <w:footnoteReference w:id="24"/>
      </w:r>
      <w:r>
        <w:rPr>
          <w:rFonts w:ascii="Arial" w:eastAsia="Arial" w:hAnsi="Arial" w:cs="Arial"/>
        </w:rPr>
        <w:t xml:space="preserve"> Despite the right to reproductive autonomy emphasised by the CEDAW and CRPD Conventions, many disabled women in Ireland report challenges accessing basic services, such as smear tests, </w:t>
      </w:r>
      <w:r>
        <w:rPr>
          <w:rFonts w:ascii="Arial" w:eastAsia="Arial" w:hAnsi="Arial" w:cs="Arial"/>
        </w:rPr>
        <w:lastRenderedPageBreak/>
        <w:t>contraception, and prenatal care.</w:t>
      </w:r>
      <w:r>
        <w:rPr>
          <w:rFonts w:ascii="Arial" w:eastAsia="Arial" w:hAnsi="Arial" w:cs="Arial"/>
          <w:b/>
          <w:color w:val="741B47"/>
          <w:vertAlign w:val="superscript"/>
        </w:rPr>
        <w:footnoteReference w:id="25"/>
      </w:r>
      <w:r>
        <w:rPr>
          <w:rFonts w:ascii="Arial" w:eastAsia="Arial" w:hAnsi="Arial" w:cs="Arial"/>
        </w:rPr>
        <w:t xml:space="preserve"> Disabled women also face legal discrimination under the Irish Assisted Human Reproduction law.</w:t>
      </w:r>
      <w:r>
        <w:rPr>
          <w:rFonts w:ascii="Arial" w:eastAsia="Arial" w:hAnsi="Arial" w:cs="Arial"/>
          <w:b/>
          <w:color w:val="741B47"/>
          <w:vertAlign w:val="superscript"/>
        </w:rPr>
        <w:footnoteReference w:id="26"/>
      </w:r>
      <w:r>
        <w:rPr>
          <w:rFonts w:ascii="Arial" w:eastAsia="Arial" w:hAnsi="Arial" w:cs="Arial"/>
        </w:rPr>
        <w:t xml:space="preserve"> </w:t>
      </w:r>
    </w:p>
    <w:p w14:paraId="1C455470" w14:textId="77777777" w:rsidR="00392978" w:rsidRDefault="00000000">
      <w:pPr>
        <w:spacing w:before="240" w:line="360" w:lineRule="auto"/>
        <w:rPr>
          <w:rFonts w:ascii="Arial" w:eastAsia="Arial" w:hAnsi="Arial" w:cs="Arial"/>
        </w:rPr>
      </w:pPr>
      <w:r>
        <w:rPr>
          <w:rFonts w:ascii="Arial" w:eastAsia="Arial" w:hAnsi="Arial" w:cs="Arial"/>
        </w:rPr>
        <w:t>While there has not been sufficient time since the introduction of this law to determine whether its implementation will show unequal application of the provisions limiting disabled people’s access to assistive services to an extent that would constitute discrimination against women, we have concern that the embedded discriminatory attitudes against disabled mothers outlined above will come into play if not actively combatted by Government action.</w:t>
      </w:r>
    </w:p>
    <w:p w14:paraId="2AC50C01" w14:textId="77777777" w:rsidR="00392978" w:rsidRDefault="00392978">
      <w:pPr>
        <w:spacing w:before="240" w:line="360" w:lineRule="auto"/>
        <w:rPr>
          <w:rFonts w:ascii="Arial" w:eastAsia="Arial" w:hAnsi="Arial" w:cs="Arial"/>
          <w:sz w:val="12"/>
          <w:szCs w:val="12"/>
        </w:rPr>
      </w:pPr>
    </w:p>
    <w:p w14:paraId="646A487F" w14:textId="77777777" w:rsidR="00392978" w:rsidRDefault="00000000">
      <w:pPr>
        <w:spacing w:before="240" w:line="360" w:lineRule="auto"/>
        <w:rPr>
          <w:rFonts w:ascii="Arial" w:eastAsia="Arial" w:hAnsi="Arial" w:cs="Arial"/>
        </w:rPr>
      </w:pPr>
      <w:r>
        <w:rPr>
          <w:rFonts w:ascii="Arial" w:eastAsia="Arial" w:hAnsi="Arial" w:cs="Arial"/>
        </w:rPr>
        <w:t xml:space="preserve">Although these forms of discrimination and inequality are often chalked up to simple ableism, and this can account for the majority of purely practical access issues in healthcare inaccessibility across most health services, it is our collective experience and our contention that discrimination in SRHR decision-making and information provision is better understood as a form of gendered discrimination when applied to disabled bodies and minds. Such discrimination cannot be understood or addressed as a product of ableist prejudice </w:t>
      </w:r>
      <w:r>
        <w:rPr>
          <w:rFonts w:ascii="Arial" w:eastAsia="Arial" w:hAnsi="Arial" w:cs="Arial"/>
          <w:i/>
        </w:rPr>
        <w:t>or</w:t>
      </w:r>
      <w:r>
        <w:rPr>
          <w:rFonts w:ascii="Arial" w:eastAsia="Arial" w:hAnsi="Arial" w:cs="Arial"/>
        </w:rPr>
        <w:t xml:space="preserve"> of misogynist prejudice; but as both. It is not only on a biological level, but also a social level, that this discrimination is gendered.</w:t>
      </w:r>
    </w:p>
    <w:p w14:paraId="5C6C0A93" w14:textId="77777777" w:rsidR="00392978" w:rsidRDefault="00000000">
      <w:pPr>
        <w:spacing w:before="240" w:after="200" w:line="360" w:lineRule="auto"/>
        <w:ind w:left="566" w:right="526"/>
        <w:rPr>
          <w:rFonts w:ascii="Arial" w:eastAsia="Arial" w:hAnsi="Arial" w:cs="Arial"/>
          <w:b/>
          <w:sz w:val="26"/>
          <w:szCs w:val="26"/>
        </w:rPr>
      </w:pPr>
      <w:r>
        <w:rPr>
          <w:rFonts w:ascii="Arial" w:eastAsia="Arial" w:hAnsi="Arial" w:cs="Arial"/>
          <w:b/>
          <w:sz w:val="26"/>
          <w:szCs w:val="26"/>
        </w:rPr>
        <w:t xml:space="preserve">“With regard to care at home after the birth, women with a disability reported a significantly lower mean score on feeling involved in decisions on their care at home.” </w:t>
      </w:r>
    </w:p>
    <w:p w14:paraId="37DE8C75" w14:textId="77777777" w:rsidR="00392978" w:rsidRDefault="00000000">
      <w:pPr>
        <w:spacing w:after="400" w:line="360" w:lineRule="auto"/>
        <w:jc w:val="right"/>
        <w:rPr>
          <w:rFonts w:ascii="Arial" w:eastAsia="Arial" w:hAnsi="Arial" w:cs="Arial"/>
          <w:b/>
          <w:color w:val="741B47"/>
          <w:sz w:val="2"/>
          <w:szCs w:val="2"/>
        </w:rPr>
      </w:pPr>
      <w:r>
        <w:rPr>
          <w:rFonts w:ascii="Arial" w:eastAsia="Arial" w:hAnsi="Arial" w:cs="Arial"/>
          <w:b/>
          <w:color w:val="741B47"/>
          <w:sz w:val="26"/>
          <w:szCs w:val="26"/>
        </w:rPr>
        <w:t>- NDA Report on Maternity Services</w:t>
      </w:r>
    </w:p>
    <w:p w14:paraId="6FBF4349" w14:textId="77777777" w:rsidR="00392978" w:rsidRDefault="00000000">
      <w:pPr>
        <w:spacing w:before="240" w:line="360" w:lineRule="auto"/>
        <w:rPr>
          <w:rFonts w:ascii="Arial" w:eastAsia="Arial" w:hAnsi="Arial" w:cs="Arial"/>
        </w:rPr>
      </w:pPr>
      <w:r>
        <w:rPr>
          <w:rFonts w:ascii="Arial" w:eastAsia="Arial" w:hAnsi="Arial" w:cs="Arial"/>
        </w:rPr>
        <w:t>Disabled people experiencing unwanted pregnancy also face inequality of access to reproductive healthcare. 44.74% of disabled women seeking abortion since its introduction reported experiencing additional barriers due to being disabled.</w:t>
      </w:r>
      <w:r>
        <w:rPr>
          <w:rFonts w:ascii="Arial" w:eastAsia="Arial" w:hAnsi="Arial" w:cs="Arial"/>
          <w:b/>
          <w:color w:val="741B47"/>
          <w:sz w:val="26"/>
          <w:szCs w:val="26"/>
          <w:vertAlign w:val="superscript"/>
        </w:rPr>
        <w:footnoteReference w:id="27"/>
      </w:r>
      <w:r>
        <w:rPr>
          <w:rFonts w:ascii="Arial" w:eastAsia="Arial" w:hAnsi="Arial" w:cs="Arial"/>
          <w:sz w:val="26"/>
          <w:szCs w:val="26"/>
        </w:rPr>
        <w:t xml:space="preserve"> Many of these barriers are due to inadequate legislation, covered in reports by our colleagues in ICCL and NWCI.</w:t>
      </w:r>
    </w:p>
    <w:p w14:paraId="17853F1C" w14:textId="77777777" w:rsidR="00392978" w:rsidRDefault="00000000" w:rsidP="00B16596">
      <w:pPr>
        <w:spacing w:after="360" w:line="360" w:lineRule="auto"/>
        <w:ind w:left="567" w:right="527"/>
        <w:rPr>
          <w:rFonts w:ascii="Arial" w:eastAsia="Arial" w:hAnsi="Arial" w:cs="Arial"/>
          <w:b/>
          <w:color w:val="741B47"/>
          <w:sz w:val="26"/>
          <w:szCs w:val="26"/>
          <w:vertAlign w:val="superscript"/>
        </w:rPr>
      </w:pPr>
      <w:r w:rsidRPr="007A0944">
        <w:rPr>
          <w:rFonts w:ascii="Arial" w:eastAsia="Arial" w:hAnsi="Arial" w:cs="Arial"/>
          <w:b/>
          <w:i/>
        </w:rPr>
        <w:lastRenderedPageBreak/>
        <w:t>“[Termination of pregnancy was] so much harder to access - even though I was told that I would quite likely break my spine if my pregnancy continues - they didn't want to touch me because of my disability.”</w:t>
      </w:r>
      <w:r>
        <w:rPr>
          <w:rFonts w:ascii="Arial" w:eastAsia="Arial" w:hAnsi="Arial" w:cs="Arial"/>
          <w:b/>
          <w:i/>
          <w:sz w:val="26"/>
          <w:szCs w:val="26"/>
        </w:rPr>
        <w:t xml:space="preserve"> </w:t>
      </w:r>
      <w:r>
        <w:rPr>
          <w:rFonts w:ascii="Arial" w:eastAsia="Arial" w:hAnsi="Arial" w:cs="Arial"/>
          <w:b/>
          <w:color w:val="741B47"/>
          <w:sz w:val="26"/>
          <w:szCs w:val="26"/>
          <w:vertAlign w:val="superscript"/>
        </w:rPr>
        <w:footnoteReference w:id="28"/>
      </w:r>
    </w:p>
    <w:p w14:paraId="6DD2C4C0" w14:textId="77777777" w:rsidR="00392978" w:rsidRDefault="00000000">
      <w:pPr>
        <w:spacing w:before="240" w:line="360" w:lineRule="auto"/>
        <w:rPr>
          <w:rFonts w:ascii="Arial" w:eastAsia="Arial" w:hAnsi="Arial" w:cs="Arial"/>
        </w:rPr>
      </w:pPr>
      <w:r>
        <w:rPr>
          <w:rFonts w:ascii="Arial" w:eastAsia="Arial" w:hAnsi="Arial" w:cs="Arial"/>
        </w:rPr>
        <w:t>While it may seem counterintuitive to those without experience of disability, social norms which aggressively de-sexualise disabled bodies often interact strangely with the widespread sexualisation of women when it comes to femme-presenting disabled people. This leads to a variety of sometimes contradictory responses. For as long as female bodies are primarily viewed as sexual objects and/or instruments to provide service and nurturing to others, disabled people of marginalised genders will face unique forms of discrimination against women.</w:t>
      </w:r>
    </w:p>
    <w:p w14:paraId="49D2E0B4" w14:textId="77777777" w:rsidR="00392978" w:rsidRPr="00B16596" w:rsidRDefault="00392978" w:rsidP="00B16596">
      <w:pPr>
        <w:rPr>
          <w:rFonts w:ascii="Arial" w:eastAsia="Arial" w:hAnsi="Arial" w:cs="Arial"/>
          <w:sz w:val="32"/>
          <w:szCs w:val="32"/>
        </w:rPr>
      </w:pPr>
    </w:p>
    <w:p w14:paraId="3A03230C" w14:textId="7E16DA72" w:rsidR="00392978" w:rsidRDefault="00000000" w:rsidP="007A0944">
      <w:pPr>
        <w:spacing w:line="360" w:lineRule="auto"/>
        <w:rPr>
          <w:rFonts w:ascii="Arial" w:eastAsia="Arial" w:hAnsi="Arial" w:cs="Arial"/>
        </w:rPr>
      </w:pPr>
      <w:r>
        <w:rPr>
          <w:rFonts w:ascii="Arial" w:eastAsia="Arial" w:hAnsi="Arial" w:cs="Arial"/>
        </w:rPr>
        <w:t xml:space="preserve">NeuroPride also wish </w:t>
      </w:r>
      <w:r w:rsidR="007A0944">
        <w:rPr>
          <w:rFonts w:ascii="Arial" w:eastAsia="Arial" w:hAnsi="Arial" w:cs="Arial"/>
        </w:rPr>
        <w:t xml:space="preserve">to </w:t>
      </w:r>
      <w:r>
        <w:rPr>
          <w:rFonts w:ascii="Arial" w:eastAsia="Arial" w:hAnsi="Arial" w:cs="Arial"/>
        </w:rPr>
        <w:t>emphasise the far-reaching impact on Neurodivergent women of historic and ongoing gender discrimination in diagnosis</w:t>
      </w:r>
      <w:r w:rsidR="00B16596">
        <w:rPr>
          <w:rFonts w:ascii="Arial" w:eastAsia="Arial" w:hAnsi="Arial" w:cs="Arial"/>
        </w:rPr>
        <w:t xml:space="preserve"> and</w:t>
      </w:r>
      <w:r>
        <w:rPr>
          <w:rFonts w:ascii="Arial" w:eastAsia="Arial" w:hAnsi="Arial" w:cs="Arial"/>
        </w:rPr>
        <w:t xml:space="preserve"> disproportionate levels of misdiagnosis of women and girls, due to biases prevalent </w:t>
      </w:r>
      <w:r w:rsidR="00B16596">
        <w:rPr>
          <w:rFonts w:ascii="Arial" w:eastAsia="Arial" w:hAnsi="Arial" w:cs="Arial"/>
        </w:rPr>
        <w:t>throughout</w:t>
      </w:r>
      <w:r>
        <w:rPr>
          <w:rFonts w:ascii="Arial" w:eastAsia="Arial" w:hAnsi="Arial" w:cs="Arial"/>
        </w:rPr>
        <w:t xml:space="preserve"> psychiatric services</w:t>
      </w:r>
      <w:r w:rsidR="00B16596">
        <w:rPr>
          <w:rFonts w:ascii="Arial" w:eastAsia="Arial" w:hAnsi="Arial" w:cs="Arial"/>
        </w:rPr>
        <w:t>.</w:t>
      </w:r>
      <w:r>
        <w:rPr>
          <w:rFonts w:ascii="Arial" w:eastAsia="Arial" w:hAnsi="Arial" w:cs="Arial"/>
          <w:b/>
          <w:color w:val="741B47"/>
          <w:vertAlign w:val="superscript"/>
        </w:rPr>
        <w:footnoteReference w:id="29"/>
      </w:r>
      <w:r>
        <w:rPr>
          <w:rFonts w:ascii="Arial" w:eastAsia="Arial" w:hAnsi="Arial" w:cs="Arial"/>
        </w:rPr>
        <w:t xml:space="preserve"> Although gender discrepancies have been drastically reduced for girls in the past 5-10 years, due to improved awareness and training, there is still no public pathway to diagnosis for Autistic women. We welcomed the introduction of the </w:t>
      </w:r>
      <w:r>
        <w:rPr>
          <w:rFonts w:ascii="Arial" w:eastAsia="Arial" w:hAnsi="Arial" w:cs="Arial"/>
          <w:i/>
        </w:rPr>
        <w:t>The HSE National Clinical Programme for ADHD</w:t>
      </w:r>
      <w:r>
        <w:rPr>
          <w:rFonts w:ascii="Arial" w:eastAsia="Arial" w:hAnsi="Arial" w:cs="Arial"/>
        </w:rPr>
        <w:t xml:space="preserve"> in 2021, which opened a pathway for ADHD women who were overlooked in childhood, funding to the programme was cut and it ceased operating in 2024.</w:t>
      </w:r>
      <w:r>
        <w:rPr>
          <w:rFonts w:ascii="Arial" w:eastAsia="Arial" w:hAnsi="Arial" w:cs="Arial"/>
          <w:b/>
          <w:color w:val="741B47"/>
          <w:vertAlign w:val="superscript"/>
        </w:rPr>
        <w:footnoteReference w:id="30"/>
      </w:r>
    </w:p>
    <w:p w14:paraId="1142DDE2" w14:textId="77777777" w:rsidR="007A0944" w:rsidRPr="00B16596" w:rsidRDefault="007A0944" w:rsidP="007A0944">
      <w:pPr>
        <w:spacing w:line="360" w:lineRule="auto"/>
        <w:rPr>
          <w:rFonts w:ascii="Arial" w:eastAsia="Arial" w:hAnsi="Arial" w:cs="Arial"/>
          <w:b/>
          <w:color w:val="741B47"/>
          <w:sz w:val="20"/>
          <w:szCs w:val="20"/>
        </w:rPr>
      </w:pPr>
    </w:p>
    <w:p w14:paraId="25644C0B" w14:textId="14EC1BE5" w:rsidR="00392978" w:rsidRDefault="00000000" w:rsidP="007A0944">
      <w:pPr>
        <w:spacing w:line="360" w:lineRule="auto"/>
        <w:rPr>
          <w:rFonts w:ascii="Arial" w:eastAsia="Arial" w:hAnsi="Arial" w:cs="Arial"/>
        </w:rPr>
      </w:pPr>
      <w:r>
        <w:rPr>
          <w:rFonts w:ascii="Arial" w:eastAsia="Arial" w:hAnsi="Arial" w:cs="Arial"/>
        </w:rPr>
        <w:t xml:space="preserve">Unsupported Autistic and ADHD women and girls are at massively increased risk of experiencing sexual violence (9 in every </w:t>
      </w:r>
      <w:r w:rsidR="007A0944">
        <w:rPr>
          <w:rFonts w:ascii="Arial" w:eastAsia="Arial" w:hAnsi="Arial" w:cs="Arial"/>
        </w:rPr>
        <w:t>10</w:t>
      </w:r>
      <w:r>
        <w:rPr>
          <w:rFonts w:ascii="Arial" w:eastAsia="Arial" w:hAnsi="Arial" w:cs="Arial"/>
        </w:rPr>
        <w:t>),</w:t>
      </w:r>
      <w:r>
        <w:rPr>
          <w:rFonts w:ascii="Arial" w:eastAsia="Arial" w:hAnsi="Arial" w:cs="Arial"/>
          <w:b/>
          <w:color w:val="741B47"/>
          <w:vertAlign w:val="superscript"/>
        </w:rPr>
        <w:footnoteReference w:id="31"/>
      </w:r>
      <w:r>
        <w:rPr>
          <w:rFonts w:ascii="Arial" w:eastAsia="Arial" w:hAnsi="Arial" w:cs="Arial"/>
        </w:rPr>
        <w:t xml:space="preserve"> addiction</w:t>
      </w:r>
      <w:r>
        <w:rPr>
          <w:rFonts w:ascii="Arial" w:eastAsia="Arial" w:hAnsi="Arial" w:cs="Arial"/>
          <w:b/>
          <w:color w:val="741B47"/>
          <w:vertAlign w:val="superscript"/>
        </w:rPr>
        <w:footnoteReference w:id="32"/>
      </w:r>
      <w:r>
        <w:rPr>
          <w:rFonts w:ascii="Arial" w:eastAsia="Arial" w:hAnsi="Arial" w:cs="Arial"/>
        </w:rPr>
        <w:t xml:space="preserve"> and homelessness.</w:t>
      </w:r>
      <w:r>
        <w:rPr>
          <w:rFonts w:ascii="Arial" w:eastAsia="Arial" w:hAnsi="Arial" w:cs="Arial"/>
          <w:b/>
          <w:color w:val="741B47"/>
          <w:vertAlign w:val="superscript"/>
        </w:rPr>
        <w:footnoteReference w:id="33"/>
      </w:r>
      <w:r>
        <w:rPr>
          <w:rFonts w:ascii="Arial" w:eastAsia="Arial" w:hAnsi="Arial" w:cs="Arial"/>
        </w:rPr>
        <w:t xml:space="preserve"> While the Government has indicated its intention to re-open adult ADHD services in some capacity, they have not announced any plan to introduce a public pathway for Autistic adults. We believe equal access to diagnosis is essential to any plan to tackle gender-based discrimination and abuse against Neurodivergent women.</w:t>
      </w:r>
    </w:p>
    <w:p w14:paraId="3BB8272A" w14:textId="77777777" w:rsidR="00392978" w:rsidRPr="00B16596" w:rsidRDefault="00392978">
      <w:pPr>
        <w:pStyle w:val="Heading3"/>
        <w:spacing w:line="360" w:lineRule="auto"/>
        <w:rPr>
          <w:b/>
          <w:color w:val="741B47"/>
          <w:sz w:val="16"/>
          <w:szCs w:val="16"/>
        </w:rPr>
      </w:pPr>
      <w:bookmarkStart w:id="14" w:name="_heading=h.z3lmjrcyapq1" w:colFirst="0" w:colLast="0"/>
      <w:bookmarkStart w:id="15" w:name="_heading=h.m3z7jaomrjmz" w:colFirst="0" w:colLast="0"/>
      <w:bookmarkEnd w:id="14"/>
      <w:bookmarkEnd w:id="15"/>
    </w:p>
    <w:p w14:paraId="22C342D6" w14:textId="77777777" w:rsidR="00392978" w:rsidRDefault="00000000">
      <w:pPr>
        <w:pStyle w:val="Heading3"/>
        <w:spacing w:line="360" w:lineRule="auto"/>
        <w:rPr>
          <w:b/>
          <w:color w:val="741B47"/>
          <w:sz w:val="32"/>
          <w:szCs w:val="32"/>
        </w:rPr>
      </w:pPr>
      <w:r>
        <w:rPr>
          <w:b/>
          <w:color w:val="741B47"/>
          <w:sz w:val="32"/>
          <w:szCs w:val="32"/>
        </w:rPr>
        <w:t>Recommendations:</w:t>
      </w:r>
    </w:p>
    <w:p w14:paraId="37E7D7A5" w14:textId="77777777" w:rsidR="00392978" w:rsidRDefault="00000000" w:rsidP="00FF26E7">
      <w:pPr>
        <w:numPr>
          <w:ilvl w:val="0"/>
          <w:numId w:val="4"/>
        </w:numPr>
        <w:spacing w:before="120" w:afterLines="300" w:after="720"/>
        <w:ind w:left="714" w:hanging="357"/>
        <w:rPr>
          <w:rFonts w:ascii="Arial" w:eastAsia="Arial" w:hAnsi="Arial" w:cs="Arial"/>
          <w:b/>
          <w:color w:val="741B47"/>
          <w:sz w:val="25"/>
          <w:szCs w:val="25"/>
        </w:rPr>
      </w:pPr>
      <w:r>
        <w:rPr>
          <w:sz w:val="26"/>
          <w:szCs w:val="26"/>
        </w:rPr>
        <w:t>That a timely independent complaints process be identified - or established, if necessary - by the Government, and made available in instances where a reasonable case can be made discrimination in relation to a protected characteristic has played a role in legal decisions relating to Parental Capacity and/or custody, and that the State include details on steps taken to reduce parenting discrimination in its next report to this Committee.</w:t>
      </w:r>
    </w:p>
    <w:p w14:paraId="5448AEDB" w14:textId="77777777" w:rsidR="00392978" w:rsidRDefault="00000000" w:rsidP="00FF26E7">
      <w:pPr>
        <w:numPr>
          <w:ilvl w:val="0"/>
          <w:numId w:val="4"/>
        </w:numPr>
        <w:spacing w:before="120" w:afterLines="300" w:after="720"/>
        <w:ind w:left="714" w:hanging="357"/>
        <w:rPr>
          <w:rFonts w:ascii="Arial" w:eastAsia="Arial" w:hAnsi="Arial" w:cs="Arial"/>
          <w:b/>
          <w:color w:val="741B47"/>
          <w:sz w:val="25"/>
          <w:szCs w:val="25"/>
        </w:rPr>
      </w:pPr>
      <w:r>
        <w:rPr>
          <w:sz w:val="26"/>
          <w:szCs w:val="26"/>
        </w:rPr>
        <w:t>That the State develop and implement individualised, flexible supports that prioritise supporting disabled mothers to parent effectively, rather than assessing incapacity. This includes access to Personal Assistants, in-home support, and parenting tools, tailored to each family’s needs.</w:t>
      </w:r>
    </w:p>
    <w:p w14:paraId="0368E034" w14:textId="77777777" w:rsidR="00392978" w:rsidRDefault="00000000" w:rsidP="00FF26E7">
      <w:pPr>
        <w:numPr>
          <w:ilvl w:val="0"/>
          <w:numId w:val="4"/>
        </w:numPr>
        <w:spacing w:before="120" w:afterLines="300" w:after="720"/>
        <w:ind w:left="714" w:hanging="357"/>
        <w:rPr>
          <w:rFonts w:ascii="Arial" w:eastAsia="Arial" w:hAnsi="Arial" w:cs="Arial"/>
          <w:b/>
          <w:color w:val="741B47"/>
          <w:sz w:val="25"/>
          <w:szCs w:val="25"/>
        </w:rPr>
      </w:pPr>
      <w:r>
        <w:rPr>
          <w:sz w:val="26"/>
          <w:szCs w:val="26"/>
        </w:rPr>
        <w:t>That healthcare systems be made physically and communicatively accessible, with mandatory disability competence training for all professionals involved in reproductive and maternal care. Information should be available in accessible formats, and services should be designed with the active involvement of disabled women.</w:t>
      </w:r>
    </w:p>
    <w:p w14:paraId="696DD9CB" w14:textId="77777777" w:rsidR="00392978" w:rsidRDefault="00000000" w:rsidP="00FF26E7">
      <w:pPr>
        <w:numPr>
          <w:ilvl w:val="0"/>
          <w:numId w:val="4"/>
        </w:numPr>
        <w:spacing w:before="120" w:afterLines="300" w:after="720"/>
        <w:rPr>
          <w:rFonts w:ascii="Arial" w:eastAsia="Arial" w:hAnsi="Arial" w:cs="Arial"/>
          <w:b/>
          <w:color w:val="741B47"/>
          <w:sz w:val="25"/>
          <w:szCs w:val="25"/>
        </w:rPr>
      </w:pPr>
      <w:r>
        <w:rPr>
          <w:sz w:val="26"/>
          <w:szCs w:val="26"/>
        </w:rPr>
        <w:t>That parenting-related policies must integrate the voices and lived experiences of disabled mothers at every stage of development. The State should create clear, coordinated pathways for accessing support, including streamlined engagement with services such as Children's Disability Network Teams (CDNTs) and Assessment Of Needs (AON) processes for parents of disabled children.</w:t>
      </w:r>
    </w:p>
    <w:p w14:paraId="364935B6" w14:textId="77777777" w:rsidR="00392978" w:rsidRDefault="00000000" w:rsidP="00FF26E7">
      <w:pPr>
        <w:numPr>
          <w:ilvl w:val="0"/>
          <w:numId w:val="4"/>
        </w:numPr>
        <w:spacing w:before="120" w:afterLines="300" w:after="720"/>
        <w:rPr>
          <w:rFonts w:ascii="Arial" w:eastAsia="Arial" w:hAnsi="Arial" w:cs="Arial"/>
          <w:b/>
          <w:color w:val="741B47"/>
          <w:sz w:val="25"/>
          <w:szCs w:val="25"/>
        </w:rPr>
      </w:pPr>
      <w:r>
        <w:rPr>
          <w:sz w:val="26"/>
          <w:szCs w:val="26"/>
        </w:rPr>
        <w:t>That housing policies prioritise accessible, appropriate housing for disabled mothers and their families, recognising that inadequate housing undermines parenting capacity and increases risk of institutional scrutiny.</w:t>
      </w:r>
    </w:p>
    <w:p w14:paraId="319E4F59" w14:textId="77777777" w:rsidR="00392978" w:rsidRDefault="00000000" w:rsidP="00FF26E7">
      <w:pPr>
        <w:numPr>
          <w:ilvl w:val="0"/>
          <w:numId w:val="4"/>
        </w:numPr>
        <w:spacing w:before="120" w:afterLines="300" w:after="720"/>
        <w:rPr>
          <w:rFonts w:ascii="Arial" w:eastAsia="Arial" w:hAnsi="Arial" w:cs="Arial"/>
          <w:b/>
          <w:color w:val="741B47"/>
          <w:sz w:val="25"/>
          <w:szCs w:val="25"/>
        </w:rPr>
      </w:pPr>
      <w:r>
        <w:rPr>
          <w:sz w:val="26"/>
          <w:szCs w:val="26"/>
        </w:rPr>
        <w:t xml:space="preserve">That abortion is decriminalised in all circumstances in line with the 2018 Joint statement by Committee on the Rights of Persons with Disabilities (CRPD) and the Committee on the Elimination of All Forms of Discrimination against Women (CEDAW). As outlined in this statement, disabled people’s full range of rights can only be vindicated within a decriminalised framework. </w:t>
      </w:r>
    </w:p>
    <w:p w14:paraId="1DEB59EF" w14:textId="364E9332" w:rsidR="00392978" w:rsidRPr="00FF26E7" w:rsidRDefault="00000000" w:rsidP="00FF26E7">
      <w:pPr>
        <w:numPr>
          <w:ilvl w:val="0"/>
          <w:numId w:val="4"/>
        </w:numPr>
        <w:spacing w:before="120" w:afterLines="300" w:after="720"/>
        <w:rPr>
          <w:rFonts w:ascii="Arial" w:eastAsia="Arial" w:hAnsi="Arial" w:cs="Arial"/>
          <w:b/>
          <w:color w:val="741B47"/>
          <w:sz w:val="25"/>
          <w:szCs w:val="25"/>
        </w:rPr>
      </w:pPr>
      <w:r>
        <w:rPr>
          <w:sz w:val="26"/>
          <w:szCs w:val="26"/>
        </w:rPr>
        <w:lastRenderedPageBreak/>
        <w:t>If full decriminalisation cannot be achieved in the short-term, the 3-day mandatory waiting period should be repealed and other restrictions such as the 12 week LMP limit and restrictions relating to fatal foetal disability should be reviewed to ensure healthcare practitioners can best support their patients, as these provisions create significant additional barriers to disabled pregnant people and create a chilling effect on medical professionals which places pregnant people’s health and lives at risk.</w:t>
      </w:r>
    </w:p>
    <w:p w14:paraId="68E5E8BC" w14:textId="77777777" w:rsidR="00392978" w:rsidRDefault="00000000" w:rsidP="00FF26E7">
      <w:pPr>
        <w:numPr>
          <w:ilvl w:val="0"/>
          <w:numId w:val="4"/>
        </w:numPr>
        <w:spacing w:before="120" w:after="480"/>
        <w:ind w:left="714" w:hanging="357"/>
        <w:rPr>
          <w:rFonts w:ascii="Arial" w:eastAsia="Arial" w:hAnsi="Arial" w:cs="Arial"/>
          <w:b/>
          <w:color w:val="741B47"/>
          <w:sz w:val="25"/>
          <w:szCs w:val="25"/>
        </w:rPr>
      </w:pPr>
      <w:r>
        <w:rPr>
          <w:sz w:val="26"/>
          <w:szCs w:val="26"/>
        </w:rPr>
        <w:t>That implementation of Health (Regulation of Termination of Pregnancy) Act 2018 is monitored on an ongoing basis to ensure that all women in Ireland have equal and timely access to its provisions. The current review process should also determine a periodic review process to respond to barriers to access and address ongoing or future barriers to equality of access under the legislation.</w:t>
      </w:r>
    </w:p>
    <w:p w14:paraId="571E5601" w14:textId="77777777" w:rsidR="00392978" w:rsidRDefault="00000000" w:rsidP="00FF26E7">
      <w:pPr>
        <w:numPr>
          <w:ilvl w:val="0"/>
          <w:numId w:val="4"/>
        </w:numPr>
        <w:spacing w:before="120" w:after="480"/>
        <w:ind w:left="714" w:hanging="357"/>
        <w:rPr>
          <w:rFonts w:ascii="Arial" w:eastAsia="Arial" w:hAnsi="Arial" w:cs="Arial"/>
          <w:b/>
          <w:color w:val="741B47"/>
          <w:sz w:val="26"/>
          <w:szCs w:val="26"/>
        </w:rPr>
      </w:pPr>
      <w:r>
        <w:rPr>
          <w:sz w:val="26"/>
          <w:szCs w:val="26"/>
        </w:rPr>
        <w:t>That accessible pathways to adult diagnosis for ADHD, Autism and other Neurodivergencies be made available as part of mainstream public healthcare services nationally rather than as privately contracted services or as additional programmes subject to potential funding cuts, to ensure consistent reliability of support to those overlooked due to gender discrimination in the past.</w:t>
      </w:r>
    </w:p>
    <w:p w14:paraId="41D638CF" w14:textId="77777777" w:rsidR="00392978" w:rsidRDefault="00000000" w:rsidP="00FF26E7">
      <w:pPr>
        <w:numPr>
          <w:ilvl w:val="0"/>
          <w:numId w:val="4"/>
        </w:numPr>
        <w:spacing w:before="120" w:after="480"/>
        <w:ind w:left="714" w:hanging="357"/>
        <w:rPr>
          <w:rFonts w:ascii="Arial" w:eastAsia="Arial" w:hAnsi="Arial" w:cs="Arial"/>
          <w:b/>
          <w:color w:val="741B47"/>
          <w:sz w:val="25"/>
          <w:szCs w:val="25"/>
        </w:rPr>
      </w:pPr>
      <w:r>
        <w:rPr>
          <w:sz w:val="26"/>
          <w:szCs w:val="26"/>
        </w:rPr>
        <w:t>That Ireland introduce universal screening at key intervention points (e.g. inpatient mental health services) to identify Neurodivergent women and other gender minorities, reduce misdiagnosis and ensure they receive appropriate healthcare and support. Ensure that workers in these services are fully trained regarding Neurodivergent people’s decision-making rights under the Assisted Decision-Making (Capacity) Act 2015 and review the Act to remove discrimination under detained under Sections 85(7) and 136, as recommended by the Government’s own pre-legislative Committee.</w:t>
      </w:r>
      <w:r>
        <w:rPr>
          <w:b/>
          <w:color w:val="741B47"/>
          <w:sz w:val="26"/>
          <w:szCs w:val="26"/>
          <w:vertAlign w:val="superscript"/>
        </w:rPr>
        <w:footnoteReference w:id="34"/>
      </w:r>
      <w:r>
        <w:rPr>
          <w:sz w:val="26"/>
          <w:szCs w:val="26"/>
        </w:rPr>
        <w:t xml:space="preserve"> </w:t>
      </w:r>
    </w:p>
    <w:p w14:paraId="524E2BE0" w14:textId="77777777" w:rsidR="00392978" w:rsidRDefault="00392978">
      <w:pPr>
        <w:spacing w:before="240"/>
        <w:ind w:left="720"/>
        <w:rPr>
          <w:sz w:val="26"/>
          <w:szCs w:val="26"/>
        </w:rPr>
      </w:pPr>
    </w:p>
    <w:p w14:paraId="1BF5FF94" w14:textId="77777777" w:rsidR="00392978" w:rsidRDefault="00392978">
      <w:pPr>
        <w:spacing w:before="240"/>
        <w:ind w:left="720"/>
        <w:rPr>
          <w:sz w:val="26"/>
          <w:szCs w:val="26"/>
        </w:rPr>
      </w:pPr>
    </w:p>
    <w:p w14:paraId="475A8404" w14:textId="77777777" w:rsidR="00392978" w:rsidRDefault="00392978">
      <w:pPr>
        <w:spacing w:before="240"/>
        <w:rPr>
          <w:rFonts w:ascii="Arial" w:eastAsia="Arial" w:hAnsi="Arial" w:cs="Arial"/>
          <w:sz w:val="22"/>
          <w:szCs w:val="22"/>
        </w:rPr>
      </w:pPr>
    </w:p>
    <w:p w14:paraId="76877095" w14:textId="77777777" w:rsidR="00392978" w:rsidRDefault="00392978">
      <w:pPr>
        <w:spacing w:after="240" w:line="360" w:lineRule="auto"/>
        <w:rPr>
          <w:rFonts w:ascii="Arial" w:eastAsia="Arial" w:hAnsi="Arial" w:cs="Arial"/>
          <w:sz w:val="22"/>
          <w:szCs w:val="22"/>
        </w:rPr>
      </w:pPr>
    </w:p>
    <w:p w14:paraId="44F6E9E2" w14:textId="77777777" w:rsidR="00392978" w:rsidRDefault="00392978">
      <w:pPr>
        <w:spacing w:after="240" w:line="360" w:lineRule="auto"/>
        <w:rPr>
          <w:rFonts w:ascii="Arial" w:eastAsia="Arial" w:hAnsi="Arial" w:cs="Arial"/>
          <w:sz w:val="22"/>
          <w:szCs w:val="22"/>
        </w:rPr>
      </w:pPr>
    </w:p>
    <w:p w14:paraId="70D013D5" w14:textId="77777777" w:rsidR="00392978" w:rsidRPr="00B16596" w:rsidRDefault="00392978" w:rsidP="00B16596">
      <w:pPr>
        <w:spacing w:line="360" w:lineRule="auto"/>
        <w:rPr>
          <w:rFonts w:ascii="Arial" w:eastAsia="Arial" w:hAnsi="Arial" w:cs="Arial"/>
          <w:sz w:val="16"/>
          <w:szCs w:val="16"/>
        </w:rPr>
      </w:pPr>
    </w:p>
    <w:p w14:paraId="7995D1D4" w14:textId="77777777" w:rsidR="00392978" w:rsidRPr="00B16596" w:rsidRDefault="00392978" w:rsidP="00B16596">
      <w:pPr>
        <w:spacing w:line="360" w:lineRule="auto"/>
        <w:rPr>
          <w:rFonts w:ascii="Arial" w:eastAsia="Arial" w:hAnsi="Arial" w:cs="Arial"/>
          <w:sz w:val="16"/>
          <w:szCs w:val="16"/>
        </w:rPr>
      </w:pPr>
    </w:p>
    <w:p w14:paraId="039FB12C" w14:textId="77777777" w:rsidR="00392978" w:rsidRDefault="00000000">
      <w:pPr>
        <w:rPr>
          <w:rFonts w:ascii="Times New Roman" w:eastAsia="Times New Roman" w:hAnsi="Times New Roman" w:cs="Times New Roman"/>
          <w:b/>
          <w:color w:val="741B47"/>
          <w:sz w:val="28"/>
          <w:szCs w:val="28"/>
        </w:rPr>
      </w:pPr>
      <w:r>
        <w:rPr>
          <w:rFonts w:ascii="Arial" w:eastAsia="Arial" w:hAnsi="Arial" w:cs="Arial"/>
          <w:b/>
          <w:color w:val="741B47"/>
          <w:sz w:val="28"/>
          <w:szCs w:val="28"/>
        </w:rPr>
        <w:t xml:space="preserve">Domestic, Sexual and Gender-Based Violence    </w:t>
      </w:r>
    </w:p>
    <w:p w14:paraId="205CA1E7" w14:textId="77777777" w:rsidR="00392978" w:rsidRDefault="00000000">
      <w:pPr>
        <w:spacing w:before="240" w:after="240" w:line="360" w:lineRule="auto"/>
        <w:rPr>
          <w:rFonts w:ascii="Arial" w:eastAsia="Arial" w:hAnsi="Arial" w:cs="Arial"/>
        </w:rPr>
      </w:pPr>
      <w:r>
        <w:rPr>
          <w:rFonts w:ascii="Arial" w:eastAsia="Arial" w:hAnsi="Arial" w:cs="Arial"/>
        </w:rPr>
        <w:t>Disabled women living in Ireland experience many forms of domestic, sexual and gender-based violence (DSGBV) including, but not limited to intimate partner, caregiver, childhood and familial abuse, at rates higher than that of both non-disabled women and disabled men. Since our last submission to this Committee in 2023, in relation to Ireland’s List of Issues, DWI played an integral role in</w:t>
      </w:r>
      <w:hyperlink r:id="rId10">
        <w:r w:rsidR="00392978">
          <w:rPr>
            <w:rFonts w:ascii="Arial" w:eastAsia="Arial" w:hAnsi="Arial" w:cs="Arial"/>
          </w:rPr>
          <w:t xml:space="preserve"> </w:t>
        </w:r>
      </w:hyperlink>
      <w:hyperlink r:id="rId11">
        <w:r w:rsidR="00392978">
          <w:rPr>
            <w:rFonts w:ascii="Arial" w:eastAsia="Arial" w:hAnsi="Arial" w:cs="Arial"/>
            <w:color w:val="1155CC"/>
            <w:u w:val="single"/>
          </w:rPr>
          <w:t>groundbreaking research</w:t>
        </w:r>
      </w:hyperlink>
      <w:r>
        <w:rPr>
          <w:rFonts w:ascii="Arial" w:eastAsia="Arial" w:hAnsi="Arial" w:cs="Arial"/>
        </w:rPr>
        <w:t xml:space="preserve"> which provides a deeper understanding of the levels and nature of intimate partner abuse against disabled women in Ireland. </w:t>
      </w:r>
    </w:p>
    <w:p w14:paraId="0784CB53" w14:textId="77777777" w:rsidR="00B16596" w:rsidRPr="00B16596" w:rsidRDefault="00B16596" w:rsidP="00B16596">
      <w:pPr>
        <w:rPr>
          <w:rFonts w:ascii="Arial" w:eastAsia="Arial" w:hAnsi="Arial" w:cs="Arial"/>
          <w:sz w:val="20"/>
          <w:szCs w:val="20"/>
        </w:rPr>
      </w:pPr>
    </w:p>
    <w:p w14:paraId="1CBBE83F" w14:textId="672EBFE6" w:rsidR="00392978" w:rsidRDefault="00000000">
      <w:pPr>
        <w:spacing w:before="240" w:after="240" w:line="360" w:lineRule="auto"/>
        <w:rPr>
          <w:rFonts w:ascii="Arial" w:eastAsia="Arial" w:hAnsi="Arial" w:cs="Arial"/>
        </w:rPr>
      </w:pPr>
      <w:r>
        <w:rPr>
          <w:rFonts w:ascii="Arial" w:eastAsia="Arial" w:hAnsi="Arial" w:cs="Arial"/>
        </w:rPr>
        <w:t>Key findings included that 98% of abused disabled women reported major barriers to accessing help due to disability, and 60% reporting abuse specifically relating to disability.</w:t>
      </w:r>
      <w:r>
        <w:rPr>
          <w:rFonts w:ascii="Arial" w:eastAsia="Arial" w:hAnsi="Arial" w:cs="Arial"/>
          <w:b/>
          <w:color w:val="741B47"/>
          <w:vertAlign w:val="superscript"/>
        </w:rPr>
        <w:footnoteReference w:id="35"/>
      </w:r>
      <w:r>
        <w:rPr>
          <w:rFonts w:ascii="Arial" w:eastAsia="Arial" w:hAnsi="Arial" w:cs="Arial"/>
          <w:color w:val="741B47"/>
          <w:vertAlign w:val="superscript"/>
        </w:rPr>
        <w:t xml:space="preserve"> </w:t>
      </w:r>
      <w:r>
        <w:rPr>
          <w:rFonts w:ascii="Arial" w:eastAsia="Arial" w:hAnsi="Arial" w:cs="Arial"/>
        </w:rPr>
        <w:t>Even though disabled women are subjected to gender-based violence at circa 4 times the rate of other women, the majority of DSGBV services are inaccessible, with all services surveyed reporting lack of training and funding to accommodate disabled clients.</w:t>
      </w:r>
      <w:r>
        <w:rPr>
          <w:rFonts w:ascii="Arial" w:eastAsia="Arial" w:hAnsi="Arial" w:cs="Arial"/>
          <w:b/>
          <w:color w:val="741B47"/>
          <w:vertAlign w:val="superscript"/>
        </w:rPr>
        <w:footnoteReference w:id="36"/>
      </w:r>
    </w:p>
    <w:p w14:paraId="128D025C" w14:textId="77777777" w:rsidR="00B16596" w:rsidRPr="00B16596" w:rsidRDefault="00B16596" w:rsidP="00B16596">
      <w:pPr>
        <w:spacing w:line="360" w:lineRule="auto"/>
        <w:rPr>
          <w:rFonts w:ascii="Arial" w:eastAsia="Arial" w:hAnsi="Arial" w:cs="Arial"/>
          <w:b/>
          <w:sz w:val="16"/>
          <w:szCs w:val="16"/>
        </w:rPr>
      </w:pPr>
    </w:p>
    <w:p w14:paraId="6FC97DBE" w14:textId="77777777" w:rsidR="00392978" w:rsidRPr="00FF26E7" w:rsidRDefault="00000000" w:rsidP="00B16596">
      <w:pPr>
        <w:spacing w:after="200" w:line="360" w:lineRule="auto"/>
        <w:ind w:left="566" w:right="526"/>
        <w:rPr>
          <w:rFonts w:ascii="Arial" w:eastAsia="Arial" w:hAnsi="Arial" w:cs="Arial"/>
          <w:b/>
          <w:i/>
          <w:iCs/>
        </w:rPr>
      </w:pPr>
      <w:r w:rsidRPr="00FF26E7">
        <w:rPr>
          <w:rFonts w:ascii="Arial" w:eastAsia="Arial" w:hAnsi="Arial" w:cs="Arial"/>
          <w:b/>
          <w:i/>
          <w:iCs/>
        </w:rPr>
        <w:t>“This spotlight on disabled women’s experience of intimate partner abuse should not be examined in isolation. There are so many structures and systems in Ireland that are making participation in all facets of Irish society an uphill struggle for women in particular. It should not surprise us that this leads to situations where disabled women can be treated so cruelly in their private lives including their right to family life. This intersection of ableism and sexism is particularly concerning for those at risk of having their children taken from them. The courts structures and processes lack understanding of disability and do not serve disabled women well, making an already difficult situation more traumatic for fear of losing children in the process.”</w:t>
      </w:r>
    </w:p>
    <w:p w14:paraId="1FE9DF75" w14:textId="77777777" w:rsidR="00392978" w:rsidRDefault="00000000" w:rsidP="00B16596">
      <w:pPr>
        <w:numPr>
          <w:ilvl w:val="0"/>
          <w:numId w:val="3"/>
        </w:numPr>
        <w:spacing w:line="360" w:lineRule="auto"/>
        <w:ind w:right="526"/>
        <w:jc w:val="right"/>
        <w:rPr>
          <w:rFonts w:ascii="Arial" w:eastAsia="Arial" w:hAnsi="Arial" w:cs="Arial"/>
          <w:b/>
          <w:color w:val="741B47"/>
        </w:rPr>
      </w:pPr>
      <w:r>
        <w:rPr>
          <w:rFonts w:ascii="Arial" w:eastAsia="Arial" w:hAnsi="Arial" w:cs="Arial"/>
          <w:b/>
          <w:color w:val="741B47"/>
        </w:rPr>
        <w:t>Dr. Aoife Price on 2024 IPV study</w:t>
      </w:r>
    </w:p>
    <w:p w14:paraId="6A2E41AD" w14:textId="77777777" w:rsidR="00392978" w:rsidRDefault="00392978">
      <w:pPr>
        <w:spacing w:before="240" w:after="240" w:line="360" w:lineRule="auto"/>
        <w:ind w:left="720" w:right="526"/>
        <w:jc w:val="right"/>
        <w:rPr>
          <w:rFonts w:ascii="Arial" w:eastAsia="Arial" w:hAnsi="Arial" w:cs="Arial"/>
          <w:b/>
          <w:color w:val="741B47"/>
        </w:rPr>
      </w:pPr>
    </w:p>
    <w:p w14:paraId="0B9A7034" w14:textId="77777777" w:rsidR="00392978" w:rsidRDefault="00000000">
      <w:pPr>
        <w:spacing w:before="240" w:after="240" w:line="360" w:lineRule="auto"/>
        <w:rPr>
          <w:rFonts w:ascii="Arial" w:eastAsia="Arial" w:hAnsi="Arial" w:cs="Arial"/>
        </w:rPr>
      </w:pPr>
      <w:r>
        <w:rPr>
          <w:rFonts w:ascii="Arial" w:eastAsia="Arial" w:hAnsi="Arial" w:cs="Arial"/>
        </w:rPr>
        <w:t xml:space="preserve">Lack of training and funding to frontline disability and DSGBV services, legislative gaps such as exempting some of the most statistically significant abusers of disabled women from prosecution under sections of the Domestic Violence Act, and a lack of targeted Government action perpetuate the status quo which sees more than 85% of disabled women exposed to gender-based abuse across their lifetime. </w:t>
      </w:r>
    </w:p>
    <w:p w14:paraId="3ECF3303" w14:textId="77777777" w:rsidR="00392978" w:rsidRPr="00B16596" w:rsidRDefault="00392978">
      <w:pPr>
        <w:spacing w:before="240" w:after="240" w:line="360" w:lineRule="auto"/>
        <w:rPr>
          <w:rFonts w:ascii="Arial" w:eastAsia="Arial" w:hAnsi="Arial" w:cs="Arial"/>
          <w:sz w:val="32"/>
          <w:szCs w:val="32"/>
        </w:rPr>
      </w:pPr>
    </w:p>
    <w:p w14:paraId="2DE4D5CE" w14:textId="77777777" w:rsidR="00392978" w:rsidRDefault="00000000">
      <w:pPr>
        <w:spacing w:before="240" w:after="240" w:line="360" w:lineRule="auto"/>
        <w:rPr>
          <w:rFonts w:ascii="Arial" w:eastAsia="Arial" w:hAnsi="Arial" w:cs="Arial"/>
        </w:rPr>
      </w:pPr>
      <w:r>
        <w:rPr>
          <w:rFonts w:ascii="Arial" w:eastAsia="Arial" w:hAnsi="Arial" w:cs="Arial"/>
        </w:rPr>
        <w:t>As outlined in the section above, DWI have heard from numerous disabled mothers remaining in abusive relationships because they fear losing custody of their children and from disabled mothers who had lost custody of their children on leaving an abusive relationship, due to the widespread discrimination against disabled women in the social and family court systems. This legitimate fear is often leveraged by their abuser to ensure their silence and compliance. An Australian study found that the majority of disabled women who reported domestic violence had their children removed from their care, either temporarily and permanently</w:t>
      </w:r>
      <w:r>
        <w:rPr>
          <w:rFonts w:ascii="Arial" w:eastAsia="Arial" w:hAnsi="Arial" w:cs="Arial"/>
          <w:b/>
          <w:color w:val="741B47"/>
          <w:vertAlign w:val="superscript"/>
        </w:rPr>
        <w:footnoteReference w:id="37"/>
      </w:r>
      <w:r>
        <w:rPr>
          <w:rFonts w:ascii="Arial" w:eastAsia="Arial" w:hAnsi="Arial" w:cs="Arial"/>
        </w:rPr>
        <w:t xml:space="preserve"> and our Irish research reflects how this institutional discrimination against women becomes a tool in the coercive abuser’s arsenal and increases victimisation.</w:t>
      </w:r>
    </w:p>
    <w:p w14:paraId="0090E640" w14:textId="77777777" w:rsidR="00B16596" w:rsidRDefault="00B16596">
      <w:pPr>
        <w:spacing w:before="240" w:after="240" w:line="360" w:lineRule="auto"/>
        <w:rPr>
          <w:rFonts w:ascii="Arial" w:eastAsia="Arial" w:hAnsi="Arial" w:cs="Arial"/>
        </w:rPr>
      </w:pPr>
    </w:p>
    <w:p w14:paraId="3EEAFFE6" w14:textId="77777777" w:rsidR="00392978" w:rsidRDefault="00000000">
      <w:pPr>
        <w:spacing w:before="240" w:after="240" w:line="360" w:lineRule="auto"/>
        <w:rPr>
          <w:rFonts w:ascii="Arial" w:eastAsia="Arial" w:hAnsi="Arial" w:cs="Arial"/>
        </w:rPr>
      </w:pPr>
      <w:r>
        <w:rPr>
          <w:rFonts w:ascii="Arial" w:eastAsia="Arial" w:hAnsi="Arial" w:cs="Arial"/>
        </w:rPr>
        <w:t>While a broader discussion of disabled women’s parenting rights under Articles 11 &amp; 12 of the Convention is urged, it is essential that the impact of this specific form of discrimination on disabled women - its role in increased exposure to abuse, and how it limits access to rights across a variety of Articles - is fully understood. By continuing to ignore institutional discrimination against disabled women as parents, the Irish Government has allowed the State to become a weapon to be wielded by those who seek to control and abuse disabled women.</w:t>
      </w:r>
    </w:p>
    <w:p w14:paraId="58680002" w14:textId="77777777" w:rsidR="00392978" w:rsidRDefault="00392978">
      <w:pPr>
        <w:spacing w:before="240" w:after="240" w:line="360" w:lineRule="auto"/>
        <w:rPr>
          <w:rFonts w:ascii="Arial" w:eastAsia="Arial" w:hAnsi="Arial" w:cs="Arial"/>
          <w:sz w:val="16"/>
          <w:szCs w:val="16"/>
        </w:rPr>
      </w:pPr>
    </w:p>
    <w:p w14:paraId="755DE957" w14:textId="77777777" w:rsidR="00B16596" w:rsidRDefault="00B16596">
      <w:pPr>
        <w:spacing w:before="240" w:after="240" w:line="360" w:lineRule="auto"/>
        <w:rPr>
          <w:rFonts w:ascii="Arial" w:eastAsia="Arial" w:hAnsi="Arial" w:cs="Arial"/>
          <w:sz w:val="16"/>
          <w:szCs w:val="16"/>
        </w:rPr>
      </w:pPr>
    </w:p>
    <w:p w14:paraId="28D52452" w14:textId="77777777" w:rsidR="00392978" w:rsidRPr="00B16596" w:rsidRDefault="00000000">
      <w:pPr>
        <w:spacing w:before="240" w:line="360" w:lineRule="auto"/>
        <w:ind w:left="566" w:right="526"/>
        <w:rPr>
          <w:rFonts w:ascii="Arial" w:eastAsia="Arial" w:hAnsi="Arial" w:cs="Arial"/>
          <w:b/>
          <w:i/>
          <w:iCs/>
        </w:rPr>
      </w:pPr>
      <w:r w:rsidRPr="00B16596">
        <w:rPr>
          <w:rFonts w:ascii="Arial" w:eastAsia="Arial" w:hAnsi="Arial" w:cs="Arial"/>
          <w:b/>
          <w:i/>
          <w:iCs/>
        </w:rPr>
        <w:lastRenderedPageBreak/>
        <w:t xml:space="preserve">“On many occasions disabled women arrived into the refuge pregnant; often linked in with State services, like social workers. In all cases, decisions would be made which were not communicated to the woman herself. </w:t>
      </w:r>
    </w:p>
    <w:p w14:paraId="13DF1E3B" w14:textId="77777777" w:rsidR="00392978" w:rsidRPr="00B16596" w:rsidRDefault="00000000">
      <w:pPr>
        <w:spacing w:before="240" w:line="360" w:lineRule="auto"/>
        <w:ind w:left="566" w:right="526"/>
        <w:rPr>
          <w:rFonts w:ascii="Arial" w:eastAsia="Arial" w:hAnsi="Arial" w:cs="Arial"/>
          <w:b/>
          <w:i/>
          <w:iCs/>
        </w:rPr>
      </w:pPr>
      <w:r w:rsidRPr="00B16596">
        <w:rPr>
          <w:rFonts w:ascii="Arial" w:eastAsia="Arial" w:hAnsi="Arial" w:cs="Arial"/>
          <w:b/>
          <w:i/>
          <w:iCs/>
        </w:rPr>
        <w:t xml:space="preserve">Refuge staff would be made aware of these decisions and told not to discuss them with the pregnant woman. Judgements would be made about [the disabled woman's] capacity and then life-altering decisions would be made for her without consultation. </w:t>
      </w:r>
    </w:p>
    <w:p w14:paraId="71977900" w14:textId="77777777" w:rsidR="00392978" w:rsidRPr="00B16596" w:rsidRDefault="00000000">
      <w:pPr>
        <w:spacing w:before="240" w:line="360" w:lineRule="auto"/>
        <w:ind w:left="566" w:right="526"/>
        <w:rPr>
          <w:rFonts w:ascii="Arial" w:eastAsia="Arial" w:hAnsi="Arial" w:cs="Arial"/>
          <w:b/>
          <w:i/>
          <w:iCs/>
        </w:rPr>
      </w:pPr>
      <w:r w:rsidRPr="00B16596">
        <w:rPr>
          <w:rFonts w:ascii="Arial" w:eastAsia="Arial" w:hAnsi="Arial" w:cs="Arial"/>
          <w:b/>
          <w:i/>
          <w:iCs/>
        </w:rPr>
        <w:t>Decisions would be made to remove a baby from the woman's care just after birth, without informing her that this would happen until very close to the birth or just afterwards. Refuge staff would have to support a woman in preparing a hospital bag, sourcing baby items all while knowing that there was very little hope of the baby returning with the mother. Refuge staff would then have to comfort a mother who had returned alone to a room filled with baby items, and without psychological support. This caused enormous trauma to the women and their children, and also the staff within the refuge who were tasked with supporting the grieving mother.”</w:t>
      </w:r>
    </w:p>
    <w:p w14:paraId="5B09DE59" w14:textId="77777777" w:rsidR="00392978" w:rsidRPr="00B16596" w:rsidRDefault="00000000">
      <w:pPr>
        <w:numPr>
          <w:ilvl w:val="0"/>
          <w:numId w:val="6"/>
        </w:numPr>
        <w:spacing w:before="240" w:line="360" w:lineRule="auto"/>
        <w:ind w:right="526"/>
        <w:jc w:val="right"/>
        <w:rPr>
          <w:rFonts w:ascii="Arial" w:eastAsia="Arial" w:hAnsi="Arial" w:cs="Arial"/>
          <w:b/>
          <w:color w:val="741B47"/>
        </w:rPr>
      </w:pPr>
      <w:r w:rsidRPr="00B16596">
        <w:rPr>
          <w:rFonts w:ascii="Arial" w:eastAsia="Arial" w:hAnsi="Arial" w:cs="Arial"/>
          <w:b/>
          <w:color w:val="741B47"/>
        </w:rPr>
        <w:t>Domestic Violence Refuge Co-ordinator (anonymity requested)</w:t>
      </w:r>
    </w:p>
    <w:p w14:paraId="24A3E529" w14:textId="77777777" w:rsidR="00392978" w:rsidRDefault="00392978"/>
    <w:p w14:paraId="435C0C8B" w14:textId="77777777" w:rsidR="00B16596" w:rsidRDefault="00B16596" w:rsidP="00B16596">
      <w:pPr>
        <w:spacing w:line="360" w:lineRule="auto"/>
        <w:rPr>
          <w:rFonts w:ascii="Arial" w:eastAsia="Arial" w:hAnsi="Arial" w:cs="Arial"/>
        </w:rPr>
      </w:pPr>
    </w:p>
    <w:p w14:paraId="3E9B0DCB" w14:textId="468A5141" w:rsidR="00392978" w:rsidRDefault="00000000">
      <w:pPr>
        <w:spacing w:before="240" w:after="240" w:line="360" w:lineRule="auto"/>
        <w:rPr>
          <w:rFonts w:ascii="Arial" w:eastAsia="Arial" w:hAnsi="Arial" w:cs="Arial"/>
          <w:b/>
          <w:color w:val="741B47"/>
        </w:rPr>
      </w:pPr>
      <w:r>
        <w:rPr>
          <w:rFonts w:ascii="Arial" w:eastAsia="Arial" w:hAnsi="Arial" w:cs="Arial"/>
        </w:rPr>
        <w:t>Only one frontline support organisation of those surveyed nationally reported having received training related to disabled women experiencing abuse. Every single responding organisation advised that they do not receive funding or adequate staff training to make their services accessible to disabled women, nor does the Irish Government require collection of data regarding disability, which makes it very identify unmet needs or estimate how many women are prevented from accessing DSGBV services by accessibility barriers.</w:t>
      </w:r>
      <w:r>
        <w:rPr>
          <w:rFonts w:ascii="Arial" w:eastAsia="Arial" w:hAnsi="Arial" w:cs="Arial"/>
          <w:b/>
          <w:color w:val="741B47"/>
          <w:vertAlign w:val="superscript"/>
        </w:rPr>
        <w:footnoteReference w:id="38"/>
      </w:r>
    </w:p>
    <w:p w14:paraId="5D6CEB8D" w14:textId="77777777" w:rsidR="00392978" w:rsidRDefault="00392978">
      <w:pPr>
        <w:spacing w:before="240" w:line="276" w:lineRule="auto"/>
      </w:pPr>
    </w:p>
    <w:p w14:paraId="36957304" w14:textId="77777777" w:rsidR="00392978" w:rsidRDefault="00392978">
      <w:pPr>
        <w:spacing w:before="240" w:line="276" w:lineRule="auto"/>
      </w:pPr>
    </w:p>
    <w:p w14:paraId="1E6A1E6C" w14:textId="77777777" w:rsidR="00392978" w:rsidRDefault="00392978">
      <w:pPr>
        <w:spacing w:before="240" w:line="276" w:lineRule="auto"/>
      </w:pPr>
    </w:p>
    <w:p w14:paraId="681DD106" w14:textId="77777777" w:rsidR="00392978" w:rsidRDefault="00000000">
      <w:pPr>
        <w:pStyle w:val="Heading2"/>
        <w:keepNext w:val="0"/>
        <w:keepLines w:val="0"/>
        <w:spacing w:before="0" w:after="120"/>
        <w:rPr>
          <w:i/>
          <w:color w:val="741B47"/>
          <w:sz w:val="32"/>
          <w:szCs w:val="32"/>
        </w:rPr>
      </w:pPr>
      <w:bookmarkStart w:id="16" w:name="_heading=h.xi4ruh4ojl3d" w:colFirst="0" w:colLast="0"/>
      <w:bookmarkEnd w:id="16"/>
      <w:r>
        <w:rPr>
          <w:i/>
          <w:color w:val="741B47"/>
          <w:sz w:val="32"/>
          <w:szCs w:val="32"/>
        </w:rPr>
        <w:t>Recommendations:</w:t>
      </w:r>
    </w:p>
    <w:p w14:paraId="5AE8D16F" w14:textId="77777777" w:rsidR="00392978" w:rsidRDefault="00000000" w:rsidP="00FF26E7">
      <w:pPr>
        <w:numPr>
          <w:ilvl w:val="0"/>
          <w:numId w:val="2"/>
        </w:numPr>
        <w:spacing w:before="120" w:after="480"/>
        <w:ind w:left="714" w:hanging="357"/>
        <w:rPr>
          <w:b/>
          <w:color w:val="741B47"/>
          <w:sz w:val="25"/>
          <w:szCs w:val="25"/>
        </w:rPr>
      </w:pPr>
      <w:r>
        <w:rPr>
          <w:sz w:val="26"/>
          <w:szCs w:val="26"/>
        </w:rPr>
        <w:t xml:space="preserve">Ongoing ring-fenced State funding to provide training to </w:t>
      </w:r>
      <w:r>
        <w:rPr>
          <w:sz w:val="26"/>
          <w:szCs w:val="26"/>
          <w:highlight w:val="white"/>
        </w:rPr>
        <w:t xml:space="preserve">Disability Services, DPOs and Gender-Based Violence Services on disabled people’s experiences of DSGBV and </w:t>
      </w:r>
      <w:r>
        <w:rPr>
          <w:sz w:val="26"/>
          <w:szCs w:val="26"/>
        </w:rPr>
        <w:t>ring-fenced funding to ensure disabled people’s equality of access to support services and access to justice as victims of gender-based crimes.</w:t>
      </w:r>
    </w:p>
    <w:p w14:paraId="30B76BA3" w14:textId="77777777" w:rsidR="00392978" w:rsidRDefault="00000000" w:rsidP="00FF26E7">
      <w:pPr>
        <w:numPr>
          <w:ilvl w:val="0"/>
          <w:numId w:val="2"/>
        </w:numPr>
        <w:spacing w:before="120" w:after="480"/>
        <w:ind w:left="714" w:hanging="357"/>
        <w:rPr>
          <w:rFonts w:ascii="Arial" w:eastAsia="Arial" w:hAnsi="Arial" w:cs="Arial"/>
          <w:b/>
          <w:color w:val="741B47"/>
          <w:sz w:val="25"/>
          <w:szCs w:val="25"/>
        </w:rPr>
      </w:pPr>
      <w:r>
        <w:rPr>
          <w:sz w:val="26"/>
          <w:szCs w:val="26"/>
        </w:rPr>
        <w:t>Implement training for State departments and agencies (including the Gardai, the court services and health staff) to make them aware of disability-specific violence and best practices for addressing this violence.</w:t>
      </w:r>
    </w:p>
    <w:p w14:paraId="07A91DAA" w14:textId="77777777" w:rsidR="00392978" w:rsidRDefault="00000000" w:rsidP="00FF26E7">
      <w:pPr>
        <w:numPr>
          <w:ilvl w:val="0"/>
          <w:numId w:val="2"/>
        </w:numPr>
        <w:spacing w:before="120" w:after="480"/>
        <w:ind w:left="714" w:hanging="357"/>
        <w:rPr>
          <w:b/>
          <w:color w:val="741B47"/>
          <w:sz w:val="25"/>
          <w:szCs w:val="25"/>
        </w:rPr>
      </w:pPr>
      <w:r>
        <w:rPr>
          <w:sz w:val="26"/>
          <w:szCs w:val="26"/>
        </w:rPr>
        <w:t>Widen the definition of Gender-Based Violence used in State strategies and policies to be inclusive of disabled people’s experiences of violence and abuse, and to recognise gendered forms of violence faced by disabled people at the hands of caregivers and family members. As part of this better understanding of gender-based abuse, the definition of ‘relevant persons’ under Section 39 of the Domestic Violence Act 2018 should expand to include people who are not current or former intimate partners of the victim.</w:t>
      </w:r>
    </w:p>
    <w:p w14:paraId="7DE3C73D" w14:textId="77777777" w:rsidR="00392978" w:rsidRDefault="00000000" w:rsidP="00FF26E7">
      <w:pPr>
        <w:numPr>
          <w:ilvl w:val="0"/>
          <w:numId w:val="2"/>
        </w:numPr>
        <w:spacing w:before="120" w:after="480"/>
        <w:ind w:left="714" w:hanging="357"/>
        <w:rPr>
          <w:rFonts w:ascii="Arial" w:eastAsia="Arial" w:hAnsi="Arial" w:cs="Arial"/>
          <w:b/>
          <w:color w:val="741B47"/>
          <w:sz w:val="25"/>
          <w:szCs w:val="25"/>
        </w:rPr>
      </w:pPr>
      <w:r>
        <w:rPr>
          <w:sz w:val="26"/>
          <w:szCs w:val="26"/>
        </w:rPr>
        <w:t>Introduce specific, measurable targets in all State strategies and policies addressing gender-based abuse to reduce abuse against disabled women and girls.</w:t>
      </w:r>
    </w:p>
    <w:p w14:paraId="265F701D" w14:textId="77777777" w:rsidR="00392978" w:rsidRDefault="00000000" w:rsidP="00FF26E7">
      <w:pPr>
        <w:numPr>
          <w:ilvl w:val="0"/>
          <w:numId w:val="2"/>
        </w:numPr>
        <w:spacing w:before="120" w:after="480"/>
        <w:ind w:left="714" w:hanging="357"/>
        <w:rPr>
          <w:rFonts w:ascii="Arial" w:eastAsia="Arial" w:hAnsi="Arial" w:cs="Arial"/>
          <w:b/>
          <w:color w:val="741B47"/>
          <w:sz w:val="25"/>
          <w:szCs w:val="25"/>
        </w:rPr>
      </w:pPr>
      <w:r>
        <w:rPr>
          <w:sz w:val="26"/>
          <w:szCs w:val="26"/>
        </w:rPr>
        <w:t>Ensure sufficient provision of accessible housing options for disabled women fleeing domestic violence as part of Ireland’s national homeless and housing strategy.</w:t>
      </w:r>
    </w:p>
    <w:p w14:paraId="365CD33D" w14:textId="77777777" w:rsidR="00392978" w:rsidRDefault="00000000" w:rsidP="00FF26E7">
      <w:pPr>
        <w:numPr>
          <w:ilvl w:val="0"/>
          <w:numId w:val="2"/>
        </w:numPr>
        <w:spacing w:before="120" w:after="480"/>
        <w:ind w:left="714" w:hanging="357"/>
        <w:rPr>
          <w:b/>
          <w:color w:val="741B47"/>
          <w:sz w:val="25"/>
          <w:szCs w:val="25"/>
          <w:highlight w:val="white"/>
        </w:rPr>
      </w:pPr>
      <w:r>
        <w:rPr>
          <w:sz w:val="26"/>
          <w:szCs w:val="26"/>
          <w:highlight w:val="white"/>
        </w:rPr>
        <w:t xml:space="preserve">Immediate review of the Parental Capacity Assessment process in favour of fully accessible and appropriate parenting evaluations that are disability-informed. As they are currently applied, Parental Capacity Assessments are neither in keeping with the legislative foundation laid out in Ireland’s Assisted Decision-Making (Capacity) Act nor the provisions of the UN CRPD. </w:t>
      </w:r>
    </w:p>
    <w:p w14:paraId="2220A8AC" w14:textId="77777777" w:rsidR="00392978" w:rsidRDefault="00392978"/>
    <w:p w14:paraId="24C5B5C5" w14:textId="77777777" w:rsidR="00392978" w:rsidRDefault="00392978"/>
    <w:p w14:paraId="41668FCB" w14:textId="77777777" w:rsidR="00FF26E7" w:rsidRDefault="00FF26E7"/>
    <w:p w14:paraId="4FDB1192" w14:textId="77777777" w:rsidR="00392978" w:rsidRDefault="00392978"/>
    <w:p w14:paraId="223DE110" w14:textId="77777777" w:rsidR="00392978" w:rsidRDefault="00392978"/>
    <w:p w14:paraId="3AEFE02E" w14:textId="77777777" w:rsidR="00392978" w:rsidRDefault="00000000">
      <w:pPr>
        <w:pStyle w:val="Heading2"/>
        <w:keepNext w:val="0"/>
        <w:keepLines w:val="0"/>
        <w:spacing w:line="360" w:lineRule="auto"/>
        <w:rPr>
          <w:color w:val="741B47"/>
          <w:sz w:val="28"/>
          <w:szCs w:val="28"/>
        </w:rPr>
      </w:pPr>
      <w:bookmarkStart w:id="17" w:name="_heading=h.cgdp1cfxwwku" w:colFirst="0" w:colLast="0"/>
      <w:bookmarkEnd w:id="17"/>
      <w:r>
        <w:rPr>
          <w:rFonts w:ascii="Arial" w:eastAsia="Arial" w:hAnsi="Arial" w:cs="Arial"/>
          <w:color w:val="741B47"/>
          <w:sz w:val="28"/>
          <w:szCs w:val="28"/>
        </w:rPr>
        <w:lastRenderedPageBreak/>
        <w:t>Poverty and Social Exclusion</w:t>
      </w:r>
      <w:r>
        <w:rPr>
          <w:rFonts w:ascii="Arial" w:eastAsia="Arial" w:hAnsi="Arial" w:cs="Arial"/>
          <w:color w:val="741B47"/>
          <w:sz w:val="28"/>
          <w:szCs w:val="28"/>
        </w:rPr>
        <w:tab/>
      </w:r>
      <w:r>
        <w:rPr>
          <w:rFonts w:ascii="Arial" w:eastAsia="Arial" w:hAnsi="Arial" w:cs="Arial"/>
          <w:color w:val="741B47"/>
          <w:sz w:val="28"/>
          <w:szCs w:val="28"/>
        </w:rPr>
        <w:tab/>
      </w:r>
    </w:p>
    <w:p w14:paraId="1F78157C" w14:textId="77777777" w:rsidR="00392978" w:rsidRDefault="00000000" w:rsidP="00FF26E7">
      <w:pPr>
        <w:pStyle w:val="Heading3"/>
        <w:spacing w:line="360" w:lineRule="auto"/>
        <w:rPr>
          <w:b/>
          <w:color w:val="741B47"/>
          <w:sz w:val="28"/>
          <w:szCs w:val="28"/>
        </w:rPr>
      </w:pPr>
      <w:bookmarkStart w:id="18" w:name="_heading=h.x0e3htj0iko5" w:colFirst="0" w:colLast="0"/>
      <w:bookmarkEnd w:id="18"/>
      <w:r>
        <w:rPr>
          <w:b/>
          <w:color w:val="741B47"/>
          <w:sz w:val="28"/>
          <w:szCs w:val="28"/>
        </w:rPr>
        <w:t>Poverty</w:t>
      </w:r>
    </w:p>
    <w:p w14:paraId="5CDD088B" w14:textId="77777777" w:rsidR="00392978" w:rsidRDefault="00000000">
      <w:pPr>
        <w:spacing w:after="240" w:line="360" w:lineRule="auto"/>
        <w:rPr>
          <w:rFonts w:ascii="Arial" w:eastAsia="Arial" w:hAnsi="Arial" w:cs="Arial"/>
          <w:b/>
          <w:color w:val="741B47"/>
          <w:sz w:val="22"/>
          <w:szCs w:val="22"/>
        </w:rPr>
      </w:pPr>
      <w:r>
        <w:rPr>
          <w:rFonts w:ascii="Arial" w:eastAsia="Arial" w:hAnsi="Arial" w:cs="Arial"/>
          <w:sz w:val="22"/>
          <w:szCs w:val="22"/>
        </w:rPr>
        <w:t>Disabled women living in Ireland are at high risk of experiencing deprivation and social exclusion, compared both to disabled men and non-disabled women. 39.3% of disabled people in Ireland experience poverty and social exclusion (against 14.6% of non-disabled people), meaning that Ireland has the largest deprivation gap between disabled and non-disabled people in the EU.</w:t>
      </w:r>
      <w:r>
        <w:rPr>
          <w:rFonts w:ascii="Arial" w:eastAsia="Arial" w:hAnsi="Arial" w:cs="Arial"/>
          <w:b/>
          <w:color w:val="741B47"/>
          <w:sz w:val="22"/>
          <w:szCs w:val="22"/>
          <w:vertAlign w:val="superscript"/>
        </w:rPr>
        <w:footnoteReference w:id="39"/>
      </w:r>
      <w:r>
        <w:rPr>
          <w:rFonts w:ascii="Arial" w:eastAsia="Arial" w:hAnsi="Arial" w:cs="Arial"/>
          <w:sz w:val="22"/>
          <w:szCs w:val="22"/>
        </w:rPr>
        <w:t xml:space="preserve"> 45.9% of disabled people experience deprivation,</w:t>
      </w:r>
      <w:r>
        <w:rPr>
          <w:rFonts w:ascii="Arial" w:eastAsia="Arial" w:hAnsi="Arial" w:cs="Arial"/>
          <w:b/>
          <w:color w:val="741B47"/>
          <w:sz w:val="22"/>
          <w:szCs w:val="22"/>
          <w:vertAlign w:val="superscript"/>
        </w:rPr>
        <w:footnoteReference w:id="40"/>
      </w:r>
      <w:r>
        <w:rPr>
          <w:rFonts w:ascii="Arial" w:eastAsia="Arial" w:hAnsi="Arial" w:cs="Arial"/>
          <w:sz w:val="22"/>
          <w:szCs w:val="22"/>
        </w:rPr>
        <w:t xml:space="preserve"> and they are 4-5 times more likely to live in consistent poverty than the general population.</w:t>
      </w:r>
      <w:r>
        <w:rPr>
          <w:rFonts w:ascii="Arial" w:eastAsia="Arial" w:hAnsi="Arial" w:cs="Arial"/>
          <w:b/>
          <w:color w:val="741B47"/>
          <w:sz w:val="22"/>
          <w:szCs w:val="22"/>
          <w:vertAlign w:val="superscript"/>
        </w:rPr>
        <w:footnoteReference w:id="41"/>
      </w:r>
      <w:r>
        <w:rPr>
          <w:rFonts w:ascii="Arial" w:eastAsia="Arial" w:hAnsi="Arial" w:cs="Arial"/>
          <w:b/>
          <w:color w:val="741B47"/>
          <w:sz w:val="22"/>
          <w:szCs w:val="22"/>
        </w:rPr>
        <w:t xml:space="preserve"> </w:t>
      </w:r>
      <w:r>
        <w:rPr>
          <w:rFonts w:ascii="Arial" w:eastAsia="Arial" w:hAnsi="Arial" w:cs="Arial"/>
          <w:sz w:val="22"/>
          <w:szCs w:val="22"/>
        </w:rPr>
        <w:t>The situation for disabled women is even worse, as they are 25% more likely to live in poverty disabled men.</w:t>
      </w:r>
      <w:r>
        <w:rPr>
          <w:rFonts w:ascii="Arial" w:eastAsia="Arial" w:hAnsi="Arial" w:cs="Arial"/>
          <w:b/>
          <w:color w:val="741B47"/>
          <w:sz w:val="22"/>
          <w:szCs w:val="22"/>
          <w:vertAlign w:val="superscript"/>
        </w:rPr>
        <w:footnoteReference w:id="42"/>
      </w:r>
    </w:p>
    <w:p w14:paraId="269D95D0" w14:textId="77777777" w:rsidR="00392978" w:rsidRDefault="00000000">
      <w:pPr>
        <w:spacing w:before="240" w:after="240" w:line="360" w:lineRule="auto"/>
        <w:rPr>
          <w:rFonts w:ascii="Arial" w:eastAsia="Arial" w:hAnsi="Arial" w:cs="Arial"/>
          <w:sz w:val="22"/>
          <w:szCs w:val="22"/>
        </w:rPr>
      </w:pPr>
      <w:r>
        <w:rPr>
          <w:rFonts w:ascii="Arial" w:eastAsia="Arial" w:hAnsi="Arial" w:cs="Arial"/>
          <w:sz w:val="22"/>
          <w:szCs w:val="22"/>
        </w:rPr>
        <w:t>There are a number of factors which account for this disparity, some of which include structural issues in our social welfare system, inequality of access to healthcare for men and women, employment discrimination and the gender pay gap (found to be even wider between disabled men and women than between non-disabled men and women, in similar jurisdictions which collect this data,</w:t>
      </w:r>
      <w:r>
        <w:rPr>
          <w:rFonts w:ascii="Arial" w:eastAsia="Arial" w:hAnsi="Arial" w:cs="Arial"/>
          <w:sz w:val="22"/>
          <w:szCs w:val="22"/>
          <w:vertAlign w:val="superscript"/>
        </w:rPr>
        <w:footnoteReference w:id="43"/>
      </w:r>
      <w:r>
        <w:rPr>
          <w:rFonts w:ascii="Arial" w:eastAsia="Arial" w:hAnsi="Arial" w:cs="Arial"/>
          <w:sz w:val="22"/>
          <w:szCs w:val="22"/>
        </w:rPr>
        <w:t xml:space="preserve"> disaggregated data of this nature is not collected in Ireland</w:t>
      </w:r>
      <w:r>
        <w:rPr>
          <w:rFonts w:ascii="Arial" w:eastAsia="Arial" w:hAnsi="Arial" w:cs="Arial"/>
          <w:b/>
          <w:color w:val="741B47"/>
          <w:sz w:val="22"/>
          <w:szCs w:val="22"/>
          <w:vertAlign w:val="superscript"/>
        </w:rPr>
        <w:footnoteReference w:id="44"/>
      </w:r>
      <w:r>
        <w:rPr>
          <w:rFonts w:ascii="Arial" w:eastAsia="Arial" w:hAnsi="Arial" w:cs="Arial"/>
          <w:sz w:val="22"/>
          <w:szCs w:val="22"/>
        </w:rPr>
        <w:t>).</w:t>
      </w:r>
    </w:p>
    <w:p w14:paraId="068913D3" w14:textId="77777777" w:rsidR="00392978" w:rsidRDefault="00392978">
      <w:pPr>
        <w:spacing w:before="240" w:after="240" w:line="360" w:lineRule="auto"/>
        <w:rPr>
          <w:rFonts w:ascii="Arial" w:eastAsia="Arial" w:hAnsi="Arial" w:cs="Arial"/>
          <w:sz w:val="4"/>
          <w:szCs w:val="4"/>
        </w:rPr>
      </w:pPr>
    </w:p>
    <w:p w14:paraId="53CA2F29" w14:textId="77777777" w:rsidR="00392978" w:rsidRDefault="00000000">
      <w:pPr>
        <w:spacing w:before="240" w:line="360" w:lineRule="auto"/>
        <w:rPr>
          <w:rFonts w:ascii="Arial" w:eastAsia="Arial" w:hAnsi="Arial" w:cs="Arial"/>
          <w:sz w:val="22"/>
          <w:szCs w:val="22"/>
        </w:rPr>
      </w:pPr>
      <w:r>
        <w:rPr>
          <w:rFonts w:ascii="Arial" w:eastAsia="Arial" w:hAnsi="Arial" w:cs="Arial"/>
          <w:sz w:val="22"/>
          <w:szCs w:val="22"/>
        </w:rPr>
        <w:t>Ireland has the lowest employment rate for disabled people in the EU, at 32.6%</w:t>
      </w:r>
      <w:r>
        <w:rPr>
          <w:rFonts w:ascii="Arial" w:eastAsia="Arial" w:hAnsi="Arial" w:cs="Arial"/>
          <w:b/>
          <w:color w:val="741B47"/>
          <w:sz w:val="22"/>
          <w:szCs w:val="22"/>
          <w:vertAlign w:val="superscript"/>
        </w:rPr>
        <w:footnoteReference w:id="45"/>
      </w:r>
      <w:r>
        <w:rPr>
          <w:rFonts w:ascii="Arial" w:eastAsia="Arial" w:hAnsi="Arial" w:cs="Arial"/>
          <w:sz w:val="22"/>
          <w:szCs w:val="22"/>
          <w:vertAlign w:val="superscript"/>
        </w:rPr>
        <w:t>,</w:t>
      </w:r>
      <w:r>
        <w:rPr>
          <w:rFonts w:ascii="Arial" w:eastAsia="Arial" w:hAnsi="Arial" w:cs="Arial"/>
          <w:sz w:val="22"/>
          <w:szCs w:val="22"/>
        </w:rPr>
        <w:t xml:space="preserve"> and the largest employment gap between disabled and non-disabled people.</w:t>
      </w:r>
      <w:r>
        <w:rPr>
          <w:rFonts w:ascii="Arial" w:eastAsia="Arial" w:hAnsi="Arial" w:cs="Arial"/>
          <w:b/>
          <w:color w:val="741B47"/>
          <w:sz w:val="22"/>
          <w:szCs w:val="22"/>
          <w:vertAlign w:val="superscript"/>
        </w:rPr>
        <w:footnoteReference w:id="46"/>
      </w:r>
      <w:r>
        <w:rPr>
          <w:rFonts w:ascii="Arial" w:eastAsia="Arial" w:hAnsi="Arial" w:cs="Arial"/>
          <w:sz w:val="22"/>
          <w:szCs w:val="22"/>
        </w:rPr>
        <w:t xml:space="preserve"> The situation is even worse for disabled women, with only 25.8% in paid employment.</w:t>
      </w:r>
      <w:r>
        <w:rPr>
          <w:rFonts w:ascii="Arial" w:eastAsia="Arial" w:hAnsi="Arial" w:cs="Arial"/>
          <w:b/>
          <w:color w:val="741B47"/>
          <w:sz w:val="22"/>
          <w:szCs w:val="22"/>
          <w:vertAlign w:val="superscript"/>
        </w:rPr>
        <w:footnoteReference w:id="47"/>
      </w:r>
      <w:r>
        <w:rPr>
          <w:rFonts w:ascii="Arial" w:eastAsia="Arial" w:hAnsi="Arial" w:cs="Arial"/>
          <w:sz w:val="22"/>
          <w:szCs w:val="22"/>
        </w:rPr>
        <w:t xml:space="preserve"> Family caring responsibilities are a key reason for disabled women’s lower rates of employment</w:t>
      </w:r>
      <w:r>
        <w:rPr>
          <w:rFonts w:ascii="Arial" w:eastAsia="Arial" w:hAnsi="Arial" w:cs="Arial"/>
          <w:b/>
          <w:color w:val="741B47"/>
          <w:sz w:val="22"/>
          <w:szCs w:val="22"/>
          <w:vertAlign w:val="superscript"/>
        </w:rPr>
        <w:footnoteReference w:id="48"/>
      </w:r>
      <w:r>
        <w:rPr>
          <w:rFonts w:ascii="Arial" w:eastAsia="Arial" w:hAnsi="Arial" w:cs="Arial"/>
          <w:sz w:val="22"/>
          <w:szCs w:val="22"/>
          <w:vertAlign w:val="superscript"/>
        </w:rPr>
        <w:t xml:space="preserve"> </w:t>
      </w:r>
      <w:r>
        <w:rPr>
          <w:rFonts w:ascii="Arial" w:eastAsia="Arial" w:hAnsi="Arial" w:cs="Arial"/>
          <w:sz w:val="22"/>
          <w:szCs w:val="22"/>
        </w:rPr>
        <w:t>(67% of disabled women are parents and 45% of family carers in Ireland are disabled)</w:t>
      </w:r>
      <w:r>
        <w:rPr>
          <w:rFonts w:ascii="Arial" w:eastAsia="Arial" w:hAnsi="Arial" w:cs="Arial"/>
          <w:b/>
          <w:color w:val="741B47"/>
          <w:sz w:val="22"/>
          <w:szCs w:val="22"/>
        </w:rPr>
        <w:t>.</w:t>
      </w:r>
      <w:r>
        <w:rPr>
          <w:rFonts w:ascii="Arial" w:eastAsia="Arial" w:hAnsi="Arial" w:cs="Arial"/>
          <w:b/>
          <w:color w:val="741B47"/>
          <w:sz w:val="22"/>
          <w:szCs w:val="22"/>
          <w:vertAlign w:val="superscript"/>
        </w:rPr>
        <w:footnoteReference w:id="49"/>
      </w:r>
      <w:r>
        <w:rPr>
          <w:rFonts w:ascii="Arial" w:eastAsia="Arial" w:hAnsi="Arial" w:cs="Arial"/>
          <w:sz w:val="22"/>
          <w:szCs w:val="22"/>
        </w:rPr>
        <w:t xml:space="preserve"> </w:t>
      </w:r>
    </w:p>
    <w:p w14:paraId="0E8029DD" w14:textId="77777777" w:rsidR="00392978" w:rsidRDefault="00392978">
      <w:pPr>
        <w:spacing w:line="360" w:lineRule="auto"/>
        <w:rPr>
          <w:rFonts w:ascii="Arial" w:eastAsia="Arial" w:hAnsi="Arial" w:cs="Arial"/>
          <w:sz w:val="20"/>
          <w:szCs w:val="20"/>
        </w:rPr>
      </w:pPr>
    </w:p>
    <w:p w14:paraId="65D2C153" w14:textId="77777777" w:rsidR="00392978" w:rsidRDefault="00000000">
      <w:pPr>
        <w:spacing w:after="240" w:line="360" w:lineRule="auto"/>
        <w:rPr>
          <w:rFonts w:ascii="Arial" w:eastAsia="Arial" w:hAnsi="Arial" w:cs="Arial"/>
          <w:b/>
          <w:color w:val="741B47"/>
          <w:sz w:val="22"/>
          <w:szCs w:val="22"/>
        </w:rPr>
      </w:pPr>
      <w:r>
        <w:rPr>
          <w:rFonts w:ascii="Arial" w:eastAsia="Arial" w:hAnsi="Arial" w:cs="Arial"/>
          <w:sz w:val="22"/>
          <w:szCs w:val="22"/>
        </w:rPr>
        <w:t xml:space="preserve">To improve access to employment for disabled people, the State introduced the </w:t>
      </w:r>
      <w:r>
        <w:rPr>
          <w:rFonts w:ascii="Arial" w:eastAsia="Arial" w:hAnsi="Arial" w:cs="Arial"/>
          <w:i/>
          <w:sz w:val="22"/>
          <w:szCs w:val="22"/>
        </w:rPr>
        <w:t>Comprehensive Employment Strategy for People with Disabilities (2014–2024)</w:t>
      </w:r>
      <w:r>
        <w:rPr>
          <w:rFonts w:ascii="Arial" w:eastAsia="Arial" w:hAnsi="Arial" w:cs="Arial"/>
          <w:sz w:val="22"/>
          <w:szCs w:val="22"/>
        </w:rPr>
        <w:t>.</w:t>
      </w:r>
      <w:r>
        <w:rPr>
          <w:rFonts w:ascii="Arial" w:eastAsia="Arial" w:hAnsi="Arial" w:cs="Arial"/>
          <w:b/>
          <w:color w:val="741B47"/>
          <w:sz w:val="22"/>
          <w:szCs w:val="22"/>
          <w:vertAlign w:val="superscript"/>
        </w:rPr>
        <w:footnoteReference w:id="50"/>
      </w:r>
      <w:r>
        <w:rPr>
          <w:rFonts w:ascii="Arial" w:eastAsia="Arial" w:hAnsi="Arial" w:cs="Arial"/>
          <w:sz w:val="22"/>
          <w:szCs w:val="22"/>
        </w:rPr>
        <w:t xml:space="preserve"> However, </w:t>
      </w:r>
      <w:r>
        <w:rPr>
          <w:rFonts w:ascii="Arial" w:eastAsia="Arial" w:hAnsi="Arial" w:cs="Arial"/>
          <w:sz w:val="22"/>
          <w:szCs w:val="22"/>
        </w:rPr>
        <w:lastRenderedPageBreak/>
        <w:t>this Strategy did not include any specific metrics or targets relating to tackling gender inequality in employment for disabled women.</w:t>
      </w:r>
    </w:p>
    <w:p w14:paraId="614F7646" w14:textId="77777777" w:rsidR="00392978" w:rsidRDefault="00000000">
      <w:pPr>
        <w:spacing w:before="240" w:after="240" w:line="360" w:lineRule="auto"/>
        <w:rPr>
          <w:rFonts w:ascii="Arial" w:eastAsia="Arial" w:hAnsi="Arial" w:cs="Arial"/>
          <w:sz w:val="22"/>
          <w:szCs w:val="22"/>
        </w:rPr>
      </w:pPr>
      <w:r>
        <w:rPr>
          <w:rFonts w:ascii="Arial" w:eastAsia="Arial" w:hAnsi="Arial" w:cs="Arial"/>
          <w:sz w:val="22"/>
          <w:szCs w:val="22"/>
        </w:rPr>
        <w:t>A National Disability Authority (NDA) review of the Strategy found that, overall, the Strategy did not result in meaningful improvements in employment outcomes for disabled people.</w:t>
      </w:r>
      <w:r>
        <w:rPr>
          <w:rFonts w:ascii="Arial" w:eastAsia="Arial" w:hAnsi="Arial" w:cs="Arial"/>
          <w:b/>
          <w:color w:val="741B47"/>
          <w:sz w:val="22"/>
          <w:szCs w:val="22"/>
          <w:vertAlign w:val="superscript"/>
        </w:rPr>
        <w:footnoteReference w:id="51"/>
      </w:r>
      <w:r>
        <w:rPr>
          <w:rFonts w:ascii="Arial" w:eastAsia="Arial" w:hAnsi="Arial" w:cs="Arial"/>
          <w:sz w:val="22"/>
          <w:szCs w:val="22"/>
        </w:rPr>
        <w:t xml:space="preserve"> Over its lifetime, there has been no substantial reduction in the employment gap, in fact the number of disabled individuals relying on social welfare actually increased during this period.</w:t>
      </w:r>
    </w:p>
    <w:p w14:paraId="40795590" w14:textId="77777777" w:rsidR="00392978" w:rsidRDefault="00000000">
      <w:pPr>
        <w:spacing w:before="240" w:after="240" w:line="360" w:lineRule="auto"/>
        <w:rPr>
          <w:rFonts w:ascii="Arial" w:eastAsia="Arial" w:hAnsi="Arial" w:cs="Arial"/>
          <w:sz w:val="22"/>
          <w:szCs w:val="22"/>
        </w:rPr>
      </w:pPr>
      <w:r>
        <w:rPr>
          <w:rFonts w:ascii="Arial" w:eastAsia="Arial" w:hAnsi="Arial" w:cs="Arial"/>
          <w:sz w:val="22"/>
          <w:szCs w:val="22"/>
        </w:rPr>
        <w:t>The NDA’s review identified the absence of meaningful outcome indicators as a significant limitation of the Strategy (including gendered outcomes). Apart from setting an overall employment rate target for disabled people, the Strategy lacked specific, measurable goals to track progress in key areas.</w:t>
      </w:r>
    </w:p>
    <w:p w14:paraId="09D45201" w14:textId="77777777" w:rsidR="00392978" w:rsidRDefault="00392978" w:rsidP="00FF26E7">
      <w:pPr>
        <w:spacing w:line="360" w:lineRule="auto"/>
        <w:rPr>
          <w:rFonts w:ascii="Arial" w:eastAsia="Arial" w:hAnsi="Arial" w:cs="Arial"/>
          <w:sz w:val="4"/>
          <w:szCs w:val="4"/>
        </w:rPr>
      </w:pPr>
    </w:p>
    <w:p w14:paraId="7B833556" w14:textId="41486083" w:rsidR="00392978" w:rsidRDefault="00000000" w:rsidP="00FF26E7">
      <w:pPr>
        <w:spacing w:before="240" w:line="360" w:lineRule="auto"/>
        <w:rPr>
          <w:rFonts w:ascii="Arial" w:eastAsia="Arial" w:hAnsi="Arial" w:cs="Arial"/>
          <w:sz w:val="22"/>
          <w:szCs w:val="22"/>
        </w:rPr>
      </w:pPr>
      <w:r>
        <w:rPr>
          <w:rFonts w:ascii="Arial" w:eastAsia="Arial" w:hAnsi="Arial" w:cs="Arial"/>
          <w:sz w:val="22"/>
          <w:szCs w:val="22"/>
        </w:rPr>
        <w:t xml:space="preserve">Following from the Committee’s previous Concluding Observation that in relation to women in employment the Irish State should </w:t>
      </w:r>
      <w:r>
        <w:rPr>
          <w:rFonts w:ascii="Arial" w:eastAsia="Arial" w:hAnsi="Arial" w:cs="Arial"/>
          <w:b/>
          <w:sz w:val="22"/>
          <w:szCs w:val="22"/>
        </w:rPr>
        <w:t xml:space="preserve"> </w:t>
      </w:r>
      <w:r>
        <w:rPr>
          <w:rFonts w:ascii="Arial" w:eastAsia="Arial" w:hAnsi="Arial" w:cs="Arial"/>
          <w:b/>
          <w:i/>
          <w:sz w:val="22"/>
          <w:szCs w:val="22"/>
        </w:rPr>
        <w:t>“intensify its efforts to guarantee equal opportunities for women in the labour market and create more opportunities for women to gain access to full-time employment”,</w:t>
      </w:r>
      <w:r>
        <w:rPr>
          <w:rFonts w:ascii="Arial" w:eastAsia="Arial" w:hAnsi="Arial" w:cs="Arial"/>
          <w:b/>
          <w:i/>
          <w:color w:val="741B47"/>
          <w:sz w:val="22"/>
          <w:szCs w:val="22"/>
          <w:vertAlign w:val="superscript"/>
        </w:rPr>
        <w:footnoteReference w:id="52"/>
      </w:r>
      <w:r>
        <w:rPr>
          <w:rFonts w:ascii="Arial" w:eastAsia="Arial" w:hAnsi="Arial" w:cs="Arial"/>
          <w:sz w:val="22"/>
          <w:szCs w:val="22"/>
        </w:rPr>
        <w:t xml:space="preserve"> DWI and NeuroPride recommend that future Strategies include targeted goals to reduce gender inequality and measure progress for women.</w:t>
      </w:r>
    </w:p>
    <w:p w14:paraId="546B5AFF" w14:textId="77777777" w:rsidR="00FF26E7" w:rsidRPr="00FF26E7" w:rsidRDefault="00FF26E7" w:rsidP="00FF26E7">
      <w:pPr>
        <w:spacing w:line="360" w:lineRule="auto"/>
        <w:rPr>
          <w:rFonts w:ascii="Arial" w:eastAsia="Arial" w:hAnsi="Arial" w:cs="Arial"/>
          <w:sz w:val="22"/>
          <w:szCs w:val="22"/>
          <w:highlight w:val="yellow"/>
        </w:rPr>
      </w:pPr>
    </w:p>
    <w:p w14:paraId="73A22710" w14:textId="77777777" w:rsidR="00392978" w:rsidRDefault="00000000">
      <w:pPr>
        <w:pStyle w:val="Heading3"/>
        <w:spacing w:line="360" w:lineRule="auto"/>
        <w:rPr>
          <w:b/>
          <w:color w:val="741B47"/>
          <w:sz w:val="28"/>
          <w:szCs w:val="28"/>
        </w:rPr>
      </w:pPr>
      <w:bookmarkStart w:id="19" w:name="_heading=h.y7j4ghiyfr0k" w:colFirst="0" w:colLast="0"/>
      <w:bookmarkEnd w:id="19"/>
      <w:r>
        <w:rPr>
          <w:b/>
          <w:color w:val="741B47"/>
          <w:sz w:val="28"/>
          <w:szCs w:val="28"/>
        </w:rPr>
        <w:t>Social Welfare and Cost of Disability</w:t>
      </w:r>
    </w:p>
    <w:p w14:paraId="2EC196B6" w14:textId="5C221AB2" w:rsidR="00392978" w:rsidRDefault="00000000">
      <w:pPr>
        <w:spacing w:line="360" w:lineRule="auto"/>
        <w:rPr>
          <w:rFonts w:ascii="Arial" w:eastAsia="Arial" w:hAnsi="Arial" w:cs="Arial"/>
          <w:b/>
          <w:color w:val="741B47"/>
          <w:sz w:val="22"/>
          <w:szCs w:val="22"/>
        </w:rPr>
      </w:pPr>
      <w:r>
        <w:rPr>
          <w:rFonts w:ascii="Arial" w:eastAsia="Arial" w:hAnsi="Arial" w:cs="Arial"/>
          <w:sz w:val="22"/>
          <w:szCs w:val="22"/>
        </w:rPr>
        <w:t>Currently, minimum wage in Ireland is €530 per week.</w:t>
      </w:r>
      <w:r>
        <w:rPr>
          <w:rFonts w:ascii="Arial" w:eastAsia="Arial" w:hAnsi="Arial" w:cs="Arial"/>
          <w:b/>
          <w:color w:val="741B47"/>
          <w:sz w:val="22"/>
          <w:szCs w:val="22"/>
          <w:vertAlign w:val="superscript"/>
        </w:rPr>
        <w:footnoteReference w:id="53"/>
      </w:r>
      <w:r>
        <w:rPr>
          <w:rFonts w:ascii="Arial" w:eastAsia="Arial" w:hAnsi="Arial" w:cs="Arial"/>
          <w:color w:val="741B47"/>
          <w:sz w:val="22"/>
          <w:szCs w:val="22"/>
        </w:rPr>
        <w:t xml:space="preserve"> </w:t>
      </w:r>
      <w:r>
        <w:rPr>
          <w:rFonts w:ascii="Arial" w:eastAsia="Arial" w:hAnsi="Arial" w:cs="Arial"/>
          <w:sz w:val="22"/>
          <w:szCs w:val="22"/>
        </w:rPr>
        <w:t>The maximum of disability-related social welfare is €244 per week, the most a person can earn before payment is reduced is €165, even cumulatively this is below minimum wage level. Furthermore, the average Cost of Disability</w:t>
      </w:r>
      <w:r w:rsidR="007A0944" w:rsidRPr="007A0944">
        <w:rPr>
          <w:rFonts w:ascii="Arial" w:eastAsia="Arial" w:hAnsi="Arial" w:cs="Arial"/>
          <w:color w:val="7030A0"/>
          <w:sz w:val="22"/>
          <w:szCs w:val="22"/>
        </w:rPr>
        <w:t>*</w:t>
      </w:r>
      <w:r>
        <w:rPr>
          <w:rFonts w:ascii="Arial" w:eastAsia="Arial" w:hAnsi="Arial" w:cs="Arial"/>
          <w:sz w:val="22"/>
          <w:szCs w:val="22"/>
        </w:rPr>
        <w:t xml:space="preserve"> in Ireland is €488-€555 per week, rising to €786-€875 for individuals with significant impairments</w:t>
      </w:r>
      <w:r>
        <w:rPr>
          <w:rFonts w:ascii="Arial" w:eastAsia="Arial" w:hAnsi="Arial" w:cs="Arial"/>
          <w:b/>
          <w:color w:val="741B47"/>
          <w:sz w:val="22"/>
          <w:szCs w:val="22"/>
          <w:vertAlign w:val="superscript"/>
        </w:rPr>
        <w:footnoteReference w:id="54"/>
      </w:r>
      <w:r>
        <w:rPr>
          <w:rFonts w:ascii="Arial" w:eastAsia="Arial" w:hAnsi="Arial" w:cs="Arial"/>
          <w:sz w:val="22"/>
          <w:szCs w:val="22"/>
        </w:rPr>
        <w:t xml:space="preserve"> (</w:t>
      </w:r>
      <w:r w:rsidR="007A0944" w:rsidRPr="007A0944">
        <w:rPr>
          <w:rFonts w:ascii="Arial" w:eastAsia="Arial" w:hAnsi="Arial" w:cs="Arial"/>
          <w:color w:val="7030A0"/>
          <w:sz w:val="22"/>
          <w:szCs w:val="22"/>
        </w:rPr>
        <w:t>*</w:t>
      </w:r>
      <w:r>
        <w:rPr>
          <w:rFonts w:ascii="Arial" w:eastAsia="Arial" w:hAnsi="Arial" w:cs="Arial"/>
          <w:sz w:val="22"/>
          <w:szCs w:val="22"/>
        </w:rPr>
        <w:t>defined as the extra expenditure a disabled individual requires to achieve the same standard of living as a comparable non-disabled individual).</w:t>
      </w:r>
    </w:p>
    <w:p w14:paraId="53BF8E5F" w14:textId="77777777" w:rsidR="00392978" w:rsidRDefault="00392978">
      <w:pPr>
        <w:spacing w:line="360" w:lineRule="auto"/>
        <w:rPr>
          <w:rFonts w:ascii="Arial" w:eastAsia="Arial" w:hAnsi="Arial" w:cs="Arial"/>
          <w:sz w:val="22"/>
          <w:szCs w:val="22"/>
        </w:rPr>
      </w:pPr>
    </w:p>
    <w:p w14:paraId="76C5AC93" w14:textId="77777777" w:rsidR="00392978" w:rsidRDefault="00000000">
      <w:pPr>
        <w:spacing w:line="360" w:lineRule="auto"/>
        <w:rPr>
          <w:rFonts w:ascii="Arial" w:eastAsia="Arial" w:hAnsi="Arial" w:cs="Arial"/>
          <w:b/>
          <w:color w:val="741B47"/>
          <w:sz w:val="22"/>
          <w:szCs w:val="22"/>
        </w:rPr>
      </w:pPr>
      <w:r>
        <w:rPr>
          <w:rFonts w:ascii="Arial" w:eastAsia="Arial" w:hAnsi="Arial" w:cs="Arial"/>
          <w:sz w:val="22"/>
          <w:szCs w:val="22"/>
        </w:rPr>
        <w:t>The insufficiency of social welfare supports is of particular concern to disabled women given that women are more likely than men to be disabled and disabled women experience higher unemployment than disabled men. We would therefore expect to see more women than men in receipt of disability-related social welfare payments, but the opposite is true.</w:t>
      </w:r>
      <w:r>
        <w:rPr>
          <w:rFonts w:ascii="Arial" w:eastAsia="Arial" w:hAnsi="Arial" w:cs="Arial"/>
          <w:b/>
          <w:color w:val="741B47"/>
          <w:sz w:val="22"/>
          <w:szCs w:val="22"/>
          <w:vertAlign w:val="superscript"/>
        </w:rPr>
        <w:footnoteReference w:id="55"/>
      </w:r>
    </w:p>
    <w:p w14:paraId="187A69FB" w14:textId="77777777" w:rsidR="00392978" w:rsidRDefault="00392978">
      <w:pPr>
        <w:spacing w:line="360" w:lineRule="auto"/>
        <w:rPr>
          <w:rFonts w:ascii="Arial" w:eastAsia="Arial" w:hAnsi="Arial" w:cs="Arial"/>
          <w:sz w:val="22"/>
          <w:szCs w:val="22"/>
        </w:rPr>
      </w:pPr>
    </w:p>
    <w:p w14:paraId="2B408F49"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Disability-related supports are Means Tested against family/spousal income, which DWI believe explains this discrepancy. Thousands of disabled women do not receive any State support as they are deemed ‘dependents’ of their spouse or other family members; many disabled women can’t get married for fear of losing all financial independence. </w:t>
      </w:r>
    </w:p>
    <w:p w14:paraId="66C5B9D6" w14:textId="77777777" w:rsidR="00392978" w:rsidRDefault="00392978">
      <w:pPr>
        <w:spacing w:line="360" w:lineRule="auto"/>
        <w:rPr>
          <w:rFonts w:ascii="Arial" w:eastAsia="Arial" w:hAnsi="Arial" w:cs="Arial"/>
          <w:sz w:val="22"/>
          <w:szCs w:val="22"/>
        </w:rPr>
      </w:pPr>
    </w:p>
    <w:p w14:paraId="4A772A2C" w14:textId="77777777" w:rsidR="00392978" w:rsidRDefault="00000000" w:rsidP="00FF26E7">
      <w:pPr>
        <w:spacing w:after="120" w:line="360" w:lineRule="auto"/>
        <w:rPr>
          <w:rFonts w:ascii="Arial" w:eastAsia="Arial" w:hAnsi="Arial" w:cs="Arial"/>
          <w:sz w:val="22"/>
          <w:szCs w:val="22"/>
        </w:rPr>
      </w:pPr>
      <w:r>
        <w:rPr>
          <w:rFonts w:ascii="Arial" w:eastAsia="Arial" w:hAnsi="Arial" w:cs="Arial"/>
          <w:sz w:val="22"/>
          <w:szCs w:val="22"/>
        </w:rPr>
        <w:t>Indeed, the National Women’s Council of Ireland emphasised that the Irish social welfare model creates barriers to equality for women:</w:t>
      </w:r>
    </w:p>
    <w:p w14:paraId="5899B53F" w14:textId="77777777" w:rsidR="00392978" w:rsidRDefault="00392978">
      <w:pPr>
        <w:spacing w:line="360" w:lineRule="auto"/>
        <w:rPr>
          <w:rFonts w:ascii="Arial" w:eastAsia="Arial" w:hAnsi="Arial" w:cs="Arial"/>
          <w:sz w:val="4"/>
          <w:szCs w:val="4"/>
        </w:rPr>
      </w:pPr>
    </w:p>
    <w:p w14:paraId="1BCB14DF" w14:textId="77777777" w:rsidR="00392978" w:rsidRDefault="00000000">
      <w:pPr>
        <w:spacing w:line="360" w:lineRule="auto"/>
        <w:ind w:left="720"/>
        <w:rPr>
          <w:rFonts w:ascii="Arial" w:eastAsia="Arial" w:hAnsi="Arial" w:cs="Arial"/>
          <w:b/>
          <w:color w:val="741B47"/>
          <w:sz w:val="22"/>
          <w:szCs w:val="22"/>
        </w:rPr>
      </w:pPr>
      <w:r>
        <w:rPr>
          <w:rFonts w:ascii="Arial" w:eastAsia="Arial" w:hAnsi="Arial" w:cs="Arial"/>
          <w:b/>
          <w:sz w:val="22"/>
          <w:szCs w:val="22"/>
        </w:rPr>
        <w:t>“The Irish model of social welfare does little to promote economic independence for women. Many women who are eligible for social welfare payments are categorised as ‘Qualified Adults’, and their payments most often go directly to their husbands. This undermines the economic independence of women denying them access to payments in their own right. This situation keeps all Qualified Adults (and in particular those who are women with disabilities) in positions of disadvantage and vulnerable to poverty, control and violence.”</w:t>
      </w:r>
      <w:r>
        <w:rPr>
          <w:rFonts w:ascii="Arial" w:eastAsia="Arial" w:hAnsi="Arial" w:cs="Arial"/>
          <w:b/>
          <w:color w:val="741B47"/>
          <w:sz w:val="22"/>
          <w:szCs w:val="22"/>
          <w:vertAlign w:val="superscript"/>
        </w:rPr>
        <w:footnoteReference w:id="56"/>
      </w:r>
    </w:p>
    <w:p w14:paraId="220BBB43" w14:textId="77777777" w:rsidR="007A0944" w:rsidRDefault="007A0944">
      <w:pPr>
        <w:spacing w:line="360" w:lineRule="auto"/>
        <w:rPr>
          <w:rFonts w:ascii="Arial" w:eastAsia="Arial" w:hAnsi="Arial" w:cs="Arial"/>
          <w:sz w:val="16"/>
          <w:szCs w:val="16"/>
        </w:rPr>
      </w:pPr>
    </w:p>
    <w:p w14:paraId="7F3D8A92" w14:textId="77777777" w:rsidR="00392978" w:rsidRDefault="00000000" w:rsidP="00FF26E7">
      <w:pPr>
        <w:spacing w:before="200" w:after="240" w:line="360" w:lineRule="auto"/>
        <w:rPr>
          <w:rFonts w:ascii="Arial" w:eastAsia="Arial" w:hAnsi="Arial" w:cs="Arial"/>
          <w:sz w:val="22"/>
          <w:szCs w:val="22"/>
        </w:rPr>
      </w:pPr>
      <w:r>
        <w:rPr>
          <w:rFonts w:ascii="Arial" w:eastAsia="Arial" w:hAnsi="Arial" w:cs="Arial"/>
          <w:sz w:val="22"/>
          <w:szCs w:val="22"/>
        </w:rPr>
        <w:t>A 2025 State-commissioned report found that 65%-76% of disabled people in Ireland live in poverty or At Risk Of Poverty.</w:t>
      </w:r>
      <w:r>
        <w:rPr>
          <w:rFonts w:ascii="Arial" w:eastAsia="Arial" w:hAnsi="Arial" w:cs="Arial"/>
          <w:b/>
          <w:color w:val="741B47"/>
          <w:sz w:val="22"/>
          <w:szCs w:val="22"/>
          <w:vertAlign w:val="superscript"/>
        </w:rPr>
        <w:footnoteReference w:id="57"/>
      </w:r>
      <w:r>
        <w:rPr>
          <w:rFonts w:ascii="Arial" w:eastAsia="Arial" w:hAnsi="Arial" w:cs="Arial"/>
          <w:sz w:val="22"/>
          <w:szCs w:val="22"/>
        </w:rPr>
        <w:t xml:space="preserve"> DWI requested for a gender disaggregated breakdown of these figures from the authors, as previous research has shown a notable gender gap, but were advised that this data will not be reported. </w:t>
      </w:r>
    </w:p>
    <w:p w14:paraId="64B650D8" w14:textId="77777777" w:rsidR="00FF26E7" w:rsidRDefault="00000000">
      <w:pPr>
        <w:spacing w:line="360" w:lineRule="auto"/>
        <w:rPr>
          <w:rFonts w:ascii="Arial" w:eastAsia="Arial" w:hAnsi="Arial" w:cs="Arial"/>
          <w:sz w:val="22"/>
          <w:szCs w:val="22"/>
        </w:rPr>
      </w:pPr>
      <w:r>
        <w:rPr>
          <w:rFonts w:ascii="Arial" w:eastAsia="Arial" w:hAnsi="Arial" w:cs="Arial"/>
          <w:sz w:val="22"/>
          <w:szCs w:val="22"/>
        </w:rPr>
        <w:t xml:space="preserve">In 2017, the </w:t>
      </w:r>
      <w:r>
        <w:rPr>
          <w:rFonts w:ascii="Arial" w:eastAsia="Arial" w:hAnsi="Arial" w:cs="Arial"/>
          <w:i/>
          <w:sz w:val="22"/>
          <w:szCs w:val="22"/>
        </w:rPr>
        <w:t>"Make Work Pay"</w:t>
      </w:r>
      <w:r>
        <w:rPr>
          <w:rFonts w:ascii="Arial" w:eastAsia="Arial" w:hAnsi="Arial" w:cs="Arial"/>
          <w:sz w:val="22"/>
          <w:szCs w:val="22"/>
        </w:rPr>
        <w:t xml:space="preserve"> Report was published to identify the main challenges faced by disabled people on social welfare when seeking to take up employment.</w:t>
      </w:r>
      <w:r>
        <w:rPr>
          <w:rFonts w:ascii="Arial" w:eastAsia="Arial" w:hAnsi="Arial" w:cs="Arial"/>
          <w:b/>
          <w:color w:val="741B47"/>
          <w:sz w:val="22"/>
          <w:szCs w:val="22"/>
          <w:vertAlign w:val="superscript"/>
        </w:rPr>
        <w:footnoteReference w:id="58"/>
      </w:r>
      <w:r>
        <w:rPr>
          <w:rFonts w:ascii="Arial" w:eastAsia="Arial" w:hAnsi="Arial" w:cs="Arial"/>
          <w:sz w:val="22"/>
          <w:szCs w:val="22"/>
        </w:rPr>
        <w:t xml:space="preserve"> This produced a series of recommendations, accompanied by a proposed timeframe for their implementation. Among these recommendations was the call for an annual review of implementation progress. However, this annual review has not been actioned,</w:t>
      </w:r>
      <w:r>
        <w:rPr>
          <w:rFonts w:ascii="Arial" w:eastAsia="Arial" w:hAnsi="Arial" w:cs="Arial"/>
          <w:b/>
          <w:color w:val="741B47"/>
          <w:sz w:val="22"/>
          <w:szCs w:val="22"/>
          <w:vertAlign w:val="superscript"/>
        </w:rPr>
        <w:footnoteReference w:id="59"/>
      </w:r>
      <w:r>
        <w:rPr>
          <w:rFonts w:ascii="Arial" w:eastAsia="Arial" w:hAnsi="Arial" w:cs="Arial"/>
          <w:sz w:val="22"/>
          <w:szCs w:val="22"/>
        </w:rPr>
        <w:t xml:space="preserve"> and many of the report’s other recommendations have not been implemented.</w:t>
      </w:r>
    </w:p>
    <w:p w14:paraId="595CFC42" w14:textId="77777777" w:rsidR="00FF26E7" w:rsidRDefault="00FF26E7">
      <w:pPr>
        <w:spacing w:line="360" w:lineRule="auto"/>
        <w:rPr>
          <w:rFonts w:ascii="Arial" w:eastAsia="Arial" w:hAnsi="Arial" w:cs="Arial"/>
          <w:sz w:val="22"/>
          <w:szCs w:val="22"/>
        </w:rPr>
      </w:pPr>
    </w:p>
    <w:p w14:paraId="68200A9A" w14:textId="0C92543D"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This lack of financial independence also results in disabled women being made more vulnerable to other types of abuse and exploitation, which we discuss in greater detail above. </w:t>
      </w:r>
    </w:p>
    <w:p w14:paraId="2B90DC73" w14:textId="77777777" w:rsidR="00392978" w:rsidRDefault="00000000">
      <w:pPr>
        <w:pStyle w:val="Heading3"/>
        <w:spacing w:after="60" w:line="360" w:lineRule="auto"/>
        <w:rPr>
          <w:b/>
          <w:color w:val="741B47"/>
          <w:sz w:val="28"/>
          <w:szCs w:val="28"/>
        </w:rPr>
      </w:pPr>
      <w:bookmarkStart w:id="20" w:name="_heading=h.bkjwz4d4joa5" w:colFirst="0" w:colLast="0"/>
      <w:bookmarkEnd w:id="20"/>
      <w:r>
        <w:rPr>
          <w:b/>
          <w:color w:val="741B47"/>
          <w:sz w:val="28"/>
          <w:szCs w:val="28"/>
        </w:rPr>
        <w:lastRenderedPageBreak/>
        <w:t>Housing Crisis and Institutionalisation</w:t>
      </w:r>
    </w:p>
    <w:p w14:paraId="6F660091"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Ireland is in the midst of a severe housing crisis,</w:t>
      </w:r>
      <w:r>
        <w:rPr>
          <w:rFonts w:ascii="Arial" w:eastAsia="Arial" w:hAnsi="Arial" w:cs="Arial"/>
          <w:b/>
          <w:color w:val="741B47"/>
          <w:sz w:val="22"/>
          <w:szCs w:val="22"/>
          <w:vertAlign w:val="superscript"/>
        </w:rPr>
        <w:footnoteReference w:id="60"/>
      </w:r>
      <w:r>
        <w:rPr>
          <w:rFonts w:ascii="Arial" w:eastAsia="Arial" w:hAnsi="Arial" w:cs="Arial"/>
          <w:sz w:val="22"/>
          <w:szCs w:val="22"/>
        </w:rPr>
        <w:t xml:space="preserve"> a situation that has a particularly severe impact on disabled women. Accessible, affordable housing is in critically short supply. As of 2022, disabled women constitute 14.3% of all homeless people in Ireland, and experts have warned homelessness affecting women is routinely under-counted.</w:t>
      </w:r>
      <w:r>
        <w:rPr>
          <w:rFonts w:ascii="Arial" w:eastAsia="Arial" w:hAnsi="Arial" w:cs="Arial"/>
          <w:b/>
          <w:color w:val="741B47"/>
          <w:sz w:val="22"/>
          <w:szCs w:val="22"/>
          <w:vertAlign w:val="superscript"/>
        </w:rPr>
        <w:footnoteReference w:id="61"/>
      </w:r>
      <w:r>
        <w:rPr>
          <w:rFonts w:ascii="Arial" w:eastAsia="Arial" w:hAnsi="Arial" w:cs="Arial"/>
          <w:color w:val="741B47"/>
          <w:sz w:val="22"/>
          <w:szCs w:val="22"/>
        </w:rPr>
        <w:t xml:space="preserve"> </w:t>
      </w:r>
      <w:r>
        <w:rPr>
          <w:rFonts w:ascii="Arial" w:eastAsia="Arial" w:hAnsi="Arial" w:cs="Arial"/>
          <w:sz w:val="22"/>
          <w:szCs w:val="22"/>
        </w:rPr>
        <w:t>We can report that many disabled women not counted as homeless are nonetheless without an appropriate home, instead being placed in unsuitable, inaccessible accommodation or confined to hospitals, group homes and other institutional settings. This has devastating impacts.</w:t>
      </w:r>
    </w:p>
    <w:p w14:paraId="37309DE2" w14:textId="77777777" w:rsidR="00392978" w:rsidRDefault="00392978">
      <w:pPr>
        <w:spacing w:line="360" w:lineRule="auto"/>
        <w:rPr>
          <w:rFonts w:ascii="Arial" w:eastAsia="Arial" w:hAnsi="Arial" w:cs="Arial"/>
          <w:sz w:val="22"/>
          <w:szCs w:val="22"/>
        </w:rPr>
      </w:pPr>
    </w:p>
    <w:p w14:paraId="5F25AD75"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 xml:space="preserve">Not only is experience of institutionalisation a highly predictive indicator of experiencing future abuse for disabled women, the act of institutionalisation itself greatly increases their likelihood of being cut off from support networks and community, and undermines their autonomy in ways that can have life-long repercussions. </w:t>
      </w:r>
    </w:p>
    <w:p w14:paraId="437C50D9" w14:textId="77777777" w:rsidR="00392978" w:rsidRDefault="00392978">
      <w:pPr>
        <w:spacing w:line="360" w:lineRule="auto"/>
        <w:rPr>
          <w:rFonts w:ascii="Arial" w:eastAsia="Arial" w:hAnsi="Arial" w:cs="Arial"/>
          <w:sz w:val="22"/>
          <w:szCs w:val="22"/>
        </w:rPr>
      </w:pPr>
    </w:p>
    <w:p w14:paraId="13366B87" w14:textId="77777777" w:rsidR="00392978" w:rsidRDefault="00392978">
      <w:pPr>
        <w:spacing w:line="360" w:lineRule="auto"/>
        <w:rPr>
          <w:rFonts w:ascii="Arial" w:eastAsia="Arial" w:hAnsi="Arial" w:cs="Arial"/>
          <w:sz w:val="12"/>
          <w:szCs w:val="12"/>
        </w:rPr>
      </w:pPr>
    </w:p>
    <w:p w14:paraId="29C7D397" w14:textId="77777777" w:rsidR="00392978" w:rsidRDefault="00000000">
      <w:pPr>
        <w:spacing w:line="360" w:lineRule="auto"/>
        <w:rPr>
          <w:rFonts w:ascii="Arial" w:eastAsia="Arial" w:hAnsi="Arial" w:cs="Arial"/>
          <w:sz w:val="22"/>
          <w:szCs w:val="22"/>
        </w:rPr>
      </w:pPr>
      <w:r>
        <w:rPr>
          <w:rFonts w:ascii="Arial" w:eastAsia="Arial" w:hAnsi="Arial" w:cs="Arial"/>
          <w:sz w:val="22"/>
          <w:szCs w:val="22"/>
        </w:rPr>
        <w:t>Despite recurring high-profile cases of decades-long abuse in State-run services, Ireland still does not have Adult Safeguarding legislation. Reports into systemic abuse of women in institutional settings - such as the Brandon Report into the case of an institutional resident carrying out 108 documented instances of sexual assault against female residents between 2003 and 2016, despite management being aware of his repeated sexual offences as early as 1997</w:t>
      </w:r>
      <w:r>
        <w:rPr>
          <w:rFonts w:ascii="Arial" w:eastAsia="Arial" w:hAnsi="Arial" w:cs="Arial"/>
          <w:b/>
          <w:color w:val="741B47"/>
          <w:sz w:val="22"/>
          <w:szCs w:val="22"/>
          <w:vertAlign w:val="superscript"/>
        </w:rPr>
        <w:footnoteReference w:id="62"/>
      </w:r>
      <w:r>
        <w:rPr>
          <w:rFonts w:ascii="Arial" w:eastAsia="Arial" w:hAnsi="Arial" w:cs="Arial"/>
          <w:sz w:val="22"/>
          <w:szCs w:val="22"/>
          <w:vertAlign w:val="superscript"/>
        </w:rPr>
        <w:t xml:space="preserve"> </w:t>
      </w:r>
      <w:r>
        <w:rPr>
          <w:rFonts w:ascii="Arial" w:eastAsia="Arial" w:hAnsi="Arial" w:cs="Arial"/>
          <w:sz w:val="22"/>
          <w:szCs w:val="22"/>
        </w:rPr>
        <w:t xml:space="preserve"> or the ‘Grace’ case where an intellectually disabled women was left in the care of a foster family despite the State being notified of serious abuse and neglect by professionals in contact with the family</w:t>
      </w:r>
      <w:r>
        <w:rPr>
          <w:rFonts w:ascii="Arial" w:eastAsia="Arial" w:hAnsi="Arial" w:cs="Arial"/>
          <w:b/>
          <w:color w:val="741B47"/>
          <w:sz w:val="22"/>
          <w:szCs w:val="22"/>
          <w:vertAlign w:val="superscript"/>
        </w:rPr>
        <w:footnoteReference w:id="63"/>
      </w:r>
      <w:r>
        <w:rPr>
          <w:rFonts w:ascii="Arial" w:eastAsia="Arial" w:hAnsi="Arial" w:cs="Arial"/>
          <w:sz w:val="22"/>
          <w:szCs w:val="22"/>
        </w:rPr>
        <w:t xml:space="preserve"> - have not resulted in transparent and concrete actionable strategies to safeguard women from abuse in such services. </w:t>
      </w:r>
    </w:p>
    <w:p w14:paraId="720D0E83" w14:textId="77777777" w:rsidR="00392978" w:rsidRDefault="00392978">
      <w:pPr>
        <w:spacing w:line="360" w:lineRule="auto"/>
      </w:pPr>
    </w:p>
    <w:p w14:paraId="79F29C71" w14:textId="19B6D012" w:rsidR="00392978" w:rsidRDefault="00FF26E7">
      <w:pPr>
        <w:spacing w:line="360" w:lineRule="auto"/>
        <w:rPr>
          <w:rFonts w:ascii="Arial" w:eastAsia="Arial" w:hAnsi="Arial" w:cs="Arial"/>
          <w:sz w:val="22"/>
          <w:szCs w:val="22"/>
        </w:rPr>
      </w:pPr>
      <w:r>
        <w:rPr>
          <w:rFonts w:ascii="Arial" w:eastAsia="Arial" w:hAnsi="Arial" w:cs="Arial"/>
          <w:sz w:val="22"/>
          <w:szCs w:val="22"/>
        </w:rPr>
        <w:t>At the end of April 2025, Senator Tom Clonan raised an ongoing case with the Minister to highlight how nothing has changed to prevent untold women now and in the future.</w:t>
      </w:r>
      <w:r>
        <w:rPr>
          <w:rFonts w:ascii="Arial" w:eastAsia="Arial" w:hAnsi="Arial" w:cs="Arial"/>
          <w:b/>
          <w:color w:val="741B47"/>
          <w:sz w:val="22"/>
          <w:szCs w:val="22"/>
          <w:vertAlign w:val="superscript"/>
        </w:rPr>
        <w:footnoteReference w:id="64"/>
      </w:r>
      <w:r>
        <w:rPr>
          <w:rFonts w:ascii="Arial" w:eastAsia="Arial" w:hAnsi="Arial" w:cs="Arial"/>
          <w:sz w:val="22"/>
          <w:szCs w:val="22"/>
        </w:rPr>
        <w:t xml:space="preserve"> DWI have heard from other families with similar experiences who are afraid to take action against the State, due to recent exposures of State retaliation against disabled claimants and their families.</w:t>
      </w:r>
      <w:r>
        <w:rPr>
          <w:rFonts w:ascii="Arial" w:eastAsia="Arial" w:hAnsi="Arial" w:cs="Arial"/>
          <w:b/>
          <w:color w:val="741B47"/>
          <w:sz w:val="22"/>
          <w:szCs w:val="22"/>
          <w:vertAlign w:val="superscript"/>
        </w:rPr>
        <w:footnoteReference w:id="65"/>
      </w:r>
      <w:r>
        <w:rPr>
          <w:rFonts w:ascii="Arial" w:eastAsia="Arial" w:hAnsi="Arial" w:cs="Arial"/>
          <w:sz w:val="22"/>
          <w:szCs w:val="22"/>
        </w:rPr>
        <w:t xml:space="preserve"> Both DWI and NeuroPride stress that rights-based Adult Safeguarding law is urgently needed to uphold disabled </w:t>
      </w:r>
      <w:r w:rsidR="007A0944">
        <w:rPr>
          <w:rFonts w:ascii="Arial" w:eastAsia="Arial" w:hAnsi="Arial" w:cs="Arial"/>
          <w:sz w:val="22"/>
          <w:szCs w:val="22"/>
        </w:rPr>
        <w:t>women’s</w:t>
      </w:r>
      <w:r>
        <w:rPr>
          <w:rFonts w:ascii="Arial" w:eastAsia="Arial" w:hAnsi="Arial" w:cs="Arial"/>
          <w:sz w:val="22"/>
          <w:szCs w:val="22"/>
        </w:rPr>
        <w:t xml:space="preserve"> rights.</w:t>
      </w:r>
    </w:p>
    <w:p w14:paraId="6B6887C5" w14:textId="77777777" w:rsidR="00392978" w:rsidRDefault="00392978">
      <w:pPr>
        <w:spacing w:line="360" w:lineRule="auto"/>
        <w:rPr>
          <w:rFonts w:ascii="Arial" w:eastAsia="Arial" w:hAnsi="Arial" w:cs="Arial"/>
          <w:i/>
          <w:sz w:val="22"/>
          <w:szCs w:val="22"/>
        </w:rPr>
      </w:pPr>
    </w:p>
    <w:p w14:paraId="242D7FFD" w14:textId="77777777" w:rsidR="00392978" w:rsidRDefault="00000000">
      <w:pPr>
        <w:pStyle w:val="Heading2"/>
        <w:keepNext w:val="0"/>
        <w:keepLines w:val="0"/>
        <w:spacing w:before="0" w:after="120"/>
        <w:rPr>
          <w:i/>
          <w:color w:val="741B47"/>
          <w:sz w:val="32"/>
          <w:szCs w:val="32"/>
        </w:rPr>
      </w:pPr>
      <w:bookmarkStart w:id="21" w:name="_heading=h.81bxvjusr9zx" w:colFirst="0" w:colLast="0"/>
      <w:bookmarkEnd w:id="21"/>
      <w:r>
        <w:rPr>
          <w:i/>
          <w:color w:val="741B47"/>
          <w:sz w:val="32"/>
          <w:szCs w:val="32"/>
        </w:rPr>
        <w:t>Recommendations:</w:t>
      </w:r>
    </w:p>
    <w:p w14:paraId="0093C449" w14:textId="77777777" w:rsidR="00392978" w:rsidRDefault="00000000" w:rsidP="00FF26E7">
      <w:pPr>
        <w:numPr>
          <w:ilvl w:val="0"/>
          <w:numId w:val="1"/>
        </w:numPr>
        <w:spacing w:before="120" w:after="360"/>
        <w:ind w:left="714" w:hanging="357"/>
        <w:rPr>
          <w:rFonts w:ascii="Arial" w:eastAsia="Arial" w:hAnsi="Arial" w:cs="Arial"/>
          <w:b/>
          <w:color w:val="741B47"/>
          <w:sz w:val="25"/>
          <w:szCs w:val="25"/>
        </w:rPr>
      </w:pPr>
      <w:r>
        <w:rPr>
          <w:sz w:val="26"/>
          <w:szCs w:val="26"/>
        </w:rPr>
        <w:t>Transition disability-related social welfare supports from a Means Tested to a Universal Benefit for qualifying applicants to significantly increase disabled women’s financial independence and significantly reduce their exposure to gender-based abuse.</w:t>
      </w:r>
    </w:p>
    <w:p w14:paraId="3FDDE0E9" w14:textId="77777777" w:rsidR="00392978" w:rsidRDefault="00000000" w:rsidP="00FF26E7">
      <w:pPr>
        <w:numPr>
          <w:ilvl w:val="0"/>
          <w:numId w:val="1"/>
        </w:numPr>
        <w:spacing w:before="120" w:after="360"/>
        <w:ind w:left="714" w:hanging="357"/>
        <w:rPr>
          <w:rFonts w:ascii="Arial" w:eastAsia="Arial" w:hAnsi="Arial" w:cs="Arial"/>
          <w:b/>
          <w:color w:val="741B47"/>
          <w:sz w:val="26"/>
          <w:szCs w:val="26"/>
        </w:rPr>
      </w:pPr>
      <w:r>
        <w:rPr>
          <w:sz w:val="26"/>
          <w:szCs w:val="26"/>
        </w:rPr>
        <w:t>Review Social welfare payments to ensure they meet ‘living wage’ levels and the additional Cost of Disability to tackle endemic rates of poverty and social exclusion experienced by disabled women.</w:t>
      </w:r>
    </w:p>
    <w:p w14:paraId="3E0A33EC" w14:textId="77777777" w:rsidR="00392978" w:rsidRDefault="00000000" w:rsidP="00FF26E7">
      <w:pPr>
        <w:numPr>
          <w:ilvl w:val="0"/>
          <w:numId w:val="1"/>
        </w:numPr>
        <w:spacing w:before="120" w:after="360"/>
        <w:ind w:left="714" w:hanging="357"/>
        <w:rPr>
          <w:rFonts w:ascii="Arial" w:eastAsia="Arial" w:hAnsi="Arial" w:cs="Arial"/>
          <w:b/>
          <w:color w:val="741B47"/>
          <w:sz w:val="26"/>
          <w:szCs w:val="26"/>
        </w:rPr>
      </w:pPr>
      <w:r>
        <w:rPr>
          <w:sz w:val="26"/>
          <w:szCs w:val="26"/>
        </w:rPr>
        <w:t xml:space="preserve">Implement the recommendations of the </w:t>
      </w:r>
      <w:r>
        <w:rPr>
          <w:i/>
          <w:sz w:val="26"/>
          <w:szCs w:val="26"/>
        </w:rPr>
        <w:t xml:space="preserve">"Make Work Pay" </w:t>
      </w:r>
      <w:r>
        <w:rPr>
          <w:sz w:val="26"/>
          <w:szCs w:val="26"/>
        </w:rPr>
        <w:t>Report, particularly the annual review of implementation which should prioritise consultation with DPOs to measure progress.</w:t>
      </w:r>
    </w:p>
    <w:p w14:paraId="2876AB8B" w14:textId="77777777" w:rsidR="00392978" w:rsidRDefault="00000000" w:rsidP="00FF26E7">
      <w:pPr>
        <w:numPr>
          <w:ilvl w:val="0"/>
          <w:numId w:val="1"/>
        </w:numPr>
        <w:spacing w:before="120" w:after="360"/>
        <w:ind w:left="714" w:hanging="357"/>
        <w:rPr>
          <w:rFonts w:ascii="Arial" w:eastAsia="Arial" w:hAnsi="Arial" w:cs="Arial"/>
          <w:b/>
          <w:color w:val="741B47"/>
          <w:sz w:val="26"/>
          <w:szCs w:val="26"/>
        </w:rPr>
      </w:pPr>
      <w:r>
        <w:rPr>
          <w:sz w:val="26"/>
          <w:szCs w:val="26"/>
        </w:rPr>
        <w:t>Introduce specific, measurable goals to track progress in reducing employment inequality experienced by disabled women in all future National Employment Strategies focussing on women or on disabled people to prevent disabled women continuing to fall through the gaps.</w:t>
      </w:r>
    </w:p>
    <w:p w14:paraId="6B9FBFEC" w14:textId="77777777" w:rsidR="00392978" w:rsidRDefault="00000000" w:rsidP="00FF26E7">
      <w:pPr>
        <w:numPr>
          <w:ilvl w:val="0"/>
          <w:numId w:val="1"/>
        </w:numPr>
        <w:spacing w:before="120" w:after="360"/>
        <w:ind w:left="714" w:hanging="357"/>
        <w:rPr>
          <w:b/>
          <w:color w:val="741B47"/>
          <w:sz w:val="26"/>
          <w:szCs w:val="26"/>
        </w:rPr>
      </w:pPr>
      <w:r>
        <w:rPr>
          <w:sz w:val="26"/>
          <w:szCs w:val="26"/>
        </w:rPr>
        <w:t xml:space="preserve">Expedite implementation of the </w:t>
      </w:r>
      <w:r>
        <w:rPr>
          <w:i/>
          <w:sz w:val="26"/>
          <w:szCs w:val="26"/>
        </w:rPr>
        <w:t xml:space="preserve">Time to Move on from Congregated Settings </w:t>
      </w:r>
      <w:r>
        <w:rPr>
          <w:sz w:val="26"/>
          <w:szCs w:val="26"/>
        </w:rPr>
        <w:t>Report,</w:t>
      </w:r>
      <w:r>
        <w:rPr>
          <w:b/>
          <w:color w:val="741B47"/>
          <w:sz w:val="26"/>
          <w:szCs w:val="26"/>
          <w:vertAlign w:val="superscript"/>
        </w:rPr>
        <w:footnoteReference w:id="66"/>
      </w:r>
      <w:r>
        <w:rPr>
          <w:sz w:val="26"/>
          <w:szCs w:val="26"/>
        </w:rPr>
        <w:t xml:space="preserve"> sufficiently increasing the accessible housing quota in all public housing projects to facilitate this. Quotas should also be sufficiently robust to accommodate disabled women who are currently homeless or in emergency accommodation.</w:t>
      </w:r>
    </w:p>
    <w:p w14:paraId="6A92A510" w14:textId="77777777" w:rsidR="00392978" w:rsidRDefault="00392978">
      <w:pPr>
        <w:spacing w:after="240" w:line="360" w:lineRule="auto"/>
        <w:ind w:left="720"/>
        <w:rPr>
          <w:rFonts w:ascii="Arial" w:eastAsia="Arial" w:hAnsi="Arial" w:cs="Arial"/>
          <w:b/>
          <w:sz w:val="56"/>
          <w:szCs w:val="56"/>
        </w:rPr>
      </w:pPr>
    </w:p>
    <w:p w14:paraId="16D3390C" w14:textId="77777777" w:rsidR="00392978" w:rsidRDefault="00392978"/>
    <w:sectPr w:rsidR="0039297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2BF55" w14:textId="77777777" w:rsidR="005437E4" w:rsidRDefault="005437E4">
      <w:r>
        <w:separator/>
      </w:r>
    </w:p>
  </w:endnote>
  <w:endnote w:type="continuationSeparator" w:id="0">
    <w:p w14:paraId="02728ECD" w14:textId="77777777" w:rsidR="005437E4" w:rsidRDefault="00543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D0FB" w14:textId="77777777" w:rsidR="00BD698D" w:rsidRDefault="00BD69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06406" w14:textId="77777777" w:rsidR="00392978" w:rsidRDefault="00000000">
    <w:pPr>
      <w:ind w:left="9354" w:right="-1035"/>
      <w:jc w:val="right"/>
      <w:rPr>
        <w:b/>
        <w:color w:val="FFFFFF"/>
        <w:sz w:val="28"/>
        <w:szCs w:val="28"/>
      </w:rPr>
    </w:pPr>
    <w:r>
      <w:rPr>
        <w:b/>
        <w:color w:val="FFFFFF"/>
        <w:sz w:val="28"/>
        <w:szCs w:val="28"/>
      </w:rPr>
      <w:fldChar w:fldCharType="begin"/>
    </w:r>
    <w:r>
      <w:rPr>
        <w:b/>
        <w:color w:val="FFFFFF"/>
        <w:sz w:val="28"/>
        <w:szCs w:val="28"/>
      </w:rPr>
      <w:instrText>PAGE</w:instrText>
    </w:r>
    <w:r>
      <w:rPr>
        <w:b/>
        <w:color w:val="FFFFFF"/>
        <w:sz w:val="28"/>
        <w:szCs w:val="28"/>
      </w:rPr>
      <w:fldChar w:fldCharType="separate"/>
    </w:r>
    <w:r w:rsidR="007A0944">
      <w:rPr>
        <w:b/>
        <w:noProof/>
        <w:color w:val="FFFFFF"/>
        <w:sz w:val="28"/>
        <w:szCs w:val="28"/>
      </w:rPr>
      <w:t>1</w:t>
    </w:r>
    <w:r>
      <w:rPr>
        <w:b/>
        <w:color w:val="FFFFFF"/>
        <w:sz w:val="28"/>
        <w:szCs w:val="28"/>
      </w:rPr>
      <w:fldChar w:fldCharType="end"/>
    </w:r>
    <w:r>
      <w:rPr>
        <w:noProof/>
      </w:rPr>
      <w:drawing>
        <wp:anchor distT="114300" distB="114300" distL="114300" distR="114300" simplePos="0" relativeHeight="251661312" behindDoc="1" locked="0" layoutInCell="1" hidden="0" allowOverlap="1" wp14:anchorId="33C93022" wp14:editId="48486783">
          <wp:simplePos x="0" y="0"/>
          <wp:positionH relativeFrom="column">
            <wp:posOffset>-920587</wp:posOffset>
          </wp:positionH>
          <wp:positionV relativeFrom="paragraph">
            <wp:posOffset>-133478</wp:posOffset>
          </wp:positionV>
          <wp:extent cx="7572375" cy="809941"/>
          <wp:effectExtent l="0" t="0" r="0" b="0"/>
          <wp:wrapNone/>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72375" cy="80994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1EDD7" w14:textId="77777777" w:rsidR="00392978" w:rsidRDefault="00000000">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62336" behindDoc="0" locked="0" layoutInCell="1" hidden="0" allowOverlap="1" wp14:anchorId="3D9323BF" wp14:editId="50CF394B">
              <wp:simplePos x="0" y="0"/>
              <wp:positionH relativeFrom="column">
                <wp:posOffset>-1028699</wp:posOffset>
              </wp:positionH>
              <wp:positionV relativeFrom="paragraph">
                <wp:posOffset>-723899</wp:posOffset>
              </wp:positionV>
              <wp:extent cx="7853680" cy="1286509"/>
              <wp:effectExtent l="0" t="0" r="0" b="0"/>
              <wp:wrapNone/>
              <wp:docPr id="55" name="Flowchart: Document 55"/>
              <wp:cNvGraphicFramePr/>
              <a:graphic xmlns:a="http://schemas.openxmlformats.org/drawingml/2006/main">
                <a:graphicData uri="http://schemas.microsoft.com/office/word/2010/wordprocessingShape">
                  <wps:wsp>
                    <wps:cNvSpPr/>
                    <wps:spPr>
                      <a:xfrm rot="10800000">
                        <a:off x="1466785" y="3184370"/>
                        <a:ext cx="7758430" cy="1191260"/>
                      </a:xfrm>
                      <a:prstGeom prst="flowChartDocument">
                        <a:avLst/>
                      </a:prstGeom>
                      <a:solidFill>
                        <a:srgbClr val="712C79"/>
                      </a:solidFill>
                      <a:ln>
                        <a:noFill/>
                      </a:ln>
                    </wps:spPr>
                    <wps:txbx>
                      <w:txbxContent>
                        <w:p w14:paraId="3FD955A7" w14:textId="77777777" w:rsidR="00392978" w:rsidRDefault="00392978">
                          <w:pPr>
                            <w:textDirection w:val="btLr"/>
                          </w:pPr>
                        </w:p>
                      </w:txbxContent>
                    </wps:txbx>
                    <wps:bodyPr spcFirstLastPara="1" wrap="square" lIns="91425" tIns="91425" rIns="91425" bIns="91425" anchor="ctr" anchorCtr="0">
                      <a:noAutofit/>
                    </wps:bodyPr>
                  </wps:wsp>
                </a:graphicData>
              </a:graphic>
            </wp:anchor>
          </w:drawing>
        </mc:Choice>
        <mc:Fallback>
          <w:pict>
            <v:shapetype w14:anchorId="3D9323BF"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55" o:spid="_x0000_s1028" type="#_x0000_t114" style="position:absolute;margin-left:-81pt;margin-top:-57pt;width:618.4pt;height:101.3pt;rotation:180;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" fillcolor="#712c79" stroked="f">
              <v:textbox inset="2.53958mm,2.53958mm,2.53958mm,2.53958mm">
                <w:txbxContent>
                  <w:p w14:paraId="3FD955A7" w14:textId="77777777" w:rsidR="00392978" w:rsidRDefault="00392978">
                    <w:pPr>
                      <w:textDirection w:val="btLr"/>
                    </w:pPr>
                  </w:p>
                </w:txbxContent>
              </v:textbox>
            </v:shape>
          </w:pict>
        </mc:Fallback>
      </mc:AlternateContent>
    </w:r>
    <w:r>
      <w:rPr>
        <w:noProof/>
      </w:rPr>
      <mc:AlternateContent>
        <mc:Choice Requires="wps">
          <w:drawing>
            <wp:anchor distT="0" distB="0" distL="114300" distR="114300" simplePos="0" relativeHeight="251663360" behindDoc="0" locked="0" layoutInCell="1" hidden="0" allowOverlap="1" wp14:anchorId="38D5C318" wp14:editId="7BAA492E">
              <wp:simplePos x="0" y="0"/>
              <wp:positionH relativeFrom="column">
                <wp:posOffset>-939799</wp:posOffset>
              </wp:positionH>
              <wp:positionV relativeFrom="paragraph">
                <wp:posOffset>-380999</wp:posOffset>
              </wp:positionV>
              <wp:extent cx="8352097" cy="1379104"/>
              <wp:effectExtent l="0" t="0" r="0" b="0"/>
              <wp:wrapNone/>
              <wp:docPr id="54" name="Flowchart: Document 54"/>
              <wp:cNvGraphicFramePr/>
              <a:graphic xmlns:a="http://schemas.openxmlformats.org/drawingml/2006/main">
                <a:graphicData uri="http://schemas.microsoft.com/office/word/2010/wordprocessingShape">
                  <wps:wsp>
                    <wps:cNvSpPr/>
                    <wps:spPr>
                      <a:xfrm rot="10800000">
                        <a:off x="1217576" y="3138073"/>
                        <a:ext cx="8256848" cy="1283855"/>
                      </a:xfrm>
                      <a:prstGeom prst="flowChartDocument">
                        <a:avLst/>
                      </a:prstGeom>
                      <a:solidFill>
                        <a:srgbClr val="F6F081"/>
                      </a:solidFill>
                      <a:ln>
                        <a:noFill/>
                      </a:ln>
                    </wps:spPr>
                    <wps:txbx>
                      <w:txbxContent>
                        <w:p w14:paraId="16C3F2B2" w14:textId="77777777" w:rsidR="00392978" w:rsidRDefault="00392978">
                          <w:pPr>
                            <w:textDirection w:val="btLr"/>
                          </w:pPr>
                        </w:p>
                      </w:txbxContent>
                    </wps:txbx>
                    <wps:bodyPr spcFirstLastPara="1" wrap="square" lIns="91425" tIns="91425" rIns="91425" bIns="91425" anchor="ctr" anchorCtr="0">
                      <a:noAutofit/>
                    </wps:bodyPr>
                  </wps:wsp>
                </a:graphicData>
              </a:graphic>
            </wp:anchor>
          </w:drawing>
        </mc:Choice>
        <mc:Fallback>
          <w:pict>
            <v:shape w14:anchorId="38D5C318" id="Flowchart: Document 54" o:spid="_x0000_s1029" type="#_x0000_t114" style="position:absolute;margin-left:-74pt;margin-top:-30pt;width:657.65pt;height:108.6pt;rotation:180;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" fillcolor="#f6f081" stroked="f">
              <v:textbox inset="2.53958mm,2.53958mm,2.53958mm,2.53958mm">
                <w:txbxContent>
                  <w:p w14:paraId="16C3F2B2" w14:textId="77777777" w:rsidR="00392978" w:rsidRDefault="00392978">
                    <w:pPr>
                      <w:textDirection w:val="btLr"/>
                    </w:pPr>
                  </w:p>
                </w:txbxContent>
              </v:textbox>
            </v:shape>
          </w:pict>
        </mc:Fallback>
      </mc:AlternateContent>
    </w:r>
    <w:r>
      <w:rPr>
        <w:noProof/>
      </w:rPr>
      <w:drawing>
        <wp:anchor distT="0" distB="0" distL="114300" distR="114300" simplePos="0" relativeHeight="251664384" behindDoc="0" locked="0" layoutInCell="1" hidden="0" allowOverlap="1" wp14:anchorId="4EC66544" wp14:editId="2C27CFC6">
          <wp:simplePos x="0" y="0"/>
          <wp:positionH relativeFrom="column">
            <wp:posOffset>5433060</wp:posOffset>
          </wp:positionH>
          <wp:positionV relativeFrom="paragraph">
            <wp:posOffset>-16787</wp:posOffset>
          </wp:positionV>
          <wp:extent cx="496513" cy="506320"/>
          <wp:effectExtent l="0" t="0" r="0" b="0"/>
          <wp:wrapNone/>
          <wp:docPr id="57" name="image1.png" descr="A picture containing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logo&#10;&#10;Description automatically generated"/>
                  <pic:cNvPicPr preferRelativeResize="0"/>
                </pic:nvPicPr>
                <pic:blipFill>
                  <a:blip r:embed="rId1"/>
                  <a:srcRect/>
                  <a:stretch>
                    <a:fillRect/>
                  </a:stretch>
                </pic:blipFill>
                <pic:spPr>
                  <a:xfrm>
                    <a:off x="0" y="0"/>
                    <a:ext cx="496513" cy="506320"/>
                  </a:xfrm>
                  <a:prstGeom prst="rect">
                    <a:avLst/>
                  </a:prstGeom>
                  <a:ln/>
                </pic:spPr>
              </pic:pic>
            </a:graphicData>
          </a:graphic>
        </wp:anchor>
      </w:drawing>
    </w:r>
  </w:p>
  <w:p w14:paraId="3B8E35F6" w14:textId="77777777" w:rsidR="00392978" w:rsidRDefault="0039297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956DA" w14:textId="77777777" w:rsidR="005437E4" w:rsidRDefault="005437E4">
      <w:r>
        <w:separator/>
      </w:r>
    </w:p>
  </w:footnote>
  <w:footnote w:type="continuationSeparator" w:id="0">
    <w:p w14:paraId="6B172423" w14:textId="77777777" w:rsidR="005437E4" w:rsidRDefault="005437E4">
      <w:r>
        <w:continuationSeparator/>
      </w:r>
    </w:p>
  </w:footnote>
  <w:footnote w:id="1">
    <w:p w14:paraId="0E5AB241" w14:textId="77777777" w:rsidR="00392978" w:rsidRDefault="00000000">
      <w:pPr>
        <w:spacing w:after="60"/>
        <w:rPr>
          <w:sz w:val="20"/>
          <w:szCs w:val="20"/>
        </w:rPr>
      </w:pPr>
      <w:r>
        <w:rPr>
          <w:rStyle w:val="FootnoteReference"/>
        </w:rPr>
        <w:footnoteRef/>
      </w:r>
      <w:r>
        <w:rPr>
          <w:sz w:val="20"/>
          <w:szCs w:val="20"/>
        </w:rPr>
        <w:t>In this report, we discuss issues which affect disabled women to reflect the language used in the UN CEDAW and CRPD, and because most data available to us relates to women. However, we wish to note that many of the issues which impact women also impact other marginalised genders.</w:t>
      </w:r>
      <w:r>
        <w:t xml:space="preserve"> </w:t>
      </w:r>
    </w:p>
  </w:footnote>
  <w:footnote w:id="2">
    <w:p w14:paraId="48751A7D" w14:textId="77777777" w:rsidR="00392978" w:rsidRDefault="00000000">
      <w:pPr>
        <w:rPr>
          <w:sz w:val="20"/>
          <w:szCs w:val="20"/>
        </w:rPr>
      </w:pPr>
      <w:r>
        <w:rPr>
          <w:rStyle w:val="FootnoteReference"/>
        </w:rPr>
        <w:footnoteRef/>
      </w:r>
      <w:r>
        <w:rPr>
          <w:sz w:val="20"/>
          <w:szCs w:val="20"/>
        </w:rPr>
        <w:t xml:space="preserve"> </w:t>
      </w:r>
      <w:hyperlink r:id="rId1">
        <w:r w:rsidR="00392978">
          <w:rPr>
            <w:color w:val="1155CC"/>
            <w:sz w:val="20"/>
            <w:szCs w:val="20"/>
            <w:u w:val="single"/>
          </w:rPr>
          <w:t>Census 2022</w:t>
        </w:r>
      </w:hyperlink>
    </w:p>
  </w:footnote>
  <w:footnote w:id="3">
    <w:p w14:paraId="4F861410" w14:textId="77777777" w:rsidR="00392978" w:rsidRDefault="00000000">
      <w:pPr>
        <w:rPr>
          <w:i/>
          <w:sz w:val="20"/>
          <w:szCs w:val="20"/>
        </w:rPr>
      </w:pPr>
      <w:r>
        <w:rPr>
          <w:rStyle w:val="FootnoteReference"/>
        </w:rPr>
        <w:footnoteRef/>
      </w:r>
      <w:r>
        <w:rPr>
          <w:sz w:val="20"/>
          <w:szCs w:val="20"/>
        </w:rPr>
        <w:t xml:space="preserve"> DCDE (2025), </w:t>
      </w:r>
      <w:hyperlink r:id="rId2">
        <w:r w:rsidR="00392978">
          <w:rPr>
            <w:i/>
            <w:color w:val="1155CC"/>
            <w:sz w:val="20"/>
            <w:szCs w:val="20"/>
            <w:u w:val="single"/>
          </w:rPr>
          <w:t>State of the Nation’s Women and Girls</w:t>
        </w:r>
      </w:hyperlink>
    </w:p>
  </w:footnote>
  <w:footnote w:id="4">
    <w:p w14:paraId="65BC7DCE" w14:textId="77777777" w:rsidR="00392978" w:rsidRDefault="00000000">
      <w:pPr>
        <w:rPr>
          <w:i/>
        </w:rPr>
      </w:pPr>
      <w:r>
        <w:rPr>
          <w:rStyle w:val="FootnoteReference"/>
        </w:rPr>
        <w:footnoteRef/>
      </w:r>
      <w:r>
        <w:rPr>
          <w:sz w:val="20"/>
          <w:szCs w:val="20"/>
        </w:rPr>
        <w:t xml:space="preserve"> CEDAW (</w:t>
      </w:r>
      <w:hyperlink r:id="rId3">
        <w:r w:rsidR="00392978">
          <w:rPr>
            <w:color w:val="1155CC"/>
            <w:sz w:val="20"/>
            <w:szCs w:val="20"/>
            <w:u w:val="single"/>
          </w:rPr>
          <w:t>2017</w:t>
        </w:r>
      </w:hyperlink>
      <w:r>
        <w:rPr>
          <w:sz w:val="20"/>
          <w:szCs w:val="20"/>
        </w:rPr>
        <w:t>)</w:t>
      </w:r>
    </w:p>
  </w:footnote>
  <w:footnote w:id="5">
    <w:p w14:paraId="0B33396E" w14:textId="77777777" w:rsidR="00392978" w:rsidRDefault="00000000">
      <w:pPr>
        <w:rPr>
          <w:sz w:val="20"/>
          <w:szCs w:val="20"/>
        </w:rPr>
      </w:pPr>
      <w:r>
        <w:rPr>
          <w:rStyle w:val="FootnoteReference"/>
        </w:rPr>
        <w:footnoteRef/>
      </w:r>
      <w:r>
        <w:rPr>
          <w:sz w:val="16"/>
          <w:szCs w:val="16"/>
        </w:rPr>
        <w:t xml:space="preserve"> </w:t>
      </w:r>
      <w:r>
        <w:rPr>
          <w:sz w:val="20"/>
          <w:szCs w:val="20"/>
        </w:rPr>
        <w:t xml:space="preserve">DoJE, </w:t>
      </w:r>
      <w:hyperlink r:id="rId4" w:anchor="page=null">
        <w:r w:rsidR="00392978">
          <w:rPr>
            <w:i/>
            <w:color w:val="1155CC"/>
            <w:sz w:val="20"/>
            <w:szCs w:val="20"/>
            <w:u w:val="single"/>
          </w:rPr>
          <w:t>NSW&amp;G 2017-2020</w:t>
        </w:r>
      </w:hyperlink>
    </w:p>
  </w:footnote>
  <w:footnote w:id="6">
    <w:p w14:paraId="472EF286" w14:textId="77777777" w:rsidR="00392978" w:rsidRDefault="00000000">
      <w:pPr>
        <w:rPr>
          <w:sz w:val="20"/>
          <w:szCs w:val="20"/>
        </w:rPr>
      </w:pPr>
      <w:r>
        <w:rPr>
          <w:rStyle w:val="FootnoteReference"/>
        </w:rPr>
        <w:footnoteRef/>
      </w:r>
      <w:r>
        <w:rPr>
          <w:sz w:val="16"/>
          <w:szCs w:val="16"/>
        </w:rPr>
        <w:t xml:space="preserve"> </w:t>
      </w:r>
      <w:r>
        <w:rPr>
          <w:sz w:val="20"/>
          <w:szCs w:val="20"/>
        </w:rPr>
        <w:t xml:space="preserve">DCEDIY, </w:t>
      </w:r>
      <w:hyperlink r:id="rId5">
        <w:r w:rsidR="00392978">
          <w:rPr>
            <w:i/>
            <w:color w:val="1155CC"/>
            <w:sz w:val="20"/>
            <w:szCs w:val="20"/>
            <w:u w:val="single"/>
          </w:rPr>
          <w:t>NDIS 2017-2021</w:t>
        </w:r>
      </w:hyperlink>
    </w:p>
  </w:footnote>
  <w:footnote w:id="7">
    <w:p w14:paraId="6F1AD60B" w14:textId="77777777" w:rsidR="00392978" w:rsidRDefault="00000000">
      <w:pPr>
        <w:rPr>
          <w:sz w:val="16"/>
          <w:szCs w:val="16"/>
        </w:rPr>
      </w:pPr>
      <w:r>
        <w:rPr>
          <w:rStyle w:val="FootnoteReference"/>
        </w:rPr>
        <w:footnoteRef/>
      </w:r>
      <w:r>
        <w:rPr>
          <w:sz w:val="20"/>
          <w:szCs w:val="20"/>
        </w:rPr>
        <w:t xml:space="preserve"> </w:t>
      </w:r>
      <w:hyperlink r:id="rId6">
        <w:r w:rsidR="00392978">
          <w:rPr>
            <w:i/>
            <w:color w:val="1155CC"/>
            <w:sz w:val="20"/>
            <w:szCs w:val="20"/>
            <w:u w:val="single"/>
          </w:rPr>
          <w:t>Comprehensive Employment Strategy for PwD 2015-2024</w:t>
        </w:r>
      </w:hyperlink>
    </w:p>
  </w:footnote>
  <w:footnote w:id="8">
    <w:p w14:paraId="73925C41" w14:textId="77777777" w:rsidR="00392978" w:rsidRDefault="00000000">
      <w:r>
        <w:rPr>
          <w:rStyle w:val="FootnoteReference"/>
        </w:rPr>
        <w:footnoteRef/>
      </w:r>
      <w:r>
        <w:rPr>
          <w:sz w:val="20"/>
          <w:szCs w:val="20"/>
        </w:rPr>
        <w:t xml:space="preserve"> CES (2023), </w:t>
      </w:r>
      <w:hyperlink r:id="rId7" w:anchor=":~:text=The%20study%20was%20commissioned%20by,view%20to%20informing%20how%20the">
        <w:r w:rsidR="00392978">
          <w:rPr>
            <w:i/>
            <w:color w:val="1155CC"/>
            <w:sz w:val="20"/>
            <w:szCs w:val="20"/>
            <w:u w:val="single"/>
          </w:rPr>
          <w:t>Realising the promise of Equality Policy</w:t>
        </w:r>
      </w:hyperlink>
    </w:p>
  </w:footnote>
  <w:footnote w:id="9">
    <w:p w14:paraId="50EA17FB" w14:textId="77777777" w:rsidR="00392978" w:rsidRDefault="00000000">
      <w:pPr>
        <w:rPr>
          <w:sz w:val="20"/>
          <w:szCs w:val="20"/>
        </w:rPr>
      </w:pPr>
      <w:r>
        <w:rPr>
          <w:rStyle w:val="FootnoteReference"/>
        </w:rPr>
        <w:footnoteRef/>
      </w:r>
      <w:r>
        <w:rPr>
          <w:sz w:val="20"/>
          <w:szCs w:val="20"/>
        </w:rPr>
        <w:t xml:space="preserve"> </w:t>
      </w:r>
      <w:hyperlink r:id="rId8">
        <w:r w:rsidR="00392978">
          <w:rPr>
            <w:color w:val="1155CC"/>
            <w:sz w:val="20"/>
            <w:szCs w:val="20"/>
            <w:u w:val="single"/>
          </w:rPr>
          <w:t>Equal Status Act 2000</w:t>
        </w:r>
      </w:hyperlink>
    </w:p>
  </w:footnote>
  <w:footnote w:id="10">
    <w:p w14:paraId="3FA6E774" w14:textId="77777777" w:rsidR="00392978" w:rsidRDefault="00000000">
      <w:pPr>
        <w:rPr>
          <w:sz w:val="20"/>
          <w:szCs w:val="20"/>
        </w:rPr>
      </w:pPr>
      <w:r>
        <w:rPr>
          <w:rStyle w:val="FootnoteReference"/>
        </w:rPr>
        <w:footnoteRef/>
      </w:r>
      <w:r>
        <w:rPr>
          <w:sz w:val="20"/>
          <w:szCs w:val="20"/>
        </w:rPr>
        <w:t xml:space="preserve"> </w:t>
      </w:r>
      <w:hyperlink r:id="rId9">
        <w:r w:rsidR="00392978">
          <w:rPr>
            <w:color w:val="1155CC"/>
            <w:sz w:val="20"/>
            <w:szCs w:val="20"/>
            <w:u w:val="single"/>
          </w:rPr>
          <w:t>CSO DatasetF4066</w:t>
        </w:r>
      </w:hyperlink>
    </w:p>
  </w:footnote>
  <w:footnote w:id="11">
    <w:p w14:paraId="010A1CDE" w14:textId="77777777" w:rsidR="00392978" w:rsidRDefault="00000000">
      <w:pPr>
        <w:rPr>
          <w:sz w:val="20"/>
          <w:szCs w:val="20"/>
        </w:rPr>
      </w:pPr>
      <w:r>
        <w:rPr>
          <w:rStyle w:val="FootnoteReference"/>
        </w:rPr>
        <w:footnoteRef/>
      </w:r>
      <w:r>
        <w:rPr>
          <w:sz w:val="20"/>
          <w:szCs w:val="20"/>
        </w:rPr>
        <w:t xml:space="preserve"> Túsla (2011), </w:t>
      </w:r>
      <w:hyperlink r:id="rId10">
        <w:r w:rsidR="00392978">
          <w:rPr>
            <w:i/>
            <w:color w:val="1155CC"/>
            <w:sz w:val="20"/>
            <w:szCs w:val="20"/>
            <w:u w:val="single"/>
          </w:rPr>
          <w:t>Child Protection Handbook</w:t>
        </w:r>
      </w:hyperlink>
    </w:p>
  </w:footnote>
  <w:footnote w:id="12">
    <w:p w14:paraId="7C022E50" w14:textId="77777777" w:rsidR="00392978" w:rsidRDefault="00000000">
      <w:pPr>
        <w:rPr>
          <w:i/>
          <w:sz w:val="20"/>
          <w:szCs w:val="20"/>
        </w:rPr>
      </w:pPr>
      <w:r>
        <w:rPr>
          <w:rStyle w:val="FootnoteReference"/>
        </w:rPr>
        <w:footnoteRef/>
      </w:r>
      <w:r>
        <w:rPr>
          <w:sz w:val="20"/>
          <w:szCs w:val="20"/>
        </w:rPr>
        <w:t xml:space="preserve">  CDLP (2023), </w:t>
      </w:r>
      <w:hyperlink r:id="rId11">
        <w:r w:rsidR="00392978">
          <w:rPr>
            <w:i/>
            <w:color w:val="1155CC"/>
            <w:sz w:val="20"/>
            <w:szCs w:val="20"/>
            <w:u w:val="single"/>
          </w:rPr>
          <w:t>ReALproductive Report</w:t>
        </w:r>
      </w:hyperlink>
    </w:p>
  </w:footnote>
  <w:footnote w:id="13">
    <w:p w14:paraId="7AB79FB5" w14:textId="77777777" w:rsidR="00392978" w:rsidRDefault="00000000">
      <w:pPr>
        <w:rPr>
          <w:sz w:val="20"/>
          <w:szCs w:val="20"/>
        </w:rPr>
      </w:pPr>
      <w:r>
        <w:rPr>
          <w:rStyle w:val="FootnoteReference"/>
        </w:rPr>
        <w:footnoteRef/>
      </w:r>
      <w:r>
        <w:rPr>
          <w:sz w:val="20"/>
          <w:szCs w:val="20"/>
        </w:rPr>
        <w:t xml:space="preserve">  Quote provided on request for this Report</w:t>
      </w:r>
    </w:p>
  </w:footnote>
  <w:footnote w:id="14">
    <w:p w14:paraId="7176D6AA" w14:textId="77777777" w:rsidR="00392978" w:rsidRDefault="00000000">
      <w:pPr>
        <w:rPr>
          <w:sz w:val="20"/>
          <w:szCs w:val="20"/>
        </w:rPr>
      </w:pPr>
      <w:r>
        <w:rPr>
          <w:rStyle w:val="FootnoteReference"/>
        </w:rPr>
        <w:footnoteRef/>
      </w:r>
      <w:r>
        <w:rPr>
          <w:sz w:val="20"/>
          <w:szCs w:val="20"/>
        </w:rPr>
        <w:t xml:space="preserve"> DWI DM Committee </w:t>
      </w:r>
      <w:hyperlink r:id="rId12">
        <w:r w:rsidR="00392978">
          <w:rPr>
            <w:color w:val="1155CC"/>
            <w:sz w:val="20"/>
            <w:szCs w:val="20"/>
            <w:u w:val="single"/>
          </w:rPr>
          <w:t>09.03.2021</w:t>
        </w:r>
      </w:hyperlink>
    </w:p>
  </w:footnote>
  <w:footnote w:id="15">
    <w:p w14:paraId="771637F5" w14:textId="77777777" w:rsidR="00392978" w:rsidRDefault="00000000">
      <w:pPr>
        <w:rPr>
          <w:sz w:val="20"/>
          <w:szCs w:val="20"/>
        </w:rPr>
      </w:pPr>
      <w:r>
        <w:rPr>
          <w:rStyle w:val="FootnoteReference"/>
        </w:rPr>
        <w:footnoteRef/>
      </w:r>
      <w:r>
        <w:rPr>
          <w:sz w:val="20"/>
          <w:szCs w:val="20"/>
        </w:rPr>
        <w:t xml:space="preserve"> ILMI DM Committee </w:t>
      </w:r>
      <w:hyperlink r:id="rId13">
        <w:r w:rsidR="00392978">
          <w:rPr>
            <w:color w:val="1155CC"/>
            <w:sz w:val="20"/>
            <w:szCs w:val="20"/>
            <w:u w:val="single"/>
          </w:rPr>
          <w:t>05.05.2022</w:t>
        </w:r>
      </w:hyperlink>
    </w:p>
  </w:footnote>
  <w:footnote w:id="16">
    <w:p w14:paraId="2A6DAA1E" w14:textId="77777777" w:rsidR="00392978" w:rsidRDefault="00000000">
      <w:pPr>
        <w:rPr>
          <w:sz w:val="20"/>
          <w:szCs w:val="20"/>
        </w:rPr>
      </w:pPr>
      <w:r>
        <w:rPr>
          <w:rStyle w:val="FootnoteReference"/>
        </w:rPr>
        <w:footnoteRef/>
      </w:r>
      <w:r>
        <w:rPr>
          <w:sz w:val="20"/>
          <w:szCs w:val="20"/>
        </w:rPr>
        <w:t xml:space="preserve"> NDA (2021), </w:t>
      </w:r>
      <w:hyperlink r:id="rId14">
        <w:r w:rsidR="00392978">
          <w:rPr>
            <w:i/>
            <w:color w:val="1155CC"/>
            <w:sz w:val="20"/>
            <w:szCs w:val="20"/>
            <w:u w:val="single"/>
          </w:rPr>
          <w:t>Future of Family Justice</w:t>
        </w:r>
      </w:hyperlink>
    </w:p>
  </w:footnote>
  <w:footnote w:id="17">
    <w:p w14:paraId="4C23FAF8" w14:textId="77777777" w:rsidR="00392978" w:rsidRDefault="00000000">
      <w:pPr>
        <w:rPr>
          <w:sz w:val="20"/>
          <w:szCs w:val="20"/>
        </w:rPr>
      </w:pPr>
      <w:r>
        <w:rPr>
          <w:rStyle w:val="FootnoteReference"/>
        </w:rPr>
        <w:footnoteRef/>
      </w:r>
      <w:r>
        <w:rPr>
          <w:sz w:val="20"/>
          <w:szCs w:val="20"/>
        </w:rPr>
        <w:t xml:space="preserve"> PQ </w:t>
      </w:r>
      <w:hyperlink r:id="rId15">
        <w:r w:rsidR="00392978">
          <w:rPr>
            <w:color w:val="1155CC"/>
            <w:sz w:val="20"/>
            <w:szCs w:val="20"/>
            <w:u w:val="single"/>
          </w:rPr>
          <w:t>[30692/23]</w:t>
        </w:r>
      </w:hyperlink>
    </w:p>
  </w:footnote>
  <w:footnote w:id="18">
    <w:p w14:paraId="1B5FCD2B" w14:textId="77777777" w:rsidR="00392978" w:rsidRDefault="00000000">
      <w:pPr>
        <w:rPr>
          <w:sz w:val="20"/>
          <w:szCs w:val="20"/>
        </w:rPr>
      </w:pPr>
      <w:r>
        <w:rPr>
          <w:rStyle w:val="FootnoteReference"/>
        </w:rPr>
        <w:footnoteRef/>
      </w:r>
      <w:r>
        <w:rPr>
          <w:sz w:val="20"/>
          <w:szCs w:val="20"/>
        </w:rPr>
        <w:t xml:space="preserve"> </w:t>
      </w:r>
      <w:hyperlink r:id="rId16">
        <w:r w:rsidR="00392978">
          <w:rPr>
            <w:color w:val="1155CC"/>
            <w:sz w:val="20"/>
            <w:szCs w:val="20"/>
            <w:u w:val="single"/>
          </w:rPr>
          <w:t>IHREC</w:t>
        </w:r>
      </w:hyperlink>
    </w:p>
  </w:footnote>
  <w:footnote w:id="19">
    <w:p w14:paraId="454EB2A1" w14:textId="77777777" w:rsidR="00392978" w:rsidRDefault="00000000">
      <w:pPr>
        <w:rPr>
          <w:sz w:val="20"/>
          <w:szCs w:val="20"/>
        </w:rPr>
      </w:pPr>
      <w:r>
        <w:rPr>
          <w:rStyle w:val="FootnoteReference"/>
        </w:rPr>
        <w:footnoteRef/>
      </w:r>
      <w:r>
        <w:rPr>
          <w:sz w:val="20"/>
          <w:szCs w:val="20"/>
        </w:rPr>
        <w:t xml:space="preserve"> DWI </w:t>
      </w:r>
      <w:hyperlink r:id="rId17">
        <w:r w:rsidR="00392978">
          <w:rPr>
            <w:color w:val="1155CC"/>
            <w:sz w:val="20"/>
            <w:szCs w:val="20"/>
            <w:u w:val="single"/>
          </w:rPr>
          <w:t>09/03/2022</w:t>
        </w:r>
      </w:hyperlink>
    </w:p>
  </w:footnote>
  <w:footnote w:id="20">
    <w:p w14:paraId="77279351" w14:textId="77777777" w:rsidR="00392978" w:rsidRDefault="00000000">
      <w:pPr>
        <w:rPr>
          <w:sz w:val="20"/>
          <w:szCs w:val="20"/>
        </w:rPr>
      </w:pPr>
      <w:r>
        <w:rPr>
          <w:rStyle w:val="FootnoteReference"/>
        </w:rPr>
        <w:footnoteRef/>
      </w:r>
      <w:r>
        <w:rPr>
          <w:sz w:val="20"/>
          <w:szCs w:val="20"/>
        </w:rPr>
        <w:t xml:space="preserve"> CDLP (2023), </w:t>
      </w:r>
      <w:hyperlink r:id="rId18">
        <w:r w:rsidR="00392978">
          <w:rPr>
            <w:color w:val="1155CC"/>
            <w:sz w:val="20"/>
            <w:szCs w:val="20"/>
            <w:u w:val="single"/>
          </w:rPr>
          <w:t>Parenting Toolkit</w:t>
        </w:r>
      </w:hyperlink>
    </w:p>
  </w:footnote>
  <w:footnote w:id="21">
    <w:p w14:paraId="444B798B" w14:textId="77777777" w:rsidR="00392978" w:rsidRDefault="00000000">
      <w:pPr>
        <w:rPr>
          <w:sz w:val="20"/>
          <w:szCs w:val="20"/>
        </w:rPr>
      </w:pPr>
      <w:r>
        <w:rPr>
          <w:rStyle w:val="FootnoteReference"/>
        </w:rPr>
        <w:footnoteRef/>
      </w:r>
      <w:r>
        <w:rPr>
          <w:sz w:val="20"/>
          <w:szCs w:val="20"/>
        </w:rPr>
        <w:t xml:space="preserve"> ARC &amp; DWI (2019) </w:t>
      </w:r>
      <w:hyperlink r:id="rId19">
        <w:r w:rsidR="00392978">
          <w:rPr>
            <w:i/>
            <w:color w:val="1155CC"/>
            <w:sz w:val="20"/>
            <w:szCs w:val="20"/>
            <w:u w:val="single"/>
          </w:rPr>
          <w:t>VAW Submission</w:t>
        </w:r>
      </w:hyperlink>
    </w:p>
  </w:footnote>
  <w:footnote w:id="22">
    <w:p w14:paraId="1E82B1B9" w14:textId="77777777" w:rsidR="00392978" w:rsidRDefault="00000000">
      <w:pPr>
        <w:rPr>
          <w:sz w:val="20"/>
          <w:szCs w:val="20"/>
        </w:rPr>
      </w:pPr>
      <w:r>
        <w:rPr>
          <w:rStyle w:val="FootnoteReference"/>
        </w:rPr>
        <w:footnoteRef/>
      </w:r>
      <w:r>
        <w:rPr>
          <w:sz w:val="20"/>
          <w:szCs w:val="20"/>
        </w:rPr>
        <w:t xml:space="preserve"> </w:t>
      </w:r>
      <w:hyperlink r:id="rId20">
        <w:r w:rsidR="00392978">
          <w:rPr>
            <w:color w:val="1155CC"/>
            <w:sz w:val="20"/>
            <w:szCs w:val="20"/>
            <w:u w:val="single"/>
          </w:rPr>
          <w:t>Overview</w:t>
        </w:r>
      </w:hyperlink>
    </w:p>
  </w:footnote>
  <w:footnote w:id="23">
    <w:p w14:paraId="16E8D316" w14:textId="77777777" w:rsidR="00392978" w:rsidRDefault="00000000">
      <w:pPr>
        <w:rPr>
          <w:i/>
          <w:sz w:val="20"/>
          <w:szCs w:val="20"/>
        </w:rPr>
      </w:pPr>
      <w:r>
        <w:rPr>
          <w:rStyle w:val="FootnoteReference"/>
        </w:rPr>
        <w:footnoteRef/>
      </w:r>
      <w:r>
        <w:rPr>
          <w:sz w:val="20"/>
          <w:szCs w:val="20"/>
        </w:rPr>
        <w:t xml:space="preserve"> CDLP (2023), </w:t>
      </w:r>
      <w:hyperlink r:id="rId21">
        <w:r w:rsidR="00392978">
          <w:rPr>
            <w:i/>
            <w:color w:val="1155CC"/>
            <w:sz w:val="20"/>
            <w:szCs w:val="20"/>
            <w:u w:val="single"/>
          </w:rPr>
          <w:t>ReALproductive Justice</w:t>
        </w:r>
      </w:hyperlink>
    </w:p>
  </w:footnote>
  <w:footnote w:id="24">
    <w:p w14:paraId="7CF6B467" w14:textId="77777777" w:rsidR="00392978" w:rsidRDefault="00000000">
      <w:pPr>
        <w:rPr>
          <w:sz w:val="16"/>
          <w:szCs w:val="16"/>
        </w:rPr>
      </w:pPr>
      <w:r>
        <w:rPr>
          <w:rStyle w:val="FootnoteReference"/>
        </w:rPr>
        <w:footnoteRef/>
      </w:r>
      <w:r>
        <w:rPr>
          <w:sz w:val="20"/>
          <w:szCs w:val="20"/>
        </w:rPr>
        <w:t xml:space="preserve"> NDA (2021), </w:t>
      </w:r>
      <w:hyperlink r:id="rId22">
        <w:r w:rsidR="00392978">
          <w:rPr>
            <w:i/>
            <w:color w:val="1155CC"/>
            <w:sz w:val="20"/>
            <w:szCs w:val="20"/>
            <w:u w:val="single"/>
          </w:rPr>
          <w:t>WwD Maternity Services</w:t>
        </w:r>
      </w:hyperlink>
    </w:p>
  </w:footnote>
  <w:footnote w:id="25">
    <w:p w14:paraId="1F73C337" w14:textId="77777777" w:rsidR="00392978" w:rsidRDefault="00000000">
      <w:pPr>
        <w:rPr>
          <w:sz w:val="20"/>
          <w:szCs w:val="20"/>
        </w:rPr>
      </w:pPr>
      <w:r>
        <w:rPr>
          <w:rStyle w:val="FootnoteReference"/>
        </w:rPr>
        <w:footnoteRef/>
      </w:r>
      <w:r>
        <w:rPr>
          <w:sz w:val="20"/>
          <w:szCs w:val="20"/>
        </w:rPr>
        <w:t xml:space="preserve"> HSE (2023), </w:t>
      </w:r>
      <w:hyperlink r:id="rId23">
        <w:r w:rsidR="00392978">
          <w:rPr>
            <w:i/>
            <w:color w:val="1155CC"/>
            <w:sz w:val="20"/>
            <w:szCs w:val="20"/>
            <w:u w:val="single"/>
          </w:rPr>
          <w:t>Breaking Down Barriers</w:t>
        </w:r>
      </w:hyperlink>
    </w:p>
  </w:footnote>
  <w:footnote w:id="26">
    <w:p w14:paraId="3714C8C2" w14:textId="77777777" w:rsidR="00392978" w:rsidRDefault="00000000">
      <w:pPr>
        <w:rPr>
          <w:i/>
          <w:sz w:val="20"/>
          <w:szCs w:val="20"/>
        </w:rPr>
      </w:pPr>
      <w:r>
        <w:rPr>
          <w:rStyle w:val="FootnoteReference"/>
        </w:rPr>
        <w:footnoteRef/>
      </w:r>
      <w:r>
        <w:rPr>
          <w:sz w:val="20"/>
          <w:szCs w:val="20"/>
        </w:rPr>
        <w:t xml:space="preserve"> DM Committee, (2021) </w:t>
      </w:r>
      <w:hyperlink r:id="rId24">
        <w:r w:rsidR="00392978">
          <w:rPr>
            <w:i/>
            <w:color w:val="1155CC"/>
            <w:sz w:val="20"/>
            <w:szCs w:val="20"/>
            <w:u w:val="single"/>
          </w:rPr>
          <w:t>Statement, S. Bonnie</w:t>
        </w:r>
      </w:hyperlink>
    </w:p>
  </w:footnote>
  <w:footnote w:id="27">
    <w:p w14:paraId="336681A9" w14:textId="77777777" w:rsidR="00392978" w:rsidRDefault="00000000">
      <w:pPr>
        <w:rPr>
          <w:i/>
          <w:sz w:val="20"/>
          <w:szCs w:val="20"/>
        </w:rPr>
      </w:pPr>
      <w:r>
        <w:rPr>
          <w:rStyle w:val="FootnoteReference"/>
        </w:rPr>
        <w:footnoteRef/>
      </w:r>
      <w:r>
        <w:rPr>
          <w:sz w:val="20"/>
          <w:szCs w:val="20"/>
        </w:rPr>
        <w:t xml:space="preserve"> ARC (2021), </w:t>
      </w:r>
      <w:hyperlink r:id="rId25">
        <w:r w:rsidR="00392978">
          <w:rPr>
            <w:i/>
            <w:color w:val="1155CC"/>
            <w:sz w:val="20"/>
            <w:szCs w:val="20"/>
            <w:u w:val="single"/>
          </w:rPr>
          <w:t>Too Many Barriers</w:t>
        </w:r>
      </w:hyperlink>
    </w:p>
  </w:footnote>
  <w:footnote w:id="28">
    <w:p w14:paraId="7E88F94C" w14:textId="77777777" w:rsidR="00392978" w:rsidRDefault="00000000">
      <w:pPr>
        <w:rPr>
          <w:i/>
          <w:sz w:val="20"/>
          <w:szCs w:val="20"/>
        </w:rPr>
      </w:pPr>
      <w:r>
        <w:rPr>
          <w:rStyle w:val="FootnoteReference"/>
        </w:rPr>
        <w:footnoteRef/>
      </w:r>
      <w:r>
        <w:rPr>
          <w:sz w:val="20"/>
          <w:szCs w:val="20"/>
        </w:rPr>
        <w:t xml:space="preserve">  </w:t>
      </w:r>
      <w:hyperlink r:id="rId26">
        <w:r w:rsidR="00392978">
          <w:rPr>
            <w:i/>
            <w:color w:val="1155CC"/>
            <w:sz w:val="20"/>
            <w:szCs w:val="20"/>
            <w:u w:val="single"/>
          </w:rPr>
          <w:t>Ibid</w:t>
        </w:r>
      </w:hyperlink>
    </w:p>
  </w:footnote>
  <w:footnote w:id="29">
    <w:p w14:paraId="67D0CEB2" w14:textId="77777777" w:rsidR="00392978" w:rsidRDefault="00000000">
      <w:pPr>
        <w:rPr>
          <w:sz w:val="20"/>
          <w:szCs w:val="20"/>
        </w:rPr>
      </w:pPr>
      <w:r>
        <w:rPr>
          <w:rStyle w:val="FootnoteReference"/>
        </w:rPr>
        <w:footnoteRef/>
      </w:r>
      <w:r>
        <w:rPr>
          <w:sz w:val="20"/>
          <w:szCs w:val="20"/>
        </w:rPr>
        <w:t xml:space="preserve"> Shaw, S.C. et al. (</w:t>
      </w:r>
      <w:hyperlink r:id="rId27">
        <w:r w:rsidR="00392978">
          <w:rPr>
            <w:color w:val="1155CC"/>
            <w:sz w:val="20"/>
            <w:szCs w:val="20"/>
            <w:u w:val="single"/>
          </w:rPr>
          <w:t>2024</w:t>
        </w:r>
      </w:hyperlink>
      <w:r>
        <w:rPr>
          <w:sz w:val="20"/>
          <w:szCs w:val="20"/>
        </w:rPr>
        <w:t>)</w:t>
      </w:r>
    </w:p>
  </w:footnote>
  <w:footnote w:id="30">
    <w:p w14:paraId="509666B1" w14:textId="77777777" w:rsidR="00392978" w:rsidRDefault="00000000">
      <w:pPr>
        <w:rPr>
          <w:sz w:val="20"/>
          <w:szCs w:val="20"/>
        </w:rPr>
      </w:pPr>
      <w:r>
        <w:rPr>
          <w:rStyle w:val="FootnoteReference"/>
        </w:rPr>
        <w:footnoteRef/>
      </w:r>
      <w:r>
        <w:rPr>
          <w:sz w:val="20"/>
          <w:szCs w:val="20"/>
        </w:rPr>
        <w:t xml:space="preserve"> PQ </w:t>
      </w:r>
      <w:hyperlink r:id="rId28">
        <w:r w:rsidR="00392978">
          <w:rPr>
            <w:color w:val="1155CC"/>
            <w:sz w:val="20"/>
            <w:szCs w:val="20"/>
            <w:u w:val="single"/>
          </w:rPr>
          <w:t>[9966/24]</w:t>
        </w:r>
      </w:hyperlink>
    </w:p>
  </w:footnote>
  <w:footnote w:id="31">
    <w:p w14:paraId="34EE80F3" w14:textId="77777777" w:rsidR="00392978" w:rsidRDefault="00000000">
      <w:pPr>
        <w:rPr>
          <w:i/>
          <w:sz w:val="20"/>
          <w:szCs w:val="20"/>
        </w:rPr>
      </w:pPr>
      <w:r>
        <w:rPr>
          <w:rStyle w:val="FootnoteReference"/>
        </w:rPr>
        <w:footnoteRef/>
      </w:r>
      <w:r>
        <w:rPr>
          <w:sz w:val="20"/>
          <w:szCs w:val="20"/>
        </w:rPr>
        <w:t xml:space="preserve"> Frontiers (</w:t>
      </w:r>
      <w:hyperlink r:id="rId29">
        <w:r w:rsidR="00392978">
          <w:rPr>
            <w:color w:val="1155CC"/>
            <w:sz w:val="20"/>
            <w:szCs w:val="20"/>
            <w:u w:val="single"/>
          </w:rPr>
          <w:t>2022</w:t>
        </w:r>
      </w:hyperlink>
      <w:r>
        <w:rPr>
          <w:sz w:val="20"/>
          <w:szCs w:val="20"/>
        </w:rPr>
        <w:t>)</w:t>
      </w:r>
    </w:p>
  </w:footnote>
  <w:footnote w:id="32">
    <w:p w14:paraId="3CD5AC4A" w14:textId="77777777" w:rsidR="00392978" w:rsidRDefault="00000000">
      <w:pPr>
        <w:rPr>
          <w:i/>
          <w:sz w:val="20"/>
          <w:szCs w:val="20"/>
        </w:rPr>
      </w:pPr>
      <w:r>
        <w:rPr>
          <w:rStyle w:val="FootnoteReference"/>
        </w:rPr>
        <w:footnoteRef/>
      </w:r>
      <w:r>
        <w:rPr>
          <w:sz w:val="20"/>
          <w:szCs w:val="20"/>
        </w:rPr>
        <w:t xml:space="preserve"> Rehab (</w:t>
      </w:r>
      <w:hyperlink r:id="rId30">
        <w:r w:rsidR="00392978">
          <w:rPr>
            <w:color w:val="1155CC"/>
            <w:sz w:val="20"/>
            <w:szCs w:val="20"/>
            <w:u w:val="single"/>
          </w:rPr>
          <w:t>2024</w:t>
        </w:r>
      </w:hyperlink>
      <w:r>
        <w:rPr>
          <w:sz w:val="20"/>
          <w:szCs w:val="20"/>
        </w:rPr>
        <w:t>)</w:t>
      </w:r>
    </w:p>
  </w:footnote>
  <w:footnote w:id="33">
    <w:p w14:paraId="6C3F6DB2" w14:textId="77777777" w:rsidR="00392978" w:rsidRDefault="00000000">
      <w:pPr>
        <w:rPr>
          <w:i/>
          <w:sz w:val="20"/>
          <w:szCs w:val="20"/>
        </w:rPr>
      </w:pPr>
      <w:r>
        <w:rPr>
          <w:rStyle w:val="FootnoteReference"/>
        </w:rPr>
        <w:footnoteRef/>
      </w:r>
      <w:r>
        <w:rPr>
          <w:sz w:val="20"/>
          <w:szCs w:val="20"/>
        </w:rPr>
        <w:t xml:space="preserve"> NDA (</w:t>
      </w:r>
      <w:hyperlink r:id="rId31">
        <w:r w:rsidR="00392978">
          <w:rPr>
            <w:color w:val="1155CC"/>
            <w:sz w:val="20"/>
            <w:szCs w:val="20"/>
            <w:u w:val="single"/>
          </w:rPr>
          <w:t>2020</w:t>
        </w:r>
      </w:hyperlink>
      <w:r>
        <w:rPr>
          <w:sz w:val="20"/>
          <w:szCs w:val="20"/>
        </w:rPr>
        <w:t>)</w:t>
      </w:r>
    </w:p>
  </w:footnote>
  <w:footnote w:id="34">
    <w:p w14:paraId="58602532" w14:textId="77777777" w:rsidR="00392978" w:rsidRDefault="00000000">
      <w:pPr>
        <w:rPr>
          <w:sz w:val="20"/>
          <w:szCs w:val="20"/>
        </w:rPr>
      </w:pPr>
      <w:r>
        <w:rPr>
          <w:rStyle w:val="FootnoteReference"/>
        </w:rPr>
        <w:footnoteRef/>
      </w:r>
      <w:r>
        <w:rPr>
          <w:sz w:val="20"/>
          <w:szCs w:val="20"/>
        </w:rPr>
        <w:t xml:space="preserve">(2022) </w:t>
      </w:r>
      <w:hyperlink r:id="rId32">
        <w:r w:rsidR="00392978">
          <w:rPr>
            <w:color w:val="1155CC"/>
            <w:sz w:val="20"/>
            <w:szCs w:val="20"/>
            <w:u w:val="single"/>
          </w:rPr>
          <w:t>Report</w:t>
        </w:r>
      </w:hyperlink>
    </w:p>
  </w:footnote>
  <w:footnote w:id="35">
    <w:p w14:paraId="7B7FDFC7" w14:textId="77777777" w:rsidR="00392978" w:rsidRDefault="00000000">
      <w:pPr>
        <w:rPr>
          <w:sz w:val="20"/>
          <w:szCs w:val="20"/>
        </w:rPr>
      </w:pPr>
      <w:r>
        <w:rPr>
          <w:rStyle w:val="FootnoteReference"/>
        </w:rPr>
        <w:footnoteRef/>
      </w:r>
      <w:r>
        <w:rPr>
          <w:sz w:val="20"/>
          <w:szCs w:val="20"/>
        </w:rPr>
        <w:t xml:space="preserve"> Women’s Aid etc.(2024), </w:t>
      </w:r>
      <w:hyperlink r:id="rId33">
        <w:r w:rsidR="00392978">
          <w:rPr>
            <w:i/>
            <w:color w:val="1155CC"/>
            <w:sz w:val="20"/>
            <w:szCs w:val="20"/>
            <w:u w:val="single"/>
          </w:rPr>
          <w:t>Disabled Experiences of IPV</w:t>
        </w:r>
      </w:hyperlink>
    </w:p>
  </w:footnote>
  <w:footnote w:id="36">
    <w:p w14:paraId="73B8D5B8" w14:textId="77777777" w:rsidR="00392978" w:rsidRDefault="00000000">
      <w:pPr>
        <w:rPr>
          <w:sz w:val="20"/>
          <w:szCs w:val="20"/>
        </w:rPr>
      </w:pPr>
      <w:r>
        <w:rPr>
          <w:rStyle w:val="FootnoteReference"/>
        </w:rPr>
        <w:footnoteRef/>
      </w:r>
      <w:r>
        <w:rPr>
          <w:sz w:val="20"/>
          <w:szCs w:val="20"/>
        </w:rPr>
        <w:t xml:space="preserve"> Ibid.</w:t>
      </w:r>
    </w:p>
  </w:footnote>
  <w:footnote w:id="37">
    <w:p w14:paraId="14EBDA93" w14:textId="77777777" w:rsidR="00392978" w:rsidRDefault="00000000">
      <w:pPr>
        <w:rPr>
          <w:sz w:val="20"/>
          <w:szCs w:val="20"/>
        </w:rPr>
      </w:pPr>
      <w:r>
        <w:rPr>
          <w:rStyle w:val="FootnoteReference"/>
        </w:rPr>
        <w:footnoteRef/>
      </w:r>
      <w:r>
        <w:rPr>
          <w:sz w:val="20"/>
          <w:szCs w:val="20"/>
        </w:rPr>
        <w:t xml:space="preserve"> Maher et al. (2018), </w:t>
      </w:r>
      <w:hyperlink r:id="rId34">
        <w:r w:rsidR="00392978">
          <w:rPr>
            <w:i/>
            <w:color w:val="1155CC"/>
            <w:sz w:val="20"/>
            <w:szCs w:val="20"/>
            <w:u w:val="single"/>
          </w:rPr>
          <w:t>Barriers to Justice</w:t>
        </w:r>
      </w:hyperlink>
    </w:p>
  </w:footnote>
  <w:footnote w:id="38">
    <w:p w14:paraId="372CEE14" w14:textId="77777777" w:rsidR="00392978" w:rsidRDefault="00000000">
      <w:pPr>
        <w:rPr>
          <w:sz w:val="20"/>
          <w:szCs w:val="20"/>
        </w:rPr>
      </w:pPr>
      <w:r>
        <w:rPr>
          <w:rStyle w:val="FootnoteReference"/>
        </w:rPr>
        <w:footnoteRef/>
      </w:r>
      <w:r>
        <w:rPr>
          <w:sz w:val="20"/>
          <w:szCs w:val="20"/>
        </w:rPr>
        <w:t xml:space="preserve"> Women’s Aid et al. (2024), </w:t>
      </w:r>
      <w:hyperlink r:id="rId35">
        <w:r w:rsidR="00392978">
          <w:rPr>
            <w:i/>
            <w:color w:val="1155CC"/>
            <w:sz w:val="20"/>
            <w:szCs w:val="20"/>
            <w:u w:val="single"/>
          </w:rPr>
          <w:t>Survey 2 findings</w:t>
        </w:r>
      </w:hyperlink>
    </w:p>
  </w:footnote>
  <w:footnote w:id="39">
    <w:p w14:paraId="51B64357" w14:textId="77777777" w:rsidR="00392978" w:rsidRDefault="00000000">
      <w:pPr>
        <w:rPr>
          <w:sz w:val="16"/>
          <w:szCs w:val="16"/>
        </w:rPr>
      </w:pPr>
      <w:r>
        <w:rPr>
          <w:rStyle w:val="FootnoteReference"/>
        </w:rPr>
        <w:footnoteRef/>
      </w:r>
      <w:r>
        <w:rPr>
          <w:sz w:val="20"/>
          <w:szCs w:val="20"/>
        </w:rPr>
        <w:t>Eurostat (</w:t>
      </w:r>
      <w:hyperlink r:id="rId36">
        <w:r w:rsidR="00392978">
          <w:rPr>
            <w:color w:val="1155CC"/>
            <w:sz w:val="20"/>
            <w:szCs w:val="20"/>
            <w:u w:val="single"/>
          </w:rPr>
          <w:t>2021</w:t>
        </w:r>
      </w:hyperlink>
      <w:r>
        <w:rPr>
          <w:sz w:val="20"/>
          <w:szCs w:val="20"/>
        </w:rPr>
        <w:t>)</w:t>
      </w:r>
    </w:p>
  </w:footnote>
  <w:footnote w:id="40">
    <w:p w14:paraId="584244C9" w14:textId="77777777" w:rsidR="00392978" w:rsidRDefault="00000000">
      <w:pPr>
        <w:rPr>
          <w:sz w:val="16"/>
          <w:szCs w:val="16"/>
        </w:rPr>
      </w:pPr>
      <w:r>
        <w:rPr>
          <w:rStyle w:val="FootnoteReference"/>
        </w:rPr>
        <w:footnoteRef/>
      </w:r>
      <w:r>
        <w:rPr>
          <w:sz w:val="16"/>
          <w:szCs w:val="16"/>
        </w:rPr>
        <w:t xml:space="preserve"> </w:t>
      </w:r>
      <w:r>
        <w:rPr>
          <w:sz w:val="20"/>
          <w:szCs w:val="20"/>
        </w:rPr>
        <w:t xml:space="preserve">CSO </w:t>
      </w:r>
      <w:hyperlink r:id="rId37">
        <w:r w:rsidR="00392978">
          <w:rPr>
            <w:i/>
            <w:color w:val="1155CC"/>
            <w:sz w:val="20"/>
            <w:szCs w:val="20"/>
            <w:u w:val="single"/>
          </w:rPr>
          <w:t>Survey</w:t>
        </w:r>
      </w:hyperlink>
    </w:p>
  </w:footnote>
  <w:footnote w:id="41">
    <w:p w14:paraId="0155A73E" w14:textId="77777777" w:rsidR="00392978" w:rsidRDefault="00000000">
      <w:pPr>
        <w:rPr>
          <w:sz w:val="20"/>
          <w:szCs w:val="20"/>
        </w:rPr>
      </w:pPr>
      <w:r>
        <w:rPr>
          <w:rStyle w:val="FootnoteReference"/>
        </w:rPr>
        <w:footnoteRef/>
      </w:r>
      <w:r>
        <w:rPr>
          <w:sz w:val="20"/>
          <w:szCs w:val="20"/>
        </w:rPr>
        <w:t xml:space="preserve">EAPN </w:t>
      </w:r>
      <w:hyperlink r:id="rId38">
        <w:r w:rsidR="00392978">
          <w:rPr>
            <w:color w:val="1155CC"/>
            <w:sz w:val="20"/>
            <w:szCs w:val="20"/>
            <w:u w:val="single"/>
          </w:rPr>
          <w:t>Ireland</w:t>
        </w:r>
      </w:hyperlink>
      <w:r>
        <w:rPr>
          <w:sz w:val="20"/>
          <w:szCs w:val="20"/>
        </w:rPr>
        <w:t xml:space="preserve"> (2022)</w:t>
      </w:r>
    </w:p>
  </w:footnote>
  <w:footnote w:id="42">
    <w:p w14:paraId="4DFDAF4B" w14:textId="77777777" w:rsidR="00392978" w:rsidRDefault="00000000">
      <w:pPr>
        <w:rPr>
          <w:i/>
          <w:sz w:val="20"/>
          <w:szCs w:val="20"/>
        </w:rPr>
      </w:pPr>
      <w:r>
        <w:rPr>
          <w:rStyle w:val="FootnoteReference"/>
        </w:rPr>
        <w:footnoteRef/>
      </w:r>
      <w:r>
        <w:rPr>
          <w:sz w:val="20"/>
          <w:szCs w:val="20"/>
        </w:rPr>
        <w:t xml:space="preserve"> </w:t>
      </w:r>
      <w:r>
        <w:rPr>
          <w:color w:val="202124"/>
          <w:sz w:val="20"/>
          <w:szCs w:val="20"/>
        </w:rPr>
        <w:t xml:space="preserve">Dr. P. Kenn (2011), </w:t>
      </w:r>
      <w:r>
        <w:rPr>
          <w:i/>
          <w:color w:val="202124"/>
          <w:sz w:val="20"/>
          <w:szCs w:val="20"/>
        </w:rPr>
        <w:t>‘Housing Law, Rights &amp; Policy'</w:t>
      </w:r>
    </w:p>
  </w:footnote>
  <w:footnote w:id="43">
    <w:p w14:paraId="183AABD0" w14:textId="77777777" w:rsidR="00392978" w:rsidRDefault="00000000">
      <w:pPr>
        <w:rPr>
          <w:sz w:val="20"/>
          <w:szCs w:val="20"/>
        </w:rPr>
      </w:pPr>
      <w:r>
        <w:rPr>
          <w:rStyle w:val="FootnoteReference"/>
        </w:rPr>
        <w:footnoteRef/>
      </w:r>
      <w:r>
        <w:rPr>
          <w:sz w:val="20"/>
          <w:szCs w:val="20"/>
        </w:rPr>
        <w:t xml:space="preserve"> UK </w:t>
      </w:r>
      <w:hyperlink r:id="rId39">
        <w:r w:rsidR="00392978">
          <w:rPr>
            <w:color w:val="1155CC"/>
            <w:sz w:val="20"/>
            <w:szCs w:val="20"/>
            <w:u w:val="single"/>
          </w:rPr>
          <w:t>Budget Briefing</w:t>
        </w:r>
      </w:hyperlink>
      <w:r>
        <w:rPr>
          <w:sz w:val="20"/>
          <w:szCs w:val="20"/>
        </w:rPr>
        <w:t xml:space="preserve"> (2018)</w:t>
      </w:r>
    </w:p>
  </w:footnote>
  <w:footnote w:id="44">
    <w:p w14:paraId="1DDE0828" w14:textId="77777777" w:rsidR="00392978" w:rsidRDefault="00000000">
      <w:pPr>
        <w:rPr>
          <w:sz w:val="20"/>
          <w:szCs w:val="20"/>
        </w:rPr>
      </w:pPr>
      <w:r>
        <w:rPr>
          <w:rStyle w:val="FootnoteReference"/>
        </w:rPr>
        <w:footnoteRef/>
      </w:r>
      <w:r>
        <w:rPr>
          <w:sz w:val="20"/>
          <w:szCs w:val="20"/>
        </w:rPr>
        <w:t xml:space="preserve"> (2023) </w:t>
      </w:r>
      <w:hyperlink r:id="rId40">
        <w:r w:rsidR="00392978">
          <w:rPr>
            <w:i/>
            <w:color w:val="1155CC"/>
            <w:sz w:val="20"/>
            <w:szCs w:val="20"/>
            <w:u w:val="single"/>
          </w:rPr>
          <w:t xml:space="preserve">Gender Pay-Gap Report </w:t>
        </w:r>
      </w:hyperlink>
    </w:p>
  </w:footnote>
  <w:footnote w:id="45">
    <w:p w14:paraId="69EBA5D8" w14:textId="77777777" w:rsidR="00392978" w:rsidRDefault="00000000">
      <w:pPr>
        <w:rPr>
          <w:i/>
        </w:rPr>
      </w:pPr>
      <w:r>
        <w:rPr>
          <w:rStyle w:val="FootnoteReference"/>
        </w:rPr>
        <w:footnoteRef/>
      </w:r>
      <w:r>
        <w:rPr>
          <w:sz w:val="20"/>
          <w:szCs w:val="20"/>
        </w:rPr>
        <w:t xml:space="preserve"> EDF (2023), </w:t>
      </w:r>
      <w:hyperlink r:id="rId41">
        <w:r w:rsidR="00392978">
          <w:rPr>
            <w:i/>
            <w:color w:val="1155CC"/>
            <w:sz w:val="20"/>
            <w:szCs w:val="20"/>
            <w:u w:val="single"/>
          </w:rPr>
          <w:t>Right To Work</w:t>
        </w:r>
      </w:hyperlink>
    </w:p>
  </w:footnote>
  <w:footnote w:id="46">
    <w:p w14:paraId="10463BF8" w14:textId="77777777" w:rsidR="00392978" w:rsidRDefault="00000000">
      <w:pPr>
        <w:rPr>
          <w:sz w:val="20"/>
          <w:szCs w:val="20"/>
        </w:rPr>
      </w:pPr>
      <w:r>
        <w:rPr>
          <w:rStyle w:val="FootnoteReference"/>
        </w:rPr>
        <w:footnoteRef/>
      </w:r>
      <w:r>
        <w:rPr>
          <w:sz w:val="20"/>
          <w:szCs w:val="20"/>
        </w:rPr>
        <w:t xml:space="preserve"> Ibid.</w:t>
      </w:r>
    </w:p>
  </w:footnote>
  <w:footnote w:id="47">
    <w:p w14:paraId="71774D2B" w14:textId="77777777" w:rsidR="00392978" w:rsidRDefault="00000000">
      <w:pPr>
        <w:rPr>
          <w:sz w:val="20"/>
          <w:szCs w:val="20"/>
        </w:rPr>
      </w:pPr>
      <w:r>
        <w:rPr>
          <w:rStyle w:val="FootnoteReference"/>
        </w:rPr>
        <w:footnoteRef/>
      </w:r>
      <w:r>
        <w:rPr>
          <w:sz w:val="20"/>
          <w:szCs w:val="20"/>
        </w:rPr>
        <w:t xml:space="preserve"> Ibid. </w:t>
      </w:r>
    </w:p>
  </w:footnote>
  <w:footnote w:id="48">
    <w:p w14:paraId="08D84DAE" w14:textId="77777777" w:rsidR="00392978" w:rsidRDefault="00000000">
      <w:pPr>
        <w:rPr>
          <w:i/>
          <w:sz w:val="20"/>
          <w:szCs w:val="20"/>
        </w:rPr>
      </w:pPr>
      <w:r>
        <w:rPr>
          <w:rStyle w:val="FootnoteReference"/>
        </w:rPr>
        <w:footnoteRef/>
      </w:r>
      <w:r>
        <w:rPr>
          <w:sz w:val="20"/>
          <w:szCs w:val="20"/>
        </w:rPr>
        <w:t xml:space="preserve"> DSP &amp; ESRI (2011), </w:t>
      </w:r>
      <w:hyperlink r:id="rId42">
        <w:r w:rsidR="00392978">
          <w:rPr>
            <w:i/>
            <w:color w:val="1155CC"/>
            <w:sz w:val="20"/>
            <w:szCs w:val="20"/>
            <w:u w:val="single"/>
          </w:rPr>
          <w:t>Social Portrait of PwD Ireland</w:t>
        </w:r>
      </w:hyperlink>
    </w:p>
  </w:footnote>
  <w:footnote w:id="49">
    <w:p w14:paraId="6D28C4C8" w14:textId="77777777" w:rsidR="00392978" w:rsidRDefault="00000000">
      <w:pPr>
        <w:rPr>
          <w:sz w:val="20"/>
          <w:szCs w:val="20"/>
        </w:rPr>
      </w:pPr>
      <w:r>
        <w:rPr>
          <w:rStyle w:val="FootnoteReference"/>
        </w:rPr>
        <w:footnoteRef/>
      </w:r>
      <w:r>
        <w:rPr>
          <w:sz w:val="20"/>
          <w:szCs w:val="20"/>
        </w:rPr>
        <w:t xml:space="preserve"> FCI (2020), </w:t>
      </w:r>
      <w:hyperlink r:id="rId43">
        <w:r w:rsidR="00392978">
          <w:rPr>
            <w:i/>
            <w:color w:val="1155CC"/>
            <w:sz w:val="20"/>
            <w:szCs w:val="20"/>
            <w:u w:val="single"/>
          </w:rPr>
          <w:t>State of Caring</w:t>
        </w:r>
      </w:hyperlink>
    </w:p>
  </w:footnote>
  <w:footnote w:id="50">
    <w:p w14:paraId="50120BD1" w14:textId="77777777" w:rsidR="00392978" w:rsidRDefault="00000000">
      <w:pPr>
        <w:rPr>
          <w:i/>
          <w:sz w:val="20"/>
          <w:szCs w:val="20"/>
        </w:rPr>
      </w:pPr>
      <w:r>
        <w:rPr>
          <w:rStyle w:val="FootnoteReference"/>
        </w:rPr>
        <w:footnoteRef/>
      </w:r>
      <w:r>
        <w:rPr>
          <w:sz w:val="20"/>
          <w:szCs w:val="20"/>
        </w:rPr>
        <w:t xml:space="preserve"> </w:t>
      </w:r>
      <w:hyperlink r:id="rId44">
        <w:r w:rsidR="00392978">
          <w:rPr>
            <w:i/>
            <w:color w:val="1155CC"/>
            <w:sz w:val="20"/>
            <w:szCs w:val="20"/>
            <w:u w:val="single"/>
          </w:rPr>
          <w:t>CESPwD 2015-2024</w:t>
        </w:r>
      </w:hyperlink>
    </w:p>
  </w:footnote>
  <w:footnote w:id="51">
    <w:p w14:paraId="5F5C1EC6" w14:textId="77777777" w:rsidR="00392978" w:rsidRDefault="00000000">
      <w:pPr>
        <w:rPr>
          <w:sz w:val="20"/>
          <w:szCs w:val="20"/>
        </w:rPr>
      </w:pPr>
      <w:r>
        <w:rPr>
          <w:rStyle w:val="FootnoteReference"/>
        </w:rPr>
        <w:footnoteRef/>
      </w:r>
      <w:r>
        <w:rPr>
          <w:sz w:val="20"/>
          <w:szCs w:val="20"/>
        </w:rPr>
        <w:t xml:space="preserve"> NDA (2024), </w:t>
      </w:r>
      <w:hyperlink r:id="rId45">
        <w:r w:rsidR="00392978">
          <w:rPr>
            <w:i/>
            <w:color w:val="1155CC"/>
            <w:sz w:val="20"/>
            <w:szCs w:val="20"/>
            <w:u w:val="single"/>
          </w:rPr>
          <w:t>CESPwD 2015-2024 Review</w:t>
        </w:r>
      </w:hyperlink>
      <w:r>
        <w:rPr>
          <w:sz w:val="20"/>
          <w:szCs w:val="20"/>
        </w:rPr>
        <w:t xml:space="preserve"> </w:t>
      </w:r>
    </w:p>
  </w:footnote>
  <w:footnote w:id="52">
    <w:p w14:paraId="6C158791" w14:textId="77777777" w:rsidR="00392978" w:rsidRDefault="00000000">
      <w:pPr>
        <w:rPr>
          <w:sz w:val="20"/>
          <w:szCs w:val="20"/>
        </w:rPr>
      </w:pPr>
      <w:r>
        <w:rPr>
          <w:rStyle w:val="FootnoteReference"/>
        </w:rPr>
        <w:footnoteRef/>
      </w:r>
      <w:r>
        <w:rPr>
          <w:sz w:val="20"/>
          <w:szCs w:val="20"/>
        </w:rPr>
        <w:t xml:space="preserve"> OHCR (2017), </w:t>
      </w:r>
      <w:hyperlink r:id="rId46">
        <w:r w:rsidR="00392978">
          <w:rPr>
            <w:color w:val="1155CC"/>
            <w:sz w:val="20"/>
            <w:szCs w:val="20"/>
            <w:u w:val="single"/>
          </w:rPr>
          <w:t>CEDAW/C/IRL/CO/6-7</w:t>
        </w:r>
      </w:hyperlink>
    </w:p>
  </w:footnote>
  <w:footnote w:id="53">
    <w:p w14:paraId="10FEA643" w14:textId="77777777" w:rsidR="00392978" w:rsidRDefault="00000000">
      <w:pPr>
        <w:rPr>
          <w:sz w:val="20"/>
          <w:szCs w:val="20"/>
        </w:rPr>
      </w:pPr>
      <w:r>
        <w:rPr>
          <w:rStyle w:val="FootnoteReference"/>
        </w:rPr>
        <w:footnoteRef/>
      </w:r>
      <w:r>
        <w:rPr>
          <w:sz w:val="20"/>
          <w:szCs w:val="20"/>
        </w:rPr>
        <w:t xml:space="preserve"> 20+, 40hr week</w:t>
      </w:r>
    </w:p>
  </w:footnote>
  <w:footnote w:id="54">
    <w:p w14:paraId="143D1110" w14:textId="77777777" w:rsidR="00392978" w:rsidRDefault="00000000">
      <w:pPr>
        <w:rPr>
          <w:sz w:val="20"/>
          <w:szCs w:val="20"/>
        </w:rPr>
      </w:pPr>
      <w:r>
        <w:rPr>
          <w:rStyle w:val="FootnoteReference"/>
        </w:rPr>
        <w:footnoteRef/>
      </w:r>
      <w:r>
        <w:rPr>
          <w:sz w:val="20"/>
          <w:szCs w:val="20"/>
        </w:rPr>
        <w:t xml:space="preserve"> ERSI &amp; IHREC (2025), </w:t>
      </w:r>
      <w:hyperlink r:id="rId47">
        <w:r w:rsidR="00392978">
          <w:rPr>
            <w:i/>
            <w:color w:val="1155CC"/>
            <w:sz w:val="20"/>
            <w:szCs w:val="20"/>
            <w:u w:val="single"/>
          </w:rPr>
          <w:t>Cost of Disability</w:t>
        </w:r>
      </w:hyperlink>
    </w:p>
  </w:footnote>
  <w:footnote w:id="55">
    <w:p w14:paraId="05C4598C" w14:textId="77777777" w:rsidR="00392978" w:rsidRDefault="00000000">
      <w:pPr>
        <w:rPr>
          <w:sz w:val="12"/>
          <w:szCs w:val="12"/>
        </w:rPr>
      </w:pPr>
      <w:r>
        <w:rPr>
          <w:rStyle w:val="FootnoteReference"/>
        </w:rPr>
        <w:footnoteRef/>
      </w:r>
      <w:r>
        <w:rPr>
          <w:sz w:val="20"/>
          <w:szCs w:val="20"/>
        </w:rPr>
        <w:t xml:space="preserve"> Callaghan N., (</w:t>
      </w:r>
      <w:hyperlink r:id="rId48">
        <w:r w:rsidR="00392978">
          <w:rPr>
            <w:color w:val="1155CC"/>
            <w:sz w:val="20"/>
            <w:szCs w:val="20"/>
            <w:u w:val="single"/>
          </w:rPr>
          <w:t>2017</w:t>
        </w:r>
      </w:hyperlink>
      <w:r>
        <w:rPr>
          <w:sz w:val="20"/>
          <w:szCs w:val="20"/>
        </w:rPr>
        <w:t>)</w:t>
      </w:r>
    </w:p>
  </w:footnote>
  <w:footnote w:id="56">
    <w:p w14:paraId="58AC1551" w14:textId="77777777" w:rsidR="00392978" w:rsidRDefault="00000000">
      <w:pPr>
        <w:rPr>
          <w:sz w:val="20"/>
          <w:szCs w:val="20"/>
        </w:rPr>
      </w:pPr>
      <w:r>
        <w:rPr>
          <w:rStyle w:val="FootnoteReference"/>
        </w:rPr>
        <w:footnoteRef/>
      </w:r>
      <w:r>
        <w:rPr>
          <w:sz w:val="20"/>
          <w:szCs w:val="20"/>
        </w:rPr>
        <w:t xml:space="preserve"> NWCI (</w:t>
      </w:r>
      <w:hyperlink r:id="rId49">
        <w:r w:rsidR="00392978">
          <w:rPr>
            <w:color w:val="1155CC"/>
            <w:sz w:val="20"/>
            <w:szCs w:val="20"/>
            <w:u w:val="single"/>
          </w:rPr>
          <w:t>2008</w:t>
        </w:r>
      </w:hyperlink>
      <w:r>
        <w:rPr>
          <w:sz w:val="20"/>
          <w:szCs w:val="20"/>
        </w:rPr>
        <w:t>)</w:t>
      </w:r>
    </w:p>
  </w:footnote>
  <w:footnote w:id="57">
    <w:p w14:paraId="5CBAACE0" w14:textId="77777777" w:rsidR="00392978" w:rsidRDefault="00000000">
      <w:pPr>
        <w:rPr>
          <w:sz w:val="20"/>
          <w:szCs w:val="20"/>
        </w:rPr>
      </w:pPr>
      <w:r>
        <w:rPr>
          <w:rStyle w:val="FootnoteReference"/>
        </w:rPr>
        <w:footnoteRef/>
      </w:r>
      <w:r>
        <w:rPr>
          <w:sz w:val="20"/>
          <w:szCs w:val="20"/>
        </w:rPr>
        <w:t xml:space="preserve"> ERSI </w:t>
      </w:r>
      <w:hyperlink r:id="rId50">
        <w:r w:rsidR="00392978">
          <w:rPr>
            <w:color w:val="1155CC"/>
            <w:sz w:val="20"/>
            <w:szCs w:val="20"/>
            <w:u w:val="single"/>
          </w:rPr>
          <w:t>statement</w:t>
        </w:r>
      </w:hyperlink>
    </w:p>
  </w:footnote>
  <w:footnote w:id="58">
    <w:p w14:paraId="0086EF29" w14:textId="77777777" w:rsidR="00392978" w:rsidRDefault="00000000">
      <w:pPr>
        <w:rPr>
          <w:sz w:val="20"/>
          <w:szCs w:val="20"/>
        </w:rPr>
      </w:pPr>
      <w:r>
        <w:rPr>
          <w:rStyle w:val="FootnoteReference"/>
        </w:rPr>
        <w:footnoteRef/>
      </w:r>
      <w:r>
        <w:rPr>
          <w:sz w:val="20"/>
          <w:szCs w:val="20"/>
        </w:rPr>
        <w:t xml:space="preserve"> (2017) </w:t>
      </w:r>
      <w:hyperlink r:id="rId51">
        <w:r w:rsidR="00392978">
          <w:rPr>
            <w:i/>
            <w:color w:val="1155CC"/>
            <w:sz w:val="20"/>
            <w:szCs w:val="20"/>
            <w:u w:val="single"/>
          </w:rPr>
          <w:t>Make Work Pay</w:t>
        </w:r>
      </w:hyperlink>
    </w:p>
  </w:footnote>
  <w:footnote w:id="59">
    <w:p w14:paraId="5391ACF1" w14:textId="77777777" w:rsidR="00392978" w:rsidRDefault="00000000">
      <w:pPr>
        <w:rPr>
          <w:sz w:val="20"/>
          <w:szCs w:val="20"/>
        </w:rPr>
      </w:pPr>
      <w:r>
        <w:rPr>
          <w:rStyle w:val="FootnoteReference"/>
        </w:rPr>
        <w:footnoteRef/>
      </w:r>
      <w:r>
        <w:rPr>
          <w:sz w:val="20"/>
          <w:szCs w:val="20"/>
        </w:rPr>
        <w:t xml:space="preserve"> </w:t>
      </w:r>
      <w:hyperlink r:id="rId52">
        <w:r w:rsidR="00392978">
          <w:rPr>
            <w:i/>
            <w:color w:val="1155CC"/>
            <w:sz w:val="20"/>
            <w:szCs w:val="20"/>
            <w:u w:val="single"/>
          </w:rPr>
          <w:t>CESPwD 2015-2024</w:t>
        </w:r>
      </w:hyperlink>
    </w:p>
  </w:footnote>
  <w:footnote w:id="60">
    <w:p w14:paraId="16A48A79" w14:textId="58E30DDA" w:rsidR="00392978" w:rsidRDefault="00000000">
      <w:pPr>
        <w:rPr>
          <w:sz w:val="20"/>
          <w:szCs w:val="20"/>
        </w:rPr>
      </w:pPr>
      <w:r>
        <w:rPr>
          <w:rStyle w:val="FootnoteReference"/>
        </w:rPr>
        <w:footnoteRef/>
      </w:r>
      <w:r>
        <w:rPr>
          <w:sz w:val="20"/>
          <w:szCs w:val="20"/>
        </w:rPr>
        <w:t xml:space="preserve"> DoH</w:t>
      </w:r>
      <w:r w:rsidR="007A0944">
        <w:rPr>
          <w:sz w:val="20"/>
          <w:szCs w:val="20"/>
        </w:rPr>
        <w:t xml:space="preserve"> </w:t>
      </w:r>
      <w:r>
        <w:rPr>
          <w:sz w:val="20"/>
          <w:szCs w:val="20"/>
        </w:rPr>
        <w:t xml:space="preserve">(2021), </w:t>
      </w:r>
      <w:hyperlink r:id="rId53" w:anchor="view-the-plan">
        <w:r w:rsidR="00392978">
          <w:rPr>
            <w:i/>
            <w:color w:val="1155CC"/>
            <w:sz w:val="20"/>
            <w:szCs w:val="20"/>
            <w:u w:val="single"/>
          </w:rPr>
          <w:t>Housing for All</w:t>
        </w:r>
      </w:hyperlink>
    </w:p>
  </w:footnote>
  <w:footnote w:id="61">
    <w:p w14:paraId="4160F8A2" w14:textId="77777777" w:rsidR="00392978" w:rsidRDefault="00000000">
      <w:pPr>
        <w:rPr>
          <w:sz w:val="20"/>
          <w:szCs w:val="20"/>
        </w:rPr>
      </w:pPr>
      <w:r>
        <w:rPr>
          <w:rStyle w:val="FootnoteReference"/>
        </w:rPr>
        <w:footnoteRef/>
      </w:r>
      <w:r>
        <w:rPr>
          <w:sz w:val="20"/>
          <w:szCs w:val="20"/>
        </w:rPr>
        <w:t xml:space="preserve"> SCI (2024), </w:t>
      </w:r>
      <w:hyperlink r:id="rId54">
        <w:r w:rsidR="00392978">
          <w:rPr>
            <w:i/>
            <w:color w:val="1155CC"/>
            <w:sz w:val="20"/>
            <w:szCs w:val="20"/>
            <w:u w:val="single"/>
          </w:rPr>
          <w:t>Invisibility of Women's Homelessness</w:t>
        </w:r>
      </w:hyperlink>
    </w:p>
  </w:footnote>
  <w:footnote w:id="62">
    <w:p w14:paraId="402F2CED" w14:textId="77777777" w:rsidR="00392978" w:rsidRDefault="00000000">
      <w:pPr>
        <w:rPr>
          <w:sz w:val="20"/>
          <w:szCs w:val="20"/>
        </w:rPr>
      </w:pPr>
      <w:r>
        <w:rPr>
          <w:rStyle w:val="FootnoteReference"/>
        </w:rPr>
        <w:footnoteRef/>
      </w:r>
      <w:r>
        <w:rPr>
          <w:sz w:val="20"/>
          <w:szCs w:val="20"/>
        </w:rPr>
        <w:t xml:space="preserve"> IT (2021), </w:t>
      </w:r>
      <w:hyperlink r:id="rId55">
        <w:r w:rsidR="00392978">
          <w:rPr>
            <w:i/>
            <w:color w:val="1155CC"/>
            <w:sz w:val="20"/>
            <w:szCs w:val="20"/>
            <w:u w:val="single"/>
          </w:rPr>
          <w:t>Known abuser at Home for 18months</w:t>
        </w:r>
      </w:hyperlink>
    </w:p>
  </w:footnote>
  <w:footnote w:id="63">
    <w:p w14:paraId="6CDB6446" w14:textId="77777777" w:rsidR="00392978" w:rsidRDefault="00000000">
      <w:pPr>
        <w:rPr>
          <w:i/>
          <w:sz w:val="20"/>
          <w:szCs w:val="20"/>
        </w:rPr>
      </w:pPr>
      <w:r>
        <w:rPr>
          <w:rStyle w:val="FootnoteReference"/>
        </w:rPr>
        <w:footnoteRef/>
      </w:r>
      <w:r>
        <w:rPr>
          <w:sz w:val="20"/>
          <w:szCs w:val="20"/>
        </w:rPr>
        <w:t xml:space="preserve"> Journal (2025), </w:t>
      </w:r>
      <w:hyperlink r:id="rId56">
        <w:r w:rsidR="00392978">
          <w:rPr>
            <w:i/>
            <w:color w:val="1155CC"/>
            <w:sz w:val="20"/>
            <w:szCs w:val="20"/>
            <w:u w:val="single"/>
          </w:rPr>
          <w:t>Grace case scandal</w:t>
        </w:r>
      </w:hyperlink>
    </w:p>
  </w:footnote>
  <w:footnote w:id="64">
    <w:p w14:paraId="37A2CC03" w14:textId="77777777" w:rsidR="00392978" w:rsidRDefault="00000000">
      <w:pPr>
        <w:rPr>
          <w:sz w:val="20"/>
          <w:szCs w:val="20"/>
        </w:rPr>
      </w:pPr>
      <w:r>
        <w:rPr>
          <w:rStyle w:val="FootnoteReference"/>
        </w:rPr>
        <w:footnoteRef/>
      </w:r>
      <w:r>
        <w:rPr>
          <w:sz w:val="20"/>
          <w:szCs w:val="20"/>
        </w:rPr>
        <w:t xml:space="preserve"> Seanad Debate </w:t>
      </w:r>
      <w:hyperlink r:id="rId57">
        <w:r w:rsidR="00392978">
          <w:rPr>
            <w:color w:val="1155CC"/>
            <w:sz w:val="20"/>
            <w:szCs w:val="20"/>
            <w:u w:val="single"/>
          </w:rPr>
          <w:t>29.04.2025</w:t>
        </w:r>
      </w:hyperlink>
    </w:p>
  </w:footnote>
  <w:footnote w:id="65">
    <w:p w14:paraId="7B796F38" w14:textId="77777777" w:rsidR="00392978" w:rsidRDefault="00000000">
      <w:pPr>
        <w:rPr>
          <w:sz w:val="20"/>
          <w:szCs w:val="20"/>
        </w:rPr>
      </w:pPr>
      <w:r>
        <w:rPr>
          <w:rStyle w:val="FootnoteReference"/>
        </w:rPr>
        <w:footnoteRef/>
      </w:r>
      <w:r>
        <w:rPr>
          <w:sz w:val="20"/>
          <w:szCs w:val="20"/>
        </w:rPr>
        <w:t xml:space="preserve"> RTÉ, (2021), </w:t>
      </w:r>
      <w:hyperlink r:id="rId58">
        <w:r w:rsidR="00392978">
          <w:rPr>
            <w:i/>
            <w:color w:val="1155CC"/>
            <w:sz w:val="20"/>
            <w:szCs w:val="20"/>
            <w:u w:val="single"/>
          </w:rPr>
          <w:t>Secret dossiers on Autistic children</w:t>
        </w:r>
      </w:hyperlink>
    </w:p>
  </w:footnote>
  <w:footnote w:id="66">
    <w:p w14:paraId="7CACB944" w14:textId="77777777" w:rsidR="00392978" w:rsidRDefault="00000000">
      <w:pPr>
        <w:rPr>
          <w:sz w:val="20"/>
          <w:szCs w:val="20"/>
        </w:rPr>
      </w:pPr>
      <w:r>
        <w:rPr>
          <w:rStyle w:val="FootnoteReference"/>
        </w:rPr>
        <w:footnoteRef/>
      </w:r>
      <w:r>
        <w:rPr>
          <w:sz w:val="20"/>
          <w:szCs w:val="20"/>
        </w:rPr>
        <w:t xml:space="preserve"> (2011) </w:t>
      </w:r>
      <w:hyperlink r:id="rId59">
        <w:r w:rsidR="00392978">
          <w:rPr>
            <w:i/>
            <w:color w:val="1155CC"/>
            <w:sz w:val="20"/>
            <w:szCs w:val="20"/>
            <w:u w:val="single"/>
          </w:rPr>
          <w:t>Time to Move On from Congregated Settings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15F17" w14:textId="77777777" w:rsidR="00BD698D" w:rsidRDefault="00BD69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00447" w14:textId="77777777" w:rsidR="00BD698D" w:rsidRDefault="00BD69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3771D" w14:textId="77777777" w:rsidR="00392978" w:rsidRDefault="00000000">
    <w:pPr>
      <w:tabs>
        <w:tab w:val="center" w:pos="4513"/>
        <w:tab w:val="right" w:pos="9026"/>
      </w:tabs>
      <w:rPr>
        <w:rFonts w:ascii="Arial" w:eastAsia="Arial" w:hAnsi="Arial" w:cs="Arial"/>
        <w:b/>
        <w:sz w:val="56"/>
        <w:szCs w:val="56"/>
      </w:rPr>
    </w:pPr>
    <w:r>
      <w:rPr>
        <w:rFonts w:ascii="Arial" w:eastAsia="Arial" w:hAnsi="Arial" w:cs="Arial"/>
        <w:b/>
        <w:noProof/>
        <w:sz w:val="56"/>
        <w:szCs w:val="56"/>
      </w:rPr>
      <w:drawing>
        <wp:anchor distT="114300" distB="114300" distL="114300" distR="114300" simplePos="0" relativeHeight="251660799" behindDoc="0" locked="0" layoutInCell="1" hidden="0" allowOverlap="1" wp14:anchorId="1CB7DA4B" wp14:editId="6D995B0A">
          <wp:simplePos x="0" y="0"/>
          <wp:positionH relativeFrom="page">
            <wp:posOffset>5379720</wp:posOffset>
          </wp:positionH>
          <wp:positionV relativeFrom="page">
            <wp:posOffset>114300</wp:posOffset>
          </wp:positionV>
          <wp:extent cx="1814195" cy="1814195"/>
          <wp:effectExtent l="0" t="0" r="0" b="0"/>
          <wp:wrapNone/>
          <wp:docPr id="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14195" cy="1814195"/>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0" locked="0" layoutInCell="1" hidden="0" allowOverlap="1" wp14:anchorId="70DAACF3" wp14:editId="1029EAE7">
              <wp:simplePos x="0" y="0"/>
              <wp:positionH relativeFrom="column">
                <wp:posOffset>-939799</wp:posOffset>
              </wp:positionH>
              <wp:positionV relativeFrom="paragraph">
                <wp:posOffset>-711199</wp:posOffset>
              </wp:positionV>
              <wp:extent cx="8352098" cy="1379105"/>
              <wp:effectExtent l="0" t="0" r="0" b="0"/>
              <wp:wrapNone/>
              <wp:docPr id="53" name="Flowchart: Document 53"/>
              <wp:cNvGraphicFramePr/>
              <a:graphic xmlns:a="http://schemas.openxmlformats.org/drawingml/2006/main">
                <a:graphicData uri="http://schemas.microsoft.com/office/word/2010/wordprocessingShape">
                  <wps:wsp>
                    <wps:cNvSpPr/>
                    <wps:spPr>
                      <a:xfrm>
                        <a:off x="1217576" y="3138073"/>
                        <a:ext cx="8256848" cy="1283855"/>
                      </a:xfrm>
                      <a:prstGeom prst="flowChartDocument">
                        <a:avLst/>
                      </a:prstGeom>
                      <a:solidFill>
                        <a:srgbClr val="F6F081"/>
                      </a:solidFill>
                      <a:ln>
                        <a:noFill/>
                      </a:ln>
                    </wps:spPr>
                    <wps:txbx>
                      <w:txbxContent>
                        <w:p w14:paraId="52C04919" w14:textId="77777777" w:rsidR="00392978" w:rsidRDefault="00392978">
                          <w:pPr>
                            <w:textDirection w:val="btLr"/>
                          </w:pPr>
                        </w:p>
                      </w:txbxContent>
                    </wps:txbx>
                    <wps:bodyPr spcFirstLastPara="1" wrap="square" lIns="91425" tIns="91425" rIns="91425" bIns="91425" anchor="ctr" anchorCtr="0">
                      <a:noAutofit/>
                    </wps:bodyPr>
                  </wps:wsp>
                </a:graphicData>
              </a:graphic>
            </wp:anchor>
          </w:drawing>
        </mc:Choice>
        <mc:Fallback>
          <w:pict>
            <v:shapetype w14:anchorId="70DAACF3"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53" o:spid="_x0000_s1026" type="#_x0000_t114" style="position:absolute;margin-left:-74pt;margin-top:-56pt;width:657.65pt;height:108.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" fillcolor="#f6f081" stroked="f">
              <v:textbox inset="2.53958mm,2.53958mm,2.53958mm,2.53958mm">
                <w:txbxContent>
                  <w:p w14:paraId="52C04919" w14:textId="77777777" w:rsidR="00392978" w:rsidRDefault="00392978">
                    <w:pPr>
                      <w:textDirection w:val="btLr"/>
                    </w:pPr>
                  </w:p>
                </w:txbxContent>
              </v:textbox>
            </v:shape>
          </w:pict>
        </mc:Fallback>
      </mc:AlternateContent>
    </w:r>
    <w:r>
      <w:rPr>
        <w:noProof/>
      </w:rPr>
      <mc:AlternateContent>
        <mc:Choice Requires="wps">
          <w:drawing>
            <wp:anchor distT="0" distB="0" distL="114300" distR="114300" simplePos="0" relativeHeight="251660288" behindDoc="0" locked="0" layoutInCell="1" hidden="0" allowOverlap="1" wp14:anchorId="332566E0" wp14:editId="3CE879BD">
              <wp:simplePos x="0" y="0"/>
              <wp:positionH relativeFrom="column">
                <wp:posOffset>-1104899</wp:posOffset>
              </wp:positionH>
              <wp:positionV relativeFrom="paragraph">
                <wp:posOffset>-838199</wp:posOffset>
              </wp:positionV>
              <wp:extent cx="7885545" cy="1318491"/>
              <wp:effectExtent l="0" t="0" r="0" b="0"/>
              <wp:wrapNone/>
              <wp:docPr id="52" name="Flowchart: Document 52"/>
              <wp:cNvGraphicFramePr/>
              <a:graphic xmlns:a="http://schemas.openxmlformats.org/drawingml/2006/main">
                <a:graphicData uri="http://schemas.microsoft.com/office/word/2010/wordprocessingShape">
                  <wps:wsp>
                    <wps:cNvSpPr/>
                    <wps:spPr>
                      <a:xfrm>
                        <a:off x="1466728" y="3184255"/>
                        <a:ext cx="7758545" cy="1191491"/>
                      </a:xfrm>
                      <a:prstGeom prst="flowChartDocument">
                        <a:avLst/>
                      </a:prstGeom>
                      <a:solidFill>
                        <a:srgbClr val="712C79"/>
                      </a:solidFill>
                      <a:ln w="12700" cap="flat" cmpd="sng">
                        <a:solidFill>
                          <a:srgbClr val="31538F"/>
                        </a:solidFill>
                        <a:prstDash val="solid"/>
                        <a:miter lim="800000"/>
                        <a:headEnd type="none" w="sm" len="sm"/>
                        <a:tailEnd type="none" w="sm" len="sm"/>
                      </a:ln>
                    </wps:spPr>
                    <wps:txbx>
                      <w:txbxContent>
                        <w:p w14:paraId="4C01DFC7" w14:textId="77777777" w:rsidR="00392978" w:rsidRDefault="00392978">
                          <w:pPr>
                            <w:textDirection w:val="btLr"/>
                          </w:pPr>
                        </w:p>
                      </w:txbxContent>
                    </wps:txbx>
                    <wps:bodyPr spcFirstLastPara="1" wrap="square" lIns="91425" tIns="91425" rIns="91425" bIns="91425" anchor="ctr" anchorCtr="0">
                      <a:noAutofit/>
                    </wps:bodyPr>
                  </wps:wsp>
                </a:graphicData>
              </a:graphic>
            </wp:anchor>
          </w:drawing>
        </mc:Choice>
        <mc:Fallback>
          <w:pict>
            <v:shape w14:anchorId="332566E0" id="Flowchart: Document 52" o:spid="_x0000_s1027" type="#_x0000_t114" style="position:absolute;margin-left:-87pt;margin-top:-66pt;width:620.9pt;height:103.8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" fillcolor="#712c79" strokecolor="#31538f" strokeweight="1pt">
              <v:stroke startarrowwidth="narrow" startarrowlength="short" endarrowwidth="narrow" endarrowlength="short"/>
              <v:textbox inset="2.53958mm,2.53958mm,2.53958mm,2.53958mm">
                <w:txbxContent>
                  <w:p w14:paraId="4C01DFC7" w14:textId="77777777" w:rsidR="00392978" w:rsidRDefault="00392978">
                    <w:pPr>
                      <w:textDirection w:val="btLr"/>
                    </w:pPr>
                  </w:p>
                </w:txbxContent>
              </v:textbox>
            </v:shape>
          </w:pict>
        </mc:Fallback>
      </mc:AlternateContent>
    </w:r>
  </w:p>
  <w:p w14:paraId="28DD6A3B" w14:textId="77777777" w:rsidR="00392978" w:rsidRDefault="00392978">
    <w:pPr>
      <w:pBdr>
        <w:top w:val="nil"/>
        <w:left w:val="nil"/>
        <w:bottom w:val="nil"/>
        <w:right w:val="nil"/>
        <w:between w:val="nil"/>
      </w:pBdr>
      <w:tabs>
        <w:tab w:val="center" w:pos="4513"/>
        <w:tab w:val="right" w:pos="9026"/>
      </w:tabs>
      <w:rPr>
        <w:rFonts w:ascii="Arial" w:eastAsia="Arial" w:hAnsi="Arial" w:cs="Arial"/>
        <w:b/>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78AE"/>
    <w:multiLevelType w:val="multilevel"/>
    <w:tmpl w:val="EAB48D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03D64990"/>
    <w:multiLevelType w:val="multilevel"/>
    <w:tmpl w:val="D4C29A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393FC9"/>
    <w:multiLevelType w:val="multilevel"/>
    <w:tmpl w:val="26F6130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7E33E9"/>
    <w:multiLevelType w:val="multilevel"/>
    <w:tmpl w:val="75523D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7C3129B"/>
    <w:multiLevelType w:val="multilevel"/>
    <w:tmpl w:val="D3805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C2F3C2A"/>
    <w:multiLevelType w:val="multilevel"/>
    <w:tmpl w:val="A9E8A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47F3AE0"/>
    <w:multiLevelType w:val="multilevel"/>
    <w:tmpl w:val="A26E00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6F34840"/>
    <w:multiLevelType w:val="multilevel"/>
    <w:tmpl w:val="0C06B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18645749">
    <w:abstractNumId w:val="5"/>
  </w:num>
  <w:num w:numId="2" w16cid:durableId="838810081">
    <w:abstractNumId w:val="3"/>
  </w:num>
  <w:num w:numId="3" w16cid:durableId="1381057680">
    <w:abstractNumId w:val="4"/>
  </w:num>
  <w:num w:numId="4" w16cid:durableId="516192748">
    <w:abstractNumId w:val="6"/>
  </w:num>
  <w:num w:numId="5" w16cid:durableId="585041784">
    <w:abstractNumId w:val="0"/>
  </w:num>
  <w:num w:numId="6" w16cid:durableId="526258739">
    <w:abstractNumId w:val="1"/>
  </w:num>
  <w:num w:numId="7" w16cid:durableId="589895281">
    <w:abstractNumId w:val="7"/>
  </w:num>
  <w:num w:numId="8" w16cid:durableId="9373690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2978"/>
    <w:rsid w:val="00147072"/>
    <w:rsid w:val="00392978"/>
    <w:rsid w:val="005437E4"/>
    <w:rsid w:val="005671A1"/>
    <w:rsid w:val="007A0944"/>
    <w:rsid w:val="00B16596"/>
    <w:rsid w:val="00BA7A01"/>
    <w:rsid w:val="00BD698D"/>
    <w:rsid w:val="00FF26E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7CCB8"/>
  <w15:docId w15:val="{73143235-7899-49F5-9750-1B93CEF2C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IE" w:eastAsia="en-I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619"/>
    <w:pPr>
      <w:keepNext/>
      <w:keepLines/>
      <w:spacing w:before="240"/>
      <w:jc w:val="center"/>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uiPriority w:val="9"/>
    <w:unhideWhenUsed/>
    <w:qFormat/>
    <w:rsid w:val="00D90619"/>
    <w:pPr>
      <w:keepNext/>
      <w:keepLines/>
      <w:spacing w:before="40"/>
      <w:outlineLvl w:val="1"/>
    </w:pPr>
    <w:rPr>
      <w:rFonts w:ascii="Times New Roman" w:eastAsiaTheme="majorEastAsia" w:hAnsi="Times New Roman" w:cstheme="majorBidi"/>
      <w:b/>
      <w:color w:val="000000" w:themeColor="text1"/>
      <w:szCs w:val="26"/>
    </w:rPr>
  </w:style>
  <w:style w:type="paragraph" w:styleId="Heading3">
    <w:name w:val="heading 3"/>
    <w:basedOn w:val="Normal"/>
    <w:next w:val="Normal"/>
    <w:link w:val="Heading3Char"/>
    <w:uiPriority w:val="9"/>
    <w:unhideWhenUsed/>
    <w:qFormat/>
    <w:rsid w:val="00D90619"/>
    <w:pPr>
      <w:outlineLvl w:val="2"/>
    </w:pPr>
    <w:rPr>
      <w:rFonts w:ascii="Times New Roman" w:eastAsia="Times New Roman" w:hAnsi="Times New Roman" w:cs="Times New Roman"/>
      <w:i/>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D90619"/>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D90619"/>
    <w:rPr>
      <w:rFonts w:ascii="Times New Roman" w:eastAsiaTheme="majorEastAsia" w:hAnsi="Times New Roman" w:cstheme="majorBidi"/>
      <w:b/>
      <w:color w:val="000000" w:themeColor="text1"/>
      <w:szCs w:val="26"/>
    </w:rPr>
  </w:style>
  <w:style w:type="character" w:customStyle="1" w:styleId="Heading3Char">
    <w:name w:val="Heading 3 Char"/>
    <w:basedOn w:val="DefaultParagraphFont"/>
    <w:link w:val="Heading3"/>
    <w:uiPriority w:val="9"/>
    <w:rsid w:val="00D90619"/>
    <w:rPr>
      <w:rFonts w:ascii="Times New Roman" w:eastAsia="Times New Roman" w:hAnsi="Times New Roman" w:cs="Times New Roman"/>
      <w:i/>
    </w:rPr>
  </w:style>
  <w:style w:type="paragraph" w:styleId="NormalWeb">
    <w:name w:val="Normal (Web)"/>
    <w:basedOn w:val="Normal"/>
    <w:uiPriority w:val="99"/>
    <w:unhideWhenUsed/>
    <w:rsid w:val="004B7C1C"/>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4B7C1C"/>
    <w:pPr>
      <w:tabs>
        <w:tab w:val="center" w:pos="4513"/>
        <w:tab w:val="right" w:pos="9026"/>
      </w:tabs>
    </w:pPr>
  </w:style>
  <w:style w:type="character" w:customStyle="1" w:styleId="HeaderChar">
    <w:name w:val="Header Char"/>
    <w:basedOn w:val="DefaultParagraphFont"/>
    <w:link w:val="Header"/>
    <w:uiPriority w:val="99"/>
    <w:rsid w:val="004B7C1C"/>
  </w:style>
  <w:style w:type="paragraph" w:styleId="Footer">
    <w:name w:val="footer"/>
    <w:basedOn w:val="Normal"/>
    <w:link w:val="FooterChar"/>
    <w:uiPriority w:val="99"/>
    <w:unhideWhenUsed/>
    <w:rsid w:val="004B7C1C"/>
    <w:pPr>
      <w:tabs>
        <w:tab w:val="center" w:pos="4513"/>
        <w:tab w:val="right" w:pos="9026"/>
      </w:tabs>
    </w:pPr>
  </w:style>
  <w:style w:type="character" w:customStyle="1" w:styleId="FooterChar">
    <w:name w:val="Footer Char"/>
    <w:basedOn w:val="DefaultParagraphFont"/>
    <w:link w:val="Footer"/>
    <w:uiPriority w:val="99"/>
    <w:rsid w:val="004B7C1C"/>
  </w:style>
  <w:style w:type="paragraph" w:styleId="NoSpacing">
    <w:name w:val="No Spacing"/>
    <w:link w:val="NoSpacingChar"/>
    <w:uiPriority w:val="1"/>
    <w:qFormat/>
    <w:rsid w:val="004B7C1C"/>
    <w:rPr>
      <w:rFonts w:eastAsiaTheme="minorEastAsia"/>
      <w:sz w:val="22"/>
      <w:szCs w:val="22"/>
      <w:lang w:val="en-US" w:eastAsia="zh-CN"/>
    </w:rPr>
  </w:style>
  <w:style w:type="character" w:customStyle="1" w:styleId="NoSpacingChar">
    <w:name w:val="No Spacing Char"/>
    <w:basedOn w:val="DefaultParagraphFont"/>
    <w:link w:val="NoSpacing"/>
    <w:uiPriority w:val="1"/>
    <w:rsid w:val="004B7C1C"/>
    <w:rPr>
      <w:rFonts w:eastAsiaTheme="minorEastAsia"/>
      <w:sz w:val="22"/>
      <w:szCs w:val="22"/>
      <w:lang w:val="en-US" w:eastAsia="zh-CN"/>
    </w:rPr>
  </w:style>
  <w:style w:type="paragraph" w:styleId="FootnoteText">
    <w:name w:val="footnote text"/>
    <w:aliases w:val="Footnote Text Char1 Char,Footnote Text Char Char Char,Footnote Text Char1,Footnote Text Char Char,Footnote Text Char2 Char1,Footnote Text Char Char1 Char1,Footnote Text Char1 Char Char Char,Footnote Text Char Char Char Char Char,Char, Char"/>
    <w:basedOn w:val="Normal"/>
    <w:link w:val="FootnoteTextChar"/>
    <w:uiPriority w:val="99"/>
    <w:unhideWhenUsed/>
    <w:rsid w:val="00506CB1"/>
    <w:rPr>
      <w:sz w:val="20"/>
      <w:szCs w:val="20"/>
    </w:rPr>
  </w:style>
  <w:style w:type="character" w:customStyle="1" w:styleId="FootnoteTextChar">
    <w:name w:val="Footnote Text Char"/>
    <w:aliases w:val="Footnote Text Char1 Char Char,Footnote Text Char Char Char Char,Footnote Text Char1 Char1,Footnote Text Char Char Char1,Footnote Text Char2 Char1 Char,Footnote Text Char Char1 Char1 Char,Footnote Text Char1 Char Char Char Char"/>
    <w:basedOn w:val="DefaultParagraphFont"/>
    <w:link w:val="FootnoteText"/>
    <w:uiPriority w:val="99"/>
    <w:rsid w:val="00506CB1"/>
    <w:rPr>
      <w:sz w:val="20"/>
      <w:szCs w:val="20"/>
    </w:rPr>
  </w:style>
  <w:style w:type="character" w:styleId="FootnoteReference">
    <w:name w:val="footnote reference"/>
    <w:basedOn w:val="DefaultParagraphFont"/>
    <w:uiPriority w:val="99"/>
    <w:unhideWhenUsed/>
    <w:rsid w:val="00506CB1"/>
    <w:rPr>
      <w:vertAlign w:val="superscript"/>
    </w:rPr>
  </w:style>
  <w:style w:type="paragraph" w:styleId="ListParagraph">
    <w:name w:val="List Paragraph"/>
    <w:basedOn w:val="Normal"/>
    <w:uiPriority w:val="34"/>
    <w:qFormat/>
    <w:rsid w:val="00DA48E4"/>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B4756A"/>
    <w:rPr>
      <w:b/>
      <w:bCs/>
    </w:rPr>
  </w:style>
  <w:style w:type="character" w:customStyle="1" w:styleId="CommentSubjectChar">
    <w:name w:val="Comment Subject Char"/>
    <w:basedOn w:val="CommentTextChar"/>
    <w:link w:val="CommentSubject"/>
    <w:uiPriority w:val="99"/>
    <w:semiHidden/>
    <w:rsid w:val="00B4756A"/>
    <w:rPr>
      <w:b/>
      <w:bCs/>
      <w:sz w:val="20"/>
      <w:szCs w:val="20"/>
    </w:rPr>
  </w:style>
  <w:style w:type="character" w:styleId="Hyperlink">
    <w:name w:val="Hyperlink"/>
    <w:basedOn w:val="DefaultParagraphFont"/>
    <w:uiPriority w:val="99"/>
    <w:unhideWhenUsed/>
    <w:rsid w:val="00CB6D72"/>
    <w:rPr>
      <w:color w:val="0563C1" w:themeColor="hyperlink"/>
      <w:u w:val="single"/>
    </w:rPr>
  </w:style>
  <w:style w:type="character" w:styleId="UnresolvedMention">
    <w:name w:val="Unresolved Mention"/>
    <w:basedOn w:val="DefaultParagraphFont"/>
    <w:uiPriority w:val="99"/>
    <w:semiHidden/>
    <w:unhideWhenUsed/>
    <w:rsid w:val="00CB6D72"/>
    <w:rPr>
      <w:color w:val="605E5C"/>
      <w:shd w:val="clear" w:color="auto" w:fill="E1DFDD"/>
    </w:rPr>
  </w:style>
  <w:style w:type="paragraph" w:styleId="Revision">
    <w:name w:val="Revision"/>
    <w:hidden/>
    <w:uiPriority w:val="99"/>
    <w:semiHidden/>
    <w:rsid w:val="00AD2A35"/>
  </w:style>
  <w:style w:type="character" w:customStyle="1" w:styleId="ui-provider">
    <w:name w:val="ui-provider"/>
    <w:basedOn w:val="DefaultParagraphFont"/>
    <w:rsid w:val="00167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disabledwomenireland@gmail.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mensaid.ie/app/uploads/2024/10/Disabled-Womens-Experiences-of-Intimate-Partner-Abuse-in-Ireland-Research-Project-Report.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womensaid.ie/app/uploads/2024/10/Disabled-Womens-Experiences-of-Intimate-Partner-Abuse-in-Ireland-Research-Project-Report.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euroPrideIreland@gmail.com" TargetMode="External"/><Relationship Id="rId14" Type="http://schemas.openxmlformats.org/officeDocument/2006/relationships/footer" Target="footer1.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3" Type="http://schemas.openxmlformats.org/officeDocument/2006/relationships/hyperlink" Target="https://data.oireachtas.ie/ie/oireachtas/committee/dail/33/joint_committee_on_international_surrogacy/submissions/2022/2022-05-05_opening-statement-selina-bonnie-representative-independent-living-movement-ireland_en.pdf" TargetMode="External"/><Relationship Id="rId18" Type="http://schemas.openxmlformats.org/officeDocument/2006/relationships/hyperlink" Target="https://www.universityofgalway.ie/media/centrefordisabilitylawandpolicy/files/realcontentandresources/Toolkit_Parenting_.docx" TargetMode="External"/><Relationship Id="rId26" Type="http://schemas.openxmlformats.org/officeDocument/2006/relationships/hyperlink" Target="https://www.abortionrightscampaign.ie/facts/research/" TargetMode="External"/><Relationship Id="rId39" Type="http://schemas.openxmlformats.org/officeDocument/2006/relationships/hyperlink" Target="https://wbg.org.uk/wp-content/uploads/2018/10/Disabled-women-October-2018-w-cover-2.pdf" TargetMode="External"/><Relationship Id="rId21" Type="http://schemas.openxmlformats.org/officeDocument/2006/relationships/hyperlink" Target="https://researchrepository.universityofgalway.ie/server/api/core/bitstreams/8027c0e7-07dc-4633-b221-3209706f2212/content" TargetMode="External"/><Relationship Id="rId34" Type="http://schemas.openxmlformats.org/officeDocument/2006/relationships/hyperlink" Target="https://20ian81kynqg38bl3l3eh8bf-wpengine.netdna-ssl.com/wpcontent/uploads/2019/02/Maher-et-al-Horizons-Research-Report.pdf" TargetMode="External"/><Relationship Id="rId42" Type="http://schemas.openxmlformats.org/officeDocument/2006/relationships/hyperlink" Target="https://www.esri.ie/publications/a-social-portrait-of-people-with-disabilities-in-ireland" TargetMode="External"/><Relationship Id="rId47" Type="http://schemas.openxmlformats.org/officeDocument/2006/relationships/hyperlink" Target="https://www.esri.ie/publications/adjusting-estimates-of-poverty-for-the-cost-of-disability" TargetMode="External"/><Relationship Id="rId50" Type="http://schemas.openxmlformats.org/officeDocument/2006/relationships/hyperlink" Target="https://www.esri.ie/news/disabled-households-forced-to-spend-majority-of-disposable-income-on-disability" TargetMode="External"/><Relationship Id="rId55" Type="http://schemas.openxmlformats.org/officeDocument/2006/relationships/hyperlink" Target="https://www.irishtimes.com/news/social-affairs/known-abuser-lived-at-home-for-18-months-before-safeguarding-plan-was-produced-1.4753499" TargetMode="External"/><Relationship Id="rId7" Type="http://schemas.openxmlformats.org/officeDocument/2006/relationships/hyperlink" Target="https://www.effectiveservices.org/journal/realising-the-promise-of-equality-policy" TargetMode="External"/><Relationship Id="rId12" Type="http://schemas.openxmlformats.org/officeDocument/2006/relationships/hyperlink" Target="https://www.oireachtas.ie/en/debates/debate/joint_committee_on_disability_matters/2021-03-09/2/" TargetMode="External"/><Relationship Id="rId17" Type="http://schemas.openxmlformats.org/officeDocument/2006/relationships/hyperlink" Target="https://www.oireachtas.ie/en/debates/debate/joint_committee_on_disability_matters/2021-03-09/2/" TargetMode="External"/><Relationship Id="rId25" Type="http://schemas.openxmlformats.org/officeDocument/2006/relationships/hyperlink" Target="https://www.abortionrightscampaign.ie/facts/research/" TargetMode="External"/><Relationship Id="rId33" Type="http://schemas.openxmlformats.org/officeDocument/2006/relationships/hyperlink" Target="https://www.womensaid.ie/app/uploads/2024/10/Disabled-Womens-Experiences-of-Intimate-Partner-Abuse-in-Ireland-Research-Executive-Summary.pdf" TargetMode="External"/><Relationship Id="rId38" Type="http://schemas.openxmlformats.org/officeDocument/2006/relationships/hyperlink" Target="https://eapn.ie/poverty/consistent-poverty-rates/" TargetMode="External"/><Relationship Id="rId46" Type="http://schemas.openxmlformats.org/officeDocument/2006/relationships/hyperlink" Target="https://www.ohchr.org/en/documents/concluding-observations/cedawcirlco6-7-concluding-observations-combined-sixth-and-seventh" TargetMode="External"/><Relationship Id="rId59" Type="http://schemas.openxmlformats.org/officeDocument/2006/relationships/hyperlink" Target="https://www.hse.ie/eng/services/list/4/disability/congregatedsettings/time-to-move-on-from-congregated-settings-%E2%80%93-a-strategy-for-community-inclusion.pdf" TargetMode="External"/><Relationship Id="rId2" Type="http://schemas.openxmlformats.org/officeDocument/2006/relationships/hyperlink" Target="https://assets.gov.ie/static/documents/statistical-spotlight-15-the-state-of-the-nations-women-and-girls.pdf" TargetMode="External"/><Relationship Id="rId16" Type="http://schemas.openxmlformats.org/officeDocument/2006/relationships/hyperlink" Target="https://www.ihrec.ie/" TargetMode="External"/><Relationship Id="rId20" Type="http://schemas.openxmlformats.org/officeDocument/2006/relationships/hyperlink" Target="https://www.universityofgalway.ie/centre-disability-law-policy/research/projects/completedprojects/real/" TargetMode="External"/><Relationship Id="rId29" Type="http://schemas.openxmlformats.org/officeDocument/2006/relationships/hyperlink" Target="https://www.frontiersin.org/journals/behavioral-neuroscience/articles/10.3389/fnbeh.2022.852203/full" TargetMode="External"/><Relationship Id="rId41" Type="http://schemas.openxmlformats.org/officeDocument/2006/relationships/hyperlink" Target="https://www.edf-feph.org/publications/human-rights-report-2023-the-right-to-work/" TargetMode="External"/><Relationship Id="rId54" Type="http://schemas.openxmlformats.org/officeDocument/2006/relationships/hyperlink" Target="https://www.simon.ie/the-invisibility-of-womens-homelessness/" TargetMode="External"/><Relationship Id="rId1" Type="http://schemas.openxmlformats.org/officeDocument/2006/relationships/hyperlink" Target="https://www.cso.ie/en/releasesandpublications/ep/p-cpsr/censusofpopulation2022-summaryresults/" TargetMode="External"/><Relationship Id="rId6" Type="http://schemas.openxmlformats.org/officeDocument/2006/relationships/hyperlink" Target="https://assets.gov.ie/18906/1120bc6ad254489db9571c74e8572f44.pdf" TargetMode="External"/><Relationship Id="rId11" Type="http://schemas.openxmlformats.org/officeDocument/2006/relationships/hyperlink" Target="https://researchrepository.universityofgalway.ie/server/api/core/bitstreams/8027c0e7-07dc-4633-b221-3209706f2212/content" TargetMode="External"/><Relationship Id="rId24" Type="http://schemas.openxmlformats.org/officeDocument/2006/relationships/hyperlink" Target="https://data.oireachtas.ie/ie/oireachtas/committee/dail/33/joint_committee_on_disability_matters/submissions/2021/2021-03-09_opening-statement-selina-bonnie-vice-chairperson-independent-living-movement-ireland-national-women-s-council-of-ireland_en.pdf" TargetMode="External"/><Relationship Id="rId32" Type="http://schemas.openxmlformats.org/officeDocument/2006/relationships/hyperlink" Target="https://data.oireachtas.ie/ie/oireachtas/committee/dail/33/joint_committee_on_children_equality_disability_integration_and_youth/reports/2022/2022-04-08_report-on-pre-legislative-scrutiny-of-the-general-scheme-of-the-assisted-decision-making-capacity-amendment-bill-2021_en.pdf" TargetMode="External"/><Relationship Id="rId37" Type="http://schemas.openxmlformats.org/officeDocument/2006/relationships/hyperlink" Target="https://www.cso.ie/en/releasesandpublications/ep/p-silc/surveyonincomeandlivingconditionssilc2017/povertyanddeprivation" TargetMode="External"/><Relationship Id="rId40" Type="http://schemas.openxmlformats.org/officeDocument/2006/relationships/hyperlink" Target="https://assets.gov.ie/static/documents/report-on-the-gender-pay-gap-in-the-department-of-children-equality-disability-integra.pdf" TargetMode="External"/><Relationship Id="rId45" Type="http://schemas.openxmlformats.org/officeDocument/2006/relationships/hyperlink" Target="https://nda.ie/publications/final-review-of-progress-under-the-comprehensive-employment-strategy-for-people-with-disabilities-2015-2024" TargetMode="External"/><Relationship Id="rId53" Type="http://schemas.openxmlformats.org/officeDocument/2006/relationships/hyperlink" Target="https://www.gov.ie/en/department-of-housing-local-government-and-heritage/publications/housing-for-all-a-new-housing-plan-for-ireland/" TargetMode="External"/><Relationship Id="rId58" Type="http://schemas.openxmlformats.org/officeDocument/2006/relationships/hyperlink" Target="https://www.rte.ie/news/investigations-unit/2021/0325/1205962-department-of-health-dossiers-children-autism/" TargetMode="External"/><Relationship Id="rId5" Type="http://schemas.openxmlformats.org/officeDocument/2006/relationships/hyperlink" Target="https://www.gov.ie/en/publication/8072c0-national-disability-inclusion-strategy-2017-2021/" TargetMode="External"/><Relationship Id="rId15" Type="http://schemas.openxmlformats.org/officeDocument/2006/relationships/hyperlink" Target="https://www.oireachtas.ie/en/debates/question/2023-06-27/552/?highlight%5B0%5D=disability&amp;highlight%5B1%5D=parental&amp;highlight%5B2%5D=custody" TargetMode="External"/><Relationship Id="rId23" Type="http://schemas.openxmlformats.org/officeDocument/2006/relationships/hyperlink" Target="https://assets.hse.ie/media/documents/Breaking_Down_Barriers_Full_Report.pdf" TargetMode="External"/><Relationship Id="rId28" Type="http://schemas.openxmlformats.org/officeDocument/2006/relationships/hyperlink" Target="https://www.oireachtas.ie/en/debates/question/2024-03-05/618/" TargetMode="External"/><Relationship Id="rId36" Type="http://schemas.openxmlformats.org/officeDocument/2006/relationships/hyperlink" Target="https://ec.europa.eu/eurostat/en/web/products-eurostat-news/w/ddn-20221214-2" TargetMode="External"/><Relationship Id="rId49" Type="http://schemas.openxmlformats.org/officeDocument/2006/relationships/hyperlink" Target="https://www.nwci.ie/download/pdf/disability.pdf" TargetMode="External"/><Relationship Id="rId57" Type="http://schemas.openxmlformats.org/officeDocument/2006/relationships/hyperlink" Target="https://data.oireachtas.ie/ie/oireachtas/debateRecord/seanad/2025-04-29/debate/mul@/main.pdf" TargetMode="External"/><Relationship Id="rId10" Type="http://schemas.openxmlformats.org/officeDocument/2006/relationships/hyperlink" Target="https://www.tusla.ie/uploads/content/CF_WelfarePracticehandbook.pdf" TargetMode="External"/><Relationship Id="rId19" Type="http://schemas.openxmlformats.org/officeDocument/2006/relationships/hyperlink" Target="https://www.abortionrightscampaign.ie/policy-submissions/" TargetMode="External"/><Relationship Id="rId31" Type="http://schemas.openxmlformats.org/officeDocument/2006/relationships/hyperlink" Target="https://nda.ie/uploads/publications/adult-autism-in-homelessness-prevalence-experiences-and-support-needs-in-an-irish-context.pdf" TargetMode="External"/><Relationship Id="rId44" Type="http://schemas.openxmlformats.org/officeDocument/2006/relationships/hyperlink" Target="https://assets.gov.ie/18906/1120bc6ad254489db9571c74e8572f44.pdf" TargetMode="External"/><Relationship Id="rId52" Type="http://schemas.openxmlformats.org/officeDocument/2006/relationships/hyperlink" Target="https://assets.gov.ie/18906/1120bc6ad254489db9571c74e8572f44.pdf" TargetMode="External"/><Relationship Id="rId4" Type="http://schemas.openxmlformats.org/officeDocument/2006/relationships/hyperlink" Target="https://www.gov.ie/pdf/?file=https://assets.gov.ie/95975/bd524a60-e19f-44e8-80ce-9cdc58853403.pdf" TargetMode="External"/><Relationship Id="rId9" Type="http://schemas.openxmlformats.org/officeDocument/2006/relationships/hyperlink" Target="https://data.cso.ie/" TargetMode="External"/><Relationship Id="rId14" Type="http://schemas.openxmlformats.org/officeDocument/2006/relationships/hyperlink" Target="https://nda.ie/uploads/publications/NDA-submission-to-Future-of-Family-Justice-Consultation-V2-10.06.21.docx" TargetMode="External"/><Relationship Id="rId22" Type="http://schemas.openxmlformats.org/officeDocument/2006/relationships/hyperlink" Target="https://nda.ie/publications/experiences-of-women-with-disabilities-in-their-journey-through-maternity-services-in-ireland" TargetMode="External"/><Relationship Id="rId27" Type="http://schemas.openxmlformats.org/officeDocument/2006/relationships/hyperlink" Target="https://journals.sagepub.com/doi/full/10.1177/13623613231205629" TargetMode="External"/><Relationship Id="rId30" Type="http://schemas.openxmlformats.org/officeDocument/2006/relationships/hyperlink" Target="https://rehabsuk.com/blog/adhd-triples-risk-of-substance-abuse-but-it-doesn-t-have-to/" TargetMode="External"/><Relationship Id="rId35" Type="http://schemas.openxmlformats.org/officeDocument/2006/relationships/hyperlink" Target="https://www.womensaid.ie/app/uploads/2024/10/Disabled-Womens-Experiences-of-Intimate-Partner-Abuse-in-Ireland-Research-Executive-Summary.pdf" TargetMode="External"/><Relationship Id="rId43" Type="http://schemas.openxmlformats.org/officeDocument/2006/relationships/hyperlink" Target="https://familycarers.ie/media/2022/family-carers-ireland-state-of-caring-2020.pdf" TargetMode="External"/><Relationship Id="rId48" Type="http://schemas.openxmlformats.org/officeDocument/2006/relationships/hyperlink" Target="https://assets.gov.ie/7268/48351e0c87ef4600a615494e152f1ba8.pdf" TargetMode="External"/><Relationship Id="rId56" Type="http://schemas.openxmlformats.org/officeDocument/2006/relationships/hyperlink" Target="https://www.thejournal.ie/grace-case-qa-6679914-Apr2025/" TargetMode="External"/><Relationship Id="rId8" Type="http://schemas.openxmlformats.org/officeDocument/2006/relationships/hyperlink" Target="https://revisedacts.lawreform.ie/eli/2000/act/8/revised/en/html" TargetMode="External"/><Relationship Id="rId51" Type="http://schemas.openxmlformats.org/officeDocument/2006/relationships/hyperlink" Target="https://www.gov.ie/en/department-of-social-protection/publications/make-work-pay-report/" TargetMode="External"/><Relationship Id="rId3" Type="http://schemas.openxmlformats.org/officeDocument/2006/relationships/hyperlink" Target="https://www.ohchr.org/en/documents/concluding-observations/cedawcirlco6-7-concluding-observations-combined-sixth-and-sevent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l2CEJ2i11gmfb9/7Bzy+B0OZ9w==">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2025-05-23T12:26:09+00:00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54DED76-3DD0-4B31-BEC5-B8D95B93B407}"/>
</file>

<file path=customXml/itemProps3.xml><?xml version="1.0" encoding="utf-8"?>
<ds:datastoreItem xmlns:ds="http://schemas.openxmlformats.org/officeDocument/2006/customXml" ds:itemID="{49F58FC3-0065-4A7A-8C3A-7A35747F80E7}"/>
</file>

<file path=customXml/itemProps4.xml><?xml version="1.0" encoding="utf-8"?>
<ds:datastoreItem xmlns:ds="http://schemas.openxmlformats.org/officeDocument/2006/customXml" ds:itemID="{5010A0AC-BB44-414F-A8C6-EBD4766682EA}"/>
</file>

<file path=docProps/app.xml><?xml version="1.0" encoding="utf-8"?>
<Properties xmlns="http://schemas.openxmlformats.org/officeDocument/2006/extended-properties" xmlns:vt="http://schemas.openxmlformats.org/officeDocument/2006/docPropsVTypes">
  <Template>Normal.dotm</Template>
  <TotalTime>2</TotalTime>
  <Pages>24</Pages>
  <Words>6440</Words>
  <Characters>36714</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BHAILÍS, CLÍONA</dc:creator>
  <cp:lastModifiedBy>Childversity</cp:lastModifiedBy>
  <cp:revision>2</cp:revision>
  <cp:lastPrinted>2025-05-21T22:34:00Z</cp:lastPrinted>
  <dcterms:created xsi:type="dcterms:W3CDTF">2025-05-21T22:35:00Z</dcterms:created>
  <dcterms:modified xsi:type="dcterms:W3CDTF">2025-05-21T22:35:00Z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5454af7d86e611c6e99c7af1376ae86e7598b9a8e70578094c44cca4b3c54617</vt:lpwstr>
  </property>
  <property fmtid="{D5CDD505-2E9C-101B-9397-08002B2CF9AE}" pid="3" name="ContentTypeId">
    <vt:lpwstr>0x010100A3CFA62B47352B44BFD11BEB9CD9FD5A</vt:lpwstr>
  </property>
</Properties>
</file>