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11E76" w14:paraId="5EB0C734" w14:textId="77777777">
        <w:trPr>
          <w:cantSplit/>
          <w:trHeight w:hRule="exact" w:val="851"/>
        </w:trPr>
        <w:tc>
          <w:tcPr>
            <w:tcW w:w="1276" w:type="dxa"/>
            <w:tcBorders>
              <w:bottom w:val="single" w:sz="4" w:space="0" w:color="auto"/>
            </w:tcBorders>
            <w:vAlign w:val="bottom"/>
          </w:tcPr>
          <w:p w14:paraId="5D19BF2B" w14:textId="77777777" w:rsidR="00E73B88" w:rsidRDefault="00E73B88">
            <w:pPr>
              <w:spacing w:after="80"/>
            </w:pPr>
          </w:p>
        </w:tc>
        <w:tc>
          <w:tcPr>
            <w:tcW w:w="2268" w:type="dxa"/>
            <w:tcBorders>
              <w:bottom w:val="single" w:sz="4" w:space="0" w:color="auto"/>
            </w:tcBorders>
            <w:vAlign w:val="bottom"/>
          </w:tcPr>
          <w:p w14:paraId="3FC7C1DE" w14:textId="7376149E" w:rsidR="00E73B88" w:rsidRDefault="00E73B88">
            <w:pPr>
              <w:spacing w:after="80" w:line="300" w:lineRule="exact"/>
              <w:rPr>
                <w:b/>
                <w:sz w:val="24"/>
                <w:szCs w:val="24"/>
              </w:rPr>
            </w:pPr>
          </w:p>
        </w:tc>
        <w:tc>
          <w:tcPr>
            <w:tcW w:w="6095" w:type="dxa"/>
            <w:gridSpan w:val="2"/>
            <w:tcBorders>
              <w:bottom w:val="single" w:sz="4" w:space="0" w:color="auto"/>
            </w:tcBorders>
            <w:vAlign w:val="bottom"/>
          </w:tcPr>
          <w:p w14:paraId="6D65350B" w14:textId="77777777" w:rsidR="00E73B88" w:rsidRDefault="00494D0B">
            <w:pPr>
              <w:suppressAutoHyphens w:val="0"/>
              <w:spacing w:after="20"/>
              <w:jc w:val="right"/>
            </w:pPr>
            <w:r>
              <w:rPr>
                <w:sz w:val="40"/>
              </w:rPr>
              <w:t>CRPD</w:t>
            </w:r>
            <w:r>
              <w:t>/C/GBR/FCO/1</w:t>
            </w:r>
          </w:p>
        </w:tc>
      </w:tr>
      <w:tr w:rsidR="00B11E76" w14:paraId="2926E7D4" w14:textId="77777777">
        <w:trPr>
          <w:cantSplit/>
          <w:trHeight w:hRule="exact" w:val="2835"/>
        </w:trPr>
        <w:tc>
          <w:tcPr>
            <w:tcW w:w="1276" w:type="dxa"/>
            <w:tcBorders>
              <w:top w:val="single" w:sz="4" w:space="0" w:color="auto"/>
              <w:bottom w:val="single" w:sz="12" w:space="0" w:color="auto"/>
            </w:tcBorders>
          </w:tcPr>
          <w:p w14:paraId="3ED6F86C" w14:textId="421324C3" w:rsidR="00E73B88" w:rsidRDefault="00E73B88">
            <w:pPr>
              <w:spacing w:before="120"/>
              <w:jc w:val="center"/>
            </w:pPr>
          </w:p>
        </w:tc>
        <w:tc>
          <w:tcPr>
            <w:tcW w:w="5528" w:type="dxa"/>
            <w:gridSpan w:val="2"/>
            <w:tcBorders>
              <w:top w:val="single" w:sz="4" w:space="0" w:color="auto"/>
              <w:bottom w:val="single" w:sz="12" w:space="0" w:color="auto"/>
            </w:tcBorders>
          </w:tcPr>
          <w:p w14:paraId="58051B9A" w14:textId="037F34A4" w:rsidR="00E73B88" w:rsidRDefault="00494D0B">
            <w:pPr>
              <w:spacing w:before="120" w:line="380" w:lineRule="exact"/>
            </w:pPr>
            <w:r>
              <w:rPr>
                <w:b/>
                <w:sz w:val="34"/>
                <w:szCs w:val="40"/>
              </w:rPr>
              <w:t>Advance Unedited Version</w:t>
            </w:r>
          </w:p>
        </w:tc>
        <w:tc>
          <w:tcPr>
            <w:tcW w:w="2835" w:type="dxa"/>
            <w:tcBorders>
              <w:top w:val="single" w:sz="4" w:space="0" w:color="auto"/>
              <w:bottom w:val="single" w:sz="12" w:space="0" w:color="auto"/>
            </w:tcBorders>
          </w:tcPr>
          <w:p w14:paraId="5700D104" w14:textId="77777777" w:rsidR="00E73B88" w:rsidRPr="00AE2F6E" w:rsidRDefault="00494D0B">
            <w:pPr>
              <w:suppressAutoHyphens w:val="0"/>
              <w:spacing w:before="240" w:line="240" w:lineRule="exact"/>
              <w:rPr>
                <w:lang w:val="en-US"/>
              </w:rPr>
            </w:pPr>
            <w:r w:rsidRPr="00AE2F6E">
              <w:rPr>
                <w:lang w:val="en-US"/>
              </w:rPr>
              <w:t>Distr.: General</w:t>
            </w:r>
          </w:p>
          <w:p w14:paraId="555F59C6" w14:textId="5B893251" w:rsidR="00E73B88" w:rsidRPr="00AE2F6E" w:rsidRDefault="00494D0B">
            <w:pPr>
              <w:suppressAutoHyphens w:val="0"/>
              <w:rPr>
                <w:lang w:val="en-US"/>
              </w:rPr>
            </w:pPr>
            <w:r w:rsidRPr="00AE2F6E">
              <w:rPr>
                <w:lang w:val="en-US"/>
              </w:rPr>
              <w:t>1</w:t>
            </w:r>
            <w:r w:rsidR="005F49FB">
              <w:rPr>
                <w:lang w:val="en-US"/>
              </w:rPr>
              <w:t>1</w:t>
            </w:r>
            <w:r w:rsidRPr="00AE2F6E">
              <w:rPr>
                <w:lang w:val="en-US"/>
              </w:rPr>
              <w:t xml:space="preserve"> August 2025</w:t>
            </w:r>
          </w:p>
          <w:p w14:paraId="4603DA2B" w14:textId="77777777" w:rsidR="00E73B88" w:rsidRPr="00AE2F6E" w:rsidRDefault="00E73B88">
            <w:pPr>
              <w:suppressAutoHyphens w:val="0"/>
              <w:rPr>
                <w:lang w:val="en-US"/>
              </w:rPr>
            </w:pPr>
          </w:p>
          <w:p w14:paraId="1CD58A46" w14:textId="77777777" w:rsidR="00E73B88" w:rsidRPr="00AE2F6E" w:rsidRDefault="00494D0B">
            <w:pPr>
              <w:suppressAutoHyphens w:val="0"/>
              <w:rPr>
                <w:lang w:val="en-US"/>
              </w:rPr>
            </w:pPr>
            <w:r w:rsidRPr="00AE2F6E">
              <w:rPr>
                <w:lang w:val="en-US"/>
              </w:rPr>
              <w:t>Original: English</w:t>
            </w:r>
          </w:p>
          <w:p w14:paraId="4726736D" w14:textId="77777777" w:rsidR="00E73B88" w:rsidRPr="00AE2F6E" w:rsidRDefault="00494D0B">
            <w:pPr>
              <w:suppressAutoHyphens w:val="0"/>
              <w:rPr>
                <w:lang w:val="en-US"/>
              </w:rPr>
            </w:pPr>
            <w:r w:rsidRPr="00AE2F6E">
              <w:rPr>
                <w:lang w:val="en-US"/>
              </w:rPr>
              <w:t>Arabic, English, French and Spanish only</w:t>
            </w:r>
          </w:p>
        </w:tc>
      </w:tr>
    </w:tbl>
    <w:p w14:paraId="54987194" w14:textId="77777777" w:rsidR="00E73B88" w:rsidRDefault="00494D0B">
      <w:pPr>
        <w:spacing w:before="120"/>
        <w:rPr>
          <w:b/>
          <w:sz w:val="24"/>
        </w:rPr>
      </w:pPr>
      <w:r>
        <w:rPr>
          <w:b/>
          <w:sz w:val="24"/>
        </w:rPr>
        <w:t>Committee on the Rights of Persons with Disabilities</w:t>
      </w:r>
    </w:p>
    <w:p w14:paraId="774A1221" w14:textId="77777777" w:rsidR="00E73B88" w:rsidRPr="00796C2B" w:rsidRDefault="00494D0B" w:rsidP="00796C2B">
      <w:pPr>
        <w:pStyle w:val="HMG"/>
        <w:rPr>
          <w:bCs/>
          <w:sz w:val="20"/>
        </w:rPr>
      </w:pPr>
      <w:r>
        <w:tab/>
      </w:r>
      <w:r>
        <w:tab/>
      </w:r>
      <w:r w:rsidR="00796C2B">
        <w:t>Information received from United Kingdom of Great Britain and Northern Ireland on follow-up to the concluding observations</w:t>
      </w:r>
      <w:r>
        <w:t xml:space="preserve"> on </w:t>
      </w:r>
      <w:r w:rsidR="00796C2B">
        <w:t>its</w:t>
      </w:r>
      <w:r>
        <w:t xml:space="preserve"> </w:t>
      </w:r>
      <w:r w:rsidR="00796C2B">
        <w:t>initial report</w:t>
      </w:r>
      <w:r>
        <w:rPr>
          <w:rStyle w:val="FootnoteReference"/>
          <w:b w:val="0"/>
          <w:bCs/>
          <w:sz w:val="20"/>
          <w:vertAlign w:val="baseline"/>
        </w:rPr>
        <w:footnoteReference w:customMarkFollows="1" w:id="2"/>
        <w:t>*</w:t>
      </w:r>
    </w:p>
    <w:p w14:paraId="6FA6743F" w14:textId="0C2BB8CB" w:rsidR="00E73B88" w:rsidRPr="00AE2F6E" w:rsidRDefault="006B5A58">
      <w:pPr>
        <w:pStyle w:val="SingleTxtG"/>
        <w:jc w:val="right"/>
      </w:pPr>
      <w:r w:rsidRPr="00AE2F6E">
        <w:t xml:space="preserve">[Date received: </w:t>
      </w:r>
      <w:r w:rsidR="00AE2F6E" w:rsidRPr="00AE2F6E">
        <w:t>11 August 2025</w:t>
      </w:r>
      <w:r w:rsidRPr="00AE2F6E">
        <w:t>]</w:t>
      </w:r>
    </w:p>
    <w:p w14:paraId="5DA643E1" w14:textId="045CFE0B" w:rsidR="00AE2F6E" w:rsidRDefault="00AE2F6E">
      <w:pPr>
        <w:suppressAutoHyphens w:val="0"/>
        <w:spacing w:after="200" w:line="276" w:lineRule="auto"/>
        <w:rPr>
          <w:rFonts w:eastAsiaTheme="minorHAnsi"/>
        </w:rPr>
      </w:pPr>
      <w:r>
        <w:br w:type="page"/>
      </w:r>
    </w:p>
    <w:p w14:paraId="7E8AAB9B" w14:textId="752C1C40" w:rsidR="00E73B88" w:rsidRDefault="00AE2F6E" w:rsidP="00AE2F6E">
      <w:pPr>
        <w:pStyle w:val="HChG"/>
        <w:numPr>
          <w:ilvl w:val="0"/>
          <w:numId w:val="24"/>
        </w:numPr>
      </w:pPr>
      <w:bookmarkStart w:id="0" w:name="_Hlk206496479"/>
      <w:r>
        <w:lastRenderedPageBreak/>
        <w:t>UK Government response to the questions raised by the UN Committee on the Rights of Persons with Disabilities concerning the Mental Health Bill</w:t>
      </w:r>
    </w:p>
    <w:bookmarkEnd w:id="0"/>
    <w:p w14:paraId="666F21E0" w14:textId="77777777" w:rsidR="00AE2F6E" w:rsidRDefault="00AE2F6E" w:rsidP="008556EB">
      <w:pPr>
        <w:pStyle w:val="SingleTxtG"/>
        <w:numPr>
          <w:ilvl w:val="0"/>
          <w:numId w:val="28"/>
        </w:numPr>
        <w:ind w:left="1134" w:firstLine="0"/>
      </w:pPr>
      <w:r>
        <w:t xml:space="preserve">The UK government is currently in the process of reforming the Mental Health Act 1983 which the government recognises is out of step with a modern mental health service (the Mental Health Act applies to England and Wales only). The Government is required to form a view on compliance with the United Nations Convention on the Rights of Persons with Disabilities (UNCRPD), and it is our view that the Mental Health Bill (the Bill), and the current Mental Health Act, is compatible. </w:t>
      </w:r>
    </w:p>
    <w:p w14:paraId="77D6479D" w14:textId="77777777" w:rsidR="00AE2F6E" w:rsidRDefault="00AE2F6E" w:rsidP="008556EB">
      <w:pPr>
        <w:pStyle w:val="SingleTxtG"/>
        <w:numPr>
          <w:ilvl w:val="0"/>
          <w:numId w:val="28"/>
        </w:numPr>
        <w:ind w:left="1134" w:firstLine="0"/>
      </w:pPr>
      <w:r>
        <w:t xml:space="preserve">The reforms take forward many of the recommendations made by Professor Sir Simon Wessely in the Independent Review of the Mental Health Act. This Review considered obligations under the UNCRPD as well as other international conventions ratified by the UK, which underpin many of their recommendations. </w:t>
      </w:r>
    </w:p>
    <w:p w14:paraId="242515E5" w14:textId="77777777" w:rsidR="00AE2F6E" w:rsidRDefault="00AE2F6E" w:rsidP="008556EB">
      <w:pPr>
        <w:pStyle w:val="SingleTxtG"/>
        <w:numPr>
          <w:ilvl w:val="0"/>
          <w:numId w:val="28"/>
        </w:numPr>
        <w:ind w:left="1134" w:firstLine="0"/>
      </w:pPr>
      <w:r>
        <w:t xml:space="preserve">The Bill proposes a number of measures aimed at improving patient choice and autonomy. For example, the Bill introduces a number of measures to help put the patient at the heart of clinical decision making, including providing for patients wishes and preferences, including those expressed via Advance Choice Documents, to be considered in care and treatment planning and clinical decision making, and replacing the outdated Nearest Relative system with a Nominated Person model. The Bill also increases family or carer involvement in clinical decision making and care planning, and the patient’s access to independent advocacy. </w:t>
      </w:r>
    </w:p>
    <w:p w14:paraId="64CF0628" w14:textId="7286457F" w:rsidR="00AE2F6E" w:rsidRDefault="00AE2F6E" w:rsidP="00AE2F6E">
      <w:pPr>
        <w:pStyle w:val="SingleTxtG"/>
      </w:pPr>
      <w:r>
        <w:t>Below we answer your specific queries.</w:t>
      </w:r>
    </w:p>
    <w:p w14:paraId="64EF8615" w14:textId="7CAD49AA" w:rsidR="00AE2F6E" w:rsidRDefault="00AE2F6E" w:rsidP="00AE2F6E">
      <w:pPr>
        <w:pStyle w:val="H23G"/>
      </w:pPr>
      <w:r>
        <w:tab/>
      </w:r>
      <w:r>
        <w:tab/>
      </w:r>
      <w:r>
        <w:t>The measures adopted to support removal of provisions allowing for deprivation of liberty of people with disabilities on the basis of actual/perceived impairment (even when in conjunction with ‘serious harm’ risks)</w:t>
      </w:r>
    </w:p>
    <w:p w14:paraId="0C9272B5" w14:textId="77777777" w:rsidR="00AE2F6E" w:rsidRDefault="00AE2F6E" w:rsidP="008556EB">
      <w:pPr>
        <w:pStyle w:val="SingleTxtG"/>
        <w:numPr>
          <w:ilvl w:val="0"/>
          <w:numId w:val="28"/>
        </w:numPr>
        <w:ind w:left="1134" w:firstLine="0"/>
      </w:pPr>
      <w:r>
        <w:t>As we have set out in previous correspondence, we are confident we are meeting our obligations under the UNCRPD.</w:t>
      </w:r>
    </w:p>
    <w:p w14:paraId="78823032" w14:textId="69473EA7" w:rsidR="00AE2F6E" w:rsidRDefault="00AE2F6E" w:rsidP="008556EB">
      <w:pPr>
        <w:pStyle w:val="SingleTxtG"/>
        <w:numPr>
          <w:ilvl w:val="0"/>
          <w:numId w:val="28"/>
        </w:numPr>
        <w:ind w:left="1134" w:firstLine="0"/>
      </w:pPr>
      <w:r>
        <w:t>The Bill clarifies that there must be a reasonable prospect that all patients, including those who come under Part III of the Act and in contact with the criminal justice system, receive therapeutic benefit from detention.</w:t>
      </w:r>
    </w:p>
    <w:p w14:paraId="1C370B20" w14:textId="12F756B4" w:rsidR="00AE2F6E" w:rsidRDefault="00AE2F6E" w:rsidP="008556EB">
      <w:pPr>
        <w:pStyle w:val="SingleTxtG"/>
        <w:numPr>
          <w:ilvl w:val="0"/>
          <w:numId w:val="28"/>
        </w:numPr>
        <w:ind w:left="1134" w:firstLine="0"/>
      </w:pPr>
      <w:r>
        <w:t>Detention under the Act is not merely based on the existence of impairment. Detention and other compulsory measures are only permitted where they are justified by the risk posed by a person's mental disorder, and where treatment can only be provided in hospital and alternatives to deprivation of have been considered. Risk in this context is not only risk to others but also risk to the person themselves. Simply having a mental disorder is not sufficient justification to deprive someone of liberty.</w:t>
      </w:r>
    </w:p>
    <w:p w14:paraId="16C11FBD" w14:textId="77777777" w:rsidR="00AE2F6E" w:rsidRDefault="00AE2F6E" w:rsidP="008556EB">
      <w:pPr>
        <w:pStyle w:val="SingleTxtG"/>
        <w:numPr>
          <w:ilvl w:val="0"/>
          <w:numId w:val="28"/>
        </w:numPr>
        <w:ind w:left="1134" w:firstLine="0"/>
      </w:pPr>
      <w:r w:rsidRPr="00AE2F6E">
        <w:t xml:space="preserve">Safeguards in the Act and those proposed in the Bill ensure that any detention is not arbitrary and complies with the law, namely the ECHR. The Bill also increases individuals’ rights to challenge their deprivation of liberty, including via the Mental Health Tribunal. </w:t>
      </w:r>
    </w:p>
    <w:p w14:paraId="645EC690" w14:textId="2DE073A4" w:rsidR="00AE2F6E" w:rsidRDefault="00AE2F6E" w:rsidP="008556EB">
      <w:pPr>
        <w:pStyle w:val="SingleTxtG"/>
        <w:numPr>
          <w:ilvl w:val="0"/>
          <w:numId w:val="28"/>
        </w:numPr>
        <w:ind w:left="1134" w:firstLine="0"/>
      </w:pPr>
      <w:r w:rsidRPr="00AE2F6E">
        <w:t>In taking forward the guiding principles from the Independent Review, we intend to make clear both in the Bill and in the Code of Practice that the least restrictive option for the patient should always be followed, and this is already a principle within the current Code of Practice.</w:t>
      </w:r>
    </w:p>
    <w:p w14:paraId="26248A10" w14:textId="64A0FDC4" w:rsidR="00AE2F6E" w:rsidRDefault="00AE2F6E" w:rsidP="00AE2F6E">
      <w:pPr>
        <w:pStyle w:val="H23G"/>
      </w:pPr>
      <w:r>
        <w:tab/>
      </w:r>
      <w:r>
        <w:tab/>
      </w:r>
      <w:r>
        <w:t>The measures adopted to support removal of references that portray people with disabilities as “patients”, ensuring the bill is consistent with the standard and principles of the Convention on the Rights of Persons with Disabilities –</w:t>
      </w:r>
    </w:p>
    <w:p w14:paraId="61100EE1" w14:textId="74EA8EBA" w:rsidR="00AE2F6E" w:rsidRDefault="00AE2F6E" w:rsidP="008556EB">
      <w:pPr>
        <w:pStyle w:val="SingleTxtG"/>
        <w:numPr>
          <w:ilvl w:val="0"/>
          <w:numId w:val="28"/>
        </w:numPr>
        <w:ind w:left="1134" w:firstLine="0"/>
      </w:pPr>
      <w:r>
        <w:t>The Act currently refers to the “patient” and the Bill does nothing to change this definition. The patient is defined in the Act as “a person suffering or appearing to be suffering from mental disorder”. Anyone who falls within that definition will be covered when subject to the Act, regardless of other disability.</w:t>
      </w:r>
    </w:p>
    <w:p w14:paraId="6B897ACE" w14:textId="3669647B" w:rsidR="00AE2F6E" w:rsidRDefault="00AE2F6E" w:rsidP="008556EB">
      <w:pPr>
        <w:pStyle w:val="SingleTxtG"/>
        <w:numPr>
          <w:ilvl w:val="0"/>
          <w:numId w:val="28"/>
        </w:numPr>
        <w:ind w:left="1134" w:firstLine="0"/>
      </w:pPr>
      <w:r>
        <w:lastRenderedPageBreak/>
        <w:t>We consider that both the Act and the Bill are consistent with the UNCRPD. Article 3 of the Convention sets out the principles of the Convention, which includes respect for difference, full and effective participation and inclusion in society, accessibility and equality of opportunities. These principles underpin key reforms in the Mental Health Bill. Furthermore, there are four new fundamental principles articulated in the Bill’s opening, which practitioners must take into account when making decisions under the Act. One of our four principles is the “person as an individual”, defined as “treating patients with dignity and respect and considering their attributes and past experiences”.</w:t>
      </w:r>
    </w:p>
    <w:p w14:paraId="6B29F70E" w14:textId="7FBB8C83" w:rsidR="00AE2F6E" w:rsidRDefault="00AE2F6E" w:rsidP="008556EB">
      <w:pPr>
        <w:pStyle w:val="SingleTxtG"/>
        <w:numPr>
          <w:ilvl w:val="0"/>
          <w:numId w:val="28"/>
        </w:numPr>
        <w:ind w:left="1134" w:firstLine="0"/>
      </w:pPr>
      <w:r w:rsidRPr="00AE2F6E">
        <w:t>The Bill introduces Care and Treatment Plans for all patients, that aim to ensure that patients have a clear and personalised strategy in place describing what is needed to progress them towards recovery and their timely discharge from the Act. The required contents of the plan are designed to comprehensively cover what is needed to ensure that the patient’s needs are met during and after their hospital stay, with the exact content requirements to be set out in regulations. Furthermore, the Bill includes a new clinical checklist that requires clinicians to take certain steps when deciding a patient’s treatment. For example, to support the patient to take part in decision making about their care, consider their wishes and feelings, including those</w:t>
      </w:r>
      <w:r>
        <w:t xml:space="preserve"> </w:t>
      </w:r>
      <w:r w:rsidRPr="00AE2F6E">
        <w:t>in an Advance Choice Document, and to not to make unjustified assumptions about the patient.</w:t>
      </w:r>
    </w:p>
    <w:p w14:paraId="0F469126" w14:textId="1B3F14C4" w:rsidR="00AE2F6E" w:rsidRDefault="00AE2F6E" w:rsidP="00AE2F6E">
      <w:pPr>
        <w:pStyle w:val="H23G"/>
      </w:pPr>
      <w:r>
        <w:tab/>
      </w:r>
      <w:r>
        <w:tab/>
      </w:r>
      <w:r>
        <w:t>The measures adopted to ensure provision of community based mental health care services, including to those with disabilities and based on the free consent of the person with disability concerned through supported decision making</w:t>
      </w:r>
    </w:p>
    <w:p w14:paraId="1988CCD8" w14:textId="51EB124B" w:rsidR="00AE2F6E" w:rsidRDefault="00AE2F6E" w:rsidP="008556EB">
      <w:pPr>
        <w:pStyle w:val="SingleTxtG"/>
        <w:numPr>
          <w:ilvl w:val="0"/>
          <w:numId w:val="28"/>
        </w:numPr>
        <w:ind w:left="1134" w:firstLine="0"/>
      </w:pPr>
      <w:r>
        <w:t>The Bill proposes changing how the Act applies to people with a learning disability and autistic people, limiting the scope to detain people under Part II, section 3 unless they have a co-occurring ‘psychiatric disorder’ that requires hospital treatment and meet the risk criteria. A psychiatric disorder is defined in the Bill as a mental disorder other than autism or learning disability. This reflects the particular needs of people with a learning disability and autistic people, recognising that inpatient settings are often overly restrictive and do not meet the sensory needs of individuals.</w:t>
      </w:r>
    </w:p>
    <w:p w14:paraId="4F11A0D2" w14:textId="7785E201" w:rsidR="00AE2F6E" w:rsidRDefault="00AE2F6E" w:rsidP="008556EB">
      <w:pPr>
        <w:pStyle w:val="SingleTxtG"/>
        <w:numPr>
          <w:ilvl w:val="0"/>
          <w:numId w:val="28"/>
        </w:numPr>
        <w:ind w:left="1134" w:firstLine="0"/>
      </w:pPr>
      <w:r w:rsidRPr="00AE2F6E">
        <w:t>The proposed changes to the detention criteria for people with a learning disability and autistic people will only be commenced when there are strong community services in place.</w:t>
      </w:r>
    </w:p>
    <w:p w14:paraId="06E2520B" w14:textId="0F4FB882" w:rsidR="00AE2F6E" w:rsidRDefault="00AE2F6E" w:rsidP="008556EB">
      <w:pPr>
        <w:pStyle w:val="SingleTxtG"/>
        <w:numPr>
          <w:ilvl w:val="0"/>
          <w:numId w:val="28"/>
        </w:numPr>
        <w:ind w:left="1134" w:firstLine="0"/>
      </w:pPr>
      <w:r w:rsidRPr="00AE2F6E">
        <w:t>In line with Article 19, which relates to the equal right of persons with disabilities to live in the community, the Bill introduces a package of measures to improve community support for people with a learning disability and autistic people, including:</w:t>
      </w:r>
    </w:p>
    <w:p w14:paraId="3C2BF9AE" w14:textId="77777777" w:rsidR="00AE2F6E" w:rsidRDefault="00AE2F6E" w:rsidP="008556EB">
      <w:pPr>
        <w:pStyle w:val="SingleTxtG"/>
        <w:numPr>
          <w:ilvl w:val="0"/>
          <w:numId w:val="25"/>
        </w:numPr>
        <w:tabs>
          <w:tab w:val="clear" w:pos="2835"/>
        </w:tabs>
        <w:ind w:left="1134" w:firstLine="567"/>
      </w:pPr>
      <w:r>
        <w:t xml:space="preserve">Putting Care (Education) and Treatment Reviews on a statutory footing so that a review is held following a patient’s admission to hospital and certain bodies have regard to its recommendations. This means they are to be followed unless there are good reasons not to do so. </w:t>
      </w:r>
    </w:p>
    <w:p w14:paraId="382D2764" w14:textId="2CBEE07A" w:rsidR="00AE2F6E" w:rsidRDefault="00AE2F6E" w:rsidP="008556EB">
      <w:pPr>
        <w:pStyle w:val="SingleTxtG"/>
        <w:numPr>
          <w:ilvl w:val="0"/>
          <w:numId w:val="25"/>
        </w:numPr>
        <w:tabs>
          <w:tab w:val="clear" w:pos="2835"/>
        </w:tabs>
        <w:ind w:left="1134" w:firstLine="567"/>
      </w:pPr>
      <w:r>
        <w:t xml:space="preserve">Placing a duty on Integrated Care Boards (ICBs), which are NHS organisations responsible for planning health services for their local population, to establish and maintain Dynamic Support Registers of those who have risk factors for detention under Part II of the Act. This is to improve monitoring of the needs of, and support for, people who may be at risk of going into crisis and being detained under the Act. </w:t>
      </w:r>
    </w:p>
    <w:p w14:paraId="4C8931A3" w14:textId="459BA46D" w:rsidR="00AE2F6E" w:rsidRDefault="00AE2F6E" w:rsidP="008556EB">
      <w:pPr>
        <w:pStyle w:val="SingleTxtG"/>
        <w:numPr>
          <w:ilvl w:val="0"/>
          <w:numId w:val="25"/>
        </w:numPr>
        <w:tabs>
          <w:tab w:val="clear" w:pos="2835"/>
        </w:tabs>
        <w:ind w:left="1134" w:firstLine="567"/>
      </w:pPr>
      <w:r>
        <w:t>Placing a duty on ICBs and local authorities to: have regard to information on the register when exercising their commissioning and market shaping functions respectively; and seek to ensure that the needs of people with a learning disability and autistic people can be met without detaining them under Part II of the Act.</w:t>
      </w:r>
    </w:p>
    <w:p w14:paraId="5EA7097A" w14:textId="0E2EEE8D" w:rsidR="00351302" w:rsidRDefault="00351302" w:rsidP="00351302">
      <w:pPr>
        <w:pStyle w:val="H23G"/>
      </w:pPr>
      <w:r>
        <w:tab/>
      </w:r>
      <w:r>
        <w:tab/>
      </w:r>
      <w:r>
        <w:t>Measures ensuring persons with disabilities and their representative organisations are closely consulted and involved in the drafting of legislation</w:t>
      </w:r>
    </w:p>
    <w:p w14:paraId="778F9266" w14:textId="5DD2F3B2" w:rsidR="00351302" w:rsidRDefault="00351302" w:rsidP="00862AB5">
      <w:pPr>
        <w:pStyle w:val="SingleTxtG"/>
        <w:numPr>
          <w:ilvl w:val="0"/>
          <w:numId w:val="28"/>
        </w:numPr>
        <w:ind w:left="1134" w:firstLine="0"/>
      </w:pPr>
      <w:r w:rsidRPr="00351302">
        <w:t xml:space="preserve">Mindful of the obligation in Article 4 to develop and implement legislation relating to people with disabilities, in consultation with representative bodies, the Bill has been developed with input from those with lived experience from the outset. This legislation was informed by the Independent Review into the Mental Health Act, chaired by Sir Simon </w:t>
      </w:r>
      <w:r w:rsidRPr="00351302">
        <w:lastRenderedPageBreak/>
        <w:t>Wessely, which was co-produced with people with lived</w:t>
      </w:r>
      <w:r>
        <w:t xml:space="preserve"> </w:t>
      </w:r>
      <w:r w:rsidRPr="00351302">
        <w:t>experience, and a public consultation on the Reforming the Mental Health Act White Paper. The public consultation received 1,119 individual responses, a significant proportion of whom said that they had experience of contact with mental health services, detention under the Act and/or were a carer for someone under the Act.</w:t>
      </w:r>
    </w:p>
    <w:p w14:paraId="2406A9C1" w14:textId="7D4A36D0" w:rsidR="00351302" w:rsidRDefault="00351302" w:rsidP="00862AB5">
      <w:pPr>
        <w:pStyle w:val="SingleTxtG"/>
        <w:numPr>
          <w:ilvl w:val="0"/>
          <w:numId w:val="28"/>
        </w:numPr>
        <w:ind w:left="1134" w:firstLine="0"/>
      </w:pPr>
      <w:r w:rsidRPr="00351302">
        <w:t>Alongside the consultation, 19 policy development workshops were held by Department of Health and Social Care, which included professionals, representatives from the charity sector and people with lived experience of the Act. The Government also commissioned charities, including Rethink Mental Illness and British Institute of Learning Disabilities (BILD) in collaboration with the Restraint Reduction Network (RRN), to hold focus groups to provide insights from those with lived experience. They engaged with around 250 people overall, including patients and people with lived experience of the Act. Individuals were also selected to ensure good representation in terms of age, geographical area, ethnicity and to ensure insights were gained from autistic people and people with a learning disability.</w:t>
      </w:r>
    </w:p>
    <w:p w14:paraId="5307956A" w14:textId="7681A9A0" w:rsidR="00351302" w:rsidRDefault="00351302" w:rsidP="00862AB5">
      <w:pPr>
        <w:pStyle w:val="SingleTxtG"/>
        <w:numPr>
          <w:ilvl w:val="0"/>
          <w:numId w:val="28"/>
        </w:numPr>
        <w:ind w:left="1134" w:firstLine="0"/>
      </w:pPr>
      <w:r w:rsidRPr="00351302">
        <w:t>The consultation response shaped the content of the draft Mental Health Bill, alongside insights gained through further engagement with external stakeholders, including those with lived experience, on specific policy questions. Once published, the draft Bill underwent Pre-Legislative Scrutiny. The Joint Pre-Legislative Scrutiny Committee launched a public consultation where people with lived experience provided written and oral evidence, which included organisations led by people with a learning disability and autistic people.</w:t>
      </w:r>
    </w:p>
    <w:p w14:paraId="29608CF1" w14:textId="2FF56CC2" w:rsidR="00351302" w:rsidRDefault="00351302" w:rsidP="00862AB5">
      <w:pPr>
        <w:pStyle w:val="SingleTxtG"/>
        <w:numPr>
          <w:ilvl w:val="0"/>
          <w:numId w:val="28"/>
        </w:numPr>
        <w:ind w:left="1134" w:firstLine="0"/>
      </w:pPr>
      <w:r w:rsidRPr="00351302">
        <w:t>We are confident that the reforms this legislation will deliver continue to promote the aims and principles of the UNCRPD and have been informed by those whose treatment it seeks to improve. After the Bill receives Royal Assent, the priority will be to draft and consult on the Code of Practice. We will engage with people with lived experience and their families and carers, staff and professional groups, commissioners, providers and others to do this</w:t>
      </w:r>
      <w:r>
        <w:t>.</w:t>
      </w:r>
    </w:p>
    <w:p w14:paraId="15EE28B6" w14:textId="7C2FC1FE" w:rsidR="00351302" w:rsidRDefault="00351302" w:rsidP="00351302">
      <w:pPr>
        <w:pStyle w:val="HChG"/>
      </w:pPr>
      <w:r>
        <w:tab/>
      </w:r>
      <w:r w:rsidRPr="00351302">
        <w:t>B.</w:t>
      </w:r>
      <w:r w:rsidRPr="00351302">
        <w:tab/>
        <w:t>UK</w:t>
      </w:r>
      <w:r>
        <w:t xml:space="preserve"> Government response to the questions raised by the UN Committee on the Rights of Persons with Disabilities concerning the </w:t>
      </w:r>
      <w:r>
        <w:t>UC PIP</w:t>
      </w:r>
    </w:p>
    <w:p w14:paraId="1FA11367" w14:textId="1906B5BC" w:rsidR="00351302" w:rsidRDefault="00351302" w:rsidP="00862AB5">
      <w:pPr>
        <w:pStyle w:val="SingleTxtG"/>
        <w:numPr>
          <w:ilvl w:val="0"/>
          <w:numId w:val="28"/>
        </w:numPr>
        <w:ind w:left="1134" w:firstLine="0"/>
      </w:pPr>
      <w:r w:rsidRPr="00351302">
        <w:t>The Government of the United Kingdom of Great Britain and Northern Ireland acknowledges receipt of the Note Verbale on 7 July 2025 containing 10 questions from the UN Committee on the Rights of Persons with Disabilities. This note responds to these questions.</w:t>
      </w:r>
    </w:p>
    <w:p w14:paraId="496CEE57" w14:textId="7B211409" w:rsidR="00351302" w:rsidRDefault="00351302" w:rsidP="00862AB5">
      <w:pPr>
        <w:pStyle w:val="SingleTxtG"/>
        <w:numPr>
          <w:ilvl w:val="0"/>
          <w:numId w:val="28"/>
        </w:numPr>
        <w:ind w:left="1134" w:firstLine="0"/>
      </w:pPr>
      <w:r w:rsidRPr="00351302">
        <w:t>The UK Government is committed to helping disabled people to fulfil their potential and play a full role in society. The reforms to the UK’s social security system set out in the Pathways to Work Green Paper and Universal Credit Bill are designed to support this ambition. This includes a commitment to replace the Work Capability Assessment with a single streamlined assessment, which the Committee recommended in its 2024 report.</w:t>
      </w:r>
    </w:p>
    <w:p w14:paraId="10B6FF35" w14:textId="684E7C19" w:rsidR="00351302" w:rsidRDefault="00351302" w:rsidP="00862AB5">
      <w:pPr>
        <w:pStyle w:val="SingleTxtG"/>
        <w:numPr>
          <w:ilvl w:val="0"/>
          <w:numId w:val="28"/>
        </w:numPr>
        <w:ind w:left="1134" w:firstLine="0"/>
      </w:pPr>
      <w:r w:rsidRPr="00351302">
        <w:t xml:space="preserve">Since the Committee issued its Note Verbale, the Government has made changes to the Bill in response to concerns raised about the pace of reform. The amendments included removing the proposed changes to the Personal Independence Payment eligibility </w:t>
      </w:r>
      <w:r w:rsidR="00510779" w:rsidRPr="00351302">
        <w:t>criteria and</w:t>
      </w:r>
      <w:r w:rsidRPr="00351302">
        <w:t xml:space="preserve"> increasing the protections for existing claimants of the health top-up of Universal Credit, as well as those meeting the Severe Conditions Criteria and those who qualify under Special Rules for End of Life.</w:t>
      </w:r>
    </w:p>
    <w:p w14:paraId="0E180E2A" w14:textId="17AA316A" w:rsidR="00351302" w:rsidRDefault="00891D55" w:rsidP="00891D55">
      <w:pPr>
        <w:pStyle w:val="H23G"/>
      </w:pPr>
      <w:r>
        <w:tab/>
        <w:t>1.</w:t>
      </w:r>
      <w:r>
        <w:tab/>
      </w:r>
      <w:r>
        <w:t>The extent to which an impact assessment has been carried out on the consequences of budget cuts introduced by the Bill on disability benefits</w:t>
      </w:r>
      <w:r>
        <w:t>.</w:t>
      </w:r>
    </w:p>
    <w:p w14:paraId="73D15D46" w14:textId="2EB8B2B0" w:rsidR="00891D55" w:rsidRDefault="00891D55" w:rsidP="00862AB5">
      <w:pPr>
        <w:pStyle w:val="SingleTxtG"/>
        <w:numPr>
          <w:ilvl w:val="0"/>
          <w:numId w:val="28"/>
        </w:numPr>
        <w:ind w:left="1134" w:firstLine="0"/>
      </w:pPr>
      <w:r w:rsidRPr="00891D55">
        <w:t xml:space="preserve">The UK Government published extensive </w:t>
      </w:r>
      <w:hyperlink r:id="rId10" w:history="1">
        <w:r w:rsidRPr="00891D55">
          <w:rPr>
            <w:rStyle w:val="Hyperlink"/>
            <w:u w:val="single"/>
          </w:rPr>
          <w:t>impact assessments</w:t>
        </w:r>
      </w:hyperlink>
      <w:r w:rsidRPr="00891D55">
        <w:t xml:space="preserve"> alongside this Bill as part of the UK’s parliamentary process for approving draft legislation. These set out who will be impacted, the financial implications of the changes and included an equality analysis (earlier analysis was also published for the wider package of Green Paper reforms alongside the Spring Statement). To account for the Government’s amendments to the Bill, the Bill </w:t>
      </w:r>
      <w:r w:rsidRPr="00891D55">
        <w:lastRenderedPageBreak/>
        <w:t>impact assessment (including an equality analysis) was revised and re-published on 7 July, ahead of Commons Committee Stage.</w:t>
      </w:r>
    </w:p>
    <w:p w14:paraId="68957E14" w14:textId="33FBD888" w:rsidR="00891D55" w:rsidRDefault="00891D55" w:rsidP="00891D55">
      <w:pPr>
        <w:pStyle w:val="H23G"/>
      </w:pPr>
      <w:r>
        <w:tab/>
        <w:t>2.</w:t>
      </w:r>
      <w:r>
        <w:tab/>
      </w:r>
      <w:r w:rsidRPr="00891D55">
        <w:t>The extent to which the measures envisaged by the Bill will impact, in particular, young persons, new claimants of disability benefits, women with disabilities, persons with disabilities with high level of supports, persons Page 2 of 5 with psychosocial disabilities, and persons with disabilities which require access to mental health care and support.</w:t>
      </w:r>
    </w:p>
    <w:p w14:paraId="7CD0AB98" w14:textId="0616E4D2" w:rsidR="00891D55" w:rsidRDefault="00891D55" w:rsidP="00862AB5">
      <w:pPr>
        <w:pStyle w:val="SingleTxtG"/>
        <w:numPr>
          <w:ilvl w:val="0"/>
          <w:numId w:val="28"/>
        </w:numPr>
        <w:ind w:left="1134" w:firstLine="0"/>
      </w:pPr>
      <w:r w:rsidRPr="00891D55">
        <w:t xml:space="preserve">We published </w:t>
      </w:r>
      <w:hyperlink r:id="rId11" w:history="1">
        <w:r w:rsidRPr="00891D55">
          <w:rPr>
            <w:rStyle w:val="Hyperlink"/>
            <w:u w:val="single"/>
          </w:rPr>
          <w:t>impact assessments</w:t>
        </w:r>
      </w:hyperlink>
      <w:r w:rsidRPr="00891D55">
        <w:t xml:space="preserve"> alongside this Bill in the usual way, upon introduction on 18 June. These set out who will be impacted, the financial implications of the changes and included an equality analysis (earlier analysis was also published for the wider package of Green Paper reforms alongside Spring Statement). To account for the changes to the Bill, the equality analysis was revised as part of the updated impact assessment, and re-published on 7 July, ahead of Commons Committee Stage.</w:t>
      </w:r>
    </w:p>
    <w:p w14:paraId="5357CEB3" w14:textId="07A477E7" w:rsidR="00891D55" w:rsidRDefault="00891D55" w:rsidP="00862AB5">
      <w:pPr>
        <w:pStyle w:val="SingleTxtG"/>
        <w:numPr>
          <w:ilvl w:val="0"/>
          <w:numId w:val="28"/>
        </w:numPr>
        <w:ind w:left="1134" w:firstLine="0"/>
      </w:pPr>
      <w:r w:rsidRPr="00891D55">
        <w:t>We do not forecast claimant volumes at primary health condition level, and are therefore unable to accurately estimate how many people are likely to be affected who have a mental health condition.</w:t>
      </w:r>
    </w:p>
    <w:p w14:paraId="0542FF2E" w14:textId="350F9779" w:rsidR="00891D55" w:rsidRDefault="00C50A7E" w:rsidP="00862AB5">
      <w:pPr>
        <w:pStyle w:val="SingleTxtG"/>
        <w:numPr>
          <w:ilvl w:val="0"/>
          <w:numId w:val="28"/>
        </w:numPr>
        <w:ind w:left="1134" w:firstLine="0"/>
      </w:pPr>
      <w:r w:rsidRPr="00C50A7E">
        <w:t>The UK Government has fulfilled its duties under the Public Sector Equality Duty to consider impacts before making policy decisions and will continue to do so.</w:t>
      </w:r>
    </w:p>
    <w:p w14:paraId="483FDFC1" w14:textId="0CB60D93" w:rsidR="00C50A7E" w:rsidRDefault="00C50A7E" w:rsidP="00C50A7E">
      <w:pPr>
        <w:pStyle w:val="H23G"/>
      </w:pPr>
      <w:r>
        <w:tab/>
        <w:t>3.</w:t>
      </w:r>
      <w:r>
        <w:tab/>
      </w:r>
      <w:r w:rsidRPr="00C50A7E">
        <w:t>The changes introduced by the Bill to the eligibility criteria of Personal Independent Payment, including changes to assessment thresholds and conditionality and sanctions for benefit recipients.</w:t>
      </w:r>
    </w:p>
    <w:p w14:paraId="348109F2" w14:textId="1B0548D5" w:rsidR="00C50A7E" w:rsidRDefault="00C50A7E" w:rsidP="00862AB5">
      <w:pPr>
        <w:pStyle w:val="SingleTxtG"/>
        <w:numPr>
          <w:ilvl w:val="0"/>
          <w:numId w:val="28"/>
        </w:numPr>
        <w:ind w:left="1134" w:firstLine="0"/>
      </w:pPr>
      <w:r w:rsidRPr="00C50A7E">
        <w:t>We have removed the Personal Independence Payment clauses from the Bill, so that this Bill will make no changes to the Personal Independence Payment’s eligibility criteria.</w:t>
      </w:r>
    </w:p>
    <w:p w14:paraId="7B648C64" w14:textId="696DF722" w:rsidR="00C50A7E" w:rsidRDefault="00C50A7E" w:rsidP="00C50A7E">
      <w:pPr>
        <w:pStyle w:val="H23G"/>
      </w:pPr>
      <w:r>
        <w:tab/>
        <w:t>4.</w:t>
      </w:r>
      <w:r>
        <w:tab/>
      </w:r>
      <w:r w:rsidRPr="00C50A7E">
        <w:t>The limitations to the Universal Credit Health element envisaged by the Bill.</w:t>
      </w:r>
    </w:p>
    <w:p w14:paraId="5ED18D73" w14:textId="25669265" w:rsidR="00C50A7E" w:rsidRDefault="00C50A7E" w:rsidP="00862AB5">
      <w:pPr>
        <w:pStyle w:val="SingleTxtG"/>
        <w:numPr>
          <w:ilvl w:val="0"/>
          <w:numId w:val="28"/>
        </w:numPr>
        <w:ind w:left="1134" w:firstLine="0"/>
      </w:pPr>
      <w:r w:rsidRPr="00C50A7E">
        <w:t>The Bill rebalances the standard allowance and health top-up payments in Universal Credit and ensures equivalent treatment in the legacy benefit income-related Employment and Support Allowance by delivering the first ever sustained, above</w:t>
      </w:r>
      <w:r w:rsidRPr="00C50A7E">
        <w:t>inflation rise to the Universal Credit standard allowance, and reducing the Universal Credit health top-up for new health claims to the equivalent of £50 per week from April 2026 and freezing this rate until the end of this Parliament.</w:t>
      </w:r>
    </w:p>
    <w:p w14:paraId="1BC6F087" w14:textId="28956E52" w:rsidR="00C50A7E" w:rsidRDefault="00C50A7E" w:rsidP="00862AB5">
      <w:pPr>
        <w:pStyle w:val="SingleTxtG"/>
        <w:numPr>
          <w:ilvl w:val="0"/>
          <w:numId w:val="28"/>
        </w:numPr>
        <w:ind w:left="1134" w:firstLine="0"/>
      </w:pPr>
      <w:r w:rsidRPr="00C50A7E">
        <w:t>The Bill also protects existing recipients of the Universal Credit health top-up and new claimants with severe conditions by providing for the Universal Credit rates to be adjusted each year so that existing recipients of the Universal Credit health top-up and any new claimant meeting the Severe Conditions Criteria – and those who qualify under Special Rules for End of Life – will see their combined rate of their Universal Credit standard allowance and health top-up rise at least in line with inflation.</w:t>
      </w:r>
    </w:p>
    <w:p w14:paraId="085331D0" w14:textId="331C4356" w:rsidR="00C50A7E" w:rsidRDefault="00C50A7E" w:rsidP="00C50A7E">
      <w:pPr>
        <w:pStyle w:val="H23G"/>
      </w:pPr>
      <w:r>
        <w:tab/>
        <w:t>5.</w:t>
      </w:r>
      <w:r>
        <w:tab/>
      </w:r>
      <w:r w:rsidRPr="00C50A7E">
        <w:t>Any measures to address the foreseeable risk of increasing poverty rates amongst persons with disabilities if cuts are approved.</w:t>
      </w:r>
    </w:p>
    <w:p w14:paraId="3F5ECF7A" w14:textId="2CFF81C4" w:rsidR="00C50A7E" w:rsidRDefault="00C50A7E" w:rsidP="00862AB5">
      <w:pPr>
        <w:pStyle w:val="SingleTxtG"/>
        <w:numPr>
          <w:ilvl w:val="0"/>
          <w:numId w:val="28"/>
        </w:numPr>
        <w:ind w:left="1134" w:firstLine="0"/>
      </w:pPr>
      <w:r w:rsidRPr="00C50A7E">
        <w:t>We have published a revised estimate of the poverty impacts of the package of benefit changes announced at Spring Statement, with revisions to reflect the amended Bill.</w:t>
      </w:r>
    </w:p>
    <w:p w14:paraId="3F8CC2C5" w14:textId="7AC3D951" w:rsidR="00C50A7E" w:rsidRDefault="00C50A7E" w:rsidP="00862AB5">
      <w:pPr>
        <w:pStyle w:val="SingleTxtG"/>
        <w:numPr>
          <w:ilvl w:val="0"/>
          <w:numId w:val="28"/>
        </w:numPr>
        <w:ind w:left="1134" w:firstLine="0"/>
      </w:pPr>
      <w:hyperlink r:id="rId12" w:history="1">
        <w:r w:rsidRPr="00C50A7E">
          <w:rPr>
            <w:rStyle w:val="Hyperlink"/>
            <w:u w:val="single"/>
          </w:rPr>
          <w:t>[Spring statement social security changes – updated impact on poverty levels in Great Britain, July 2025]</w:t>
        </w:r>
      </w:hyperlink>
      <w:r>
        <w:t>. This estimates that there will be 50,000 fewer individuals in relative poverty after housing costs in 2029-30 as a result of the changes. This includes a reduction in poverty for both children and working age individuals. The impact on the number of pensioners in poverty rounds to zero.</w:t>
      </w:r>
    </w:p>
    <w:p w14:paraId="0D84CC11" w14:textId="0C0B742F" w:rsidR="00C50A7E" w:rsidRDefault="00C50A7E" w:rsidP="00862AB5">
      <w:pPr>
        <w:pStyle w:val="SingleTxtG"/>
        <w:numPr>
          <w:ilvl w:val="0"/>
          <w:numId w:val="28"/>
        </w:numPr>
        <w:ind w:left="1134" w:firstLine="0"/>
      </w:pPr>
      <w:r w:rsidRPr="00C50A7E">
        <w:t>The impact assessment does not factor in our total £3.8 billion investment in employment support for disabled people and those with health conditions across this Parliament – which will provide essential support for people into work and out of poverty.</w:t>
      </w:r>
    </w:p>
    <w:p w14:paraId="035D61CC" w14:textId="77777777" w:rsidR="00C50A7E" w:rsidRDefault="00C50A7E">
      <w:pPr>
        <w:suppressAutoHyphens w:val="0"/>
        <w:spacing w:after="200" w:line="276" w:lineRule="auto"/>
        <w:rPr>
          <w:rFonts w:eastAsiaTheme="minorHAnsi"/>
          <w:b/>
        </w:rPr>
      </w:pPr>
      <w:r>
        <w:br w:type="page"/>
      </w:r>
    </w:p>
    <w:p w14:paraId="6C40E8CB" w14:textId="4115FB7B" w:rsidR="00C50A7E" w:rsidRDefault="00C50A7E" w:rsidP="00C50A7E">
      <w:pPr>
        <w:pStyle w:val="H23G"/>
      </w:pPr>
      <w:r>
        <w:lastRenderedPageBreak/>
        <w:tab/>
        <w:t>6.</w:t>
      </w:r>
      <w:r>
        <w:tab/>
      </w:r>
      <w:r w:rsidRPr="00C50A7E">
        <w:t>The consultation to the Government Green Paper ‘Pathways to Work’, released on 18 March 2025, only to 10 out of the 22 policy changes proposed.</w:t>
      </w:r>
    </w:p>
    <w:p w14:paraId="66AAB948" w14:textId="1A51FE88" w:rsidR="00C50A7E" w:rsidRDefault="00C50A7E" w:rsidP="00862AB5">
      <w:pPr>
        <w:pStyle w:val="SingleTxtG"/>
        <w:numPr>
          <w:ilvl w:val="0"/>
          <w:numId w:val="28"/>
        </w:numPr>
        <w:ind w:left="1134" w:firstLine="0"/>
      </w:pPr>
      <w:r w:rsidRPr="00C50A7E">
        <w:t>The Green Paper consulted on many of the central elements of the reform package, including employment support, Access to Work and a new Unemployment Insurance.</w:t>
      </w:r>
    </w:p>
    <w:p w14:paraId="4E653C9C" w14:textId="330BB777" w:rsidR="00C50A7E" w:rsidRDefault="00C50A7E" w:rsidP="00862AB5">
      <w:pPr>
        <w:pStyle w:val="SingleTxtG"/>
        <w:numPr>
          <w:ilvl w:val="0"/>
          <w:numId w:val="28"/>
        </w:numPr>
        <w:ind w:left="1134" w:firstLine="0"/>
      </w:pPr>
      <w:r w:rsidRPr="00C50A7E">
        <w:t>We included some reforms in the Green Paper that were not part of the consultation so that readers could see the proposals in their wider context and provide more informed views. The Green Paper was clear on which proposals were and were not subject to consultation. These included the changes delivered in the Universal Credit Bill, which are needed urgently to increase the adequacy of the Universal Credit standard allowance and tackle perverse incentives that drive people into dependency. The UK Parliament had the opportunity to fully debate, scrutinise, vote on and propose amendments to the reforms.</w:t>
      </w:r>
    </w:p>
    <w:p w14:paraId="263170C7" w14:textId="69BE8EB0" w:rsidR="00C50A7E" w:rsidRDefault="00C50A7E" w:rsidP="00C50A7E">
      <w:pPr>
        <w:pStyle w:val="H23G"/>
      </w:pPr>
      <w:r>
        <w:tab/>
        <w:t>7.</w:t>
      </w:r>
      <w:r>
        <w:tab/>
      </w:r>
      <w:r w:rsidRPr="00C50A7E">
        <w:t>The extent to which persons with disabilities and their representative organizations, including deaf persons and their representative organizations have been closely consulted and actively involved in the drafting of the Bill and the parliamentary process for the consideration of the Bill.</w:t>
      </w:r>
    </w:p>
    <w:p w14:paraId="7644C992" w14:textId="2C7EB71F" w:rsidR="00C50A7E" w:rsidRDefault="00C50A7E" w:rsidP="00862AB5">
      <w:pPr>
        <w:pStyle w:val="SingleTxtG"/>
        <w:numPr>
          <w:ilvl w:val="0"/>
          <w:numId w:val="28"/>
        </w:numPr>
        <w:ind w:left="1134" w:firstLine="0"/>
      </w:pPr>
      <w:r w:rsidRPr="00C50A7E">
        <w:t>Members of the UK Parliament, acting on behalf of their constituents including disabled people and those with health conditions, have had the opportunity to fully debate, scrutinise, vote on and propose amendments to the Universal Credit Bill.</w:t>
      </w:r>
    </w:p>
    <w:p w14:paraId="08BCD3D5" w14:textId="094A372C" w:rsidR="00C50A7E" w:rsidRDefault="00C50A7E" w:rsidP="00862AB5">
      <w:pPr>
        <w:pStyle w:val="SingleTxtG"/>
        <w:numPr>
          <w:ilvl w:val="0"/>
          <w:numId w:val="28"/>
        </w:numPr>
        <w:ind w:left="1134" w:firstLine="0"/>
      </w:pPr>
      <w:r w:rsidRPr="00C50A7E">
        <w:t>As mentioned in our response to Question 3, we have listened to concerns, and as a result, we removed the Personal Independence Payment clauses from the Bill, so that this Bill will make no changes to the Personal Independence Payment’s eligibility criteria. We will now move straight to a comprehensive review of the PIP assessment: co-produced with disabled people, along with the organisations that represent them, experts, MPs and other stakeholders.</w:t>
      </w:r>
    </w:p>
    <w:p w14:paraId="69D116A9" w14:textId="1182E102" w:rsidR="00C50A7E" w:rsidRDefault="00C50A7E" w:rsidP="00862AB5">
      <w:pPr>
        <w:pStyle w:val="SingleTxtG"/>
        <w:numPr>
          <w:ilvl w:val="0"/>
          <w:numId w:val="28"/>
        </w:numPr>
        <w:ind w:left="1134" w:firstLine="0"/>
      </w:pPr>
      <w:r w:rsidRPr="00C50A7E">
        <w:t>This is in addition to the extensive public consultation on key measures within the Pathways to Work Green Paper. We provided a full suite of accessible formats to enable as many people as possible to consider our Green Paper and ran a programme of 18 public events across the UK and virtually to further facilitate input. The</w:t>
      </w:r>
      <w:r>
        <w:t xml:space="preserve"> </w:t>
      </w:r>
      <w:r w:rsidRPr="00C50A7E">
        <w:t>consultation received over 45,000 responses and a wide range of voices responded, including many people who identify as disabled.</w:t>
      </w:r>
    </w:p>
    <w:p w14:paraId="26D1E8B6" w14:textId="08858C1A" w:rsidR="00C50A7E" w:rsidRDefault="00C50A7E" w:rsidP="00C50A7E">
      <w:pPr>
        <w:pStyle w:val="H23G"/>
      </w:pPr>
      <w:r>
        <w:tab/>
        <w:t>8.</w:t>
      </w:r>
      <w:r>
        <w:tab/>
      </w:r>
      <w:r w:rsidRPr="00C50A7E">
        <w:t>Limited scrutiny of the Bill by the House of Lords as the former has been considered by the Government as a “Money Bill”.</w:t>
      </w:r>
    </w:p>
    <w:p w14:paraId="23AAF729" w14:textId="5A550BA3" w:rsidR="00C50A7E" w:rsidRDefault="00C50A7E" w:rsidP="00862AB5">
      <w:pPr>
        <w:pStyle w:val="SingleTxtG"/>
        <w:numPr>
          <w:ilvl w:val="0"/>
          <w:numId w:val="28"/>
        </w:numPr>
        <w:ind w:left="1134" w:firstLine="0"/>
      </w:pPr>
      <w:r w:rsidRPr="00C50A7E">
        <w:t>The Government does not decide whether a Bill is a "Money Bill". The Speaker of the House of Commons makes that determination under the terms of the Parliament Act 1911 which sets out the test for whether as a matter of fact a Bill is a Money Bill. This reflects the long established constitutional principle in the United Kingdom that it is the elected chamber (the House of Commons) that has primacy in relation to taxation and public spending.</w:t>
      </w:r>
    </w:p>
    <w:p w14:paraId="6EF6AD13" w14:textId="291F280D" w:rsidR="00C50A7E" w:rsidRDefault="00C50A7E" w:rsidP="00862AB5">
      <w:pPr>
        <w:pStyle w:val="SingleTxtG"/>
        <w:numPr>
          <w:ilvl w:val="0"/>
          <w:numId w:val="28"/>
        </w:numPr>
        <w:ind w:left="1134" w:firstLine="0"/>
      </w:pPr>
      <w:r w:rsidRPr="00C50A7E">
        <w:t>The certification of a Money Bill does not prevent its consideration by the House of Lords. Indeed this Bill was debated and passed by the House of Lords on 22 July 2025</w:t>
      </w:r>
      <w:r>
        <w:t>.</w:t>
      </w:r>
    </w:p>
    <w:p w14:paraId="401174CB" w14:textId="642E8B4E" w:rsidR="00C50A7E" w:rsidRDefault="00C50A7E" w:rsidP="00C50A7E">
      <w:pPr>
        <w:pStyle w:val="H23G"/>
      </w:pPr>
      <w:r>
        <w:tab/>
        <w:t>9.</w:t>
      </w:r>
      <w:r>
        <w:tab/>
      </w:r>
      <w:r w:rsidRPr="00C50A7E">
        <w:t>Public statements by politicians and authorities portraying persons with disabilities as making profit off social benefits, making false statements to get social and disability benefits or being a burden to society.</w:t>
      </w:r>
    </w:p>
    <w:p w14:paraId="52FFA55F" w14:textId="71205782" w:rsidR="00C50A7E" w:rsidRDefault="00C50A7E" w:rsidP="00862AB5">
      <w:pPr>
        <w:pStyle w:val="SingleTxtG"/>
        <w:numPr>
          <w:ilvl w:val="0"/>
          <w:numId w:val="28"/>
        </w:numPr>
        <w:ind w:left="1134" w:firstLine="0"/>
      </w:pPr>
      <w:r w:rsidRPr="00C50A7E">
        <w:t>We do not recognise this statement. The UK Government strongly values disabled people and is committed to championing them. That is why every government department has a lead Minister for Disability to represent the interests of disabled people and champion disability inclusion and accessibility. As we drive forward progress on the Government’s manifesto commitments and five missions, we will continue to champion the rights of disabled people and people with long-term health conditions.</w:t>
      </w:r>
    </w:p>
    <w:p w14:paraId="36BE6482" w14:textId="77777777" w:rsidR="00C50A7E" w:rsidRDefault="00C50A7E">
      <w:pPr>
        <w:suppressAutoHyphens w:val="0"/>
        <w:spacing w:after="200" w:line="276" w:lineRule="auto"/>
        <w:rPr>
          <w:rFonts w:eastAsiaTheme="minorHAnsi"/>
          <w:b/>
        </w:rPr>
      </w:pPr>
      <w:r>
        <w:br w:type="page"/>
      </w:r>
    </w:p>
    <w:p w14:paraId="25E5F0F4" w14:textId="6B40F9DC" w:rsidR="00C50A7E" w:rsidRDefault="00C50A7E" w:rsidP="00C50A7E">
      <w:pPr>
        <w:pStyle w:val="H23G"/>
      </w:pPr>
      <w:r>
        <w:lastRenderedPageBreak/>
        <w:tab/>
        <w:t>10.</w:t>
      </w:r>
      <w:r>
        <w:tab/>
      </w:r>
      <w:r w:rsidRPr="00C50A7E">
        <w:t>The extent to which other intended Bills, such as PAFER, would allow the Department of Work and Pensions to monitor the bank accounts of universal credit recipients with algorithms scanning for fraud.</w:t>
      </w:r>
    </w:p>
    <w:p w14:paraId="38E5894F" w14:textId="6977A86B" w:rsidR="00C50A7E" w:rsidRDefault="00510779" w:rsidP="00862AB5">
      <w:pPr>
        <w:pStyle w:val="SingleTxtG"/>
        <w:numPr>
          <w:ilvl w:val="0"/>
          <w:numId w:val="28"/>
        </w:numPr>
        <w:ind w:left="1134" w:firstLine="0"/>
      </w:pPr>
      <w:r w:rsidRPr="00510779">
        <w:t>The Public Authorities (Fraud, Error and Recovery) Bill will safeguard public money by reducing public sector fraud, error and debt. The Bill includes powers to better identify, prevent and deter public sector fraud and error and enable more effective recovery of public money that has been stolen or overpaid.</w:t>
      </w:r>
    </w:p>
    <w:p w14:paraId="58AAC22B" w14:textId="094155CA" w:rsidR="00510779" w:rsidRDefault="00510779" w:rsidP="00862AB5">
      <w:pPr>
        <w:pStyle w:val="SingleTxtG"/>
        <w:numPr>
          <w:ilvl w:val="0"/>
          <w:numId w:val="28"/>
        </w:numPr>
        <w:ind w:left="1134" w:firstLine="0"/>
      </w:pPr>
      <w:r w:rsidRPr="00510779">
        <w:t>The Eligibility Verification Measure (EVM) within the Bill will require banks and other financial institutions to examine their own datasets and provide limited data to help DWP identify where someone may not be meeting the eligibility criteria of the benefit they are receiving. This will ensure errors are corrected more quickly, preventing debt accruing.</w:t>
      </w:r>
    </w:p>
    <w:p w14:paraId="2047ED98" w14:textId="2D64252C" w:rsidR="00510779" w:rsidRDefault="00510779" w:rsidP="00862AB5">
      <w:pPr>
        <w:pStyle w:val="SingleTxtG"/>
        <w:numPr>
          <w:ilvl w:val="0"/>
          <w:numId w:val="28"/>
        </w:numPr>
        <w:ind w:left="1134" w:firstLine="0"/>
      </w:pPr>
      <w:r w:rsidRPr="00510779">
        <w:t>Legislation underpinning the EVM is very tightly defined and limits the purpose of the data request, restricts the organisations from which the Government can require information, and prescribes clearly what can and cannot be shared</w:t>
      </w:r>
      <w:r>
        <w:t>.</w:t>
      </w:r>
    </w:p>
    <w:p w14:paraId="019E4E35" w14:textId="0D94F144" w:rsidR="00510779" w:rsidRDefault="00510779" w:rsidP="00862AB5">
      <w:pPr>
        <w:pStyle w:val="SingleTxtG"/>
        <w:numPr>
          <w:ilvl w:val="0"/>
          <w:numId w:val="28"/>
        </w:numPr>
        <w:ind w:left="1134" w:firstLine="0"/>
      </w:pPr>
      <w:r w:rsidRPr="00510779">
        <w:t xml:space="preserve">DWP </w:t>
      </w:r>
      <w:r w:rsidRPr="00510779">
        <w:rPr>
          <w:b/>
          <w:bCs/>
        </w:rPr>
        <w:t xml:space="preserve">will not have any access to a claimants’ bank account </w:t>
      </w:r>
      <w:r w:rsidRPr="00510779">
        <w:t>through this measure. EVM will enable DWP to request only limited data relevant to how the account meets the eligibility indicators for benefits and this will be considered by DWP, along with other information held on the claimant, to determine whether further inquiry is needed.</w:t>
      </w:r>
    </w:p>
    <w:p w14:paraId="7A90B4C5" w14:textId="1C73D77D" w:rsidR="00510779" w:rsidRPr="00510779" w:rsidRDefault="00510779" w:rsidP="00510779">
      <w:pPr>
        <w:pStyle w:val="SingleTxtG"/>
        <w:spacing w:before="240" w:after="0"/>
        <w:jc w:val="center"/>
        <w:rPr>
          <w:u w:val="single"/>
        </w:rPr>
      </w:pPr>
      <w:r>
        <w:rPr>
          <w:u w:val="single"/>
        </w:rPr>
        <w:tab/>
      </w:r>
      <w:r>
        <w:rPr>
          <w:u w:val="single"/>
        </w:rPr>
        <w:tab/>
      </w:r>
      <w:r>
        <w:rPr>
          <w:u w:val="single"/>
        </w:rPr>
        <w:tab/>
      </w:r>
    </w:p>
    <w:sectPr w:rsidR="00510779" w:rsidRPr="00510779">
      <w:headerReference w:type="even" r:id="rId13"/>
      <w:headerReference w:type="default" r:id="rId14"/>
      <w:footerReference w:type="even" r:id="rId15"/>
      <w:footerReference w:type="default" r:id="rId16"/>
      <w:headerReference w:type="firs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24C41E" w14:textId="77777777" w:rsidR="00561D2F" w:rsidRDefault="00561D2F"/>
  </w:endnote>
  <w:endnote w:type="continuationSeparator" w:id="0">
    <w:p w14:paraId="5079E772" w14:textId="77777777" w:rsidR="00561D2F" w:rsidRDefault="00561D2F">
      <w:pPr>
        <w:pStyle w:val="Footer"/>
      </w:pPr>
    </w:p>
  </w:endnote>
  <w:endnote w:type="continuationNotice" w:id="1">
    <w:p w14:paraId="6E196823" w14:textId="77777777" w:rsidR="00561D2F" w:rsidRDefault="00561D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4713D" w14:textId="77777777" w:rsidR="00E73B88" w:rsidRDefault="00494D0B">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8341E4">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A6A13" w14:textId="77777777" w:rsidR="00E73B88" w:rsidRDefault="006B5A58">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E7862" w14:textId="0186F708" w:rsidR="00E73B88" w:rsidRDefault="00494D0B">
    <w:pPr>
      <w:pStyle w:val="Footer"/>
      <w:spacing w:before="120"/>
      <w:rPr>
        <w:noProof/>
        <w:sz w:val="20"/>
        <w:lang w:eastAsia="fr-FR"/>
      </w:rPr>
    </w:pPr>
    <w:r>
      <w:rPr>
        <w:noProof/>
        <w:sz w:val="20"/>
        <w:lang w:val="fr-CH" w:eastAsia="fr-CH"/>
      </w:rPr>
      <w:drawing>
        <wp:anchor distT="0" distB="0" distL="114300" distR="114300" simplePos="0" relativeHeight="251658240" behindDoc="0" locked="1" layoutInCell="1" allowOverlap="1" wp14:anchorId="0A865F4B" wp14:editId="60028015">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sidR="00862D69">
      <w:rPr>
        <w:sz w:val="20"/>
      </w:rPr>
      <w:t>25-</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B11E76" w14:paraId="4D5D1785" w14:textId="77777777">
      <w:tc>
        <w:tcPr>
          <w:tcW w:w="1848" w:type="dxa"/>
          <w:vAlign w:val="bottom"/>
        </w:tcPr>
        <w:p w14:paraId="440D22DD" w14:textId="77777777" w:rsidR="00E73B88" w:rsidRDefault="00494D0B">
          <w:pPr>
            <w:pStyle w:val="Footer"/>
            <w:spacing w:before="120" w:after="120"/>
            <w:jc w:val="right"/>
          </w:pPr>
          <w:r>
            <w:rPr>
              <w:noProof/>
              <w:sz w:val="20"/>
              <w:lang w:val="fr-CH" w:eastAsia="fr-CH"/>
            </w:rPr>
            <w:drawing>
              <wp:inline distT="0" distB="0" distL="0" distR="0" wp14:anchorId="5AF89C8A" wp14:editId="0E9A3E17">
                <wp:extent cx="931545" cy="232410"/>
                <wp:effectExtent l="0" t="0" r="1905" b="0"/>
                <wp:docPr id="4"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46FF5B44" w14:textId="77777777" w:rsidR="00E73B88" w:rsidRDefault="00E73B88">
          <w:pPr>
            <w:pStyle w:val="Footer"/>
            <w:jc w:val="right"/>
          </w:pPr>
        </w:p>
      </w:tc>
    </w:tr>
  </w:tbl>
  <w:p w14:paraId="075C1EAA" w14:textId="77777777" w:rsidR="00E73B88" w:rsidRDefault="00E73B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E182EF" w14:textId="77777777" w:rsidR="00561D2F" w:rsidRDefault="00494D0B">
      <w:pPr>
        <w:pStyle w:val="Footer"/>
        <w:tabs>
          <w:tab w:val="right" w:pos="2155"/>
        </w:tabs>
        <w:spacing w:after="80" w:line="240" w:lineRule="atLeast"/>
        <w:ind w:left="680"/>
        <w:rPr>
          <w:u w:val="single"/>
        </w:rPr>
      </w:pPr>
      <w:r>
        <w:rPr>
          <w:u w:val="single"/>
        </w:rPr>
        <w:tab/>
      </w:r>
    </w:p>
  </w:footnote>
  <w:footnote w:type="continuationSeparator" w:id="0">
    <w:p w14:paraId="6A3E7DBF" w14:textId="77777777" w:rsidR="00561D2F" w:rsidRDefault="00494D0B">
      <w:pPr>
        <w:pStyle w:val="Footer"/>
        <w:tabs>
          <w:tab w:val="right" w:pos="2155"/>
        </w:tabs>
        <w:spacing w:after="80" w:line="240" w:lineRule="atLeast"/>
        <w:ind w:left="680"/>
        <w:rPr>
          <w:u w:val="single"/>
        </w:rPr>
      </w:pPr>
      <w:r>
        <w:rPr>
          <w:u w:val="single"/>
        </w:rPr>
        <w:tab/>
      </w:r>
    </w:p>
  </w:footnote>
  <w:footnote w:type="continuationNotice" w:id="1">
    <w:p w14:paraId="74DC958E" w14:textId="77777777" w:rsidR="00561D2F" w:rsidRDefault="00561D2F">
      <w:pPr>
        <w:rPr>
          <w:sz w:val="2"/>
          <w:szCs w:val="2"/>
        </w:rPr>
      </w:pPr>
    </w:p>
  </w:footnote>
  <w:footnote w:id="2">
    <w:p w14:paraId="4E4CB7AB" w14:textId="77777777" w:rsidR="00796C2B" w:rsidRPr="00AE06F6" w:rsidRDefault="00494D0B" w:rsidP="00796C2B">
      <w:pPr>
        <w:pStyle w:val="FootnoteText"/>
      </w:pPr>
      <w:r>
        <w:tab/>
      </w:r>
      <w:r w:rsidRPr="00AE06F6">
        <w:rPr>
          <w:rStyle w:val="FootnoteReference"/>
          <w:sz w:val="20"/>
        </w:rPr>
        <w:t>*</w:t>
      </w:r>
      <w:r>
        <w:tab/>
      </w:r>
      <w:r w:rsidRPr="00AE06F6">
        <w:t xml:space="preserve">The present document is being issued </w:t>
      </w:r>
      <w:r w:rsidRPr="002D49F6">
        <w:t>without</w:t>
      </w:r>
      <w:r w:rsidRPr="00AE06F6">
        <w:t xml:space="preserve">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D8C11" w14:textId="77777777" w:rsidR="00E73B88" w:rsidRDefault="006B5A58">
    <w:pPr>
      <w:pStyle w:val="Header"/>
    </w:pPr>
    <w:r>
      <w:t>CRPD/C/GBR/FCO/1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29F3B" w14:textId="77777777" w:rsidR="00E73B88" w:rsidRDefault="006B5A58">
    <w:pPr>
      <w:pStyle w:val="Header"/>
      <w:jc w:val="right"/>
    </w:pPr>
    <w:r>
      <w:t>CRPD/C/GBR/FCO/1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66CF0" w14:textId="77777777" w:rsidR="00E73B88" w:rsidRDefault="00E73B88">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02CAFA0">
      <w:start w:val="1"/>
      <w:numFmt w:val="decimal"/>
      <w:lvlText w:val="%1."/>
      <w:lvlJc w:val="left"/>
      <w:pPr>
        <w:tabs>
          <w:tab w:val="num" w:pos="0"/>
        </w:tabs>
        <w:ind w:left="1134" w:firstLine="0"/>
      </w:pPr>
      <w:rPr>
        <w:rFonts w:ascii="Times New Roman" w:hAnsi="Times New Roman" w:hint="default"/>
        <w:b w:val="0"/>
        <w:i w:val="0"/>
        <w:sz w:val="20"/>
      </w:rPr>
    </w:lvl>
    <w:lvl w:ilvl="1" w:tplc="3BC2D664" w:tentative="1">
      <w:start w:val="1"/>
      <w:numFmt w:val="lowerLetter"/>
      <w:lvlText w:val="%2."/>
      <w:lvlJc w:val="left"/>
      <w:pPr>
        <w:tabs>
          <w:tab w:val="num" w:pos="1440"/>
        </w:tabs>
        <w:ind w:left="1440" w:hanging="360"/>
      </w:pPr>
    </w:lvl>
    <w:lvl w:ilvl="2" w:tplc="5164D782" w:tentative="1">
      <w:start w:val="1"/>
      <w:numFmt w:val="lowerRoman"/>
      <w:lvlText w:val="%3."/>
      <w:lvlJc w:val="right"/>
      <w:pPr>
        <w:tabs>
          <w:tab w:val="num" w:pos="2160"/>
        </w:tabs>
        <w:ind w:left="2160" w:hanging="180"/>
      </w:pPr>
    </w:lvl>
    <w:lvl w:ilvl="3" w:tplc="546631C2" w:tentative="1">
      <w:start w:val="1"/>
      <w:numFmt w:val="decimal"/>
      <w:lvlText w:val="%4."/>
      <w:lvlJc w:val="left"/>
      <w:pPr>
        <w:tabs>
          <w:tab w:val="num" w:pos="2880"/>
        </w:tabs>
        <w:ind w:left="2880" w:hanging="360"/>
      </w:pPr>
    </w:lvl>
    <w:lvl w:ilvl="4" w:tplc="51580942" w:tentative="1">
      <w:start w:val="1"/>
      <w:numFmt w:val="lowerLetter"/>
      <w:lvlText w:val="%5."/>
      <w:lvlJc w:val="left"/>
      <w:pPr>
        <w:tabs>
          <w:tab w:val="num" w:pos="3600"/>
        </w:tabs>
        <w:ind w:left="3600" w:hanging="360"/>
      </w:pPr>
    </w:lvl>
    <w:lvl w:ilvl="5" w:tplc="6AF22976" w:tentative="1">
      <w:start w:val="1"/>
      <w:numFmt w:val="lowerRoman"/>
      <w:lvlText w:val="%6."/>
      <w:lvlJc w:val="right"/>
      <w:pPr>
        <w:tabs>
          <w:tab w:val="num" w:pos="4320"/>
        </w:tabs>
        <w:ind w:left="4320" w:hanging="180"/>
      </w:pPr>
    </w:lvl>
    <w:lvl w:ilvl="6" w:tplc="D7AA4C80" w:tentative="1">
      <w:start w:val="1"/>
      <w:numFmt w:val="decimal"/>
      <w:lvlText w:val="%7."/>
      <w:lvlJc w:val="left"/>
      <w:pPr>
        <w:tabs>
          <w:tab w:val="num" w:pos="5040"/>
        </w:tabs>
        <w:ind w:left="5040" w:hanging="360"/>
      </w:pPr>
    </w:lvl>
    <w:lvl w:ilvl="7" w:tplc="58F4F526" w:tentative="1">
      <w:start w:val="1"/>
      <w:numFmt w:val="lowerLetter"/>
      <w:lvlText w:val="%8."/>
      <w:lvlJc w:val="left"/>
      <w:pPr>
        <w:tabs>
          <w:tab w:val="num" w:pos="5760"/>
        </w:tabs>
        <w:ind w:left="5760" w:hanging="360"/>
      </w:pPr>
    </w:lvl>
    <w:lvl w:ilvl="8" w:tplc="776E35F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2DE414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22EF388" w:tentative="1">
      <w:start w:val="1"/>
      <w:numFmt w:val="lowerLetter"/>
      <w:lvlText w:val="%2."/>
      <w:lvlJc w:val="left"/>
      <w:pPr>
        <w:tabs>
          <w:tab w:val="num" w:pos="1440"/>
        </w:tabs>
        <w:ind w:left="1440" w:hanging="360"/>
      </w:pPr>
    </w:lvl>
    <w:lvl w:ilvl="2" w:tplc="491054BA" w:tentative="1">
      <w:start w:val="1"/>
      <w:numFmt w:val="lowerRoman"/>
      <w:lvlText w:val="%3."/>
      <w:lvlJc w:val="right"/>
      <w:pPr>
        <w:tabs>
          <w:tab w:val="num" w:pos="2160"/>
        </w:tabs>
        <w:ind w:left="2160" w:hanging="180"/>
      </w:pPr>
    </w:lvl>
    <w:lvl w:ilvl="3" w:tplc="E43ED200" w:tentative="1">
      <w:start w:val="1"/>
      <w:numFmt w:val="decimal"/>
      <w:lvlText w:val="%4."/>
      <w:lvlJc w:val="left"/>
      <w:pPr>
        <w:tabs>
          <w:tab w:val="num" w:pos="2880"/>
        </w:tabs>
        <w:ind w:left="2880" w:hanging="360"/>
      </w:pPr>
    </w:lvl>
    <w:lvl w:ilvl="4" w:tplc="E338A02C" w:tentative="1">
      <w:start w:val="1"/>
      <w:numFmt w:val="lowerLetter"/>
      <w:lvlText w:val="%5."/>
      <w:lvlJc w:val="left"/>
      <w:pPr>
        <w:tabs>
          <w:tab w:val="num" w:pos="3600"/>
        </w:tabs>
        <w:ind w:left="3600" w:hanging="360"/>
      </w:pPr>
    </w:lvl>
    <w:lvl w:ilvl="5" w:tplc="5D482B4C" w:tentative="1">
      <w:start w:val="1"/>
      <w:numFmt w:val="lowerRoman"/>
      <w:lvlText w:val="%6."/>
      <w:lvlJc w:val="right"/>
      <w:pPr>
        <w:tabs>
          <w:tab w:val="num" w:pos="4320"/>
        </w:tabs>
        <w:ind w:left="4320" w:hanging="180"/>
      </w:pPr>
    </w:lvl>
    <w:lvl w:ilvl="6" w:tplc="7750ACA2" w:tentative="1">
      <w:start w:val="1"/>
      <w:numFmt w:val="decimal"/>
      <w:lvlText w:val="%7."/>
      <w:lvlJc w:val="left"/>
      <w:pPr>
        <w:tabs>
          <w:tab w:val="num" w:pos="5040"/>
        </w:tabs>
        <w:ind w:left="5040" w:hanging="360"/>
      </w:pPr>
    </w:lvl>
    <w:lvl w:ilvl="7" w:tplc="4A0C12E0" w:tentative="1">
      <w:start w:val="1"/>
      <w:numFmt w:val="lowerLetter"/>
      <w:lvlText w:val="%8."/>
      <w:lvlJc w:val="left"/>
      <w:pPr>
        <w:tabs>
          <w:tab w:val="num" w:pos="5760"/>
        </w:tabs>
        <w:ind w:left="5760" w:hanging="360"/>
      </w:pPr>
    </w:lvl>
    <w:lvl w:ilvl="8" w:tplc="8A0A1732"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1D0004DA">
      <w:start w:val="1"/>
      <w:numFmt w:val="bullet"/>
      <w:lvlText w:val="•"/>
      <w:lvlJc w:val="left"/>
      <w:pPr>
        <w:tabs>
          <w:tab w:val="num" w:pos="2268"/>
        </w:tabs>
        <w:ind w:left="2268" w:hanging="170"/>
      </w:pPr>
      <w:rPr>
        <w:rFonts w:ascii="Times New Roman" w:hAnsi="Times New Roman" w:cs="Times New Roman" w:hint="default"/>
      </w:rPr>
    </w:lvl>
    <w:lvl w:ilvl="1" w:tplc="8BE0A272" w:tentative="1">
      <w:start w:val="1"/>
      <w:numFmt w:val="bullet"/>
      <w:lvlText w:val="o"/>
      <w:lvlJc w:val="left"/>
      <w:pPr>
        <w:tabs>
          <w:tab w:val="num" w:pos="1440"/>
        </w:tabs>
        <w:ind w:left="1440" w:hanging="360"/>
      </w:pPr>
      <w:rPr>
        <w:rFonts w:ascii="Courier New" w:hAnsi="Courier New" w:hint="default"/>
      </w:rPr>
    </w:lvl>
    <w:lvl w:ilvl="2" w:tplc="67EC4EC6" w:tentative="1">
      <w:start w:val="1"/>
      <w:numFmt w:val="bullet"/>
      <w:lvlText w:val=""/>
      <w:lvlJc w:val="left"/>
      <w:pPr>
        <w:tabs>
          <w:tab w:val="num" w:pos="2160"/>
        </w:tabs>
        <w:ind w:left="2160" w:hanging="360"/>
      </w:pPr>
      <w:rPr>
        <w:rFonts w:ascii="Wingdings" w:hAnsi="Wingdings" w:hint="default"/>
      </w:rPr>
    </w:lvl>
    <w:lvl w:ilvl="3" w:tplc="5338FA60" w:tentative="1">
      <w:start w:val="1"/>
      <w:numFmt w:val="bullet"/>
      <w:lvlText w:val=""/>
      <w:lvlJc w:val="left"/>
      <w:pPr>
        <w:tabs>
          <w:tab w:val="num" w:pos="2880"/>
        </w:tabs>
        <w:ind w:left="2880" w:hanging="360"/>
      </w:pPr>
      <w:rPr>
        <w:rFonts w:ascii="Symbol" w:hAnsi="Symbol" w:hint="default"/>
      </w:rPr>
    </w:lvl>
    <w:lvl w:ilvl="4" w:tplc="C0C60062" w:tentative="1">
      <w:start w:val="1"/>
      <w:numFmt w:val="bullet"/>
      <w:lvlText w:val="o"/>
      <w:lvlJc w:val="left"/>
      <w:pPr>
        <w:tabs>
          <w:tab w:val="num" w:pos="3600"/>
        </w:tabs>
        <w:ind w:left="3600" w:hanging="360"/>
      </w:pPr>
      <w:rPr>
        <w:rFonts w:ascii="Courier New" w:hAnsi="Courier New" w:hint="default"/>
      </w:rPr>
    </w:lvl>
    <w:lvl w:ilvl="5" w:tplc="148205C8" w:tentative="1">
      <w:start w:val="1"/>
      <w:numFmt w:val="bullet"/>
      <w:lvlText w:val=""/>
      <w:lvlJc w:val="left"/>
      <w:pPr>
        <w:tabs>
          <w:tab w:val="num" w:pos="4320"/>
        </w:tabs>
        <w:ind w:left="4320" w:hanging="360"/>
      </w:pPr>
      <w:rPr>
        <w:rFonts w:ascii="Wingdings" w:hAnsi="Wingdings" w:hint="default"/>
      </w:rPr>
    </w:lvl>
    <w:lvl w:ilvl="6" w:tplc="47166958" w:tentative="1">
      <w:start w:val="1"/>
      <w:numFmt w:val="bullet"/>
      <w:lvlText w:val=""/>
      <w:lvlJc w:val="left"/>
      <w:pPr>
        <w:tabs>
          <w:tab w:val="num" w:pos="5040"/>
        </w:tabs>
        <w:ind w:left="5040" w:hanging="360"/>
      </w:pPr>
      <w:rPr>
        <w:rFonts w:ascii="Symbol" w:hAnsi="Symbol" w:hint="default"/>
      </w:rPr>
    </w:lvl>
    <w:lvl w:ilvl="7" w:tplc="E3BAE016" w:tentative="1">
      <w:start w:val="1"/>
      <w:numFmt w:val="bullet"/>
      <w:lvlText w:val="o"/>
      <w:lvlJc w:val="left"/>
      <w:pPr>
        <w:tabs>
          <w:tab w:val="num" w:pos="5760"/>
        </w:tabs>
        <w:ind w:left="5760" w:hanging="360"/>
      </w:pPr>
      <w:rPr>
        <w:rFonts w:ascii="Courier New" w:hAnsi="Courier New" w:hint="default"/>
      </w:rPr>
    </w:lvl>
    <w:lvl w:ilvl="8" w:tplc="566E4028"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4A75E67"/>
    <w:multiLevelType w:val="hybridMultilevel"/>
    <w:tmpl w:val="99BAE1D4"/>
    <w:lvl w:ilvl="0" w:tplc="A86A7DC2">
      <w:start w:val="1"/>
      <w:numFmt w:val="lowerRoman"/>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4" w15:restartNumberingAfterBreak="0">
    <w:nsid w:val="31A12325"/>
    <w:multiLevelType w:val="hybridMultilevel"/>
    <w:tmpl w:val="FF0E5B48"/>
    <w:lvl w:ilvl="0" w:tplc="99EA295E">
      <w:start w:val="1"/>
      <w:numFmt w:val="bullet"/>
      <w:lvlText w:val="•"/>
      <w:lvlJc w:val="left"/>
      <w:pPr>
        <w:tabs>
          <w:tab w:val="num" w:pos="1701"/>
        </w:tabs>
        <w:ind w:left="1701" w:hanging="170"/>
      </w:pPr>
      <w:rPr>
        <w:rFonts w:ascii="Times New Roman" w:hAnsi="Times New Roman" w:cs="Times New Roman" w:hint="default"/>
        <w:b w:val="0"/>
        <w:i w:val="0"/>
        <w:sz w:val="20"/>
      </w:rPr>
    </w:lvl>
    <w:lvl w:ilvl="1" w:tplc="72E88C22" w:tentative="1">
      <w:start w:val="1"/>
      <w:numFmt w:val="bullet"/>
      <w:lvlText w:val="o"/>
      <w:lvlJc w:val="left"/>
      <w:pPr>
        <w:tabs>
          <w:tab w:val="num" w:pos="1440"/>
        </w:tabs>
        <w:ind w:left="1440" w:hanging="360"/>
      </w:pPr>
      <w:rPr>
        <w:rFonts w:ascii="Courier New" w:hAnsi="Courier New" w:hint="default"/>
      </w:rPr>
    </w:lvl>
    <w:lvl w:ilvl="2" w:tplc="6A0CC336" w:tentative="1">
      <w:start w:val="1"/>
      <w:numFmt w:val="bullet"/>
      <w:lvlText w:val=""/>
      <w:lvlJc w:val="left"/>
      <w:pPr>
        <w:tabs>
          <w:tab w:val="num" w:pos="2160"/>
        </w:tabs>
        <w:ind w:left="2160" w:hanging="360"/>
      </w:pPr>
      <w:rPr>
        <w:rFonts w:ascii="Wingdings" w:hAnsi="Wingdings" w:hint="default"/>
      </w:rPr>
    </w:lvl>
    <w:lvl w:ilvl="3" w:tplc="A900D03C" w:tentative="1">
      <w:start w:val="1"/>
      <w:numFmt w:val="bullet"/>
      <w:lvlText w:val=""/>
      <w:lvlJc w:val="left"/>
      <w:pPr>
        <w:tabs>
          <w:tab w:val="num" w:pos="2880"/>
        </w:tabs>
        <w:ind w:left="2880" w:hanging="360"/>
      </w:pPr>
      <w:rPr>
        <w:rFonts w:ascii="Symbol" w:hAnsi="Symbol" w:hint="default"/>
      </w:rPr>
    </w:lvl>
    <w:lvl w:ilvl="4" w:tplc="495E26E2" w:tentative="1">
      <w:start w:val="1"/>
      <w:numFmt w:val="bullet"/>
      <w:lvlText w:val="o"/>
      <w:lvlJc w:val="left"/>
      <w:pPr>
        <w:tabs>
          <w:tab w:val="num" w:pos="3600"/>
        </w:tabs>
        <w:ind w:left="3600" w:hanging="360"/>
      </w:pPr>
      <w:rPr>
        <w:rFonts w:ascii="Courier New" w:hAnsi="Courier New" w:hint="default"/>
      </w:rPr>
    </w:lvl>
    <w:lvl w:ilvl="5" w:tplc="01789098" w:tentative="1">
      <w:start w:val="1"/>
      <w:numFmt w:val="bullet"/>
      <w:lvlText w:val=""/>
      <w:lvlJc w:val="left"/>
      <w:pPr>
        <w:tabs>
          <w:tab w:val="num" w:pos="4320"/>
        </w:tabs>
        <w:ind w:left="4320" w:hanging="360"/>
      </w:pPr>
      <w:rPr>
        <w:rFonts w:ascii="Wingdings" w:hAnsi="Wingdings" w:hint="default"/>
      </w:rPr>
    </w:lvl>
    <w:lvl w:ilvl="6" w:tplc="C14C0A1A" w:tentative="1">
      <w:start w:val="1"/>
      <w:numFmt w:val="bullet"/>
      <w:lvlText w:val=""/>
      <w:lvlJc w:val="left"/>
      <w:pPr>
        <w:tabs>
          <w:tab w:val="num" w:pos="5040"/>
        </w:tabs>
        <w:ind w:left="5040" w:hanging="360"/>
      </w:pPr>
      <w:rPr>
        <w:rFonts w:ascii="Symbol" w:hAnsi="Symbol" w:hint="default"/>
      </w:rPr>
    </w:lvl>
    <w:lvl w:ilvl="7" w:tplc="E460E6FA" w:tentative="1">
      <w:start w:val="1"/>
      <w:numFmt w:val="bullet"/>
      <w:lvlText w:val="o"/>
      <w:lvlJc w:val="left"/>
      <w:pPr>
        <w:tabs>
          <w:tab w:val="num" w:pos="5760"/>
        </w:tabs>
        <w:ind w:left="5760" w:hanging="360"/>
      </w:pPr>
      <w:rPr>
        <w:rFonts w:ascii="Courier New" w:hAnsi="Courier New" w:hint="default"/>
      </w:rPr>
    </w:lvl>
    <w:lvl w:ilvl="8" w:tplc="81A0471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6EB0C7BE">
      <w:start w:val="1"/>
      <w:numFmt w:val="bullet"/>
      <w:pStyle w:val="Bullet2G"/>
      <w:lvlText w:val="•"/>
      <w:lvlJc w:val="left"/>
      <w:pPr>
        <w:tabs>
          <w:tab w:val="num" w:pos="2268"/>
        </w:tabs>
        <w:ind w:left="2268" w:hanging="170"/>
      </w:pPr>
      <w:rPr>
        <w:rFonts w:ascii="Times New Roman" w:hAnsi="Times New Roman" w:cs="Times New Roman" w:hint="default"/>
      </w:rPr>
    </w:lvl>
    <w:lvl w:ilvl="1" w:tplc="5F1AEDF2" w:tentative="1">
      <w:start w:val="1"/>
      <w:numFmt w:val="bullet"/>
      <w:lvlText w:val="o"/>
      <w:lvlJc w:val="left"/>
      <w:pPr>
        <w:tabs>
          <w:tab w:val="num" w:pos="3708"/>
        </w:tabs>
        <w:ind w:left="3708" w:hanging="360"/>
      </w:pPr>
      <w:rPr>
        <w:rFonts w:ascii="Courier New" w:hAnsi="Courier New" w:hint="default"/>
      </w:rPr>
    </w:lvl>
    <w:lvl w:ilvl="2" w:tplc="165E8CCE" w:tentative="1">
      <w:start w:val="1"/>
      <w:numFmt w:val="bullet"/>
      <w:lvlText w:val=""/>
      <w:lvlJc w:val="left"/>
      <w:pPr>
        <w:tabs>
          <w:tab w:val="num" w:pos="4428"/>
        </w:tabs>
        <w:ind w:left="4428" w:hanging="360"/>
      </w:pPr>
      <w:rPr>
        <w:rFonts w:ascii="Wingdings" w:hAnsi="Wingdings" w:hint="default"/>
      </w:rPr>
    </w:lvl>
    <w:lvl w:ilvl="3" w:tplc="43F0D05A" w:tentative="1">
      <w:start w:val="1"/>
      <w:numFmt w:val="bullet"/>
      <w:lvlText w:val=""/>
      <w:lvlJc w:val="left"/>
      <w:pPr>
        <w:tabs>
          <w:tab w:val="num" w:pos="5148"/>
        </w:tabs>
        <w:ind w:left="5148" w:hanging="360"/>
      </w:pPr>
      <w:rPr>
        <w:rFonts w:ascii="Symbol" w:hAnsi="Symbol" w:hint="default"/>
      </w:rPr>
    </w:lvl>
    <w:lvl w:ilvl="4" w:tplc="B9E400D2" w:tentative="1">
      <w:start w:val="1"/>
      <w:numFmt w:val="bullet"/>
      <w:lvlText w:val="o"/>
      <w:lvlJc w:val="left"/>
      <w:pPr>
        <w:tabs>
          <w:tab w:val="num" w:pos="5868"/>
        </w:tabs>
        <w:ind w:left="5868" w:hanging="360"/>
      </w:pPr>
      <w:rPr>
        <w:rFonts w:ascii="Courier New" w:hAnsi="Courier New" w:hint="default"/>
      </w:rPr>
    </w:lvl>
    <w:lvl w:ilvl="5" w:tplc="D59084B0" w:tentative="1">
      <w:start w:val="1"/>
      <w:numFmt w:val="bullet"/>
      <w:lvlText w:val=""/>
      <w:lvlJc w:val="left"/>
      <w:pPr>
        <w:tabs>
          <w:tab w:val="num" w:pos="6588"/>
        </w:tabs>
        <w:ind w:left="6588" w:hanging="360"/>
      </w:pPr>
      <w:rPr>
        <w:rFonts w:ascii="Wingdings" w:hAnsi="Wingdings" w:hint="default"/>
      </w:rPr>
    </w:lvl>
    <w:lvl w:ilvl="6" w:tplc="B73AAB60" w:tentative="1">
      <w:start w:val="1"/>
      <w:numFmt w:val="bullet"/>
      <w:lvlText w:val=""/>
      <w:lvlJc w:val="left"/>
      <w:pPr>
        <w:tabs>
          <w:tab w:val="num" w:pos="7308"/>
        </w:tabs>
        <w:ind w:left="7308" w:hanging="360"/>
      </w:pPr>
      <w:rPr>
        <w:rFonts w:ascii="Symbol" w:hAnsi="Symbol" w:hint="default"/>
      </w:rPr>
    </w:lvl>
    <w:lvl w:ilvl="7" w:tplc="2F96FAE6" w:tentative="1">
      <w:start w:val="1"/>
      <w:numFmt w:val="bullet"/>
      <w:lvlText w:val="o"/>
      <w:lvlJc w:val="left"/>
      <w:pPr>
        <w:tabs>
          <w:tab w:val="num" w:pos="8028"/>
        </w:tabs>
        <w:ind w:left="8028" w:hanging="360"/>
      </w:pPr>
      <w:rPr>
        <w:rFonts w:ascii="Courier New" w:hAnsi="Courier New" w:hint="default"/>
      </w:rPr>
    </w:lvl>
    <w:lvl w:ilvl="8" w:tplc="0FEAC74A"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2734644"/>
    <w:multiLevelType w:val="hybridMultilevel"/>
    <w:tmpl w:val="98289B34"/>
    <w:lvl w:ilvl="0" w:tplc="4AE22D2A">
      <w:start w:val="1"/>
      <w:numFmt w:val="upperLetter"/>
      <w:lvlText w:val="%1."/>
      <w:lvlJc w:val="left"/>
      <w:pPr>
        <w:ind w:left="1130" w:hanging="550"/>
      </w:pPr>
      <w:rPr>
        <w:rFonts w:hint="default"/>
      </w:rPr>
    </w:lvl>
    <w:lvl w:ilvl="1" w:tplc="20000019" w:tentative="1">
      <w:start w:val="1"/>
      <w:numFmt w:val="lowerLetter"/>
      <w:lvlText w:val="%2."/>
      <w:lvlJc w:val="left"/>
      <w:pPr>
        <w:ind w:left="1660" w:hanging="360"/>
      </w:pPr>
    </w:lvl>
    <w:lvl w:ilvl="2" w:tplc="2000001B" w:tentative="1">
      <w:start w:val="1"/>
      <w:numFmt w:val="lowerRoman"/>
      <w:lvlText w:val="%3."/>
      <w:lvlJc w:val="right"/>
      <w:pPr>
        <w:ind w:left="2380" w:hanging="180"/>
      </w:pPr>
    </w:lvl>
    <w:lvl w:ilvl="3" w:tplc="2000000F" w:tentative="1">
      <w:start w:val="1"/>
      <w:numFmt w:val="decimal"/>
      <w:lvlText w:val="%4."/>
      <w:lvlJc w:val="left"/>
      <w:pPr>
        <w:ind w:left="3100" w:hanging="360"/>
      </w:pPr>
    </w:lvl>
    <w:lvl w:ilvl="4" w:tplc="20000019" w:tentative="1">
      <w:start w:val="1"/>
      <w:numFmt w:val="lowerLetter"/>
      <w:lvlText w:val="%5."/>
      <w:lvlJc w:val="left"/>
      <w:pPr>
        <w:ind w:left="3820" w:hanging="360"/>
      </w:pPr>
    </w:lvl>
    <w:lvl w:ilvl="5" w:tplc="2000001B" w:tentative="1">
      <w:start w:val="1"/>
      <w:numFmt w:val="lowerRoman"/>
      <w:lvlText w:val="%6."/>
      <w:lvlJc w:val="right"/>
      <w:pPr>
        <w:ind w:left="4540" w:hanging="180"/>
      </w:pPr>
    </w:lvl>
    <w:lvl w:ilvl="6" w:tplc="2000000F" w:tentative="1">
      <w:start w:val="1"/>
      <w:numFmt w:val="decimal"/>
      <w:lvlText w:val="%7."/>
      <w:lvlJc w:val="left"/>
      <w:pPr>
        <w:ind w:left="5260" w:hanging="360"/>
      </w:pPr>
    </w:lvl>
    <w:lvl w:ilvl="7" w:tplc="20000019" w:tentative="1">
      <w:start w:val="1"/>
      <w:numFmt w:val="lowerLetter"/>
      <w:lvlText w:val="%8."/>
      <w:lvlJc w:val="left"/>
      <w:pPr>
        <w:ind w:left="5980" w:hanging="360"/>
      </w:pPr>
    </w:lvl>
    <w:lvl w:ilvl="8" w:tplc="2000001B" w:tentative="1">
      <w:start w:val="1"/>
      <w:numFmt w:val="lowerRoman"/>
      <w:lvlText w:val="%9."/>
      <w:lvlJc w:val="right"/>
      <w:pPr>
        <w:ind w:left="6700" w:hanging="180"/>
      </w:pPr>
    </w:lvl>
  </w:abstractNum>
  <w:abstractNum w:abstractNumId="17"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8004AB9"/>
    <w:multiLevelType w:val="hybridMultilevel"/>
    <w:tmpl w:val="A8AC822E"/>
    <w:lvl w:ilvl="0" w:tplc="1E646100">
      <w:start w:val="1"/>
      <w:numFmt w:val="decimal"/>
      <w:lvlText w:val="%1."/>
      <w:lvlJc w:val="left"/>
      <w:pPr>
        <w:ind w:left="1130" w:hanging="430"/>
      </w:pPr>
      <w:rPr>
        <w:rFonts w:hint="default"/>
      </w:rPr>
    </w:lvl>
    <w:lvl w:ilvl="1" w:tplc="20000019" w:tentative="1">
      <w:start w:val="1"/>
      <w:numFmt w:val="lowerLetter"/>
      <w:lvlText w:val="%2."/>
      <w:lvlJc w:val="left"/>
      <w:pPr>
        <w:ind w:left="1780" w:hanging="360"/>
      </w:pPr>
    </w:lvl>
    <w:lvl w:ilvl="2" w:tplc="2000001B" w:tentative="1">
      <w:start w:val="1"/>
      <w:numFmt w:val="lowerRoman"/>
      <w:lvlText w:val="%3."/>
      <w:lvlJc w:val="right"/>
      <w:pPr>
        <w:ind w:left="2500" w:hanging="180"/>
      </w:pPr>
    </w:lvl>
    <w:lvl w:ilvl="3" w:tplc="2000000F" w:tentative="1">
      <w:start w:val="1"/>
      <w:numFmt w:val="decimal"/>
      <w:lvlText w:val="%4."/>
      <w:lvlJc w:val="left"/>
      <w:pPr>
        <w:ind w:left="3220" w:hanging="360"/>
      </w:pPr>
    </w:lvl>
    <w:lvl w:ilvl="4" w:tplc="20000019" w:tentative="1">
      <w:start w:val="1"/>
      <w:numFmt w:val="lowerLetter"/>
      <w:lvlText w:val="%5."/>
      <w:lvlJc w:val="left"/>
      <w:pPr>
        <w:ind w:left="3940" w:hanging="360"/>
      </w:pPr>
    </w:lvl>
    <w:lvl w:ilvl="5" w:tplc="2000001B" w:tentative="1">
      <w:start w:val="1"/>
      <w:numFmt w:val="lowerRoman"/>
      <w:lvlText w:val="%6."/>
      <w:lvlJc w:val="right"/>
      <w:pPr>
        <w:ind w:left="4660" w:hanging="180"/>
      </w:pPr>
    </w:lvl>
    <w:lvl w:ilvl="6" w:tplc="2000000F" w:tentative="1">
      <w:start w:val="1"/>
      <w:numFmt w:val="decimal"/>
      <w:lvlText w:val="%7."/>
      <w:lvlJc w:val="left"/>
      <w:pPr>
        <w:ind w:left="5380" w:hanging="360"/>
      </w:pPr>
    </w:lvl>
    <w:lvl w:ilvl="7" w:tplc="20000019" w:tentative="1">
      <w:start w:val="1"/>
      <w:numFmt w:val="lowerLetter"/>
      <w:lvlText w:val="%8."/>
      <w:lvlJc w:val="left"/>
      <w:pPr>
        <w:ind w:left="6100" w:hanging="360"/>
      </w:pPr>
    </w:lvl>
    <w:lvl w:ilvl="8" w:tplc="2000001B" w:tentative="1">
      <w:start w:val="1"/>
      <w:numFmt w:val="lowerRoman"/>
      <w:lvlText w:val="%9."/>
      <w:lvlJc w:val="right"/>
      <w:pPr>
        <w:ind w:left="6820" w:hanging="180"/>
      </w:pPr>
    </w:lvl>
  </w:abstractNum>
  <w:abstractNum w:abstractNumId="19"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8AD07B2"/>
    <w:multiLevelType w:val="hybridMultilevel"/>
    <w:tmpl w:val="7FEE3222"/>
    <w:lvl w:ilvl="0" w:tplc="06543646">
      <w:start w:val="1"/>
      <w:numFmt w:val="bullet"/>
      <w:pStyle w:val="Bullet1G"/>
      <w:lvlText w:val="•"/>
      <w:lvlJc w:val="left"/>
      <w:pPr>
        <w:tabs>
          <w:tab w:val="num" w:pos="1701"/>
        </w:tabs>
        <w:ind w:left="1701" w:hanging="170"/>
      </w:pPr>
      <w:rPr>
        <w:rFonts w:ascii="Times New Roman" w:hAnsi="Times New Roman" w:cs="Times New Roman" w:hint="default"/>
      </w:rPr>
    </w:lvl>
    <w:lvl w:ilvl="1" w:tplc="6C6A9C2C" w:tentative="1">
      <w:start w:val="1"/>
      <w:numFmt w:val="bullet"/>
      <w:lvlText w:val="o"/>
      <w:lvlJc w:val="left"/>
      <w:pPr>
        <w:tabs>
          <w:tab w:val="num" w:pos="3141"/>
        </w:tabs>
        <w:ind w:left="3141" w:hanging="360"/>
      </w:pPr>
      <w:rPr>
        <w:rFonts w:ascii="Courier New" w:hAnsi="Courier New" w:hint="default"/>
      </w:rPr>
    </w:lvl>
    <w:lvl w:ilvl="2" w:tplc="AF3E7758" w:tentative="1">
      <w:start w:val="1"/>
      <w:numFmt w:val="bullet"/>
      <w:lvlText w:val=""/>
      <w:lvlJc w:val="left"/>
      <w:pPr>
        <w:tabs>
          <w:tab w:val="num" w:pos="3861"/>
        </w:tabs>
        <w:ind w:left="3861" w:hanging="360"/>
      </w:pPr>
      <w:rPr>
        <w:rFonts w:ascii="Wingdings" w:hAnsi="Wingdings" w:hint="default"/>
      </w:rPr>
    </w:lvl>
    <w:lvl w:ilvl="3" w:tplc="06869D52" w:tentative="1">
      <w:start w:val="1"/>
      <w:numFmt w:val="bullet"/>
      <w:lvlText w:val=""/>
      <w:lvlJc w:val="left"/>
      <w:pPr>
        <w:tabs>
          <w:tab w:val="num" w:pos="4581"/>
        </w:tabs>
        <w:ind w:left="4581" w:hanging="360"/>
      </w:pPr>
      <w:rPr>
        <w:rFonts w:ascii="Symbol" w:hAnsi="Symbol" w:hint="default"/>
      </w:rPr>
    </w:lvl>
    <w:lvl w:ilvl="4" w:tplc="F392BCB8" w:tentative="1">
      <w:start w:val="1"/>
      <w:numFmt w:val="bullet"/>
      <w:lvlText w:val="o"/>
      <w:lvlJc w:val="left"/>
      <w:pPr>
        <w:tabs>
          <w:tab w:val="num" w:pos="5301"/>
        </w:tabs>
        <w:ind w:left="5301" w:hanging="360"/>
      </w:pPr>
      <w:rPr>
        <w:rFonts w:ascii="Courier New" w:hAnsi="Courier New" w:hint="default"/>
      </w:rPr>
    </w:lvl>
    <w:lvl w:ilvl="5" w:tplc="739ECDB2" w:tentative="1">
      <w:start w:val="1"/>
      <w:numFmt w:val="bullet"/>
      <w:lvlText w:val=""/>
      <w:lvlJc w:val="left"/>
      <w:pPr>
        <w:tabs>
          <w:tab w:val="num" w:pos="6021"/>
        </w:tabs>
        <w:ind w:left="6021" w:hanging="360"/>
      </w:pPr>
      <w:rPr>
        <w:rFonts w:ascii="Wingdings" w:hAnsi="Wingdings" w:hint="default"/>
      </w:rPr>
    </w:lvl>
    <w:lvl w:ilvl="6" w:tplc="B8926560" w:tentative="1">
      <w:start w:val="1"/>
      <w:numFmt w:val="bullet"/>
      <w:lvlText w:val=""/>
      <w:lvlJc w:val="left"/>
      <w:pPr>
        <w:tabs>
          <w:tab w:val="num" w:pos="6741"/>
        </w:tabs>
        <w:ind w:left="6741" w:hanging="360"/>
      </w:pPr>
      <w:rPr>
        <w:rFonts w:ascii="Symbol" w:hAnsi="Symbol" w:hint="default"/>
      </w:rPr>
    </w:lvl>
    <w:lvl w:ilvl="7" w:tplc="785E1C56" w:tentative="1">
      <w:start w:val="1"/>
      <w:numFmt w:val="bullet"/>
      <w:lvlText w:val="o"/>
      <w:lvlJc w:val="left"/>
      <w:pPr>
        <w:tabs>
          <w:tab w:val="num" w:pos="7461"/>
        </w:tabs>
        <w:ind w:left="7461" w:hanging="360"/>
      </w:pPr>
      <w:rPr>
        <w:rFonts w:ascii="Courier New" w:hAnsi="Courier New" w:hint="default"/>
      </w:rPr>
    </w:lvl>
    <w:lvl w:ilvl="8" w:tplc="89B0BD3A"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16214F3"/>
    <w:multiLevelType w:val="hybridMultilevel"/>
    <w:tmpl w:val="E688B492"/>
    <w:lvl w:ilvl="0" w:tplc="5A58575C">
      <w:start w:val="1"/>
      <w:numFmt w:val="upperRoman"/>
      <w:lvlText w:val="%1)"/>
      <w:lvlJc w:val="left"/>
      <w:pPr>
        <w:ind w:left="1854" w:hanging="72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3" w15:restartNumberingAfterBreak="0">
    <w:nsid w:val="722665E2"/>
    <w:multiLevelType w:val="hybridMultilevel"/>
    <w:tmpl w:val="A8DEFBD6"/>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6369870">
    <w:abstractNumId w:val="21"/>
  </w:num>
  <w:num w:numId="2" w16cid:durableId="2024698586">
    <w:abstractNumId w:val="15"/>
  </w:num>
  <w:num w:numId="3" w16cid:durableId="592667168">
    <w:abstractNumId w:val="11"/>
  </w:num>
  <w:num w:numId="4" w16cid:durableId="712927558">
    <w:abstractNumId w:val="8"/>
  </w:num>
  <w:num w:numId="5" w16cid:durableId="608664521">
    <w:abstractNumId w:val="3"/>
  </w:num>
  <w:num w:numId="6" w16cid:durableId="1812089601">
    <w:abstractNumId w:val="2"/>
  </w:num>
  <w:num w:numId="7" w16cid:durableId="1945915756">
    <w:abstractNumId w:val="1"/>
  </w:num>
  <w:num w:numId="8" w16cid:durableId="124932673">
    <w:abstractNumId w:val="0"/>
  </w:num>
  <w:num w:numId="9" w16cid:durableId="1938517019">
    <w:abstractNumId w:val="9"/>
  </w:num>
  <w:num w:numId="10" w16cid:durableId="1347949160">
    <w:abstractNumId w:val="7"/>
  </w:num>
  <w:num w:numId="11" w16cid:durableId="1343319515">
    <w:abstractNumId w:val="6"/>
  </w:num>
  <w:num w:numId="12" w16cid:durableId="462423799">
    <w:abstractNumId w:val="5"/>
  </w:num>
  <w:num w:numId="13" w16cid:durableId="223419228">
    <w:abstractNumId w:val="4"/>
  </w:num>
  <w:num w:numId="14" w16cid:durableId="1767186688">
    <w:abstractNumId w:val="14"/>
  </w:num>
  <w:num w:numId="15" w16cid:durableId="1838492618">
    <w:abstractNumId w:val="12"/>
  </w:num>
  <w:num w:numId="16" w16cid:durableId="219096123">
    <w:abstractNumId w:val="10"/>
  </w:num>
  <w:num w:numId="17" w16cid:durableId="1302346742">
    <w:abstractNumId w:val="19"/>
  </w:num>
  <w:num w:numId="18" w16cid:durableId="678120821">
    <w:abstractNumId w:val="20"/>
  </w:num>
  <w:num w:numId="19" w16cid:durableId="309747335">
    <w:abstractNumId w:val="17"/>
  </w:num>
  <w:num w:numId="20" w16cid:durableId="292635514">
    <w:abstractNumId w:val="24"/>
  </w:num>
  <w:num w:numId="21" w16cid:durableId="1564952063">
    <w:abstractNumId w:val="21"/>
  </w:num>
  <w:num w:numId="22" w16cid:durableId="1456487196">
    <w:abstractNumId w:val="15"/>
  </w:num>
  <w:num w:numId="23" w16cid:durableId="1808666047">
    <w:abstractNumId w:val="11"/>
  </w:num>
  <w:num w:numId="24" w16cid:durableId="914240372">
    <w:abstractNumId w:val="16"/>
  </w:num>
  <w:num w:numId="25" w16cid:durableId="1179346411">
    <w:abstractNumId w:val="13"/>
  </w:num>
  <w:num w:numId="26" w16cid:durableId="421993664">
    <w:abstractNumId w:val="22"/>
  </w:num>
  <w:num w:numId="27" w16cid:durableId="2029482305">
    <w:abstractNumId w:val="18"/>
  </w:num>
  <w:num w:numId="28" w16cid:durableId="122356249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3B88"/>
    <w:rsid w:val="002D49F6"/>
    <w:rsid w:val="00351302"/>
    <w:rsid w:val="00416488"/>
    <w:rsid w:val="00424F9E"/>
    <w:rsid w:val="00494D0B"/>
    <w:rsid w:val="00510779"/>
    <w:rsid w:val="00561D2F"/>
    <w:rsid w:val="005A716A"/>
    <w:rsid w:val="005F49FB"/>
    <w:rsid w:val="006B5A58"/>
    <w:rsid w:val="00796C2B"/>
    <w:rsid w:val="008341E4"/>
    <w:rsid w:val="008556EB"/>
    <w:rsid w:val="00862AB5"/>
    <w:rsid w:val="00862D69"/>
    <w:rsid w:val="00891D55"/>
    <w:rsid w:val="00A277F6"/>
    <w:rsid w:val="00AE06F6"/>
    <w:rsid w:val="00AE2F6E"/>
    <w:rsid w:val="00B11E76"/>
    <w:rsid w:val="00C2717B"/>
    <w:rsid w:val="00C50A7E"/>
    <w:rsid w:val="00DA034E"/>
    <w:rsid w:val="00DC74AC"/>
    <w:rsid w:val="00E73B8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37EDF"/>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77F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2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2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891D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consultations/pathways-to-work-reforming-benefits-and-support-to-get-britain-working-green-paper/spring-statement-2025-health-and-disability-benefit-reforms-impacts"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bills.parliament.uk/bills/3988/publications"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bills.parliament.uk/bills/3988/publications"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8" ma:contentTypeDescription="Crée un document." ma:contentTypeScope="" ma:versionID="2788b176ada5b48f97d2a3e5b030145b">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b7682f99a0d9e0e0f19914f150de0b0b"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Balises d’image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630BA0F-A1BA-40A0-8853-1D82F359EA3A}">
  <ds:schemaRefs/>
</ds:datastoreItem>
</file>

<file path=customXml/itemProps2.xml><?xml version="1.0" encoding="utf-8"?>
<ds:datastoreItem xmlns:ds="http://schemas.openxmlformats.org/officeDocument/2006/customXml" ds:itemID="{5E3E9D9D-F589-4C25-9282-1C241F28BF84}">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1CB949D9-650B-4CD6-88CF-EA9E42BE4A3F}">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2</TotalTime>
  <Pages>7</Pages>
  <Words>3264</Words>
  <Characters>18607</Characters>
  <Application>Microsoft Office Word</Application>
  <DocSecurity>0</DocSecurity>
  <Lines>155</Lines>
  <Paragraphs>43</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CRPD/C/GBR/FCO/1</vt:lpstr>
      <vt:lpstr/>
      <vt:lpstr/>
    </vt:vector>
  </TitlesOfParts>
  <Company>DCM</Company>
  <LinksUpToDate>false</LinksUpToDate>
  <CharactersWithSpaces>21828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CRPD/C/GBR/FCO/1</dc:title>
  <dc:creator>Gloria</dc:creator>
  <cp:lastModifiedBy>Robert OUKO</cp:lastModifiedBy>
  <cp:revision>4</cp:revision>
  <cp:lastPrinted>2017-10-25T12:09:00Z</cp:lastPrinted>
  <dcterms:created xsi:type="dcterms:W3CDTF">2025-08-19T10:33:00Z</dcterms:created>
  <dcterms:modified xsi:type="dcterms:W3CDTF">2025-08-19T10:35:00Z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CRPD</vt:lpwstr>
  </property>
  <property fmtid="{D5CDD505-2E9C-101B-9397-08002B2CF9AE}" pid="7" name="ContentTypeId">
    <vt:lpwstr>0x010100EF7F3C829DF7D944B160ED13BF208A7C</vt:lpwstr>
  </property>
  <property fmtid="{D5CDD505-2E9C-101B-9397-08002B2CF9AE}" pid="8" name="count">
    <vt:lpwstr>United Kingdom of Great Britain and Northern Ireland</vt:lpwstr>
  </property>
  <property fmtid="{D5CDD505-2E9C-101B-9397-08002B2CF9AE}" pid="9" name="countw">
    <vt:lpwstr>United Kingdom of Great Britain and Northern Ireland</vt:lpwstr>
  </property>
  <property fmtid="{D5CDD505-2E9C-101B-9397-08002B2CF9AE}" pid="10" name="countwd">
    <vt:lpwstr>United Kingdom of Great Britain and Northern Ireland</vt:lpwstr>
  </property>
  <property fmtid="{D5CDD505-2E9C-101B-9397-08002B2CF9AE}" pid="11" name="date">
    <vt:lpwstr>19 August 2025</vt:lpwstr>
  </property>
  <property fmtid="{D5CDD505-2E9C-101B-9397-08002B2CF9AE}" pid="12" name="Date-Generated">
    <vt:filetime>2025-08-19T09:28:08Z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Concluding Observations - Followup</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English</vt:lpwstr>
  </property>
  <property fmtid="{D5CDD505-2E9C-101B-9397-08002B2CF9AE}" pid="20" name="Order">
    <vt:r8>174800</vt:r8>
  </property>
  <property fmtid="{D5CDD505-2E9C-101B-9397-08002B2CF9AE}" pid="21" name="Org">
    <vt:lpwstr>OHCHR</vt:lpwstr>
  </property>
  <property fmtid="{D5CDD505-2E9C-101B-9397-08002B2CF9AE}" pid="22" name="prep">
    <vt:lpwstr>initial report of United Kingdom of Great Britain and Northern Ireland</vt:lpwstr>
  </property>
  <property fmtid="{D5CDD505-2E9C-101B-9397-08002B2CF9AE}" pid="23" name="preps">
    <vt:lpwstr>initial report of United Kingdom of Great Britain and Northern Ireland</vt:lpwstr>
  </property>
  <property fmtid="{D5CDD505-2E9C-101B-9397-08002B2CF9AE}" pid="24" name="prepw">
    <vt:lpwstr>initial report</vt:lpwstr>
  </property>
  <property fmtid="{D5CDD505-2E9C-101B-9397-08002B2CF9AE}" pid="25" name="prepwc">
    <vt:lpwstr>Initial report</vt:lpwstr>
  </property>
  <property fmtid="{D5CDD505-2E9C-101B-9397-08002B2CF9AE}" pid="26" name="prepws">
    <vt:lpwstr>initial report</vt:lpwstr>
  </property>
  <property fmtid="{D5CDD505-2E9C-101B-9397-08002B2CF9AE}" pid="27" name="sdate">
    <vt:lpwstr>[Start-End Dates]</vt:lpwstr>
  </property>
  <property fmtid="{D5CDD505-2E9C-101B-9397-08002B2CF9AE}" pid="28" name="sloca">
    <vt:lpwstr>[Location]</vt:lpwstr>
  </property>
  <property fmtid="{D5CDD505-2E9C-101B-9397-08002B2CF9AE}" pid="29" name="snum">
    <vt:lpwstr>[NUMBER]</vt:lpwstr>
  </property>
  <property fmtid="{D5CDD505-2E9C-101B-9397-08002B2CF9AE}" pid="30" name="stitle">
    <vt:lpwstr>[Title]</vt:lpwstr>
  </property>
  <property fmtid="{D5CDD505-2E9C-101B-9397-08002B2CF9AE}" pid="31" name="sym1">
    <vt:lpwstr>C/GBR/FCO/1</vt:lpwstr>
  </property>
  <property fmtid="{D5CDD505-2E9C-101B-9397-08002B2CF9AE}" pid="32" name="symh">
    <vt:lpwstr>CRPD/C/GBR/FCO/1</vt:lpwstr>
  </property>
  <property fmtid="{D5CDD505-2E9C-101B-9397-08002B2CF9AE}" pid="33" name="Title">
    <vt:lpwstr>CRPD/C/GBR/FCO/1</vt:lpwstr>
  </property>
  <property fmtid="{D5CDD505-2E9C-101B-9397-08002B2CF9AE}" pid="34" name="tlang">
    <vt:lpwstr/>
  </property>
  <property fmtid="{D5CDD505-2E9C-101B-9397-08002B2CF9AE}" pid="35" name="virs">
    <vt:lpwstr>Arabic, English, French and Spanish only</vt:lpwstr>
  </property>
</Properties>
</file>