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DA3A0E" w14:textId="77777777" w:rsidR="00FF10FA" w:rsidRDefault="00FF10FA" w:rsidP="00A52B2B">
      <w:pPr>
        <w:pStyle w:val="Title"/>
        <w:jc w:val="center"/>
        <w:rPr>
          <w:sz w:val="36"/>
          <w:szCs w:val="36"/>
          <w:highlight w:val="yellow"/>
        </w:rPr>
      </w:pPr>
    </w:p>
    <w:p w14:paraId="73F224CE" w14:textId="77777777" w:rsidR="007578CE" w:rsidRPr="00A52B2B" w:rsidRDefault="00AF07D0" w:rsidP="00A52B2B">
      <w:pPr>
        <w:pStyle w:val="Title"/>
        <w:jc w:val="center"/>
        <w:rPr>
          <w:sz w:val="36"/>
          <w:szCs w:val="36"/>
        </w:rPr>
      </w:pPr>
      <w:r>
        <w:rPr>
          <w:sz w:val="36"/>
          <w:szCs w:val="36"/>
        </w:rPr>
        <w:t>Republic of the philippines</w:t>
      </w:r>
      <w:r w:rsidR="007578CE" w:rsidRPr="00A52B2B">
        <w:rPr>
          <w:sz w:val="36"/>
          <w:szCs w:val="36"/>
        </w:rPr>
        <w:t xml:space="preserve">: A Brief on the Implementation of CEDAW Commitments from Articles 2, 5, 11, </w:t>
      </w:r>
      <w:r>
        <w:rPr>
          <w:sz w:val="36"/>
          <w:szCs w:val="36"/>
        </w:rPr>
        <w:t xml:space="preserve">and </w:t>
      </w:r>
      <w:r w:rsidR="007578CE" w:rsidRPr="00A52B2B">
        <w:rPr>
          <w:sz w:val="36"/>
          <w:szCs w:val="36"/>
        </w:rPr>
        <w:t>16</w:t>
      </w:r>
    </w:p>
    <w:p w14:paraId="2B7AE2C8" w14:textId="77777777" w:rsidR="00A52B2B" w:rsidRDefault="00A52B2B" w:rsidP="00A52B2B"/>
    <w:p w14:paraId="245AD485" w14:textId="77777777"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00835551"/>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p>
    <w:p w14:paraId="4B97BF31" w14:textId="7366913B" w:rsidR="00FF10FA" w:rsidRPr="0024558B" w:rsidRDefault="00121C7E"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4" w:name="_Toc12626228"/>
      <w:bookmarkStart w:id="5" w:name="_Toc23330164"/>
      <w:bookmarkStart w:id="6" w:name="_Toc60999814"/>
      <w:bookmarkStart w:id="7" w:name="_Toc100835552"/>
      <w:r w:rsidRPr="00121C7E">
        <w:rPr>
          <w:rFonts w:asciiTheme="majorHAnsi" w:eastAsiaTheme="majorEastAsia" w:hAnsiTheme="majorHAnsi" w:cstheme="majorBidi"/>
          <w:i/>
          <w:iCs/>
          <w:color w:val="4A66AC" w:themeColor="accent1"/>
          <w:sz w:val="24"/>
          <w:szCs w:val="24"/>
        </w:rPr>
        <w:t>84</w:t>
      </w:r>
      <w:r w:rsidRPr="00121C7E">
        <w:rPr>
          <w:rFonts w:asciiTheme="majorHAnsi" w:eastAsiaTheme="majorEastAsia" w:hAnsiTheme="majorHAnsi" w:cstheme="majorBidi"/>
          <w:i/>
          <w:iCs/>
          <w:color w:val="4A66AC" w:themeColor="accent1"/>
          <w:sz w:val="24"/>
          <w:szCs w:val="24"/>
          <w:vertAlign w:val="superscript"/>
        </w:rPr>
        <w:t>h</w:t>
      </w:r>
      <w:r w:rsidRPr="00121C7E">
        <w:rPr>
          <w:rFonts w:asciiTheme="majorHAnsi" w:eastAsiaTheme="majorEastAsia" w:hAnsiTheme="majorHAnsi" w:cstheme="majorBidi"/>
          <w:i/>
          <w:iCs/>
          <w:color w:val="4A66AC" w:themeColor="accent1"/>
          <w:sz w:val="24"/>
          <w:szCs w:val="24"/>
        </w:rPr>
        <w:t xml:space="preserve"> </w:t>
      </w:r>
      <w:r w:rsidR="00FF10FA" w:rsidRPr="00121C7E">
        <w:rPr>
          <w:rFonts w:asciiTheme="majorHAnsi" w:eastAsiaTheme="majorEastAsia" w:hAnsiTheme="majorHAnsi" w:cstheme="majorBidi"/>
          <w:i/>
          <w:iCs/>
          <w:color w:val="4A66AC" w:themeColor="accent1"/>
          <w:sz w:val="24"/>
          <w:szCs w:val="24"/>
        </w:rPr>
        <w:t xml:space="preserve">Pre-Session Working Group, </w:t>
      </w:r>
      <w:bookmarkEnd w:id="4"/>
      <w:bookmarkEnd w:id="5"/>
      <w:bookmarkEnd w:id="6"/>
      <w:bookmarkEnd w:id="7"/>
      <w:r w:rsidRPr="00121C7E">
        <w:rPr>
          <w:rFonts w:asciiTheme="majorHAnsi" w:eastAsiaTheme="majorEastAsia" w:hAnsiTheme="majorHAnsi" w:cstheme="majorBidi"/>
          <w:i/>
          <w:iCs/>
          <w:color w:val="4A66AC" w:themeColor="accent1"/>
          <w:sz w:val="24"/>
          <w:szCs w:val="24"/>
        </w:rPr>
        <w:t>July 2022</w:t>
      </w:r>
    </w:p>
    <w:p w14:paraId="178EA294" w14:textId="77777777" w:rsidR="00CF442E" w:rsidRDefault="00CF442E" w:rsidP="00CF442E"/>
    <w:p w14:paraId="55FFD132" w14:textId="77777777" w:rsidR="00A52B2B" w:rsidRDefault="00A52B2B" w:rsidP="00CF442E"/>
    <w:p w14:paraId="5209454D" w14:textId="77777777" w:rsidR="00A52B2B" w:rsidRDefault="00A52B2B" w:rsidP="00CF442E"/>
    <w:p w14:paraId="48B48885" w14:textId="77777777" w:rsidR="00A52B2B" w:rsidRDefault="00A52B2B" w:rsidP="00CF442E"/>
    <w:p w14:paraId="50E61F39" w14:textId="77777777" w:rsidR="00A52B2B" w:rsidRDefault="00A52B2B" w:rsidP="00CF442E"/>
    <w:p w14:paraId="27489D6F" w14:textId="77777777" w:rsidR="00A52B2B" w:rsidRDefault="00A52B2B" w:rsidP="00CF442E"/>
    <w:p w14:paraId="27CC68FE" w14:textId="77777777" w:rsidR="00A52B2B" w:rsidRDefault="00A52B2B" w:rsidP="00CF442E"/>
    <w:p w14:paraId="67E49E8E" w14:textId="77777777" w:rsidR="00A52B2B" w:rsidRDefault="00A52B2B" w:rsidP="00CF442E"/>
    <w:p w14:paraId="48A395F6" w14:textId="77777777" w:rsidR="00A52B2B" w:rsidRDefault="00A52B2B" w:rsidP="00CF442E"/>
    <w:p w14:paraId="46BCD92E" w14:textId="77777777" w:rsidR="00A52B2B" w:rsidRDefault="00A52B2B" w:rsidP="00CF442E"/>
    <w:p w14:paraId="55E4993E" w14:textId="77777777" w:rsidR="00A52B2B" w:rsidRDefault="00A52B2B" w:rsidP="00CF442E"/>
    <w:p w14:paraId="3DD7D011" w14:textId="77777777" w:rsidR="00A52B2B" w:rsidRDefault="00A52B2B" w:rsidP="00CF442E"/>
    <w:p w14:paraId="1B55EF46" w14:textId="77777777" w:rsidR="00FF10FA" w:rsidRDefault="00FF10FA" w:rsidP="00CF442E"/>
    <w:p w14:paraId="4AC914C4" w14:textId="77777777" w:rsidR="00FF10FA" w:rsidRDefault="00FF10FA" w:rsidP="00CF442E"/>
    <w:p w14:paraId="1F2E6FDB"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8" w:name="_Toc53065025"/>
      <w:bookmarkStart w:id="9" w:name="_Toc53065047"/>
      <w:bookmarkStart w:id="10" w:name="_Toc53065076"/>
      <w:bookmarkStart w:id="11" w:name="_Toc53066332"/>
      <w:bookmarkStart w:id="12" w:name="_Toc53066387"/>
      <w:bookmarkStart w:id="13" w:name="_Toc60999815"/>
      <w:bookmarkStart w:id="14" w:name="_Toc100835553"/>
      <w:r w:rsidRPr="0024558B">
        <w:rPr>
          <w:rFonts w:asciiTheme="majorHAnsi" w:eastAsiaTheme="majorEastAsia" w:hAnsiTheme="majorHAnsi" w:cstheme="majorBidi"/>
          <w:b/>
          <w:iCs/>
          <w:color w:val="4A66AC" w:themeColor="accent1"/>
          <w:sz w:val="24"/>
          <w:szCs w:val="24"/>
        </w:rPr>
        <w:t>Submitted By</w:t>
      </w:r>
      <w:bookmarkEnd w:id="8"/>
      <w:bookmarkEnd w:id="9"/>
      <w:bookmarkEnd w:id="10"/>
      <w:bookmarkEnd w:id="11"/>
      <w:bookmarkEnd w:id="12"/>
      <w:bookmarkEnd w:id="13"/>
      <w:bookmarkEnd w:id="14"/>
    </w:p>
    <w:p w14:paraId="5385F76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15" w:name="_Toc53065026"/>
      <w:bookmarkStart w:id="16" w:name="_Toc53065048"/>
      <w:bookmarkStart w:id="17" w:name="_Toc53065077"/>
      <w:bookmarkStart w:id="18" w:name="_Toc53066333"/>
      <w:bookmarkStart w:id="19" w:name="_Toc53066388"/>
      <w:bookmarkStart w:id="20" w:name="_Toc60999816"/>
      <w:bookmarkStart w:id="21" w:name="_Toc100835554"/>
      <w:r w:rsidRPr="0024558B">
        <w:rPr>
          <w:rFonts w:asciiTheme="majorHAnsi" w:eastAsiaTheme="majorEastAsia" w:hAnsiTheme="majorHAnsi" w:cstheme="majorBidi"/>
          <w:iCs/>
          <w:color w:val="4A66AC" w:themeColor="accent1"/>
          <w:sz w:val="24"/>
          <w:szCs w:val="24"/>
        </w:rPr>
        <w:t>The WORLD Policy Analysis Center</w:t>
      </w:r>
      <w:bookmarkEnd w:id="15"/>
      <w:bookmarkEnd w:id="16"/>
      <w:bookmarkEnd w:id="17"/>
      <w:bookmarkEnd w:id="18"/>
      <w:bookmarkEnd w:id="19"/>
      <w:bookmarkEnd w:id="20"/>
      <w:bookmarkEnd w:id="21"/>
    </w:p>
    <w:p w14:paraId="55720CC1"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2" w:name="_Toc53065027"/>
      <w:bookmarkStart w:id="23" w:name="_Toc53065049"/>
      <w:bookmarkStart w:id="24" w:name="_Toc53065078"/>
      <w:bookmarkStart w:id="25" w:name="_Toc53066334"/>
      <w:bookmarkStart w:id="26" w:name="_Toc53066389"/>
      <w:bookmarkStart w:id="27" w:name="_Toc60999817"/>
      <w:bookmarkStart w:id="28" w:name="_Toc100835555"/>
      <w:r w:rsidRPr="0024558B">
        <w:rPr>
          <w:rFonts w:asciiTheme="majorHAnsi" w:eastAsiaTheme="majorEastAsia" w:hAnsiTheme="majorHAnsi" w:cstheme="majorBidi"/>
          <w:iCs/>
          <w:color w:val="4A66AC" w:themeColor="accent1"/>
          <w:sz w:val="24"/>
          <w:szCs w:val="24"/>
        </w:rPr>
        <w:t>University of California, Los Angeles</w:t>
      </w:r>
      <w:bookmarkEnd w:id="22"/>
      <w:bookmarkEnd w:id="23"/>
      <w:bookmarkEnd w:id="24"/>
      <w:bookmarkEnd w:id="25"/>
      <w:bookmarkEnd w:id="26"/>
      <w:bookmarkEnd w:id="27"/>
      <w:bookmarkEnd w:id="28"/>
      <w:r w:rsidRPr="0024558B">
        <w:rPr>
          <w:rFonts w:asciiTheme="majorHAnsi" w:eastAsiaTheme="majorEastAsia" w:hAnsiTheme="majorHAnsi" w:cstheme="majorBidi"/>
          <w:iCs/>
          <w:color w:val="4A66AC" w:themeColor="accent1"/>
          <w:sz w:val="24"/>
          <w:szCs w:val="24"/>
        </w:rPr>
        <w:t xml:space="preserve"> </w:t>
      </w:r>
    </w:p>
    <w:p w14:paraId="13602122" w14:textId="77777777" w:rsidR="00A52B2B" w:rsidRDefault="00A52B2B" w:rsidP="00CF442E"/>
    <w:p w14:paraId="69E3C0BC" w14:textId="77777777" w:rsidR="00A52B2B" w:rsidRDefault="00A52B2B" w:rsidP="00CF442E"/>
    <w:p w14:paraId="6165CCA7" w14:textId="77777777"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9691323" w14:textId="77777777" w:rsidR="00DC3D8E" w:rsidRDefault="00DC3D8E">
          <w:pPr>
            <w:pStyle w:val="TOCHeading"/>
          </w:pPr>
          <w:r>
            <w:t>Table of Contents</w:t>
          </w:r>
        </w:p>
        <w:p w14:paraId="6F0FF1D7" w14:textId="77777777" w:rsidR="00AF07D0" w:rsidRDefault="00DC3D8E" w:rsidP="00AF07D0">
          <w:pPr>
            <w:pStyle w:val="TOC1"/>
            <w:tabs>
              <w:tab w:val="right" w:leader="dot" w:pos="9350"/>
            </w:tabs>
            <w:rPr>
              <w:noProof/>
              <w:sz w:val="22"/>
              <w:szCs w:val="22"/>
              <w:lang w:val="en-CA" w:eastAsia="en-CA"/>
            </w:rPr>
          </w:pPr>
          <w:r>
            <w:fldChar w:fldCharType="begin"/>
          </w:r>
          <w:r>
            <w:instrText xml:space="preserve"> TOC \o "1-3" \h \z \u </w:instrText>
          </w:r>
          <w:r>
            <w:fldChar w:fldCharType="separate"/>
          </w:r>
        </w:p>
        <w:p w14:paraId="51BDB3EC" w14:textId="77777777" w:rsidR="00AF07D0" w:rsidRDefault="00617538">
          <w:pPr>
            <w:pStyle w:val="TOC1"/>
            <w:tabs>
              <w:tab w:val="right" w:leader="dot" w:pos="9350"/>
            </w:tabs>
            <w:rPr>
              <w:noProof/>
              <w:sz w:val="22"/>
              <w:szCs w:val="22"/>
              <w:lang w:val="en-CA" w:eastAsia="en-CA"/>
            </w:rPr>
          </w:pPr>
          <w:hyperlink w:anchor="_Toc100835556" w:history="1">
            <w:r w:rsidR="00AF07D0" w:rsidRPr="00744863">
              <w:rPr>
                <w:rStyle w:val="Hyperlink"/>
                <w:b/>
                <w:bCs/>
                <w:caps/>
                <w:noProof/>
                <w:spacing w:val="15"/>
              </w:rPr>
              <w:t>Introduction</w:t>
            </w:r>
            <w:r w:rsidR="00AF07D0">
              <w:rPr>
                <w:noProof/>
                <w:webHidden/>
              </w:rPr>
              <w:tab/>
            </w:r>
            <w:r w:rsidR="00AF07D0">
              <w:rPr>
                <w:noProof/>
                <w:webHidden/>
              </w:rPr>
              <w:fldChar w:fldCharType="begin"/>
            </w:r>
            <w:r w:rsidR="00AF07D0">
              <w:rPr>
                <w:noProof/>
                <w:webHidden/>
              </w:rPr>
              <w:instrText xml:space="preserve"> PAGEREF _Toc100835556 \h </w:instrText>
            </w:r>
            <w:r w:rsidR="00AF07D0">
              <w:rPr>
                <w:noProof/>
                <w:webHidden/>
              </w:rPr>
            </w:r>
            <w:r w:rsidR="00AF07D0">
              <w:rPr>
                <w:noProof/>
                <w:webHidden/>
              </w:rPr>
              <w:fldChar w:fldCharType="separate"/>
            </w:r>
            <w:r w:rsidR="00AF07D0">
              <w:rPr>
                <w:noProof/>
                <w:webHidden/>
              </w:rPr>
              <w:t>2</w:t>
            </w:r>
            <w:r w:rsidR="00AF07D0">
              <w:rPr>
                <w:noProof/>
                <w:webHidden/>
              </w:rPr>
              <w:fldChar w:fldCharType="end"/>
            </w:r>
          </w:hyperlink>
        </w:p>
        <w:p w14:paraId="75AC5772" w14:textId="77777777" w:rsidR="00AF07D0" w:rsidRDefault="00617538">
          <w:pPr>
            <w:pStyle w:val="TOC1"/>
            <w:tabs>
              <w:tab w:val="right" w:leader="dot" w:pos="9350"/>
            </w:tabs>
            <w:rPr>
              <w:noProof/>
              <w:sz w:val="22"/>
              <w:szCs w:val="22"/>
              <w:lang w:val="en-CA" w:eastAsia="en-CA"/>
            </w:rPr>
          </w:pPr>
          <w:hyperlink w:anchor="_Toc100835557" w:history="1">
            <w:r w:rsidR="00AF07D0" w:rsidRPr="00744863">
              <w:rPr>
                <w:rStyle w:val="Hyperlink"/>
                <w:rFonts w:eastAsia="Times New Roman"/>
                <w:b/>
                <w:bCs/>
                <w:noProof/>
              </w:rPr>
              <w:t>Summary of Findings and Recommendations</w:t>
            </w:r>
            <w:r w:rsidR="00AF07D0">
              <w:rPr>
                <w:noProof/>
                <w:webHidden/>
              </w:rPr>
              <w:tab/>
            </w:r>
            <w:r w:rsidR="00AF07D0">
              <w:rPr>
                <w:noProof/>
                <w:webHidden/>
              </w:rPr>
              <w:fldChar w:fldCharType="begin"/>
            </w:r>
            <w:r w:rsidR="00AF07D0">
              <w:rPr>
                <w:noProof/>
                <w:webHidden/>
              </w:rPr>
              <w:instrText xml:space="preserve"> PAGEREF _Toc100835557 \h </w:instrText>
            </w:r>
            <w:r w:rsidR="00AF07D0">
              <w:rPr>
                <w:noProof/>
                <w:webHidden/>
              </w:rPr>
            </w:r>
            <w:r w:rsidR="00AF07D0">
              <w:rPr>
                <w:noProof/>
                <w:webHidden/>
              </w:rPr>
              <w:fldChar w:fldCharType="separate"/>
            </w:r>
            <w:r w:rsidR="00AF07D0">
              <w:rPr>
                <w:noProof/>
                <w:webHidden/>
              </w:rPr>
              <w:t>3</w:t>
            </w:r>
            <w:r w:rsidR="00AF07D0">
              <w:rPr>
                <w:noProof/>
                <w:webHidden/>
              </w:rPr>
              <w:fldChar w:fldCharType="end"/>
            </w:r>
          </w:hyperlink>
        </w:p>
        <w:p w14:paraId="6FA3B423" w14:textId="77777777" w:rsidR="00AF07D0" w:rsidRDefault="00617538">
          <w:pPr>
            <w:pStyle w:val="TOC2"/>
            <w:tabs>
              <w:tab w:val="left" w:pos="660"/>
              <w:tab w:val="right" w:leader="dot" w:pos="9350"/>
            </w:tabs>
            <w:rPr>
              <w:noProof/>
              <w:sz w:val="22"/>
              <w:szCs w:val="22"/>
              <w:lang w:val="en-CA" w:eastAsia="en-CA"/>
            </w:rPr>
          </w:pPr>
          <w:hyperlink w:anchor="_Toc100835558" w:history="1">
            <w:r w:rsidR="00AF07D0" w:rsidRPr="00744863">
              <w:rPr>
                <w:rStyle w:val="Hyperlink"/>
                <w:rFonts w:ascii="Calibri Light" w:eastAsia="Times New Roman" w:hAnsi="Calibri Light" w:cs="Times New Roman"/>
                <w:bCs/>
                <w:noProof/>
              </w:rPr>
              <w:t>1.</w:t>
            </w:r>
            <w:r w:rsidR="00AF07D0">
              <w:rPr>
                <w:noProof/>
                <w:sz w:val="22"/>
                <w:szCs w:val="22"/>
                <w:lang w:val="en-CA" w:eastAsia="en-CA"/>
              </w:rPr>
              <w:tab/>
            </w:r>
            <w:r w:rsidR="00AF07D0" w:rsidRPr="00744863">
              <w:rPr>
                <w:rStyle w:val="Hyperlink"/>
                <w:rFonts w:ascii="Calibri Light" w:eastAsia="Times New Roman" w:hAnsi="Calibri Light" w:cs="Times New Roman"/>
                <w:bCs/>
                <w:noProof/>
              </w:rPr>
              <w:t>Non-Discrimination in Work and Employment (Article 11)</w:t>
            </w:r>
            <w:r w:rsidR="00AF07D0">
              <w:rPr>
                <w:noProof/>
                <w:webHidden/>
              </w:rPr>
              <w:tab/>
            </w:r>
            <w:r w:rsidR="00AF07D0">
              <w:rPr>
                <w:noProof/>
                <w:webHidden/>
              </w:rPr>
              <w:fldChar w:fldCharType="begin"/>
            </w:r>
            <w:r w:rsidR="00AF07D0">
              <w:rPr>
                <w:noProof/>
                <w:webHidden/>
              </w:rPr>
              <w:instrText xml:space="preserve"> PAGEREF _Toc100835558 \h </w:instrText>
            </w:r>
            <w:r w:rsidR="00AF07D0">
              <w:rPr>
                <w:noProof/>
                <w:webHidden/>
              </w:rPr>
            </w:r>
            <w:r w:rsidR="00AF07D0">
              <w:rPr>
                <w:noProof/>
                <w:webHidden/>
              </w:rPr>
              <w:fldChar w:fldCharType="separate"/>
            </w:r>
            <w:r w:rsidR="00AF07D0">
              <w:rPr>
                <w:noProof/>
                <w:webHidden/>
              </w:rPr>
              <w:t>3</w:t>
            </w:r>
            <w:r w:rsidR="00AF07D0">
              <w:rPr>
                <w:noProof/>
                <w:webHidden/>
              </w:rPr>
              <w:fldChar w:fldCharType="end"/>
            </w:r>
          </w:hyperlink>
        </w:p>
        <w:p w14:paraId="76428924" w14:textId="77777777" w:rsidR="00AF07D0" w:rsidRDefault="00617538">
          <w:pPr>
            <w:pStyle w:val="TOC2"/>
            <w:tabs>
              <w:tab w:val="left" w:pos="660"/>
              <w:tab w:val="right" w:leader="dot" w:pos="9350"/>
            </w:tabs>
            <w:rPr>
              <w:noProof/>
              <w:sz w:val="22"/>
              <w:szCs w:val="22"/>
              <w:lang w:val="en-CA" w:eastAsia="en-CA"/>
            </w:rPr>
          </w:pPr>
          <w:hyperlink w:anchor="_Toc100835559" w:history="1">
            <w:r w:rsidR="00AF07D0" w:rsidRPr="00744863">
              <w:rPr>
                <w:rStyle w:val="Hyperlink"/>
                <w:rFonts w:ascii="Calibri Light" w:eastAsia="Times New Roman" w:hAnsi="Calibri Light" w:cs="Times New Roman"/>
                <w:bCs/>
                <w:noProof/>
              </w:rPr>
              <w:t>2.</w:t>
            </w:r>
            <w:r w:rsidR="00AF07D0">
              <w:rPr>
                <w:noProof/>
                <w:sz w:val="22"/>
                <w:szCs w:val="22"/>
                <w:lang w:val="en-CA" w:eastAsia="en-CA"/>
              </w:rPr>
              <w:tab/>
            </w:r>
            <w:r w:rsidR="00AF07D0" w:rsidRPr="00744863">
              <w:rPr>
                <w:rStyle w:val="Hyperlink"/>
                <w:rFonts w:ascii="Calibri Light" w:eastAsia="Times New Roman" w:hAnsi="Calibri Light" w:cs="Times New Roman"/>
                <w:bCs/>
                <w:noProof/>
              </w:rPr>
              <w:t>Paid Maternity and Paternity Leave (Articles 11, 5)</w:t>
            </w:r>
            <w:r w:rsidR="00AF07D0">
              <w:rPr>
                <w:noProof/>
                <w:webHidden/>
              </w:rPr>
              <w:tab/>
            </w:r>
            <w:r w:rsidR="00AF07D0">
              <w:rPr>
                <w:noProof/>
                <w:webHidden/>
              </w:rPr>
              <w:fldChar w:fldCharType="begin"/>
            </w:r>
            <w:r w:rsidR="00AF07D0">
              <w:rPr>
                <w:noProof/>
                <w:webHidden/>
              </w:rPr>
              <w:instrText xml:space="preserve"> PAGEREF _Toc100835559 \h </w:instrText>
            </w:r>
            <w:r w:rsidR="00AF07D0">
              <w:rPr>
                <w:noProof/>
                <w:webHidden/>
              </w:rPr>
            </w:r>
            <w:r w:rsidR="00AF07D0">
              <w:rPr>
                <w:noProof/>
                <w:webHidden/>
              </w:rPr>
              <w:fldChar w:fldCharType="separate"/>
            </w:r>
            <w:r w:rsidR="00AF07D0">
              <w:rPr>
                <w:noProof/>
                <w:webHidden/>
              </w:rPr>
              <w:t>3</w:t>
            </w:r>
            <w:r w:rsidR="00AF07D0">
              <w:rPr>
                <w:noProof/>
                <w:webHidden/>
              </w:rPr>
              <w:fldChar w:fldCharType="end"/>
            </w:r>
          </w:hyperlink>
        </w:p>
        <w:p w14:paraId="71940F9A" w14:textId="61A2938E" w:rsidR="00AF07D0" w:rsidRDefault="00617538">
          <w:pPr>
            <w:pStyle w:val="TOC2"/>
            <w:tabs>
              <w:tab w:val="left" w:pos="660"/>
              <w:tab w:val="right" w:leader="dot" w:pos="9350"/>
            </w:tabs>
            <w:rPr>
              <w:noProof/>
              <w:sz w:val="22"/>
              <w:szCs w:val="22"/>
              <w:lang w:val="en-CA" w:eastAsia="en-CA"/>
            </w:rPr>
          </w:pPr>
          <w:hyperlink w:anchor="_Toc100835560" w:history="1">
            <w:r w:rsidR="00AF07D0" w:rsidRPr="00744863">
              <w:rPr>
                <w:rStyle w:val="Hyperlink"/>
                <w:rFonts w:ascii="Calibri Light" w:eastAsia="Times New Roman" w:hAnsi="Calibri Light" w:cs="Times New Roman"/>
                <w:bCs/>
                <w:noProof/>
              </w:rPr>
              <w:t>3.</w:t>
            </w:r>
            <w:r w:rsidR="00AF07D0">
              <w:rPr>
                <w:noProof/>
                <w:sz w:val="22"/>
                <w:szCs w:val="22"/>
                <w:lang w:val="en-CA" w:eastAsia="en-CA"/>
              </w:rPr>
              <w:tab/>
            </w:r>
            <w:r w:rsidR="00AF07D0" w:rsidRPr="00744863">
              <w:rPr>
                <w:rStyle w:val="Hyperlink"/>
                <w:rFonts w:ascii="Calibri Light" w:eastAsia="Times New Roman" w:hAnsi="Calibri Light" w:cs="Times New Roman"/>
                <w:bCs/>
                <w:noProof/>
              </w:rPr>
              <w:t>Child Marriage (Articles 16, 2)</w:t>
            </w:r>
            <w:r w:rsidR="00AF07D0">
              <w:rPr>
                <w:noProof/>
                <w:webHidden/>
              </w:rPr>
              <w:tab/>
            </w:r>
            <w:r w:rsidR="00E606E5">
              <w:rPr>
                <w:noProof/>
                <w:webHidden/>
              </w:rPr>
              <w:t>4</w:t>
            </w:r>
          </w:hyperlink>
        </w:p>
        <w:p w14:paraId="58278BF1" w14:textId="678961BF" w:rsidR="00AF07D0" w:rsidRDefault="00617538">
          <w:pPr>
            <w:pStyle w:val="TOC1"/>
            <w:tabs>
              <w:tab w:val="right" w:leader="dot" w:pos="9350"/>
            </w:tabs>
            <w:rPr>
              <w:noProof/>
              <w:sz w:val="22"/>
              <w:szCs w:val="22"/>
              <w:lang w:val="en-CA" w:eastAsia="en-CA"/>
            </w:rPr>
          </w:pPr>
          <w:hyperlink w:anchor="_Toc100835561" w:history="1">
            <w:r w:rsidR="00AF07D0" w:rsidRPr="00744863">
              <w:rPr>
                <w:rStyle w:val="Hyperlink"/>
                <w:rFonts w:eastAsia="Times New Roman"/>
                <w:b/>
                <w:bCs/>
                <w:noProof/>
              </w:rPr>
              <w:t>Detail of Legislative Findings</w:t>
            </w:r>
            <w:r w:rsidR="00AF07D0">
              <w:rPr>
                <w:noProof/>
                <w:webHidden/>
              </w:rPr>
              <w:tab/>
            </w:r>
            <w:r w:rsidR="00E606E5">
              <w:rPr>
                <w:noProof/>
                <w:webHidden/>
              </w:rPr>
              <w:t>5</w:t>
            </w:r>
          </w:hyperlink>
        </w:p>
        <w:p w14:paraId="00308647" w14:textId="3899551B" w:rsidR="00AF07D0" w:rsidRDefault="00617538">
          <w:pPr>
            <w:pStyle w:val="TOC2"/>
            <w:tabs>
              <w:tab w:val="left" w:pos="660"/>
              <w:tab w:val="right" w:leader="dot" w:pos="9350"/>
            </w:tabs>
            <w:rPr>
              <w:noProof/>
              <w:sz w:val="22"/>
              <w:szCs w:val="22"/>
              <w:lang w:val="en-CA" w:eastAsia="en-CA"/>
            </w:rPr>
          </w:pPr>
          <w:hyperlink w:anchor="_Toc100835562" w:history="1">
            <w:r w:rsidR="00AF07D0" w:rsidRPr="00744863">
              <w:rPr>
                <w:rStyle w:val="Hyperlink"/>
                <w:rFonts w:ascii="Calibri Light" w:eastAsia="Times New Roman" w:hAnsi="Calibri Light" w:cs="Times New Roman"/>
                <w:bCs/>
                <w:noProof/>
              </w:rPr>
              <w:t>1.</w:t>
            </w:r>
            <w:r w:rsidR="00AF07D0">
              <w:rPr>
                <w:noProof/>
                <w:sz w:val="22"/>
                <w:szCs w:val="22"/>
                <w:lang w:val="en-CA" w:eastAsia="en-CA"/>
              </w:rPr>
              <w:tab/>
            </w:r>
            <w:r w:rsidR="00AF07D0" w:rsidRPr="00744863">
              <w:rPr>
                <w:rStyle w:val="Hyperlink"/>
                <w:rFonts w:ascii="Calibri Light" w:eastAsia="Times New Roman" w:hAnsi="Calibri Light" w:cs="Times New Roman"/>
                <w:bCs/>
                <w:noProof/>
              </w:rPr>
              <w:t>Non-Discrimination in Work and Employment (Article 11)</w:t>
            </w:r>
            <w:r w:rsidR="00AF07D0">
              <w:rPr>
                <w:noProof/>
                <w:webHidden/>
              </w:rPr>
              <w:tab/>
            </w:r>
            <w:r w:rsidR="00E606E5">
              <w:rPr>
                <w:noProof/>
                <w:webHidden/>
              </w:rPr>
              <w:t>5</w:t>
            </w:r>
          </w:hyperlink>
        </w:p>
        <w:p w14:paraId="609C1095" w14:textId="7D834CFA" w:rsidR="00AF07D0" w:rsidRDefault="00617538">
          <w:pPr>
            <w:pStyle w:val="TOC2"/>
            <w:tabs>
              <w:tab w:val="left" w:pos="660"/>
              <w:tab w:val="right" w:leader="dot" w:pos="9350"/>
            </w:tabs>
            <w:rPr>
              <w:noProof/>
              <w:sz w:val="22"/>
              <w:szCs w:val="22"/>
              <w:lang w:val="en-CA" w:eastAsia="en-CA"/>
            </w:rPr>
          </w:pPr>
          <w:hyperlink w:anchor="_Toc100835563" w:history="1">
            <w:r w:rsidR="00AF07D0" w:rsidRPr="00744863">
              <w:rPr>
                <w:rStyle w:val="Hyperlink"/>
                <w:rFonts w:ascii="Calibri Light" w:eastAsia="Times New Roman" w:hAnsi="Calibri Light" w:cs="Times New Roman"/>
                <w:bCs/>
                <w:noProof/>
              </w:rPr>
              <w:t>2.</w:t>
            </w:r>
            <w:r w:rsidR="00AF07D0">
              <w:rPr>
                <w:noProof/>
                <w:sz w:val="22"/>
                <w:szCs w:val="22"/>
                <w:lang w:val="en-CA" w:eastAsia="en-CA"/>
              </w:rPr>
              <w:tab/>
            </w:r>
            <w:r w:rsidR="00AF07D0" w:rsidRPr="00744863">
              <w:rPr>
                <w:rStyle w:val="Hyperlink"/>
                <w:rFonts w:ascii="Calibri Light" w:eastAsia="Times New Roman" w:hAnsi="Calibri Light" w:cs="Times New Roman"/>
                <w:bCs/>
                <w:noProof/>
              </w:rPr>
              <w:t>Paid Maternity and Paternity Leave (Articles 11, 5)</w:t>
            </w:r>
            <w:r w:rsidR="00AF07D0">
              <w:rPr>
                <w:noProof/>
                <w:webHidden/>
              </w:rPr>
              <w:tab/>
            </w:r>
            <w:r w:rsidR="00E606E5">
              <w:rPr>
                <w:noProof/>
                <w:webHidden/>
              </w:rPr>
              <w:t>8</w:t>
            </w:r>
          </w:hyperlink>
        </w:p>
        <w:p w14:paraId="5E350636" w14:textId="2B678619" w:rsidR="00AF07D0" w:rsidRDefault="00617538">
          <w:pPr>
            <w:pStyle w:val="TOC2"/>
            <w:tabs>
              <w:tab w:val="left" w:pos="660"/>
              <w:tab w:val="right" w:leader="dot" w:pos="9350"/>
            </w:tabs>
            <w:rPr>
              <w:noProof/>
              <w:sz w:val="22"/>
              <w:szCs w:val="22"/>
              <w:lang w:val="en-CA" w:eastAsia="en-CA"/>
            </w:rPr>
          </w:pPr>
          <w:hyperlink w:anchor="_Toc100835564" w:history="1">
            <w:r w:rsidR="00AF07D0" w:rsidRPr="00744863">
              <w:rPr>
                <w:rStyle w:val="Hyperlink"/>
                <w:rFonts w:ascii="Calibri Light" w:eastAsia="Times New Roman" w:hAnsi="Calibri Light" w:cs="Times New Roman"/>
                <w:bCs/>
                <w:noProof/>
              </w:rPr>
              <w:t>3.</w:t>
            </w:r>
            <w:r w:rsidR="00AF07D0">
              <w:rPr>
                <w:noProof/>
                <w:sz w:val="22"/>
                <w:szCs w:val="22"/>
                <w:lang w:val="en-CA" w:eastAsia="en-CA"/>
              </w:rPr>
              <w:tab/>
            </w:r>
            <w:r w:rsidR="00AF07D0" w:rsidRPr="00744863">
              <w:rPr>
                <w:rStyle w:val="Hyperlink"/>
                <w:rFonts w:ascii="Calibri Light" w:eastAsia="Times New Roman" w:hAnsi="Calibri Light" w:cs="Times New Roman"/>
                <w:bCs/>
                <w:noProof/>
              </w:rPr>
              <w:t>Child Marriage (Articles 16, 2)</w:t>
            </w:r>
            <w:r w:rsidR="00AF07D0">
              <w:rPr>
                <w:noProof/>
                <w:webHidden/>
              </w:rPr>
              <w:tab/>
            </w:r>
            <w:r w:rsidR="00E606E5">
              <w:rPr>
                <w:noProof/>
                <w:webHidden/>
              </w:rPr>
              <w:t>9</w:t>
            </w:r>
          </w:hyperlink>
        </w:p>
        <w:p w14:paraId="333C24ED" w14:textId="77777777" w:rsidR="00DC3D8E" w:rsidRDefault="00DC3D8E">
          <w:r>
            <w:rPr>
              <w:b/>
              <w:bCs/>
              <w:noProof/>
            </w:rPr>
            <w:fldChar w:fldCharType="end"/>
          </w:r>
        </w:p>
      </w:sdtContent>
    </w:sdt>
    <w:p w14:paraId="256173BD" w14:textId="77777777" w:rsidR="00157053" w:rsidRDefault="00157053" w:rsidP="00CF442E">
      <w:pPr>
        <w:rPr>
          <w:b/>
        </w:rPr>
      </w:pPr>
    </w:p>
    <w:p w14:paraId="26A1D2C2" w14:textId="77777777" w:rsidR="00CF442E" w:rsidRDefault="00CF442E"/>
    <w:p w14:paraId="291F1FB0" w14:textId="77777777" w:rsidR="003E044E" w:rsidRDefault="003E044E"/>
    <w:p w14:paraId="2A0F7A28" w14:textId="77777777" w:rsidR="003E044E" w:rsidRDefault="003E044E"/>
    <w:p w14:paraId="2ECE147E" w14:textId="77777777" w:rsidR="00FF10FA" w:rsidRDefault="00FF10FA"/>
    <w:p w14:paraId="32F4F5F3" w14:textId="77777777" w:rsidR="00FF10FA" w:rsidRDefault="00FF10FA"/>
    <w:p w14:paraId="7A8C2C63" w14:textId="77777777" w:rsidR="00FF10FA" w:rsidRDefault="00FF10FA"/>
    <w:p w14:paraId="6E8FCC3F" w14:textId="77777777" w:rsidR="00FF10FA" w:rsidRDefault="00FF10FA"/>
    <w:p w14:paraId="1D9B7783" w14:textId="77777777" w:rsidR="00FF10FA" w:rsidRDefault="00FF10FA"/>
    <w:p w14:paraId="7044A258" w14:textId="77777777" w:rsidR="00FF10FA" w:rsidRDefault="00FF10FA"/>
    <w:p w14:paraId="14150E4C" w14:textId="77777777" w:rsidR="00FF10FA" w:rsidRDefault="00FF10FA"/>
    <w:p w14:paraId="06D224B2" w14:textId="77777777" w:rsidR="00DC3D8E" w:rsidRDefault="00DC3D8E"/>
    <w:p w14:paraId="46D68526" w14:textId="77777777" w:rsidR="00DC3D8E" w:rsidRDefault="00DC3D8E"/>
    <w:p w14:paraId="2EBEDD65" w14:textId="77777777" w:rsidR="00AF07D0" w:rsidRDefault="00AF07D0">
      <w:pPr>
        <w:rPr>
          <w:b/>
          <w:bCs/>
          <w:caps/>
          <w:color w:val="FFFFFF" w:themeColor="background1"/>
          <w:spacing w:val="15"/>
          <w:sz w:val="22"/>
          <w:szCs w:val="22"/>
        </w:rPr>
      </w:pPr>
      <w:bookmarkStart w:id="29" w:name="_Toc60999818"/>
      <w:bookmarkStart w:id="30" w:name="_Toc100835556"/>
      <w:bookmarkStart w:id="31" w:name="_Hlk52631114"/>
      <w:r>
        <w:rPr>
          <w:b/>
          <w:bCs/>
          <w:caps/>
          <w:color w:val="FFFFFF" w:themeColor="background1"/>
          <w:spacing w:val="15"/>
          <w:sz w:val="22"/>
          <w:szCs w:val="22"/>
        </w:rPr>
        <w:br w:type="page"/>
      </w:r>
    </w:p>
    <w:p w14:paraId="6B403651" w14:textId="77777777"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r w:rsidRPr="00A52B2B">
        <w:rPr>
          <w:b/>
          <w:bCs/>
          <w:caps/>
          <w:color w:val="FFFFFF" w:themeColor="background1"/>
          <w:spacing w:val="15"/>
          <w:sz w:val="22"/>
          <w:szCs w:val="22"/>
        </w:rPr>
        <w:lastRenderedPageBreak/>
        <w:t>Introduction</w:t>
      </w:r>
      <w:bookmarkEnd w:id="29"/>
      <w:bookmarkEnd w:id="30"/>
    </w:p>
    <w:bookmarkEnd w:id="31"/>
    <w:p w14:paraId="1970BE55" w14:textId="1C2592D8"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the </w:t>
      </w:r>
      <w:r w:rsidR="00121C7E" w:rsidRPr="00121C7E">
        <w:rPr>
          <w:sz w:val="22"/>
          <w:szCs w:val="22"/>
        </w:rPr>
        <w:t>84</w:t>
      </w:r>
      <w:r w:rsidR="005E6E48" w:rsidRPr="00121C7E">
        <w:rPr>
          <w:sz w:val="22"/>
          <w:szCs w:val="22"/>
          <w:vertAlign w:val="superscript"/>
        </w:rPr>
        <w:t>th</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154294EE" w14:textId="178E7135"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00AF4386">
        <w:rPr>
          <w:sz w:val="22"/>
          <w:szCs w:val="22"/>
        </w:rPr>
        <w:t>three</w:t>
      </w:r>
      <w:r w:rsidRPr="00A52B2B">
        <w:rPr>
          <w:sz w:val="22"/>
          <w:szCs w:val="22"/>
        </w:rPr>
        <w:t xml:space="preserve"> are</w:t>
      </w:r>
      <w:r w:rsidR="00CF442E" w:rsidRPr="00A52B2B">
        <w:rPr>
          <w:sz w:val="22"/>
          <w:szCs w:val="22"/>
        </w:rPr>
        <w:t>as</w:t>
      </w:r>
      <w:r w:rsidRPr="00A52B2B">
        <w:rPr>
          <w:sz w:val="22"/>
          <w:szCs w:val="22"/>
        </w:rPr>
        <w:t>:</w:t>
      </w:r>
    </w:p>
    <w:p w14:paraId="36581DF7" w14:textId="77777777" w:rsidR="002F4FD6" w:rsidRPr="00A52B2B" w:rsidRDefault="002F4FD6" w:rsidP="0096441A">
      <w:pPr>
        <w:pStyle w:val="ListParagraph"/>
        <w:numPr>
          <w:ilvl w:val="0"/>
          <w:numId w:val="2"/>
        </w:numPr>
        <w:rPr>
          <w:color w:val="000000" w:themeColor="text1"/>
          <w:sz w:val="22"/>
          <w:szCs w:val="22"/>
        </w:rPr>
      </w:pPr>
      <w:r w:rsidRPr="00A52B2B">
        <w:rPr>
          <w:color w:val="000000" w:themeColor="text1"/>
          <w:sz w:val="22"/>
          <w:szCs w:val="22"/>
        </w:rPr>
        <w:t>Non-discrimination in Work and Employment (Article 11)</w:t>
      </w:r>
    </w:p>
    <w:p w14:paraId="6D826CB6" w14:textId="77777777" w:rsidR="00026A3B" w:rsidRPr="00A52B2B" w:rsidRDefault="00026A3B" w:rsidP="0096441A">
      <w:pPr>
        <w:pStyle w:val="ListParagraph"/>
        <w:numPr>
          <w:ilvl w:val="0"/>
          <w:numId w:val="2"/>
        </w:numPr>
        <w:rPr>
          <w:color w:val="000000" w:themeColor="text1"/>
          <w:sz w:val="22"/>
          <w:szCs w:val="22"/>
        </w:rPr>
      </w:pPr>
      <w:r w:rsidRPr="00A52B2B">
        <w:rPr>
          <w:color w:val="000000" w:themeColor="text1"/>
          <w:sz w:val="22"/>
          <w:szCs w:val="22"/>
        </w:rPr>
        <w:t>Paid Maternity and Paternity Leave (Article</w:t>
      </w:r>
      <w:r w:rsidR="000345E3" w:rsidRPr="00A52B2B">
        <w:rPr>
          <w:color w:val="000000" w:themeColor="text1"/>
          <w:sz w:val="22"/>
          <w:szCs w:val="22"/>
        </w:rPr>
        <w:t>s</w:t>
      </w:r>
      <w:r w:rsidRPr="00A52B2B">
        <w:rPr>
          <w:color w:val="000000" w:themeColor="text1"/>
          <w:sz w:val="22"/>
          <w:szCs w:val="22"/>
        </w:rPr>
        <w:t xml:space="preserve"> 11, 5)</w:t>
      </w:r>
    </w:p>
    <w:p w14:paraId="3F91761B" w14:textId="77777777" w:rsidR="00355056" w:rsidRDefault="00355056" w:rsidP="0096441A">
      <w:pPr>
        <w:pStyle w:val="ListParagraph"/>
        <w:numPr>
          <w:ilvl w:val="0"/>
          <w:numId w:val="2"/>
        </w:numPr>
        <w:rPr>
          <w:color w:val="000000" w:themeColor="text1"/>
          <w:sz w:val="22"/>
          <w:szCs w:val="22"/>
        </w:rPr>
      </w:pPr>
      <w:r w:rsidRPr="00A52B2B">
        <w:rPr>
          <w:color w:val="000000" w:themeColor="text1"/>
          <w:sz w:val="22"/>
          <w:szCs w:val="22"/>
        </w:rPr>
        <w:t>Child Marriage</w:t>
      </w:r>
      <w:r w:rsidR="002118F1" w:rsidRPr="00A52B2B">
        <w:rPr>
          <w:color w:val="000000" w:themeColor="text1"/>
          <w:sz w:val="22"/>
          <w:szCs w:val="22"/>
        </w:rPr>
        <w:t xml:space="preserve"> (Articles 16, 2)</w:t>
      </w:r>
    </w:p>
    <w:p w14:paraId="4A6CCA8A" w14:textId="77777777"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4AA2FD14" w14:textId="77777777" w:rsidR="00DC3D8E" w:rsidRDefault="00DC3D8E" w:rsidP="00BE6DF8">
      <w:pPr>
        <w:rPr>
          <w:sz w:val="22"/>
          <w:szCs w:val="22"/>
        </w:rPr>
      </w:pPr>
      <w:bookmarkStart w:id="32" w:name="_Hlk43805467"/>
      <w:r w:rsidRPr="00DC3D8E">
        <w:rPr>
          <w:sz w:val="22"/>
          <w:szCs w:val="22"/>
        </w:rPr>
        <w:t>In this report we</w:t>
      </w:r>
      <w:r w:rsidR="0025507E">
        <w:rPr>
          <w:sz w:val="22"/>
          <w:szCs w:val="22"/>
        </w:rPr>
        <w:t xml:space="preserve"> first</w:t>
      </w:r>
      <w:r w:rsidRPr="00DC3D8E">
        <w:rPr>
          <w:sz w:val="22"/>
          <w:szCs w:val="22"/>
        </w:rPr>
        <w:t xml:space="preserve"> provide a summary of our </w:t>
      </w:r>
      <w:r w:rsidR="0025507E">
        <w:rPr>
          <w:sz w:val="22"/>
          <w:szCs w:val="22"/>
        </w:rPr>
        <w:t xml:space="preserve">legislative </w:t>
      </w:r>
      <w:r w:rsidRPr="00DC3D8E">
        <w:rPr>
          <w:sz w:val="22"/>
          <w:szCs w:val="22"/>
        </w:rPr>
        <w:t xml:space="preserve">findings, </w:t>
      </w:r>
      <w:bookmarkStart w:id="33" w:name="_Hlk61000146"/>
      <w:r w:rsidRPr="00DC3D8E">
        <w:rPr>
          <w:sz w:val="22"/>
          <w:szCs w:val="22"/>
        </w:rPr>
        <w:t xml:space="preserve">as well as suggested questions for the Committee to ask </w:t>
      </w:r>
      <w:r w:rsidR="00AF07D0">
        <w:rPr>
          <w:sz w:val="22"/>
          <w:szCs w:val="22"/>
        </w:rPr>
        <w:t>the Republic of the Philippines</w:t>
      </w:r>
      <w:r w:rsidR="0025507E">
        <w:rPr>
          <w:sz w:val="22"/>
          <w:szCs w:val="22"/>
        </w:rPr>
        <w:t xml:space="preserve"> </w:t>
      </w:r>
      <w:r w:rsidRPr="00DC3D8E">
        <w:rPr>
          <w:sz w:val="22"/>
          <w:szCs w:val="22"/>
        </w:rPr>
        <w:t xml:space="preserve">and topics we hope the Committee will address in its concluding observations. </w:t>
      </w:r>
      <w:bookmarkEnd w:id="33"/>
      <w:r w:rsidRPr="00DC3D8E">
        <w:rPr>
          <w:sz w:val="22"/>
          <w:szCs w:val="22"/>
        </w:rPr>
        <w:t xml:space="preserve">This summary is followed by detailed constitutional and legislative excerpts documenting our findings. We hope the Committee will recommend that </w:t>
      </w:r>
      <w:r w:rsidR="00AF07D0">
        <w:rPr>
          <w:sz w:val="22"/>
          <w:szCs w:val="22"/>
        </w:rPr>
        <w:t>the Philippines</w:t>
      </w:r>
      <w:r w:rsidRPr="00DC3D8E">
        <w:rPr>
          <w:sz w:val="22"/>
          <w:szCs w:val="22"/>
        </w:rPr>
        <w:t xml:space="preserve"> 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AF07D0">
        <w:rPr>
          <w:sz w:val="22"/>
          <w:szCs w:val="22"/>
        </w:rPr>
        <w:t>the Philippines</w:t>
      </w:r>
      <w:r w:rsidRPr="00DC3D8E">
        <w:rPr>
          <w:sz w:val="22"/>
          <w:szCs w:val="22"/>
        </w:rPr>
        <w:t xml:space="preserve"> for having provisions in place, we hope the Committee will recommend that </w:t>
      </w:r>
      <w:r w:rsidR="00AF07D0">
        <w:rPr>
          <w:sz w:val="22"/>
          <w:szCs w:val="22"/>
        </w:rPr>
        <w:t>the Philippines</w:t>
      </w:r>
      <w:r w:rsidRPr="00DC3D8E">
        <w:rPr>
          <w:sz w:val="22"/>
          <w:szCs w:val="22"/>
        </w:rPr>
        <w:t xml:space="preserve"> work with stakeholders to overcome any obstacles in implementing these provisions.</w:t>
      </w:r>
    </w:p>
    <w:bookmarkEnd w:id="32"/>
    <w:p w14:paraId="69D3C626" w14:textId="77777777" w:rsidR="00ED4891" w:rsidRDefault="00ED4891" w:rsidP="00ED4891">
      <w:pPr>
        <w:rPr>
          <w:b/>
          <w:i/>
        </w:rPr>
      </w:pPr>
    </w:p>
    <w:p w14:paraId="7C65907E" w14:textId="77777777" w:rsidR="00DF6F0C" w:rsidRDefault="00DF6F0C" w:rsidP="00ED4891">
      <w:pPr>
        <w:rPr>
          <w:b/>
          <w:i/>
        </w:rPr>
      </w:pPr>
    </w:p>
    <w:p w14:paraId="5F65392B" w14:textId="77777777" w:rsidR="00ED4891" w:rsidRDefault="00ED4891" w:rsidP="00ED4891">
      <w:pPr>
        <w:rPr>
          <w:b/>
          <w:i/>
        </w:rPr>
      </w:pPr>
    </w:p>
    <w:p w14:paraId="494F0927" w14:textId="77777777" w:rsidR="00A86978" w:rsidRDefault="00A86978" w:rsidP="00ED4891">
      <w:pPr>
        <w:rPr>
          <w:b/>
          <w:i/>
        </w:rPr>
      </w:pPr>
    </w:p>
    <w:p w14:paraId="781EF189" w14:textId="77777777" w:rsidR="00232BDF" w:rsidRDefault="00232BDF">
      <w:pPr>
        <w:rPr>
          <w:rFonts w:eastAsia="Times New Roman"/>
          <w:b/>
          <w:bCs/>
          <w:caps/>
          <w:color w:val="FFFFFF" w:themeColor="background1"/>
          <w:spacing w:val="15"/>
          <w:sz w:val="22"/>
          <w:szCs w:val="22"/>
        </w:rPr>
      </w:pPr>
      <w:bookmarkStart w:id="34" w:name="_Toc56070607"/>
      <w:bookmarkStart w:id="35" w:name="_Toc56079790"/>
      <w:bookmarkStart w:id="36" w:name="_Hlk56078328"/>
      <w:bookmarkStart w:id="37" w:name="_Toc58844323"/>
      <w:bookmarkStart w:id="38" w:name="_Toc100835557"/>
      <w:bookmarkStart w:id="39" w:name="_Hlk55550733"/>
      <w:r>
        <w:rPr>
          <w:rFonts w:eastAsia="Times New Roman"/>
          <w:b/>
          <w:bCs/>
        </w:rPr>
        <w:br w:type="page"/>
      </w:r>
    </w:p>
    <w:p w14:paraId="562502D7" w14:textId="00A652E3" w:rsidR="0096441A" w:rsidRDefault="0096441A" w:rsidP="00A52B2B">
      <w:pPr>
        <w:pStyle w:val="Heading1"/>
        <w:rPr>
          <w:rFonts w:eastAsia="Times New Roman"/>
          <w:b/>
          <w:bCs/>
        </w:rPr>
      </w:pPr>
      <w:r>
        <w:rPr>
          <w:rFonts w:eastAsia="Times New Roman"/>
          <w:b/>
          <w:bCs/>
        </w:rPr>
        <w:lastRenderedPageBreak/>
        <w:t>Summary of Findings and Recommendations</w:t>
      </w:r>
      <w:bookmarkEnd w:id="34"/>
      <w:bookmarkEnd w:id="35"/>
      <w:bookmarkEnd w:id="36"/>
      <w:bookmarkEnd w:id="37"/>
      <w:bookmarkEnd w:id="38"/>
    </w:p>
    <w:p w14:paraId="07C67AC0" w14:textId="77777777" w:rsidR="00541F61" w:rsidRPr="00541F61" w:rsidRDefault="00541F61" w:rsidP="00541F61"/>
    <w:p w14:paraId="64EAC580" w14:textId="68D60931"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0" w:name="_Toc58844325"/>
      <w:bookmarkStart w:id="41" w:name="_Toc100835558"/>
      <w:r w:rsidRPr="003C541A">
        <w:rPr>
          <w:rFonts w:ascii="Calibri Light" w:eastAsia="Times New Roman" w:hAnsi="Calibri Light" w:cs="Times New Roman"/>
          <w:bCs/>
          <w:color w:val="2E74B5"/>
          <w:sz w:val="26"/>
          <w:szCs w:val="26"/>
        </w:rPr>
        <w:t>Non-Discrimination in Work and Employment (Article 11)</w:t>
      </w:r>
      <w:bookmarkEnd w:id="40"/>
      <w:bookmarkEnd w:id="41"/>
    </w:p>
    <w:p w14:paraId="1DA79FB6" w14:textId="7FC654BA" w:rsidR="00296E2B" w:rsidRDefault="00296E2B" w:rsidP="00296E2B">
      <w:pPr>
        <w:rPr>
          <w:b/>
          <w:color w:val="000000" w:themeColor="text1"/>
          <w:sz w:val="22"/>
          <w:szCs w:val="22"/>
        </w:rPr>
      </w:pPr>
      <w:r w:rsidRPr="00296E2B">
        <w:rPr>
          <w:color w:val="000000" w:themeColor="text1"/>
          <w:sz w:val="22"/>
          <w:szCs w:val="22"/>
        </w:rPr>
        <w:t xml:space="preserve">Our review of legislation found that the </w:t>
      </w:r>
      <w:r>
        <w:rPr>
          <w:color w:val="000000" w:themeColor="text1"/>
          <w:sz w:val="22"/>
          <w:szCs w:val="22"/>
        </w:rPr>
        <w:t xml:space="preserve">Philippines </w:t>
      </w:r>
      <w:r w:rsidR="00C313E5">
        <w:rPr>
          <w:color w:val="000000" w:themeColor="text1"/>
          <w:sz w:val="22"/>
          <w:szCs w:val="22"/>
        </w:rPr>
        <w:t>prohibits</w:t>
      </w:r>
      <w:r w:rsidRPr="00296E2B">
        <w:rPr>
          <w:color w:val="000000" w:themeColor="text1"/>
          <w:sz w:val="22"/>
          <w:szCs w:val="22"/>
        </w:rPr>
        <w:t xml:space="preserve"> </w:t>
      </w:r>
      <w:r w:rsidR="00E226E4">
        <w:rPr>
          <w:color w:val="000000" w:themeColor="text1"/>
          <w:sz w:val="22"/>
          <w:szCs w:val="22"/>
        </w:rPr>
        <w:t>sex</w:t>
      </w:r>
      <w:r w:rsidR="00E226E4" w:rsidRPr="00296E2B">
        <w:rPr>
          <w:color w:val="000000" w:themeColor="text1"/>
          <w:sz w:val="22"/>
          <w:szCs w:val="22"/>
        </w:rPr>
        <w:t xml:space="preserve"> </w:t>
      </w:r>
      <w:r w:rsidRPr="00296E2B">
        <w:rPr>
          <w:color w:val="000000" w:themeColor="text1"/>
          <w:sz w:val="22"/>
          <w:szCs w:val="22"/>
        </w:rPr>
        <w:t xml:space="preserve">discrimination in </w:t>
      </w:r>
      <w:r>
        <w:rPr>
          <w:color w:val="000000" w:themeColor="text1"/>
          <w:sz w:val="22"/>
          <w:szCs w:val="22"/>
        </w:rPr>
        <w:t xml:space="preserve">promotions and/or demotions, </w:t>
      </w:r>
      <w:r w:rsidRPr="00296E2B">
        <w:rPr>
          <w:color w:val="000000" w:themeColor="text1"/>
          <w:sz w:val="22"/>
          <w:szCs w:val="22"/>
        </w:rPr>
        <w:t xml:space="preserve">vocational training and compensation, as well </w:t>
      </w:r>
      <w:r w:rsidR="00C45301">
        <w:rPr>
          <w:color w:val="000000" w:themeColor="text1"/>
          <w:sz w:val="22"/>
          <w:szCs w:val="22"/>
        </w:rPr>
        <w:t>protecting against</w:t>
      </w:r>
      <w:r w:rsidRPr="00296E2B">
        <w:rPr>
          <w:color w:val="000000" w:themeColor="text1"/>
          <w:sz w:val="22"/>
          <w:szCs w:val="22"/>
        </w:rPr>
        <w:t xml:space="preserve"> </w:t>
      </w:r>
      <w:r w:rsidR="00E226E4">
        <w:rPr>
          <w:color w:val="000000" w:themeColor="text1"/>
          <w:sz w:val="22"/>
          <w:szCs w:val="22"/>
        </w:rPr>
        <w:t>sex</w:t>
      </w:r>
      <w:r>
        <w:rPr>
          <w:color w:val="000000" w:themeColor="text1"/>
          <w:sz w:val="22"/>
          <w:szCs w:val="22"/>
        </w:rPr>
        <w:t xml:space="preserve">-based workplace harassment, indirect discrimination, and </w:t>
      </w:r>
      <w:r w:rsidRPr="00296E2B">
        <w:rPr>
          <w:color w:val="000000" w:themeColor="text1"/>
          <w:sz w:val="22"/>
          <w:szCs w:val="22"/>
        </w:rPr>
        <w:t>retaliatory action against women that report discrimination</w:t>
      </w:r>
      <w:r>
        <w:rPr>
          <w:color w:val="000000" w:themeColor="text1"/>
          <w:sz w:val="22"/>
          <w:szCs w:val="22"/>
        </w:rPr>
        <w:t xml:space="preserve">. </w:t>
      </w:r>
      <w:r w:rsidR="00666A64">
        <w:rPr>
          <w:color w:val="000000" w:themeColor="text1"/>
          <w:sz w:val="22"/>
          <w:szCs w:val="22"/>
        </w:rPr>
        <w:t xml:space="preserve">The Philippines further prohibits discrimination on the basis of a woman’s marital status, as well as discriminatory terminations on the basis of pregnancy. </w:t>
      </w:r>
      <w:r>
        <w:rPr>
          <w:color w:val="000000" w:themeColor="text1"/>
          <w:sz w:val="22"/>
          <w:szCs w:val="22"/>
        </w:rPr>
        <w:t>H</w:t>
      </w:r>
      <w:r w:rsidRPr="00296E2B">
        <w:rPr>
          <w:color w:val="000000" w:themeColor="text1"/>
          <w:sz w:val="22"/>
          <w:szCs w:val="22"/>
        </w:rPr>
        <w:t xml:space="preserve">owever, </w:t>
      </w:r>
      <w:r w:rsidRPr="00296E2B">
        <w:rPr>
          <w:b/>
          <w:color w:val="000000" w:themeColor="text1"/>
          <w:sz w:val="22"/>
          <w:szCs w:val="22"/>
        </w:rPr>
        <w:t xml:space="preserve">we did not identify any </w:t>
      </w:r>
      <w:r w:rsidR="009B0109">
        <w:rPr>
          <w:b/>
          <w:color w:val="000000" w:themeColor="text1"/>
          <w:sz w:val="22"/>
          <w:szCs w:val="22"/>
        </w:rPr>
        <w:t xml:space="preserve">legislative </w:t>
      </w:r>
      <w:r w:rsidRPr="00296E2B">
        <w:rPr>
          <w:b/>
          <w:color w:val="000000" w:themeColor="text1"/>
          <w:sz w:val="22"/>
          <w:szCs w:val="22"/>
        </w:rPr>
        <w:t xml:space="preserve">provisions </w:t>
      </w:r>
      <w:r w:rsidR="00C313E5">
        <w:rPr>
          <w:b/>
          <w:color w:val="000000" w:themeColor="text1"/>
          <w:sz w:val="22"/>
          <w:szCs w:val="22"/>
        </w:rPr>
        <w:t>prohibiting sex-based</w:t>
      </w:r>
      <w:r w:rsidRPr="00296E2B">
        <w:rPr>
          <w:b/>
          <w:color w:val="000000" w:themeColor="text1"/>
          <w:sz w:val="22"/>
          <w:szCs w:val="22"/>
        </w:rPr>
        <w:t xml:space="preserve"> discrimination in hiring </w:t>
      </w:r>
      <w:r>
        <w:rPr>
          <w:b/>
          <w:color w:val="000000" w:themeColor="text1"/>
          <w:sz w:val="22"/>
          <w:szCs w:val="22"/>
        </w:rPr>
        <w:t>or</w:t>
      </w:r>
      <w:r w:rsidRPr="00296E2B">
        <w:rPr>
          <w:b/>
          <w:color w:val="000000" w:themeColor="text1"/>
          <w:sz w:val="22"/>
          <w:szCs w:val="22"/>
        </w:rPr>
        <w:t xml:space="preserve"> terminations</w:t>
      </w:r>
      <w:r w:rsidR="00666A64">
        <w:rPr>
          <w:b/>
          <w:color w:val="000000" w:themeColor="text1"/>
          <w:sz w:val="22"/>
          <w:szCs w:val="22"/>
        </w:rPr>
        <w:t>, and we did not identify legislative provisions prohibiting discrimination on the basis of family status</w:t>
      </w:r>
      <w:r w:rsidRPr="00296E2B">
        <w:rPr>
          <w:b/>
          <w:color w:val="000000" w:themeColor="text1"/>
          <w:sz w:val="22"/>
          <w:szCs w:val="22"/>
        </w:rPr>
        <w:t xml:space="preserve">. </w:t>
      </w:r>
    </w:p>
    <w:p w14:paraId="2388C999" w14:textId="4990BC11" w:rsidR="00F940E4" w:rsidRPr="007E39CF" w:rsidRDefault="00072ECE" w:rsidP="007E39CF">
      <w:pPr>
        <w:rPr>
          <w:color w:val="000000" w:themeColor="text1"/>
          <w:sz w:val="22"/>
          <w:szCs w:val="22"/>
        </w:rPr>
      </w:pPr>
      <w:r>
        <w:rPr>
          <w:noProof/>
          <w:color w:val="000000" w:themeColor="text1"/>
          <w:sz w:val="22"/>
          <w:szCs w:val="22"/>
        </w:rPr>
        <mc:AlternateContent>
          <mc:Choice Requires="wps">
            <w:drawing>
              <wp:inline distT="0" distB="0" distL="0" distR="0" wp14:anchorId="0B12227C" wp14:editId="61EE1814">
                <wp:extent cx="5876925" cy="3228975"/>
                <wp:effectExtent l="38100" t="38100" r="123825" b="123825"/>
                <wp:docPr id="2" name="Text Box 2"/>
                <wp:cNvGraphicFramePr/>
                <a:graphic xmlns:a="http://schemas.openxmlformats.org/drawingml/2006/main">
                  <a:graphicData uri="http://schemas.microsoft.com/office/word/2010/wordprocessingShape">
                    <wps:wsp>
                      <wps:cNvSpPr txBox="1"/>
                      <wps:spPr>
                        <a:xfrm>
                          <a:off x="0" y="0"/>
                          <a:ext cx="5876925" cy="3228975"/>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103A22B5" w14:textId="31E4F39C" w:rsidR="00072ECE" w:rsidRPr="00072ECE" w:rsidRDefault="00072ECE" w:rsidP="00072ECE">
                            <w:pPr>
                              <w:pStyle w:val="Heading2"/>
                              <w:jc w:val="center"/>
                              <w:rPr>
                                <w:b/>
                              </w:rPr>
                            </w:pPr>
                            <w:r w:rsidRPr="00072ECE">
                              <w:rPr>
                                <w:b/>
                              </w:rPr>
                              <w:t>Recommended Questions for the List of Issues and Concluding Observations</w:t>
                            </w:r>
                          </w:p>
                          <w:p w14:paraId="5C632CF7" w14:textId="77777777" w:rsidR="00072ECE" w:rsidRPr="00072ECE" w:rsidRDefault="00072ECE" w:rsidP="00072ECE">
                            <w:pPr>
                              <w:rPr>
                                <w:color w:val="000000" w:themeColor="text1"/>
                                <w:sz w:val="22"/>
                                <w:szCs w:val="22"/>
                              </w:rPr>
                            </w:pPr>
                            <w:r w:rsidRPr="00072ECE">
                              <w:rPr>
                                <w:color w:val="000000" w:themeColor="text1"/>
                                <w:sz w:val="22"/>
                                <w:szCs w:val="22"/>
                              </w:rPr>
                              <w:t>We hope the Committee will:</w:t>
                            </w:r>
                          </w:p>
                          <w:p w14:paraId="63C0DBD1" w14:textId="77777777" w:rsidR="00072ECE" w:rsidRPr="00C45301" w:rsidRDefault="00072ECE" w:rsidP="00072ECE">
                            <w:pPr>
                              <w:pStyle w:val="ListParagraph"/>
                              <w:numPr>
                                <w:ilvl w:val="0"/>
                                <w:numId w:val="5"/>
                              </w:numPr>
                              <w:rPr>
                                <w:sz w:val="22"/>
                                <w:szCs w:val="22"/>
                              </w:rPr>
                            </w:pPr>
                            <w:r w:rsidRPr="00C45301">
                              <w:rPr>
                                <w:sz w:val="22"/>
                                <w:szCs w:val="22"/>
                              </w:rPr>
                              <w:t>In its list of issues, ask the Philippines: Can the Philippines outline any concrete, near-term plans to pass legislation that explicitly prohibits sex -based discrimination in other dimensions of work, including hiring and terminations?</w:t>
                            </w:r>
                          </w:p>
                          <w:p w14:paraId="78BDC3D4" w14:textId="77777777" w:rsidR="00072ECE" w:rsidRPr="00C45301" w:rsidRDefault="00072ECE" w:rsidP="00072ECE">
                            <w:pPr>
                              <w:pStyle w:val="ListParagraph"/>
                              <w:numPr>
                                <w:ilvl w:val="1"/>
                                <w:numId w:val="5"/>
                              </w:numPr>
                              <w:rPr>
                                <w:sz w:val="22"/>
                                <w:szCs w:val="22"/>
                              </w:rPr>
                            </w:pPr>
                            <w:r w:rsidRPr="00C45301">
                              <w:rPr>
                                <w:sz w:val="22"/>
                                <w:szCs w:val="22"/>
                              </w:rPr>
                              <w:t xml:space="preserve">If concrete, near-term plans are not in place, recommend in its concluding observations that the Philippines pass and implement legislation that explicitly prohibits sex-based discrimination in hiring and terminations. </w:t>
                            </w:r>
                          </w:p>
                          <w:p w14:paraId="230E933B" w14:textId="77777777" w:rsidR="00072ECE" w:rsidRPr="00C45301" w:rsidRDefault="00072ECE" w:rsidP="00072ECE">
                            <w:pPr>
                              <w:pStyle w:val="ListParagraph"/>
                              <w:numPr>
                                <w:ilvl w:val="0"/>
                                <w:numId w:val="5"/>
                              </w:numPr>
                              <w:rPr>
                                <w:sz w:val="22"/>
                                <w:szCs w:val="22"/>
                              </w:rPr>
                            </w:pPr>
                            <w:r w:rsidRPr="00C45301">
                              <w:rPr>
                                <w:sz w:val="22"/>
                                <w:szCs w:val="22"/>
                              </w:rPr>
                              <w:t>In its list of issues, ask the Philippines: Can the Philippines outline any concrete, near-term plans to pass legislation that explicitly prohibits workplace discrimination on the basis of family status?</w:t>
                            </w:r>
                          </w:p>
                          <w:p w14:paraId="0132F19D" w14:textId="77777777" w:rsidR="00072ECE" w:rsidRPr="00C45301" w:rsidRDefault="00072ECE" w:rsidP="00072ECE">
                            <w:pPr>
                              <w:pStyle w:val="ListParagraph"/>
                              <w:numPr>
                                <w:ilvl w:val="1"/>
                                <w:numId w:val="5"/>
                              </w:numPr>
                              <w:rPr>
                                <w:sz w:val="22"/>
                                <w:szCs w:val="22"/>
                              </w:rPr>
                            </w:pPr>
                            <w:r w:rsidRPr="00C45301">
                              <w:rPr>
                                <w:sz w:val="22"/>
                                <w:szCs w:val="22"/>
                              </w:rPr>
                              <w:t>If concrete, near-term plans are not in place, recommend in its concluding observations that the Philippines pass and implement legislation that explicitly prohibits workplace discrimination on the basis of family status.</w:t>
                            </w:r>
                          </w:p>
                          <w:p w14:paraId="1445FF63" w14:textId="77777777" w:rsidR="00072ECE" w:rsidRDefault="00072E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0B12227C" id="_x0000_t202" coordsize="21600,21600" o:spt="202" path="m,l,21600r21600,l21600,xe">
                <v:stroke joinstyle="miter"/>
                <v:path gradientshapeok="t" o:connecttype="rect"/>
              </v:shapetype>
              <v:shape id="Text Box 2" o:spid="_x0000_s1026" type="#_x0000_t202" style="width:462.75pt;height:25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" fillcolor="white [3201]" strokeweight=".5pt">
                <v:shadow on="t" color="black" opacity="26214f" origin="-.5,-.5" offset=".74836mm,.74836mm"/>
                <v:textbox>
                  <w:txbxContent>
                    <w:p w14:paraId="103A22B5" w14:textId="31E4F39C" w:rsidR="00072ECE" w:rsidRPr="00072ECE" w:rsidRDefault="00072ECE" w:rsidP="00072ECE">
                      <w:pPr>
                        <w:pStyle w:val="Heading2"/>
                        <w:jc w:val="center"/>
                        <w:rPr>
                          <w:b/>
                        </w:rPr>
                      </w:pPr>
                      <w:r w:rsidRPr="00072ECE">
                        <w:rPr>
                          <w:b/>
                        </w:rPr>
                        <w:t>Recommended Questions for the List of Issues and Concluding Observations</w:t>
                      </w:r>
                    </w:p>
                    <w:p w14:paraId="5C632CF7" w14:textId="77777777" w:rsidR="00072ECE" w:rsidRPr="00072ECE" w:rsidRDefault="00072ECE" w:rsidP="00072ECE">
                      <w:pPr>
                        <w:rPr>
                          <w:color w:val="000000" w:themeColor="text1"/>
                          <w:sz w:val="22"/>
                          <w:szCs w:val="22"/>
                        </w:rPr>
                      </w:pPr>
                      <w:r w:rsidRPr="00072ECE">
                        <w:rPr>
                          <w:color w:val="000000" w:themeColor="text1"/>
                          <w:sz w:val="22"/>
                          <w:szCs w:val="22"/>
                        </w:rPr>
                        <w:t>We hope the Committee will:</w:t>
                      </w:r>
                    </w:p>
                    <w:p w14:paraId="63C0DBD1" w14:textId="77777777" w:rsidR="00072ECE" w:rsidRPr="00C45301" w:rsidRDefault="00072ECE" w:rsidP="00072ECE">
                      <w:pPr>
                        <w:pStyle w:val="ListParagraph"/>
                        <w:numPr>
                          <w:ilvl w:val="0"/>
                          <w:numId w:val="5"/>
                        </w:numPr>
                        <w:rPr>
                          <w:sz w:val="22"/>
                          <w:szCs w:val="22"/>
                        </w:rPr>
                      </w:pPr>
                      <w:r w:rsidRPr="00C45301">
                        <w:rPr>
                          <w:sz w:val="22"/>
                          <w:szCs w:val="22"/>
                        </w:rPr>
                        <w:t>In its list of issues, ask the Philippines: Can the Philippines outline any concrete, near-term plans to pass legislation that explicitly prohibits sex -based discrimination in other dimensions of work, including hiring and terminations?</w:t>
                      </w:r>
                    </w:p>
                    <w:p w14:paraId="78BDC3D4" w14:textId="77777777" w:rsidR="00072ECE" w:rsidRPr="00C45301" w:rsidRDefault="00072ECE" w:rsidP="00072ECE">
                      <w:pPr>
                        <w:pStyle w:val="ListParagraph"/>
                        <w:numPr>
                          <w:ilvl w:val="1"/>
                          <w:numId w:val="5"/>
                        </w:numPr>
                        <w:rPr>
                          <w:sz w:val="22"/>
                          <w:szCs w:val="22"/>
                        </w:rPr>
                      </w:pPr>
                      <w:r w:rsidRPr="00C45301">
                        <w:rPr>
                          <w:sz w:val="22"/>
                          <w:szCs w:val="22"/>
                        </w:rPr>
                        <w:t xml:space="preserve">If concrete, near-term plans are not in place, recommend in its concluding observations that the Philippines pass and implement legislation that explicitly prohibits sex-based discrimination in hiring and terminations. </w:t>
                      </w:r>
                    </w:p>
                    <w:p w14:paraId="230E933B" w14:textId="77777777" w:rsidR="00072ECE" w:rsidRPr="00C45301" w:rsidRDefault="00072ECE" w:rsidP="00072ECE">
                      <w:pPr>
                        <w:pStyle w:val="ListParagraph"/>
                        <w:numPr>
                          <w:ilvl w:val="0"/>
                          <w:numId w:val="5"/>
                        </w:numPr>
                        <w:rPr>
                          <w:sz w:val="22"/>
                          <w:szCs w:val="22"/>
                        </w:rPr>
                      </w:pPr>
                      <w:r w:rsidRPr="00C45301">
                        <w:rPr>
                          <w:sz w:val="22"/>
                          <w:szCs w:val="22"/>
                        </w:rPr>
                        <w:t>In its list of issues, ask the Philippines: Can the Philippines outline any concrete, near-term plans to pass legislation that explicitly prohibits workplace discrimination on the basis of family status?</w:t>
                      </w:r>
                    </w:p>
                    <w:p w14:paraId="0132F19D" w14:textId="77777777" w:rsidR="00072ECE" w:rsidRPr="00C45301" w:rsidRDefault="00072ECE" w:rsidP="00072ECE">
                      <w:pPr>
                        <w:pStyle w:val="ListParagraph"/>
                        <w:numPr>
                          <w:ilvl w:val="1"/>
                          <w:numId w:val="5"/>
                        </w:numPr>
                        <w:rPr>
                          <w:sz w:val="22"/>
                          <w:szCs w:val="22"/>
                        </w:rPr>
                      </w:pPr>
                      <w:r w:rsidRPr="00C45301">
                        <w:rPr>
                          <w:sz w:val="22"/>
                          <w:szCs w:val="22"/>
                        </w:rPr>
                        <w:t>If concrete, near-term plans are not in place, recommend in its concluding observations that the Philippines pass and implement legislation that explicitly prohibits workplace discrimination on the basis of family status.</w:t>
                      </w:r>
                    </w:p>
                    <w:p w14:paraId="1445FF63" w14:textId="77777777" w:rsidR="00072ECE" w:rsidRDefault="00072ECE"/>
                  </w:txbxContent>
                </v:textbox>
                <w10:anchorlock/>
              </v:shape>
            </w:pict>
          </mc:Fallback>
        </mc:AlternateContent>
      </w:r>
    </w:p>
    <w:p w14:paraId="40370598" w14:textId="77777777"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2" w:name="_Toc58844327"/>
      <w:bookmarkStart w:id="43" w:name="_Toc100835559"/>
      <w:r w:rsidRPr="003C541A">
        <w:rPr>
          <w:rFonts w:ascii="Calibri Light" w:eastAsia="Times New Roman" w:hAnsi="Calibri Light" w:cs="Times New Roman"/>
          <w:bCs/>
          <w:color w:val="2E74B5"/>
          <w:sz w:val="26"/>
          <w:szCs w:val="26"/>
        </w:rPr>
        <w:t>Paid Maternity and Paternity Leave (Articles 11, 5)</w:t>
      </w:r>
      <w:bookmarkEnd w:id="42"/>
      <w:bookmarkEnd w:id="43"/>
    </w:p>
    <w:p w14:paraId="19DE7EF3" w14:textId="0A11E3A0" w:rsidR="00296E2B" w:rsidRDefault="00296E2B" w:rsidP="00296E2B">
      <w:pPr>
        <w:spacing w:after="0"/>
        <w:rPr>
          <w:sz w:val="22"/>
          <w:szCs w:val="22"/>
        </w:rPr>
      </w:pPr>
      <w:r w:rsidRPr="00296E2B">
        <w:rPr>
          <w:sz w:val="22"/>
          <w:szCs w:val="22"/>
        </w:rPr>
        <w:t>Based on our systematic review</w:t>
      </w:r>
      <w:r>
        <w:t xml:space="preserve"> </w:t>
      </w:r>
      <w:r w:rsidRPr="00296E2B">
        <w:rPr>
          <w:sz w:val="22"/>
          <w:szCs w:val="22"/>
        </w:rPr>
        <w:t xml:space="preserve">of national legislation and country reports, </w:t>
      </w:r>
      <w:r>
        <w:rPr>
          <w:sz w:val="22"/>
          <w:szCs w:val="22"/>
        </w:rPr>
        <w:t>the Philippines</w:t>
      </w:r>
      <w:r w:rsidRPr="00296E2B">
        <w:rPr>
          <w:sz w:val="22"/>
          <w:szCs w:val="22"/>
        </w:rPr>
        <w:t xml:space="preserve"> guarantees working mothers </w:t>
      </w:r>
      <w:r>
        <w:rPr>
          <w:sz w:val="22"/>
          <w:szCs w:val="22"/>
        </w:rPr>
        <w:t>15</w:t>
      </w:r>
      <w:r w:rsidRPr="00296E2B">
        <w:rPr>
          <w:sz w:val="22"/>
          <w:szCs w:val="22"/>
        </w:rPr>
        <w:t xml:space="preserve"> weeks of paid maternity leave</w:t>
      </w:r>
      <w:r w:rsidR="00121C7E">
        <w:rPr>
          <w:sz w:val="22"/>
          <w:szCs w:val="22"/>
        </w:rPr>
        <w:t>.</w:t>
      </w:r>
      <w:r w:rsidR="00431433">
        <w:rPr>
          <w:sz w:val="22"/>
          <w:szCs w:val="22"/>
        </w:rPr>
        <w:t xml:space="preserve"> Paid maternity leave provisions are inclusive of </w:t>
      </w:r>
      <w:r w:rsidR="00121935">
        <w:rPr>
          <w:sz w:val="22"/>
          <w:szCs w:val="22"/>
        </w:rPr>
        <w:t xml:space="preserve">all workers in the informal economy, </w:t>
      </w:r>
      <w:r w:rsidR="00431433">
        <w:rPr>
          <w:sz w:val="22"/>
          <w:szCs w:val="22"/>
        </w:rPr>
        <w:t xml:space="preserve">as well as </w:t>
      </w:r>
      <w:r w:rsidR="00121935">
        <w:rPr>
          <w:sz w:val="22"/>
          <w:szCs w:val="22"/>
        </w:rPr>
        <w:t>of self-employed women specifically.</w:t>
      </w:r>
      <w:r w:rsidR="00121C7E">
        <w:rPr>
          <w:sz w:val="22"/>
          <w:szCs w:val="22"/>
        </w:rPr>
        <w:t xml:space="preserve"> For working fathers, the Philippines</w:t>
      </w:r>
      <w:r w:rsidRPr="00296E2B">
        <w:rPr>
          <w:sz w:val="22"/>
          <w:szCs w:val="22"/>
        </w:rPr>
        <w:t xml:space="preserve"> guarantees </w:t>
      </w:r>
      <w:r>
        <w:rPr>
          <w:sz w:val="22"/>
          <w:szCs w:val="22"/>
        </w:rPr>
        <w:t>1</w:t>
      </w:r>
      <w:r w:rsidRPr="00296E2B">
        <w:rPr>
          <w:sz w:val="22"/>
          <w:szCs w:val="22"/>
        </w:rPr>
        <w:t xml:space="preserve"> week of paid leave.</w:t>
      </w:r>
      <w:r w:rsidR="00121C7E">
        <w:rPr>
          <w:sz w:val="22"/>
          <w:szCs w:val="22"/>
        </w:rPr>
        <w:t xml:space="preserve"> Additionally, one week of the mother’s paid maternity leave can be transferred to the father.</w:t>
      </w:r>
    </w:p>
    <w:p w14:paraId="07B8E4E1" w14:textId="77777777" w:rsidR="00296E2B" w:rsidRDefault="00296E2B" w:rsidP="00296E2B">
      <w:pPr>
        <w:spacing w:after="0"/>
        <w:rPr>
          <w:sz w:val="22"/>
          <w:szCs w:val="22"/>
        </w:rPr>
      </w:pPr>
    </w:p>
    <w:p w14:paraId="56F47647" w14:textId="5F59CABC" w:rsidR="00296E2B" w:rsidRPr="00296E2B" w:rsidRDefault="00072ECE" w:rsidP="00C45301">
      <w:pPr>
        <w:spacing w:before="0" w:after="160"/>
      </w:pPr>
      <w:r>
        <w:rPr>
          <w:noProof/>
        </w:rPr>
        <w:lastRenderedPageBreak/>
        <mc:AlternateContent>
          <mc:Choice Requires="wps">
            <w:drawing>
              <wp:inline distT="0" distB="0" distL="0" distR="0" wp14:anchorId="6CFE88E4" wp14:editId="74225463">
                <wp:extent cx="5953125" cy="3143250"/>
                <wp:effectExtent l="57150" t="19050" r="85725" b="114300"/>
                <wp:docPr id="3" name="Text Box 3"/>
                <wp:cNvGraphicFramePr/>
                <a:graphic xmlns:a="http://schemas.openxmlformats.org/drawingml/2006/main">
                  <a:graphicData uri="http://schemas.microsoft.com/office/word/2010/wordprocessingShape">
                    <wps:wsp>
                      <wps:cNvSpPr txBox="1"/>
                      <wps:spPr>
                        <a:xfrm>
                          <a:off x="0" y="0"/>
                          <a:ext cx="5953125" cy="3143250"/>
                        </a:xfrm>
                        <a:prstGeom prst="rect">
                          <a:avLst/>
                        </a:prstGeom>
                        <a:solidFill>
                          <a:schemeClr val="lt1"/>
                        </a:solidFill>
                        <a:ln w="6350">
                          <a:solidFill>
                            <a:prstClr val="black"/>
                          </a:solidFill>
                        </a:ln>
                        <a:effectLst>
                          <a:outerShdw blurRad="50800" dist="38100" dir="5400000" algn="t" rotWithShape="0">
                            <a:prstClr val="black">
                              <a:alpha val="40000"/>
                            </a:prstClr>
                          </a:outerShdw>
                        </a:effectLst>
                      </wps:spPr>
                      <wps:txbx>
                        <w:txbxContent>
                          <w:p w14:paraId="33FB4B8C" w14:textId="0F87EB86" w:rsidR="00072ECE" w:rsidRPr="007E39CF" w:rsidRDefault="003C362E" w:rsidP="007E39CF">
                            <w:pPr>
                              <w:pStyle w:val="Heading2"/>
                              <w:jc w:val="center"/>
                              <w:rPr>
                                <w:b/>
                              </w:rPr>
                            </w:pPr>
                            <w:r w:rsidRPr="007E39CF">
                              <w:rPr>
                                <w:b/>
                              </w:rPr>
                              <w:t xml:space="preserve">Recommended </w:t>
                            </w:r>
                            <w:r w:rsidR="007E39CF" w:rsidRPr="007E39CF">
                              <w:rPr>
                                <w:b/>
                              </w:rPr>
                              <w:t>Questions for the List of Issues and Concluding Observations</w:t>
                            </w:r>
                          </w:p>
                          <w:p w14:paraId="14F4184B" w14:textId="77777777" w:rsidR="003C362E" w:rsidRPr="007E39CF" w:rsidRDefault="003C362E" w:rsidP="003C362E">
                            <w:pPr>
                              <w:rPr>
                                <w:sz w:val="22"/>
                                <w:szCs w:val="22"/>
                              </w:rPr>
                            </w:pPr>
                            <w:r w:rsidRPr="007E39CF">
                              <w:rPr>
                                <w:sz w:val="22"/>
                                <w:szCs w:val="22"/>
                              </w:rPr>
                              <w:t xml:space="preserve">We hope the Committee will: </w:t>
                            </w:r>
                          </w:p>
                          <w:p w14:paraId="7354B7A1" w14:textId="6B561CCE" w:rsidR="003C362E" w:rsidRPr="00034C3A" w:rsidRDefault="003C362E" w:rsidP="003C362E">
                            <w:pPr>
                              <w:pStyle w:val="ListParagraph"/>
                              <w:numPr>
                                <w:ilvl w:val="0"/>
                                <w:numId w:val="8"/>
                              </w:numPr>
                              <w:spacing w:before="0" w:after="160"/>
                              <w:rPr>
                                <w:sz w:val="22"/>
                                <w:szCs w:val="22"/>
                              </w:rPr>
                            </w:pPr>
                            <w:r w:rsidRPr="00034C3A">
                              <w:rPr>
                                <w:sz w:val="22"/>
                                <w:szCs w:val="22"/>
                              </w:rPr>
                              <w:t xml:space="preserve">In its list of issues, ask the Philippines: Can the Philippines demonstrate how paid maternity leave provisions are being implemented to be inclusive of all female workers, </w:t>
                            </w:r>
                            <w:r>
                              <w:rPr>
                                <w:sz w:val="22"/>
                                <w:szCs w:val="22"/>
                              </w:rPr>
                              <w:t>particularly the provisions for workers in the informal economy included in the Maternity Leave Expansion Act</w:t>
                            </w:r>
                            <w:r w:rsidRPr="00034C3A">
                              <w:rPr>
                                <w:sz w:val="22"/>
                                <w:szCs w:val="22"/>
                              </w:rPr>
                              <w:t xml:space="preserve">?  </w:t>
                            </w:r>
                          </w:p>
                          <w:p w14:paraId="14159925" w14:textId="77777777" w:rsidR="003C362E" w:rsidRPr="00034C3A" w:rsidRDefault="003C362E" w:rsidP="003C362E">
                            <w:pPr>
                              <w:pStyle w:val="ListParagraph"/>
                              <w:numPr>
                                <w:ilvl w:val="1"/>
                                <w:numId w:val="8"/>
                              </w:numPr>
                              <w:spacing w:before="0" w:after="160"/>
                              <w:rPr>
                                <w:sz w:val="22"/>
                                <w:szCs w:val="22"/>
                              </w:rPr>
                            </w:pPr>
                            <w:r w:rsidRPr="00034C3A">
                              <w:rPr>
                                <w:sz w:val="22"/>
                                <w:szCs w:val="22"/>
                              </w:rPr>
                              <w:t>If the Philippines is not fully implementing these guarantees to be inclusive of all female workers, recommend in its concluding observations that the Philippines explore how to fully and effectively expand these guarantees to do so.</w:t>
                            </w:r>
                          </w:p>
                          <w:p w14:paraId="1BA0EB72" w14:textId="77777777" w:rsidR="003C362E" w:rsidRPr="00072ECE" w:rsidRDefault="003C362E" w:rsidP="003C362E">
                            <w:pPr>
                              <w:pStyle w:val="ListParagraph"/>
                              <w:numPr>
                                <w:ilvl w:val="0"/>
                                <w:numId w:val="8"/>
                              </w:numPr>
                              <w:spacing w:before="0" w:after="160"/>
                            </w:pPr>
                            <w:r w:rsidRPr="00296E2B">
                              <w:rPr>
                                <w:sz w:val="22"/>
                                <w:szCs w:val="22"/>
                              </w:rPr>
                              <w:t>In its concluding observations, recommend</w:t>
                            </w:r>
                            <w:r>
                              <w:rPr>
                                <w:sz w:val="22"/>
                                <w:szCs w:val="22"/>
                              </w:rPr>
                              <w:t xml:space="preserve"> that</w:t>
                            </w:r>
                            <w:r w:rsidRPr="00296E2B">
                              <w:rPr>
                                <w:sz w:val="22"/>
                                <w:szCs w:val="22"/>
                              </w:rPr>
                              <w:t xml:space="preserve"> </w:t>
                            </w:r>
                            <w:r>
                              <w:rPr>
                                <w:sz w:val="22"/>
                                <w:szCs w:val="22"/>
                              </w:rPr>
                              <w:t>the Philippines</w:t>
                            </w:r>
                            <w:r w:rsidRPr="00296E2B">
                              <w:rPr>
                                <w:sz w:val="22"/>
                                <w:szCs w:val="22"/>
                              </w:rPr>
                              <w:t xml:space="preserve"> increase the duration of paid paternity leave—ensuring fathers’ access to an adequate duration of paid paternity leave is foundational to increasing gender equality in caregiving responsibilities and gender equality in employment</w:t>
                            </w:r>
                            <w:r>
                              <w:rPr>
                                <w:sz w:val="22"/>
                                <w:szCs w:val="22"/>
                              </w:rPr>
                              <w:t>.</w:t>
                            </w:r>
                          </w:p>
                          <w:p w14:paraId="45C0EA94" w14:textId="77777777" w:rsidR="003C362E" w:rsidRDefault="003C36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CFE88E4" id="Text Box 3" o:spid="_x0000_s1027" type="#_x0000_t202" style="width:468.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" fillcolor="white [3201]" strokeweight=".5pt">
                <v:shadow on="t" color="black" opacity="26214f" origin=",-.5" offset="0,3pt"/>
                <v:textbox>
                  <w:txbxContent>
                    <w:p w14:paraId="33FB4B8C" w14:textId="0F87EB86" w:rsidR="00072ECE" w:rsidRPr="007E39CF" w:rsidRDefault="003C362E" w:rsidP="007E39CF">
                      <w:pPr>
                        <w:pStyle w:val="Heading2"/>
                        <w:jc w:val="center"/>
                        <w:rPr>
                          <w:b/>
                        </w:rPr>
                      </w:pPr>
                      <w:r w:rsidRPr="007E39CF">
                        <w:rPr>
                          <w:b/>
                        </w:rPr>
                        <w:t xml:space="preserve">Recommended </w:t>
                      </w:r>
                      <w:r w:rsidR="007E39CF" w:rsidRPr="007E39CF">
                        <w:rPr>
                          <w:b/>
                        </w:rPr>
                        <w:t>Questions for the List of Issues and Concluding Observations</w:t>
                      </w:r>
                    </w:p>
                    <w:p w14:paraId="14F4184B" w14:textId="77777777" w:rsidR="003C362E" w:rsidRPr="007E39CF" w:rsidRDefault="003C362E" w:rsidP="003C362E">
                      <w:pPr>
                        <w:rPr>
                          <w:sz w:val="22"/>
                          <w:szCs w:val="22"/>
                        </w:rPr>
                      </w:pPr>
                      <w:r w:rsidRPr="007E39CF">
                        <w:rPr>
                          <w:sz w:val="22"/>
                          <w:szCs w:val="22"/>
                        </w:rPr>
                        <w:t xml:space="preserve">We hope the Committee will: </w:t>
                      </w:r>
                    </w:p>
                    <w:p w14:paraId="7354B7A1" w14:textId="6B561CCE" w:rsidR="003C362E" w:rsidRPr="00034C3A" w:rsidRDefault="003C362E" w:rsidP="003C362E">
                      <w:pPr>
                        <w:pStyle w:val="ListParagraph"/>
                        <w:numPr>
                          <w:ilvl w:val="0"/>
                          <w:numId w:val="8"/>
                        </w:numPr>
                        <w:spacing w:before="0" w:after="160"/>
                        <w:rPr>
                          <w:sz w:val="22"/>
                          <w:szCs w:val="22"/>
                        </w:rPr>
                      </w:pPr>
                      <w:r w:rsidRPr="00034C3A">
                        <w:rPr>
                          <w:sz w:val="22"/>
                          <w:szCs w:val="22"/>
                        </w:rPr>
                        <w:t xml:space="preserve">In its list of issues, ask the Philippines: Can the Philippines demonstrate how paid maternity leave provisions are being implemented to be inclusive of all female workers, </w:t>
                      </w:r>
                      <w:r>
                        <w:rPr>
                          <w:sz w:val="22"/>
                          <w:szCs w:val="22"/>
                        </w:rPr>
                        <w:t>particularly the provisions for workers in the informal economy included in the Maternity Leave Expansion Act</w:t>
                      </w:r>
                      <w:r w:rsidRPr="00034C3A">
                        <w:rPr>
                          <w:sz w:val="22"/>
                          <w:szCs w:val="22"/>
                        </w:rPr>
                        <w:t xml:space="preserve">?  </w:t>
                      </w:r>
                    </w:p>
                    <w:p w14:paraId="14159925" w14:textId="77777777" w:rsidR="003C362E" w:rsidRPr="00034C3A" w:rsidRDefault="003C362E" w:rsidP="003C362E">
                      <w:pPr>
                        <w:pStyle w:val="ListParagraph"/>
                        <w:numPr>
                          <w:ilvl w:val="1"/>
                          <w:numId w:val="8"/>
                        </w:numPr>
                        <w:spacing w:before="0" w:after="160"/>
                        <w:rPr>
                          <w:sz w:val="22"/>
                          <w:szCs w:val="22"/>
                        </w:rPr>
                      </w:pPr>
                      <w:r w:rsidRPr="00034C3A">
                        <w:rPr>
                          <w:sz w:val="22"/>
                          <w:szCs w:val="22"/>
                        </w:rPr>
                        <w:t>If the Philippines is not fully implementing these guarantees to be inclusive of all female workers, recommend in its concluding observations that the Philippines explore how to fully and effectively expand these guarantees to do so.</w:t>
                      </w:r>
                    </w:p>
                    <w:p w14:paraId="1BA0EB72" w14:textId="77777777" w:rsidR="003C362E" w:rsidRPr="00072ECE" w:rsidRDefault="003C362E" w:rsidP="003C362E">
                      <w:pPr>
                        <w:pStyle w:val="ListParagraph"/>
                        <w:numPr>
                          <w:ilvl w:val="0"/>
                          <w:numId w:val="8"/>
                        </w:numPr>
                        <w:spacing w:before="0" w:after="160"/>
                      </w:pPr>
                      <w:r w:rsidRPr="00296E2B">
                        <w:rPr>
                          <w:sz w:val="22"/>
                          <w:szCs w:val="22"/>
                        </w:rPr>
                        <w:t>In its concluding observations, recommend</w:t>
                      </w:r>
                      <w:r>
                        <w:rPr>
                          <w:sz w:val="22"/>
                          <w:szCs w:val="22"/>
                        </w:rPr>
                        <w:t xml:space="preserve"> that</w:t>
                      </w:r>
                      <w:r w:rsidRPr="00296E2B">
                        <w:rPr>
                          <w:sz w:val="22"/>
                          <w:szCs w:val="22"/>
                        </w:rPr>
                        <w:t xml:space="preserve"> </w:t>
                      </w:r>
                      <w:r>
                        <w:rPr>
                          <w:sz w:val="22"/>
                          <w:szCs w:val="22"/>
                        </w:rPr>
                        <w:t>the Philippines</w:t>
                      </w:r>
                      <w:r w:rsidRPr="00296E2B">
                        <w:rPr>
                          <w:sz w:val="22"/>
                          <w:szCs w:val="22"/>
                        </w:rPr>
                        <w:t xml:space="preserve"> increase the duration of paid paternity leave—ensuring fathers’ access to an adequate duration of paid paternity leave is foundational to increasing gender equality in caregiving responsibilities and gender equality in employment</w:t>
                      </w:r>
                      <w:r>
                        <w:rPr>
                          <w:sz w:val="22"/>
                          <w:szCs w:val="22"/>
                        </w:rPr>
                        <w:t>.</w:t>
                      </w:r>
                    </w:p>
                    <w:p w14:paraId="45C0EA94" w14:textId="77777777" w:rsidR="003C362E" w:rsidRDefault="003C362E"/>
                  </w:txbxContent>
                </v:textbox>
                <w10:anchorlock/>
              </v:shape>
            </w:pict>
          </mc:Fallback>
        </mc:AlternateContent>
      </w:r>
    </w:p>
    <w:p w14:paraId="7B6A5868" w14:textId="77777777"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4" w:name="_Toc100835560"/>
      <w:r w:rsidRPr="003C541A">
        <w:rPr>
          <w:rFonts w:ascii="Calibri Light" w:eastAsia="Times New Roman" w:hAnsi="Calibri Light" w:cs="Times New Roman"/>
          <w:bCs/>
          <w:color w:val="2E74B5"/>
          <w:sz w:val="26"/>
          <w:szCs w:val="26"/>
        </w:rPr>
        <w:t>Child Marriage (Articles 16, 2)</w:t>
      </w:r>
      <w:bookmarkEnd w:id="44"/>
    </w:p>
    <w:p w14:paraId="30F82BCB" w14:textId="1869BF87" w:rsidR="0096441A" w:rsidRPr="007F7651" w:rsidRDefault="007F7651" w:rsidP="0096441A">
      <w:pPr>
        <w:rPr>
          <w:sz w:val="22"/>
          <w:szCs w:val="22"/>
        </w:rPr>
      </w:pPr>
      <w:r>
        <w:rPr>
          <w:noProof/>
          <w:sz w:val="22"/>
          <w:szCs w:val="22"/>
        </w:rPr>
        <mc:AlternateContent>
          <mc:Choice Requires="wps">
            <w:drawing>
              <wp:anchor distT="0" distB="0" distL="114300" distR="114300" simplePos="0" relativeHeight="251658240" behindDoc="1" locked="0" layoutInCell="1" allowOverlap="1" wp14:anchorId="5B03FE93" wp14:editId="1578C364">
                <wp:simplePos x="0" y="0"/>
                <wp:positionH relativeFrom="margin">
                  <wp:posOffset>-19050</wp:posOffset>
                </wp:positionH>
                <wp:positionV relativeFrom="paragraph">
                  <wp:posOffset>1898649</wp:posOffset>
                </wp:positionV>
                <wp:extent cx="5953125" cy="1971675"/>
                <wp:effectExtent l="57150" t="19050" r="85725" b="123825"/>
                <wp:wrapTight wrapText="bothSides">
                  <wp:wrapPolygon edited="0">
                    <wp:start x="-138" y="-209"/>
                    <wp:lineTo x="-207" y="0"/>
                    <wp:lineTo x="-207" y="22539"/>
                    <wp:lineTo x="-138" y="22748"/>
                    <wp:lineTo x="21773" y="22748"/>
                    <wp:lineTo x="21842" y="20243"/>
                    <wp:lineTo x="21842" y="3339"/>
                    <wp:lineTo x="21773" y="209"/>
                    <wp:lineTo x="21773" y="-209"/>
                    <wp:lineTo x="-138" y="-209"/>
                  </wp:wrapPolygon>
                </wp:wrapTight>
                <wp:docPr id="4" name="Text Box 4"/>
                <wp:cNvGraphicFramePr/>
                <a:graphic xmlns:a="http://schemas.openxmlformats.org/drawingml/2006/main">
                  <a:graphicData uri="http://schemas.microsoft.com/office/word/2010/wordprocessingShape">
                    <wps:wsp>
                      <wps:cNvSpPr txBox="1"/>
                      <wps:spPr>
                        <a:xfrm>
                          <a:off x="0" y="0"/>
                          <a:ext cx="5953125" cy="1971675"/>
                        </a:xfrm>
                        <a:prstGeom prst="rect">
                          <a:avLst/>
                        </a:prstGeom>
                        <a:solidFill>
                          <a:schemeClr val="lt1"/>
                        </a:solidFill>
                        <a:ln w="6350">
                          <a:solidFill>
                            <a:prstClr val="black"/>
                          </a:solidFill>
                        </a:ln>
                        <a:effectLst>
                          <a:outerShdw blurRad="50800" dist="38100" dir="5400000" algn="t" rotWithShape="0">
                            <a:prstClr val="black">
                              <a:alpha val="40000"/>
                            </a:prstClr>
                          </a:outerShdw>
                        </a:effectLst>
                      </wps:spPr>
                      <wps:txbx>
                        <w:txbxContent>
                          <w:p w14:paraId="4F001481" w14:textId="2BE5520B" w:rsidR="00072ECE" w:rsidRPr="00072ECE" w:rsidRDefault="00072ECE" w:rsidP="00072ECE">
                            <w:pPr>
                              <w:pStyle w:val="Heading2"/>
                              <w:spacing w:afterLines="100" w:after="240"/>
                              <w:jc w:val="center"/>
                              <w:rPr>
                                <w:b/>
                              </w:rPr>
                            </w:pPr>
                            <w:r w:rsidRPr="00072ECE">
                              <w:rPr>
                                <w:b/>
                              </w:rPr>
                              <w:t>Recommended Question for the List of Issues and Concluding Observations</w:t>
                            </w:r>
                          </w:p>
                          <w:p w14:paraId="1693D70D" w14:textId="0933D5BC" w:rsidR="00072ECE" w:rsidRPr="00072ECE" w:rsidRDefault="00072ECE" w:rsidP="00072ECE">
                            <w:pPr>
                              <w:spacing w:before="0" w:afterLines="100" w:after="240"/>
                              <w:rPr>
                                <w:color w:val="000000" w:themeColor="text1"/>
                                <w:sz w:val="22"/>
                                <w:szCs w:val="22"/>
                              </w:rPr>
                            </w:pPr>
                            <w:r w:rsidRPr="00072ECE">
                              <w:rPr>
                                <w:color w:val="000000" w:themeColor="text1"/>
                                <w:sz w:val="22"/>
                                <w:szCs w:val="22"/>
                              </w:rPr>
                              <w:t>We hope the Committee will:</w:t>
                            </w:r>
                          </w:p>
                          <w:p w14:paraId="40ADBAC1" w14:textId="77777777" w:rsidR="00072ECE" w:rsidRPr="00C45301" w:rsidRDefault="00072ECE" w:rsidP="00072ECE">
                            <w:pPr>
                              <w:pStyle w:val="ListParagraph"/>
                              <w:numPr>
                                <w:ilvl w:val="0"/>
                                <w:numId w:val="9"/>
                              </w:numPr>
                              <w:spacing w:before="0" w:after="160"/>
                              <w:rPr>
                                <w:color w:val="000000" w:themeColor="text1"/>
                                <w:sz w:val="22"/>
                                <w:szCs w:val="22"/>
                              </w:rPr>
                            </w:pPr>
                            <w:r w:rsidRPr="00C45301">
                              <w:rPr>
                                <w:color w:val="000000" w:themeColor="text1"/>
                                <w:sz w:val="22"/>
                                <w:szCs w:val="22"/>
                              </w:rPr>
                              <w:t xml:space="preserve">In its list of issues, ask the Philippines: Can the Philippines provide any information on its plans to effectively implement the new </w:t>
                            </w:r>
                            <w:r w:rsidRPr="00C45301">
                              <w:rPr>
                                <w:i/>
                                <w:iCs/>
                                <w:color w:val="000000" w:themeColor="text1"/>
                                <w:sz w:val="22"/>
                                <w:szCs w:val="22"/>
                              </w:rPr>
                              <w:t>Act Prohibiting the Practice of Child Marriage</w:t>
                            </w:r>
                            <w:r w:rsidRPr="00C45301">
                              <w:rPr>
                                <w:color w:val="000000" w:themeColor="text1"/>
                                <w:sz w:val="22"/>
                                <w:szCs w:val="22"/>
                              </w:rPr>
                              <w:t>?</w:t>
                            </w:r>
                          </w:p>
                          <w:p w14:paraId="63E25E52" w14:textId="04F369F0" w:rsidR="00072ECE" w:rsidRPr="00C45301" w:rsidRDefault="00072ECE" w:rsidP="00072ECE">
                            <w:pPr>
                              <w:pStyle w:val="ListParagraph"/>
                              <w:numPr>
                                <w:ilvl w:val="1"/>
                                <w:numId w:val="9"/>
                              </w:numPr>
                              <w:spacing w:before="0" w:after="160"/>
                              <w:rPr>
                                <w:color w:val="000000" w:themeColor="text1"/>
                                <w:sz w:val="22"/>
                                <w:szCs w:val="22"/>
                              </w:rPr>
                            </w:pPr>
                            <w:r w:rsidRPr="00C45301">
                              <w:rPr>
                                <w:color w:val="000000" w:themeColor="text1"/>
                                <w:sz w:val="22"/>
                                <w:szCs w:val="22"/>
                              </w:rPr>
                              <w:t>If the Philippines does not have concrete plans to effectively implement the new Act, recommend in its concluding observations that the Philippines developed a concrete, near-term plan to effectively enforce the Act and reduce rates of child marriage.</w:t>
                            </w:r>
                          </w:p>
                          <w:p w14:paraId="05EEE90E" w14:textId="77777777" w:rsidR="00072ECE" w:rsidRDefault="00072E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B03FE93" id="Text Box 4" o:spid="_x0000_s1028" type="#_x0000_t202" style="position:absolute;margin-left:-1.5pt;margin-top:149.5pt;width:468.75pt;height:155.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" fillcolor="white [3201]" strokeweight=".5pt">
                <v:shadow on="t" color="black" opacity="26214f" origin=",-.5" offset="0,3pt"/>
                <v:textbox>
                  <w:txbxContent>
                    <w:p w14:paraId="4F001481" w14:textId="2BE5520B" w:rsidR="00072ECE" w:rsidRPr="00072ECE" w:rsidRDefault="00072ECE" w:rsidP="00072ECE">
                      <w:pPr>
                        <w:pStyle w:val="Heading2"/>
                        <w:spacing w:afterLines="100" w:after="240"/>
                        <w:jc w:val="center"/>
                        <w:rPr>
                          <w:b/>
                        </w:rPr>
                      </w:pPr>
                      <w:r w:rsidRPr="00072ECE">
                        <w:rPr>
                          <w:b/>
                        </w:rPr>
                        <w:t>Recommended Question for the List of Issues and Concluding Observations</w:t>
                      </w:r>
                    </w:p>
                    <w:p w14:paraId="1693D70D" w14:textId="0933D5BC" w:rsidR="00072ECE" w:rsidRPr="00072ECE" w:rsidRDefault="00072ECE" w:rsidP="00072ECE">
                      <w:pPr>
                        <w:spacing w:before="0" w:afterLines="100" w:after="240"/>
                        <w:rPr>
                          <w:color w:val="000000" w:themeColor="text1"/>
                          <w:sz w:val="22"/>
                          <w:szCs w:val="22"/>
                        </w:rPr>
                      </w:pPr>
                      <w:r w:rsidRPr="00072ECE">
                        <w:rPr>
                          <w:color w:val="000000" w:themeColor="text1"/>
                          <w:sz w:val="22"/>
                          <w:szCs w:val="22"/>
                        </w:rPr>
                        <w:t>We hope the Committee will:</w:t>
                      </w:r>
                    </w:p>
                    <w:p w14:paraId="40ADBAC1" w14:textId="77777777" w:rsidR="00072ECE" w:rsidRPr="00C45301" w:rsidRDefault="00072ECE" w:rsidP="00072ECE">
                      <w:pPr>
                        <w:pStyle w:val="ListParagraph"/>
                        <w:numPr>
                          <w:ilvl w:val="0"/>
                          <w:numId w:val="9"/>
                        </w:numPr>
                        <w:spacing w:before="0" w:after="160"/>
                        <w:rPr>
                          <w:color w:val="000000" w:themeColor="text1"/>
                          <w:sz w:val="22"/>
                          <w:szCs w:val="22"/>
                        </w:rPr>
                      </w:pPr>
                      <w:r w:rsidRPr="00C45301">
                        <w:rPr>
                          <w:color w:val="000000" w:themeColor="text1"/>
                          <w:sz w:val="22"/>
                          <w:szCs w:val="22"/>
                        </w:rPr>
                        <w:t xml:space="preserve">In its list of issues, ask the Philippines: Can the Philippines provide any information on its plans to effectively implement the new </w:t>
                      </w:r>
                      <w:r w:rsidRPr="00C45301">
                        <w:rPr>
                          <w:i/>
                          <w:iCs/>
                          <w:color w:val="000000" w:themeColor="text1"/>
                          <w:sz w:val="22"/>
                          <w:szCs w:val="22"/>
                        </w:rPr>
                        <w:t>Act Prohibiting the Practice of Child Marriage</w:t>
                      </w:r>
                      <w:r w:rsidRPr="00C45301">
                        <w:rPr>
                          <w:color w:val="000000" w:themeColor="text1"/>
                          <w:sz w:val="22"/>
                          <w:szCs w:val="22"/>
                        </w:rPr>
                        <w:t>?</w:t>
                      </w:r>
                    </w:p>
                    <w:p w14:paraId="63E25E52" w14:textId="04F369F0" w:rsidR="00072ECE" w:rsidRPr="00C45301" w:rsidRDefault="00072ECE" w:rsidP="00072ECE">
                      <w:pPr>
                        <w:pStyle w:val="ListParagraph"/>
                        <w:numPr>
                          <w:ilvl w:val="1"/>
                          <w:numId w:val="9"/>
                        </w:numPr>
                        <w:spacing w:before="0" w:after="160"/>
                        <w:rPr>
                          <w:color w:val="000000" w:themeColor="text1"/>
                          <w:sz w:val="22"/>
                          <w:szCs w:val="22"/>
                        </w:rPr>
                      </w:pPr>
                      <w:r w:rsidRPr="00C45301">
                        <w:rPr>
                          <w:color w:val="000000" w:themeColor="text1"/>
                          <w:sz w:val="22"/>
                          <w:szCs w:val="22"/>
                        </w:rPr>
                        <w:t>If the Philippines does not have concrete plans to effectively implement the new Act, recommend in its concluding observations that the Philippines developed a concrete, near-term plan to effectively enforce the Act and reduce rates of child marriage.</w:t>
                      </w:r>
                    </w:p>
                    <w:p w14:paraId="05EEE90E" w14:textId="77777777" w:rsidR="00072ECE" w:rsidRDefault="00072ECE"/>
                  </w:txbxContent>
                </v:textbox>
                <w10:wrap type="tight" anchorx="margin"/>
              </v:shape>
            </w:pict>
          </mc:Fallback>
        </mc:AlternateContent>
      </w:r>
      <w:r w:rsidR="00B13420" w:rsidRPr="00B13420">
        <w:rPr>
          <w:sz w:val="22"/>
          <w:szCs w:val="22"/>
        </w:rPr>
        <w:t>Based on our systematic review</w:t>
      </w:r>
      <w:r w:rsidR="00B13420">
        <w:t xml:space="preserve"> </w:t>
      </w:r>
      <w:r w:rsidR="00B13420" w:rsidRPr="00B13420">
        <w:rPr>
          <w:sz w:val="22"/>
          <w:szCs w:val="22"/>
        </w:rPr>
        <w:t xml:space="preserve">of </w:t>
      </w:r>
      <w:r w:rsidR="00B13420" w:rsidRPr="00034C3A">
        <w:rPr>
          <w:sz w:val="22"/>
          <w:szCs w:val="22"/>
        </w:rPr>
        <w:t>national legislation and country reports, the Philippines has a general age of marriage for both boys and girls of 21, with marriage possible between</w:t>
      </w:r>
      <w:r w:rsidR="00541F61">
        <w:rPr>
          <w:sz w:val="22"/>
          <w:szCs w:val="22"/>
        </w:rPr>
        <w:t xml:space="preserve"> ages</w:t>
      </w:r>
      <w:r w:rsidR="00B13420" w:rsidRPr="00034C3A">
        <w:rPr>
          <w:sz w:val="22"/>
          <w:szCs w:val="22"/>
        </w:rPr>
        <w:t xml:space="preserve"> 18 and 21 with parental consent. Marriage under 18 is generally outlawed</w:t>
      </w:r>
      <w:r w:rsidR="00121C7E">
        <w:rPr>
          <w:sz w:val="22"/>
          <w:szCs w:val="22"/>
        </w:rPr>
        <w:t>, however</w:t>
      </w:r>
      <w:r w:rsidR="00A53BE6" w:rsidRPr="00034C3A">
        <w:rPr>
          <w:sz w:val="22"/>
          <w:szCs w:val="22"/>
        </w:rPr>
        <w:t xml:space="preserve"> </w:t>
      </w:r>
      <w:r w:rsidR="00A53BE6">
        <w:rPr>
          <w:sz w:val="22"/>
          <w:szCs w:val="22"/>
        </w:rPr>
        <w:t xml:space="preserve">the Family Code </w:t>
      </w:r>
      <w:r w:rsidR="00121C7E">
        <w:rPr>
          <w:sz w:val="22"/>
          <w:szCs w:val="22"/>
        </w:rPr>
        <w:t>contains a provision that exempts</w:t>
      </w:r>
      <w:r w:rsidR="00B13420" w:rsidRPr="00034C3A">
        <w:rPr>
          <w:sz w:val="22"/>
          <w:szCs w:val="22"/>
        </w:rPr>
        <w:t xml:space="preserve"> </w:t>
      </w:r>
      <w:r w:rsidR="0043340B">
        <w:rPr>
          <w:sz w:val="22"/>
          <w:szCs w:val="22"/>
        </w:rPr>
        <w:t>“</w:t>
      </w:r>
      <w:r w:rsidR="00B13420" w:rsidRPr="00034C3A">
        <w:rPr>
          <w:sz w:val="22"/>
          <w:szCs w:val="22"/>
        </w:rPr>
        <w:t>Muslim</w:t>
      </w:r>
      <w:r w:rsidR="0043340B">
        <w:rPr>
          <w:sz w:val="22"/>
          <w:szCs w:val="22"/>
        </w:rPr>
        <w:t>s”</w:t>
      </w:r>
      <w:r w:rsidR="00B13420" w:rsidRPr="00034C3A">
        <w:rPr>
          <w:sz w:val="22"/>
          <w:szCs w:val="22"/>
        </w:rPr>
        <w:t xml:space="preserve"> and </w:t>
      </w:r>
      <w:r w:rsidR="0043340B">
        <w:rPr>
          <w:sz w:val="22"/>
          <w:szCs w:val="22"/>
        </w:rPr>
        <w:t>“</w:t>
      </w:r>
      <w:r w:rsidR="00B13420" w:rsidRPr="00034C3A">
        <w:rPr>
          <w:sz w:val="22"/>
          <w:szCs w:val="22"/>
        </w:rPr>
        <w:t>other ethnic cultural communities</w:t>
      </w:r>
      <w:r w:rsidR="0043340B">
        <w:rPr>
          <w:sz w:val="22"/>
          <w:szCs w:val="22"/>
        </w:rPr>
        <w:t>”</w:t>
      </w:r>
      <w:r w:rsidR="00B13420" w:rsidRPr="00034C3A">
        <w:rPr>
          <w:sz w:val="22"/>
          <w:szCs w:val="22"/>
        </w:rPr>
        <w:t xml:space="preserve">, </w:t>
      </w:r>
      <w:r w:rsidR="0043340B">
        <w:rPr>
          <w:sz w:val="22"/>
          <w:szCs w:val="22"/>
        </w:rPr>
        <w:t xml:space="preserve">as described in law, </w:t>
      </w:r>
      <w:r w:rsidR="00A53BE6">
        <w:rPr>
          <w:sz w:val="22"/>
          <w:szCs w:val="22"/>
        </w:rPr>
        <w:t>from its general</w:t>
      </w:r>
      <w:r w:rsidR="00B13420" w:rsidRPr="00034C3A">
        <w:rPr>
          <w:sz w:val="22"/>
          <w:szCs w:val="22"/>
        </w:rPr>
        <w:t xml:space="preserve"> provisions on marriage</w:t>
      </w:r>
      <w:r w:rsidR="00A53BE6">
        <w:rPr>
          <w:sz w:val="22"/>
          <w:szCs w:val="22"/>
        </w:rPr>
        <w:t>. However,</w:t>
      </w:r>
      <w:r w:rsidR="00121C7E">
        <w:rPr>
          <w:sz w:val="22"/>
          <w:szCs w:val="22"/>
        </w:rPr>
        <w:t xml:space="preserve"> with the passage of the </w:t>
      </w:r>
      <w:r w:rsidR="00121C7E" w:rsidRPr="00034C3A">
        <w:rPr>
          <w:sz w:val="22"/>
          <w:szCs w:val="22"/>
        </w:rPr>
        <w:t xml:space="preserve">new </w:t>
      </w:r>
      <w:r w:rsidR="00121C7E" w:rsidRPr="00034C3A">
        <w:rPr>
          <w:i/>
          <w:iCs/>
          <w:sz w:val="22"/>
          <w:szCs w:val="22"/>
        </w:rPr>
        <w:t>Act Prohibiting the Practice of Child Marriage</w:t>
      </w:r>
      <w:r w:rsidR="00121C7E">
        <w:rPr>
          <w:i/>
          <w:iCs/>
          <w:sz w:val="22"/>
          <w:szCs w:val="22"/>
        </w:rPr>
        <w:t xml:space="preserve"> (2021),</w:t>
      </w:r>
      <w:r w:rsidR="00A53BE6">
        <w:rPr>
          <w:sz w:val="22"/>
          <w:szCs w:val="22"/>
        </w:rPr>
        <w:t xml:space="preserve"> these communities </w:t>
      </w:r>
      <w:r w:rsidR="00B13420" w:rsidRPr="00034C3A">
        <w:rPr>
          <w:sz w:val="22"/>
          <w:szCs w:val="22"/>
        </w:rPr>
        <w:t xml:space="preserve">have until December 2022 to align their practices with </w:t>
      </w:r>
      <w:r w:rsidR="007C58E9">
        <w:rPr>
          <w:sz w:val="22"/>
          <w:szCs w:val="22"/>
        </w:rPr>
        <w:t xml:space="preserve">Section 11 of </w:t>
      </w:r>
      <w:r w:rsidR="00B13420" w:rsidRPr="00034C3A">
        <w:rPr>
          <w:sz w:val="22"/>
          <w:szCs w:val="22"/>
        </w:rPr>
        <w:t>the</w:t>
      </w:r>
      <w:r w:rsidR="00121C7E">
        <w:rPr>
          <w:sz w:val="22"/>
          <w:szCs w:val="22"/>
        </w:rPr>
        <w:t xml:space="preserve"> Act</w:t>
      </w:r>
      <w:r w:rsidR="00B13420" w:rsidRPr="00034C3A">
        <w:rPr>
          <w:sz w:val="22"/>
          <w:szCs w:val="22"/>
        </w:rPr>
        <w:t>.</w:t>
      </w:r>
      <w:r w:rsidR="00345A52" w:rsidRPr="00034C3A">
        <w:rPr>
          <w:sz w:val="22"/>
          <w:szCs w:val="22"/>
        </w:rPr>
        <w:t xml:space="preserve"> Prior to the passage of this act, UNICEF data shows that 9% of girls aged 15-19 were married at time of survey, and 16% of women aged 20-24 at time of survey had been married since before age 18.</w:t>
      </w:r>
      <w:r w:rsidR="00E226E4">
        <w:rPr>
          <w:rStyle w:val="FootnoteReference"/>
          <w:sz w:val="22"/>
          <w:szCs w:val="22"/>
        </w:rPr>
        <w:footnoteReference w:id="1"/>
      </w:r>
    </w:p>
    <w:p w14:paraId="3BB4E6FC" w14:textId="77777777" w:rsidR="00FA45F7" w:rsidRPr="00A52B2B" w:rsidRDefault="00623047" w:rsidP="00A52B2B">
      <w:pPr>
        <w:pStyle w:val="Heading1"/>
        <w:rPr>
          <w:rFonts w:eastAsia="Times New Roman"/>
          <w:b/>
          <w:bCs/>
        </w:rPr>
      </w:pPr>
      <w:bookmarkStart w:id="45" w:name="_Toc100835561"/>
      <w:r w:rsidRPr="00A52B2B">
        <w:rPr>
          <w:rFonts w:eastAsia="Times New Roman"/>
          <w:b/>
          <w:bCs/>
        </w:rPr>
        <w:lastRenderedPageBreak/>
        <w:t xml:space="preserve">Detail of Legislative </w:t>
      </w:r>
      <w:r w:rsidR="00FA45F7" w:rsidRPr="00A52B2B">
        <w:rPr>
          <w:rFonts w:eastAsia="Times New Roman"/>
          <w:b/>
          <w:bCs/>
        </w:rPr>
        <w:t>Findings</w:t>
      </w:r>
      <w:bookmarkEnd w:id="45"/>
    </w:p>
    <w:bookmarkEnd w:id="39"/>
    <w:p w14:paraId="06560127" w14:textId="63F231AA" w:rsidR="003E044E" w:rsidRPr="00480697" w:rsidRDefault="00FA45F7" w:rsidP="003E044E">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p>
    <w:p w14:paraId="2C76E905" w14:textId="77777777"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46" w:name="_Toc100835562"/>
      <w:r w:rsidRPr="003C541A">
        <w:rPr>
          <w:rFonts w:ascii="Calibri Light" w:eastAsia="Times New Roman" w:hAnsi="Calibri Light" w:cs="Times New Roman"/>
          <w:bCs/>
          <w:color w:val="2E74B5"/>
          <w:sz w:val="26"/>
          <w:szCs w:val="26"/>
        </w:rPr>
        <w:t>Non-Discrimination in Work and Employment (Article 11)</w:t>
      </w:r>
      <w:bookmarkEnd w:id="46"/>
    </w:p>
    <w:p w14:paraId="68D632F7" w14:textId="77777777" w:rsidR="00FA45F7" w:rsidRPr="00FF10FA" w:rsidRDefault="00FA45F7" w:rsidP="00FF10FA">
      <w:pPr>
        <w:rPr>
          <w:sz w:val="22"/>
          <w:szCs w:val="22"/>
        </w:rPr>
      </w:pPr>
      <w:r w:rsidRPr="00FF10FA">
        <w:rPr>
          <w:sz w:val="22"/>
          <w:szCs w:val="22"/>
        </w:rPr>
        <w:t>Article 11 of the Convention outlines specific measures States Parties shall undertake in order to eliminate discrimination in the field of employment.</w:t>
      </w:r>
    </w:p>
    <w:p w14:paraId="7C6E18E0" w14:textId="54EC7D36" w:rsidR="00FA45F7" w:rsidRPr="00FF10FA" w:rsidRDefault="00FA45F7" w:rsidP="00FF10FA">
      <w:pPr>
        <w:rPr>
          <w:sz w:val="22"/>
          <w:szCs w:val="22"/>
        </w:rPr>
      </w:pPr>
      <w:r w:rsidRPr="00FF10FA">
        <w:rPr>
          <w:sz w:val="22"/>
          <w:szCs w:val="22"/>
        </w:rPr>
        <w:t xml:space="preserve">We systematically reviewed national labor codes, gender equality, and other relevant legislation available through the International </w:t>
      </w:r>
      <w:proofErr w:type="spellStart"/>
      <w:r w:rsidRPr="00FF10FA">
        <w:rPr>
          <w:sz w:val="22"/>
          <w:szCs w:val="22"/>
        </w:rPr>
        <w:t>Labo</w:t>
      </w:r>
      <w:r w:rsidR="007F7651">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w:t>
      </w:r>
      <w:r w:rsidR="00E226E4">
        <w:rPr>
          <w:sz w:val="22"/>
          <w:szCs w:val="22"/>
        </w:rPr>
        <w:t>sex</w:t>
      </w:r>
      <w:r w:rsidRPr="00FF10FA">
        <w:rPr>
          <w:sz w:val="22"/>
          <w:szCs w:val="22"/>
        </w:rPr>
        <w:t xml:space="preserve"> discrimination in employment. We examined legal protections across five areas covered by CEDAW: </w:t>
      </w:r>
    </w:p>
    <w:p w14:paraId="26BD3FD7" w14:textId="77777777" w:rsidR="00FA45F7" w:rsidRPr="00FF10FA" w:rsidRDefault="00FA45F7" w:rsidP="0096441A">
      <w:pPr>
        <w:pStyle w:val="ListParagraph"/>
        <w:numPr>
          <w:ilvl w:val="0"/>
          <w:numId w:val="3"/>
        </w:numPr>
        <w:rPr>
          <w:sz w:val="22"/>
          <w:szCs w:val="22"/>
        </w:rPr>
      </w:pPr>
      <w:r w:rsidRPr="00FF10FA">
        <w:rPr>
          <w:sz w:val="22"/>
          <w:szCs w:val="22"/>
        </w:rPr>
        <w:t>employment opportunities or hiring</w:t>
      </w:r>
    </w:p>
    <w:p w14:paraId="4546D553" w14:textId="77777777" w:rsidR="00FA45F7" w:rsidRPr="00FF10FA" w:rsidRDefault="00FA45F7" w:rsidP="0096441A">
      <w:pPr>
        <w:pStyle w:val="ListParagraph"/>
        <w:numPr>
          <w:ilvl w:val="0"/>
          <w:numId w:val="3"/>
        </w:numPr>
        <w:rPr>
          <w:sz w:val="22"/>
          <w:szCs w:val="22"/>
        </w:rPr>
      </w:pPr>
      <w:r w:rsidRPr="00FF10FA">
        <w:rPr>
          <w:sz w:val="22"/>
          <w:szCs w:val="22"/>
        </w:rPr>
        <w:t>equal pay for work of equal value</w:t>
      </w:r>
    </w:p>
    <w:p w14:paraId="4972B029" w14:textId="77777777" w:rsidR="00FA45F7" w:rsidRPr="00FF10FA" w:rsidRDefault="00FA45F7" w:rsidP="0096441A">
      <w:pPr>
        <w:pStyle w:val="ListParagraph"/>
        <w:numPr>
          <w:ilvl w:val="0"/>
          <w:numId w:val="3"/>
        </w:numPr>
        <w:rPr>
          <w:sz w:val="22"/>
          <w:szCs w:val="22"/>
        </w:rPr>
      </w:pPr>
      <w:r w:rsidRPr="00FF10FA">
        <w:rPr>
          <w:sz w:val="22"/>
          <w:szCs w:val="22"/>
        </w:rPr>
        <w:t xml:space="preserve">vocational training </w:t>
      </w:r>
    </w:p>
    <w:p w14:paraId="4FDCFB05" w14:textId="77777777" w:rsidR="00FA45F7" w:rsidRPr="00FF10FA" w:rsidRDefault="00FA45F7" w:rsidP="0096441A">
      <w:pPr>
        <w:pStyle w:val="ListParagraph"/>
        <w:numPr>
          <w:ilvl w:val="0"/>
          <w:numId w:val="3"/>
        </w:numPr>
        <w:rPr>
          <w:sz w:val="22"/>
          <w:szCs w:val="22"/>
        </w:rPr>
      </w:pPr>
      <w:r w:rsidRPr="00FF10FA">
        <w:rPr>
          <w:sz w:val="22"/>
          <w:szCs w:val="22"/>
        </w:rPr>
        <w:t>promotions or demotions</w:t>
      </w:r>
    </w:p>
    <w:p w14:paraId="6B96DEC2" w14:textId="77777777" w:rsidR="00FA45F7" w:rsidRPr="00FF10FA" w:rsidRDefault="00FA45F7" w:rsidP="0096441A">
      <w:pPr>
        <w:pStyle w:val="ListParagraph"/>
        <w:numPr>
          <w:ilvl w:val="0"/>
          <w:numId w:val="3"/>
        </w:numPr>
        <w:rPr>
          <w:sz w:val="22"/>
          <w:szCs w:val="22"/>
        </w:rPr>
      </w:pPr>
      <w:r w:rsidRPr="00FF10FA">
        <w:rPr>
          <w:sz w:val="22"/>
          <w:szCs w:val="22"/>
        </w:rPr>
        <w:t xml:space="preserve">job security or terminations  </w:t>
      </w:r>
    </w:p>
    <w:p w14:paraId="15ECA08E" w14:textId="77777777" w:rsidR="00FA45F7" w:rsidRPr="00FF10FA" w:rsidRDefault="00FA45F7" w:rsidP="00FF10FA">
      <w:pPr>
        <w:rPr>
          <w:sz w:val="22"/>
          <w:szCs w:val="22"/>
        </w:rPr>
      </w:pPr>
      <w:r w:rsidRPr="00FF10FA">
        <w:rPr>
          <w:sz w:val="22"/>
          <w:szCs w:val="22"/>
        </w:rPr>
        <w:t>We assessed whether women were explicitly protected from discrimination at work in each of these areas and whether the definition of discrimination included both direct and indirect discrimination. We further examined whether there were provisions that protected women from retaliatory action for reporting discrimination. We also examined whether there were explicit protections from discrimination at work for statuses that intersect directly with women’s dual roles as workers and caregivers: marital status, pregnancy, and family status.</w:t>
      </w:r>
    </w:p>
    <w:p w14:paraId="31D8269A" w14:textId="65C5A63F" w:rsidR="00FF10FA" w:rsidRPr="00C45301" w:rsidRDefault="00C41C0F" w:rsidP="00C45301">
      <w:pPr>
        <w:spacing w:afterLines="100" w:after="240"/>
        <w:ind w:right="900"/>
        <w:rPr>
          <w:sz w:val="22"/>
          <w:szCs w:val="22"/>
        </w:rPr>
      </w:pPr>
      <w:r w:rsidRPr="00C45301">
        <w:rPr>
          <w:sz w:val="22"/>
          <w:szCs w:val="22"/>
        </w:rPr>
        <w:t>We further assessed whether women at work were protected from sexual harassment, which covers sexual behavior-based harassment, as well as sex-based harassment, which covers harassment of women due to their sex but without necessarily taking a sexual form.</w:t>
      </w:r>
    </w:p>
    <w:p w14:paraId="4C4DB291" w14:textId="4D8FBF9E" w:rsidR="00FF10FA" w:rsidRDefault="00360FB5"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THE PHILIPPINES’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 xml:space="preserve">Missing some important </w:t>
      </w:r>
      <w:r w:rsidR="00C313E5">
        <w:rPr>
          <w:rFonts w:ascii="Calibri Light" w:eastAsia="Times New Roman" w:hAnsi="Calibri Light" w:cs="Times New Roman"/>
          <w:i/>
          <w:iCs/>
          <w:color w:val="2E74B5"/>
          <w:sz w:val="22"/>
          <w:szCs w:val="22"/>
        </w:rPr>
        <w:t>guarantees</w:t>
      </w:r>
      <w:r>
        <w:rPr>
          <w:rFonts w:ascii="Calibri Light" w:eastAsia="Times New Roman" w:hAnsi="Calibri Light" w:cs="Times New Roman"/>
          <w:i/>
          <w:iCs/>
          <w:color w:val="2E74B5"/>
          <w:sz w:val="22"/>
          <w:szCs w:val="22"/>
        </w:rPr>
        <w:t xml:space="preserve"> for women in employment</w:t>
      </w:r>
    </w:p>
    <w:p w14:paraId="5B3AF8F6" w14:textId="65D77BD4" w:rsidR="00F940E4" w:rsidRDefault="00360FB5" w:rsidP="00DE44B3">
      <w:pPr>
        <w:spacing w:afterLines="100" w:after="240"/>
        <w:ind w:right="900"/>
        <w:rPr>
          <w:sz w:val="22"/>
          <w:szCs w:val="22"/>
        </w:rPr>
      </w:pPr>
      <w:r w:rsidRPr="00DE44B3">
        <w:rPr>
          <w:sz w:val="22"/>
          <w:szCs w:val="22"/>
        </w:rPr>
        <w:t xml:space="preserve">Based on our review, the Philippines’ legislation explicitly </w:t>
      </w:r>
      <w:r w:rsidR="00C313E5">
        <w:rPr>
          <w:sz w:val="22"/>
          <w:szCs w:val="22"/>
        </w:rPr>
        <w:t>prohibits discrimination</w:t>
      </w:r>
      <w:r w:rsidRPr="00DE44B3">
        <w:rPr>
          <w:sz w:val="22"/>
          <w:szCs w:val="22"/>
        </w:rPr>
        <w:t xml:space="preserve"> </w:t>
      </w:r>
      <w:r w:rsidR="004541A4">
        <w:rPr>
          <w:sz w:val="22"/>
          <w:szCs w:val="22"/>
        </w:rPr>
        <w:t xml:space="preserve">against women </w:t>
      </w:r>
      <w:r w:rsidRPr="00DE44B3">
        <w:rPr>
          <w:sz w:val="22"/>
          <w:szCs w:val="22"/>
        </w:rPr>
        <w:t xml:space="preserve">at work in promotions and/or demotions, vocational training and remuneration, but we found </w:t>
      </w:r>
      <w:r w:rsidRPr="00DE44B3">
        <w:rPr>
          <w:b/>
          <w:sz w:val="22"/>
          <w:szCs w:val="22"/>
        </w:rPr>
        <w:t xml:space="preserve">no explicit </w:t>
      </w:r>
      <w:r w:rsidR="00DE44B3" w:rsidRPr="00DE44B3">
        <w:rPr>
          <w:b/>
          <w:sz w:val="22"/>
          <w:szCs w:val="22"/>
        </w:rPr>
        <w:t xml:space="preserve">provisions </w:t>
      </w:r>
      <w:r w:rsidR="00C313E5">
        <w:rPr>
          <w:b/>
          <w:sz w:val="22"/>
          <w:szCs w:val="22"/>
        </w:rPr>
        <w:t>prohibiting sex-based</w:t>
      </w:r>
      <w:r w:rsidR="00DE44B3" w:rsidRPr="00DE44B3">
        <w:rPr>
          <w:b/>
          <w:sz w:val="22"/>
          <w:szCs w:val="22"/>
        </w:rPr>
        <w:t xml:space="preserve"> discrimination in </w:t>
      </w:r>
      <w:r w:rsidRPr="00DE44B3">
        <w:rPr>
          <w:b/>
          <w:sz w:val="22"/>
          <w:szCs w:val="22"/>
        </w:rPr>
        <w:t>hiring and terminations.</w:t>
      </w:r>
      <w:r w:rsidRPr="00DE44B3">
        <w:rPr>
          <w:sz w:val="22"/>
          <w:szCs w:val="22"/>
        </w:rPr>
        <w:t xml:space="preserve"> </w:t>
      </w:r>
      <w:r w:rsidR="00F940E4">
        <w:rPr>
          <w:sz w:val="22"/>
          <w:szCs w:val="22"/>
        </w:rPr>
        <w:t xml:space="preserve">The Philippines prohibits at least some forms of workplace discrimination on the basis of marital status and pregnancy, </w:t>
      </w:r>
      <w:r w:rsidR="00F940E4" w:rsidRPr="007F7651">
        <w:rPr>
          <w:b/>
          <w:sz w:val="22"/>
          <w:szCs w:val="22"/>
        </w:rPr>
        <w:t>but does not do so on the basis of family status.</w:t>
      </w:r>
    </w:p>
    <w:p w14:paraId="5BC84F99" w14:textId="4AE75773" w:rsidR="00DE44B3" w:rsidRPr="00DE44B3" w:rsidRDefault="00360FB5" w:rsidP="00DE44B3">
      <w:pPr>
        <w:spacing w:afterLines="100" w:after="240"/>
        <w:ind w:right="900"/>
        <w:rPr>
          <w:sz w:val="22"/>
          <w:szCs w:val="22"/>
        </w:rPr>
      </w:pPr>
      <w:r w:rsidRPr="00DE44B3">
        <w:rPr>
          <w:sz w:val="22"/>
          <w:szCs w:val="22"/>
        </w:rPr>
        <w:t xml:space="preserve">The Philippines further </w:t>
      </w:r>
      <w:r w:rsidR="00C313E5">
        <w:rPr>
          <w:sz w:val="22"/>
          <w:szCs w:val="22"/>
        </w:rPr>
        <w:t>prohibits sex-based indirect discrimination</w:t>
      </w:r>
      <w:r w:rsidRPr="00DE44B3">
        <w:rPr>
          <w:sz w:val="22"/>
          <w:szCs w:val="22"/>
        </w:rPr>
        <w:t xml:space="preserve">, as well as </w:t>
      </w:r>
      <w:r w:rsidR="002D1F28">
        <w:rPr>
          <w:sz w:val="22"/>
          <w:szCs w:val="22"/>
        </w:rPr>
        <w:t xml:space="preserve">both sexual harassment and </w:t>
      </w:r>
      <w:r w:rsidR="00E226E4">
        <w:rPr>
          <w:sz w:val="22"/>
          <w:szCs w:val="22"/>
        </w:rPr>
        <w:t>sex</w:t>
      </w:r>
      <w:r w:rsidRPr="00DE44B3">
        <w:rPr>
          <w:sz w:val="22"/>
          <w:szCs w:val="22"/>
        </w:rPr>
        <w:t>-based workplace harassment</w:t>
      </w:r>
      <w:r w:rsidR="00DE44B3">
        <w:rPr>
          <w:sz w:val="22"/>
          <w:szCs w:val="22"/>
        </w:rPr>
        <w:t xml:space="preserve">. </w:t>
      </w:r>
      <w:r w:rsidRPr="00DE44B3">
        <w:rPr>
          <w:sz w:val="22"/>
          <w:szCs w:val="22"/>
        </w:rPr>
        <w:t xml:space="preserve">The Philippines also explicitly </w:t>
      </w:r>
      <w:r w:rsidR="00C313E5">
        <w:rPr>
          <w:sz w:val="22"/>
          <w:szCs w:val="22"/>
        </w:rPr>
        <w:t>prohibits</w:t>
      </w:r>
      <w:r w:rsidRPr="00DE44B3">
        <w:rPr>
          <w:sz w:val="22"/>
          <w:szCs w:val="22"/>
        </w:rPr>
        <w:t xml:space="preserve"> retaliatory action for reporting </w:t>
      </w:r>
      <w:r w:rsidR="00C313E5">
        <w:rPr>
          <w:sz w:val="22"/>
          <w:szCs w:val="22"/>
        </w:rPr>
        <w:t xml:space="preserve">sex-based </w:t>
      </w:r>
      <w:r w:rsidRPr="00DE44B3">
        <w:rPr>
          <w:sz w:val="22"/>
          <w:szCs w:val="22"/>
        </w:rPr>
        <w:t>discrimination</w:t>
      </w:r>
      <w:r w:rsidR="00C313E5">
        <w:rPr>
          <w:sz w:val="22"/>
          <w:szCs w:val="22"/>
        </w:rPr>
        <w:t xml:space="preserve"> at work</w:t>
      </w:r>
      <w:r w:rsidRPr="00DE44B3">
        <w:rPr>
          <w:sz w:val="22"/>
          <w:szCs w:val="22"/>
        </w:rPr>
        <w:t xml:space="preserve">. </w:t>
      </w:r>
    </w:p>
    <w:tbl>
      <w:tblPr>
        <w:tblStyle w:val="TableGrid"/>
        <w:tblW w:w="0" w:type="auto"/>
        <w:tblLook w:val="04A0" w:firstRow="1" w:lastRow="0" w:firstColumn="1" w:lastColumn="0" w:noHBand="0" w:noVBand="1"/>
      </w:tblPr>
      <w:tblGrid>
        <w:gridCol w:w="4675"/>
        <w:gridCol w:w="4675"/>
      </w:tblGrid>
      <w:tr w:rsidR="00DE44B3" w14:paraId="79B64497" w14:textId="77777777" w:rsidTr="00036642">
        <w:trPr>
          <w:tblHeader/>
        </w:trPr>
        <w:tc>
          <w:tcPr>
            <w:tcW w:w="9350" w:type="dxa"/>
            <w:gridSpan w:val="2"/>
            <w:tcBorders>
              <w:top w:val="single" w:sz="4" w:space="0" w:color="auto"/>
              <w:left w:val="single" w:sz="4" w:space="0" w:color="auto"/>
              <w:bottom w:val="single" w:sz="4" w:space="0" w:color="auto"/>
              <w:right w:val="single" w:sz="4" w:space="0" w:color="auto"/>
            </w:tcBorders>
          </w:tcPr>
          <w:p w14:paraId="2EA28224" w14:textId="77777777" w:rsidR="00DE44B3" w:rsidRPr="00360FB5" w:rsidRDefault="00DE44B3" w:rsidP="00036642">
            <w:pPr>
              <w:rPr>
                <w:b/>
                <w:lang w:val="en-CA"/>
              </w:rPr>
            </w:pPr>
          </w:p>
          <w:p w14:paraId="2B676596" w14:textId="155879A3" w:rsidR="00DE44B3" w:rsidRDefault="00DE44B3" w:rsidP="00036642">
            <w:pPr>
              <w:rPr>
                <w:b/>
              </w:rPr>
            </w:pPr>
            <w:r>
              <w:rPr>
                <w:b/>
              </w:rPr>
              <w:t xml:space="preserve">Table 1: Does the </w:t>
            </w:r>
            <w:r w:rsidR="00480697">
              <w:rPr>
                <w:b/>
              </w:rPr>
              <w:t>Philippines</w:t>
            </w:r>
            <w:r>
              <w:rPr>
                <w:b/>
              </w:rPr>
              <w:t xml:space="preserve"> have legislative provisions in place explicitly guaranteeing non-discrimination for women in the following key areas of employment?</w:t>
            </w:r>
          </w:p>
          <w:p w14:paraId="38B10269" w14:textId="77777777" w:rsidR="00DE44B3" w:rsidRDefault="00DE44B3" w:rsidP="00036642">
            <w:pPr>
              <w:rPr>
                <w:b/>
              </w:rPr>
            </w:pPr>
          </w:p>
        </w:tc>
      </w:tr>
      <w:tr w:rsidR="00DE44B3" w14:paraId="6CA3CC71" w14:textId="77777777" w:rsidTr="00036642">
        <w:trPr>
          <w:trHeight w:val="360"/>
        </w:trPr>
        <w:tc>
          <w:tcPr>
            <w:tcW w:w="4675" w:type="dxa"/>
            <w:tcBorders>
              <w:top w:val="single" w:sz="4" w:space="0" w:color="auto"/>
              <w:left w:val="single" w:sz="4" w:space="0" w:color="auto"/>
              <w:bottom w:val="single" w:sz="4" w:space="0" w:color="auto"/>
              <w:right w:val="single" w:sz="4" w:space="0" w:color="auto"/>
            </w:tcBorders>
            <w:hideMark/>
          </w:tcPr>
          <w:p w14:paraId="60725BE0" w14:textId="77777777" w:rsidR="00DE44B3" w:rsidRDefault="00DE44B3" w:rsidP="00036642">
            <w:r>
              <w:rPr>
                <w:bCs/>
              </w:rPr>
              <w:t>Employment opportunities and hiring</w:t>
            </w:r>
          </w:p>
        </w:tc>
        <w:tc>
          <w:tcPr>
            <w:tcW w:w="4675" w:type="dxa"/>
            <w:tcBorders>
              <w:top w:val="single" w:sz="4" w:space="0" w:color="auto"/>
              <w:left w:val="single" w:sz="4" w:space="0" w:color="auto"/>
              <w:bottom w:val="single" w:sz="4" w:space="0" w:color="auto"/>
              <w:right w:val="single" w:sz="4" w:space="0" w:color="auto"/>
            </w:tcBorders>
            <w:hideMark/>
          </w:tcPr>
          <w:p w14:paraId="1E3B8681" w14:textId="77777777" w:rsidR="00DE44B3" w:rsidRDefault="00DE44B3" w:rsidP="00036642">
            <w:r>
              <w:t>No provisions found</w:t>
            </w:r>
          </w:p>
        </w:tc>
      </w:tr>
      <w:tr w:rsidR="00DE44B3" w14:paraId="067C0EFD" w14:textId="77777777" w:rsidTr="00036642">
        <w:trPr>
          <w:trHeight w:val="360"/>
        </w:trPr>
        <w:tc>
          <w:tcPr>
            <w:tcW w:w="4675" w:type="dxa"/>
            <w:tcBorders>
              <w:top w:val="single" w:sz="4" w:space="0" w:color="auto"/>
              <w:left w:val="single" w:sz="4" w:space="0" w:color="auto"/>
              <w:bottom w:val="single" w:sz="4" w:space="0" w:color="auto"/>
              <w:right w:val="single" w:sz="4" w:space="0" w:color="auto"/>
            </w:tcBorders>
            <w:hideMark/>
          </w:tcPr>
          <w:p w14:paraId="62E6F320" w14:textId="77777777" w:rsidR="00DE44B3" w:rsidRDefault="00DE44B3" w:rsidP="00036642">
            <w:r>
              <w:rPr>
                <w:bCs/>
              </w:rPr>
              <w:t xml:space="preserve">Equal pay for work of equal value </w:t>
            </w:r>
          </w:p>
        </w:tc>
        <w:tc>
          <w:tcPr>
            <w:tcW w:w="4675" w:type="dxa"/>
            <w:tcBorders>
              <w:top w:val="single" w:sz="4" w:space="0" w:color="auto"/>
              <w:left w:val="single" w:sz="4" w:space="0" w:color="auto"/>
              <w:bottom w:val="single" w:sz="4" w:space="0" w:color="auto"/>
              <w:right w:val="single" w:sz="4" w:space="0" w:color="auto"/>
            </w:tcBorders>
            <w:hideMark/>
          </w:tcPr>
          <w:p w14:paraId="5109F801" w14:textId="77777777" w:rsidR="00DE44B3" w:rsidRDefault="00DE44B3" w:rsidP="00036642">
            <w:r>
              <w:t>Yes</w:t>
            </w:r>
          </w:p>
        </w:tc>
      </w:tr>
      <w:tr w:rsidR="00DE44B3" w14:paraId="36B3CBAD" w14:textId="77777777" w:rsidTr="00036642">
        <w:trPr>
          <w:trHeight w:val="360"/>
        </w:trPr>
        <w:tc>
          <w:tcPr>
            <w:tcW w:w="4675" w:type="dxa"/>
            <w:tcBorders>
              <w:top w:val="single" w:sz="4" w:space="0" w:color="auto"/>
              <w:left w:val="single" w:sz="4" w:space="0" w:color="auto"/>
              <w:bottom w:val="single" w:sz="4" w:space="0" w:color="auto"/>
              <w:right w:val="single" w:sz="4" w:space="0" w:color="auto"/>
            </w:tcBorders>
            <w:hideMark/>
          </w:tcPr>
          <w:p w14:paraId="6057C478" w14:textId="77777777" w:rsidR="00DE44B3" w:rsidRDefault="00DE44B3" w:rsidP="00036642">
            <w:r>
              <w:rPr>
                <w:bCs/>
              </w:rPr>
              <w:t>Employer-provided vocational training</w:t>
            </w:r>
          </w:p>
        </w:tc>
        <w:tc>
          <w:tcPr>
            <w:tcW w:w="4675" w:type="dxa"/>
            <w:tcBorders>
              <w:top w:val="single" w:sz="4" w:space="0" w:color="auto"/>
              <w:left w:val="single" w:sz="4" w:space="0" w:color="auto"/>
              <w:bottom w:val="single" w:sz="4" w:space="0" w:color="auto"/>
              <w:right w:val="single" w:sz="4" w:space="0" w:color="auto"/>
            </w:tcBorders>
            <w:hideMark/>
          </w:tcPr>
          <w:p w14:paraId="22191127" w14:textId="77777777" w:rsidR="00DE44B3" w:rsidRDefault="00DE44B3" w:rsidP="00036642">
            <w:r>
              <w:t>Yes</w:t>
            </w:r>
          </w:p>
        </w:tc>
      </w:tr>
      <w:tr w:rsidR="00DE44B3" w14:paraId="01A75254" w14:textId="77777777" w:rsidTr="00036642">
        <w:trPr>
          <w:trHeight w:val="360"/>
        </w:trPr>
        <w:tc>
          <w:tcPr>
            <w:tcW w:w="4675" w:type="dxa"/>
            <w:tcBorders>
              <w:top w:val="single" w:sz="4" w:space="0" w:color="auto"/>
              <w:left w:val="single" w:sz="4" w:space="0" w:color="auto"/>
              <w:bottom w:val="single" w:sz="4" w:space="0" w:color="auto"/>
              <w:right w:val="single" w:sz="4" w:space="0" w:color="auto"/>
            </w:tcBorders>
            <w:hideMark/>
          </w:tcPr>
          <w:p w14:paraId="2A9982C4" w14:textId="77777777" w:rsidR="00DE44B3" w:rsidRDefault="00DE44B3" w:rsidP="00036642">
            <w:pPr>
              <w:ind w:right="-105"/>
              <w:rPr>
                <w:bCs/>
              </w:rPr>
            </w:pPr>
            <w:r>
              <w:rPr>
                <w:bCs/>
              </w:rPr>
              <w:t>Promotions and/or demotions</w:t>
            </w:r>
          </w:p>
        </w:tc>
        <w:tc>
          <w:tcPr>
            <w:tcW w:w="4675" w:type="dxa"/>
            <w:tcBorders>
              <w:top w:val="single" w:sz="4" w:space="0" w:color="auto"/>
              <w:left w:val="single" w:sz="4" w:space="0" w:color="auto"/>
              <w:bottom w:val="single" w:sz="4" w:space="0" w:color="auto"/>
              <w:right w:val="single" w:sz="4" w:space="0" w:color="auto"/>
            </w:tcBorders>
            <w:hideMark/>
          </w:tcPr>
          <w:p w14:paraId="5E3A67A7" w14:textId="77777777" w:rsidR="00DE44B3" w:rsidRDefault="00DE44B3" w:rsidP="00036642">
            <w:r>
              <w:t>Yes</w:t>
            </w:r>
          </w:p>
        </w:tc>
      </w:tr>
      <w:tr w:rsidR="00DE44B3" w14:paraId="11B5D318" w14:textId="77777777" w:rsidTr="00036642">
        <w:trPr>
          <w:trHeight w:val="360"/>
        </w:trPr>
        <w:tc>
          <w:tcPr>
            <w:tcW w:w="4675" w:type="dxa"/>
            <w:tcBorders>
              <w:top w:val="single" w:sz="4" w:space="0" w:color="auto"/>
              <w:left w:val="single" w:sz="4" w:space="0" w:color="auto"/>
              <w:bottom w:val="single" w:sz="4" w:space="0" w:color="auto"/>
              <w:right w:val="single" w:sz="4" w:space="0" w:color="auto"/>
            </w:tcBorders>
            <w:hideMark/>
          </w:tcPr>
          <w:p w14:paraId="0B0E2022" w14:textId="77777777" w:rsidR="00DE44B3" w:rsidRDefault="00DE44B3" w:rsidP="00036642">
            <w:r>
              <w:rPr>
                <w:bCs/>
              </w:rPr>
              <w:t>Terminations</w:t>
            </w:r>
          </w:p>
        </w:tc>
        <w:tc>
          <w:tcPr>
            <w:tcW w:w="4675" w:type="dxa"/>
            <w:tcBorders>
              <w:top w:val="single" w:sz="4" w:space="0" w:color="auto"/>
              <w:left w:val="single" w:sz="4" w:space="0" w:color="auto"/>
              <w:bottom w:val="single" w:sz="4" w:space="0" w:color="auto"/>
              <w:right w:val="single" w:sz="4" w:space="0" w:color="auto"/>
            </w:tcBorders>
            <w:hideMark/>
          </w:tcPr>
          <w:p w14:paraId="37F373FF" w14:textId="77777777" w:rsidR="00DE44B3" w:rsidRDefault="00DE44B3" w:rsidP="00036642">
            <w:r>
              <w:t>No provisions found</w:t>
            </w:r>
          </w:p>
        </w:tc>
      </w:tr>
      <w:tr w:rsidR="002D1F28" w14:paraId="28E86127" w14:textId="77777777" w:rsidTr="00036642">
        <w:trPr>
          <w:trHeight w:val="360"/>
        </w:trPr>
        <w:tc>
          <w:tcPr>
            <w:tcW w:w="4675" w:type="dxa"/>
            <w:tcBorders>
              <w:top w:val="single" w:sz="4" w:space="0" w:color="auto"/>
              <w:left w:val="single" w:sz="4" w:space="0" w:color="auto"/>
              <w:bottom w:val="single" w:sz="4" w:space="0" w:color="auto"/>
              <w:right w:val="single" w:sz="4" w:space="0" w:color="auto"/>
            </w:tcBorders>
          </w:tcPr>
          <w:p w14:paraId="4A1CEE78" w14:textId="75E3CEEF" w:rsidR="002D1F28" w:rsidRDefault="002D1F28" w:rsidP="00036642">
            <w:pPr>
              <w:rPr>
                <w:bCs/>
              </w:rPr>
            </w:pPr>
            <w:r>
              <w:rPr>
                <w:bCs/>
              </w:rPr>
              <w:t>On the basis of family status, marital status, and pregnancy</w:t>
            </w:r>
          </w:p>
        </w:tc>
        <w:tc>
          <w:tcPr>
            <w:tcW w:w="4675" w:type="dxa"/>
            <w:tcBorders>
              <w:top w:val="single" w:sz="4" w:space="0" w:color="auto"/>
              <w:left w:val="single" w:sz="4" w:space="0" w:color="auto"/>
              <w:bottom w:val="single" w:sz="4" w:space="0" w:color="auto"/>
              <w:right w:val="single" w:sz="4" w:space="0" w:color="auto"/>
            </w:tcBorders>
          </w:tcPr>
          <w:p w14:paraId="52F555C6" w14:textId="6D78FF2E" w:rsidR="002D1F28" w:rsidRDefault="002D1F28" w:rsidP="00036642">
            <w:r>
              <w:t>Marital status and pregnancy only</w:t>
            </w:r>
          </w:p>
        </w:tc>
      </w:tr>
      <w:tr w:rsidR="000C7E36" w14:paraId="1F94316B" w14:textId="77777777" w:rsidTr="00036642">
        <w:trPr>
          <w:trHeight w:val="360"/>
        </w:trPr>
        <w:tc>
          <w:tcPr>
            <w:tcW w:w="4675" w:type="dxa"/>
            <w:tcBorders>
              <w:top w:val="single" w:sz="4" w:space="0" w:color="auto"/>
              <w:left w:val="single" w:sz="4" w:space="0" w:color="auto"/>
              <w:bottom w:val="single" w:sz="4" w:space="0" w:color="auto"/>
              <w:right w:val="single" w:sz="4" w:space="0" w:color="auto"/>
            </w:tcBorders>
          </w:tcPr>
          <w:p w14:paraId="7BAB1508" w14:textId="1EF11401" w:rsidR="000C7E36" w:rsidRDefault="000C7E36" w:rsidP="000C7E36">
            <w:pPr>
              <w:rPr>
                <w:bCs/>
              </w:rPr>
            </w:pPr>
            <w:r>
              <w:rPr>
                <w:bCs/>
              </w:rPr>
              <w:t>Indirect discrimination</w:t>
            </w:r>
          </w:p>
        </w:tc>
        <w:tc>
          <w:tcPr>
            <w:tcW w:w="4675" w:type="dxa"/>
            <w:tcBorders>
              <w:top w:val="single" w:sz="4" w:space="0" w:color="auto"/>
              <w:left w:val="single" w:sz="4" w:space="0" w:color="auto"/>
              <w:bottom w:val="single" w:sz="4" w:space="0" w:color="auto"/>
              <w:right w:val="single" w:sz="4" w:space="0" w:color="auto"/>
            </w:tcBorders>
          </w:tcPr>
          <w:p w14:paraId="6D52E125" w14:textId="21992D6D" w:rsidR="000C7E36" w:rsidRDefault="000C7E36" w:rsidP="000C7E36">
            <w:r>
              <w:t>Yes</w:t>
            </w:r>
          </w:p>
        </w:tc>
      </w:tr>
      <w:tr w:rsidR="000C7E36" w14:paraId="6E0B3455" w14:textId="77777777" w:rsidTr="00036642">
        <w:trPr>
          <w:trHeight w:val="360"/>
        </w:trPr>
        <w:tc>
          <w:tcPr>
            <w:tcW w:w="4675" w:type="dxa"/>
            <w:tcBorders>
              <w:top w:val="single" w:sz="4" w:space="0" w:color="auto"/>
              <w:left w:val="single" w:sz="4" w:space="0" w:color="auto"/>
              <w:bottom w:val="single" w:sz="4" w:space="0" w:color="auto"/>
              <w:right w:val="single" w:sz="4" w:space="0" w:color="auto"/>
            </w:tcBorders>
            <w:hideMark/>
          </w:tcPr>
          <w:p w14:paraId="08CEDC7E" w14:textId="77777777" w:rsidR="000C7E36" w:rsidRDefault="000C7E36" w:rsidP="000C7E36">
            <w:pPr>
              <w:rPr>
                <w:bCs/>
              </w:rPr>
            </w:pPr>
            <w:r>
              <w:rPr>
                <w:bCs/>
              </w:rPr>
              <w:t>Retaliatory action</w:t>
            </w:r>
          </w:p>
        </w:tc>
        <w:tc>
          <w:tcPr>
            <w:tcW w:w="4675" w:type="dxa"/>
            <w:tcBorders>
              <w:top w:val="single" w:sz="4" w:space="0" w:color="auto"/>
              <w:left w:val="single" w:sz="4" w:space="0" w:color="auto"/>
              <w:bottom w:val="single" w:sz="4" w:space="0" w:color="auto"/>
              <w:right w:val="single" w:sz="4" w:space="0" w:color="auto"/>
            </w:tcBorders>
            <w:hideMark/>
          </w:tcPr>
          <w:p w14:paraId="02ED8B72" w14:textId="77777777" w:rsidR="000C7E36" w:rsidRDefault="000C7E36" w:rsidP="000C7E36">
            <w:r>
              <w:t>Yes</w:t>
            </w:r>
          </w:p>
        </w:tc>
      </w:tr>
    </w:tbl>
    <w:p w14:paraId="3EE38942" w14:textId="77777777" w:rsidR="00E6172D" w:rsidRPr="00DE44B3" w:rsidRDefault="00E6172D" w:rsidP="00DE44B3">
      <w:pPr>
        <w:rPr>
          <w:i/>
          <w:iCs/>
          <w:sz w:val="22"/>
          <w:szCs w:val="22"/>
        </w:rPr>
      </w:pPr>
    </w:p>
    <w:p w14:paraId="3A15746E" w14:textId="77777777" w:rsidR="00360FB5" w:rsidRPr="00DE44B3" w:rsidRDefault="00360FB5" w:rsidP="00E6172D">
      <w:pPr>
        <w:ind w:firstLine="720"/>
        <w:rPr>
          <w:i/>
          <w:iCs/>
          <w:sz w:val="22"/>
          <w:szCs w:val="22"/>
        </w:rPr>
      </w:pPr>
      <w:r w:rsidRPr="00DE44B3">
        <w:rPr>
          <w:i/>
          <w:iCs/>
          <w:sz w:val="22"/>
          <w:szCs w:val="22"/>
        </w:rPr>
        <w:t xml:space="preserve">Labor Code </w:t>
      </w:r>
    </w:p>
    <w:p w14:paraId="6420766D" w14:textId="77777777" w:rsidR="00E6172D" w:rsidRPr="00E6172D" w:rsidRDefault="00E6172D" w:rsidP="00E6172D">
      <w:pPr>
        <w:ind w:firstLine="720"/>
        <w:rPr>
          <w:i/>
          <w:iCs/>
        </w:rPr>
      </w:pPr>
      <w:r w:rsidRPr="00E6172D">
        <w:rPr>
          <w:i/>
          <w:iCs/>
        </w:rPr>
        <w:t>CHAPTER I – EMPLOYMENT OF WOMEN</w:t>
      </w:r>
    </w:p>
    <w:p w14:paraId="4C6C24F7" w14:textId="77777777" w:rsidR="00E6172D" w:rsidRPr="00E6172D" w:rsidRDefault="00E6172D" w:rsidP="00E6172D">
      <w:pPr>
        <w:ind w:left="720"/>
        <w:rPr>
          <w:i/>
          <w:iCs/>
        </w:rPr>
      </w:pPr>
      <w:r w:rsidRPr="00E6172D">
        <w:rPr>
          <w:i/>
          <w:iCs/>
        </w:rPr>
        <w:t xml:space="preserve">ART. 133. [Previously 135] Discrimination Prohibited. — It shall be unlawful for any employer to discriminate against any woman employee with respect to terms and conditions of employment solely on account of her sex. </w:t>
      </w:r>
      <w:r>
        <w:rPr>
          <w:i/>
          <w:iCs/>
        </w:rPr>
        <w:t>(…)</w:t>
      </w:r>
    </w:p>
    <w:p w14:paraId="6BD2EAC0" w14:textId="77777777" w:rsidR="00E6172D" w:rsidRDefault="00E6172D" w:rsidP="00E6172D">
      <w:pPr>
        <w:ind w:left="720"/>
        <w:rPr>
          <w:i/>
          <w:iCs/>
        </w:rPr>
      </w:pPr>
      <w:r w:rsidRPr="00E6172D">
        <w:rPr>
          <w:i/>
          <w:iCs/>
        </w:rPr>
        <w:t xml:space="preserve">The following are acts of discrimination: </w:t>
      </w:r>
    </w:p>
    <w:p w14:paraId="1584AB7C" w14:textId="77777777" w:rsidR="00E6172D" w:rsidRDefault="00E6172D" w:rsidP="00E6172D">
      <w:pPr>
        <w:ind w:left="720"/>
        <w:rPr>
          <w:i/>
          <w:iCs/>
        </w:rPr>
      </w:pPr>
      <w:r w:rsidRPr="00E6172D">
        <w:rPr>
          <w:i/>
          <w:iCs/>
        </w:rPr>
        <w:t xml:space="preserve">(a) Payment of a lesser compensation, including wage, salary or other form of remuneration and fringe benefits, to a female employee as against a male employee, for work of equal value; and </w:t>
      </w:r>
    </w:p>
    <w:p w14:paraId="1DB35E89" w14:textId="77777777" w:rsidR="00E6172D" w:rsidRDefault="00E6172D" w:rsidP="00E6172D">
      <w:pPr>
        <w:ind w:left="720"/>
        <w:rPr>
          <w:i/>
          <w:iCs/>
        </w:rPr>
      </w:pPr>
      <w:r w:rsidRPr="00E6172D">
        <w:rPr>
          <w:i/>
          <w:iCs/>
        </w:rPr>
        <w:t>(b) Favoring a male employee over a female employee with respect to promotion, training opportunities, study and scholarship grants solely on account of their sexes.</w:t>
      </w:r>
    </w:p>
    <w:p w14:paraId="053E60E0" w14:textId="77777777" w:rsidR="00E6172D" w:rsidRDefault="00E6172D" w:rsidP="00E6172D">
      <w:pPr>
        <w:ind w:left="720"/>
        <w:rPr>
          <w:i/>
          <w:iCs/>
        </w:rPr>
      </w:pPr>
      <w:r>
        <w:rPr>
          <w:i/>
          <w:iCs/>
        </w:rPr>
        <w:t>(…)</w:t>
      </w:r>
    </w:p>
    <w:p w14:paraId="2B619548" w14:textId="68D6644D" w:rsidR="00E565B1" w:rsidRDefault="00F54F2A" w:rsidP="000127DD">
      <w:pPr>
        <w:ind w:left="720"/>
        <w:rPr>
          <w:i/>
          <w:iCs/>
        </w:rPr>
      </w:pPr>
      <w:r w:rsidRPr="00E6172D">
        <w:rPr>
          <w:i/>
          <w:iCs/>
        </w:rPr>
        <w:t>ARTICLE 118. Retaliatory measures. - It shall be unlawful for an employer to refuse to pay or reduce the wages and benefits, discharge or in any manner discriminate against any employee who has filed any complaint or instituted any proceeding under this Title or has testified or is about to testify in such proceedings.</w:t>
      </w:r>
    </w:p>
    <w:p w14:paraId="37F41E26" w14:textId="03D2BE2F" w:rsidR="00E565B1" w:rsidRDefault="00E565B1" w:rsidP="000127DD">
      <w:pPr>
        <w:ind w:left="720"/>
        <w:rPr>
          <w:i/>
          <w:iCs/>
        </w:rPr>
      </w:pPr>
      <w:r w:rsidRPr="00E565B1">
        <w:rPr>
          <w:i/>
          <w:iCs/>
        </w:rPr>
        <w:t>ART. 134. [Previously 136] Stipulation Against Marriage. — It shall be unlawful for an employer to require as a condition of employment or continuation of employment that a woman employee shall not get married, or to stipulate expressly or tacitly that upon getting married, a woman employee shall be deemed resigned or separated, or to actually dismiss, discharge, discriminate or otherwise prejudice a woman employee merely by reason of her marriage.</w:t>
      </w:r>
    </w:p>
    <w:p w14:paraId="1B5650FC" w14:textId="77777777" w:rsidR="00E565B1" w:rsidRPr="00E565B1" w:rsidRDefault="00E565B1" w:rsidP="00E565B1">
      <w:pPr>
        <w:ind w:left="720"/>
        <w:rPr>
          <w:i/>
          <w:iCs/>
        </w:rPr>
      </w:pPr>
      <w:r w:rsidRPr="00E565B1">
        <w:rPr>
          <w:i/>
          <w:iCs/>
        </w:rPr>
        <w:t>ART. 135. [Previously 137] Prohibited Acts. — It shall be unlawful for any employer:</w:t>
      </w:r>
    </w:p>
    <w:p w14:paraId="596D92A3" w14:textId="77777777" w:rsidR="00E565B1" w:rsidRPr="00E565B1" w:rsidRDefault="00E565B1" w:rsidP="00E565B1">
      <w:pPr>
        <w:ind w:left="720"/>
        <w:rPr>
          <w:i/>
          <w:iCs/>
        </w:rPr>
      </w:pPr>
      <w:proofErr w:type="gramStart"/>
      <w:r w:rsidRPr="00E565B1">
        <w:rPr>
          <w:i/>
          <w:iCs/>
        </w:rPr>
        <w:lastRenderedPageBreak/>
        <w:t>...(</w:t>
      </w:r>
      <w:proofErr w:type="gramEnd"/>
      <w:r w:rsidRPr="00E565B1">
        <w:rPr>
          <w:i/>
          <w:iCs/>
        </w:rPr>
        <w:t>2) To discharge such woman on account of her pregnancy, or while on leave or in confinement due to her pregnancy;</w:t>
      </w:r>
    </w:p>
    <w:p w14:paraId="38E8E00F" w14:textId="46D6CD3E" w:rsidR="00E565B1" w:rsidRPr="00E6172D" w:rsidRDefault="00E565B1" w:rsidP="000127DD">
      <w:pPr>
        <w:ind w:left="720"/>
        <w:rPr>
          <w:i/>
          <w:iCs/>
        </w:rPr>
      </w:pPr>
      <w:r w:rsidRPr="00E565B1">
        <w:rPr>
          <w:i/>
          <w:iCs/>
        </w:rPr>
        <w:t>(3) To discharge or refuse the admission of such woman upon returning to her work for fear that she may again be pregnant</w:t>
      </w:r>
    </w:p>
    <w:p w14:paraId="233B58E3" w14:textId="77777777" w:rsidR="00F54F2A" w:rsidRPr="00E6172D" w:rsidRDefault="00F54F2A" w:rsidP="00F54F2A">
      <w:pPr>
        <w:ind w:left="720"/>
        <w:rPr>
          <w:i/>
          <w:iCs/>
        </w:rPr>
      </w:pPr>
      <w:r w:rsidRPr="00E6172D">
        <w:rPr>
          <w:i/>
          <w:iCs/>
        </w:rPr>
        <w:t>ART. 259. [248]. Unfair labor practices of employers. It shall be unlawful for an employer to commit any of the following unfair labor practice:</w:t>
      </w:r>
    </w:p>
    <w:p w14:paraId="36CDC8D1" w14:textId="77777777" w:rsidR="00F54F2A" w:rsidRPr="00E6172D" w:rsidRDefault="00F54F2A" w:rsidP="00F54F2A">
      <w:pPr>
        <w:ind w:firstLine="720"/>
        <w:rPr>
          <w:i/>
          <w:iCs/>
        </w:rPr>
      </w:pPr>
      <w:r w:rsidRPr="00E6172D">
        <w:rPr>
          <w:i/>
          <w:iCs/>
        </w:rPr>
        <w:t>(…)</w:t>
      </w:r>
    </w:p>
    <w:p w14:paraId="0F9DD74A" w14:textId="77777777" w:rsidR="00F54F2A" w:rsidRPr="00E6172D" w:rsidRDefault="00F54F2A" w:rsidP="00F54F2A">
      <w:pPr>
        <w:ind w:left="720"/>
        <w:rPr>
          <w:rFonts w:eastAsia="Times New Roman"/>
          <w:i/>
          <w:iCs/>
        </w:rPr>
      </w:pPr>
      <w:r w:rsidRPr="00E6172D">
        <w:rPr>
          <w:i/>
          <w:iCs/>
        </w:rPr>
        <w:t>f. To dismiss, discharge or otherwise prejudice or discrimination against an employee for having given or being about to give testimony under this Code</w:t>
      </w:r>
      <w:r w:rsidRPr="00E6172D">
        <w:rPr>
          <w:rFonts w:eastAsia="Times New Roman"/>
          <w:i/>
          <w:iCs/>
        </w:rPr>
        <w:t xml:space="preserve"> </w:t>
      </w:r>
    </w:p>
    <w:p w14:paraId="3558F1CC" w14:textId="77777777" w:rsidR="00E6172D" w:rsidRDefault="00F54F2A" w:rsidP="00DE44B3">
      <w:pPr>
        <w:ind w:firstLine="720"/>
        <w:rPr>
          <w:i/>
          <w:iCs/>
        </w:rPr>
      </w:pPr>
      <w:r>
        <w:rPr>
          <w:i/>
          <w:iCs/>
        </w:rPr>
        <w:t>(…)</w:t>
      </w:r>
    </w:p>
    <w:p w14:paraId="3040F6A0" w14:textId="77777777" w:rsidR="00E6172D" w:rsidRPr="00E6172D" w:rsidRDefault="00E6172D" w:rsidP="00E6172D">
      <w:pPr>
        <w:ind w:firstLine="720"/>
        <w:rPr>
          <w:i/>
          <w:iCs/>
        </w:rPr>
      </w:pPr>
      <w:r w:rsidRPr="00E6172D">
        <w:rPr>
          <w:i/>
          <w:iCs/>
        </w:rPr>
        <w:t>Safe Spaces Act 2019</w:t>
      </w:r>
    </w:p>
    <w:p w14:paraId="474237F5" w14:textId="77777777" w:rsidR="00E6172D" w:rsidRPr="00E6172D" w:rsidRDefault="00E6172D" w:rsidP="00E6172D">
      <w:pPr>
        <w:ind w:left="720"/>
        <w:rPr>
          <w:i/>
          <w:iCs/>
        </w:rPr>
      </w:pPr>
      <w:r w:rsidRPr="00E6172D">
        <w:rPr>
          <w:i/>
          <w:iCs/>
        </w:rPr>
        <w:t>SEC. 16. Gender-Based Sexual Harassment in the Workplace - The crime of gender-based sexual harassment in the workplace includes the following: (…)</w:t>
      </w:r>
    </w:p>
    <w:p w14:paraId="5269980E" w14:textId="77777777" w:rsidR="00E6172D" w:rsidRPr="00E6172D" w:rsidRDefault="00E6172D" w:rsidP="00E6172D">
      <w:pPr>
        <w:ind w:left="720"/>
        <w:rPr>
          <w:i/>
          <w:iCs/>
        </w:rPr>
      </w:pPr>
      <w:r w:rsidRPr="00E6172D">
        <w:rPr>
          <w:i/>
          <w:iCs/>
        </w:rPr>
        <w:t>(b) A conduct of sexual nature and other conduct-based on sex affecting the dignity of a person, which is unwelcome, unreasonable, and offensive to the recipient, whether done verbally, physically or through the use of technology such as text messaging or electronic mail or through any other forms of information and communication systems;</w:t>
      </w:r>
    </w:p>
    <w:p w14:paraId="37FB3A10" w14:textId="77777777" w:rsidR="00E6172D" w:rsidRPr="00E6172D" w:rsidRDefault="00E6172D" w:rsidP="00DE44B3">
      <w:pPr>
        <w:ind w:firstLine="720"/>
        <w:rPr>
          <w:i/>
          <w:iCs/>
        </w:rPr>
      </w:pPr>
      <w:r>
        <w:rPr>
          <w:i/>
          <w:iCs/>
        </w:rPr>
        <w:t>(…)</w:t>
      </w:r>
    </w:p>
    <w:p w14:paraId="3BEF3DA5" w14:textId="77777777" w:rsidR="00E6172D" w:rsidRPr="00E6172D" w:rsidRDefault="00E6172D" w:rsidP="00E6172D">
      <w:pPr>
        <w:ind w:firstLine="720"/>
        <w:rPr>
          <w:i/>
          <w:iCs/>
        </w:rPr>
      </w:pPr>
      <w:r w:rsidRPr="00E6172D">
        <w:rPr>
          <w:i/>
          <w:iCs/>
        </w:rPr>
        <w:t>Act 9710 - Providing for the Magna Carta of Women (2009)</w:t>
      </w:r>
    </w:p>
    <w:p w14:paraId="641CC7DE" w14:textId="77777777" w:rsidR="00E6172D" w:rsidRPr="00E6172D" w:rsidRDefault="00E6172D" w:rsidP="00E6172D">
      <w:pPr>
        <w:ind w:firstLine="720"/>
        <w:rPr>
          <w:i/>
          <w:iCs/>
        </w:rPr>
      </w:pPr>
      <w:r w:rsidRPr="00E6172D">
        <w:rPr>
          <w:i/>
          <w:iCs/>
        </w:rPr>
        <w:t>Section 4. Definitions. - For purposes of this Act, the following terms shall mean:</w:t>
      </w:r>
    </w:p>
    <w:p w14:paraId="3F2C8330" w14:textId="77777777" w:rsidR="00E6172D" w:rsidRPr="00E6172D" w:rsidRDefault="00E6172D" w:rsidP="00E6172D">
      <w:pPr>
        <w:ind w:firstLine="720"/>
        <w:rPr>
          <w:i/>
          <w:iCs/>
        </w:rPr>
      </w:pPr>
      <w:r w:rsidRPr="00E6172D">
        <w:rPr>
          <w:i/>
          <w:iCs/>
        </w:rPr>
        <w:t>…</w:t>
      </w:r>
    </w:p>
    <w:p w14:paraId="29B1A5BA" w14:textId="77777777" w:rsidR="00E6172D" w:rsidRPr="00E6172D" w:rsidRDefault="00E6172D" w:rsidP="00E6172D">
      <w:pPr>
        <w:ind w:left="720"/>
        <w:rPr>
          <w:i/>
          <w:iCs/>
        </w:rPr>
      </w:pPr>
      <w:r w:rsidRPr="00E6172D">
        <w:rPr>
          <w:i/>
          <w:iCs/>
        </w:rPr>
        <w:t>(b) "Discrimination Against Women" refers to any gender-based distinction, exclusion, or restriction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14:paraId="1F2F8985" w14:textId="737930B3" w:rsidR="00E6172D" w:rsidRDefault="00E6172D" w:rsidP="00E6172D">
      <w:pPr>
        <w:ind w:left="720"/>
        <w:rPr>
          <w:i/>
          <w:iCs/>
        </w:rPr>
      </w:pPr>
      <w:r w:rsidRPr="00E6172D">
        <w:rPr>
          <w:i/>
          <w:iCs/>
        </w:rPr>
        <w:t>It includes any act or omission, including by law; policy, administrative measure, or practice, that directly or indirectly excludes or restricts women in the recognition and promotion of their rights and their access to and enjoyment of opportunities, benefits, or privileges.</w:t>
      </w:r>
    </w:p>
    <w:p w14:paraId="0B4E415C" w14:textId="203C83A1" w:rsidR="00E565B1" w:rsidRDefault="00E565B1" w:rsidP="00E6172D">
      <w:pPr>
        <w:ind w:left="720"/>
        <w:rPr>
          <w:i/>
          <w:iCs/>
        </w:rPr>
      </w:pPr>
      <w:r>
        <w:rPr>
          <w:i/>
          <w:iCs/>
        </w:rPr>
        <w:t>(…)</w:t>
      </w:r>
    </w:p>
    <w:p w14:paraId="19A84851" w14:textId="0F8C6F11" w:rsidR="00FF10FA" w:rsidRDefault="00FF10FA" w:rsidP="00FF10FA">
      <w:pPr>
        <w:spacing w:after="0"/>
      </w:pPr>
    </w:p>
    <w:p w14:paraId="198D889D" w14:textId="65BEB3AB" w:rsidR="007F7651" w:rsidRDefault="007F7651" w:rsidP="00FF10FA">
      <w:pPr>
        <w:spacing w:after="0"/>
      </w:pPr>
    </w:p>
    <w:p w14:paraId="5FFF8FA5" w14:textId="77777777" w:rsidR="007F7651" w:rsidRDefault="007F7651" w:rsidP="00FF10FA">
      <w:pPr>
        <w:spacing w:after="0"/>
      </w:pPr>
    </w:p>
    <w:p w14:paraId="67EB0EC9" w14:textId="77777777"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47" w:name="_Toc100835563"/>
      <w:r w:rsidRPr="003C541A">
        <w:rPr>
          <w:rFonts w:ascii="Calibri Light" w:eastAsia="Times New Roman" w:hAnsi="Calibri Light" w:cs="Times New Roman"/>
          <w:bCs/>
          <w:color w:val="2E74B5"/>
          <w:sz w:val="26"/>
          <w:szCs w:val="26"/>
        </w:rPr>
        <w:lastRenderedPageBreak/>
        <w:t>Paid Maternity and Paternity Leave (Articles 11, 5)</w:t>
      </w:r>
      <w:bookmarkEnd w:id="47"/>
    </w:p>
    <w:p w14:paraId="3FA31A2C" w14:textId="77777777"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14:paraId="6F2FEC10" w14:textId="77777777" w:rsidR="00FA45F7" w:rsidRPr="00FF10FA" w:rsidRDefault="00FA45F7" w:rsidP="00FF10FA">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1C80191A" w14:textId="77777777" w:rsidR="00FA45F7" w:rsidRPr="00FF10FA" w:rsidRDefault="00FA45F7" w:rsidP="00FF10FA">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794FB483" w14:textId="77777777" w:rsidR="00FA45F7" w:rsidRPr="00FF10FA" w:rsidRDefault="00FA45F7" w:rsidP="00FF10FA">
      <w:pPr>
        <w:ind w:left="720"/>
        <w:rPr>
          <w:i/>
          <w:sz w:val="22"/>
          <w:szCs w:val="22"/>
        </w:rPr>
      </w:pPr>
      <w:r w:rsidRPr="00FF10FA">
        <w:rPr>
          <w:i/>
          <w:sz w:val="22"/>
          <w:szCs w:val="22"/>
        </w:rPr>
        <w:t>(b) To introduce maternity leave with pay or with comparable social benefits without loss of former employment, seniority or social allowances;</w:t>
      </w:r>
    </w:p>
    <w:p w14:paraId="01CCFD08" w14:textId="77777777" w:rsidR="00FA45F7" w:rsidRPr="00FF10FA" w:rsidRDefault="00FA45F7" w:rsidP="00FF10FA">
      <w:pPr>
        <w:rPr>
          <w:sz w:val="22"/>
          <w:szCs w:val="22"/>
        </w:rPr>
      </w:pPr>
      <w:r w:rsidRPr="00FF10FA">
        <w:rPr>
          <w:sz w:val="22"/>
          <w:szCs w:val="22"/>
        </w:rPr>
        <w:t>Further, Article 5</w:t>
      </w:r>
      <w:r w:rsidR="000345E3" w:rsidRPr="00FF10FA">
        <w:rPr>
          <w:sz w:val="22"/>
          <w:szCs w:val="22"/>
        </w:rPr>
        <w:t>(b)</w:t>
      </w:r>
      <w:r w:rsidRPr="00FF10FA">
        <w:rPr>
          <w:sz w:val="22"/>
          <w:szCs w:val="22"/>
        </w:rPr>
        <w:t xml:space="preserve"> of the Convention emphasizes the importance of including men in the upbringing of children: </w:t>
      </w:r>
    </w:p>
    <w:p w14:paraId="3013BDB3" w14:textId="77777777" w:rsidR="00FA45F7" w:rsidRPr="00FF10FA" w:rsidRDefault="00FA45F7" w:rsidP="00FF10FA">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006152CD" w14:textId="77777777" w:rsidR="0028500F" w:rsidRDefault="0028500F" w:rsidP="00FF10FA">
      <w:pPr>
        <w:rPr>
          <w:sz w:val="22"/>
          <w:szCs w:val="22"/>
        </w:rPr>
      </w:pPr>
      <w:r>
        <w:rPr>
          <w:bCs/>
          <w:sz w:val="22"/>
          <w:szCs w:val="22"/>
        </w:rPr>
        <w:t>Research evidence</w:t>
      </w:r>
      <w:r w:rsidRPr="00CE26CA">
        <w:rPr>
          <w:bCs/>
          <w:color w:val="000000" w:themeColor="text1"/>
          <w:sz w:val="22"/>
          <w:szCs w:val="22"/>
        </w:rPr>
        <w:t xml:space="preserve"> indicat</w:t>
      </w:r>
      <w:r>
        <w:rPr>
          <w:bCs/>
          <w:color w:val="000000" w:themeColor="text1"/>
          <w:sz w:val="22"/>
          <w:szCs w:val="22"/>
        </w:rPr>
        <w:t>es</w:t>
      </w:r>
      <w:r w:rsidRPr="00CE26CA">
        <w:rPr>
          <w:bCs/>
          <w:color w:val="000000" w:themeColor="text1"/>
          <w:sz w:val="22"/>
          <w:szCs w:val="22"/>
        </w:rPr>
        <w:t xml:space="preserve"> that </w:t>
      </w:r>
      <w:r>
        <w:rPr>
          <w:sz w:val="22"/>
          <w:szCs w:val="22"/>
        </w:rPr>
        <w:t xml:space="preserve">paid paternity leave can increase gender equality in caregiving responsibilities and gender equality in employment; it is therefore important to ensure fathers have access to adequate paid paternity leave. </w:t>
      </w:r>
    </w:p>
    <w:p w14:paraId="30B233A0" w14:textId="683F9E8A" w:rsidR="00FA45F7" w:rsidRPr="00FF10FA" w:rsidRDefault="00FA45F7" w:rsidP="00FF10FA">
      <w:pPr>
        <w:rPr>
          <w:sz w:val="22"/>
          <w:szCs w:val="22"/>
        </w:rPr>
      </w:pPr>
      <w:r w:rsidRPr="00FF10FA">
        <w:rPr>
          <w:sz w:val="22"/>
          <w:szCs w:val="22"/>
        </w:rPr>
        <w:t xml:space="preserve">We systematically reviewed national labor codes and social security laws to assess the availability </w:t>
      </w:r>
      <w:r w:rsidR="007F7651">
        <w:rPr>
          <w:sz w:val="22"/>
          <w:szCs w:val="22"/>
        </w:rPr>
        <w:t xml:space="preserve">of </w:t>
      </w:r>
      <w:r w:rsidRPr="00FF10FA">
        <w:rPr>
          <w:sz w:val="22"/>
          <w:szCs w:val="22"/>
        </w:rPr>
        <w:t xml:space="preserve">paid maternity and paternity leave. We relied primarily on legislation downloaded through the International </w:t>
      </w:r>
      <w:proofErr w:type="spellStart"/>
      <w:r w:rsidRPr="00FF10FA">
        <w:rPr>
          <w:sz w:val="22"/>
          <w:szCs w:val="22"/>
        </w:rPr>
        <w:t>Labo</w:t>
      </w:r>
      <w:r w:rsidR="0028500F">
        <w:rPr>
          <w:sz w:val="22"/>
          <w:szCs w:val="22"/>
        </w:rPr>
        <w:t>u</w:t>
      </w:r>
      <w:r w:rsidRPr="00FF10FA">
        <w:rPr>
          <w:sz w:val="22"/>
          <w:szCs w:val="22"/>
        </w:rPr>
        <w:t>r</w:t>
      </w:r>
      <w:proofErr w:type="spellEnd"/>
      <w:r w:rsidRPr="00FF10FA">
        <w:rPr>
          <w:sz w:val="22"/>
          <w:szCs w:val="22"/>
        </w:rPr>
        <w:t xml:space="preserve">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3F7360F6" w14:textId="77777777" w:rsidR="00FF10FA" w:rsidRDefault="00FF10FA" w:rsidP="00FA45F7"/>
    <w:p w14:paraId="485B8B71" w14:textId="77777777" w:rsidR="00FF10FA" w:rsidRDefault="00F03696"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 xml:space="preserve">THE PHILIPPINES’ </w:t>
      </w:r>
      <w:r w:rsidR="00FF10FA" w:rsidRPr="005E4090">
        <w:rPr>
          <w:rFonts w:ascii="Calibri Light" w:eastAsia="Times New Roman" w:hAnsi="Calibri Light" w:cs="Times New Roman"/>
          <w:i/>
          <w:iCs/>
          <w:color w:val="2E74B5"/>
          <w:sz w:val="22"/>
          <w:szCs w:val="22"/>
        </w:rPr>
        <w:t>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Short leave for fathers</w:t>
      </w:r>
    </w:p>
    <w:p w14:paraId="7B01523A" w14:textId="1990F2BE" w:rsidR="00F03696" w:rsidRPr="007C58E9" w:rsidRDefault="00F03696" w:rsidP="00F03696">
      <w:pPr>
        <w:rPr>
          <w:sz w:val="22"/>
          <w:szCs w:val="22"/>
        </w:rPr>
      </w:pPr>
      <w:r w:rsidRPr="007C58E9">
        <w:rPr>
          <w:sz w:val="22"/>
          <w:szCs w:val="22"/>
        </w:rPr>
        <w:t xml:space="preserve">Based on our systematic review of national legislation and country reports, the Philippines provides 105 days (15 weeks) of paid maternity leave to mothers, of which 7 days (1 week) can be transferred to fathers. </w:t>
      </w:r>
      <w:r w:rsidR="00D33BE6">
        <w:rPr>
          <w:sz w:val="22"/>
          <w:szCs w:val="22"/>
        </w:rPr>
        <w:t xml:space="preserve">Self-employed workers </w:t>
      </w:r>
      <w:r w:rsidR="00121935">
        <w:rPr>
          <w:sz w:val="22"/>
          <w:szCs w:val="22"/>
        </w:rPr>
        <w:t>and</w:t>
      </w:r>
      <w:r w:rsidR="00417E9B">
        <w:rPr>
          <w:sz w:val="22"/>
          <w:szCs w:val="22"/>
        </w:rPr>
        <w:t xml:space="preserve"> </w:t>
      </w:r>
      <w:r w:rsidR="00D33BE6">
        <w:rPr>
          <w:sz w:val="22"/>
          <w:szCs w:val="22"/>
        </w:rPr>
        <w:t>workers in the informal economy are explicitly included in maternity leave provisions. The country</w:t>
      </w:r>
      <w:r w:rsidR="00D33BE6" w:rsidRPr="007C58E9">
        <w:rPr>
          <w:sz w:val="22"/>
          <w:szCs w:val="22"/>
        </w:rPr>
        <w:t xml:space="preserve"> </w:t>
      </w:r>
      <w:r w:rsidRPr="007C58E9">
        <w:rPr>
          <w:sz w:val="22"/>
          <w:szCs w:val="22"/>
        </w:rPr>
        <w:t>further provides 7 days of leave specifically for fathers.</w:t>
      </w:r>
    </w:p>
    <w:p w14:paraId="7CBC75A6" w14:textId="77777777" w:rsidR="00F03696" w:rsidRPr="00F03696" w:rsidRDefault="00F03696" w:rsidP="00F03696">
      <w:pPr>
        <w:ind w:firstLine="720"/>
        <w:rPr>
          <w:i/>
          <w:iCs/>
        </w:rPr>
      </w:pPr>
      <w:r w:rsidRPr="00F03696">
        <w:rPr>
          <w:i/>
          <w:iCs/>
        </w:rPr>
        <w:t xml:space="preserve">105-Day Expanded Maternity Leave Law </w:t>
      </w:r>
    </w:p>
    <w:p w14:paraId="64FA67CD" w14:textId="77777777" w:rsidR="00F03696" w:rsidRPr="00F03696" w:rsidRDefault="00F03696" w:rsidP="00F03696">
      <w:pPr>
        <w:ind w:firstLine="720"/>
        <w:rPr>
          <w:i/>
          <w:iCs/>
        </w:rPr>
      </w:pPr>
      <w:r w:rsidRPr="00F03696">
        <w:rPr>
          <w:i/>
          <w:iCs/>
        </w:rPr>
        <w:t>SEC. 3. Grant of Maternity Leave.</w:t>
      </w:r>
    </w:p>
    <w:p w14:paraId="24BA339D" w14:textId="77777777" w:rsidR="008C230C" w:rsidRDefault="00F03696" w:rsidP="000127DD">
      <w:pPr>
        <w:ind w:left="720"/>
        <w:rPr>
          <w:i/>
          <w:iCs/>
        </w:rPr>
      </w:pPr>
      <w:r w:rsidRPr="00F03696">
        <w:rPr>
          <w:i/>
          <w:iCs/>
        </w:rPr>
        <w:t xml:space="preserve">All covered female workers in government and the private sector, including those in the informal economy, regardless of civil status or the legitimacy of her child, shall be granted one hundred five (105) days maternity leave with full pay and an option to extend for an additional thirty (30) days without pay: </w:t>
      </w:r>
      <w:r w:rsidR="008C230C">
        <w:rPr>
          <w:i/>
          <w:iCs/>
        </w:rPr>
        <w:t>(…)</w:t>
      </w:r>
    </w:p>
    <w:p w14:paraId="7183B4A1" w14:textId="34C89D57" w:rsidR="00F03696" w:rsidRPr="00F03696" w:rsidRDefault="00F03696" w:rsidP="000127DD">
      <w:pPr>
        <w:ind w:left="720"/>
        <w:rPr>
          <w:i/>
          <w:iCs/>
        </w:rPr>
      </w:pPr>
    </w:p>
    <w:p w14:paraId="5A281C2F" w14:textId="60E8F956" w:rsidR="00D33BE6" w:rsidRPr="00D33BE6" w:rsidRDefault="00F03696" w:rsidP="00617538">
      <w:pPr>
        <w:ind w:left="720"/>
        <w:rPr>
          <w:i/>
          <w:iCs/>
        </w:rPr>
      </w:pPr>
      <w:r w:rsidRPr="00F03696">
        <w:rPr>
          <w:i/>
          <w:iCs/>
        </w:rPr>
        <w:t xml:space="preserve">SEC. 6. Allocation of Maternity Leave Credits. – Any female worker entitled to maternity leave benefits as provided for herein may, at her option, allocate up to seven (7) days of said benefits to the child's father, whether or not the same is married to the female worker: </w:t>
      </w:r>
      <w:bookmarkStart w:id="48" w:name="_GoBack"/>
      <w:bookmarkEnd w:id="48"/>
    </w:p>
    <w:p w14:paraId="4FCE291D" w14:textId="123B2EB9" w:rsidR="00D33BE6" w:rsidRPr="00D33BE6" w:rsidRDefault="00D33BE6" w:rsidP="00C45301">
      <w:pPr>
        <w:ind w:firstLine="720"/>
        <w:rPr>
          <w:i/>
          <w:iCs/>
        </w:rPr>
      </w:pPr>
      <w:r w:rsidRPr="00D33BE6">
        <w:rPr>
          <w:i/>
          <w:iCs/>
        </w:rPr>
        <w:t>Social Security Act</w:t>
      </w:r>
    </w:p>
    <w:p w14:paraId="397A2514" w14:textId="13E13FF9" w:rsidR="00D33BE6" w:rsidRDefault="00D33BE6" w:rsidP="00D33BE6">
      <w:pPr>
        <w:ind w:left="720"/>
        <w:rPr>
          <w:i/>
          <w:iCs/>
        </w:rPr>
      </w:pPr>
      <w:r w:rsidRPr="00D33BE6">
        <w:rPr>
          <w:i/>
          <w:iCs/>
        </w:rPr>
        <w:t>SEC. 9‐A. Compulsory coverage of the Self‐employed. ‐ Coverage in the SSS shall be compulsory upon such self‐employed persons as may be determined by the Commission under such rules and regulations as it may prescribe, including but not limited to the following:</w:t>
      </w:r>
    </w:p>
    <w:p w14:paraId="1AEEE1DF" w14:textId="463F3EB5" w:rsidR="00D33BE6" w:rsidRPr="00D33BE6" w:rsidRDefault="00D33BE6" w:rsidP="00417E9B">
      <w:pPr>
        <w:ind w:left="720"/>
        <w:rPr>
          <w:i/>
          <w:iCs/>
        </w:rPr>
      </w:pPr>
      <w:r>
        <w:rPr>
          <w:i/>
          <w:iCs/>
        </w:rPr>
        <w:t>(…</w:t>
      </w:r>
      <w:r w:rsidR="00417E9B">
        <w:rPr>
          <w:i/>
          <w:iCs/>
        </w:rPr>
        <w:t>)</w:t>
      </w:r>
    </w:p>
    <w:p w14:paraId="595BE12E" w14:textId="79B0EF82" w:rsidR="00D33BE6" w:rsidRPr="00D33BE6" w:rsidRDefault="00D33BE6" w:rsidP="00D33BE6">
      <w:pPr>
        <w:ind w:left="720"/>
        <w:rPr>
          <w:i/>
          <w:iCs/>
        </w:rPr>
      </w:pPr>
      <w:r w:rsidRPr="00D33BE6">
        <w:rPr>
          <w:i/>
          <w:iCs/>
        </w:rPr>
        <w:t>Unless otherwise specified herein, all provisions of this Act applicable to covered employees shall also be applicable to the covered self‐employed persons.</w:t>
      </w:r>
    </w:p>
    <w:p w14:paraId="2658C7B5" w14:textId="77777777" w:rsidR="00F03696" w:rsidRPr="00F03696" w:rsidRDefault="00F03696" w:rsidP="00F03696">
      <w:pPr>
        <w:ind w:firstLine="720"/>
        <w:rPr>
          <w:i/>
          <w:iCs/>
        </w:rPr>
      </w:pPr>
      <w:r w:rsidRPr="00F03696">
        <w:rPr>
          <w:i/>
          <w:iCs/>
        </w:rPr>
        <w:t>Paternity Leave Act</w:t>
      </w:r>
    </w:p>
    <w:p w14:paraId="36F2384E" w14:textId="77777777" w:rsidR="00F03696" w:rsidRPr="00F03696" w:rsidRDefault="00F03696" w:rsidP="00F03696">
      <w:pPr>
        <w:ind w:left="720"/>
        <w:rPr>
          <w:i/>
          <w:iCs/>
        </w:rPr>
      </w:pPr>
      <w:r w:rsidRPr="00F03696">
        <w:rPr>
          <w:i/>
          <w:iCs/>
        </w:rPr>
        <w:t>Sec. 2 Notwithstanding any law, rules and regulations to the contrary, every married male employee in the private and public sectors shall be entitled to a paternity leave of seven (7) days with full pay for the first four (4) deliveries of the legitimate spouse with whom he is cohabitating. The male employee applying for paternity leave shall notify his employer of his legitimate spouse and the expected date of such delivery.</w:t>
      </w:r>
    </w:p>
    <w:p w14:paraId="0566E21B" w14:textId="77777777" w:rsidR="00FF10FA" w:rsidRDefault="00FF10FA" w:rsidP="00FF10FA">
      <w:pPr>
        <w:spacing w:after="0"/>
      </w:pPr>
    </w:p>
    <w:p w14:paraId="56FCCA26" w14:textId="77777777" w:rsidR="00FA45F7" w:rsidRPr="003C541A" w:rsidRDefault="00FF10FA" w:rsidP="00DC3D8E">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49" w:name="_Toc100835564"/>
      <w:r w:rsidRPr="003C541A">
        <w:rPr>
          <w:rFonts w:ascii="Calibri Light" w:eastAsia="Times New Roman" w:hAnsi="Calibri Light" w:cs="Times New Roman"/>
          <w:bCs/>
          <w:color w:val="2E74B5"/>
          <w:sz w:val="26"/>
          <w:szCs w:val="26"/>
        </w:rPr>
        <w:t>Child Marriage (Articles 16, 2)</w:t>
      </w:r>
      <w:bookmarkEnd w:id="49"/>
    </w:p>
    <w:p w14:paraId="3AE3F151" w14:textId="77777777" w:rsidR="00FA45F7" w:rsidRPr="00FF10FA" w:rsidRDefault="00FA45F7" w:rsidP="00FF10FA">
      <w:pPr>
        <w:rPr>
          <w:sz w:val="22"/>
          <w:szCs w:val="22"/>
        </w:rPr>
      </w:pPr>
      <w:r w:rsidRPr="00FF10FA">
        <w:rPr>
          <w:sz w:val="22"/>
          <w:szCs w:val="22"/>
        </w:rPr>
        <w:t>Child marriage disproportionately affects girls, often leading to social, economic, educational, and health inequalities, which States Parties have committed to eliminating. Article 16</w:t>
      </w:r>
      <w:r w:rsidR="002874BF" w:rsidRPr="00FF10FA">
        <w:rPr>
          <w:sz w:val="22"/>
          <w:szCs w:val="22"/>
        </w:rPr>
        <w:t>.2</w:t>
      </w:r>
      <w:r w:rsidRPr="00FF10FA">
        <w:rPr>
          <w:sz w:val="22"/>
          <w:szCs w:val="22"/>
        </w:rPr>
        <w:t xml:space="preserve"> of the Convention calls on States Parties to legislate a minimum age of marriage and prohibit the marriage of children. Additionally, disparities in the legal minimum age of marriage between girls and boys contravenes Article 2</w:t>
      </w:r>
      <w:r w:rsidR="000345E3" w:rsidRPr="00FF10FA">
        <w:rPr>
          <w:sz w:val="22"/>
          <w:szCs w:val="22"/>
        </w:rPr>
        <w:t>(a)</w:t>
      </w:r>
      <w:r w:rsidRPr="00FF10FA">
        <w:rPr>
          <w:sz w:val="22"/>
          <w:szCs w:val="22"/>
        </w:rPr>
        <w:t xml:space="preserve">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55AD7E46" w14:textId="77777777" w:rsidR="00FA45F7" w:rsidRPr="00FF10FA" w:rsidRDefault="00FA45F7" w:rsidP="00FF10FA">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Labor Organization’s NATLEX database, regional sources, and official country websites.</w:t>
      </w:r>
    </w:p>
    <w:p w14:paraId="7BD23910" w14:textId="77777777" w:rsidR="00FF10FA" w:rsidRDefault="00FF10FA" w:rsidP="00FA45F7"/>
    <w:p w14:paraId="4AE421C2" w14:textId="6BB21096" w:rsidR="00FF10FA" w:rsidRDefault="00232BDF"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THE PHILIPPINES</w:t>
      </w:r>
      <w:r w:rsidR="00360FB5">
        <w:rPr>
          <w:rFonts w:ascii="Calibri Light" w:eastAsia="Times New Roman" w:hAnsi="Calibri Light" w:cs="Times New Roman"/>
          <w:i/>
          <w:iCs/>
          <w:color w:val="2E74B5"/>
          <w:sz w:val="22"/>
          <w:szCs w:val="22"/>
        </w:rPr>
        <w:t>’</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 xml:space="preserve">Marriage generally prohibited before age 21 </w:t>
      </w:r>
    </w:p>
    <w:p w14:paraId="0B9FD10C" w14:textId="29333F62" w:rsidR="00FF10FA" w:rsidRPr="007F7651" w:rsidRDefault="00232BDF" w:rsidP="007F7651">
      <w:pPr>
        <w:spacing w:afterLines="100" w:after="240"/>
        <w:ind w:right="900"/>
        <w:rPr>
          <w:sz w:val="22"/>
          <w:szCs w:val="22"/>
        </w:rPr>
      </w:pPr>
      <w:r w:rsidRPr="00DE44B3">
        <w:rPr>
          <w:sz w:val="22"/>
          <w:szCs w:val="22"/>
        </w:rPr>
        <w:t>Based on our review, the Philippines establishes a minimum age of marriage for both women and men of 21 years old</w:t>
      </w:r>
      <w:r w:rsidR="00DE44B3">
        <w:rPr>
          <w:sz w:val="22"/>
          <w:szCs w:val="22"/>
        </w:rPr>
        <w:t>, with w</w:t>
      </w:r>
      <w:r w:rsidRPr="00DE44B3">
        <w:rPr>
          <w:sz w:val="22"/>
          <w:szCs w:val="22"/>
        </w:rPr>
        <w:t>omen and men older than 18 but younger than 21 requi</w:t>
      </w:r>
      <w:r w:rsidR="00DE44B3">
        <w:rPr>
          <w:sz w:val="22"/>
          <w:szCs w:val="22"/>
        </w:rPr>
        <w:t>ring</w:t>
      </w:r>
      <w:r w:rsidRPr="00DE44B3">
        <w:rPr>
          <w:sz w:val="22"/>
          <w:szCs w:val="22"/>
        </w:rPr>
        <w:t xml:space="preserve"> parental consent</w:t>
      </w:r>
      <w:r w:rsidR="00B90037" w:rsidRPr="00DE44B3">
        <w:rPr>
          <w:sz w:val="22"/>
          <w:szCs w:val="22"/>
        </w:rPr>
        <w:t xml:space="preserve"> to </w:t>
      </w:r>
      <w:r w:rsidR="00DE44B3">
        <w:rPr>
          <w:sz w:val="22"/>
          <w:szCs w:val="22"/>
        </w:rPr>
        <w:t>marry. G</w:t>
      </w:r>
      <w:r w:rsidR="00B90037" w:rsidRPr="00DE44B3">
        <w:rPr>
          <w:sz w:val="22"/>
          <w:szCs w:val="22"/>
        </w:rPr>
        <w:t xml:space="preserve">irls and boys younger than 18 may not marry. </w:t>
      </w:r>
      <w:r w:rsidR="00B90037" w:rsidRPr="007C58E9">
        <w:rPr>
          <w:b/>
          <w:sz w:val="22"/>
          <w:szCs w:val="22"/>
        </w:rPr>
        <w:t xml:space="preserve">However, based on </w:t>
      </w:r>
      <w:r w:rsidR="00DE44B3" w:rsidRPr="007C58E9">
        <w:rPr>
          <w:b/>
          <w:sz w:val="22"/>
          <w:szCs w:val="22"/>
        </w:rPr>
        <w:t xml:space="preserve">our </w:t>
      </w:r>
      <w:r w:rsidR="00B90037" w:rsidRPr="007C58E9">
        <w:rPr>
          <w:b/>
          <w:sz w:val="22"/>
          <w:szCs w:val="22"/>
        </w:rPr>
        <w:t xml:space="preserve">review, members of </w:t>
      </w:r>
      <w:r w:rsidR="003110B9">
        <w:rPr>
          <w:b/>
          <w:sz w:val="22"/>
          <w:szCs w:val="22"/>
        </w:rPr>
        <w:t>“</w:t>
      </w:r>
      <w:r w:rsidR="00B90037" w:rsidRPr="007C58E9">
        <w:rPr>
          <w:b/>
          <w:sz w:val="22"/>
          <w:szCs w:val="22"/>
        </w:rPr>
        <w:t>Muslim</w:t>
      </w:r>
      <w:r w:rsidR="003110B9">
        <w:rPr>
          <w:b/>
          <w:sz w:val="22"/>
          <w:szCs w:val="22"/>
        </w:rPr>
        <w:t>”</w:t>
      </w:r>
      <w:r w:rsidR="00B90037" w:rsidRPr="007C58E9">
        <w:rPr>
          <w:b/>
          <w:sz w:val="22"/>
          <w:szCs w:val="22"/>
        </w:rPr>
        <w:t xml:space="preserve"> or other </w:t>
      </w:r>
      <w:r w:rsidR="003110B9">
        <w:rPr>
          <w:b/>
          <w:sz w:val="22"/>
          <w:szCs w:val="22"/>
        </w:rPr>
        <w:t>“</w:t>
      </w:r>
      <w:r w:rsidR="00B90037" w:rsidRPr="007C58E9">
        <w:rPr>
          <w:b/>
          <w:sz w:val="22"/>
          <w:szCs w:val="22"/>
        </w:rPr>
        <w:t>ethnic cultural communities</w:t>
      </w:r>
      <w:r w:rsidR="003110B9">
        <w:rPr>
          <w:b/>
          <w:sz w:val="22"/>
          <w:szCs w:val="22"/>
        </w:rPr>
        <w:t xml:space="preserve">”, as described in </w:t>
      </w:r>
      <w:r w:rsidR="003110B9">
        <w:rPr>
          <w:b/>
          <w:sz w:val="22"/>
          <w:szCs w:val="22"/>
        </w:rPr>
        <w:lastRenderedPageBreak/>
        <w:t>law,</w:t>
      </w:r>
      <w:r w:rsidR="00B90037" w:rsidRPr="007C58E9">
        <w:rPr>
          <w:b/>
          <w:sz w:val="22"/>
          <w:szCs w:val="22"/>
        </w:rPr>
        <w:t xml:space="preserve"> may be married at an earlier age, since they may </w:t>
      </w:r>
      <w:r w:rsidR="00753E47" w:rsidRPr="007C58E9">
        <w:rPr>
          <w:b/>
          <w:sz w:val="22"/>
          <w:szCs w:val="22"/>
        </w:rPr>
        <w:t xml:space="preserve">choose to </w:t>
      </w:r>
      <w:r w:rsidR="00B90037" w:rsidRPr="007C58E9">
        <w:rPr>
          <w:b/>
          <w:sz w:val="22"/>
          <w:szCs w:val="22"/>
        </w:rPr>
        <w:t xml:space="preserve">have their marriages solemnized </w:t>
      </w:r>
      <w:r w:rsidR="00753E47" w:rsidRPr="007C58E9">
        <w:rPr>
          <w:b/>
          <w:sz w:val="22"/>
          <w:szCs w:val="22"/>
        </w:rPr>
        <w:t xml:space="preserve">only </w:t>
      </w:r>
      <w:r w:rsidR="00B90037" w:rsidRPr="007C58E9">
        <w:rPr>
          <w:b/>
          <w:sz w:val="22"/>
          <w:szCs w:val="22"/>
        </w:rPr>
        <w:t>under customary or religious law</w:t>
      </w:r>
      <w:r w:rsidR="00B90037" w:rsidRPr="00DE44B3">
        <w:rPr>
          <w:sz w:val="22"/>
          <w:szCs w:val="22"/>
        </w:rPr>
        <w:t xml:space="preserve">. </w:t>
      </w:r>
      <w:r w:rsidR="00753E47">
        <w:rPr>
          <w:sz w:val="22"/>
          <w:szCs w:val="22"/>
        </w:rPr>
        <w:t>Since this provision does not specify minimum ages of marriage, it in theory allows minors</w:t>
      </w:r>
      <w:r w:rsidR="00B90037" w:rsidRPr="00DE44B3">
        <w:rPr>
          <w:sz w:val="22"/>
          <w:szCs w:val="22"/>
        </w:rPr>
        <w:t xml:space="preserve"> of any age to marry. </w:t>
      </w:r>
    </w:p>
    <w:p w14:paraId="25C50061" w14:textId="2E1353DE" w:rsidR="00232BDF" w:rsidRPr="00232BDF" w:rsidRDefault="00232BDF" w:rsidP="007F7651">
      <w:pPr>
        <w:pStyle w:val="NoSpacing"/>
        <w:ind w:firstLine="720"/>
        <w:rPr>
          <w:i/>
        </w:rPr>
      </w:pPr>
      <w:r w:rsidRPr="00232BDF">
        <w:rPr>
          <w:i/>
        </w:rPr>
        <w:t>THE FAMILY CODE OF THE PHILIPPINES</w:t>
      </w:r>
    </w:p>
    <w:p w14:paraId="18D2BC72" w14:textId="36852724" w:rsidR="00232BDF" w:rsidRPr="00232BDF" w:rsidRDefault="00232BDF" w:rsidP="007F7651">
      <w:pPr>
        <w:pStyle w:val="NoSpacing"/>
        <w:ind w:left="720"/>
        <w:rPr>
          <w:i/>
        </w:rPr>
      </w:pPr>
      <w:r w:rsidRPr="00232BDF">
        <w:rPr>
          <w:i/>
        </w:rPr>
        <w:t xml:space="preserve">Art. 5. Any male or female of the age of eighteen years or upwards not under any of the impediments mentioned in Articles 37 and 38, may contract marriage. </w:t>
      </w:r>
    </w:p>
    <w:p w14:paraId="3A6798AB" w14:textId="2D3B7276" w:rsidR="00B90037" w:rsidRDefault="00232BDF" w:rsidP="007F7651">
      <w:pPr>
        <w:pStyle w:val="NoSpacing"/>
        <w:ind w:left="720"/>
        <w:rPr>
          <w:i/>
        </w:rPr>
      </w:pPr>
      <w:r w:rsidRPr="00232BDF">
        <w:rPr>
          <w:i/>
        </w:rPr>
        <w:t xml:space="preserve">Art. 14. In case either or both of the contracting parties, not having been emancipated by a previous marriage, are between the ages of eighteen and twenty-one, they shall, in addition to the requirements of the preceding articles, exhibit to the local civil registrar, the consent to their marriage of their father, mother, surviving parent or guardian, or persons having legal charge of them, in the order mentioned. Such consent shall be manifested in writing by the interested party, who personally appears before the proper local civil registrar, or in the form of an affidavit made in the presence of two witnesses and attested before any official authorized by law to administer oaths. The personal manifestation shall be recorded in both applications for marriage license, and the affidavit, if one is executed instead, shall be attached to said applications. </w:t>
      </w:r>
    </w:p>
    <w:p w14:paraId="3358AE37" w14:textId="77777777" w:rsidR="00FF10FA" w:rsidRDefault="00232BDF" w:rsidP="00232BDF">
      <w:pPr>
        <w:pStyle w:val="NoSpacing"/>
        <w:ind w:left="720"/>
        <w:rPr>
          <w:i/>
        </w:rPr>
      </w:pPr>
      <w:r w:rsidRPr="00232BDF">
        <w:rPr>
          <w:i/>
        </w:rPr>
        <w:t xml:space="preserve">Art. 33. Marriages among Muslims or among members of the ethnic cultural communities may be performed validly without the necessity of a marriage license, provided that they are solemnized in accordance with their customs, rites or practices. </w:t>
      </w:r>
    </w:p>
    <w:p w14:paraId="2CA4367E" w14:textId="77777777" w:rsidR="00FF10FA" w:rsidRDefault="00FF10FA" w:rsidP="00BE6DF8">
      <w:pPr>
        <w:pStyle w:val="NoSpacing"/>
        <w:rPr>
          <w:i/>
        </w:rPr>
      </w:pPr>
    </w:p>
    <w:p w14:paraId="32CB3B58" w14:textId="48AE7807" w:rsidR="00FF10FA" w:rsidRPr="007C58E9" w:rsidRDefault="00B90037" w:rsidP="00480697">
      <w:pPr>
        <w:pStyle w:val="NoSpacing"/>
        <w:spacing w:line="276" w:lineRule="auto"/>
        <w:rPr>
          <w:sz w:val="22"/>
          <w:szCs w:val="22"/>
        </w:rPr>
      </w:pPr>
      <w:r w:rsidRPr="007C58E9">
        <w:rPr>
          <w:iCs/>
          <w:sz w:val="22"/>
          <w:szCs w:val="22"/>
        </w:rPr>
        <w:t xml:space="preserve">Our research shows that the Philippines passed </w:t>
      </w:r>
      <w:r w:rsidR="00CB2E06" w:rsidRPr="007C58E9">
        <w:rPr>
          <w:iCs/>
          <w:sz w:val="22"/>
          <w:szCs w:val="22"/>
        </w:rPr>
        <w:t>the</w:t>
      </w:r>
      <w:r w:rsidRPr="007C58E9">
        <w:rPr>
          <w:sz w:val="22"/>
          <w:szCs w:val="22"/>
        </w:rPr>
        <w:t xml:space="preserve"> </w:t>
      </w:r>
      <w:r w:rsidRPr="007C58E9">
        <w:rPr>
          <w:i/>
          <w:iCs/>
          <w:sz w:val="22"/>
          <w:szCs w:val="22"/>
        </w:rPr>
        <w:t>Act Prohibiting the Practice of Child Marriage and Imposing Penalties for Violations Thereof</w:t>
      </w:r>
      <w:r w:rsidR="00CB2E06" w:rsidRPr="007C58E9">
        <w:rPr>
          <w:sz w:val="22"/>
          <w:szCs w:val="22"/>
        </w:rPr>
        <w:t xml:space="preserve"> in December 2021. This </w:t>
      </w:r>
      <w:r w:rsidR="0052416A" w:rsidRPr="007C58E9">
        <w:rPr>
          <w:sz w:val="22"/>
          <w:szCs w:val="22"/>
        </w:rPr>
        <w:t>act outlaws</w:t>
      </w:r>
      <w:r w:rsidR="00CB2E06" w:rsidRPr="007C58E9">
        <w:rPr>
          <w:sz w:val="22"/>
          <w:szCs w:val="22"/>
        </w:rPr>
        <w:t xml:space="preserve"> any marriage where a contracting </w:t>
      </w:r>
      <w:r w:rsidR="0007026E" w:rsidRPr="007C58E9">
        <w:rPr>
          <w:sz w:val="22"/>
          <w:szCs w:val="22"/>
        </w:rPr>
        <w:t xml:space="preserve">party is under 18, and </w:t>
      </w:r>
      <w:r w:rsidR="00EF06C3" w:rsidRPr="007C58E9">
        <w:rPr>
          <w:sz w:val="22"/>
          <w:szCs w:val="22"/>
        </w:rPr>
        <w:t xml:space="preserve">provides a one-year grace period – until December 2022 - for </w:t>
      </w:r>
      <w:r w:rsidR="0007026E" w:rsidRPr="007C58E9">
        <w:rPr>
          <w:sz w:val="22"/>
          <w:szCs w:val="22"/>
        </w:rPr>
        <w:t xml:space="preserve">Muslim and other ethnic cultural communities </w:t>
      </w:r>
      <w:r w:rsidR="00EF06C3" w:rsidRPr="007C58E9">
        <w:rPr>
          <w:sz w:val="22"/>
          <w:szCs w:val="22"/>
        </w:rPr>
        <w:t>to bring existing practices in line with the new legislation.</w:t>
      </w:r>
    </w:p>
    <w:p w14:paraId="39B061F5" w14:textId="77777777" w:rsidR="00FF10FA" w:rsidRDefault="00FF10FA" w:rsidP="00BE6DF8">
      <w:pPr>
        <w:pStyle w:val="NoSpacing"/>
        <w:rPr>
          <w:i/>
        </w:rPr>
      </w:pPr>
    </w:p>
    <w:p w14:paraId="362111C0" w14:textId="5CA2DF4C" w:rsidR="00FF10FA" w:rsidRDefault="00CB2E06" w:rsidP="007F7651">
      <w:pPr>
        <w:pStyle w:val="NoSpacing"/>
        <w:ind w:firstLine="720"/>
        <w:rPr>
          <w:i/>
          <w:iCs/>
        </w:rPr>
      </w:pPr>
      <w:r w:rsidRPr="00CB2E06">
        <w:rPr>
          <w:i/>
          <w:iCs/>
        </w:rPr>
        <w:t>Act Prohibiting the Practice of Child Marriage and Imposing Penalties for Violations Thereof</w:t>
      </w:r>
    </w:p>
    <w:p w14:paraId="2DB2C1CD" w14:textId="77777777" w:rsidR="00CB2E06" w:rsidRPr="00CB2E06" w:rsidRDefault="00CB2E06" w:rsidP="00CB2E06">
      <w:pPr>
        <w:ind w:firstLine="720"/>
        <w:rPr>
          <w:i/>
          <w:iCs/>
        </w:rPr>
      </w:pPr>
      <w:r w:rsidRPr="00CB2E06">
        <w:rPr>
          <w:i/>
          <w:iCs/>
        </w:rPr>
        <w:t>SEC. 3. Definition of Terms. – As used in this Act:</w:t>
      </w:r>
    </w:p>
    <w:p w14:paraId="3DC1A127" w14:textId="77777777" w:rsidR="00CB2E06" w:rsidRPr="00CB2E06" w:rsidRDefault="00CB2E06" w:rsidP="00CB2E06">
      <w:pPr>
        <w:ind w:left="720"/>
        <w:rPr>
          <w:i/>
          <w:iCs/>
        </w:rPr>
      </w:pPr>
      <w:r w:rsidRPr="00CB2E06">
        <w:rPr>
          <w:i/>
          <w:iCs/>
        </w:rPr>
        <w:t>(a) Child refers to any human being under eighteen (18) years of age, or any person eighteen (18) years of age or over but who is unable to fully take care and protect oneself from abuse, neglect, cruelty, exploitation or discrimination because of a physical or mental disability or condition;</w:t>
      </w:r>
    </w:p>
    <w:p w14:paraId="48501A2D" w14:textId="77777777" w:rsidR="00CB2E06" w:rsidRPr="00CB2E06" w:rsidRDefault="00CB2E06" w:rsidP="00CB2E06">
      <w:pPr>
        <w:ind w:left="720"/>
        <w:rPr>
          <w:i/>
          <w:iCs/>
        </w:rPr>
      </w:pPr>
      <w:r w:rsidRPr="00CB2E06">
        <w:rPr>
          <w:i/>
          <w:iCs/>
        </w:rPr>
        <w:t>(b) Child marriage refers to any marriage entered into where one or both parties are children as defined in the paragraph above, and solemnized in civil or church proceedings, or in any recognized traditional, cultural or customary manner. It shall include an informal union or cohabitation outside of wedlock between an adult and a child, or between children;</w:t>
      </w:r>
    </w:p>
    <w:p w14:paraId="4409155A" w14:textId="77777777" w:rsidR="0007026E" w:rsidRPr="0007026E" w:rsidRDefault="00CB2E06" w:rsidP="0007026E">
      <w:pPr>
        <w:ind w:firstLine="720"/>
        <w:rPr>
          <w:i/>
          <w:iCs/>
        </w:rPr>
      </w:pPr>
      <w:r w:rsidRPr="00CB2E06">
        <w:rPr>
          <w:i/>
          <w:iCs/>
        </w:rPr>
        <w:t>(…)</w:t>
      </w:r>
    </w:p>
    <w:p w14:paraId="2B84F1D7" w14:textId="77777777" w:rsidR="0007026E" w:rsidRPr="0007026E" w:rsidRDefault="0007026E" w:rsidP="0007026E">
      <w:pPr>
        <w:ind w:firstLine="720"/>
        <w:rPr>
          <w:i/>
          <w:iCs/>
        </w:rPr>
      </w:pPr>
      <w:r w:rsidRPr="0007026E">
        <w:rPr>
          <w:i/>
          <w:iCs/>
        </w:rPr>
        <w:t>SEC. 4. Unlawful Acts. – The following are declared unlawful and prohibited acts:</w:t>
      </w:r>
    </w:p>
    <w:p w14:paraId="62F5721C" w14:textId="6C8E47FE" w:rsidR="008C230C" w:rsidRDefault="0007026E" w:rsidP="0007026E">
      <w:pPr>
        <w:ind w:left="720"/>
        <w:rPr>
          <w:i/>
          <w:iCs/>
        </w:rPr>
      </w:pPr>
      <w:r w:rsidRPr="0007026E">
        <w:rPr>
          <w:i/>
          <w:iCs/>
        </w:rPr>
        <w:t>(a) Facilitation of Child Marriage. – Any person who causes, fixes, facilitates, or arranges a child marriage shall suffer the penalty of </w:t>
      </w:r>
      <w:proofErr w:type="spellStart"/>
      <w:r w:rsidRPr="0007026E">
        <w:rPr>
          <w:i/>
          <w:iCs/>
        </w:rPr>
        <w:t>prision</w:t>
      </w:r>
      <w:proofErr w:type="spellEnd"/>
      <w:r w:rsidRPr="0007026E">
        <w:rPr>
          <w:i/>
          <w:iCs/>
        </w:rPr>
        <w:t xml:space="preserve"> mayor in its medium period and a fine of not less than Forty thousand pesos (P40,000.00): </w:t>
      </w:r>
    </w:p>
    <w:p w14:paraId="61146C7D" w14:textId="7C266C8E" w:rsidR="00CB2E06" w:rsidRPr="00CB2E06" w:rsidRDefault="008C230C" w:rsidP="008C230C">
      <w:pPr>
        <w:ind w:left="720"/>
        <w:rPr>
          <w:i/>
          <w:iCs/>
        </w:rPr>
      </w:pPr>
      <w:r>
        <w:rPr>
          <w:i/>
          <w:iCs/>
        </w:rPr>
        <w:t xml:space="preserve">(…) </w:t>
      </w:r>
      <w:r w:rsidR="0007026E" w:rsidRPr="0007026E">
        <w:rPr>
          <w:i/>
          <w:iCs/>
        </w:rPr>
        <w:t>(</w:t>
      </w:r>
    </w:p>
    <w:p w14:paraId="6792D0F3" w14:textId="77777777" w:rsidR="00CB2E06" w:rsidRPr="00CB2E06" w:rsidRDefault="00CB2E06" w:rsidP="00CB2E06">
      <w:pPr>
        <w:ind w:left="720"/>
        <w:rPr>
          <w:i/>
          <w:iCs/>
        </w:rPr>
      </w:pPr>
      <w:r w:rsidRPr="00CB2E06">
        <w:rPr>
          <w:i/>
          <w:iCs/>
        </w:rPr>
        <w:lastRenderedPageBreak/>
        <w:t>SEC. 11. Transitory Provision. – Within one (1) year from the effectivity of this Act, the NCMF [National Commission on Muslim Filipinos] and NCIP [National Commission for Indigenous Peoples] shall extensively undertake measures and programs in their respective jurisdictions to assure full compliance with this Act. During the transition period of one (1) year, the application of Section 4(a) and (b), and Section 5 of this Act to Muslim Filipinos and indigenous cultural communities/indigenous peoples shall be suspended.</w:t>
      </w:r>
    </w:p>
    <w:p w14:paraId="5A420ACF" w14:textId="77777777" w:rsidR="00FF10FA" w:rsidRDefault="00FF10FA" w:rsidP="007F7651">
      <w:pPr>
        <w:spacing w:after="0"/>
      </w:pPr>
    </w:p>
    <w:p w14:paraId="32A58BD4" w14:textId="77777777" w:rsidR="00FF10FA" w:rsidRDefault="00FF10FA" w:rsidP="00A41D03">
      <w:pPr>
        <w:spacing w:after="0"/>
        <w:jc w:val="center"/>
      </w:pPr>
    </w:p>
    <w:p w14:paraId="4A1CCFFB" w14:textId="7E44AB5E" w:rsidR="00FF10FA" w:rsidRPr="0008690A" w:rsidRDefault="00FF10FA" w:rsidP="0008690A">
      <w:pPr>
        <w:pStyle w:val="Heading4"/>
        <w:rPr>
          <w:i/>
          <w:sz w:val="18"/>
          <w:szCs w:val="18"/>
        </w:rPr>
      </w:pPr>
      <w:r w:rsidRPr="000E03A6">
        <w:rPr>
          <w:i/>
          <w:sz w:val="18"/>
          <w:szCs w:val="18"/>
        </w:rPr>
        <w:t>Briefing prepared by the WORLD Policy Analysis Center, University of California, Los Angeles</w:t>
      </w:r>
    </w:p>
    <w:sectPr w:rsidR="00FF10FA" w:rsidRPr="0008690A"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9E7FE5" w14:textId="77777777" w:rsidR="00497B42" w:rsidRDefault="00497B42" w:rsidP="00263795">
      <w:pPr>
        <w:spacing w:after="0" w:line="240" w:lineRule="auto"/>
      </w:pPr>
      <w:r>
        <w:separator/>
      </w:r>
    </w:p>
  </w:endnote>
  <w:endnote w:type="continuationSeparator" w:id="0">
    <w:p w14:paraId="67CD7156" w14:textId="77777777" w:rsidR="00497B42" w:rsidRDefault="00497B42"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594813"/>
      <w:docPartObj>
        <w:docPartGallery w:val="Page Numbers (Bottom of Page)"/>
        <w:docPartUnique/>
      </w:docPartObj>
    </w:sdtPr>
    <w:sdtEndPr>
      <w:rPr>
        <w:color w:val="7F7F7F" w:themeColor="background1" w:themeShade="7F"/>
        <w:spacing w:val="60"/>
      </w:rPr>
    </w:sdtEndPr>
    <w:sdtContent>
      <w:p w14:paraId="6DE35C75" w14:textId="77777777"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007FCC">
          <w:rPr>
            <w:noProof/>
          </w:rPr>
          <w:t>3</w:t>
        </w:r>
        <w:r>
          <w:rPr>
            <w:noProof/>
          </w:rPr>
          <w:fldChar w:fldCharType="end"/>
        </w:r>
        <w:r>
          <w:t xml:space="preserve"> | </w:t>
        </w:r>
        <w:r>
          <w:rPr>
            <w:color w:val="7F7F7F" w:themeColor="background1" w:themeShade="7F"/>
            <w:spacing w:val="60"/>
          </w:rPr>
          <w:t>Page</w:t>
        </w:r>
      </w:p>
    </w:sdtContent>
  </w:sdt>
  <w:p w14:paraId="465EF0E3" w14:textId="77777777" w:rsidR="00831B92" w:rsidRDefault="008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DC82E" w14:textId="77777777" w:rsidR="00497B42" w:rsidRDefault="00497B42" w:rsidP="00263795">
      <w:pPr>
        <w:spacing w:after="0" w:line="240" w:lineRule="auto"/>
      </w:pPr>
      <w:r>
        <w:separator/>
      </w:r>
    </w:p>
  </w:footnote>
  <w:footnote w:type="continuationSeparator" w:id="0">
    <w:p w14:paraId="630CC3BD" w14:textId="77777777" w:rsidR="00497B42" w:rsidRDefault="00497B42" w:rsidP="00263795">
      <w:pPr>
        <w:spacing w:after="0" w:line="240" w:lineRule="auto"/>
      </w:pPr>
      <w:r>
        <w:continuationSeparator/>
      </w:r>
    </w:p>
  </w:footnote>
  <w:footnote w:id="1">
    <w:p w14:paraId="3DB136D4" w14:textId="10491FC3" w:rsidR="00E226E4" w:rsidRPr="00E226E4" w:rsidRDefault="00E226E4">
      <w:pPr>
        <w:pStyle w:val="FootnoteText"/>
        <w:rPr>
          <w:lang w:val="en-CA"/>
        </w:rPr>
      </w:pPr>
      <w:r>
        <w:rPr>
          <w:rStyle w:val="FootnoteReference"/>
        </w:rPr>
        <w:footnoteRef/>
      </w:r>
      <w:r>
        <w:t xml:space="preserve"> UNICEF data – Child Marriage. Retrieved April 15, 2022 from </w:t>
      </w:r>
      <w:hyperlink r:id="rId1" w:history="1">
        <w:r w:rsidRPr="009458A3">
          <w:rPr>
            <w:rStyle w:val="Hyperlink"/>
          </w:rPr>
          <w:t>https://data.unicef.org/topic/child-protection/child-marriage/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4C5955" w14:textId="306A27E9" w:rsidR="009F2054" w:rsidRDefault="009F2054" w:rsidP="005B7FB6">
    <w:pPr>
      <w:pStyle w:val="Header"/>
      <w:jc w:val="right"/>
    </w:pPr>
    <w:r w:rsidRPr="00C45301">
      <w:rPr>
        <w:noProof/>
      </w:rPr>
      <w:drawing>
        <wp:anchor distT="0" distB="0" distL="114300" distR="114300" simplePos="0" relativeHeight="251657216" behindDoc="1" locked="0" layoutInCell="1" allowOverlap="1" wp14:anchorId="6A3070CB" wp14:editId="5F6401A6">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RPr="00C45301" w:rsidDel="00831B92">
      <w:t xml:space="preserve"> </w:t>
    </w:r>
    <w:r w:rsidR="00121C7E" w:rsidRPr="00C45301">
      <w:t xml:space="preserve">May </w:t>
    </w:r>
    <w:r w:rsidR="00C45301" w:rsidRPr="00C45301">
      <w:t>9</w:t>
    </w:r>
    <w:r w:rsidR="00121C7E" w:rsidRPr="00C45301">
      <w:t>, 2022</w:t>
    </w:r>
  </w:p>
  <w:p w14:paraId="1E0BDDEF" w14:textId="77777777" w:rsidR="009F2054" w:rsidRDefault="009F2054" w:rsidP="00831B9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65D"/>
    <w:multiLevelType w:val="hybridMultilevel"/>
    <w:tmpl w:val="12688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024FF1"/>
    <w:multiLevelType w:val="hybridMultilevel"/>
    <w:tmpl w:val="32A40E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175882"/>
    <w:multiLevelType w:val="hybridMultilevel"/>
    <w:tmpl w:val="AAD2E6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B44711"/>
    <w:multiLevelType w:val="hybridMultilevel"/>
    <w:tmpl w:val="10EC84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3"/>
  </w:num>
  <w:num w:numId="5">
    <w:abstractNumId w:val="0"/>
  </w:num>
  <w:num w:numId="6">
    <w:abstractNumId w:val="7"/>
  </w:num>
  <w:num w:numId="7">
    <w:abstractNumId w:val="7"/>
  </w:num>
  <w:num w:numId="8">
    <w:abstractNumId w:val="2"/>
  </w:num>
  <w:num w:numId="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4C6B"/>
    <w:rsid w:val="00005342"/>
    <w:rsid w:val="00007B9F"/>
    <w:rsid w:val="00007FCC"/>
    <w:rsid w:val="000127DD"/>
    <w:rsid w:val="00021FBA"/>
    <w:rsid w:val="00024807"/>
    <w:rsid w:val="0002636A"/>
    <w:rsid w:val="00026A3B"/>
    <w:rsid w:val="00032163"/>
    <w:rsid w:val="0003358B"/>
    <w:rsid w:val="000345E3"/>
    <w:rsid w:val="00034C3A"/>
    <w:rsid w:val="00035C10"/>
    <w:rsid w:val="000365E8"/>
    <w:rsid w:val="00041FF9"/>
    <w:rsid w:val="0004725A"/>
    <w:rsid w:val="00053016"/>
    <w:rsid w:val="000530B1"/>
    <w:rsid w:val="00062767"/>
    <w:rsid w:val="0006291B"/>
    <w:rsid w:val="0006644E"/>
    <w:rsid w:val="000671D5"/>
    <w:rsid w:val="0007026E"/>
    <w:rsid w:val="00072ECE"/>
    <w:rsid w:val="00074C6E"/>
    <w:rsid w:val="00075804"/>
    <w:rsid w:val="000850FE"/>
    <w:rsid w:val="0008690A"/>
    <w:rsid w:val="000A17BA"/>
    <w:rsid w:val="000A6E0C"/>
    <w:rsid w:val="000B05BA"/>
    <w:rsid w:val="000B2CBC"/>
    <w:rsid w:val="000B43D7"/>
    <w:rsid w:val="000C524F"/>
    <w:rsid w:val="000C7E36"/>
    <w:rsid w:val="000D2A2C"/>
    <w:rsid w:val="000D48EA"/>
    <w:rsid w:val="000D75F8"/>
    <w:rsid w:val="000E3CCB"/>
    <w:rsid w:val="000E3CF5"/>
    <w:rsid w:val="000F22CA"/>
    <w:rsid w:val="000F4CDB"/>
    <w:rsid w:val="000F5C02"/>
    <w:rsid w:val="000F7D43"/>
    <w:rsid w:val="0010092B"/>
    <w:rsid w:val="0010334A"/>
    <w:rsid w:val="00110604"/>
    <w:rsid w:val="00112EC9"/>
    <w:rsid w:val="00115C81"/>
    <w:rsid w:val="00121935"/>
    <w:rsid w:val="00121A10"/>
    <w:rsid w:val="00121C7E"/>
    <w:rsid w:val="001339E4"/>
    <w:rsid w:val="0014064A"/>
    <w:rsid w:val="0014409D"/>
    <w:rsid w:val="0014443A"/>
    <w:rsid w:val="00146C3A"/>
    <w:rsid w:val="001512D1"/>
    <w:rsid w:val="00157053"/>
    <w:rsid w:val="00162979"/>
    <w:rsid w:val="00163AA4"/>
    <w:rsid w:val="00167592"/>
    <w:rsid w:val="00170358"/>
    <w:rsid w:val="001855CF"/>
    <w:rsid w:val="00186A0B"/>
    <w:rsid w:val="00192A79"/>
    <w:rsid w:val="00192EE4"/>
    <w:rsid w:val="00193072"/>
    <w:rsid w:val="00193108"/>
    <w:rsid w:val="00196B39"/>
    <w:rsid w:val="001A1121"/>
    <w:rsid w:val="001A75D1"/>
    <w:rsid w:val="001B0629"/>
    <w:rsid w:val="001B130D"/>
    <w:rsid w:val="001B6472"/>
    <w:rsid w:val="001E0AB3"/>
    <w:rsid w:val="001E6EF2"/>
    <w:rsid w:val="001F2433"/>
    <w:rsid w:val="00201BBD"/>
    <w:rsid w:val="00202927"/>
    <w:rsid w:val="002118F1"/>
    <w:rsid w:val="00216A01"/>
    <w:rsid w:val="00216F3A"/>
    <w:rsid w:val="00217985"/>
    <w:rsid w:val="00225A6E"/>
    <w:rsid w:val="00232BDF"/>
    <w:rsid w:val="00233775"/>
    <w:rsid w:val="00233C05"/>
    <w:rsid w:val="002363A5"/>
    <w:rsid w:val="00237DC7"/>
    <w:rsid w:val="00242A41"/>
    <w:rsid w:val="00244E0B"/>
    <w:rsid w:val="002463EE"/>
    <w:rsid w:val="00246EC7"/>
    <w:rsid w:val="002529A1"/>
    <w:rsid w:val="0025507E"/>
    <w:rsid w:val="002553AC"/>
    <w:rsid w:val="0025596E"/>
    <w:rsid w:val="00262139"/>
    <w:rsid w:val="0026260D"/>
    <w:rsid w:val="00262B5B"/>
    <w:rsid w:val="00263795"/>
    <w:rsid w:val="00267D06"/>
    <w:rsid w:val="00277988"/>
    <w:rsid w:val="002802A1"/>
    <w:rsid w:val="00280964"/>
    <w:rsid w:val="002822B0"/>
    <w:rsid w:val="0028500F"/>
    <w:rsid w:val="002874BF"/>
    <w:rsid w:val="00293C07"/>
    <w:rsid w:val="00296E2B"/>
    <w:rsid w:val="002A27CB"/>
    <w:rsid w:val="002A2ECC"/>
    <w:rsid w:val="002A35ED"/>
    <w:rsid w:val="002B4C4A"/>
    <w:rsid w:val="002B6072"/>
    <w:rsid w:val="002C79FD"/>
    <w:rsid w:val="002D1F28"/>
    <w:rsid w:val="002D3CE2"/>
    <w:rsid w:val="002E3152"/>
    <w:rsid w:val="002F18CF"/>
    <w:rsid w:val="002F47A6"/>
    <w:rsid w:val="002F4FD6"/>
    <w:rsid w:val="002F655E"/>
    <w:rsid w:val="002F6E5A"/>
    <w:rsid w:val="003110B9"/>
    <w:rsid w:val="00320262"/>
    <w:rsid w:val="00331DB8"/>
    <w:rsid w:val="003444CA"/>
    <w:rsid w:val="00345A52"/>
    <w:rsid w:val="00346925"/>
    <w:rsid w:val="0035238B"/>
    <w:rsid w:val="00353A9D"/>
    <w:rsid w:val="00353D6C"/>
    <w:rsid w:val="00355056"/>
    <w:rsid w:val="00356615"/>
    <w:rsid w:val="00360FB5"/>
    <w:rsid w:val="00362350"/>
    <w:rsid w:val="0036569F"/>
    <w:rsid w:val="003716E9"/>
    <w:rsid w:val="003723BD"/>
    <w:rsid w:val="00374D35"/>
    <w:rsid w:val="003860C9"/>
    <w:rsid w:val="00391573"/>
    <w:rsid w:val="003948B3"/>
    <w:rsid w:val="003A0670"/>
    <w:rsid w:val="003A11D6"/>
    <w:rsid w:val="003A6D58"/>
    <w:rsid w:val="003C116C"/>
    <w:rsid w:val="003C2D78"/>
    <w:rsid w:val="003C3521"/>
    <w:rsid w:val="003C362E"/>
    <w:rsid w:val="003C3F1A"/>
    <w:rsid w:val="003C4621"/>
    <w:rsid w:val="003C541A"/>
    <w:rsid w:val="003D16AD"/>
    <w:rsid w:val="003D1B16"/>
    <w:rsid w:val="003D79EE"/>
    <w:rsid w:val="003E044E"/>
    <w:rsid w:val="003E182D"/>
    <w:rsid w:val="003F0A92"/>
    <w:rsid w:val="003F0ACD"/>
    <w:rsid w:val="003F21AC"/>
    <w:rsid w:val="003F70E6"/>
    <w:rsid w:val="00400A74"/>
    <w:rsid w:val="0040107F"/>
    <w:rsid w:val="00401DF4"/>
    <w:rsid w:val="004033AC"/>
    <w:rsid w:val="0040500F"/>
    <w:rsid w:val="004126C0"/>
    <w:rsid w:val="00416DA2"/>
    <w:rsid w:val="00417E9B"/>
    <w:rsid w:val="00423808"/>
    <w:rsid w:val="004261C5"/>
    <w:rsid w:val="00427B31"/>
    <w:rsid w:val="00431433"/>
    <w:rsid w:val="004320C8"/>
    <w:rsid w:val="0043340B"/>
    <w:rsid w:val="00433969"/>
    <w:rsid w:val="0043667C"/>
    <w:rsid w:val="0044050A"/>
    <w:rsid w:val="00444D19"/>
    <w:rsid w:val="004536D3"/>
    <w:rsid w:val="004541A4"/>
    <w:rsid w:val="004554E5"/>
    <w:rsid w:val="00457CA1"/>
    <w:rsid w:val="00461A11"/>
    <w:rsid w:val="00466174"/>
    <w:rsid w:val="004679B8"/>
    <w:rsid w:val="0047219D"/>
    <w:rsid w:val="00473A77"/>
    <w:rsid w:val="00473BDF"/>
    <w:rsid w:val="00474A1C"/>
    <w:rsid w:val="0047586E"/>
    <w:rsid w:val="00480697"/>
    <w:rsid w:val="00487C6E"/>
    <w:rsid w:val="00490415"/>
    <w:rsid w:val="00497B42"/>
    <w:rsid w:val="004A5F2D"/>
    <w:rsid w:val="004A7910"/>
    <w:rsid w:val="004B4D32"/>
    <w:rsid w:val="004B5485"/>
    <w:rsid w:val="004B6F48"/>
    <w:rsid w:val="004B737D"/>
    <w:rsid w:val="004B7D6E"/>
    <w:rsid w:val="004C08D1"/>
    <w:rsid w:val="004C26E6"/>
    <w:rsid w:val="004D03D6"/>
    <w:rsid w:val="004D1D1F"/>
    <w:rsid w:val="004E188F"/>
    <w:rsid w:val="004F6CB6"/>
    <w:rsid w:val="00500071"/>
    <w:rsid w:val="00502A99"/>
    <w:rsid w:val="00502CB9"/>
    <w:rsid w:val="0050301F"/>
    <w:rsid w:val="00504243"/>
    <w:rsid w:val="00505920"/>
    <w:rsid w:val="0052416A"/>
    <w:rsid w:val="00525DC6"/>
    <w:rsid w:val="00527FBB"/>
    <w:rsid w:val="005359EF"/>
    <w:rsid w:val="005404BA"/>
    <w:rsid w:val="00541F61"/>
    <w:rsid w:val="00543280"/>
    <w:rsid w:val="0054599A"/>
    <w:rsid w:val="00547E09"/>
    <w:rsid w:val="005506E0"/>
    <w:rsid w:val="005543C0"/>
    <w:rsid w:val="005567CD"/>
    <w:rsid w:val="00557612"/>
    <w:rsid w:val="00562FEE"/>
    <w:rsid w:val="005651F7"/>
    <w:rsid w:val="005716D4"/>
    <w:rsid w:val="005745D7"/>
    <w:rsid w:val="0057555D"/>
    <w:rsid w:val="0057663A"/>
    <w:rsid w:val="005857B9"/>
    <w:rsid w:val="00591179"/>
    <w:rsid w:val="00591781"/>
    <w:rsid w:val="005940D1"/>
    <w:rsid w:val="005963F8"/>
    <w:rsid w:val="005A25CA"/>
    <w:rsid w:val="005A3A03"/>
    <w:rsid w:val="005A5F1C"/>
    <w:rsid w:val="005A770F"/>
    <w:rsid w:val="005B0285"/>
    <w:rsid w:val="005B7FB6"/>
    <w:rsid w:val="005C1924"/>
    <w:rsid w:val="005C5747"/>
    <w:rsid w:val="005D00FA"/>
    <w:rsid w:val="005D290C"/>
    <w:rsid w:val="005E0866"/>
    <w:rsid w:val="005E0F78"/>
    <w:rsid w:val="005E14E6"/>
    <w:rsid w:val="005E1C2A"/>
    <w:rsid w:val="005E3766"/>
    <w:rsid w:val="005E6E48"/>
    <w:rsid w:val="005F7F02"/>
    <w:rsid w:val="0060044E"/>
    <w:rsid w:val="0060564D"/>
    <w:rsid w:val="00612D50"/>
    <w:rsid w:val="00613B71"/>
    <w:rsid w:val="00617538"/>
    <w:rsid w:val="00623047"/>
    <w:rsid w:val="006306D0"/>
    <w:rsid w:val="00643218"/>
    <w:rsid w:val="00655768"/>
    <w:rsid w:val="00656B5B"/>
    <w:rsid w:val="0065723F"/>
    <w:rsid w:val="00660730"/>
    <w:rsid w:val="00660F61"/>
    <w:rsid w:val="00662B05"/>
    <w:rsid w:val="006657E9"/>
    <w:rsid w:val="00665877"/>
    <w:rsid w:val="00666A64"/>
    <w:rsid w:val="006768A8"/>
    <w:rsid w:val="00681002"/>
    <w:rsid w:val="006A4D85"/>
    <w:rsid w:val="006A5F21"/>
    <w:rsid w:val="006A67B8"/>
    <w:rsid w:val="006B1C1E"/>
    <w:rsid w:val="006B44D9"/>
    <w:rsid w:val="006C2730"/>
    <w:rsid w:val="006C292B"/>
    <w:rsid w:val="006C75D7"/>
    <w:rsid w:val="006D29B2"/>
    <w:rsid w:val="006D4E5A"/>
    <w:rsid w:val="006D51EE"/>
    <w:rsid w:val="006D57E4"/>
    <w:rsid w:val="006E0A8A"/>
    <w:rsid w:val="006E25EC"/>
    <w:rsid w:val="006E2F9E"/>
    <w:rsid w:val="006E409F"/>
    <w:rsid w:val="006F30BC"/>
    <w:rsid w:val="00700A3A"/>
    <w:rsid w:val="007033CF"/>
    <w:rsid w:val="00704E40"/>
    <w:rsid w:val="00704F7B"/>
    <w:rsid w:val="007107F3"/>
    <w:rsid w:val="007124C0"/>
    <w:rsid w:val="00714794"/>
    <w:rsid w:val="007174B8"/>
    <w:rsid w:val="007237E3"/>
    <w:rsid w:val="00724A59"/>
    <w:rsid w:val="00730F01"/>
    <w:rsid w:val="007335F6"/>
    <w:rsid w:val="007418C2"/>
    <w:rsid w:val="0074263A"/>
    <w:rsid w:val="00753E19"/>
    <w:rsid w:val="00753E47"/>
    <w:rsid w:val="007559F8"/>
    <w:rsid w:val="007578CE"/>
    <w:rsid w:val="00762334"/>
    <w:rsid w:val="007624D3"/>
    <w:rsid w:val="007654FC"/>
    <w:rsid w:val="007718E9"/>
    <w:rsid w:val="00791D26"/>
    <w:rsid w:val="00791D51"/>
    <w:rsid w:val="007937C1"/>
    <w:rsid w:val="0079395B"/>
    <w:rsid w:val="00794A0A"/>
    <w:rsid w:val="00797894"/>
    <w:rsid w:val="007A64C7"/>
    <w:rsid w:val="007A7B6B"/>
    <w:rsid w:val="007B0B11"/>
    <w:rsid w:val="007B2070"/>
    <w:rsid w:val="007B20C7"/>
    <w:rsid w:val="007C3B75"/>
    <w:rsid w:val="007C58E9"/>
    <w:rsid w:val="007D7849"/>
    <w:rsid w:val="007E2764"/>
    <w:rsid w:val="007E39CF"/>
    <w:rsid w:val="007F7651"/>
    <w:rsid w:val="00801FB9"/>
    <w:rsid w:val="00802E98"/>
    <w:rsid w:val="00821F3C"/>
    <w:rsid w:val="00826FE7"/>
    <w:rsid w:val="00827695"/>
    <w:rsid w:val="00831B92"/>
    <w:rsid w:val="00831E58"/>
    <w:rsid w:val="00833DA6"/>
    <w:rsid w:val="00835292"/>
    <w:rsid w:val="00837649"/>
    <w:rsid w:val="008464B8"/>
    <w:rsid w:val="00847DC2"/>
    <w:rsid w:val="00853DE3"/>
    <w:rsid w:val="00866191"/>
    <w:rsid w:val="00873DCC"/>
    <w:rsid w:val="0088047F"/>
    <w:rsid w:val="0088534C"/>
    <w:rsid w:val="00885BB4"/>
    <w:rsid w:val="008952C8"/>
    <w:rsid w:val="008A1018"/>
    <w:rsid w:val="008B1008"/>
    <w:rsid w:val="008C230C"/>
    <w:rsid w:val="008C7413"/>
    <w:rsid w:val="008D0862"/>
    <w:rsid w:val="008D53DB"/>
    <w:rsid w:val="008D686E"/>
    <w:rsid w:val="008E34A4"/>
    <w:rsid w:val="008F4F55"/>
    <w:rsid w:val="008F5285"/>
    <w:rsid w:val="008F5C64"/>
    <w:rsid w:val="008F5EC5"/>
    <w:rsid w:val="00901B32"/>
    <w:rsid w:val="00911425"/>
    <w:rsid w:val="00912519"/>
    <w:rsid w:val="00917577"/>
    <w:rsid w:val="00925741"/>
    <w:rsid w:val="009413D3"/>
    <w:rsid w:val="00941CE3"/>
    <w:rsid w:val="009437E2"/>
    <w:rsid w:val="00945D7A"/>
    <w:rsid w:val="009518E1"/>
    <w:rsid w:val="0095267F"/>
    <w:rsid w:val="00953FE8"/>
    <w:rsid w:val="00957619"/>
    <w:rsid w:val="0096441A"/>
    <w:rsid w:val="0096487E"/>
    <w:rsid w:val="00972640"/>
    <w:rsid w:val="00975F25"/>
    <w:rsid w:val="009761DE"/>
    <w:rsid w:val="00976550"/>
    <w:rsid w:val="00982D98"/>
    <w:rsid w:val="00983852"/>
    <w:rsid w:val="00995882"/>
    <w:rsid w:val="009A538D"/>
    <w:rsid w:val="009B0109"/>
    <w:rsid w:val="009B0366"/>
    <w:rsid w:val="009B46C8"/>
    <w:rsid w:val="009B62F1"/>
    <w:rsid w:val="009C161B"/>
    <w:rsid w:val="009C3D5F"/>
    <w:rsid w:val="009D0245"/>
    <w:rsid w:val="009D2F67"/>
    <w:rsid w:val="009D407C"/>
    <w:rsid w:val="009E00C6"/>
    <w:rsid w:val="009E2678"/>
    <w:rsid w:val="009E5C20"/>
    <w:rsid w:val="009F0C73"/>
    <w:rsid w:val="009F0E0C"/>
    <w:rsid w:val="009F10C4"/>
    <w:rsid w:val="009F2054"/>
    <w:rsid w:val="00A05BF8"/>
    <w:rsid w:val="00A07D60"/>
    <w:rsid w:val="00A202A5"/>
    <w:rsid w:val="00A34BEB"/>
    <w:rsid w:val="00A40B6F"/>
    <w:rsid w:val="00A41296"/>
    <w:rsid w:val="00A41D03"/>
    <w:rsid w:val="00A41FA6"/>
    <w:rsid w:val="00A43FE4"/>
    <w:rsid w:val="00A52B2B"/>
    <w:rsid w:val="00A5371B"/>
    <w:rsid w:val="00A53BE6"/>
    <w:rsid w:val="00A545C8"/>
    <w:rsid w:val="00A54613"/>
    <w:rsid w:val="00A5601D"/>
    <w:rsid w:val="00A57340"/>
    <w:rsid w:val="00A805BB"/>
    <w:rsid w:val="00A810AD"/>
    <w:rsid w:val="00A847D8"/>
    <w:rsid w:val="00A86978"/>
    <w:rsid w:val="00A927BA"/>
    <w:rsid w:val="00A92EFA"/>
    <w:rsid w:val="00A93A22"/>
    <w:rsid w:val="00A949AD"/>
    <w:rsid w:val="00A95712"/>
    <w:rsid w:val="00AA5740"/>
    <w:rsid w:val="00AA69AC"/>
    <w:rsid w:val="00AA729A"/>
    <w:rsid w:val="00AB1925"/>
    <w:rsid w:val="00AB1A8A"/>
    <w:rsid w:val="00AB1FF5"/>
    <w:rsid w:val="00AB5D04"/>
    <w:rsid w:val="00AC703A"/>
    <w:rsid w:val="00AF07D0"/>
    <w:rsid w:val="00AF2D77"/>
    <w:rsid w:val="00AF4386"/>
    <w:rsid w:val="00B03679"/>
    <w:rsid w:val="00B039E4"/>
    <w:rsid w:val="00B05810"/>
    <w:rsid w:val="00B113A6"/>
    <w:rsid w:val="00B11603"/>
    <w:rsid w:val="00B13420"/>
    <w:rsid w:val="00B200D6"/>
    <w:rsid w:val="00B2114E"/>
    <w:rsid w:val="00B4416D"/>
    <w:rsid w:val="00B4466C"/>
    <w:rsid w:val="00B47EFF"/>
    <w:rsid w:val="00B5014D"/>
    <w:rsid w:val="00B54718"/>
    <w:rsid w:val="00B55A8E"/>
    <w:rsid w:val="00B56D51"/>
    <w:rsid w:val="00B60393"/>
    <w:rsid w:val="00B60AD1"/>
    <w:rsid w:val="00B617D6"/>
    <w:rsid w:val="00B67FA2"/>
    <w:rsid w:val="00B73451"/>
    <w:rsid w:val="00B75136"/>
    <w:rsid w:val="00B755F5"/>
    <w:rsid w:val="00B759A4"/>
    <w:rsid w:val="00B83EEF"/>
    <w:rsid w:val="00B90037"/>
    <w:rsid w:val="00B91C7F"/>
    <w:rsid w:val="00B94688"/>
    <w:rsid w:val="00B94FDC"/>
    <w:rsid w:val="00BA17D9"/>
    <w:rsid w:val="00BA3ED0"/>
    <w:rsid w:val="00BB64E6"/>
    <w:rsid w:val="00BB6C59"/>
    <w:rsid w:val="00BC0C9A"/>
    <w:rsid w:val="00BC1567"/>
    <w:rsid w:val="00BC1939"/>
    <w:rsid w:val="00BC651C"/>
    <w:rsid w:val="00BC6780"/>
    <w:rsid w:val="00BD500F"/>
    <w:rsid w:val="00BD51EC"/>
    <w:rsid w:val="00BD77ED"/>
    <w:rsid w:val="00BE13C8"/>
    <w:rsid w:val="00BE2AC1"/>
    <w:rsid w:val="00BE691B"/>
    <w:rsid w:val="00BE6DF8"/>
    <w:rsid w:val="00BE7C0A"/>
    <w:rsid w:val="00BF71D1"/>
    <w:rsid w:val="00C00413"/>
    <w:rsid w:val="00C057D6"/>
    <w:rsid w:val="00C15AFF"/>
    <w:rsid w:val="00C1654D"/>
    <w:rsid w:val="00C313E5"/>
    <w:rsid w:val="00C31A62"/>
    <w:rsid w:val="00C3317D"/>
    <w:rsid w:val="00C36B64"/>
    <w:rsid w:val="00C370E4"/>
    <w:rsid w:val="00C41C0F"/>
    <w:rsid w:val="00C45301"/>
    <w:rsid w:val="00C4687E"/>
    <w:rsid w:val="00C554A3"/>
    <w:rsid w:val="00C618C4"/>
    <w:rsid w:val="00C62B18"/>
    <w:rsid w:val="00C63CF4"/>
    <w:rsid w:val="00C7178A"/>
    <w:rsid w:val="00C7613B"/>
    <w:rsid w:val="00C80E4A"/>
    <w:rsid w:val="00C840C1"/>
    <w:rsid w:val="00C861CF"/>
    <w:rsid w:val="00C87012"/>
    <w:rsid w:val="00C93D2E"/>
    <w:rsid w:val="00CA05CC"/>
    <w:rsid w:val="00CA6E6C"/>
    <w:rsid w:val="00CB2298"/>
    <w:rsid w:val="00CB2E06"/>
    <w:rsid w:val="00CB76CD"/>
    <w:rsid w:val="00CC4C96"/>
    <w:rsid w:val="00CC6192"/>
    <w:rsid w:val="00CC6606"/>
    <w:rsid w:val="00CD519F"/>
    <w:rsid w:val="00CD79BB"/>
    <w:rsid w:val="00CE2020"/>
    <w:rsid w:val="00CE60C2"/>
    <w:rsid w:val="00CF442E"/>
    <w:rsid w:val="00D12294"/>
    <w:rsid w:val="00D17EFF"/>
    <w:rsid w:val="00D22632"/>
    <w:rsid w:val="00D252BB"/>
    <w:rsid w:val="00D319AC"/>
    <w:rsid w:val="00D3228B"/>
    <w:rsid w:val="00D324BD"/>
    <w:rsid w:val="00D33BE6"/>
    <w:rsid w:val="00D363FE"/>
    <w:rsid w:val="00D4056B"/>
    <w:rsid w:val="00D42FDE"/>
    <w:rsid w:val="00D46827"/>
    <w:rsid w:val="00D50EFC"/>
    <w:rsid w:val="00D52B3A"/>
    <w:rsid w:val="00D54FD4"/>
    <w:rsid w:val="00D609FF"/>
    <w:rsid w:val="00D62418"/>
    <w:rsid w:val="00D66C06"/>
    <w:rsid w:val="00D71331"/>
    <w:rsid w:val="00D71CC4"/>
    <w:rsid w:val="00D73703"/>
    <w:rsid w:val="00D7504F"/>
    <w:rsid w:val="00D8218E"/>
    <w:rsid w:val="00D86633"/>
    <w:rsid w:val="00D87824"/>
    <w:rsid w:val="00D91228"/>
    <w:rsid w:val="00D921C2"/>
    <w:rsid w:val="00D93BBC"/>
    <w:rsid w:val="00D956F7"/>
    <w:rsid w:val="00DA1DEE"/>
    <w:rsid w:val="00DB0AD1"/>
    <w:rsid w:val="00DB4DC6"/>
    <w:rsid w:val="00DC06EF"/>
    <w:rsid w:val="00DC0D8F"/>
    <w:rsid w:val="00DC3D8E"/>
    <w:rsid w:val="00DC6A87"/>
    <w:rsid w:val="00DC7044"/>
    <w:rsid w:val="00DD2F6D"/>
    <w:rsid w:val="00DD2FEA"/>
    <w:rsid w:val="00DD45BE"/>
    <w:rsid w:val="00DE29DF"/>
    <w:rsid w:val="00DE44B3"/>
    <w:rsid w:val="00DE554F"/>
    <w:rsid w:val="00DF4CA4"/>
    <w:rsid w:val="00DF6F0C"/>
    <w:rsid w:val="00DF7F93"/>
    <w:rsid w:val="00E0014D"/>
    <w:rsid w:val="00E10D86"/>
    <w:rsid w:val="00E12381"/>
    <w:rsid w:val="00E147C9"/>
    <w:rsid w:val="00E1726A"/>
    <w:rsid w:val="00E21E26"/>
    <w:rsid w:val="00E226E4"/>
    <w:rsid w:val="00E22B53"/>
    <w:rsid w:val="00E31D73"/>
    <w:rsid w:val="00E35C53"/>
    <w:rsid w:val="00E40596"/>
    <w:rsid w:val="00E4063C"/>
    <w:rsid w:val="00E46FDE"/>
    <w:rsid w:val="00E47623"/>
    <w:rsid w:val="00E5079A"/>
    <w:rsid w:val="00E565B1"/>
    <w:rsid w:val="00E57329"/>
    <w:rsid w:val="00E57623"/>
    <w:rsid w:val="00E606E5"/>
    <w:rsid w:val="00E6172D"/>
    <w:rsid w:val="00E64C52"/>
    <w:rsid w:val="00E674E0"/>
    <w:rsid w:val="00E71762"/>
    <w:rsid w:val="00E835A3"/>
    <w:rsid w:val="00E91006"/>
    <w:rsid w:val="00E94851"/>
    <w:rsid w:val="00E95620"/>
    <w:rsid w:val="00E97E49"/>
    <w:rsid w:val="00EA0E61"/>
    <w:rsid w:val="00EA1029"/>
    <w:rsid w:val="00EA1798"/>
    <w:rsid w:val="00EA4351"/>
    <w:rsid w:val="00EB621C"/>
    <w:rsid w:val="00EC1A49"/>
    <w:rsid w:val="00EC3388"/>
    <w:rsid w:val="00ED4891"/>
    <w:rsid w:val="00ED644D"/>
    <w:rsid w:val="00EE6B18"/>
    <w:rsid w:val="00EF06C3"/>
    <w:rsid w:val="00EF1E0E"/>
    <w:rsid w:val="00EF7398"/>
    <w:rsid w:val="00EF7C35"/>
    <w:rsid w:val="00F03696"/>
    <w:rsid w:val="00F06DFE"/>
    <w:rsid w:val="00F073DC"/>
    <w:rsid w:val="00F10066"/>
    <w:rsid w:val="00F10315"/>
    <w:rsid w:val="00F15F63"/>
    <w:rsid w:val="00F213B6"/>
    <w:rsid w:val="00F22521"/>
    <w:rsid w:val="00F22B57"/>
    <w:rsid w:val="00F300F9"/>
    <w:rsid w:val="00F302CE"/>
    <w:rsid w:val="00F326DD"/>
    <w:rsid w:val="00F41C71"/>
    <w:rsid w:val="00F4614B"/>
    <w:rsid w:val="00F54F2A"/>
    <w:rsid w:val="00F61FDE"/>
    <w:rsid w:val="00F7665A"/>
    <w:rsid w:val="00F802A3"/>
    <w:rsid w:val="00F80D67"/>
    <w:rsid w:val="00F842C9"/>
    <w:rsid w:val="00F86C29"/>
    <w:rsid w:val="00F940E4"/>
    <w:rsid w:val="00F95088"/>
    <w:rsid w:val="00FA063C"/>
    <w:rsid w:val="00FA45F7"/>
    <w:rsid w:val="00FB27B5"/>
    <w:rsid w:val="00FB67BC"/>
    <w:rsid w:val="00FB7E6D"/>
    <w:rsid w:val="00FC354E"/>
    <w:rsid w:val="00FC4A47"/>
    <w:rsid w:val="00FD208D"/>
    <w:rsid w:val="00FD3248"/>
    <w:rsid w:val="00FD4882"/>
    <w:rsid w:val="00FD6368"/>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2B60C"/>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27865">
      <w:bodyDiv w:val="1"/>
      <w:marLeft w:val="0"/>
      <w:marRight w:val="0"/>
      <w:marTop w:val="0"/>
      <w:marBottom w:val="0"/>
      <w:divBdr>
        <w:top w:val="none" w:sz="0" w:space="0" w:color="auto"/>
        <w:left w:val="none" w:sz="0" w:space="0" w:color="auto"/>
        <w:bottom w:val="none" w:sz="0" w:space="0" w:color="auto"/>
        <w:right w:val="none" w:sz="0" w:space="0" w:color="auto"/>
      </w:divBdr>
    </w:div>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5442628">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446923159">
      <w:bodyDiv w:val="1"/>
      <w:marLeft w:val="0"/>
      <w:marRight w:val="0"/>
      <w:marTop w:val="0"/>
      <w:marBottom w:val="0"/>
      <w:divBdr>
        <w:top w:val="none" w:sz="0" w:space="0" w:color="auto"/>
        <w:left w:val="none" w:sz="0" w:space="0" w:color="auto"/>
        <w:bottom w:val="none" w:sz="0" w:space="0" w:color="auto"/>
        <w:right w:val="none" w:sz="0" w:space="0" w:color="auto"/>
      </w:divBdr>
    </w:div>
    <w:div w:id="1594514092">
      <w:bodyDiv w:val="1"/>
      <w:marLeft w:val="0"/>
      <w:marRight w:val="0"/>
      <w:marTop w:val="0"/>
      <w:marBottom w:val="0"/>
      <w:divBdr>
        <w:top w:val="none" w:sz="0" w:space="0" w:color="auto"/>
        <w:left w:val="none" w:sz="0" w:space="0" w:color="auto"/>
        <w:bottom w:val="none" w:sz="0" w:space="0" w:color="auto"/>
        <w:right w:val="none" w:sz="0" w:space="0" w:color="auto"/>
      </w:divBdr>
    </w:div>
    <w:div w:id="1693142702">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83332635">
      <w:bodyDiv w:val="1"/>
      <w:marLeft w:val="0"/>
      <w:marRight w:val="0"/>
      <w:marTop w:val="0"/>
      <w:marBottom w:val="0"/>
      <w:divBdr>
        <w:top w:val="none" w:sz="0" w:space="0" w:color="auto"/>
        <w:left w:val="none" w:sz="0" w:space="0" w:color="auto"/>
        <w:bottom w:val="none" w:sz="0" w:space="0" w:color="auto"/>
        <w:right w:val="none" w:sz="0" w:space="0" w:color="auto"/>
      </w:divBdr>
    </w:div>
    <w:div w:id="194695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s://data.unicef.org/topic/child-protection/child-marri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10B773-057F-4B36-9227-C7B46794A35D}">
  <ds:schemaRefs>
    <ds:schemaRef ds:uri="http://schemas.openxmlformats.org/officeDocument/2006/bibliography"/>
  </ds:schemaRefs>
</ds:datastoreItem>
</file>

<file path=customXml/itemProps2.xml><?xml version="1.0" encoding="utf-8"?>
<ds:datastoreItem xmlns:ds="http://schemas.openxmlformats.org/officeDocument/2006/customXml" ds:itemID="{923A408E-3B67-4790-A978-09BB9B4246F5}"/>
</file>

<file path=customXml/itemProps3.xml><?xml version="1.0" encoding="utf-8"?>
<ds:datastoreItem xmlns:ds="http://schemas.openxmlformats.org/officeDocument/2006/customXml" ds:itemID="{54AA6CF2-5167-4D3B-8FD7-87D94DAEA0E5}"/>
</file>

<file path=customXml/itemProps4.xml><?xml version="1.0" encoding="utf-8"?>
<ds:datastoreItem xmlns:ds="http://schemas.openxmlformats.org/officeDocument/2006/customXml" ds:itemID="{17169AE2-BE84-4A4A-B391-6275C751747C}"/>
</file>

<file path=docProps/app.xml><?xml version="1.0" encoding="utf-8"?>
<Properties xmlns="http://schemas.openxmlformats.org/officeDocument/2006/extended-properties" xmlns:vt="http://schemas.openxmlformats.org/officeDocument/2006/docPropsVTypes">
  <Template>Normal</Template>
  <TotalTime>6</TotalTime>
  <Pages>12</Pages>
  <Words>3196</Words>
  <Characters>18218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5</cp:revision>
  <cp:lastPrinted>2020-01-03T22:52:00Z</cp:lastPrinted>
  <dcterms:created xsi:type="dcterms:W3CDTF">2022-05-09T14:00:00Z</dcterms:created>
  <dcterms:modified xsi:type="dcterms:W3CDTF">2022-05-09T14:18:00Z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