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D7E5F4" w14:textId="24ECF388" w:rsidR="002D673C" w:rsidRDefault="002D673C" w:rsidP="002D673C">
      <w:pPr>
        <w:spacing w:before="120"/>
        <w:rPr>
          <w:rFonts w:ascii="Arial" w:hAnsi="Arial" w:cs="Arial"/>
          <w:b/>
          <w:sz w:val="24"/>
          <w:szCs w:val="24"/>
        </w:rPr>
      </w:pPr>
    </w:p>
    <w:p w14:paraId="5669B9EF" w14:textId="77777777" w:rsidR="002E1807" w:rsidRDefault="00377E75" w:rsidP="002E1807">
      <w:pPr>
        <w:spacing w:before="120"/>
        <w:jc w:val="center"/>
        <w:rPr>
          <w:rFonts w:ascii="Arial" w:hAnsi="Arial" w:cs="Arial"/>
          <w:b/>
          <w:sz w:val="24"/>
          <w:szCs w:val="24"/>
        </w:rPr>
      </w:pPr>
      <w:r w:rsidRPr="00320FA9">
        <w:rPr>
          <w:rFonts w:ascii="Arial" w:hAnsi="Arial" w:cs="Arial"/>
          <w:b/>
          <w:sz w:val="24"/>
          <w:szCs w:val="24"/>
        </w:rPr>
        <w:t>LAS DEUDAS PENDIENTES DEL ESTADO CON LAS MUJERES ECUATORIANAS.</w:t>
      </w:r>
    </w:p>
    <w:p w14:paraId="24145E02" w14:textId="77777777" w:rsidR="002E1807" w:rsidRDefault="002E1807" w:rsidP="002E1807">
      <w:pPr>
        <w:spacing w:before="120"/>
        <w:jc w:val="center"/>
        <w:rPr>
          <w:rFonts w:ascii="Arial" w:hAnsi="Arial" w:cs="Arial"/>
          <w:b/>
          <w:sz w:val="24"/>
          <w:szCs w:val="24"/>
        </w:rPr>
      </w:pPr>
    </w:p>
    <w:p w14:paraId="2FB4BAE1" w14:textId="5E2E33AC" w:rsidR="0083730E" w:rsidRPr="002E1807" w:rsidRDefault="0083730E" w:rsidP="002E1807">
      <w:pPr>
        <w:spacing w:before="120"/>
        <w:jc w:val="both"/>
        <w:rPr>
          <w:rFonts w:ascii="Arial" w:hAnsi="Arial" w:cs="Arial"/>
          <w:b/>
          <w:sz w:val="24"/>
          <w:szCs w:val="24"/>
        </w:rPr>
      </w:pPr>
      <w:r w:rsidRPr="00320FA9">
        <w:rPr>
          <w:rFonts w:ascii="Arial" w:hAnsi="Arial" w:cs="Arial"/>
          <w:bCs/>
          <w:sz w:val="24"/>
          <w:szCs w:val="24"/>
        </w:rPr>
        <w:t>Comité de Derechos Económicos, Sociales y Culturales</w:t>
      </w:r>
      <w:r w:rsidR="00377E75" w:rsidRPr="00320FA9">
        <w:rPr>
          <w:rFonts w:ascii="Arial" w:hAnsi="Arial" w:cs="Arial"/>
          <w:bCs/>
          <w:sz w:val="24"/>
          <w:szCs w:val="24"/>
        </w:rPr>
        <w:t xml:space="preserve">: </w:t>
      </w:r>
      <w:r w:rsidRPr="00320FA9">
        <w:rPr>
          <w:rFonts w:ascii="Arial" w:hAnsi="Arial" w:cs="Arial"/>
          <w:bCs/>
          <w:sz w:val="24"/>
          <w:szCs w:val="24"/>
          <w:lang w:val="es-ES_tradnl"/>
        </w:rPr>
        <w:t>Lista de cuestiones relativa al cuarto informe periódico</w:t>
      </w:r>
      <w:r w:rsidR="00377E75" w:rsidRPr="00320FA9">
        <w:rPr>
          <w:rFonts w:ascii="Arial" w:hAnsi="Arial" w:cs="Arial"/>
          <w:b/>
          <w:bCs/>
          <w:sz w:val="24"/>
          <w:szCs w:val="24"/>
          <w:lang w:val="es-ES_tradnl"/>
        </w:rPr>
        <w:t xml:space="preserve"> </w:t>
      </w:r>
      <w:r w:rsidRPr="00320FA9">
        <w:rPr>
          <w:rFonts w:ascii="Arial" w:hAnsi="Arial" w:cs="Arial"/>
          <w:bCs/>
          <w:sz w:val="24"/>
          <w:szCs w:val="24"/>
          <w:lang w:val="es-ES_tradnl"/>
        </w:rPr>
        <w:t>del Ecuador</w:t>
      </w:r>
      <w:r w:rsidRPr="00320FA9">
        <w:rPr>
          <w:rStyle w:val="Refdenotaalpie"/>
          <w:rFonts w:ascii="Arial" w:hAnsi="Arial" w:cs="Arial"/>
          <w:bCs/>
          <w:sz w:val="24"/>
          <w:szCs w:val="24"/>
          <w:lang w:val="es-ES_tradnl"/>
        </w:rPr>
        <w:footnoteReference w:customMarkFollows="1" w:id="1"/>
        <w:t>*</w:t>
      </w:r>
      <w:r w:rsidR="00377E75" w:rsidRPr="00320FA9">
        <w:rPr>
          <w:rFonts w:ascii="Arial" w:hAnsi="Arial" w:cs="Arial"/>
          <w:b/>
          <w:bCs/>
          <w:sz w:val="24"/>
          <w:szCs w:val="24"/>
          <w:lang w:val="es-ES_tradnl"/>
        </w:rPr>
        <w:t xml:space="preserve">. </w:t>
      </w:r>
      <w:r w:rsidRPr="002E1807">
        <w:rPr>
          <w:rFonts w:ascii="Arial" w:hAnsi="Arial" w:cs="Arial"/>
          <w:bCs/>
          <w:sz w:val="24"/>
          <w:szCs w:val="24"/>
        </w:rPr>
        <w:t>I.</w:t>
      </w:r>
      <w:r w:rsidR="00377E75" w:rsidRPr="002E1807">
        <w:rPr>
          <w:rFonts w:ascii="Arial" w:hAnsi="Arial" w:cs="Arial"/>
          <w:b/>
          <w:bCs/>
          <w:sz w:val="24"/>
          <w:szCs w:val="24"/>
        </w:rPr>
        <w:t xml:space="preserve"> </w:t>
      </w:r>
      <w:r w:rsidRPr="00320FA9">
        <w:rPr>
          <w:rFonts w:ascii="Arial" w:hAnsi="Arial" w:cs="Arial"/>
          <w:bCs/>
          <w:sz w:val="24"/>
          <w:szCs w:val="24"/>
          <w:lang w:val="es-ES_tradnl"/>
        </w:rPr>
        <w:t>Información general</w:t>
      </w:r>
      <w:r w:rsidR="00B3105C" w:rsidRPr="00320FA9">
        <w:rPr>
          <w:rFonts w:ascii="Arial" w:hAnsi="Arial" w:cs="Arial"/>
          <w:bCs/>
          <w:sz w:val="24"/>
          <w:szCs w:val="24"/>
          <w:lang w:val="es-ES_tradnl"/>
        </w:rPr>
        <w:t>.</w:t>
      </w:r>
    </w:p>
    <w:p w14:paraId="43720CF3" w14:textId="77777777" w:rsidR="0083730E" w:rsidRPr="00320FA9" w:rsidRDefault="00377E75" w:rsidP="00B87598">
      <w:pPr>
        <w:pStyle w:val="SingleTxtG"/>
        <w:ind w:left="708"/>
        <w:rPr>
          <w:rFonts w:ascii="Arial" w:hAnsi="Arial" w:cs="Arial"/>
          <w:bCs/>
          <w:sz w:val="24"/>
          <w:szCs w:val="24"/>
        </w:rPr>
      </w:pPr>
      <w:r w:rsidRPr="00320FA9">
        <w:rPr>
          <w:rFonts w:ascii="Arial" w:hAnsi="Arial" w:cs="Arial"/>
          <w:bCs/>
          <w:sz w:val="24"/>
          <w:szCs w:val="24"/>
        </w:rPr>
        <w:t xml:space="preserve"> </w:t>
      </w:r>
      <w:r w:rsidR="0083730E" w:rsidRPr="00320FA9">
        <w:rPr>
          <w:rFonts w:ascii="Arial" w:hAnsi="Arial" w:cs="Arial"/>
          <w:bCs/>
          <w:sz w:val="24"/>
          <w:szCs w:val="24"/>
        </w:rPr>
        <w:t>“</w:t>
      </w:r>
      <w:r w:rsidR="0046137F" w:rsidRPr="00320FA9">
        <w:rPr>
          <w:rFonts w:ascii="Arial" w:hAnsi="Arial" w:cs="Arial"/>
          <w:bCs/>
          <w:sz w:val="24"/>
          <w:szCs w:val="24"/>
        </w:rPr>
        <w:t>11.</w:t>
      </w:r>
      <w:r w:rsidR="0046137F" w:rsidRPr="00320FA9">
        <w:rPr>
          <w:rFonts w:ascii="Arial" w:hAnsi="Arial" w:cs="Arial"/>
          <w:bCs/>
          <w:sz w:val="24"/>
          <w:szCs w:val="24"/>
        </w:rPr>
        <w:tab/>
      </w:r>
      <w:r w:rsidR="0046137F" w:rsidRPr="00320FA9">
        <w:rPr>
          <w:rFonts w:ascii="Arial" w:hAnsi="Arial" w:cs="Arial"/>
          <w:bCs/>
          <w:sz w:val="24"/>
          <w:szCs w:val="24"/>
          <w:lang w:val="es-ES_tradnl"/>
        </w:rPr>
        <w:t xml:space="preserve">Sírvanse proporcionar información sobre el impacto </w:t>
      </w:r>
      <w:r w:rsidR="0046137F" w:rsidRPr="00320FA9">
        <w:rPr>
          <w:rFonts w:ascii="Arial" w:hAnsi="Arial" w:cs="Arial"/>
          <w:bCs/>
          <w:sz w:val="24"/>
          <w:szCs w:val="24"/>
        </w:rPr>
        <w:t>en materia</w:t>
      </w:r>
      <w:r w:rsidRPr="00320FA9">
        <w:rPr>
          <w:rFonts w:ascii="Arial" w:hAnsi="Arial" w:cs="Arial"/>
          <w:bCs/>
          <w:sz w:val="24"/>
          <w:szCs w:val="24"/>
        </w:rPr>
        <w:t xml:space="preserve"> </w:t>
      </w:r>
      <w:r w:rsidR="0046137F" w:rsidRPr="00320FA9">
        <w:rPr>
          <w:rFonts w:ascii="Arial" w:hAnsi="Arial" w:cs="Arial"/>
          <w:bCs/>
          <w:sz w:val="24"/>
          <w:szCs w:val="24"/>
        </w:rPr>
        <w:t>de igualdad de derechos entre hombres y mujeres</w:t>
      </w:r>
      <w:r w:rsidR="0046137F" w:rsidRPr="00320FA9">
        <w:rPr>
          <w:rFonts w:ascii="Arial" w:hAnsi="Arial" w:cs="Arial"/>
          <w:bCs/>
          <w:sz w:val="24"/>
          <w:szCs w:val="24"/>
          <w:lang w:val="es-ES_tradnl"/>
        </w:rPr>
        <w:t xml:space="preserve"> de las medidas adoptadas por el Estado parte, como la Ley Orgánica Integral para Prevenir y Erradicar la Violencia contra las Mujeres, el Plan Nacional para la Erradicación de la Violencia de Género hacia la Niñez, Adolescencia y Mujeres, la Agenda Nacional de las Mujeres y la Igualdad de Género y el Sistema Nacional Integral para prevenir y erradicar la violencia contra las mujeres (</w:t>
      </w:r>
      <w:r w:rsidR="0046137F" w:rsidRPr="00320FA9">
        <w:rPr>
          <w:rFonts w:ascii="Arial" w:hAnsi="Arial" w:cs="Arial"/>
          <w:bCs/>
          <w:sz w:val="24"/>
          <w:szCs w:val="24"/>
        </w:rPr>
        <w:t>párrafos 10, 11 y 107 a 114 del informe del Estado parte).</w:t>
      </w:r>
      <w:r w:rsidR="0083730E" w:rsidRPr="00320FA9">
        <w:rPr>
          <w:rFonts w:ascii="Arial" w:hAnsi="Arial" w:cs="Arial"/>
          <w:bCs/>
          <w:sz w:val="24"/>
          <w:szCs w:val="24"/>
        </w:rPr>
        <w:t>”</w:t>
      </w:r>
    </w:p>
    <w:p w14:paraId="09679D7F" w14:textId="2E868129" w:rsidR="00B87598" w:rsidRPr="00320FA9" w:rsidRDefault="00B87598" w:rsidP="00B87598">
      <w:pPr>
        <w:pStyle w:val="Prrafodelista"/>
        <w:numPr>
          <w:ilvl w:val="0"/>
          <w:numId w:val="2"/>
        </w:numPr>
        <w:spacing w:before="100" w:beforeAutospacing="1" w:after="100" w:afterAutospacing="1"/>
        <w:jc w:val="both"/>
        <w:rPr>
          <w:rFonts w:ascii="Arial" w:hAnsi="Arial" w:cs="Arial"/>
          <w:b/>
          <w:bCs/>
          <w:sz w:val="24"/>
          <w:szCs w:val="24"/>
          <w:lang w:val="es-ES_tradnl"/>
        </w:rPr>
      </w:pPr>
      <w:r w:rsidRPr="00320FA9">
        <w:rPr>
          <w:rFonts w:ascii="Arial" w:hAnsi="Arial" w:cs="Arial"/>
          <w:b/>
          <w:bCs/>
          <w:sz w:val="24"/>
          <w:szCs w:val="24"/>
          <w:lang w:val="es-ES_tradnl"/>
        </w:rPr>
        <w:t>Conte</w:t>
      </w:r>
      <w:r w:rsidR="001D32C3" w:rsidRPr="00320FA9">
        <w:rPr>
          <w:rFonts w:ascii="Arial" w:hAnsi="Arial" w:cs="Arial"/>
          <w:b/>
          <w:bCs/>
          <w:sz w:val="24"/>
          <w:szCs w:val="24"/>
          <w:lang w:val="es-ES_tradnl"/>
        </w:rPr>
        <w:t xml:space="preserve">xto </w:t>
      </w:r>
      <w:r w:rsidRPr="00320FA9">
        <w:rPr>
          <w:rFonts w:ascii="Arial" w:hAnsi="Arial" w:cs="Arial"/>
          <w:b/>
          <w:bCs/>
          <w:sz w:val="24"/>
          <w:szCs w:val="24"/>
          <w:lang w:val="es-ES_tradnl"/>
        </w:rPr>
        <w:t>en el Ecuador</w:t>
      </w:r>
      <w:r w:rsidR="00725E33" w:rsidRPr="00320FA9">
        <w:rPr>
          <w:rFonts w:ascii="Arial" w:hAnsi="Arial" w:cs="Arial"/>
          <w:b/>
          <w:bCs/>
          <w:sz w:val="24"/>
          <w:szCs w:val="24"/>
          <w:lang w:val="es-ES_tradnl"/>
        </w:rPr>
        <w:t xml:space="preserve"> 2007 a 2017</w:t>
      </w:r>
    </w:p>
    <w:p w14:paraId="29B1518F" w14:textId="77777777" w:rsidR="0069648E" w:rsidRPr="00320FA9" w:rsidRDefault="0069648E" w:rsidP="0069648E">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La violencia basada en género es el arma por excelencia del patriarcado porque es a partir de ella que se logra someter y controlar el cuerpo de las mujeres, y ha generado históricamente discriminación, exclusión e invisibilidad de las mujeres. </w:t>
      </w:r>
    </w:p>
    <w:p w14:paraId="5A450B42" w14:textId="58B31952" w:rsidR="001D32C3" w:rsidRPr="00320FA9" w:rsidRDefault="0069648E" w:rsidP="0069648E">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Para prevenir y erradicar la violencia basada en género, se necesitan de políticas en el ámbito de salud, justicia, educación y múltiples dimensiones, de lo contrario no hay resultados suficientes. </w:t>
      </w:r>
    </w:p>
    <w:p w14:paraId="00372550" w14:textId="79974FDE" w:rsidR="0069648E" w:rsidRPr="00320FA9" w:rsidRDefault="0069648E" w:rsidP="00354016">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En Ecuador desde hace más de 30 años, se realizaron acciones colectivas para prevenir y atender la violencia basada en género, en especial la que se da en el ámbito familiar, iniciativas lideradas e impulsadas por organizaciones de la sociedad civil, que reemplazó y asumió la responsabilidad del Estado permitiendo brindar algunas respuestas a las víctimas de este tipo de violencia, a través de estrategias de trabajo en equipo, cooperación, trabajo en redes. El trabajo de la sociedad civil permitió constatar desde la práctica, que se requería de una intervención multidimensional y multisectorial para abordar y enfrentar seriamente esta grave problemática. </w:t>
      </w:r>
    </w:p>
    <w:p w14:paraId="44679237" w14:textId="0CA650B7" w:rsidR="00725E33" w:rsidRPr="00320FA9" w:rsidRDefault="00B70C32" w:rsidP="00B70C32">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Esta propuesta fue acogida posteriormente en el Plan Nacional para el Buen Vivir, e incluida en la nueva Constitución aprobada en el 2008 por más del 70% de la población ecuatoriana. </w:t>
      </w:r>
      <w:r w:rsidR="00725E33" w:rsidRPr="00320FA9">
        <w:rPr>
          <w:rFonts w:ascii="Arial" w:hAnsi="Arial" w:cs="Arial"/>
          <w:sz w:val="24"/>
          <w:szCs w:val="24"/>
        </w:rPr>
        <w:t xml:space="preserve">Los Planes Nacionales de Desarrollo, denominados del Buen Vivir, correspondientes a los periodos 2009-2013 y 2013 -2017, tuvieron objetivos específicos que comprendieron el trabajo por lograr mayor igualdad entre mujeres y hombres, reconociendo las tareas pendientes en esta materia, </w:t>
      </w:r>
      <w:r w:rsidR="00725E33" w:rsidRPr="00320FA9">
        <w:rPr>
          <w:rFonts w:ascii="Arial" w:hAnsi="Arial" w:cs="Arial"/>
          <w:sz w:val="24"/>
          <w:szCs w:val="24"/>
        </w:rPr>
        <w:lastRenderedPageBreak/>
        <w:t>así como y sobre todo la necesidad de eliminar la violencia de género. En el marco de estos planes se construyó la Agenda Nacional de las Mujeres y la Igualdad de Género 2014-2017, como un instrumento vinculante y de aplicación obligatoria de acuerdo el mandato constitucional y legal vigente.</w:t>
      </w:r>
    </w:p>
    <w:p w14:paraId="546121E5" w14:textId="3582417B" w:rsidR="00725E33" w:rsidRPr="00320FA9" w:rsidRDefault="00725E33" w:rsidP="00725E33">
      <w:pPr>
        <w:pStyle w:val="NormalWeb"/>
        <w:jc w:val="both"/>
        <w:rPr>
          <w:rFonts w:ascii="Arial" w:hAnsi="Arial" w:cs="Arial"/>
        </w:rPr>
      </w:pPr>
      <w:r w:rsidRPr="00320FA9">
        <w:rPr>
          <w:rFonts w:ascii="Arial" w:hAnsi="Arial" w:cs="Arial"/>
        </w:rPr>
        <w:t>En este contexto normativo e institucional las políticas públicas para la igualdad de género, se empezaron a diseñar e implementar desde un Estado reconstruido y fortalecido. Hasta entonces en la historia de la legislación y las políticas públicas nacionales, a favor de los derechos de las mujeres existieron avances</w:t>
      </w:r>
      <w:r w:rsidR="002E1807">
        <w:rPr>
          <w:rFonts w:ascii="Arial" w:hAnsi="Arial" w:cs="Arial"/>
        </w:rPr>
        <w:t xml:space="preserve"> dispersos</w:t>
      </w:r>
      <w:r w:rsidRPr="00320FA9">
        <w:rPr>
          <w:rFonts w:ascii="Arial" w:hAnsi="Arial" w:cs="Arial"/>
        </w:rPr>
        <w:t>, como la Ley Contra la Violencia a la Mujer y la Familia, la Ley de Maternidad Gratuita y Atención a la Infancia; la Ley de Amparo Laboral, la Ley de Cuotas y la participación política de las mujeres; programas puntuales como el Programa de Apoyo a las Mujeres Rurales del Ecuador, PADEMUR, así como otros planes que en su momento fueron importantes. Fueron respuestas, solitarias y parciales en la mayoría de los casos, que dio el Estado a las reivindicaciones de las mujeres, sin que constituyan políticas públicas o medidas normativas integrales y sostenidas.</w:t>
      </w:r>
    </w:p>
    <w:p w14:paraId="3462B8A6" w14:textId="77777777" w:rsidR="002E1807" w:rsidRPr="00320FA9" w:rsidRDefault="002E1807" w:rsidP="002E1807">
      <w:pPr>
        <w:spacing w:before="100" w:beforeAutospacing="1" w:after="100" w:afterAutospacing="1"/>
        <w:jc w:val="both"/>
        <w:rPr>
          <w:rFonts w:ascii="Arial" w:hAnsi="Arial" w:cs="Arial"/>
          <w:b/>
          <w:bCs/>
          <w:sz w:val="24"/>
          <w:szCs w:val="24"/>
          <w:lang w:val="es-ES_tradnl"/>
        </w:rPr>
      </w:pPr>
      <w:r w:rsidRPr="00320FA9">
        <w:rPr>
          <w:rFonts w:ascii="Arial" w:hAnsi="Arial" w:cs="Arial"/>
          <w:b/>
          <w:bCs/>
          <w:sz w:val="24"/>
          <w:szCs w:val="24"/>
          <w:lang w:val="es-ES_tradnl"/>
        </w:rPr>
        <w:t>SOBRE LA VIOLENCIA BASADA EN GÉNERO</w:t>
      </w:r>
    </w:p>
    <w:p w14:paraId="4A527B37" w14:textId="77777777" w:rsidR="002E1807" w:rsidRPr="00320FA9" w:rsidRDefault="002E1807" w:rsidP="002E180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Desde el año 1995, en que  se expidió la Ley contra la Violencia a la Mujer y la Familia, hasta el 2007, este fue el único mecanismo para enfrentar la violencia contra las mujeres. En ella básicamente, se sancionaba la violencia intrafamiliar física menor a tres días y psicológica, como contravenciones, con pena no mayor de siete días y se preveía la aplicación de medidas de amparo. Para su juzgamiento se tomaba prestado el procedimiento contravencional del Código de Procedimiento Penal, con ciertos ajustes vía reglamento o instructivos, sumiendo el proceso en inseguridad jurídica por la amplitud de criterios para su aplicación.</w:t>
      </w:r>
    </w:p>
    <w:p w14:paraId="594DCEB0" w14:textId="77777777" w:rsidR="002E1807" w:rsidRPr="00320FA9" w:rsidRDefault="002E1807" w:rsidP="002E180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A esto debe agregarse que para el juzgamiento de la violencia intrafamiliar eran competentes comisarías de la mujer y la familia, a cargo de las gobernaciones, que no solían prestar atención ni recursos suficientes a estas dependencias que no llegaron a sumar más de 33 en todo el país. Por la ambigüedad del procedimiento, alejado además del sistema judicial, no fueron pocas las dificultades, como por ejemplo la falta de supervisión de las medidas de amparo, que por no resultar de decisiones judiciales eran poco reconocidas por el sistema de justicia ecuatoriano. </w:t>
      </w:r>
    </w:p>
    <w:p w14:paraId="18FF0A62" w14:textId="77777777" w:rsidR="002E1807" w:rsidRPr="00320FA9" w:rsidRDefault="002E1807" w:rsidP="002E180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Por otra parte, la muerte de las mujeres, a causa de la violencia machista, era </w:t>
      </w:r>
      <w:proofErr w:type="spellStart"/>
      <w:r w:rsidRPr="00320FA9">
        <w:rPr>
          <w:rFonts w:ascii="Arial" w:hAnsi="Arial" w:cs="Arial"/>
          <w:sz w:val="24"/>
          <w:szCs w:val="24"/>
          <w:lang w:val="es-ES_tradnl"/>
        </w:rPr>
        <w:t>invisibilizada</w:t>
      </w:r>
      <w:proofErr w:type="spellEnd"/>
      <w:r w:rsidRPr="00320FA9">
        <w:rPr>
          <w:rFonts w:ascii="Arial" w:hAnsi="Arial" w:cs="Arial"/>
          <w:sz w:val="24"/>
          <w:szCs w:val="24"/>
          <w:lang w:val="es-ES_tradnl"/>
        </w:rPr>
        <w:t xml:space="preserve"> tras rótulos como el asesinato a causa de pasiones, celos e incluso el “amor”, no había un nombre propio que permitiera visibilizar la dimensión de la problemática ni sus características.</w:t>
      </w:r>
    </w:p>
    <w:p w14:paraId="0B3E2048" w14:textId="77777777" w:rsidR="002E1807" w:rsidRPr="00320FA9" w:rsidRDefault="002E1807" w:rsidP="002E180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En el año 2007 el gobierno de Rafael Correa asumió como política de Estado la erradicación de este tipo de violencia </w:t>
      </w:r>
      <w:r w:rsidRPr="00320FA9">
        <w:rPr>
          <w:rFonts w:ascii="Arial" w:hAnsi="Arial" w:cs="Arial"/>
          <w:sz w:val="24"/>
          <w:szCs w:val="24"/>
        </w:rPr>
        <w:t xml:space="preserve">hacia la niñez, adolescencia y mujeres, para cuyo cumplimiento se ordenó elaborar un Plan que permita generar e implementar acciones y medidas interinstitucionales coordinadas </w:t>
      </w:r>
      <w:r w:rsidRPr="00320FA9">
        <w:rPr>
          <w:rFonts w:ascii="Arial" w:hAnsi="Arial" w:cs="Arial"/>
          <w:sz w:val="24"/>
          <w:szCs w:val="24"/>
          <w:lang w:val="es-ES_tradnl"/>
        </w:rPr>
        <w:t>(</w:t>
      </w:r>
      <w:r w:rsidRPr="00320FA9">
        <w:rPr>
          <w:rFonts w:ascii="Arial" w:hAnsi="Arial" w:cs="Arial"/>
          <w:sz w:val="24"/>
          <w:szCs w:val="24"/>
        </w:rPr>
        <w:t>Decreto Ejecutivo 620 de 10 de septiembre de 2007).</w:t>
      </w:r>
    </w:p>
    <w:p w14:paraId="696912FD" w14:textId="77777777" w:rsidR="002E1807" w:rsidRPr="00320FA9" w:rsidRDefault="002E1807" w:rsidP="002E1807">
      <w:pPr>
        <w:jc w:val="both"/>
        <w:rPr>
          <w:rFonts w:ascii="Arial" w:hAnsi="Arial" w:cs="Arial"/>
          <w:sz w:val="24"/>
          <w:szCs w:val="24"/>
        </w:rPr>
      </w:pPr>
      <w:r w:rsidRPr="00320FA9">
        <w:rPr>
          <w:rFonts w:ascii="Arial" w:hAnsi="Arial" w:cs="Arial"/>
          <w:sz w:val="24"/>
          <w:szCs w:val="24"/>
        </w:rPr>
        <w:lastRenderedPageBreak/>
        <w:t xml:space="preserve">El Plan contó con una Comisión de Coordinación Interinstitucional integrada por las máximas autoridades de los Ministerios de Justicia, Derechos Humanos y Cultos (quien la presidía), Interior, Salud Pública, Educación Intercultural, Inclusión Económica y Social y por los Consejos Nacionales para la Igualdad de Género e Intergeneracional, y se organizó a partir de cinco ejes estratégicos: transformación de patrones socio-culturales, construcción y fortalecimiento del Sistema de Protección Integral, acceso a la justicia, construcción e implementación del Sistema Único de Registro, e institucionalización. </w:t>
      </w:r>
    </w:p>
    <w:p w14:paraId="7F0A73E2" w14:textId="77777777" w:rsidR="002E1807" w:rsidRPr="00320FA9" w:rsidRDefault="002E1807" w:rsidP="002E1807">
      <w:pPr>
        <w:jc w:val="both"/>
        <w:rPr>
          <w:rFonts w:ascii="Arial" w:hAnsi="Arial" w:cs="Arial"/>
          <w:sz w:val="24"/>
          <w:szCs w:val="24"/>
        </w:rPr>
      </w:pPr>
      <w:r w:rsidRPr="00320FA9">
        <w:rPr>
          <w:rFonts w:ascii="Arial" w:hAnsi="Arial" w:cs="Arial"/>
          <w:sz w:val="24"/>
          <w:szCs w:val="24"/>
        </w:rPr>
        <w:t>En la implementación del Plan, se logró fortalecer una Red Nacional de Centros de Atención y Casas Refugio para víctimas de violencia subvencionada por el Estado, con profesionales especializados, esta red estuvo  integrada por 18 Centros y 5 Casas que operan en 16 provincias; se diseñaron e implementaron campañas públicas de sensibilización, prevención y denuncia de la violencia de género; y, se elaboraron protocolos para la atención, adecuada e integral a personas afectadas, en especial en servicios públicos de salud, implementando salas de primera acogida para víctimas en centros de salud del Estado. El compromiso del Estado por erradicar la violencia de género se reflejó en que desde el 2014 se integraron a los esfuerzos del Plan las cinco funciones del Estado, para dar una respuesta conjunta a esta problemática.</w:t>
      </w:r>
    </w:p>
    <w:p w14:paraId="4F0CAE98" w14:textId="77777777" w:rsidR="002E1807" w:rsidRPr="00320FA9" w:rsidRDefault="002E1807" w:rsidP="002E1807">
      <w:pPr>
        <w:ind w:right="-93"/>
        <w:jc w:val="both"/>
        <w:rPr>
          <w:rFonts w:ascii="Arial" w:hAnsi="Arial" w:cs="Arial"/>
          <w:sz w:val="24"/>
          <w:szCs w:val="24"/>
        </w:rPr>
      </w:pPr>
      <w:r w:rsidRPr="00320FA9">
        <w:rPr>
          <w:rFonts w:ascii="Arial" w:hAnsi="Arial" w:cs="Arial"/>
          <w:sz w:val="24"/>
          <w:szCs w:val="24"/>
        </w:rPr>
        <w:t xml:space="preserve">En el 2011 se llevó a efecto la Primera Encuesta Nacional de Relaciones Familiares y violencia de Género, para generar datos oficiales que permitan seguir implementado medidas para prevenir y erradicar esta clase de violencia. </w:t>
      </w:r>
    </w:p>
    <w:p w14:paraId="3492E30C" w14:textId="77777777" w:rsidR="002E1807" w:rsidRPr="00320FA9" w:rsidRDefault="002E1807" w:rsidP="002E1807">
      <w:pPr>
        <w:ind w:right="-93"/>
        <w:jc w:val="both"/>
        <w:rPr>
          <w:rFonts w:ascii="Arial" w:hAnsi="Arial" w:cs="Arial"/>
          <w:sz w:val="24"/>
          <w:szCs w:val="24"/>
        </w:rPr>
      </w:pPr>
      <w:r w:rsidRPr="00320FA9">
        <w:rPr>
          <w:rFonts w:ascii="Arial" w:hAnsi="Arial" w:cs="Arial"/>
          <w:sz w:val="24"/>
          <w:szCs w:val="24"/>
        </w:rPr>
        <w:t xml:space="preserve">El Código Orgánico de la Función Judicial, en concordancia con la Constitución de la República, dispuso crear órganos de justicia especializada, para investigar y sancionar violaciones a la integridad física, psíquica y sexual de las mujeres.  El Consejo de la Judicatura (CJ) creó 30 unidades judiciales especializadas en violencia contra la mujer y la familia, en 24 cantones de 19 provincias. Estas unidades operan con 79 jueces/zas especializados. A la vez, 196 jueces/zas son competentes para conocer causas de violencia contra la mujer o miembros de la familia. En los cantones donde no existen jueces/zas de violencia contra la mujer o miembros del núcleo familiar, corresponde a los de Familia, Mujer, Niñez y Adolescencia, </w:t>
      </w:r>
      <w:proofErr w:type="spellStart"/>
      <w:r w:rsidRPr="00320FA9">
        <w:rPr>
          <w:rFonts w:ascii="Arial" w:hAnsi="Arial" w:cs="Arial"/>
          <w:sz w:val="24"/>
          <w:szCs w:val="24"/>
        </w:rPr>
        <w:t>multicompetentes</w:t>
      </w:r>
      <w:proofErr w:type="spellEnd"/>
      <w:r w:rsidRPr="00320FA9">
        <w:rPr>
          <w:rFonts w:ascii="Arial" w:hAnsi="Arial" w:cs="Arial"/>
          <w:sz w:val="24"/>
          <w:szCs w:val="24"/>
        </w:rPr>
        <w:t xml:space="preserve">, penales o de contravenciones, conocer las causas de violencia contra la mujer o miembros de la familia.   La Fiscalía General del Estado, por su parte cuenta con unidades especializadas en investigación de los delitos de violencia intrafamiliar y delitos sexuales. Tiene 21 Unidades de Atención en Peritaje Integral, cuyos equipos están integrados por un/a profesional en medicina legal, uno en psicología y uno en trabajo social, y cuentan con una Cámara de </w:t>
      </w:r>
      <w:proofErr w:type="spellStart"/>
      <w:r w:rsidRPr="00320FA9">
        <w:rPr>
          <w:rFonts w:ascii="Arial" w:hAnsi="Arial" w:cs="Arial"/>
          <w:sz w:val="24"/>
          <w:szCs w:val="24"/>
        </w:rPr>
        <w:t>gesell</w:t>
      </w:r>
      <w:proofErr w:type="spellEnd"/>
      <w:r w:rsidRPr="00320FA9">
        <w:rPr>
          <w:rFonts w:ascii="Arial" w:hAnsi="Arial" w:cs="Arial"/>
          <w:sz w:val="24"/>
          <w:szCs w:val="24"/>
        </w:rPr>
        <w:t>.</w:t>
      </w:r>
    </w:p>
    <w:p w14:paraId="021D176F" w14:textId="77777777" w:rsidR="002E1807" w:rsidRPr="00320FA9" w:rsidRDefault="002E1807" w:rsidP="002E1807">
      <w:pPr>
        <w:ind w:right="-93"/>
        <w:jc w:val="both"/>
        <w:rPr>
          <w:rFonts w:ascii="Arial" w:hAnsi="Arial" w:cs="Arial"/>
          <w:sz w:val="24"/>
          <w:szCs w:val="24"/>
        </w:rPr>
      </w:pPr>
      <w:r w:rsidRPr="00320FA9">
        <w:rPr>
          <w:rFonts w:ascii="Arial" w:hAnsi="Arial" w:cs="Arial"/>
          <w:sz w:val="24"/>
          <w:szCs w:val="24"/>
        </w:rPr>
        <w:t>Para la atención y protección de víctimas, se implementaron normas y protocolos de atención en el Sistema de Seguridad Integrado ECU911 a fin de brindar auxilio a víctimas de violencia intrafamiliar, al mismo tiempo se estableció el llamado “botón de pánico”, para mujeres que reciben medidas de protección, se trata de un sistema para que puedan realizar llamadas de emergencia a elementos policiales cercanos.</w:t>
      </w:r>
    </w:p>
    <w:p w14:paraId="3118A929" w14:textId="4AEB6E63" w:rsidR="002E1807" w:rsidRPr="00320FA9" w:rsidRDefault="002E1807" w:rsidP="002E1807">
      <w:pPr>
        <w:jc w:val="both"/>
        <w:rPr>
          <w:rFonts w:ascii="Arial" w:hAnsi="Arial" w:cs="Arial"/>
          <w:sz w:val="24"/>
          <w:szCs w:val="24"/>
        </w:rPr>
      </w:pPr>
      <w:r w:rsidRPr="00320FA9">
        <w:rPr>
          <w:rFonts w:ascii="Arial" w:hAnsi="Arial" w:cs="Arial"/>
          <w:sz w:val="24"/>
          <w:szCs w:val="24"/>
        </w:rPr>
        <w:lastRenderedPageBreak/>
        <w:t xml:space="preserve">Por último en el Código Orgánico Integral Penal, vigente desde 2014 se incorporó como delitos, y no solamente como una contravención, a la violencia intrafamiliar mayor de tres días, y al asesinato de mujeres por violencia machista bajo el tipo penal de </w:t>
      </w:r>
      <w:r w:rsidR="002D673C">
        <w:rPr>
          <w:rFonts w:ascii="Arial" w:hAnsi="Arial" w:cs="Arial"/>
          <w:sz w:val="24"/>
          <w:szCs w:val="24"/>
        </w:rPr>
        <w:t>fem</w:t>
      </w:r>
      <w:r w:rsidR="002D673C" w:rsidRPr="00320FA9">
        <w:rPr>
          <w:rFonts w:ascii="Arial" w:hAnsi="Arial" w:cs="Arial"/>
          <w:sz w:val="24"/>
          <w:szCs w:val="24"/>
        </w:rPr>
        <w:t>icidio</w:t>
      </w:r>
      <w:r w:rsidRPr="00320FA9">
        <w:rPr>
          <w:rFonts w:ascii="Arial" w:hAnsi="Arial" w:cs="Arial"/>
          <w:sz w:val="24"/>
          <w:szCs w:val="24"/>
        </w:rPr>
        <w:t xml:space="preserve">. </w:t>
      </w:r>
    </w:p>
    <w:p w14:paraId="16A39CFD" w14:textId="77777777" w:rsidR="002E1807" w:rsidRPr="00320FA9" w:rsidRDefault="002E1807" w:rsidP="002E1807">
      <w:pPr>
        <w:spacing w:before="100" w:beforeAutospacing="1" w:after="100" w:afterAutospacing="1"/>
        <w:jc w:val="both"/>
        <w:rPr>
          <w:rFonts w:ascii="Arial" w:hAnsi="Arial" w:cs="Arial"/>
          <w:b/>
          <w:bCs/>
          <w:sz w:val="24"/>
          <w:szCs w:val="24"/>
          <w:lang w:val="es-ES_tradnl"/>
        </w:rPr>
      </w:pPr>
      <w:r w:rsidRPr="00320FA9">
        <w:rPr>
          <w:rFonts w:ascii="Arial" w:hAnsi="Arial" w:cs="Arial"/>
          <w:b/>
          <w:bCs/>
          <w:sz w:val="24"/>
          <w:szCs w:val="24"/>
          <w:lang w:val="es-ES_tradnl"/>
        </w:rPr>
        <w:t>RETROCESOS EN IGUALDAD DE GÉNERO Y PREVENCIÓN DE LA VIOLENCIA CONTRA LAS MUJERES.</w:t>
      </w:r>
    </w:p>
    <w:p w14:paraId="7B1C3BD2" w14:textId="5F8441C9" w:rsidR="000C03B7" w:rsidRDefault="000C03B7" w:rsidP="000C03B7">
      <w:pPr>
        <w:autoSpaceDE w:val="0"/>
        <w:autoSpaceDN w:val="0"/>
        <w:adjustRightInd w:val="0"/>
        <w:spacing w:after="0" w:line="240" w:lineRule="auto"/>
        <w:rPr>
          <w:rFonts w:ascii="Arial" w:hAnsi="Arial" w:cs="Arial"/>
          <w:sz w:val="24"/>
          <w:szCs w:val="24"/>
        </w:rPr>
      </w:pPr>
    </w:p>
    <w:p w14:paraId="256C2737" w14:textId="41293748" w:rsidR="002E1807" w:rsidRPr="00320FA9" w:rsidRDefault="002E1807" w:rsidP="002E1807">
      <w:pPr>
        <w:autoSpaceDE w:val="0"/>
        <w:autoSpaceDN w:val="0"/>
        <w:adjustRightInd w:val="0"/>
        <w:spacing w:after="0" w:line="240" w:lineRule="auto"/>
        <w:jc w:val="both"/>
        <w:rPr>
          <w:rFonts w:ascii="Arial" w:hAnsi="Arial" w:cs="Arial"/>
          <w:sz w:val="24"/>
          <w:szCs w:val="24"/>
        </w:rPr>
      </w:pPr>
      <w:r w:rsidRPr="00320FA9">
        <w:rPr>
          <w:rFonts w:ascii="Arial" w:hAnsi="Arial" w:cs="Arial"/>
          <w:sz w:val="24"/>
          <w:szCs w:val="24"/>
          <w:lang w:val="es-ES_tradnl"/>
        </w:rPr>
        <w:t>La definición de una política de Estado de erradicación de la violencia de género, significó el reconocimiento de una problemática pública, incluso desde la mirada de la seguridad ciudadana</w:t>
      </w:r>
    </w:p>
    <w:p w14:paraId="6FDC9F39" w14:textId="25CDD492" w:rsidR="000C03B7" w:rsidRPr="00320FA9" w:rsidRDefault="000C03B7" w:rsidP="000C03B7">
      <w:pPr>
        <w:autoSpaceDE w:val="0"/>
        <w:autoSpaceDN w:val="0"/>
        <w:adjustRightInd w:val="0"/>
        <w:spacing w:after="0" w:line="240" w:lineRule="auto"/>
        <w:rPr>
          <w:rFonts w:ascii="Arial" w:hAnsi="Arial" w:cs="Arial"/>
          <w:sz w:val="24"/>
          <w:szCs w:val="24"/>
        </w:rPr>
      </w:pPr>
    </w:p>
    <w:p w14:paraId="6460A699" w14:textId="2BBDEDCE" w:rsidR="001D32C3" w:rsidRPr="00320FA9" w:rsidRDefault="001D32C3" w:rsidP="00EE5A27">
      <w:pPr>
        <w:autoSpaceDE w:val="0"/>
        <w:autoSpaceDN w:val="0"/>
        <w:adjustRightInd w:val="0"/>
        <w:spacing w:after="0" w:line="240" w:lineRule="auto"/>
        <w:jc w:val="both"/>
        <w:rPr>
          <w:rFonts w:ascii="Arial" w:hAnsi="Arial" w:cs="Arial"/>
          <w:sz w:val="24"/>
          <w:szCs w:val="24"/>
        </w:rPr>
      </w:pPr>
      <w:r w:rsidRPr="00320FA9">
        <w:rPr>
          <w:rFonts w:ascii="Arial" w:hAnsi="Arial" w:cs="Arial"/>
          <w:sz w:val="24"/>
          <w:szCs w:val="24"/>
        </w:rPr>
        <w:t xml:space="preserve">En la Constitución de la República, el artículo 70 determina que el Estado formulará y ejecutará políticas para alcanzar la igualdad entre mujeres y hombres, e incorporará el enfoque de género en planes y programas, y brindará asistencia técnica para su aplicación obligatoria en el sector público. </w:t>
      </w:r>
    </w:p>
    <w:p w14:paraId="507783F5" w14:textId="4C7346EA" w:rsidR="001D32C3" w:rsidRPr="00320FA9" w:rsidRDefault="001D32C3" w:rsidP="00EE5A27">
      <w:pPr>
        <w:autoSpaceDE w:val="0"/>
        <w:autoSpaceDN w:val="0"/>
        <w:adjustRightInd w:val="0"/>
        <w:spacing w:after="0" w:line="240" w:lineRule="auto"/>
        <w:jc w:val="both"/>
        <w:rPr>
          <w:rFonts w:ascii="Arial" w:hAnsi="Arial" w:cs="Arial"/>
          <w:sz w:val="24"/>
          <w:szCs w:val="24"/>
        </w:rPr>
      </w:pPr>
    </w:p>
    <w:p w14:paraId="7D7456BF" w14:textId="3F3E6A15" w:rsidR="00EE5A27" w:rsidRPr="00320FA9" w:rsidRDefault="00EE5A27" w:rsidP="00EE5A27">
      <w:pPr>
        <w:autoSpaceDE w:val="0"/>
        <w:autoSpaceDN w:val="0"/>
        <w:adjustRightInd w:val="0"/>
        <w:spacing w:after="0" w:line="240" w:lineRule="auto"/>
        <w:jc w:val="both"/>
        <w:rPr>
          <w:rFonts w:ascii="Arial" w:hAnsi="Arial" w:cs="Arial"/>
          <w:sz w:val="24"/>
          <w:szCs w:val="24"/>
        </w:rPr>
      </w:pPr>
      <w:r w:rsidRPr="00320FA9">
        <w:rPr>
          <w:rFonts w:ascii="Arial" w:hAnsi="Arial" w:cs="Arial"/>
          <w:sz w:val="24"/>
          <w:szCs w:val="24"/>
        </w:rPr>
        <w:t>De acuerdo al INFORME DE EJECUCIÓN PRESUPUESTO GENERAL DEL ESTADO del 2016, elaborado por el Ministerio de Finanzas, la evolución de los recursos devengados, en políticas y programas de igualdad de género, fue:</w:t>
      </w:r>
    </w:p>
    <w:p w14:paraId="782F5703" w14:textId="77777777" w:rsidR="000C03B7" w:rsidRPr="00320FA9" w:rsidRDefault="000C03B7" w:rsidP="000C03B7">
      <w:pPr>
        <w:autoSpaceDE w:val="0"/>
        <w:autoSpaceDN w:val="0"/>
        <w:adjustRightInd w:val="0"/>
        <w:spacing w:after="0" w:line="240" w:lineRule="auto"/>
        <w:rPr>
          <w:rFonts w:ascii="Arial" w:hAnsi="Arial" w:cs="Arial"/>
          <w:sz w:val="24"/>
          <w:szCs w:val="24"/>
        </w:rPr>
      </w:pPr>
    </w:p>
    <w:tbl>
      <w:tblPr>
        <w:tblStyle w:val="Tablaconcuadrcula"/>
        <w:tblW w:w="8505" w:type="dxa"/>
        <w:tblInd w:w="-5" w:type="dxa"/>
        <w:tblLayout w:type="fixed"/>
        <w:tblLook w:val="04A0" w:firstRow="1" w:lastRow="0" w:firstColumn="1" w:lastColumn="0" w:noHBand="0" w:noVBand="1"/>
      </w:tblPr>
      <w:tblGrid>
        <w:gridCol w:w="1839"/>
        <w:gridCol w:w="1607"/>
        <w:gridCol w:w="1607"/>
        <w:gridCol w:w="1607"/>
        <w:gridCol w:w="1845"/>
      </w:tblGrid>
      <w:tr w:rsidR="00C53B69" w:rsidRPr="00320FA9" w14:paraId="1857172C" w14:textId="77777777" w:rsidTr="00C53B69">
        <w:tc>
          <w:tcPr>
            <w:tcW w:w="1839" w:type="dxa"/>
          </w:tcPr>
          <w:p w14:paraId="40FA9EF0" w14:textId="5AFDE79E"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lang w:val="es-ES_tradnl"/>
              </w:rPr>
              <w:t>2012</w:t>
            </w:r>
          </w:p>
        </w:tc>
        <w:tc>
          <w:tcPr>
            <w:tcW w:w="1607" w:type="dxa"/>
          </w:tcPr>
          <w:p w14:paraId="69B03348" w14:textId="29BBF09E"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lang w:val="es-ES_tradnl"/>
              </w:rPr>
              <w:t>2013</w:t>
            </w:r>
          </w:p>
        </w:tc>
        <w:tc>
          <w:tcPr>
            <w:tcW w:w="1607" w:type="dxa"/>
          </w:tcPr>
          <w:p w14:paraId="27AC2E12" w14:textId="244E73DF"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lang w:val="es-ES_tradnl"/>
              </w:rPr>
              <w:t>2014</w:t>
            </w:r>
          </w:p>
        </w:tc>
        <w:tc>
          <w:tcPr>
            <w:tcW w:w="1607" w:type="dxa"/>
          </w:tcPr>
          <w:p w14:paraId="13702502" w14:textId="0FFAC2E9"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lang w:val="es-ES_tradnl"/>
              </w:rPr>
              <w:t>2015</w:t>
            </w:r>
          </w:p>
        </w:tc>
        <w:tc>
          <w:tcPr>
            <w:tcW w:w="1845" w:type="dxa"/>
          </w:tcPr>
          <w:p w14:paraId="5048879B" w14:textId="4C2DA027"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lang w:val="es-ES_tradnl"/>
              </w:rPr>
              <w:t>2016</w:t>
            </w:r>
          </w:p>
        </w:tc>
      </w:tr>
      <w:tr w:rsidR="00C53B69" w:rsidRPr="00320FA9" w14:paraId="5F87FEB2" w14:textId="77777777" w:rsidTr="00C53B69">
        <w:tc>
          <w:tcPr>
            <w:tcW w:w="1839" w:type="dxa"/>
          </w:tcPr>
          <w:p w14:paraId="641F7AAD" w14:textId="024979D5"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rPr>
              <w:t>427.806.123,62</w:t>
            </w:r>
          </w:p>
        </w:tc>
        <w:tc>
          <w:tcPr>
            <w:tcW w:w="1607" w:type="dxa"/>
          </w:tcPr>
          <w:p w14:paraId="26B23BAE" w14:textId="5F4B6CED"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rPr>
              <w:t>487.278.707,67</w:t>
            </w:r>
          </w:p>
        </w:tc>
        <w:tc>
          <w:tcPr>
            <w:tcW w:w="1607" w:type="dxa"/>
          </w:tcPr>
          <w:p w14:paraId="1EA84D37" w14:textId="71877AC1"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rPr>
              <w:t>750.751.371,50</w:t>
            </w:r>
          </w:p>
        </w:tc>
        <w:tc>
          <w:tcPr>
            <w:tcW w:w="1607" w:type="dxa"/>
          </w:tcPr>
          <w:p w14:paraId="39A70A00" w14:textId="7C7BEC92"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rPr>
              <w:t>364.006.909,23</w:t>
            </w:r>
          </w:p>
        </w:tc>
        <w:tc>
          <w:tcPr>
            <w:tcW w:w="1845" w:type="dxa"/>
          </w:tcPr>
          <w:p w14:paraId="583785BA" w14:textId="73ACED87" w:rsidR="00C53B69" w:rsidRPr="00320FA9" w:rsidRDefault="00C53B69" w:rsidP="007B7739">
            <w:pPr>
              <w:spacing w:before="100" w:beforeAutospacing="1" w:after="100" w:afterAutospacing="1"/>
              <w:jc w:val="both"/>
              <w:rPr>
                <w:rFonts w:ascii="Arial" w:hAnsi="Arial" w:cs="Arial"/>
                <w:sz w:val="20"/>
                <w:szCs w:val="20"/>
                <w:lang w:val="es-ES_tradnl"/>
              </w:rPr>
            </w:pPr>
            <w:r w:rsidRPr="00320FA9">
              <w:rPr>
                <w:rFonts w:ascii="Arial" w:hAnsi="Arial" w:cs="Arial"/>
                <w:sz w:val="20"/>
                <w:szCs w:val="20"/>
              </w:rPr>
              <w:t>520.927.800,77</w:t>
            </w:r>
          </w:p>
        </w:tc>
      </w:tr>
    </w:tbl>
    <w:p w14:paraId="253C99FE" w14:textId="77777777" w:rsidR="005B44E6" w:rsidRPr="00320FA9" w:rsidRDefault="005B44E6" w:rsidP="005B44E6">
      <w:pPr>
        <w:autoSpaceDE w:val="0"/>
        <w:autoSpaceDN w:val="0"/>
        <w:adjustRightInd w:val="0"/>
        <w:spacing w:after="0" w:line="240" w:lineRule="auto"/>
        <w:jc w:val="both"/>
        <w:rPr>
          <w:rFonts w:ascii="Arial" w:hAnsi="Arial" w:cs="Arial"/>
          <w:sz w:val="24"/>
          <w:szCs w:val="24"/>
          <w:lang w:val="es-ES_tradnl"/>
        </w:rPr>
      </w:pPr>
    </w:p>
    <w:p w14:paraId="28348450" w14:textId="52C90AD2" w:rsidR="00902377" w:rsidRPr="00320FA9" w:rsidRDefault="00EE5A27" w:rsidP="005B44E6">
      <w:pPr>
        <w:autoSpaceDE w:val="0"/>
        <w:autoSpaceDN w:val="0"/>
        <w:adjustRightInd w:val="0"/>
        <w:spacing w:after="0" w:line="240" w:lineRule="auto"/>
        <w:jc w:val="both"/>
        <w:rPr>
          <w:rFonts w:ascii="Arial" w:hAnsi="Arial" w:cs="Arial"/>
          <w:sz w:val="24"/>
          <w:szCs w:val="24"/>
        </w:rPr>
      </w:pPr>
      <w:r w:rsidRPr="00320FA9">
        <w:rPr>
          <w:rFonts w:ascii="Arial" w:hAnsi="Arial" w:cs="Arial"/>
          <w:sz w:val="24"/>
          <w:szCs w:val="24"/>
          <w:lang w:val="es-ES_tradnl"/>
        </w:rPr>
        <w:t xml:space="preserve">En el 2016 </w:t>
      </w:r>
      <w:r w:rsidR="005B44E6" w:rsidRPr="00320FA9">
        <w:rPr>
          <w:rFonts w:ascii="Arial" w:hAnsi="Arial" w:cs="Arial"/>
          <w:sz w:val="24"/>
          <w:szCs w:val="24"/>
          <w:lang w:val="es-ES_tradnl"/>
        </w:rPr>
        <w:t xml:space="preserve">según la fuente indicada, las áreas de </w:t>
      </w:r>
      <w:r w:rsidR="005B44E6" w:rsidRPr="00320FA9">
        <w:rPr>
          <w:rFonts w:ascii="Arial" w:hAnsi="Arial" w:cs="Arial"/>
          <w:sz w:val="24"/>
          <w:szCs w:val="24"/>
        </w:rPr>
        <w:t>Salud (51.72%) y Bienestar Social (47.83%) totalizaron 99.55% de los recursos asignados a reducción de brechas de género. El restante 0.44% de la participación total correspondió a otras áreas:</w:t>
      </w:r>
    </w:p>
    <w:p w14:paraId="05B0F435" w14:textId="77777777" w:rsidR="005B44E6" w:rsidRPr="00320FA9" w:rsidRDefault="005B44E6" w:rsidP="005B44E6">
      <w:pPr>
        <w:autoSpaceDE w:val="0"/>
        <w:autoSpaceDN w:val="0"/>
        <w:adjustRightInd w:val="0"/>
        <w:spacing w:after="0" w:line="24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6609"/>
        <w:gridCol w:w="1885"/>
      </w:tblGrid>
      <w:tr w:rsidR="00EE5A27" w:rsidRPr="00320FA9" w14:paraId="5FB08FAF" w14:textId="77777777" w:rsidTr="00A7565B">
        <w:trPr>
          <w:tblHeader/>
        </w:trPr>
        <w:tc>
          <w:tcPr>
            <w:tcW w:w="7083" w:type="dxa"/>
          </w:tcPr>
          <w:p w14:paraId="10A7CDFB" w14:textId="6C32409C" w:rsidR="00EE5A27" w:rsidRPr="00320FA9" w:rsidRDefault="00A7565B"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ÁREA</w:t>
            </w:r>
          </w:p>
        </w:tc>
        <w:tc>
          <w:tcPr>
            <w:tcW w:w="1411" w:type="dxa"/>
          </w:tcPr>
          <w:p w14:paraId="1095D8F3" w14:textId="5EE50E1B" w:rsidR="00EE5A27" w:rsidRPr="00320FA9" w:rsidRDefault="00EE5A27"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P</w:t>
            </w:r>
            <w:r w:rsidR="009F2292" w:rsidRPr="00320FA9">
              <w:rPr>
                <w:rFonts w:ascii="Arial" w:hAnsi="Arial" w:cs="Arial"/>
                <w:sz w:val="24"/>
                <w:szCs w:val="24"/>
                <w:lang w:val="es-ES_tradnl"/>
              </w:rPr>
              <w:t>resupuesto devengado</w:t>
            </w:r>
          </w:p>
        </w:tc>
      </w:tr>
      <w:tr w:rsidR="00EE5A27" w:rsidRPr="00320FA9" w14:paraId="188C8FF3" w14:textId="77777777" w:rsidTr="00A7565B">
        <w:tc>
          <w:tcPr>
            <w:tcW w:w="7083" w:type="dxa"/>
          </w:tcPr>
          <w:p w14:paraId="64E68A48" w14:textId="447A6A90" w:rsidR="002E1807" w:rsidRPr="00320FA9" w:rsidRDefault="00EE5A27" w:rsidP="002E1807">
            <w:pPr>
              <w:autoSpaceDE w:val="0"/>
              <w:autoSpaceDN w:val="0"/>
              <w:adjustRightInd w:val="0"/>
              <w:jc w:val="both"/>
              <w:rPr>
                <w:rFonts w:ascii="Arial" w:hAnsi="Arial" w:cs="Arial"/>
                <w:sz w:val="24"/>
                <w:szCs w:val="24"/>
              </w:rPr>
            </w:pPr>
            <w:r w:rsidRPr="00320FA9">
              <w:rPr>
                <w:rFonts w:ascii="Arial" w:hAnsi="Arial" w:cs="Arial"/>
                <w:sz w:val="24"/>
                <w:szCs w:val="24"/>
              </w:rPr>
              <w:t>Promoción de la autonomía y empoderamiento de la mujer en el marco de la economía social y solidaria</w:t>
            </w:r>
            <w:r w:rsidR="0069648E" w:rsidRPr="00320FA9">
              <w:rPr>
                <w:rFonts w:ascii="Arial" w:hAnsi="Arial" w:cs="Arial"/>
                <w:sz w:val="24"/>
                <w:szCs w:val="24"/>
              </w:rPr>
              <w:t xml:space="preserve"> (Inclusión económica a través de mecanismos como el Bono de Desarrollo Humano)</w:t>
            </w:r>
            <w:r w:rsidR="002E1807" w:rsidRPr="00320FA9">
              <w:rPr>
                <w:rFonts w:ascii="Arial" w:hAnsi="Arial" w:cs="Arial"/>
                <w:sz w:val="24"/>
                <w:szCs w:val="24"/>
              </w:rPr>
              <w:t xml:space="preserve"> Las mujeres beneficiarias del Bono de Desarrollo Humano tuvieron acceso a programas de microcrédito productivo a través de los progr</w:t>
            </w:r>
            <w:r w:rsidR="002D673C">
              <w:rPr>
                <w:rFonts w:ascii="Arial" w:hAnsi="Arial" w:cs="Arial"/>
                <w:sz w:val="24"/>
                <w:szCs w:val="24"/>
              </w:rPr>
              <w:t>amas: Crédito de Desarrollo Huma</w:t>
            </w:r>
            <w:r w:rsidR="002E1807" w:rsidRPr="00320FA9">
              <w:rPr>
                <w:rFonts w:ascii="Arial" w:hAnsi="Arial" w:cs="Arial"/>
                <w:sz w:val="24"/>
                <w:szCs w:val="24"/>
              </w:rPr>
              <w:t>no y Crédito Productivo Solidario. En el 2014, accedieron al Bono 450000 personas, de las cuales el 95% fueron mujeres jefas de hogar.</w:t>
            </w:r>
          </w:p>
          <w:p w14:paraId="13850943" w14:textId="50DA442D" w:rsidR="00EE5A27" w:rsidRPr="00320FA9" w:rsidRDefault="00EE5A27" w:rsidP="00EE5A27">
            <w:pPr>
              <w:autoSpaceDE w:val="0"/>
              <w:autoSpaceDN w:val="0"/>
              <w:adjustRightInd w:val="0"/>
              <w:rPr>
                <w:rFonts w:ascii="Arial" w:hAnsi="Arial" w:cs="Arial"/>
                <w:sz w:val="24"/>
                <w:szCs w:val="24"/>
              </w:rPr>
            </w:pPr>
          </w:p>
        </w:tc>
        <w:tc>
          <w:tcPr>
            <w:tcW w:w="1411" w:type="dxa"/>
          </w:tcPr>
          <w:p w14:paraId="71C11D43" w14:textId="789F1B37" w:rsidR="00EE5A27" w:rsidRPr="00320FA9" w:rsidRDefault="009F2292"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249.138.720,15</w:t>
            </w:r>
          </w:p>
        </w:tc>
      </w:tr>
      <w:tr w:rsidR="00EE5A27" w:rsidRPr="00320FA9" w14:paraId="13B9157A" w14:textId="77777777" w:rsidTr="00A7565B">
        <w:tc>
          <w:tcPr>
            <w:tcW w:w="7083" w:type="dxa"/>
          </w:tcPr>
          <w:p w14:paraId="637B1373" w14:textId="7187349D" w:rsidR="00EE5A27" w:rsidRPr="00320FA9" w:rsidRDefault="009F2292" w:rsidP="009F2292">
            <w:pPr>
              <w:autoSpaceDE w:val="0"/>
              <w:autoSpaceDN w:val="0"/>
              <w:adjustRightInd w:val="0"/>
              <w:rPr>
                <w:rFonts w:ascii="Arial" w:hAnsi="Arial" w:cs="Arial"/>
                <w:sz w:val="24"/>
                <w:szCs w:val="24"/>
              </w:rPr>
            </w:pPr>
            <w:r w:rsidRPr="00320FA9">
              <w:rPr>
                <w:rFonts w:ascii="Arial" w:hAnsi="Arial" w:cs="Arial"/>
                <w:sz w:val="24"/>
                <w:szCs w:val="24"/>
              </w:rPr>
              <w:t>Promoción garantía y generación de igualdad de oportunidades y condiciones de trabajo</w:t>
            </w:r>
          </w:p>
        </w:tc>
        <w:tc>
          <w:tcPr>
            <w:tcW w:w="1411" w:type="dxa"/>
          </w:tcPr>
          <w:p w14:paraId="03A60922" w14:textId="486BCA72" w:rsidR="00EE5A27"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2.923,32</w:t>
            </w:r>
          </w:p>
        </w:tc>
      </w:tr>
      <w:tr w:rsidR="00EE5A27" w:rsidRPr="00320FA9" w14:paraId="69279C4F" w14:textId="77777777" w:rsidTr="00A7565B">
        <w:tc>
          <w:tcPr>
            <w:tcW w:w="7083" w:type="dxa"/>
          </w:tcPr>
          <w:p w14:paraId="3E799EAB" w14:textId="21B1EEC6" w:rsidR="00EE5A27" w:rsidRPr="00320FA9" w:rsidRDefault="009F2292"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Promoción y desarrollo de sistemas de cuidado y corresponsabilidad</w:t>
            </w:r>
          </w:p>
        </w:tc>
        <w:tc>
          <w:tcPr>
            <w:tcW w:w="1411" w:type="dxa"/>
          </w:tcPr>
          <w:p w14:paraId="5AC8EC8C" w14:textId="2EE9B095" w:rsidR="00EE5A27"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43.661,60</w:t>
            </w:r>
          </w:p>
        </w:tc>
      </w:tr>
      <w:tr w:rsidR="00EE5A27" w:rsidRPr="00320FA9" w14:paraId="73BC7686" w14:textId="77777777" w:rsidTr="00A7565B">
        <w:tc>
          <w:tcPr>
            <w:tcW w:w="7083" w:type="dxa"/>
          </w:tcPr>
          <w:p w14:paraId="2FA480A8" w14:textId="2F58F83B" w:rsidR="00EE5A27" w:rsidRPr="00320FA9" w:rsidRDefault="009F2292" w:rsidP="009F2292">
            <w:pPr>
              <w:autoSpaceDE w:val="0"/>
              <w:autoSpaceDN w:val="0"/>
              <w:adjustRightInd w:val="0"/>
              <w:rPr>
                <w:rFonts w:ascii="Arial" w:hAnsi="Arial" w:cs="Arial"/>
                <w:sz w:val="24"/>
                <w:szCs w:val="24"/>
              </w:rPr>
            </w:pPr>
            <w:r w:rsidRPr="00320FA9">
              <w:rPr>
                <w:rFonts w:ascii="Arial" w:hAnsi="Arial" w:cs="Arial"/>
                <w:sz w:val="24"/>
                <w:szCs w:val="24"/>
              </w:rPr>
              <w:t>Promoción y garantía del derecho a la participación social política y ejercicio de ciudadanía</w:t>
            </w:r>
          </w:p>
        </w:tc>
        <w:tc>
          <w:tcPr>
            <w:tcW w:w="1411" w:type="dxa"/>
          </w:tcPr>
          <w:p w14:paraId="54E86D78" w14:textId="68CF8E20" w:rsidR="00EE5A27"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139.114,26</w:t>
            </w:r>
          </w:p>
        </w:tc>
      </w:tr>
      <w:tr w:rsidR="00EE5A27" w:rsidRPr="00320FA9" w14:paraId="6CD6B168" w14:textId="77777777" w:rsidTr="00A7565B">
        <w:tc>
          <w:tcPr>
            <w:tcW w:w="7083" w:type="dxa"/>
          </w:tcPr>
          <w:p w14:paraId="201BDC08" w14:textId="77845DE4" w:rsidR="00EE5A27" w:rsidRPr="00320FA9" w:rsidRDefault="009F2292"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Promoción y garantía de una vida libre de violencia</w:t>
            </w:r>
            <w:r w:rsidR="0069648E" w:rsidRPr="00320FA9">
              <w:rPr>
                <w:rFonts w:ascii="Arial" w:hAnsi="Arial" w:cs="Arial"/>
                <w:sz w:val="24"/>
                <w:szCs w:val="24"/>
              </w:rPr>
              <w:t xml:space="preserve"> (atención directa a víctimas)</w:t>
            </w:r>
          </w:p>
        </w:tc>
        <w:tc>
          <w:tcPr>
            <w:tcW w:w="1411" w:type="dxa"/>
          </w:tcPr>
          <w:p w14:paraId="67D4E15E" w14:textId="282BA806" w:rsidR="00EE5A27"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2.035.999,73</w:t>
            </w:r>
          </w:p>
        </w:tc>
      </w:tr>
      <w:tr w:rsidR="00EE5A27" w:rsidRPr="00320FA9" w14:paraId="60A4A060" w14:textId="77777777" w:rsidTr="00A7565B">
        <w:tc>
          <w:tcPr>
            <w:tcW w:w="7083" w:type="dxa"/>
          </w:tcPr>
          <w:p w14:paraId="0360CFF5" w14:textId="0B2C16E5" w:rsidR="00EE5A27" w:rsidRPr="00320FA9" w:rsidRDefault="009F2292"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lastRenderedPageBreak/>
              <w:t>Promoción protección y garantía del derecho a la salud</w:t>
            </w:r>
          </w:p>
        </w:tc>
        <w:tc>
          <w:tcPr>
            <w:tcW w:w="1411" w:type="dxa"/>
          </w:tcPr>
          <w:p w14:paraId="34169025" w14:textId="338520AD" w:rsidR="00EE5A27"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269.431.913,94</w:t>
            </w:r>
          </w:p>
        </w:tc>
      </w:tr>
      <w:tr w:rsidR="00EE5A27" w:rsidRPr="00320FA9" w14:paraId="19319D70" w14:textId="77777777" w:rsidTr="00A7565B">
        <w:tc>
          <w:tcPr>
            <w:tcW w:w="7083" w:type="dxa"/>
          </w:tcPr>
          <w:p w14:paraId="26A960E9" w14:textId="0097803A" w:rsidR="00EE5A27" w:rsidRPr="00320FA9" w:rsidRDefault="009F2292"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Protección y garantía del derecho a la educación</w:t>
            </w:r>
          </w:p>
        </w:tc>
        <w:tc>
          <w:tcPr>
            <w:tcW w:w="1411" w:type="dxa"/>
          </w:tcPr>
          <w:p w14:paraId="4AF7A2E9" w14:textId="245F3345" w:rsidR="00EE5A27"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116.577,52</w:t>
            </w:r>
          </w:p>
        </w:tc>
      </w:tr>
      <w:tr w:rsidR="009F2292" w:rsidRPr="00320FA9" w14:paraId="50DFDD1B" w14:textId="77777777" w:rsidTr="00A7565B">
        <w:tc>
          <w:tcPr>
            <w:tcW w:w="7083" w:type="dxa"/>
          </w:tcPr>
          <w:p w14:paraId="7C5C3657" w14:textId="528221C2" w:rsidR="009F2292" w:rsidRPr="00320FA9" w:rsidRDefault="009F2292" w:rsidP="009F2292">
            <w:pPr>
              <w:autoSpaceDE w:val="0"/>
              <w:autoSpaceDN w:val="0"/>
              <w:adjustRightInd w:val="0"/>
              <w:rPr>
                <w:rFonts w:ascii="Arial" w:hAnsi="Arial" w:cs="Arial"/>
                <w:sz w:val="24"/>
                <w:szCs w:val="24"/>
              </w:rPr>
            </w:pPr>
            <w:r w:rsidRPr="00320FA9">
              <w:rPr>
                <w:rFonts w:ascii="Arial" w:hAnsi="Arial" w:cs="Arial"/>
                <w:sz w:val="24"/>
                <w:szCs w:val="24"/>
              </w:rPr>
              <w:t>Promoción garantía y desarrollo de institucionalidad y políticas públicas con equidad de género</w:t>
            </w:r>
          </w:p>
        </w:tc>
        <w:tc>
          <w:tcPr>
            <w:tcW w:w="1411" w:type="dxa"/>
          </w:tcPr>
          <w:p w14:paraId="789D9812" w14:textId="068AC3B0" w:rsidR="009F2292" w:rsidRPr="00320FA9" w:rsidRDefault="005B44E6" w:rsidP="007B7739">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18.890,25</w:t>
            </w:r>
          </w:p>
        </w:tc>
      </w:tr>
    </w:tbl>
    <w:p w14:paraId="7D3C0F44" w14:textId="3F530331" w:rsidR="00725E33" w:rsidRPr="00320FA9" w:rsidRDefault="00725E33" w:rsidP="00C53B69">
      <w:pPr>
        <w:rPr>
          <w:rFonts w:ascii="Arial" w:hAnsi="Arial" w:cs="Arial"/>
          <w:b/>
          <w:sz w:val="24"/>
          <w:szCs w:val="24"/>
        </w:rPr>
      </w:pPr>
    </w:p>
    <w:p w14:paraId="771A4DDB" w14:textId="475D5A7A" w:rsidR="002E1807" w:rsidRPr="00320FA9" w:rsidRDefault="002E1807" w:rsidP="002E180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Sin embargo el Estado dejó de entender que la violencia basada en género es multidimensional y que su prevención requiere de medidas más allá de la simple denuncia. </w:t>
      </w:r>
    </w:p>
    <w:p w14:paraId="7FA26813" w14:textId="22736799" w:rsidR="00371A04" w:rsidRPr="00320FA9" w:rsidRDefault="007C0A1C"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Así de acuerdo al INFORME DE EJECUCIÓN PRESUPUESTO GENERAL DEL ESTADO, de marzo de 2019</w:t>
      </w:r>
      <w:r w:rsidR="00050701" w:rsidRPr="00320FA9">
        <w:rPr>
          <w:rFonts w:ascii="Arial" w:hAnsi="Arial" w:cs="Arial"/>
          <w:sz w:val="24"/>
          <w:szCs w:val="24"/>
          <w:lang w:val="es-ES_tradnl"/>
        </w:rPr>
        <w:t xml:space="preserve"> (primer trimestre)</w:t>
      </w:r>
      <w:r w:rsidRPr="00320FA9">
        <w:rPr>
          <w:rFonts w:ascii="Arial" w:hAnsi="Arial" w:cs="Arial"/>
          <w:sz w:val="24"/>
          <w:szCs w:val="24"/>
          <w:lang w:val="es-ES_tradnl"/>
        </w:rPr>
        <w:t xml:space="preserve">  </w:t>
      </w:r>
      <w:r w:rsidR="009F576F" w:rsidRPr="00320FA9">
        <w:rPr>
          <w:rFonts w:ascii="Arial" w:hAnsi="Arial" w:cs="Arial"/>
          <w:sz w:val="24"/>
          <w:szCs w:val="24"/>
          <w:lang w:val="es-ES_tradnl"/>
        </w:rPr>
        <w:t xml:space="preserve">la Erradicación de Violencia, devengó recursos por </w:t>
      </w:r>
      <w:r w:rsidRPr="00320FA9">
        <w:rPr>
          <w:rFonts w:ascii="Arial" w:hAnsi="Arial" w:cs="Arial"/>
          <w:sz w:val="24"/>
          <w:szCs w:val="24"/>
          <w:lang w:val="es-ES_tradnl"/>
        </w:rPr>
        <w:t xml:space="preserve"> solamente </w:t>
      </w:r>
      <w:r w:rsidR="009F576F" w:rsidRPr="00320FA9">
        <w:rPr>
          <w:rFonts w:ascii="Arial" w:hAnsi="Arial" w:cs="Arial"/>
          <w:sz w:val="24"/>
          <w:szCs w:val="24"/>
          <w:lang w:val="es-ES_tradnl"/>
        </w:rPr>
        <w:t>USD 1,02 millones e incluye las ejecuciones de entidades como el Consejo de la Judicatura, Secretaría de Derechos Humanos, Instituto Nacional de Estadísticas y Censos, Ministerio de Educación y Fiscalía General del Estado</w:t>
      </w:r>
      <w:r w:rsidRPr="00320FA9">
        <w:rPr>
          <w:rFonts w:ascii="Arial" w:hAnsi="Arial" w:cs="Arial"/>
          <w:sz w:val="24"/>
          <w:szCs w:val="24"/>
          <w:lang w:val="es-ES_tradnl"/>
        </w:rPr>
        <w:t>, es decir todo el Estado.</w:t>
      </w:r>
    </w:p>
    <w:p w14:paraId="5193BC65" w14:textId="7E312233" w:rsidR="00A7565B" w:rsidRPr="00320FA9" w:rsidRDefault="00A7565B"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La poca importancia en la actualidad en la ejecución del Estado en relación a las políticas de igualdad de género se evidenció incluso en el cambio de gobierno en el 2017</w:t>
      </w:r>
      <w:r w:rsidR="00C7026B" w:rsidRPr="00320FA9">
        <w:rPr>
          <w:rFonts w:ascii="Arial" w:hAnsi="Arial" w:cs="Arial"/>
          <w:sz w:val="24"/>
          <w:szCs w:val="24"/>
          <w:lang w:val="es-ES_tradnl"/>
        </w:rPr>
        <w:t>, informes de ejecución elaborados por el Ministerio de Economía y Finanzas</w:t>
      </w:r>
      <w:r w:rsidRPr="00320FA9">
        <w:rPr>
          <w:rFonts w:ascii="Arial" w:hAnsi="Arial" w:cs="Arial"/>
          <w:sz w:val="24"/>
          <w:szCs w:val="24"/>
          <w:lang w:val="es-ES_tradnl"/>
        </w:rPr>
        <w:t>:</w:t>
      </w:r>
    </w:p>
    <w:tbl>
      <w:tblPr>
        <w:tblStyle w:val="Tablaconcuadrcula"/>
        <w:tblW w:w="0" w:type="auto"/>
        <w:tblLook w:val="04A0" w:firstRow="1" w:lastRow="0" w:firstColumn="1" w:lastColumn="0" w:noHBand="0" w:noVBand="1"/>
      </w:tblPr>
      <w:tblGrid>
        <w:gridCol w:w="3256"/>
        <w:gridCol w:w="1885"/>
        <w:gridCol w:w="3260"/>
      </w:tblGrid>
      <w:tr w:rsidR="00A7565B" w:rsidRPr="00320FA9" w14:paraId="70F2F493" w14:textId="62197760" w:rsidTr="00D046B2">
        <w:trPr>
          <w:tblHeader/>
        </w:trPr>
        <w:tc>
          <w:tcPr>
            <w:tcW w:w="3256" w:type="dxa"/>
          </w:tcPr>
          <w:p w14:paraId="773D6792" w14:textId="5EE84EAE"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ÁREA</w:t>
            </w:r>
          </w:p>
        </w:tc>
        <w:tc>
          <w:tcPr>
            <w:tcW w:w="1842" w:type="dxa"/>
          </w:tcPr>
          <w:p w14:paraId="09BB492D" w14:textId="7367D328"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Presupuesto Devengado en el primer semestre</w:t>
            </w:r>
          </w:p>
        </w:tc>
        <w:tc>
          <w:tcPr>
            <w:tcW w:w="3260" w:type="dxa"/>
          </w:tcPr>
          <w:p w14:paraId="1E1ED5DD" w14:textId="77777777" w:rsidR="00A7565B" w:rsidRPr="00320FA9" w:rsidRDefault="00D046B2"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Presupuesto devengado a diciembre 2017</w:t>
            </w:r>
          </w:p>
          <w:p w14:paraId="0605856E" w14:textId="79152011" w:rsidR="00D046B2" w:rsidRPr="00320FA9" w:rsidRDefault="00D046B2"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(La forma de reportar ya no es la misma e impide comparar cifras disminuyendo la transparencia de la información)</w:t>
            </w:r>
          </w:p>
        </w:tc>
      </w:tr>
      <w:tr w:rsidR="00A7565B" w:rsidRPr="00320FA9" w14:paraId="4CB87FA3" w14:textId="1CDC817D" w:rsidTr="00D046B2">
        <w:tc>
          <w:tcPr>
            <w:tcW w:w="3256" w:type="dxa"/>
          </w:tcPr>
          <w:p w14:paraId="339D9234" w14:textId="77777777" w:rsidR="00A7565B" w:rsidRPr="00320FA9" w:rsidRDefault="00A7565B" w:rsidP="004C70B3">
            <w:pPr>
              <w:autoSpaceDE w:val="0"/>
              <w:autoSpaceDN w:val="0"/>
              <w:adjustRightInd w:val="0"/>
              <w:rPr>
                <w:rFonts w:ascii="Arial" w:hAnsi="Arial" w:cs="Arial"/>
                <w:sz w:val="24"/>
                <w:szCs w:val="24"/>
              </w:rPr>
            </w:pPr>
            <w:r w:rsidRPr="00320FA9">
              <w:rPr>
                <w:rFonts w:ascii="Arial" w:hAnsi="Arial" w:cs="Arial"/>
                <w:sz w:val="24"/>
                <w:szCs w:val="24"/>
              </w:rPr>
              <w:t>Promoción de la autonomía y empoderamiento de la mujer en el marco de la economía social y solidaria (Inclusión económica a través de mecanismos como el Bono de Desarrollo Humano)</w:t>
            </w:r>
          </w:p>
        </w:tc>
        <w:tc>
          <w:tcPr>
            <w:tcW w:w="1842" w:type="dxa"/>
          </w:tcPr>
          <w:p w14:paraId="3EFEB6D3" w14:textId="577F23CE"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122.166.770,52</w:t>
            </w:r>
          </w:p>
        </w:tc>
        <w:tc>
          <w:tcPr>
            <w:tcW w:w="3260" w:type="dxa"/>
          </w:tcPr>
          <w:p w14:paraId="3101825B" w14:textId="18A7F628" w:rsidR="00A7565B" w:rsidRPr="00A7565B" w:rsidRDefault="00D046B2" w:rsidP="00A7565B">
            <w:pPr>
              <w:autoSpaceDE w:val="0"/>
              <w:autoSpaceDN w:val="0"/>
              <w:adjustRightInd w:val="0"/>
              <w:rPr>
                <w:rFonts w:ascii="Arial" w:hAnsi="Arial" w:cs="Arial"/>
                <w:sz w:val="24"/>
                <w:szCs w:val="24"/>
              </w:rPr>
            </w:pPr>
            <w:r w:rsidRPr="00320FA9">
              <w:rPr>
                <w:rFonts w:ascii="Arial" w:hAnsi="Arial" w:cs="Arial"/>
                <w:sz w:val="24"/>
                <w:szCs w:val="24"/>
              </w:rPr>
              <w:t>243</w:t>
            </w:r>
            <w:r w:rsidR="00A7565B" w:rsidRPr="00A7565B">
              <w:rPr>
                <w:rFonts w:ascii="Arial" w:hAnsi="Arial" w:cs="Arial"/>
                <w:sz w:val="24"/>
                <w:szCs w:val="24"/>
              </w:rPr>
              <w:t>,06</w:t>
            </w:r>
          </w:p>
          <w:p w14:paraId="5260588C" w14:textId="77777777" w:rsidR="00A7565B" w:rsidRPr="00320FA9" w:rsidRDefault="00A7565B" w:rsidP="004C70B3">
            <w:pPr>
              <w:spacing w:before="100" w:beforeAutospacing="1" w:after="100" w:afterAutospacing="1"/>
              <w:jc w:val="both"/>
              <w:rPr>
                <w:rFonts w:ascii="Arial" w:hAnsi="Arial" w:cs="Arial"/>
                <w:sz w:val="24"/>
                <w:szCs w:val="24"/>
              </w:rPr>
            </w:pPr>
          </w:p>
        </w:tc>
      </w:tr>
      <w:tr w:rsidR="00A7565B" w:rsidRPr="00320FA9" w14:paraId="0F490E38" w14:textId="5531DF48" w:rsidTr="00D046B2">
        <w:tc>
          <w:tcPr>
            <w:tcW w:w="3256" w:type="dxa"/>
          </w:tcPr>
          <w:p w14:paraId="5D0578E3" w14:textId="77777777" w:rsidR="00A7565B" w:rsidRPr="00320FA9" w:rsidRDefault="00A7565B" w:rsidP="004C70B3">
            <w:pPr>
              <w:autoSpaceDE w:val="0"/>
              <w:autoSpaceDN w:val="0"/>
              <w:adjustRightInd w:val="0"/>
              <w:rPr>
                <w:rFonts w:ascii="Arial" w:hAnsi="Arial" w:cs="Arial"/>
                <w:sz w:val="24"/>
                <w:szCs w:val="24"/>
              </w:rPr>
            </w:pPr>
            <w:r w:rsidRPr="00320FA9">
              <w:rPr>
                <w:rFonts w:ascii="Arial" w:hAnsi="Arial" w:cs="Arial"/>
                <w:sz w:val="24"/>
                <w:szCs w:val="24"/>
              </w:rPr>
              <w:t>Promoción garantía y generación de igualdad de oportunidades y condiciones de trabajo</w:t>
            </w:r>
          </w:p>
        </w:tc>
        <w:tc>
          <w:tcPr>
            <w:tcW w:w="1842" w:type="dxa"/>
          </w:tcPr>
          <w:p w14:paraId="35FB9327" w14:textId="6EB46D0D"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500,00</w:t>
            </w:r>
          </w:p>
        </w:tc>
        <w:tc>
          <w:tcPr>
            <w:tcW w:w="3260" w:type="dxa"/>
          </w:tcPr>
          <w:p w14:paraId="754FA0A0" w14:textId="114E3367" w:rsidR="00A7565B" w:rsidRPr="00320FA9" w:rsidRDefault="00C96BE0" w:rsidP="00D046B2">
            <w:pPr>
              <w:autoSpaceDE w:val="0"/>
              <w:autoSpaceDN w:val="0"/>
              <w:adjustRightInd w:val="0"/>
              <w:rPr>
                <w:rFonts w:ascii="Arial" w:hAnsi="Arial" w:cs="Arial"/>
                <w:sz w:val="24"/>
                <w:szCs w:val="24"/>
              </w:rPr>
            </w:pPr>
            <w:r w:rsidRPr="00320FA9">
              <w:rPr>
                <w:rFonts w:ascii="Arial" w:hAnsi="Arial" w:cs="Arial"/>
                <w:sz w:val="24"/>
                <w:szCs w:val="24"/>
              </w:rPr>
              <w:t>----------------</w:t>
            </w:r>
          </w:p>
        </w:tc>
      </w:tr>
      <w:tr w:rsidR="00A7565B" w:rsidRPr="00320FA9" w14:paraId="17DD2B72" w14:textId="0AD2014E" w:rsidTr="00D046B2">
        <w:tc>
          <w:tcPr>
            <w:tcW w:w="3256" w:type="dxa"/>
          </w:tcPr>
          <w:p w14:paraId="00B34607" w14:textId="77777777"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Promoción y desarrollo de sistemas de cuidado y corresponsabilidad</w:t>
            </w:r>
          </w:p>
        </w:tc>
        <w:tc>
          <w:tcPr>
            <w:tcW w:w="1842" w:type="dxa"/>
          </w:tcPr>
          <w:p w14:paraId="7892192F" w14:textId="5CC5FF34"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30.240,00*</w:t>
            </w:r>
          </w:p>
        </w:tc>
        <w:tc>
          <w:tcPr>
            <w:tcW w:w="3260" w:type="dxa"/>
          </w:tcPr>
          <w:p w14:paraId="3588C575" w14:textId="58D9269D" w:rsidR="00A7565B" w:rsidRPr="00320FA9" w:rsidRDefault="00A7565B" w:rsidP="00D046B2">
            <w:pPr>
              <w:autoSpaceDE w:val="0"/>
              <w:autoSpaceDN w:val="0"/>
              <w:adjustRightInd w:val="0"/>
              <w:rPr>
                <w:rFonts w:ascii="Arial" w:hAnsi="Arial" w:cs="Arial"/>
                <w:sz w:val="24"/>
                <w:szCs w:val="24"/>
              </w:rPr>
            </w:pPr>
          </w:p>
        </w:tc>
      </w:tr>
      <w:tr w:rsidR="00A7565B" w:rsidRPr="00320FA9" w14:paraId="3F01B65D" w14:textId="5B0BF537" w:rsidTr="00D046B2">
        <w:tc>
          <w:tcPr>
            <w:tcW w:w="3256" w:type="dxa"/>
          </w:tcPr>
          <w:p w14:paraId="1AD86DBD" w14:textId="77777777" w:rsidR="00A7565B" w:rsidRPr="00320FA9" w:rsidRDefault="00A7565B" w:rsidP="004C70B3">
            <w:pPr>
              <w:autoSpaceDE w:val="0"/>
              <w:autoSpaceDN w:val="0"/>
              <w:adjustRightInd w:val="0"/>
              <w:rPr>
                <w:rFonts w:ascii="Arial" w:hAnsi="Arial" w:cs="Arial"/>
                <w:sz w:val="24"/>
                <w:szCs w:val="24"/>
              </w:rPr>
            </w:pPr>
            <w:r w:rsidRPr="00320FA9">
              <w:rPr>
                <w:rFonts w:ascii="Arial" w:hAnsi="Arial" w:cs="Arial"/>
                <w:sz w:val="24"/>
                <w:szCs w:val="24"/>
              </w:rPr>
              <w:lastRenderedPageBreak/>
              <w:t>Promoción y garantía del derecho a la participación social política y ejercicio de ciudadanía</w:t>
            </w:r>
          </w:p>
        </w:tc>
        <w:tc>
          <w:tcPr>
            <w:tcW w:w="1842" w:type="dxa"/>
          </w:tcPr>
          <w:p w14:paraId="7BF69D69" w14:textId="0B73AF38"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22.670,04</w:t>
            </w:r>
          </w:p>
        </w:tc>
        <w:tc>
          <w:tcPr>
            <w:tcW w:w="3260" w:type="dxa"/>
          </w:tcPr>
          <w:p w14:paraId="74CB2568" w14:textId="0622E139" w:rsidR="00A7565B" w:rsidRPr="00320FA9" w:rsidRDefault="00D046B2" w:rsidP="00D046B2">
            <w:pPr>
              <w:autoSpaceDE w:val="0"/>
              <w:autoSpaceDN w:val="0"/>
              <w:adjustRightInd w:val="0"/>
              <w:rPr>
                <w:rFonts w:ascii="Arial" w:hAnsi="Arial" w:cs="Arial"/>
                <w:sz w:val="24"/>
                <w:szCs w:val="24"/>
              </w:rPr>
            </w:pPr>
            <w:r w:rsidRPr="00320FA9">
              <w:rPr>
                <w:rFonts w:ascii="Arial" w:hAnsi="Arial" w:cs="Arial"/>
                <w:sz w:val="24"/>
                <w:szCs w:val="24"/>
              </w:rPr>
              <w:t>0,21</w:t>
            </w:r>
          </w:p>
        </w:tc>
      </w:tr>
      <w:tr w:rsidR="00A7565B" w:rsidRPr="00320FA9" w14:paraId="22665FAE" w14:textId="3066EC3C" w:rsidTr="00D046B2">
        <w:tc>
          <w:tcPr>
            <w:tcW w:w="3256" w:type="dxa"/>
          </w:tcPr>
          <w:p w14:paraId="3FBDD2F2" w14:textId="77777777"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Promoción y garantía de una vida libre de violencia (atención directa a víctimas)</w:t>
            </w:r>
          </w:p>
        </w:tc>
        <w:tc>
          <w:tcPr>
            <w:tcW w:w="1842" w:type="dxa"/>
          </w:tcPr>
          <w:p w14:paraId="70525A7D" w14:textId="0FB5F132"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1.619.534,98</w:t>
            </w:r>
          </w:p>
        </w:tc>
        <w:tc>
          <w:tcPr>
            <w:tcW w:w="3260" w:type="dxa"/>
          </w:tcPr>
          <w:p w14:paraId="3EAA2C9A" w14:textId="6F5A9CA0" w:rsidR="00D046B2" w:rsidRPr="00D046B2" w:rsidRDefault="00D046B2" w:rsidP="00D046B2">
            <w:pPr>
              <w:autoSpaceDE w:val="0"/>
              <w:autoSpaceDN w:val="0"/>
              <w:adjustRightInd w:val="0"/>
              <w:rPr>
                <w:rFonts w:ascii="Arial" w:hAnsi="Arial" w:cs="Arial"/>
                <w:sz w:val="24"/>
                <w:szCs w:val="24"/>
              </w:rPr>
            </w:pPr>
            <w:r w:rsidRPr="00320FA9">
              <w:rPr>
                <w:rFonts w:ascii="Arial" w:hAnsi="Arial" w:cs="Arial"/>
                <w:sz w:val="24"/>
                <w:szCs w:val="24"/>
              </w:rPr>
              <w:t>1</w:t>
            </w:r>
            <w:r w:rsidRPr="00D046B2">
              <w:rPr>
                <w:rFonts w:ascii="Arial" w:hAnsi="Arial" w:cs="Arial"/>
                <w:sz w:val="24"/>
                <w:szCs w:val="24"/>
              </w:rPr>
              <w:t>,69</w:t>
            </w:r>
          </w:p>
          <w:p w14:paraId="77819189" w14:textId="77777777" w:rsidR="00A7565B" w:rsidRPr="00320FA9" w:rsidRDefault="00A7565B" w:rsidP="004C70B3">
            <w:pPr>
              <w:spacing w:before="100" w:beforeAutospacing="1" w:after="100" w:afterAutospacing="1"/>
              <w:jc w:val="both"/>
              <w:rPr>
                <w:rFonts w:ascii="Arial" w:hAnsi="Arial" w:cs="Arial"/>
                <w:sz w:val="24"/>
                <w:szCs w:val="24"/>
              </w:rPr>
            </w:pPr>
          </w:p>
        </w:tc>
      </w:tr>
      <w:tr w:rsidR="00A7565B" w:rsidRPr="00320FA9" w14:paraId="450B2BD8" w14:textId="40B92982" w:rsidTr="00D046B2">
        <w:tc>
          <w:tcPr>
            <w:tcW w:w="3256" w:type="dxa"/>
          </w:tcPr>
          <w:p w14:paraId="4C7149D6" w14:textId="77777777"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Promoción protección y garantía del derecho a la salud</w:t>
            </w:r>
          </w:p>
        </w:tc>
        <w:tc>
          <w:tcPr>
            <w:tcW w:w="1842" w:type="dxa"/>
          </w:tcPr>
          <w:p w14:paraId="312A765A" w14:textId="21397FDE"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186.068.337,18</w:t>
            </w:r>
          </w:p>
        </w:tc>
        <w:tc>
          <w:tcPr>
            <w:tcW w:w="3260" w:type="dxa"/>
          </w:tcPr>
          <w:p w14:paraId="786B4EF9" w14:textId="79FDDD3F" w:rsidR="00D046B2" w:rsidRPr="00D046B2" w:rsidRDefault="00D046B2" w:rsidP="00D046B2">
            <w:pPr>
              <w:autoSpaceDE w:val="0"/>
              <w:autoSpaceDN w:val="0"/>
              <w:adjustRightInd w:val="0"/>
              <w:rPr>
                <w:rFonts w:ascii="Arial" w:hAnsi="Arial" w:cs="Arial"/>
                <w:sz w:val="24"/>
                <w:szCs w:val="24"/>
              </w:rPr>
            </w:pPr>
            <w:r w:rsidRPr="00320FA9">
              <w:rPr>
                <w:rFonts w:ascii="Arial" w:hAnsi="Arial" w:cs="Arial"/>
                <w:sz w:val="24"/>
                <w:szCs w:val="24"/>
              </w:rPr>
              <w:t>349</w:t>
            </w:r>
            <w:r w:rsidRPr="00D046B2">
              <w:rPr>
                <w:rFonts w:ascii="Arial" w:hAnsi="Arial" w:cs="Arial"/>
                <w:sz w:val="24"/>
                <w:szCs w:val="24"/>
              </w:rPr>
              <w:t>,78</w:t>
            </w:r>
          </w:p>
          <w:p w14:paraId="1A7A3A11" w14:textId="77777777" w:rsidR="00A7565B" w:rsidRPr="00320FA9" w:rsidRDefault="00A7565B" w:rsidP="004C70B3">
            <w:pPr>
              <w:spacing w:before="100" w:beforeAutospacing="1" w:after="100" w:afterAutospacing="1"/>
              <w:jc w:val="both"/>
              <w:rPr>
                <w:rFonts w:ascii="Arial" w:hAnsi="Arial" w:cs="Arial"/>
                <w:sz w:val="24"/>
                <w:szCs w:val="24"/>
              </w:rPr>
            </w:pPr>
          </w:p>
        </w:tc>
      </w:tr>
      <w:tr w:rsidR="00A7565B" w:rsidRPr="00320FA9" w14:paraId="366067B5" w14:textId="5E126FD9" w:rsidTr="00D046B2">
        <w:tc>
          <w:tcPr>
            <w:tcW w:w="3256" w:type="dxa"/>
          </w:tcPr>
          <w:p w14:paraId="2D5BBABE" w14:textId="77777777" w:rsidR="00A7565B" w:rsidRPr="00320FA9" w:rsidRDefault="00A7565B" w:rsidP="004C70B3">
            <w:pPr>
              <w:autoSpaceDE w:val="0"/>
              <w:autoSpaceDN w:val="0"/>
              <w:adjustRightInd w:val="0"/>
              <w:rPr>
                <w:rFonts w:ascii="Arial" w:hAnsi="Arial" w:cs="Arial"/>
                <w:sz w:val="24"/>
                <w:szCs w:val="24"/>
              </w:rPr>
            </w:pPr>
            <w:r w:rsidRPr="00320FA9">
              <w:rPr>
                <w:rFonts w:ascii="Arial" w:hAnsi="Arial" w:cs="Arial"/>
                <w:sz w:val="24"/>
                <w:szCs w:val="24"/>
              </w:rPr>
              <w:t>Promoción garantía y desarrollo de institucionalidad y políticas públicas con equidad de género</w:t>
            </w:r>
          </w:p>
        </w:tc>
        <w:tc>
          <w:tcPr>
            <w:tcW w:w="1842" w:type="dxa"/>
          </w:tcPr>
          <w:p w14:paraId="3317E2B1" w14:textId="414A77ED" w:rsidR="00A7565B" w:rsidRPr="00320FA9" w:rsidRDefault="00A7565B" w:rsidP="004C70B3">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rPr>
              <w:t>4.071,62</w:t>
            </w:r>
          </w:p>
        </w:tc>
        <w:tc>
          <w:tcPr>
            <w:tcW w:w="3260" w:type="dxa"/>
          </w:tcPr>
          <w:p w14:paraId="0459B13A" w14:textId="77777777" w:rsidR="00A7565B" w:rsidRPr="00320FA9" w:rsidRDefault="00A7565B" w:rsidP="004C70B3">
            <w:pPr>
              <w:spacing w:before="100" w:beforeAutospacing="1" w:after="100" w:afterAutospacing="1"/>
              <w:jc w:val="both"/>
              <w:rPr>
                <w:rFonts w:ascii="Arial" w:hAnsi="Arial" w:cs="Arial"/>
                <w:sz w:val="24"/>
                <w:szCs w:val="24"/>
              </w:rPr>
            </w:pPr>
          </w:p>
        </w:tc>
      </w:tr>
    </w:tbl>
    <w:p w14:paraId="0232F068" w14:textId="41F4E2CA" w:rsidR="00A7565B" w:rsidRPr="00320FA9" w:rsidRDefault="00A7565B"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*Codificado para devengar</w:t>
      </w:r>
    </w:p>
    <w:p w14:paraId="6CC248C1" w14:textId="1A925B50" w:rsidR="00C96BE0" w:rsidRDefault="00C96BE0"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La disminución en el interés del Estado por invertir en políticas de igualdad de género se evidenció en el 2018</w:t>
      </w:r>
      <w:r w:rsidR="005028C3" w:rsidRPr="00320FA9">
        <w:rPr>
          <w:rFonts w:ascii="Arial" w:hAnsi="Arial" w:cs="Arial"/>
          <w:sz w:val="24"/>
          <w:szCs w:val="24"/>
          <w:lang w:val="es-ES_tradnl"/>
        </w:rPr>
        <w:t xml:space="preserve">. Así a pesar de estar ya en vigencia la  LEY PARA PREVENIR Y ERRADICAR LA VIOLENCIACONTRA LAS MUJERES (Registro Oficial Suplemento 175 de 05-feb.-2018) en el informe del Ministerio de Economía y Finanzas se hace referencia al Plan Nacional de Erradicación de Violencia de Género hacia niñez, adolescencia y mujeres, que se supone fue superado al convertirse en Ley, ya que su </w:t>
      </w:r>
      <w:r w:rsidR="00320FA9" w:rsidRPr="00320FA9">
        <w:rPr>
          <w:rFonts w:ascii="Arial" w:hAnsi="Arial" w:cs="Arial"/>
          <w:sz w:val="24"/>
          <w:szCs w:val="24"/>
          <w:lang w:val="es-ES_tradnl"/>
        </w:rPr>
        <w:t>contenido se actualizó sólo hasta 2017.</w:t>
      </w:r>
    </w:p>
    <w:p w14:paraId="7BC5C0F5" w14:textId="626E4EDD" w:rsidR="00F412F9" w:rsidRPr="00F412F9" w:rsidRDefault="00F412F9" w:rsidP="00F412F9">
      <w:pPr>
        <w:spacing w:before="100" w:beforeAutospacing="1" w:after="100" w:afterAutospacing="1"/>
        <w:jc w:val="both"/>
        <w:rPr>
          <w:rFonts w:ascii="Arial" w:hAnsi="Arial" w:cs="Arial"/>
          <w:sz w:val="24"/>
          <w:szCs w:val="24"/>
          <w:lang w:val="es-ES_tradnl"/>
        </w:rPr>
      </w:pPr>
      <w:r>
        <w:rPr>
          <w:rFonts w:ascii="Arial" w:hAnsi="Arial" w:cs="Arial"/>
          <w:sz w:val="24"/>
          <w:szCs w:val="24"/>
          <w:lang w:val="es-ES_tradnl"/>
        </w:rPr>
        <w:t xml:space="preserve">En el Informe de Ejecución Presupuestaria del primer semestre de 2018 del Ministerio de Economía y Finanzas no se registra ninguna ejecución en el rubro de </w:t>
      </w:r>
      <w:r w:rsidRPr="00F412F9">
        <w:rPr>
          <w:rFonts w:ascii="Arial" w:hAnsi="Arial" w:cs="Arial"/>
          <w:sz w:val="24"/>
          <w:szCs w:val="24"/>
          <w:lang w:val="es-ES_tradnl"/>
        </w:rPr>
        <w:t>PREVENCION Y REDUCCION DE LA VIOLENCIA DE GENERO Y OTRAS VIOLENCIAS</w:t>
      </w:r>
      <w:r>
        <w:rPr>
          <w:rFonts w:ascii="Arial" w:hAnsi="Arial" w:cs="Arial"/>
          <w:sz w:val="24"/>
          <w:szCs w:val="24"/>
          <w:lang w:val="es-ES_tradnl"/>
        </w:rPr>
        <w:t>.</w:t>
      </w:r>
    </w:p>
    <w:p w14:paraId="50855934" w14:textId="77777777" w:rsidR="005028C3" w:rsidRPr="00320FA9" w:rsidRDefault="005028C3"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La Ley mencionada señala obligaciones específicas para el Estado y su institucionalidad, creándose para el efecto un Sistema de Protección Integral, a ser liderado por el Ministerio de Justicia, Derechos Humanos y Cultos, hoy convertido en una Secretaría de Derechos Humanos, disminuyendo por tanto la incidencia y fortaleza de la institucionalidad encargada de vigilar y coordinar la implementación de la mencionada Ley.</w:t>
      </w:r>
    </w:p>
    <w:p w14:paraId="7CF2E418" w14:textId="3D216C36" w:rsidR="005028C3" w:rsidRPr="00320FA9" w:rsidRDefault="005028C3"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lastRenderedPageBreak/>
        <w:t xml:space="preserve">En el informe de ejecución presupuestaria de 2018 así como la del primer </w:t>
      </w:r>
      <w:r w:rsidR="00F412F9">
        <w:rPr>
          <w:rFonts w:ascii="Arial" w:hAnsi="Arial" w:cs="Arial"/>
          <w:sz w:val="24"/>
          <w:szCs w:val="24"/>
          <w:lang w:val="es-ES_tradnl"/>
        </w:rPr>
        <w:t>trimestre</w:t>
      </w:r>
      <w:r w:rsidRPr="00320FA9">
        <w:rPr>
          <w:rFonts w:ascii="Arial" w:hAnsi="Arial" w:cs="Arial"/>
          <w:sz w:val="24"/>
          <w:szCs w:val="24"/>
          <w:lang w:val="es-ES_tradnl"/>
        </w:rPr>
        <w:t xml:space="preserve"> de 2019, no se registra ningún rubro dirigido a </w:t>
      </w:r>
      <w:r w:rsidR="00320FA9" w:rsidRPr="00320FA9">
        <w:rPr>
          <w:rFonts w:ascii="Arial" w:hAnsi="Arial" w:cs="Arial"/>
          <w:sz w:val="24"/>
          <w:szCs w:val="24"/>
          <w:lang w:val="es-ES_tradnl"/>
        </w:rPr>
        <w:t>la implementación de la LEY PARA PREVENIR Y ERRADICAR LA VIOLENCIACONTRA LAS MUJERES, reportándose una serie de acciones de corte asistencialista y que no abonan a una política igualdad de género, así por ejemplo:</w:t>
      </w:r>
    </w:p>
    <w:p w14:paraId="4787E37F" w14:textId="10F51AFD" w:rsidR="00320FA9" w:rsidRPr="00194F2E" w:rsidRDefault="00320FA9" w:rsidP="007C0A1C">
      <w:pPr>
        <w:spacing w:before="100" w:beforeAutospacing="1" w:after="100" w:afterAutospacing="1"/>
        <w:jc w:val="both"/>
        <w:rPr>
          <w:rFonts w:ascii="Arial" w:hAnsi="Arial" w:cs="Arial"/>
          <w:sz w:val="20"/>
          <w:szCs w:val="20"/>
        </w:rPr>
      </w:pPr>
      <w:r w:rsidRPr="00194F2E">
        <w:rPr>
          <w:rFonts w:ascii="Arial" w:hAnsi="Arial" w:cs="Arial"/>
          <w:sz w:val="20"/>
          <w:szCs w:val="20"/>
          <w:lang w:val="es-ES_tradnl"/>
        </w:rPr>
        <w:t>“</w:t>
      </w:r>
      <w:r w:rsidRPr="00194F2E">
        <w:rPr>
          <w:rFonts w:ascii="Arial" w:hAnsi="Arial" w:cs="Arial"/>
          <w:sz w:val="20"/>
          <w:szCs w:val="20"/>
        </w:rPr>
        <w:t>En referencia al primer punto “Transformación de patrones socioculturales” la finalidad de este eje es desnaturalizar la violencia a partir de la reconstrucción social. Desnaturalizar la violencia significa poner en marcha procesos educativos permanentes, comunicacionales, promover cambios en las concepciones y prácticas; además lograr relaciones de respeto mutuo y de reconocimiento del derecho a una vida libre de violencia</w:t>
      </w:r>
    </w:p>
    <w:p w14:paraId="5FA1066F" w14:textId="2A61BB49" w:rsidR="00320FA9" w:rsidRPr="00320FA9" w:rsidRDefault="00320FA9" w:rsidP="00320FA9">
      <w:pPr>
        <w:spacing w:before="100" w:beforeAutospacing="1" w:after="100" w:afterAutospacing="1"/>
        <w:jc w:val="both"/>
        <w:rPr>
          <w:rFonts w:ascii="Arial" w:hAnsi="Arial" w:cs="Arial"/>
          <w:sz w:val="20"/>
          <w:szCs w:val="20"/>
        </w:rPr>
      </w:pPr>
      <w:r w:rsidRPr="00320FA9">
        <w:rPr>
          <w:rFonts w:ascii="Arial" w:hAnsi="Arial" w:cs="Arial"/>
          <w:sz w:val="20"/>
          <w:szCs w:val="20"/>
        </w:rPr>
        <w:t xml:space="preserve">El Ministerio del Interior materializó este eje con la gestión del programa “Seguridad Integral”, por medio de la actividad “Implementación de la política pública de seguridad ciudadana en territorio” que registró un monto codificado de USD 42,28 millones y devengó USD 42,12 millones, es decir un porcentaje de gestión de 99,62%. </w:t>
      </w:r>
    </w:p>
    <w:p w14:paraId="0980EB7D" w14:textId="6ACB4F85" w:rsidR="00320FA9" w:rsidRPr="00194F2E" w:rsidRDefault="00320FA9" w:rsidP="00320FA9">
      <w:pPr>
        <w:spacing w:before="100" w:beforeAutospacing="1" w:after="100" w:afterAutospacing="1"/>
        <w:jc w:val="both"/>
        <w:rPr>
          <w:rFonts w:ascii="Arial" w:hAnsi="Arial" w:cs="Arial"/>
          <w:sz w:val="20"/>
          <w:szCs w:val="20"/>
        </w:rPr>
      </w:pPr>
      <w:r w:rsidRPr="00194F2E">
        <w:rPr>
          <w:rFonts w:ascii="Arial" w:hAnsi="Arial" w:cs="Arial"/>
          <w:sz w:val="20"/>
          <w:szCs w:val="20"/>
        </w:rPr>
        <w:t xml:space="preserve">El Ministerio de Inclusión Económica y Social en el ámbito de sus competencias registró el programa </w:t>
      </w:r>
      <w:r w:rsidRPr="00194F2E">
        <w:rPr>
          <w:rFonts w:ascii="Arial" w:hAnsi="Arial" w:cs="Arial"/>
          <w:b/>
          <w:bCs/>
          <w:sz w:val="20"/>
          <w:szCs w:val="20"/>
          <w:u w:val="single"/>
        </w:rPr>
        <w:t>“Desarrollo Infantil</w:t>
      </w:r>
      <w:r w:rsidRPr="00194F2E">
        <w:rPr>
          <w:rFonts w:ascii="Arial" w:hAnsi="Arial" w:cs="Arial"/>
          <w:sz w:val="20"/>
          <w:szCs w:val="20"/>
        </w:rPr>
        <w:t xml:space="preserve">” que contiene la actividad </w:t>
      </w:r>
      <w:r w:rsidRPr="00194F2E">
        <w:rPr>
          <w:rFonts w:ascii="Arial" w:hAnsi="Arial" w:cs="Arial"/>
          <w:b/>
          <w:bCs/>
          <w:sz w:val="20"/>
          <w:szCs w:val="20"/>
          <w:u w:val="single"/>
        </w:rPr>
        <w:t>“Rectoría y regulación de la política de desarrollo infantil integral”</w:t>
      </w:r>
      <w:r w:rsidRPr="00194F2E">
        <w:rPr>
          <w:rFonts w:ascii="Arial" w:hAnsi="Arial" w:cs="Arial"/>
          <w:sz w:val="20"/>
          <w:szCs w:val="20"/>
        </w:rPr>
        <w:t>, misma que dispuso de USD 0,02 millones y devengó la totalidad de los recursos asignados para este ámbito. De igual forma, el MIES a través del programa “Sistema de protección especial en el ciclo de vida” gestionó la actividad “Rectoría prevención de vulnerabilidad de derechos” que inició con USD 0,14 millones, durante la ejecución se incrementó en 112,82%, para registrar un codificado de USD 0,29 millones de los cuales ejecutó el 97,99% (USD 0,28 millones).</w:t>
      </w:r>
    </w:p>
    <w:p w14:paraId="554E03B8" w14:textId="6F265742" w:rsidR="00320FA9" w:rsidRPr="00194F2E" w:rsidRDefault="00320FA9" w:rsidP="007C0A1C">
      <w:pPr>
        <w:spacing w:before="100" w:beforeAutospacing="1" w:after="100" w:afterAutospacing="1"/>
        <w:jc w:val="both"/>
        <w:rPr>
          <w:rFonts w:ascii="Arial" w:hAnsi="Arial" w:cs="Arial"/>
          <w:sz w:val="20"/>
          <w:szCs w:val="20"/>
        </w:rPr>
      </w:pPr>
      <w:r w:rsidRPr="00194F2E">
        <w:rPr>
          <w:rFonts w:ascii="Arial" w:hAnsi="Arial" w:cs="Arial"/>
          <w:sz w:val="20"/>
          <w:szCs w:val="20"/>
        </w:rPr>
        <w:t xml:space="preserve">La Secretaria Técnica del Plan Toda una Vida, efectúa “Difusión y comunicación Misión las Manuelas” que contó con USD 0,03 millones asignados, de los cuales ejecutó la totalidad, los recursos se destinaron a difundir y comunicar las acciones que permitan a las personas con discapacidad alcanzar su autonomía para que puedan tomar decisiones sobre aquellos temas específicos que afectan su desarrollo. A su vez, se busca otorgar servicios de atención en salud constante y fortalecer sus propias capacidades, habilidades y competencias.” </w:t>
      </w:r>
      <w:r w:rsidR="00194F2E">
        <w:rPr>
          <w:rFonts w:ascii="Arial" w:hAnsi="Arial" w:cs="Arial"/>
          <w:sz w:val="20"/>
          <w:szCs w:val="20"/>
        </w:rPr>
        <w:t>(Página 103 Informe de Ejecución Presupuestaria”)</w:t>
      </w:r>
    </w:p>
    <w:p w14:paraId="67C7B1B8" w14:textId="2B9F209B" w:rsidR="00194F2E" w:rsidRPr="00194F2E" w:rsidRDefault="00194F2E" w:rsidP="007C0A1C">
      <w:pPr>
        <w:spacing w:before="100" w:beforeAutospacing="1" w:after="100" w:afterAutospacing="1"/>
        <w:jc w:val="both"/>
        <w:rPr>
          <w:rFonts w:ascii="Arial" w:hAnsi="Arial" w:cs="Arial"/>
          <w:b/>
          <w:bCs/>
          <w:sz w:val="24"/>
          <w:szCs w:val="24"/>
          <w:u w:val="single"/>
        </w:rPr>
      </w:pPr>
      <w:r w:rsidRPr="00194F2E">
        <w:rPr>
          <w:rFonts w:ascii="Arial" w:hAnsi="Arial" w:cs="Arial"/>
          <w:b/>
          <w:bCs/>
          <w:sz w:val="24"/>
          <w:szCs w:val="24"/>
          <w:u w:val="single"/>
        </w:rPr>
        <w:t>Se perdió el sujeto MUJERES, y se ha diluido la intención del Estado de visibilizar las necesidades particulares de las mujeres</w:t>
      </w:r>
      <w:r w:rsidR="006F01BE">
        <w:rPr>
          <w:rFonts w:ascii="Arial" w:hAnsi="Arial" w:cs="Arial"/>
          <w:b/>
          <w:bCs/>
          <w:sz w:val="24"/>
          <w:szCs w:val="24"/>
          <w:u w:val="single"/>
        </w:rPr>
        <w:t xml:space="preserve">, se ha regresado a las políticas dirigidas a resaltar los roles tradicionales de cuidado. </w:t>
      </w:r>
    </w:p>
    <w:p w14:paraId="4A57A2E0" w14:textId="15FE125F" w:rsidR="00C96BE0" w:rsidRDefault="00320FA9" w:rsidP="007C0A1C">
      <w:pPr>
        <w:spacing w:before="100" w:beforeAutospacing="1" w:after="100" w:afterAutospacing="1"/>
        <w:jc w:val="both"/>
        <w:rPr>
          <w:rFonts w:ascii="Arial" w:hAnsi="Arial" w:cs="Arial"/>
          <w:sz w:val="24"/>
          <w:szCs w:val="24"/>
        </w:rPr>
      </w:pPr>
      <w:r w:rsidRPr="00320FA9">
        <w:rPr>
          <w:rFonts w:ascii="Arial" w:hAnsi="Arial" w:cs="Arial"/>
          <w:sz w:val="24"/>
          <w:szCs w:val="24"/>
        </w:rPr>
        <w:t xml:space="preserve">La mencionada Secretaría la preside la “primera dama”, es decir la cónyuge del primer mandatario, lo que ya es un contrasentido en términos de profesionalización y técnica de quienes diseñan políticas para la igualdad entre mujeres y hombres.  </w:t>
      </w:r>
    </w:p>
    <w:p w14:paraId="4F137A49" w14:textId="41393DE1" w:rsidR="004F1EA1" w:rsidRPr="00194F2E" w:rsidRDefault="004F1EA1" w:rsidP="007C0A1C">
      <w:pPr>
        <w:spacing w:before="100" w:beforeAutospacing="1" w:after="100" w:afterAutospacing="1"/>
        <w:jc w:val="both"/>
        <w:rPr>
          <w:rFonts w:ascii="Arial" w:hAnsi="Arial" w:cs="Arial"/>
          <w:sz w:val="24"/>
          <w:szCs w:val="24"/>
        </w:rPr>
      </w:pPr>
      <w:r>
        <w:rPr>
          <w:rFonts w:ascii="Arial" w:hAnsi="Arial" w:cs="Arial"/>
          <w:sz w:val="24"/>
          <w:szCs w:val="24"/>
        </w:rPr>
        <w:t>En el mencionado Informe de primer Trimestre, página 24, se puede apreciar cómo las políticas de género se han reducido a la práctica a atenciones de salud y al bono de desarrollo humano. De siete áreas quedaron en dos: “</w:t>
      </w:r>
      <w:r w:rsidRPr="004F1EA1">
        <w:rPr>
          <w:rFonts w:ascii="Arial" w:hAnsi="Arial" w:cs="Arial"/>
          <w:sz w:val="24"/>
          <w:szCs w:val="24"/>
        </w:rPr>
        <w:t xml:space="preserve">En cuanto al direccionamiento con las políticas de Igualdad, los que mayor participación presentan en el presupuesto devengado son: Género con el, 49,77% (USD 127,77 millones), especialmente dirigidos a Promoción de la autonomía y empoderamiento de la mujer en el marco de la economía social y solidaria con USD 64,65 millones; Promoción protección y garantía del derecho a la salud con </w:t>
      </w:r>
      <w:r w:rsidRPr="004F1EA1">
        <w:rPr>
          <w:rFonts w:ascii="Arial" w:hAnsi="Arial" w:cs="Arial"/>
          <w:sz w:val="24"/>
          <w:szCs w:val="24"/>
        </w:rPr>
        <w:lastRenderedPageBreak/>
        <w:t>USD 63,12 millones; seguido por la política del Adulto Mayor con el 26,34% (USD 67,61 millones) para Promover la participación de las personas adultas mayores como actores del desarrollo con USD 67,04 millones; y Discapacidades con el 15,40% (USD 39,53 millones) para Promover el reconocimiento y garantía de los derechos de las mujeres y hombres con discapacidad su debida valoración y el respeto a su dignidad con USD 39,51 millones, registrados por los Ministerios de Inclusión Económica y Social y de Salud Pública; y, Infancia, Niñez y Adolescencia con el 8,48% del total de los ejes de igualdad con USD 21,78 millones</w:t>
      </w:r>
      <w:r>
        <w:rPr>
          <w:rFonts w:ascii="Arial" w:hAnsi="Arial" w:cs="Arial"/>
          <w:sz w:val="24"/>
          <w:szCs w:val="24"/>
        </w:rPr>
        <w:t>…”</w:t>
      </w:r>
    </w:p>
    <w:p w14:paraId="2675F62B" w14:textId="3EB3A443" w:rsidR="00902377" w:rsidRPr="00320FA9" w:rsidRDefault="007C0A1C" w:rsidP="007C0A1C">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De acuerdo a la </w:t>
      </w:r>
      <w:r w:rsidR="00902377" w:rsidRPr="00320FA9">
        <w:rPr>
          <w:rFonts w:ascii="Arial" w:hAnsi="Arial" w:cs="Arial"/>
          <w:sz w:val="24"/>
          <w:szCs w:val="24"/>
          <w:lang w:val="es-ES_tradnl"/>
        </w:rPr>
        <w:t xml:space="preserve">  proforma presupuestaria</w:t>
      </w:r>
      <w:r w:rsidRPr="00320FA9">
        <w:rPr>
          <w:rFonts w:ascii="Arial" w:hAnsi="Arial" w:cs="Arial"/>
          <w:sz w:val="24"/>
          <w:szCs w:val="24"/>
          <w:lang w:val="es-ES_tradnl"/>
        </w:rPr>
        <w:t xml:space="preserve"> de 2019 que se discutió en la Asamblea Nacional</w:t>
      </w:r>
      <w:r w:rsidR="00902377" w:rsidRPr="00320FA9">
        <w:rPr>
          <w:rFonts w:ascii="Arial" w:hAnsi="Arial" w:cs="Arial"/>
          <w:sz w:val="24"/>
          <w:szCs w:val="24"/>
          <w:lang w:val="es-ES_tradnl"/>
        </w:rPr>
        <w:t>, en el rubro de “Proyecto para la Prevención de violencia de género y Fortalecimiento de los Servicios de Atención a Víctimas” se asigna tan solo la suma de $657.646,57. Al respecto en el 2018 se asignó la cantidad de $1.912.780 para este rubro, después de las disminuciones que se hicieron en e</w:t>
      </w:r>
      <w:r w:rsidR="000D1EEF">
        <w:rPr>
          <w:rFonts w:ascii="Arial" w:hAnsi="Arial" w:cs="Arial"/>
          <w:sz w:val="24"/>
          <w:szCs w:val="24"/>
          <w:lang w:val="es-ES_tradnl"/>
        </w:rPr>
        <w:t>l actual gobierno</w:t>
      </w:r>
      <w:r w:rsidR="00902377" w:rsidRPr="00320FA9">
        <w:rPr>
          <w:rFonts w:ascii="Arial" w:hAnsi="Arial" w:cs="Arial"/>
          <w:sz w:val="24"/>
          <w:szCs w:val="24"/>
          <w:lang w:val="es-ES_tradnl"/>
        </w:rPr>
        <w:t>. Según información del Ministerio de Justicia, Derechos Humanos y Cultos,</w:t>
      </w:r>
      <w:r w:rsidR="000D1EEF">
        <w:rPr>
          <w:rFonts w:ascii="Arial" w:hAnsi="Arial" w:cs="Arial"/>
          <w:sz w:val="24"/>
          <w:szCs w:val="24"/>
          <w:lang w:val="es-ES_tradnl"/>
        </w:rPr>
        <w:t xml:space="preserve"> remitida a la Comisión Especializada </w:t>
      </w:r>
      <w:r w:rsidR="000D1EEF">
        <w:rPr>
          <w:rFonts w:ascii="Arial" w:hAnsi="Arial" w:cs="Arial"/>
          <w:sz w:val="24"/>
          <w:szCs w:val="24"/>
          <w:lang w:val="es-ES_tradnl"/>
        </w:rPr>
        <w:br/>
        <w:t xml:space="preserve">Permanente de los Derechos de los Trabajadores y la </w:t>
      </w:r>
      <w:r w:rsidR="00862479">
        <w:rPr>
          <w:rFonts w:ascii="Arial" w:hAnsi="Arial" w:cs="Arial"/>
          <w:sz w:val="24"/>
          <w:szCs w:val="24"/>
          <w:lang w:val="es-ES_tradnl"/>
        </w:rPr>
        <w:t>Seguridad Social, en el 2018,</w:t>
      </w:r>
      <w:r w:rsidR="00902377" w:rsidRPr="00320FA9">
        <w:rPr>
          <w:rFonts w:ascii="Arial" w:hAnsi="Arial" w:cs="Arial"/>
          <w:sz w:val="24"/>
          <w:szCs w:val="24"/>
          <w:lang w:val="es-ES_tradnl"/>
        </w:rPr>
        <w:t xml:space="preserve"> entre los proyectos afectados por la disminución presupuestaria, que </w:t>
      </w:r>
      <w:r w:rsidR="00862479">
        <w:rPr>
          <w:rFonts w:ascii="Arial" w:hAnsi="Arial" w:cs="Arial"/>
          <w:sz w:val="24"/>
          <w:szCs w:val="24"/>
          <w:lang w:val="es-ES_tradnl"/>
        </w:rPr>
        <w:t>en el 2017</w:t>
      </w:r>
      <w:r w:rsidR="00902377" w:rsidRPr="00320FA9">
        <w:rPr>
          <w:rFonts w:ascii="Arial" w:hAnsi="Arial" w:cs="Arial"/>
          <w:sz w:val="24"/>
          <w:szCs w:val="24"/>
          <w:lang w:val="es-ES_tradnl"/>
        </w:rPr>
        <w:t xml:space="preserve"> realizó el gobierno actual, estuvo este rubro quit</w:t>
      </w:r>
      <w:r w:rsidR="00862479">
        <w:rPr>
          <w:rFonts w:ascii="Arial" w:hAnsi="Arial" w:cs="Arial"/>
          <w:sz w:val="24"/>
          <w:szCs w:val="24"/>
          <w:lang w:val="es-ES_tradnl"/>
        </w:rPr>
        <w:t>ando</w:t>
      </w:r>
      <w:r w:rsidR="00902377" w:rsidRPr="00320FA9">
        <w:rPr>
          <w:rFonts w:ascii="Arial" w:hAnsi="Arial" w:cs="Arial"/>
          <w:sz w:val="24"/>
          <w:szCs w:val="24"/>
          <w:lang w:val="es-ES_tradnl"/>
        </w:rPr>
        <w:t xml:space="preserve"> $3.380.162,19.  Es decir mientras el legislativo aprobaba la Ley indicada el ejecutivo disminuía y disminuye la inversión en la prevención y atención de víctimas de violencia.</w:t>
      </w:r>
    </w:p>
    <w:p w14:paraId="598E81C5" w14:textId="51837079" w:rsidR="00902377" w:rsidRPr="00320FA9" w:rsidRDefault="00902377" w:rsidP="0090237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En la Ley </w:t>
      </w:r>
      <w:r w:rsidR="000D1EEF" w:rsidRPr="00320FA9">
        <w:rPr>
          <w:rFonts w:ascii="Arial" w:hAnsi="Arial" w:cs="Arial"/>
          <w:sz w:val="24"/>
          <w:szCs w:val="24"/>
          <w:lang w:val="es-ES_tradnl"/>
        </w:rPr>
        <w:t>Orgánica Integral para Prevenir y Erradicar la Violencia contra las Mujeres</w:t>
      </w:r>
      <w:r w:rsidRPr="00320FA9">
        <w:rPr>
          <w:rFonts w:ascii="Arial" w:hAnsi="Arial" w:cs="Arial"/>
          <w:sz w:val="24"/>
          <w:szCs w:val="24"/>
          <w:lang w:val="es-ES_tradnl"/>
        </w:rPr>
        <w:t xml:space="preserve"> reforma el artículo 570</w:t>
      </w:r>
      <w:r w:rsidR="000D1EEF">
        <w:rPr>
          <w:rFonts w:ascii="Arial" w:hAnsi="Arial" w:cs="Arial"/>
          <w:sz w:val="24"/>
          <w:szCs w:val="24"/>
          <w:lang w:val="es-ES_tradnl"/>
        </w:rPr>
        <w:t xml:space="preserve"> del Código Orgánico Integral Penal,</w:t>
      </w:r>
      <w:r w:rsidRPr="00320FA9">
        <w:rPr>
          <w:rFonts w:ascii="Arial" w:hAnsi="Arial" w:cs="Arial"/>
          <w:sz w:val="24"/>
          <w:szCs w:val="24"/>
          <w:lang w:val="es-ES_tradnl"/>
        </w:rPr>
        <w:t xml:space="preserve"> para incluir entre otros numerales, la disposición de que: “3. La o las víctimas pueden acogerse al Sistema Nacional de Protección y Asistencia de Víctimas, Testigos y Otros Participantes en el proceso, antes, durante o después del proceso penal, sistema a cargo de la Fiscalía, siempre que las condiciones así lo requieran.”. Este Sistema que en la prof</w:t>
      </w:r>
      <w:r w:rsidR="002E1807">
        <w:rPr>
          <w:rFonts w:ascii="Arial" w:hAnsi="Arial" w:cs="Arial"/>
          <w:sz w:val="24"/>
          <w:szCs w:val="24"/>
          <w:lang w:val="es-ES_tradnl"/>
        </w:rPr>
        <w:t>orma presupuestaria se le asignó para el 2019</w:t>
      </w:r>
      <w:r w:rsidRPr="00320FA9">
        <w:rPr>
          <w:rFonts w:ascii="Arial" w:hAnsi="Arial" w:cs="Arial"/>
          <w:sz w:val="24"/>
          <w:szCs w:val="24"/>
          <w:lang w:val="es-ES_tradnl"/>
        </w:rPr>
        <w:t xml:space="preserve"> solamente $348.837 dólares para su funcionamiento, no sólo para el tema de víctimas de violencia.</w:t>
      </w:r>
    </w:p>
    <w:p w14:paraId="0045DABC" w14:textId="79B31860" w:rsidR="00902377" w:rsidRPr="00320FA9" w:rsidRDefault="00902377" w:rsidP="0090237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 xml:space="preserve">A la Defensoría del Pueblo, organismo al que además de las ya asignadas por la Constitución y la Ley, se le da otras facultades en  la Ley Orgánica Integral para Prevenir y Erradicar la Violencia contra las Mujeres, como parte del Sistema Nacional de Prevención y Erradicación de la Violencia contra las mujeres, </w:t>
      </w:r>
      <w:r w:rsidR="00BA5B01">
        <w:rPr>
          <w:rFonts w:ascii="Arial" w:hAnsi="Arial" w:cs="Arial"/>
          <w:sz w:val="24"/>
          <w:szCs w:val="24"/>
          <w:lang w:val="es-ES_tradnl"/>
        </w:rPr>
        <w:t xml:space="preserve">a </w:t>
      </w:r>
      <w:r w:rsidR="00BA5B01" w:rsidRPr="00BA5B01">
        <w:rPr>
          <w:rFonts w:ascii="Arial" w:hAnsi="Arial" w:cs="Arial"/>
          <w:sz w:val="24"/>
          <w:szCs w:val="24"/>
          <w:lang w:val="es-ES_tradnl"/>
        </w:rPr>
        <w:t>julio de 2019</w:t>
      </w:r>
      <w:r w:rsidR="00BA5B01">
        <w:rPr>
          <w:rFonts w:ascii="Arial" w:hAnsi="Arial" w:cs="Arial"/>
          <w:sz w:val="24"/>
          <w:szCs w:val="24"/>
          <w:lang w:val="es-ES_tradnl"/>
        </w:rPr>
        <w:t xml:space="preserve"> contaba</w:t>
      </w:r>
      <w:r w:rsidR="00BA5B01" w:rsidRPr="00BA5B01">
        <w:rPr>
          <w:rFonts w:ascii="Arial" w:hAnsi="Arial" w:cs="Arial"/>
          <w:sz w:val="24"/>
          <w:szCs w:val="24"/>
          <w:lang w:val="es-ES_tradnl"/>
        </w:rPr>
        <w:t xml:space="preserve"> con 405 funcionarios. Según el reporte de ese mismo mes del Ministerio de Finanzas, el gasto asignado para pagar el salario de estos empleados representa el 85,23% del presupuesto institucional, es decir $11´358.372 de los $ 13´326.265. Otros gastos en bienes y servicios de consumo representan el 13,14% del presupuesto; y apenas el 1,6 % se destina a inversión.</w:t>
      </w:r>
    </w:p>
    <w:p w14:paraId="7B27C179" w14:textId="2A81A562" w:rsidR="00902377" w:rsidRPr="00320FA9" w:rsidRDefault="00902377" w:rsidP="00902377">
      <w:pPr>
        <w:spacing w:before="100" w:beforeAutospacing="1" w:after="100" w:afterAutospacing="1"/>
        <w:jc w:val="both"/>
        <w:rPr>
          <w:rFonts w:ascii="Arial" w:hAnsi="Arial" w:cs="Arial"/>
          <w:sz w:val="24"/>
          <w:szCs w:val="24"/>
          <w:lang w:val="es-ES_tradnl"/>
        </w:rPr>
      </w:pPr>
      <w:r w:rsidRPr="00320FA9">
        <w:rPr>
          <w:rFonts w:ascii="Arial" w:hAnsi="Arial" w:cs="Arial"/>
          <w:sz w:val="24"/>
          <w:szCs w:val="24"/>
          <w:lang w:val="es-ES_tradnl"/>
        </w:rPr>
        <w:t>Por otro lado. Al Ministerio de Trabajo se le asign</w:t>
      </w:r>
      <w:r w:rsidR="000D1EEF">
        <w:rPr>
          <w:rFonts w:ascii="Arial" w:hAnsi="Arial" w:cs="Arial"/>
          <w:sz w:val="24"/>
          <w:szCs w:val="24"/>
          <w:lang w:val="es-ES_tradnl"/>
        </w:rPr>
        <w:t>ó</w:t>
      </w:r>
      <w:r w:rsidRPr="00320FA9">
        <w:rPr>
          <w:rFonts w:ascii="Arial" w:hAnsi="Arial" w:cs="Arial"/>
          <w:sz w:val="24"/>
          <w:szCs w:val="24"/>
          <w:lang w:val="es-ES_tradnl"/>
        </w:rPr>
        <w:t xml:space="preserve"> en la Proforma</w:t>
      </w:r>
      <w:r w:rsidR="000D1EEF">
        <w:rPr>
          <w:rFonts w:ascii="Arial" w:hAnsi="Arial" w:cs="Arial"/>
          <w:sz w:val="24"/>
          <w:szCs w:val="24"/>
          <w:lang w:val="es-ES_tradnl"/>
        </w:rPr>
        <w:t xml:space="preserve"> de 2019</w:t>
      </w:r>
      <w:r w:rsidRPr="00320FA9">
        <w:rPr>
          <w:rFonts w:ascii="Arial" w:hAnsi="Arial" w:cs="Arial"/>
          <w:sz w:val="24"/>
          <w:szCs w:val="24"/>
          <w:lang w:val="es-ES_tradnl"/>
        </w:rPr>
        <w:t xml:space="preserve"> $76.682.589,71, sin embargo para la erradicación del trabajo infantil se asigna $298.286,58 y para el programa mi primer empleo 6 millones. Cabe recordar que la ministra de la cartera de Inclusión Económica y Social, Berenice Cordero, </w:t>
      </w:r>
      <w:r w:rsidRPr="00320FA9">
        <w:rPr>
          <w:rFonts w:ascii="Arial" w:hAnsi="Arial" w:cs="Arial"/>
          <w:sz w:val="24"/>
          <w:szCs w:val="24"/>
          <w:lang w:val="es-ES_tradnl"/>
        </w:rPr>
        <w:lastRenderedPageBreak/>
        <w:t>afirmó en medios de comunicación  que se estima que en Ecuador "todavía hay 359.592 niños, niñas y adolescentes que trabajan y estudian"; de ese total, un 15 % se concentra en el área urbana, un 4 % en el área rural y alrededor de un 60 % trabaja en la agricultura. Debería ser para el Ministerio de Trabajo y para el gobierno la erradicación del trabajo infantil.</w:t>
      </w:r>
    </w:p>
    <w:p w14:paraId="23DA2AFB" w14:textId="64CDDDB2" w:rsidR="00625363" w:rsidRDefault="000D1EEF" w:rsidP="00902377">
      <w:pPr>
        <w:spacing w:before="100" w:beforeAutospacing="1" w:after="100" w:afterAutospacing="1"/>
        <w:jc w:val="both"/>
        <w:rPr>
          <w:rFonts w:ascii="Arial" w:hAnsi="Arial" w:cs="Arial"/>
          <w:sz w:val="24"/>
          <w:szCs w:val="24"/>
          <w:lang w:val="es-ES_tradnl"/>
        </w:rPr>
      </w:pPr>
      <w:r>
        <w:rPr>
          <w:rFonts w:ascii="Arial" w:hAnsi="Arial" w:cs="Arial"/>
          <w:sz w:val="24"/>
          <w:szCs w:val="24"/>
          <w:lang w:val="es-ES_tradnl"/>
        </w:rPr>
        <w:t>Mientras tanto las mujeres seguimos muriendo por violencia machista. De enero a agosto de 2019, han sido víctimas de femicidio 62 mujeres. En el Ecuador se comete un femicidio cada 3 días.</w:t>
      </w:r>
    </w:p>
    <w:p w14:paraId="5E5BB4CE" w14:textId="741847DB" w:rsidR="00CD1DED" w:rsidRPr="00CD1DED" w:rsidRDefault="00CD1DED" w:rsidP="00902377">
      <w:pPr>
        <w:spacing w:before="100" w:beforeAutospacing="1" w:after="100" w:afterAutospacing="1"/>
        <w:jc w:val="both"/>
        <w:rPr>
          <w:rFonts w:ascii="Arial" w:hAnsi="Arial" w:cs="Arial"/>
          <w:b/>
          <w:sz w:val="24"/>
          <w:szCs w:val="24"/>
          <w:lang w:val="es-ES_tradnl"/>
        </w:rPr>
      </w:pPr>
      <w:r w:rsidRPr="00CD1DED">
        <w:rPr>
          <w:rFonts w:ascii="Arial" w:hAnsi="Arial" w:cs="Arial"/>
          <w:b/>
          <w:sz w:val="24"/>
          <w:szCs w:val="24"/>
          <w:lang w:val="es-ES_tradnl"/>
        </w:rPr>
        <w:t>RECOMENDACIONES PARA EL ESTADO ECUATORIANO</w:t>
      </w:r>
    </w:p>
    <w:p w14:paraId="628997F7" w14:textId="18E3A354" w:rsidR="00CD1DED" w:rsidRDefault="00CD1DED" w:rsidP="00902377">
      <w:pPr>
        <w:spacing w:before="100" w:beforeAutospacing="1" w:after="100" w:afterAutospacing="1"/>
        <w:jc w:val="both"/>
        <w:rPr>
          <w:rFonts w:ascii="Arial" w:hAnsi="Arial" w:cs="Arial"/>
          <w:sz w:val="24"/>
          <w:szCs w:val="24"/>
          <w:lang w:val="es-ES_tradnl"/>
        </w:rPr>
      </w:pPr>
      <w:r>
        <w:rPr>
          <w:rFonts w:ascii="Arial" w:hAnsi="Arial" w:cs="Arial"/>
          <w:sz w:val="24"/>
          <w:szCs w:val="24"/>
          <w:lang w:val="es-ES_tradnl"/>
        </w:rPr>
        <w:t>Asignar el presupuesto necesario para garantizar el cumplimiento de la Ley Orgánica Integral para la Prevención y Erradicación de la Violencia contra las mujeres, asegurando servicios de atención y protección de calidad y gratuitos.</w:t>
      </w:r>
    </w:p>
    <w:p w14:paraId="59B892C6" w14:textId="1FD598DF" w:rsidR="00CD1DED" w:rsidRDefault="00CD1DED" w:rsidP="00902377">
      <w:pPr>
        <w:spacing w:before="100" w:beforeAutospacing="1" w:after="100" w:afterAutospacing="1"/>
        <w:jc w:val="both"/>
        <w:rPr>
          <w:rFonts w:ascii="Arial" w:hAnsi="Arial" w:cs="Arial"/>
          <w:sz w:val="24"/>
          <w:szCs w:val="24"/>
          <w:lang w:val="es-ES_tradnl"/>
        </w:rPr>
      </w:pPr>
      <w:r>
        <w:rPr>
          <w:rFonts w:ascii="Arial" w:hAnsi="Arial" w:cs="Arial"/>
          <w:sz w:val="24"/>
          <w:szCs w:val="24"/>
          <w:lang w:val="es-ES_tradnl"/>
        </w:rPr>
        <w:t>Diseñar, implementar y observar el cumplimiento de una política pública de prevención y erradicación de la violencia contra las mujeres, que involucre diferentes ámbitos, garantizando la igualdad de género y el empoderamiento de las mujeres.</w:t>
      </w:r>
    </w:p>
    <w:p w14:paraId="0526CA89" w14:textId="7119D9EC" w:rsidR="000D1EEF" w:rsidRDefault="00C53B69" w:rsidP="00902377">
      <w:pPr>
        <w:spacing w:before="100" w:beforeAutospacing="1" w:after="100" w:afterAutospacing="1"/>
        <w:jc w:val="both"/>
        <w:rPr>
          <w:rFonts w:ascii="Arial" w:hAnsi="Arial" w:cs="Arial"/>
          <w:b/>
          <w:sz w:val="24"/>
          <w:szCs w:val="24"/>
          <w:lang w:val="es-ES_tradnl"/>
        </w:rPr>
      </w:pPr>
      <w:r w:rsidRPr="00C53B69">
        <w:rPr>
          <w:rFonts w:ascii="Arial" w:hAnsi="Arial" w:cs="Arial"/>
          <w:b/>
          <w:sz w:val="24"/>
          <w:szCs w:val="24"/>
          <w:lang w:val="es-ES_tradnl"/>
        </w:rPr>
        <w:t>Foro Nacional de las Mujeres-Guayas</w:t>
      </w:r>
    </w:p>
    <w:p w14:paraId="330D11B8" w14:textId="77777777" w:rsidR="00CD1DED" w:rsidRPr="00CD1DED" w:rsidRDefault="00CD1DED" w:rsidP="00CD1DED">
      <w:pPr>
        <w:spacing w:before="100" w:beforeAutospacing="1" w:after="100" w:afterAutospacing="1"/>
        <w:jc w:val="both"/>
        <w:rPr>
          <w:rFonts w:ascii="Arial" w:hAnsi="Arial" w:cs="Arial"/>
          <w:sz w:val="24"/>
          <w:szCs w:val="24"/>
          <w:lang w:val="es-ES_tradnl"/>
        </w:rPr>
      </w:pPr>
      <w:r w:rsidRPr="00CD1DED">
        <w:rPr>
          <w:rFonts w:ascii="Arial" w:hAnsi="Arial" w:cs="Arial"/>
          <w:sz w:val="24"/>
          <w:szCs w:val="24"/>
          <w:lang w:val="es-ES_tradnl"/>
        </w:rPr>
        <w:t>Guayaquil, 31 de agosto de 2019</w:t>
      </w:r>
    </w:p>
    <w:p w14:paraId="176D9770" w14:textId="77777777" w:rsidR="00CD1DED" w:rsidRPr="00CD1DED" w:rsidRDefault="00CD1DED" w:rsidP="00CD1DED">
      <w:pPr>
        <w:spacing w:before="100" w:beforeAutospacing="1" w:after="100" w:afterAutospacing="1"/>
        <w:jc w:val="both"/>
        <w:rPr>
          <w:rFonts w:ascii="Arial" w:hAnsi="Arial" w:cs="Arial"/>
          <w:sz w:val="24"/>
          <w:szCs w:val="24"/>
          <w:lang w:val="es-ES_tradnl"/>
        </w:rPr>
      </w:pPr>
    </w:p>
    <w:p w14:paraId="62576420" w14:textId="77777777" w:rsidR="00CD1DED" w:rsidRPr="00CD1DED" w:rsidRDefault="00CD1DED" w:rsidP="00CD1DED">
      <w:pPr>
        <w:spacing w:before="100" w:beforeAutospacing="1" w:after="100" w:afterAutospacing="1"/>
        <w:jc w:val="both"/>
        <w:rPr>
          <w:rFonts w:ascii="Arial" w:hAnsi="Arial" w:cs="Arial"/>
          <w:b/>
          <w:sz w:val="24"/>
          <w:szCs w:val="24"/>
          <w:lang w:val="es-ES_tradnl"/>
        </w:rPr>
      </w:pPr>
      <w:r w:rsidRPr="00CD1DED">
        <w:rPr>
          <w:rFonts w:ascii="Arial" w:hAnsi="Arial" w:cs="Arial"/>
          <w:b/>
          <w:sz w:val="24"/>
          <w:szCs w:val="24"/>
          <w:lang w:val="es-ES_tradnl"/>
        </w:rPr>
        <w:t>Equipo de redacción:</w:t>
      </w:r>
    </w:p>
    <w:p w14:paraId="2B048625" w14:textId="6576E67E" w:rsidR="00CD1DED" w:rsidRPr="00CD1DED" w:rsidRDefault="00CD1DED" w:rsidP="00CD1DED">
      <w:pPr>
        <w:spacing w:before="100" w:beforeAutospacing="1" w:after="100" w:afterAutospacing="1"/>
        <w:jc w:val="both"/>
        <w:rPr>
          <w:rFonts w:ascii="Arial" w:hAnsi="Arial" w:cs="Arial"/>
          <w:sz w:val="24"/>
          <w:szCs w:val="24"/>
          <w:lang w:val="es-ES_tradnl"/>
        </w:rPr>
      </w:pPr>
      <w:r w:rsidRPr="00CD1DED">
        <w:rPr>
          <w:rFonts w:ascii="Arial" w:hAnsi="Arial" w:cs="Arial"/>
          <w:sz w:val="24"/>
          <w:szCs w:val="24"/>
          <w:lang w:val="es-ES_tradnl"/>
        </w:rPr>
        <w:t>Johanna Llanos</w:t>
      </w:r>
    </w:p>
    <w:p w14:paraId="67AD8DEF" w14:textId="77777777" w:rsidR="00CD1DED" w:rsidRPr="00CD1DED" w:rsidRDefault="00CD1DED" w:rsidP="00CD1DED">
      <w:pPr>
        <w:spacing w:before="100" w:beforeAutospacing="1" w:after="100" w:afterAutospacing="1"/>
        <w:jc w:val="both"/>
        <w:rPr>
          <w:rFonts w:ascii="Arial" w:hAnsi="Arial" w:cs="Arial"/>
          <w:sz w:val="24"/>
          <w:szCs w:val="24"/>
          <w:lang w:val="es-ES_tradnl"/>
        </w:rPr>
      </w:pPr>
      <w:r w:rsidRPr="00CD1DED">
        <w:rPr>
          <w:rFonts w:ascii="Arial" w:hAnsi="Arial" w:cs="Arial"/>
          <w:sz w:val="24"/>
          <w:szCs w:val="24"/>
          <w:lang w:val="es-ES_tradnl"/>
        </w:rPr>
        <w:t xml:space="preserve">Consuelo </w:t>
      </w:r>
      <w:proofErr w:type="spellStart"/>
      <w:r w:rsidRPr="00CD1DED">
        <w:rPr>
          <w:rFonts w:ascii="Arial" w:hAnsi="Arial" w:cs="Arial"/>
          <w:sz w:val="24"/>
          <w:szCs w:val="24"/>
          <w:lang w:val="es-ES_tradnl"/>
        </w:rPr>
        <w:t>Bowen</w:t>
      </w:r>
      <w:proofErr w:type="spellEnd"/>
    </w:p>
    <w:p w14:paraId="082AF281" w14:textId="61E1B5B3" w:rsidR="00CD1DED" w:rsidRDefault="00CD1DED" w:rsidP="00CD1DED">
      <w:pPr>
        <w:jc w:val="both"/>
      </w:pPr>
    </w:p>
    <w:p w14:paraId="72A5E8D2" w14:textId="77777777" w:rsidR="00CD1DED" w:rsidRDefault="00CD1DED" w:rsidP="00CD1DED">
      <w:pPr>
        <w:jc w:val="both"/>
        <w:rPr>
          <w:rFonts w:ascii="Carlito" w:eastAsia="Carlito" w:hAnsi="Carlito" w:cs="Carlito"/>
          <w:color w:val="000000"/>
          <w:sz w:val="20"/>
          <w:szCs w:val="20"/>
        </w:rPr>
      </w:pPr>
    </w:p>
    <w:p w14:paraId="6EFB2025" w14:textId="77777777" w:rsidR="00CD1DED" w:rsidRPr="00CD1DED" w:rsidRDefault="00CD1DED" w:rsidP="00902377">
      <w:pPr>
        <w:spacing w:before="100" w:beforeAutospacing="1" w:after="100" w:afterAutospacing="1"/>
        <w:jc w:val="both"/>
        <w:rPr>
          <w:rFonts w:ascii="Arial" w:hAnsi="Arial" w:cs="Arial"/>
          <w:b/>
          <w:sz w:val="24"/>
          <w:szCs w:val="24"/>
        </w:rPr>
      </w:pPr>
    </w:p>
    <w:p w14:paraId="026ED624" w14:textId="1CD9CF82" w:rsidR="00C53B69" w:rsidRDefault="00C53B69" w:rsidP="00902377">
      <w:pPr>
        <w:spacing w:before="100" w:beforeAutospacing="1" w:after="100" w:afterAutospacing="1"/>
        <w:jc w:val="both"/>
        <w:rPr>
          <w:rFonts w:ascii="Arial" w:hAnsi="Arial" w:cs="Arial"/>
          <w:sz w:val="24"/>
          <w:szCs w:val="24"/>
          <w:lang w:val="es-ES_tradnl"/>
        </w:rPr>
      </w:pPr>
    </w:p>
    <w:p w14:paraId="7E8CC699" w14:textId="77777777" w:rsidR="007B7739" w:rsidRPr="00320FA9" w:rsidRDefault="007B7739" w:rsidP="00902377">
      <w:pPr>
        <w:spacing w:before="100" w:beforeAutospacing="1" w:after="100" w:afterAutospacing="1"/>
        <w:jc w:val="both"/>
        <w:rPr>
          <w:rFonts w:ascii="Arial" w:hAnsi="Arial" w:cs="Arial"/>
          <w:sz w:val="24"/>
          <w:szCs w:val="24"/>
          <w:lang w:val="es-ES_tradnl"/>
        </w:rPr>
      </w:pPr>
    </w:p>
    <w:p w14:paraId="7218583F" w14:textId="6EC65CB2" w:rsidR="007B7739" w:rsidRPr="00320FA9" w:rsidRDefault="007B7739" w:rsidP="00902377">
      <w:pPr>
        <w:spacing w:before="100" w:beforeAutospacing="1" w:after="100" w:afterAutospacing="1"/>
        <w:jc w:val="both"/>
        <w:rPr>
          <w:rFonts w:ascii="Arial" w:hAnsi="Arial" w:cs="Arial"/>
          <w:sz w:val="24"/>
          <w:szCs w:val="24"/>
          <w:lang w:val="es-ES_tradnl"/>
        </w:rPr>
      </w:pPr>
    </w:p>
    <w:p w14:paraId="4ADF0443" w14:textId="68B351E2" w:rsidR="00B229D7" w:rsidRPr="00320FA9" w:rsidRDefault="00B229D7" w:rsidP="00902377">
      <w:pPr>
        <w:spacing w:before="100" w:beforeAutospacing="1" w:after="100" w:afterAutospacing="1"/>
        <w:jc w:val="both"/>
        <w:rPr>
          <w:rFonts w:ascii="Arial" w:hAnsi="Arial" w:cs="Arial"/>
          <w:sz w:val="24"/>
          <w:szCs w:val="24"/>
          <w:lang w:val="es-ES_tradnl"/>
        </w:rPr>
      </w:pPr>
    </w:p>
    <w:p w14:paraId="4259393F" w14:textId="73F6002C" w:rsidR="00B229D7" w:rsidRPr="00320FA9" w:rsidRDefault="00B229D7" w:rsidP="00902377">
      <w:pPr>
        <w:spacing w:before="100" w:beforeAutospacing="1" w:after="100" w:afterAutospacing="1"/>
        <w:jc w:val="both"/>
        <w:rPr>
          <w:rFonts w:ascii="Arial" w:hAnsi="Arial" w:cs="Arial"/>
          <w:sz w:val="24"/>
          <w:szCs w:val="24"/>
          <w:lang w:val="es-ES_tradnl"/>
        </w:rPr>
      </w:pPr>
    </w:p>
    <w:p w14:paraId="3F719377" w14:textId="03332343" w:rsidR="00B229D7" w:rsidRPr="00320FA9" w:rsidRDefault="00B229D7" w:rsidP="00902377">
      <w:pPr>
        <w:spacing w:before="100" w:beforeAutospacing="1" w:after="100" w:afterAutospacing="1"/>
        <w:jc w:val="both"/>
        <w:rPr>
          <w:rFonts w:ascii="Arial" w:hAnsi="Arial" w:cs="Arial"/>
          <w:sz w:val="24"/>
          <w:szCs w:val="24"/>
          <w:lang w:val="es-ES_tradnl"/>
        </w:rPr>
      </w:pPr>
    </w:p>
    <w:p w14:paraId="5BDC6B73" w14:textId="3212F7C4" w:rsidR="00B229D7" w:rsidRPr="00320FA9" w:rsidRDefault="00B229D7" w:rsidP="00902377">
      <w:pPr>
        <w:spacing w:before="100" w:beforeAutospacing="1" w:after="100" w:afterAutospacing="1"/>
        <w:jc w:val="both"/>
        <w:rPr>
          <w:rFonts w:ascii="Arial" w:hAnsi="Arial" w:cs="Arial"/>
          <w:sz w:val="24"/>
          <w:szCs w:val="24"/>
          <w:lang w:val="es-ES_tradnl"/>
        </w:rPr>
      </w:pPr>
    </w:p>
    <w:p w14:paraId="356680DD" w14:textId="77777777" w:rsidR="009A3370" w:rsidRDefault="009A3370" w:rsidP="009A3370">
      <w:pPr>
        <w:spacing w:before="120"/>
        <w:jc w:val="center"/>
        <w:rPr>
          <w:rFonts w:ascii="Arial" w:hAnsi="Arial" w:cs="Arial"/>
          <w:b/>
          <w:sz w:val="24"/>
          <w:szCs w:val="24"/>
        </w:rPr>
      </w:pPr>
      <w:r w:rsidRPr="00320FA9">
        <w:rPr>
          <w:rFonts w:ascii="Arial" w:hAnsi="Arial" w:cs="Arial"/>
          <w:b/>
          <w:sz w:val="24"/>
          <w:szCs w:val="24"/>
        </w:rPr>
        <w:t>LAS DEUDAS PENDIENTES DEL ESTADO CON LAS MUJERES ECUATORIANAS.</w:t>
      </w:r>
    </w:p>
    <w:p w14:paraId="386A702F" w14:textId="77777777" w:rsidR="009A3370" w:rsidRDefault="009A3370" w:rsidP="009A3370"/>
    <w:p w14:paraId="665E8301" w14:textId="77777777" w:rsidR="009A3370" w:rsidRPr="00DE63DE" w:rsidRDefault="009A3370" w:rsidP="009A3370">
      <w:pPr>
        <w:jc w:val="center"/>
        <w:rPr>
          <w:b/>
        </w:rPr>
      </w:pPr>
      <w:r w:rsidRPr="00DE63DE">
        <w:rPr>
          <w:b/>
        </w:rPr>
        <w:t>ABSTRACT</w:t>
      </w:r>
    </w:p>
    <w:p w14:paraId="52D4A596" w14:textId="77777777" w:rsidR="009A3370" w:rsidRDefault="009A3370" w:rsidP="009A3370"/>
    <w:p w14:paraId="42E15EBB" w14:textId="77777777" w:rsidR="009A3370" w:rsidRPr="00B242D7" w:rsidRDefault="009A3370" w:rsidP="009A3370">
      <w:pPr>
        <w:jc w:val="both"/>
        <w:rPr>
          <w:sz w:val="24"/>
          <w:szCs w:val="24"/>
        </w:rPr>
      </w:pPr>
      <w:r w:rsidRPr="00B242D7">
        <w:rPr>
          <w:sz w:val="24"/>
          <w:szCs w:val="24"/>
        </w:rPr>
        <w:t>El Estado ecuatoriano mantiene con las mujeres una creciente deuda en materia de políticas públicas para la igualdad. La inversión ha disminuido ostensiblemente en los últimos dos años, llegando a reducirse las áreas de intervención pública, excluyendo aspectos importantes como el trabajo por mayor equidad en el ámbito laboral y de participación.</w:t>
      </w:r>
    </w:p>
    <w:p w14:paraId="5AFC13B5" w14:textId="77777777" w:rsidR="009A3370" w:rsidRPr="00B242D7" w:rsidRDefault="009A3370" w:rsidP="009A3370">
      <w:pPr>
        <w:jc w:val="both"/>
        <w:rPr>
          <w:sz w:val="24"/>
          <w:szCs w:val="24"/>
        </w:rPr>
      </w:pPr>
      <w:r w:rsidRPr="00B242D7">
        <w:rPr>
          <w:sz w:val="24"/>
          <w:szCs w:val="24"/>
        </w:rPr>
        <w:t>La prevención y erradicación de la violencia contra las mujeres requiere de la articulación y financiación de acciones en distintos ámbitos, por lo que desde el 2007 el Estado ecuatoriano declaró la lucha contra este tipo de violencia, como una política de Estado, por lo cual durante diez años y sostenidamente se realizaron inversiones en programas de protección y atención a víctimas, acompañadas de otros mecanismos que ayudaran al mayor empoderamiento de las mujeres, como forma de prevenir la violencia.</w:t>
      </w:r>
    </w:p>
    <w:p w14:paraId="138CF68D" w14:textId="77777777" w:rsidR="009A3370" w:rsidRDefault="009A3370" w:rsidP="009A3370">
      <w:pPr>
        <w:jc w:val="both"/>
        <w:rPr>
          <w:sz w:val="24"/>
          <w:szCs w:val="24"/>
        </w:rPr>
      </w:pPr>
      <w:r w:rsidRPr="00B242D7">
        <w:rPr>
          <w:sz w:val="24"/>
          <w:szCs w:val="24"/>
        </w:rPr>
        <w:t>Sin embargo desde 2017 hasta la presente fecha esta inversión se fue debilitando hasta llegar a representar una fracción de las inversiones anteriores, y lo que es más grave, a reportar en el presupuesto estatal acciones de corte asistencialista dirigida a otros sectores como discapacitados e infancia, como si fueran dirigidas a implementar políticas de igualda</w:t>
      </w:r>
      <w:r>
        <w:rPr>
          <w:sz w:val="24"/>
          <w:szCs w:val="24"/>
        </w:rPr>
        <w:t>d de género, opacando más las cuentas presentadas por el Estado.</w:t>
      </w:r>
    </w:p>
    <w:p w14:paraId="21DB3300" w14:textId="77777777" w:rsidR="009A3370" w:rsidRDefault="009A3370" w:rsidP="009A3370">
      <w:pPr>
        <w:jc w:val="both"/>
        <w:rPr>
          <w:sz w:val="24"/>
          <w:szCs w:val="24"/>
        </w:rPr>
      </w:pPr>
      <w:r>
        <w:rPr>
          <w:sz w:val="24"/>
          <w:szCs w:val="24"/>
        </w:rPr>
        <w:t>La disminución de recursos estatales también afectó a los destinados a la prevención y erradicación de la violencia contra las mujeres, incluso no existen fondos destinados al cumplimiento de la Ley Orgánica Integral para la Prevención y Erradicación de la Violencia contra las Mujeres.</w:t>
      </w:r>
    </w:p>
    <w:p w14:paraId="71404E2E" w14:textId="77777777" w:rsidR="009A3370" w:rsidRPr="00B242D7" w:rsidRDefault="009A3370" w:rsidP="009A3370">
      <w:pPr>
        <w:jc w:val="both"/>
        <w:rPr>
          <w:sz w:val="24"/>
          <w:szCs w:val="24"/>
        </w:rPr>
      </w:pPr>
    </w:p>
    <w:p w14:paraId="4B0429FB" w14:textId="77777777" w:rsidR="009A3370" w:rsidRPr="00DE63DE" w:rsidRDefault="009A3370" w:rsidP="009A3370">
      <w:pPr>
        <w:rPr>
          <w:b/>
        </w:rPr>
      </w:pPr>
      <w:r w:rsidRPr="00DE63DE">
        <w:rPr>
          <w:b/>
        </w:rPr>
        <w:t>FORO NACIONAL DE LAS MUJERES-GUAYAS</w:t>
      </w:r>
    </w:p>
    <w:p w14:paraId="1CB7F4A5" w14:textId="58311AA2" w:rsidR="00B229D7" w:rsidRPr="00320FA9" w:rsidRDefault="00B229D7" w:rsidP="00902377">
      <w:pPr>
        <w:spacing w:before="100" w:beforeAutospacing="1" w:after="100" w:afterAutospacing="1"/>
        <w:jc w:val="both"/>
        <w:rPr>
          <w:rFonts w:ascii="Arial" w:hAnsi="Arial" w:cs="Arial"/>
          <w:sz w:val="24"/>
          <w:szCs w:val="24"/>
          <w:lang w:val="es-ES_tradnl"/>
        </w:rPr>
      </w:pPr>
      <w:bookmarkStart w:id="0" w:name="_GoBack"/>
      <w:bookmarkEnd w:id="0"/>
    </w:p>
    <w:p w14:paraId="6ED797A2" w14:textId="5FE1196F" w:rsidR="00B229D7" w:rsidRPr="00320FA9" w:rsidRDefault="00B229D7" w:rsidP="00902377">
      <w:pPr>
        <w:spacing w:before="100" w:beforeAutospacing="1" w:after="100" w:afterAutospacing="1"/>
        <w:jc w:val="both"/>
        <w:rPr>
          <w:rFonts w:ascii="Arial" w:hAnsi="Arial" w:cs="Arial"/>
          <w:sz w:val="24"/>
          <w:szCs w:val="24"/>
          <w:lang w:val="es-ES_tradnl"/>
        </w:rPr>
      </w:pPr>
    </w:p>
    <w:p w14:paraId="5999B3A1" w14:textId="788D0E70" w:rsidR="00B229D7" w:rsidRPr="00320FA9" w:rsidRDefault="00B229D7" w:rsidP="00902377">
      <w:pPr>
        <w:spacing w:before="100" w:beforeAutospacing="1" w:after="100" w:afterAutospacing="1"/>
        <w:jc w:val="both"/>
        <w:rPr>
          <w:rFonts w:ascii="Arial" w:hAnsi="Arial" w:cs="Arial"/>
          <w:sz w:val="24"/>
          <w:szCs w:val="24"/>
          <w:lang w:val="es-ES_tradnl"/>
        </w:rPr>
      </w:pPr>
    </w:p>
    <w:p w14:paraId="566FCE8E" w14:textId="1A53FEC5" w:rsidR="00B229D7" w:rsidRPr="00320FA9" w:rsidRDefault="00B229D7" w:rsidP="00902377">
      <w:pPr>
        <w:spacing w:before="100" w:beforeAutospacing="1" w:after="100" w:afterAutospacing="1"/>
        <w:jc w:val="both"/>
        <w:rPr>
          <w:rFonts w:ascii="Arial" w:hAnsi="Arial" w:cs="Arial"/>
          <w:sz w:val="24"/>
          <w:szCs w:val="24"/>
          <w:lang w:val="es-ES_tradnl"/>
        </w:rPr>
      </w:pPr>
    </w:p>
    <w:p w14:paraId="23619599" w14:textId="71B4D3BD" w:rsidR="00B229D7" w:rsidRPr="00320FA9" w:rsidRDefault="00B229D7" w:rsidP="00902377">
      <w:pPr>
        <w:spacing w:before="100" w:beforeAutospacing="1" w:after="100" w:afterAutospacing="1"/>
        <w:jc w:val="both"/>
        <w:rPr>
          <w:rFonts w:ascii="Arial" w:hAnsi="Arial" w:cs="Arial"/>
          <w:sz w:val="24"/>
          <w:szCs w:val="24"/>
          <w:lang w:val="es-ES_tradnl"/>
        </w:rPr>
      </w:pPr>
    </w:p>
    <w:p w14:paraId="412BEC9A" w14:textId="4D209BFF" w:rsidR="00B229D7" w:rsidRPr="00320FA9" w:rsidRDefault="00B229D7" w:rsidP="00902377">
      <w:pPr>
        <w:spacing w:before="100" w:beforeAutospacing="1" w:after="100" w:afterAutospacing="1"/>
        <w:jc w:val="both"/>
        <w:rPr>
          <w:rFonts w:ascii="Arial" w:hAnsi="Arial" w:cs="Arial"/>
          <w:sz w:val="24"/>
          <w:szCs w:val="24"/>
          <w:lang w:val="es-ES_tradnl"/>
        </w:rPr>
      </w:pPr>
    </w:p>
    <w:sectPr w:rsidR="00B229D7" w:rsidRPr="00320FA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C3EC1" w14:textId="77777777" w:rsidR="00EF22C1" w:rsidRDefault="00EF22C1" w:rsidP="0083730E">
      <w:pPr>
        <w:spacing w:after="0" w:line="240" w:lineRule="auto"/>
      </w:pPr>
      <w:r>
        <w:separator/>
      </w:r>
    </w:p>
  </w:endnote>
  <w:endnote w:type="continuationSeparator" w:id="0">
    <w:p w14:paraId="31B224D2" w14:textId="77777777" w:rsidR="00EF22C1" w:rsidRDefault="00EF22C1" w:rsidP="0083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herit">
    <w:altName w:val="Times New Roman"/>
    <w:charset w:val="00"/>
    <w:family w:val="auto"/>
    <w:pitch w:val="default"/>
  </w:font>
  <w:font w:name="Carlito">
    <w:altName w:val="Calibri"/>
    <w:charset w:val="01"/>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83014" w14:textId="77777777" w:rsidR="00EF22C1" w:rsidRDefault="00EF22C1" w:rsidP="0083730E">
      <w:pPr>
        <w:spacing w:after="0" w:line="240" w:lineRule="auto"/>
      </w:pPr>
      <w:r>
        <w:separator/>
      </w:r>
    </w:p>
  </w:footnote>
  <w:footnote w:type="continuationSeparator" w:id="0">
    <w:p w14:paraId="059D2563" w14:textId="77777777" w:rsidR="00EF22C1" w:rsidRDefault="00EF22C1" w:rsidP="0083730E">
      <w:pPr>
        <w:spacing w:after="0" w:line="240" w:lineRule="auto"/>
      </w:pPr>
      <w:r>
        <w:continuationSeparator/>
      </w:r>
    </w:p>
  </w:footnote>
  <w:footnote w:id="1">
    <w:p w14:paraId="0E4F5568" w14:textId="77777777" w:rsidR="0083730E" w:rsidRPr="00D2281A" w:rsidRDefault="0083730E" w:rsidP="0083730E">
      <w:pPr>
        <w:pStyle w:val="Textonotapie"/>
        <w:rPr>
          <w:sz w:val="20"/>
        </w:rPr>
      </w:pPr>
      <w:r>
        <w:tab/>
      </w:r>
      <w:r w:rsidRPr="00D2281A">
        <w:rPr>
          <w:rStyle w:val="Refdenotaalpie"/>
          <w:sz w:val="20"/>
        </w:rPr>
        <w:t>*</w:t>
      </w:r>
      <w:r w:rsidRPr="00D2281A">
        <w:rPr>
          <w:rStyle w:val="Refdenotaalpie"/>
        </w:rPr>
        <w:tab/>
      </w:r>
      <w:r w:rsidRPr="00080CEA">
        <w:rPr>
          <w:lang w:val="es-ES_tradnl"/>
        </w:rPr>
        <w:t xml:space="preserve">Aprobada por el grupo de trabajo anterior al período de sesiones en </w:t>
      </w:r>
      <w:r w:rsidRPr="002D25F7">
        <w:rPr>
          <w:lang w:val="es-ES_tradnl"/>
        </w:rPr>
        <w:t>su</w:t>
      </w:r>
      <w:r w:rsidRPr="00F81069">
        <w:rPr>
          <w:rFonts w:ascii="inherit" w:hAnsi="inherit" w:hint="eastAsia"/>
          <w:bCs/>
          <w:sz w:val="24"/>
          <w:szCs w:val="24"/>
        </w:rPr>
        <w:t xml:space="preserve"> </w:t>
      </w:r>
      <w:r w:rsidRPr="00F81069">
        <w:rPr>
          <w:bCs/>
        </w:rPr>
        <w:t>64</w:t>
      </w:r>
      <w:r>
        <w:rPr>
          <w:bCs/>
        </w:rPr>
        <w:t>º</w:t>
      </w:r>
      <w:r w:rsidRPr="00080CEA">
        <w:rPr>
          <w:lang w:val="es-ES_tradnl"/>
        </w:rPr>
        <w:t xml:space="preserve"> período de sesiones</w:t>
      </w:r>
      <w:r>
        <w:rPr>
          <w:lang w:val="es-ES_tradnl"/>
        </w:rPr>
        <w:t xml:space="preserve"> </w:t>
      </w:r>
      <w:r w:rsidRPr="00080CEA">
        <w:rPr>
          <w:lang w:val="es-ES_tradnl"/>
        </w:rPr>
        <w:t>(</w:t>
      </w:r>
      <w:r>
        <w:rPr>
          <w:lang w:val="es-ES_tradnl"/>
        </w:rPr>
        <w:t>11 </w:t>
      </w:r>
      <w:r w:rsidRPr="00080CEA">
        <w:rPr>
          <w:lang w:val="es-ES_tradnl"/>
        </w:rPr>
        <w:t>a</w:t>
      </w:r>
      <w:r>
        <w:rPr>
          <w:lang w:val="es-ES_tradnl"/>
        </w:rPr>
        <w:t> </w:t>
      </w:r>
      <w:r w:rsidRPr="00080CEA">
        <w:rPr>
          <w:lang w:val="es-ES_tradnl"/>
        </w:rPr>
        <w:t>1</w:t>
      </w:r>
      <w:r>
        <w:rPr>
          <w:lang w:val="es-ES_tradnl"/>
        </w:rPr>
        <w:t>5</w:t>
      </w:r>
      <w:r w:rsidRPr="00080CEA">
        <w:rPr>
          <w:lang w:val="es-ES_tradnl"/>
        </w:rPr>
        <w:t xml:space="preserve"> de </w:t>
      </w:r>
      <w:r>
        <w:rPr>
          <w:lang w:val="es-ES_tradnl"/>
        </w:rPr>
        <w:t>marzo</w:t>
      </w:r>
      <w:r w:rsidRPr="00080CEA">
        <w:rPr>
          <w:lang w:val="es-ES_tradnl"/>
        </w:rPr>
        <w:t xml:space="preserve"> de 201</w:t>
      </w:r>
      <w:r>
        <w:rPr>
          <w:lang w:val="es-ES_tradnl"/>
        </w:rPr>
        <w:t>9</w:t>
      </w:r>
      <w:r w:rsidRPr="00080CEA">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1476A" w14:textId="78462F2A" w:rsidR="002D673C" w:rsidRDefault="002D673C">
    <w:pPr>
      <w:pStyle w:val="Encabezado"/>
    </w:pPr>
    <w:r>
      <w:rPr>
        <w:noProof/>
        <w:lang w:eastAsia="es-EC"/>
      </w:rPr>
      <w:drawing>
        <wp:anchor distT="0" distB="0" distL="114300" distR="114300" simplePos="0" relativeHeight="251659264" behindDoc="0" locked="0" layoutInCell="1" allowOverlap="1" wp14:anchorId="378C56AB" wp14:editId="44BDFF6C">
          <wp:simplePos x="0" y="0"/>
          <wp:positionH relativeFrom="margin">
            <wp:posOffset>1910715</wp:posOffset>
          </wp:positionH>
          <wp:positionV relativeFrom="paragraph">
            <wp:posOffset>-287655</wp:posOffset>
          </wp:positionV>
          <wp:extent cx="1276350" cy="744538"/>
          <wp:effectExtent l="0" t="0" r="0" b="0"/>
          <wp:wrapNone/>
          <wp:docPr id="2" name="Imagen 2"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rotWithShape="1">
                  <a:blip r:embed="rId1">
                    <a:extLst>
                      <a:ext uri="{28A0092B-C50C-407E-A947-70E740481C1C}">
                        <a14:useLocalDpi xmlns:a14="http://schemas.microsoft.com/office/drawing/2010/main" val="0"/>
                      </a:ext>
                    </a:extLst>
                  </a:blip>
                  <a:srcRect l="24444" t="22381" r="22222" b="24286"/>
                  <a:stretch/>
                </pic:blipFill>
                <pic:spPr bwMode="auto">
                  <a:xfrm>
                    <a:off x="0" y="0"/>
                    <a:ext cx="1284488" cy="749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67DCF"/>
    <w:multiLevelType w:val="hybridMultilevel"/>
    <w:tmpl w:val="5B066F66"/>
    <w:lvl w:ilvl="0" w:tplc="D9541EB4">
      <w:start w:val="1"/>
      <w:numFmt w:val="low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1E4A40A6"/>
    <w:multiLevelType w:val="hybridMultilevel"/>
    <w:tmpl w:val="D11E0DC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45E353F2"/>
    <w:multiLevelType w:val="hybridMultilevel"/>
    <w:tmpl w:val="A4561488"/>
    <w:lvl w:ilvl="0" w:tplc="95369FCA">
      <w:start w:val="2012"/>
      <w:numFmt w:val="decimal"/>
      <w:lvlText w:val="%1"/>
      <w:lvlJc w:val="left"/>
      <w:pPr>
        <w:ind w:left="780" w:hanging="4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15:restartNumberingAfterBreak="0">
    <w:nsid w:val="6A911C62"/>
    <w:multiLevelType w:val="hybridMultilevel"/>
    <w:tmpl w:val="7D2A2B54"/>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FD2"/>
    <w:rsid w:val="00050701"/>
    <w:rsid w:val="000610E6"/>
    <w:rsid w:val="000C03B7"/>
    <w:rsid w:val="000D1EEF"/>
    <w:rsid w:val="000E069D"/>
    <w:rsid w:val="000F29FD"/>
    <w:rsid w:val="00194F2E"/>
    <w:rsid w:val="001D32C3"/>
    <w:rsid w:val="001D7A0F"/>
    <w:rsid w:val="001F7FD2"/>
    <w:rsid w:val="002D673C"/>
    <w:rsid w:val="002E1807"/>
    <w:rsid w:val="002F460F"/>
    <w:rsid w:val="00320FA9"/>
    <w:rsid w:val="00354016"/>
    <w:rsid w:val="00371A04"/>
    <w:rsid w:val="00377E75"/>
    <w:rsid w:val="0046137F"/>
    <w:rsid w:val="004F1EA1"/>
    <w:rsid w:val="005028C3"/>
    <w:rsid w:val="005A1EAE"/>
    <w:rsid w:val="005B44E6"/>
    <w:rsid w:val="005F2A5F"/>
    <w:rsid w:val="006238F6"/>
    <w:rsid w:val="00625363"/>
    <w:rsid w:val="0069648E"/>
    <w:rsid w:val="006F01BE"/>
    <w:rsid w:val="00725E33"/>
    <w:rsid w:val="007B7739"/>
    <w:rsid w:val="007C0A1C"/>
    <w:rsid w:val="007D2FEF"/>
    <w:rsid w:val="0083730E"/>
    <w:rsid w:val="00862479"/>
    <w:rsid w:val="00902377"/>
    <w:rsid w:val="0093781C"/>
    <w:rsid w:val="009A3370"/>
    <w:rsid w:val="009F2292"/>
    <w:rsid w:val="009F576F"/>
    <w:rsid w:val="00A40940"/>
    <w:rsid w:val="00A64873"/>
    <w:rsid w:val="00A7565B"/>
    <w:rsid w:val="00A76BB8"/>
    <w:rsid w:val="00AE78CC"/>
    <w:rsid w:val="00B229D7"/>
    <w:rsid w:val="00B3105C"/>
    <w:rsid w:val="00B70C32"/>
    <w:rsid w:val="00B87598"/>
    <w:rsid w:val="00BA5B01"/>
    <w:rsid w:val="00BC37C4"/>
    <w:rsid w:val="00C53B69"/>
    <w:rsid w:val="00C7026B"/>
    <w:rsid w:val="00C96BE0"/>
    <w:rsid w:val="00CD1DED"/>
    <w:rsid w:val="00D046B2"/>
    <w:rsid w:val="00D84440"/>
    <w:rsid w:val="00EB261C"/>
    <w:rsid w:val="00EE5A27"/>
    <w:rsid w:val="00EF22C1"/>
    <w:rsid w:val="00F412F9"/>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D109B"/>
  <w15:chartTrackingRefBased/>
  <w15:docId w15:val="{0057BB72-418B-450D-84C7-CC14341EA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46137F"/>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46137F"/>
    <w:rPr>
      <w:rFonts w:ascii="Times New Roman" w:eastAsia="Times New Roman" w:hAnsi="Times New Roman" w:cs="Times New Roman"/>
      <w:sz w:val="20"/>
      <w:szCs w:val="20"/>
      <w:lang w:val="es-ES" w:eastAsia="es-ES"/>
    </w:rPr>
  </w:style>
  <w:style w:type="character" w:styleId="Refdenotaalpie">
    <w:name w:val="footnote reference"/>
    <w:aliases w:val="4_G,callout,Footnote Refernece,Footnote Reference Number,Fußnotenzeichen_Raxen,BVI fnr,Fago Fußnotenzeichen,ftref,16 Point,Superscript 6 Point,Footnote,Footnote symbol,Texto de nota al pie,4_G Char,4_G Char Char,4_G Char Char Char"/>
    <w:basedOn w:val="Fuentedeprrafopredeter"/>
    <w:qFormat/>
    <w:rsid w:val="0083730E"/>
    <w:rPr>
      <w:rFonts w:ascii="Times New Roman" w:hAnsi="Times New Roman"/>
      <w:sz w:val="18"/>
      <w:vertAlign w:val="superscript"/>
    </w:rPr>
  </w:style>
  <w:style w:type="paragraph" w:customStyle="1" w:styleId="HChG">
    <w:name w:val="_ H _Ch_G"/>
    <w:basedOn w:val="Normal"/>
    <w:next w:val="Normal"/>
    <w:link w:val="HChGChar"/>
    <w:qFormat/>
    <w:rsid w:val="0083730E"/>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eastAsia="es-ES"/>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f"/>
    <w:basedOn w:val="Normal"/>
    <w:link w:val="TextonotapieCar"/>
    <w:qFormat/>
    <w:rsid w:val="0083730E"/>
    <w:pPr>
      <w:tabs>
        <w:tab w:val="right" w:pos="1021"/>
      </w:tabs>
      <w:spacing w:after="0" w:line="220" w:lineRule="exact"/>
      <w:ind w:left="1134" w:right="1134" w:hanging="1134"/>
    </w:pPr>
    <w:rPr>
      <w:rFonts w:ascii="Times New Roman" w:eastAsia="Times New Roman" w:hAnsi="Times New Roman" w:cs="Times New Roman"/>
      <w:sz w:val="18"/>
      <w:szCs w:val="20"/>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f Car"/>
    <w:basedOn w:val="Fuentedeprrafopredeter"/>
    <w:link w:val="Textonotapie"/>
    <w:rsid w:val="0083730E"/>
    <w:rPr>
      <w:rFonts w:ascii="Times New Roman" w:eastAsia="Times New Roman" w:hAnsi="Times New Roman" w:cs="Times New Roman"/>
      <w:sz w:val="18"/>
      <w:szCs w:val="20"/>
      <w:lang w:val="es-ES" w:eastAsia="es-ES"/>
    </w:rPr>
  </w:style>
  <w:style w:type="character" w:customStyle="1" w:styleId="HChGChar">
    <w:name w:val="_ H _Ch_G Char"/>
    <w:link w:val="HChG"/>
    <w:rsid w:val="0083730E"/>
    <w:rPr>
      <w:rFonts w:ascii="Times New Roman" w:eastAsia="Times New Roman" w:hAnsi="Times New Roman" w:cs="Times New Roman"/>
      <w:b/>
      <w:sz w:val="28"/>
      <w:szCs w:val="20"/>
      <w:lang w:val="es-ES" w:eastAsia="es-ES"/>
    </w:rPr>
  </w:style>
  <w:style w:type="paragraph" w:styleId="Prrafodelista">
    <w:name w:val="List Paragraph"/>
    <w:basedOn w:val="Normal"/>
    <w:link w:val="PrrafodelistaCar"/>
    <w:uiPriority w:val="34"/>
    <w:qFormat/>
    <w:rsid w:val="00B87598"/>
    <w:pPr>
      <w:ind w:left="720"/>
      <w:contextualSpacing/>
    </w:pPr>
  </w:style>
  <w:style w:type="paragraph" w:customStyle="1" w:styleId="Standard">
    <w:name w:val="Standard"/>
    <w:rsid w:val="00902377"/>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styleId="Tablaconcuadrcula">
    <w:name w:val="Table Grid"/>
    <w:basedOn w:val="Tablanormal"/>
    <w:uiPriority w:val="39"/>
    <w:rsid w:val="000C0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25E33"/>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PrrafodelistaCar">
    <w:name w:val="Párrafo de lista Car"/>
    <w:link w:val="Prrafodelista"/>
    <w:uiPriority w:val="34"/>
    <w:locked/>
    <w:rsid w:val="00725E33"/>
  </w:style>
  <w:style w:type="paragraph" w:customStyle="1" w:styleId="CuerpoA">
    <w:name w:val="Cuerpo A"/>
    <w:rsid w:val="00725E3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s-ES_tradnl" w:eastAsia="es-EC"/>
    </w:rPr>
  </w:style>
  <w:style w:type="character" w:customStyle="1" w:styleId="NingunoAA">
    <w:name w:val="Ninguno A A"/>
    <w:basedOn w:val="Fuentedeprrafopredeter"/>
    <w:rsid w:val="00725E33"/>
    <w:rPr>
      <w:lang w:val="es-ES_tradnl"/>
    </w:rPr>
  </w:style>
  <w:style w:type="paragraph" w:customStyle="1" w:styleId="Default">
    <w:name w:val="Default"/>
    <w:rsid w:val="00371A04"/>
    <w:pPr>
      <w:autoSpaceDE w:val="0"/>
      <w:autoSpaceDN w:val="0"/>
      <w:adjustRightInd w:val="0"/>
      <w:spacing w:after="0" w:line="240" w:lineRule="auto"/>
    </w:pPr>
    <w:rPr>
      <w:rFonts w:ascii="Calibri" w:hAnsi="Calibri" w:cs="Calibri"/>
      <w:color w:val="000000"/>
      <w:sz w:val="24"/>
      <w:szCs w:val="24"/>
    </w:rPr>
  </w:style>
  <w:style w:type="paragraph" w:styleId="Encabezado">
    <w:name w:val="header"/>
    <w:basedOn w:val="Normal"/>
    <w:link w:val="EncabezadoCar"/>
    <w:uiPriority w:val="99"/>
    <w:unhideWhenUsed/>
    <w:rsid w:val="002D67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673C"/>
  </w:style>
  <w:style w:type="paragraph" w:styleId="Piedepgina">
    <w:name w:val="footer"/>
    <w:basedOn w:val="Normal"/>
    <w:link w:val="PiedepginaCar"/>
    <w:uiPriority w:val="99"/>
    <w:unhideWhenUsed/>
    <w:rsid w:val="002D67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6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44EFD7-7BC2-4A28-8695-AB2EB3712A31}"/>
</file>

<file path=customXml/itemProps2.xml><?xml version="1.0" encoding="utf-8"?>
<ds:datastoreItem xmlns:ds="http://schemas.openxmlformats.org/officeDocument/2006/customXml" ds:itemID="{00E499AB-37A3-42FA-9949-4414E508ECFE}"/>
</file>

<file path=customXml/itemProps3.xml><?xml version="1.0" encoding="utf-8"?>
<ds:datastoreItem xmlns:ds="http://schemas.openxmlformats.org/officeDocument/2006/customXml" ds:itemID="{B71BAD82-CEBA-47B6-9B35-9A3B3E589A90}"/>
</file>

<file path=docProps/app.xml><?xml version="1.0" encoding="utf-8"?>
<Properties xmlns="http://schemas.openxmlformats.org/officeDocument/2006/extended-properties" xmlns:vt="http://schemas.openxmlformats.org/officeDocument/2006/docPropsVTypes">
  <Template>Normal</Template>
  <TotalTime>1</TotalTime>
  <Pages>11</Pages>
  <Words>3668</Words>
  <Characters>20174</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COLOSO</cp:lastModifiedBy>
  <cp:revision>2</cp:revision>
  <cp:lastPrinted>2019-09-05T11:49:00Z</cp:lastPrinted>
  <dcterms:created xsi:type="dcterms:W3CDTF">2019-09-05T17:35:00Z</dcterms:created>
  <dcterms:modified xsi:type="dcterms:W3CDTF">2019-09-05T17:35:00Z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