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tf" ContentType="application/x-font-ttf"/>
  <Default Extension="jpg" ContentType="image/jpeg"/>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custom-properties" Target="docProps/custom.xml"/><Relationship Id="rId2" Type="http://schemas.openxmlformats.org/officeDocument/2006/relationships/officeDocument" Target="word/document.xml"/><Relationship Id="rId1" Type="http://schemas.openxmlformats.org/package/2006/relationships/metadata/core-properties" Target="docProps/core.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1"/>
        <w:keepLines w:val="1"/>
        <w:spacing w:after="60" w:lineRule="auto"/>
        <w:rPr>
          <w:rFonts w:ascii="Barlow SemiBold" w:cs="Barlow SemiBold" w:eastAsia="Barlow SemiBold" w:hAnsi="Barlow SemiBold"/>
          <w:sz w:val="32"/>
          <w:szCs w:val="32"/>
        </w:rPr>
      </w:pPr>
      <w:bookmarkStart w:colFirst="0" w:colLast="0" w:name="_heading=h.gjdgxs" w:id="0"/>
      <w:bookmarkEnd w:id="0"/>
      <w:r w:rsidDel="00000000" w:rsidR="00000000" w:rsidRPr="00000000">
        <w:rPr>
          <w:rFonts w:ascii="Barlow SemiBold" w:cs="Barlow SemiBold" w:eastAsia="Barlow SemiBold" w:hAnsi="Barlow SemiBold"/>
          <w:sz w:val="32"/>
          <w:szCs w:val="32"/>
          <w:rtl w:val="0"/>
        </w:rPr>
        <w:t xml:space="preserve">Informe conjunto de sociedad civil para la Comisión contra la eliminación de todas las formas de discriminación contra la mujer –CEDAW– sobre la situación de violencia y acceso a la justicia para las mujeres lesbianas, bisexuales y trans –LBT– en Guatemala </w:t>
      </w:r>
      <w:r w:rsidDel="00000000" w:rsidR="00000000" w:rsidRPr="00000000">
        <w:rPr>
          <w:rtl w:val="0"/>
        </w:rPr>
      </w:r>
    </w:p>
    <w:p w:rsidR="00000000" w:rsidDel="00000000" w:rsidP="00000000" w:rsidRDefault="00000000" w:rsidRPr="00000000" w14:paraId="00000002">
      <w:pPr>
        <w:rPr/>
      </w:pPr>
      <w:bookmarkStart w:colFirst="0" w:colLast="0" w:name="_heading=h.30j0zll" w:id="1"/>
      <w:bookmarkEnd w:id="1"/>
      <w:r w:rsidDel="00000000" w:rsidR="00000000" w:rsidRPr="00000000">
        <w:rPr>
          <w:rtl w:val="0"/>
        </w:rPr>
        <w:t xml:space="preserve">El Colectivo de hombres trans Trans-formación de Guatemala es una organización de sociedad civil parte de la Red de Colectivos Americanos de Hombres Trans+ que busca promover los derechos humanos de la población LGBT, particularmente de los hombres trans y personas de género y orientación sexual diversas asignadas femenino al nacer. Su trabajo se enfoca en la incidencia política y promoción de servicios de salud integral y diferenciada para la población previamente especificada. Visibles es una ONG que se enfoca en promover la diversidad como un valor dentro de la sociedad guatemalteca mediante la comunicación, incidencia, investigación y formación en materia de orientación sexual, identidad y expresión de género y características sexuales. </w:t>
      </w:r>
    </w:p>
    <w:p w:rsidR="00000000" w:rsidDel="00000000" w:rsidP="00000000" w:rsidRDefault="00000000" w:rsidRPr="00000000" w14:paraId="00000003">
      <w:pPr>
        <w:rPr/>
      </w:pPr>
      <w:bookmarkStart w:colFirst="0" w:colLast="0" w:name="_heading=h.1fob9te" w:id="2"/>
      <w:bookmarkEnd w:id="2"/>
      <w:r w:rsidDel="00000000" w:rsidR="00000000" w:rsidRPr="00000000">
        <w:rPr>
          <w:rtl w:val="0"/>
        </w:rPr>
        <w:t xml:space="preserve">La presente coalición fue creada el año 2020 para reportar al informe de medio término del tercer ciclo del Examen Periódico Universal de Guatemala y desde entonces ha realizado diversas contribuciones al Sistema Internacional de Derechos Humanos. Su enfoque es el reporte sobre asuntos pertinentes a los derechos humanos referentes a la orientación sexual, identidad y expresión de género y características sexuales de las personas. </w:t>
      </w:r>
    </w:p>
    <w:p w:rsidR="00000000" w:rsidDel="00000000" w:rsidP="00000000" w:rsidRDefault="00000000" w:rsidRPr="00000000" w14:paraId="00000004">
      <w:pPr>
        <w:rPr/>
      </w:pPr>
      <w:r w:rsidDel="00000000" w:rsidR="00000000" w:rsidRPr="00000000">
        <w:rPr>
          <w:rtl w:val="0"/>
        </w:rPr>
        <w:t xml:space="preserve">ILGA World -la Asociación Internacional de Lesbianas, Gays, Bisexuales, Trans e Intersexuales- es una federación mundial de más de 1.700 organizaciones de más de 160 países y territorios que hacen campaña en favor de los derechos humanos de lesbianas, gays, bisexuales, trans e intersexuales. ILGA trabaja para conseguir y mantener el reconocimiento y la protección de los derechos humanos de las personas con diversas SOGIESC por parte de las Naciones Unidas y otras instituciones mundiales</w:t>
      </w:r>
    </w:p>
    <w:p w:rsidR="00000000" w:rsidDel="00000000" w:rsidP="00000000" w:rsidRDefault="00000000" w:rsidRPr="00000000" w14:paraId="00000005">
      <w:pPr>
        <w:pStyle w:val="Heading1"/>
        <w:rPr>
          <w:rFonts w:ascii="Barlow SemiBold" w:cs="Barlow SemiBold" w:eastAsia="Barlow SemiBold" w:hAnsi="Barlow SemiBold"/>
        </w:rPr>
      </w:pPr>
      <w:bookmarkStart w:colFirst="0" w:colLast="0" w:name="_heading=h.t5r3nfvkt16u" w:id="3"/>
      <w:bookmarkEnd w:id="3"/>
      <w:r w:rsidDel="00000000" w:rsidR="00000000" w:rsidRPr="00000000">
        <w:rPr>
          <w:rFonts w:ascii="Barlow SemiBold" w:cs="Barlow SemiBold" w:eastAsia="Barlow SemiBold" w:hAnsi="Barlow SemiBold"/>
          <w:rtl w:val="0"/>
        </w:rPr>
        <w:t xml:space="preserve">Resumen ejecutivo</w:t>
      </w:r>
    </w:p>
    <w:p w:rsidR="00000000" w:rsidDel="00000000" w:rsidP="00000000" w:rsidRDefault="00000000" w:rsidRPr="00000000" w14:paraId="00000006">
      <w:pPr>
        <w:rPr/>
      </w:pPr>
      <w:r w:rsidDel="00000000" w:rsidR="00000000" w:rsidRPr="00000000">
        <w:rPr>
          <w:rtl w:val="0"/>
        </w:rPr>
        <w:t xml:space="preserve">El siguiente reporte para la Comisión contra la eliminación de todas las formas de discriminación contra la mujer –CEDAW– se enfoca en los derechos de las mujeres lesbianas, bisexuales y trans en Guatemala y en el derecho al acceso a la justicia de las mismas. Se estructura basado en las recomendaciones hechas por la Comisión sobre los informes periódicos octavo y noveno combinados de Guatemala (CEDAW/C/GTM/CO/8-9), destacando algunos datos pertinentes, avances y retrocesos sobre las recomendaciones.</w:t>
      </w:r>
    </w:p>
    <w:p w:rsidR="00000000" w:rsidDel="00000000" w:rsidP="00000000" w:rsidRDefault="00000000" w:rsidRPr="00000000" w14:paraId="00000007">
      <w:pPr>
        <w:rPr/>
      </w:pPr>
      <w:r w:rsidDel="00000000" w:rsidR="00000000" w:rsidRPr="00000000">
        <w:rPr>
          <w:rtl w:val="0"/>
        </w:rPr>
        <w:t xml:space="preserve">La primera parte del informe (pp. 2-4) se enfoca en los marcos legales que afectan la igualdad y no discriminación para las mujeres LBT, específicamente se aborda el tema del reconocimiento legal del género para las personas trans y la tipificación de crímenes motivados por el prejuicio hacia la orientación sexual y la identidad de género. </w:t>
      </w:r>
    </w:p>
    <w:p w:rsidR="00000000" w:rsidDel="00000000" w:rsidP="00000000" w:rsidRDefault="00000000" w:rsidRPr="00000000" w14:paraId="00000008">
      <w:pPr>
        <w:rPr/>
      </w:pPr>
      <w:r w:rsidDel="00000000" w:rsidR="00000000" w:rsidRPr="00000000">
        <w:rPr>
          <w:rtl w:val="0"/>
        </w:rPr>
        <w:t xml:space="preserve">La segunda parte (pp. 5-6) aborda las recomendaciones relativas a la educación integral en sexualidad y el combate a los estereotipos de género al analizar una ley contraria a los intereses de las infancias y adolescencias, específicamente las que son trans. La tercera parte (pp. 6-8) aborda la ausencia de protocolos sensibles a la identidad de género y orientación sexual de las mujeres LBT y cómo esto afecta el acceso a la justicia y a las medidas de reparación de víctimas de violencia. </w:t>
      </w:r>
    </w:p>
    <w:p w:rsidR="00000000" w:rsidDel="00000000" w:rsidP="00000000" w:rsidRDefault="00000000" w:rsidRPr="00000000" w14:paraId="00000009">
      <w:pPr>
        <w:rPr/>
      </w:pPr>
      <w:r w:rsidDel="00000000" w:rsidR="00000000" w:rsidRPr="00000000">
        <w:rPr>
          <w:rtl w:val="0"/>
        </w:rPr>
        <w:t xml:space="preserve">En las últimas dos partes se aborda la violencia contra defensoras de los derechos humanos de mujeres LBT y el contexto de criminalización y retrocesos a la libertad de expresión y asociación (pp. 9-10). Y luego (pp. 10-14) se ofrecen datos para profundizar en el tema de discriminación y delitos motivados por el prejuicio contra las mujeres LBT. </w:t>
      </w:r>
    </w:p>
    <w:p w:rsidR="00000000" w:rsidDel="00000000" w:rsidP="00000000" w:rsidRDefault="00000000" w:rsidRPr="00000000" w14:paraId="0000000A">
      <w:pPr>
        <w:rPr>
          <w:rFonts w:ascii="Barlow SemiBold" w:cs="Barlow SemiBold" w:eastAsia="Barlow SemiBold" w:hAnsi="Barlow SemiBold"/>
          <w:sz w:val="30"/>
          <w:szCs w:val="30"/>
        </w:rPr>
      </w:pPr>
      <w:r w:rsidDel="00000000" w:rsidR="00000000" w:rsidRPr="00000000">
        <w:rPr>
          <w:rFonts w:ascii="Barlow SemiBold" w:cs="Barlow SemiBold" w:eastAsia="Barlow SemiBold" w:hAnsi="Barlow SemiBold"/>
          <w:sz w:val="30"/>
          <w:szCs w:val="30"/>
          <w:rtl w:val="0"/>
        </w:rPr>
        <w:t xml:space="preserve">Contexto general sobre legislación relativa a mujeres LBT en Guatemala</w:t>
      </w:r>
    </w:p>
    <w:p w:rsidR="00000000" w:rsidDel="00000000" w:rsidP="00000000" w:rsidRDefault="00000000" w:rsidRPr="00000000" w14:paraId="0000000B">
      <w:pPr>
        <w:rPr/>
      </w:pPr>
      <w:r w:rsidDel="00000000" w:rsidR="00000000" w:rsidRPr="00000000">
        <w:rPr>
          <w:rtl w:val="0"/>
        </w:rPr>
        <w:t xml:space="preserve">La Constitución Política de la República de Guatemala es el marco referencial, tanto teórico como político para la formulación de la legislación ordinaria en el país, así como, la creación de unidades especializadas para la atención adecuada a las demandas específicas de la población LGBTI y es el marco jurídico sobre el cual se garantizan los derechos humanos de toda la población. Aunque la legislación guatemalteca está basada en derechos humanos, estas normativas no se aplican con un enfoque amplio y progresivo hacia sectores como la población LGBTI. La institución del Procurador de Derechos Humanos —PDH— ha mencionado en su Línea base LGBTI (2018)</w:t>
      </w:r>
      <w:r w:rsidDel="00000000" w:rsidR="00000000" w:rsidRPr="00000000">
        <w:rPr>
          <w:vertAlign w:val="superscript"/>
        </w:rPr>
        <w:footnoteReference w:customMarkFollows="0" w:id="0"/>
      </w:r>
      <w:r w:rsidDel="00000000" w:rsidR="00000000" w:rsidRPr="00000000">
        <w:rPr>
          <w:rtl w:val="0"/>
        </w:rPr>
        <w:t xml:space="preserve"> que no existe ninguna ley o política pública que garantice el cumplimiento de los derechos LGBTI en Guatemala. Esto no ha cambiado desde el 2018 pues la agenda política LGBTI relativa al reconocimiento de la identidad de género y la ley de crímenes por prejuicio no se han aprobado. </w:t>
      </w:r>
    </w:p>
    <w:tbl>
      <w:tblPr>
        <w:tblStyle w:val="Table1"/>
        <w:tblW w:w="9000.0" w:type="dxa"/>
        <w:jc w:val="left"/>
        <w:tblInd w:w="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85"/>
        <w:gridCol w:w="7515"/>
        <w:tblGridChange w:id="0">
          <w:tblGrid>
            <w:gridCol w:w="1485"/>
            <w:gridCol w:w="7515"/>
          </w:tblGrid>
        </w:tblGridChange>
      </w:tblGrid>
      <w:tr>
        <w:trPr>
          <w:cantSplit w:val="0"/>
          <w:trHeight w:val="420" w:hRule="atLeast"/>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00C">
            <w:pPr>
              <w:widowControl w:val="0"/>
              <w:spacing w:after="0" w:line="240" w:lineRule="auto"/>
              <w:jc w:val="left"/>
              <w:rPr/>
            </w:pPr>
            <w:r w:rsidDel="00000000" w:rsidR="00000000" w:rsidRPr="00000000">
              <w:rPr>
                <w:rtl w:val="0"/>
              </w:rPr>
              <w:t xml:space="preserve">Observaciones finales sobre los informes periódicos octavo y noveno combinados de Guatemala</w:t>
            </w:r>
          </w:p>
        </w:tc>
      </w:tr>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0E">
            <w:pPr>
              <w:widowControl w:val="0"/>
              <w:spacing w:after="0" w:line="240" w:lineRule="auto"/>
              <w:jc w:val="left"/>
              <w:rPr/>
            </w:pPr>
            <w:r w:rsidDel="00000000" w:rsidR="00000000" w:rsidRPr="00000000">
              <w:rPr>
                <w:rtl w:val="0"/>
              </w:rPr>
              <w:t xml:space="preserve">CEDAW/C/GTM/CO/8-9</w:t>
            </w:r>
          </w:p>
        </w:tc>
        <w:tc>
          <w:tcPr>
            <w:shd w:fill="auto" w:val="clear"/>
            <w:tcMar>
              <w:top w:w="100.0" w:type="dxa"/>
              <w:left w:w="100.0" w:type="dxa"/>
              <w:bottom w:w="100.0" w:type="dxa"/>
              <w:right w:w="100.0" w:type="dxa"/>
            </w:tcMar>
          </w:tcPr>
          <w:p w:rsidR="00000000" w:rsidDel="00000000" w:rsidP="00000000" w:rsidRDefault="00000000" w:rsidRPr="00000000" w14:paraId="0000000F">
            <w:pPr>
              <w:widowControl w:val="0"/>
              <w:spacing w:after="0" w:line="240" w:lineRule="auto"/>
              <w:rPr/>
            </w:pPr>
            <w:r w:rsidDel="00000000" w:rsidR="00000000" w:rsidRPr="00000000">
              <w:rPr>
                <w:rtl w:val="0"/>
              </w:rPr>
              <w:t xml:space="preserve">11. a) Incorpore en su legislación la </w:t>
            </w:r>
            <w:r w:rsidDel="00000000" w:rsidR="00000000" w:rsidRPr="00000000">
              <w:rPr>
                <w:b w:val="1"/>
                <w:rtl w:val="0"/>
              </w:rPr>
              <w:t xml:space="preserve">definición amplia de discriminación contra las mujeres y las niñas</w:t>
            </w:r>
            <w:r w:rsidDel="00000000" w:rsidR="00000000" w:rsidRPr="00000000">
              <w:rPr>
                <w:rtl w:val="0"/>
              </w:rPr>
              <w:t xml:space="preserve"> que figura en el artículo 1 de la Convención y prohíba todas las formas de discriminación contra la mujer de conformidad con el artículo 2 </w:t>
            </w:r>
          </w:p>
          <w:p w:rsidR="00000000" w:rsidDel="00000000" w:rsidP="00000000" w:rsidRDefault="00000000" w:rsidRPr="00000000" w14:paraId="00000010">
            <w:pPr>
              <w:widowControl w:val="0"/>
              <w:spacing w:after="0" w:line="240" w:lineRule="auto"/>
              <w:rPr/>
            </w:pPr>
            <w:r w:rsidDel="00000000" w:rsidR="00000000" w:rsidRPr="00000000">
              <w:rPr>
                <w:rtl w:val="0"/>
              </w:rPr>
            </w:r>
          </w:p>
          <w:p w:rsidR="00000000" w:rsidDel="00000000" w:rsidP="00000000" w:rsidRDefault="00000000" w:rsidRPr="00000000" w14:paraId="00000011">
            <w:pPr>
              <w:widowControl w:val="0"/>
              <w:spacing w:after="0" w:line="240" w:lineRule="auto"/>
              <w:rPr/>
            </w:pPr>
            <w:r w:rsidDel="00000000" w:rsidR="00000000" w:rsidRPr="00000000">
              <w:rPr>
                <w:rtl w:val="0"/>
              </w:rPr>
              <w:t xml:space="preserve">b), y garantice que esa legislación contemple todos los motivos de discriminación prohibidos, </w:t>
            </w:r>
            <w:r w:rsidDel="00000000" w:rsidR="00000000" w:rsidRPr="00000000">
              <w:rPr>
                <w:b w:val="1"/>
                <w:rtl w:val="0"/>
              </w:rPr>
              <w:t xml:space="preserve">incluya la protección contra la discriminación </w:t>
            </w:r>
            <w:r w:rsidDel="00000000" w:rsidR="00000000" w:rsidRPr="00000000">
              <w:rPr>
                <w:rtl w:val="0"/>
              </w:rPr>
              <w:t xml:space="preserve">de las mujeres indígenas, las mujeres garifunas, las mujeres con discapacidad, </w:t>
            </w:r>
            <w:r w:rsidDel="00000000" w:rsidR="00000000" w:rsidRPr="00000000">
              <w:rPr>
                <w:b w:val="1"/>
                <w:rtl w:val="0"/>
              </w:rPr>
              <w:t xml:space="preserve">las mujeres lesbianas, bisexuales y trans, y las personas intersexuales en las esferas pública y privada, y abarque las formas concomitantes de discriminación</w:t>
            </w:r>
            <w:r w:rsidDel="00000000" w:rsidR="00000000" w:rsidRPr="00000000">
              <w:rPr>
                <w:rtl w:val="0"/>
              </w:rPr>
              <w:t xml:space="preserve">;</w:t>
            </w:r>
          </w:p>
        </w:tc>
      </w:tr>
    </w:tbl>
    <w:p w:rsidR="00000000" w:rsidDel="00000000" w:rsidP="00000000" w:rsidRDefault="00000000" w:rsidRPr="00000000" w14:paraId="00000012">
      <w:pPr>
        <w:rPr/>
      </w:pPr>
      <w:r w:rsidDel="00000000" w:rsidR="00000000" w:rsidRPr="00000000">
        <w:rPr>
          <w:rtl w:val="0"/>
        </w:rPr>
        <w:br w:type="textWrapping"/>
        <w:t xml:space="preserve">En Guatemala la agenda política y legislativa para la igualdad y no dsicriminación de la comunidad LGBTI y las mujeres no ha tenido avances en los últimos años. Puntualmente, la Iniciativa de </w:t>
      </w:r>
      <w:r w:rsidDel="00000000" w:rsidR="00000000" w:rsidRPr="00000000">
        <w:rPr>
          <w:i w:val="1"/>
          <w:rtl w:val="0"/>
        </w:rPr>
        <w:t xml:space="preserve">Ley de Identidad de Género </w:t>
      </w:r>
      <w:r w:rsidDel="00000000" w:rsidR="00000000" w:rsidRPr="00000000">
        <w:rPr>
          <w:rtl w:val="0"/>
        </w:rPr>
        <w:t xml:space="preserve">(5395) y la iniciativa de </w:t>
      </w:r>
      <w:r w:rsidDel="00000000" w:rsidR="00000000" w:rsidRPr="00000000">
        <w:rPr>
          <w:i w:val="1"/>
          <w:rtl w:val="0"/>
        </w:rPr>
        <w:t xml:space="preserve">Ley de Crímenes por Prejuicio </w:t>
      </w:r>
      <w:r w:rsidDel="00000000" w:rsidR="00000000" w:rsidRPr="00000000">
        <w:rPr>
          <w:rtl w:val="0"/>
        </w:rPr>
        <w:t xml:space="preserve">(5278) que busca incluir la orientación sexual e identidad de género entre los agravantes para un crímen, tienen un dictamen desfavorable en el Congreso de la República. </w:t>
      </w:r>
    </w:p>
    <w:p w:rsidR="00000000" w:rsidDel="00000000" w:rsidP="00000000" w:rsidRDefault="00000000" w:rsidRPr="00000000" w14:paraId="00000013">
      <w:pPr>
        <w:rPr/>
      </w:pPr>
      <w:r w:rsidDel="00000000" w:rsidR="00000000" w:rsidRPr="00000000">
        <w:rPr>
          <w:rtl w:val="0"/>
        </w:rPr>
        <w:t xml:space="preserve">La iniciativa de </w:t>
      </w:r>
      <w:r w:rsidDel="00000000" w:rsidR="00000000" w:rsidRPr="00000000">
        <w:rPr>
          <w:i w:val="1"/>
          <w:rtl w:val="0"/>
        </w:rPr>
        <w:t xml:space="preserve">Ley de Crímenes por Prejuicio </w:t>
      </w:r>
      <w:r w:rsidDel="00000000" w:rsidR="00000000" w:rsidRPr="00000000">
        <w:rPr>
          <w:rtl w:val="0"/>
        </w:rPr>
        <w:t xml:space="preserve">—iniciativa que busca que se modifique el Artículo 202 bis del Código Penal para incluir como agravantes de delitos la orientación sexual e identidad de género—</w:t>
      </w:r>
      <w:r w:rsidDel="00000000" w:rsidR="00000000" w:rsidRPr="00000000">
        <w:rPr>
          <w:i w:val="1"/>
          <w:rtl w:val="0"/>
        </w:rPr>
        <w:t xml:space="preserve"> </w:t>
      </w:r>
      <w:r w:rsidDel="00000000" w:rsidR="00000000" w:rsidRPr="00000000">
        <w:rPr>
          <w:rtl w:val="0"/>
        </w:rPr>
        <w:t xml:space="preserve">tiene un dictamen desfavorable basado en que es innecesario agregar las categorías “identidad de género y orientación sexual” entre los agravantes de delitos pues estas ya son recogidas en la frase “otros motivos o circunstancias” y que por lo tanto los jueces ya tienen criterios para agravar las sanciones y penas.</w:t>
      </w:r>
      <w:r w:rsidDel="00000000" w:rsidR="00000000" w:rsidRPr="00000000">
        <w:rPr>
          <w:vertAlign w:val="superscript"/>
        </w:rPr>
        <w:footnoteReference w:customMarkFollows="0" w:id="1"/>
      </w:r>
      <w:r w:rsidDel="00000000" w:rsidR="00000000" w:rsidRPr="00000000">
        <w:rPr>
          <w:rtl w:val="0"/>
        </w:rPr>
        <w:t xml:space="preserve"> </w:t>
      </w:r>
    </w:p>
    <w:p w:rsidR="00000000" w:rsidDel="00000000" w:rsidP="00000000" w:rsidRDefault="00000000" w:rsidRPr="00000000" w14:paraId="00000014">
      <w:pPr>
        <w:rPr/>
      </w:pPr>
      <w:r w:rsidDel="00000000" w:rsidR="00000000" w:rsidRPr="00000000">
        <w:rPr>
          <w:rtl w:val="0"/>
        </w:rPr>
        <w:t xml:space="preserve">Sin embargo, a pesar que desde el 2020 a febrero del año 2022 se han registrado 57 muertes violentas de personas LGBTI</w:t>
      </w:r>
      <w:r w:rsidDel="00000000" w:rsidR="00000000" w:rsidRPr="00000000">
        <w:rPr>
          <w:vertAlign w:val="superscript"/>
        </w:rPr>
        <w:footnoteReference w:customMarkFollows="0" w:id="2"/>
      </w:r>
      <w:r w:rsidDel="00000000" w:rsidR="00000000" w:rsidRPr="00000000">
        <w:rPr>
          <w:rtl w:val="0"/>
        </w:rPr>
        <w:t xml:space="preserve">, la orientación e identidad de género no se cuentan como agravantes para la mayoría de estos delitos.  La única excepción a esto es la sentencia de la Corte de Constitucionalidad encontrada en el expediente 635-2013 que utiliza el Artículo 202 bis para reconocer que existe discriminación motivada por orientación sexual e identidad de género en el Sistema Penitenciario cuando se obliga a las privadas de libertad trans a cortarse el pelo y vestirse de forma contraria a su expresión de género.</w:t>
      </w:r>
      <w:r w:rsidDel="00000000" w:rsidR="00000000" w:rsidRPr="00000000">
        <w:rPr>
          <w:vertAlign w:val="superscript"/>
        </w:rPr>
        <w:footnoteReference w:customMarkFollows="0" w:id="3"/>
      </w:r>
      <w:r w:rsidDel="00000000" w:rsidR="00000000" w:rsidRPr="00000000">
        <w:rPr>
          <w:rtl w:val="0"/>
        </w:rPr>
        <w:t xml:space="preserve"> </w:t>
      </w:r>
    </w:p>
    <w:p w:rsidR="00000000" w:rsidDel="00000000" w:rsidP="00000000" w:rsidRDefault="00000000" w:rsidRPr="00000000" w14:paraId="00000015">
      <w:pPr>
        <w:rPr/>
      </w:pPr>
      <w:r w:rsidDel="00000000" w:rsidR="00000000" w:rsidRPr="00000000">
        <w:rPr>
          <w:rtl w:val="0"/>
        </w:rPr>
        <w:t xml:space="preserve">Por otro lado, la </w:t>
      </w:r>
      <w:r w:rsidDel="00000000" w:rsidR="00000000" w:rsidRPr="00000000">
        <w:rPr>
          <w:i w:val="1"/>
          <w:rtl w:val="0"/>
        </w:rPr>
        <w:t xml:space="preserve">Iniciativa de Ley de Identidad de Género</w:t>
      </w:r>
      <w:r w:rsidDel="00000000" w:rsidR="00000000" w:rsidRPr="00000000">
        <w:rPr>
          <w:rtl w:val="0"/>
        </w:rPr>
        <w:t xml:space="preserve"> tiene un dictamen desfavorable bajo los siguientes argumentos: </w:t>
      </w:r>
    </w:p>
    <w:p w:rsidR="00000000" w:rsidDel="00000000" w:rsidP="00000000" w:rsidRDefault="00000000" w:rsidRPr="00000000" w14:paraId="00000016">
      <w:pPr>
        <w:ind w:left="720" w:firstLine="0"/>
        <w:rPr/>
      </w:pPr>
      <w:r w:rsidDel="00000000" w:rsidR="00000000" w:rsidRPr="00000000">
        <w:rPr>
          <w:rtl w:val="0"/>
        </w:rPr>
        <w:t xml:space="preserve">No se está justificando o instigando a que las personas trans o transgénero deban ser objeto de malos tratos, vejámenes o discriminación. Pero no pueden ser consideradas de la misma forma que el modelo familiar y social reconocidos en la Constitución Política de la República de Guatemala.</w:t>
      </w:r>
      <w:r w:rsidDel="00000000" w:rsidR="00000000" w:rsidRPr="00000000">
        <w:rPr>
          <w:vertAlign w:val="superscript"/>
        </w:rPr>
        <w:footnoteReference w:customMarkFollows="0" w:id="4"/>
      </w:r>
      <w:r w:rsidDel="00000000" w:rsidR="00000000" w:rsidRPr="00000000">
        <w:rPr>
          <w:rtl w:val="0"/>
        </w:rPr>
        <w:t xml:space="preserve"> </w:t>
      </w:r>
    </w:p>
    <w:p w:rsidR="00000000" w:rsidDel="00000000" w:rsidP="00000000" w:rsidRDefault="00000000" w:rsidRPr="00000000" w14:paraId="00000017">
      <w:pPr>
        <w:ind w:left="720" w:firstLine="0"/>
        <w:rPr/>
      </w:pPr>
      <w:r w:rsidDel="00000000" w:rsidR="00000000" w:rsidRPr="00000000">
        <w:rPr>
          <w:rtl w:val="0"/>
        </w:rPr>
        <w:t xml:space="preserve">[La rectificación de la partida de nacimiento para personas trans] complica lo relativo a la organización, regulación, y forma de vida de la familia. Se rompería por completo el modelo del matrimonio en Guatemala (reconocido en la Constitución y leyes particulares), sin mencionar que se permitiría que la persona sin importar su sexo de nacimiento tenga las mismas facultades que el género al cual dispongan pertenecer.</w:t>
      </w:r>
      <w:r w:rsidDel="00000000" w:rsidR="00000000" w:rsidRPr="00000000">
        <w:rPr>
          <w:vertAlign w:val="superscript"/>
        </w:rPr>
        <w:footnoteReference w:customMarkFollows="0" w:id="5"/>
      </w: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El argumento anterior está basado en una comprensión discriminatoria de la diversidad sexual y de género y se basa en fundamentos que entienden a las personas trans como contrarias a las “formas de familia”. Sin embargo, tal como consta en la OC 24/17, el reconocimiento de la identidad de género trans es un derecho humano fundamental y, aunque la ley no aborda temas de matrimonio igualitario, la Opinión Consultiva también hace un llamado a respetar el principio de no discriminación al momento de garantizar el matrimonio entre personas del mismo sexo</w:t>
      </w:r>
      <w:r w:rsidDel="00000000" w:rsidR="00000000" w:rsidRPr="00000000">
        <w:rPr>
          <w:vertAlign w:val="superscript"/>
        </w:rPr>
        <w:footnoteReference w:customMarkFollows="0" w:id="6"/>
      </w:r>
      <w:r w:rsidDel="00000000" w:rsidR="00000000" w:rsidRPr="00000000">
        <w:rPr>
          <w:rtl w:val="0"/>
        </w:rPr>
        <w:t xml:space="preserve"> por lo que el argumento del matriomnio no es legítimo para rechazar el reconocimiento legal del género trans. </w:t>
      </w:r>
    </w:p>
    <w:p w:rsidR="00000000" w:rsidDel="00000000" w:rsidP="00000000" w:rsidRDefault="00000000" w:rsidRPr="00000000" w14:paraId="00000019">
      <w:pPr>
        <w:rPr/>
      </w:pPr>
      <w:r w:rsidDel="00000000" w:rsidR="00000000" w:rsidRPr="00000000">
        <w:rPr>
          <w:rtl w:val="0"/>
        </w:rPr>
        <w:t xml:space="preserve">En Guatemala, aunque las personas trans pueden cambiarse el nombre y rectificar la fotografía en el Documento Personal de Identificación —DPI—, no se puede cambiar el marcador de género. Adicionalmente, el cambio de nombre en Guatemala no cumple con ninguno de los principios consagrados en la Opinión Consultiva 24/17 de la Comisión Interamericana de Derechos Humanos, tal como se explica ampliamente en el informe de la Organización de Estados Americanos —OEA—, </w:t>
      </w:r>
      <w:r w:rsidDel="00000000" w:rsidR="00000000" w:rsidRPr="00000000">
        <w:rPr>
          <w:i w:val="1"/>
          <w:rtl w:val="0"/>
        </w:rPr>
        <w:t xml:space="preserve">Panorama del reconocimiento legal de la identidad de género en las Américas.</w:t>
      </w:r>
      <w:r w:rsidDel="00000000" w:rsidR="00000000" w:rsidRPr="00000000">
        <w:rPr>
          <w:vertAlign w:val="superscript"/>
        </w:rPr>
        <w:footnoteReference w:customMarkFollows="0" w:id="7"/>
      </w: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Los mismos argumentos sobre la </w:t>
      </w:r>
      <w:r w:rsidDel="00000000" w:rsidR="00000000" w:rsidRPr="00000000">
        <w:rPr>
          <w:i w:val="1"/>
          <w:rtl w:val="0"/>
        </w:rPr>
        <w:t xml:space="preserve">Ley de identidad de género </w:t>
      </w:r>
      <w:r w:rsidDel="00000000" w:rsidR="00000000" w:rsidRPr="00000000">
        <w:rPr>
          <w:rtl w:val="0"/>
        </w:rPr>
        <w:t xml:space="preserve">se han utilizado para la discusión de la </w:t>
      </w:r>
      <w:r w:rsidDel="00000000" w:rsidR="00000000" w:rsidRPr="00000000">
        <w:rPr>
          <w:i w:val="1"/>
          <w:rtl w:val="0"/>
        </w:rPr>
        <w:t xml:space="preserve">Iniciativa de Ley 5272</w:t>
      </w:r>
      <w:r w:rsidDel="00000000" w:rsidR="00000000" w:rsidRPr="00000000">
        <w:rPr>
          <w:rtl w:val="0"/>
        </w:rPr>
        <w:t xml:space="preserve"> que se convertiría en el decreto 18-22 antes de ser vetado por el presidente de la república. Este decreto fue promulgado por un breve periodo el 8 de marzo de 2022</w:t>
      </w:r>
      <w:r w:rsidDel="00000000" w:rsidR="00000000" w:rsidRPr="00000000">
        <w:rPr>
          <w:vertAlign w:val="superscript"/>
        </w:rPr>
        <w:footnoteReference w:customMarkFollows="0" w:id="8"/>
      </w:r>
      <w:r w:rsidDel="00000000" w:rsidR="00000000" w:rsidRPr="00000000">
        <w:rPr>
          <w:rtl w:val="0"/>
        </w:rPr>
        <w:t xml:space="preserve"> y ha pretendido criminalizar a las personas que recurran al aborto aumentando las penas de prisión ya establecidas en el Código Penal —</w:t>
      </w:r>
      <w:r w:rsidDel="00000000" w:rsidR="00000000" w:rsidRPr="00000000">
        <w:rPr>
          <w:i w:val="1"/>
          <w:rtl w:val="0"/>
        </w:rPr>
        <w:t xml:space="preserve">Decreto 17-73</w:t>
      </w:r>
      <w:r w:rsidDel="00000000" w:rsidR="00000000" w:rsidRPr="00000000">
        <w:rPr>
          <w:rtl w:val="0"/>
        </w:rPr>
        <w:t xml:space="preserve"> del Congreso de la República—; y también busca impedir que se imparta en las escuelas educación integral en sexualidad haciendo énfasis en el rechazo a la “ideología de género”. Además, pretende establecer la prohibición expresa del matrimonio de personas del mismo sexo, y a cualquier manifestación que sea “contraria a la heterosexualidad” y a la “familia natural”.</w:t>
      </w:r>
    </w:p>
    <w:p w:rsidR="00000000" w:rsidDel="00000000" w:rsidP="00000000" w:rsidRDefault="00000000" w:rsidRPr="00000000" w14:paraId="0000001B">
      <w:pPr>
        <w:pStyle w:val="Subtitle"/>
        <w:rPr/>
      </w:pPr>
      <w:bookmarkStart w:colFirst="0" w:colLast="0" w:name="_heading=h.skw51uv7zyyg" w:id="4"/>
      <w:bookmarkEnd w:id="4"/>
      <w:r w:rsidDel="00000000" w:rsidR="00000000" w:rsidRPr="00000000">
        <w:rPr>
          <w:rtl w:val="0"/>
        </w:rPr>
        <w:t xml:space="preserve">Recomendaciones </w:t>
      </w:r>
    </w:p>
    <w:p w:rsidR="00000000" w:rsidDel="00000000" w:rsidP="00000000" w:rsidRDefault="00000000" w:rsidRPr="00000000" w14:paraId="0000001C">
      <w:pPr>
        <w:numPr>
          <w:ilvl w:val="0"/>
          <w:numId w:val="1"/>
        </w:numPr>
        <w:spacing w:after="0" w:lineRule="auto"/>
        <w:ind w:left="720" w:hanging="360"/>
        <w:rPr/>
      </w:pPr>
      <w:r w:rsidDel="00000000" w:rsidR="00000000" w:rsidRPr="00000000">
        <w:rPr>
          <w:rtl w:val="0"/>
        </w:rPr>
        <w:t xml:space="preserve">Detener la agenda regresiva que atenta contra los derechos humanos de la población guatemalteca y se traduce a leyes antidemocráticas —como la Ley de ONGs—, leyes anti derechos —como la 5940— y retrocesos institucionales que impiden que las instituciones funcionen para la garantía de derechos humanos de las mujeres. </w:t>
      </w:r>
      <w:r w:rsidDel="00000000" w:rsidR="00000000" w:rsidRPr="00000000">
        <w:rPr>
          <w:rtl w:val="0"/>
        </w:rPr>
      </w:r>
    </w:p>
    <w:p w:rsidR="00000000" w:rsidDel="00000000" w:rsidP="00000000" w:rsidRDefault="00000000" w:rsidRPr="00000000" w14:paraId="0000001D">
      <w:pPr>
        <w:numPr>
          <w:ilvl w:val="0"/>
          <w:numId w:val="1"/>
        </w:numPr>
        <w:spacing w:after="0" w:lineRule="auto"/>
        <w:ind w:left="720" w:hanging="360"/>
        <w:rPr/>
      </w:pPr>
      <w:r w:rsidDel="00000000" w:rsidR="00000000" w:rsidRPr="00000000">
        <w:rPr>
          <w:rtl w:val="0"/>
        </w:rPr>
        <w:t xml:space="preserve">Al Congreso de la República, aprobar una ley de identidad de género basada en los principios de la OC 24/17 respectivos al derecho humano a la identidad de género de las personas trans y que este mismo reconocimiento de la identidad de género trans se homologue a todos los sistemas de captura de datos del Estado. Garantizar que la discusión de la ley se dé sin discursos de odio y situaciones que vulneren más a las personas trans.</w:t>
      </w:r>
    </w:p>
    <w:p w:rsidR="00000000" w:rsidDel="00000000" w:rsidP="00000000" w:rsidRDefault="00000000" w:rsidRPr="00000000" w14:paraId="0000001E">
      <w:pPr>
        <w:spacing w:after="0" w:lineRule="auto"/>
        <w:ind w:left="720" w:firstLine="0"/>
        <w:rPr/>
      </w:pPr>
      <w:r w:rsidDel="00000000" w:rsidR="00000000" w:rsidRPr="00000000">
        <w:rPr>
          <w:rtl w:val="0"/>
        </w:rPr>
        <w:br w:type="textWrapping"/>
      </w:r>
    </w:p>
    <w:tbl>
      <w:tblPr>
        <w:tblStyle w:val="Table2"/>
        <w:tblW w:w="9000.0" w:type="dxa"/>
        <w:jc w:val="left"/>
        <w:tblInd w:w="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90"/>
        <w:gridCol w:w="7410"/>
        <w:tblGridChange w:id="0">
          <w:tblGrid>
            <w:gridCol w:w="1590"/>
            <w:gridCol w:w="7410"/>
          </w:tblGrid>
        </w:tblGridChange>
      </w:tblGrid>
      <w:tr>
        <w:trPr>
          <w:cantSplit w:val="0"/>
          <w:trHeight w:val="420" w:hRule="atLeast"/>
          <w:tblHeader w:val="0"/>
        </w:trPr>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01F">
            <w:pPr>
              <w:widowControl w:val="0"/>
              <w:spacing w:after="0" w:line="240" w:lineRule="auto"/>
              <w:jc w:val="left"/>
              <w:rPr/>
            </w:pPr>
            <w:r w:rsidDel="00000000" w:rsidR="00000000" w:rsidRPr="00000000">
              <w:rPr>
                <w:rtl w:val="0"/>
              </w:rPr>
              <w:t xml:space="preserve">CEDAW/C/GTM/CO/8-9</w:t>
            </w:r>
          </w:p>
        </w:tc>
        <w:tc>
          <w:tcPr>
            <w:shd w:fill="auto" w:val="clear"/>
            <w:tcMar>
              <w:top w:w="100.0" w:type="dxa"/>
              <w:left w:w="100.0" w:type="dxa"/>
              <w:bottom w:w="100.0" w:type="dxa"/>
              <w:right w:w="100.0" w:type="dxa"/>
            </w:tcMar>
          </w:tcPr>
          <w:p w:rsidR="00000000" w:rsidDel="00000000" w:rsidP="00000000" w:rsidRDefault="00000000" w:rsidRPr="00000000" w14:paraId="00000020">
            <w:pPr>
              <w:widowControl w:val="0"/>
              <w:spacing w:after="0" w:line="240" w:lineRule="auto"/>
              <w:jc w:val="left"/>
              <w:rPr/>
            </w:pPr>
            <w:r w:rsidDel="00000000" w:rsidR="00000000" w:rsidRPr="00000000">
              <w:rPr>
                <w:rtl w:val="0"/>
              </w:rPr>
              <w:t xml:space="preserve">33. (f) Incorpore en todos los niveles de la enseñanza programas de estudios sobre la educación sexual integral para las niñas y los niños, apropiados para cada edad, que i</w:t>
            </w:r>
            <w:r w:rsidDel="00000000" w:rsidR="00000000" w:rsidRPr="00000000">
              <w:rPr>
                <w:b w:val="1"/>
                <w:rtl w:val="0"/>
              </w:rPr>
              <w:t xml:space="preserve">ncluyan la salud y los derechos sexuales y reproductivos, el comportamiento sexual responsable y la prevención de los embarazos precoces y las infecciones de transmisión sexual</w:t>
            </w:r>
            <w:r w:rsidDel="00000000" w:rsidR="00000000" w:rsidRPr="00000000">
              <w:rPr>
                <w:rtl w:val="0"/>
              </w:rPr>
              <w:t xml:space="preserve">, y capacite a los maestros para utilizar esos planes de estudios;</w:t>
            </w:r>
          </w:p>
        </w:tc>
      </w:tr>
      <w:tr>
        <w:trPr>
          <w:cantSplit w:val="0"/>
          <w:trHeight w:val="42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22">
            <w:pPr>
              <w:widowControl w:val="0"/>
              <w:spacing w:after="0" w:line="240" w:lineRule="auto"/>
              <w:jc w:val="left"/>
              <w:rPr>
                <w:b w:val="1"/>
              </w:rPr>
            </w:pPr>
            <w:r w:rsidDel="00000000" w:rsidR="00000000" w:rsidRPr="00000000">
              <w:rPr>
                <w:rtl w:val="0"/>
              </w:rPr>
              <w:t xml:space="preserve">19. El Comité reitera su recomendación al Estado parte de que aplique medidas amplias para modificar y transformar los estereotipos discriminatorios sobre las funciones y responsabilidades de las mujeres y los hombres en la familia y en todos los niveles de la sociedad, y elimine los estereotipos de género discriminatorios (véase CEDAW/C/GUA/CO/7, párr. 20) Recomienda al Estado parte que, como parte de una estrategia general, capacite a los funcionarios públicos de todos los sectores sobre la aceleración de la igualdad de facto entre mujeres y hombres y la eliminación de las formas concomitantes de discriminación contra las mujeres y las niñas. A este respecto, </w:t>
            </w:r>
            <w:r w:rsidDel="00000000" w:rsidR="00000000" w:rsidRPr="00000000">
              <w:rPr>
                <w:b w:val="1"/>
                <w:rtl w:val="0"/>
              </w:rPr>
              <w:t xml:space="preserve">el Comité recomienda al Estado parte que elimine los estereotipos de género discriminatorios de los libros de texto y los planes de estudios escolares.</w:t>
            </w:r>
          </w:p>
        </w:tc>
      </w:tr>
    </w:tbl>
    <w:p w:rsidR="00000000" w:rsidDel="00000000" w:rsidP="00000000" w:rsidRDefault="00000000" w:rsidRPr="00000000" w14:paraId="00000023">
      <w:pPr>
        <w:rPr/>
      </w:pPr>
      <w:r w:rsidDel="00000000" w:rsidR="00000000" w:rsidRPr="00000000">
        <w:rPr>
          <w:rtl w:val="0"/>
        </w:rPr>
        <w:br w:type="textWrapping"/>
        <w:t xml:space="preserve">El 27 de julio del presente año apareció en la agenda legislativa la llamada </w:t>
      </w:r>
      <w:r w:rsidDel="00000000" w:rsidR="00000000" w:rsidRPr="00000000">
        <w:rPr>
          <w:i w:val="1"/>
          <w:rtl w:val="0"/>
        </w:rPr>
        <w:t xml:space="preserve">Iniciativa que dispone aprobar la Ley para garantizar la protección integral de la niñez y adolescencia contra los trastornos de identidad de género</w:t>
      </w:r>
      <w:r w:rsidDel="00000000" w:rsidR="00000000" w:rsidRPr="00000000">
        <w:rPr>
          <w:rtl w:val="0"/>
        </w:rPr>
        <w:t xml:space="preserve"> (5940).</w:t>
      </w:r>
      <w:r w:rsidDel="00000000" w:rsidR="00000000" w:rsidRPr="00000000">
        <w:rPr>
          <w:vertAlign w:val="superscript"/>
        </w:rPr>
        <w:footnoteReference w:customMarkFollows="0" w:id="9"/>
      </w:r>
      <w:r w:rsidDel="00000000" w:rsidR="00000000" w:rsidRPr="00000000">
        <w:rPr>
          <w:rtl w:val="0"/>
        </w:rPr>
        <w:t xml:space="preserve"> Esta iniciativa utiliza en su nombre y definiciones internas un lenguaje patologizante hacia las personas trans pues según la Organización Mundial de la Salud, en la 72 Asamblea Mundial de la Salud para revisar la Clasificación Internacional de Enfermedades —CIE-11—, las identidades trans no son un trastorno de ningún tipo.</w:t>
      </w:r>
      <w:r w:rsidDel="00000000" w:rsidR="00000000" w:rsidRPr="00000000">
        <w:rPr>
          <w:vertAlign w:val="superscript"/>
        </w:rPr>
        <w:footnoteReference w:customMarkFollows="0" w:id="10"/>
      </w:r>
      <w:r w:rsidDel="00000000" w:rsidR="00000000" w:rsidRPr="00000000">
        <w:rPr>
          <w:rtl w:val="0"/>
        </w:rPr>
        <w:t xml:space="preserve"> </w:t>
      </w:r>
    </w:p>
    <w:p w:rsidR="00000000" w:rsidDel="00000000" w:rsidP="00000000" w:rsidRDefault="00000000" w:rsidRPr="00000000" w14:paraId="00000024">
      <w:pPr>
        <w:rPr/>
      </w:pPr>
      <w:r w:rsidDel="00000000" w:rsidR="00000000" w:rsidRPr="00000000">
        <w:rPr>
          <w:rtl w:val="0"/>
        </w:rPr>
        <w:t xml:space="preserve">Adicionalmente, la</w:t>
      </w:r>
      <w:r w:rsidDel="00000000" w:rsidR="00000000" w:rsidRPr="00000000">
        <w:rPr>
          <w:i w:val="1"/>
          <w:rtl w:val="0"/>
        </w:rPr>
        <w:t xml:space="preserve"> Iniciativa de Ley 5940</w:t>
      </w:r>
      <w:r w:rsidDel="00000000" w:rsidR="00000000" w:rsidRPr="00000000">
        <w:rPr>
          <w:rtl w:val="0"/>
        </w:rPr>
        <w:t xml:space="preserve"> atenta contra la libertad de expresión y el principio de no discriminación al pretender que no se pueda tener debates y discusiones públicas sobre identidades de género trans o no binarias en la radio y otros medios de comunicación.</w:t>
      </w:r>
      <w:r w:rsidDel="00000000" w:rsidR="00000000" w:rsidRPr="00000000">
        <w:rPr>
          <w:vertAlign w:val="superscript"/>
        </w:rPr>
        <w:footnoteReference w:customMarkFollows="0" w:id="11"/>
      </w:r>
      <w:r w:rsidDel="00000000" w:rsidR="00000000" w:rsidRPr="00000000">
        <w:rPr>
          <w:rtl w:val="0"/>
        </w:rPr>
        <w:t xml:space="preserve"> También restringe la educación sexual pretendiendo normar que los programas de educación sexual “no estén orientados a promover la disconformidad de género, la reasignación de género.”</w:t>
      </w:r>
      <w:r w:rsidDel="00000000" w:rsidR="00000000" w:rsidRPr="00000000">
        <w:rPr>
          <w:vertAlign w:val="superscript"/>
        </w:rPr>
        <w:footnoteReference w:customMarkFollows="0" w:id="12"/>
      </w:r>
      <w:r w:rsidDel="00000000" w:rsidR="00000000" w:rsidRPr="00000000">
        <w:rPr>
          <w:rtl w:val="0"/>
        </w:rPr>
        <w:t xml:space="preserve"> Sin embargo, no ofrecen una definición de “disconformidad de género” y puede interpretarse como contraria a las identidades de género no normativas o incluso el cuestionamiento de los roles de género. Esta medida entorpecería el avance para combatir los estereotipos de género en planes y estudios escolares pues fomentaría la idea errónea de que las personas trans tienen un trastorno y contribuiría a la cultura del silencio alrededor de estos temas. </w:t>
      </w:r>
    </w:p>
    <w:p w:rsidR="00000000" w:rsidDel="00000000" w:rsidP="00000000" w:rsidRDefault="00000000" w:rsidRPr="00000000" w14:paraId="00000025">
      <w:pPr>
        <w:rPr/>
      </w:pPr>
      <w:r w:rsidDel="00000000" w:rsidR="00000000" w:rsidRPr="00000000">
        <w:rPr>
          <w:rtl w:val="0"/>
        </w:rPr>
        <w:t xml:space="preserve">La iniciativa sostiene una idea errónea de la identidad trans invisibilizando totalmente a las infancias y adolescencias trans —como si las personas trans nacieran con mayoría de edad—; genera la figura “identidad sexual natural”; y argumenta que el mero conocimiento sobre la identidad de género trans representa una “amenaza” para el bienestar de las infancias y adolescencias: “el derecho de los niños, niñas y adolescentes a una educación integral que les garantice no estar expuestos a contenidos que puedan promover o muestren variaciones de la identidad de sexo de nacimiento, reasignación genérica o situaciones a las que de estar expuestos podrían condicionar su desarrollo sexual y provocar variaciones de la identidad sexual natal del menor, lo cual resultaría en traumas […]”.</w:t>
      </w:r>
      <w:r w:rsidDel="00000000" w:rsidR="00000000" w:rsidRPr="00000000">
        <w:rPr>
          <w:vertAlign w:val="superscript"/>
        </w:rPr>
        <w:footnoteReference w:customMarkFollows="0" w:id="13"/>
      </w: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La Ley 5940, por lo tanto, contribuiría a un ambiente de prejuicio y discriminación contra las identidades de género trans, especialmente de las infancias y adolescencias trans; restringiría la libertad de expresión al censurar a los medios de comunicación de abordar temáticas de identidad de género no normativas; y restringiría el derecho a la educación sexual al prohibir que se aborden las identidades de género trans o cualquier identidad, rol o acción que promueba la “disconfirmidad de género”. </w:t>
      </w:r>
    </w:p>
    <w:p w:rsidR="00000000" w:rsidDel="00000000" w:rsidP="00000000" w:rsidRDefault="00000000" w:rsidRPr="00000000" w14:paraId="00000027">
      <w:pPr>
        <w:pStyle w:val="Subtitle"/>
        <w:rPr/>
      </w:pPr>
      <w:bookmarkStart w:colFirst="0" w:colLast="0" w:name="_heading=h.qxq5jb9xs0to" w:id="5"/>
      <w:bookmarkEnd w:id="5"/>
      <w:r w:rsidDel="00000000" w:rsidR="00000000" w:rsidRPr="00000000">
        <w:rPr>
          <w:rtl w:val="0"/>
        </w:rPr>
        <w:t xml:space="preserve">Recomendaciones</w:t>
      </w:r>
    </w:p>
    <w:p w:rsidR="00000000" w:rsidDel="00000000" w:rsidP="00000000" w:rsidRDefault="00000000" w:rsidRPr="00000000" w14:paraId="00000028">
      <w:pPr>
        <w:numPr>
          <w:ilvl w:val="0"/>
          <w:numId w:val="1"/>
        </w:numPr>
        <w:spacing w:after="0" w:lineRule="auto"/>
        <w:ind w:left="720" w:hanging="360"/>
        <w:rPr/>
      </w:pPr>
      <w:r w:rsidDel="00000000" w:rsidR="00000000" w:rsidRPr="00000000">
        <w:rPr>
          <w:rtl w:val="0"/>
        </w:rPr>
        <w:t xml:space="preserve">Al Congreso de la República, no aprobar la iniciativa de ley 5940 que generaría un ambiente de discriminación contra las personas trans, específicamente menores de edad trans; restringiría el derecho a la libertad de expresión al prohibir que se aborden temas de identidad de género; y limitaría el derecho a la educación integral de las infancias y adolescencias. </w:t>
        <w:br w:type="textWrapping"/>
      </w:r>
    </w:p>
    <w:tbl>
      <w:tblPr>
        <w:tblStyle w:val="Table3"/>
        <w:tblW w:w="9000.0" w:type="dxa"/>
        <w:jc w:val="left"/>
        <w:tblInd w:w="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725"/>
        <w:gridCol w:w="7275"/>
        <w:tblGridChange w:id="0">
          <w:tblGrid>
            <w:gridCol w:w="1725"/>
            <w:gridCol w:w="7275"/>
          </w:tblGrid>
        </w:tblGridChange>
      </w:tblGrid>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29">
            <w:pPr>
              <w:widowControl w:val="0"/>
              <w:spacing w:after="0" w:line="240" w:lineRule="auto"/>
              <w:jc w:val="left"/>
              <w:rPr/>
            </w:pPr>
            <w:r w:rsidDel="00000000" w:rsidR="00000000" w:rsidRPr="00000000">
              <w:rPr>
                <w:rtl w:val="0"/>
              </w:rPr>
              <w:t xml:space="preserve">CEDAW/C/GTM/CO/8-9</w:t>
            </w:r>
          </w:p>
        </w:tc>
        <w:tc>
          <w:tcPr>
            <w:shd w:fill="auto" w:val="clear"/>
            <w:tcMar>
              <w:top w:w="100.0" w:type="dxa"/>
              <w:left w:w="100.0" w:type="dxa"/>
              <w:bottom w:w="100.0" w:type="dxa"/>
              <w:right w:w="100.0" w:type="dxa"/>
            </w:tcMar>
          </w:tcPr>
          <w:p w:rsidR="00000000" w:rsidDel="00000000" w:rsidP="00000000" w:rsidRDefault="00000000" w:rsidRPr="00000000" w14:paraId="0000002A">
            <w:pPr>
              <w:widowControl w:val="0"/>
              <w:spacing w:after="0" w:line="240" w:lineRule="auto"/>
              <w:jc w:val="left"/>
              <w:rPr/>
            </w:pPr>
            <w:r w:rsidDel="00000000" w:rsidR="00000000" w:rsidRPr="00000000">
              <w:rPr>
                <w:rtl w:val="0"/>
              </w:rPr>
              <w:t xml:space="preserve">13. Recordando su recomendación general núm. 33 (2015) sobre el acceso de las mujeres a la justicia, el Comité recomienda al Estado parte que:</w:t>
              <w:br w:type="textWrapping"/>
            </w:r>
          </w:p>
          <w:p w:rsidR="00000000" w:rsidDel="00000000" w:rsidP="00000000" w:rsidRDefault="00000000" w:rsidRPr="00000000" w14:paraId="0000002B">
            <w:pPr>
              <w:widowControl w:val="0"/>
              <w:spacing w:after="0" w:line="240" w:lineRule="auto"/>
              <w:jc w:val="left"/>
              <w:rPr/>
            </w:pPr>
            <w:r w:rsidDel="00000000" w:rsidR="00000000" w:rsidRPr="00000000">
              <w:rPr>
                <w:rtl w:val="0"/>
              </w:rPr>
              <w:t xml:space="preserve">a) </w:t>
            </w:r>
            <w:r w:rsidDel="00000000" w:rsidR="00000000" w:rsidRPr="00000000">
              <w:rPr>
                <w:b w:val="1"/>
                <w:rtl w:val="0"/>
              </w:rPr>
              <w:t xml:space="preserve">Garantice el acceso de las mujeres a la justicia</w:t>
            </w:r>
            <w:r w:rsidDel="00000000" w:rsidR="00000000" w:rsidRPr="00000000">
              <w:rPr>
                <w:rtl w:val="0"/>
              </w:rPr>
              <w:t xml:space="preserve">, en particular asignando recursos adicionales, mejorando el acceso de las mujeres a la asistencia jurídica y a servicios de interpretación gratuitos y adoptando y aplicando protocolos de prestación de servicios que tengan en cuenta las necesidades específicas de las mujeres indígenas y las mujeres afrodescendientes garifunas y no garifunas a fin de mejorar el acceso a la justicia;</w:t>
              <w:br w:type="textWrapping"/>
            </w:r>
          </w:p>
          <w:p w:rsidR="00000000" w:rsidDel="00000000" w:rsidP="00000000" w:rsidRDefault="00000000" w:rsidRPr="00000000" w14:paraId="0000002C">
            <w:pPr>
              <w:widowControl w:val="0"/>
              <w:spacing w:after="0" w:line="240" w:lineRule="auto"/>
              <w:jc w:val="left"/>
              <w:rPr/>
            </w:pPr>
            <w:r w:rsidDel="00000000" w:rsidR="00000000" w:rsidRPr="00000000">
              <w:rPr>
                <w:rtl w:val="0"/>
              </w:rPr>
              <w:t xml:space="preserve">b) Imparta, con carácter obligatorio, capacitación a los jueces, los</w:t>
            </w:r>
          </w:p>
          <w:p w:rsidR="00000000" w:rsidDel="00000000" w:rsidP="00000000" w:rsidRDefault="00000000" w:rsidRPr="00000000" w14:paraId="0000002D">
            <w:pPr>
              <w:widowControl w:val="0"/>
              <w:spacing w:after="0" w:line="240" w:lineRule="auto"/>
              <w:jc w:val="left"/>
              <w:rPr/>
            </w:pPr>
            <w:r w:rsidDel="00000000" w:rsidR="00000000" w:rsidRPr="00000000">
              <w:rPr>
                <w:rtl w:val="0"/>
              </w:rPr>
              <w:t xml:space="preserve">abogados, los agentes del orden y otros profesionales pertinentes sobre el derecho de la mujer a acceder a la justicia y las vías de recurso de que disponen las mujeres que desean acceder a la justicia;</w:t>
              <w:br w:type="textWrapping"/>
            </w:r>
          </w:p>
          <w:p w:rsidR="00000000" w:rsidDel="00000000" w:rsidP="00000000" w:rsidRDefault="00000000" w:rsidRPr="00000000" w14:paraId="0000002E">
            <w:pPr>
              <w:widowControl w:val="0"/>
              <w:spacing w:after="0" w:line="240" w:lineRule="auto"/>
              <w:jc w:val="left"/>
              <w:rPr>
                <w:b w:val="1"/>
              </w:rPr>
            </w:pPr>
            <w:r w:rsidDel="00000000" w:rsidR="00000000" w:rsidRPr="00000000">
              <w:rPr>
                <w:rtl w:val="0"/>
              </w:rPr>
              <w:t xml:space="preserve">c) Siga esforzándose por fortalecer la independencia y </w:t>
            </w:r>
            <w:r w:rsidDel="00000000" w:rsidR="00000000" w:rsidRPr="00000000">
              <w:rPr>
                <w:b w:val="1"/>
                <w:rtl w:val="0"/>
              </w:rPr>
              <w:t xml:space="preserve">eficacia del</w:t>
            </w:r>
          </w:p>
          <w:p w:rsidR="00000000" w:rsidDel="00000000" w:rsidP="00000000" w:rsidRDefault="00000000" w:rsidRPr="00000000" w14:paraId="0000002F">
            <w:pPr>
              <w:widowControl w:val="0"/>
              <w:spacing w:after="0" w:line="240" w:lineRule="auto"/>
              <w:jc w:val="left"/>
              <w:rPr/>
            </w:pPr>
            <w:r w:rsidDel="00000000" w:rsidR="00000000" w:rsidRPr="00000000">
              <w:rPr>
                <w:b w:val="1"/>
                <w:rtl w:val="0"/>
              </w:rPr>
              <w:t xml:space="preserve">sistema de justicia, investigar, enjuiciar y castigar a los autores de delitos contra la mujer y velar por que los funcionarios que no respetan los marcos jurídicos internacionales y nacionales de derechos humanos</w:t>
            </w:r>
            <w:r w:rsidDel="00000000" w:rsidR="00000000" w:rsidRPr="00000000">
              <w:rPr>
                <w:rtl w:val="0"/>
              </w:rPr>
              <w:t xml:space="preserve"> con respecto al enjuiciamiento de los autores sean sancionados adecuadamente.</w:t>
            </w:r>
          </w:p>
        </w:tc>
      </w:tr>
    </w:tbl>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La situación del acceso a la justicia para las mujeres lesbianas, bisexuales y trans presenta grandes retos. Según el Centro de Datos de Visibles, dentro de las instituciones del sector justicia —Ministerio Público, Instituto de la Víctima y Policía Nacional Civil— no se cuenta con políticas institucionales, normativa interna o directrices en investigación con enfoque LBT.</w:t>
      </w:r>
      <w:r w:rsidDel="00000000" w:rsidR="00000000" w:rsidRPr="00000000">
        <w:rPr>
          <w:vertAlign w:val="superscript"/>
        </w:rPr>
        <w:footnoteReference w:customMarkFollows="0" w:id="14"/>
      </w:r>
      <w:r w:rsidDel="00000000" w:rsidR="00000000" w:rsidRPr="00000000">
        <w:rPr>
          <w:rtl w:val="0"/>
        </w:rPr>
        <w:t xml:space="preserve"> Para las mujeres trans, esto tiene como resultado seguir siendo registradas y abordadas como hombres, lo cual genera subregistro de los casos de violencia contra ellas y que ellas mismas no quieran acercarse a las instituciones.</w:t>
      </w:r>
      <w:r w:rsidDel="00000000" w:rsidR="00000000" w:rsidRPr="00000000">
        <w:rPr>
          <w:vertAlign w:val="superscript"/>
        </w:rPr>
        <w:footnoteReference w:customMarkFollows="0" w:id="15"/>
      </w:r>
      <w:r w:rsidDel="00000000" w:rsidR="00000000" w:rsidRPr="00000000">
        <w:rPr>
          <w:rtl w:val="0"/>
        </w:rPr>
        <w:t xml:space="preserve"> Por lo anterior también falta el reconocimiento legal del género de las personas trans que aporte un marco general para las mujeres trans víctimas de violencia. </w:t>
      </w:r>
    </w:p>
    <w:p w:rsidR="00000000" w:rsidDel="00000000" w:rsidP="00000000" w:rsidRDefault="00000000" w:rsidRPr="00000000" w14:paraId="00000032">
      <w:pPr>
        <w:rPr/>
      </w:pPr>
      <w:r w:rsidDel="00000000" w:rsidR="00000000" w:rsidRPr="00000000">
        <w:rPr>
          <w:rtl w:val="0"/>
        </w:rPr>
        <w:t xml:space="preserve">Para las mujeres lesbianas y bisexuales esta falta de protocolos provoca que se enfrenten a procesos penales e investigaciones con prejuicios basados en orientación sexual. Una investigación de la Organización de Diversidad Sexual para la Cultura, la Educación y las Artes —ODISCEA— comenta que “cuando [a las mujeres lesbianas y bisexuales] les toca enfrentar el proceso penal, se enfrentan a juzgados con prejuicios, a un sistema que las mira con prejuicios y estereotipos que no deberían tener ninguna incidencia en los procesos penales. En las sentencias y el tratamiento el enfoque es eminentemente discriminatorio”.</w:t>
      </w:r>
      <w:r w:rsidDel="00000000" w:rsidR="00000000" w:rsidRPr="00000000">
        <w:rPr>
          <w:vertAlign w:val="superscript"/>
        </w:rPr>
        <w:footnoteReference w:customMarkFollows="0" w:id="16"/>
      </w:r>
      <w:r w:rsidDel="00000000" w:rsidR="00000000" w:rsidRPr="00000000">
        <w:rPr>
          <w:rtl w:val="0"/>
        </w:rPr>
        <w:t xml:space="preserve"> De la misma manera, esta misma investigación también registra que en los años 2015 y 2016 el 42% de las denuncias de personas LGBTI no registran el dato de orientación sexual aunque ya existen los medios en el sistema de captura de datos del Ministerio Público.</w:t>
      </w:r>
      <w:r w:rsidDel="00000000" w:rsidR="00000000" w:rsidRPr="00000000">
        <w:rPr>
          <w:vertAlign w:val="superscript"/>
        </w:rPr>
        <w:footnoteReference w:customMarkFollows="0" w:id="17"/>
      </w: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Por su parte, el Instituto de la Defensa Pública Penal —IDPP— cuenta con un protocolo de atención a la comunidad LGBTI+ y de actuación de los defensores públicos que forman parte del IDPP. Y el Sistema Penitenciario cuenta con un documento denominado “Estándares y </w:t>
      </w:r>
      <w:r w:rsidDel="00000000" w:rsidR="00000000" w:rsidRPr="00000000">
        <w:rPr>
          <w:rtl w:val="0"/>
        </w:rPr>
        <w:t xml:space="preserve">directrices mínimas para la adecuada atención a personas lesbianas, gays, transexuales, trans e intersexuales en situación de privación de libertad en Guatemala” elaborado en conjunto con la sociedad civil.</w:t>
      </w:r>
      <w:r w:rsidDel="00000000" w:rsidR="00000000" w:rsidRPr="00000000">
        <w:rPr>
          <w:vertAlign w:val="superscript"/>
        </w:rPr>
        <w:footnoteReference w:customMarkFollows="0" w:id="18"/>
      </w:r>
      <w:r w:rsidDel="00000000" w:rsidR="00000000" w:rsidRPr="00000000">
        <w:rPr>
          <w:rtl w:val="0"/>
        </w:rPr>
        <w:t xml:space="preserve"> Sin embargo, las organizaciones de sociedad civil han registrado que las mujeres lesbianas y bisexuales “desde que entran a la prisión se producen sesgos discriminatorios hacia ellas, por gestos que les hacen, los `piropos´ que les dicen, por las risas de los guardias y comentarios tales como `tenga cuidado licenciada´, es bien fuerte lo que sufren a diario”.</w:t>
      </w:r>
      <w:r w:rsidDel="00000000" w:rsidR="00000000" w:rsidRPr="00000000">
        <w:rPr>
          <w:vertAlign w:val="superscript"/>
        </w:rPr>
        <w:footnoteReference w:customMarkFollows="0" w:id="19"/>
      </w: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Para las mujeres trans, el Sistema Penitenciario puede ser particularmente hostil. Una investigación periodística publicada en 2021 narra los testimonios de tres mujeres trans que han sufrido violencia sexual, extorsión, cortes de cabello forzados, palizas, trato diferenciado, penas y tareas degradantes, criminalización y amenazas de desaparición forzada por parte de otras internas y con la complicidad o participación directa del personal del sistema penitenciario. El artículo también recopila una entrevista con un director de la comisaría que afirma que nunca han capacitado a su personal en temas de orientación sexual e identidad de género.</w:t>
      </w:r>
      <w:r w:rsidDel="00000000" w:rsidR="00000000" w:rsidRPr="00000000">
        <w:rPr>
          <w:vertAlign w:val="superscript"/>
        </w:rPr>
        <w:footnoteReference w:customMarkFollows="0" w:id="20"/>
      </w: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Por último, con relación al seguimiento de actos de violencia contra población LBT el departamento de Coordinación de Atención a la Víctima del MP expuso que no cuenta con información que establezca cual es protocolo de atención en estos casos.</w:t>
      </w:r>
      <w:r w:rsidDel="00000000" w:rsidR="00000000" w:rsidRPr="00000000">
        <w:rPr>
          <w:vertAlign w:val="superscript"/>
        </w:rPr>
        <w:footnoteReference w:customMarkFollows="0" w:id="21"/>
      </w:r>
      <w:r w:rsidDel="00000000" w:rsidR="00000000" w:rsidRPr="00000000">
        <w:rPr>
          <w:rtl w:val="0"/>
        </w:rPr>
        <w:t xml:space="preserve"> Un estudio llevado a cabo por Visibles en el 2020 demuestra que las mujeres lesbianas son el grupo que menos confianza tiene hacia las instituciones de justicia. Ante la pregunta de dónde denunciaría una agresión o violencia, el 65.71% de las mujeres lesbianas contestó que ante organizaciones de sociedad civil. La anterior es la cifra más alta de todos los subgrupos entrevistados, para los hombres gay, por ejemplo, el porcentaje de estos quienes respondieron que acudiría a la sociedad civil antes que a cualquier otro lugar es del 46.84%. </w:t>
      </w:r>
    </w:p>
    <w:p w:rsidR="00000000" w:rsidDel="00000000" w:rsidP="00000000" w:rsidRDefault="00000000" w:rsidRPr="00000000" w14:paraId="00000036">
      <w:pPr>
        <w:rPr/>
      </w:pPr>
      <w:r w:rsidDel="00000000" w:rsidR="00000000" w:rsidRPr="00000000">
        <w:rPr>
          <w:rtl w:val="0"/>
        </w:rPr>
        <w:t xml:space="preserve">La inexistencia de protocolos para el acceso a la justicia de mujeres LBT genera una cultura de impunidad, subregistro y miedo a la denuncia. Esto, aunado a la falta de protocolos de investigación criminal constituye una de las barreras más grandes para el acceso a la justicia de mujeres LBT. </w:t>
      </w:r>
      <w:r w:rsidDel="00000000" w:rsidR="00000000" w:rsidRPr="00000000">
        <w:rPr>
          <w:rtl w:val="0"/>
        </w:rPr>
      </w:r>
    </w:p>
    <w:p w:rsidR="00000000" w:rsidDel="00000000" w:rsidP="00000000" w:rsidRDefault="00000000" w:rsidRPr="00000000" w14:paraId="00000037">
      <w:pPr>
        <w:pStyle w:val="Subtitle"/>
        <w:rPr/>
      </w:pPr>
      <w:bookmarkStart w:colFirst="0" w:colLast="0" w:name="_heading=h.gcywl7i1racc" w:id="6"/>
      <w:bookmarkEnd w:id="6"/>
      <w:r w:rsidDel="00000000" w:rsidR="00000000" w:rsidRPr="00000000">
        <w:rPr>
          <w:rtl w:val="0"/>
        </w:rPr>
        <w:t xml:space="preserve">Recomendaciones</w:t>
      </w:r>
    </w:p>
    <w:p w:rsidR="00000000" w:rsidDel="00000000" w:rsidP="00000000" w:rsidRDefault="00000000" w:rsidRPr="00000000" w14:paraId="00000038">
      <w:pPr>
        <w:numPr>
          <w:ilvl w:val="0"/>
          <w:numId w:val="1"/>
        </w:numPr>
        <w:spacing w:after="0" w:lineRule="auto"/>
        <w:ind w:left="720" w:hanging="360"/>
        <w:rPr/>
      </w:pPr>
      <w:r w:rsidDel="00000000" w:rsidR="00000000" w:rsidRPr="00000000">
        <w:rPr>
          <w:rtl w:val="0"/>
        </w:rPr>
        <w:t xml:space="preserve">Implementar protocolos de atención a la víctima para que las mujeres LBT puedan acceder a la justicia con pertinencia de su orientación sexual y de género. </w:t>
      </w:r>
    </w:p>
    <w:p w:rsidR="00000000" w:rsidDel="00000000" w:rsidP="00000000" w:rsidRDefault="00000000" w:rsidRPr="00000000" w14:paraId="00000039">
      <w:pPr>
        <w:numPr>
          <w:ilvl w:val="0"/>
          <w:numId w:val="1"/>
        </w:numPr>
        <w:ind w:left="720" w:hanging="360"/>
        <w:rPr/>
      </w:pPr>
      <w:r w:rsidDel="00000000" w:rsidR="00000000" w:rsidRPr="00000000">
        <w:rPr>
          <w:rtl w:val="0"/>
        </w:rPr>
        <w:t xml:space="preserve">Capacitar a fiscales, jueces, policías y todo el personal relevante para la correcta atención de las mujeres LBT, incorporar capacitación sobre orientación sexual, identidad y expresión de género y características sexuales en las mallas curriculares de estas instituciones e institucionalizar su obligatoriedad. </w:t>
      </w:r>
      <w:r w:rsidDel="00000000" w:rsidR="00000000" w:rsidRPr="00000000">
        <w:rPr>
          <w:rtl w:val="0"/>
        </w:rPr>
      </w:r>
    </w:p>
    <w:p w:rsidR="00000000" w:rsidDel="00000000" w:rsidP="00000000" w:rsidRDefault="00000000" w:rsidRPr="00000000" w14:paraId="0000003A">
      <w:pPr>
        <w:pStyle w:val="Heading1"/>
        <w:rPr/>
      </w:pPr>
      <w:bookmarkStart w:colFirst="0" w:colLast="0" w:name="_heading=h.2et92p0" w:id="7"/>
      <w:bookmarkEnd w:id="7"/>
      <w:r w:rsidDel="00000000" w:rsidR="00000000" w:rsidRPr="00000000">
        <w:rPr>
          <w:rtl w:val="0"/>
        </w:rPr>
        <w:t xml:space="preserve">Datos y casos sobre violencia y acceso a la justicia de las mujeres LBT </w:t>
      </w:r>
    </w:p>
    <w:tbl>
      <w:tblPr>
        <w:tblStyle w:val="Table4"/>
        <w:tblW w:w="9000.0" w:type="dxa"/>
        <w:jc w:val="left"/>
        <w:tblInd w:w="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740"/>
        <w:gridCol w:w="7260"/>
        <w:tblGridChange w:id="0">
          <w:tblGrid>
            <w:gridCol w:w="1740"/>
            <w:gridCol w:w="7260"/>
          </w:tblGrid>
        </w:tblGridChange>
      </w:tblGrid>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3B">
            <w:pPr>
              <w:widowControl w:val="0"/>
              <w:spacing w:after="0" w:line="240" w:lineRule="auto"/>
              <w:jc w:val="left"/>
              <w:rPr/>
            </w:pPr>
            <w:r w:rsidDel="00000000" w:rsidR="00000000" w:rsidRPr="00000000">
              <w:rPr>
                <w:rtl w:val="0"/>
              </w:rPr>
              <w:t xml:space="preserve">CEDAW/C/GTM/CO/8-9</w:t>
            </w:r>
          </w:p>
        </w:tc>
        <w:tc>
          <w:tcPr>
            <w:shd w:fill="auto" w:val="clear"/>
            <w:tcMar>
              <w:top w:w="100.0" w:type="dxa"/>
              <w:left w:w="100.0" w:type="dxa"/>
              <w:bottom w:w="100.0" w:type="dxa"/>
              <w:right w:w="100.0" w:type="dxa"/>
            </w:tcMar>
          </w:tcPr>
          <w:p w:rsidR="00000000" w:rsidDel="00000000" w:rsidP="00000000" w:rsidRDefault="00000000" w:rsidRPr="00000000" w14:paraId="0000003C">
            <w:pPr>
              <w:widowControl w:val="0"/>
              <w:spacing w:after="0" w:line="240" w:lineRule="auto"/>
              <w:jc w:val="left"/>
              <w:rPr/>
            </w:pPr>
            <w:r w:rsidDel="00000000" w:rsidR="00000000" w:rsidRPr="00000000">
              <w:rPr>
                <w:rtl w:val="0"/>
              </w:rPr>
              <w:t xml:space="preserve">28. El Comité toma nota de la información proporcionada por el Estado parte sobre el proceso en curso de elaboración de una política pública para la protección de los defensores de los derechos humanos. No obstante, el Comité observa con preocupación que las defensoras de los derechos humanos en el Estado parte, en particular las mujeres indígenas que defienden los derechos sobre la tierra y los recursos ambientales, las mujeres que propugnan la protección contra la violencia de género </w:t>
            </w:r>
            <w:r w:rsidDel="00000000" w:rsidR="00000000" w:rsidRPr="00000000">
              <w:rPr>
                <w:b w:val="1"/>
                <w:rtl w:val="0"/>
              </w:rPr>
              <w:t xml:space="preserve">y las mujeres defensoras de los derechos humanos de las mujeres lesbianas, bisexuales y trans y las personas intersexuales, son, cada vez más, objeto de agresiones, violencia sexual, intimidación, estigmatización, penalización de sus actividades, detenciones ilegales y campañas de difamación</w:t>
            </w:r>
            <w:r w:rsidDel="00000000" w:rsidR="00000000" w:rsidRPr="00000000">
              <w:rPr>
                <w:rtl w:val="0"/>
              </w:rPr>
              <w:t xml:space="preserve">. También le preocupa que la protesta social sea reprimida mediante el uso de la violencia de género contra las mujeres activistas, incluida la violencia sexual. Observa con preocupación la impunidad general de los autores de la violencia de género y otras violaciones de los derechos de las defensoras de los derechos humanos, así como los presuntos casos de colusión entre los agentes del orden y los autores.</w:t>
            </w:r>
          </w:p>
        </w:tc>
      </w:tr>
    </w:tbl>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En el caso de las defensoras de los derechos de las mujeres lesbianas, bisexuales y trans se destaca el asesinato de la activista Andrea González, representante legal de la Organización Trans Reinas de la Noche (OTRANS).</w:t>
      </w:r>
      <w:r w:rsidDel="00000000" w:rsidR="00000000" w:rsidRPr="00000000">
        <w:rPr>
          <w:vertAlign w:val="superscript"/>
        </w:rPr>
        <w:footnoteReference w:customMarkFollows="0" w:id="22"/>
      </w:r>
      <w:r w:rsidDel="00000000" w:rsidR="00000000" w:rsidRPr="00000000">
        <w:rPr>
          <w:rtl w:val="0"/>
        </w:rPr>
        <w:t xml:space="preserve"> Este asesinato se da en un clima de represión, persecución y criminalización a activistas y defensores de derechos humanos. Un ejemplo paradigmático es el caso de Nanci Sinto y Dulce Archila,</w:t>
      </w:r>
      <w:r w:rsidDel="00000000" w:rsidR="00000000" w:rsidRPr="00000000">
        <w:rPr>
          <w:vertAlign w:val="superscript"/>
        </w:rPr>
        <w:footnoteReference w:customMarkFollows="0" w:id="23"/>
      </w:r>
      <w:r w:rsidDel="00000000" w:rsidR="00000000" w:rsidRPr="00000000">
        <w:rPr>
          <w:rtl w:val="0"/>
        </w:rPr>
        <w:t xml:space="preserve"> una jóven indígena y otra estudiante que se manifestaron el 21 de noviembre en contra del presupuesto y el mal manejo de la pandemia por COVID-19.</w:t>
      </w:r>
      <w:r w:rsidDel="00000000" w:rsidR="00000000" w:rsidRPr="00000000">
        <w:rPr>
          <w:vertAlign w:val="superscript"/>
        </w:rPr>
        <w:footnoteReference w:customMarkFollows="0" w:id="24"/>
      </w:r>
      <w:r w:rsidDel="00000000" w:rsidR="00000000" w:rsidRPr="00000000">
        <w:rPr>
          <w:rtl w:val="0"/>
        </w:rPr>
        <w:t xml:space="preserve"> Esta manifestación ciudadana fue brutalmente reprimida con gas lacrimógeno y dos manifestantes perdieron sus ojos.</w:t>
      </w:r>
      <w:r w:rsidDel="00000000" w:rsidR="00000000" w:rsidRPr="00000000">
        <w:rPr>
          <w:vertAlign w:val="superscript"/>
        </w:rPr>
        <w:footnoteReference w:customMarkFollows="0" w:id="25"/>
      </w: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El clima de represión y persecución también ha afectado la libertad de asociación pues desde el año 2020 se ha proclamado el decreto 4-2020 llamado la “Ley de ONGs” que “otorga al gobierno la potestad de quitarle el registro a una ONG sin necesidad de pasar por un tribunal o de que exista un mecanismo de defensa, y además le da control sobre los fondos provenientes de la cooperación internacional. Organizaciones de sociedad civil han cuestionado la constitucionalidad de la legislación, llamando al gobierno a derogarla y a defender la libertad de expresión y de asociación, entre otras.”</w:t>
      </w:r>
      <w:r w:rsidDel="00000000" w:rsidR="00000000" w:rsidRPr="00000000">
        <w:rPr>
          <w:vertAlign w:val="superscript"/>
        </w:rPr>
        <w:footnoteReference w:customMarkFollows="0" w:id="26"/>
      </w:r>
      <w:r w:rsidDel="00000000" w:rsidR="00000000" w:rsidRPr="00000000">
        <w:rPr>
          <w:rtl w:val="0"/>
        </w:rPr>
        <w:t xml:space="preserve"> Las preocupaciones que se desprenden de este decreto tienen que ver con que podría ser utilizada como un instrumento para atacar y penalizar grupos críticos del Gobierno. </w:t>
      </w:r>
    </w:p>
    <w:p w:rsidR="00000000" w:rsidDel="00000000" w:rsidP="00000000" w:rsidRDefault="00000000" w:rsidRPr="00000000" w14:paraId="00000040">
      <w:pPr>
        <w:pStyle w:val="Subtitle"/>
        <w:rPr/>
      </w:pPr>
      <w:bookmarkStart w:colFirst="0" w:colLast="0" w:name="_heading=h.ibq8lfvqausg" w:id="8"/>
      <w:bookmarkEnd w:id="8"/>
      <w:r w:rsidDel="00000000" w:rsidR="00000000" w:rsidRPr="00000000">
        <w:rPr>
          <w:rtl w:val="0"/>
        </w:rPr>
        <w:t xml:space="preserve">Recomendaciones</w:t>
      </w:r>
      <w:r w:rsidDel="00000000" w:rsidR="00000000" w:rsidRPr="00000000">
        <w:rPr>
          <w:rtl w:val="0"/>
        </w:rPr>
      </w:r>
    </w:p>
    <w:p w:rsidR="00000000" w:rsidDel="00000000" w:rsidP="00000000" w:rsidRDefault="00000000" w:rsidRPr="00000000" w14:paraId="00000041">
      <w:pPr>
        <w:numPr>
          <w:ilvl w:val="0"/>
          <w:numId w:val="1"/>
        </w:numPr>
        <w:spacing w:after="0" w:lineRule="auto"/>
        <w:ind w:left="720" w:hanging="360"/>
        <w:rPr/>
      </w:pPr>
      <w:r w:rsidDel="00000000" w:rsidR="00000000" w:rsidRPr="00000000">
        <w:rPr>
          <w:rtl w:val="0"/>
        </w:rPr>
        <w:t xml:space="preserve">Al Gobierno de Guatemala, específicamente al Ministerio Público, detener la persecución contra activistas y defensoras de derechos humanos y garantizar que los crímenes cometidos contra ellas sean investigados y procesados, incluso cuando estos provienen de los cuerpos de policía u otros funcionarios públicos</w:t>
      </w:r>
      <w:r w:rsidDel="00000000" w:rsidR="00000000" w:rsidRPr="00000000">
        <w:rPr>
          <w:rtl w:val="0"/>
        </w:rPr>
        <w:t xml:space="preserve">. </w:t>
      </w:r>
    </w:p>
    <w:p w:rsidR="00000000" w:rsidDel="00000000" w:rsidP="00000000" w:rsidRDefault="00000000" w:rsidRPr="00000000" w14:paraId="00000042">
      <w:pPr>
        <w:numPr>
          <w:ilvl w:val="0"/>
          <w:numId w:val="1"/>
        </w:numPr>
        <w:spacing w:after="0" w:lineRule="auto"/>
        <w:ind w:left="720" w:hanging="360"/>
        <w:rPr/>
      </w:pPr>
      <w:r w:rsidDel="00000000" w:rsidR="00000000" w:rsidRPr="00000000">
        <w:rPr>
          <w:rtl w:val="0"/>
        </w:rPr>
        <w:t xml:space="preserve">Derogar el Decreto 4-2020 o reformarlo de tal manera que no pueda ser utilizado para perseguir a grupos opuestos al Gobierno y, por ende, vulnerar la libertad de asociación de la población guatemalteca.</w:t>
        <w:br w:type="textWrapping"/>
      </w:r>
    </w:p>
    <w:tbl>
      <w:tblPr>
        <w:tblStyle w:val="Table5"/>
        <w:tblW w:w="9000.0" w:type="dxa"/>
        <w:jc w:val="left"/>
        <w:tblInd w:w="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725"/>
        <w:gridCol w:w="7275"/>
        <w:tblGridChange w:id="0">
          <w:tblGrid>
            <w:gridCol w:w="1725"/>
            <w:gridCol w:w="7275"/>
          </w:tblGrid>
        </w:tblGridChange>
      </w:tblGrid>
      <w:tr>
        <w:trPr>
          <w:cantSplit w:val="0"/>
          <w:trHeight w:val="2086" w:hRule="atLeast"/>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43">
            <w:pPr>
              <w:widowControl w:val="0"/>
              <w:spacing w:after="0" w:line="240" w:lineRule="auto"/>
              <w:jc w:val="left"/>
              <w:rPr/>
            </w:pPr>
            <w:r w:rsidDel="00000000" w:rsidR="00000000" w:rsidRPr="00000000">
              <w:rPr>
                <w:rtl w:val="0"/>
              </w:rPr>
              <w:t xml:space="preserve">CEDAW/C/GTM/CO/8-9</w:t>
            </w:r>
          </w:p>
        </w:tc>
        <w:tc>
          <w:tcPr>
            <w:shd w:fill="auto" w:val="clear"/>
            <w:tcMar>
              <w:top w:w="100.0" w:type="dxa"/>
              <w:left w:w="100.0" w:type="dxa"/>
              <w:bottom w:w="100.0" w:type="dxa"/>
              <w:right w:w="100.0" w:type="dxa"/>
            </w:tcMar>
          </w:tcPr>
          <w:p w:rsidR="00000000" w:rsidDel="00000000" w:rsidP="00000000" w:rsidRDefault="00000000" w:rsidRPr="00000000" w14:paraId="00000044">
            <w:pPr>
              <w:rPr/>
            </w:pPr>
            <w:r w:rsidDel="00000000" w:rsidR="00000000" w:rsidRPr="00000000">
              <w:rPr>
                <w:rtl w:val="0"/>
              </w:rPr>
              <w:t xml:space="preserve">20. a) La persistencia de la violencia de género contra las mujeres y las niñas en el Estado parte, en particular las tasas alarmantes y crecientes de femicidio, </w:t>
            </w:r>
            <w:r w:rsidDel="00000000" w:rsidR="00000000" w:rsidRPr="00000000">
              <w:rPr>
                <w:b w:val="1"/>
                <w:rtl w:val="0"/>
              </w:rPr>
              <w:t xml:space="preserve">delitos motivados por prejuicios contra mujeres lesbianas, bisexuales y trans, y personas intersexuales,</w:t>
            </w:r>
            <w:r w:rsidDel="00000000" w:rsidR="00000000" w:rsidRPr="00000000">
              <w:rPr>
                <w:rtl w:val="0"/>
              </w:rPr>
              <w:t xml:space="preserve"> violencia doméstica y violaciones e incesto que causan embarazos forzados, y la ausencia de datos desglosados fiables y de estrategias eficaces de prevención;</w:t>
            </w:r>
          </w:p>
        </w:tc>
      </w:tr>
    </w:tbl>
    <w:p w:rsidR="00000000" w:rsidDel="00000000" w:rsidP="00000000" w:rsidRDefault="00000000" w:rsidRPr="00000000" w14:paraId="00000045">
      <w:pPr>
        <w:rPr/>
      </w:pPr>
      <w:r w:rsidDel="00000000" w:rsidR="00000000" w:rsidRPr="00000000">
        <w:rPr>
          <w:rtl w:val="0"/>
        </w:rPr>
        <w:br w:type="textWrapping"/>
        <w:t xml:space="preserve">Tal como se ha mencionado anteriormente, Guatemala no cuenta con leyes ni políticas públicas que promuevan el reconocimiento y cumplimiento de los derechos humanos de las personas LGBTI. De igual forma, tampoco existen datos y estadísticas representativas de esta población, los esfuerzos más grandes y sistemáticos de recolección de datos vienen de la sociedad civil. </w:t>
      </w:r>
    </w:p>
    <w:p w:rsidR="00000000" w:rsidDel="00000000" w:rsidP="00000000" w:rsidRDefault="00000000" w:rsidRPr="00000000" w14:paraId="00000046">
      <w:pPr>
        <w:rPr/>
      </w:pPr>
      <w:r w:rsidDel="00000000" w:rsidR="00000000" w:rsidRPr="00000000">
        <w:rPr>
          <w:rtl w:val="0"/>
        </w:rPr>
        <w:t xml:space="preserve">La Asociación LAMBDA en Guatemala contabiliza en su Observatorio de Muertes Violentas los asesinatos cometidos hacia personas LGBTI.</w:t>
      </w:r>
      <w:r w:rsidDel="00000000" w:rsidR="00000000" w:rsidRPr="00000000">
        <w:rPr>
          <w:vertAlign w:val="superscript"/>
        </w:rPr>
        <w:footnoteReference w:customMarkFollows="0" w:id="27"/>
      </w:r>
      <w:r w:rsidDel="00000000" w:rsidR="00000000" w:rsidRPr="00000000">
        <w:rPr>
          <w:rtl w:val="0"/>
        </w:rPr>
        <w:t xml:space="preserve"> Hasta el 7 de septiembre del año 2022 se ha contabilizado la muerte violenta de 20 personas LGBTI</w:t>
      </w:r>
      <w:r w:rsidDel="00000000" w:rsidR="00000000" w:rsidRPr="00000000">
        <w:rPr>
          <w:vertAlign w:val="superscript"/>
        </w:rPr>
        <w:footnoteReference w:customMarkFollows="0" w:id="28"/>
      </w:r>
      <w:r w:rsidDel="00000000" w:rsidR="00000000" w:rsidRPr="00000000">
        <w:rPr>
          <w:rtl w:val="0"/>
        </w:rPr>
        <w:t xml:space="preserve">, de las cuales tres son mujeres lesbianas, 1 de un hombre trans. Sobre el asesinato de hombres trans y personas transmasculinas es importante resaltar que no existen protocolos con pertinencia del género y según su sexo asignado al nacer y, al no identificarse como mujeres, habitan un vacío legal también presente en el sistema internacional de derechos humanos. A menudo los hombres trans padecen situaciones de violencia similares a las de las mujeres lesbianas.</w:t>
      </w:r>
    </w:p>
    <w:p w:rsidR="00000000" w:rsidDel="00000000" w:rsidP="00000000" w:rsidRDefault="00000000" w:rsidRPr="00000000" w14:paraId="00000047">
      <w:pPr>
        <w:rPr/>
      </w:pPr>
      <w:r w:rsidDel="00000000" w:rsidR="00000000" w:rsidRPr="00000000">
        <w:rPr>
          <w:rtl w:val="0"/>
        </w:rPr>
        <w:t xml:space="preserve">Sobre este tipo de violaciones extremas a los derechos humanos de la población LGBTIQ, la CIDH ha destacado el asesinato de Hans Acevedo, hombre trans integrante del Colectivo Trans-formación.</w:t>
      </w:r>
      <w:r w:rsidDel="00000000" w:rsidR="00000000" w:rsidRPr="00000000">
        <w:rPr>
          <w:vertAlign w:val="superscript"/>
        </w:rPr>
        <w:footnoteReference w:customMarkFollows="0" w:id="29"/>
      </w:r>
      <w:r w:rsidDel="00000000" w:rsidR="00000000" w:rsidRPr="00000000">
        <w:rPr>
          <w:rtl w:val="0"/>
        </w:rPr>
        <w:t xml:space="preserve"> El Colectivo ha acompañado el caso y señala la urgencia de que existan protocolos que permitan considerar la identidad de género de las víctimas al momento de realizar las investigaciones de los crímenes. Adicionalmente, destaca las violaciones graves a sus derechos humanos que ha sufrido la pareja de Hans Acevedo, misma que ha sido victimizada por los fiscales al no creerle sobre su relación, todo acompañado de violencia hacia sus derechos patrimoniales por parte del sistema bancario y financiero. </w:t>
      </w:r>
    </w:p>
    <w:p w:rsidR="00000000" w:rsidDel="00000000" w:rsidP="00000000" w:rsidRDefault="00000000" w:rsidRPr="00000000" w14:paraId="00000048">
      <w:pPr>
        <w:rPr/>
      </w:pPr>
      <w:r w:rsidDel="00000000" w:rsidR="00000000" w:rsidRPr="00000000">
        <w:rPr>
          <w:rtl w:val="0"/>
        </w:rPr>
        <w:t xml:space="preserve">Por otro lado, el Colectivo Trans-formación destaca el caso de un hombre trans hondureño en situación de movilidad y desplazamiento forzado durante el 2020. Este hombre trans padeció un aborto espontáneo, mismo que fue provocado por un embarazo fruto de la violencia sexual que padeció en su comunidad y durante su tránsito a Guatemala. El Colectivo acompañó el caso y señala que en los hospitales públicos de Guatemala le negaron la atención médica por ser migrante y por ser trans.</w:t>
      </w:r>
      <w:r w:rsidDel="00000000" w:rsidR="00000000" w:rsidRPr="00000000">
        <w:rPr>
          <w:vertAlign w:val="superscript"/>
        </w:rPr>
        <w:footnoteReference w:customMarkFollows="0" w:id="30"/>
      </w:r>
      <w:r w:rsidDel="00000000" w:rsidR="00000000" w:rsidRPr="00000000">
        <w:rPr>
          <w:rtl w:val="0"/>
        </w:rPr>
        <w:t xml:space="preserve"> Este caso de extrema violencia demuestra cómo el sistema deja fuera a los hombres trans y a las personas de género diverso que fueron asignadas femeninas al nacer solo por el hecho de no identificarse como mujeres.</w:t>
      </w:r>
    </w:p>
    <w:p w:rsidR="00000000" w:rsidDel="00000000" w:rsidP="00000000" w:rsidRDefault="00000000" w:rsidRPr="00000000" w14:paraId="00000049">
      <w:pPr>
        <w:rPr/>
      </w:pPr>
      <w:r w:rsidDel="00000000" w:rsidR="00000000" w:rsidRPr="00000000">
        <w:rPr>
          <w:rtl w:val="0"/>
        </w:rPr>
        <w:t xml:space="preserve">Durante el 2020 se contabilizaron 19 asesinatos por prejuicio y 6 de ellos fueron contra mujeres trans.</w:t>
      </w:r>
      <w:r w:rsidDel="00000000" w:rsidR="00000000" w:rsidRPr="00000000">
        <w:rPr>
          <w:vertAlign w:val="superscript"/>
        </w:rPr>
        <w:footnoteReference w:customMarkFollows="0" w:id="31"/>
      </w:r>
      <w:r w:rsidDel="00000000" w:rsidR="00000000" w:rsidRPr="00000000">
        <w:rPr>
          <w:rtl w:val="0"/>
        </w:rPr>
        <w:t xml:space="preserve"> Durante el año 2021, de las 33 muertes que se registraron 3 fueron a mujeres lesbianas.</w:t>
      </w:r>
      <w:r w:rsidDel="00000000" w:rsidR="00000000" w:rsidRPr="00000000">
        <w:rPr>
          <w:vertAlign w:val="superscript"/>
        </w:rPr>
        <w:footnoteReference w:customMarkFollows="0" w:id="32"/>
      </w:r>
      <w:r w:rsidDel="00000000" w:rsidR="00000000" w:rsidRPr="00000000">
        <w:rPr>
          <w:rtl w:val="0"/>
        </w:rPr>
        <w:t xml:space="preserve"> Entre el 2020 y 2021 se registro un total de 52 asesinatos  por prejuicios en los cuales 6 de las víctimas se registraron como personas trans y 3 como mujeres lesbianas. Estos números forman parte de una realidad generalizada de violencia de género, en el 2018 el delito más denunciado en Guatemala fue el de violencia contra la mujer con más de 40 mil denuncias, la tasa de impunidad de los mismos se ubicaba arriba del 90% – 54% en el caso de femicidio.</w:t>
      </w:r>
      <w:r w:rsidDel="00000000" w:rsidR="00000000" w:rsidRPr="00000000">
        <w:rPr>
          <w:vertAlign w:val="superscript"/>
        </w:rPr>
        <w:footnoteReference w:customMarkFollows="0" w:id="33"/>
      </w: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La naturaleza de estos asesinatos usualmente incluye violencia extrema, violencia sexual y violencia ejemplificante y correctiva. Esto ha sido registrado en el 2019 en un caso paradigmático del asesinato de dos mujeres cuyos cuerpos fueron maniatados con lemas lesbofóbicos</w:t>
      </w:r>
      <w:r w:rsidDel="00000000" w:rsidR="00000000" w:rsidRPr="00000000">
        <w:rPr>
          <w:vertAlign w:val="superscript"/>
        </w:rPr>
        <w:footnoteReference w:customMarkFollows="0" w:id="34"/>
      </w:r>
      <w:r w:rsidDel="00000000" w:rsidR="00000000" w:rsidRPr="00000000">
        <w:rPr>
          <w:rtl w:val="0"/>
        </w:rPr>
        <w:t xml:space="preserve">. También se ha registrado violencia sexual correctiva orientada a “cambiar” la orientación sexual o identidad de género de las personas. Esto constituye una forma extrema de violencia motivada por el prejuicio basado en orientación sexual, identidad y expresión de género.</w:t>
      </w:r>
      <w:r w:rsidDel="00000000" w:rsidR="00000000" w:rsidRPr="00000000">
        <w:rPr>
          <w:vertAlign w:val="superscript"/>
        </w:rPr>
        <w:footnoteReference w:customMarkFollows="0" w:id="35"/>
      </w: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Otras fuentes de información como el informe del Centro de Documentación y Situación Trans en Latinoamérica y el Caribe —CEDOSTALC—, </w:t>
      </w:r>
      <w:r w:rsidDel="00000000" w:rsidR="00000000" w:rsidRPr="00000000">
        <w:rPr>
          <w:i w:val="1"/>
          <w:rtl w:val="0"/>
        </w:rPr>
        <w:t xml:space="preserve">Basta de genocidio trans </w:t>
      </w:r>
      <w:r w:rsidDel="00000000" w:rsidR="00000000" w:rsidRPr="00000000">
        <w:rPr>
          <w:rtl w:val="0"/>
        </w:rPr>
        <w:t xml:space="preserve">(2018) documenta que el 13% de las violaciones a los derechos humanos cometidas en contra de mujeres trans atentan directamente con el derecho a la vida. La mayoría de las víctimas de asesinato no sobrepasan los 30 años de edad. Este último dato coincide con que el 59% de las agresiones documentadas a las mujeres trans en ese estudio se dieron hacia mujeres de entre 18 y 30 años de edad. Según los registros de la CIDH, la mayoría de víctimas de violencia grave y asesinatos son hombres cisgénero gays y mujeres trans.</w:t>
      </w:r>
      <w:r w:rsidDel="00000000" w:rsidR="00000000" w:rsidRPr="00000000">
        <w:rPr>
          <w:vertAlign w:val="superscript"/>
        </w:rPr>
        <w:footnoteReference w:customMarkFollows="0" w:id="36"/>
      </w:r>
      <w:r w:rsidDel="00000000" w:rsidR="00000000" w:rsidRPr="00000000">
        <w:rPr>
          <w:rtl w:val="0"/>
        </w:rPr>
        <w:t xml:space="preserve"> </w:t>
      </w:r>
    </w:p>
    <w:p w:rsidR="00000000" w:rsidDel="00000000" w:rsidP="00000000" w:rsidRDefault="00000000" w:rsidRPr="00000000" w14:paraId="0000004C">
      <w:pPr>
        <w:rPr/>
      </w:pPr>
      <w:r w:rsidDel="00000000" w:rsidR="00000000" w:rsidRPr="00000000">
        <w:rPr>
          <w:rtl w:val="0"/>
        </w:rPr>
        <w:t xml:space="preserve">Y es que los asesinatos y crímenes motivados por el prejuicio hacia las personas LGBTI suceden en un ambiente más amplio que tiene que ver con las instituciones públicas pero y con un ambiente generalizado de discriminación. Un estudio realizado por la ONG Visibles durante el 2020 a 304 personas LGBTQ establece que una de cada tres personas de esta población ha sufrido algún tipo de discriminación en el último año. Esta cifra aumenta a dos de cada tres cuando se habla de personas trans.</w:t>
      </w:r>
      <w:r w:rsidDel="00000000" w:rsidR="00000000" w:rsidRPr="00000000">
        <w:rPr>
          <w:vertAlign w:val="superscript"/>
        </w:rPr>
        <w:footnoteReference w:customMarkFollows="0" w:id="37"/>
      </w:r>
      <w:r w:rsidDel="00000000" w:rsidR="00000000" w:rsidRPr="00000000">
        <w:rPr>
          <w:rtl w:val="0"/>
        </w:rPr>
        <w:t xml:space="preserve"> Estos datos hacen eco con el informe del CEDOSTALC pues se establece que 37% de las mujeres trans han sufrido discriminación por parte de instituciones y 20% de ellas de parte de la sociedad. Adicionalmente, el informe anteriormente mencionado destaca las diversas intersecciones como migración irregular, trabajo sexual, empobrecimiento y pertenencia étnico-lingüística como agravantes para la violencia que sufren las mujeres.</w:t>
      </w:r>
      <w:r w:rsidDel="00000000" w:rsidR="00000000" w:rsidRPr="00000000">
        <w:rPr>
          <w:vertAlign w:val="superscript"/>
        </w:rPr>
        <w:footnoteReference w:customMarkFollows="0" w:id="38"/>
      </w:r>
      <w:r w:rsidDel="00000000" w:rsidR="00000000" w:rsidRPr="00000000">
        <w:rPr>
          <w:rtl w:val="0"/>
        </w:rPr>
        <w:t xml:space="preserve"> </w:t>
      </w:r>
    </w:p>
    <w:p w:rsidR="00000000" w:rsidDel="00000000" w:rsidP="00000000" w:rsidRDefault="00000000" w:rsidRPr="00000000" w14:paraId="0000004D">
      <w:pPr>
        <w:pStyle w:val="Subtitle"/>
        <w:rPr/>
      </w:pPr>
      <w:bookmarkStart w:colFirst="0" w:colLast="0" w:name="_heading=h.5erul6vjvp44" w:id="9"/>
      <w:bookmarkEnd w:id="9"/>
      <w:r w:rsidDel="00000000" w:rsidR="00000000" w:rsidRPr="00000000">
        <w:rPr>
          <w:rtl w:val="0"/>
        </w:rPr>
        <w:t xml:space="preserve">Datos de investigación y persecución criminal </w:t>
      </w:r>
    </w:p>
    <w:p w:rsidR="00000000" w:rsidDel="00000000" w:rsidP="00000000" w:rsidRDefault="00000000" w:rsidRPr="00000000" w14:paraId="0000004E">
      <w:pPr>
        <w:rPr/>
      </w:pPr>
      <w:r w:rsidDel="00000000" w:rsidR="00000000" w:rsidRPr="00000000">
        <w:rPr>
          <w:rtl w:val="0"/>
        </w:rPr>
        <w:t xml:space="preserve">Aunque la información pública de oficio no presenta datos desagregados sobre el acceso a la justicia para las personas LGBT, el esfuerzo de recabar información pública realizado por las organizaciones de sociedad civil como Visibles ha logrado obtener los siguientes datos: </w:t>
      </w:r>
    </w:p>
    <w:p w:rsidR="00000000" w:rsidDel="00000000" w:rsidP="00000000" w:rsidRDefault="00000000" w:rsidRPr="00000000" w14:paraId="0000004F">
      <w:pPr>
        <w:numPr>
          <w:ilvl w:val="0"/>
          <w:numId w:val="3"/>
        </w:numPr>
        <w:ind w:left="720" w:hanging="360"/>
        <w:rPr/>
      </w:pPr>
      <w:r w:rsidDel="00000000" w:rsidR="00000000" w:rsidRPr="00000000">
        <w:rPr>
          <w:rtl w:val="0"/>
        </w:rPr>
        <w:t xml:space="preserve">El Mecanismo de Búsqueda inmediata de Mujeres desaparecidas, mejor conocido como Alerta Isabel-Claudina, coordinado por el Ministerio Público indica que de 2018 a abril de 2022 solamente se registra 1 alerta para 1 mujer trans y 13 para mujeres lesbianas.</w:t>
      </w:r>
    </w:p>
    <w:p w:rsidR="00000000" w:rsidDel="00000000" w:rsidP="00000000" w:rsidRDefault="00000000" w:rsidRPr="00000000" w14:paraId="00000050">
      <w:pPr>
        <w:numPr>
          <w:ilvl w:val="0"/>
          <w:numId w:val="3"/>
        </w:numPr>
        <w:ind w:left="720" w:hanging="360"/>
        <w:rPr/>
      </w:pPr>
      <w:r w:rsidDel="00000000" w:rsidR="00000000" w:rsidRPr="00000000">
        <w:rPr>
          <w:rtl w:val="0"/>
        </w:rPr>
        <w:t xml:space="preserve">El Sistema Penitenciario para abril de 2022, registraba que dentro de la población privada de libertad en los diferentes centros de detención se encontraban 140 personas que se identifican como lesbianas; 193 como bisexuales  y 1 como queer/intersexual.</w:t>
      </w:r>
    </w:p>
    <w:p w:rsidR="00000000" w:rsidDel="00000000" w:rsidP="00000000" w:rsidRDefault="00000000" w:rsidRPr="00000000" w14:paraId="00000051">
      <w:pPr>
        <w:numPr>
          <w:ilvl w:val="0"/>
          <w:numId w:val="3"/>
        </w:numPr>
        <w:ind w:left="720" w:hanging="360"/>
        <w:rPr/>
      </w:pPr>
      <w:r w:rsidDel="00000000" w:rsidR="00000000" w:rsidRPr="00000000">
        <w:rPr>
          <w:rtl w:val="0"/>
        </w:rPr>
        <w:t xml:space="preserve">El Ministerio Público reportó que de enero 2015 a junio 2022, con relación a denuncias por el delito de trata reportó 1 de una persona trans. </w:t>
      </w:r>
    </w:p>
    <w:p w:rsidR="00000000" w:rsidDel="00000000" w:rsidP="00000000" w:rsidRDefault="00000000" w:rsidRPr="00000000" w14:paraId="00000052">
      <w:pPr>
        <w:numPr>
          <w:ilvl w:val="0"/>
          <w:numId w:val="3"/>
        </w:numPr>
        <w:ind w:left="720" w:hanging="360"/>
        <w:rPr/>
      </w:pPr>
      <w:r w:rsidDel="00000000" w:rsidR="00000000" w:rsidRPr="00000000">
        <w:rPr>
          <w:rtl w:val="0"/>
        </w:rPr>
        <w:t xml:space="preserve">De conformidad con los datos del MP entre enero 2015 a junio 2022, recibió 17 denuncias por agresión sexual a miembros de la comunidad LGBTI+, de las cuales 9 son hechos donde la víctima es una persona LBT. De estos casos 5 fueron desestimados, en el periodo reportado por el MP.</w:t>
      </w:r>
    </w:p>
    <w:p w:rsidR="00000000" w:rsidDel="00000000" w:rsidP="00000000" w:rsidRDefault="00000000" w:rsidRPr="00000000" w14:paraId="00000053">
      <w:pPr>
        <w:numPr>
          <w:ilvl w:val="0"/>
          <w:numId w:val="3"/>
        </w:numPr>
        <w:ind w:left="720" w:hanging="360"/>
        <w:rPr/>
      </w:pPr>
      <w:r w:rsidDel="00000000" w:rsidR="00000000" w:rsidRPr="00000000">
        <w:rPr>
          <w:rtl w:val="0"/>
        </w:rPr>
        <w:t xml:space="preserve">Para el delito de lesiones el MP reportó que recibió 124 denuncias de personas de la diversidad sexual por haber sufrido hechos constitutivos del delito de lesiones, de estas 32 corresponden a personas LBT. Además, para este periodo se desestimaron 67 denuncias (54% del total recibido) y 7 fueron archivadas.</w:t>
      </w:r>
    </w:p>
    <w:p w:rsidR="00000000" w:rsidDel="00000000" w:rsidP="00000000" w:rsidRDefault="00000000" w:rsidRPr="00000000" w14:paraId="00000054">
      <w:pPr>
        <w:numPr>
          <w:ilvl w:val="0"/>
          <w:numId w:val="3"/>
        </w:numPr>
        <w:ind w:left="720" w:hanging="360"/>
        <w:rPr/>
      </w:pPr>
      <w:r w:rsidDel="00000000" w:rsidR="00000000" w:rsidRPr="00000000">
        <w:rPr>
          <w:rtl w:val="0"/>
        </w:rPr>
        <w:t xml:space="preserve">El MP reporto que para el periodo de enero de 2015 a junio de 2022, recibió un total de 140 denuncias por hechos de discriminación en contra de población LGBTI+ de las cuales 29 son hechos en contra de población LBT. Sin embargo, reporta que un 77% (108) de las denuncias son desestimadas para realizar investigación y lograr la judicialización de la misma.</w:t>
      </w:r>
    </w:p>
    <w:p w:rsidR="00000000" w:rsidDel="00000000" w:rsidP="00000000" w:rsidRDefault="00000000" w:rsidRPr="00000000" w14:paraId="00000055">
      <w:pPr>
        <w:numPr>
          <w:ilvl w:val="0"/>
          <w:numId w:val="3"/>
        </w:numPr>
        <w:ind w:left="720" w:hanging="360"/>
        <w:rPr/>
      </w:pPr>
      <w:r w:rsidDel="00000000" w:rsidR="00000000" w:rsidRPr="00000000">
        <w:rPr>
          <w:rtl w:val="0"/>
        </w:rPr>
        <w:t xml:space="preserve">Para el delito de violación el MP reportó haber recibido 36 denuncias de violación a miembros de la comunidad LGBTI+, de las cuales 13 corresponden a persona LBT. De estos 9 fueron archivados, 3 desestimados, 1 sobreseído y 2 sentenciados </w:t>
      </w:r>
    </w:p>
    <w:p w:rsidR="00000000" w:rsidDel="00000000" w:rsidP="00000000" w:rsidRDefault="00000000" w:rsidRPr="00000000" w14:paraId="00000056">
      <w:pPr>
        <w:numPr>
          <w:ilvl w:val="0"/>
          <w:numId w:val="3"/>
        </w:numPr>
        <w:ind w:left="720" w:hanging="360"/>
        <w:rPr/>
      </w:pPr>
      <w:r w:rsidDel="00000000" w:rsidR="00000000" w:rsidRPr="00000000">
        <w:rPr>
          <w:rtl w:val="0"/>
        </w:rPr>
        <w:t xml:space="preserve">Por su parte el Organismo Judicial no puede establecer si en su función de administrar justicia no puede establecer si existen desestimaciones, otras salidas procesales o sentencias para personas LBT que hayan denunciado alguno de los delitos antes mencionados.</w:t>
      </w:r>
    </w:p>
    <w:p w:rsidR="00000000" w:rsidDel="00000000" w:rsidP="00000000" w:rsidRDefault="00000000" w:rsidRPr="00000000" w14:paraId="00000057">
      <w:pPr>
        <w:rPr/>
      </w:pPr>
      <w:r w:rsidDel="00000000" w:rsidR="00000000" w:rsidRPr="00000000">
        <w:rPr>
          <w:rtl w:val="0"/>
        </w:rPr>
        <w:t xml:space="preserve">Las diferentes instituciones que conforman el sector justicia guatemalteco no manejan los datos desagregados de la población LGBTI como información pública de oficio sino a solicitud de la ciudadanía. Según análisis de las organizaciones que presentan esta información es importante resaltar que estos datos pueden no ser del todo representativos de toda la realidad que viven las mujeres LBT en materia de justicia. Por ejemplo, las investigaciones de sociedad civil anteriormente citas han arrojado datos sobre la poca cultura de denuncia a causa del miedo a la discriminación por parte de funcionarios públicos. Además, la ausencia de protocolos y estructuras legales tales como la </w:t>
      </w:r>
      <w:r w:rsidDel="00000000" w:rsidR="00000000" w:rsidRPr="00000000">
        <w:rPr>
          <w:i w:val="1"/>
          <w:rtl w:val="0"/>
        </w:rPr>
        <w:t xml:space="preserve">Ley de Crímenes por Prejuicio</w:t>
      </w:r>
      <w:r w:rsidDel="00000000" w:rsidR="00000000" w:rsidRPr="00000000">
        <w:rPr>
          <w:rtl w:val="0"/>
        </w:rPr>
        <w:t xml:space="preserve"> y la </w:t>
      </w:r>
      <w:r w:rsidDel="00000000" w:rsidR="00000000" w:rsidRPr="00000000">
        <w:rPr>
          <w:i w:val="1"/>
          <w:rtl w:val="0"/>
        </w:rPr>
        <w:t xml:space="preserve">Ley de identidad de género</w:t>
      </w:r>
      <w:r w:rsidDel="00000000" w:rsidR="00000000" w:rsidRPr="00000000">
        <w:rPr>
          <w:rtl w:val="0"/>
        </w:rPr>
        <w:t xml:space="preserve">, generan brechas estructurales para la tipificación y reconocimiento de las personas LBT. </w:t>
      </w:r>
    </w:p>
    <w:p w:rsidR="00000000" w:rsidDel="00000000" w:rsidP="00000000" w:rsidRDefault="00000000" w:rsidRPr="00000000" w14:paraId="00000058">
      <w:pPr>
        <w:pStyle w:val="Subtitle"/>
        <w:rPr/>
      </w:pPr>
      <w:bookmarkStart w:colFirst="0" w:colLast="0" w:name="_heading=h.2hloinbesr21" w:id="10"/>
      <w:bookmarkEnd w:id="10"/>
      <w:r w:rsidDel="00000000" w:rsidR="00000000" w:rsidRPr="00000000">
        <w:rPr>
          <w:rtl w:val="0"/>
        </w:rPr>
        <w:t xml:space="preserve">Recomendaciones</w:t>
      </w:r>
    </w:p>
    <w:p w:rsidR="00000000" w:rsidDel="00000000" w:rsidP="00000000" w:rsidRDefault="00000000" w:rsidRPr="00000000" w14:paraId="00000059">
      <w:pPr>
        <w:numPr>
          <w:ilvl w:val="0"/>
          <w:numId w:val="1"/>
        </w:numPr>
        <w:spacing w:after="0" w:lineRule="auto"/>
        <w:ind w:left="720" w:hanging="360"/>
        <w:rPr/>
      </w:pPr>
      <w:r w:rsidDel="00000000" w:rsidR="00000000" w:rsidRPr="00000000">
        <w:rPr>
          <w:rtl w:val="0"/>
        </w:rPr>
        <w:t xml:space="preserve">Al Gobierno de Guatemala, apoyar el trabajo de la PDH y fortalecer la Defensoría de la Diversidad Sexual, contando con una adecuada asignación de recursos y personal para realizar su trabajo con mayor eficacia.</w:t>
      </w:r>
    </w:p>
    <w:p w:rsidR="00000000" w:rsidDel="00000000" w:rsidP="00000000" w:rsidRDefault="00000000" w:rsidRPr="00000000" w14:paraId="0000005A">
      <w:pPr>
        <w:numPr>
          <w:ilvl w:val="0"/>
          <w:numId w:val="1"/>
        </w:numPr>
        <w:spacing w:after="0" w:lineRule="auto"/>
        <w:ind w:left="720" w:hanging="360"/>
        <w:rPr/>
      </w:pPr>
      <w:r w:rsidDel="00000000" w:rsidR="00000000" w:rsidRPr="00000000">
        <w:rPr>
          <w:rtl w:val="0"/>
        </w:rPr>
        <w:t xml:space="preserve">Al Ministerio Público y a la PNC, llevar a cabo investigaciones expeditas e independientes basadas en los derechos humanos de las personas LGBTIQ para penalizar los crímenes motivados por el prejuicio y auxiliar la creación e implementación de políticas públicas. Buscar una coordinación entre las dos entidades y un sistema de datos que capture de manera eficiente e informada las características identitarias de la población LGBTIQ.</w:t>
      </w:r>
      <w:r w:rsidDel="00000000" w:rsidR="00000000" w:rsidRPr="00000000">
        <w:rPr>
          <w:rtl w:val="0"/>
        </w:rPr>
      </w:r>
    </w:p>
    <w:p w:rsidR="00000000" w:rsidDel="00000000" w:rsidP="00000000" w:rsidRDefault="00000000" w:rsidRPr="00000000" w14:paraId="0000005B">
      <w:pPr>
        <w:numPr>
          <w:ilvl w:val="0"/>
          <w:numId w:val="1"/>
        </w:numPr>
        <w:ind w:left="720" w:hanging="360"/>
        <w:rPr/>
      </w:pPr>
      <w:r w:rsidDel="00000000" w:rsidR="00000000" w:rsidRPr="00000000">
        <w:rPr>
          <w:rtl w:val="0"/>
        </w:rPr>
        <w:t xml:space="preserve">Al Ministerio de Gobernación, garantizar que dentro del sistema penitenciario y la Policía Nacional Civil no existan formas de tortura y otros tratos inhumanos, crueles y degradantes hacia las mujeres LBTI, especialmente hacia las mujeres trans. Buscar evitar a toda costa la violencia y corrupción ejercida en contra de las mujeres trans por estas entidades</w:t>
      </w:r>
      <w:r w:rsidDel="00000000" w:rsidR="00000000" w:rsidRPr="00000000">
        <w:rPr>
          <w:rtl w:val="0"/>
        </w:rPr>
        <w:t xml:space="preserve">. </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pStyle w:val="Heading1"/>
        <w:rPr/>
      </w:pPr>
      <w:bookmarkStart w:colFirst="0" w:colLast="0" w:name="_heading=h.3dy6vkm" w:id="11"/>
      <w:bookmarkEnd w:id="11"/>
      <w:r w:rsidDel="00000000" w:rsidR="00000000" w:rsidRPr="00000000">
        <w:br w:type="page"/>
      </w:r>
      <w:r w:rsidDel="00000000" w:rsidR="00000000" w:rsidRPr="00000000">
        <w:rPr>
          <w:rtl w:val="0"/>
        </w:rPr>
      </w:r>
    </w:p>
    <w:p w:rsidR="00000000" w:rsidDel="00000000" w:rsidP="00000000" w:rsidRDefault="00000000" w:rsidRPr="00000000" w14:paraId="0000005E">
      <w:pPr>
        <w:pStyle w:val="Heading1"/>
        <w:rPr/>
      </w:pPr>
      <w:bookmarkStart w:colFirst="0" w:colLast="0" w:name="_heading=h.rsxwwzzg41ah" w:id="12"/>
      <w:bookmarkEnd w:id="12"/>
      <w:r w:rsidDel="00000000" w:rsidR="00000000" w:rsidRPr="00000000">
        <w:rPr>
          <w:rtl w:val="0"/>
        </w:rPr>
        <w:t xml:space="preserve">Recopilación de recomendaciones</w:t>
      </w:r>
    </w:p>
    <w:p w:rsidR="00000000" w:rsidDel="00000000" w:rsidP="00000000" w:rsidRDefault="00000000" w:rsidRPr="00000000" w14:paraId="0000005F">
      <w:pPr>
        <w:numPr>
          <w:ilvl w:val="0"/>
          <w:numId w:val="2"/>
        </w:numPr>
        <w:spacing w:after="0" w:lineRule="auto"/>
        <w:ind w:left="720" w:hanging="360"/>
        <w:rPr/>
      </w:pPr>
      <w:r w:rsidDel="00000000" w:rsidR="00000000" w:rsidRPr="00000000">
        <w:rPr>
          <w:rtl w:val="0"/>
        </w:rPr>
        <w:t xml:space="preserve">Detener la agenda regresiva que atenta contra los derechos humanos de la población guatemalteca y se traduce a leyes antidemocráticas —como la Ley de ONGs—, leyes anti derechos —como la 5940— y retrocesos institucionales que impiden que las instituciones funcionen para la garantía de derechos humanos de las mujeres. </w:t>
      </w:r>
    </w:p>
    <w:p w:rsidR="00000000" w:rsidDel="00000000" w:rsidP="00000000" w:rsidRDefault="00000000" w:rsidRPr="00000000" w14:paraId="00000060">
      <w:pPr>
        <w:numPr>
          <w:ilvl w:val="0"/>
          <w:numId w:val="2"/>
        </w:numPr>
        <w:spacing w:after="0" w:lineRule="auto"/>
        <w:ind w:left="720" w:hanging="360"/>
        <w:rPr/>
      </w:pPr>
      <w:r w:rsidDel="00000000" w:rsidR="00000000" w:rsidRPr="00000000">
        <w:rPr>
          <w:rtl w:val="0"/>
        </w:rPr>
        <w:t xml:space="preserve">Al Congreso de la República, aprobar una ley de identidad de género basada en los principios de la OC 24/17 respectivos al derecho humano a la identidad de género de las personas trans y que este mismo reconocimiento de la identidad de género trans se homologue a todos los sistemas de captura de datos del Estado. Garantizar que la discusión de la ley se dé sin discursos de odio y situaciones que vulneren más a las personas trans.</w:t>
      </w:r>
    </w:p>
    <w:p w:rsidR="00000000" w:rsidDel="00000000" w:rsidP="00000000" w:rsidRDefault="00000000" w:rsidRPr="00000000" w14:paraId="00000061">
      <w:pPr>
        <w:numPr>
          <w:ilvl w:val="0"/>
          <w:numId w:val="2"/>
        </w:numPr>
        <w:spacing w:after="0" w:lineRule="auto"/>
        <w:ind w:left="720" w:hanging="360"/>
        <w:rPr/>
      </w:pPr>
      <w:r w:rsidDel="00000000" w:rsidR="00000000" w:rsidRPr="00000000">
        <w:rPr>
          <w:rtl w:val="0"/>
        </w:rPr>
        <w:t xml:space="preserve">Al Congreso de la República, no aprobar la iniciativa de ley 5940 que generaría un ambiente de discriminación contra las personas trans, específicamente menores de edad trans; restringiría el derecho a la libertad de expresión al prohibir que se aborden temas de identidad de género; y limitaría el derecho a la educación integral de las infancias y adolescencias. </w:t>
      </w:r>
    </w:p>
    <w:p w:rsidR="00000000" w:rsidDel="00000000" w:rsidP="00000000" w:rsidRDefault="00000000" w:rsidRPr="00000000" w14:paraId="00000062">
      <w:pPr>
        <w:numPr>
          <w:ilvl w:val="0"/>
          <w:numId w:val="2"/>
        </w:numPr>
        <w:spacing w:after="0" w:lineRule="auto"/>
        <w:ind w:left="720" w:hanging="360"/>
        <w:rPr/>
      </w:pPr>
      <w:r w:rsidDel="00000000" w:rsidR="00000000" w:rsidRPr="00000000">
        <w:rPr>
          <w:rtl w:val="0"/>
        </w:rPr>
        <w:t xml:space="preserve">Implementar protocolos de atención a la víctima para que las mujeres LBT puedan acceder a la justicia con pertinencia de su orientación sexual y de género. </w:t>
      </w:r>
    </w:p>
    <w:p w:rsidR="00000000" w:rsidDel="00000000" w:rsidP="00000000" w:rsidRDefault="00000000" w:rsidRPr="00000000" w14:paraId="00000063">
      <w:pPr>
        <w:numPr>
          <w:ilvl w:val="0"/>
          <w:numId w:val="2"/>
        </w:numPr>
        <w:spacing w:after="0" w:lineRule="auto"/>
        <w:ind w:left="720" w:hanging="360"/>
        <w:rPr/>
      </w:pPr>
      <w:r w:rsidDel="00000000" w:rsidR="00000000" w:rsidRPr="00000000">
        <w:rPr>
          <w:rtl w:val="0"/>
        </w:rPr>
        <w:t xml:space="preserve">Capacitar a fiscales, jueces, policías y todo el personal relevante para la correcta atención de las mujeres LBT, incorporar capacitación sobre orientación sexual, identidad y expresión de género y características sexuales en las mallas curriculares de estas instituciones e institucionalizar su obligatoriedad. </w:t>
      </w:r>
    </w:p>
    <w:p w:rsidR="00000000" w:rsidDel="00000000" w:rsidP="00000000" w:rsidRDefault="00000000" w:rsidRPr="00000000" w14:paraId="00000064">
      <w:pPr>
        <w:numPr>
          <w:ilvl w:val="0"/>
          <w:numId w:val="2"/>
        </w:numPr>
        <w:spacing w:after="0" w:lineRule="auto"/>
        <w:ind w:left="720" w:hanging="360"/>
        <w:rPr/>
      </w:pPr>
      <w:r w:rsidDel="00000000" w:rsidR="00000000" w:rsidRPr="00000000">
        <w:rPr>
          <w:rtl w:val="0"/>
        </w:rPr>
        <w:t xml:space="preserve">Al Gobierno de Guatemala, específicamente al Ministerio Público, detener la persecución contra activistas y defensoras de derechos humanos y garantizar que los crímenes cometidos contra ellas sean investigados, incluso cuando estos provienen de los cuerpos de policía u otros funcionarios públicos. </w:t>
      </w:r>
    </w:p>
    <w:p w:rsidR="00000000" w:rsidDel="00000000" w:rsidP="00000000" w:rsidRDefault="00000000" w:rsidRPr="00000000" w14:paraId="00000065">
      <w:pPr>
        <w:numPr>
          <w:ilvl w:val="0"/>
          <w:numId w:val="2"/>
        </w:numPr>
        <w:spacing w:after="0" w:lineRule="auto"/>
        <w:ind w:left="720" w:hanging="360"/>
        <w:rPr/>
      </w:pPr>
      <w:r w:rsidDel="00000000" w:rsidR="00000000" w:rsidRPr="00000000">
        <w:rPr>
          <w:rtl w:val="0"/>
        </w:rPr>
        <w:t xml:space="preserve">Al Gobierno de Guatemala, apoyar la labor de la PDH y fortalecer la Defensoría de la Diversidad Sexual contratando más personal y asignando más presupuesto a su trabajo. </w:t>
      </w:r>
    </w:p>
    <w:p w:rsidR="00000000" w:rsidDel="00000000" w:rsidP="00000000" w:rsidRDefault="00000000" w:rsidRPr="00000000" w14:paraId="00000066">
      <w:pPr>
        <w:numPr>
          <w:ilvl w:val="0"/>
          <w:numId w:val="2"/>
        </w:numPr>
        <w:spacing w:after="0" w:lineRule="auto"/>
        <w:ind w:left="720" w:hanging="360"/>
        <w:rPr/>
      </w:pPr>
      <w:r w:rsidDel="00000000" w:rsidR="00000000" w:rsidRPr="00000000">
        <w:rPr>
          <w:rtl w:val="0"/>
        </w:rPr>
        <w:t xml:space="preserve">Al Ministerio Público y a la PNC, llevar a cabo investigaciones expeditas e independientes basadas en los derechos humanos de las personas LGBTIQ para penalizar los crímenes motivados por el prejuicio. Buscar una coordinación entre las dos entidades y un sistema de datos que capture de manera eficiente e informada las características identitarias de la población LGBTIQ.</w:t>
      </w:r>
    </w:p>
    <w:p w:rsidR="00000000" w:rsidDel="00000000" w:rsidP="00000000" w:rsidRDefault="00000000" w:rsidRPr="00000000" w14:paraId="00000067">
      <w:pPr>
        <w:numPr>
          <w:ilvl w:val="0"/>
          <w:numId w:val="2"/>
        </w:numPr>
        <w:ind w:left="720" w:hanging="360"/>
        <w:rPr/>
      </w:pPr>
      <w:r w:rsidDel="00000000" w:rsidR="00000000" w:rsidRPr="00000000">
        <w:rPr>
          <w:rtl w:val="0"/>
        </w:rPr>
        <w:t xml:space="preserve">Al Ministerio de Gobernación, garantizar que dentro del sistema penitenciario y la Policía Nacional Civil no existan tratos inhumanos, crueles y degradantes hacia las mujeres LBTI, especialmente hacia las mujeres trans. Buscar evitar a toda costa la violencia y corrupción ejercida en contra de las mujeres trans por estas entidades. </w:t>
      </w:r>
    </w:p>
    <w:sectPr>
      <w:headerReference r:id="rId8" w:type="default"/>
      <w:footerReference r:id="rId9"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Oswald">
    <w:embedRegular w:fontKey="{00000000-0000-0000-0000-000000000000}" r:id="rId1" w:subsetted="0"/>
    <w:embedBold w:fontKey="{00000000-0000-0000-0000-000000000000}" r:id="rId2" w:subsetted="0"/>
  </w:font>
  <w:font w:name="Barlow SemiBold">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3">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68">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Procuraduría de Derechos Humanos (2018). </w:t>
      </w:r>
      <w:r w:rsidDel="00000000" w:rsidR="00000000" w:rsidRPr="00000000">
        <w:rPr>
          <w:i w:val="1"/>
          <w:sz w:val="20"/>
          <w:szCs w:val="20"/>
          <w:rtl w:val="0"/>
        </w:rPr>
        <w:t xml:space="preserve">Informe de Línea base LGBTI. </w:t>
      </w:r>
      <w:r w:rsidDel="00000000" w:rsidR="00000000" w:rsidRPr="00000000">
        <w:rPr>
          <w:sz w:val="20"/>
          <w:szCs w:val="20"/>
          <w:rtl w:val="0"/>
        </w:rPr>
        <w:t xml:space="preserve">Guatemala. Disponible en: </w:t>
      </w:r>
      <w:hyperlink r:id="rId1">
        <w:r w:rsidDel="00000000" w:rsidR="00000000" w:rsidRPr="00000000">
          <w:rPr>
            <w:color w:val="1155cc"/>
            <w:sz w:val="20"/>
            <w:szCs w:val="20"/>
            <w:u w:val="single"/>
            <w:rtl w:val="0"/>
          </w:rPr>
          <w:t xml:space="preserve">https://tinyurl.com/heh2au69</w:t>
        </w:r>
      </w:hyperlink>
      <w:r w:rsidDel="00000000" w:rsidR="00000000" w:rsidRPr="00000000">
        <w:rPr>
          <w:sz w:val="20"/>
          <w:szCs w:val="20"/>
          <w:rtl w:val="0"/>
        </w:rPr>
        <w:t xml:space="preserve">. Consultado el 6/9/22</w:t>
      </w:r>
    </w:p>
  </w:footnote>
  <w:footnote w:id="1">
    <w:p w:rsidR="00000000" w:rsidDel="00000000" w:rsidP="00000000" w:rsidRDefault="00000000" w:rsidRPr="00000000" w14:paraId="00000069">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Congreso de la República de Guatemala (2017) </w:t>
      </w:r>
      <w:r w:rsidDel="00000000" w:rsidR="00000000" w:rsidRPr="00000000">
        <w:rPr>
          <w:i w:val="1"/>
          <w:sz w:val="20"/>
          <w:szCs w:val="20"/>
          <w:rtl w:val="0"/>
        </w:rPr>
        <w:t xml:space="preserve">Dictamen Iniciativa de Ley 5278</w:t>
      </w:r>
      <w:r w:rsidDel="00000000" w:rsidR="00000000" w:rsidRPr="00000000">
        <w:rPr>
          <w:sz w:val="20"/>
          <w:szCs w:val="20"/>
          <w:rtl w:val="0"/>
        </w:rPr>
        <w:t xml:space="preserve">. </w:t>
      </w:r>
      <w:hyperlink r:id="rId2">
        <w:r w:rsidDel="00000000" w:rsidR="00000000" w:rsidRPr="00000000">
          <w:rPr>
            <w:color w:val="1155cc"/>
            <w:sz w:val="20"/>
            <w:szCs w:val="20"/>
            <w:u w:val="single"/>
            <w:rtl w:val="0"/>
          </w:rPr>
          <w:t xml:space="preserve">https://tinyurl.com/kkmez2m7</w:t>
        </w:r>
      </w:hyperlink>
      <w:r w:rsidDel="00000000" w:rsidR="00000000" w:rsidRPr="00000000">
        <w:rPr>
          <w:sz w:val="20"/>
          <w:szCs w:val="20"/>
          <w:rtl w:val="0"/>
        </w:rPr>
        <w:t xml:space="preserve">. Consultado el 11/8/21</w:t>
      </w:r>
    </w:p>
  </w:footnote>
  <w:footnote w:id="2">
    <w:p w:rsidR="00000000" w:rsidDel="00000000" w:rsidP="00000000" w:rsidRDefault="00000000" w:rsidRPr="00000000" w14:paraId="0000006A">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Facebook, Asociación Lambda. Disponible en: </w:t>
      </w:r>
      <w:hyperlink r:id="rId3">
        <w:r w:rsidDel="00000000" w:rsidR="00000000" w:rsidRPr="00000000">
          <w:rPr>
            <w:color w:val="1155cc"/>
            <w:sz w:val="20"/>
            <w:szCs w:val="20"/>
            <w:u w:val="single"/>
            <w:rtl w:val="0"/>
          </w:rPr>
          <w:t xml:space="preserve">https://tinyurl.com/43xz3ucc</w:t>
        </w:r>
      </w:hyperlink>
      <w:r w:rsidDel="00000000" w:rsidR="00000000" w:rsidRPr="00000000">
        <w:rPr>
          <w:sz w:val="20"/>
          <w:szCs w:val="20"/>
          <w:rtl w:val="0"/>
        </w:rPr>
        <w:t xml:space="preserve">. Consultado el 7/9/2022.</w:t>
      </w:r>
    </w:p>
  </w:footnote>
  <w:footnote w:id="3">
    <w:p w:rsidR="00000000" w:rsidDel="00000000" w:rsidP="00000000" w:rsidRDefault="00000000" w:rsidRPr="00000000" w14:paraId="0000006B">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Instituto de la Defensa Pública Penal. </w:t>
      </w:r>
      <w:r w:rsidDel="00000000" w:rsidR="00000000" w:rsidRPr="00000000">
        <w:rPr>
          <w:i w:val="1"/>
          <w:sz w:val="20"/>
          <w:szCs w:val="20"/>
          <w:rtl w:val="0"/>
        </w:rPr>
        <w:t xml:space="preserve">Protocolo de atención a la comunidad LGBTIQ+ y de actuación</w:t>
      </w:r>
      <w:r w:rsidDel="00000000" w:rsidR="00000000" w:rsidRPr="00000000">
        <w:rPr>
          <w:sz w:val="20"/>
          <w:szCs w:val="20"/>
          <w:rtl w:val="0"/>
        </w:rPr>
        <w:t xml:space="preserve"> </w:t>
      </w:r>
      <w:r w:rsidDel="00000000" w:rsidR="00000000" w:rsidRPr="00000000">
        <w:rPr>
          <w:i w:val="1"/>
          <w:sz w:val="20"/>
          <w:szCs w:val="20"/>
          <w:rtl w:val="0"/>
        </w:rPr>
        <w:t xml:space="preserve">de los defensores públicos del Instituto de la Defensa Pública Penal de Guatemala. </w:t>
      </w:r>
      <w:r w:rsidDel="00000000" w:rsidR="00000000" w:rsidRPr="00000000">
        <w:rPr>
          <w:sz w:val="20"/>
          <w:szCs w:val="20"/>
          <w:rtl w:val="0"/>
        </w:rPr>
        <w:t xml:space="preserve">Disponible en: </w:t>
      </w:r>
      <w:hyperlink r:id="rId4">
        <w:r w:rsidDel="00000000" w:rsidR="00000000" w:rsidRPr="00000000">
          <w:rPr>
            <w:color w:val="1155cc"/>
            <w:sz w:val="20"/>
            <w:szCs w:val="20"/>
            <w:u w:val="single"/>
            <w:rtl w:val="0"/>
          </w:rPr>
          <w:t xml:space="preserve">https://tinyurl.com/26bpsj7c</w:t>
        </w:r>
      </w:hyperlink>
      <w:r w:rsidDel="00000000" w:rsidR="00000000" w:rsidRPr="00000000">
        <w:rPr>
          <w:sz w:val="20"/>
          <w:szCs w:val="20"/>
          <w:rtl w:val="0"/>
        </w:rPr>
        <w:t xml:space="preserve">. p. 78-81. Consultado el 7/9/2022.</w:t>
      </w:r>
    </w:p>
  </w:footnote>
  <w:footnote w:id="4">
    <w:p w:rsidR="00000000" w:rsidDel="00000000" w:rsidP="00000000" w:rsidRDefault="00000000" w:rsidRPr="00000000" w14:paraId="0000006C">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Congreso de la República de Guatemala (2018). Dictamen de Comisión. Disponible en: ​​</w:t>
      </w:r>
      <w:hyperlink r:id="rId5">
        <w:r w:rsidDel="00000000" w:rsidR="00000000" w:rsidRPr="00000000">
          <w:rPr>
            <w:color w:val="1155cc"/>
            <w:sz w:val="20"/>
            <w:szCs w:val="20"/>
            <w:u w:val="single"/>
            <w:rtl w:val="0"/>
          </w:rPr>
          <w:t xml:space="preserve">https://tinyurl.com/bppybwar</w:t>
        </w:r>
      </w:hyperlink>
      <w:r w:rsidDel="00000000" w:rsidR="00000000" w:rsidRPr="00000000">
        <w:rPr>
          <w:sz w:val="20"/>
          <w:szCs w:val="20"/>
          <w:rtl w:val="0"/>
        </w:rPr>
        <w:t xml:space="preserve">. Consultado el 11/8/21.</w:t>
      </w:r>
    </w:p>
  </w:footnote>
  <w:footnote w:id="5">
    <w:p w:rsidR="00000000" w:rsidDel="00000000" w:rsidP="00000000" w:rsidRDefault="00000000" w:rsidRPr="00000000" w14:paraId="0000006D">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Ibíd. </w:t>
      </w:r>
      <w:r w:rsidDel="00000000" w:rsidR="00000000" w:rsidRPr="00000000">
        <w:rPr>
          <w:sz w:val="20"/>
          <w:szCs w:val="20"/>
          <w:rtl w:val="0"/>
        </w:rPr>
        <w:t xml:space="preserve">p.6</w:t>
      </w:r>
    </w:p>
  </w:footnote>
  <w:footnote w:id="6">
    <w:p w:rsidR="00000000" w:rsidDel="00000000" w:rsidP="00000000" w:rsidRDefault="00000000" w:rsidRPr="00000000" w14:paraId="0000006E">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Corte Interamericana de Derechos Humanos. </w:t>
      </w:r>
      <w:r w:rsidDel="00000000" w:rsidR="00000000" w:rsidRPr="00000000">
        <w:rPr>
          <w:i w:val="1"/>
          <w:sz w:val="20"/>
          <w:szCs w:val="20"/>
          <w:rtl w:val="0"/>
        </w:rPr>
        <w:t xml:space="preserve">Opinión consultiva OC-24/17 de 24 de noviembre de 2017</w:t>
      </w:r>
      <w:r w:rsidDel="00000000" w:rsidR="00000000" w:rsidRPr="00000000">
        <w:rPr>
          <w:sz w:val="20"/>
          <w:szCs w:val="20"/>
          <w:rtl w:val="0"/>
        </w:rPr>
        <w:t xml:space="preserve">. Disponible en: </w:t>
      </w:r>
      <w:hyperlink r:id="rId6">
        <w:r w:rsidDel="00000000" w:rsidR="00000000" w:rsidRPr="00000000">
          <w:rPr>
            <w:color w:val="1155cc"/>
            <w:sz w:val="20"/>
            <w:szCs w:val="20"/>
            <w:u w:val="single"/>
            <w:rtl w:val="0"/>
          </w:rPr>
          <w:t xml:space="preserve">https://tinyurl.com/4tas36fd</w:t>
        </w:r>
      </w:hyperlink>
      <w:r w:rsidDel="00000000" w:rsidR="00000000" w:rsidRPr="00000000">
        <w:rPr>
          <w:sz w:val="20"/>
          <w:szCs w:val="20"/>
          <w:rtl w:val="0"/>
        </w:rPr>
        <w:t xml:space="preserve">. Consultado el 11/8/21. </w:t>
      </w:r>
    </w:p>
  </w:footnote>
  <w:footnote w:id="7">
    <w:p w:rsidR="00000000" w:rsidDel="00000000" w:rsidP="00000000" w:rsidRDefault="00000000" w:rsidRPr="00000000" w14:paraId="0000006F">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Organización de Estados Americanos. </w:t>
      </w:r>
      <w:r w:rsidDel="00000000" w:rsidR="00000000" w:rsidRPr="00000000">
        <w:rPr>
          <w:i w:val="1"/>
          <w:sz w:val="20"/>
          <w:szCs w:val="20"/>
          <w:rtl w:val="0"/>
        </w:rPr>
        <w:t xml:space="preserve">Panorama del reconocimiento legal del género en las Américas.</w:t>
      </w:r>
      <w:r w:rsidDel="00000000" w:rsidR="00000000" w:rsidRPr="00000000">
        <w:rPr>
          <w:sz w:val="20"/>
          <w:szCs w:val="20"/>
          <w:rtl w:val="0"/>
        </w:rPr>
        <w:t xml:space="preserve"> Disponible en: </w:t>
      </w:r>
      <w:hyperlink r:id="rId7">
        <w:r w:rsidDel="00000000" w:rsidR="00000000" w:rsidRPr="00000000">
          <w:rPr>
            <w:color w:val="1155cc"/>
            <w:sz w:val="20"/>
            <w:szCs w:val="20"/>
            <w:u w:val="single"/>
            <w:rtl w:val="0"/>
          </w:rPr>
          <w:t xml:space="preserve">https://tinyurl.com/ypnank3z</w:t>
        </w:r>
      </w:hyperlink>
      <w:r w:rsidDel="00000000" w:rsidR="00000000" w:rsidRPr="00000000">
        <w:rPr>
          <w:sz w:val="20"/>
          <w:szCs w:val="20"/>
          <w:rtl w:val="0"/>
        </w:rPr>
        <w:t xml:space="preserve">. Consultado el 12/8/21. </w:t>
      </w:r>
    </w:p>
  </w:footnote>
  <w:footnote w:id="8">
    <w:p w:rsidR="00000000" w:rsidDel="00000000" w:rsidP="00000000" w:rsidRDefault="00000000" w:rsidRPr="00000000" w14:paraId="00000070">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Prensa Libre Guatemala.</w:t>
      </w:r>
      <w:r w:rsidDel="00000000" w:rsidR="00000000" w:rsidRPr="00000000">
        <w:rPr>
          <w:i w:val="1"/>
          <w:sz w:val="20"/>
          <w:szCs w:val="20"/>
          <w:rtl w:val="0"/>
        </w:rPr>
        <w:t xml:space="preserve"> Congreso archiva polémica Ley para la Protección de la Vida y la Familia que generó críticas de sectores sociales</w:t>
      </w:r>
      <w:r w:rsidDel="00000000" w:rsidR="00000000" w:rsidRPr="00000000">
        <w:rPr>
          <w:sz w:val="20"/>
          <w:szCs w:val="20"/>
          <w:rtl w:val="0"/>
        </w:rPr>
        <w:t xml:space="preserve">: </w:t>
      </w:r>
      <w:hyperlink r:id="rId8">
        <w:r w:rsidDel="00000000" w:rsidR="00000000" w:rsidRPr="00000000">
          <w:rPr>
            <w:color w:val="1155cc"/>
            <w:sz w:val="20"/>
            <w:szCs w:val="20"/>
            <w:u w:val="single"/>
            <w:rtl w:val="0"/>
          </w:rPr>
          <w:t xml:space="preserve">https://tinyurl.com/bd8kesaf</w:t>
        </w:r>
      </w:hyperlink>
      <w:r w:rsidDel="00000000" w:rsidR="00000000" w:rsidRPr="00000000">
        <w:rPr>
          <w:sz w:val="20"/>
          <w:szCs w:val="20"/>
          <w:rtl w:val="0"/>
        </w:rPr>
        <w:t xml:space="preserve">. Consultado el 7/9/2022.</w:t>
      </w:r>
    </w:p>
  </w:footnote>
  <w:footnote w:id="9">
    <w:p w:rsidR="00000000" w:rsidDel="00000000" w:rsidP="00000000" w:rsidRDefault="00000000" w:rsidRPr="00000000" w14:paraId="00000071">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9">
        <w:r w:rsidDel="00000000" w:rsidR="00000000" w:rsidRPr="00000000">
          <w:rPr>
            <w:color w:val="1155cc"/>
            <w:sz w:val="20"/>
            <w:szCs w:val="20"/>
            <w:u w:val="single"/>
            <w:rtl w:val="0"/>
          </w:rPr>
          <w:t xml:space="preserve">https://www.congreso.gob.gt/detalle_pdf/iniciativas/5787</w:t>
        </w:r>
      </w:hyperlink>
      <w:r w:rsidDel="00000000" w:rsidR="00000000" w:rsidRPr="00000000">
        <w:rPr>
          <w:sz w:val="20"/>
          <w:szCs w:val="20"/>
          <w:rtl w:val="0"/>
        </w:rPr>
        <w:t xml:space="preserve"> </w:t>
      </w:r>
    </w:p>
  </w:footnote>
  <w:footnote w:id="10">
    <w:p w:rsidR="00000000" w:rsidDel="00000000" w:rsidP="00000000" w:rsidRDefault="00000000" w:rsidRPr="00000000" w14:paraId="00000072">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ILGA-Mundo (2019). </w:t>
      </w:r>
      <w:r w:rsidDel="00000000" w:rsidR="00000000" w:rsidRPr="00000000">
        <w:rPr>
          <w:i w:val="1"/>
          <w:sz w:val="20"/>
          <w:szCs w:val="20"/>
          <w:rtl w:val="0"/>
        </w:rPr>
        <w:t xml:space="preserve">La CIE-11 despatologiza las identidades trans y de género diverso. </w:t>
      </w:r>
      <w:r w:rsidDel="00000000" w:rsidR="00000000" w:rsidRPr="00000000">
        <w:rPr>
          <w:sz w:val="20"/>
          <w:szCs w:val="20"/>
          <w:rtl w:val="0"/>
        </w:rPr>
        <w:t xml:space="preserve">Dispoible en: </w:t>
      </w:r>
      <w:hyperlink r:id="rId10">
        <w:r w:rsidDel="00000000" w:rsidR="00000000" w:rsidRPr="00000000">
          <w:rPr>
            <w:color w:val="1155cc"/>
            <w:sz w:val="20"/>
            <w:szCs w:val="20"/>
            <w:u w:val="single"/>
            <w:rtl w:val="0"/>
          </w:rPr>
          <w:t xml:space="preserve">https://tinyurl.com/59x9czmh</w:t>
        </w:r>
      </w:hyperlink>
      <w:r w:rsidDel="00000000" w:rsidR="00000000" w:rsidRPr="00000000">
        <w:rPr>
          <w:sz w:val="20"/>
          <w:szCs w:val="20"/>
          <w:rtl w:val="0"/>
        </w:rPr>
        <w:t xml:space="preserve">. Consultado en 11/8/21 </w:t>
      </w:r>
    </w:p>
  </w:footnote>
  <w:footnote w:id="11">
    <w:p w:rsidR="00000000" w:rsidDel="00000000" w:rsidP="00000000" w:rsidRDefault="00000000" w:rsidRPr="00000000" w14:paraId="00000073">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Congreso de la República. Iniciativa 5940. Disponible en: </w:t>
      </w:r>
      <w:hyperlink r:id="rId11">
        <w:r w:rsidDel="00000000" w:rsidR="00000000" w:rsidRPr="00000000">
          <w:rPr>
            <w:color w:val="1155cc"/>
            <w:sz w:val="20"/>
            <w:szCs w:val="20"/>
            <w:u w:val="single"/>
            <w:rtl w:val="0"/>
          </w:rPr>
          <w:t xml:space="preserve">https://www.congreso.gob.gt/detalle_pdf/iniciativas/5787</w:t>
        </w:r>
      </w:hyperlink>
      <w:r w:rsidDel="00000000" w:rsidR="00000000" w:rsidRPr="00000000">
        <w:rPr>
          <w:sz w:val="20"/>
          <w:szCs w:val="20"/>
          <w:rtl w:val="0"/>
        </w:rPr>
        <w:t xml:space="preserve">., Artículo 3 y 4. Consultada el 22/9/2022.</w:t>
      </w:r>
    </w:p>
  </w:footnote>
  <w:footnote w:id="12">
    <w:p w:rsidR="00000000" w:rsidDel="00000000" w:rsidP="00000000" w:rsidRDefault="00000000" w:rsidRPr="00000000" w14:paraId="00000074">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Ibíd.</w:t>
      </w:r>
      <w:r w:rsidDel="00000000" w:rsidR="00000000" w:rsidRPr="00000000">
        <w:rPr>
          <w:sz w:val="20"/>
          <w:szCs w:val="20"/>
          <w:rtl w:val="0"/>
        </w:rPr>
        <w:t xml:space="preserve">p. 11, Artículo 4 (h) </w:t>
      </w:r>
    </w:p>
  </w:footnote>
  <w:footnote w:id="13">
    <w:p w:rsidR="00000000" w:rsidDel="00000000" w:rsidP="00000000" w:rsidRDefault="00000000" w:rsidRPr="00000000" w14:paraId="00000075">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Congreso de la República. </w:t>
      </w:r>
      <w:r w:rsidDel="00000000" w:rsidR="00000000" w:rsidRPr="00000000">
        <w:rPr>
          <w:i w:val="1"/>
          <w:sz w:val="20"/>
          <w:szCs w:val="20"/>
          <w:rtl w:val="0"/>
        </w:rPr>
        <w:t xml:space="preserve">Iniciativa 5940.</w:t>
      </w:r>
      <w:r w:rsidDel="00000000" w:rsidR="00000000" w:rsidRPr="00000000">
        <w:rPr>
          <w:sz w:val="20"/>
          <w:szCs w:val="20"/>
          <w:rtl w:val="0"/>
        </w:rPr>
        <w:t xml:space="preserve"> Disponible en: </w:t>
      </w:r>
      <w:hyperlink r:id="rId12">
        <w:r w:rsidDel="00000000" w:rsidR="00000000" w:rsidRPr="00000000">
          <w:rPr>
            <w:color w:val="1155cc"/>
            <w:sz w:val="20"/>
            <w:szCs w:val="20"/>
            <w:u w:val="single"/>
            <w:rtl w:val="0"/>
          </w:rPr>
          <w:t xml:space="preserve">https://www.congreso.gob.gt/detalle_pdf/iniciativas/5787</w:t>
        </w:r>
      </w:hyperlink>
      <w:r w:rsidDel="00000000" w:rsidR="00000000" w:rsidRPr="00000000">
        <w:rPr>
          <w:sz w:val="20"/>
          <w:szCs w:val="20"/>
          <w:rtl w:val="0"/>
        </w:rPr>
        <w:t xml:space="preserve">. Consultada el 22/9/2022.</w:t>
      </w:r>
    </w:p>
  </w:footnote>
  <w:footnote w:id="14">
    <w:p w:rsidR="00000000" w:rsidDel="00000000" w:rsidP="00000000" w:rsidRDefault="00000000" w:rsidRPr="00000000" w14:paraId="00000076">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Visibles Guatemala. </w:t>
      </w:r>
      <w:r w:rsidDel="00000000" w:rsidR="00000000" w:rsidRPr="00000000">
        <w:rPr>
          <w:i w:val="1"/>
          <w:sz w:val="20"/>
          <w:szCs w:val="20"/>
          <w:rtl w:val="0"/>
        </w:rPr>
        <w:t xml:space="preserve">Centro de Datos Abiertos LGBTIQ:</w:t>
      </w:r>
      <w:r w:rsidDel="00000000" w:rsidR="00000000" w:rsidRPr="00000000">
        <w:rPr>
          <w:sz w:val="20"/>
          <w:szCs w:val="20"/>
          <w:rtl w:val="0"/>
        </w:rPr>
        <w:t xml:space="preserve"> </w:t>
      </w:r>
      <w:hyperlink r:id="rId13">
        <w:r w:rsidDel="00000000" w:rsidR="00000000" w:rsidRPr="00000000">
          <w:rPr>
            <w:color w:val="1155cc"/>
            <w:sz w:val="20"/>
            <w:szCs w:val="20"/>
            <w:u w:val="single"/>
            <w:rtl w:val="0"/>
          </w:rPr>
          <w:t xml:space="preserve">https://visibles.gt/indicador-justicia/</w:t>
        </w:r>
      </w:hyperlink>
      <w:r w:rsidDel="00000000" w:rsidR="00000000" w:rsidRPr="00000000">
        <w:rPr>
          <w:sz w:val="20"/>
          <w:szCs w:val="20"/>
          <w:rtl w:val="0"/>
        </w:rPr>
        <w:t xml:space="preserve">. </w:t>
      </w:r>
    </w:p>
  </w:footnote>
  <w:footnote w:id="15">
    <w:p w:rsidR="00000000" w:rsidDel="00000000" w:rsidP="00000000" w:rsidRDefault="00000000" w:rsidRPr="00000000" w14:paraId="00000077">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Organización Trans Reinas de la Noche. </w:t>
      </w:r>
      <w:r w:rsidDel="00000000" w:rsidR="00000000" w:rsidRPr="00000000">
        <w:rPr>
          <w:i w:val="1"/>
          <w:sz w:val="20"/>
          <w:szCs w:val="20"/>
          <w:rtl w:val="0"/>
        </w:rPr>
        <w:t xml:space="preserve">Sin justicia sin igualdad. Situación de los derechos humanos de las mujeres trans en Guatemala 2021. </w:t>
      </w:r>
      <w:r w:rsidDel="00000000" w:rsidR="00000000" w:rsidRPr="00000000">
        <w:rPr>
          <w:sz w:val="20"/>
          <w:szCs w:val="20"/>
          <w:rtl w:val="0"/>
        </w:rPr>
        <w:t xml:space="preserve">Disponible en: </w:t>
      </w:r>
      <w:hyperlink r:id="rId14">
        <w:r w:rsidDel="00000000" w:rsidR="00000000" w:rsidRPr="00000000">
          <w:rPr>
            <w:color w:val="1155cc"/>
            <w:sz w:val="20"/>
            <w:szCs w:val="20"/>
            <w:u w:val="single"/>
            <w:rtl w:val="0"/>
          </w:rPr>
          <w:t xml:space="preserve">https://reinasdelanoche.org.gt/sin-justicia-2021/</w:t>
        </w:r>
      </w:hyperlink>
      <w:r w:rsidDel="00000000" w:rsidR="00000000" w:rsidRPr="00000000">
        <w:rPr>
          <w:sz w:val="20"/>
          <w:szCs w:val="20"/>
          <w:rtl w:val="0"/>
        </w:rPr>
        <w:t xml:space="preserve">. p. 29. Consultado el 7/9/2022.</w:t>
      </w:r>
    </w:p>
  </w:footnote>
  <w:footnote w:id="16">
    <w:p w:rsidR="00000000" w:rsidDel="00000000" w:rsidP="00000000" w:rsidRDefault="00000000" w:rsidRPr="00000000" w14:paraId="00000078">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Organización de Diversidad Sexual para la Cultura, la Educación y las Artes. </w:t>
      </w:r>
      <w:r w:rsidDel="00000000" w:rsidR="00000000" w:rsidRPr="00000000">
        <w:rPr>
          <w:i w:val="1"/>
          <w:sz w:val="20"/>
          <w:szCs w:val="20"/>
          <w:rtl w:val="0"/>
        </w:rPr>
        <w:t xml:space="preserve">Las mujeres lesbianas en Guatemala: una aproximación a sus demandas políticas.</w:t>
      </w:r>
      <w:r w:rsidDel="00000000" w:rsidR="00000000" w:rsidRPr="00000000">
        <w:rPr>
          <w:sz w:val="20"/>
          <w:szCs w:val="20"/>
          <w:rtl w:val="0"/>
        </w:rPr>
        <w:t xml:space="preserve"> Disponible en: </w:t>
      </w:r>
      <w:hyperlink r:id="rId15">
        <w:r w:rsidDel="00000000" w:rsidR="00000000" w:rsidRPr="00000000">
          <w:rPr>
            <w:color w:val="1155cc"/>
            <w:sz w:val="20"/>
            <w:szCs w:val="20"/>
            <w:u w:val="single"/>
            <w:rtl w:val="0"/>
          </w:rPr>
          <w:t xml:space="preserve">https://ndicentroamerica.org/wp-content/uploads/2021/10/Las-mujeres-lesbianas-en-Guatemala_una-aproximacion-a-sus-demandas-sociopoliticas.pdf</w:t>
        </w:r>
      </w:hyperlink>
      <w:r w:rsidDel="00000000" w:rsidR="00000000" w:rsidRPr="00000000">
        <w:rPr>
          <w:sz w:val="20"/>
          <w:szCs w:val="20"/>
          <w:rtl w:val="0"/>
        </w:rPr>
        <w:t xml:space="preserve">. p. 66. Consultado el 7/9/2022. </w:t>
      </w:r>
    </w:p>
  </w:footnote>
  <w:footnote w:id="17">
    <w:p w:rsidR="00000000" w:rsidDel="00000000" w:rsidP="00000000" w:rsidRDefault="00000000" w:rsidRPr="00000000" w14:paraId="00000079">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Ibíd.,</w:t>
      </w:r>
      <w:r w:rsidDel="00000000" w:rsidR="00000000" w:rsidRPr="00000000">
        <w:rPr>
          <w:sz w:val="20"/>
          <w:szCs w:val="20"/>
          <w:rtl w:val="0"/>
        </w:rPr>
        <w:t xml:space="preserve"> p. 72</w:t>
      </w:r>
    </w:p>
  </w:footnote>
  <w:footnote w:id="18">
    <w:p w:rsidR="00000000" w:rsidDel="00000000" w:rsidP="00000000" w:rsidRDefault="00000000" w:rsidRPr="00000000" w14:paraId="0000007A">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Visibles Guatemala. </w:t>
      </w:r>
      <w:r w:rsidDel="00000000" w:rsidR="00000000" w:rsidRPr="00000000">
        <w:rPr>
          <w:i w:val="1"/>
          <w:sz w:val="20"/>
          <w:szCs w:val="20"/>
          <w:rtl w:val="0"/>
        </w:rPr>
        <w:t xml:space="preserve">Centro de Datos Abiertos LGBTIQ:</w:t>
      </w:r>
      <w:r w:rsidDel="00000000" w:rsidR="00000000" w:rsidRPr="00000000">
        <w:rPr>
          <w:sz w:val="20"/>
          <w:szCs w:val="20"/>
          <w:rtl w:val="0"/>
        </w:rPr>
        <w:t xml:space="preserve"> </w:t>
      </w:r>
      <w:hyperlink r:id="rId16">
        <w:r w:rsidDel="00000000" w:rsidR="00000000" w:rsidRPr="00000000">
          <w:rPr>
            <w:color w:val="1155cc"/>
            <w:sz w:val="20"/>
            <w:szCs w:val="20"/>
            <w:u w:val="single"/>
            <w:rtl w:val="0"/>
          </w:rPr>
          <w:t xml:space="preserve">https://visibles.gt/indicador-justicia/</w:t>
        </w:r>
      </w:hyperlink>
      <w:r w:rsidDel="00000000" w:rsidR="00000000" w:rsidRPr="00000000">
        <w:rPr>
          <w:sz w:val="20"/>
          <w:szCs w:val="20"/>
          <w:rtl w:val="0"/>
        </w:rPr>
        <w:t xml:space="preserve">. </w:t>
      </w:r>
    </w:p>
  </w:footnote>
  <w:footnote w:id="19">
    <w:p w:rsidR="00000000" w:rsidDel="00000000" w:rsidP="00000000" w:rsidRDefault="00000000" w:rsidRPr="00000000" w14:paraId="0000007B">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Organización de Diversidad Sexual para la Cultura, la Educación y las Artes. </w:t>
      </w:r>
      <w:r w:rsidDel="00000000" w:rsidR="00000000" w:rsidRPr="00000000">
        <w:rPr>
          <w:i w:val="1"/>
          <w:sz w:val="20"/>
          <w:szCs w:val="20"/>
          <w:rtl w:val="0"/>
        </w:rPr>
        <w:t xml:space="preserve">Las mujeres lesbianas en Guatemala: una aproximación a sus demandas políticas.</w:t>
      </w:r>
      <w:r w:rsidDel="00000000" w:rsidR="00000000" w:rsidRPr="00000000">
        <w:rPr>
          <w:sz w:val="20"/>
          <w:szCs w:val="20"/>
          <w:rtl w:val="0"/>
        </w:rPr>
        <w:t xml:space="preserve"> Disponible en: </w:t>
      </w:r>
      <w:hyperlink r:id="rId17">
        <w:r w:rsidDel="00000000" w:rsidR="00000000" w:rsidRPr="00000000">
          <w:rPr>
            <w:color w:val="1155cc"/>
            <w:sz w:val="20"/>
            <w:szCs w:val="20"/>
            <w:u w:val="single"/>
            <w:rtl w:val="0"/>
          </w:rPr>
          <w:t xml:space="preserve">https://ndicentroamerica.org/wp-content/uploads/2021/10/Las-mujeres-lesbianas-en-Guatemala_una-aproximacion-a-sus-demandas-sociopoliticas.pdf</w:t>
        </w:r>
      </w:hyperlink>
      <w:r w:rsidDel="00000000" w:rsidR="00000000" w:rsidRPr="00000000">
        <w:rPr>
          <w:sz w:val="20"/>
          <w:szCs w:val="20"/>
          <w:rtl w:val="0"/>
        </w:rPr>
        <w:t xml:space="preserve">. p. 66. Consultado el 7/9/2022. </w:t>
      </w:r>
    </w:p>
  </w:footnote>
  <w:footnote w:id="21">
    <w:p w:rsidR="00000000" w:rsidDel="00000000" w:rsidP="00000000" w:rsidRDefault="00000000" w:rsidRPr="00000000" w14:paraId="0000007C">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Visibles Guatemala. </w:t>
      </w:r>
      <w:r w:rsidDel="00000000" w:rsidR="00000000" w:rsidRPr="00000000">
        <w:rPr>
          <w:i w:val="1"/>
          <w:sz w:val="20"/>
          <w:szCs w:val="20"/>
          <w:rtl w:val="0"/>
        </w:rPr>
        <w:t xml:space="preserve">Centro de Datos Abiertos LGBTIQ:</w:t>
      </w:r>
      <w:r w:rsidDel="00000000" w:rsidR="00000000" w:rsidRPr="00000000">
        <w:rPr>
          <w:sz w:val="20"/>
          <w:szCs w:val="20"/>
          <w:rtl w:val="0"/>
        </w:rPr>
        <w:t xml:space="preserve"> </w:t>
      </w:r>
      <w:hyperlink r:id="rId18">
        <w:r w:rsidDel="00000000" w:rsidR="00000000" w:rsidRPr="00000000">
          <w:rPr>
            <w:color w:val="1155cc"/>
            <w:sz w:val="20"/>
            <w:szCs w:val="20"/>
            <w:u w:val="single"/>
            <w:rtl w:val="0"/>
          </w:rPr>
          <w:t xml:space="preserve">https://visibles.gt/indicador-justicia/</w:t>
        </w:r>
      </w:hyperlink>
      <w:r w:rsidDel="00000000" w:rsidR="00000000" w:rsidRPr="00000000">
        <w:rPr>
          <w:sz w:val="20"/>
          <w:szCs w:val="20"/>
          <w:rtl w:val="0"/>
        </w:rPr>
        <w:t xml:space="preserve">. </w:t>
      </w:r>
    </w:p>
  </w:footnote>
  <w:footnote w:id="22">
    <w:p w:rsidR="00000000" w:rsidDel="00000000" w:rsidP="00000000" w:rsidRDefault="00000000" w:rsidRPr="00000000" w14:paraId="0000007D">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DW (2021). </w:t>
      </w:r>
      <w:r w:rsidDel="00000000" w:rsidR="00000000" w:rsidRPr="00000000">
        <w:rPr>
          <w:i w:val="1"/>
          <w:sz w:val="20"/>
          <w:szCs w:val="20"/>
          <w:rtl w:val="0"/>
        </w:rPr>
        <w:t xml:space="preserve">Guatemala: asesinan a balazos a Andrea González, dirigente LGBTIQ+.</w:t>
      </w:r>
      <w:r w:rsidDel="00000000" w:rsidR="00000000" w:rsidRPr="00000000">
        <w:rPr>
          <w:sz w:val="20"/>
          <w:szCs w:val="20"/>
          <w:rtl w:val="0"/>
        </w:rPr>
        <w:t xml:space="preserve"> Disponible en: </w:t>
      </w:r>
      <w:hyperlink r:id="rId19">
        <w:r w:rsidDel="00000000" w:rsidR="00000000" w:rsidRPr="00000000">
          <w:rPr>
            <w:color w:val="1155cc"/>
            <w:sz w:val="20"/>
            <w:szCs w:val="20"/>
            <w:u w:val="single"/>
            <w:rtl w:val="0"/>
          </w:rPr>
          <w:t xml:space="preserve">https://www.dw.com/es/guatemala-asesinan-a-balazos-a-andrea-gonz%C3%A1lez-dirigente-lgbtiq/a-57870338</w:t>
        </w:r>
      </w:hyperlink>
      <w:r w:rsidDel="00000000" w:rsidR="00000000" w:rsidRPr="00000000">
        <w:rPr>
          <w:sz w:val="20"/>
          <w:szCs w:val="20"/>
          <w:rtl w:val="0"/>
        </w:rPr>
        <w:t xml:space="preserve"> </w:t>
      </w:r>
    </w:p>
  </w:footnote>
  <w:footnote w:id="23">
    <w:p w:rsidR="00000000" w:rsidDel="00000000" w:rsidP="00000000" w:rsidRDefault="00000000" w:rsidRPr="00000000" w14:paraId="0000007E">
      <w:pPr>
        <w:spacing w:after="0" w:line="240" w:lineRule="auto"/>
        <w:rPr>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Plaza Pública (2022). </w:t>
      </w:r>
      <w:r w:rsidDel="00000000" w:rsidR="00000000" w:rsidRPr="00000000">
        <w:rPr>
          <w:i w:val="1"/>
          <w:sz w:val="20"/>
          <w:szCs w:val="20"/>
          <w:rtl w:val="0"/>
        </w:rPr>
        <w:t xml:space="preserve">Caso contra Nanci Sinto y Dulce Archila: ven contradicciones del MP y el proceso queda en impasse. </w:t>
      </w:r>
      <w:r w:rsidDel="00000000" w:rsidR="00000000" w:rsidRPr="00000000">
        <w:rPr>
          <w:sz w:val="20"/>
          <w:szCs w:val="20"/>
          <w:rtl w:val="0"/>
        </w:rPr>
        <w:t xml:space="preserve">Disponible en</w:t>
      </w:r>
      <w:r w:rsidDel="00000000" w:rsidR="00000000" w:rsidRPr="00000000">
        <w:rPr>
          <w:i w:val="1"/>
          <w:sz w:val="20"/>
          <w:szCs w:val="20"/>
          <w:rtl w:val="0"/>
        </w:rPr>
        <w:t xml:space="preserve">: </w:t>
      </w:r>
    </w:p>
    <w:p w:rsidR="00000000" w:rsidDel="00000000" w:rsidP="00000000" w:rsidRDefault="00000000" w:rsidRPr="00000000" w14:paraId="0000007F">
      <w:pPr>
        <w:spacing w:after="0" w:line="240" w:lineRule="auto"/>
        <w:rPr>
          <w:sz w:val="20"/>
          <w:szCs w:val="20"/>
        </w:rPr>
      </w:pPr>
      <w:hyperlink r:id="rId20">
        <w:r w:rsidDel="00000000" w:rsidR="00000000" w:rsidRPr="00000000">
          <w:rPr>
            <w:color w:val="1155cc"/>
            <w:sz w:val="20"/>
            <w:szCs w:val="20"/>
            <w:u w:val="single"/>
            <w:rtl w:val="0"/>
          </w:rPr>
          <w:t xml:space="preserve">https://www.plazapublica.com.gt/content/caso-contra-nanci-sinto-y-dulce-archila-ven-contradicciones-del-mp-y-el-proceso-queda-en</w:t>
        </w:r>
      </w:hyperlink>
      <w:r w:rsidDel="00000000" w:rsidR="00000000" w:rsidRPr="00000000">
        <w:rPr>
          <w:sz w:val="20"/>
          <w:szCs w:val="20"/>
          <w:rtl w:val="0"/>
        </w:rPr>
        <w:t xml:space="preserve"> </w:t>
      </w:r>
    </w:p>
  </w:footnote>
  <w:footnote w:id="24">
    <w:p w:rsidR="00000000" w:rsidDel="00000000" w:rsidP="00000000" w:rsidRDefault="00000000" w:rsidRPr="00000000" w14:paraId="00000080">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BBC News Mundo. </w:t>
      </w:r>
      <w:r w:rsidDel="00000000" w:rsidR="00000000" w:rsidRPr="00000000">
        <w:rPr>
          <w:i w:val="1"/>
          <w:sz w:val="20"/>
          <w:szCs w:val="20"/>
          <w:rtl w:val="0"/>
        </w:rPr>
        <w:t xml:space="preserve">Protestas en Guatemala: 3 claves para entender las movilizaciones que acabaron con el Congreso en llamas.</w:t>
      </w:r>
      <w:r w:rsidDel="00000000" w:rsidR="00000000" w:rsidRPr="00000000">
        <w:rPr>
          <w:sz w:val="20"/>
          <w:szCs w:val="20"/>
          <w:rtl w:val="0"/>
        </w:rPr>
        <w:t xml:space="preserve"> Disponible en: </w:t>
      </w:r>
    </w:p>
    <w:p w:rsidR="00000000" w:rsidDel="00000000" w:rsidP="00000000" w:rsidRDefault="00000000" w:rsidRPr="00000000" w14:paraId="00000081">
      <w:pPr>
        <w:spacing w:after="0" w:line="240" w:lineRule="auto"/>
        <w:rPr>
          <w:sz w:val="20"/>
          <w:szCs w:val="20"/>
        </w:rPr>
      </w:pPr>
      <w:hyperlink r:id="rId21">
        <w:r w:rsidDel="00000000" w:rsidR="00000000" w:rsidRPr="00000000">
          <w:rPr>
            <w:color w:val="1155cc"/>
            <w:sz w:val="20"/>
            <w:szCs w:val="20"/>
            <w:u w:val="single"/>
            <w:rtl w:val="0"/>
          </w:rPr>
          <w:t xml:space="preserve">https://www.bbc.com/mundo/noticias-america-latina-55051500</w:t>
        </w:r>
      </w:hyperlink>
      <w:r w:rsidDel="00000000" w:rsidR="00000000" w:rsidRPr="00000000">
        <w:rPr>
          <w:sz w:val="20"/>
          <w:szCs w:val="20"/>
          <w:rtl w:val="0"/>
        </w:rPr>
        <w:t xml:space="preserve"> </w:t>
      </w:r>
    </w:p>
  </w:footnote>
  <w:footnote w:id="25">
    <w:p w:rsidR="00000000" w:rsidDel="00000000" w:rsidP="00000000" w:rsidRDefault="00000000" w:rsidRPr="00000000" w14:paraId="00000082">
      <w:pPr>
        <w:spacing w:after="0" w:line="240" w:lineRule="auto"/>
        <w:rPr>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Plaza Pública (2022). </w:t>
      </w:r>
      <w:r w:rsidDel="00000000" w:rsidR="00000000" w:rsidRPr="00000000">
        <w:rPr>
          <w:i w:val="1"/>
          <w:sz w:val="20"/>
          <w:szCs w:val="20"/>
          <w:rtl w:val="0"/>
        </w:rPr>
        <w:t xml:space="preserve">Caso contra Nanci Sinto y Dulce Archila: ven contradicciones del MP y el proceso queda en impasse. </w:t>
      </w:r>
      <w:r w:rsidDel="00000000" w:rsidR="00000000" w:rsidRPr="00000000">
        <w:rPr>
          <w:sz w:val="20"/>
          <w:szCs w:val="20"/>
          <w:rtl w:val="0"/>
        </w:rPr>
        <w:t xml:space="preserve">Disponible en</w:t>
      </w:r>
      <w:r w:rsidDel="00000000" w:rsidR="00000000" w:rsidRPr="00000000">
        <w:rPr>
          <w:i w:val="1"/>
          <w:sz w:val="20"/>
          <w:szCs w:val="20"/>
          <w:rtl w:val="0"/>
        </w:rPr>
        <w:t xml:space="preserve">: </w:t>
      </w:r>
    </w:p>
    <w:p w:rsidR="00000000" w:rsidDel="00000000" w:rsidP="00000000" w:rsidRDefault="00000000" w:rsidRPr="00000000" w14:paraId="00000083">
      <w:pPr>
        <w:spacing w:after="0" w:line="240" w:lineRule="auto"/>
        <w:rPr>
          <w:sz w:val="20"/>
          <w:szCs w:val="20"/>
        </w:rPr>
      </w:pPr>
      <w:hyperlink r:id="rId22">
        <w:r w:rsidDel="00000000" w:rsidR="00000000" w:rsidRPr="00000000">
          <w:rPr>
            <w:color w:val="1155cc"/>
            <w:sz w:val="20"/>
            <w:szCs w:val="20"/>
            <w:u w:val="single"/>
            <w:rtl w:val="0"/>
          </w:rPr>
          <w:t xml:space="preserve">https://www.plazapublica.com.gt/content/caso-contra-nanci-sinto-y-dulce-archila-ven-contradicciones-del-mp-y-el-proceso-queda-en</w:t>
        </w:r>
      </w:hyperlink>
      <w:r w:rsidDel="00000000" w:rsidR="00000000" w:rsidRPr="00000000">
        <w:rPr>
          <w:sz w:val="20"/>
          <w:szCs w:val="20"/>
          <w:rtl w:val="0"/>
        </w:rPr>
        <w:t xml:space="preserve"> </w:t>
      </w:r>
    </w:p>
  </w:footnote>
  <w:footnote w:id="26">
    <w:p w:rsidR="00000000" w:rsidDel="00000000" w:rsidP="00000000" w:rsidRDefault="00000000" w:rsidRPr="00000000" w14:paraId="00000084">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Adeline Hite y Adriana Beltrán (2020). </w:t>
      </w:r>
      <w:r w:rsidDel="00000000" w:rsidR="00000000" w:rsidRPr="00000000">
        <w:rPr>
          <w:i w:val="1"/>
          <w:sz w:val="20"/>
          <w:szCs w:val="20"/>
          <w:rtl w:val="0"/>
        </w:rPr>
        <w:t xml:space="preserve">PREGUNTAS Y RESPUESTAS: La nueva ley de ONG de Guatemala</w:t>
      </w:r>
      <w:r w:rsidDel="00000000" w:rsidR="00000000" w:rsidRPr="00000000">
        <w:rPr>
          <w:sz w:val="20"/>
          <w:szCs w:val="20"/>
          <w:rtl w:val="0"/>
        </w:rPr>
        <w:t xml:space="preserve">. Disponible en: </w:t>
      </w:r>
      <w:hyperlink r:id="rId23">
        <w:r w:rsidDel="00000000" w:rsidR="00000000" w:rsidRPr="00000000">
          <w:rPr>
            <w:color w:val="1155cc"/>
            <w:sz w:val="20"/>
            <w:szCs w:val="20"/>
            <w:u w:val="single"/>
            <w:rtl w:val="0"/>
          </w:rPr>
          <w:t xml:space="preserve">https://www.wola.org/es/analisis/nueva-ley-ong-guatemala/</w:t>
        </w:r>
      </w:hyperlink>
      <w:r w:rsidDel="00000000" w:rsidR="00000000" w:rsidRPr="00000000">
        <w:rPr>
          <w:sz w:val="20"/>
          <w:szCs w:val="20"/>
          <w:rtl w:val="0"/>
        </w:rPr>
        <w:t xml:space="preserve">. </w:t>
      </w:r>
    </w:p>
  </w:footnote>
  <w:footnote w:id="27">
    <w:p w:rsidR="00000000" w:rsidDel="00000000" w:rsidP="00000000" w:rsidRDefault="00000000" w:rsidRPr="00000000" w14:paraId="00000085">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Sin Violencia LGBT (2019). </w:t>
      </w:r>
      <w:r w:rsidDel="00000000" w:rsidR="00000000" w:rsidRPr="00000000">
        <w:rPr>
          <w:i w:val="1"/>
          <w:sz w:val="20"/>
          <w:szCs w:val="20"/>
          <w:rtl w:val="0"/>
        </w:rPr>
        <w:t xml:space="preserve">El prejuicio no conoce fronteras. Informe de homicidios de lesbianas, gay, bisexuales, trans e intersex en países de América Latina y el Caribe. </w:t>
      </w:r>
      <w:r w:rsidDel="00000000" w:rsidR="00000000" w:rsidRPr="00000000">
        <w:rPr>
          <w:sz w:val="20"/>
          <w:szCs w:val="20"/>
          <w:rtl w:val="0"/>
        </w:rPr>
        <w:t xml:space="preserve">Disponible en:</w:t>
      </w:r>
      <w:hyperlink r:id="rId24">
        <w:r w:rsidDel="00000000" w:rsidR="00000000" w:rsidRPr="00000000">
          <w:rPr>
            <w:color w:val="1155cc"/>
            <w:sz w:val="20"/>
            <w:szCs w:val="20"/>
            <w:u w:val="single"/>
            <w:rtl w:val="0"/>
          </w:rPr>
          <w:t xml:space="preserve">https://ndicentroamerica.org/wp-content/uploads/2021/10/Las-mujeres-lesbianas-en-Guatemala_una-aproximacion-a-sus-demandas-sociopoliticas.pdf</w:t>
        </w:r>
      </w:hyperlink>
      <w:r w:rsidDel="00000000" w:rsidR="00000000" w:rsidRPr="00000000">
        <w:rPr>
          <w:sz w:val="20"/>
          <w:szCs w:val="20"/>
          <w:rtl w:val="0"/>
        </w:rPr>
        <w:t xml:space="preserve"> . Consultado el 7/9/2022.</w:t>
      </w:r>
    </w:p>
  </w:footnote>
  <w:footnote w:id="28">
    <w:p w:rsidR="00000000" w:rsidDel="00000000" w:rsidP="00000000" w:rsidRDefault="00000000" w:rsidRPr="00000000" w14:paraId="00000086">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Asociación Lambda comunica el recuento de muertes violentas contra personas LGBTI en su página de facebook, disponible en: </w:t>
      </w:r>
      <w:hyperlink r:id="rId25">
        <w:r w:rsidDel="00000000" w:rsidR="00000000" w:rsidRPr="00000000">
          <w:rPr>
            <w:color w:val="1155cc"/>
            <w:sz w:val="20"/>
            <w:szCs w:val="20"/>
            <w:u w:val="single"/>
            <w:rtl w:val="0"/>
          </w:rPr>
          <w:t xml:space="preserve">https://www.facebook.com/AsociacionLambda</w:t>
        </w:r>
      </w:hyperlink>
      <w:r w:rsidDel="00000000" w:rsidR="00000000" w:rsidRPr="00000000">
        <w:rPr>
          <w:sz w:val="20"/>
          <w:szCs w:val="20"/>
          <w:rtl w:val="0"/>
        </w:rPr>
        <w:t xml:space="preserve">. Consultado el 7/8/2022.</w:t>
      </w:r>
    </w:p>
  </w:footnote>
  <w:footnote w:id="29">
    <w:p w:rsidR="00000000" w:rsidDel="00000000" w:rsidP="00000000" w:rsidRDefault="00000000" w:rsidRPr="00000000" w14:paraId="00000087">
      <w:pPr>
        <w:spacing w:after="0" w:line="240" w:lineRule="auto"/>
        <w:jc w:val="left"/>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Comisión Interamericana de Derechos Humanos (2020). </w:t>
      </w:r>
      <w:r w:rsidDel="00000000" w:rsidR="00000000" w:rsidRPr="00000000">
        <w:rPr>
          <w:i w:val="1"/>
          <w:sz w:val="20"/>
          <w:szCs w:val="20"/>
          <w:rtl w:val="0"/>
        </w:rPr>
        <w:t xml:space="preserve">Tercer informe de seguimiento de recomendaciones formuladas por la CIDH en el informe sobre Situación de Derechos Humanos en Guatemala.</w:t>
      </w:r>
      <w:r w:rsidDel="00000000" w:rsidR="00000000" w:rsidRPr="00000000">
        <w:rPr>
          <w:sz w:val="20"/>
          <w:szCs w:val="20"/>
          <w:rtl w:val="0"/>
        </w:rPr>
        <w:t xml:space="preserve"> p. 1017 </w:t>
      </w:r>
    </w:p>
  </w:footnote>
  <w:footnote w:id="30">
    <w:p w:rsidR="00000000" w:rsidDel="00000000" w:rsidP="00000000" w:rsidRDefault="00000000" w:rsidRPr="00000000" w14:paraId="00000088">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Comunicación personal con Alex Castillo, coordinador del Colectivo de hombres trans Trans-formación el 7 de septiembre de 2020. </w:t>
      </w:r>
    </w:p>
  </w:footnote>
  <w:footnote w:id="31">
    <w:p w:rsidR="00000000" w:rsidDel="00000000" w:rsidP="00000000" w:rsidRDefault="00000000" w:rsidRPr="00000000" w14:paraId="00000089">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Agencia Presentes (2020). Guatemala, pandemia, subregistro de violencias y redes LGBTI. Disponible en: </w:t>
      </w:r>
      <w:hyperlink r:id="rId26">
        <w:r w:rsidDel="00000000" w:rsidR="00000000" w:rsidRPr="00000000">
          <w:rPr>
            <w:color w:val="1155cc"/>
            <w:sz w:val="20"/>
            <w:szCs w:val="20"/>
            <w:u w:val="single"/>
            <w:rtl w:val="0"/>
          </w:rPr>
          <w:t xml:space="preserve">https://tinyurl.com/v2sy73k5</w:t>
        </w:r>
      </w:hyperlink>
      <w:r w:rsidDel="00000000" w:rsidR="00000000" w:rsidRPr="00000000">
        <w:rPr>
          <w:sz w:val="20"/>
          <w:szCs w:val="20"/>
          <w:rtl w:val="0"/>
        </w:rPr>
        <w:t xml:space="preserve">. Consultado el 7/9/2022 </w:t>
      </w:r>
    </w:p>
  </w:footnote>
  <w:footnote w:id="32">
    <w:p w:rsidR="00000000" w:rsidDel="00000000" w:rsidP="00000000" w:rsidRDefault="00000000" w:rsidRPr="00000000" w14:paraId="0000008A">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Comunicación personal con Alex Castillo, trabajador de la Asociación Lambda y Coordinador del Colectivo Trans-formación, el 7 de septiembre de 2022. </w:t>
      </w:r>
    </w:p>
  </w:footnote>
  <w:footnote w:id="33">
    <w:p w:rsidR="00000000" w:rsidDel="00000000" w:rsidP="00000000" w:rsidRDefault="00000000" w:rsidRPr="00000000" w14:paraId="0000008B">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Visibles (2020). </w:t>
      </w:r>
      <w:r w:rsidDel="00000000" w:rsidR="00000000" w:rsidRPr="00000000">
        <w:rPr>
          <w:i w:val="1"/>
          <w:sz w:val="20"/>
          <w:szCs w:val="20"/>
          <w:rtl w:val="0"/>
        </w:rPr>
        <w:t xml:space="preserve">Prejuicio y Crímenes de Odio La violencia como forma extrema de la estigmatización y negación de la diversidad.</w:t>
      </w:r>
      <w:r w:rsidDel="00000000" w:rsidR="00000000" w:rsidRPr="00000000">
        <w:rPr>
          <w:sz w:val="20"/>
          <w:szCs w:val="20"/>
          <w:rtl w:val="0"/>
        </w:rPr>
        <w:t xml:space="preserve"> Miradas, Edición 1, p. 4. Disponible en: </w:t>
      </w:r>
      <w:hyperlink r:id="rId27">
        <w:r w:rsidDel="00000000" w:rsidR="00000000" w:rsidRPr="00000000">
          <w:rPr>
            <w:color w:val="1155cc"/>
            <w:sz w:val="20"/>
            <w:szCs w:val="20"/>
            <w:u w:val="single"/>
            <w:rtl w:val="0"/>
          </w:rPr>
          <w:t xml:space="preserve">https://www.visibles.gt/wp-content/uploads/2020/01/Miradas1-1.pdf</w:t>
        </w:r>
      </w:hyperlink>
      <w:r w:rsidDel="00000000" w:rsidR="00000000" w:rsidRPr="00000000">
        <w:rPr>
          <w:sz w:val="20"/>
          <w:szCs w:val="20"/>
          <w:rtl w:val="0"/>
        </w:rPr>
        <w:t xml:space="preserve"> </w:t>
      </w:r>
    </w:p>
  </w:footnote>
  <w:footnote w:id="34">
    <w:p w:rsidR="00000000" w:rsidDel="00000000" w:rsidP="00000000" w:rsidRDefault="00000000" w:rsidRPr="00000000" w14:paraId="0000008C">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Periódico ABC. </w:t>
      </w:r>
      <w:r w:rsidDel="00000000" w:rsidR="00000000" w:rsidRPr="00000000">
        <w:rPr>
          <w:i w:val="1"/>
          <w:sz w:val="20"/>
          <w:szCs w:val="20"/>
          <w:rtl w:val="0"/>
        </w:rPr>
        <w:t xml:space="preserve">Terrible asesinato a dos mujeres en Guatemala «por lesbianas». </w:t>
      </w:r>
      <w:r w:rsidDel="00000000" w:rsidR="00000000" w:rsidRPr="00000000">
        <w:rPr>
          <w:sz w:val="20"/>
          <w:szCs w:val="20"/>
          <w:rtl w:val="0"/>
        </w:rPr>
        <w:t xml:space="preserve">Disponible en: </w:t>
      </w:r>
      <w:r w:rsidDel="00000000" w:rsidR="00000000" w:rsidRPr="00000000">
        <w:rPr>
          <w:i w:val="1"/>
          <w:sz w:val="20"/>
          <w:szCs w:val="20"/>
          <w:rtl w:val="0"/>
        </w:rPr>
        <w:t xml:space="preserve">i</w:t>
      </w:r>
      <w:hyperlink r:id="rId28">
        <w:r w:rsidDel="00000000" w:rsidR="00000000" w:rsidRPr="00000000">
          <w:rPr>
            <w:color w:val="1155cc"/>
            <w:sz w:val="20"/>
            <w:szCs w:val="20"/>
            <w:u w:val="single"/>
            <w:rtl w:val="0"/>
          </w:rPr>
          <w:t xml:space="preserve">https://www.abc.es/sociedad/abci-terrible-asesinato-mujeres-guatemala-lesbianas-201904241005_noticia.html</w:t>
        </w:r>
      </w:hyperlink>
      <w:r w:rsidDel="00000000" w:rsidR="00000000" w:rsidRPr="00000000">
        <w:rPr>
          <w:sz w:val="20"/>
          <w:szCs w:val="20"/>
          <w:rtl w:val="0"/>
        </w:rPr>
        <w:t xml:space="preserve">. Consultado el 7/9/2022. </w:t>
      </w:r>
    </w:p>
  </w:footnote>
  <w:footnote w:id="35">
    <w:p w:rsidR="00000000" w:rsidDel="00000000" w:rsidP="00000000" w:rsidRDefault="00000000" w:rsidRPr="00000000" w14:paraId="0000008D">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Organización de Diversidad Sexual para la Cultura, la Educación y las Artes. </w:t>
      </w:r>
      <w:r w:rsidDel="00000000" w:rsidR="00000000" w:rsidRPr="00000000">
        <w:rPr>
          <w:i w:val="1"/>
          <w:sz w:val="20"/>
          <w:szCs w:val="20"/>
          <w:rtl w:val="0"/>
        </w:rPr>
        <w:t xml:space="preserve">Las mujeres lesbianas en Guatemala: una aproximación a sus demandas políticas.</w:t>
      </w:r>
      <w:r w:rsidDel="00000000" w:rsidR="00000000" w:rsidRPr="00000000">
        <w:rPr>
          <w:sz w:val="20"/>
          <w:szCs w:val="20"/>
          <w:rtl w:val="0"/>
        </w:rPr>
        <w:t xml:space="preserve"> Disponible en: </w:t>
      </w:r>
      <w:hyperlink r:id="rId29">
        <w:r w:rsidDel="00000000" w:rsidR="00000000" w:rsidRPr="00000000">
          <w:rPr>
            <w:color w:val="1155cc"/>
            <w:sz w:val="20"/>
            <w:szCs w:val="20"/>
            <w:u w:val="single"/>
            <w:rtl w:val="0"/>
          </w:rPr>
          <w:t xml:space="preserve">https://ndicentroamerica.org/wp-content/uploads/2021/10/Las-mujeres-lesbianas-en-Guatemala_una-aproximacion-a-sus-demandas-sociopoliticas.pdf</w:t>
        </w:r>
      </w:hyperlink>
      <w:r w:rsidDel="00000000" w:rsidR="00000000" w:rsidRPr="00000000">
        <w:rPr>
          <w:sz w:val="20"/>
          <w:szCs w:val="20"/>
          <w:rtl w:val="0"/>
        </w:rPr>
        <w:t xml:space="preserve">. pp. 51-53. Consultado el 7/9/2022. </w:t>
      </w:r>
    </w:p>
  </w:footnote>
  <w:footnote w:id="36">
    <w:p w:rsidR="00000000" w:rsidDel="00000000" w:rsidP="00000000" w:rsidRDefault="00000000" w:rsidRPr="00000000" w14:paraId="0000008E">
      <w:pPr>
        <w:spacing w:after="0" w:line="240" w:lineRule="auto"/>
        <w:rPr>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Comisión Interamericana de Derechos Humanos (2015). </w:t>
      </w:r>
      <w:r w:rsidDel="00000000" w:rsidR="00000000" w:rsidRPr="00000000">
        <w:rPr>
          <w:i w:val="1"/>
          <w:sz w:val="20"/>
          <w:szCs w:val="20"/>
          <w:rtl w:val="0"/>
        </w:rPr>
        <w:t xml:space="preserve">Violencia contra personas LGBTI en América. </w:t>
      </w:r>
    </w:p>
  </w:footnote>
  <w:footnote w:id="37">
    <w:p w:rsidR="00000000" w:rsidDel="00000000" w:rsidP="00000000" w:rsidRDefault="00000000" w:rsidRPr="00000000" w14:paraId="0000008F">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López, et al. (2020).</w:t>
      </w:r>
      <w:r w:rsidDel="00000000" w:rsidR="00000000" w:rsidRPr="00000000">
        <w:rPr>
          <w:i w:val="1"/>
          <w:sz w:val="20"/>
          <w:szCs w:val="20"/>
          <w:rtl w:val="0"/>
        </w:rPr>
        <w:t xml:space="preserve"> Realidades Compartidas: Experiencias de violencia y exclusión de las personas LGBTQ+. Análisis exploratorio en Guatemala.</w:t>
      </w:r>
      <w:r w:rsidDel="00000000" w:rsidR="00000000" w:rsidRPr="00000000">
        <w:rPr>
          <w:sz w:val="20"/>
          <w:szCs w:val="20"/>
          <w:rtl w:val="0"/>
        </w:rPr>
        <w:t xml:space="preserve"> Visibles, Guatemala.</w:t>
      </w:r>
    </w:p>
  </w:footnote>
  <w:footnote w:id="38">
    <w:p w:rsidR="00000000" w:rsidDel="00000000" w:rsidP="00000000" w:rsidRDefault="00000000" w:rsidRPr="00000000" w14:paraId="00000090">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CEDOSTALC (2018). </w:t>
      </w:r>
      <w:r w:rsidDel="00000000" w:rsidR="00000000" w:rsidRPr="00000000">
        <w:rPr>
          <w:i w:val="1"/>
          <w:sz w:val="20"/>
          <w:szCs w:val="20"/>
          <w:rtl w:val="0"/>
        </w:rPr>
        <w:t xml:space="preserve">Basta de genocidio trans.</w:t>
      </w:r>
      <w:r w:rsidDel="00000000" w:rsidR="00000000" w:rsidRPr="00000000">
        <w:rPr>
          <w:sz w:val="20"/>
          <w:szCs w:val="20"/>
          <w:rtl w:val="0"/>
        </w:rPr>
        <w:t xml:space="preserve"> Disponible en: </w:t>
      </w:r>
      <w:hyperlink r:id="rId30">
        <w:r w:rsidDel="00000000" w:rsidR="00000000" w:rsidRPr="00000000">
          <w:rPr>
            <w:color w:val="1155cc"/>
            <w:sz w:val="20"/>
            <w:szCs w:val="20"/>
            <w:u w:val="single"/>
            <w:rtl w:val="0"/>
          </w:rPr>
          <w:t xml:space="preserve">https://www.academia.edu/40560241/CEDOSTALC_REGIONAL_REPORT_2018_Stop_the_Trans_Genocide</w:t>
        </w:r>
      </w:hyperlink>
      <w:r w:rsidDel="00000000" w:rsidR="00000000" w:rsidRPr="00000000">
        <w:rPr>
          <w:sz w:val="20"/>
          <w:szCs w:val="20"/>
          <w:rtl w:val="0"/>
        </w:rPr>
        <w:t xml:space="preserve">. Consultado el 7/9/2022.</w:t>
      </w:r>
    </w:p>
  </w:footnote>
  <w:footnote w:id="20">
    <w:p w:rsidR="00000000" w:rsidDel="00000000" w:rsidP="00000000" w:rsidRDefault="00000000" w:rsidRPr="00000000" w14:paraId="00000094">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Agencia Ocote (2021). Las saladas del penal. Available at: </w:t>
      </w:r>
      <w:hyperlink r:id="rId31">
        <w:r w:rsidDel="00000000" w:rsidR="00000000" w:rsidRPr="00000000">
          <w:rPr>
            <w:color w:val="1155cc"/>
            <w:sz w:val="20"/>
            <w:szCs w:val="20"/>
            <w:u w:val="single"/>
            <w:rtl w:val="0"/>
          </w:rPr>
          <w:t xml:space="preserve">https://www.agenciaocote.com/blog/2021/03/10/las-saladas-del-penal/</w:t>
        </w:r>
      </w:hyperlink>
      <w:r w:rsidDel="00000000" w:rsidR="00000000" w:rsidRPr="00000000">
        <w:rPr>
          <w:sz w:val="20"/>
          <w:szCs w:val="20"/>
          <w:rtl w:val="0"/>
        </w:rPr>
        <w:t xml:space="preserve">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1">
    <w:pPr>
      <w:tabs>
        <w:tab w:val="center" w:pos="4252"/>
        <w:tab w:val="right" w:pos="8504"/>
      </w:tabs>
      <w:spacing w:line="240" w:lineRule="auto"/>
      <w:jc w:val="right"/>
      <w:rPr/>
    </w:pPr>
    <w:r w:rsidDel="00000000" w:rsidR="00000000" w:rsidRPr="00000000">
      <w:rPr>
        <w:rtl w:val="0"/>
      </w:rPr>
      <w:tab/>
      <w:t xml:space="preserve"> </w:t>
    </w:r>
    <w:r w:rsidDel="00000000" w:rsidR="00000000" w:rsidRPr="00000000">
      <w:rPr/>
      <w:drawing>
        <wp:inline distB="0" distT="0" distL="0" distR="0">
          <wp:extent cx="516263" cy="726268"/>
          <wp:effectExtent b="0" l="0" r="0" t="0"/>
          <wp:docPr descr="page1image22710512" id="8" name="image1.png"/>
          <a:graphic>
            <a:graphicData uri="http://schemas.openxmlformats.org/drawingml/2006/picture">
              <pic:pic>
                <pic:nvPicPr>
                  <pic:cNvPr descr="page1image22710512" id="0" name="image1.png"/>
                  <pic:cNvPicPr preferRelativeResize="0"/>
                </pic:nvPicPr>
                <pic:blipFill>
                  <a:blip r:embed="rId1"/>
                  <a:srcRect b="0" l="0" r="0" t="0"/>
                  <a:stretch>
                    <a:fillRect/>
                  </a:stretch>
                </pic:blipFill>
                <pic:spPr>
                  <a:xfrm>
                    <a:off x="0" y="0"/>
                    <a:ext cx="516263" cy="726268"/>
                  </a:xfrm>
                  <a:prstGeom prst="rect"/>
                  <a:ln/>
                </pic:spPr>
              </pic:pic>
            </a:graphicData>
          </a:graphic>
        </wp:inline>
      </w:drawing>
    </w:r>
    <w:r w:rsidDel="00000000" w:rsidR="00000000" w:rsidRPr="00000000">
      <w:rPr/>
      <w:drawing>
        <wp:inline distB="0" distT="0" distL="0" distR="0">
          <wp:extent cx="887738" cy="580106"/>
          <wp:effectExtent b="0" l="0" r="0" t="0"/>
          <wp:docPr id="9" name="image3.png"/>
          <a:graphic>
            <a:graphicData uri="http://schemas.openxmlformats.org/drawingml/2006/picture">
              <pic:pic>
                <pic:nvPicPr>
                  <pic:cNvPr id="0" name="image3.png"/>
                  <pic:cNvPicPr preferRelativeResize="0"/>
                </pic:nvPicPr>
                <pic:blipFill>
                  <a:blip r:embed="rId2"/>
                  <a:srcRect b="0" l="0" r="0" t="0"/>
                  <a:stretch>
                    <a:fillRect/>
                  </a:stretch>
                </pic:blipFill>
                <pic:spPr>
                  <a:xfrm>
                    <a:off x="0" y="0"/>
                    <a:ext cx="887738" cy="580106"/>
                  </a:xfrm>
                  <a:prstGeom prst="rect"/>
                  <a:ln/>
                </pic:spPr>
              </pic:pic>
            </a:graphicData>
          </a:graphic>
        </wp:inline>
      </w:drawing>
    </w:r>
    <w:r w:rsidDel="00000000" w:rsidR="00000000" w:rsidRPr="00000000">
      <w:rPr/>
      <w:drawing>
        <wp:inline distB="114300" distT="114300" distL="114300" distR="114300">
          <wp:extent cx="621038" cy="653724"/>
          <wp:effectExtent b="0" l="0" r="0" t="0"/>
          <wp:docPr id="7" name="image2.jpg"/>
          <a:graphic>
            <a:graphicData uri="http://schemas.openxmlformats.org/drawingml/2006/picture">
              <pic:pic>
                <pic:nvPicPr>
                  <pic:cNvPr id="0" name="image2.jpg"/>
                  <pic:cNvPicPr preferRelativeResize="0"/>
                </pic:nvPicPr>
                <pic:blipFill>
                  <a:blip r:embed="rId3"/>
                  <a:srcRect b="12359" l="16129" r="14270" t="14606"/>
                  <a:stretch>
                    <a:fillRect/>
                  </a:stretch>
                </pic:blipFill>
                <pic:spPr>
                  <a:xfrm>
                    <a:off x="0" y="0"/>
                    <a:ext cx="621038" cy="653724"/>
                  </a:xfrm>
                  <a:prstGeom prst="rect"/>
                  <a:ln/>
                </pic:spPr>
              </pic:pic>
            </a:graphicData>
          </a:graphic>
        </wp:inline>
      </w:drawing>
    </w:r>
    <w:r w:rsidDel="00000000" w:rsidR="00000000" w:rsidRPr="00000000">
      <w:rPr>
        <w:rtl w:val="0"/>
      </w:rPr>
    </w:r>
  </w:p>
  <w:p w:rsidR="00000000" w:rsidDel="00000000" w:rsidP="00000000" w:rsidRDefault="00000000" w:rsidRPr="00000000" w14:paraId="00000092">
    <w:pPr>
      <w:rPr>
        <w:b w:val="1"/>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
      </w:rPr>
    </w:rPrDefault>
    <w:pPrDefault>
      <w:pPr>
        <w:spacing w:after="200" w:line="276"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rFonts w:ascii="Oswald" w:cs="Oswald" w:eastAsia="Oswald" w:hAnsi="Oswald"/>
      <w:sz w:val="34"/>
      <w:szCs w:val="34"/>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rFonts w:ascii="Oswald" w:cs="Oswald" w:eastAsia="Oswald" w:hAnsi="Oswald"/>
      <w:sz w:val="34"/>
      <w:szCs w:val="34"/>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rFonts w:ascii="Oswald" w:cs="Oswald" w:eastAsia="Oswald" w:hAnsi="Oswald"/>
      <w:color w:val="666666"/>
      <w:sz w:val="30"/>
      <w:szCs w:val="30"/>
    </w:rPr>
  </w:style>
  <w:style w:type="paragraph" w:styleId="Revision">
    <w:name w:val="Revision"/>
    <w:hidden w:val="1"/>
    <w:uiPriority w:val="99"/>
    <w:semiHidden w:val="1"/>
    <w:rsid w:val="00B868D2"/>
    <w:pPr>
      <w:spacing w:after="0" w:line="240" w:lineRule="auto"/>
      <w:jc w:val="left"/>
    </w:pPr>
  </w:style>
  <w:style w:type="character" w:styleId="CommentReference">
    <w:name w:val="annotation reference"/>
    <w:basedOn w:val="DefaultParagraphFont"/>
    <w:uiPriority w:val="99"/>
    <w:semiHidden w:val="1"/>
    <w:unhideWhenUsed w:val="1"/>
    <w:rsid w:val="00B868D2"/>
    <w:rPr>
      <w:sz w:val="16"/>
      <w:szCs w:val="16"/>
    </w:rPr>
  </w:style>
  <w:style w:type="paragraph" w:styleId="CommentText">
    <w:name w:val="annotation text"/>
    <w:basedOn w:val="Normal"/>
    <w:link w:val="CommentTextChar"/>
    <w:uiPriority w:val="99"/>
    <w:semiHidden w:val="1"/>
    <w:unhideWhenUsed w:val="1"/>
    <w:rsid w:val="00B868D2"/>
    <w:pPr>
      <w:spacing w:line="240" w:lineRule="auto"/>
    </w:pPr>
    <w:rPr>
      <w:sz w:val="20"/>
      <w:szCs w:val="20"/>
    </w:rPr>
  </w:style>
  <w:style w:type="character" w:styleId="CommentTextChar" w:customStyle="1">
    <w:name w:val="Comment Text Char"/>
    <w:basedOn w:val="DefaultParagraphFont"/>
    <w:link w:val="CommentText"/>
    <w:uiPriority w:val="99"/>
    <w:semiHidden w:val="1"/>
    <w:rsid w:val="00B868D2"/>
    <w:rPr>
      <w:sz w:val="20"/>
      <w:szCs w:val="20"/>
    </w:rPr>
  </w:style>
  <w:style w:type="paragraph" w:styleId="CommentSubject">
    <w:name w:val="annotation subject"/>
    <w:basedOn w:val="CommentText"/>
    <w:next w:val="CommentText"/>
    <w:link w:val="CommentSubjectChar"/>
    <w:uiPriority w:val="99"/>
    <w:semiHidden w:val="1"/>
    <w:unhideWhenUsed w:val="1"/>
    <w:rsid w:val="00B868D2"/>
    <w:rPr>
      <w:b w:val="1"/>
      <w:bCs w:val="1"/>
    </w:rPr>
  </w:style>
  <w:style w:type="character" w:styleId="CommentSubjectChar" w:customStyle="1">
    <w:name w:val="Comment Subject Char"/>
    <w:basedOn w:val="CommentTextChar"/>
    <w:link w:val="CommentSubject"/>
    <w:uiPriority w:val="99"/>
    <w:semiHidden w:val="1"/>
    <w:rsid w:val="00B868D2"/>
    <w:rPr>
      <w:b w:val="1"/>
      <w:bCs w:val="1"/>
      <w:sz w:val="20"/>
      <w:szCs w:val="20"/>
    </w:rPr>
  </w:style>
  <w:style w:type="paragraph" w:styleId="Header">
    <w:name w:val="header"/>
    <w:basedOn w:val="Normal"/>
    <w:link w:val="HeaderChar"/>
    <w:uiPriority w:val="99"/>
    <w:unhideWhenUsed w:val="1"/>
    <w:rsid w:val="00B868D2"/>
    <w:pPr>
      <w:tabs>
        <w:tab w:val="center" w:pos="4513"/>
        <w:tab w:val="right" w:pos="9026"/>
      </w:tabs>
      <w:spacing w:after="0" w:line="240" w:lineRule="auto"/>
    </w:pPr>
  </w:style>
  <w:style w:type="character" w:styleId="HeaderChar" w:customStyle="1">
    <w:name w:val="Header Char"/>
    <w:basedOn w:val="DefaultParagraphFont"/>
    <w:link w:val="Header"/>
    <w:uiPriority w:val="99"/>
    <w:rsid w:val="00B868D2"/>
  </w:style>
  <w:style w:type="paragraph" w:styleId="Footer">
    <w:name w:val="footer"/>
    <w:basedOn w:val="Normal"/>
    <w:link w:val="FooterChar"/>
    <w:uiPriority w:val="99"/>
    <w:unhideWhenUsed w:val="1"/>
    <w:rsid w:val="00B868D2"/>
    <w:pPr>
      <w:tabs>
        <w:tab w:val="center" w:pos="4513"/>
        <w:tab w:val="right" w:pos="9026"/>
      </w:tabs>
      <w:spacing w:after="0" w:line="240" w:lineRule="auto"/>
    </w:pPr>
  </w:style>
  <w:style w:type="character" w:styleId="FooterChar" w:customStyle="1">
    <w:name w:val="Footer Char"/>
    <w:basedOn w:val="DefaultParagraphFont"/>
    <w:link w:val="Footer"/>
    <w:uiPriority w:val="99"/>
    <w:rsid w:val="00B868D2"/>
  </w:style>
  <w:style w:type="table" w:styleId="a" w:customStyle="1">
    <w:basedOn w:val="TableNormal"/>
    <w:tblPr>
      <w:tblStyleRowBandSize w:val="1"/>
      <w:tblStyleColBandSize w:val="1"/>
      <w:tblCellMar>
        <w:top w:w="100.0" w:type="dxa"/>
        <w:left w:w="100.0" w:type="dxa"/>
        <w:bottom w:w="100.0" w:type="dxa"/>
        <w:right w:w="100.0" w:type="dxa"/>
      </w:tblCellMar>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table" w:styleId="a1" w:customStyle="1">
    <w:basedOn w:val="TableNormal"/>
    <w:tblPr>
      <w:tblStyleRowBandSize w:val="1"/>
      <w:tblStyleColBandSize w:val="1"/>
      <w:tblCellMar>
        <w:top w:w="100.0" w:type="dxa"/>
        <w:left w:w="100.0" w:type="dxa"/>
        <w:bottom w:w="100.0" w:type="dxa"/>
        <w:right w:w="100.0" w:type="dxa"/>
      </w:tblCellMar>
    </w:tblPr>
  </w:style>
  <w:style w:type="table" w:styleId="a2" w:customStyle="1">
    <w:basedOn w:val="TableNormal"/>
    <w:tblPr>
      <w:tblStyleRowBandSize w:val="1"/>
      <w:tblStyleColBandSize w:val="1"/>
      <w:tblCellMar>
        <w:top w:w="100.0" w:type="dxa"/>
        <w:left w:w="100.0" w:type="dxa"/>
        <w:bottom w:w="100.0" w:type="dxa"/>
        <w:right w:w="100.0" w:type="dxa"/>
      </w:tblCellMar>
    </w:tblPr>
  </w:style>
  <w:style w:type="table" w:styleId="a3" w:customSty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rFonts w:ascii="Oswald" w:cs="Oswald" w:eastAsia="Oswald" w:hAnsi="Oswald"/>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fontTable" Target="fontTable.xml"/><Relationship Id="rId7" Type="http://schemas.openxmlformats.org/officeDocument/2006/relationships/customXml" Target="../customXML/item1.xml"/><Relationship Id="rId12" Type="http://schemas.openxmlformats.org/officeDocument/2006/relationships/customXml" Target="../customXML/item4.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11" Type="http://schemas.openxmlformats.org/officeDocument/2006/relationships/customXml" Target="../customXML/item3.xml"/><Relationship Id="rId5" Type="http://schemas.openxmlformats.org/officeDocument/2006/relationships/numbering" Target="numbering.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Oswald-regular.ttf"/><Relationship Id="rId2" Type="http://schemas.openxmlformats.org/officeDocument/2006/relationships/font" Target="fonts/Oswald-bold.ttf"/><Relationship Id="rId3" Type="http://schemas.openxmlformats.org/officeDocument/2006/relationships/font" Target="fonts/BarlowSemiBold-regular.ttf"/><Relationship Id="rId4" Type="http://schemas.openxmlformats.org/officeDocument/2006/relationships/font" Target="fonts/BarlowSemiBold-bold.ttf"/><Relationship Id="rId5" Type="http://schemas.openxmlformats.org/officeDocument/2006/relationships/font" Target="fonts/BarlowSemiBold-italic.ttf"/><Relationship Id="rId6" Type="http://schemas.openxmlformats.org/officeDocument/2006/relationships/font" Target="fonts/BarlowSemiBold-boldItalic.ttf"/></Relationships>
</file>

<file path=word/_rels/footnotes.xml.rels><?xml version="1.0" encoding="UTF-8" standalone="yes"?><Relationships xmlns="http://schemas.openxmlformats.org/package/2006/relationships"><Relationship Id="rId20" Type="http://schemas.openxmlformats.org/officeDocument/2006/relationships/hyperlink" Target="https://www.plazapublica.com.gt/content/caso-contra-nanci-sinto-y-dulce-archila-ven-contradicciones-del-mp-y-el-proceso-queda-en" TargetMode="External"/><Relationship Id="rId22" Type="http://schemas.openxmlformats.org/officeDocument/2006/relationships/hyperlink" Target="https://www.plazapublica.com.gt/content/caso-contra-nanci-sinto-y-dulce-archila-ven-contradicciones-del-mp-y-el-proceso-queda-en" TargetMode="External"/><Relationship Id="rId21" Type="http://schemas.openxmlformats.org/officeDocument/2006/relationships/hyperlink" Target="https://www.bbc.com/mundo/noticias-america-latina-55051500" TargetMode="External"/><Relationship Id="rId24" Type="http://schemas.openxmlformats.org/officeDocument/2006/relationships/hyperlink" Target="https://ndicentroamerica.org/wp-content/uploads/2021/10/Las-mujeres-lesbianas-en-Guatemala_una-aproximacion-a-sus-demandas-sociopoliticas.pdf" TargetMode="External"/><Relationship Id="rId23" Type="http://schemas.openxmlformats.org/officeDocument/2006/relationships/hyperlink" Target="https://www.wola.org/es/analisis/nueva-ley-ong-guatemala/" TargetMode="External"/><Relationship Id="rId1" Type="http://schemas.openxmlformats.org/officeDocument/2006/relationships/hyperlink" Target="https://tinyurl.com/heh2au69" TargetMode="External"/><Relationship Id="rId2" Type="http://schemas.openxmlformats.org/officeDocument/2006/relationships/hyperlink" Target="https://tinyurl.com/kkmez2m7" TargetMode="External"/><Relationship Id="rId3" Type="http://schemas.openxmlformats.org/officeDocument/2006/relationships/hyperlink" Target="https://tinyurl.com/43xz3ucc" TargetMode="External"/><Relationship Id="rId4" Type="http://schemas.openxmlformats.org/officeDocument/2006/relationships/hyperlink" Target="https://tinyurl.com/26bpsj7c" TargetMode="External"/><Relationship Id="rId9" Type="http://schemas.openxmlformats.org/officeDocument/2006/relationships/hyperlink" Target="https://www.congreso.gob.gt/detalle_pdf/iniciativas/5787" TargetMode="External"/><Relationship Id="rId26" Type="http://schemas.openxmlformats.org/officeDocument/2006/relationships/hyperlink" Target="https://tinyurl.com/v2sy73k5" TargetMode="External"/><Relationship Id="rId25" Type="http://schemas.openxmlformats.org/officeDocument/2006/relationships/hyperlink" Target="https://www.facebook.com/AsociacionLambda" TargetMode="External"/><Relationship Id="rId28" Type="http://schemas.openxmlformats.org/officeDocument/2006/relationships/hyperlink" Target="https://www.abc.es/sociedad/abci-terrible-asesinato-mujeres-guatemala-lesbianas-201904241005_noticia.html" TargetMode="External"/><Relationship Id="rId27" Type="http://schemas.openxmlformats.org/officeDocument/2006/relationships/hyperlink" Target="https://www.visibles.gt/wp-content/uploads/2020/01/Miradas1-1.pdf" TargetMode="External"/><Relationship Id="rId5" Type="http://schemas.openxmlformats.org/officeDocument/2006/relationships/hyperlink" Target="https://tinyurl.com/bppybwar" TargetMode="External"/><Relationship Id="rId6" Type="http://schemas.openxmlformats.org/officeDocument/2006/relationships/hyperlink" Target="https://tinyurl.com/4tas36fd" TargetMode="External"/><Relationship Id="rId29" Type="http://schemas.openxmlformats.org/officeDocument/2006/relationships/hyperlink" Target="https://ndicentroamerica.org/wp-content/uploads/2021/10/Las-mujeres-lesbianas-en-Guatemala_una-aproximacion-a-sus-demandas-sociopoliticas.pdf" TargetMode="External"/><Relationship Id="rId7" Type="http://schemas.openxmlformats.org/officeDocument/2006/relationships/hyperlink" Target="https://tinyurl.com/ypnank3z" TargetMode="External"/><Relationship Id="rId8" Type="http://schemas.openxmlformats.org/officeDocument/2006/relationships/hyperlink" Target="https://tinyurl.com/bd8kesaf" TargetMode="External"/><Relationship Id="rId31" Type="http://schemas.openxmlformats.org/officeDocument/2006/relationships/hyperlink" Target="https://www.agenciaocote.com/blog/2021/03/10/las-saladas-del-penal/" TargetMode="External"/><Relationship Id="rId30" Type="http://schemas.openxmlformats.org/officeDocument/2006/relationships/hyperlink" Target="https://www.academia.edu/40560241/CEDOSTALC_REGIONAL_REPORT_2018_Stop_the_Trans_Genocide" TargetMode="External"/><Relationship Id="rId11" Type="http://schemas.openxmlformats.org/officeDocument/2006/relationships/hyperlink" Target="https://www.congreso.gob.gt/detalle_pdf/iniciativas/5787" TargetMode="External"/><Relationship Id="rId10" Type="http://schemas.openxmlformats.org/officeDocument/2006/relationships/hyperlink" Target="https://tinyurl.com/59x9czmh" TargetMode="External"/><Relationship Id="rId13" Type="http://schemas.openxmlformats.org/officeDocument/2006/relationships/hyperlink" Target="https://visibles.gt/indicador-justicia/" TargetMode="External"/><Relationship Id="rId12" Type="http://schemas.openxmlformats.org/officeDocument/2006/relationships/hyperlink" Target="https://www.congreso.gob.gt/detalle_pdf/iniciativas/5787" TargetMode="External"/><Relationship Id="rId15" Type="http://schemas.openxmlformats.org/officeDocument/2006/relationships/hyperlink" Target="https://ndicentroamerica.org/wp-content/uploads/2021/10/Las-mujeres-lesbianas-en-Guatemala_una-aproximacion-a-sus-demandas-sociopoliticas.pdf" TargetMode="External"/><Relationship Id="rId14" Type="http://schemas.openxmlformats.org/officeDocument/2006/relationships/hyperlink" Target="https://reinasdelanoche.org.gt/sin-justicia-2021/" TargetMode="External"/><Relationship Id="rId17" Type="http://schemas.openxmlformats.org/officeDocument/2006/relationships/hyperlink" Target="https://ndicentroamerica.org/wp-content/uploads/2021/10/Las-mujeres-lesbianas-en-Guatemala_una-aproximacion-a-sus-demandas-sociopoliticas.pdf" TargetMode="External"/><Relationship Id="rId16" Type="http://schemas.openxmlformats.org/officeDocument/2006/relationships/hyperlink" Target="https://visibles.gt/indicador-justicia/" TargetMode="External"/><Relationship Id="rId19" Type="http://schemas.openxmlformats.org/officeDocument/2006/relationships/hyperlink" Target="https://www.dw.com/es/guatemala-asesinan-a-balazos-a-andrea-gonz%C3%A1lez-dirigente-lgbtiq/a-57870338" TargetMode="External"/><Relationship Id="rId18" Type="http://schemas.openxmlformats.org/officeDocument/2006/relationships/hyperlink" Target="https://visibles.gt/indicador-justici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3.png"/><Relationship Id="rId3"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CDsSa53Iotq2neAsmfwO2+dC1Qg==">AMUW2mVTNPPytsn0z0UR3tpIpUbPHoUAPPb3RCeW8c0CXucaVRPHvqRzqREx4uxdn02rB/LcGyru0JnKSqZ539zp2HfZ6rExh7QsXdbx8eH2q2dH+1LGS6qahq40n269UekZcRvMmFXoTkO5rVyLi1+vHaZO6Iyz0XE19zwxxNhD6bdztnMO6AaO0sqX8Wiwb1JvcOJZUq3NAP0coQmHfSpTe5fHsNq+4MzzAHrDH5IkxclJewrCao7GXV4GiVFwf2x9hSr3S9A/f0jSCGhwlLBChUHhE/1+fOcx70ofnqTcqjllP+FDYJdKSMttAAjwImffQ8oekdofwnaSWHk+lr9PEIRJBvLxuLm72NbfkU3JKSEHZo8T3oE=</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B8DBE97F-3420-4775-AD24-64D156C99553}"/>
</file>

<file path=customXML/itemProps3.xml><?xml version="1.0" encoding="utf-8"?>
<ds:datastoreItem xmlns:ds="http://schemas.openxmlformats.org/officeDocument/2006/customXml" ds:itemID="{290F3E8E-5BA2-4E9F-9784-AEBA9AA192DB}"/>
</file>

<file path=customXML/itemProps4.xml><?xml version="1.0" encoding="utf-8"?>
<ds:datastoreItem xmlns:ds="http://schemas.openxmlformats.org/officeDocument/2006/customXml" ds:itemID="{E261E743-AFDE-4E40-B36C-DC0A3CA90374}"/>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2022-09-21T23:06:00Z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