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68A6" w:rsidRDefault="00DD68A6">
      <w:pPr>
        <w:spacing w:after="200" w:line="276" w:lineRule="auto"/>
        <w:jc w:val="center"/>
        <w:rPr>
          <w:rFonts w:ascii="Arial" w:eastAsia="Arial" w:hAnsi="Arial" w:cs="Arial"/>
          <w:b/>
          <w:sz w:val="24"/>
          <w:szCs w:val="24"/>
        </w:rPr>
      </w:pPr>
      <w:bookmarkStart w:id="0" w:name="_heading=h.gjdgxs" w:colFirst="0" w:colLast="0"/>
      <w:bookmarkStart w:id="1" w:name="_GoBack"/>
      <w:bookmarkEnd w:id="0"/>
      <w:bookmarkEnd w:id="1"/>
    </w:p>
    <w:p w:rsidR="00DD68A6" w:rsidRDefault="00DD68A6">
      <w:pPr>
        <w:spacing w:after="200" w:line="276" w:lineRule="auto"/>
        <w:jc w:val="center"/>
        <w:rPr>
          <w:rFonts w:ascii="Arial" w:eastAsia="Arial" w:hAnsi="Arial" w:cs="Arial"/>
          <w:b/>
          <w:sz w:val="24"/>
          <w:szCs w:val="24"/>
        </w:rPr>
      </w:pPr>
      <w:bookmarkStart w:id="2" w:name="_heading=h.ggaozrwzy374" w:colFirst="0" w:colLast="0"/>
      <w:bookmarkEnd w:id="2"/>
    </w:p>
    <w:p w:rsidR="00DD68A6" w:rsidRDefault="00DD68A6">
      <w:pPr>
        <w:spacing w:after="200" w:line="276" w:lineRule="auto"/>
        <w:jc w:val="center"/>
        <w:rPr>
          <w:rFonts w:ascii="Arial" w:eastAsia="Arial" w:hAnsi="Arial" w:cs="Arial"/>
          <w:b/>
          <w:sz w:val="24"/>
          <w:szCs w:val="24"/>
        </w:rPr>
      </w:pPr>
      <w:bookmarkStart w:id="3" w:name="_heading=h.o92u32wu3gin" w:colFirst="0" w:colLast="0"/>
      <w:bookmarkEnd w:id="3"/>
    </w:p>
    <w:p w:rsidR="00DD68A6" w:rsidRDefault="00DD68A6">
      <w:pPr>
        <w:spacing w:after="200" w:line="276" w:lineRule="auto"/>
        <w:rPr>
          <w:rFonts w:ascii="Arial" w:eastAsia="Arial" w:hAnsi="Arial" w:cs="Arial"/>
          <w:b/>
          <w:sz w:val="24"/>
          <w:szCs w:val="24"/>
        </w:rPr>
      </w:pPr>
      <w:bookmarkStart w:id="4" w:name="_heading=h.tjoo41vdb0k1" w:colFirst="0" w:colLast="0"/>
      <w:bookmarkEnd w:id="4"/>
    </w:p>
    <w:p w:rsidR="00DD68A6" w:rsidRDefault="00DD68A6">
      <w:pPr>
        <w:spacing w:after="200" w:line="276" w:lineRule="auto"/>
        <w:jc w:val="center"/>
        <w:rPr>
          <w:rFonts w:ascii="Arial" w:eastAsia="Arial" w:hAnsi="Arial" w:cs="Arial"/>
          <w:b/>
          <w:sz w:val="24"/>
          <w:szCs w:val="24"/>
        </w:rPr>
      </w:pPr>
      <w:bookmarkStart w:id="5" w:name="_heading=h.8381yqa18dmt" w:colFirst="0" w:colLast="0"/>
      <w:bookmarkEnd w:id="5"/>
    </w:p>
    <w:p w:rsidR="00DD68A6" w:rsidRDefault="00EF78F0">
      <w:pPr>
        <w:spacing w:after="200" w:line="276" w:lineRule="auto"/>
        <w:jc w:val="center"/>
        <w:rPr>
          <w:rFonts w:ascii="Arial" w:eastAsia="Arial" w:hAnsi="Arial" w:cs="Arial"/>
          <w:b/>
          <w:sz w:val="24"/>
          <w:szCs w:val="24"/>
        </w:rPr>
      </w:pPr>
      <w:bookmarkStart w:id="6" w:name="_heading=h.2juoo0ivtqym" w:colFirst="0" w:colLast="0"/>
      <w:bookmarkEnd w:id="6"/>
      <w:r>
        <w:rPr>
          <w:rFonts w:ascii="Arial" w:eastAsia="Arial" w:hAnsi="Arial" w:cs="Arial"/>
          <w:b/>
          <w:sz w:val="24"/>
          <w:szCs w:val="24"/>
        </w:rPr>
        <w:t>INFORME ALTERNATIVO DE SOCIEDAD CIVIL LGBTI PARA EL COMITÉ DE DERECHOS ECONÓMICOS, SOCIALES Y CULTURALES DEL ESTADO DE GUATEMALA</w:t>
      </w:r>
    </w:p>
    <w:p w:rsidR="00DD68A6" w:rsidRDefault="00DD68A6">
      <w:pPr>
        <w:spacing w:after="200" w:line="276" w:lineRule="auto"/>
        <w:jc w:val="center"/>
        <w:rPr>
          <w:rFonts w:ascii="Arial" w:eastAsia="Arial" w:hAnsi="Arial" w:cs="Arial"/>
          <w:b/>
          <w:sz w:val="24"/>
          <w:szCs w:val="24"/>
        </w:rPr>
      </w:pPr>
      <w:bookmarkStart w:id="7" w:name="_heading=h.dsw922out0w" w:colFirst="0" w:colLast="0"/>
      <w:bookmarkEnd w:id="7"/>
    </w:p>
    <w:p w:rsidR="00DD68A6" w:rsidRDefault="00EF78F0">
      <w:pPr>
        <w:spacing w:after="200" w:line="276" w:lineRule="auto"/>
        <w:jc w:val="center"/>
        <w:rPr>
          <w:rFonts w:ascii="Arial" w:eastAsia="Arial" w:hAnsi="Arial" w:cs="Arial"/>
          <w:b/>
          <w:sz w:val="24"/>
          <w:szCs w:val="24"/>
        </w:rPr>
      </w:pPr>
      <w:bookmarkStart w:id="8" w:name="_heading=h.8dkveoo1rks2" w:colFirst="0" w:colLast="0"/>
      <w:bookmarkEnd w:id="8"/>
      <w:r>
        <w:rPr>
          <w:rFonts w:ascii="Arial" w:eastAsia="Arial" w:hAnsi="Arial" w:cs="Arial"/>
          <w:b/>
          <w:sz w:val="24"/>
          <w:szCs w:val="24"/>
        </w:rPr>
        <w:t>VISIBLES ONG Y COLECTIVO TRANS-FORMACIÓN</w:t>
      </w:r>
    </w:p>
    <w:p w:rsidR="00DD68A6" w:rsidRDefault="00EF78F0">
      <w:pPr>
        <w:spacing w:after="200" w:line="276" w:lineRule="auto"/>
        <w:jc w:val="center"/>
        <w:rPr>
          <w:rFonts w:ascii="Arial" w:eastAsia="Arial" w:hAnsi="Arial" w:cs="Arial"/>
          <w:b/>
          <w:sz w:val="24"/>
          <w:szCs w:val="24"/>
        </w:rPr>
      </w:pPr>
      <w:bookmarkStart w:id="9" w:name="_heading=h.526cns1cth3q" w:colFirst="0" w:colLast="0"/>
      <w:bookmarkEnd w:id="9"/>
      <w:r>
        <w:rPr>
          <w:rFonts w:ascii="Arial" w:eastAsia="Arial" w:hAnsi="Arial" w:cs="Arial"/>
          <w:b/>
          <w:sz w:val="24"/>
          <w:szCs w:val="24"/>
        </w:rPr>
        <w:t>GUATEMALA, AGOSTO DE 2020</w:t>
      </w:r>
    </w:p>
    <w:p w:rsidR="00DD68A6" w:rsidRDefault="00DD68A6">
      <w:pPr>
        <w:spacing w:after="200" w:line="276" w:lineRule="auto"/>
        <w:jc w:val="center"/>
        <w:rPr>
          <w:rFonts w:ascii="Arial" w:eastAsia="Arial" w:hAnsi="Arial" w:cs="Arial"/>
          <w:b/>
          <w:sz w:val="24"/>
          <w:szCs w:val="24"/>
        </w:rPr>
      </w:pPr>
      <w:bookmarkStart w:id="10" w:name="_heading=h.psqlmclzjtoo" w:colFirst="0" w:colLast="0"/>
      <w:bookmarkEnd w:id="10"/>
    </w:p>
    <w:p w:rsidR="00DD68A6" w:rsidRDefault="00DD68A6">
      <w:pPr>
        <w:spacing w:after="200" w:line="276" w:lineRule="auto"/>
        <w:rPr>
          <w:rFonts w:ascii="Arial" w:eastAsia="Arial" w:hAnsi="Arial" w:cs="Arial"/>
          <w:b/>
          <w:sz w:val="24"/>
          <w:szCs w:val="24"/>
        </w:rPr>
      </w:pPr>
      <w:bookmarkStart w:id="11" w:name="_heading=h.aa5d70o8qtdp" w:colFirst="0" w:colLast="0"/>
      <w:bookmarkEnd w:id="11"/>
    </w:p>
    <w:p w:rsidR="00DD68A6" w:rsidRDefault="00DD68A6">
      <w:pPr>
        <w:spacing w:after="200" w:line="276" w:lineRule="auto"/>
        <w:jc w:val="center"/>
        <w:rPr>
          <w:rFonts w:ascii="Arial" w:eastAsia="Arial" w:hAnsi="Arial" w:cs="Arial"/>
          <w:b/>
          <w:sz w:val="24"/>
          <w:szCs w:val="24"/>
        </w:rPr>
      </w:pPr>
      <w:bookmarkStart w:id="12" w:name="_heading=h.c2ta9abyd4a" w:colFirst="0" w:colLast="0"/>
      <w:bookmarkEnd w:id="12"/>
    </w:p>
    <w:tbl>
      <w:tblPr>
        <w:tblStyle w:val="a"/>
        <w:tblW w:w="883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4419"/>
        <w:gridCol w:w="4419"/>
      </w:tblGrid>
      <w:tr w:rsidR="00DD68A6">
        <w:trPr>
          <w:jc w:val="center"/>
        </w:trPr>
        <w:tc>
          <w:tcPr>
            <w:tcW w:w="4419" w:type="dxa"/>
            <w:shd w:val="clear" w:color="auto" w:fill="auto"/>
            <w:tcMar>
              <w:top w:w="100" w:type="dxa"/>
              <w:left w:w="100" w:type="dxa"/>
              <w:bottom w:w="100" w:type="dxa"/>
              <w:right w:w="100" w:type="dxa"/>
            </w:tcMar>
          </w:tcPr>
          <w:p w:rsidR="00DD68A6" w:rsidRDefault="00EF78F0">
            <w:pPr>
              <w:widowControl w:val="0"/>
              <w:pBdr>
                <w:top w:val="nil"/>
                <w:left w:val="nil"/>
                <w:bottom w:val="nil"/>
                <w:right w:val="nil"/>
                <w:between w:val="nil"/>
              </w:pBdr>
              <w:spacing w:after="0" w:line="240" w:lineRule="auto"/>
              <w:rPr>
                <w:rFonts w:ascii="Arial" w:eastAsia="Arial" w:hAnsi="Arial" w:cs="Arial"/>
                <w:b/>
                <w:sz w:val="24"/>
                <w:szCs w:val="24"/>
              </w:rPr>
            </w:pPr>
            <w:r>
              <w:rPr>
                <w:rFonts w:ascii="Arial" w:eastAsia="Arial" w:hAnsi="Arial" w:cs="Arial"/>
                <w:b/>
                <w:noProof/>
                <w:sz w:val="24"/>
                <w:szCs w:val="24"/>
                <w:lang w:val="en-GB" w:eastAsia="en-GB"/>
              </w:rPr>
              <w:drawing>
                <wp:inline distT="114300" distB="114300" distL="114300" distR="114300">
                  <wp:extent cx="2657475" cy="12827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657475" cy="1282700"/>
                          </a:xfrm>
                          <a:prstGeom prst="rect">
                            <a:avLst/>
                          </a:prstGeom>
                          <a:ln/>
                        </pic:spPr>
                      </pic:pic>
                    </a:graphicData>
                  </a:graphic>
                </wp:inline>
              </w:drawing>
            </w:r>
          </w:p>
        </w:tc>
        <w:tc>
          <w:tcPr>
            <w:tcW w:w="4419" w:type="dxa"/>
            <w:shd w:val="clear" w:color="auto" w:fill="auto"/>
            <w:tcMar>
              <w:top w:w="100" w:type="dxa"/>
              <w:left w:w="100" w:type="dxa"/>
              <w:bottom w:w="100" w:type="dxa"/>
              <w:right w:w="100" w:type="dxa"/>
            </w:tcMar>
          </w:tcPr>
          <w:p w:rsidR="00DD68A6" w:rsidRDefault="00EF78F0">
            <w:pPr>
              <w:widowControl w:val="0"/>
              <w:pBdr>
                <w:top w:val="nil"/>
                <w:left w:val="nil"/>
                <w:bottom w:val="nil"/>
                <w:right w:val="nil"/>
                <w:between w:val="nil"/>
              </w:pBdr>
              <w:spacing w:after="0" w:line="240" w:lineRule="auto"/>
              <w:jc w:val="right"/>
              <w:rPr>
                <w:rFonts w:ascii="Arial" w:eastAsia="Arial" w:hAnsi="Arial" w:cs="Arial"/>
                <w:b/>
                <w:sz w:val="24"/>
                <w:szCs w:val="24"/>
              </w:rPr>
            </w:pPr>
            <w:r>
              <w:rPr>
                <w:rFonts w:ascii="Arial" w:eastAsia="Arial" w:hAnsi="Arial" w:cs="Arial"/>
                <w:b/>
                <w:noProof/>
                <w:sz w:val="24"/>
                <w:szCs w:val="24"/>
                <w:lang w:val="en-GB" w:eastAsia="en-GB"/>
              </w:rPr>
              <w:drawing>
                <wp:inline distT="114300" distB="114300" distL="114300" distR="114300">
                  <wp:extent cx="2191703" cy="1478739"/>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191703" cy="1478739"/>
                          </a:xfrm>
                          <a:prstGeom prst="rect">
                            <a:avLst/>
                          </a:prstGeom>
                          <a:ln/>
                        </pic:spPr>
                      </pic:pic>
                    </a:graphicData>
                  </a:graphic>
                </wp:inline>
              </w:drawing>
            </w:r>
          </w:p>
        </w:tc>
      </w:tr>
    </w:tbl>
    <w:p w:rsidR="00DD68A6" w:rsidRDefault="00EF78F0">
      <w:pPr>
        <w:spacing w:after="200" w:line="276" w:lineRule="auto"/>
        <w:jc w:val="center"/>
        <w:rPr>
          <w:rFonts w:ascii="Arial" w:eastAsia="Arial" w:hAnsi="Arial" w:cs="Arial"/>
          <w:b/>
          <w:sz w:val="24"/>
          <w:szCs w:val="24"/>
        </w:rPr>
      </w:pPr>
      <w:bookmarkStart w:id="13" w:name="_heading=h.618pqw3jl4y5" w:colFirst="0" w:colLast="0"/>
      <w:bookmarkEnd w:id="13"/>
      <w:r>
        <w:br w:type="page"/>
      </w:r>
    </w:p>
    <w:p w:rsidR="00DD68A6" w:rsidRDefault="00EF78F0">
      <w:pPr>
        <w:spacing w:after="200" w:line="276" w:lineRule="auto"/>
        <w:jc w:val="center"/>
        <w:rPr>
          <w:rFonts w:ascii="Arial" w:eastAsia="Arial" w:hAnsi="Arial" w:cs="Arial"/>
          <w:b/>
          <w:sz w:val="24"/>
          <w:szCs w:val="24"/>
        </w:rPr>
      </w:pPr>
      <w:bookmarkStart w:id="14" w:name="_heading=h.x9h0snxmlqi8" w:colFirst="0" w:colLast="0"/>
      <w:bookmarkEnd w:id="14"/>
      <w:r>
        <w:rPr>
          <w:rFonts w:ascii="Arial" w:eastAsia="Arial" w:hAnsi="Arial" w:cs="Arial"/>
          <w:b/>
          <w:sz w:val="24"/>
          <w:szCs w:val="24"/>
        </w:rPr>
        <w:lastRenderedPageBreak/>
        <w:t>INFORME ALTERNATIVO PARA EL COMITÉ DE DERECHOS ECONÓMICOS, SOCIALES Y CULTURALES PERÍODO 2018-2020</w:t>
      </w:r>
    </w:p>
    <w:p w:rsidR="00DD68A6" w:rsidRDefault="00EF78F0">
      <w:pPr>
        <w:spacing w:after="200" w:line="276" w:lineRule="auto"/>
        <w:jc w:val="center"/>
        <w:rPr>
          <w:rFonts w:ascii="Arial" w:eastAsia="Arial" w:hAnsi="Arial" w:cs="Arial"/>
          <w:b/>
          <w:sz w:val="24"/>
          <w:szCs w:val="24"/>
        </w:rPr>
      </w:pPr>
      <w:r>
        <w:rPr>
          <w:rFonts w:ascii="Arial" w:eastAsia="Arial" w:hAnsi="Arial" w:cs="Arial"/>
          <w:b/>
          <w:sz w:val="24"/>
          <w:szCs w:val="24"/>
        </w:rPr>
        <w:t>VISIBLES, ONG Y COLECTIVO DE HOMBRES TRANS TRANS-FORMACIÓN</w:t>
      </w:r>
      <w:r>
        <w:rPr>
          <w:rFonts w:ascii="Arial" w:eastAsia="Arial" w:hAnsi="Arial" w:cs="Arial"/>
          <w:b/>
          <w:sz w:val="24"/>
          <w:szCs w:val="24"/>
          <w:vertAlign w:val="superscript"/>
        </w:rPr>
        <w:footnoteReference w:id="1"/>
      </w:r>
    </w:p>
    <w:p w:rsidR="00DD68A6" w:rsidRDefault="00EF78F0">
      <w:pPr>
        <w:spacing w:after="200" w:line="276" w:lineRule="auto"/>
        <w:rPr>
          <w:rFonts w:ascii="Arial" w:eastAsia="Arial" w:hAnsi="Arial" w:cs="Arial"/>
          <w:b/>
          <w:sz w:val="24"/>
          <w:szCs w:val="24"/>
        </w:rPr>
      </w:pPr>
      <w:r>
        <w:rPr>
          <w:rFonts w:ascii="Arial" w:eastAsia="Arial" w:hAnsi="Arial" w:cs="Arial"/>
          <w:b/>
          <w:sz w:val="24"/>
          <w:szCs w:val="24"/>
        </w:rPr>
        <w:t xml:space="preserve">INTRODUCCIÓN </w:t>
      </w:r>
    </w:p>
    <w:p w:rsidR="00DD68A6" w:rsidRDefault="00EF78F0">
      <w:pPr>
        <w:numPr>
          <w:ilvl w:val="0"/>
          <w:numId w:val="1"/>
        </w:numPr>
        <w:spacing w:after="200" w:line="276" w:lineRule="auto"/>
        <w:ind w:right="49"/>
        <w:jc w:val="both"/>
        <w:rPr>
          <w:rFonts w:ascii="Arial" w:eastAsia="Arial" w:hAnsi="Arial" w:cs="Arial"/>
          <w:sz w:val="24"/>
          <w:szCs w:val="24"/>
        </w:rPr>
      </w:pPr>
      <w:r>
        <w:rPr>
          <w:rFonts w:ascii="Arial" w:eastAsia="Arial" w:hAnsi="Arial" w:cs="Arial"/>
          <w:sz w:val="24"/>
          <w:szCs w:val="24"/>
        </w:rPr>
        <w:t>El Comité de Derechos Económicos, Sociales y Culturales (CESCR, por sus siglas en i</w:t>
      </w:r>
      <w:r>
        <w:rPr>
          <w:rFonts w:ascii="Arial" w:eastAsia="Arial" w:hAnsi="Arial" w:cs="Arial"/>
          <w:sz w:val="24"/>
          <w:szCs w:val="24"/>
        </w:rPr>
        <w:t xml:space="preserve">nglés) es un órgano compuesto de </w:t>
      </w:r>
      <w:hyperlink r:id="rId10">
        <w:r>
          <w:rPr>
            <w:rFonts w:ascii="Arial" w:eastAsia="Arial" w:hAnsi="Arial" w:cs="Arial"/>
            <w:color w:val="000000"/>
            <w:sz w:val="24"/>
            <w:szCs w:val="24"/>
          </w:rPr>
          <w:t>18 expertos independientes</w:t>
        </w:r>
      </w:hyperlink>
      <w:r>
        <w:rPr>
          <w:rFonts w:ascii="Arial" w:eastAsia="Arial" w:hAnsi="Arial" w:cs="Arial"/>
          <w:sz w:val="24"/>
          <w:szCs w:val="24"/>
        </w:rPr>
        <w:t xml:space="preserve"> que supervisa la aplicación del </w:t>
      </w:r>
      <w:hyperlink r:id="rId11">
        <w:r>
          <w:rPr>
            <w:rFonts w:ascii="Arial" w:eastAsia="Arial" w:hAnsi="Arial" w:cs="Arial"/>
            <w:color w:val="000000"/>
            <w:sz w:val="24"/>
            <w:szCs w:val="24"/>
          </w:rPr>
          <w:t>P</w:t>
        </w:r>
        <w:r>
          <w:rPr>
            <w:rFonts w:ascii="Arial" w:eastAsia="Arial" w:hAnsi="Arial" w:cs="Arial"/>
            <w:color w:val="000000"/>
            <w:sz w:val="24"/>
            <w:szCs w:val="24"/>
          </w:rPr>
          <w:t>acto Internacional de Derechos Económicos, Sociales y Culturales</w:t>
        </w:r>
      </w:hyperlink>
      <w:r>
        <w:rPr>
          <w:rFonts w:ascii="Arial" w:eastAsia="Arial" w:hAnsi="Arial" w:cs="Arial"/>
          <w:sz w:val="24"/>
          <w:szCs w:val="24"/>
        </w:rPr>
        <w:t xml:space="preserve"> por sus Estados partes. Es en este espacio los Estados están obligados a presentar informes para establecer cómo están aplicando los derechos, estos informes son examinados por el Comité quie</w:t>
      </w:r>
      <w:r>
        <w:rPr>
          <w:rFonts w:ascii="Arial" w:eastAsia="Arial" w:hAnsi="Arial" w:cs="Arial"/>
          <w:sz w:val="24"/>
          <w:szCs w:val="24"/>
        </w:rPr>
        <w:t>n expone inquietudes y recomendaciones en forma de “observaciones finales”</w:t>
      </w:r>
      <w:r>
        <w:rPr>
          <w:rFonts w:ascii="Arial" w:eastAsia="Arial" w:hAnsi="Arial" w:cs="Arial"/>
          <w:sz w:val="24"/>
          <w:szCs w:val="24"/>
          <w:vertAlign w:val="superscript"/>
        </w:rPr>
        <w:t xml:space="preserve"> </w:t>
      </w:r>
      <w:r>
        <w:rPr>
          <w:rFonts w:ascii="Arial" w:eastAsia="Arial" w:hAnsi="Arial" w:cs="Arial"/>
          <w:sz w:val="24"/>
          <w:szCs w:val="24"/>
          <w:vertAlign w:val="superscript"/>
        </w:rPr>
        <w:footnoteReference w:id="2"/>
      </w:r>
      <w:r>
        <w:rPr>
          <w:rFonts w:ascii="Arial" w:eastAsia="Arial" w:hAnsi="Arial" w:cs="Arial"/>
          <w:sz w:val="24"/>
          <w:szCs w:val="24"/>
        </w:rPr>
        <w:t xml:space="preserve">. </w:t>
      </w:r>
    </w:p>
    <w:p w:rsidR="00DD68A6" w:rsidRDefault="00EF78F0">
      <w:pPr>
        <w:numPr>
          <w:ilvl w:val="0"/>
          <w:numId w:val="1"/>
        </w:numPr>
        <w:spacing w:after="200" w:line="276" w:lineRule="auto"/>
        <w:ind w:right="49"/>
        <w:jc w:val="both"/>
        <w:rPr>
          <w:rFonts w:ascii="Arial" w:eastAsia="Arial" w:hAnsi="Arial" w:cs="Arial"/>
          <w:sz w:val="24"/>
          <w:szCs w:val="24"/>
        </w:rPr>
      </w:pPr>
      <w:r>
        <w:rPr>
          <w:rFonts w:ascii="Arial" w:eastAsia="Arial" w:hAnsi="Arial" w:cs="Arial"/>
          <w:sz w:val="24"/>
          <w:szCs w:val="24"/>
        </w:rPr>
        <w:t>Dentro de los reportes periódicos realizados a los Estados, se tiene la participación de sociedad civil como una forma de complementariedad de la información necesaria en los avances en materia de derechos humanos de cada Estado. Visibles y Trans-formación</w:t>
      </w:r>
      <w:r>
        <w:rPr>
          <w:rFonts w:ascii="Arial" w:eastAsia="Arial" w:hAnsi="Arial" w:cs="Arial"/>
          <w:sz w:val="24"/>
          <w:szCs w:val="24"/>
        </w:rPr>
        <w:t xml:space="preserve"> son dos organizaciones aliadas que buscan la inclusión y el respeto a los derechos humanos de las personas LGBTI y los hombres trans respectivamente</w:t>
      </w:r>
      <w:r>
        <w:rPr>
          <w:rFonts w:ascii="Arial" w:eastAsia="Arial" w:hAnsi="Arial" w:cs="Arial"/>
          <w:sz w:val="24"/>
          <w:szCs w:val="24"/>
          <w:vertAlign w:val="superscript"/>
        </w:rPr>
        <w:footnoteReference w:id="3"/>
      </w:r>
      <w:r>
        <w:rPr>
          <w:rFonts w:ascii="Arial" w:eastAsia="Arial" w:hAnsi="Arial" w:cs="Arial"/>
          <w:sz w:val="24"/>
          <w:szCs w:val="24"/>
        </w:rPr>
        <w:t xml:space="preserve"> y presentan este informe para la consecución de estos derechos.</w:t>
      </w:r>
    </w:p>
    <w:p w:rsidR="00DD68A6" w:rsidRDefault="00EF78F0">
      <w:pPr>
        <w:numPr>
          <w:ilvl w:val="0"/>
          <w:numId w:val="1"/>
        </w:numPr>
        <w:spacing w:after="200" w:line="276" w:lineRule="auto"/>
        <w:ind w:right="49"/>
        <w:jc w:val="both"/>
        <w:rPr>
          <w:rFonts w:ascii="Arial" w:eastAsia="Arial" w:hAnsi="Arial" w:cs="Arial"/>
          <w:sz w:val="24"/>
          <w:szCs w:val="24"/>
        </w:rPr>
      </w:pPr>
      <w:r>
        <w:rPr>
          <w:rFonts w:ascii="Arial" w:eastAsia="Arial" w:hAnsi="Arial" w:cs="Arial"/>
          <w:sz w:val="24"/>
          <w:szCs w:val="24"/>
        </w:rPr>
        <w:t>En el caso de Guatemala, el Estado recibi</w:t>
      </w:r>
      <w:r>
        <w:rPr>
          <w:rFonts w:ascii="Arial" w:eastAsia="Arial" w:hAnsi="Arial" w:cs="Arial"/>
          <w:sz w:val="24"/>
          <w:szCs w:val="24"/>
        </w:rPr>
        <w:t>ó recomendaciones relacionadas a la toma de conciencia en cuanto a la no discriminación por razones de orientación sexual e identidad de género a personas LGBTI. El objetivo de este informe alternativo es señalar que los derechos humanos de las personas LG</w:t>
      </w:r>
      <w:r>
        <w:rPr>
          <w:rFonts w:ascii="Arial" w:eastAsia="Arial" w:hAnsi="Arial" w:cs="Arial"/>
          <w:sz w:val="24"/>
          <w:szCs w:val="24"/>
        </w:rPr>
        <w:t xml:space="preserve">BTI aún no están garantizados en Guatemala y que el Estado debe aplicar las recomendaciones relacionadas a este tema. </w:t>
      </w:r>
    </w:p>
    <w:p w:rsidR="00DD68A6" w:rsidRDefault="00EF78F0">
      <w:pPr>
        <w:spacing w:after="200" w:line="276" w:lineRule="auto"/>
        <w:ind w:right="-307"/>
        <w:jc w:val="both"/>
        <w:rPr>
          <w:rFonts w:ascii="Arial" w:eastAsia="Arial" w:hAnsi="Arial" w:cs="Arial"/>
          <w:b/>
          <w:sz w:val="28"/>
          <w:szCs w:val="28"/>
        </w:rPr>
      </w:pPr>
      <w:r>
        <w:rPr>
          <w:rFonts w:ascii="Arial" w:eastAsia="Arial" w:hAnsi="Arial" w:cs="Arial"/>
          <w:b/>
          <w:sz w:val="28"/>
          <w:szCs w:val="28"/>
        </w:rPr>
        <w:t>Contexto de Guatemala y la situación en derechos de la Población LGBTI</w:t>
      </w:r>
    </w:p>
    <w:p w:rsidR="00DD68A6" w:rsidRDefault="00EF78F0">
      <w:pPr>
        <w:numPr>
          <w:ilvl w:val="0"/>
          <w:numId w:val="1"/>
        </w:numPr>
        <w:spacing w:after="200" w:line="276" w:lineRule="auto"/>
        <w:ind w:right="49"/>
        <w:jc w:val="both"/>
        <w:rPr>
          <w:rFonts w:ascii="Arial" w:eastAsia="Arial" w:hAnsi="Arial" w:cs="Arial"/>
          <w:sz w:val="24"/>
          <w:szCs w:val="24"/>
        </w:rPr>
      </w:pPr>
      <w:r>
        <w:rPr>
          <w:rFonts w:ascii="Arial" w:eastAsia="Arial" w:hAnsi="Arial" w:cs="Arial"/>
          <w:sz w:val="24"/>
          <w:szCs w:val="24"/>
        </w:rPr>
        <w:lastRenderedPageBreak/>
        <w:t xml:space="preserve">La protección que el Estado tiene contra la discriminación en la legislación actual (artículo 202 bis del Código Penal, decreto 17-73 del Código Penal), no es aplicada ampliamente a aquella basada en el rechazo a la orientación sexual, identidad de género </w:t>
      </w:r>
      <w:r>
        <w:rPr>
          <w:rFonts w:ascii="Arial" w:eastAsia="Arial" w:hAnsi="Arial" w:cs="Arial"/>
          <w:sz w:val="24"/>
          <w:szCs w:val="24"/>
        </w:rPr>
        <w:t>y/o expresión de género de la población. Esto, a pesar de que la Corte Interamericana de Derechos Humanos ha establecido que la frase “otros motivos” que regularmente se encuentra en la tipificación del delito de discriminación, debe entenderse de forma am</w:t>
      </w:r>
      <w:r>
        <w:rPr>
          <w:rFonts w:ascii="Arial" w:eastAsia="Arial" w:hAnsi="Arial" w:cs="Arial"/>
          <w:sz w:val="24"/>
          <w:szCs w:val="24"/>
        </w:rPr>
        <w:t>plia, por lo que, la orientación sexual y la identidad de género se encuentran contenidas en esta norma, además que estos motivos se reconocen como categorías protegidas. Aún así, las pocas denuncias que llegan a conocer las entidades Estatales, no son ate</w:t>
      </w:r>
      <w:r>
        <w:rPr>
          <w:rFonts w:ascii="Arial" w:eastAsia="Arial" w:hAnsi="Arial" w:cs="Arial"/>
          <w:sz w:val="24"/>
          <w:szCs w:val="24"/>
        </w:rPr>
        <w:t>ndidas con la importancia y relevancia respectiva, por lo que quedan en la zozobra. A esto se le suma que la identidad de género de las personas trans no está reconocida legalmente ni aplicada en las instituciones.</w:t>
      </w:r>
    </w:p>
    <w:p w:rsidR="00DD68A6" w:rsidRDefault="00EF78F0">
      <w:pPr>
        <w:numPr>
          <w:ilvl w:val="0"/>
          <w:numId w:val="1"/>
        </w:numPr>
        <w:spacing w:after="200" w:line="276" w:lineRule="auto"/>
        <w:ind w:right="49"/>
        <w:jc w:val="both"/>
        <w:rPr>
          <w:rFonts w:ascii="Arial" w:eastAsia="Arial" w:hAnsi="Arial" w:cs="Arial"/>
          <w:sz w:val="24"/>
          <w:szCs w:val="24"/>
        </w:rPr>
      </w:pPr>
      <w:r>
        <w:rPr>
          <w:rFonts w:ascii="Arial" w:eastAsia="Arial" w:hAnsi="Arial" w:cs="Arial"/>
          <w:sz w:val="24"/>
          <w:szCs w:val="24"/>
        </w:rPr>
        <w:t>En cuanto al tema al reconocimiento al de</w:t>
      </w:r>
      <w:r>
        <w:rPr>
          <w:rFonts w:ascii="Arial" w:eastAsia="Arial" w:hAnsi="Arial" w:cs="Arial"/>
          <w:sz w:val="24"/>
          <w:szCs w:val="24"/>
        </w:rPr>
        <w:t xml:space="preserve">recho de la identidad de género no se encuentra reconocido para las personas trans. En el 2018 hubo un intento para que se aprobada una </w:t>
      </w:r>
      <w:r>
        <w:rPr>
          <w:rFonts w:ascii="Arial" w:eastAsia="Arial" w:hAnsi="Arial" w:cs="Arial"/>
          <w:i/>
          <w:sz w:val="24"/>
          <w:szCs w:val="24"/>
        </w:rPr>
        <w:t>ley de identidad de género</w:t>
      </w:r>
      <w:r>
        <w:rPr>
          <w:rFonts w:ascii="Arial" w:eastAsia="Arial" w:hAnsi="Arial" w:cs="Arial"/>
          <w:sz w:val="24"/>
          <w:szCs w:val="24"/>
        </w:rPr>
        <w:t xml:space="preserve">, la cual fue rechazada por la Comisión de la Mujer presidida por el Diputado Aníbal Rojas en </w:t>
      </w:r>
      <w:r>
        <w:rPr>
          <w:rFonts w:ascii="Arial" w:eastAsia="Arial" w:hAnsi="Arial" w:cs="Arial"/>
          <w:sz w:val="24"/>
          <w:szCs w:val="24"/>
        </w:rPr>
        <w:t xml:space="preserve">el año 2019. El proceso de discusión pública de la </w:t>
      </w:r>
      <w:r>
        <w:rPr>
          <w:rFonts w:ascii="Arial" w:eastAsia="Arial" w:hAnsi="Arial" w:cs="Arial"/>
          <w:i/>
          <w:sz w:val="24"/>
          <w:szCs w:val="24"/>
        </w:rPr>
        <w:t xml:space="preserve">Iniciativa de Ley 5395 </w:t>
      </w:r>
      <w:r>
        <w:rPr>
          <w:rFonts w:ascii="Arial" w:eastAsia="Arial" w:hAnsi="Arial" w:cs="Arial"/>
          <w:sz w:val="24"/>
          <w:szCs w:val="24"/>
        </w:rPr>
        <w:t>estuvo sumamente cargado de discursos de odio transfóbico por parte de grupos fundamentalistas y algunos congresistas</w:t>
      </w:r>
      <w:r>
        <w:rPr>
          <w:rFonts w:ascii="Arial" w:eastAsia="Arial" w:hAnsi="Arial" w:cs="Arial"/>
          <w:sz w:val="24"/>
          <w:szCs w:val="24"/>
          <w:vertAlign w:val="superscript"/>
        </w:rPr>
        <w:footnoteReference w:id="4"/>
      </w:r>
      <w:r>
        <w:rPr>
          <w:rFonts w:ascii="Arial" w:eastAsia="Arial" w:hAnsi="Arial" w:cs="Arial"/>
          <w:sz w:val="24"/>
          <w:szCs w:val="24"/>
        </w:rPr>
        <w:t>.</w:t>
      </w:r>
    </w:p>
    <w:p w:rsidR="00DD68A6" w:rsidRDefault="00EF78F0">
      <w:pPr>
        <w:numPr>
          <w:ilvl w:val="0"/>
          <w:numId w:val="1"/>
        </w:numPr>
        <w:spacing w:after="200" w:line="276" w:lineRule="auto"/>
        <w:ind w:right="49"/>
        <w:jc w:val="both"/>
        <w:rPr>
          <w:rFonts w:ascii="Arial" w:eastAsia="Arial" w:hAnsi="Arial" w:cs="Arial"/>
          <w:sz w:val="24"/>
          <w:szCs w:val="24"/>
        </w:rPr>
      </w:pPr>
      <w:r>
        <w:rPr>
          <w:rFonts w:ascii="Arial" w:eastAsia="Arial" w:hAnsi="Arial" w:cs="Arial"/>
          <w:sz w:val="24"/>
          <w:szCs w:val="24"/>
        </w:rPr>
        <w:t>La legislación guatemalteca tampoco contempla la protección de</w:t>
      </w:r>
      <w:r>
        <w:rPr>
          <w:rFonts w:ascii="Arial" w:eastAsia="Arial" w:hAnsi="Arial" w:cs="Arial"/>
          <w:sz w:val="24"/>
          <w:szCs w:val="24"/>
        </w:rPr>
        <w:t xml:space="preserve"> niñas, niños y adolescentes que formen parte de la población LGBTIQ+, no sólo no se reconoce de su existencia, sino que se impide a niñas, niños y adolescentes aproximación a información necesaria que les permita su autoidentificación, autoreconocimiento,</w:t>
      </w:r>
      <w:r>
        <w:rPr>
          <w:rFonts w:ascii="Arial" w:eastAsia="Arial" w:hAnsi="Arial" w:cs="Arial"/>
          <w:sz w:val="24"/>
          <w:szCs w:val="24"/>
        </w:rPr>
        <w:t xml:space="preserve"> limitando la autonomía progresiva en el pleno desarrollo como persona humana. Además, el tema sobre diversidad sexual y el de identidad de género están ausentes del Currículum Nacional Base (CNB)</w:t>
      </w:r>
      <w:r>
        <w:rPr>
          <w:rFonts w:ascii="Arial" w:eastAsia="Arial" w:hAnsi="Arial" w:cs="Arial"/>
          <w:sz w:val="24"/>
          <w:szCs w:val="24"/>
          <w:vertAlign w:val="superscript"/>
        </w:rPr>
        <w:footnoteReference w:id="5"/>
      </w:r>
      <w:r>
        <w:rPr>
          <w:rFonts w:ascii="Arial" w:eastAsia="Arial" w:hAnsi="Arial" w:cs="Arial"/>
          <w:sz w:val="24"/>
          <w:szCs w:val="24"/>
        </w:rPr>
        <w:t>. Este conjunto de brechas en el sistema legal es uno de lo</w:t>
      </w:r>
      <w:r>
        <w:rPr>
          <w:rFonts w:ascii="Arial" w:eastAsia="Arial" w:hAnsi="Arial" w:cs="Arial"/>
          <w:sz w:val="24"/>
          <w:szCs w:val="24"/>
        </w:rPr>
        <w:t>s principales impedimentos para que las personas lesbians, gays, bisexuales, trans e interesexuales guatemaltecas gocen de sus derechos humanos.</w:t>
      </w:r>
    </w:p>
    <w:p w:rsidR="00DD68A6" w:rsidRDefault="00EF78F0">
      <w:pPr>
        <w:numPr>
          <w:ilvl w:val="0"/>
          <w:numId w:val="1"/>
        </w:numPr>
        <w:spacing w:after="200" w:line="276" w:lineRule="auto"/>
        <w:ind w:right="49"/>
        <w:jc w:val="both"/>
        <w:rPr>
          <w:rFonts w:ascii="Arial" w:eastAsia="Arial" w:hAnsi="Arial" w:cs="Arial"/>
          <w:sz w:val="24"/>
          <w:szCs w:val="24"/>
        </w:rPr>
      </w:pPr>
      <w:r>
        <w:rPr>
          <w:rFonts w:ascii="Arial" w:eastAsia="Arial" w:hAnsi="Arial" w:cs="Arial"/>
          <w:sz w:val="24"/>
          <w:szCs w:val="24"/>
        </w:rPr>
        <w:lastRenderedPageBreak/>
        <w:t xml:space="preserve">En el período del ahora ex Presidente Morales, el Mandatario emitía discursos tales como: “Guatemala y nuestro </w:t>
      </w:r>
      <w:r>
        <w:rPr>
          <w:rFonts w:ascii="Arial" w:eastAsia="Arial" w:hAnsi="Arial" w:cs="Arial"/>
          <w:sz w:val="24"/>
          <w:szCs w:val="24"/>
        </w:rPr>
        <w:t>gobierno cree en la vida, la familia basada en matrimonio de hombre y mujer, cree y quiere elecciones libres, no intervenidas”</w:t>
      </w:r>
      <w:r>
        <w:rPr>
          <w:rFonts w:ascii="Arial" w:eastAsia="Arial" w:hAnsi="Arial" w:cs="Arial"/>
          <w:sz w:val="24"/>
          <w:szCs w:val="24"/>
          <w:vertAlign w:val="superscript"/>
        </w:rPr>
        <w:footnoteReference w:id="6"/>
      </w:r>
      <w:r>
        <w:rPr>
          <w:rFonts w:ascii="Arial" w:eastAsia="Arial" w:hAnsi="Arial" w:cs="Arial"/>
          <w:sz w:val="24"/>
          <w:szCs w:val="24"/>
        </w:rPr>
        <w:t>. De esta cuenta, el expresidente giró instrucciones para detener el avance de la formulación de políticas públicas para la atenc</w:t>
      </w:r>
      <w:r>
        <w:rPr>
          <w:rFonts w:ascii="Arial" w:eastAsia="Arial" w:hAnsi="Arial" w:cs="Arial"/>
          <w:sz w:val="24"/>
          <w:szCs w:val="24"/>
        </w:rPr>
        <w:t>ión y garantía de los derechos de personas LGBTI, especialmente la discusión y aprobación de la Política Pública para las Personas LGBTI, que desarrollaba la ahora extinta Comisión Presidencial Coordinadora de la Política del Ejecutivo en materia de Derech</w:t>
      </w:r>
      <w:r>
        <w:rPr>
          <w:rFonts w:ascii="Arial" w:eastAsia="Arial" w:hAnsi="Arial" w:cs="Arial"/>
          <w:sz w:val="24"/>
          <w:szCs w:val="24"/>
        </w:rPr>
        <w:t>os Humanos -COPREDEH-.</w:t>
      </w:r>
    </w:p>
    <w:p w:rsidR="00DD68A6" w:rsidRDefault="00EF78F0">
      <w:pPr>
        <w:numPr>
          <w:ilvl w:val="0"/>
          <w:numId w:val="1"/>
        </w:numPr>
        <w:spacing w:after="200" w:line="276" w:lineRule="auto"/>
        <w:ind w:right="49"/>
        <w:jc w:val="both"/>
        <w:rPr>
          <w:rFonts w:ascii="Arial" w:eastAsia="Arial" w:hAnsi="Arial" w:cs="Arial"/>
          <w:sz w:val="24"/>
          <w:szCs w:val="24"/>
        </w:rPr>
      </w:pPr>
      <w:r>
        <w:rPr>
          <w:rFonts w:ascii="Arial" w:eastAsia="Arial" w:hAnsi="Arial" w:cs="Arial"/>
          <w:sz w:val="24"/>
          <w:szCs w:val="24"/>
        </w:rPr>
        <w:t>En este mismo sentido, el Presidente del Congreso de la República (2018 - 2019) Álvaro Arzú, expresó públicamente que “contrario al espíritu original de los derechos humanos, que proclamaban la unidad del género humano, la corrección</w:t>
      </w:r>
      <w:r>
        <w:rPr>
          <w:rFonts w:ascii="Arial" w:eastAsia="Arial" w:hAnsi="Arial" w:cs="Arial"/>
          <w:sz w:val="24"/>
          <w:szCs w:val="24"/>
        </w:rPr>
        <w:t xml:space="preserve"> política ahora la ha manipulado y divido, introduciendo la ideología de género en una sociedad construida sobre la base de la familia”</w:t>
      </w:r>
      <w:r>
        <w:rPr>
          <w:rFonts w:ascii="Arial" w:eastAsia="Arial" w:hAnsi="Arial" w:cs="Arial"/>
          <w:sz w:val="24"/>
          <w:szCs w:val="24"/>
          <w:vertAlign w:val="superscript"/>
        </w:rPr>
        <w:footnoteReference w:id="7"/>
      </w:r>
      <w:r>
        <w:rPr>
          <w:rFonts w:ascii="Arial" w:eastAsia="Arial" w:hAnsi="Arial" w:cs="Arial"/>
          <w:sz w:val="24"/>
          <w:szCs w:val="24"/>
        </w:rPr>
        <w:t xml:space="preserve">. </w:t>
      </w:r>
    </w:p>
    <w:p w:rsidR="00DD68A6" w:rsidRDefault="00EF78F0">
      <w:pPr>
        <w:numPr>
          <w:ilvl w:val="0"/>
          <w:numId w:val="1"/>
        </w:numPr>
        <w:spacing w:after="200" w:line="276" w:lineRule="auto"/>
        <w:ind w:right="49"/>
        <w:jc w:val="both"/>
        <w:rPr>
          <w:rFonts w:ascii="Arial" w:eastAsia="Arial" w:hAnsi="Arial" w:cs="Arial"/>
          <w:sz w:val="24"/>
          <w:szCs w:val="24"/>
        </w:rPr>
      </w:pPr>
      <w:r>
        <w:rPr>
          <w:rFonts w:ascii="Arial" w:eastAsia="Arial" w:hAnsi="Arial" w:cs="Arial"/>
          <w:sz w:val="24"/>
          <w:szCs w:val="24"/>
        </w:rPr>
        <w:t>Estas manifestaciones de rechazo por parte de los altos funcionarios y candidatos a puestos de elección popular del E</w:t>
      </w:r>
      <w:r>
        <w:rPr>
          <w:rFonts w:ascii="Arial" w:eastAsia="Arial" w:hAnsi="Arial" w:cs="Arial"/>
          <w:sz w:val="24"/>
          <w:szCs w:val="24"/>
        </w:rPr>
        <w:t>stado se agravaron durante el proceso de elecciones generales pues la polarización estuvo marcada por el rechazo hacia las personas LGBTI. En mayo de 2019, más de veinte candidaturas presidenciales firmaron una declaración de rechazo hacia el aborto y el m</w:t>
      </w:r>
      <w:r>
        <w:rPr>
          <w:rFonts w:ascii="Arial" w:eastAsia="Arial" w:hAnsi="Arial" w:cs="Arial"/>
          <w:sz w:val="24"/>
          <w:szCs w:val="24"/>
        </w:rPr>
        <w:t>atrimonio igualitario promovido por una organización social, con muchos más  tomando la oportunidad para comunicar su rechazo a las demandas de la población LGBTI y organizaciones de mujeres y feministas, al considerarlos ajenos a los valores tradicionales</w:t>
      </w:r>
      <w:r>
        <w:rPr>
          <w:rFonts w:ascii="Arial" w:eastAsia="Arial" w:hAnsi="Arial" w:cs="Arial"/>
          <w:sz w:val="24"/>
          <w:szCs w:val="24"/>
        </w:rPr>
        <w:t xml:space="preserve"> guatemaltecos</w:t>
      </w:r>
      <w:r>
        <w:rPr>
          <w:rFonts w:ascii="Arial" w:eastAsia="Arial" w:hAnsi="Arial" w:cs="Arial"/>
          <w:sz w:val="24"/>
          <w:szCs w:val="24"/>
          <w:vertAlign w:val="superscript"/>
        </w:rPr>
        <w:footnoteReference w:id="8"/>
      </w:r>
      <w:r>
        <w:rPr>
          <w:rFonts w:ascii="Arial" w:eastAsia="Arial" w:hAnsi="Arial" w:cs="Arial"/>
          <w:sz w:val="24"/>
          <w:szCs w:val="24"/>
        </w:rPr>
        <w:t>, y un elemento de agendas anti patrióticas</w:t>
      </w:r>
      <w:r>
        <w:rPr>
          <w:rFonts w:ascii="Arial" w:eastAsia="Arial" w:hAnsi="Arial" w:cs="Arial"/>
          <w:sz w:val="24"/>
          <w:szCs w:val="24"/>
          <w:vertAlign w:val="superscript"/>
        </w:rPr>
        <w:footnoteReference w:id="9"/>
      </w:r>
      <w:r>
        <w:rPr>
          <w:rFonts w:ascii="Arial" w:eastAsia="Arial" w:hAnsi="Arial" w:cs="Arial"/>
          <w:sz w:val="24"/>
          <w:szCs w:val="24"/>
        </w:rPr>
        <w:t xml:space="preserve">. </w:t>
      </w:r>
    </w:p>
    <w:p w:rsidR="00DD68A6" w:rsidRDefault="00EF78F0">
      <w:pPr>
        <w:numPr>
          <w:ilvl w:val="0"/>
          <w:numId w:val="1"/>
        </w:numPr>
        <w:spacing w:after="200" w:line="276" w:lineRule="auto"/>
        <w:ind w:right="49"/>
        <w:jc w:val="both"/>
        <w:rPr>
          <w:rFonts w:ascii="Arial" w:eastAsia="Arial" w:hAnsi="Arial" w:cs="Arial"/>
          <w:sz w:val="24"/>
          <w:szCs w:val="24"/>
        </w:rPr>
      </w:pPr>
      <w:r>
        <w:rPr>
          <w:rFonts w:ascii="Arial" w:eastAsia="Arial" w:hAnsi="Arial" w:cs="Arial"/>
          <w:sz w:val="24"/>
          <w:szCs w:val="24"/>
        </w:rPr>
        <w:lastRenderedPageBreak/>
        <w:t>El PDH expresó en un comunicado en redes sociales una serie de recomendaciones al Estado de Guatemala el 28 de junio en el marco del Día del Orgullo LGBTI. Las recomendaciones que resaltan son a</w:t>
      </w:r>
      <w:r>
        <w:rPr>
          <w:rFonts w:ascii="Arial" w:eastAsia="Arial" w:hAnsi="Arial" w:cs="Arial"/>
          <w:sz w:val="24"/>
          <w:szCs w:val="24"/>
        </w:rPr>
        <w:t>l Congreso de la República, para la promulgación de la legislación que permita el reconocimiento, protección y promoción de los derechos humanos de las personas LGBTI. Al Gobierno de la República de Guatemala, la aprobación e implementación de una política</w:t>
      </w:r>
      <w:r>
        <w:rPr>
          <w:rFonts w:ascii="Arial" w:eastAsia="Arial" w:hAnsi="Arial" w:cs="Arial"/>
          <w:sz w:val="24"/>
          <w:szCs w:val="24"/>
        </w:rPr>
        <w:t xml:space="preserve"> pública de derechos de las personas LGBTI; y al Ministerio de Salud Pública y Asistencia Social para la implementación de Atención Integral y Diferenciada en Salud en beneficio del reconocimiento de los derechos humanos de personas trans</w:t>
      </w:r>
      <w:r>
        <w:rPr>
          <w:rFonts w:ascii="Arial" w:eastAsia="Arial" w:hAnsi="Arial" w:cs="Arial"/>
          <w:sz w:val="24"/>
          <w:szCs w:val="24"/>
          <w:vertAlign w:val="superscript"/>
        </w:rPr>
        <w:footnoteReference w:id="10"/>
      </w:r>
      <w:r>
        <w:rPr>
          <w:rFonts w:ascii="Arial" w:eastAsia="Arial" w:hAnsi="Arial" w:cs="Arial"/>
          <w:sz w:val="24"/>
          <w:szCs w:val="24"/>
        </w:rPr>
        <w:t xml:space="preserve">. </w:t>
      </w:r>
    </w:p>
    <w:p w:rsidR="00DD68A6" w:rsidRDefault="00EF78F0">
      <w:pPr>
        <w:numPr>
          <w:ilvl w:val="0"/>
          <w:numId w:val="1"/>
        </w:numPr>
        <w:spacing w:after="200" w:line="276" w:lineRule="auto"/>
        <w:ind w:right="49"/>
        <w:jc w:val="both"/>
        <w:rPr>
          <w:rFonts w:ascii="Arial" w:eastAsia="Arial" w:hAnsi="Arial" w:cs="Arial"/>
          <w:sz w:val="24"/>
          <w:szCs w:val="24"/>
        </w:rPr>
      </w:pPr>
      <w:r>
        <w:rPr>
          <w:rFonts w:ascii="Arial" w:eastAsia="Arial" w:hAnsi="Arial" w:cs="Arial"/>
          <w:sz w:val="24"/>
          <w:szCs w:val="24"/>
        </w:rPr>
        <w:t>El día 30 de j</w:t>
      </w:r>
      <w:r>
        <w:rPr>
          <w:rFonts w:ascii="Arial" w:eastAsia="Arial" w:hAnsi="Arial" w:cs="Arial"/>
          <w:sz w:val="24"/>
          <w:szCs w:val="24"/>
        </w:rPr>
        <w:t>unio del presente año, organizaciones religiosas anti derechos lanzaron un comunicado en sus redes sociales rechazando el actuar del Procurador de Derechos Humanos Jordán Rodas, estableciendo que “muchos guatemaltecos vimos con preocupación que la instituc</w:t>
      </w:r>
      <w:r>
        <w:rPr>
          <w:rFonts w:ascii="Arial" w:eastAsia="Arial" w:hAnsi="Arial" w:cs="Arial"/>
          <w:sz w:val="24"/>
          <w:szCs w:val="24"/>
        </w:rPr>
        <w:t>ión estatal que dirige haya decidido izar la bandera ideológica de la “diversidad sexual” considerando que “esta bandera obedece a la promoción de una agenda ideológica que, en última instancia, busca destruir a la persona, la libertad, la familia y el mat</w:t>
      </w:r>
      <w:r>
        <w:rPr>
          <w:rFonts w:ascii="Arial" w:eastAsia="Arial" w:hAnsi="Arial" w:cs="Arial"/>
          <w:sz w:val="24"/>
          <w:szCs w:val="24"/>
        </w:rPr>
        <w:t>rimonio” y que, a pesar de estar de “acuerdo en crear conciencia en contra de cualquier tipo de abuso y manifestación hacia las personas (…) vemos con preocupación mostrar de esta forma el apoyo a una ideología, la ideología de género, que busca impulsar a</w:t>
      </w:r>
      <w:r>
        <w:rPr>
          <w:rFonts w:ascii="Arial" w:eastAsia="Arial" w:hAnsi="Arial" w:cs="Arial"/>
          <w:sz w:val="24"/>
          <w:szCs w:val="24"/>
        </w:rPr>
        <w:t>cciones cuestionables y debatibles que van más allá de crear conciencia. No le corresponde al Ombudsman, el defensor del pueblo y de los derechos de todos los ciudadanos, emitir una postura que causa división y confrontación”</w:t>
      </w:r>
      <w:r>
        <w:rPr>
          <w:rFonts w:ascii="Arial" w:eastAsia="Arial" w:hAnsi="Arial" w:cs="Arial"/>
          <w:sz w:val="24"/>
          <w:szCs w:val="24"/>
          <w:vertAlign w:val="superscript"/>
        </w:rPr>
        <w:footnoteReference w:id="11"/>
      </w:r>
      <w:r>
        <w:rPr>
          <w:rFonts w:ascii="Arial" w:eastAsia="Arial" w:hAnsi="Arial" w:cs="Arial"/>
          <w:sz w:val="24"/>
          <w:szCs w:val="24"/>
        </w:rPr>
        <w:t xml:space="preserve">. </w:t>
      </w:r>
    </w:p>
    <w:p w:rsidR="00DD68A6" w:rsidRDefault="00EF78F0">
      <w:pPr>
        <w:numPr>
          <w:ilvl w:val="0"/>
          <w:numId w:val="1"/>
        </w:numPr>
        <w:spacing w:after="200" w:line="276" w:lineRule="auto"/>
        <w:ind w:right="49"/>
        <w:jc w:val="both"/>
        <w:rPr>
          <w:rFonts w:ascii="Arial" w:eastAsia="Arial" w:hAnsi="Arial" w:cs="Arial"/>
          <w:sz w:val="24"/>
          <w:szCs w:val="24"/>
        </w:rPr>
      </w:pPr>
      <w:r>
        <w:rPr>
          <w:rFonts w:ascii="Arial" w:eastAsia="Arial" w:hAnsi="Arial" w:cs="Arial"/>
          <w:sz w:val="24"/>
          <w:szCs w:val="24"/>
        </w:rPr>
        <w:t>El Procurador de Derechos H</w:t>
      </w:r>
      <w:r>
        <w:rPr>
          <w:rFonts w:ascii="Arial" w:eastAsia="Arial" w:hAnsi="Arial" w:cs="Arial"/>
          <w:sz w:val="24"/>
          <w:szCs w:val="24"/>
        </w:rPr>
        <w:t>umanos ha sido una figura fundamental en la lucha anticorrupción y en el fortalecimiento institucional del Estado de Guatemala. Este tipo de ataques son sumamente preocupantes pues son aprovechados por grupos contrarios a la labor del procurador, instrumen</w:t>
      </w:r>
      <w:r>
        <w:rPr>
          <w:rFonts w:ascii="Arial" w:eastAsia="Arial" w:hAnsi="Arial" w:cs="Arial"/>
          <w:sz w:val="24"/>
          <w:szCs w:val="24"/>
        </w:rPr>
        <w:t xml:space="preserve">talizando, una vez más, los </w:t>
      </w:r>
      <w:r>
        <w:rPr>
          <w:rFonts w:ascii="Arial" w:eastAsia="Arial" w:hAnsi="Arial" w:cs="Arial"/>
          <w:sz w:val="24"/>
          <w:szCs w:val="24"/>
        </w:rPr>
        <w:lastRenderedPageBreak/>
        <w:t>derechos humanos de las personas LGBTI. La presión</w:t>
      </w:r>
      <w:r>
        <w:rPr>
          <w:rFonts w:ascii="Arial" w:eastAsia="Arial" w:hAnsi="Arial" w:cs="Arial"/>
          <w:sz w:val="24"/>
          <w:szCs w:val="24"/>
          <w:vertAlign w:val="superscript"/>
        </w:rPr>
        <w:footnoteReference w:id="12"/>
      </w:r>
      <w:r>
        <w:rPr>
          <w:rFonts w:ascii="Arial" w:eastAsia="Arial" w:hAnsi="Arial" w:cs="Arial"/>
          <w:sz w:val="24"/>
          <w:szCs w:val="24"/>
        </w:rPr>
        <w:t xml:space="preserve"> de grupos fundamentalistas logró que desde el Congreso de la República se citara al procurador bajo pretexto de que estaba incumpliendo una sentencia de la Corte Suprema de Jus</w:t>
      </w:r>
      <w:r>
        <w:rPr>
          <w:rFonts w:ascii="Arial" w:eastAsia="Arial" w:hAnsi="Arial" w:cs="Arial"/>
          <w:sz w:val="24"/>
          <w:szCs w:val="24"/>
        </w:rPr>
        <w:t xml:space="preserve">ticia que le prohíbe promover la Educación Integral en Sexualidad y la Interrupción Voluntaria del Embarazo, temas no relacionados con la comunicación del PDH del 28 de junio. </w:t>
      </w:r>
    </w:p>
    <w:p w:rsidR="00DD68A6" w:rsidRDefault="00EF78F0">
      <w:pPr>
        <w:numPr>
          <w:ilvl w:val="0"/>
          <w:numId w:val="1"/>
        </w:numPr>
        <w:spacing w:after="200" w:line="276" w:lineRule="auto"/>
        <w:ind w:right="49"/>
        <w:jc w:val="both"/>
        <w:rPr>
          <w:rFonts w:ascii="Arial" w:eastAsia="Arial" w:hAnsi="Arial" w:cs="Arial"/>
          <w:sz w:val="24"/>
          <w:szCs w:val="24"/>
        </w:rPr>
      </w:pPr>
      <w:r>
        <w:rPr>
          <w:rFonts w:ascii="Arial" w:eastAsia="Arial" w:hAnsi="Arial" w:cs="Arial"/>
          <w:sz w:val="24"/>
          <w:szCs w:val="24"/>
        </w:rPr>
        <w:t>Desde Visibles y Trans-formación vemos con preocupación que desde el Congreso d</w:t>
      </w:r>
      <w:r>
        <w:rPr>
          <w:rFonts w:ascii="Arial" w:eastAsia="Arial" w:hAnsi="Arial" w:cs="Arial"/>
          <w:sz w:val="24"/>
          <w:szCs w:val="24"/>
        </w:rPr>
        <w:t>e la República se emiten discursos de intolerancia hacia las personas LGBTI pues esto genera climas de legitimidad a la violencia cotidiana que padecen las personas de esta población.</w:t>
      </w:r>
    </w:p>
    <w:p w:rsidR="00DD68A6" w:rsidRDefault="00EF78F0">
      <w:pPr>
        <w:numPr>
          <w:ilvl w:val="0"/>
          <w:numId w:val="1"/>
        </w:numPr>
        <w:spacing w:after="200" w:line="276" w:lineRule="auto"/>
        <w:ind w:right="49"/>
        <w:jc w:val="both"/>
        <w:rPr>
          <w:rFonts w:ascii="Arial" w:eastAsia="Arial" w:hAnsi="Arial" w:cs="Arial"/>
          <w:sz w:val="24"/>
          <w:szCs w:val="24"/>
        </w:rPr>
      </w:pPr>
      <w:r>
        <w:rPr>
          <w:rFonts w:ascii="Arial" w:eastAsia="Arial" w:hAnsi="Arial" w:cs="Arial"/>
          <w:sz w:val="24"/>
          <w:szCs w:val="24"/>
        </w:rPr>
        <w:t>Recientemente la Comisión Presidencial Coordinadora de la Política del E</w:t>
      </w:r>
      <w:r>
        <w:rPr>
          <w:rFonts w:ascii="Arial" w:eastAsia="Arial" w:hAnsi="Arial" w:cs="Arial"/>
          <w:sz w:val="24"/>
          <w:szCs w:val="24"/>
        </w:rPr>
        <w:t>jecutivo en materia de Derechos Humanos (COPREDEH), fue derogada por el Acuerdo Gubernativo 99-2020 publicado el 30 de julio del año 2020, para formar parte de una nueva institución denominada Comisión Presidencial de Paz y Derechos Humanos (COPRADEH), fus</w:t>
      </w:r>
      <w:r>
        <w:rPr>
          <w:rFonts w:ascii="Arial" w:eastAsia="Arial" w:hAnsi="Arial" w:cs="Arial"/>
          <w:sz w:val="24"/>
          <w:szCs w:val="24"/>
        </w:rPr>
        <w:t>ionando la Secretaría de la Paz, Secretaria de Asuntos Agrarios y la COPREDEH. El Presidente Alejandro Giammattei dijo en un discurso para la apertura de la COPRADEH, que “[hay que avanzar] en concepto del derecho humano que une, no del concepto de derecho</w:t>
      </w:r>
      <w:r>
        <w:rPr>
          <w:rFonts w:ascii="Arial" w:eastAsia="Arial" w:hAnsi="Arial" w:cs="Arial"/>
          <w:sz w:val="24"/>
          <w:szCs w:val="24"/>
        </w:rPr>
        <w:t xml:space="preserve"> humano que divide, hoy tenemos la oportunidad como gobierno y sociedad de ver la paz y los derechos humanos hacia delante”. Esto es preocupante en un contexto donde se busca borrar los esfuerzos de justicia transicional y memoria histórica sobre el Confli</w:t>
      </w:r>
      <w:r>
        <w:rPr>
          <w:rFonts w:ascii="Arial" w:eastAsia="Arial" w:hAnsi="Arial" w:cs="Arial"/>
          <w:sz w:val="24"/>
          <w:szCs w:val="24"/>
        </w:rPr>
        <w:t xml:space="preserve">cto Armado de Guatemala y el genocidio. El Presidente también alude a que las organizaciones de DDHH que han fiscalizado la labor del Gobierno han “dividido” a Guatemala. </w:t>
      </w:r>
    </w:p>
    <w:p w:rsidR="00DD68A6" w:rsidRDefault="00EF78F0">
      <w:pPr>
        <w:numPr>
          <w:ilvl w:val="0"/>
          <w:numId w:val="1"/>
        </w:numPr>
        <w:spacing w:after="200" w:line="276" w:lineRule="auto"/>
        <w:ind w:right="49"/>
        <w:jc w:val="both"/>
        <w:rPr>
          <w:rFonts w:ascii="Arial" w:eastAsia="Arial" w:hAnsi="Arial" w:cs="Arial"/>
          <w:sz w:val="24"/>
          <w:szCs w:val="24"/>
        </w:rPr>
      </w:pPr>
      <w:r>
        <w:rPr>
          <w:rFonts w:ascii="Arial" w:eastAsia="Arial" w:hAnsi="Arial" w:cs="Arial"/>
          <w:sz w:val="24"/>
          <w:szCs w:val="24"/>
        </w:rPr>
        <w:t>Existía desde hace años una iniciativa de política pública para las personas LGBTI e</w:t>
      </w:r>
      <w:r>
        <w:rPr>
          <w:rFonts w:ascii="Arial" w:eastAsia="Arial" w:hAnsi="Arial" w:cs="Arial"/>
          <w:sz w:val="24"/>
          <w:szCs w:val="24"/>
        </w:rPr>
        <w:t xml:space="preserve">n la extinta COPREDEH, por ahora el seguimiento e implementación de dicha política es aún más incierta. </w:t>
      </w:r>
    </w:p>
    <w:p w:rsidR="00DD68A6" w:rsidRDefault="00EF78F0">
      <w:pPr>
        <w:spacing w:after="200" w:line="276" w:lineRule="auto"/>
        <w:jc w:val="both"/>
        <w:rPr>
          <w:rFonts w:ascii="Arial" w:eastAsia="Arial" w:hAnsi="Arial" w:cs="Arial"/>
          <w:b/>
          <w:sz w:val="28"/>
          <w:szCs w:val="28"/>
        </w:rPr>
      </w:pPr>
      <w:r>
        <w:rPr>
          <w:rFonts w:ascii="Arial" w:eastAsia="Arial" w:hAnsi="Arial" w:cs="Arial"/>
          <w:b/>
          <w:sz w:val="28"/>
          <w:szCs w:val="28"/>
        </w:rPr>
        <w:t>Discriminación hacia las personas LGBTI en Guatemala</w:t>
      </w:r>
    </w:p>
    <w:p w:rsidR="00DD68A6" w:rsidRDefault="00EF78F0">
      <w:pPr>
        <w:spacing w:after="200" w:line="276" w:lineRule="auto"/>
        <w:jc w:val="both"/>
        <w:rPr>
          <w:rFonts w:ascii="Arial" w:eastAsia="Arial" w:hAnsi="Arial" w:cs="Arial"/>
          <w:b/>
          <w:sz w:val="24"/>
          <w:szCs w:val="24"/>
        </w:rPr>
      </w:pPr>
      <w:r>
        <w:rPr>
          <w:rFonts w:ascii="Arial" w:eastAsia="Arial" w:hAnsi="Arial" w:cs="Arial"/>
          <w:b/>
          <w:sz w:val="24"/>
          <w:szCs w:val="24"/>
        </w:rPr>
        <w:t>Acciones legislativas contrarias a los derechos humanos de población LGBTI</w:t>
      </w:r>
    </w:p>
    <w:p w:rsidR="00DD68A6" w:rsidRDefault="00EF78F0">
      <w:pPr>
        <w:numPr>
          <w:ilvl w:val="0"/>
          <w:numId w:val="1"/>
        </w:numPr>
        <w:spacing w:after="200" w:line="276" w:lineRule="auto"/>
        <w:ind w:right="49"/>
        <w:jc w:val="both"/>
        <w:rPr>
          <w:rFonts w:ascii="Arial" w:eastAsia="Arial" w:hAnsi="Arial" w:cs="Arial"/>
          <w:sz w:val="24"/>
          <w:szCs w:val="24"/>
        </w:rPr>
      </w:pPr>
      <w:r>
        <w:rPr>
          <w:rFonts w:ascii="Arial" w:eastAsia="Arial" w:hAnsi="Arial" w:cs="Arial"/>
          <w:sz w:val="24"/>
          <w:szCs w:val="24"/>
        </w:rPr>
        <w:t xml:space="preserve">La </w:t>
      </w:r>
      <w:r>
        <w:rPr>
          <w:rFonts w:ascii="Arial" w:eastAsia="Arial" w:hAnsi="Arial" w:cs="Arial"/>
          <w:i/>
          <w:sz w:val="24"/>
          <w:szCs w:val="24"/>
        </w:rPr>
        <w:t>iniciativa de ley 5272</w:t>
      </w:r>
      <w:r>
        <w:rPr>
          <w:rFonts w:ascii="Arial" w:eastAsia="Arial" w:hAnsi="Arial" w:cs="Arial"/>
          <w:sz w:val="24"/>
          <w:szCs w:val="24"/>
        </w:rPr>
        <w:t>, se propuso en el año 2017, por el diputado Aníbal Rojas con el apoyo de la Asociación Cristiana de Guatemala, esta iniciativa ha pretendido promover la criminalización de las mujeres que recurren al aborto, aumentando las penas de p</w:t>
      </w:r>
      <w:r>
        <w:rPr>
          <w:rFonts w:ascii="Arial" w:eastAsia="Arial" w:hAnsi="Arial" w:cs="Arial"/>
          <w:sz w:val="24"/>
          <w:szCs w:val="24"/>
        </w:rPr>
        <w:t>risión ya establecidas en el Código Penal, Decreto 17-73 del Congreso de la República, además agrega un apartado especial para impedir que se imparta el conocimiento debido de educación en sexualidad, haciendo énfasis en el rechazo a la “ideología de géner</w:t>
      </w:r>
      <w:r>
        <w:rPr>
          <w:rFonts w:ascii="Arial" w:eastAsia="Arial" w:hAnsi="Arial" w:cs="Arial"/>
          <w:sz w:val="24"/>
          <w:szCs w:val="24"/>
        </w:rPr>
        <w:t>o”, atentando así contra uno de los principios fundamentales de libertad de expresión y el derecho a la educación de niños, niñas y adolescentes. Además, pretende establecer la prohibición expresa del matrimonio de personas del mismo sexo, y a cualquier ma</w:t>
      </w:r>
      <w:r>
        <w:rPr>
          <w:rFonts w:ascii="Arial" w:eastAsia="Arial" w:hAnsi="Arial" w:cs="Arial"/>
          <w:sz w:val="24"/>
          <w:szCs w:val="24"/>
        </w:rPr>
        <w:t>nifestación que sea contraria a la “heterosexualidad”, así como el apoyo a la familia “natural”</w:t>
      </w:r>
      <w:r>
        <w:rPr>
          <w:rFonts w:ascii="Arial" w:eastAsia="Arial" w:hAnsi="Arial" w:cs="Arial"/>
          <w:sz w:val="24"/>
          <w:szCs w:val="24"/>
          <w:vertAlign w:val="superscript"/>
        </w:rPr>
        <w:footnoteReference w:id="13"/>
      </w:r>
      <w:r>
        <w:rPr>
          <w:rFonts w:ascii="Arial" w:eastAsia="Arial" w:hAnsi="Arial" w:cs="Arial"/>
          <w:sz w:val="24"/>
          <w:szCs w:val="24"/>
        </w:rPr>
        <w:t>.</w:t>
      </w:r>
    </w:p>
    <w:p w:rsidR="00DD68A6" w:rsidRDefault="00EF78F0">
      <w:pPr>
        <w:numPr>
          <w:ilvl w:val="0"/>
          <w:numId w:val="1"/>
        </w:numPr>
        <w:spacing w:after="200" w:line="276" w:lineRule="auto"/>
        <w:ind w:right="49"/>
        <w:jc w:val="both"/>
        <w:rPr>
          <w:rFonts w:ascii="Arial" w:eastAsia="Arial" w:hAnsi="Arial" w:cs="Arial"/>
          <w:sz w:val="24"/>
          <w:szCs w:val="24"/>
        </w:rPr>
      </w:pPr>
      <w:r>
        <w:rPr>
          <w:rFonts w:ascii="Arial" w:eastAsia="Arial" w:hAnsi="Arial" w:cs="Arial"/>
          <w:sz w:val="24"/>
          <w:szCs w:val="24"/>
        </w:rPr>
        <w:t xml:space="preserve">Actualmente la </w:t>
      </w:r>
      <w:r>
        <w:rPr>
          <w:rFonts w:ascii="Arial" w:eastAsia="Arial" w:hAnsi="Arial" w:cs="Arial"/>
          <w:i/>
          <w:sz w:val="24"/>
          <w:szCs w:val="24"/>
        </w:rPr>
        <w:t>iniciativa de ley 5272</w:t>
      </w:r>
      <w:r>
        <w:rPr>
          <w:rFonts w:ascii="Arial" w:eastAsia="Arial" w:hAnsi="Arial" w:cs="Arial"/>
          <w:sz w:val="24"/>
          <w:szCs w:val="24"/>
        </w:rPr>
        <w:t xml:space="preserve"> está en tercera lectura a punto de ser aprobada por el Congreso de la República y, debido al compromiso del Presidente A</w:t>
      </w:r>
      <w:r>
        <w:rPr>
          <w:rFonts w:ascii="Arial" w:eastAsia="Arial" w:hAnsi="Arial" w:cs="Arial"/>
          <w:sz w:val="24"/>
          <w:szCs w:val="24"/>
        </w:rPr>
        <w:t xml:space="preserve">lejandro Giammattei de promover esa iniciativa, es poco probable que, de ser aprobada, el presidente vete la ley. </w:t>
      </w:r>
    </w:p>
    <w:p w:rsidR="00DD68A6" w:rsidRDefault="00EF78F0">
      <w:pPr>
        <w:numPr>
          <w:ilvl w:val="0"/>
          <w:numId w:val="1"/>
        </w:numPr>
        <w:spacing w:after="200" w:line="276" w:lineRule="auto"/>
        <w:jc w:val="both"/>
        <w:rPr>
          <w:rFonts w:ascii="Arial" w:eastAsia="Arial" w:hAnsi="Arial" w:cs="Arial"/>
          <w:sz w:val="24"/>
          <w:szCs w:val="24"/>
        </w:rPr>
      </w:pPr>
      <w:r>
        <w:rPr>
          <w:rFonts w:ascii="Arial" w:eastAsia="Arial" w:hAnsi="Arial" w:cs="Arial"/>
          <w:sz w:val="24"/>
          <w:szCs w:val="24"/>
        </w:rPr>
        <w:t xml:space="preserve">En el período señalado, el Congreso de la República rechazó propuestas favorables hacia la población LGBTI. En particular a dos iniciativas, </w:t>
      </w:r>
      <w:r>
        <w:rPr>
          <w:rFonts w:ascii="Arial" w:eastAsia="Arial" w:hAnsi="Arial" w:cs="Arial"/>
          <w:sz w:val="24"/>
          <w:szCs w:val="24"/>
        </w:rPr>
        <w:t>en las que presentó dictamen desfavorable a una iniciativa que pretendía establecer protecciones contra la discriminación por motivos de orientación sexual e identidad de género</w:t>
      </w:r>
      <w:r>
        <w:rPr>
          <w:rFonts w:ascii="Arial" w:eastAsia="Arial" w:hAnsi="Arial" w:cs="Arial"/>
          <w:sz w:val="24"/>
          <w:szCs w:val="24"/>
          <w:vertAlign w:val="superscript"/>
        </w:rPr>
        <w:footnoteReference w:id="14"/>
      </w:r>
      <w:r>
        <w:rPr>
          <w:rFonts w:ascii="Arial" w:eastAsia="Arial" w:hAnsi="Arial" w:cs="Arial"/>
          <w:sz w:val="24"/>
          <w:szCs w:val="24"/>
        </w:rPr>
        <w:t>, y la otra iniciativa que buscaba el reconocimiento del derecho a la identida</w:t>
      </w:r>
      <w:r>
        <w:rPr>
          <w:rFonts w:ascii="Arial" w:eastAsia="Arial" w:hAnsi="Arial" w:cs="Arial"/>
          <w:sz w:val="24"/>
          <w:szCs w:val="24"/>
        </w:rPr>
        <w:t>d de género de las personas trans</w:t>
      </w:r>
      <w:r>
        <w:rPr>
          <w:rFonts w:ascii="Arial" w:eastAsia="Arial" w:hAnsi="Arial" w:cs="Arial"/>
          <w:sz w:val="24"/>
          <w:szCs w:val="24"/>
          <w:vertAlign w:val="superscript"/>
        </w:rPr>
        <w:footnoteReference w:id="15"/>
      </w:r>
      <w:r>
        <w:rPr>
          <w:rFonts w:ascii="Arial" w:eastAsia="Arial" w:hAnsi="Arial" w:cs="Arial"/>
          <w:sz w:val="24"/>
          <w:szCs w:val="24"/>
        </w:rPr>
        <w:t xml:space="preserve">. Una tercera iniciativa que pretendía modificar el </w:t>
      </w:r>
      <w:r>
        <w:rPr>
          <w:rFonts w:ascii="Arial" w:eastAsia="Arial" w:hAnsi="Arial" w:cs="Arial"/>
          <w:i/>
          <w:sz w:val="24"/>
          <w:szCs w:val="24"/>
        </w:rPr>
        <w:t>artículo 202 bis</w:t>
      </w:r>
      <w:r>
        <w:rPr>
          <w:rFonts w:ascii="Arial" w:eastAsia="Arial" w:hAnsi="Arial" w:cs="Arial"/>
          <w:sz w:val="24"/>
          <w:szCs w:val="24"/>
        </w:rPr>
        <w:t>, sobre la discriminación, colocando como otro agravante para sancionar la discriminación las categorías de orientación sexual o identidad de género, pres</w:t>
      </w:r>
      <w:r>
        <w:rPr>
          <w:rFonts w:ascii="Arial" w:eastAsia="Arial" w:hAnsi="Arial" w:cs="Arial"/>
          <w:sz w:val="24"/>
          <w:szCs w:val="24"/>
        </w:rPr>
        <w:t>entada por la diputada Karina Rodas</w:t>
      </w:r>
      <w:r>
        <w:rPr>
          <w:rFonts w:ascii="Arial" w:eastAsia="Arial" w:hAnsi="Arial" w:cs="Arial"/>
          <w:sz w:val="24"/>
          <w:szCs w:val="24"/>
          <w:vertAlign w:val="superscript"/>
        </w:rPr>
        <w:footnoteReference w:id="16"/>
      </w:r>
      <w:r>
        <w:rPr>
          <w:rFonts w:ascii="Arial" w:eastAsia="Arial" w:hAnsi="Arial" w:cs="Arial"/>
          <w:sz w:val="24"/>
          <w:szCs w:val="24"/>
        </w:rPr>
        <w:t xml:space="preserve">, no llegó a conocerse al Pleno del Congreso, uno de los pasos principales e iniciales para que pueda aprobarse. </w:t>
      </w:r>
    </w:p>
    <w:p w:rsidR="00DD68A6" w:rsidRDefault="00EF78F0">
      <w:pPr>
        <w:numPr>
          <w:ilvl w:val="0"/>
          <w:numId w:val="1"/>
        </w:numPr>
        <w:spacing w:after="200" w:line="276" w:lineRule="auto"/>
        <w:jc w:val="both"/>
        <w:rPr>
          <w:rFonts w:ascii="Arial" w:eastAsia="Arial" w:hAnsi="Arial" w:cs="Arial"/>
          <w:sz w:val="24"/>
          <w:szCs w:val="24"/>
        </w:rPr>
      </w:pPr>
      <w:r>
        <w:rPr>
          <w:rFonts w:ascii="Arial" w:eastAsia="Arial" w:hAnsi="Arial" w:cs="Arial"/>
          <w:sz w:val="24"/>
          <w:szCs w:val="24"/>
        </w:rPr>
        <w:t>Los esfuerzos por legislar a favor de los derechos humanos y la no discriminación de las personas LGBTI ti</w:t>
      </w:r>
      <w:r>
        <w:rPr>
          <w:rFonts w:ascii="Arial" w:eastAsia="Arial" w:hAnsi="Arial" w:cs="Arial"/>
          <w:sz w:val="24"/>
          <w:szCs w:val="24"/>
        </w:rPr>
        <w:t xml:space="preserve">enen dictamen desfavorable o no han sido conocidos por el Congreso de la República lo cual indica desinterés en avanzar en estos temas. Esto contrasta con el avance de la </w:t>
      </w:r>
      <w:r>
        <w:rPr>
          <w:rFonts w:ascii="Arial" w:eastAsia="Arial" w:hAnsi="Arial" w:cs="Arial"/>
          <w:i/>
          <w:sz w:val="24"/>
          <w:szCs w:val="24"/>
        </w:rPr>
        <w:t xml:space="preserve">Iniciativa 5272, </w:t>
      </w:r>
      <w:r>
        <w:rPr>
          <w:rFonts w:ascii="Arial" w:eastAsia="Arial" w:hAnsi="Arial" w:cs="Arial"/>
          <w:sz w:val="24"/>
          <w:szCs w:val="24"/>
        </w:rPr>
        <w:t>una iniciativa contraria a los derechos humanos.</w:t>
      </w:r>
    </w:p>
    <w:p w:rsidR="00DD68A6" w:rsidRDefault="00EF78F0">
      <w:pPr>
        <w:pBdr>
          <w:top w:val="nil"/>
          <w:left w:val="nil"/>
          <w:bottom w:val="nil"/>
          <w:right w:val="nil"/>
          <w:between w:val="nil"/>
        </w:pBdr>
        <w:spacing w:after="200" w:line="276" w:lineRule="auto"/>
        <w:jc w:val="both"/>
        <w:rPr>
          <w:rFonts w:ascii="Arial" w:eastAsia="Arial" w:hAnsi="Arial" w:cs="Arial"/>
          <w:b/>
          <w:sz w:val="24"/>
          <w:szCs w:val="24"/>
        </w:rPr>
      </w:pPr>
      <w:r>
        <w:rPr>
          <w:rFonts w:ascii="Arial" w:eastAsia="Arial" w:hAnsi="Arial" w:cs="Arial"/>
          <w:b/>
          <w:sz w:val="24"/>
          <w:szCs w:val="24"/>
        </w:rPr>
        <w:t>Discriminación en salud en Guatemala para las personas LGBTI</w:t>
      </w:r>
    </w:p>
    <w:p w:rsidR="00DD68A6" w:rsidRDefault="00EF78F0">
      <w:pPr>
        <w:numPr>
          <w:ilvl w:val="0"/>
          <w:numId w:val="1"/>
        </w:numPr>
        <w:spacing w:after="200" w:line="276" w:lineRule="auto"/>
        <w:ind w:right="49"/>
        <w:jc w:val="both"/>
        <w:rPr>
          <w:rFonts w:ascii="Arial" w:eastAsia="Arial" w:hAnsi="Arial" w:cs="Arial"/>
          <w:sz w:val="24"/>
          <w:szCs w:val="24"/>
        </w:rPr>
      </w:pPr>
      <w:r>
        <w:rPr>
          <w:rFonts w:ascii="Arial" w:eastAsia="Arial" w:hAnsi="Arial" w:cs="Arial"/>
          <w:sz w:val="24"/>
          <w:szCs w:val="24"/>
        </w:rPr>
        <w:t xml:space="preserve">Hasta el momento, en el ámbito de salud, de acuerdo a una entrevista realizadas por Visibles a  Andrea Díaz, directora de la organización Vidas Paralelas, comenta que la atención brindada en los </w:t>
      </w:r>
      <w:r>
        <w:rPr>
          <w:rFonts w:ascii="Arial" w:eastAsia="Arial" w:hAnsi="Arial" w:cs="Arial"/>
          <w:sz w:val="24"/>
          <w:szCs w:val="24"/>
        </w:rPr>
        <w:t xml:space="preserve">centros de salud Estatal no son los más sensibles para el tratamiento de personas de la población diversa, especialmente para mujeres lesbianas y bisexuales, quienes no se sienten a gusto dando a conocer su orientación sexual, incluso si se presentan como </w:t>
      </w:r>
      <w:r>
        <w:rPr>
          <w:rFonts w:ascii="Arial" w:eastAsia="Arial" w:hAnsi="Arial" w:cs="Arial"/>
          <w:sz w:val="24"/>
          <w:szCs w:val="24"/>
        </w:rPr>
        <w:t>víctimas de una agresión sexual o violación, esconden el verdadero motivo de este tipo de violencia que se ha generado contra ellas, que usualmente en el caso de mujeres lesbianas se trata de una forma “correctiva de su conducta”. Comenta además, que en un</w:t>
      </w:r>
      <w:r>
        <w:rPr>
          <w:rFonts w:ascii="Arial" w:eastAsia="Arial" w:hAnsi="Arial" w:cs="Arial"/>
          <w:sz w:val="24"/>
          <w:szCs w:val="24"/>
        </w:rPr>
        <w:t>o de los Centros de Atención de Salud Integral para mujeres trans, que se encuentra en el departamento de Quetzaltenango, aún se mantiene un ambiente muy estigmatizante por el tema del VIH e ITS’s, esto genera una ruptura en la confianza de la población LG</w:t>
      </w:r>
      <w:r>
        <w:rPr>
          <w:rFonts w:ascii="Arial" w:eastAsia="Arial" w:hAnsi="Arial" w:cs="Arial"/>
          <w:sz w:val="24"/>
          <w:szCs w:val="24"/>
        </w:rPr>
        <w:t>BTI en estos centros.</w:t>
      </w:r>
      <w:r>
        <w:rPr>
          <w:rFonts w:ascii="Arial" w:eastAsia="Arial" w:hAnsi="Arial" w:cs="Arial"/>
          <w:sz w:val="24"/>
          <w:szCs w:val="24"/>
          <w:vertAlign w:val="superscript"/>
        </w:rPr>
        <w:footnoteReference w:id="17"/>
      </w:r>
    </w:p>
    <w:p w:rsidR="00DD68A6" w:rsidRDefault="00EF78F0">
      <w:pPr>
        <w:numPr>
          <w:ilvl w:val="0"/>
          <w:numId w:val="1"/>
        </w:numPr>
        <w:spacing w:after="200" w:line="276" w:lineRule="auto"/>
        <w:ind w:right="49"/>
        <w:jc w:val="both"/>
        <w:rPr>
          <w:rFonts w:ascii="Arial" w:eastAsia="Arial" w:hAnsi="Arial" w:cs="Arial"/>
          <w:sz w:val="24"/>
          <w:szCs w:val="24"/>
        </w:rPr>
      </w:pPr>
      <w:r>
        <w:rPr>
          <w:rFonts w:ascii="Arial" w:eastAsia="Arial" w:hAnsi="Arial" w:cs="Arial"/>
          <w:sz w:val="24"/>
          <w:szCs w:val="24"/>
        </w:rPr>
        <w:t>Respecto a la salud diferenciada e integral para personas trans, desde el 2015 se aprobó la Estrategia Atención Integral y Diferenciada en Salud para Personas Trans en Guatemala 2016-2030. A la fecha no se ha operativizado ni se ha i</w:t>
      </w:r>
      <w:r>
        <w:rPr>
          <w:rFonts w:ascii="Arial" w:eastAsia="Arial" w:hAnsi="Arial" w:cs="Arial"/>
          <w:sz w:val="24"/>
          <w:szCs w:val="24"/>
        </w:rPr>
        <w:t>mplementado en el Ministerio de Salud Pública y Asistencia Social (MSPAS). El Colectivo Trans-formación es parte de la Mesa Técnica del MSPAS pero ni la Mesa ni la Estrategia cuentan con fondos para su implementación por lo que la situación en salud de las</w:t>
      </w:r>
      <w:r>
        <w:rPr>
          <w:rFonts w:ascii="Arial" w:eastAsia="Arial" w:hAnsi="Arial" w:cs="Arial"/>
          <w:sz w:val="24"/>
          <w:szCs w:val="24"/>
        </w:rPr>
        <w:t xml:space="preserve"> personas trans ha quedado exactamente igual que cuando no existía una Estrategia. Según un estudio lanzado por Trans-formación, el 81% de casos encuestados de discriminación en salud hacia hombres trans se cometen desde el Estado</w:t>
      </w:r>
      <w:r>
        <w:rPr>
          <w:rFonts w:ascii="Arial" w:eastAsia="Arial" w:hAnsi="Arial" w:cs="Arial"/>
          <w:sz w:val="24"/>
          <w:szCs w:val="24"/>
          <w:vertAlign w:val="superscript"/>
        </w:rPr>
        <w:footnoteReference w:id="18"/>
      </w:r>
      <w:r>
        <w:rPr>
          <w:rFonts w:ascii="Arial" w:eastAsia="Arial" w:hAnsi="Arial" w:cs="Arial"/>
          <w:sz w:val="24"/>
          <w:szCs w:val="24"/>
        </w:rPr>
        <w:t xml:space="preserve">. </w:t>
      </w:r>
    </w:p>
    <w:p w:rsidR="00DD68A6" w:rsidRDefault="00EF78F0">
      <w:pPr>
        <w:numPr>
          <w:ilvl w:val="0"/>
          <w:numId w:val="1"/>
        </w:numPr>
        <w:spacing w:after="200" w:line="276" w:lineRule="auto"/>
        <w:ind w:right="49"/>
        <w:jc w:val="both"/>
        <w:rPr>
          <w:rFonts w:ascii="Arial" w:eastAsia="Arial" w:hAnsi="Arial" w:cs="Arial"/>
          <w:sz w:val="24"/>
          <w:szCs w:val="24"/>
        </w:rPr>
      </w:pPr>
      <w:r>
        <w:rPr>
          <w:rFonts w:ascii="Arial" w:eastAsia="Arial" w:hAnsi="Arial" w:cs="Arial"/>
          <w:sz w:val="24"/>
          <w:szCs w:val="24"/>
        </w:rPr>
        <w:t>En una encuesta que Vi</w:t>
      </w:r>
      <w:r>
        <w:rPr>
          <w:rFonts w:ascii="Arial" w:eastAsia="Arial" w:hAnsi="Arial" w:cs="Arial"/>
          <w:sz w:val="24"/>
          <w:szCs w:val="24"/>
        </w:rPr>
        <w:t>sibles realizó en el año 2020</w:t>
      </w:r>
      <w:r>
        <w:rPr>
          <w:rFonts w:ascii="Arial" w:eastAsia="Arial" w:hAnsi="Arial" w:cs="Arial"/>
          <w:sz w:val="24"/>
          <w:szCs w:val="24"/>
          <w:vertAlign w:val="superscript"/>
        </w:rPr>
        <w:footnoteReference w:id="19"/>
      </w:r>
      <w:r>
        <w:rPr>
          <w:rFonts w:ascii="Arial" w:eastAsia="Arial" w:hAnsi="Arial" w:cs="Arial"/>
          <w:sz w:val="24"/>
          <w:szCs w:val="24"/>
        </w:rPr>
        <w:t xml:space="preserve"> a 305 personas se documentó que de las 94 personas que dijeron haber padecido discriminación en salud 27,51% eran personas cisgénero LGB (no trans) y 69,57% eran personas trans. </w:t>
      </w:r>
    </w:p>
    <w:p w:rsidR="00DD68A6" w:rsidRDefault="00EF78F0">
      <w:pPr>
        <w:numPr>
          <w:ilvl w:val="0"/>
          <w:numId w:val="1"/>
        </w:numPr>
        <w:spacing w:after="200" w:line="276" w:lineRule="auto"/>
        <w:ind w:right="49"/>
        <w:jc w:val="both"/>
        <w:rPr>
          <w:rFonts w:ascii="Arial" w:eastAsia="Arial" w:hAnsi="Arial" w:cs="Arial"/>
          <w:sz w:val="24"/>
          <w:szCs w:val="24"/>
        </w:rPr>
      </w:pPr>
      <w:r>
        <w:rPr>
          <w:rFonts w:ascii="Arial" w:eastAsia="Arial" w:hAnsi="Arial" w:cs="Arial"/>
          <w:sz w:val="24"/>
          <w:szCs w:val="24"/>
        </w:rPr>
        <w:t>El tipo de violencia padecida más común en sal</w:t>
      </w:r>
      <w:r>
        <w:rPr>
          <w:rFonts w:ascii="Arial" w:eastAsia="Arial" w:hAnsi="Arial" w:cs="Arial"/>
          <w:sz w:val="24"/>
          <w:szCs w:val="24"/>
        </w:rPr>
        <w:t>ud para las personas LGBTI está referida a personas trans también: 17,4% de las personas trans que contestaron la encuesta afirma que no respetaron su identidad de género y 21,7% afirma que no sabían como atenderle. Por último, 8,7% de las personas trans a</w:t>
      </w:r>
      <w:r>
        <w:rPr>
          <w:rFonts w:ascii="Arial" w:eastAsia="Arial" w:hAnsi="Arial" w:cs="Arial"/>
          <w:sz w:val="24"/>
          <w:szCs w:val="24"/>
        </w:rPr>
        <w:t>firma que les negaron el servicio de salud mientras que esto le pasó solo al 0,4% de las personas lesbianas, gays y bisexuales cisgénero. De estos datos se puede sugerir que las personas trans siguen padeciendo desproporcionadamente los efectos de una salu</w:t>
      </w:r>
      <w:r>
        <w:rPr>
          <w:rFonts w:ascii="Arial" w:eastAsia="Arial" w:hAnsi="Arial" w:cs="Arial"/>
          <w:sz w:val="24"/>
          <w:szCs w:val="24"/>
        </w:rPr>
        <w:t xml:space="preserve">d que no toma en cuenta a las personas LGBTI y trans específicas. </w:t>
      </w:r>
    </w:p>
    <w:p w:rsidR="00DD68A6" w:rsidRDefault="00EF78F0">
      <w:pPr>
        <w:numPr>
          <w:ilvl w:val="0"/>
          <w:numId w:val="1"/>
        </w:numPr>
        <w:spacing w:after="200" w:line="276" w:lineRule="auto"/>
        <w:ind w:right="49"/>
        <w:jc w:val="both"/>
        <w:rPr>
          <w:rFonts w:ascii="Arial" w:eastAsia="Arial" w:hAnsi="Arial" w:cs="Arial"/>
          <w:sz w:val="24"/>
          <w:szCs w:val="24"/>
        </w:rPr>
      </w:pPr>
      <w:r>
        <w:rPr>
          <w:rFonts w:ascii="Arial" w:eastAsia="Arial" w:hAnsi="Arial" w:cs="Arial"/>
          <w:sz w:val="24"/>
          <w:szCs w:val="24"/>
        </w:rPr>
        <w:t>Durante la pandemia por COVID-19 las reuniones de la mesa técnica han quedado postergadas por el MSPAS. Esto es preocupante pues ahora es cuando más se deben estar realizando esfuerzos para</w:t>
      </w:r>
      <w:r>
        <w:rPr>
          <w:rFonts w:ascii="Arial" w:eastAsia="Arial" w:hAnsi="Arial" w:cs="Arial"/>
          <w:sz w:val="24"/>
          <w:szCs w:val="24"/>
        </w:rPr>
        <w:t xml:space="preserve"> que la atención en salud se inclusiva y respetuosa para las personas trans que de por sí se encuentran en situación de vulnerabilidad por la pandemia. </w:t>
      </w:r>
    </w:p>
    <w:p w:rsidR="00DD68A6" w:rsidRDefault="00EF78F0">
      <w:pPr>
        <w:pBdr>
          <w:top w:val="nil"/>
          <w:left w:val="nil"/>
          <w:bottom w:val="nil"/>
          <w:right w:val="nil"/>
          <w:between w:val="nil"/>
        </w:pBdr>
        <w:spacing w:after="200" w:line="276" w:lineRule="auto"/>
        <w:jc w:val="both"/>
        <w:rPr>
          <w:rFonts w:ascii="Arial" w:eastAsia="Arial" w:hAnsi="Arial" w:cs="Arial"/>
          <w:b/>
          <w:color w:val="000000"/>
          <w:sz w:val="24"/>
          <w:szCs w:val="24"/>
        </w:rPr>
      </w:pPr>
      <w:r>
        <w:rPr>
          <w:rFonts w:ascii="Arial" w:eastAsia="Arial" w:hAnsi="Arial" w:cs="Arial"/>
          <w:b/>
          <w:color w:val="000000"/>
          <w:sz w:val="24"/>
          <w:szCs w:val="24"/>
        </w:rPr>
        <w:t>Crímenes por prejuicio y otras formas de violencia</w:t>
      </w:r>
    </w:p>
    <w:p w:rsidR="00DD68A6" w:rsidRDefault="00EF78F0">
      <w:pPr>
        <w:numPr>
          <w:ilvl w:val="0"/>
          <w:numId w:val="1"/>
        </w:numPr>
        <w:spacing w:after="200" w:line="276" w:lineRule="auto"/>
        <w:jc w:val="both"/>
        <w:rPr>
          <w:rFonts w:ascii="Arial" w:eastAsia="Arial" w:hAnsi="Arial" w:cs="Arial"/>
          <w:sz w:val="24"/>
          <w:szCs w:val="24"/>
        </w:rPr>
      </w:pPr>
      <w:r>
        <w:rPr>
          <w:rFonts w:ascii="Arial" w:eastAsia="Arial" w:hAnsi="Arial" w:cs="Arial"/>
          <w:sz w:val="24"/>
          <w:szCs w:val="24"/>
        </w:rPr>
        <w:t>Los crímenes por prejuicio o por odio es una tendenc</w:t>
      </w:r>
      <w:r>
        <w:rPr>
          <w:rFonts w:ascii="Arial" w:eastAsia="Arial" w:hAnsi="Arial" w:cs="Arial"/>
          <w:sz w:val="24"/>
          <w:szCs w:val="24"/>
        </w:rPr>
        <w:t>ia que enfrentan las personas LGBTI a lo largo de toda su vida, incluso se ha normalizado en los espacios individuales. Ante la falta de datos estadísticos confiables sobre el fenómeno, es difícil establecer si la tendencia de crímenes por prejuicio en con</w:t>
      </w:r>
      <w:r>
        <w:rPr>
          <w:rFonts w:ascii="Arial" w:eastAsia="Arial" w:hAnsi="Arial" w:cs="Arial"/>
          <w:sz w:val="24"/>
          <w:szCs w:val="24"/>
        </w:rPr>
        <w:t>tra de las personas LGBTI va al alza, pero tanto la Comisión Interamericana de Derechos Humanos (CIDH)</w:t>
      </w:r>
      <w:r>
        <w:rPr>
          <w:rFonts w:ascii="Arial" w:eastAsia="Arial" w:hAnsi="Arial" w:cs="Arial"/>
          <w:sz w:val="24"/>
          <w:szCs w:val="24"/>
          <w:vertAlign w:val="superscript"/>
        </w:rPr>
        <w:footnoteReference w:id="20"/>
      </w:r>
      <w:r>
        <w:rPr>
          <w:rFonts w:ascii="Arial" w:eastAsia="Arial" w:hAnsi="Arial" w:cs="Arial"/>
          <w:sz w:val="24"/>
          <w:szCs w:val="24"/>
        </w:rPr>
        <w:t xml:space="preserve"> como la Oficina de la Alta Comisionada para los Derechos Humanos (ACNUDH)</w:t>
      </w:r>
      <w:r>
        <w:rPr>
          <w:rFonts w:ascii="Arial" w:eastAsia="Arial" w:hAnsi="Arial" w:cs="Arial"/>
          <w:sz w:val="24"/>
          <w:szCs w:val="24"/>
          <w:vertAlign w:val="superscript"/>
        </w:rPr>
        <w:footnoteReference w:id="21"/>
      </w:r>
      <w:r>
        <w:rPr>
          <w:rFonts w:ascii="Arial" w:eastAsia="Arial" w:hAnsi="Arial" w:cs="Arial"/>
          <w:sz w:val="24"/>
          <w:szCs w:val="24"/>
        </w:rPr>
        <w:t xml:space="preserve"> han destacado un aumento en crímenes violentos, y en el grado de violencia empleado contra las víctimas LGBTI, en toda Centroamérica. De esa cuenta, Visibles y Trans-formación preocupados por esa cuestión, han impulsado una serie de investigaciones que ti</w:t>
      </w:r>
      <w:r>
        <w:rPr>
          <w:rFonts w:ascii="Arial" w:eastAsia="Arial" w:hAnsi="Arial" w:cs="Arial"/>
          <w:sz w:val="24"/>
          <w:szCs w:val="24"/>
        </w:rPr>
        <w:t>enen como objetivo ofrecer no sólo datos fieles sino que además, guías para la implementación de programas y políticas públicas, la primera fue presentada este año denominada “Violencia contra la población LGBTIQ+: Vivencias y dinámicas que la sostienen”</w:t>
      </w:r>
      <w:r>
        <w:rPr>
          <w:rFonts w:ascii="Arial" w:eastAsia="Arial" w:hAnsi="Arial" w:cs="Arial"/>
          <w:sz w:val="24"/>
          <w:szCs w:val="24"/>
          <w:vertAlign w:val="superscript"/>
        </w:rPr>
        <w:footnoteReference w:id="22"/>
      </w:r>
      <w:r>
        <w:rPr>
          <w:rFonts w:ascii="Arial" w:eastAsia="Arial" w:hAnsi="Arial" w:cs="Arial"/>
          <w:sz w:val="24"/>
          <w:szCs w:val="24"/>
        </w:rPr>
        <w:t>,</w:t>
      </w:r>
      <w:r>
        <w:rPr>
          <w:rFonts w:ascii="Arial" w:eastAsia="Arial" w:hAnsi="Arial" w:cs="Arial"/>
          <w:sz w:val="24"/>
          <w:szCs w:val="24"/>
        </w:rPr>
        <w:t xml:space="preserve"> en la cual se documenta la prevalencia de distintas formas de violencia cultural-simbólica, institucional, y directa que afectan a las personas LGBTI.</w:t>
      </w:r>
    </w:p>
    <w:p w:rsidR="00DD68A6" w:rsidRDefault="00EF78F0">
      <w:pPr>
        <w:numPr>
          <w:ilvl w:val="0"/>
          <w:numId w:val="1"/>
        </w:numPr>
        <w:spacing w:after="200" w:line="276" w:lineRule="auto"/>
        <w:jc w:val="both"/>
        <w:rPr>
          <w:rFonts w:ascii="Arial" w:eastAsia="Arial" w:hAnsi="Arial" w:cs="Arial"/>
          <w:sz w:val="24"/>
          <w:szCs w:val="24"/>
        </w:rPr>
      </w:pPr>
      <w:r>
        <w:rPr>
          <w:rFonts w:ascii="Arial" w:eastAsia="Arial" w:hAnsi="Arial" w:cs="Arial"/>
          <w:sz w:val="24"/>
          <w:szCs w:val="24"/>
        </w:rPr>
        <w:t>Entre los datos más sobresalientes, se hace ver que 112 personas contestaron haber sufrido de algún tipo</w:t>
      </w:r>
      <w:r>
        <w:rPr>
          <w:rFonts w:ascii="Arial" w:eastAsia="Arial" w:hAnsi="Arial" w:cs="Arial"/>
          <w:sz w:val="24"/>
          <w:szCs w:val="24"/>
        </w:rPr>
        <w:t xml:space="preserve"> de discriminación, de éstas personas solamente 41 respondieron que sí habían denunciado algún tipo de discriminación o agresión, de las cuales ninguna ha hecho seguimiento de su caso y; 264 no denunciaron, por: miedo a represalias (31), no saber exactamen</w:t>
      </w:r>
      <w:r>
        <w:rPr>
          <w:rFonts w:ascii="Arial" w:eastAsia="Arial" w:hAnsi="Arial" w:cs="Arial"/>
          <w:sz w:val="24"/>
          <w:szCs w:val="24"/>
        </w:rPr>
        <w:t>te a dónde ir a presentar la denuncia (51), experimentaron malos tratos en la institución a la que finalmente acudieron (2), no tomaron la denuncia (4), sentimiento de que no valía la pena presentar la denuncia (60) y porque no querían que se supiera que s</w:t>
      </w:r>
      <w:r>
        <w:rPr>
          <w:rFonts w:ascii="Arial" w:eastAsia="Arial" w:hAnsi="Arial" w:cs="Arial"/>
          <w:sz w:val="24"/>
          <w:szCs w:val="24"/>
        </w:rPr>
        <w:t>e trataba de una personas LGBTIQ (35). Quienes realizaron esta entrevista, respondieron que si tuviesen que presentar una denuncia lo harían mayoritariamente a través de Organizaciones de sociedad civil (166), Procuraduría de Derechos Humanos (130) y Minis</w:t>
      </w:r>
      <w:r>
        <w:rPr>
          <w:rFonts w:ascii="Arial" w:eastAsia="Arial" w:hAnsi="Arial" w:cs="Arial"/>
          <w:sz w:val="24"/>
          <w:szCs w:val="24"/>
        </w:rPr>
        <w:t>terio Público (104)</w:t>
      </w:r>
      <w:r>
        <w:rPr>
          <w:rFonts w:ascii="Arial" w:eastAsia="Arial" w:hAnsi="Arial" w:cs="Arial"/>
          <w:sz w:val="24"/>
          <w:szCs w:val="24"/>
          <w:vertAlign w:val="superscript"/>
        </w:rPr>
        <w:footnoteReference w:id="23"/>
      </w:r>
      <w:r>
        <w:rPr>
          <w:rFonts w:ascii="Arial" w:eastAsia="Arial" w:hAnsi="Arial" w:cs="Arial"/>
          <w:sz w:val="24"/>
          <w:szCs w:val="24"/>
        </w:rPr>
        <w:t>.</w:t>
      </w:r>
    </w:p>
    <w:p w:rsidR="00DD68A6" w:rsidRDefault="00EF78F0">
      <w:pPr>
        <w:numPr>
          <w:ilvl w:val="0"/>
          <w:numId w:val="1"/>
        </w:numPr>
        <w:spacing w:after="200" w:line="276" w:lineRule="auto"/>
        <w:jc w:val="both"/>
        <w:rPr>
          <w:rFonts w:ascii="Arial" w:eastAsia="Arial" w:hAnsi="Arial" w:cs="Arial"/>
          <w:sz w:val="24"/>
          <w:szCs w:val="24"/>
        </w:rPr>
      </w:pPr>
      <w:r>
        <w:rPr>
          <w:rFonts w:ascii="Arial" w:eastAsia="Arial" w:hAnsi="Arial" w:cs="Arial"/>
          <w:sz w:val="24"/>
          <w:szCs w:val="24"/>
        </w:rPr>
        <w:t>De la misma cuenta. El Estudio Exploratorio de Hombres Trans lanzado por Trans-formación en el 2019 documenta casos de violaciones a derechos humanos. Se destaca que 84 % de los cincuenta hombres trans entrevistados reporta haber sufr</w:t>
      </w:r>
      <w:r>
        <w:rPr>
          <w:rFonts w:ascii="Arial" w:eastAsia="Arial" w:hAnsi="Arial" w:cs="Arial"/>
          <w:sz w:val="24"/>
          <w:szCs w:val="24"/>
        </w:rPr>
        <w:t>ido algún tipo de discriminación pero solo 8 % de ellos comenta haber denunciado</w:t>
      </w:r>
      <w:r>
        <w:rPr>
          <w:rFonts w:ascii="Arial" w:eastAsia="Arial" w:hAnsi="Arial" w:cs="Arial"/>
          <w:sz w:val="24"/>
          <w:szCs w:val="24"/>
          <w:vertAlign w:val="superscript"/>
        </w:rPr>
        <w:footnoteReference w:id="24"/>
      </w:r>
      <w:r>
        <w:rPr>
          <w:rFonts w:ascii="Arial" w:eastAsia="Arial" w:hAnsi="Arial" w:cs="Arial"/>
          <w:sz w:val="24"/>
          <w:szCs w:val="24"/>
        </w:rPr>
        <w:t xml:space="preserve">. </w:t>
      </w:r>
    </w:p>
    <w:p w:rsidR="00DD68A6" w:rsidRDefault="00EF78F0">
      <w:pPr>
        <w:numPr>
          <w:ilvl w:val="0"/>
          <w:numId w:val="1"/>
        </w:numPr>
        <w:spacing w:after="200" w:line="276" w:lineRule="auto"/>
        <w:jc w:val="both"/>
        <w:rPr>
          <w:rFonts w:ascii="Arial" w:eastAsia="Arial" w:hAnsi="Arial" w:cs="Arial"/>
          <w:sz w:val="24"/>
          <w:szCs w:val="24"/>
        </w:rPr>
      </w:pPr>
      <w:r>
        <w:rPr>
          <w:rFonts w:ascii="Arial" w:eastAsia="Arial" w:hAnsi="Arial" w:cs="Arial"/>
          <w:sz w:val="24"/>
          <w:szCs w:val="24"/>
        </w:rPr>
        <w:t>Se observa una tendencia a no denunciar probablemente por la falta de procedimientos sensibles a la orientación sexual, identidad y expresión de género y características se</w:t>
      </w:r>
      <w:r>
        <w:rPr>
          <w:rFonts w:ascii="Arial" w:eastAsia="Arial" w:hAnsi="Arial" w:cs="Arial"/>
          <w:sz w:val="24"/>
          <w:szCs w:val="24"/>
        </w:rPr>
        <w:t>xuales de las personas. No acceder a la justicia y a mecanismos de protección y reparación es grave para alcanzar la igualdad social e institucional de las personas LGBTI.</w:t>
      </w:r>
    </w:p>
    <w:p w:rsidR="00DD68A6" w:rsidRDefault="00EF78F0">
      <w:pPr>
        <w:numPr>
          <w:ilvl w:val="0"/>
          <w:numId w:val="1"/>
        </w:numPr>
        <w:spacing w:after="200" w:line="276" w:lineRule="auto"/>
        <w:jc w:val="both"/>
        <w:rPr>
          <w:rFonts w:ascii="Arial" w:eastAsia="Arial" w:hAnsi="Arial" w:cs="Arial"/>
          <w:sz w:val="24"/>
          <w:szCs w:val="24"/>
        </w:rPr>
      </w:pPr>
      <w:r>
        <w:rPr>
          <w:rFonts w:ascii="Arial" w:eastAsia="Arial" w:hAnsi="Arial" w:cs="Arial"/>
          <w:sz w:val="24"/>
          <w:szCs w:val="24"/>
        </w:rPr>
        <w:t xml:space="preserve">Visibles ha documentado que únicamente se han registrado dentro de la Defensoría de </w:t>
      </w:r>
      <w:r>
        <w:rPr>
          <w:rFonts w:ascii="Arial" w:eastAsia="Arial" w:hAnsi="Arial" w:cs="Arial"/>
          <w:sz w:val="24"/>
          <w:szCs w:val="24"/>
        </w:rPr>
        <w:t>Derechos LGBTI de la Procuraduría de Derechos Humanos, en los años 2018 y 2019, veinticuatro casos de violencia contra población LGBTIQ, ya sea generados a partir de las denuncias presentadas por violencia sexual, psicológica, homicidios y asesinatos</w:t>
      </w:r>
      <w:r>
        <w:rPr>
          <w:rFonts w:ascii="Arial" w:eastAsia="Arial" w:hAnsi="Arial" w:cs="Arial"/>
          <w:sz w:val="24"/>
          <w:szCs w:val="24"/>
          <w:vertAlign w:val="superscript"/>
        </w:rPr>
        <w:footnoteReference w:id="25"/>
      </w:r>
      <w:r>
        <w:rPr>
          <w:rFonts w:ascii="Arial" w:eastAsia="Arial" w:hAnsi="Arial" w:cs="Arial"/>
          <w:sz w:val="24"/>
          <w:szCs w:val="24"/>
        </w:rPr>
        <w:t>.</w:t>
      </w:r>
    </w:p>
    <w:p w:rsidR="00DD68A6" w:rsidRDefault="00EF78F0">
      <w:pPr>
        <w:numPr>
          <w:ilvl w:val="0"/>
          <w:numId w:val="1"/>
        </w:numPr>
        <w:spacing w:after="200" w:line="276" w:lineRule="auto"/>
        <w:jc w:val="both"/>
        <w:rPr>
          <w:rFonts w:ascii="Arial" w:eastAsia="Arial" w:hAnsi="Arial" w:cs="Arial"/>
          <w:sz w:val="24"/>
          <w:szCs w:val="24"/>
        </w:rPr>
      </w:pPr>
      <w:r>
        <w:rPr>
          <w:rFonts w:ascii="Arial" w:eastAsia="Arial" w:hAnsi="Arial" w:cs="Arial"/>
          <w:sz w:val="24"/>
          <w:szCs w:val="24"/>
        </w:rPr>
        <w:t>Est</w:t>
      </w:r>
      <w:r>
        <w:rPr>
          <w:rFonts w:ascii="Arial" w:eastAsia="Arial" w:hAnsi="Arial" w:cs="Arial"/>
          <w:sz w:val="24"/>
          <w:szCs w:val="24"/>
        </w:rPr>
        <w:t>o contrasta con información recogida en medios de comunicación sobre asesinatos motivados por el odio y el prejuicio contra las personas LGBTIQ, considerando que del 2014 el 2019 el 30% de los homicidio contra la comunidad LGBTIQ+ registrados fueron ocasio</w:t>
      </w:r>
      <w:r>
        <w:rPr>
          <w:rFonts w:ascii="Arial" w:eastAsia="Arial" w:hAnsi="Arial" w:cs="Arial"/>
          <w:sz w:val="24"/>
          <w:szCs w:val="24"/>
        </w:rPr>
        <w:t>nados por el odio y el prejuicio</w:t>
      </w:r>
      <w:r>
        <w:rPr>
          <w:rFonts w:ascii="Arial" w:eastAsia="Arial" w:hAnsi="Arial" w:cs="Arial"/>
          <w:sz w:val="24"/>
          <w:szCs w:val="24"/>
          <w:vertAlign w:val="superscript"/>
        </w:rPr>
        <w:footnoteReference w:id="26"/>
      </w:r>
      <w:r>
        <w:rPr>
          <w:rFonts w:ascii="Arial" w:eastAsia="Arial" w:hAnsi="Arial" w:cs="Arial"/>
          <w:sz w:val="24"/>
          <w:szCs w:val="24"/>
        </w:rPr>
        <w:t>. Los casos más paradigmáticos fueron recabados en marzo y abril, en donde se documentó el asesinato de José Díaz en Huehuetenango, con inscripciones en su cuerpo relacionadas con su orientación sexual</w:t>
      </w:r>
      <w:r>
        <w:rPr>
          <w:rFonts w:ascii="Arial" w:eastAsia="Arial" w:hAnsi="Arial" w:cs="Arial"/>
          <w:sz w:val="24"/>
          <w:szCs w:val="24"/>
          <w:vertAlign w:val="superscript"/>
        </w:rPr>
        <w:footnoteReference w:id="27"/>
      </w:r>
      <w:r>
        <w:rPr>
          <w:rFonts w:ascii="Arial" w:eastAsia="Arial" w:hAnsi="Arial" w:cs="Arial"/>
          <w:sz w:val="24"/>
          <w:szCs w:val="24"/>
        </w:rPr>
        <w:t>. Betzi Co y Kelli Vi</w:t>
      </w:r>
      <w:r>
        <w:rPr>
          <w:rFonts w:ascii="Arial" w:eastAsia="Arial" w:hAnsi="Arial" w:cs="Arial"/>
          <w:sz w:val="24"/>
          <w:szCs w:val="24"/>
        </w:rPr>
        <w:t>llagrán, dos mujeres lesbianas quienes fueron encontradas sin vida en abril 2019, también con inscripciones y marcas vinculadas a su orientación sexual en sus cuerpos</w:t>
      </w:r>
      <w:r>
        <w:rPr>
          <w:rFonts w:ascii="Arial" w:eastAsia="Arial" w:hAnsi="Arial" w:cs="Arial"/>
          <w:sz w:val="24"/>
          <w:szCs w:val="24"/>
          <w:vertAlign w:val="superscript"/>
        </w:rPr>
        <w:footnoteReference w:id="28"/>
      </w:r>
      <w:r>
        <w:rPr>
          <w:rFonts w:ascii="Arial" w:eastAsia="Arial" w:hAnsi="Arial" w:cs="Arial"/>
          <w:sz w:val="24"/>
          <w:szCs w:val="24"/>
        </w:rPr>
        <w:t>.</w:t>
      </w:r>
    </w:p>
    <w:p w:rsidR="00DD68A6" w:rsidRDefault="00EF78F0">
      <w:pPr>
        <w:numPr>
          <w:ilvl w:val="0"/>
          <w:numId w:val="1"/>
        </w:numPr>
        <w:spacing w:after="200" w:line="276" w:lineRule="auto"/>
        <w:jc w:val="both"/>
        <w:rPr>
          <w:rFonts w:ascii="Arial" w:eastAsia="Arial" w:hAnsi="Arial" w:cs="Arial"/>
          <w:sz w:val="24"/>
          <w:szCs w:val="24"/>
        </w:rPr>
      </w:pPr>
      <w:r>
        <w:rPr>
          <w:rFonts w:ascii="Arial" w:eastAsia="Arial" w:hAnsi="Arial" w:cs="Arial"/>
          <w:sz w:val="24"/>
          <w:szCs w:val="24"/>
        </w:rPr>
        <w:t>El registro de casos no ha disminuido durante el presente año, siendo que hasta julio d</w:t>
      </w:r>
      <w:r>
        <w:rPr>
          <w:rFonts w:ascii="Arial" w:eastAsia="Arial" w:hAnsi="Arial" w:cs="Arial"/>
          <w:sz w:val="24"/>
          <w:szCs w:val="24"/>
        </w:rPr>
        <w:t>el presente año se ha registrado un índice de muertes violentas es más alto de lo normal, en 2020 han asesinado a ocho personas LGTBI,  en Puerto Barrios, Izabal, durante el confinamiento han asesinado a cuatro mujeres trans en horarios de toque de queda y</w:t>
      </w:r>
      <w:r>
        <w:rPr>
          <w:rFonts w:ascii="Arial" w:eastAsia="Arial" w:hAnsi="Arial" w:cs="Arial"/>
          <w:sz w:val="24"/>
          <w:szCs w:val="24"/>
        </w:rPr>
        <w:t xml:space="preserve"> con patrones de violencia que recuerdan las ejecuciones extraoficiales</w:t>
      </w:r>
      <w:r>
        <w:rPr>
          <w:rFonts w:ascii="Arial" w:eastAsia="Arial" w:hAnsi="Arial" w:cs="Arial"/>
          <w:sz w:val="24"/>
          <w:szCs w:val="24"/>
          <w:vertAlign w:val="superscript"/>
        </w:rPr>
        <w:footnoteReference w:id="29"/>
      </w:r>
      <w:r>
        <w:rPr>
          <w:rFonts w:ascii="Arial" w:eastAsia="Arial" w:hAnsi="Arial" w:cs="Arial"/>
          <w:sz w:val="24"/>
          <w:szCs w:val="24"/>
        </w:rPr>
        <w:t>. Se puede mencionar la muerte del activista Larry Stuard Lara, muerte que catalogaron como “delincuencia común”</w:t>
      </w:r>
      <w:r>
        <w:rPr>
          <w:rFonts w:ascii="Arial" w:eastAsia="Arial" w:hAnsi="Arial" w:cs="Arial"/>
          <w:sz w:val="24"/>
          <w:szCs w:val="24"/>
          <w:vertAlign w:val="superscript"/>
        </w:rPr>
        <w:footnoteReference w:id="30"/>
      </w:r>
      <w:r>
        <w:rPr>
          <w:rFonts w:ascii="Arial" w:eastAsia="Arial" w:hAnsi="Arial" w:cs="Arial"/>
          <w:sz w:val="24"/>
          <w:szCs w:val="24"/>
        </w:rPr>
        <w:t xml:space="preserve">, Luisa “Wicha” Sandoval, quien había sido reportada como desaparecida </w:t>
      </w:r>
      <w:r>
        <w:rPr>
          <w:rFonts w:ascii="Arial" w:eastAsia="Arial" w:hAnsi="Arial" w:cs="Arial"/>
          <w:sz w:val="24"/>
          <w:szCs w:val="24"/>
        </w:rPr>
        <w:t>y que luego fue encontrada mutilada</w:t>
      </w:r>
      <w:r>
        <w:rPr>
          <w:rFonts w:ascii="Arial" w:eastAsia="Arial" w:hAnsi="Arial" w:cs="Arial"/>
          <w:sz w:val="24"/>
          <w:szCs w:val="24"/>
          <w:vertAlign w:val="superscript"/>
        </w:rPr>
        <w:footnoteReference w:id="31"/>
      </w:r>
      <w:r>
        <w:rPr>
          <w:rFonts w:ascii="Arial" w:eastAsia="Arial" w:hAnsi="Arial" w:cs="Arial"/>
          <w:sz w:val="24"/>
          <w:szCs w:val="24"/>
        </w:rPr>
        <w:t>, Stephanie Cardona Matías, a quien aparentemente mataron con arma blanca</w:t>
      </w:r>
      <w:r>
        <w:rPr>
          <w:rFonts w:ascii="Arial" w:eastAsia="Arial" w:hAnsi="Arial" w:cs="Arial"/>
          <w:sz w:val="24"/>
          <w:szCs w:val="24"/>
          <w:vertAlign w:val="superscript"/>
        </w:rPr>
        <w:footnoteReference w:id="32"/>
      </w:r>
      <w:r>
        <w:rPr>
          <w:rFonts w:ascii="Arial" w:eastAsia="Arial" w:hAnsi="Arial" w:cs="Arial"/>
          <w:sz w:val="24"/>
          <w:szCs w:val="24"/>
        </w:rPr>
        <w:t xml:space="preserve"> y Mafer “Marbella” Santos</w:t>
      </w:r>
      <w:r>
        <w:rPr>
          <w:rFonts w:ascii="Arial" w:eastAsia="Arial" w:hAnsi="Arial" w:cs="Arial"/>
          <w:sz w:val="24"/>
          <w:szCs w:val="24"/>
          <w:vertAlign w:val="superscript"/>
        </w:rPr>
        <w:footnoteReference w:id="33"/>
      </w:r>
      <w:r>
        <w:rPr>
          <w:rFonts w:ascii="Arial" w:eastAsia="Arial" w:hAnsi="Arial" w:cs="Arial"/>
          <w:sz w:val="24"/>
          <w:szCs w:val="24"/>
        </w:rPr>
        <w:t>. Así como el asesinato de una pareja de hombres  gays registrados en los departamentos de Izabal y Escuintla</w:t>
      </w:r>
      <w:r>
        <w:rPr>
          <w:rFonts w:ascii="Arial" w:eastAsia="Arial" w:hAnsi="Arial" w:cs="Arial"/>
          <w:sz w:val="24"/>
          <w:szCs w:val="24"/>
          <w:vertAlign w:val="superscript"/>
        </w:rPr>
        <w:footnoteReference w:id="34"/>
      </w:r>
      <w:r>
        <w:rPr>
          <w:rFonts w:ascii="Arial" w:eastAsia="Arial" w:hAnsi="Arial" w:cs="Arial"/>
          <w:sz w:val="24"/>
          <w:szCs w:val="24"/>
        </w:rPr>
        <w:t>. Recient</w:t>
      </w:r>
      <w:r>
        <w:rPr>
          <w:rFonts w:ascii="Arial" w:eastAsia="Arial" w:hAnsi="Arial" w:cs="Arial"/>
          <w:sz w:val="24"/>
          <w:szCs w:val="24"/>
        </w:rPr>
        <w:t>emente (julio 2020), se reportó el ataque que sufrió  Nataly Ramos, mujer trans, por un guardia de seguridad privada en el municipio de Amatitlán</w:t>
      </w:r>
      <w:r>
        <w:rPr>
          <w:rFonts w:ascii="Arial" w:eastAsia="Arial" w:hAnsi="Arial" w:cs="Arial"/>
          <w:sz w:val="24"/>
          <w:szCs w:val="24"/>
          <w:vertAlign w:val="superscript"/>
        </w:rPr>
        <w:footnoteReference w:id="35"/>
      </w:r>
      <w:r>
        <w:rPr>
          <w:rFonts w:ascii="Arial" w:eastAsia="Arial" w:hAnsi="Arial" w:cs="Arial"/>
          <w:sz w:val="24"/>
          <w:szCs w:val="24"/>
        </w:rPr>
        <w:t xml:space="preserve">, así como el lamentable caso en el que mataron a una mujer transexual salvadoreña que había solicitado asilo </w:t>
      </w:r>
      <w:r>
        <w:rPr>
          <w:rFonts w:ascii="Arial" w:eastAsia="Arial" w:hAnsi="Arial" w:cs="Arial"/>
          <w:sz w:val="24"/>
          <w:szCs w:val="24"/>
        </w:rPr>
        <w:t>en Guatemala a principios del mes de Agosto</w:t>
      </w:r>
      <w:r>
        <w:rPr>
          <w:rFonts w:ascii="Arial" w:eastAsia="Arial" w:hAnsi="Arial" w:cs="Arial"/>
          <w:sz w:val="24"/>
          <w:szCs w:val="24"/>
          <w:vertAlign w:val="superscript"/>
        </w:rPr>
        <w:footnoteReference w:id="36"/>
      </w:r>
      <w:r>
        <w:rPr>
          <w:rFonts w:ascii="Arial" w:eastAsia="Arial" w:hAnsi="Arial" w:cs="Arial"/>
          <w:sz w:val="24"/>
          <w:szCs w:val="24"/>
        </w:rPr>
        <w:t>, así como a Gustavo Adolfo Frías Gática, un hombre gay, quien fue ultimado a tiros, en la Chinautla del Departamento de Guatemala.</w:t>
      </w:r>
      <w:r>
        <w:rPr>
          <w:rFonts w:ascii="Arial" w:eastAsia="Arial" w:hAnsi="Arial" w:cs="Arial"/>
          <w:sz w:val="24"/>
          <w:szCs w:val="24"/>
          <w:vertAlign w:val="superscript"/>
        </w:rPr>
        <w:footnoteReference w:id="37"/>
      </w:r>
    </w:p>
    <w:p w:rsidR="00DD68A6" w:rsidRDefault="00EF78F0">
      <w:pPr>
        <w:numPr>
          <w:ilvl w:val="0"/>
          <w:numId w:val="1"/>
        </w:numPr>
        <w:spacing w:after="200" w:line="276" w:lineRule="auto"/>
        <w:jc w:val="both"/>
        <w:rPr>
          <w:rFonts w:ascii="Arial" w:eastAsia="Arial" w:hAnsi="Arial" w:cs="Arial"/>
          <w:sz w:val="24"/>
          <w:szCs w:val="24"/>
        </w:rPr>
      </w:pPr>
      <w:r>
        <w:rPr>
          <w:rFonts w:ascii="Arial" w:eastAsia="Arial" w:hAnsi="Arial" w:cs="Arial"/>
          <w:sz w:val="24"/>
          <w:szCs w:val="24"/>
        </w:rPr>
        <w:t>El Colectivo Trans-formación también da seguimiento al caso del asesinato de Ha</w:t>
      </w:r>
      <w:r>
        <w:rPr>
          <w:rFonts w:ascii="Arial" w:eastAsia="Arial" w:hAnsi="Arial" w:cs="Arial"/>
          <w:sz w:val="24"/>
          <w:szCs w:val="24"/>
        </w:rPr>
        <w:t>ns Acevedo</w:t>
      </w:r>
      <w:r>
        <w:rPr>
          <w:rFonts w:ascii="Arial" w:eastAsia="Arial" w:hAnsi="Arial" w:cs="Arial"/>
          <w:sz w:val="24"/>
          <w:szCs w:val="24"/>
          <w:vertAlign w:val="superscript"/>
        </w:rPr>
        <w:footnoteReference w:id="38"/>
      </w:r>
      <w:r>
        <w:rPr>
          <w:rFonts w:ascii="Arial" w:eastAsia="Arial" w:hAnsi="Arial" w:cs="Arial"/>
          <w:sz w:val="24"/>
          <w:szCs w:val="24"/>
        </w:rPr>
        <w:t>, quien fuera miembro de este colectivo. El caso de Hans fue reportado en enero de este año. Hans fue asesinado aparentemente por extorsiones o violencia de pandillas. Este caso ejemplifica la zozobra en la que queda la población LGBTI sin leyes</w:t>
      </w:r>
      <w:r>
        <w:rPr>
          <w:rFonts w:ascii="Arial" w:eastAsia="Arial" w:hAnsi="Arial" w:cs="Arial"/>
          <w:sz w:val="24"/>
          <w:szCs w:val="24"/>
        </w:rPr>
        <w:t xml:space="preserve"> ni apoyo institucional pues su identidad de género no fue reconocida tras su fallecimiento y en el Ministerio Público no están tomando en cuenta este dato para la investigación. El abandono institucional también ha afectado a su pareja de 15 años quien no</w:t>
      </w:r>
      <w:r>
        <w:rPr>
          <w:rFonts w:ascii="Arial" w:eastAsia="Arial" w:hAnsi="Arial" w:cs="Arial"/>
          <w:sz w:val="24"/>
          <w:szCs w:val="24"/>
        </w:rPr>
        <w:t xml:space="preserve"> tiene protecciones legales ni capacidad de actuar ya que su unión no es reconocida, ni tampoco sus derechos patrimoniales. </w:t>
      </w:r>
    </w:p>
    <w:p w:rsidR="00DD68A6" w:rsidRDefault="00EF78F0">
      <w:pPr>
        <w:numPr>
          <w:ilvl w:val="0"/>
          <w:numId w:val="1"/>
        </w:numPr>
        <w:spacing w:after="200" w:line="276" w:lineRule="auto"/>
        <w:jc w:val="both"/>
        <w:rPr>
          <w:rFonts w:ascii="Arial" w:eastAsia="Arial" w:hAnsi="Arial" w:cs="Arial"/>
          <w:sz w:val="24"/>
          <w:szCs w:val="24"/>
        </w:rPr>
      </w:pPr>
      <w:r>
        <w:rPr>
          <w:rFonts w:ascii="Arial" w:eastAsia="Arial" w:hAnsi="Arial" w:cs="Arial"/>
          <w:sz w:val="24"/>
          <w:szCs w:val="24"/>
        </w:rPr>
        <w:t xml:space="preserve">Lo anterior, sin considerar las condiciones de vulnerabilidad en la que se encuentran actualmente personas LGBTI ante la situación </w:t>
      </w:r>
      <w:r>
        <w:rPr>
          <w:rFonts w:ascii="Arial" w:eastAsia="Arial" w:hAnsi="Arial" w:cs="Arial"/>
          <w:sz w:val="24"/>
          <w:szCs w:val="24"/>
        </w:rPr>
        <w:t>de la pandemia, especialmente para mujeres lesbianas y personas trans, de acuerdo con Andrea Díaz de la organización Vidas Paralelas</w:t>
      </w:r>
      <w:r>
        <w:rPr>
          <w:rFonts w:ascii="Arial" w:eastAsia="Arial" w:hAnsi="Arial" w:cs="Arial"/>
          <w:sz w:val="24"/>
          <w:szCs w:val="24"/>
          <w:vertAlign w:val="superscript"/>
        </w:rPr>
        <w:footnoteReference w:id="39"/>
      </w:r>
      <w:r>
        <w:rPr>
          <w:rFonts w:ascii="Arial" w:eastAsia="Arial" w:hAnsi="Arial" w:cs="Arial"/>
          <w:sz w:val="24"/>
          <w:szCs w:val="24"/>
        </w:rPr>
        <w:t>.</w:t>
      </w:r>
    </w:p>
    <w:p w:rsidR="00DD68A6" w:rsidRDefault="00EF78F0">
      <w:pPr>
        <w:numPr>
          <w:ilvl w:val="0"/>
          <w:numId w:val="1"/>
        </w:numPr>
        <w:spacing w:after="200" w:line="276" w:lineRule="auto"/>
        <w:jc w:val="both"/>
        <w:rPr>
          <w:rFonts w:ascii="Arial" w:eastAsia="Arial" w:hAnsi="Arial" w:cs="Arial"/>
          <w:sz w:val="24"/>
          <w:szCs w:val="24"/>
        </w:rPr>
      </w:pPr>
      <w:r>
        <w:rPr>
          <w:rFonts w:ascii="Arial" w:eastAsia="Arial" w:hAnsi="Arial" w:cs="Arial"/>
          <w:sz w:val="24"/>
          <w:szCs w:val="24"/>
        </w:rPr>
        <w:t>Los casos anteriores muestran la urgencia de aprobar una Ley de Identidad de Género, Protocolos de investigación y sanció</w:t>
      </w:r>
      <w:r>
        <w:rPr>
          <w:rFonts w:ascii="Arial" w:eastAsia="Arial" w:hAnsi="Arial" w:cs="Arial"/>
          <w:sz w:val="24"/>
          <w:szCs w:val="24"/>
        </w:rPr>
        <w:t>n de crímenes por prejuicio y la urgencia de reconocer los derechos patrimoniales de personas LGBTI.</w:t>
      </w:r>
    </w:p>
    <w:p w:rsidR="00DD68A6" w:rsidRDefault="00EF78F0">
      <w:pPr>
        <w:spacing w:after="200" w:line="276" w:lineRule="auto"/>
        <w:rPr>
          <w:rFonts w:ascii="Arial" w:eastAsia="Arial" w:hAnsi="Arial" w:cs="Arial"/>
          <w:sz w:val="24"/>
          <w:szCs w:val="24"/>
        </w:rPr>
      </w:pPr>
      <w:r>
        <w:rPr>
          <w:rFonts w:ascii="Arial" w:eastAsia="Arial" w:hAnsi="Arial" w:cs="Arial"/>
          <w:b/>
          <w:sz w:val="24"/>
          <w:szCs w:val="24"/>
        </w:rPr>
        <w:t>Preguntas sugeridas</w:t>
      </w:r>
    </w:p>
    <w:p w:rsidR="00DD68A6" w:rsidRDefault="00EF78F0">
      <w:pPr>
        <w:numPr>
          <w:ilvl w:val="0"/>
          <w:numId w:val="1"/>
        </w:numPr>
        <w:spacing w:after="200" w:line="276" w:lineRule="auto"/>
        <w:jc w:val="both"/>
        <w:rPr>
          <w:rFonts w:ascii="Arial" w:eastAsia="Arial" w:hAnsi="Arial" w:cs="Arial"/>
          <w:sz w:val="24"/>
          <w:szCs w:val="24"/>
        </w:rPr>
      </w:pPr>
      <w:r>
        <w:rPr>
          <w:rFonts w:ascii="Arial" w:eastAsia="Arial" w:hAnsi="Arial" w:cs="Arial"/>
          <w:sz w:val="24"/>
          <w:szCs w:val="24"/>
        </w:rPr>
        <w:t>¿Qué avances se ha tenido en la tipificación, persecución y sanción de los crímenes motivados por el prejuicio hacia la orientación sex</w:t>
      </w:r>
      <w:r>
        <w:rPr>
          <w:rFonts w:ascii="Arial" w:eastAsia="Arial" w:hAnsi="Arial" w:cs="Arial"/>
          <w:sz w:val="24"/>
          <w:szCs w:val="24"/>
        </w:rPr>
        <w:t xml:space="preserve">ual e identidad de género de las personas LGBTI? ¿Qué avances existen en el reconocimiento en el código penal de este tipo de violencia y discriminación? </w:t>
      </w:r>
    </w:p>
    <w:p w:rsidR="00DD68A6" w:rsidRDefault="00EF78F0">
      <w:pPr>
        <w:numPr>
          <w:ilvl w:val="0"/>
          <w:numId w:val="1"/>
        </w:numPr>
        <w:spacing w:after="200" w:line="276" w:lineRule="auto"/>
        <w:jc w:val="both"/>
        <w:rPr>
          <w:rFonts w:ascii="Arial" w:eastAsia="Arial" w:hAnsi="Arial" w:cs="Arial"/>
          <w:sz w:val="24"/>
          <w:szCs w:val="24"/>
        </w:rPr>
      </w:pPr>
      <w:r>
        <w:rPr>
          <w:rFonts w:ascii="Arial" w:eastAsia="Arial" w:hAnsi="Arial" w:cs="Arial"/>
          <w:sz w:val="24"/>
          <w:szCs w:val="24"/>
        </w:rPr>
        <w:t xml:space="preserve">Sírvase de proporcionar información sobre el avance de la implementación y, si los hubiera, datos sobre las personas trans atendidas en el sistema de salud a raíz de la Estrategia de Salud Diferenciada e Integral para Personas Trans. </w:t>
      </w:r>
    </w:p>
    <w:p w:rsidR="00DD68A6" w:rsidRDefault="00EF78F0">
      <w:pPr>
        <w:numPr>
          <w:ilvl w:val="0"/>
          <w:numId w:val="1"/>
        </w:numPr>
        <w:spacing w:after="200" w:line="276" w:lineRule="auto"/>
        <w:jc w:val="both"/>
        <w:rPr>
          <w:rFonts w:ascii="Arial" w:eastAsia="Arial" w:hAnsi="Arial" w:cs="Arial"/>
          <w:sz w:val="24"/>
          <w:szCs w:val="24"/>
        </w:rPr>
      </w:pPr>
      <w:r>
        <w:rPr>
          <w:rFonts w:ascii="Arial" w:eastAsia="Arial" w:hAnsi="Arial" w:cs="Arial"/>
          <w:sz w:val="24"/>
          <w:szCs w:val="24"/>
        </w:rPr>
        <w:t>¿Qué sucederá con las</w:t>
      </w:r>
      <w:r>
        <w:rPr>
          <w:rFonts w:ascii="Arial" w:eastAsia="Arial" w:hAnsi="Arial" w:cs="Arial"/>
          <w:sz w:val="24"/>
          <w:szCs w:val="24"/>
        </w:rPr>
        <w:t xml:space="preserve"> políticas públicas pendientes de aprobación e implementación en la extinta COPREDE? ¿Particularmente, qué avances podríamos destacar en la implementación de la política pública LGBTI? </w:t>
      </w:r>
    </w:p>
    <w:p w:rsidR="00DD68A6" w:rsidRDefault="00EF78F0">
      <w:pPr>
        <w:numPr>
          <w:ilvl w:val="0"/>
          <w:numId w:val="1"/>
        </w:numPr>
        <w:spacing w:after="200" w:line="276" w:lineRule="auto"/>
        <w:jc w:val="both"/>
        <w:rPr>
          <w:rFonts w:ascii="Arial" w:eastAsia="Arial" w:hAnsi="Arial" w:cs="Arial"/>
          <w:sz w:val="24"/>
          <w:szCs w:val="24"/>
        </w:rPr>
      </w:pPr>
      <w:r>
        <w:rPr>
          <w:rFonts w:ascii="Arial" w:eastAsia="Arial" w:hAnsi="Arial" w:cs="Arial"/>
          <w:sz w:val="24"/>
          <w:szCs w:val="24"/>
        </w:rPr>
        <w:t xml:space="preserve">Dado el contexto electoral y político de Guatemala sobre las personas </w:t>
      </w:r>
      <w:r>
        <w:rPr>
          <w:rFonts w:ascii="Arial" w:eastAsia="Arial" w:hAnsi="Arial" w:cs="Arial"/>
          <w:sz w:val="24"/>
          <w:szCs w:val="24"/>
        </w:rPr>
        <w:t xml:space="preserve">LGBTI, ¿qué avances se tienen para la sensibilización, visibilización y sanción del discurso de odio y prejuicio motivado por la orientación e identidad de género de las personas LGBTI? </w:t>
      </w:r>
    </w:p>
    <w:p w:rsidR="00DD68A6" w:rsidRDefault="00EF78F0">
      <w:pPr>
        <w:numPr>
          <w:ilvl w:val="0"/>
          <w:numId w:val="1"/>
        </w:numPr>
        <w:spacing w:after="200" w:line="276" w:lineRule="auto"/>
        <w:jc w:val="both"/>
        <w:rPr>
          <w:rFonts w:ascii="Arial" w:eastAsia="Arial" w:hAnsi="Arial" w:cs="Arial"/>
          <w:sz w:val="24"/>
          <w:szCs w:val="24"/>
        </w:rPr>
      </w:pPr>
      <w:r>
        <w:rPr>
          <w:rFonts w:ascii="Arial" w:eastAsia="Arial" w:hAnsi="Arial" w:cs="Arial"/>
          <w:sz w:val="24"/>
          <w:szCs w:val="24"/>
        </w:rPr>
        <w:t xml:space="preserve">¿Cuál es el estado de la iniciativa de Ley 5395, Ley de Identidad de </w:t>
      </w:r>
      <w:r>
        <w:rPr>
          <w:rFonts w:ascii="Arial" w:eastAsia="Arial" w:hAnsi="Arial" w:cs="Arial"/>
          <w:sz w:val="24"/>
          <w:szCs w:val="24"/>
        </w:rPr>
        <w:t xml:space="preserve">Género para el reconocimiento de las personas trans en Guatemala? </w:t>
      </w:r>
    </w:p>
    <w:p w:rsidR="00DD68A6" w:rsidRDefault="00EF78F0">
      <w:pPr>
        <w:numPr>
          <w:ilvl w:val="0"/>
          <w:numId w:val="1"/>
        </w:numPr>
        <w:spacing w:after="200" w:line="276" w:lineRule="auto"/>
        <w:jc w:val="both"/>
        <w:rPr>
          <w:rFonts w:ascii="Arial" w:eastAsia="Arial" w:hAnsi="Arial" w:cs="Arial"/>
          <w:sz w:val="24"/>
          <w:szCs w:val="24"/>
        </w:rPr>
      </w:pPr>
      <w:r>
        <w:rPr>
          <w:rFonts w:ascii="Arial" w:eastAsia="Arial" w:hAnsi="Arial" w:cs="Arial"/>
          <w:sz w:val="24"/>
          <w:szCs w:val="24"/>
        </w:rPr>
        <w:t>¿De qué forma el Gobierno de Guatemala está apoyando la labor en derechos humanos del Procurador Jordán Rodas y la gestión de la Procuraduría de la Diversidad Sexual como única entidad Esta</w:t>
      </w:r>
      <w:r>
        <w:rPr>
          <w:rFonts w:ascii="Arial" w:eastAsia="Arial" w:hAnsi="Arial" w:cs="Arial"/>
          <w:sz w:val="24"/>
          <w:szCs w:val="24"/>
        </w:rPr>
        <w:t xml:space="preserve">tal específica para las personas LGBTI? </w:t>
      </w:r>
    </w:p>
    <w:p w:rsidR="00DD68A6" w:rsidRDefault="00EF78F0">
      <w:pPr>
        <w:spacing w:after="200" w:line="276" w:lineRule="auto"/>
        <w:jc w:val="both"/>
        <w:rPr>
          <w:rFonts w:ascii="Arial" w:eastAsia="Arial" w:hAnsi="Arial" w:cs="Arial"/>
          <w:b/>
          <w:sz w:val="24"/>
          <w:szCs w:val="24"/>
        </w:rPr>
      </w:pPr>
      <w:r>
        <w:rPr>
          <w:rFonts w:ascii="Arial" w:eastAsia="Arial" w:hAnsi="Arial" w:cs="Arial"/>
          <w:b/>
          <w:sz w:val="24"/>
          <w:szCs w:val="24"/>
        </w:rPr>
        <w:t>Recomendaciones</w:t>
      </w:r>
    </w:p>
    <w:p w:rsidR="00DD68A6" w:rsidRDefault="00EF78F0">
      <w:pPr>
        <w:numPr>
          <w:ilvl w:val="0"/>
          <w:numId w:val="1"/>
        </w:numPr>
        <w:spacing w:after="0" w:line="276" w:lineRule="auto"/>
        <w:jc w:val="both"/>
        <w:rPr>
          <w:rFonts w:ascii="Arial" w:eastAsia="Arial" w:hAnsi="Arial" w:cs="Arial"/>
          <w:sz w:val="24"/>
          <w:szCs w:val="24"/>
        </w:rPr>
      </w:pPr>
      <w:r>
        <w:rPr>
          <w:rFonts w:ascii="Arial" w:eastAsia="Arial" w:hAnsi="Arial" w:cs="Arial"/>
          <w:sz w:val="24"/>
          <w:szCs w:val="24"/>
        </w:rPr>
        <w:t xml:space="preserve">Que el Congreso de la República de Guatemala se abstenga de aprobar la iniciativa de ley 5272 pues representa un retroceso grave en el reconocimiento de los derechos de las mujeres y las personas LGBTI. </w:t>
      </w:r>
      <w:r>
        <w:rPr>
          <w:rFonts w:ascii="Arial" w:eastAsia="Arial" w:hAnsi="Arial" w:cs="Arial"/>
          <w:sz w:val="24"/>
          <w:szCs w:val="24"/>
        </w:rPr>
        <w:br/>
      </w:r>
    </w:p>
    <w:p w:rsidR="00DD68A6" w:rsidRDefault="00EF78F0">
      <w:pPr>
        <w:numPr>
          <w:ilvl w:val="0"/>
          <w:numId w:val="1"/>
        </w:numPr>
        <w:spacing w:after="0" w:line="276" w:lineRule="auto"/>
        <w:jc w:val="both"/>
        <w:rPr>
          <w:rFonts w:ascii="Arial" w:eastAsia="Arial" w:hAnsi="Arial" w:cs="Arial"/>
          <w:sz w:val="24"/>
          <w:szCs w:val="24"/>
        </w:rPr>
      </w:pPr>
      <w:r>
        <w:rPr>
          <w:rFonts w:ascii="Arial" w:eastAsia="Arial" w:hAnsi="Arial" w:cs="Arial"/>
          <w:sz w:val="24"/>
          <w:szCs w:val="24"/>
        </w:rPr>
        <w:t>Que los diputados, se abstengan de emitir discursos</w:t>
      </w:r>
      <w:r>
        <w:rPr>
          <w:rFonts w:ascii="Arial" w:eastAsia="Arial" w:hAnsi="Arial" w:cs="Arial"/>
          <w:sz w:val="24"/>
          <w:szCs w:val="24"/>
        </w:rPr>
        <w:t xml:space="preserve"> promueven un clima de violencia y discriminación en contra de las personas LGBTI. </w:t>
      </w:r>
      <w:r>
        <w:rPr>
          <w:rFonts w:ascii="Arial" w:eastAsia="Arial" w:hAnsi="Arial" w:cs="Arial"/>
          <w:sz w:val="24"/>
          <w:szCs w:val="24"/>
        </w:rPr>
        <w:br/>
      </w:r>
    </w:p>
    <w:p w:rsidR="00DD68A6" w:rsidRDefault="00EF78F0">
      <w:pPr>
        <w:numPr>
          <w:ilvl w:val="0"/>
          <w:numId w:val="1"/>
        </w:numPr>
        <w:spacing w:after="0" w:line="276" w:lineRule="auto"/>
        <w:jc w:val="both"/>
        <w:rPr>
          <w:rFonts w:ascii="Arial" w:eastAsia="Arial" w:hAnsi="Arial" w:cs="Arial"/>
          <w:sz w:val="24"/>
          <w:szCs w:val="24"/>
        </w:rPr>
      </w:pPr>
      <w:r>
        <w:rPr>
          <w:rFonts w:ascii="Arial" w:eastAsia="Arial" w:hAnsi="Arial" w:cs="Arial"/>
          <w:sz w:val="24"/>
          <w:szCs w:val="24"/>
        </w:rPr>
        <w:t>Que se apruebe el paquete de leyes como la Ley de Identidad de Género, las Reformas al Código Penal para el reconocimiento de los crímenes por prejuicio basado en identida</w:t>
      </w:r>
      <w:r>
        <w:rPr>
          <w:rFonts w:ascii="Arial" w:eastAsia="Arial" w:hAnsi="Arial" w:cs="Arial"/>
          <w:sz w:val="24"/>
          <w:szCs w:val="24"/>
        </w:rPr>
        <w:t xml:space="preserve">d y expresión de género. </w:t>
      </w:r>
      <w:r>
        <w:rPr>
          <w:rFonts w:ascii="Arial" w:eastAsia="Arial" w:hAnsi="Arial" w:cs="Arial"/>
          <w:sz w:val="24"/>
          <w:szCs w:val="24"/>
        </w:rPr>
        <w:br/>
      </w:r>
    </w:p>
    <w:p w:rsidR="00DD68A6" w:rsidRDefault="00EF78F0">
      <w:pPr>
        <w:numPr>
          <w:ilvl w:val="0"/>
          <w:numId w:val="1"/>
        </w:numPr>
        <w:spacing w:after="0" w:line="276" w:lineRule="auto"/>
        <w:jc w:val="both"/>
        <w:rPr>
          <w:rFonts w:ascii="Arial" w:eastAsia="Arial" w:hAnsi="Arial" w:cs="Arial"/>
          <w:sz w:val="24"/>
          <w:szCs w:val="24"/>
        </w:rPr>
      </w:pPr>
      <w:r>
        <w:rPr>
          <w:rFonts w:ascii="Arial" w:eastAsia="Arial" w:hAnsi="Arial" w:cs="Arial"/>
          <w:sz w:val="24"/>
          <w:szCs w:val="24"/>
        </w:rPr>
        <w:t xml:space="preserve">Que el Ministerio de Salud Pública y Asistencia Social retome la implementación y trabajo para la Estrategia de Salud Diferenciada e Integral de las Personas Trans y que dicha implementación cuente con datos de monitoreo. </w:t>
      </w:r>
      <w:r>
        <w:rPr>
          <w:rFonts w:ascii="Arial" w:eastAsia="Arial" w:hAnsi="Arial" w:cs="Arial"/>
          <w:sz w:val="24"/>
          <w:szCs w:val="24"/>
        </w:rPr>
        <w:br/>
      </w:r>
    </w:p>
    <w:p w:rsidR="00DD68A6" w:rsidRDefault="00EF78F0">
      <w:pPr>
        <w:numPr>
          <w:ilvl w:val="0"/>
          <w:numId w:val="1"/>
        </w:numPr>
        <w:spacing w:after="200" w:line="276" w:lineRule="auto"/>
        <w:jc w:val="both"/>
        <w:rPr>
          <w:rFonts w:ascii="Arial" w:eastAsia="Arial" w:hAnsi="Arial" w:cs="Arial"/>
          <w:sz w:val="24"/>
          <w:szCs w:val="24"/>
        </w:rPr>
      </w:pPr>
      <w:r>
        <w:rPr>
          <w:rFonts w:ascii="Arial" w:eastAsia="Arial" w:hAnsi="Arial" w:cs="Arial"/>
          <w:sz w:val="24"/>
          <w:szCs w:val="24"/>
        </w:rPr>
        <w:t>Que e</w:t>
      </w:r>
      <w:r>
        <w:rPr>
          <w:rFonts w:ascii="Arial" w:eastAsia="Arial" w:hAnsi="Arial" w:cs="Arial"/>
          <w:sz w:val="24"/>
          <w:szCs w:val="24"/>
        </w:rPr>
        <w:t xml:space="preserve">l Estado de Guatemala actualice el Currículum Nacional Base con contenidos sensibles a las identidades LGBTI y los derechos sexuales y reproductivos. </w:t>
      </w:r>
    </w:p>
    <w:p w:rsidR="00DD68A6" w:rsidRDefault="00DD68A6"/>
    <w:sectPr w:rsidR="00DD68A6">
      <w:headerReference w:type="default" r:id="rId12"/>
      <w:footerReference w:type="default" r:id="rId13"/>
      <w:headerReference w:type="first" r:id="rId14"/>
      <w:footerReference w:type="first" r:id="rId15"/>
      <w:pgSz w:w="12240" w:h="15840"/>
      <w:pgMar w:top="1417" w:right="1701" w:bottom="1417"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F78F0">
      <w:pPr>
        <w:spacing w:after="0" w:line="240" w:lineRule="auto"/>
      </w:pPr>
      <w:r>
        <w:separator/>
      </w:r>
    </w:p>
  </w:endnote>
  <w:endnote w:type="continuationSeparator" w:id="0">
    <w:p w:rsidR="00000000" w:rsidRDefault="00EF7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8A6" w:rsidRDefault="00EF78F0">
    <w:pPr>
      <w:jc w:val="center"/>
    </w:pPr>
    <w:r>
      <w:fldChar w:fldCharType="begin"/>
    </w:r>
    <w:r>
      <w:instrText>PAGE</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8A6" w:rsidRDefault="00EF78F0">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F78F0">
      <w:pPr>
        <w:spacing w:after="0" w:line="240" w:lineRule="auto"/>
      </w:pPr>
      <w:r>
        <w:separator/>
      </w:r>
    </w:p>
  </w:footnote>
  <w:footnote w:type="continuationSeparator" w:id="0">
    <w:p w:rsidR="00000000" w:rsidRDefault="00EF78F0">
      <w:pPr>
        <w:spacing w:after="0" w:line="240" w:lineRule="auto"/>
      </w:pPr>
      <w:r>
        <w:continuationSeparator/>
      </w:r>
    </w:p>
  </w:footnote>
  <w:footnote w:id="1">
    <w:p w:rsidR="00DD68A6" w:rsidRDefault="00EF78F0">
      <w:pPr>
        <w:spacing w:after="0" w:line="240" w:lineRule="auto"/>
        <w:rPr>
          <w:sz w:val="20"/>
          <w:szCs w:val="20"/>
        </w:rPr>
      </w:pPr>
      <w:r>
        <w:rPr>
          <w:vertAlign w:val="superscript"/>
        </w:rPr>
        <w:footnoteRef/>
      </w:r>
      <w:r>
        <w:rPr>
          <w:sz w:val="20"/>
          <w:szCs w:val="20"/>
        </w:rPr>
        <w:t xml:space="preserve"> Informe elaborado por Marisa Batres (marisabatres42@gmail.com) y Tristán López (tr.lopezar@gmail.com). Para más información contactar.</w:t>
      </w:r>
    </w:p>
  </w:footnote>
  <w:footnote w:id="2">
    <w:p w:rsidR="00DD68A6" w:rsidRDefault="00EF78F0">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ACNUDH. Comité de Derechos Económicos y Sociales. Consultado el 3 de agosto de 2020. Accesible en: </w:t>
      </w:r>
      <w:hyperlink r:id="rId1">
        <w:r>
          <w:rPr>
            <w:color w:val="0563C1"/>
            <w:sz w:val="20"/>
            <w:szCs w:val="20"/>
            <w:u w:val="single"/>
          </w:rPr>
          <w:t>https://www.ohchr.org/SP/HRBodies/CESCR/Pages/CESCRIndex.aspx</w:t>
        </w:r>
      </w:hyperlink>
      <w:r>
        <w:rPr>
          <w:color w:val="000000"/>
          <w:sz w:val="20"/>
          <w:szCs w:val="20"/>
        </w:rPr>
        <w:t xml:space="preserve"> </w:t>
      </w:r>
    </w:p>
  </w:footnote>
  <w:footnote w:id="3">
    <w:p w:rsidR="00DD68A6" w:rsidRDefault="00EF78F0">
      <w:pPr>
        <w:spacing w:after="0" w:line="240" w:lineRule="auto"/>
        <w:rPr>
          <w:sz w:val="20"/>
          <w:szCs w:val="20"/>
        </w:rPr>
      </w:pPr>
      <w:r>
        <w:rPr>
          <w:vertAlign w:val="superscript"/>
        </w:rPr>
        <w:footnoteRef/>
      </w:r>
      <w:r>
        <w:rPr>
          <w:sz w:val="20"/>
          <w:szCs w:val="20"/>
        </w:rPr>
        <w:t xml:space="preserve"> Más información sobre la ONG Visibles disponible en: </w:t>
      </w:r>
      <w:hyperlink r:id="rId2">
        <w:r>
          <w:rPr>
            <w:color w:val="1155CC"/>
            <w:sz w:val="20"/>
            <w:szCs w:val="20"/>
            <w:u w:val="single"/>
          </w:rPr>
          <w:t>https://visibles.gt/</w:t>
        </w:r>
      </w:hyperlink>
      <w:r>
        <w:rPr>
          <w:sz w:val="20"/>
          <w:szCs w:val="20"/>
        </w:rPr>
        <w:t xml:space="preserve">. Y sobre el Colectivo de Hombres Trans Trans-formación: </w:t>
      </w:r>
      <w:hyperlink r:id="rId3">
        <w:r>
          <w:rPr>
            <w:color w:val="1155CC"/>
            <w:sz w:val="20"/>
            <w:szCs w:val="20"/>
            <w:u w:val="single"/>
          </w:rPr>
          <w:t>https://www.facebook.com/htransgt</w:t>
        </w:r>
      </w:hyperlink>
      <w:r>
        <w:rPr>
          <w:sz w:val="20"/>
          <w:szCs w:val="20"/>
        </w:rPr>
        <w:t xml:space="preserve"> </w:t>
      </w:r>
    </w:p>
  </w:footnote>
  <w:footnote w:id="4">
    <w:p w:rsidR="00DD68A6" w:rsidRDefault="00EF78F0">
      <w:pPr>
        <w:spacing w:after="0" w:line="240" w:lineRule="auto"/>
        <w:rPr>
          <w:sz w:val="20"/>
          <w:szCs w:val="20"/>
        </w:rPr>
      </w:pPr>
      <w:r>
        <w:rPr>
          <w:vertAlign w:val="superscript"/>
        </w:rPr>
        <w:footnoteRef/>
      </w:r>
      <w:r>
        <w:rPr>
          <w:sz w:val="20"/>
          <w:szCs w:val="20"/>
        </w:rPr>
        <w:t xml:space="preserve"> Álvarez, Carlos. “Iniciativas opuestas causan polémica en el Congreso”. en Prensa Libre, 29 de agosto de 2018</w:t>
      </w:r>
      <w:r>
        <w:rPr>
          <w:sz w:val="20"/>
          <w:szCs w:val="20"/>
        </w:rPr>
        <w:t xml:space="preserve">. Consultado el 30 de julio de 2020. Accesible en: </w:t>
      </w:r>
      <w:hyperlink r:id="rId4">
        <w:r>
          <w:rPr>
            <w:color w:val="1155CC"/>
            <w:sz w:val="20"/>
            <w:szCs w:val="20"/>
            <w:u w:val="single"/>
          </w:rPr>
          <w:t>https://www.prensalibre.com/guatemala/politica/iniciativas-opuestas-causan-polemica-en</w:t>
        </w:r>
        <w:r>
          <w:rPr>
            <w:color w:val="1155CC"/>
            <w:sz w:val="20"/>
            <w:szCs w:val="20"/>
            <w:u w:val="single"/>
          </w:rPr>
          <w:t>-el-congreso/</w:t>
        </w:r>
      </w:hyperlink>
      <w:r>
        <w:rPr>
          <w:sz w:val="20"/>
          <w:szCs w:val="20"/>
        </w:rPr>
        <w:t xml:space="preserve"> </w:t>
      </w:r>
    </w:p>
  </w:footnote>
  <w:footnote w:id="5">
    <w:p w:rsidR="00DD68A6" w:rsidRDefault="00EF78F0">
      <w:pPr>
        <w:spacing w:after="0" w:line="240" w:lineRule="auto"/>
        <w:rPr>
          <w:sz w:val="20"/>
          <w:szCs w:val="20"/>
        </w:rPr>
      </w:pPr>
      <w:r>
        <w:rPr>
          <w:vertAlign w:val="superscript"/>
        </w:rPr>
        <w:footnoteRef/>
      </w:r>
      <w:r>
        <w:rPr>
          <w:sz w:val="20"/>
          <w:szCs w:val="20"/>
        </w:rPr>
        <w:t xml:space="preserve"> Currículo Nacional Base Guatemala. “Resultados de la búsqueda LGBT”. Consultado el 30 de julio de 2020. Accesible en: </w:t>
      </w:r>
      <w:hyperlink r:id="rId5">
        <w:r>
          <w:rPr>
            <w:color w:val="1155CC"/>
            <w:sz w:val="20"/>
            <w:szCs w:val="20"/>
            <w:u w:val="single"/>
          </w:rPr>
          <w:t>http</w:t>
        </w:r>
        <w:r>
          <w:rPr>
            <w:color w:val="1155CC"/>
            <w:sz w:val="20"/>
            <w:szCs w:val="20"/>
            <w:u w:val="single"/>
          </w:rPr>
          <w:t>s://cnbguatemala.org/index.php?search=LGBT&amp;title=Especial%3ABuscar&amp;profile=default&amp;fulltext=1</w:t>
        </w:r>
      </w:hyperlink>
      <w:r>
        <w:rPr>
          <w:sz w:val="20"/>
          <w:szCs w:val="20"/>
        </w:rPr>
        <w:t xml:space="preserve"> </w:t>
      </w:r>
    </w:p>
  </w:footnote>
  <w:footnote w:id="6">
    <w:p w:rsidR="00DD68A6" w:rsidRDefault="00EF78F0">
      <w:pPr>
        <w:spacing w:after="0" w:line="240" w:lineRule="auto"/>
        <w:rPr>
          <w:sz w:val="20"/>
          <w:szCs w:val="20"/>
        </w:rPr>
      </w:pPr>
      <w:r>
        <w:rPr>
          <w:vertAlign w:val="superscript"/>
        </w:rPr>
        <w:footnoteRef/>
      </w:r>
      <w:r>
        <w:rPr>
          <w:sz w:val="20"/>
          <w:szCs w:val="20"/>
        </w:rPr>
        <w:t xml:space="preserve"> Pradilla, Alberto. “Morales cierra la puerta a la Cicig y amaga con autogolpe de Estado, con música de mariachis de fondo”. En Nó</w:t>
      </w:r>
      <w:r>
        <w:rPr>
          <w:sz w:val="20"/>
          <w:szCs w:val="20"/>
        </w:rPr>
        <w:t xml:space="preserve">mada, 01 de septiembre de 2018. Accesible en: </w:t>
      </w:r>
      <w:hyperlink r:id="rId6">
        <w:r>
          <w:rPr>
            <w:color w:val="1155CC"/>
            <w:sz w:val="20"/>
            <w:szCs w:val="20"/>
            <w:u w:val="single"/>
          </w:rPr>
          <w:t>https://www.plazapublica.com.gt/content/morales-cierra-la-</w:t>
        </w:r>
        <w:r>
          <w:rPr>
            <w:color w:val="1155CC"/>
            <w:sz w:val="20"/>
            <w:szCs w:val="20"/>
            <w:u w:val="single"/>
          </w:rPr>
          <w:t>puerta-la-cicig-y-amaga-con-autogolpe-de-estado-con-musica-de-mariachis-de</w:t>
        </w:r>
      </w:hyperlink>
      <w:r>
        <w:rPr>
          <w:sz w:val="20"/>
          <w:szCs w:val="20"/>
        </w:rPr>
        <w:t xml:space="preserve"> </w:t>
      </w:r>
    </w:p>
  </w:footnote>
  <w:footnote w:id="7">
    <w:p w:rsidR="00DD68A6" w:rsidRDefault="00EF78F0">
      <w:pPr>
        <w:spacing w:after="0" w:line="240" w:lineRule="auto"/>
        <w:rPr>
          <w:sz w:val="20"/>
          <w:szCs w:val="20"/>
        </w:rPr>
      </w:pPr>
      <w:r>
        <w:rPr>
          <w:vertAlign w:val="superscript"/>
        </w:rPr>
        <w:footnoteRef/>
      </w:r>
      <w:r>
        <w:rPr>
          <w:sz w:val="20"/>
          <w:szCs w:val="20"/>
        </w:rPr>
        <w:t xml:space="preserve"> Prensa Libre. Sesión solemne por el Día de la Independencia | Prensa Libre. Emitido en Directo 12 de Septiembre de 2018. Consultado el 30 de julio de 2020. Acc</w:t>
      </w:r>
      <w:r>
        <w:rPr>
          <w:sz w:val="20"/>
          <w:szCs w:val="20"/>
        </w:rPr>
        <w:t xml:space="preserve">esible en: </w:t>
      </w:r>
      <w:hyperlink r:id="rId7">
        <w:r>
          <w:rPr>
            <w:color w:val="1155CC"/>
            <w:sz w:val="20"/>
            <w:szCs w:val="20"/>
            <w:u w:val="single"/>
          </w:rPr>
          <w:t>https://www.youtube.com/watch?v=7mGA-2tGudA</w:t>
        </w:r>
      </w:hyperlink>
      <w:r>
        <w:rPr>
          <w:sz w:val="20"/>
          <w:szCs w:val="20"/>
        </w:rPr>
        <w:t xml:space="preserve"> </w:t>
      </w:r>
    </w:p>
  </w:footnote>
  <w:footnote w:id="8">
    <w:p w:rsidR="00DD68A6" w:rsidRDefault="00EF78F0">
      <w:pPr>
        <w:spacing w:after="0" w:line="240" w:lineRule="auto"/>
        <w:rPr>
          <w:sz w:val="20"/>
          <w:szCs w:val="20"/>
        </w:rPr>
      </w:pPr>
      <w:r>
        <w:rPr>
          <w:vertAlign w:val="superscript"/>
        </w:rPr>
        <w:footnoteRef/>
      </w:r>
      <w:r>
        <w:rPr>
          <w:sz w:val="20"/>
          <w:szCs w:val="20"/>
        </w:rPr>
        <w:t xml:space="preserve"> Rivera, Amílcar [@AmilcarRiveraGT]. (5 de abril de 2019). </w:t>
      </w:r>
      <w:r>
        <w:rPr>
          <w:i/>
          <w:sz w:val="20"/>
          <w:szCs w:val="20"/>
        </w:rPr>
        <w:t xml:space="preserve">Yo digo sí a la familia, sí a la esencia del  guatemalteco, sí al fundamento </w:t>
      </w:r>
      <w:r>
        <w:rPr>
          <w:i/>
          <w:sz w:val="20"/>
          <w:szCs w:val="20"/>
        </w:rPr>
        <w:t>de nuestros padres y abuelos y sí a los valores de nuestra sociedad, por eso digo SÍ al matrimonio exclusivo entre hombre y mujer.</w:t>
      </w:r>
      <w:r>
        <w:rPr>
          <w:sz w:val="20"/>
          <w:szCs w:val="20"/>
        </w:rPr>
        <w:t xml:space="preserve"> Twitter. </w:t>
      </w:r>
      <w:hyperlink r:id="rId8">
        <w:r>
          <w:rPr>
            <w:color w:val="1155CC"/>
            <w:sz w:val="20"/>
            <w:szCs w:val="20"/>
            <w:u w:val="single"/>
          </w:rPr>
          <w:t>https://twitter.com/AmilcarRiveraGT/status/1114328660096499712</w:t>
        </w:r>
      </w:hyperlink>
      <w:r>
        <w:rPr>
          <w:sz w:val="20"/>
          <w:szCs w:val="20"/>
        </w:rPr>
        <w:t xml:space="preserve">.  </w:t>
      </w:r>
    </w:p>
  </w:footnote>
  <w:footnote w:id="9">
    <w:p w:rsidR="00DD68A6" w:rsidRDefault="00EF78F0">
      <w:pPr>
        <w:spacing w:after="0" w:line="240" w:lineRule="auto"/>
        <w:rPr>
          <w:sz w:val="20"/>
          <w:szCs w:val="20"/>
        </w:rPr>
      </w:pPr>
      <w:r>
        <w:rPr>
          <w:vertAlign w:val="superscript"/>
        </w:rPr>
        <w:footnoteRef/>
      </w:r>
      <w:r>
        <w:rPr>
          <w:sz w:val="20"/>
          <w:szCs w:val="20"/>
        </w:rPr>
        <w:t xml:space="preserve"> Ramos, Saira. “Viva postula como presidenciable a un guatemalteco-israelí”. en Publi News, 3 de marzo de 2019. Accesible en </w:t>
      </w:r>
      <w:hyperlink r:id="rId9">
        <w:r>
          <w:rPr>
            <w:color w:val="1155CC"/>
            <w:sz w:val="20"/>
            <w:szCs w:val="20"/>
            <w:u w:val="single"/>
          </w:rPr>
          <w:t>https://www.publinews.gt/gt/noticias/2019/03/03/isaac-farchi-y-ricardo-flores-asturias-binomio-presidencial-viva.html</w:t>
        </w:r>
      </w:hyperlink>
      <w:r>
        <w:rPr>
          <w:sz w:val="20"/>
          <w:szCs w:val="20"/>
        </w:rPr>
        <w:t xml:space="preserve">. </w:t>
      </w:r>
    </w:p>
  </w:footnote>
  <w:footnote w:id="10">
    <w:p w:rsidR="00DD68A6" w:rsidRDefault="00EF78F0">
      <w:pPr>
        <w:spacing w:after="0" w:line="240" w:lineRule="auto"/>
        <w:rPr>
          <w:i/>
          <w:sz w:val="20"/>
          <w:szCs w:val="20"/>
        </w:rPr>
      </w:pPr>
      <w:r>
        <w:rPr>
          <w:vertAlign w:val="superscript"/>
        </w:rPr>
        <w:footnoteRef/>
      </w:r>
      <w:r>
        <w:rPr>
          <w:sz w:val="20"/>
          <w:szCs w:val="20"/>
        </w:rPr>
        <w:t xml:space="preserve"> Rodas, Jordán [@JordanRodas] (28 junio 2020). </w:t>
      </w:r>
      <w:r>
        <w:rPr>
          <w:i/>
          <w:sz w:val="20"/>
          <w:szCs w:val="20"/>
        </w:rPr>
        <w:t>Debemos avanzar</w:t>
      </w:r>
      <w:r>
        <w:rPr>
          <w:i/>
          <w:sz w:val="20"/>
          <w:szCs w:val="20"/>
        </w:rPr>
        <w:t xml:space="preserve"> entendiendo que todas las personas tenemos los mismos derechos. Respetar a las personas #LGBTIQ no es un asunto ideológico.</w:t>
      </w:r>
    </w:p>
    <w:p w:rsidR="00DD68A6" w:rsidRDefault="00EF78F0">
      <w:pPr>
        <w:spacing w:after="0" w:line="240" w:lineRule="auto"/>
        <w:rPr>
          <w:i/>
          <w:sz w:val="20"/>
          <w:szCs w:val="20"/>
        </w:rPr>
      </w:pPr>
      <w:r>
        <w:rPr>
          <w:i/>
          <w:sz w:val="20"/>
          <w:szCs w:val="20"/>
        </w:rPr>
        <w:t xml:space="preserve">¡Todos los seres humanos nacen libre e iguales en dignidad y derechos! #Orgullo2020 #OrgulloLGTBI #AmorEsAmor. </w:t>
      </w:r>
      <w:r>
        <w:rPr>
          <w:sz w:val="20"/>
          <w:szCs w:val="20"/>
        </w:rPr>
        <w:t xml:space="preserve">Twitter: </w:t>
      </w:r>
      <w:hyperlink r:id="rId10">
        <w:r>
          <w:rPr>
            <w:color w:val="1155CC"/>
            <w:sz w:val="20"/>
            <w:szCs w:val="20"/>
            <w:u w:val="single"/>
          </w:rPr>
          <w:t>https://twitter.com/JordanRodas/status/1277256094335864832</w:t>
        </w:r>
      </w:hyperlink>
      <w:r>
        <w:rPr>
          <w:sz w:val="20"/>
          <w:szCs w:val="20"/>
        </w:rPr>
        <w:t xml:space="preserve"> </w:t>
      </w:r>
    </w:p>
  </w:footnote>
  <w:footnote w:id="11">
    <w:p w:rsidR="00DD68A6" w:rsidRDefault="00EF78F0">
      <w:pPr>
        <w:spacing w:after="0" w:line="240" w:lineRule="auto"/>
        <w:rPr>
          <w:i/>
          <w:sz w:val="20"/>
          <w:szCs w:val="20"/>
        </w:rPr>
      </w:pPr>
      <w:r>
        <w:rPr>
          <w:vertAlign w:val="superscript"/>
        </w:rPr>
        <w:footnoteRef/>
      </w:r>
      <w:r>
        <w:rPr>
          <w:sz w:val="20"/>
          <w:szCs w:val="20"/>
        </w:rPr>
        <w:t xml:space="preserve"> AFI Guatemala. [@familiaimporta] (30 junio de 2020). [Imagen adjunta] </w:t>
      </w:r>
      <w:r>
        <w:rPr>
          <w:i/>
          <w:sz w:val="20"/>
          <w:szCs w:val="20"/>
        </w:rPr>
        <w:t xml:space="preserve">A raíz de las acciones del la </w:t>
      </w:r>
    </w:p>
    <w:p w:rsidR="00DD68A6" w:rsidRDefault="00EF78F0">
      <w:pPr>
        <w:spacing w:after="0" w:line="240" w:lineRule="auto"/>
        <w:rPr>
          <w:i/>
          <w:sz w:val="20"/>
          <w:szCs w:val="20"/>
        </w:rPr>
      </w:pPr>
      <w:r>
        <w:rPr>
          <w:i/>
          <w:sz w:val="20"/>
          <w:szCs w:val="20"/>
        </w:rPr>
        <w:t xml:space="preserve">@PDHgt y el Procurador de </w:t>
      </w:r>
      <w:r>
        <w:rPr>
          <w:i/>
          <w:sz w:val="20"/>
          <w:szCs w:val="20"/>
        </w:rPr>
        <w:t>los Derechos Humanos, el señor  @JordanRodas, en el marco del "Día Internacional del Orgullo LGTBI", AFI y distintas organizaciones de la sociedad civil hacen de conocimiento público la siguiente carta abierta:</w:t>
      </w:r>
      <w:r>
        <w:rPr>
          <w:sz w:val="20"/>
          <w:szCs w:val="20"/>
        </w:rPr>
        <w:t xml:space="preserve">. Twitter: </w:t>
      </w:r>
      <w:hyperlink r:id="rId11">
        <w:r>
          <w:rPr>
            <w:color w:val="1155CC"/>
            <w:sz w:val="20"/>
            <w:szCs w:val="20"/>
            <w:u w:val="single"/>
          </w:rPr>
          <w:t>https://twitter.com/familiaimporta/status/1278141635847761925</w:t>
        </w:r>
      </w:hyperlink>
      <w:r>
        <w:rPr>
          <w:sz w:val="20"/>
          <w:szCs w:val="20"/>
        </w:rPr>
        <w:t xml:space="preserve"> </w:t>
      </w:r>
    </w:p>
  </w:footnote>
  <w:footnote w:id="12">
    <w:p w:rsidR="00DD68A6" w:rsidRDefault="00EF78F0">
      <w:pPr>
        <w:spacing w:after="0" w:line="240" w:lineRule="auto"/>
        <w:rPr>
          <w:sz w:val="20"/>
          <w:szCs w:val="20"/>
        </w:rPr>
      </w:pPr>
      <w:r>
        <w:rPr>
          <w:vertAlign w:val="superscript"/>
        </w:rPr>
        <w:footnoteRef/>
      </w:r>
      <w:r>
        <w:rPr>
          <w:sz w:val="20"/>
          <w:szCs w:val="20"/>
        </w:rPr>
        <w:t xml:space="preserve">  AFI Guatemala. [@familiaimporta] (6 de julio 2020). [Imagen adjunta]. </w:t>
      </w:r>
      <w:r>
        <w:rPr>
          <w:i/>
          <w:sz w:val="20"/>
          <w:szCs w:val="20"/>
        </w:rPr>
        <w:t>Hoy entregamos al presidente de la Comisión de Derechos Humanos del @Congr</w:t>
      </w:r>
      <w:r>
        <w:rPr>
          <w:i/>
          <w:sz w:val="20"/>
          <w:szCs w:val="20"/>
        </w:rPr>
        <w:t>esoGuate, una carta para expresar nuestra preocupación por la falta de cumplimiento del PDH sobre lo resuelto en la sentencia de la CSJ dentro del expediente 1434-2017</w:t>
      </w:r>
      <w:r>
        <w:rPr>
          <w:sz w:val="20"/>
          <w:szCs w:val="20"/>
        </w:rPr>
        <w:t xml:space="preserve">. Twitter: </w:t>
      </w:r>
      <w:hyperlink r:id="rId12">
        <w:r>
          <w:rPr>
            <w:color w:val="1155CC"/>
            <w:sz w:val="20"/>
            <w:szCs w:val="20"/>
            <w:u w:val="single"/>
          </w:rPr>
          <w:t>https://twitter.com/familiaimporta/status/1280187115784019975</w:t>
        </w:r>
      </w:hyperlink>
      <w:r>
        <w:rPr>
          <w:sz w:val="20"/>
          <w:szCs w:val="20"/>
        </w:rPr>
        <w:t xml:space="preserve"> </w:t>
      </w:r>
    </w:p>
  </w:footnote>
  <w:footnote w:id="13">
    <w:p w:rsidR="00DD68A6" w:rsidRDefault="00EF78F0">
      <w:pPr>
        <w:spacing w:after="0" w:line="240" w:lineRule="auto"/>
        <w:rPr>
          <w:sz w:val="20"/>
          <w:szCs w:val="20"/>
        </w:rPr>
      </w:pPr>
      <w:r>
        <w:rPr>
          <w:vertAlign w:val="superscript"/>
        </w:rPr>
        <w:footnoteRef/>
      </w:r>
      <w:r>
        <w:rPr>
          <w:sz w:val="20"/>
          <w:szCs w:val="20"/>
        </w:rPr>
        <w:t xml:space="preserve"> Congreso de la República. (27/4/2017) Iniciativa </w:t>
      </w:r>
      <w:r>
        <w:rPr>
          <w:i/>
          <w:sz w:val="20"/>
          <w:szCs w:val="20"/>
        </w:rPr>
        <w:t xml:space="preserve">Ley para la protección de la vida y la familia 5272. </w:t>
      </w:r>
      <w:r>
        <w:rPr>
          <w:sz w:val="20"/>
          <w:szCs w:val="20"/>
        </w:rPr>
        <w:t xml:space="preserve">Consultado el 30 de julio de 2020. Accesible en: </w:t>
      </w:r>
      <w:hyperlink r:id="rId13" w:anchor="gsc.tab=0">
        <w:r>
          <w:rPr>
            <w:color w:val="1155CC"/>
            <w:sz w:val="20"/>
            <w:szCs w:val="20"/>
            <w:u w:val="single"/>
          </w:rPr>
          <w:t>https://www.congreso.gob.gt/detalle_pdf/iniciativas/66#gsc.tab=0</w:t>
        </w:r>
      </w:hyperlink>
      <w:r>
        <w:rPr>
          <w:sz w:val="20"/>
          <w:szCs w:val="20"/>
        </w:rPr>
        <w:t xml:space="preserve"> </w:t>
      </w:r>
    </w:p>
  </w:footnote>
  <w:footnote w:id="14">
    <w:p w:rsidR="00DD68A6" w:rsidRDefault="00EF78F0">
      <w:pPr>
        <w:spacing w:after="0" w:line="240" w:lineRule="auto"/>
        <w:rPr>
          <w:sz w:val="20"/>
          <w:szCs w:val="20"/>
        </w:rPr>
      </w:pPr>
      <w:r>
        <w:rPr>
          <w:vertAlign w:val="superscript"/>
        </w:rPr>
        <w:footnoteRef/>
      </w:r>
      <w:r>
        <w:rPr>
          <w:sz w:val="20"/>
          <w:szCs w:val="20"/>
        </w:rPr>
        <w:t xml:space="preserve"> Congreso de la República. (4/5/2017) Iniciativa Ley para sancionar los crímenes por prejuicio. Consultado el 30 de julio de 2020. Accesi</w:t>
      </w:r>
      <w:r>
        <w:rPr>
          <w:sz w:val="20"/>
          <w:szCs w:val="20"/>
        </w:rPr>
        <w:t xml:space="preserve">ble en: </w:t>
      </w:r>
      <w:hyperlink r:id="rId14" w:anchor="gsc.tab=0">
        <w:r>
          <w:rPr>
            <w:color w:val="1155CC"/>
            <w:sz w:val="20"/>
            <w:szCs w:val="20"/>
            <w:u w:val="single"/>
          </w:rPr>
          <w:t>https://www.congreso.gob.gt/detalle_pdf/iniciativas/71#gsc.tab=0</w:t>
        </w:r>
      </w:hyperlink>
      <w:r>
        <w:rPr>
          <w:sz w:val="20"/>
          <w:szCs w:val="20"/>
        </w:rPr>
        <w:t xml:space="preserve"> </w:t>
      </w:r>
    </w:p>
  </w:footnote>
  <w:footnote w:id="15">
    <w:p w:rsidR="00DD68A6" w:rsidRDefault="00EF78F0">
      <w:pPr>
        <w:spacing w:after="0" w:line="240" w:lineRule="auto"/>
        <w:rPr>
          <w:sz w:val="20"/>
          <w:szCs w:val="20"/>
        </w:rPr>
      </w:pPr>
      <w:r>
        <w:rPr>
          <w:vertAlign w:val="superscript"/>
        </w:rPr>
        <w:footnoteRef/>
      </w:r>
      <w:r>
        <w:rPr>
          <w:sz w:val="20"/>
          <w:szCs w:val="20"/>
        </w:rPr>
        <w:t xml:space="preserve">  Congreso de la República. (1/12/2017) Iniciativa de Ley de Identidad de Género. Consultado</w:t>
      </w:r>
      <w:r>
        <w:rPr>
          <w:sz w:val="20"/>
          <w:szCs w:val="20"/>
        </w:rPr>
        <w:t xml:space="preserve"> el 30 de julio de 2020. Accesible en: </w:t>
      </w:r>
      <w:hyperlink r:id="rId15" w:anchor="gsc.tab=0">
        <w:r>
          <w:rPr>
            <w:color w:val="1155CC"/>
            <w:sz w:val="20"/>
            <w:szCs w:val="20"/>
            <w:u w:val="single"/>
          </w:rPr>
          <w:t>https://www.congreso.gob.gt/detalle_pdf/iniciativas/5424#gsc.tab=0</w:t>
        </w:r>
      </w:hyperlink>
      <w:r>
        <w:rPr>
          <w:sz w:val="20"/>
          <w:szCs w:val="20"/>
        </w:rPr>
        <w:t xml:space="preserve"> </w:t>
      </w:r>
    </w:p>
  </w:footnote>
  <w:footnote w:id="16">
    <w:p w:rsidR="00DD68A6" w:rsidRDefault="00EF78F0">
      <w:pPr>
        <w:spacing w:after="0" w:line="240" w:lineRule="auto"/>
        <w:rPr>
          <w:sz w:val="20"/>
          <w:szCs w:val="20"/>
        </w:rPr>
      </w:pPr>
      <w:r>
        <w:rPr>
          <w:vertAlign w:val="superscript"/>
        </w:rPr>
        <w:footnoteRef/>
      </w:r>
      <w:r>
        <w:rPr>
          <w:sz w:val="20"/>
          <w:szCs w:val="20"/>
        </w:rPr>
        <w:t xml:space="preserve"> La Red [@Lared1061] (18 de diciembre 2020). </w:t>
      </w:r>
      <w:r>
        <w:rPr>
          <w:i/>
          <w:sz w:val="20"/>
          <w:szCs w:val="20"/>
        </w:rPr>
        <w:t>En desarroll</w:t>
      </w:r>
      <w:r>
        <w:rPr>
          <w:i/>
          <w:sz w:val="20"/>
          <w:szCs w:val="20"/>
        </w:rPr>
        <w:t>o diputada Karina Paz presenta iniciativa de ley que busca combatir la discriminación a personas LGTBIQ.</w:t>
      </w:r>
      <w:r>
        <w:rPr>
          <w:sz w:val="20"/>
          <w:szCs w:val="20"/>
        </w:rPr>
        <w:t xml:space="preserve"> Twitter: </w:t>
      </w:r>
      <w:hyperlink r:id="rId16">
        <w:r>
          <w:rPr>
            <w:color w:val="1155CC"/>
            <w:sz w:val="20"/>
            <w:szCs w:val="20"/>
            <w:u w:val="single"/>
          </w:rPr>
          <w:t>https://twitter.com/Lared1061/status/1207327125382012932</w:t>
        </w:r>
      </w:hyperlink>
      <w:r>
        <w:rPr>
          <w:sz w:val="20"/>
          <w:szCs w:val="20"/>
        </w:rPr>
        <w:t xml:space="preserve"> </w:t>
      </w:r>
    </w:p>
  </w:footnote>
  <w:footnote w:id="17">
    <w:p w:rsidR="00DD68A6" w:rsidRDefault="00EF78F0">
      <w:pPr>
        <w:spacing w:after="0" w:line="240" w:lineRule="auto"/>
        <w:rPr>
          <w:sz w:val="20"/>
          <w:szCs w:val="20"/>
        </w:rPr>
      </w:pPr>
      <w:r>
        <w:rPr>
          <w:vertAlign w:val="superscript"/>
        </w:rPr>
        <w:footnoteRef/>
      </w:r>
      <w:r>
        <w:rPr>
          <w:sz w:val="20"/>
          <w:szCs w:val="20"/>
        </w:rPr>
        <w:t xml:space="preserve"> </w:t>
      </w:r>
      <w:r>
        <w:rPr>
          <w:sz w:val="20"/>
          <w:szCs w:val="20"/>
        </w:rPr>
        <w:t xml:space="preserve">Estudio inédito de Visibles, 2020. </w:t>
      </w:r>
    </w:p>
  </w:footnote>
  <w:footnote w:id="18">
    <w:p w:rsidR="00DD68A6" w:rsidRDefault="00EF78F0">
      <w:pPr>
        <w:spacing w:after="0" w:line="240" w:lineRule="auto"/>
        <w:rPr>
          <w:sz w:val="20"/>
          <w:szCs w:val="20"/>
        </w:rPr>
      </w:pPr>
      <w:r>
        <w:rPr>
          <w:vertAlign w:val="superscript"/>
        </w:rPr>
        <w:footnoteRef/>
      </w:r>
      <w:r>
        <w:rPr>
          <w:sz w:val="20"/>
          <w:szCs w:val="20"/>
        </w:rPr>
        <w:t xml:space="preserve"> Martínez &amp; López. “Estudio Exploratorio de Hombres Trans”. en Trans-formación el 2019.</w:t>
      </w:r>
    </w:p>
  </w:footnote>
  <w:footnote w:id="19">
    <w:p w:rsidR="00DD68A6" w:rsidRDefault="00EF78F0">
      <w:pPr>
        <w:spacing w:after="0" w:line="240" w:lineRule="auto"/>
        <w:rPr>
          <w:sz w:val="20"/>
          <w:szCs w:val="20"/>
        </w:rPr>
      </w:pPr>
      <w:r>
        <w:rPr>
          <w:vertAlign w:val="superscript"/>
        </w:rPr>
        <w:footnoteRef/>
      </w:r>
      <w:r>
        <w:rPr>
          <w:sz w:val="20"/>
          <w:szCs w:val="20"/>
        </w:rPr>
        <w:t xml:space="preserve"> Los datos de esta investigación se han complementado con una encuesta lanzada en junio del año 2020, en la que se ha logrado recabar información de 305 personas, pertenecientes a</w:t>
      </w:r>
      <w:r>
        <w:rPr>
          <w:sz w:val="20"/>
          <w:szCs w:val="20"/>
        </w:rPr>
        <w:t xml:space="preserve"> la población guatemalteca LGBTI, de los cuales 24 se autoidentificaron como personas trans y 289 como personas cisgénero. De estas, 307 personas se identificaron como ladinas/mestizas y 12 con identidad maya, reportando ser esencialmente del área metropol</w:t>
      </w:r>
      <w:r>
        <w:rPr>
          <w:sz w:val="20"/>
          <w:szCs w:val="20"/>
        </w:rPr>
        <w:t>itana. El objetivo de esta encuesta era el sondeo de violencias en diferentes ámbitos en los que se han desenvuelto las personas LGBTIQ en su vida, desde su círculo familiar, en centros de salud, en centros educativos, lugares de trabajo y espacios público</w:t>
      </w:r>
      <w:r>
        <w:rPr>
          <w:sz w:val="20"/>
          <w:szCs w:val="20"/>
        </w:rPr>
        <w:t xml:space="preserve">s. </w:t>
      </w:r>
    </w:p>
  </w:footnote>
  <w:footnote w:id="20">
    <w:p w:rsidR="00DD68A6" w:rsidRDefault="00EF78F0">
      <w:pPr>
        <w:spacing w:after="0" w:line="240" w:lineRule="auto"/>
        <w:rPr>
          <w:sz w:val="20"/>
          <w:szCs w:val="20"/>
        </w:rPr>
      </w:pPr>
      <w:r>
        <w:rPr>
          <w:vertAlign w:val="superscript"/>
        </w:rPr>
        <w:footnoteRef/>
      </w:r>
      <w:r>
        <w:rPr>
          <w:sz w:val="20"/>
          <w:szCs w:val="20"/>
        </w:rPr>
        <w:t xml:space="preserve"> CIDH. “CIDH repudia actos de violencia contra personas trans en Honduras” en OEA de fecha 18 de julio de 2019. Consultado el 30 de julio de 2020. Accesible en: </w:t>
      </w:r>
      <w:hyperlink r:id="rId17">
        <w:r>
          <w:rPr>
            <w:color w:val="1155CC"/>
            <w:sz w:val="20"/>
            <w:szCs w:val="20"/>
            <w:u w:val="single"/>
          </w:rPr>
          <w:t>https://www.oas.</w:t>
        </w:r>
        <w:r>
          <w:rPr>
            <w:color w:val="1155CC"/>
            <w:sz w:val="20"/>
            <w:szCs w:val="20"/>
            <w:u w:val="single"/>
          </w:rPr>
          <w:t>org/es/cidh/prensa/comunicados/2019/176.asp</w:t>
        </w:r>
      </w:hyperlink>
      <w:r>
        <w:rPr>
          <w:sz w:val="20"/>
          <w:szCs w:val="20"/>
        </w:rPr>
        <w:t xml:space="preserve"> </w:t>
      </w:r>
    </w:p>
  </w:footnote>
  <w:footnote w:id="21">
    <w:p w:rsidR="00DD68A6" w:rsidRDefault="00EF78F0">
      <w:pPr>
        <w:spacing w:after="0" w:line="240" w:lineRule="auto"/>
        <w:rPr>
          <w:sz w:val="20"/>
          <w:szCs w:val="20"/>
        </w:rPr>
      </w:pPr>
      <w:r>
        <w:rPr>
          <w:vertAlign w:val="superscript"/>
        </w:rPr>
        <w:footnoteRef/>
      </w:r>
      <w:r>
        <w:rPr>
          <w:sz w:val="20"/>
          <w:szCs w:val="20"/>
        </w:rPr>
        <w:t xml:space="preserve"> Deutsche Welle. “La ONU condena los asesinatos de personas LGBTI en Honduras” en Deutsche Welle de fecha 16 de julio de 2019. Accesible en: </w:t>
      </w:r>
      <w:hyperlink r:id="rId18">
        <w:r>
          <w:rPr>
            <w:color w:val="1155CC"/>
            <w:sz w:val="20"/>
            <w:szCs w:val="20"/>
            <w:u w:val="single"/>
          </w:rPr>
          <w:t>https://www.dw.com/es/la-onu-condena-los-asesinatos-de-personas-lgbti-en-honduras/a-49603558</w:t>
        </w:r>
      </w:hyperlink>
      <w:r>
        <w:rPr>
          <w:sz w:val="20"/>
          <w:szCs w:val="20"/>
        </w:rPr>
        <w:t xml:space="preserve"> </w:t>
      </w:r>
    </w:p>
  </w:footnote>
  <w:footnote w:id="22">
    <w:p w:rsidR="00DD68A6" w:rsidRDefault="00EF78F0">
      <w:pPr>
        <w:spacing w:after="0" w:line="240" w:lineRule="auto"/>
        <w:rPr>
          <w:sz w:val="20"/>
          <w:szCs w:val="20"/>
        </w:rPr>
      </w:pPr>
      <w:r>
        <w:rPr>
          <w:vertAlign w:val="superscript"/>
        </w:rPr>
        <w:footnoteRef/>
      </w:r>
      <w:r>
        <w:rPr>
          <w:sz w:val="20"/>
          <w:szCs w:val="20"/>
        </w:rPr>
        <w:t xml:space="preserve"> Duarte, G., Aguilar, A. Batres, M. &amp; Lanz, A.  (2020). Violencias contra la población LGBTIQ+: Vivencias y dinámicas </w:t>
      </w:r>
      <w:r>
        <w:rPr>
          <w:sz w:val="20"/>
          <w:szCs w:val="20"/>
        </w:rPr>
        <w:t xml:space="preserve">que la sostienen. Ciudad de Guatemala: Visibles. en red: </w:t>
      </w:r>
      <w:hyperlink r:id="rId19">
        <w:r>
          <w:rPr>
            <w:color w:val="1155CC"/>
            <w:sz w:val="20"/>
            <w:szCs w:val="20"/>
            <w:u w:val="single"/>
          </w:rPr>
          <w:t>https://visibles.gt/investigacion-violencias-contra-la-poblacion-lgbtiq/</w:t>
        </w:r>
      </w:hyperlink>
      <w:r>
        <w:rPr>
          <w:sz w:val="20"/>
          <w:szCs w:val="20"/>
        </w:rPr>
        <w:t xml:space="preserve"> </w:t>
      </w:r>
    </w:p>
  </w:footnote>
  <w:footnote w:id="23">
    <w:p w:rsidR="00DD68A6" w:rsidRDefault="00EF78F0">
      <w:pPr>
        <w:spacing w:after="0" w:line="240" w:lineRule="auto"/>
        <w:rPr>
          <w:sz w:val="20"/>
          <w:szCs w:val="20"/>
        </w:rPr>
      </w:pPr>
      <w:r>
        <w:rPr>
          <w:vertAlign w:val="superscript"/>
        </w:rPr>
        <w:footnoteRef/>
      </w:r>
      <w:r>
        <w:rPr>
          <w:sz w:val="20"/>
          <w:szCs w:val="20"/>
        </w:rPr>
        <w:t xml:space="preserve"> Estudio inédito de Visibles, 20</w:t>
      </w:r>
      <w:r>
        <w:rPr>
          <w:sz w:val="20"/>
          <w:szCs w:val="20"/>
        </w:rPr>
        <w:t xml:space="preserve">20. </w:t>
      </w:r>
    </w:p>
  </w:footnote>
  <w:footnote w:id="24">
    <w:p w:rsidR="00DD68A6" w:rsidRDefault="00EF78F0">
      <w:pPr>
        <w:spacing w:after="0" w:line="240" w:lineRule="auto"/>
        <w:rPr>
          <w:sz w:val="20"/>
          <w:szCs w:val="20"/>
        </w:rPr>
      </w:pPr>
      <w:r>
        <w:rPr>
          <w:vertAlign w:val="superscript"/>
        </w:rPr>
        <w:footnoteRef/>
      </w:r>
      <w:r>
        <w:rPr>
          <w:sz w:val="20"/>
          <w:szCs w:val="20"/>
        </w:rPr>
        <w:t xml:space="preserve">  Martínez &amp; López. “Estudio Exploratorio de Hombres Trans”. en Trans-formación el 2019.</w:t>
      </w:r>
    </w:p>
  </w:footnote>
  <w:footnote w:id="25">
    <w:p w:rsidR="00DD68A6" w:rsidRDefault="00EF78F0">
      <w:pPr>
        <w:spacing w:after="0" w:line="240" w:lineRule="auto"/>
        <w:rPr>
          <w:sz w:val="20"/>
          <w:szCs w:val="20"/>
        </w:rPr>
      </w:pPr>
      <w:r>
        <w:rPr>
          <w:vertAlign w:val="superscript"/>
        </w:rPr>
        <w:footnoteRef/>
      </w:r>
      <w:r>
        <w:rPr>
          <w:sz w:val="20"/>
          <w:szCs w:val="20"/>
        </w:rPr>
        <w:t xml:space="preserve"> Datos recopilados por Visibles mediante la Ley de Acceso a la Información Pública. </w:t>
      </w:r>
    </w:p>
  </w:footnote>
  <w:footnote w:id="26">
    <w:p w:rsidR="00DD68A6" w:rsidRDefault="00EF78F0">
      <w:pPr>
        <w:spacing w:after="0" w:line="240" w:lineRule="auto"/>
        <w:rPr>
          <w:sz w:val="20"/>
          <w:szCs w:val="20"/>
        </w:rPr>
      </w:pPr>
      <w:r>
        <w:rPr>
          <w:vertAlign w:val="superscript"/>
        </w:rPr>
        <w:footnoteRef/>
      </w:r>
      <w:r>
        <w:rPr>
          <w:sz w:val="20"/>
          <w:szCs w:val="20"/>
        </w:rPr>
        <w:t xml:space="preserve"> Grupo de Apoyo Mutuo [@apoyomutuo] (1 de julio de 2020) [imagen adjunta]. </w:t>
      </w:r>
      <w:r>
        <w:rPr>
          <w:i/>
          <w:sz w:val="20"/>
          <w:szCs w:val="20"/>
        </w:rPr>
        <w:t xml:space="preserve">De 2014 a 2019 el 30% de los homicidios en contra de la comunidad #LGBTIQ+ registrados fueron ocasionados por el odio y el prejuicio. #LosPrejuiciosMatan #NoMásViolencia. </w:t>
      </w:r>
      <w:r>
        <w:rPr>
          <w:sz w:val="20"/>
          <w:szCs w:val="20"/>
        </w:rPr>
        <w:t xml:space="preserve">Twitter: </w:t>
      </w:r>
      <w:hyperlink r:id="rId20">
        <w:r>
          <w:rPr>
            <w:color w:val="1155CC"/>
            <w:sz w:val="20"/>
            <w:szCs w:val="20"/>
            <w:u w:val="single"/>
          </w:rPr>
          <w:t>https://twitter.com/apoyomutuo/status/1278355366032670721</w:t>
        </w:r>
      </w:hyperlink>
      <w:r>
        <w:rPr>
          <w:sz w:val="20"/>
          <w:szCs w:val="20"/>
        </w:rPr>
        <w:t xml:space="preserve"> </w:t>
      </w:r>
    </w:p>
  </w:footnote>
  <w:footnote w:id="27">
    <w:p w:rsidR="00DD68A6" w:rsidRDefault="00EF78F0">
      <w:pPr>
        <w:spacing w:after="0" w:line="240" w:lineRule="auto"/>
        <w:rPr>
          <w:sz w:val="20"/>
          <w:szCs w:val="20"/>
        </w:rPr>
      </w:pPr>
      <w:r>
        <w:rPr>
          <w:vertAlign w:val="superscript"/>
        </w:rPr>
        <w:footnoteRef/>
      </w:r>
      <w:r>
        <w:rPr>
          <w:sz w:val="20"/>
          <w:szCs w:val="20"/>
        </w:rPr>
        <w:t xml:space="preserve"> Olmstead, Gladys. “Madre de joven gay asesinado: “Él es una reina y como reina que es, quiero justicia””. en Nómada el </w:t>
      </w:r>
      <w:r>
        <w:rPr>
          <w:sz w:val="20"/>
          <w:szCs w:val="20"/>
        </w:rPr>
        <w:t xml:space="preserve">27 de marzo de 2019. Accesible en: </w:t>
      </w:r>
      <w:hyperlink r:id="rId21">
        <w:r>
          <w:rPr>
            <w:color w:val="1155CC"/>
            <w:sz w:val="20"/>
            <w:szCs w:val="20"/>
            <w:u w:val="single"/>
          </w:rPr>
          <w:t>https://nomada.gt/identidades/queer/madre-de-joven-gay-asesinado-el-es-una-reina-y-c</w:t>
        </w:r>
        <w:r>
          <w:rPr>
            <w:color w:val="1155CC"/>
            <w:sz w:val="20"/>
            <w:szCs w:val="20"/>
            <w:u w:val="single"/>
          </w:rPr>
          <w:t>omo-reina-que-es-quiero-justicia/</w:t>
        </w:r>
      </w:hyperlink>
      <w:r>
        <w:rPr>
          <w:sz w:val="20"/>
          <w:szCs w:val="20"/>
        </w:rPr>
        <w:t xml:space="preserve"> </w:t>
      </w:r>
    </w:p>
  </w:footnote>
  <w:footnote w:id="28">
    <w:p w:rsidR="00DD68A6" w:rsidRDefault="00EF78F0">
      <w:pPr>
        <w:spacing w:after="0" w:line="240" w:lineRule="auto"/>
        <w:rPr>
          <w:sz w:val="20"/>
          <w:szCs w:val="20"/>
        </w:rPr>
      </w:pPr>
      <w:r>
        <w:rPr>
          <w:vertAlign w:val="superscript"/>
        </w:rPr>
        <w:footnoteRef/>
      </w:r>
      <w:r>
        <w:rPr>
          <w:sz w:val="20"/>
          <w:szCs w:val="20"/>
        </w:rPr>
        <w:t xml:space="preserve"> López, Esvin. “PDH condena crimen homofóbico contra mujeres. Los cuerpos de las mujeres fueron hallados maniatados y con una leyenda homofóbica.” En Publi News 23 de abril de 2019. Accesible en: </w:t>
      </w:r>
      <w:hyperlink r:id="rId22">
        <w:r>
          <w:rPr>
            <w:color w:val="1155CC"/>
            <w:sz w:val="20"/>
            <w:szCs w:val="20"/>
            <w:u w:val="single"/>
          </w:rPr>
          <w:t>https://www.publinews.gt/gt/noticias/2019/04/23/lesbianas-asesinadas-ruta-jalapa.html</w:t>
        </w:r>
      </w:hyperlink>
      <w:r>
        <w:rPr>
          <w:sz w:val="20"/>
          <w:szCs w:val="20"/>
        </w:rPr>
        <w:t xml:space="preserve"> </w:t>
      </w:r>
    </w:p>
  </w:footnote>
  <w:footnote w:id="29">
    <w:p w:rsidR="00DD68A6" w:rsidRDefault="00EF78F0">
      <w:pPr>
        <w:spacing w:after="0" w:line="240" w:lineRule="auto"/>
        <w:rPr>
          <w:sz w:val="20"/>
          <w:szCs w:val="20"/>
        </w:rPr>
      </w:pPr>
      <w:r>
        <w:rPr>
          <w:vertAlign w:val="superscript"/>
        </w:rPr>
        <w:footnoteRef/>
      </w:r>
      <w:r>
        <w:rPr>
          <w:sz w:val="20"/>
          <w:szCs w:val="20"/>
        </w:rPr>
        <w:t xml:space="preserve"> Rosales Solano. “La disidencia sexual ante la pandemia” en El Periódico Opinión de 4 d</w:t>
      </w:r>
      <w:r>
        <w:rPr>
          <w:sz w:val="20"/>
          <w:szCs w:val="20"/>
        </w:rPr>
        <w:t xml:space="preserve">e julio de 2020. Accesible en: </w:t>
      </w:r>
      <w:hyperlink r:id="rId23">
        <w:r>
          <w:rPr>
            <w:color w:val="1155CC"/>
            <w:sz w:val="20"/>
            <w:szCs w:val="20"/>
            <w:u w:val="single"/>
          </w:rPr>
          <w:t>https://elperiodico.com.gt/opinion/2020/07/04/la-disidencia-sexual-ante-la-pandemia/</w:t>
        </w:r>
      </w:hyperlink>
      <w:r>
        <w:rPr>
          <w:sz w:val="20"/>
          <w:szCs w:val="20"/>
        </w:rPr>
        <w:t xml:space="preserve"> </w:t>
      </w:r>
    </w:p>
  </w:footnote>
  <w:footnote w:id="30">
    <w:p w:rsidR="00DD68A6" w:rsidRDefault="00EF78F0">
      <w:pPr>
        <w:spacing w:after="0" w:line="240" w:lineRule="auto"/>
        <w:rPr>
          <w:sz w:val="20"/>
          <w:szCs w:val="20"/>
        </w:rPr>
      </w:pPr>
      <w:r>
        <w:rPr>
          <w:vertAlign w:val="superscript"/>
        </w:rPr>
        <w:footnoteRef/>
      </w:r>
      <w:r>
        <w:rPr>
          <w:sz w:val="20"/>
          <w:szCs w:val="20"/>
        </w:rPr>
        <w:t xml:space="preserve"> Salazar, Pilar. “Asesinaron a dos</w:t>
      </w:r>
      <w:r>
        <w:rPr>
          <w:sz w:val="20"/>
          <w:szCs w:val="20"/>
        </w:rPr>
        <w:t xml:space="preserve"> activistas LGBT en Guatemala” en Agencia Presentes el 15 de enero de 2020. Accesible en: </w:t>
      </w:r>
      <w:hyperlink r:id="rId24">
        <w:r>
          <w:rPr>
            <w:color w:val="1155CC"/>
            <w:sz w:val="20"/>
            <w:szCs w:val="20"/>
            <w:u w:val="single"/>
          </w:rPr>
          <w:t>https://agenciapresentes.org/2020/01/15/asesinaron-a-dos-act</w:t>
        </w:r>
        <w:r>
          <w:rPr>
            <w:color w:val="1155CC"/>
            <w:sz w:val="20"/>
            <w:szCs w:val="20"/>
            <w:u w:val="single"/>
          </w:rPr>
          <w:t>ivistas-lgbt-en-guatemala/</w:t>
        </w:r>
      </w:hyperlink>
      <w:r>
        <w:rPr>
          <w:sz w:val="20"/>
          <w:szCs w:val="20"/>
        </w:rPr>
        <w:t xml:space="preserve"> </w:t>
      </w:r>
    </w:p>
  </w:footnote>
  <w:footnote w:id="31">
    <w:p w:rsidR="00DD68A6" w:rsidRDefault="00EF78F0">
      <w:pPr>
        <w:spacing w:after="0" w:line="240" w:lineRule="auto"/>
        <w:rPr>
          <w:sz w:val="20"/>
          <w:szCs w:val="20"/>
        </w:rPr>
      </w:pPr>
      <w:r>
        <w:rPr>
          <w:vertAlign w:val="superscript"/>
        </w:rPr>
        <w:footnoteRef/>
      </w:r>
      <w:r>
        <w:rPr>
          <w:sz w:val="20"/>
          <w:szCs w:val="20"/>
        </w:rPr>
        <w:t xml:space="preserve"> Salazar, Pilar. “Transfemicidio en Guatemala: a Wicha la raparon y mutilaron” en Agencia Presentes 10 de marzo de 2020. Accesible en: </w:t>
      </w:r>
      <w:hyperlink r:id="rId25">
        <w:r>
          <w:rPr>
            <w:color w:val="1155CC"/>
            <w:sz w:val="20"/>
            <w:szCs w:val="20"/>
            <w:u w:val="single"/>
          </w:rPr>
          <w:t>https://agenciapresentes.org/2020/03/10/transfemicidio-en-guatemala-a-wicha-la-raparon-y-mutilaron/</w:t>
        </w:r>
      </w:hyperlink>
      <w:r>
        <w:rPr>
          <w:sz w:val="20"/>
          <w:szCs w:val="20"/>
        </w:rPr>
        <w:t xml:space="preserve"> </w:t>
      </w:r>
    </w:p>
  </w:footnote>
  <w:footnote w:id="32">
    <w:p w:rsidR="00DD68A6" w:rsidRDefault="00EF78F0">
      <w:pPr>
        <w:spacing w:after="0" w:line="240" w:lineRule="auto"/>
        <w:rPr>
          <w:sz w:val="20"/>
          <w:szCs w:val="20"/>
        </w:rPr>
      </w:pPr>
      <w:r>
        <w:rPr>
          <w:vertAlign w:val="superscript"/>
        </w:rPr>
        <w:footnoteRef/>
      </w:r>
      <w:r>
        <w:rPr>
          <w:sz w:val="20"/>
          <w:szCs w:val="20"/>
        </w:rPr>
        <w:t xml:space="preserve"> Salazar, Pilar. “Asesinan a trans de 32 años: “En plena crisis de salud, la violencia en nuestra contra no se detiene””. En Agencia Presentes de 23 de marzo de 2020. Accesible en: </w:t>
      </w:r>
      <w:hyperlink r:id="rId26">
        <w:r>
          <w:rPr>
            <w:color w:val="1155CC"/>
            <w:sz w:val="20"/>
            <w:szCs w:val="20"/>
            <w:u w:val="single"/>
          </w:rPr>
          <w:t>https://agenciapresentes.org/2020/03/23/asesinan-a-trans-de-32-anos-en-plena-crisis-de-salud-la-violencia-en-nuestra-contra-no-se-detiene/</w:t>
        </w:r>
      </w:hyperlink>
      <w:r>
        <w:rPr>
          <w:sz w:val="20"/>
          <w:szCs w:val="20"/>
        </w:rPr>
        <w:t xml:space="preserve"> </w:t>
      </w:r>
    </w:p>
  </w:footnote>
  <w:footnote w:id="33">
    <w:p w:rsidR="00DD68A6" w:rsidRDefault="00EF78F0">
      <w:pPr>
        <w:spacing w:after="0" w:line="240" w:lineRule="auto"/>
        <w:rPr>
          <w:sz w:val="20"/>
          <w:szCs w:val="20"/>
        </w:rPr>
      </w:pPr>
      <w:r>
        <w:rPr>
          <w:vertAlign w:val="superscript"/>
        </w:rPr>
        <w:footnoteRef/>
      </w:r>
      <w:r>
        <w:rPr>
          <w:sz w:val="20"/>
          <w:szCs w:val="20"/>
        </w:rPr>
        <w:t xml:space="preserve"> Salazar, Pilar. “Falleció Marbe</w:t>
      </w:r>
      <w:r>
        <w:rPr>
          <w:sz w:val="20"/>
          <w:szCs w:val="20"/>
        </w:rPr>
        <w:t xml:space="preserve">lla, trans de 28 años: estaba internada tras sufrir ataque” en Agencia Presentes 21 de abril de 2020. Accesible en: </w:t>
      </w:r>
      <w:hyperlink r:id="rId27">
        <w:r>
          <w:rPr>
            <w:color w:val="1155CC"/>
            <w:sz w:val="20"/>
            <w:szCs w:val="20"/>
            <w:u w:val="single"/>
          </w:rPr>
          <w:t>https://a</w:t>
        </w:r>
        <w:r>
          <w:rPr>
            <w:color w:val="1155CC"/>
            <w:sz w:val="20"/>
            <w:szCs w:val="20"/>
            <w:u w:val="single"/>
          </w:rPr>
          <w:t>genciapresentes.org/2020/04/21/fallecio-marbella-trans-de-28-anos-estaba-internada-tras-sufrir-ataque/</w:t>
        </w:r>
      </w:hyperlink>
      <w:r>
        <w:rPr>
          <w:sz w:val="20"/>
          <w:szCs w:val="20"/>
        </w:rPr>
        <w:t xml:space="preserve"> </w:t>
      </w:r>
    </w:p>
  </w:footnote>
  <w:footnote w:id="34">
    <w:p w:rsidR="00DD68A6" w:rsidRDefault="00EF78F0">
      <w:pPr>
        <w:spacing w:after="0" w:line="240" w:lineRule="auto"/>
        <w:rPr>
          <w:sz w:val="20"/>
          <w:szCs w:val="20"/>
        </w:rPr>
      </w:pPr>
      <w:r>
        <w:rPr>
          <w:vertAlign w:val="superscript"/>
        </w:rPr>
        <w:footnoteRef/>
      </w:r>
      <w:r>
        <w:rPr>
          <w:sz w:val="20"/>
          <w:szCs w:val="20"/>
        </w:rPr>
        <w:t xml:space="preserve"> Salazar, Pilar. “Doble crimen de odio de una pareja gay en Guatemala” en Agencia Presentes del 21 de mayo de 2020. Accesible en: </w:t>
      </w:r>
      <w:hyperlink r:id="rId28">
        <w:r>
          <w:rPr>
            <w:color w:val="1155CC"/>
            <w:sz w:val="20"/>
            <w:szCs w:val="20"/>
            <w:u w:val="single"/>
          </w:rPr>
          <w:t>https://agenciapresentes.org/2020/05/21/doble-crimen-de-odio-de-una-pareja-gay-en-guatemala/</w:t>
        </w:r>
      </w:hyperlink>
      <w:r>
        <w:rPr>
          <w:sz w:val="20"/>
          <w:szCs w:val="20"/>
        </w:rPr>
        <w:t xml:space="preserve"> </w:t>
      </w:r>
    </w:p>
  </w:footnote>
  <w:footnote w:id="35">
    <w:p w:rsidR="00DD68A6" w:rsidRDefault="00EF78F0">
      <w:pPr>
        <w:spacing w:after="0" w:line="240" w:lineRule="auto"/>
        <w:jc w:val="both"/>
        <w:rPr>
          <w:sz w:val="20"/>
          <w:szCs w:val="20"/>
        </w:rPr>
      </w:pPr>
      <w:r>
        <w:rPr>
          <w:vertAlign w:val="superscript"/>
        </w:rPr>
        <w:footnoteRef/>
      </w:r>
      <w:r>
        <w:rPr>
          <w:sz w:val="20"/>
          <w:szCs w:val="20"/>
        </w:rPr>
        <w:t xml:space="preserve"> PDH Guatemala [@PDHgt] (23 de julio de 2020). </w:t>
      </w:r>
      <w:r>
        <w:rPr>
          <w:i/>
          <w:sz w:val="20"/>
          <w:szCs w:val="20"/>
        </w:rPr>
        <w:t xml:space="preserve">Defensoría de Personas </w:t>
      </w:r>
      <w:r>
        <w:rPr>
          <w:i/>
          <w:sz w:val="20"/>
          <w:szCs w:val="20"/>
        </w:rPr>
        <w:t>de #DiversidadSexual, verificó vía telefónica en Hospital de Amatitlán y con @PNCdeGuatemala  situación de mujer trans a quien un guardia de seguridad privado le disparó, provocandole heridas en el abdomen, de acuerdo a video difundido en redes sociales.</w:t>
      </w:r>
      <w:r>
        <w:rPr>
          <w:sz w:val="20"/>
          <w:szCs w:val="20"/>
        </w:rPr>
        <w:t xml:space="preserve"> T</w:t>
      </w:r>
      <w:r>
        <w:rPr>
          <w:sz w:val="20"/>
          <w:szCs w:val="20"/>
        </w:rPr>
        <w:t xml:space="preserve">witter: </w:t>
      </w:r>
      <w:hyperlink r:id="rId29">
        <w:r>
          <w:rPr>
            <w:color w:val="1155CC"/>
            <w:sz w:val="20"/>
            <w:szCs w:val="20"/>
            <w:u w:val="single"/>
          </w:rPr>
          <w:t>https://twitter.com/PDHgt/status/1286478312240537600</w:t>
        </w:r>
      </w:hyperlink>
      <w:r>
        <w:rPr>
          <w:sz w:val="20"/>
          <w:szCs w:val="20"/>
        </w:rPr>
        <w:t xml:space="preserve"> </w:t>
      </w:r>
    </w:p>
  </w:footnote>
  <w:footnote w:id="36">
    <w:p w:rsidR="00DD68A6" w:rsidRDefault="00EF78F0">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Emisoras Unidas “La ONU condena asesinato de mujer transgénero salvadoreña en Guatemala. 2 de agosto 2020.  Accesible en</w:t>
      </w:r>
      <w:r>
        <w:rPr>
          <w:color w:val="000000"/>
          <w:sz w:val="20"/>
          <w:szCs w:val="20"/>
        </w:rPr>
        <w:t xml:space="preserve">: </w:t>
      </w:r>
      <w:hyperlink r:id="rId30">
        <w:r>
          <w:rPr>
            <w:color w:val="0563C1"/>
            <w:sz w:val="20"/>
            <w:szCs w:val="20"/>
            <w:u w:val="single"/>
          </w:rPr>
          <w:t>https://emisorasunidas.com/2020/08/02/onu-condena-asesinato-transgenero/</w:t>
        </w:r>
      </w:hyperlink>
      <w:r>
        <w:rPr>
          <w:color w:val="000000"/>
          <w:sz w:val="20"/>
          <w:szCs w:val="20"/>
        </w:rPr>
        <w:t xml:space="preserve"> </w:t>
      </w:r>
    </w:p>
  </w:footnote>
  <w:footnote w:id="37">
    <w:p w:rsidR="00DD68A6" w:rsidRDefault="00EF78F0">
      <w:pPr>
        <w:spacing w:after="0" w:line="240" w:lineRule="auto"/>
        <w:rPr>
          <w:sz w:val="20"/>
          <w:szCs w:val="20"/>
        </w:rPr>
      </w:pPr>
      <w:r>
        <w:rPr>
          <w:vertAlign w:val="superscript"/>
        </w:rPr>
        <w:footnoteRef/>
      </w:r>
      <w:r>
        <w:rPr>
          <w:sz w:val="20"/>
          <w:szCs w:val="20"/>
        </w:rPr>
        <w:t xml:space="preserve"> Visibles [@visibles_gt] (3 de agosto de 2020) </w:t>
      </w:r>
      <w:r>
        <w:rPr>
          <w:i/>
          <w:sz w:val="20"/>
          <w:szCs w:val="20"/>
        </w:rPr>
        <w:t>Hoy, en Chinautla, asesinaron a un hombre gay. Ante la violencia, las justicia debe prevalecer. Exigimos al @MPguatemala investigar este hecho y a los juzga</w:t>
      </w:r>
      <w:r>
        <w:rPr>
          <w:i/>
          <w:sz w:val="20"/>
          <w:szCs w:val="20"/>
        </w:rPr>
        <w:t xml:space="preserve">dos procesar el caso. La violencia contra las personas LGBTIQ tiene que parar #AltoAlOdio. </w:t>
      </w:r>
      <w:r>
        <w:rPr>
          <w:sz w:val="20"/>
          <w:szCs w:val="20"/>
        </w:rPr>
        <w:t xml:space="preserve">Accesible en: </w:t>
      </w:r>
      <w:hyperlink r:id="rId31">
        <w:r>
          <w:rPr>
            <w:color w:val="1155CC"/>
            <w:sz w:val="20"/>
            <w:szCs w:val="20"/>
            <w:u w:val="single"/>
          </w:rPr>
          <w:t>https://twitter.com/visibles_gt/status/1290473600198283264?s=21</w:t>
        </w:r>
      </w:hyperlink>
      <w:r>
        <w:rPr>
          <w:sz w:val="20"/>
          <w:szCs w:val="20"/>
        </w:rPr>
        <w:t xml:space="preserve">  </w:t>
      </w:r>
    </w:p>
  </w:footnote>
  <w:footnote w:id="38">
    <w:p w:rsidR="00DD68A6" w:rsidRDefault="00EF78F0">
      <w:pPr>
        <w:spacing w:after="0" w:line="240" w:lineRule="auto"/>
        <w:jc w:val="both"/>
        <w:rPr>
          <w:sz w:val="20"/>
          <w:szCs w:val="20"/>
        </w:rPr>
      </w:pPr>
      <w:r>
        <w:rPr>
          <w:vertAlign w:val="superscript"/>
        </w:rPr>
        <w:footnoteRef/>
      </w:r>
      <w:r>
        <w:rPr>
          <w:sz w:val="20"/>
          <w:szCs w:val="20"/>
        </w:rPr>
        <w:t xml:space="preserve">  Salazar, Pilar. “Asesinaron a dos activistas LGBT en Guatemala” en Agencia Presentes </w:t>
      </w:r>
      <w:r>
        <w:rPr>
          <w:sz w:val="20"/>
          <w:szCs w:val="20"/>
        </w:rPr>
        <w:t xml:space="preserve">el 15 de enero de 2020. Accesible en: </w:t>
      </w:r>
      <w:hyperlink r:id="rId32">
        <w:r>
          <w:rPr>
            <w:color w:val="0563C1"/>
            <w:sz w:val="20"/>
            <w:szCs w:val="20"/>
            <w:u w:val="single"/>
          </w:rPr>
          <w:t>https://agenciapresentes.org/2020/01/15/asesinaron-a-dos-activistas-lgbt-en-guatemala/</w:t>
        </w:r>
      </w:hyperlink>
      <w:r>
        <w:rPr>
          <w:sz w:val="20"/>
          <w:szCs w:val="20"/>
        </w:rPr>
        <w:t xml:space="preserve"> </w:t>
      </w:r>
    </w:p>
  </w:footnote>
  <w:footnote w:id="39">
    <w:p w:rsidR="00DD68A6" w:rsidRDefault="00EF78F0">
      <w:pPr>
        <w:spacing w:after="0" w:line="240" w:lineRule="auto"/>
        <w:jc w:val="both"/>
        <w:rPr>
          <w:sz w:val="20"/>
          <w:szCs w:val="20"/>
        </w:rPr>
      </w:pPr>
      <w:r>
        <w:rPr>
          <w:vertAlign w:val="superscript"/>
        </w:rPr>
        <w:footnoteRef/>
      </w:r>
      <w:r>
        <w:rPr>
          <w:sz w:val="20"/>
          <w:szCs w:val="20"/>
        </w:rPr>
        <w:t xml:space="preserve"> Rosales Solano. “La disidencia sexual ante la pandemia” en El Periódico Opinión de 4 de julio de 2020. Accesible en: </w:t>
      </w:r>
      <w:hyperlink r:id="rId33">
        <w:r>
          <w:rPr>
            <w:color w:val="1155CC"/>
            <w:sz w:val="20"/>
            <w:szCs w:val="20"/>
            <w:u w:val="single"/>
          </w:rPr>
          <w:t>https://elperiodico.com.gt/opinion</w:t>
        </w:r>
        <w:r>
          <w:rPr>
            <w:color w:val="1155CC"/>
            <w:sz w:val="20"/>
            <w:szCs w:val="20"/>
            <w:u w:val="single"/>
          </w:rPr>
          <w:t>/2020/07/04/la-disidencia-sexual-ante-la-pandemia/</w:t>
        </w:r>
      </w:hyperlink>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8A6" w:rsidRDefault="00EF78F0">
    <w:r>
      <w:rPr>
        <w:noProof/>
        <w:lang w:val="en-GB" w:eastAsia="en-GB"/>
      </w:rPr>
      <w:drawing>
        <wp:anchor distT="114300" distB="114300" distL="114300" distR="114300" simplePos="0" relativeHeight="251658240" behindDoc="0" locked="0" layoutInCell="1" hidden="0" allowOverlap="1">
          <wp:simplePos x="0" y="0"/>
          <wp:positionH relativeFrom="column">
            <wp:posOffset>4658678</wp:posOffset>
          </wp:positionH>
          <wp:positionV relativeFrom="paragraph">
            <wp:posOffset>159299</wp:posOffset>
          </wp:positionV>
          <wp:extent cx="827722" cy="402676"/>
          <wp:effectExtent l="0" t="0" r="0" b="0"/>
          <wp:wrapTopAndBottom distT="114300" distB="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27722" cy="402676"/>
                  </a:xfrm>
                  <a:prstGeom prst="rect">
                    <a:avLst/>
                  </a:prstGeom>
                  <a:ln/>
                </pic:spPr>
              </pic:pic>
            </a:graphicData>
          </a:graphic>
        </wp:anchor>
      </w:drawing>
    </w:r>
    <w:r>
      <w:rPr>
        <w:noProof/>
        <w:lang w:val="en-GB" w:eastAsia="en-GB"/>
      </w:rPr>
      <w:drawing>
        <wp:anchor distT="114300" distB="114300" distL="114300" distR="114300" simplePos="0" relativeHeight="251659264" behindDoc="0" locked="0" layoutInCell="1" hidden="0" allowOverlap="1">
          <wp:simplePos x="0" y="0"/>
          <wp:positionH relativeFrom="column">
            <wp:posOffset>3</wp:posOffset>
          </wp:positionH>
          <wp:positionV relativeFrom="paragraph">
            <wp:posOffset>257175</wp:posOffset>
          </wp:positionV>
          <wp:extent cx="587307" cy="400050"/>
          <wp:effectExtent l="0" t="0" r="0" b="0"/>
          <wp:wrapTopAndBottom distT="114300" distB="11430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587307" cy="40005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8A6" w:rsidRDefault="00DD68A6"/>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9D7DF2"/>
    <w:multiLevelType w:val="multilevel"/>
    <w:tmpl w:val="18C4898A"/>
    <w:lvl w:ilvl="0">
      <w:start w:val="1"/>
      <w:numFmt w:val="decimal"/>
      <w:lvlText w:val="%1."/>
      <w:lvlJc w:val="left"/>
      <w:pPr>
        <w:ind w:left="0" w:firstLine="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8A6"/>
    <w:rsid w:val="00DD68A6"/>
    <w:rsid w:val="00EF78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E0BBD0-C204-40A4-9F88-79A4FDE86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GT"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4FE5"/>
    <w:rPr>
      <w:lang w:eastAsia="es-GT"/>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uiPriority w:val="99"/>
    <w:unhideWhenUsed/>
    <w:rsid w:val="00144FE5"/>
    <w:rPr>
      <w:color w:val="0563C1" w:themeColor="hyperlink"/>
      <w:u w:val="single"/>
    </w:rPr>
  </w:style>
  <w:style w:type="paragraph" w:styleId="FootnoteText">
    <w:name w:val="footnote text"/>
    <w:basedOn w:val="Normal"/>
    <w:link w:val="FootnoteTextChar"/>
    <w:uiPriority w:val="99"/>
    <w:semiHidden/>
    <w:unhideWhenUsed/>
    <w:rsid w:val="00144FE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44FE5"/>
    <w:rPr>
      <w:rFonts w:ascii="Calibri" w:eastAsia="Calibri" w:hAnsi="Calibri" w:cs="Calibri"/>
      <w:sz w:val="20"/>
      <w:szCs w:val="20"/>
      <w:lang w:eastAsia="es-GT"/>
    </w:rPr>
  </w:style>
  <w:style w:type="character" w:styleId="FootnoteReference">
    <w:name w:val="footnote reference"/>
    <w:basedOn w:val="DefaultParagraphFont"/>
    <w:uiPriority w:val="99"/>
    <w:semiHidden/>
    <w:unhideWhenUsed/>
    <w:rsid w:val="00144FE5"/>
    <w:rPr>
      <w:vertAlign w:val="superscript"/>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hchr.org/SP/ProfessionalInterest/Pages/CESCR.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ohchr.org/SP/HRBodies/CESCR/Pages/Membership.aspx"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twitter.com/AmilcarRiveraGT/status/1114328660096499712" TargetMode="External"/><Relationship Id="rId13" Type="http://schemas.openxmlformats.org/officeDocument/2006/relationships/hyperlink" Target="https://www.congreso.gob.gt/detalle_pdf/iniciativas/66" TargetMode="External"/><Relationship Id="rId18" Type="http://schemas.openxmlformats.org/officeDocument/2006/relationships/hyperlink" Target="https://www.dw.com/es/la-onu-condena-los-asesinatos-de-personas-lgbti-en-honduras/a-49603558" TargetMode="External"/><Relationship Id="rId26" Type="http://schemas.openxmlformats.org/officeDocument/2006/relationships/hyperlink" Target="https://agenciapresentes.org/2020/03/23/asesinan-a-trans-de-32-anos-en-plena-crisis-de-salud-la-violencia-en-nuestra-contra-no-se-detiene/" TargetMode="External"/><Relationship Id="rId3" Type="http://schemas.openxmlformats.org/officeDocument/2006/relationships/hyperlink" Target="https://www.facebook.com/htransgt" TargetMode="External"/><Relationship Id="rId21" Type="http://schemas.openxmlformats.org/officeDocument/2006/relationships/hyperlink" Target="https://nomada.gt/identidades/queer/madre-de-joven-gay-asesinado-el-es-una-reina-y-como-reina-que-es-quiero-justicia/" TargetMode="External"/><Relationship Id="rId7" Type="http://schemas.openxmlformats.org/officeDocument/2006/relationships/hyperlink" Target="https://www.youtube.com/watch?v=7mGA-2tGudA" TargetMode="External"/><Relationship Id="rId12" Type="http://schemas.openxmlformats.org/officeDocument/2006/relationships/hyperlink" Target="https://twitter.com/familiaimporta/status/1280187115784019975" TargetMode="External"/><Relationship Id="rId17" Type="http://schemas.openxmlformats.org/officeDocument/2006/relationships/hyperlink" Target="https://www.oas.org/es/cidh/prensa/comunicados/2019/176.asp" TargetMode="External"/><Relationship Id="rId25" Type="http://schemas.openxmlformats.org/officeDocument/2006/relationships/hyperlink" Target="https://agenciapresentes.org/2020/03/10/transfemicidio-en-guatemala-a-wicha-la-raparon-y-mutilaron/" TargetMode="External"/><Relationship Id="rId33" Type="http://schemas.openxmlformats.org/officeDocument/2006/relationships/hyperlink" Target="https://elperiodico.com.gt/opinion/2020/07/04/la-disidencia-sexual-ante-la-pandemia/" TargetMode="External"/><Relationship Id="rId2" Type="http://schemas.openxmlformats.org/officeDocument/2006/relationships/hyperlink" Target="https://visibles.gt/" TargetMode="External"/><Relationship Id="rId16" Type="http://schemas.openxmlformats.org/officeDocument/2006/relationships/hyperlink" Target="https://twitter.com/Lared1061/status/1207327125382012932" TargetMode="External"/><Relationship Id="rId20" Type="http://schemas.openxmlformats.org/officeDocument/2006/relationships/hyperlink" Target="https://twitter.com/apoyomutuo/status/1278355366032670721" TargetMode="External"/><Relationship Id="rId29" Type="http://schemas.openxmlformats.org/officeDocument/2006/relationships/hyperlink" Target="https://twitter.com/PDHgt/status/1286478312240537600" TargetMode="External"/><Relationship Id="rId1" Type="http://schemas.openxmlformats.org/officeDocument/2006/relationships/hyperlink" Target="https://www.ohchr.org/SP/HRBodies/CESCR/Pages/CESCRIndex.aspx" TargetMode="External"/><Relationship Id="rId6" Type="http://schemas.openxmlformats.org/officeDocument/2006/relationships/hyperlink" Target="https://www.plazapublica.com.gt/content/morales-cierra-la-puerta-la-cicig-y-amaga-con-autogolpe-de-estado-con-musica-de-mariachis-de" TargetMode="External"/><Relationship Id="rId11" Type="http://schemas.openxmlformats.org/officeDocument/2006/relationships/hyperlink" Target="https://twitter.com/familiaimporta/status/1278141635847761925" TargetMode="External"/><Relationship Id="rId24" Type="http://schemas.openxmlformats.org/officeDocument/2006/relationships/hyperlink" Target="https://agenciapresentes.org/2020/01/15/asesinaron-a-dos-activistas-lgbt-en-guatemala/" TargetMode="External"/><Relationship Id="rId32" Type="http://schemas.openxmlformats.org/officeDocument/2006/relationships/hyperlink" Target="https://agenciapresentes.org/2020/01/15/asesinaron-a-dos-activistas-lgbt-en-guatemala/" TargetMode="External"/><Relationship Id="rId5" Type="http://schemas.openxmlformats.org/officeDocument/2006/relationships/hyperlink" Target="https://cnbguatemala.org/index.php?search=LGBT&amp;title=Especial%3ABuscar&amp;profile=default&amp;fulltext=1" TargetMode="External"/><Relationship Id="rId15" Type="http://schemas.openxmlformats.org/officeDocument/2006/relationships/hyperlink" Target="https://www.congreso.gob.gt/detalle_pdf/iniciativas/5424" TargetMode="External"/><Relationship Id="rId23" Type="http://schemas.openxmlformats.org/officeDocument/2006/relationships/hyperlink" Target="https://elperiodico.com.gt/opinion/2020/07/04/la-disidencia-sexual-ante-la-pandemia/" TargetMode="External"/><Relationship Id="rId28" Type="http://schemas.openxmlformats.org/officeDocument/2006/relationships/hyperlink" Target="https://agenciapresentes.org/2020/05/21/doble-crimen-de-odio-de-una-pareja-gay-en-guatemala/" TargetMode="External"/><Relationship Id="rId10" Type="http://schemas.openxmlformats.org/officeDocument/2006/relationships/hyperlink" Target="https://twitter.com/JordanRodas/status/1277256094335864832" TargetMode="External"/><Relationship Id="rId19" Type="http://schemas.openxmlformats.org/officeDocument/2006/relationships/hyperlink" Target="https://visibles.gt/investigacion-violencias-contra-la-poblacion-lgbtiq/" TargetMode="External"/><Relationship Id="rId31" Type="http://schemas.openxmlformats.org/officeDocument/2006/relationships/hyperlink" Target="https://twitter.com/visibles_gt/status/1290473600198283264?s=21" TargetMode="External"/><Relationship Id="rId4" Type="http://schemas.openxmlformats.org/officeDocument/2006/relationships/hyperlink" Target="https://www.prensalibre.com/guatemala/politica/iniciativas-opuestas-causan-polemica-en-el-congreso/" TargetMode="External"/><Relationship Id="rId9" Type="http://schemas.openxmlformats.org/officeDocument/2006/relationships/hyperlink" Target="https://www.publinews.gt/gt/noticias/2019/03/03/isaac-farchi-y-ricardo-flores-asturias-binomio-presidencial-viva.html" TargetMode="External"/><Relationship Id="rId14" Type="http://schemas.openxmlformats.org/officeDocument/2006/relationships/hyperlink" Target="https://www.congreso.gob.gt/detalle_pdf/iniciativas/71" TargetMode="External"/><Relationship Id="rId22" Type="http://schemas.openxmlformats.org/officeDocument/2006/relationships/hyperlink" Target="https://www.publinews.gt/gt/noticias/2019/04/23/lesbianas-asesinadas-ruta-jalapa.html" TargetMode="External"/><Relationship Id="rId27" Type="http://schemas.openxmlformats.org/officeDocument/2006/relationships/hyperlink" Target="https://agenciapresentes.org/2020/04/21/fallecio-marbella-trans-de-28-anos-estaba-internada-tras-sufrir-ataque/" TargetMode="External"/><Relationship Id="rId30" Type="http://schemas.openxmlformats.org/officeDocument/2006/relationships/hyperlink" Target="https://emisorasunidas.com/2020/08/02/onu-condena-asesinato-transgener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4gUgQYmUfqv4DW7wNC5FDEjpgXQ==">AMUW2mXFXfS9z7ABM2gmBI7enVu6Nb5GnzP4rQWLHpxUv9Iis7/k2OMhLutx3Oc/R4VhqH8GnwYpK907b8UCmd5t+3DEPIZf7jVJKR2EGuEq45taBlh5rW2QrWn8/o7/WbYwmzJaAIouOSC1wotDocgjyorqQFgsP6ozIu2Jzk5xDlHH6eYmfjfxw1/AXI7QErAyhXZmXEsPU+/NCMkuQi/3n9YEgmIaduYJuFsV/oEvUGRAwpCaMtva4XUIbPWDrNQQT+TiIZNNVrEZLczVPr1rmjqC5DXtJQ5bS3nbfW1HHpSYzA9Ws7MhXhZgPBdI2UlduS6Iq/UP2HUglynUDMTZiytrOUhoxXsa7PX1pInbSt/s4gcb9m/GCe7YHbh9yJkPqKJKWFm74wawEjfC3btuBTFuX6Kd3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9B12235C-0876-46B7-8898-AE7C01DB9EBF}"/>
</file>

<file path=customXml/itemProps3.xml><?xml version="1.0" encoding="utf-8"?>
<ds:datastoreItem xmlns:ds="http://schemas.openxmlformats.org/officeDocument/2006/customXml" ds:itemID="{D28333F2-6041-4B37-97D4-A1854BE3AC51}"/>
</file>

<file path=customXml/itemProps4.xml><?xml version="1.0" encoding="utf-8"?>
<ds:datastoreItem xmlns:ds="http://schemas.openxmlformats.org/officeDocument/2006/customXml" ds:itemID="{1AEF8596-7529-4D4A-9445-0E048C282615}"/>
</file>

<file path=docProps/app.xml><?xml version="1.0" encoding="utf-8"?>
<Properties xmlns="http://schemas.openxmlformats.org/officeDocument/2006/extended-properties" xmlns:vt="http://schemas.openxmlformats.org/officeDocument/2006/docPropsVTypes">
  <Template>Normal.dotm</Template>
  <TotalTime>0</TotalTime>
  <Pages>5</Pages>
  <Words>3547</Words>
  <Characters>20221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Marisa</dc:creator>
  <cp:lastModifiedBy>Tolaïni Sabine</cp:lastModifiedBy>
  <cp:revision>2</cp:revision>
  <dcterms:created xsi:type="dcterms:W3CDTF">2020-08-21T10:13:00Z</dcterms:created>
  <dcterms:modified xsi:type="dcterms:W3CDTF">2020-08-21T10:13:00Z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