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6F8" w:rsidRDefault="00FA06F8" w:rsidP="00FA06F8"/>
    <w:p w:rsidR="00FA06F8" w:rsidRDefault="00FA06F8" w:rsidP="00FA06F8">
      <w:pPr>
        <w:rPr>
          <w:rFonts w:ascii="Arial" w:hAnsi="Arial" w:cs="Arial"/>
          <w:sz w:val="24"/>
          <w:szCs w:val="24"/>
        </w:rPr>
      </w:pPr>
    </w:p>
    <w:p w:rsidR="00FA06F8" w:rsidRDefault="00FA06F8" w:rsidP="00FA06F8">
      <w:pPr>
        <w:rPr>
          <w:rFonts w:ascii="Arial" w:hAnsi="Arial" w:cs="Arial"/>
          <w:sz w:val="24"/>
          <w:szCs w:val="24"/>
        </w:rPr>
      </w:pPr>
    </w:p>
    <w:p w:rsidR="00FA06F8" w:rsidRPr="00FA06F8" w:rsidRDefault="00FA06F8" w:rsidP="00FA06F8">
      <w:pPr>
        <w:jc w:val="center"/>
        <w:rPr>
          <w:rFonts w:ascii="Arial" w:hAnsi="Arial" w:cs="Arial"/>
          <w:sz w:val="24"/>
          <w:szCs w:val="24"/>
          <w:u w:val="single"/>
        </w:rPr>
      </w:pPr>
      <w:r w:rsidRPr="00FA06F8">
        <w:rPr>
          <w:rFonts w:ascii="Arial" w:hAnsi="Arial" w:cs="Arial"/>
          <w:sz w:val="24"/>
          <w:szCs w:val="24"/>
          <w:u w:val="single"/>
        </w:rPr>
        <w:t>DIÁLOGO CON EL COMITÉ CONTRA LA DESAPARICIÓN FORZADA, 17/09/2021</w:t>
      </w:r>
    </w:p>
    <w:p w:rsidR="00FA06F8" w:rsidRPr="00FA06F8" w:rsidRDefault="00FA06F8" w:rsidP="00FA06F8">
      <w:pPr>
        <w:jc w:val="center"/>
        <w:rPr>
          <w:rFonts w:ascii="Arial" w:hAnsi="Arial" w:cs="Arial"/>
          <w:sz w:val="24"/>
          <w:szCs w:val="24"/>
          <w:u w:val="single"/>
        </w:rPr>
      </w:pPr>
      <w:r w:rsidRPr="00FA06F8">
        <w:rPr>
          <w:rFonts w:ascii="Arial" w:hAnsi="Arial" w:cs="Arial"/>
          <w:sz w:val="24"/>
          <w:szCs w:val="24"/>
          <w:u w:val="single"/>
        </w:rPr>
        <w:t>INTERVENCIÓN INICIAL ESPAÑA</w:t>
      </w:r>
    </w:p>
    <w:p w:rsidR="00FA06F8" w:rsidRDefault="00FA06F8" w:rsidP="00FA06F8"/>
    <w:p w:rsidR="00EA358D" w:rsidRDefault="00EA358D" w:rsidP="00FA06F8">
      <w:pPr>
        <w:jc w:val="both"/>
        <w:rPr>
          <w:rFonts w:ascii="Arial" w:hAnsi="Arial" w:cs="Arial"/>
          <w:sz w:val="24"/>
          <w:szCs w:val="24"/>
        </w:rPr>
      </w:pPr>
    </w:p>
    <w:p w:rsidR="00E86FB0" w:rsidRPr="00E86FB0" w:rsidRDefault="00E86FB0" w:rsidP="00E86FB0">
      <w:pPr>
        <w:jc w:val="both"/>
        <w:rPr>
          <w:rFonts w:ascii="Arial" w:hAnsi="Arial" w:cs="Arial"/>
          <w:sz w:val="24"/>
          <w:szCs w:val="24"/>
        </w:rPr>
      </w:pPr>
      <w:r w:rsidRPr="00E86FB0">
        <w:rPr>
          <w:rFonts w:ascii="Arial" w:hAnsi="Arial" w:cs="Arial"/>
          <w:sz w:val="24"/>
          <w:szCs w:val="24"/>
        </w:rPr>
        <w:t>Señor Presidente, Señoras</w:t>
      </w:r>
      <w:r>
        <w:rPr>
          <w:rFonts w:ascii="Arial" w:hAnsi="Arial" w:cs="Arial"/>
          <w:sz w:val="24"/>
          <w:szCs w:val="24"/>
        </w:rPr>
        <w:t xml:space="preserve"> y Señores miembros del Comité,</w:t>
      </w:r>
    </w:p>
    <w:p w:rsidR="00E86FB0" w:rsidRPr="00E86FB0" w:rsidRDefault="002F0969" w:rsidP="00E86FB0">
      <w:pPr>
        <w:jc w:val="both"/>
        <w:rPr>
          <w:rFonts w:ascii="Arial" w:hAnsi="Arial" w:cs="Arial"/>
          <w:sz w:val="24"/>
          <w:szCs w:val="24"/>
        </w:rPr>
      </w:pPr>
      <w:r>
        <w:rPr>
          <w:rFonts w:ascii="Arial" w:hAnsi="Arial" w:cs="Arial"/>
          <w:sz w:val="24"/>
          <w:szCs w:val="24"/>
        </w:rPr>
        <w:t>e</w:t>
      </w:r>
      <w:r w:rsidR="00DB5B72">
        <w:rPr>
          <w:rFonts w:ascii="Arial" w:hAnsi="Arial" w:cs="Arial"/>
          <w:sz w:val="24"/>
          <w:szCs w:val="24"/>
        </w:rPr>
        <w:t>s para mí un honor encabezar esta</w:t>
      </w:r>
      <w:r w:rsidR="00E86FB0" w:rsidRPr="00E86FB0">
        <w:rPr>
          <w:rFonts w:ascii="Arial" w:hAnsi="Arial" w:cs="Arial"/>
          <w:sz w:val="24"/>
          <w:szCs w:val="24"/>
        </w:rPr>
        <w:t xml:space="preserve"> delegaci</w:t>
      </w:r>
      <w:r w:rsidR="00E86FB0">
        <w:rPr>
          <w:rFonts w:ascii="Arial" w:hAnsi="Arial" w:cs="Arial"/>
          <w:sz w:val="24"/>
          <w:szCs w:val="24"/>
        </w:rPr>
        <w:t>ón</w:t>
      </w:r>
      <w:r w:rsidR="00DB5B72">
        <w:rPr>
          <w:rFonts w:ascii="Arial" w:hAnsi="Arial" w:cs="Arial"/>
          <w:sz w:val="24"/>
          <w:szCs w:val="24"/>
        </w:rPr>
        <w:t>, de marcado carácter técnico, que me acompaña en la sala y desde Madrid, para examinar con el Comité</w:t>
      </w:r>
      <w:r w:rsidR="00E86FB0">
        <w:rPr>
          <w:rFonts w:ascii="Arial" w:hAnsi="Arial" w:cs="Arial"/>
          <w:sz w:val="24"/>
          <w:szCs w:val="24"/>
        </w:rPr>
        <w:t xml:space="preserve"> la información complementaria presentada por España en virtud del art</w:t>
      </w:r>
      <w:r w:rsidR="00DB5B72">
        <w:rPr>
          <w:rFonts w:ascii="Arial" w:hAnsi="Arial" w:cs="Arial"/>
          <w:sz w:val="24"/>
          <w:szCs w:val="24"/>
        </w:rPr>
        <w:t xml:space="preserve">ículo 29.4 de la Convención. </w:t>
      </w:r>
    </w:p>
    <w:p w:rsidR="00E86FB0" w:rsidRPr="00E86FB0" w:rsidRDefault="00E86FB0" w:rsidP="00E86FB0">
      <w:pPr>
        <w:jc w:val="both"/>
        <w:rPr>
          <w:rFonts w:ascii="Arial" w:hAnsi="Arial" w:cs="Arial"/>
          <w:sz w:val="24"/>
          <w:szCs w:val="24"/>
        </w:rPr>
      </w:pPr>
      <w:r w:rsidRPr="00E86FB0">
        <w:rPr>
          <w:rFonts w:ascii="Arial" w:hAnsi="Arial" w:cs="Arial"/>
          <w:sz w:val="24"/>
          <w:szCs w:val="24"/>
        </w:rPr>
        <w:t>En el ánimo de la delegación española está el propósito de entablar un diálogo fructífero con el Comité. Concebimos este encuentro com</w:t>
      </w:r>
      <w:r w:rsidR="004D5066">
        <w:rPr>
          <w:rFonts w:ascii="Arial" w:hAnsi="Arial" w:cs="Arial"/>
          <w:sz w:val="24"/>
          <w:szCs w:val="24"/>
        </w:rPr>
        <w:t>o una oportunidad</w:t>
      </w:r>
      <w:r w:rsidRPr="00E86FB0">
        <w:rPr>
          <w:rFonts w:ascii="Arial" w:hAnsi="Arial" w:cs="Arial"/>
          <w:sz w:val="24"/>
          <w:szCs w:val="24"/>
        </w:rPr>
        <w:t xml:space="preserve"> de diálogo, de intercambio de información y experiencias y de búsqueda de asesoramiento y de respuestas. </w:t>
      </w:r>
      <w:r w:rsidR="004D5066">
        <w:rPr>
          <w:rFonts w:ascii="Arial" w:hAnsi="Arial" w:cs="Arial"/>
          <w:sz w:val="24"/>
          <w:szCs w:val="24"/>
        </w:rPr>
        <w:t xml:space="preserve"> </w:t>
      </w:r>
    </w:p>
    <w:p w:rsidR="00417DAF" w:rsidRDefault="00417DAF" w:rsidP="00DE5874">
      <w:pPr>
        <w:jc w:val="both"/>
        <w:rPr>
          <w:rFonts w:ascii="Arial" w:hAnsi="Arial" w:cs="Arial"/>
          <w:sz w:val="24"/>
          <w:szCs w:val="24"/>
        </w:rPr>
      </w:pPr>
      <w:r>
        <w:rPr>
          <w:rFonts w:ascii="Arial" w:hAnsi="Arial" w:cs="Arial"/>
          <w:sz w:val="24"/>
          <w:szCs w:val="24"/>
        </w:rPr>
        <w:t>Sr. Presidente,</w:t>
      </w:r>
    </w:p>
    <w:p w:rsidR="00F47A6B" w:rsidRDefault="00146631" w:rsidP="00DB5B72">
      <w:pPr>
        <w:jc w:val="both"/>
        <w:rPr>
          <w:rFonts w:ascii="Arial" w:hAnsi="Arial" w:cs="Arial"/>
          <w:sz w:val="24"/>
          <w:szCs w:val="24"/>
        </w:rPr>
      </w:pPr>
      <w:r>
        <w:rPr>
          <w:rFonts w:ascii="Arial" w:hAnsi="Arial" w:cs="Arial"/>
          <w:sz w:val="24"/>
          <w:szCs w:val="24"/>
        </w:rPr>
        <w:lastRenderedPageBreak/>
        <w:t>En mi intervención inicial</w:t>
      </w:r>
      <w:r w:rsidR="00F47A6B">
        <w:rPr>
          <w:rFonts w:ascii="Arial" w:hAnsi="Arial" w:cs="Arial"/>
          <w:sz w:val="24"/>
          <w:szCs w:val="24"/>
        </w:rPr>
        <w:t xml:space="preserve"> me propongo referirme</w:t>
      </w:r>
      <w:r w:rsidR="00F47A6B" w:rsidRPr="00F47A6B">
        <w:rPr>
          <w:rFonts w:ascii="Arial" w:hAnsi="Arial" w:cs="Arial"/>
          <w:sz w:val="24"/>
          <w:szCs w:val="24"/>
        </w:rPr>
        <w:t xml:space="preserve">, necesariamente a grandes rasgos, </w:t>
      </w:r>
      <w:r w:rsidR="00F47A6B">
        <w:rPr>
          <w:rFonts w:ascii="Arial" w:hAnsi="Arial" w:cs="Arial"/>
          <w:sz w:val="24"/>
          <w:szCs w:val="24"/>
        </w:rPr>
        <w:t xml:space="preserve">a </w:t>
      </w:r>
      <w:r w:rsidR="00F47A6B" w:rsidRPr="00F47A6B">
        <w:rPr>
          <w:rFonts w:ascii="Arial" w:hAnsi="Arial" w:cs="Arial"/>
          <w:sz w:val="24"/>
          <w:szCs w:val="24"/>
        </w:rPr>
        <w:t>l</w:t>
      </w:r>
      <w:r w:rsidR="00F47A6B">
        <w:rPr>
          <w:rFonts w:ascii="Arial" w:hAnsi="Arial" w:cs="Arial"/>
          <w:sz w:val="24"/>
          <w:szCs w:val="24"/>
        </w:rPr>
        <w:t xml:space="preserve">os elementos más destacados de los informes trasladados al Comité como base para el presente diálogo, así como, en su caso, actualizar la información remitida. </w:t>
      </w:r>
    </w:p>
    <w:p w:rsidR="00417DAF" w:rsidRDefault="00F47A6B" w:rsidP="00DB5B72">
      <w:pPr>
        <w:jc w:val="both"/>
        <w:rPr>
          <w:rFonts w:ascii="Arial" w:hAnsi="Arial" w:cs="Arial"/>
          <w:sz w:val="24"/>
          <w:szCs w:val="24"/>
        </w:rPr>
      </w:pPr>
      <w:r>
        <w:rPr>
          <w:rFonts w:ascii="Arial" w:hAnsi="Arial" w:cs="Arial"/>
          <w:sz w:val="24"/>
          <w:szCs w:val="24"/>
        </w:rPr>
        <w:t>Permítame empezar</w:t>
      </w:r>
      <w:r w:rsidR="00564482">
        <w:rPr>
          <w:rFonts w:ascii="Arial" w:hAnsi="Arial" w:cs="Arial"/>
          <w:sz w:val="24"/>
          <w:szCs w:val="24"/>
        </w:rPr>
        <w:t xml:space="preserve"> </w:t>
      </w:r>
      <w:r w:rsidR="00C47C2E">
        <w:rPr>
          <w:rFonts w:ascii="Arial" w:hAnsi="Arial" w:cs="Arial"/>
          <w:sz w:val="24"/>
          <w:szCs w:val="24"/>
        </w:rPr>
        <w:t>reiterando</w:t>
      </w:r>
      <w:r w:rsidR="0046155A">
        <w:rPr>
          <w:rFonts w:ascii="Arial" w:hAnsi="Arial" w:cs="Arial"/>
          <w:sz w:val="24"/>
          <w:szCs w:val="24"/>
        </w:rPr>
        <w:t xml:space="preserve"> que </w:t>
      </w:r>
      <w:r w:rsidR="0046155A" w:rsidRPr="0046155A">
        <w:rPr>
          <w:rFonts w:ascii="Arial" w:hAnsi="Arial" w:cs="Arial"/>
          <w:b/>
          <w:sz w:val="24"/>
          <w:szCs w:val="24"/>
        </w:rPr>
        <w:t>todas las modalidades del delito de desaparición forzada tienen encaje en el Código Penal español</w:t>
      </w:r>
      <w:r w:rsidR="0046155A">
        <w:rPr>
          <w:rFonts w:ascii="Arial" w:hAnsi="Arial" w:cs="Arial"/>
          <w:sz w:val="24"/>
          <w:szCs w:val="24"/>
        </w:rPr>
        <w:t xml:space="preserve">, bien en el artículo 167.2 o en el artículo 607 bis. </w:t>
      </w:r>
      <w:r w:rsidR="00D421B3">
        <w:rPr>
          <w:rFonts w:ascii="Arial" w:hAnsi="Arial" w:cs="Arial"/>
          <w:sz w:val="24"/>
          <w:szCs w:val="24"/>
        </w:rPr>
        <w:t xml:space="preserve"> </w:t>
      </w:r>
    </w:p>
    <w:p w:rsidR="00356187" w:rsidRPr="00356187" w:rsidRDefault="00356187" w:rsidP="00356187">
      <w:pPr>
        <w:jc w:val="both"/>
        <w:rPr>
          <w:rFonts w:ascii="Arial" w:hAnsi="Arial" w:cs="Arial"/>
          <w:sz w:val="24"/>
          <w:szCs w:val="24"/>
        </w:rPr>
      </w:pPr>
      <w:r w:rsidRPr="00356187">
        <w:rPr>
          <w:rFonts w:ascii="Arial" w:hAnsi="Arial" w:cs="Arial"/>
          <w:sz w:val="24"/>
          <w:szCs w:val="24"/>
        </w:rPr>
        <w:t xml:space="preserve">La “desaparición forzada”, </w:t>
      </w:r>
      <w:r w:rsidRPr="0046155A">
        <w:rPr>
          <w:rFonts w:ascii="Arial" w:hAnsi="Arial" w:cs="Arial"/>
          <w:sz w:val="24"/>
          <w:szCs w:val="24"/>
          <w:u w:val="single"/>
        </w:rPr>
        <w:t>con todos los elementos q</w:t>
      </w:r>
      <w:r w:rsidR="0046155A" w:rsidRPr="0046155A">
        <w:rPr>
          <w:rFonts w:ascii="Arial" w:hAnsi="Arial" w:cs="Arial"/>
          <w:sz w:val="24"/>
          <w:szCs w:val="24"/>
          <w:u w:val="single"/>
        </w:rPr>
        <w:t>ue aparecen en el artículo</w:t>
      </w:r>
      <w:r w:rsidRPr="0046155A">
        <w:rPr>
          <w:rFonts w:ascii="Arial" w:hAnsi="Arial" w:cs="Arial"/>
          <w:sz w:val="24"/>
          <w:szCs w:val="24"/>
          <w:u w:val="single"/>
        </w:rPr>
        <w:t xml:space="preserve"> 2 de la Convención</w:t>
      </w:r>
      <w:r w:rsidRPr="00356187">
        <w:rPr>
          <w:rFonts w:ascii="Arial" w:hAnsi="Arial" w:cs="Arial"/>
          <w:sz w:val="24"/>
          <w:szCs w:val="24"/>
        </w:rPr>
        <w:t>, está prevista como delito en el art. 167.2 del Código Penal, aunque este precepto no utilice esa denominación</w:t>
      </w:r>
      <w:r w:rsidR="0046155A">
        <w:rPr>
          <w:rFonts w:ascii="Arial" w:hAnsi="Arial" w:cs="Arial"/>
          <w:sz w:val="24"/>
          <w:szCs w:val="24"/>
        </w:rPr>
        <w:t>, lo que carece de trascendencia práctica</w:t>
      </w:r>
      <w:r w:rsidRPr="00356187">
        <w:rPr>
          <w:rFonts w:ascii="Arial" w:hAnsi="Arial" w:cs="Arial"/>
          <w:sz w:val="24"/>
          <w:szCs w:val="24"/>
        </w:rPr>
        <w:t>. Por otra parte, el art. 607 bis 6º del Código Penal, dentro de los delitos contra la Comunidad Internacional, castiga expresamente la desaparición forzada que se produce como delito de lesa humanidad, es decir, como parte de un ataque generalizado o sistemático contra la población civil o contra una parte de ella.</w:t>
      </w:r>
    </w:p>
    <w:p w:rsidR="00356187" w:rsidRPr="00356187" w:rsidRDefault="00356187" w:rsidP="00356187">
      <w:pPr>
        <w:jc w:val="both"/>
        <w:rPr>
          <w:rFonts w:ascii="Arial" w:hAnsi="Arial" w:cs="Arial"/>
          <w:sz w:val="24"/>
          <w:szCs w:val="24"/>
        </w:rPr>
      </w:pPr>
      <w:r w:rsidRPr="00356187">
        <w:rPr>
          <w:rFonts w:ascii="Arial" w:hAnsi="Arial" w:cs="Arial"/>
          <w:sz w:val="24"/>
          <w:szCs w:val="24"/>
        </w:rPr>
        <w:t xml:space="preserve">La razón por la que el art. 167.2 del Código Penal no utiliza expresamente la denominación “desaparición forzada” es porque históricamente este delito se ha configurado como una modalidad agravada de otros delitos contra la libertad: las detenciones ilegales y el secuestro. </w:t>
      </w:r>
    </w:p>
    <w:p w:rsidR="00356187" w:rsidRDefault="00356187" w:rsidP="00356187">
      <w:pPr>
        <w:jc w:val="both"/>
        <w:rPr>
          <w:rFonts w:ascii="Arial" w:hAnsi="Arial" w:cs="Arial"/>
          <w:sz w:val="24"/>
          <w:szCs w:val="24"/>
        </w:rPr>
      </w:pPr>
      <w:r w:rsidRPr="00356187">
        <w:rPr>
          <w:rFonts w:ascii="Arial" w:hAnsi="Arial" w:cs="Arial"/>
          <w:sz w:val="24"/>
          <w:szCs w:val="24"/>
        </w:rPr>
        <w:t xml:space="preserve">La </w:t>
      </w:r>
      <w:r w:rsidRPr="006D4DCD">
        <w:rPr>
          <w:rFonts w:ascii="Arial" w:hAnsi="Arial" w:cs="Arial"/>
          <w:b/>
          <w:sz w:val="24"/>
          <w:szCs w:val="24"/>
        </w:rPr>
        <w:t>pena del delito de desaparición forzada del art. 167.2 del Código Penal</w:t>
      </w:r>
      <w:r w:rsidRPr="00356187">
        <w:rPr>
          <w:rFonts w:ascii="Arial" w:hAnsi="Arial" w:cs="Arial"/>
          <w:sz w:val="24"/>
          <w:szCs w:val="24"/>
        </w:rPr>
        <w:t xml:space="preserve"> va de 12 años y 6 meses de prisión a 22 años y 6 meses </w:t>
      </w:r>
      <w:r w:rsidRPr="00356187">
        <w:rPr>
          <w:rFonts w:ascii="Arial" w:hAnsi="Arial" w:cs="Arial"/>
          <w:sz w:val="24"/>
          <w:szCs w:val="24"/>
        </w:rPr>
        <w:lastRenderedPageBreak/>
        <w:t>de prisión, pudiendo llegar hasta los 30 años de prisión en algunas modalidades agravadas.</w:t>
      </w:r>
    </w:p>
    <w:p w:rsidR="00C63D88" w:rsidRPr="00356187" w:rsidRDefault="00C63D88" w:rsidP="00356187">
      <w:pPr>
        <w:jc w:val="both"/>
        <w:rPr>
          <w:rFonts w:ascii="Arial" w:hAnsi="Arial" w:cs="Arial"/>
          <w:sz w:val="24"/>
          <w:szCs w:val="24"/>
        </w:rPr>
      </w:pPr>
      <w:r w:rsidRPr="00C63D88">
        <w:rPr>
          <w:rFonts w:ascii="Arial" w:hAnsi="Arial" w:cs="Arial"/>
          <w:sz w:val="24"/>
          <w:szCs w:val="24"/>
        </w:rPr>
        <w:t xml:space="preserve">Por otro lado, con vistas a facilitar la investigación de estos delitos, debe hacerse especial hincapié en el firme compromiso de las autoridades españolas para que todas las </w:t>
      </w:r>
      <w:r w:rsidRPr="00C63D88">
        <w:rPr>
          <w:rFonts w:ascii="Arial" w:hAnsi="Arial" w:cs="Arial"/>
          <w:b/>
          <w:sz w:val="24"/>
          <w:szCs w:val="24"/>
        </w:rPr>
        <w:t>solicitudes de auxilio judicial</w:t>
      </w:r>
      <w:r w:rsidRPr="00C63D88">
        <w:rPr>
          <w:rFonts w:ascii="Arial" w:hAnsi="Arial" w:cs="Arial"/>
          <w:sz w:val="24"/>
          <w:szCs w:val="24"/>
        </w:rPr>
        <w:t xml:space="preserve"> que se reciban se tramiten de forma ágil conforme a las competencias que el Gobierno tiene legalmente atribuidas tanto por los tratados internacionales de los que España es parte como por la normativa interna, dando asimismo una respuesta a todas las solicitudes.</w:t>
      </w:r>
    </w:p>
    <w:p w:rsidR="00356187" w:rsidRPr="00356187" w:rsidRDefault="006D4DCD" w:rsidP="00356187">
      <w:pPr>
        <w:jc w:val="both"/>
        <w:rPr>
          <w:rFonts w:ascii="Arial" w:hAnsi="Arial" w:cs="Arial"/>
          <w:sz w:val="24"/>
          <w:szCs w:val="24"/>
        </w:rPr>
      </w:pPr>
      <w:r>
        <w:rPr>
          <w:rFonts w:ascii="Arial" w:hAnsi="Arial" w:cs="Arial"/>
          <w:sz w:val="24"/>
          <w:szCs w:val="24"/>
        </w:rPr>
        <w:t>En cuanto a</w:t>
      </w:r>
      <w:r w:rsidR="00356187" w:rsidRPr="00356187">
        <w:rPr>
          <w:rFonts w:ascii="Arial" w:hAnsi="Arial" w:cs="Arial"/>
          <w:sz w:val="24"/>
          <w:szCs w:val="24"/>
        </w:rPr>
        <w:t xml:space="preserve">l </w:t>
      </w:r>
      <w:r w:rsidR="00356187" w:rsidRPr="006D4DCD">
        <w:rPr>
          <w:rFonts w:ascii="Arial" w:hAnsi="Arial" w:cs="Arial"/>
          <w:b/>
          <w:sz w:val="24"/>
          <w:szCs w:val="24"/>
        </w:rPr>
        <w:t>concepto de víctima del delito de desaparición forzada</w:t>
      </w:r>
      <w:r>
        <w:rPr>
          <w:rFonts w:ascii="Arial" w:hAnsi="Arial" w:cs="Arial"/>
          <w:sz w:val="24"/>
          <w:szCs w:val="24"/>
        </w:rPr>
        <w:t>, por el que también se ha interesado el Comité en su lista de cuestiones, a</w:t>
      </w:r>
      <w:r w:rsidR="00356187" w:rsidRPr="00356187">
        <w:rPr>
          <w:rFonts w:ascii="Arial" w:hAnsi="Arial" w:cs="Arial"/>
          <w:sz w:val="24"/>
          <w:szCs w:val="24"/>
        </w:rPr>
        <w:t>tendiendo al art. 2 de Estatuto de la</w:t>
      </w:r>
      <w:r>
        <w:rPr>
          <w:rFonts w:ascii="Arial" w:hAnsi="Arial" w:cs="Arial"/>
          <w:sz w:val="24"/>
          <w:szCs w:val="24"/>
        </w:rPr>
        <w:t xml:space="preserve"> Víctima del Delito (Ley 4/2015</w:t>
      </w:r>
      <w:r w:rsidR="00356187" w:rsidRPr="00356187">
        <w:rPr>
          <w:rFonts w:ascii="Arial" w:hAnsi="Arial" w:cs="Arial"/>
          <w:sz w:val="24"/>
          <w:szCs w:val="24"/>
        </w:rPr>
        <w:t>), en el delito de desaparición forzada puede diferenciarse entre “víctimas directas”, que son aquellas sobre las que recae directamente la acción delictiva, es decir, la persona desaparecida, y “víctimas indirectas”, entre las que se incluye expresamente al cónyuge no separado legalmente o de hecho, los hijos de la víctima directa o del cónyuge no separado que conviviera con ellos, la persona vinculada a la víctima por análoga relación de afectividad y los hijos de ella que convivieran con ellos, los progenitores, parientes que se hallen bajo su guarda y personas sujetas a tutela, curatela o acogimiento. En defecto de ellos, se incluirá a los demás parientes en línea recta y a los hermanos.</w:t>
      </w:r>
    </w:p>
    <w:p w:rsidR="00356187" w:rsidRDefault="00356187" w:rsidP="00356187">
      <w:pPr>
        <w:jc w:val="both"/>
        <w:rPr>
          <w:rFonts w:ascii="Arial" w:hAnsi="Arial" w:cs="Arial"/>
          <w:sz w:val="24"/>
          <w:szCs w:val="24"/>
        </w:rPr>
      </w:pPr>
      <w:r w:rsidRPr="00356187">
        <w:rPr>
          <w:rFonts w:ascii="Arial" w:hAnsi="Arial" w:cs="Arial"/>
          <w:sz w:val="24"/>
          <w:szCs w:val="24"/>
        </w:rPr>
        <w:lastRenderedPageBreak/>
        <w:t>El Estatuto de la Víctima del Del</w:t>
      </w:r>
      <w:r w:rsidR="00930133">
        <w:rPr>
          <w:rFonts w:ascii="Arial" w:hAnsi="Arial" w:cs="Arial"/>
          <w:sz w:val="24"/>
          <w:szCs w:val="24"/>
        </w:rPr>
        <w:t>ito</w:t>
      </w:r>
      <w:r w:rsidRPr="00356187">
        <w:rPr>
          <w:rFonts w:ascii="Arial" w:hAnsi="Arial" w:cs="Arial"/>
          <w:sz w:val="24"/>
          <w:szCs w:val="24"/>
        </w:rPr>
        <w:t xml:space="preserve"> reconoce a las víctimas el derecho a recibir información sobre </w:t>
      </w:r>
      <w:r w:rsidRPr="00930133">
        <w:rPr>
          <w:rFonts w:ascii="Arial" w:hAnsi="Arial" w:cs="Arial"/>
          <w:b/>
          <w:sz w:val="24"/>
          <w:szCs w:val="24"/>
        </w:rPr>
        <w:t>indemnizaciones</w:t>
      </w:r>
      <w:r w:rsidRPr="00356187">
        <w:rPr>
          <w:rFonts w:ascii="Arial" w:hAnsi="Arial" w:cs="Arial"/>
          <w:sz w:val="24"/>
          <w:szCs w:val="24"/>
        </w:rPr>
        <w:t xml:space="preserve"> a las que pueda tener acceso y los procedimientos para r</w:t>
      </w:r>
      <w:r w:rsidR="00930133">
        <w:rPr>
          <w:rFonts w:ascii="Arial" w:hAnsi="Arial" w:cs="Arial"/>
          <w:sz w:val="24"/>
          <w:szCs w:val="24"/>
        </w:rPr>
        <w:t>eclamarlas</w:t>
      </w:r>
      <w:r w:rsidRPr="00356187">
        <w:rPr>
          <w:rFonts w:ascii="Arial" w:hAnsi="Arial" w:cs="Arial"/>
          <w:sz w:val="24"/>
          <w:szCs w:val="24"/>
        </w:rPr>
        <w:t>. Entre esas indemnizaciones se encuentran las que resultan de la llamada responsabilidad civ</w:t>
      </w:r>
      <w:r w:rsidR="00930133">
        <w:rPr>
          <w:rFonts w:ascii="Arial" w:hAnsi="Arial" w:cs="Arial"/>
          <w:sz w:val="24"/>
          <w:szCs w:val="24"/>
        </w:rPr>
        <w:t xml:space="preserve">il derivada del delito. </w:t>
      </w:r>
      <w:r w:rsidRPr="00356187">
        <w:rPr>
          <w:rFonts w:ascii="Arial" w:hAnsi="Arial" w:cs="Arial"/>
          <w:sz w:val="24"/>
          <w:szCs w:val="24"/>
        </w:rPr>
        <w:t>Así mismo, se le reconoce a la víctima la posibilidad de asistir a servicios de justicia res</w:t>
      </w:r>
      <w:r w:rsidR="00930133">
        <w:rPr>
          <w:rFonts w:ascii="Arial" w:hAnsi="Arial" w:cs="Arial"/>
          <w:sz w:val="24"/>
          <w:szCs w:val="24"/>
        </w:rPr>
        <w:t>taurativa</w:t>
      </w:r>
      <w:r w:rsidRPr="00356187">
        <w:rPr>
          <w:rFonts w:ascii="Arial" w:hAnsi="Arial" w:cs="Arial"/>
          <w:sz w:val="24"/>
          <w:szCs w:val="24"/>
        </w:rPr>
        <w:t xml:space="preserve">. </w:t>
      </w:r>
      <w:r w:rsidR="002E00AE" w:rsidRPr="002E00AE">
        <w:rPr>
          <w:rFonts w:ascii="Arial" w:hAnsi="Arial" w:cs="Arial"/>
          <w:sz w:val="24"/>
          <w:szCs w:val="24"/>
        </w:rPr>
        <w:t>Por otra parte, el Estatuto prevé la organización de las Oficinas de Asistencia a l</w:t>
      </w:r>
      <w:r w:rsidR="002E00AE">
        <w:rPr>
          <w:rFonts w:ascii="Arial" w:hAnsi="Arial" w:cs="Arial"/>
          <w:sz w:val="24"/>
          <w:szCs w:val="24"/>
        </w:rPr>
        <w:t>as Víctimas</w:t>
      </w:r>
      <w:r w:rsidR="002E00AE" w:rsidRPr="002E00AE">
        <w:rPr>
          <w:rFonts w:ascii="Arial" w:hAnsi="Arial" w:cs="Arial"/>
          <w:sz w:val="24"/>
          <w:szCs w:val="24"/>
        </w:rPr>
        <w:t xml:space="preserve"> como servicio público que presta una asistencia y atención integral a las víctimas, a cuyos servicios se puede acceder de manera gratuita, confidencial, con independencia de que se interponga previamente una denuncia. En ellas se informa a las víctimas, por ejemplo, sobre los derechos económicos relacionados con el proceso y, en particular, el procedimiento para reclamar la indemnización de los daños y perjuicios sufridos y el derecho a acceder a la justicia gratuita</w:t>
      </w:r>
      <w:r w:rsidR="00C63D88">
        <w:rPr>
          <w:rFonts w:ascii="Arial" w:hAnsi="Arial" w:cs="Arial"/>
          <w:sz w:val="24"/>
          <w:szCs w:val="24"/>
        </w:rPr>
        <w:t>.</w:t>
      </w:r>
    </w:p>
    <w:p w:rsidR="00C63D88" w:rsidRDefault="00C63D88" w:rsidP="00C63D88">
      <w:pPr>
        <w:jc w:val="both"/>
        <w:rPr>
          <w:rFonts w:ascii="Arial" w:hAnsi="Arial" w:cs="Arial"/>
          <w:sz w:val="24"/>
          <w:szCs w:val="24"/>
        </w:rPr>
      </w:pPr>
      <w:r w:rsidRPr="00C63D88">
        <w:rPr>
          <w:rFonts w:ascii="Arial" w:hAnsi="Arial" w:cs="Arial"/>
          <w:sz w:val="24"/>
          <w:szCs w:val="24"/>
        </w:rPr>
        <w:t xml:space="preserve">Otra de las cuestiones que ha merecido la atención del Comité es la aplicación del régimen de </w:t>
      </w:r>
      <w:r w:rsidRPr="00C63D88">
        <w:rPr>
          <w:rFonts w:ascii="Arial" w:hAnsi="Arial" w:cs="Arial"/>
          <w:b/>
          <w:sz w:val="24"/>
          <w:szCs w:val="24"/>
        </w:rPr>
        <w:t>detención incomunicada</w:t>
      </w:r>
      <w:r w:rsidRPr="00C63D88">
        <w:rPr>
          <w:rFonts w:ascii="Arial" w:hAnsi="Arial" w:cs="Arial"/>
          <w:sz w:val="24"/>
          <w:szCs w:val="24"/>
        </w:rPr>
        <w:t xml:space="preserve"> en España. Permítanme aclarar que la detención incomunicada, tal y como está actualmente configurada, no constituye una detención secreta, prohibida por el artículo 17 de la Convención, sino la restricción temporal, bajo autorización y control judicial, de los derechos reconocidos en el artículo 18 de la Convención, lo cual sí está contemplado en el artículo 20 de la Convención. </w:t>
      </w:r>
    </w:p>
    <w:p w:rsidR="00C63D88" w:rsidRDefault="00C63D88" w:rsidP="00C63D88">
      <w:pPr>
        <w:jc w:val="both"/>
        <w:rPr>
          <w:rFonts w:ascii="Arial" w:hAnsi="Arial" w:cs="Arial"/>
          <w:sz w:val="24"/>
          <w:szCs w:val="24"/>
        </w:rPr>
      </w:pPr>
      <w:r>
        <w:rPr>
          <w:rFonts w:ascii="Arial" w:hAnsi="Arial" w:cs="Arial"/>
          <w:sz w:val="24"/>
          <w:szCs w:val="24"/>
        </w:rPr>
        <w:lastRenderedPageBreak/>
        <w:t>Según el</w:t>
      </w:r>
      <w:r w:rsidRPr="00C63D88">
        <w:rPr>
          <w:rFonts w:ascii="Arial" w:hAnsi="Arial" w:cs="Arial"/>
          <w:sz w:val="24"/>
          <w:szCs w:val="24"/>
        </w:rPr>
        <w:t xml:space="preserve"> art. 527 de la Ley de Enjuiciamiento Criminal, la incomunicación del detenido o preso solo puede ser acordada por el Juez, debiendo motivar las razones que justifican dicha medida de conformidad con el art. 509 de esta misma Ley, según el cual la incomunicación será excepcional y solo podrá aprobarse cuando a) exista necesidad urgente de evitar peligros para la vida, la integridad o la integridad física de una persona o b) exista necesidad urgente para evitar comprometer de modo grave el proceso penal.</w:t>
      </w:r>
    </w:p>
    <w:p w:rsidR="007A2C83" w:rsidRPr="007A2C83" w:rsidRDefault="007A2C83" w:rsidP="007A2C83">
      <w:pPr>
        <w:jc w:val="both"/>
        <w:rPr>
          <w:rFonts w:ascii="Arial" w:hAnsi="Arial" w:cs="Arial"/>
          <w:sz w:val="24"/>
          <w:szCs w:val="24"/>
        </w:rPr>
      </w:pPr>
      <w:r w:rsidRPr="007A2C83">
        <w:rPr>
          <w:rFonts w:ascii="Arial" w:hAnsi="Arial" w:cs="Arial"/>
          <w:sz w:val="24"/>
          <w:szCs w:val="24"/>
        </w:rPr>
        <w:t>La incomunicación deberá durar sólo el tiempo que sea estrictamente necesario y tendrá un plazo máximo de 5 días, pudiendo prorrogarse otros 5 días en delitos de terrorismo o de criminalidad organizada.</w:t>
      </w:r>
    </w:p>
    <w:p w:rsidR="007A2C83" w:rsidRPr="007A2C83" w:rsidRDefault="007A2C83" w:rsidP="007A2C83">
      <w:pPr>
        <w:jc w:val="both"/>
        <w:rPr>
          <w:rFonts w:ascii="Arial" w:hAnsi="Arial" w:cs="Arial"/>
          <w:sz w:val="24"/>
          <w:szCs w:val="24"/>
        </w:rPr>
      </w:pPr>
      <w:r w:rsidRPr="007A2C83">
        <w:rPr>
          <w:rFonts w:ascii="Arial" w:hAnsi="Arial" w:cs="Arial"/>
          <w:sz w:val="24"/>
          <w:szCs w:val="24"/>
        </w:rPr>
        <w:t xml:space="preserve">Si el detenido fuere extranjero, se comunicará al cónsul de su país el hecho de su detención y el lugar de custodia y se le permitirá la comunicación con la autoridad consular. </w:t>
      </w:r>
    </w:p>
    <w:p w:rsidR="00C63D88" w:rsidRDefault="007A2C83" w:rsidP="00C63D88">
      <w:pPr>
        <w:jc w:val="both"/>
        <w:rPr>
          <w:rFonts w:ascii="Arial" w:hAnsi="Arial" w:cs="Arial"/>
          <w:sz w:val="24"/>
          <w:szCs w:val="24"/>
        </w:rPr>
      </w:pPr>
      <w:r w:rsidRPr="007A2C83">
        <w:rPr>
          <w:rFonts w:ascii="Arial" w:hAnsi="Arial" w:cs="Arial"/>
          <w:sz w:val="24"/>
          <w:szCs w:val="24"/>
        </w:rPr>
        <w:t>Igualmente se prevé que la autoridad que tenga bajo su custodia al detenido comunicará inmediatamente al Colegio de Abogados el nombre del designado por el detenido para asistirle a los efectos de su localización y transmisión del encargo profesional o, en su caso, le comunicará la petición de nombramiento de abogado de oficio.</w:t>
      </w:r>
    </w:p>
    <w:p w:rsidR="00C63D88" w:rsidRDefault="00C63D88" w:rsidP="00C63D88">
      <w:pPr>
        <w:jc w:val="both"/>
        <w:rPr>
          <w:rFonts w:ascii="Arial" w:hAnsi="Arial" w:cs="Arial"/>
          <w:sz w:val="24"/>
          <w:szCs w:val="24"/>
        </w:rPr>
      </w:pPr>
      <w:r w:rsidRPr="00C63D88">
        <w:rPr>
          <w:rFonts w:ascii="Arial" w:hAnsi="Arial" w:cs="Arial"/>
          <w:sz w:val="24"/>
          <w:szCs w:val="24"/>
        </w:rPr>
        <w:t xml:space="preserve">Por lo tanto, </w:t>
      </w:r>
      <w:r w:rsidR="007A2C83">
        <w:rPr>
          <w:rFonts w:ascii="Arial" w:hAnsi="Arial" w:cs="Arial"/>
          <w:sz w:val="24"/>
          <w:szCs w:val="24"/>
        </w:rPr>
        <w:t xml:space="preserve">la detención incomunicada </w:t>
      </w:r>
      <w:r w:rsidRPr="00C63D88">
        <w:rPr>
          <w:rFonts w:ascii="Arial" w:hAnsi="Arial" w:cs="Arial"/>
          <w:sz w:val="24"/>
          <w:szCs w:val="24"/>
        </w:rPr>
        <w:t xml:space="preserve">es una medida de aplicación sumamente restrictiva y que exige, en todo caso, autorización judicial, quedando la situación personal de detenido sometida siempre a un control permanente y directo por parte del juez que ha acordado la incomunicación o ratificado </w:t>
      </w:r>
      <w:r w:rsidR="007A2C83">
        <w:rPr>
          <w:rFonts w:ascii="Arial" w:hAnsi="Arial" w:cs="Arial"/>
          <w:sz w:val="24"/>
          <w:szCs w:val="24"/>
        </w:rPr>
        <w:t>la misma. Es importante insistir en</w:t>
      </w:r>
      <w:r w:rsidRPr="00C63D88">
        <w:rPr>
          <w:rFonts w:ascii="Arial" w:hAnsi="Arial" w:cs="Arial"/>
          <w:sz w:val="24"/>
          <w:szCs w:val="24"/>
        </w:rPr>
        <w:t xml:space="preserve"> que las </w:t>
      </w:r>
      <w:r w:rsidRPr="00C63D88">
        <w:rPr>
          <w:rFonts w:ascii="Arial" w:hAnsi="Arial" w:cs="Arial"/>
          <w:sz w:val="24"/>
          <w:szCs w:val="24"/>
        </w:rPr>
        <w:lastRenderedPageBreak/>
        <w:t>limitaciones que se aplican a los derechos del detenido durante la detención incomunicada se efectúan bajo estricto control judicial y están previstas en norma con rango de Ley, por lo que esta figura jurídica se ajusta escrupulosamente a lo previsto en la Convención.</w:t>
      </w:r>
    </w:p>
    <w:p w:rsidR="00D704A7" w:rsidRPr="00C63D88" w:rsidRDefault="00D704A7" w:rsidP="00C63D88">
      <w:pPr>
        <w:jc w:val="both"/>
        <w:rPr>
          <w:rFonts w:ascii="Arial" w:hAnsi="Arial" w:cs="Arial"/>
          <w:sz w:val="24"/>
          <w:szCs w:val="24"/>
        </w:rPr>
      </w:pPr>
      <w:r>
        <w:rPr>
          <w:rFonts w:ascii="Arial" w:hAnsi="Arial" w:cs="Arial"/>
          <w:sz w:val="24"/>
          <w:szCs w:val="24"/>
        </w:rPr>
        <w:t>Sr. Presidente,</w:t>
      </w:r>
    </w:p>
    <w:p w:rsidR="00EA358D" w:rsidRDefault="00D57FEF" w:rsidP="00FA06F8">
      <w:pPr>
        <w:jc w:val="both"/>
        <w:rPr>
          <w:rFonts w:ascii="Arial" w:hAnsi="Arial" w:cs="Arial"/>
          <w:sz w:val="24"/>
          <w:szCs w:val="24"/>
        </w:rPr>
      </w:pPr>
      <w:r>
        <w:rPr>
          <w:rFonts w:ascii="Arial" w:hAnsi="Arial" w:cs="Arial"/>
          <w:sz w:val="24"/>
          <w:szCs w:val="24"/>
        </w:rPr>
        <w:t>e</w:t>
      </w:r>
      <w:r w:rsidR="00F77968">
        <w:rPr>
          <w:rFonts w:ascii="Arial" w:hAnsi="Arial" w:cs="Arial"/>
          <w:sz w:val="24"/>
          <w:szCs w:val="24"/>
        </w:rPr>
        <w:t>n otro orden de cosas, quisiera mencionar</w:t>
      </w:r>
      <w:r w:rsidR="00B73095">
        <w:rPr>
          <w:rFonts w:ascii="Arial" w:hAnsi="Arial" w:cs="Arial"/>
          <w:sz w:val="24"/>
          <w:szCs w:val="24"/>
        </w:rPr>
        <w:t>, en relación con otra de las cuestiones suscitadas por el Comité,</w:t>
      </w:r>
      <w:r w:rsidR="00F77968">
        <w:rPr>
          <w:rFonts w:ascii="Arial" w:hAnsi="Arial" w:cs="Arial"/>
          <w:sz w:val="24"/>
          <w:szCs w:val="24"/>
        </w:rPr>
        <w:t xml:space="preserve"> </w:t>
      </w:r>
      <w:r w:rsidR="00EA358D" w:rsidRPr="00EA358D">
        <w:rPr>
          <w:rFonts w:ascii="Arial" w:hAnsi="Arial" w:cs="Arial"/>
          <w:sz w:val="24"/>
          <w:szCs w:val="24"/>
        </w:rPr>
        <w:t xml:space="preserve">que el ordenamiento jurídico español y la práctica judicial tienen establecidas numerosas cautelas orientadas a evitar que las </w:t>
      </w:r>
      <w:r w:rsidR="00EA358D" w:rsidRPr="00F77968">
        <w:rPr>
          <w:rFonts w:ascii="Arial" w:hAnsi="Arial" w:cs="Arial"/>
          <w:b/>
          <w:sz w:val="24"/>
          <w:szCs w:val="24"/>
        </w:rPr>
        <w:t>devoluciones o entregas</w:t>
      </w:r>
      <w:r w:rsidR="00EA358D" w:rsidRPr="00EA358D">
        <w:rPr>
          <w:rFonts w:ascii="Arial" w:hAnsi="Arial" w:cs="Arial"/>
          <w:sz w:val="24"/>
          <w:szCs w:val="24"/>
        </w:rPr>
        <w:t xml:space="preserve"> de</w:t>
      </w:r>
      <w:r w:rsidR="00F77968">
        <w:rPr>
          <w:rFonts w:ascii="Arial" w:hAnsi="Arial" w:cs="Arial"/>
          <w:sz w:val="24"/>
          <w:szCs w:val="24"/>
        </w:rPr>
        <w:t xml:space="preserve"> personas</w:t>
      </w:r>
      <w:r w:rsidR="00EA358D" w:rsidRPr="00EA358D">
        <w:rPr>
          <w:rFonts w:ascii="Arial" w:hAnsi="Arial" w:cs="Arial"/>
          <w:sz w:val="24"/>
          <w:szCs w:val="24"/>
        </w:rPr>
        <w:t xml:space="preserve"> puedan suponer una vulneración de sus derechos humanos, </w:t>
      </w:r>
      <w:r w:rsidR="00F77968">
        <w:rPr>
          <w:rFonts w:ascii="Arial" w:hAnsi="Arial" w:cs="Arial"/>
          <w:sz w:val="24"/>
          <w:szCs w:val="24"/>
        </w:rPr>
        <w:t>contemplando</w:t>
      </w:r>
      <w:r w:rsidR="00B73095">
        <w:rPr>
          <w:rFonts w:ascii="Arial" w:hAnsi="Arial" w:cs="Arial"/>
          <w:sz w:val="24"/>
          <w:szCs w:val="24"/>
        </w:rPr>
        <w:t xml:space="preserve"> en estas circunstancias</w:t>
      </w:r>
      <w:r w:rsidR="00F77968">
        <w:rPr>
          <w:rFonts w:ascii="Arial" w:hAnsi="Arial" w:cs="Arial"/>
          <w:sz w:val="24"/>
          <w:szCs w:val="24"/>
        </w:rPr>
        <w:t xml:space="preserve"> el riesgo </w:t>
      </w:r>
      <w:r w:rsidR="00EA358D" w:rsidRPr="00EA358D">
        <w:rPr>
          <w:rFonts w:ascii="Arial" w:hAnsi="Arial" w:cs="Arial"/>
          <w:sz w:val="24"/>
          <w:szCs w:val="24"/>
        </w:rPr>
        <w:t>de ser víctimas de desaparición forzada</w:t>
      </w:r>
      <w:r w:rsidR="00F77968">
        <w:rPr>
          <w:rFonts w:ascii="Arial" w:hAnsi="Arial" w:cs="Arial"/>
          <w:sz w:val="24"/>
          <w:szCs w:val="24"/>
        </w:rPr>
        <w:t>. El principio de</w:t>
      </w:r>
      <w:r w:rsidR="00EA358D" w:rsidRPr="00EA358D">
        <w:rPr>
          <w:rFonts w:ascii="Arial" w:hAnsi="Arial" w:cs="Arial"/>
          <w:sz w:val="24"/>
          <w:szCs w:val="24"/>
        </w:rPr>
        <w:t xml:space="preserve"> no devolución re</w:t>
      </w:r>
      <w:r w:rsidR="00F77968">
        <w:rPr>
          <w:rFonts w:ascii="Arial" w:hAnsi="Arial" w:cs="Arial"/>
          <w:sz w:val="24"/>
          <w:szCs w:val="24"/>
        </w:rPr>
        <w:t>sulta de aplicación a cualquier</w:t>
      </w:r>
      <w:r w:rsidR="00EA358D" w:rsidRPr="00EA358D">
        <w:rPr>
          <w:rFonts w:ascii="Arial" w:hAnsi="Arial" w:cs="Arial"/>
          <w:sz w:val="24"/>
          <w:szCs w:val="24"/>
        </w:rPr>
        <w:t xml:space="preserve"> procedimiento de retorno, es decir, a las devoluciones, expulsiones y denegaciones de entrada. En base a ello, independientemente de que esté incursa en un procedimiento de expulsión o devolución, toda persona extranjera  que tenga fundados temores de ser perseguida por motivos de raza, religión, nacionalidad, opiniones políticas, pertenencia a determinado grupo social, de género u orientación sexual, o tenga motivos fundados para creer que si regresase a su país de origen en el caso de los nacionales, o al de su anterior residencia habitual en el caso de los apátridas, se enfrentaría a un riesgo real de sufrir algún daño grave, podrá acogerse a un procedimiento de solicitud de protección internacional que le conceder</w:t>
      </w:r>
      <w:r w:rsidR="00F77968">
        <w:rPr>
          <w:rFonts w:ascii="Arial" w:hAnsi="Arial" w:cs="Arial"/>
          <w:sz w:val="24"/>
          <w:szCs w:val="24"/>
        </w:rPr>
        <w:t>á el derecho a no ser devuelto.</w:t>
      </w:r>
    </w:p>
    <w:p w:rsidR="00D57FEF" w:rsidRPr="007744B8" w:rsidRDefault="00D57FEF" w:rsidP="00D57FEF">
      <w:pPr>
        <w:jc w:val="both"/>
        <w:rPr>
          <w:rFonts w:ascii="Arial" w:hAnsi="Arial" w:cs="Arial"/>
          <w:sz w:val="24"/>
          <w:szCs w:val="24"/>
        </w:rPr>
      </w:pPr>
      <w:r w:rsidRPr="007744B8">
        <w:rPr>
          <w:rFonts w:ascii="Arial" w:hAnsi="Arial" w:cs="Arial"/>
          <w:sz w:val="24"/>
          <w:szCs w:val="24"/>
        </w:rPr>
        <w:lastRenderedPageBreak/>
        <w:t>Sr. Presidente,</w:t>
      </w:r>
    </w:p>
    <w:p w:rsidR="00D57FEF" w:rsidRPr="007744B8" w:rsidRDefault="00D57FEF" w:rsidP="00D57FEF">
      <w:pPr>
        <w:jc w:val="both"/>
        <w:rPr>
          <w:rFonts w:ascii="Arial" w:hAnsi="Arial" w:cs="Arial"/>
          <w:sz w:val="24"/>
          <w:szCs w:val="24"/>
        </w:rPr>
      </w:pPr>
      <w:r w:rsidRPr="007744B8">
        <w:rPr>
          <w:rFonts w:ascii="Arial" w:hAnsi="Arial" w:cs="Arial"/>
          <w:sz w:val="24"/>
          <w:szCs w:val="24"/>
        </w:rPr>
        <w:t xml:space="preserve">la delegación española quisiera reiterar su posición, bien conocida, sobre la </w:t>
      </w:r>
      <w:r w:rsidRPr="007744B8">
        <w:rPr>
          <w:rFonts w:ascii="Arial" w:hAnsi="Arial" w:cs="Arial"/>
          <w:b/>
          <w:sz w:val="24"/>
          <w:szCs w:val="24"/>
        </w:rPr>
        <w:t>interpretación que el Comité ha hecho de su competencia temporal</w:t>
      </w:r>
      <w:r w:rsidRPr="007744B8">
        <w:rPr>
          <w:rFonts w:ascii="Arial" w:hAnsi="Arial" w:cs="Arial"/>
          <w:sz w:val="24"/>
          <w:szCs w:val="24"/>
        </w:rPr>
        <w:t xml:space="preserve">. España no comparte dicha interpretación, que resulta contraria al tenor literal del artículo 35 de la Convención y a lo que resulta de los trabajos preparatorios del tratado. La interpretación extensiva que hace el Comité de su propia competencia </w:t>
      </w:r>
      <w:proofErr w:type="spellStart"/>
      <w:r w:rsidRPr="007744B8">
        <w:rPr>
          <w:rFonts w:ascii="Arial" w:hAnsi="Arial" w:cs="Arial"/>
          <w:i/>
          <w:sz w:val="24"/>
          <w:szCs w:val="24"/>
        </w:rPr>
        <w:t>ratione</w:t>
      </w:r>
      <w:proofErr w:type="spellEnd"/>
      <w:r w:rsidRPr="007744B8">
        <w:rPr>
          <w:rFonts w:ascii="Arial" w:hAnsi="Arial" w:cs="Arial"/>
          <w:i/>
          <w:sz w:val="24"/>
          <w:szCs w:val="24"/>
        </w:rPr>
        <w:t xml:space="preserve"> </w:t>
      </w:r>
      <w:proofErr w:type="spellStart"/>
      <w:r w:rsidRPr="007744B8">
        <w:rPr>
          <w:rFonts w:ascii="Arial" w:hAnsi="Arial" w:cs="Arial"/>
          <w:i/>
          <w:sz w:val="24"/>
          <w:szCs w:val="24"/>
        </w:rPr>
        <w:t>temporis</w:t>
      </w:r>
      <w:proofErr w:type="spellEnd"/>
      <w:r w:rsidRPr="007744B8">
        <w:rPr>
          <w:rFonts w:ascii="Arial" w:hAnsi="Arial" w:cs="Arial"/>
          <w:sz w:val="24"/>
          <w:szCs w:val="24"/>
        </w:rPr>
        <w:t xml:space="preserve"> supone además una duplicación de esfuerzos y un claro solapamiento con otros mecanismos de derechos humanos, en particular con el Grupo de Trabajo de desapariciones forzadas, una preocupación que también estuvo presente en los trabajos preparatorios de la Convención.  </w:t>
      </w:r>
    </w:p>
    <w:p w:rsidR="00D57FEF" w:rsidRDefault="00D57FEF" w:rsidP="00D57FEF">
      <w:pPr>
        <w:jc w:val="both"/>
        <w:rPr>
          <w:rFonts w:ascii="Arial" w:hAnsi="Arial" w:cs="Arial"/>
          <w:sz w:val="24"/>
          <w:szCs w:val="24"/>
        </w:rPr>
      </w:pPr>
      <w:r w:rsidRPr="007744B8">
        <w:rPr>
          <w:rFonts w:ascii="Arial" w:hAnsi="Arial" w:cs="Arial"/>
          <w:sz w:val="24"/>
          <w:szCs w:val="24"/>
        </w:rPr>
        <w:t xml:space="preserve">Sin perjuicio de lo anterior, en aplicación de la buena fe y del espíritu de colaboración con el Comité, España ha venido atendiendo preguntas del Comité sobre cuestiones que en opinión de España escapan claramente a su </w:t>
      </w:r>
      <w:bookmarkStart w:id="0" w:name="_GoBack"/>
      <w:bookmarkEnd w:id="0"/>
      <w:r w:rsidRPr="007744B8">
        <w:rPr>
          <w:rFonts w:ascii="Arial" w:hAnsi="Arial" w:cs="Arial"/>
          <w:sz w:val="24"/>
          <w:szCs w:val="24"/>
        </w:rPr>
        <w:t>competencia.</w:t>
      </w:r>
    </w:p>
    <w:p w:rsidR="00B42BE5" w:rsidRDefault="00D57FEF" w:rsidP="00FA06F8">
      <w:pPr>
        <w:jc w:val="both"/>
        <w:rPr>
          <w:rFonts w:ascii="Arial" w:hAnsi="Arial" w:cs="Arial"/>
          <w:sz w:val="24"/>
          <w:szCs w:val="24"/>
        </w:rPr>
      </w:pPr>
      <w:r>
        <w:rPr>
          <w:rFonts w:ascii="Arial" w:hAnsi="Arial" w:cs="Arial"/>
          <w:sz w:val="24"/>
          <w:szCs w:val="24"/>
        </w:rPr>
        <w:t>En este marco, Sr. Presidente, y ya p</w:t>
      </w:r>
      <w:r w:rsidR="009E411F">
        <w:rPr>
          <w:rFonts w:ascii="Arial" w:hAnsi="Arial" w:cs="Arial"/>
          <w:sz w:val="24"/>
          <w:szCs w:val="24"/>
        </w:rPr>
        <w:t>ara fin</w:t>
      </w:r>
      <w:r>
        <w:rPr>
          <w:rFonts w:ascii="Arial" w:hAnsi="Arial" w:cs="Arial"/>
          <w:sz w:val="24"/>
          <w:szCs w:val="24"/>
        </w:rPr>
        <w:t>alizar,</w:t>
      </w:r>
      <w:r w:rsidR="00936818">
        <w:rPr>
          <w:rFonts w:ascii="Arial" w:hAnsi="Arial" w:cs="Arial"/>
          <w:sz w:val="24"/>
          <w:szCs w:val="24"/>
        </w:rPr>
        <w:t xml:space="preserve"> me complace trasladar a este</w:t>
      </w:r>
      <w:r w:rsidR="009E411F">
        <w:rPr>
          <w:rFonts w:ascii="Arial" w:hAnsi="Arial" w:cs="Arial"/>
          <w:sz w:val="24"/>
          <w:szCs w:val="24"/>
        </w:rPr>
        <w:t xml:space="preserve"> Comité información actualizada sobre </w:t>
      </w:r>
      <w:r w:rsidR="00B42BE5">
        <w:rPr>
          <w:rFonts w:ascii="Arial" w:hAnsi="Arial" w:cs="Arial"/>
          <w:sz w:val="24"/>
          <w:szCs w:val="24"/>
        </w:rPr>
        <w:t>la</w:t>
      </w:r>
      <w:r w:rsidR="00CF6DCB">
        <w:rPr>
          <w:rFonts w:ascii="Arial" w:hAnsi="Arial" w:cs="Arial"/>
          <w:sz w:val="24"/>
          <w:szCs w:val="24"/>
        </w:rPr>
        <w:t xml:space="preserve"> tramitación del </w:t>
      </w:r>
      <w:r w:rsidR="00CF6DCB" w:rsidRPr="00CF6DCB">
        <w:rPr>
          <w:rFonts w:ascii="Arial" w:hAnsi="Arial" w:cs="Arial"/>
          <w:b/>
          <w:sz w:val="24"/>
          <w:szCs w:val="24"/>
        </w:rPr>
        <w:t>proyecto de ley de memoria democrática</w:t>
      </w:r>
      <w:r w:rsidR="00CF6DCB">
        <w:rPr>
          <w:rFonts w:ascii="Arial" w:hAnsi="Arial" w:cs="Arial"/>
          <w:b/>
          <w:sz w:val="24"/>
          <w:szCs w:val="24"/>
        </w:rPr>
        <w:t>,</w:t>
      </w:r>
      <w:r w:rsidR="00CF6DCB">
        <w:rPr>
          <w:rFonts w:ascii="Arial" w:hAnsi="Arial" w:cs="Arial"/>
          <w:sz w:val="24"/>
          <w:szCs w:val="24"/>
        </w:rPr>
        <w:t xml:space="preserve"> </w:t>
      </w:r>
      <w:r w:rsidR="009E411F">
        <w:rPr>
          <w:rFonts w:ascii="Arial" w:hAnsi="Arial" w:cs="Arial"/>
          <w:sz w:val="24"/>
          <w:szCs w:val="24"/>
        </w:rPr>
        <w:t>por el que el Comité se ha interesado en su lista de cuestiones</w:t>
      </w:r>
      <w:r w:rsidR="00CF6DCB">
        <w:rPr>
          <w:rFonts w:ascii="Arial" w:hAnsi="Arial" w:cs="Arial"/>
          <w:sz w:val="24"/>
          <w:szCs w:val="24"/>
        </w:rPr>
        <w:t xml:space="preserve">, que fue aprobado </w:t>
      </w:r>
      <w:r w:rsidR="00CF6DCB" w:rsidRPr="00CF6DCB">
        <w:rPr>
          <w:rFonts w:ascii="Arial" w:hAnsi="Arial" w:cs="Arial"/>
          <w:sz w:val="24"/>
          <w:szCs w:val="24"/>
        </w:rPr>
        <w:t>e</w:t>
      </w:r>
      <w:r w:rsidR="00CF6DCB">
        <w:rPr>
          <w:rFonts w:ascii="Arial" w:hAnsi="Arial" w:cs="Arial"/>
          <w:sz w:val="24"/>
          <w:szCs w:val="24"/>
        </w:rPr>
        <w:t xml:space="preserve">l pasado 20 de julio el Consejo de Ministros. El </w:t>
      </w:r>
      <w:r w:rsidR="009E411F">
        <w:rPr>
          <w:rFonts w:ascii="Arial" w:hAnsi="Arial" w:cs="Arial"/>
          <w:sz w:val="24"/>
          <w:szCs w:val="24"/>
        </w:rPr>
        <w:t>proyecto</w:t>
      </w:r>
      <w:r w:rsidR="00CF6DCB">
        <w:rPr>
          <w:rFonts w:ascii="Arial" w:hAnsi="Arial" w:cs="Arial"/>
          <w:sz w:val="24"/>
          <w:szCs w:val="24"/>
        </w:rPr>
        <w:t xml:space="preserve"> de ley está</w:t>
      </w:r>
      <w:r w:rsidR="009E411F">
        <w:rPr>
          <w:rFonts w:ascii="Arial" w:hAnsi="Arial" w:cs="Arial"/>
          <w:sz w:val="24"/>
          <w:szCs w:val="24"/>
        </w:rPr>
        <w:t xml:space="preserve"> basado </w:t>
      </w:r>
      <w:r w:rsidR="00CF6DCB">
        <w:rPr>
          <w:rFonts w:ascii="Arial" w:hAnsi="Arial" w:cs="Arial"/>
          <w:sz w:val="24"/>
          <w:szCs w:val="24"/>
        </w:rPr>
        <w:t>en los principios de verdad, justicia, r</w:t>
      </w:r>
      <w:r w:rsidR="009E411F" w:rsidRPr="009E411F">
        <w:rPr>
          <w:rFonts w:ascii="Arial" w:hAnsi="Arial" w:cs="Arial"/>
          <w:sz w:val="24"/>
          <w:szCs w:val="24"/>
        </w:rPr>
        <w:t>eparación y garantías</w:t>
      </w:r>
      <w:r w:rsidR="00CF6DCB">
        <w:rPr>
          <w:rFonts w:ascii="Arial" w:hAnsi="Arial" w:cs="Arial"/>
          <w:sz w:val="24"/>
          <w:szCs w:val="24"/>
        </w:rPr>
        <w:t xml:space="preserve"> de no repetición y</w:t>
      </w:r>
      <w:r w:rsidR="00B42BE5">
        <w:rPr>
          <w:rFonts w:ascii="Arial" w:hAnsi="Arial" w:cs="Arial"/>
          <w:sz w:val="24"/>
          <w:szCs w:val="24"/>
        </w:rPr>
        <w:t xml:space="preserve"> tiene presente</w:t>
      </w:r>
      <w:r w:rsidR="00CF6DCB">
        <w:rPr>
          <w:rFonts w:ascii="Arial" w:hAnsi="Arial" w:cs="Arial"/>
          <w:sz w:val="24"/>
          <w:szCs w:val="24"/>
        </w:rPr>
        <w:t>s</w:t>
      </w:r>
      <w:r w:rsidR="009E411F" w:rsidRPr="009E411F">
        <w:rPr>
          <w:rFonts w:ascii="Arial" w:hAnsi="Arial" w:cs="Arial"/>
          <w:sz w:val="24"/>
          <w:szCs w:val="24"/>
        </w:rPr>
        <w:t xml:space="preserve"> las r</w:t>
      </w:r>
      <w:r w:rsidR="00222A8D">
        <w:rPr>
          <w:rFonts w:ascii="Arial" w:hAnsi="Arial" w:cs="Arial"/>
          <w:sz w:val="24"/>
          <w:szCs w:val="24"/>
        </w:rPr>
        <w:t xml:space="preserve">ecomendaciones de este Comité, </w:t>
      </w:r>
      <w:r w:rsidR="009E411F" w:rsidRPr="009E411F">
        <w:rPr>
          <w:rFonts w:ascii="Arial" w:hAnsi="Arial" w:cs="Arial"/>
          <w:sz w:val="24"/>
          <w:szCs w:val="24"/>
        </w:rPr>
        <w:t>de</w:t>
      </w:r>
      <w:r w:rsidR="009E411F">
        <w:rPr>
          <w:rFonts w:ascii="Arial" w:hAnsi="Arial" w:cs="Arial"/>
          <w:sz w:val="24"/>
          <w:szCs w:val="24"/>
        </w:rPr>
        <w:t xml:space="preserve">l </w:t>
      </w:r>
      <w:r w:rsidR="009E411F" w:rsidRPr="009E411F">
        <w:rPr>
          <w:rFonts w:ascii="Arial" w:hAnsi="Arial" w:cs="Arial"/>
          <w:sz w:val="24"/>
          <w:szCs w:val="24"/>
        </w:rPr>
        <w:t>Re</w:t>
      </w:r>
      <w:r w:rsidR="009E411F" w:rsidRPr="009E411F">
        <w:rPr>
          <w:rFonts w:ascii="Arial" w:hAnsi="Arial" w:cs="Arial"/>
          <w:sz w:val="24"/>
          <w:szCs w:val="24"/>
        </w:rPr>
        <w:lastRenderedPageBreak/>
        <w:t xml:space="preserve">lator para la promoción de los principios de </w:t>
      </w:r>
      <w:r w:rsidR="00CF6DCB">
        <w:rPr>
          <w:rFonts w:ascii="Arial" w:hAnsi="Arial" w:cs="Arial"/>
          <w:sz w:val="24"/>
          <w:szCs w:val="24"/>
        </w:rPr>
        <w:t>Verdad, Justicia, Reparación y G</w:t>
      </w:r>
      <w:r w:rsidR="00B42BE5">
        <w:rPr>
          <w:rFonts w:ascii="Arial" w:hAnsi="Arial" w:cs="Arial"/>
          <w:sz w:val="24"/>
          <w:szCs w:val="24"/>
        </w:rPr>
        <w:t>arant</w:t>
      </w:r>
      <w:r w:rsidR="00CF6DCB">
        <w:rPr>
          <w:rFonts w:ascii="Arial" w:hAnsi="Arial" w:cs="Arial"/>
          <w:sz w:val="24"/>
          <w:szCs w:val="24"/>
        </w:rPr>
        <w:t>ías de no R</w:t>
      </w:r>
      <w:r w:rsidR="00B42BE5">
        <w:rPr>
          <w:rFonts w:ascii="Arial" w:hAnsi="Arial" w:cs="Arial"/>
          <w:sz w:val="24"/>
          <w:szCs w:val="24"/>
        </w:rPr>
        <w:t>epetición, y del</w:t>
      </w:r>
      <w:r w:rsidR="009E411F" w:rsidRPr="009E411F">
        <w:rPr>
          <w:rFonts w:ascii="Arial" w:hAnsi="Arial" w:cs="Arial"/>
          <w:sz w:val="24"/>
          <w:szCs w:val="24"/>
        </w:rPr>
        <w:t xml:space="preserve"> Grupo de Trabaj</w:t>
      </w:r>
      <w:r w:rsidR="00B42BE5">
        <w:rPr>
          <w:rFonts w:ascii="Arial" w:hAnsi="Arial" w:cs="Arial"/>
          <w:sz w:val="24"/>
          <w:szCs w:val="24"/>
        </w:rPr>
        <w:t>o sobre Desapariciones Forzosas</w:t>
      </w:r>
      <w:r w:rsidR="009E411F" w:rsidRPr="009E411F">
        <w:rPr>
          <w:rFonts w:ascii="Arial" w:hAnsi="Arial" w:cs="Arial"/>
          <w:sz w:val="24"/>
          <w:szCs w:val="24"/>
        </w:rPr>
        <w:t xml:space="preserve">. Este proyecto de ley comenzó a elaborarse en junio de 2020 con la apertura de un primer procedimiento de consulta previa, en el que participaron todas las entidades de la sociedad civil y particulares que quisieron, señalando los </w:t>
      </w:r>
      <w:r w:rsidR="00B42BE5">
        <w:rPr>
          <w:rFonts w:ascii="Arial" w:hAnsi="Arial" w:cs="Arial"/>
          <w:sz w:val="24"/>
          <w:szCs w:val="24"/>
        </w:rPr>
        <w:t>principales objetivos que debería</w:t>
      </w:r>
      <w:r w:rsidR="009E411F" w:rsidRPr="009E411F">
        <w:rPr>
          <w:rFonts w:ascii="Arial" w:hAnsi="Arial" w:cs="Arial"/>
          <w:sz w:val="24"/>
          <w:szCs w:val="24"/>
        </w:rPr>
        <w:t xml:space="preserve"> tener esta iniciativa legislativa del gobierno. Durante </w:t>
      </w:r>
      <w:r w:rsidR="00B42BE5">
        <w:rPr>
          <w:rFonts w:ascii="Arial" w:hAnsi="Arial" w:cs="Arial"/>
          <w:sz w:val="24"/>
          <w:szCs w:val="24"/>
        </w:rPr>
        <w:t>los meses de julio a septiembre</w:t>
      </w:r>
      <w:r w:rsidR="009E411F" w:rsidRPr="009E411F">
        <w:rPr>
          <w:rFonts w:ascii="Arial" w:hAnsi="Arial" w:cs="Arial"/>
          <w:sz w:val="24"/>
          <w:szCs w:val="24"/>
        </w:rPr>
        <w:t xml:space="preserve"> </w:t>
      </w:r>
      <w:r w:rsidR="00222A8D">
        <w:rPr>
          <w:rFonts w:ascii="Arial" w:hAnsi="Arial" w:cs="Arial"/>
          <w:sz w:val="24"/>
          <w:szCs w:val="24"/>
        </w:rPr>
        <w:t xml:space="preserve">del año pasado </w:t>
      </w:r>
      <w:r w:rsidR="009E411F" w:rsidRPr="009E411F">
        <w:rPr>
          <w:rFonts w:ascii="Arial" w:hAnsi="Arial" w:cs="Arial"/>
          <w:sz w:val="24"/>
          <w:szCs w:val="24"/>
        </w:rPr>
        <w:t>se estuvo trabaj</w:t>
      </w:r>
      <w:r w:rsidR="00B42BE5">
        <w:rPr>
          <w:rFonts w:ascii="Arial" w:hAnsi="Arial" w:cs="Arial"/>
          <w:sz w:val="24"/>
          <w:szCs w:val="24"/>
        </w:rPr>
        <w:t>ando para dar forma a un anteproyecto que</w:t>
      </w:r>
      <w:r w:rsidR="009E411F" w:rsidRPr="009E411F">
        <w:rPr>
          <w:rFonts w:ascii="Arial" w:hAnsi="Arial" w:cs="Arial"/>
          <w:sz w:val="24"/>
          <w:szCs w:val="24"/>
        </w:rPr>
        <w:t xml:space="preserve"> fue visto por el Consejo de Ministros el 15 de</w:t>
      </w:r>
      <w:r w:rsidR="00222A8D">
        <w:rPr>
          <w:rFonts w:ascii="Arial" w:hAnsi="Arial" w:cs="Arial"/>
          <w:sz w:val="24"/>
          <w:szCs w:val="24"/>
        </w:rPr>
        <w:t xml:space="preserve"> septiembre de 2020, iniciándose</w:t>
      </w:r>
      <w:r w:rsidR="009E411F" w:rsidRPr="009E411F">
        <w:rPr>
          <w:rFonts w:ascii="Arial" w:hAnsi="Arial" w:cs="Arial"/>
          <w:sz w:val="24"/>
          <w:szCs w:val="24"/>
        </w:rPr>
        <w:t xml:space="preserve"> a partir de ese momento un proceso de consultas a diferentes instituciones y órganos de relevanci</w:t>
      </w:r>
      <w:r w:rsidR="00222A8D">
        <w:rPr>
          <w:rFonts w:ascii="Arial" w:hAnsi="Arial" w:cs="Arial"/>
          <w:sz w:val="24"/>
          <w:szCs w:val="24"/>
        </w:rPr>
        <w:t xml:space="preserve">a constitucional, así como </w:t>
      </w:r>
      <w:r w:rsidR="009E411F" w:rsidRPr="009E411F">
        <w:rPr>
          <w:rFonts w:ascii="Arial" w:hAnsi="Arial" w:cs="Arial"/>
          <w:sz w:val="24"/>
          <w:szCs w:val="24"/>
        </w:rPr>
        <w:t>una nueva consulta pública también abie</w:t>
      </w:r>
      <w:r w:rsidR="00222A8D">
        <w:rPr>
          <w:rFonts w:ascii="Arial" w:hAnsi="Arial" w:cs="Arial"/>
          <w:sz w:val="24"/>
          <w:szCs w:val="24"/>
        </w:rPr>
        <w:t>rta, en la que se recibieron mil novecientas</w:t>
      </w:r>
      <w:r w:rsidR="009E411F" w:rsidRPr="009E411F">
        <w:rPr>
          <w:rFonts w:ascii="Arial" w:hAnsi="Arial" w:cs="Arial"/>
          <w:sz w:val="24"/>
          <w:szCs w:val="24"/>
        </w:rPr>
        <w:t xml:space="preserve"> aportaciones. Además, se celebraron diversos encuentros</w:t>
      </w:r>
      <w:r w:rsidR="00B42BE5">
        <w:rPr>
          <w:rFonts w:ascii="Arial" w:hAnsi="Arial" w:cs="Arial"/>
          <w:sz w:val="24"/>
          <w:szCs w:val="24"/>
        </w:rPr>
        <w:t>,</w:t>
      </w:r>
      <w:r w:rsidR="009E411F" w:rsidRPr="009E411F">
        <w:rPr>
          <w:rFonts w:ascii="Arial" w:hAnsi="Arial" w:cs="Arial"/>
          <w:sz w:val="24"/>
          <w:szCs w:val="24"/>
        </w:rPr>
        <w:t xml:space="preserve"> tanto en el Ministerio de la Presidencia como en los diferentes n</w:t>
      </w:r>
      <w:r w:rsidR="00B42BE5">
        <w:rPr>
          <w:rFonts w:ascii="Arial" w:hAnsi="Arial" w:cs="Arial"/>
          <w:sz w:val="24"/>
          <w:szCs w:val="24"/>
        </w:rPr>
        <w:t xml:space="preserve">iveles territoriales locales y </w:t>
      </w:r>
      <w:r w:rsidR="00222A8D">
        <w:rPr>
          <w:rFonts w:ascii="Arial" w:hAnsi="Arial" w:cs="Arial"/>
          <w:sz w:val="24"/>
          <w:szCs w:val="24"/>
        </w:rPr>
        <w:t>autonómicos. El p</w:t>
      </w:r>
      <w:r w:rsidR="009E411F" w:rsidRPr="009E411F">
        <w:rPr>
          <w:rFonts w:ascii="Arial" w:hAnsi="Arial" w:cs="Arial"/>
          <w:sz w:val="24"/>
          <w:szCs w:val="24"/>
        </w:rPr>
        <w:t>royecto</w:t>
      </w:r>
      <w:r w:rsidR="00222A8D">
        <w:rPr>
          <w:rFonts w:ascii="Arial" w:hAnsi="Arial" w:cs="Arial"/>
          <w:sz w:val="24"/>
          <w:szCs w:val="24"/>
        </w:rPr>
        <w:t xml:space="preserve"> de ley</w:t>
      </w:r>
      <w:r w:rsidR="009E411F" w:rsidRPr="009E411F">
        <w:rPr>
          <w:rFonts w:ascii="Arial" w:hAnsi="Arial" w:cs="Arial"/>
          <w:sz w:val="24"/>
          <w:szCs w:val="24"/>
        </w:rPr>
        <w:t xml:space="preserve"> fue también sometido a </w:t>
      </w:r>
      <w:r w:rsidR="00B42BE5">
        <w:rPr>
          <w:rFonts w:ascii="Arial" w:hAnsi="Arial" w:cs="Arial"/>
          <w:sz w:val="24"/>
          <w:szCs w:val="24"/>
        </w:rPr>
        <w:t xml:space="preserve">la </w:t>
      </w:r>
      <w:r w:rsidR="009E411F" w:rsidRPr="009E411F">
        <w:rPr>
          <w:rFonts w:ascii="Arial" w:hAnsi="Arial" w:cs="Arial"/>
          <w:sz w:val="24"/>
          <w:szCs w:val="24"/>
        </w:rPr>
        <w:t>valoración del Consejo Fiscal y del Consejo General del Poder Judicial</w:t>
      </w:r>
      <w:r w:rsidR="00222A8D">
        <w:rPr>
          <w:rFonts w:ascii="Arial" w:hAnsi="Arial" w:cs="Arial"/>
          <w:sz w:val="24"/>
          <w:szCs w:val="24"/>
        </w:rPr>
        <w:t>,</w:t>
      </w:r>
      <w:r w:rsidR="009E411F" w:rsidRPr="009E411F">
        <w:rPr>
          <w:rFonts w:ascii="Arial" w:hAnsi="Arial" w:cs="Arial"/>
          <w:sz w:val="24"/>
          <w:szCs w:val="24"/>
        </w:rPr>
        <w:t xml:space="preserve"> que emitieron sus i</w:t>
      </w:r>
      <w:r w:rsidR="00222A8D">
        <w:rPr>
          <w:rFonts w:ascii="Arial" w:hAnsi="Arial" w:cs="Arial"/>
          <w:sz w:val="24"/>
          <w:szCs w:val="24"/>
        </w:rPr>
        <w:t>nformes. L</w:t>
      </w:r>
      <w:r w:rsidR="009E411F" w:rsidRPr="009E411F">
        <w:rPr>
          <w:rFonts w:ascii="Arial" w:hAnsi="Arial" w:cs="Arial"/>
          <w:sz w:val="24"/>
          <w:szCs w:val="24"/>
        </w:rPr>
        <w:t>as Com</w:t>
      </w:r>
      <w:r w:rsidR="00B42BE5">
        <w:rPr>
          <w:rFonts w:ascii="Arial" w:hAnsi="Arial" w:cs="Arial"/>
          <w:sz w:val="24"/>
          <w:szCs w:val="24"/>
        </w:rPr>
        <w:t>unidades Autónomas</w:t>
      </w:r>
      <w:r w:rsidR="00222A8D">
        <w:rPr>
          <w:rFonts w:ascii="Arial" w:hAnsi="Arial" w:cs="Arial"/>
          <w:sz w:val="24"/>
          <w:szCs w:val="24"/>
        </w:rPr>
        <w:t xml:space="preserve"> fueron también consultadas</w:t>
      </w:r>
      <w:r w:rsidR="00B42BE5">
        <w:rPr>
          <w:rFonts w:ascii="Arial" w:hAnsi="Arial" w:cs="Arial"/>
          <w:sz w:val="24"/>
          <w:szCs w:val="24"/>
        </w:rPr>
        <w:t>. Tras su aprobación por el Consejo de Ministros</w:t>
      </w:r>
      <w:r w:rsidR="009E411F" w:rsidRPr="009E411F">
        <w:rPr>
          <w:rFonts w:ascii="Arial" w:hAnsi="Arial" w:cs="Arial"/>
          <w:sz w:val="24"/>
          <w:szCs w:val="24"/>
        </w:rPr>
        <w:t xml:space="preserve"> el </w:t>
      </w:r>
      <w:r w:rsidR="00B42BE5">
        <w:rPr>
          <w:rFonts w:ascii="Arial" w:hAnsi="Arial" w:cs="Arial"/>
          <w:sz w:val="24"/>
          <w:szCs w:val="24"/>
        </w:rPr>
        <w:t xml:space="preserve">pasado </w:t>
      </w:r>
      <w:r w:rsidR="009E411F" w:rsidRPr="009E411F">
        <w:rPr>
          <w:rFonts w:ascii="Arial" w:hAnsi="Arial" w:cs="Arial"/>
          <w:sz w:val="24"/>
          <w:szCs w:val="24"/>
        </w:rPr>
        <w:t>20 de julio</w:t>
      </w:r>
      <w:r w:rsidR="00B42BE5">
        <w:rPr>
          <w:rFonts w:ascii="Arial" w:hAnsi="Arial" w:cs="Arial"/>
          <w:sz w:val="24"/>
          <w:szCs w:val="24"/>
        </w:rPr>
        <w:t xml:space="preserve">, el proyecto fue </w:t>
      </w:r>
      <w:r w:rsidR="009E411F" w:rsidRPr="009E411F">
        <w:rPr>
          <w:rFonts w:ascii="Arial" w:hAnsi="Arial" w:cs="Arial"/>
          <w:sz w:val="24"/>
          <w:szCs w:val="24"/>
        </w:rPr>
        <w:t>remitido al Congreso de los Diputados, donde actualmente se encuentra en discusión parlamentaria. El Gobierno, como promotor de la iniciati</w:t>
      </w:r>
      <w:r w:rsidR="00222A8D">
        <w:rPr>
          <w:rFonts w:ascii="Arial" w:hAnsi="Arial" w:cs="Arial"/>
          <w:sz w:val="24"/>
          <w:szCs w:val="24"/>
        </w:rPr>
        <w:t>va, intentará impulsar</w:t>
      </w:r>
      <w:r w:rsidR="009E411F" w:rsidRPr="009E411F">
        <w:rPr>
          <w:rFonts w:ascii="Arial" w:hAnsi="Arial" w:cs="Arial"/>
          <w:sz w:val="24"/>
          <w:szCs w:val="24"/>
        </w:rPr>
        <w:t xml:space="preserve"> el debate</w:t>
      </w:r>
      <w:r w:rsidR="00222A8D">
        <w:rPr>
          <w:rFonts w:ascii="Arial" w:hAnsi="Arial" w:cs="Arial"/>
          <w:sz w:val="24"/>
          <w:szCs w:val="24"/>
        </w:rPr>
        <w:t xml:space="preserve"> sobre esta iniciativa</w:t>
      </w:r>
      <w:r w:rsidR="009E411F" w:rsidRPr="009E411F">
        <w:rPr>
          <w:rFonts w:ascii="Arial" w:hAnsi="Arial" w:cs="Arial"/>
          <w:sz w:val="24"/>
          <w:szCs w:val="24"/>
        </w:rPr>
        <w:t xml:space="preserve"> y espera que se produzca el mayor consenso posible.</w:t>
      </w:r>
    </w:p>
    <w:p w:rsidR="00F77968" w:rsidRPr="00F77968" w:rsidRDefault="00F77968" w:rsidP="00F77968">
      <w:pPr>
        <w:jc w:val="both"/>
        <w:rPr>
          <w:rFonts w:ascii="Arial" w:hAnsi="Arial" w:cs="Arial"/>
          <w:sz w:val="24"/>
          <w:szCs w:val="24"/>
        </w:rPr>
      </w:pPr>
      <w:r w:rsidRPr="00F77968">
        <w:rPr>
          <w:rFonts w:ascii="Arial" w:hAnsi="Arial" w:cs="Arial"/>
          <w:sz w:val="24"/>
          <w:szCs w:val="24"/>
        </w:rPr>
        <w:t>Señor Presidente, Señoras y Señores miembros del Comité,</w:t>
      </w:r>
    </w:p>
    <w:p w:rsidR="00F77968" w:rsidRPr="00F77968" w:rsidRDefault="00F77968" w:rsidP="00F77968">
      <w:pPr>
        <w:jc w:val="both"/>
        <w:rPr>
          <w:rFonts w:ascii="Arial" w:hAnsi="Arial" w:cs="Arial"/>
          <w:sz w:val="24"/>
          <w:szCs w:val="24"/>
        </w:rPr>
      </w:pPr>
      <w:r w:rsidRPr="00F77968">
        <w:rPr>
          <w:rFonts w:ascii="Arial" w:hAnsi="Arial" w:cs="Arial"/>
          <w:sz w:val="24"/>
          <w:szCs w:val="24"/>
        </w:rPr>
        <w:lastRenderedPageBreak/>
        <w:t xml:space="preserve">Hasta aquí nuestra intervención inicial, que no pretende ser más que el punto de partida del diálogo que ahora se inicia. La delegación que me acompaña estará encantada de profundizar en todos aquellos aspectos en los que sean necesarias explicaciones adicionales, así como deseosa de oír las reflexiones y recomendaciones del Comité sobre todas aquellas medidas que puedan contribuir a dar mayor efectividad a los compromisos contraídos por España en virtud de la Convención. </w:t>
      </w:r>
    </w:p>
    <w:p w:rsidR="00F77968" w:rsidRPr="00FA06F8" w:rsidRDefault="00F77968" w:rsidP="00F77968">
      <w:pPr>
        <w:jc w:val="both"/>
        <w:rPr>
          <w:rFonts w:ascii="Arial" w:hAnsi="Arial" w:cs="Arial"/>
          <w:sz w:val="24"/>
          <w:szCs w:val="24"/>
        </w:rPr>
      </w:pPr>
      <w:r w:rsidRPr="00F77968">
        <w:rPr>
          <w:rFonts w:ascii="Arial" w:hAnsi="Arial" w:cs="Arial"/>
          <w:sz w:val="24"/>
          <w:szCs w:val="24"/>
        </w:rPr>
        <w:t>Muchas gracias.</w:t>
      </w:r>
    </w:p>
    <w:p w:rsidR="002F17A9" w:rsidRPr="00FA06F8" w:rsidRDefault="002F17A9" w:rsidP="00FA06F8">
      <w:pPr>
        <w:jc w:val="both"/>
        <w:rPr>
          <w:rFonts w:ascii="Arial" w:hAnsi="Arial" w:cs="Arial"/>
          <w:sz w:val="24"/>
          <w:szCs w:val="24"/>
        </w:rPr>
      </w:pPr>
    </w:p>
    <w:sectPr w:rsidR="002F17A9" w:rsidRPr="00FA06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6F8"/>
    <w:rsid w:val="000763C1"/>
    <w:rsid w:val="000E1343"/>
    <w:rsid w:val="00122B4A"/>
    <w:rsid w:val="00146631"/>
    <w:rsid w:val="001B08FB"/>
    <w:rsid w:val="00222A8D"/>
    <w:rsid w:val="002E00AE"/>
    <w:rsid w:val="002F0969"/>
    <w:rsid w:val="002F17A9"/>
    <w:rsid w:val="00356187"/>
    <w:rsid w:val="00417DAF"/>
    <w:rsid w:val="0046155A"/>
    <w:rsid w:val="004D5066"/>
    <w:rsid w:val="00564482"/>
    <w:rsid w:val="006775FF"/>
    <w:rsid w:val="006D4DCD"/>
    <w:rsid w:val="007744B8"/>
    <w:rsid w:val="007A2C83"/>
    <w:rsid w:val="008C17A6"/>
    <w:rsid w:val="00930133"/>
    <w:rsid w:val="00936818"/>
    <w:rsid w:val="009B7F6F"/>
    <w:rsid w:val="009E411F"/>
    <w:rsid w:val="00B42BE5"/>
    <w:rsid w:val="00B73095"/>
    <w:rsid w:val="00C47C2E"/>
    <w:rsid w:val="00C63D88"/>
    <w:rsid w:val="00C76E98"/>
    <w:rsid w:val="00CF6DCB"/>
    <w:rsid w:val="00D421B3"/>
    <w:rsid w:val="00D50F81"/>
    <w:rsid w:val="00D57FEF"/>
    <w:rsid w:val="00D704A7"/>
    <w:rsid w:val="00DB5B72"/>
    <w:rsid w:val="00DE5874"/>
    <w:rsid w:val="00E86FB0"/>
    <w:rsid w:val="00EA358D"/>
    <w:rsid w:val="00F00C3B"/>
    <w:rsid w:val="00F27C28"/>
    <w:rsid w:val="00F47A6B"/>
    <w:rsid w:val="00F77968"/>
    <w:rsid w:val="00FA06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21D1D-F568-4088-8D04-E5822B144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C258BA-FB28-4270-96F6-837A25CDDB0B}"/>
</file>

<file path=customXml/itemProps2.xml><?xml version="1.0" encoding="utf-8"?>
<ds:datastoreItem xmlns:ds="http://schemas.openxmlformats.org/officeDocument/2006/customXml" ds:itemID="{0DF1D5F8-AD83-4DB5-BE41-3072C8AF678F}"/>
</file>

<file path=customXml/itemProps3.xml><?xml version="1.0" encoding="utf-8"?>
<ds:datastoreItem xmlns:ds="http://schemas.openxmlformats.org/officeDocument/2006/customXml" ds:itemID="{1D165244-5F2E-488B-8FC4-A302AF7F387E}"/>
</file>

<file path=docProps/app.xml><?xml version="1.0" encoding="utf-8"?>
<Properties xmlns="http://schemas.openxmlformats.org/officeDocument/2006/extended-properties" xmlns:vt="http://schemas.openxmlformats.org/officeDocument/2006/docPropsVTypes">
  <Template>Normal</Template>
  <TotalTime>9</TotalTime>
  <Pages>5</Pages>
  <Words>1791</Words>
  <Characters>9853</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Díaz Bernárdez, Adela</dc:creator>
  <cp:keywords/>
  <dc:description/>
  <cp:lastModifiedBy>Valencia Rodriguez, Laura</cp:lastModifiedBy>
  <cp:revision>2</cp:revision>
  <dcterms:created xsi:type="dcterms:W3CDTF">2021-09-16T07:57:00Z</dcterms:created>
  <dcterms:modified xsi:type="dcterms:W3CDTF">2021-09-16T07:57:00Z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