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3C909" w14:textId="5D586776" w:rsidR="0031175C" w:rsidRPr="0031175C" w:rsidRDefault="0031175C" w:rsidP="0031175C">
      <w:pPr>
        <w:jc w:val="center"/>
        <w:rPr>
          <w:rFonts w:ascii="Gadugi" w:hAnsi="Gadugi"/>
          <w:b/>
          <w:bCs/>
        </w:rPr>
      </w:pPr>
      <w:r w:rsidRPr="0031175C">
        <w:rPr>
          <w:rFonts w:ascii="Gadugi" w:hAnsi="Gadugi"/>
          <w:b/>
          <w:bCs/>
        </w:rPr>
        <w:t>INFORME PRESENTADO POR</w:t>
      </w:r>
    </w:p>
    <w:p w14:paraId="17047A0C" w14:textId="3F95EA94" w:rsidR="0031175C" w:rsidRDefault="0031175C" w:rsidP="0031175C">
      <w:pPr>
        <w:jc w:val="center"/>
        <w:rPr>
          <w:rFonts w:ascii="Gadugi" w:hAnsi="Gadugi"/>
          <w:b/>
          <w:bCs/>
        </w:rPr>
      </w:pPr>
      <w:r w:rsidRPr="0031175C">
        <w:rPr>
          <w:rFonts w:ascii="Gadugi" w:hAnsi="Gadugi"/>
          <w:b/>
          <w:bCs/>
        </w:rPr>
        <w:t>RED LEGAL Y SU OBSERVATORIO DE DERECHOS HUMANOS, VIH Y PEMAR</w:t>
      </w:r>
    </w:p>
    <w:p w14:paraId="64987BC9" w14:textId="5242D796" w:rsidR="00AC74BE" w:rsidRDefault="00AC74BE" w:rsidP="0031175C">
      <w:pPr>
        <w:jc w:val="center"/>
        <w:rPr>
          <w:rFonts w:ascii="Gadugi" w:hAnsi="Gadugi"/>
          <w:b/>
          <w:bCs/>
        </w:rPr>
      </w:pPr>
      <w:r>
        <w:rPr>
          <w:rFonts w:ascii="Gadugi" w:hAnsi="Gadugi"/>
          <w:b/>
          <w:bCs/>
        </w:rPr>
        <w:t>PARA CEDAW</w:t>
      </w:r>
    </w:p>
    <w:p w14:paraId="7D02F636" w14:textId="51037B51" w:rsidR="00F4316F" w:rsidRDefault="00F4316F" w:rsidP="0031175C">
      <w:pPr>
        <w:jc w:val="center"/>
        <w:rPr>
          <w:rFonts w:ascii="Gadugi" w:hAnsi="Gadugi"/>
        </w:rPr>
      </w:pPr>
      <w:r w:rsidRPr="00F4316F">
        <w:rPr>
          <w:rFonts w:ascii="Gadugi" w:hAnsi="Gadugi"/>
        </w:rPr>
        <w:t>La Red Legal y su Observatorio de Derechos Humanos, VIH y PEMAR coordina a 12 organizaciones de sociedad civil que trabajan en la defensa y promoción de los derechos humanos de las personas con VIH y PEMAR, a la fecha ha elaborado en forma anual 11 informes sobre la situación de los derechos humanos de las personas con VIH y PEMAR (Personas en mayor riesgo a la epidemia en Guatemala)</w:t>
      </w:r>
    </w:p>
    <w:p w14:paraId="1EE3F49B" w14:textId="300CA13D" w:rsidR="00F4316F" w:rsidRDefault="00F4316F" w:rsidP="0031175C">
      <w:pPr>
        <w:jc w:val="center"/>
        <w:rPr>
          <w:rFonts w:ascii="Gadugi" w:hAnsi="Gadugi"/>
        </w:rPr>
      </w:pPr>
      <w:r>
        <w:rPr>
          <w:rFonts w:ascii="Gadugi" w:hAnsi="Gadugi"/>
        </w:rPr>
        <w:t>Ante ustedes nos permitimos trasladar información con la que se cuenta en nuestras bases de datos y registros sobre el abordaje del derecho a la salud</w:t>
      </w:r>
      <w:r w:rsidR="00462328">
        <w:rPr>
          <w:rFonts w:ascii="Gadugi" w:hAnsi="Gadugi"/>
        </w:rPr>
        <w:t xml:space="preserve"> de las mujeres, niñas y adolescentes con VIH.</w:t>
      </w:r>
    </w:p>
    <w:p w14:paraId="0EF2F22A" w14:textId="57002D89" w:rsidR="00AC74BE" w:rsidRPr="00AC74BE" w:rsidRDefault="00AC74BE" w:rsidP="0031175C">
      <w:pPr>
        <w:jc w:val="center"/>
        <w:rPr>
          <w:rFonts w:ascii="Gadugi" w:hAnsi="Gadugi"/>
          <w:b/>
          <w:bCs/>
        </w:rPr>
      </w:pPr>
      <w:r w:rsidRPr="00AC74BE">
        <w:rPr>
          <w:rFonts w:ascii="Gadugi" w:hAnsi="Gadugi"/>
          <w:b/>
          <w:bCs/>
        </w:rPr>
        <w:t>Guatemala 10 de septiembre del año 2023</w:t>
      </w:r>
    </w:p>
    <w:tbl>
      <w:tblPr>
        <w:tblStyle w:val="Tablaconcuadrcula"/>
        <w:tblW w:w="0" w:type="auto"/>
        <w:tblLook w:val="04A0" w:firstRow="1" w:lastRow="0" w:firstColumn="1" w:lastColumn="0" w:noHBand="0" w:noVBand="1"/>
      </w:tblPr>
      <w:tblGrid>
        <w:gridCol w:w="8828"/>
      </w:tblGrid>
      <w:tr w:rsidR="00913B25" w14:paraId="173E1156" w14:textId="77777777" w:rsidTr="00913B25">
        <w:tc>
          <w:tcPr>
            <w:tcW w:w="8828" w:type="dxa"/>
          </w:tcPr>
          <w:p w14:paraId="6A84F683" w14:textId="77777777" w:rsidR="00BF24A6" w:rsidRPr="00BF24A6" w:rsidRDefault="00BF24A6" w:rsidP="00BF24A6">
            <w:pPr>
              <w:pStyle w:val="Ttulo1"/>
              <w:shd w:val="clear" w:color="auto" w:fill="D9E2F3" w:themeFill="accent1" w:themeFillTint="33"/>
              <w:rPr>
                <w:rFonts w:ascii="Gadugi" w:eastAsiaTheme="minorHAnsi" w:hAnsi="Gadugi" w:cstheme="minorBidi"/>
                <w:color w:val="auto"/>
                <w:kern w:val="2"/>
                <w:sz w:val="22"/>
                <w:szCs w:val="22"/>
                <w:lang w:eastAsia="en-US"/>
                <w14:ligatures w14:val="standardContextual"/>
              </w:rPr>
            </w:pPr>
            <w:bookmarkStart w:id="0" w:name="_Toc143682207"/>
            <w:r w:rsidRPr="00BF24A6">
              <w:rPr>
                <w:rFonts w:ascii="Gadugi" w:eastAsiaTheme="minorHAnsi" w:hAnsi="Gadugi" w:cstheme="minorBidi"/>
                <w:color w:val="auto"/>
                <w:kern w:val="2"/>
                <w:sz w:val="22"/>
                <w:szCs w:val="22"/>
                <w:lang w:eastAsia="en-US"/>
                <w14:ligatures w14:val="standardContextual"/>
              </w:rPr>
              <w:t>Salud, incluyendo derechos sexuales y salud reproductiva</w:t>
            </w:r>
            <w:bookmarkEnd w:id="0"/>
          </w:p>
          <w:p w14:paraId="09F1F5FB" w14:textId="77777777" w:rsidR="00BF24A6" w:rsidRPr="00BF24A6" w:rsidRDefault="00BF24A6" w:rsidP="00BF24A6">
            <w:pPr>
              <w:shd w:val="clear" w:color="auto" w:fill="D9E2F3" w:themeFill="accent1" w:themeFillTint="33"/>
              <w:rPr>
                <w:rFonts w:ascii="Gadugi" w:hAnsi="Gadugi"/>
              </w:rPr>
            </w:pPr>
            <w:r w:rsidRPr="00BF24A6">
              <w:rPr>
                <w:rFonts w:ascii="Gadugi" w:hAnsi="Gadugi"/>
              </w:rPr>
              <w:t xml:space="preserve">Artículos Convención: 12. </w:t>
            </w:r>
          </w:p>
          <w:p w14:paraId="2276515D" w14:textId="77777777" w:rsidR="00BF24A6" w:rsidRPr="00BF24A6" w:rsidRDefault="00BF24A6" w:rsidP="00BF24A6">
            <w:pPr>
              <w:pStyle w:val="SingleTxt"/>
              <w:shd w:val="clear" w:color="auto" w:fill="D9E2F3" w:themeFill="accent1" w:themeFillTint="33"/>
              <w:spacing w:after="0" w:line="240" w:lineRule="auto"/>
              <w:ind w:left="0" w:right="0"/>
              <w:rPr>
                <w:rFonts w:ascii="Gadugi" w:eastAsiaTheme="minorHAnsi" w:hAnsi="Gadugi" w:cstheme="minorBidi"/>
                <w:spacing w:val="0"/>
                <w:w w:val="100"/>
                <w:kern w:val="2"/>
                <w:sz w:val="22"/>
                <w:szCs w:val="22"/>
                <w:lang w:val="es-GT"/>
                <w14:ligatures w14:val="standardContextual"/>
              </w:rPr>
            </w:pPr>
            <w:r w:rsidRPr="00BF24A6">
              <w:rPr>
                <w:rFonts w:ascii="Gadugi" w:eastAsiaTheme="minorHAnsi" w:hAnsi="Gadugi" w:cstheme="minorBidi"/>
                <w:spacing w:val="0"/>
                <w:w w:val="100"/>
                <w:kern w:val="2"/>
                <w:sz w:val="22"/>
                <w:szCs w:val="22"/>
                <w:lang w:val="es-GT"/>
                <w14:ligatures w14:val="standardContextual"/>
              </w:rPr>
              <w:t>Recomendaciones Comité CEDAW: 36, 37.</w:t>
            </w:r>
          </w:p>
          <w:p w14:paraId="7BA22A4F" w14:textId="77777777" w:rsidR="00913B25" w:rsidRPr="00BF24A6" w:rsidRDefault="00913B25" w:rsidP="00CA05E6">
            <w:pPr>
              <w:jc w:val="both"/>
              <w:rPr>
                <w:rFonts w:ascii="Gadugi" w:hAnsi="Gadugi"/>
                <w:lang w:val="es-ES_tradnl"/>
              </w:rPr>
            </w:pPr>
          </w:p>
        </w:tc>
      </w:tr>
    </w:tbl>
    <w:p w14:paraId="17C6EA1C" w14:textId="77777777" w:rsidR="00913B25" w:rsidRDefault="00913B25" w:rsidP="00CA05E6">
      <w:pPr>
        <w:jc w:val="both"/>
        <w:rPr>
          <w:rFonts w:ascii="Gadugi" w:hAnsi="Gadugi"/>
        </w:rPr>
      </w:pPr>
    </w:p>
    <w:p w14:paraId="11FF30EE" w14:textId="023555F4" w:rsidR="0078163A" w:rsidRDefault="00913B25" w:rsidP="00CA05E6">
      <w:pPr>
        <w:jc w:val="both"/>
        <w:rPr>
          <w:rFonts w:ascii="Gadugi" w:hAnsi="Gadugi"/>
        </w:rPr>
      </w:pPr>
      <w:r w:rsidRPr="00913B25">
        <w:rPr>
          <w:rFonts w:ascii="Gadugi" w:hAnsi="Gadugi"/>
        </w:rPr>
        <w:t>El Comité para la Eliminación de todas las formas de Discriminación contra la Mujer (</w:t>
      </w:r>
      <w:proofErr w:type="spellStart"/>
      <w:r w:rsidRPr="00913B25">
        <w:rPr>
          <w:rFonts w:ascii="Gadugi" w:hAnsi="Gadugi"/>
        </w:rPr>
        <w:t>Cedaw</w:t>
      </w:r>
      <w:proofErr w:type="spellEnd"/>
      <w:r w:rsidRPr="00913B25">
        <w:rPr>
          <w:rFonts w:ascii="Gadugi" w:hAnsi="Gadugi"/>
        </w:rPr>
        <w:t>), a partir de la revisión del 7mo. Informe de avance de país presentado ante el Comité CEDAW por el Estado de Guatemala, hace referencia en las observaciones finales presentadas en el año 2009, que</w:t>
      </w:r>
      <w:r w:rsidR="0078163A">
        <w:rPr>
          <w:rFonts w:ascii="Gadugi" w:hAnsi="Gadugi"/>
        </w:rPr>
        <w:t>:</w:t>
      </w:r>
      <w:r w:rsidRPr="00913B25">
        <w:rPr>
          <w:rFonts w:ascii="Gadugi" w:hAnsi="Gadugi"/>
        </w:rPr>
        <w:t xml:space="preserve"> </w:t>
      </w:r>
    </w:p>
    <w:p w14:paraId="037F694B" w14:textId="532F2544" w:rsidR="0078163A" w:rsidRDefault="00913B25" w:rsidP="0078163A">
      <w:pPr>
        <w:ind w:left="708"/>
        <w:jc w:val="both"/>
        <w:rPr>
          <w:rFonts w:ascii="Gadugi" w:hAnsi="Gadugi"/>
        </w:rPr>
      </w:pPr>
      <w:r w:rsidRPr="00913B25">
        <w:rPr>
          <w:rFonts w:ascii="Gadugi" w:hAnsi="Gadugi"/>
        </w:rPr>
        <w:t>“Si bien observa que hay más hombres que mujeres afectados por el VIH/SIDA, preocupa al Comité la creciente feminización de la enfermedad que se observa en el Estado Parte, lo que se refleja en una reducción de la relación hombre/mujer en el contagio del VIH/SIDA. El comité también señala que el Estado Part</w:t>
      </w:r>
      <w:r w:rsidR="0078163A">
        <w:rPr>
          <w:rFonts w:ascii="Gadugi" w:hAnsi="Gadugi"/>
        </w:rPr>
        <w:t>e</w:t>
      </w:r>
      <w:r w:rsidRPr="00913B25">
        <w:rPr>
          <w:rFonts w:ascii="Gadugi" w:hAnsi="Gadugi"/>
        </w:rPr>
        <w:t xml:space="preserve"> no proporcionó suficiente información ni datos desglosados sobre la incidencia del VIH/SIDA en su informe ni en las respuestas a la lista de cuestiones y preguntas durante el constructivo diálogo entablado”. </w:t>
      </w:r>
    </w:p>
    <w:p w14:paraId="249C47D1" w14:textId="77777777" w:rsidR="0078163A" w:rsidRDefault="00913B25" w:rsidP="0078163A">
      <w:pPr>
        <w:jc w:val="both"/>
        <w:rPr>
          <w:rFonts w:ascii="Gadugi" w:hAnsi="Gadugi"/>
        </w:rPr>
      </w:pPr>
      <w:r w:rsidRPr="00913B25">
        <w:rPr>
          <w:rFonts w:ascii="Gadugi" w:hAnsi="Gadugi"/>
        </w:rPr>
        <w:t xml:space="preserve">De esta forma, en su recomendación número 37 recomienda: </w:t>
      </w:r>
    </w:p>
    <w:p w14:paraId="1C10846B" w14:textId="77777777" w:rsidR="0078163A" w:rsidRDefault="00913B25" w:rsidP="0078163A">
      <w:pPr>
        <w:ind w:left="708"/>
        <w:jc w:val="both"/>
        <w:rPr>
          <w:rFonts w:ascii="Gadugi" w:hAnsi="Gadugi"/>
        </w:rPr>
      </w:pPr>
      <w:r w:rsidRPr="00913B25">
        <w:rPr>
          <w:rFonts w:ascii="Gadugi" w:hAnsi="Gadugi"/>
        </w:rPr>
        <w:t xml:space="preserve">“El Comité insta al Estado Parte a que emprenda una investigación exhaustiva para determinar los factores coadyuvantes a la feminización del VIH/SIDA con objeto de elaborar estrategias adecuadas para reducir la vulnerabilidad de la mujer a la </w:t>
      </w:r>
      <w:r w:rsidRPr="00913B25">
        <w:rPr>
          <w:rFonts w:ascii="Gadugi" w:hAnsi="Gadugi"/>
        </w:rPr>
        <w:lastRenderedPageBreak/>
        <w:t xml:space="preserve">enfermedad. Pide al Estado Parte que, en su próximo informe, suministre datos desglosados por sexo y origen étnico sobre la incidencia de la enfermedad”. </w:t>
      </w:r>
    </w:p>
    <w:p w14:paraId="0E9298D7" w14:textId="7184797B" w:rsidR="00913B25" w:rsidRDefault="00913B25" w:rsidP="0078163A">
      <w:pPr>
        <w:jc w:val="both"/>
        <w:rPr>
          <w:rFonts w:ascii="Gadugi" w:hAnsi="Gadugi"/>
        </w:rPr>
      </w:pPr>
      <w:r w:rsidRPr="00913B25">
        <w:rPr>
          <w:rFonts w:ascii="Gadugi" w:hAnsi="Gadugi"/>
        </w:rPr>
        <w:t xml:space="preserve">Dichas observaciones finales debían ser dilucidadas por el Estado de Guatemala en el 8vo y 9no informe combinado presentado en el año 2015, así como en el diálogo constructivo ante el Comité </w:t>
      </w:r>
      <w:proofErr w:type="spellStart"/>
      <w:r w:rsidRPr="00913B25">
        <w:rPr>
          <w:rFonts w:ascii="Gadugi" w:hAnsi="Gadugi"/>
        </w:rPr>
        <w:t>Cedaw</w:t>
      </w:r>
      <w:proofErr w:type="spellEnd"/>
      <w:r w:rsidRPr="00913B25">
        <w:rPr>
          <w:rFonts w:ascii="Gadugi" w:hAnsi="Gadugi"/>
        </w:rPr>
        <w:t xml:space="preserve"> en 2017. </w:t>
      </w:r>
    </w:p>
    <w:p w14:paraId="1349F739" w14:textId="3A307D9A" w:rsidR="00395613" w:rsidRPr="00395613" w:rsidRDefault="00395613" w:rsidP="00395613">
      <w:pPr>
        <w:ind w:left="705"/>
        <w:jc w:val="both"/>
        <w:rPr>
          <w:rFonts w:ascii="Gadugi" w:hAnsi="Gadugi"/>
        </w:rPr>
      </w:pPr>
      <w:r w:rsidRPr="00395613">
        <w:rPr>
          <w:rFonts w:ascii="Gadugi" w:hAnsi="Gadugi"/>
        </w:rPr>
        <w:t>“34. El Comité reitera su preocupación por la discriminación contra la mujer en el empleo, la falta de protección social y laboral que padecen las mujeres, debida a la precariedad de su trabajo en la agricultura, la industria maquiladora y la producción local de alimentos, y la segregación de la mayoría de las mujeres en las ocupaciones peor remuneradas, en particular en el trabajo informal, como en el servicio doméstico. También le preocupa la persistencia del trabajo infantil y la escasa información sobre las estrategias para su erradicación. El Comité observa con inquietud la falta de disposiciones jurídicas que aborden explícitamente el acoso sexual en el lugar de trabajo y está preocupado por las prácticas discriminatorias e ilegales, como las pruebas de detección del VIH/sida y el embarazo durante los procesos de selección para obtener un empleo”</w:t>
      </w:r>
    </w:p>
    <w:p w14:paraId="50294305" w14:textId="77777777" w:rsidR="00395613" w:rsidRPr="00395613" w:rsidRDefault="00395613" w:rsidP="00395613">
      <w:pPr>
        <w:ind w:left="705"/>
        <w:jc w:val="both"/>
        <w:rPr>
          <w:rFonts w:ascii="Gadugi" w:hAnsi="Gadugi"/>
        </w:rPr>
      </w:pPr>
      <w:r w:rsidRPr="00395613">
        <w:rPr>
          <w:rFonts w:ascii="Gadugi" w:hAnsi="Gadugi"/>
        </w:rPr>
        <w:t xml:space="preserve">“36 d) La prevalencia cada vez mayor del VIH/sida entre las mujeres, a pesar de su disminución en la población total; </w:t>
      </w:r>
    </w:p>
    <w:p w14:paraId="0D453D3C" w14:textId="0CB163AE" w:rsidR="00395613" w:rsidRDefault="00395613" w:rsidP="00395613">
      <w:pPr>
        <w:ind w:left="705"/>
        <w:jc w:val="both"/>
        <w:rPr>
          <w:rFonts w:ascii="Gadugi" w:hAnsi="Gadugi"/>
        </w:rPr>
      </w:pPr>
      <w:r w:rsidRPr="00395613">
        <w:rPr>
          <w:rFonts w:ascii="Gadugi" w:hAnsi="Gadugi"/>
        </w:rPr>
        <w:t>“37 e) Garantice el acceso de mujeres y hombres en condiciones de igualdad al tratamiento y la prevención del VIH/sida, así como el acceso gratuito para mujeres y niñas a antirretrovirales a fin de evitar la transmisión materno infantil (ETMI).”</w:t>
      </w:r>
    </w:p>
    <w:p w14:paraId="7AF29306" w14:textId="0175066A" w:rsidR="00E74E06" w:rsidRDefault="00E74E06" w:rsidP="0078163A">
      <w:pPr>
        <w:jc w:val="both"/>
        <w:rPr>
          <w:rFonts w:ascii="Gadugi" w:hAnsi="Gadugi"/>
        </w:rPr>
      </w:pPr>
      <w:r>
        <w:rPr>
          <w:rFonts w:ascii="Gadugi" w:hAnsi="Gadugi"/>
        </w:rPr>
        <w:t>El Estado de Guatemala, a la lista de cuestiones y preguntas relativa a su décimo informe manifestó que</w:t>
      </w:r>
      <w:sdt>
        <w:sdtPr>
          <w:rPr>
            <w:rFonts w:ascii="Gadugi" w:hAnsi="Gadugi"/>
          </w:rPr>
          <w:id w:val="-1871676359"/>
          <w:citation/>
        </w:sdtPr>
        <w:sdtContent>
          <w:r w:rsidR="00AD59CA">
            <w:rPr>
              <w:rFonts w:ascii="Gadugi" w:hAnsi="Gadugi"/>
            </w:rPr>
            <w:fldChar w:fldCharType="begin"/>
          </w:r>
          <w:r w:rsidR="00AD59CA">
            <w:rPr>
              <w:rFonts w:ascii="Gadugi" w:hAnsi="Gadugi"/>
            </w:rPr>
            <w:instrText xml:space="preserve">CITATION Est23 \l 4106 </w:instrText>
          </w:r>
          <w:r w:rsidR="00AD59CA">
            <w:rPr>
              <w:rFonts w:ascii="Gadugi" w:hAnsi="Gadugi"/>
            </w:rPr>
            <w:fldChar w:fldCharType="separate"/>
          </w:r>
          <w:r w:rsidR="00C225CD">
            <w:rPr>
              <w:rFonts w:ascii="Gadugi" w:hAnsi="Gadugi"/>
              <w:noProof/>
            </w:rPr>
            <w:t xml:space="preserve"> </w:t>
          </w:r>
          <w:r w:rsidR="00C225CD" w:rsidRPr="00C225CD">
            <w:rPr>
              <w:rFonts w:ascii="Gadugi" w:hAnsi="Gadugi"/>
              <w:noProof/>
            </w:rPr>
            <w:t>(Estado de Guatemala, 2023)</w:t>
          </w:r>
          <w:r w:rsidR="00AD59CA">
            <w:rPr>
              <w:rFonts w:ascii="Gadugi" w:hAnsi="Gadugi"/>
            </w:rPr>
            <w:fldChar w:fldCharType="end"/>
          </w:r>
        </w:sdtContent>
      </w:sdt>
      <w:r>
        <w:rPr>
          <w:rFonts w:ascii="Gadugi" w:hAnsi="Gadugi"/>
        </w:rPr>
        <w:t xml:space="preserve">: </w:t>
      </w:r>
    </w:p>
    <w:p w14:paraId="127F6291" w14:textId="72B4C0B5" w:rsidR="00E74E06" w:rsidRDefault="00E74E06" w:rsidP="00E74E06">
      <w:pPr>
        <w:pStyle w:val="SingleTxtG"/>
        <w:ind w:left="708" w:right="49"/>
        <w:rPr>
          <w:rFonts w:ascii="Gadugi" w:eastAsiaTheme="minorHAnsi" w:hAnsi="Gadugi" w:cstheme="minorBidi"/>
          <w:kern w:val="2"/>
          <w:sz w:val="22"/>
          <w:szCs w:val="22"/>
          <w:lang w:val="es-GT" w:eastAsia="en-US"/>
          <w14:ligatures w14:val="standardContextual"/>
        </w:rPr>
      </w:pPr>
      <w:r>
        <w:rPr>
          <w:rFonts w:ascii="Gadugi" w:hAnsi="Gadugi"/>
        </w:rPr>
        <w:t>“</w:t>
      </w:r>
      <w:r w:rsidRPr="00E74E06">
        <w:rPr>
          <w:rFonts w:ascii="Gadugi" w:eastAsiaTheme="minorHAnsi" w:hAnsi="Gadugi" w:cstheme="minorBidi"/>
          <w:kern w:val="2"/>
          <w:sz w:val="22"/>
          <w:szCs w:val="22"/>
          <w:lang w:val="es-GT" w:eastAsia="en-US"/>
          <w14:ligatures w14:val="standardContextual"/>
        </w:rPr>
        <w:t>46. Mineduc incorporó los temas:  equidad e igualdad de género, género y autoestima, educación sexual, VIH y sida en todos los niveles educativos de aprendizajes vinculados con la educación sexual, reproductiva y prevención de la violencia en el CNB, el cual presenta 15 competencias que los estudiantes deben alcanzar al finalizar su paso por el sistema educativo, entre las que destacan el respeto y practicar normas de salud individual y colectiva, seguridad social y ambiental, a partir de su propia cosmovisión y de la normativa nacional e internacional</w:t>
      </w:r>
      <w:r w:rsidR="00AD59CA">
        <w:rPr>
          <w:rFonts w:ascii="Gadugi" w:eastAsiaTheme="minorHAnsi" w:hAnsi="Gadugi" w:cstheme="minorBidi"/>
          <w:kern w:val="2"/>
          <w:sz w:val="22"/>
          <w:szCs w:val="22"/>
          <w:lang w:val="es-GT" w:eastAsia="en-US"/>
          <w14:ligatures w14:val="standardContextual"/>
        </w:rPr>
        <w:t>”</w:t>
      </w:r>
      <w:r w:rsidRPr="00E74E06">
        <w:rPr>
          <w:rFonts w:ascii="Gadugi" w:eastAsiaTheme="minorHAnsi" w:hAnsi="Gadugi" w:cstheme="minorBidi"/>
          <w:kern w:val="2"/>
          <w:sz w:val="22"/>
          <w:szCs w:val="22"/>
          <w:lang w:val="es-GT" w:eastAsia="en-US"/>
          <w14:ligatures w14:val="standardContextual"/>
        </w:rPr>
        <w:t>.</w:t>
      </w:r>
    </w:p>
    <w:p w14:paraId="2C4C2B4F" w14:textId="1A25DDB5" w:rsidR="00AD59CA" w:rsidRDefault="00AD59CA" w:rsidP="00E74E06">
      <w:pPr>
        <w:pStyle w:val="SingleTxtG"/>
        <w:ind w:left="708" w:right="49"/>
        <w:rPr>
          <w:rFonts w:ascii="Gadugi" w:eastAsiaTheme="minorHAnsi" w:hAnsi="Gadugi" w:cstheme="minorBidi"/>
          <w:kern w:val="2"/>
          <w:sz w:val="22"/>
          <w:szCs w:val="22"/>
          <w:lang w:val="es-GT" w:eastAsia="en-US"/>
          <w14:ligatures w14:val="standardContextual"/>
        </w:rPr>
      </w:pPr>
      <w:r>
        <w:rPr>
          <w:rFonts w:ascii="Gadugi" w:eastAsiaTheme="minorHAnsi" w:hAnsi="Gadugi" w:cstheme="minorBidi"/>
          <w:kern w:val="2"/>
          <w:sz w:val="22"/>
          <w:szCs w:val="22"/>
          <w:lang w:val="es-GT" w:eastAsia="en-US"/>
          <w14:ligatures w14:val="standardContextual"/>
        </w:rPr>
        <w:t>“</w:t>
      </w:r>
      <w:r w:rsidRPr="00AD59CA">
        <w:rPr>
          <w:rFonts w:ascii="Gadugi" w:eastAsiaTheme="minorHAnsi" w:hAnsi="Gadugi" w:cstheme="minorBidi"/>
          <w:kern w:val="2"/>
          <w:sz w:val="22"/>
          <w:szCs w:val="22"/>
          <w:lang w:val="es-GT" w:eastAsia="en-US"/>
          <w14:ligatures w14:val="standardContextual"/>
        </w:rPr>
        <w:t>106.</w:t>
      </w:r>
      <w:r w:rsidRPr="00AD59CA">
        <w:rPr>
          <w:rFonts w:ascii="Gadugi" w:eastAsiaTheme="minorHAnsi" w:hAnsi="Gadugi" w:cstheme="minorBidi"/>
          <w:kern w:val="2"/>
          <w:sz w:val="22"/>
          <w:szCs w:val="22"/>
          <w:lang w:val="es-GT" w:eastAsia="en-US"/>
          <w14:ligatures w14:val="standardContextual"/>
        </w:rPr>
        <w:tab/>
        <w:t xml:space="preserve">La red de servicios de salud del MSPAS elabora y distribuye material educativo y promocional para la EIS, incluida la metodología anticonceptiva y prevención de ITS, VIH y sida. Además, las DAS realizan campañas comunicacionales </w:t>
      </w:r>
      <w:r w:rsidRPr="00AD59CA">
        <w:rPr>
          <w:rFonts w:ascii="Gadugi" w:eastAsiaTheme="minorHAnsi" w:hAnsi="Gadugi" w:cstheme="minorBidi"/>
          <w:kern w:val="2"/>
          <w:sz w:val="22"/>
          <w:szCs w:val="22"/>
          <w:lang w:val="es-GT" w:eastAsia="en-US"/>
          <w14:ligatures w14:val="standardContextual"/>
        </w:rPr>
        <w:lastRenderedPageBreak/>
        <w:t>y jornadas para el acercamiento de los métodos a zonas rurales y remotas, y la implementación de la Guía de anticoncepción para mayores de 14 años</w:t>
      </w:r>
      <w:r>
        <w:rPr>
          <w:rFonts w:ascii="Gadugi" w:eastAsiaTheme="minorHAnsi" w:hAnsi="Gadugi" w:cstheme="minorBidi"/>
          <w:kern w:val="2"/>
          <w:sz w:val="22"/>
          <w:szCs w:val="22"/>
          <w:lang w:val="es-GT" w:eastAsia="en-US"/>
          <w14:ligatures w14:val="standardContextual"/>
        </w:rPr>
        <w:t>”.</w:t>
      </w:r>
    </w:p>
    <w:p w14:paraId="1A04E44A" w14:textId="77777777" w:rsidR="003B4878" w:rsidRDefault="003B4878" w:rsidP="0078163A">
      <w:pPr>
        <w:jc w:val="both"/>
      </w:pPr>
    </w:p>
    <w:p w14:paraId="477B2176" w14:textId="1A0D83A2" w:rsidR="00E74E06" w:rsidRDefault="003B4878" w:rsidP="0078163A">
      <w:pPr>
        <w:jc w:val="both"/>
      </w:pPr>
      <w:r w:rsidRPr="003B4878">
        <w:rPr>
          <w:rFonts w:ascii="Gadugi" w:hAnsi="Gadugi"/>
          <w:lang w:val="es-ES_tradnl"/>
        </w:rPr>
        <w:t xml:space="preserve">Al evaluar </w:t>
      </w:r>
      <w:r w:rsidR="00CC6615" w:rsidRPr="003B4878">
        <w:rPr>
          <w:rFonts w:ascii="Gadugi" w:hAnsi="Gadugi"/>
          <w:lang w:val="es-ES_tradnl"/>
        </w:rPr>
        <w:t>el avance</w:t>
      </w:r>
      <w:r w:rsidRPr="003B4878">
        <w:rPr>
          <w:rFonts w:ascii="Gadugi" w:hAnsi="Gadugi"/>
          <w:lang w:val="es-ES_tradnl"/>
        </w:rPr>
        <w:t xml:space="preserve"> de la EIS, se evidencia que tanto el Ministerio de salud, como educación, deben asignar recursos presupuestarios para las acciones, materiales y personal profesional, de manera permanente. </w:t>
      </w:r>
      <w:r w:rsidR="00CC6615">
        <w:rPr>
          <w:rFonts w:ascii="Gadugi" w:hAnsi="Gadugi"/>
          <w:lang w:val="es-ES_tradnl"/>
        </w:rPr>
        <w:t>S</w:t>
      </w:r>
      <w:r>
        <w:t>e requiere construir un sistema de indicadores de la EIS, que logre visibilizar y materializar los resultado</w:t>
      </w:r>
      <w:r w:rsidR="00CC6615">
        <w:t xml:space="preserve">s y avances. La evaluación evidencio que existe una percepción errónea sobre el VIH, desconocen a donde acudir si se infectan y más del 47% de los jóvenes entrevistados desconocen las formas de transmisión. </w:t>
      </w:r>
      <w:r w:rsidR="00CC6615">
        <w:rPr>
          <w:rStyle w:val="Refdenotaalpie"/>
        </w:rPr>
        <w:footnoteReference w:id="1"/>
      </w:r>
      <w:r w:rsidR="00CC6615">
        <w:t xml:space="preserve"> </w:t>
      </w:r>
    </w:p>
    <w:p w14:paraId="00AC6FCE" w14:textId="77777777" w:rsidR="00CC6615" w:rsidRDefault="00CC6615" w:rsidP="0078163A">
      <w:pPr>
        <w:jc w:val="both"/>
        <w:rPr>
          <w:rFonts w:ascii="Gadugi" w:hAnsi="Gadugi"/>
          <w:lang w:val="es-ES_tradnl"/>
        </w:rPr>
      </w:pPr>
    </w:p>
    <w:p w14:paraId="1DC53C2D" w14:textId="4DC586B5" w:rsidR="00AD59CA" w:rsidRPr="00E74E06" w:rsidRDefault="00AD59CA" w:rsidP="0078163A">
      <w:pPr>
        <w:jc w:val="both"/>
        <w:rPr>
          <w:rFonts w:ascii="Gadugi" w:hAnsi="Gadugi"/>
          <w:lang w:val="es-ES_tradnl"/>
        </w:rPr>
      </w:pPr>
      <w:r>
        <w:rPr>
          <w:rFonts w:ascii="Gadugi" w:hAnsi="Gadugi"/>
          <w:lang w:val="es-ES_tradnl"/>
        </w:rPr>
        <w:t>En el año 2019, el Procurador de Derechos Humanos presenta el Informe sobre el cumplimiento de las recomendaciones de la CEDAW relativas al derecho de las mujeres a vivir sin discriminación y libres de violencia por parte del Estado de Guatemala, en donde se aborda el derecho a la salud, pero no se observa el tema de VIH como parte de este componente y no se analiza tampoco el VIH como resultado de una violencia.</w:t>
      </w:r>
      <w:sdt>
        <w:sdtPr>
          <w:rPr>
            <w:rFonts w:ascii="Gadugi" w:hAnsi="Gadugi"/>
            <w:lang w:val="es-ES_tradnl"/>
          </w:rPr>
          <w:id w:val="1517653460"/>
          <w:citation/>
        </w:sdtPr>
        <w:sdtContent>
          <w:r>
            <w:rPr>
              <w:rFonts w:ascii="Gadugi" w:hAnsi="Gadugi"/>
              <w:lang w:val="es-ES_tradnl"/>
            </w:rPr>
            <w:fldChar w:fldCharType="begin"/>
          </w:r>
          <w:r>
            <w:rPr>
              <w:rFonts w:ascii="Gadugi" w:hAnsi="Gadugi"/>
            </w:rPr>
            <w:instrText xml:space="preserve"> CITATION Pro191 \l 4106 </w:instrText>
          </w:r>
          <w:r>
            <w:rPr>
              <w:rFonts w:ascii="Gadugi" w:hAnsi="Gadugi"/>
              <w:lang w:val="es-ES_tradnl"/>
            </w:rPr>
            <w:fldChar w:fldCharType="separate"/>
          </w:r>
          <w:r w:rsidR="00C225CD">
            <w:rPr>
              <w:rFonts w:ascii="Gadugi" w:hAnsi="Gadugi"/>
              <w:noProof/>
            </w:rPr>
            <w:t xml:space="preserve"> </w:t>
          </w:r>
          <w:r w:rsidR="00C225CD" w:rsidRPr="00C225CD">
            <w:rPr>
              <w:rFonts w:ascii="Gadugi" w:hAnsi="Gadugi"/>
              <w:noProof/>
            </w:rPr>
            <w:t>(Procurador de los Derechos Humanos, 2019)</w:t>
          </w:r>
          <w:r>
            <w:rPr>
              <w:rFonts w:ascii="Gadugi" w:hAnsi="Gadugi"/>
              <w:lang w:val="es-ES_tradnl"/>
            </w:rPr>
            <w:fldChar w:fldCharType="end"/>
          </w:r>
        </w:sdtContent>
      </w:sdt>
    </w:p>
    <w:p w14:paraId="0E6A7779" w14:textId="07EBC1F5" w:rsidR="0063122C" w:rsidRPr="00CA05E6" w:rsidRDefault="00CA05E6" w:rsidP="00CA05E6">
      <w:pPr>
        <w:jc w:val="both"/>
        <w:rPr>
          <w:rFonts w:ascii="Gadugi" w:hAnsi="Gadugi"/>
        </w:rPr>
      </w:pPr>
      <w:r w:rsidRPr="00CA05E6">
        <w:rPr>
          <w:rFonts w:ascii="Gadugi" w:hAnsi="Gadugi"/>
        </w:rPr>
        <w:t>Con información del Ministerio de Salud Pública y Asistencia Social -MSPAS-, indica que, durante el año 2022, recibían tratamiento antirretroviral 20, 430 personas con VIH, en las Unidades de Atención del 100% de personas en tratamiento antirretroviral, corresponde el 63% a hombres y el 37% a mujeres.</w:t>
      </w:r>
      <w:sdt>
        <w:sdtPr>
          <w:rPr>
            <w:rFonts w:ascii="Gadugi" w:hAnsi="Gadugi"/>
          </w:rPr>
          <w:id w:val="1022589142"/>
          <w:citation/>
        </w:sdtPr>
        <w:sdtContent>
          <w:r w:rsidR="00877EB7">
            <w:rPr>
              <w:rFonts w:ascii="Gadugi" w:hAnsi="Gadugi"/>
            </w:rPr>
            <w:fldChar w:fldCharType="begin"/>
          </w:r>
          <w:r w:rsidR="00877EB7">
            <w:rPr>
              <w:rFonts w:ascii="Gadugi" w:hAnsi="Gadugi"/>
            </w:rPr>
            <w:instrText xml:space="preserve"> CITATION Inf234 \l 4106 </w:instrText>
          </w:r>
          <w:r w:rsidR="00877EB7">
            <w:rPr>
              <w:rFonts w:ascii="Gadugi" w:hAnsi="Gadugi"/>
            </w:rPr>
            <w:fldChar w:fldCharType="separate"/>
          </w:r>
          <w:r w:rsidR="00C225CD">
            <w:rPr>
              <w:rFonts w:ascii="Gadugi" w:hAnsi="Gadugi"/>
              <w:noProof/>
            </w:rPr>
            <w:t xml:space="preserve"> </w:t>
          </w:r>
          <w:r w:rsidR="00C225CD" w:rsidRPr="00C225CD">
            <w:rPr>
              <w:rFonts w:ascii="Gadugi" w:hAnsi="Gadugi"/>
              <w:noProof/>
            </w:rPr>
            <w:t>(Información Pública. Expediente, 2023)</w:t>
          </w:r>
          <w:r w:rsidR="00877EB7">
            <w:rPr>
              <w:rFonts w:ascii="Gadugi" w:hAnsi="Gadugi"/>
            </w:rPr>
            <w:fldChar w:fldCharType="end"/>
          </w:r>
        </w:sdtContent>
      </w:sdt>
    </w:p>
    <w:p w14:paraId="2DE5011C" w14:textId="4A0B4333" w:rsidR="00CA05E6" w:rsidRPr="00CA05E6" w:rsidRDefault="00CA05E6" w:rsidP="00CA05E6">
      <w:pPr>
        <w:spacing w:after="0" w:line="240" w:lineRule="auto"/>
        <w:jc w:val="both"/>
        <w:rPr>
          <w:rFonts w:ascii="Gadugi" w:hAnsi="Gadugi"/>
          <w:kern w:val="0"/>
          <w14:ligatures w14:val="none"/>
        </w:rPr>
      </w:pPr>
      <w:r w:rsidRPr="00CA05E6">
        <w:rPr>
          <w:rFonts w:ascii="Gadugi" w:hAnsi="Gadugi"/>
        </w:rPr>
        <w:t xml:space="preserve">Del total de mujeres (1932) que consumían tratamiento antirretroviral para el año 2022, se encontraban distribuidas de la siguiente forma: </w:t>
      </w:r>
      <w:r w:rsidRPr="00CA05E6">
        <w:rPr>
          <w:rFonts w:ascii="Gadugi" w:hAnsi="Gadugi"/>
          <w:kern w:val="0"/>
          <w14:ligatures w14:val="none"/>
        </w:rPr>
        <w:t>1932 en el Hospital Roosevelt; 1256, Hospital; 287 en Zacapa; 239 en San Benito Petén; 285 en el Hospital Rodolfo Robles; 323 en el Hospital Regional de Quetzaltenango; 491 en el Hospital de Escuintla; 147 en Huehuetenango; 650 en el Hospital de Coatepeque; 129 en el Hospital de Sacatepéquez; 441 en Malacatán; 279 en el Hospital de Retalhuleu; 510 en el Hospital de Izabal-Japón; en el Hospital de Cobán 280; en el Hospital de Santa Rosa 211 mujeres y en el Hospital de Quiché 4 mujeres.</w:t>
      </w:r>
      <w:sdt>
        <w:sdtPr>
          <w:rPr>
            <w:rFonts w:ascii="Gadugi" w:hAnsi="Gadugi"/>
            <w:kern w:val="0"/>
            <w14:ligatures w14:val="none"/>
          </w:rPr>
          <w:id w:val="-1687744011"/>
          <w:citation/>
        </w:sdtPr>
        <w:sdtContent>
          <w:r>
            <w:rPr>
              <w:rFonts w:ascii="Gadugi" w:hAnsi="Gadugi"/>
              <w:kern w:val="0"/>
              <w14:ligatures w14:val="none"/>
            </w:rPr>
            <w:fldChar w:fldCharType="begin"/>
          </w:r>
          <w:r>
            <w:rPr>
              <w:rFonts w:ascii="Gadugi" w:hAnsi="Gadugi"/>
              <w:kern w:val="0"/>
              <w14:ligatures w14:val="none"/>
            </w:rPr>
            <w:instrText xml:space="preserve"> CITATION Inf234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(Información Pública. Expediente, 2023)</w:t>
          </w:r>
          <w:r>
            <w:rPr>
              <w:rFonts w:ascii="Gadugi" w:hAnsi="Gadugi"/>
              <w:kern w:val="0"/>
              <w14:ligatures w14:val="none"/>
            </w:rPr>
            <w:fldChar w:fldCharType="end"/>
          </w:r>
        </w:sdtContent>
      </w:sdt>
    </w:p>
    <w:p w14:paraId="18E726CC" w14:textId="77777777" w:rsidR="00CA05E6" w:rsidRPr="00CA05E6" w:rsidRDefault="00CA05E6" w:rsidP="00CA05E6">
      <w:pPr>
        <w:spacing w:after="0" w:line="240" w:lineRule="auto"/>
        <w:jc w:val="both"/>
        <w:rPr>
          <w:rFonts w:ascii="Gadugi" w:hAnsi="Gadugi"/>
          <w:kern w:val="0"/>
          <w14:ligatures w14:val="none"/>
        </w:rPr>
      </w:pPr>
    </w:p>
    <w:p w14:paraId="506D164A" w14:textId="4F01C9A6" w:rsidR="00CA05E6" w:rsidRDefault="00CA05E6" w:rsidP="00CA05E6">
      <w:pPr>
        <w:jc w:val="both"/>
        <w:rPr>
          <w:rFonts w:ascii="Gadugi" w:hAnsi="Gadugi"/>
          <w:kern w:val="0"/>
          <w14:ligatures w14:val="none"/>
        </w:rPr>
      </w:pPr>
      <w:r w:rsidRPr="00CA05E6">
        <w:rPr>
          <w:rFonts w:ascii="Gadugi" w:hAnsi="Gadugi"/>
          <w:kern w:val="0"/>
          <w14:ligatures w14:val="none"/>
        </w:rPr>
        <w:t xml:space="preserve">En los rangos de edad que se encuentran las mujeres para el año 2022, son Menores de 1 un año 7; del rango de 1 a 2 años, son 13; de 5 a 9 años son 66; de 10 a 14 años son 112; de 15 a 19 años son 219; de 20 a 24 años son 341; de 25 a 49 años son 4,839 y mayores de 50 años se identificaron 1,973 mujeres. Concentrándose en mayor número en la edad </w:t>
      </w:r>
      <w:r w:rsidRPr="00CA05E6">
        <w:rPr>
          <w:rFonts w:ascii="Gadugi" w:hAnsi="Gadugi"/>
          <w:kern w:val="0"/>
          <w14:ligatures w14:val="none"/>
        </w:rPr>
        <w:lastRenderedPageBreak/>
        <w:t>productiva de las mujeres de 25 a 49 años; resaltando que, de 429, son menores de edad.</w:t>
      </w:r>
      <w:sdt>
        <w:sdtPr>
          <w:rPr>
            <w:rFonts w:ascii="Gadugi" w:hAnsi="Gadugi"/>
            <w:kern w:val="0"/>
            <w14:ligatures w14:val="none"/>
          </w:rPr>
          <w:id w:val="1973488540"/>
          <w:citation/>
        </w:sdtPr>
        <w:sdtContent>
          <w:r>
            <w:rPr>
              <w:rFonts w:ascii="Gadugi" w:hAnsi="Gadugi"/>
              <w:kern w:val="0"/>
              <w14:ligatures w14:val="none"/>
            </w:rPr>
            <w:fldChar w:fldCharType="begin"/>
          </w:r>
          <w:r>
            <w:rPr>
              <w:rFonts w:ascii="Gadugi" w:hAnsi="Gadugi"/>
              <w:kern w:val="0"/>
              <w14:ligatures w14:val="none"/>
            </w:rPr>
            <w:instrText xml:space="preserve"> CITATION Inf234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(Información Pública. Expediente, 2023)</w:t>
          </w:r>
          <w:r>
            <w:rPr>
              <w:rFonts w:ascii="Gadugi" w:hAnsi="Gadugi"/>
              <w:kern w:val="0"/>
              <w14:ligatures w14:val="none"/>
            </w:rPr>
            <w:fldChar w:fldCharType="end"/>
          </w:r>
        </w:sdtContent>
      </w:sdt>
    </w:p>
    <w:p w14:paraId="1FA25363" w14:textId="6DD89884" w:rsidR="00511875" w:rsidRPr="00511875" w:rsidRDefault="00511875" w:rsidP="00CA05E6">
      <w:pPr>
        <w:jc w:val="both"/>
        <w:rPr>
          <w:rFonts w:ascii="Gadugi" w:hAnsi="Gadugi"/>
          <w:kern w:val="0"/>
          <w14:ligatures w14:val="none"/>
        </w:rPr>
      </w:pPr>
      <w:r w:rsidRPr="00511875">
        <w:rPr>
          <w:rFonts w:ascii="Gadugi" w:hAnsi="Gadugi"/>
          <w:kern w:val="0"/>
          <w14:ligatures w14:val="none"/>
        </w:rPr>
        <w:t>El 2022 representó un año de constante desabastecimiento e interrupción en la entrega de medicamentos antirretrovirales, es así que después de varias denuncias presentadas ante la PDH, desde las organizaciones de la Red Legal y su Observatorio (Organización Mujeres en Superación y Asociación LAMBDA), llegaron a presentar una ejecución de amparo</w:t>
      </w:r>
      <w:r w:rsidR="0031175C">
        <w:rPr>
          <w:rFonts w:ascii="Gadugi" w:hAnsi="Gadugi"/>
          <w:kern w:val="0"/>
          <w14:ligatures w14:val="none"/>
        </w:rPr>
        <w:t xml:space="preserve"> ante la Corte Suprema de Justicia, </w:t>
      </w:r>
      <w:r w:rsidRPr="00511875">
        <w:rPr>
          <w:rFonts w:ascii="Gadugi" w:hAnsi="Gadugi"/>
          <w:kern w:val="0"/>
          <w14:ligatures w14:val="none"/>
        </w:rPr>
        <w:t xml:space="preserve"> en contra del Ministerio de Salud Pública y Asistencia Social, ya que se ponía en riesgo la vida y la integridad de las personas con VIH que eran atendidas por las Unidades de Atención Integral, ejecución que fue tramitada y se le ordenó al Ministro cumplir con el Amparo interpuesto y otorgado (Amparo 481-2017). La denuncia principal proviene de la Clínica Familiar Luis Ángel García, en donde se indica que existía desabastecimiento de </w:t>
      </w:r>
      <w:proofErr w:type="spellStart"/>
      <w:r w:rsidRPr="00511875">
        <w:rPr>
          <w:rFonts w:ascii="Gadugi" w:hAnsi="Gadugi"/>
          <w:kern w:val="0"/>
          <w14:ligatures w14:val="none"/>
        </w:rPr>
        <w:t>Dolutegravir</w:t>
      </w:r>
      <w:proofErr w:type="spellEnd"/>
      <w:r w:rsidRPr="00511875">
        <w:rPr>
          <w:rFonts w:ascii="Gadugi" w:hAnsi="Gadugi"/>
          <w:kern w:val="0"/>
          <w14:ligatures w14:val="none"/>
        </w:rPr>
        <w:t xml:space="preserve"> 50mg, </w:t>
      </w:r>
      <w:proofErr w:type="spellStart"/>
      <w:r w:rsidRPr="00511875">
        <w:rPr>
          <w:rFonts w:ascii="Gadugi" w:hAnsi="Gadugi"/>
          <w:kern w:val="0"/>
          <w14:ligatures w14:val="none"/>
        </w:rPr>
        <w:t>Etravirina</w:t>
      </w:r>
      <w:proofErr w:type="spellEnd"/>
      <w:r w:rsidRPr="00511875">
        <w:rPr>
          <w:rFonts w:ascii="Gadugi" w:hAnsi="Gadugi"/>
          <w:kern w:val="0"/>
          <w14:ligatures w14:val="none"/>
        </w:rPr>
        <w:t xml:space="preserve"> 200mg, </w:t>
      </w:r>
      <w:proofErr w:type="spellStart"/>
      <w:r w:rsidRPr="00511875">
        <w:rPr>
          <w:rFonts w:ascii="Gadugi" w:hAnsi="Gadugi"/>
          <w:kern w:val="0"/>
          <w14:ligatures w14:val="none"/>
        </w:rPr>
        <w:t>Elvitegravir</w:t>
      </w:r>
      <w:proofErr w:type="spellEnd"/>
      <w:r w:rsidRPr="00511875">
        <w:rPr>
          <w:rFonts w:ascii="Gadugi" w:hAnsi="Gadugi"/>
          <w:kern w:val="0"/>
          <w14:ligatures w14:val="none"/>
        </w:rPr>
        <w:t xml:space="preserve"> 150mg/ </w:t>
      </w:r>
      <w:proofErr w:type="spellStart"/>
      <w:r w:rsidRPr="00511875">
        <w:rPr>
          <w:rFonts w:ascii="Gadugi" w:hAnsi="Gadugi"/>
          <w:kern w:val="0"/>
          <w14:ligatures w14:val="none"/>
        </w:rPr>
        <w:t>Cobicistat</w:t>
      </w:r>
      <w:proofErr w:type="spellEnd"/>
      <w:r w:rsidRPr="00511875">
        <w:rPr>
          <w:rFonts w:ascii="Gadugi" w:hAnsi="Gadugi"/>
          <w:kern w:val="0"/>
          <w14:ligatures w14:val="none"/>
        </w:rPr>
        <w:t xml:space="preserve"> 150 mg/ </w:t>
      </w:r>
      <w:proofErr w:type="spellStart"/>
      <w:r w:rsidRPr="00511875">
        <w:rPr>
          <w:rFonts w:ascii="Gadugi" w:hAnsi="Gadugi"/>
          <w:kern w:val="0"/>
          <w14:ligatures w14:val="none"/>
        </w:rPr>
        <w:t>Emtricitabina</w:t>
      </w:r>
      <w:proofErr w:type="spellEnd"/>
      <w:r w:rsidRPr="00511875">
        <w:rPr>
          <w:rFonts w:ascii="Gadugi" w:hAnsi="Gadugi"/>
          <w:kern w:val="0"/>
          <w14:ligatures w14:val="none"/>
        </w:rPr>
        <w:t xml:space="preserve"> 200mg/ </w:t>
      </w:r>
      <w:proofErr w:type="spellStart"/>
      <w:r w:rsidRPr="00511875">
        <w:rPr>
          <w:rFonts w:ascii="Gadugi" w:hAnsi="Gadugi"/>
          <w:kern w:val="0"/>
          <w14:ligatures w14:val="none"/>
        </w:rPr>
        <w:t>Alafenamida</w:t>
      </w:r>
      <w:proofErr w:type="spellEnd"/>
      <w:r w:rsidRPr="00511875">
        <w:rPr>
          <w:rFonts w:ascii="Gadugi" w:hAnsi="Gadugi"/>
          <w:kern w:val="0"/>
          <w14:ligatures w14:val="none"/>
        </w:rPr>
        <w:t xml:space="preserve"> de </w:t>
      </w:r>
      <w:proofErr w:type="spellStart"/>
      <w:r w:rsidRPr="00511875">
        <w:rPr>
          <w:rFonts w:ascii="Gadugi" w:hAnsi="Gadugi"/>
          <w:kern w:val="0"/>
          <w14:ligatures w14:val="none"/>
        </w:rPr>
        <w:t>tenofovir</w:t>
      </w:r>
      <w:proofErr w:type="spellEnd"/>
      <w:r w:rsidRPr="00511875">
        <w:rPr>
          <w:rFonts w:ascii="Gadugi" w:hAnsi="Gadugi"/>
          <w:kern w:val="0"/>
          <w14:ligatures w14:val="none"/>
        </w:rPr>
        <w:t xml:space="preserve"> 10mg y </w:t>
      </w:r>
      <w:proofErr w:type="spellStart"/>
      <w:r w:rsidRPr="00511875">
        <w:rPr>
          <w:rFonts w:ascii="Gadugi" w:hAnsi="Gadugi"/>
          <w:kern w:val="0"/>
          <w14:ligatures w14:val="none"/>
        </w:rPr>
        <w:t>Tenofovir</w:t>
      </w:r>
      <w:proofErr w:type="spellEnd"/>
      <w:r w:rsidRPr="00511875">
        <w:rPr>
          <w:rFonts w:ascii="Gadugi" w:hAnsi="Gadugi"/>
          <w:kern w:val="0"/>
          <w14:ligatures w14:val="none"/>
        </w:rPr>
        <w:t xml:space="preserve"> 300mg/Efavirenz 600mg (tableta combinada) / </w:t>
      </w:r>
      <w:proofErr w:type="spellStart"/>
      <w:r w:rsidRPr="00511875">
        <w:rPr>
          <w:rFonts w:ascii="Gadugi" w:hAnsi="Gadugi"/>
          <w:kern w:val="0"/>
          <w14:ligatures w14:val="none"/>
        </w:rPr>
        <w:t>Raltegravir</w:t>
      </w:r>
      <w:proofErr w:type="spellEnd"/>
      <w:r w:rsidRPr="00511875">
        <w:rPr>
          <w:rFonts w:ascii="Gadugi" w:hAnsi="Gadugi"/>
          <w:kern w:val="0"/>
          <w14:ligatures w14:val="none"/>
        </w:rPr>
        <w:t xml:space="preserve"> 400mg</w:t>
      </w:r>
      <w:r w:rsidR="0085427F">
        <w:rPr>
          <w:rFonts w:ascii="Gadugi" w:hAnsi="Gadugi"/>
          <w:kern w:val="0"/>
          <w14:ligatures w14:val="none"/>
        </w:rPr>
        <w:t>.</w:t>
      </w:r>
      <w:r w:rsidR="0031175C">
        <w:rPr>
          <w:rFonts w:ascii="Gadugi" w:hAnsi="Gadugi"/>
          <w:kern w:val="0"/>
          <w14:ligatures w14:val="none"/>
        </w:rPr>
        <w:t xml:space="preserve"> </w:t>
      </w:r>
    </w:p>
    <w:p w14:paraId="70859F98" w14:textId="32350C9A" w:rsidR="00CA05E6" w:rsidRDefault="00511875" w:rsidP="00CA05E6">
      <w:pPr>
        <w:jc w:val="both"/>
        <w:rPr>
          <w:rFonts w:ascii="Gadugi" w:hAnsi="Gadugi"/>
          <w:kern w:val="0"/>
          <w14:ligatures w14:val="none"/>
        </w:rPr>
      </w:pPr>
      <w:r w:rsidRPr="00511875">
        <w:rPr>
          <w:rFonts w:ascii="Gadugi" w:hAnsi="Gadugi"/>
          <w:kern w:val="0"/>
          <w14:ligatures w14:val="none"/>
        </w:rPr>
        <w:t xml:space="preserve">Lo anterior fue documentado por diferentes medios de comunicación, </w:t>
      </w:r>
      <w:sdt>
        <w:sdtPr>
          <w:rPr>
            <w:rFonts w:ascii="Gadugi" w:hAnsi="Gadugi"/>
            <w:kern w:val="0"/>
            <w14:ligatures w14:val="none"/>
          </w:rPr>
          <w:id w:val="1870956111"/>
          <w:citation/>
        </w:sdtPr>
        <w:sdtContent>
          <w:r w:rsidR="00190D1A">
            <w:rPr>
              <w:rFonts w:ascii="Gadugi" w:hAnsi="Gadugi"/>
              <w:kern w:val="0"/>
              <w14:ligatures w14:val="none"/>
            </w:rPr>
            <w:fldChar w:fldCharType="begin"/>
          </w:r>
          <w:r w:rsidR="00190D1A">
            <w:rPr>
              <w:rFonts w:ascii="Gadugi" w:hAnsi="Gadugi"/>
              <w:kern w:val="0"/>
              <w14:ligatures w14:val="none"/>
            </w:rPr>
            <w:instrText xml:space="preserve"> CITATION Dom22 \l 4106 </w:instrText>
          </w:r>
          <w:r w:rsidR="00190D1A">
            <w:rPr>
              <w:rFonts w:ascii="Gadugi" w:hAnsi="Gadugi"/>
              <w:kern w:val="0"/>
              <w14:ligatures w14:val="none"/>
            </w:rPr>
            <w:fldChar w:fldCharType="separate"/>
          </w:r>
          <w:r w:rsidR="00C225CD" w:rsidRPr="00C225CD">
            <w:rPr>
              <w:rFonts w:ascii="Gadugi" w:hAnsi="Gadugi"/>
              <w:noProof/>
              <w:kern w:val="0"/>
              <w14:ligatures w14:val="none"/>
            </w:rPr>
            <w:t>(Domínguez, 2022)</w:t>
          </w:r>
          <w:r w:rsidR="00190D1A">
            <w:rPr>
              <w:rFonts w:ascii="Gadugi" w:hAnsi="Gadugi"/>
              <w:kern w:val="0"/>
              <w14:ligatures w14:val="none"/>
            </w:rPr>
            <w:fldChar w:fldCharType="end"/>
          </w:r>
        </w:sdtContent>
      </w:sdt>
      <w:r w:rsidR="00720AE1">
        <w:rPr>
          <w:rFonts w:ascii="Gadugi" w:hAnsi="Gadugi"/>
          <w:kern w:val="0"/>
          <w14:ligatures w14:val="none"/>
        </w:rPr>
        <w:t>, ante esto la Procuraduría de Derechos Humanos realizó un monitoreo a las Unidades de Atención Integral del MSPAS, y emite las siguientes recomendaciones</w:t>
      </w:r>
      <w:r>
        <w:rPr>
          <w:rFonts w:ascii="Gadugi" w:hAnsi="Gadugi"/>
          <w:kern w:val="0"/>
          <w14:ligatures w14:val="none"/>
        </w:rPr>
        <w:t xml:space="preserve"> relacionadas a la aplicación del Decreto 27-000 del Congreso de la República, Ley General para el Combate del Virus de Inmunodeficiencia Humana VIH y del Síndrome de Inmunodeficiencia Adquirida SIDA y de la Promoción, Protección y Defensa de Derechos Humanos ante el VIH-SIDA, para garantizar la atención; generar con prioridad acciones necesarias para que las Unidades de Atención Integral</w:t>
      </w:r>
      <w:r w:rsidR="0085427F">
        <w:rPr>
          <w:rFonts w:ascii="Gadugi" w:hAnsi="Gadugi"/>
          <w:kern w:val="0"/>
          <w14:ligatures w14:val="none"/>
        </w:rPr>
        <w:t xml:space="preserve"> se abastezcan con los medicamentos antirretrovirales, medicamentos para enfermedades oportunistas, reactivos de laboratorio, insumos y demás, y con esto los pacientes pueden recibir la atención adecuada y necesaria así como la adquisición de medicamentos antirretrovirales y demás debe estar apegado a los requerimientos de las Unidades de Atención Integral y lo establecido en los protocolos y guías de atención clínica.</w:t>
      </w:r>
      <w:sdt>
        <w:sdtPr>
          <w:rPr>
            <w:rFonts w:ascii="Gadugi" w:hAnsi="Gadugi"/>
            <w:kern w:val="0"/>
            <w14:ligatures w14:val="none"/>
          </w:rPr>
          <w:id w:val="1488131080"/>
          <w:citation/>
        </w:sdtPr>
        <w:sdtContent>
          <w:r w:rsidR="0085427F">
            <w:rPr>
              <w:rFonts w:ascii="Gadugi" w:hAnsi="Gadugi"/>
              <w:kern w:val="0"/>
              <w14:ligatures w14:val="none"/>
            </w:rPr>
            <w:fldChar w:fldCharType="begin"/>
          </w:r>
          <w:r w:rsidR="0085427F">
            <w:rPr>
              <w:rFonts w:ascii="Gadugi" w:hAnsi="Gadugi"/>
              <w:kern w:val="0"/>
              <w14:ligatures w14:val="none"/>
            </w:rPr>
            <w:instrText xml:space="preserve"> CITATION Pro22 \l 4106 </w:instrText>
          </w:r>
          <w:r w:rsidR="0085427F">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(Procuraduría de Derechos Humanos, 2022)</w:t>
          </w:r>
          <w:r w:rsidR="0085427F">
            <w:rPr>
              <w:rFonts w:ascii="Gadugi" w:hAnsi="Gadugi"/>
              <w:kern w:val="0"/>
              <w14:ligatures w14:val="none"/>
            </w:rPr>
            <w:fldChar w:fldCharType="end"/>
          </w:r>
        </w:sdtContent>
      </w:sdt>
    </w:p>
    <w:p w14:paraId="6A5E25E9" w14:textId="55C477E5" w:rsidR="008C09B0" w:rsidRDefault="008C09B0" w:rsidP="00CA05E6">
      <w:pPr>
        <w:jc w:val="both"/>
        <w:rPr>
          <w:rFonts w:ascii="Gadugi" w:hAnsi="Gadugi"/>
          <w:kern w:val="0"/>
          <w14:ligatures w14:val="none"/>
        </w:rPr>
      </w:pPr>
      <w:r>
        <w:rPr>
          <w:rFonts w:ascii="Gadugi" w:hAnsi="Gadugi"/>
          <w:kern w:val="0"/>
          <w14:ligatures w14:val="none"/>
        </w:rPr>
        <w:t>De los constantes desabastecimiento e interrupciones de tratamiento antirretroviral, sale a la luz la falta de medicamentos pediátricos, y se afirmaba que “</w:t>
      </w:r>
      <w:r w:rsidRPr="008C09B0">
        <w:rPr>
          <w:rFonts w:ascii="Gadugi" w:hAnsi="Gadugi"/>
          <w:kern w:val="0"/>
          <w14:ligatures w14:val="none"/>
        </w:rPr>
        <w:t>Ante el</w:t>
      </w:r>
      <w:r>
        <w:rPr>
          <w:rFonts w:ascii="Merriweather" w:hAnsi="Merriweather"/>
          <w:color w:val="111113"/>
          <w:sz w:val="23"/>
          <w:szCs w:val="23"/>
          <w:shd w:val="clear" w:color="auto" w:fill="FFFFFF"/>
        </w:rPr>
        <w:t xml:space="preserve"> </w:t>
      </w:r>
      <w:r w:rsidRPr="008C09B0">
        <w:rPr>
          <w:rFonts w:ascii="Gadugi" w:hAnsi="Gadugi"/>
          <w:kern w:val="0"/>
          <w14:ligatures w14:val="none"/>
        </w:rPr>
        <w:t>desabastecimiento que se ha vuelto crónico, </w:t>
      </w:r>
      <w:r w:rsidRPr="008C09B0">
        <w:rPr>
          <w:rFonts w:ascii="Gadugi" w:hAnsi="Gadugi"/>
          <w:b/>
          <w:bCs/>
          <w:kern w:val="0"/>
          <w14:ligatures w14:val="none"/>
        </w:rPr>
        <w:t>los médicos echan mano de los fármacos que tienen disponibles para que los niños sigan con el tratamiento y así prolongar sus días</w:t>
      </w:r>
      <w:r w:rsidRPr="008C09B0">
        <w:rPr>
          <w:rFonts w:ascii="Gadugi" w:hAnsi="Gadugi"/>
          <w:kern w:val="0"/>
          <w14:ligatures w14:val="none"/>
        </w:rPr>
        <w:t>”</w:t>
      </w:r>
      <w:sdt>
        <w:sdtPr>
          <w:rPr>
            <w:rFonts w:ascii="Gadugi" w:hAnsi="Gadugi"/>
            <w:kern w:val="0"/>
            <w14:ligatures w14:val="none"/>
          </w:rPr>
          <w:id w:val="125371381"/>
          <w:citation/>
        </w:sdtPr>
        <w:sdtContent>
          <w:r>
            <w:rPr>
              <w:rFonts w:ascii="Gadugi" w:hAnsi="Gadugi"/>
              <w:kern w:val="0"/>
              <w14:ligatures w14:val="none"/>
            </w:rPr>
            <w:fldChar w:fldCharType="begin"/>
          </w:r>
          <w:r>
            <w:rPr>
              <w:rFonts w:ascii="Gadugi" w:hAnsi="Gadugi"/>
              <w:kern w:val="0"/>
              <w14:ligatures w14:val="none"/>
            </w:rPr>
            <w:instrText xml:space="preserve"> CITATION Ana22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(Ola, www. prensalibre.com, 2022)</w:t>
          </w:r>
          <w:r>
            <w:rPr>
              <w:rFonts w:ascii="Gadugi" w:hAnsi="Gadugi"/>
              <w:kern w:val="0"/>
              <w14:ligatures w14:val="none"/>
            </w:rPr>
            <w:fldChar w:fldCharType="end"/>
          </w:r>
        </w:sdtContent>
      </w:sdt>
      <w:r>
        <w:rPr>
          <w:rFonts w:ascii="Gadugi" w:hAnsi="Gadugi"/>
          <w:kern w:val="0"/>
          <w14:ligatures w14:val="none"/>
        </w:rPr>
        <w:t xml:space="preserve"> y también los médicos afirmaban en ese momento que “</w:t>
      </w:r>
      <w:r w:rsidRPr="008C09B0">
        <w:rPr>
          <w:rFonts w:ascii="Gadugi" w:hAnsi="Gadugi"/>
          <w:b/>
          <w:bCs/>
          <w:kern w:val="0"/>
          <w14:ligatures w14:val="none"/>
        </w:rPr>
        <w:t>No hay certeza si el cuerpo de los menores absorbe igual el medicamento, pero los médicos no tienen otra alternativa</w:t>
      </w:r>
      <w:r w:rsidRPr="008C09B0">
        <w:rPr>
          <w:rFonts w:ascii="Gadugi" w:hAnsi="Gadugi"/>
          <w:kern w:val="0"/>
          <w14:ligatures w14:val="none"/>
        </w:rPr>
        <w:t xml:space="preserve">. “Simplemente sabemos que algo tenemos que hacer, porque para el Gobierno no existen ni para el </w:t>
      </w:r>
      <w:r w:rsidR="003B4878">
        <w:rPr>
          <w:rFonts w:ascii="Gadugi" w:hAnsi="Gadugi"/>
          <w:kern w:val="0"/>
          <w14:ligatures w14:val="none"/>
        </w:rPr>
        <w:t>Programa</w:t>
      </w:r>
      <w:r w:rsidRPr="008C09B0">
        <w:rPr>
          <w:rFonts w:ascii="Gadugi" w:hAnsi="Gadugi"/>
          <w:kern w:val="0"/>
          <w14:ligatures w14:val="none"/>
        </w:rPr>
        <w:t xml:space="preserve"> Nacional de Sida, no hay nadie que le interese la vida de estos niños”</w:t>
      </w:r>
      <w:sdt>
        <w:sdtPr>
          <w:rPr>
            <w:rFonts w:ascii="Gadugi" w:hAnsi="Gadugi"/>
            <w:kern w:val="0"/>
            <w14:ligatures w14:val="none"/>
          </w:rPr>
          <w:id w:val="-873690597"/>
          <w:citation/>
        </w:sdtPr>
        <w:sdtContent>
          <w:r>
            <w:rPr>
              <w:rFonts w:ascii="Gadugi" w:hAnsi="Gadugi"/>
              <w:kern w:val="0"/>
              <w14:ligatures w14:val="none"/>
            </w:rPr>
            <w:fldChar w:fldCharType="begin"/>
          </w:r>
          <w:r>
            <w:rPr>
              <w:rFonts w:ascii="Gadugi" w:hAnsi="Gadugi"/>
              <w:kern w:val="0"/>
              <w14:ligatures w14:val="none"/>
            </w:rPr>
            <w:instrText xml:space="preserve"> CITATION Ana22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(Ola, www. prensalibre.com, 2022)</w:t>
          </w:r>
          <w:r>
            <w:rPr>
              <w:rFonts w:ascii="Gadugi" w:hAnsi="Gadugi"/>
              <w:kern w:val="0"/>
              <w14:ligatures w14:val="none"/>
            </w:rPr>
            <w:fldChar w:fldCharType="end"/>
          </w:r>
        </w:sdtContent>
      </w:sdt>
    </w:p>
    <w:p w14:paraId="7307481A" w14:textId="17917BD5" w:rsidR="00C75AA6" w:rsidRDefault="00C75AA6" w:rsidP="00C75AA6">
      <w:pPr>
        <w:jc w:val="both"/>
        <w:rPr>
          <w:rFonts w:ascii="Gadugi" w:hAnsi="Gadugi"/>
          <w:kern w:val="0"/>
          <w14:ligatures w14:val="none"/>
        </w:rPr>
      </w:pPr>
      <w:r>
        <w:rPr>
          <w:rFonts w:ascii="Gadugi" w:hAnsi="Gadugi"/>
          <w:kern w:val="0"/>
          <w14:ligatures w14:val="none"/>
        </w:rPr>
        <w:lastRenderedPageBreak/>
        <w:t>Para el año 2021 sólo 21% de los niños estimadas con VIH y el 67% de las mujeres con VIH reciben tratamiento antirretroviral.</w:t>
      </w:r>
      <w:sdt>
        <w:sdtPr>
          <w:rPr>
            <w:rFonts w:ascii="Gadugi" w:hAnsi="Gadugi"/>
            <w:kern w:val="0"/>
            <w14:ligatures w14:val="none"/>
          </w:rPr>
          <w:id w:val="714938468"/>
          <w:citation/>
        </w:sdtPr>
        <w:sdtContent>
          <w:r>
            <w:rPr>
              <w:rFonts w:ascii="Gadugi" w:hAnsi="Gadugi"/>
              <w:kern w:val="0"/>
              <w14:ligatures w14:val="none"/>
            </w:rPr>
            <w:fldChar w:fldCharType="begin"/>
          </w:r>
          <w:r>
            <w:rPr>
              <w:rFonts w:ascii="Gadugi" w:hAnsi="Gadugi"/>
              <w:kern w:val="0"/>
              <w14:ligatures w14:val="none"/>
            </w:rPr>
            <w:instrText xml:space="preserve">CITATION MSP212 \p 35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35)</w:t>
          </w:r>
          <w:r>
            <w:rPr>
              <w:rFonts w:ascii="Gadugi" w:hAnsi="Gadugi"/>
              <w:kern w:val="0"/>
              <w14:ligatures w14:val="none"/>
            </w:rPr>
            <w:fldChar w:fldCharType="end"/>
          </w:r>
        </w:sdtContent>
      </w:sdt>
      <w:r>
        <w:rPr>
          <w:rFonts w:ascii="Gadugi" w:hAnsi="Gadugi"/>
          <w:kern w:val="0"/>
          <w14:ligatures w14:val="none"/>
        </w:rPr>
        <w:t>;  “</w:t>
      </w:r>
      <w:r w:rsidRPr="00C75AA6">
        <w:rPr>
          <w:rFonts w:ascii="Gadugi" w:hAnsi="Gadugi"/>
          <w:kern w:val="0"/>
          <w14:ligatures w14:val="none"/>
        </w:rPr>
        <w:t>En el 2021, se reportaron un total de 252 niños que recibieron una prueba del</w:t>
      </w:r>
      <w:r>
        <w:rPr>
          <w:rFonts w:ascii="Gadugi" w:hAnsi="Gadugi"/>
          <w:kern w:val="0"/>
          <w14:ligatures w14:val="none"/>
        </w:rPr>
        <w:t xml:space="preserve"> </w:t>
      </w:r>
      <w:r w:rsidRPr="00C75AA6">
        <w:rPr>
          <w:rFonts w:ascii="Gadugi" w:hAnsi="Gadugi"/>
          <w:kern w:val="0"/>
          <w14:ligatures w14:val="none"/>
        </w:rPr>
        <w:t>VIH en sus dos primeros meses de vida. Del total de recién nacidos que se les</w:t>
      </w:r>
      <w:r>
        <w:rPr>
          <w:rFonts w:ascii="Gadugi" w:hAnsi="Gadugi"/>
          <w:kern w:val="0"/>
          <w14:ligatures w14:val="none"/>
        </w:rPr>
        <w:t xml:space="preserve"> </w:t>
      </w:r>
      <w:r w:rsidRPr="00C75AA6">
        <w:rPr>
          <w:rFonts w:ascii="Gadugi" w:hAnsi="Gadugi"/>
          <w:kern w:val="0"/>
          <w14:ligatures w14:val="none"/>
        </w:rPr>
        <w:t>realizó la prueba, el 1.6% (4/252) tuvieron un resultado positivo</w:t>
      </w:r>
      <w:r w:rsidR="008C3D59">
        <w:rPr>
          <w:rFonts w:ascii="Gadugi" w:hAnsi="Gadugi"/>
          <w:kern w:val="0"/>
          <w14:ligatures w14:val="none"/>
        </w:rPr>
        <w:t>”</w:t>
      </w:r>
      <w:sdt>
        <w:sdtPr>
          <w:rPr>
            <w:rFonts w:ascii="Gadugi" w:hAnsi="Gadugi"/>
            <w:kern w:val="0"/>
            <w14:ligatures w14:val="none"/>
          </w:rPr>
          <w:id w:val="286093518"/>
          <w:citation/>
        </w:sdtPr>
        <w:sdtContent>
          <w:r w:rsidR="008C3D59">
            <w:rPr>
              <w:rFonts w:ascii="Gadugi" w:hAnsi="Gadugi"/>
              <w:kern w:val="0"/>
              <w14:ligatures w14:val="none"/>
            </w:rPr>
            <w:fldChar w:fldCharType="begin"/>
          </w:r>
          <w:r w:rsidR="008C3D59">
            <w:rPr>
              <w:rFonts w:ascii="Gadugi" w:hAnsi="Gadugi"/>
              <w:kern w:val="0"/>
              <w14:ligatures w14:val="none"/>
            </w:rPr>
            <w:instrText xml:space="preserve">CITATION MSP212 \p 39 \l 4106 </w:instrText>
          </w:r>
          <w:r w:rsidR="008C3D59">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39)</w:t>
          </w:r>
          <w:r w:rsidR="008C3D59">
            <w:rPr>
              <w:rFonts w:ascii="Gadugi" w:hAnsi="Gadugi"/>
              <w:kern w:val="0"/>
              <w14:ligatures w14:val="none"/>
            </w:rPr>
            <w:fldChar w:fldCharType="end"/>
          </w:r>
        </w:sdtContent>
      </w:sdt>
      <w:r w:rsidR="008C3D59">
        <w:rPr>
          <w:rFonts w:ascii="Gadugi" w:hAnsi="Gadugi"/>
          <w:kern w:val="0"/>
          <w14:ligatures w14:val="none"/>
        </w:rPr>
        <w:t>, y se afirma que “</w:t>
      </w:r>
      <w:r w:rsidR="008C3D59" w:rsidRPr="008C3D59">
        <w:rPr>
          <w:rFonts w:ascii="Gadugi" w:hAnsi="Gadugi"/>
          <w:kern w:val="0"/>
          <w14:ligatures w14:val="none"/>
        </w:rPr>
        <w:t>Actualmente, en Guatemala no hay un dato programático o sistema rutinario de información para determinar la transmisión vertical del VIH, sin embargo, el dato estimado de la tas</w:t>
      </w:r>
      <w:r w:rsidR="008C3D59">
        <w:rPr>
          <w:rFonts w:ascii="Gadugi" w:hAnsi="Gadugi"/>
          <w:kern w:val="0"/>
          <w14:ligatures w14:val="none"/>
        </w:rPr>
        <w:t>a</w:t>
      </w:r>
      <w:r w:rsidR="008C3D59" w:rsidRPr="008C3D59">
        <w:rPr>
          <w:rFonts w:ascii="Gadugi" w:hAnsi="Gadugi"/>
          <w:kern w:val="0"/>
          <w14:ligatures w14:val="none"/>
        </w:rPr>
        <w:t xml:space="preserve"> de transmisión final”</w:t>
      </w:r>
      <w:sdt>
        <w:sdtPr>
          <w:rPr>
            <w:rFonts w:ascii="Gadugi" w:hAnsi="Gadugi"/>
            <w:kern w:val="0"/>
            <w14:ligatures w14:val="none"/>
          </w:rPr>
          <w:id w:val="1249156983"/>
          <w:citation/>
        </w:sdtPr>
        <w:sdtContent>
          <w:r w:rsidR="008C3D59">
            <w:rPr>
              <w:rFonts w:ascii="Gadugi" w:hAnsi="Gadugi"/>
              <w:kern w:val="0"/>
              <w14:ligatures w14:val="none"/>
            </w:rPr>
            <w:fldChar w:fldCharType="begin"/>
          </w:r>
          <w:r w:rsidR="008C3D59">
            <w:rPr>
              <w:rFonts w:ascii="Gadugi" w:hAnsi="Gadugi"/>
              <w:kern w:val="0"/>
              <w14:ligatures w14:val="none"/>
            </w:rPr>
            <w:instrText xml:space="preserve">CITATION MSP212 \p 40 \l 4106 </w:instrText>
          </w:r>
          <w:r w:rsidR="008C3D59">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40)</w:t>
          </w:r>
          <w:r w:rsidR="008C3D59">
            <w:rPr>
              <w:rFonts w:ascii="Gadugi" w:hAnsi="Gadugi"/>
              <w:kern w:val="0"/>
              <w14:ligatures w14:val="none"/>
            </w:rPr>
            <w:fldChar w:fldCharType="end"/>
          </w:r>
        </w:sdtContent>
      </w:sdt>
      <w:r w:rsidR="008C3D59" w:rsidRPr="008C3D59">
        <w:rPr>
          <w:rFonts w:ascii="Gadugi" w:hAnsi="Gadugi"/>
          <w:kern w:val="0"/>
          <w14:ligatures w14:val="none"/>
        </w:rPr>
        <w:t xml:space="preserve"> </w:t>
      </w:r>
      <w:r w:rsidR="008C3D59">
        <w:rPr>
          <w:rFonts w:ascii="Gadugi" w:hAnsi="Gadugi"/>
          <w:kern w:val="0"/>
          <w14:ligatures w14:val="none"/>
        </w:rPr>
        <w:t>.</w:t>
      </w:r>
    </w:p>
    <w:p w14:paraId="5C21A07E" w14:textId="6AEA13AD" w:rsidR="0045252B" w:rsidRDefault="0045252B" w:rsidP="00C75AA6">
      <w:pPr>
        <w:jc w:val="both"/>
        <w:rPr>
          <w:rFonts w:ascii="Gadugi" w:hAnsi="Gadugi"/>
          <w:kern w:val="0"/>
          <w14:ligatures w14:val="none"/>
        </w:rPr>
      </w:pPr>
      <w:r w:rsidRPr="0045252B">
        <w:rPr>
          <w:rFonts w:ascii="Gadugi" w:hAnsi="Gadugi"/>
          <w:kern w:val="0"/>
          <w14:ligatures w14:val="none"/>
        </w:rPr>
        <w:t>De acuerdo al estudio de “Medición de prevalencia, comportamiento, actitudes y prácticas en poblaciones de mayor riesgo al VIH-Sida en Guatemala, 2017”; la prevalencia de VIH en la ciudad de Guatemala en mujeres trabajadoras sexuales fue de 1.0% (6/615), en hombres que tienen relaciones sexuales con hombres fue de 9.0% (47/525) y en mujeres transgénero fue de 22.2% (42/189). Los datos provienen del último estudio vigente, razón por la cual no hay un dato nuevo disponible para el año 2021</w:t>
      </w:r>
      <w:r>
        <w:rPr>
          <w:rFonts w:ascii="Gadugi" w:hAnsi="Gadugi"/>
          <w:kern w:val="0"/>
          <w14:ligatures w14:val="none"/>
        </w:rPr>
        <w:t>.</w:t>
      </w:r>
      <w:sdt>
        <w:sdtPr>
          <w:rPr>
            <w:rFonts w:ascii="Gadugi" w:hAnsi="Gadugi"/>
            <w:kern w:val="0"/>
            <w14:ligatures w14:val="none"/>
          </w:rPr>
          <w:id w:val="-1240869261"/>
          <w:citation/>
        </w:sdtPr>
        <w:sdtContent>
          <w:r>
            <w:rPr>
              <w:rFonts w:ascii="Gadugi" w:hAnsi="Gadugi"/>
              <w:kern w:val="0"/>
              <w14:ligatures w14:val="none"/>
            </w:rPr>
            <w:fldChar w:fldCharType="begin"/>
          </w:r>
          <w:r>
            <w:rPr>
              <w:rFonts w:ascii="Gadugi" w:hAnsi="Gadugi"/>
              <w:kern w:val="0"/>
              <w14:ligatures w14:val="none"/>
            </w:rPr>
            <w:instrText xml:space="preserve">CITATION MSP212 \p 28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28)</w:t>
          </w:r>
          <w:r>
            <w:rPr>
              <w:rFonts w:ascii="Gadugi" w:hAnsi="Gadugi"/>
              <w:kern w:val="0"/>
              <w14:ligatures w14:val="none"/>
            </w:rPr>
            <w:fldChar w:fldCharType="end"/>
          </w:r>
        </w:sdtContent>
      </w:sdt>
    </w:p>
    <w:p w14:paraId="68ED4C52" w14:textId="5682AE0A" w:rsidR="003731ED" w:rsidRDefault="0045252B" w:rsidP="00C75AA6">
      <w:pPr>
        <w:jc w:val="both"/>
        <w:rPr>
          <w:rFonts w:ascii="Gadugi" w:hAnsi="Gadugi"/>
          <w:kern w:val="0"/>
          <w14:ligatures w14:val="none"/>
        </w:rPr>
      </w:pPr>
      <w:r>
        <w:rPr>
          <w:rFonts w:ascii="Gadugi" w:hAnsi="Gadugi"/>
          <w:kern w:val="0"/>
          <w14:ligatures w14:val="none"/>
        </w:rPr>
        <w:t>En el año 2022, l</w:t>
      </w:r>
      <w:r w:rsidR="003731ED">
        <w:rPr>
          <w:rFonts w:ascii="Gadugi" w:hAnsi="Gadugi"/>
          <w:kern w:val="0"/>
          <w14:ligatures w14:val="none"/>
        </w:rPr>
        <w:t>a situación de desabastecimiento de medicamentos pediátricos fue una constante en el año, llevando a que la Organización Panamericana de la Salud, realizará una donación al Ministerio de Salud Pública y Asistencia Social, ya que se afirmó que “</w:t>
      </w:r>
      <w:r w:rsidR="003731ED" w:rsidRPr="003731ED">
        <w:rPr>
          <w:rFonts w:ascii="Gadugi" w:hAnsi="Gadugi"/>
          <w:kern w:val="0"/>
          <w14:ligatures w14:val="none"/>
        </w:rPr>
        <w:t xml:space="preserve">La falta de Zidovudina, </w:t>
      </w:r>
      <w:proofErr w:type="spellStart"/>
      <w:r w:rsidR="003731ED" w:rsidRPr="003731ED">
        <w:rPr>
          <w:rFonts w:ascii="Gadugi" w:hAnsi="Gadugi"/>
          <w:kern w:val="0"/>
          <w14:ligatures w14:val="none"/>
        </w:rPr>
        <w:t>Avacabir</w:t>
      </w:r>
      <w:proofErr w:type="spellEnd"/>
      <w:r w:rsidR="003731ED" w:rsidRPr="003731ED">
        <w:rPr>
          <w:rFonts w:ascii="Gadugi" w:hAnsi="Gadugi"/>
          <w:kern w:val="0"/>
          <w14:ligatures w14:val="none"/>
        </w:rPr>
        <w:t xml:space="preserve"> y </w:t>
      </w:r>
      <w:proofErr w:type="spellStart"/>
      <w:r w:rsidR="003731ED" w:rsidRPr="003731ED">
        <w:rPr>
          <w:rFonts w:ascii="Gadugi" w:hAnsi="Gadugi"/>
          <w:kern w:val="0"/>
          <w14:ligatures w14:val="none"/>
        </w:rPr>
        <w:t>Lamivudina</w:t>
      </w:r>
      <w:proofErr w:type="spellEnd"/>
      <w:r w:rsidR="003731ED" w:rsidRPr="003731ED">
        <w:rPr>
          <w:rFonts w:ascii="Gadugi" w:hAnsi="Gadugi"/>
          <w:kern w:val="0"/>
          <w14:ligatures w14:val="none"/>
        </w:rPr>
        <w:t xml:space="preserve"> en jarabe por varios meses ha puesto en riesgo la vida de los pacientes pediátricos. Información oficial indica que son 978 los menores de edad los que son atendidos en las </w:t>
      </w:r>
      <w:proofErr w:type="spellStart"/>
      <w:r w:rsidR="003731ED" w:rsidRPr="003731ED">
        <w:rPr>
          <w:rFonts w:ascii="Gadugi" w:hAnsi="Gadugi"/>
          <w:kern w:val="0"/>
          <w14:ligatures w14:val="none"/>
        </w:rPr>
        <w:t>UAI’s</w:t>
      </w:r>
      <w:proofErr w:type="spellEnd"/>
      <w:r w:rsidR="003731ED">
        <w:rPr>
          <w:rFonts w:ascii="Gadugi" w:hAnsi="Gadugi"/>
          <w:kern w:val="0"/>
          <w14:ligatures w14:val="none"/>
        </w:rPr>
        <w:t>”</w:t>
      </w:r>
      <w:sdt>
        <w:sdtPr>
          <w:rPr>
            <w:rFonts w:ascii="Gadugi" w:hAnsi="Gadugi"/>
            <w:kern w:val="0"/>
            <w14:ligatures w14:val="none"/>
          </w:rPr>
          <w:id w:val="1347519697"/>
          <w:citation/>
        </w:sdtPr>
        <w:sdtContent>
          <w:r w:rsidR="00B36E31">
            <w:rPr>
              <w:rFonts w:ascii="Gadugi" w:hAnsi="Gadugi"/>
              <w:kern w:val="0"/>
              <w14:ligatures w14:val="none"/>
            </w:rPr>
            <w:fldChar w:fldCharType="begin"/>
          </w:r>
          <w:r w:rsidR="00B36E31">
            <w:rPr>
              <w:rFonts w:ascii="Gadugi" w:hAnsi="Gadugi"/>
              <w:kern w:val="0"/>
              <w14:ligatures w14:val="none"/>
            </w:rPr>
            <w:instrText xml:space="preserve"> CITATION Ola22 \l 4106 </w:instrText>
          </w:r>
          <w:r w:rsidR="00B36E31">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(Ola, Desabastecimiento: OPS donará medicamentos antirretrovirales para niños con VIH, 2022)</w:t>
          </w:r>
          <w:r w:rsidR="00B36E31">
            <w:rPr>
              <w:rFonts w:ascii="Gadugi" w:hAnsi="Gadugi"/>
              <w:kern w:val="0"/>
              <w14:ligatures w14:val="none"/>
            </w:rPr>
            <w:fldChar w:fldCharType="end"/>
          </w:r>
        </w:sdtContent>
      </w:sdt>
      <w:r w:rsidR="00B36E31">
        <w:rPr>
          <w:rFonts w:ascii="Gadugi" w:hAnsi="Gadugi"/>
          <w:kern w:val="0"/>
          <w14:ligatures w14:val="none"/>
        </w:rPr>
        <w:t>, se llegó al extremo de suministrar jarabes vencidos para los bebés “</w:t>
      </w:r>
      <w:r w:rsidR="00B36E31" w:rsidRPr="00B36E31">
        <w:rPr>
          <w:rFonts w:ascii="Gadugi" w:hAnsi="Gadugi"/>
          <w:kern w:val="0"/>
          <w14:ligatures w14:val="none"/>
        </w:rPr>
        <w:t>Ante este problema, según Samayoa, empezaron a administrar jarabes vencidos porque no tenían otra opción. «Teníamos medicamento vencido en agosto de 2022 y ese usamos en última instancia. No teníamos otra opción. Lo otro es que no recibieran tratamiento, pues las pastillas son peores para el organismo de un bebé»</w:t>
      </w:r>
      <w:r w:rsidR="00B36E31">
        <w:rPr>
          <w:rFonts w:ascii="Gadugi" w:hAnsi="Gadugi"/>
          <w:kern w:val="0"/>
          <w14:ligatures w14:val="none"/>
        </w:rPr>
        <w:t>”</w:t>
      </w:r>
      <w:sdt>
        <w:sdtPr>
          <w:rPr>
            <w:rFonts w:ascii="Gadugi" w:hAnsi="Gadugi"/>
            <w:kern w:val="0"/>
            <w14:ligatures w14:val="none"/>
          </w:rPr>
          <w:id w:val="1873259509"/>
          <w:citation/>
        </w:sdtPr>
        <w:sdtContent>
          <w:r w:rsidR="00B36E31">
            <w:rPr>
              <w:rFonts w:ascii="Gadugi" w:hAnsi="Gadugi"/>
              <w:kern w:val="0"/>
              <w14:ligatures w14:val="none"/>
            </w:rPr>
            <w:fldChar w:fldCharType="begin"/>
          </w:r>
          <w:r w:rsidR="00B36E31">
            <w:rPr>
              <w:rFonts w:ascii="Gadugi" w:hAnsi="Gadugi"/>
              <w:kern w:val="0"/>
              <w14:ligatures w14:val="none"/>
            </w:rPr>
            <w:instrText xml:space="preserve"> CITATION Ale23 \l 4106 </w:instrText>
          </w:r>
          <w:r w:rsidR="00B36E31">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(Maldonado, 2023)</w:t>
          </w:r>
          <w:r w:rsidR="00B36E31">
            <w:rPr>
              <w:rFonts w:ascii="Gadugi" w:hAnsi="Gadugi"/>
              <w:kern w:val="0"/>
              <w14:ligatures w14:val="none"/>
            </w:rPr>
            <w:fldChar w:fldCharType="end"/>
          </w:r>
        </w:sdtContent>
      </w:sdt>
    </w:p>
    <w:p w14:paraId="2E672923" w14:textId="43F1C978" w:rsidR="000E427C" w:rsidRDefault="000E427C" w:rsidP="000E427C">
      <w:pPr>
        <w:jc w:val="both"/>
        <w:rPr>
          <w:rFonts w:ascii="Gadugi" w:hAnsi="Gadugi"/>
          <w:kern w:val="0"/>
          <w14:ligatures w14:val="none"/>
        </w:rPr>
      </w:pPr>
      <w:r>
        <w:rPr>
          <w:rFonts w:ascii="Gadugi" w:hAnsi="Gadugi"/>
          <w:kern w:val="0"/>
          <w14:ligatures w14:val="none"/>
        </w:rPr>
        <w:t>En relación a las mujeres embarazadas “</w:t>
      </w:r>
      <w:r w:rsidRPr="000E427C">
        <w:rPr>
          <w:rFonts w:ascii="Gadugi" w:hAnsi="Gadugi"/>
          <w:kern w:val="0"/>
          <w14:ligatures w14:val="none"/>
        </w:rPr>
        <w:t>Para el año 2021, se reportaron un total de 264 mujeres embarazadas que</w:t>
      </w:r>
      <w:r>
        <w:rPr>
          <w:rFonts w:ascii="Gadugi" w:hAnsi="Gadugi"/>
          <w:kern w:val="0"/>
          <w14:ligatures w14:val="none"/>
        </w:rPr>
        <w:t xml:space="preserve"> </w:t>
      </w:r>
      <w:r w:rsidRPr="000E427C">
        <w:rPr>
          <w:rFonts w:ascii="Gadugi" w:hAnsi="Gadugi"/>
          <w:kern w:val="0"/>
          <w14:ligatures w14:val="none"/>
        </w:rPr>
        <w:t>recibieron fármacos antirretrovirales para reducir el riesgo de transmisión</w:t>
      </w:r>
      <w:r>
        <w:rPr>
          <w:rFonts w:ascii="Gadugi" w:hAnsi="Gadugi"/>
          <w:kern w:val="0"/>
          <w14:ligatures w14:val="none"/>
        </w:rPr>
        <w:t xml:space="preserve"> </w:t>
      </w:r>
      <w:r w:rsidRPr="000E427C">
        <w:rPr>
          <w:rFonts w:ascii="Gadugi" w:hAnsi="Gadugi"/>
          <w:kern w:val="0"/>
          <w14:ligatures w14:val="none"/>
        </w:rPr>
        <w:t>materno infantil del VIH, lo que corresponde a un 29.75% (264/887) del</w:t>
      </w:r>
      <w:r>
        <w:rPr>
          <w:rFonts w:ascii="Gadugi" w:hAnsi="Gadugi"/>
          <w:kern w:val="0"/>
          <w14:ligatures w14:val="none"/>
        </w:rPr>
        <w:t xml:space="preserve"> </w:t>
      </w:r>
      <w:r w:rsidRPr="000E427C">
        <w:rPr>
          <w:rFonts w:ascii="Gadugi" w:hAnsi="Gadugi"/>
          <w:kern w:val="0"/>
          <w14:ligatures w14:val="none"/>
        </w:rPr>
        <w:t>estimado de mujeres embarazadas con VIH</w:t>
      </w:r>
      <w:r>
        <w:rPr>
          <w:rFonts w:ascii="Gadugi" w:hAnsi="Gadugi"/>
          <w:kern w:val="0"/>
          <w14:ligatures w14:val="none"/>
        </w:rPr>
        <w:t>”</w:t>
      </w:r>
      <w:sdt>
        <w:sdtPr>
          <w:rPr>
            <w:rFonts w:ascii="Gadugi" w:hAnsi="Gadugi"/>
            <w:kern w:val="0"/>
            <w14:ligatures w14:val="none"/>
          </w:rPr>
          <w:id w:val="-1989856126"/>
          <w:citation/>
        </w:sdtPr>
        <w:sdtContent>
          <w:r>
            <w:rPr>
              <w:rFonts w:ascii="Gadugi" w:hAnsi="Gadugi"/>
              <w:kern w:val="0"/>
              <w14:ligatures w14:val="none"/>
            </w:rPr>
            <w:fldChar w:fldCharType="begin"/>
          </w:r>
          <w:r>
            <w:rPr>
              <w:rFonts w:ascii="Gadugi" w:hAnsi="Gadugi"/>
              <w:kern w:val="0"/>
              <w14:ligatures w14:val="none"/>
            </w:rPr>
            <w:instrText xml:space="preserve">CITATION MSP212 \p 40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40)</w:t>
          </w:r>
          <w:r>
            <w:rPr>
              <w:rFonts w:ascii="Gadugi" w:hAnsi="Gadugi"/>
              <w:kern w:val="0"/>
              <w14:ligatures w14:val="none"/>
            </w:rPr>
            <w:fldChar w:fldCharType="end"/>
          </w:r>
        </w:sdtContent>
      </w:sdt>
      <w:r>
        <w:rPr>
          <w:rFonts w:ascii="Gadugi" w:hAnsi="Gadugi"/>
          <w:kern w:val="0"/>
          <w14:ligatures w14:val="none"/>
        </w:rPr>
        <w:t>; en Guatemala se afirma que “</w:t>
      </w:r>
      <w:r w:rsidRPr="000E427C">
        <w:rPr>
          <w:rFonts w:ascii="Gadugi" w:hAnsi="Gadugi"/>
          <w:kern w:val="0"/>
          <w14:ligatures w14:val="none"/>
        </w:rPr>
        <w:t>no se cuenta con objetivos para la eliminación de la transmisión del VIH según el número de casos por 100 000 habitantes</w:t>
      </w:r>
      <w:r>
        <w:rPr>
          <w:rFonts w:ascii="Gadugi" w:hAnsi="Gadugi"/>
          <w:kern w:val="0"/>
          <w14:ligatures w14:val="none"/>
        </w:rPr>
        <w:t>”</w:t>
      </w:r>
      <w:sdt>
        <w:sdtPr>
          <w:rPr>
            <w:rFonts w:ascii="Gadugi" w:hAnsi="Gadugi"/>
            <w:kern w:val="0"/>
            <w14:ligatures w14:val="none"/>
          </w:rPr>
          <w:id w:val="1535542715"/>
          <w:citation/>
        </w:sdtPr>
        <w:sdtContent>
          <w:r>
            <w:rPr>
              <w:rFonts w:ascii="Gadugi" w:hAnsi="Gadugi"/>
              <w:kern w:val="0"/>
              <w14:ligatures w14:val="none"/>
            </w:rPr>
            <w:fldChar w:fldCharType="begin"/>
          </w:r>
          <w:r>
            <w:rPr>
              <w:rFonts w:ascii="Gadugi" w:hAnsi="Gadugi"/>
              <w:kern w:val="0"/>
              <w14:ligatures w14:val="none"/>
            </w:rPr>
            <w:instrText xml:space="preserve">CITATION MSP212 \p 72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(MSPAS, 2021, pág. 72)</w:t>
          </w:r>
          <w:r>
            <w:rPr>
              <w:rFonts w:ascii="Gadugi" w:hAnsi="Gadugi"/>
              <w:kern w:val="0"/>
              <w14:ligatures w14:val="none"/>
            </w:rPr>
            <w:fldChar w:fldCharType="end"/>
          </w:r>
        </w:sdtContent>
      </w:sdt>
    </w:p>
    <w:p w14:paraId="4C27EF96" w14:textId="77777777" w:rsidR="0045252B" w:rsidRDefault="00DA1401" w:rsidP="000E427C">
      <w:pPr>
        <w:jc w:val="both"/>
        <w:rPr>
          <w:rFonts w:ascii="Gadugi" w:hAnsi="Gadugi"/>
          <w:kern w:val="0"/>
          <w14:ligatures w14:val="none"/>
        </w:rPr>
      </w:pPr>
      <w:r>
        <w:rPr>
          <w:rFonts w:ascii="Gadugi" w:hAnsi="Gadugi"/>
          <w:kern w:val="0"/>
          <w14:ligatures w14:val="none"/>
        </w:rPr>
        <w:t xml:space="preserve">Según información del departamento de Epidemiología, de enero a mayo del año 2023 se han notificado 1,012 casos, de los cuales corresponde el 29% (297) a las mujeres, correspondiente de 15 casos en edades de 0 a 4 años, 7 casos de 5 a 9 años, 1 caso de 10-14 años; 25 casos en las edades de 15-19 años; 29 casos de 20 a 24 años; 43 casos de 25 a </w:t>
      </w:r>
      <w:r>
        <w:rPr>
          <w:rFonts w:ascii="Gadugi" w:hAnsi="Gadugi"/>
          <w:kern w:val="0"/>
          <w14:ligatures w14:val="none"/>
        </w:rPr>
        <w:lastRenderedPageBreak/>
        <w:t>29 años; 39 casos de 30 a 34 años, 46 casos en mujeres de 35 a 39 años; 32 casos de 40 a 44 años; 20 casos</w:t>
      </w:r>
    </w:p>
    <w:p w14:paraId="35C745F7" w14:textId="18843BA4" w:rsidR="00DA1401" w:rsidRDefault="00DA1401" w:rsidP="000E427C">
      <w:pPr>
        <w:jc w:val="both"/>
        <w:rPr>
          <w:rFonts w:ascii="Gadugi" w:hAnsi="Gadugi"/>
          <w:kern w:val="0"/>
          <w14:ligatures w14:val="none"/>
        </w:rPr>
      </w:pPr>
      <w:r>
        <w:rPr>
          <w:rFonts w:ascii="Gadugi" w:hAnsi="Gadugi"/>
          <w:kern w:val="0"/>
          <w14:ligatures w14:val="none"/>
        </w:rPr>
        <w:t xml:space="preserve"> de 45 a 49 años; 11 casos en 50 a 54 años; 13 casos de 55 a 59 años; 9 casos en 60 a 64 años; 5 casos de 65 a 69 años; 1 caso de 70 a 79 años y 1 caso de 80 a 89 años.</w:t>
      </w:r>
      <w:sdt>
        <w:sdtPr>
          <w:rPr>
            <w:rFonts w:ascii="Gadugi" w:hAnsi="Gadugi"/>
            <w:kern w:val="0"/>
            <w14:ligatures w14:val="none"/>
          </w:rPr>
          <w:id w:val="1824467769"/>
          <w:citation/>
        </w:sdtPr>
        <w:sdtContent>
          <w:r>
            <w:rPr>
              <w:rFonts w:ascii="Gadugi" w:hAnsi="Gadugi"/>
              <w:kern w:val="0"/>
              <w14:ligatures w14:val="none"/>
            </w:rPr>
            <w:fldChar w:fldCharType="begin"/>
          </w:r>
          <w:r>
            <w:rPr>
              <w:rFonts w:ascii="Gadugi" w:hAnsi="Gadugi"/>
              <w:kern w:val="0"/>
              <w14:ligatures w14:val="none"/>
            </w:rPr>
            <w:instrText xml:space="preserve"> CITATION Min23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(Ministerio de Salud Pública y Asistencia Social, 2023)</w:t>
          </w:r>
          <w:r>
            <w:rPr>
              <w:rFonts w:ascii="Gadugi" w:hAnsi="Gadugi"/>
              <w:kern w:val="0"/>
              <w14:ligatures w14:val="none"/>
            </w:rPr>
            <w:fldChar w:fldCharType="end"/>
          </w:r>
        </w:sdtContent>
      </w:sdt>
    </w:p>
    <w:p w14:paraId="33B00E31" w14:textId="7424B553" w:rsidR="00C75AA6" w:rsidRDefault="00C75AA6" w:rsidP="00C75AA6">
      <w:pPr>
        <w:jc w:val="both"/>
        <w:rPr>
          <w:rFonts w:ascii="Gadugi" w:hAnsi="Gadugi"/>
          <w:kern w:val="0"/>
          <w14:ligatures w14:val="none"/>
        </w:rPr>
      </w:pPr>
      <w:r>
        <w:rPr>
          <w:rFonts w:ascii="Gadugi" w:hAnsi="Gadugi"/>
          <w:kern w:val="0"/>
          <w14:ligatures w14:val="none"/>
        </w:rPr>
        <w:t xml:space="preserve">En el año 2015 el MSPAS, emitió el </w:t>
      </w:r>
      <w:r w:rsidRPr="00877EB7">
        <w:rPr>
          <w:rFonts w:ascii="Gadugi" w:hAnsi="Gadugi"/>
          <w:kern w:val="0"/>
          <w14:ligatures w14:val="none"/>
        </w:rPr>
        <w:t>Manual para la atención de la Salud Sexual y Reproductiva de las mujeres que viven con VIH y VIH avanzado (sida)</w:t>
      </w:r>
      <w:r>
        <w:rPr>
          <w:rFonts w:ascii="Gadugi" w:hAnsi="Gadugi"/>
          <w:kern w:val="0"/>
          <w14:ligatures w14:val="none"/>
        </w:rPr>
        <w:t>; sin embargo, éste no ha sido implementado</w:t>
      </w:r>
      <w:r w:rsidR="00C87C6A">
        <w:rPr>
          <w:rFonts w:ascii="Gadugi" w:hAnsi="Gadugi"/>
          <w:kern w:val="0"/>
          <w14:ligatures w14:val="none"/>
        </w:rPr>
        <w:t>, a nivel nacional; se ha quedado como una guía más, pero que no ha sido utilizada en todas las Unidades de Atención Integral.</w:t>
      </w:r>
    </w:p>
    <w:p w14:paraId="0EC8448A" w14:textId="1D04A8DF" w:rsidR="00CE6056" w:rsidRDefault="00CE6056" w:rsidP="00D31BF6">
      <w:pPr>
        <w:jc w:val="both"/>
        <w:rPr>
          <w:rFonts w:ascii="Gadugi" w:hAnsi="Gadugi"/>
          <w:kern w:val="0"/>
          <w14:ligatures w14:val="none"/>
        </w:rPr>
      </w:pPr>
      <w:r>
        <w:rPr>
          <w:rFonts w:ascii="Gadugi" w:hAnsi="Gadugi"/>
          <w:kern w:val="0"/>
          <w14:ligatures w14:val="none"/>
        </w:rPr>
        <w:t>La Procuraduría General de la Nación y otras instituciones que deben velar por la protección a la niñez y adolescencia con VIH, no cuentan con:</w:t>
      </w:r>
    </w:p>
    <w:p w14:paraId="6895DBF2" w14:textId="77777777" w:rsidR="00CE6056" w:rsidRPr="00D31BF6" w:rsidRDefault="00CE6056" w:rsidP="00CE6056">
      <w:pPr>
        <w:pStyle w:val="Prrafodelista"/>
        <w:numPr>
          <w:ilvl w:val="0"/>
          <w:numId w:val="5"/>
        </w:numPr>
        <w:jc w:val="both"/>
        <w:rPr>
          <w:rFonts w:ascii="Gadugi" w:hAnsi="Gadugi"/>
          <w:kern w:val="0"/>
          <w14:ligatures w14:val="none"/>
        </w:rPr>
      </w:pPr>
      <w:r w:rsidRPr="00D31BF6">
        <w:rPr>
          <w:rFonts w:ascii="Gadugi" w:hAnsi="Gadugi"/>
          <w:kern w:val="0"/>
          <w14:ligatures w14:val="none"/>
        </w:rPr>
        <w:t>Protocolo de actuación de la Niños, Niñas y Adolescentes de la Procuraduría General de la Nación para el abordaje de casos de Virus de Inmunodeficiencia Humana y Sida -VIH/sida- e Infecciones de Transmisión Sexual -ITS-.</w:t>
      </w:r>
    </w:p>
    <w:p w14:paraId="5823B1D9" w14:textId="77777777" w:rsidR="00CE6056" w:rsidRPr="00D31BF6" w:rsidRDefault="00CE6056" w:rsidP="00CE6056">
      <w:pPr>
        <w:pStyle w:val="Prrafodelista"/>
        <w:numPr>
          <w:ilvl w:val="0"/>
          <w:numId w:val="5"/>
        </w:numPr>
        <w:jc w:val="both"/>
        <w:rPr>
          <w:rFonts w:ascii="Gadugi" w:hAnsi="Gadugi"/>
          <w:kern w:val="0"/>
          <w14:ligatures w14:val="none"/>
        </w:rPr>
      </w:pPr>
      <w:r w:rsidRPr="00D31BF6">
        <w:rPr>
          <w:rFonts w:ascii="Gadugi" w:hAnsi="Gadugi"/>
          <w:kern w:val="0"/>
          <w14:ligatures w14:val="none"/>
        </w:rPr>
        <w:t>Rutas de referencias en casos se identifique niños, niñas y adolescentes con VIH/sida e ITS.</w:t>
      </w:r>
    </w:p>
    <w:p w14:paraId="6C6AB0FD" w14:textId="77777777" w:rsidR="00CE6056" w:rsidRPr="00D31BF6" w:rsidRDefault="00CE6056" w:rsidP="00CE6056">
      <w:pPr>
        <w:pStyle w:val="Prrafodelista"/>
        <w:numPr>
          <w:ilvl w:val="0"/>
          <w:numId w:val="5"/>
        </w:numPr>
        <w:jc w:val="both"/>
        <w:rPr>
          <w:rFonts w:ascii="Gadugi" w:hAnsi="Gadugi"/>
          <w:kern w:val="0"/>
          <w14:ligatures w14:val="none"/>
        </w:rPr>
      </w:pPr>
      <w:r>
        <w:rPr>
          <w:rFonts w:ascii="Gadugi" w:hAnsi="Gadugi"/>
          <w:kern w:val="0"/>
          <w14:ligatures w14:val="none"/>
        </w:rPr>
        <w:t>Registro de n</w:t>
      </w:r>
      <w:r w:rsidRPr="00D31BF6">
        <w:rPr>
          <w:rFonts w:ascii="Gadugi" w:hAnsi="Gadugi"/>
          <w:kern w:val="0"/>
          <w14:ligatures w14:val="none"/>
        </w:rPr>
        <w:t>úmero de casos atendidos de niños, niñas y adolescentes con VIH a nivel nacional, desagregado por edad, sexo y departamento.</w:t>
      </w:r>
    </w:p>
    <w:p w14:paraId="5414CDF9" w14:textId="77777777" w:rsidR="00CE6056" w:rsidRPr="00D31BF6" w:rsidRDefault="00CE6056" w:rsidP="00CE6056">
      <w:pPr>
        <w:pStyle w:val="Prrafodelista"/>
        <w:numPr>
          <w:ilvl w:val="0"/>
          <w:numId w:val="5"/>
        </w:numPr>
        <w:jc w:val="both"/>
        <w:rPr>
          <w:rFonts w:ascii="Gadugi" w:hAnsi="Gadugi"/>
          <w:kern w:val="0"/>
          <w14:ligatures w14:val="none"/>
        </w:rPr>
      </w:pPr>
      <w:r>
        <w:rPr>
          <w:rFonts w:ascii="Gadugi" w:hAnsi="Gadugi"/>
          <w:kern w:val="0"/>
          <w14:ligatures w14:val="none"/>
        </w:rPr>
        <w:t xml:space="preserve">Identificación de </w:t>
      </w:r>
      <w:r w:rsidRPr="00D31BF6">
        <w:rPr>
          <w:rFonts w:ascii="Gadugi" w:hAnsi="Gadugi"/>
          <w:kern w:val="0"/>
          <w14:ligatures w14:val="none"/>
        </w:rPr>
        <w:t>hogares que reciban a niños, niñas y adolescentes con VIH e ITS a nivel nacional</w:t>
      </w:r>
      <w:r>
        <w:rPr>
          <w:rFonts w:ascii="Gadugi" w:hAnsi="Gadugi"/>
          <w:kern w:val="0"/>
          <w14:ligatures w14:val="none"/>
        </w:rPr>
        <w:t>, en casos de protección.</w:t>
      </w:r>
    </w:p>
    <w:p w14:paraId="0131C249" w14:textId="797D467E" w:rsidR="00D31BF6" w:rsidRPr="00CE6056" w:rsidRDefault="00CE6056" w:rsidP="00D31BF6">
      <w:pPr>
        <w:jc w:val="both"/>
        <w:rPr>
          <w:rFonts w:ascii="Gadugi" w:hAnsi="Gadugi"/>
          <w:kern w:val="0"/>
          <w14:ligatures w14:val="none"/>
        </w:rPr>
      </w:pPr>
      <w:r>
        <w:rPr>
          <w:rFonts w:ascii="Gadugi" w:hAnsi="Gadugi"/>
          <w:kern w:val="0"/>
          <w14:ligatures w14:val="none"/>
        </w:rPr>
        <w:t>Documentos de actuación necesarios para abordar a los niños y niñas cuando su vida corre peligro por abandono de tratamiento, o bien requieren atención especializada por su condición de salud.</w:t>
      </w:r>
      <w:sdt>
        <w:sdtPr>
          <w:rPr>
            <w:rFonts w:ascii="Gadugi" w:hAnsi="Gadugi"/>
            <w:kern w:val="0"/>
            <w:u w:val="single"/>
            <w14:ligatures w14:val="none"/>
          </w:rPr>
          <w:id w:val="960693060"/>
          <w:citation/>
        </w:sdtPr>
        <w:sdtContent>
          <w:r>
            <w:rPr>
              <w:rFonts w:ascii="Gadugi" w:hAnsi="Gadugi"/>
              <w:kern w:val="0"/>
              <w:u w:val="single"/>
              <w14:ligatures w14:val="none"/>
            </w:rPr>
            <w:fldChar w:fldCharType="begin"/>
          </w:r>
          <w:r>
            <w:rPr>
              <w:rFonts w:ascii="Gadugi" w:hAnsi="Gadugi"/>
              <w:kern w:val="0"/>
              <w:u w:val="single"/>
              <w14:ligatures w14:val="none"/>
            </w:rPr>
            <w:instrText xml:space="preserve"> CITATION Pro231 \l 4106 </w:instrText>
          </w:r>
          <w:r>
            <w:rPr>
              <w:rFonts w:ascii="Gadugi" w:hAnsi="Gadugi"/>
              <w:kern w:val="0"/>
              <w:u w:val="single"/>
              <w14:ligatures w14:val="none"/>
            </w:rPr>
            <w:fldChar w:fldCharType="separate"/>
          </w:r>
          <w:r w:rsidR="00C225CD">
            <w:rPr>
              <w:rFonts w:ascii="Gadugi" w:hAnsi="Gadugi"/>
              <w:noProof/>
              <w:kern w:val="0"/>
              <w:u w:val="single"/>
              <w14:ligatures w14:val="none"/>
            </w:rPr>
            <w:t xml:space="preserve"> </w:t>
          </w:r>
          <w:r w:rsidR="00C225CD" w:rsidRPr="00C225CD">
            <w:rPr>
              <w:rFonts w:ascii="Gadugi" w:hAnsi="Gadugi"/>
              <w:noProof/>
              <w:kern w:val="0"/>
              <w14:ligatures w14:val="none"/>
            </w:rPr>
            <w:t>(Procuraduría General de la Nación, 2023)</w:t>
          </w:r>
          <w:r>
            <w:rPr>
              <w:rFonts w:ascii="Gadugi" w:hAnsi="Gadugi"/>
              <w:kern w:val="0"/>
              <w:u w:val="single"/>
              <w14:ligatures w14:val="none"/>
            </w:rPr>
            <w:fldChar w:fldCharType="end"/>
          </w:r>
        </w:sdtContent>
      </w:sdt>
      <w:r>
        <w:rPr>
          <w:rFonts w:ascii="Gadugi" w:hAnsi="Gadugi"/>
          <w:kern w:val="0"/>
          <w:u w:val="single"/>
          <w14:ligatures w14:val="none"/>
        </w:rPr>
        <w:t>,</w:t>
      </w:r>
      <w:r>
        <w:rPr>
          <w:rFonts w:ascii="Gadugi" w:hAnsi="Gadugi"/>
          <w:kern w:val="0"/>
          <w14:ligatures w14:val="none"/>
        </w:rPr>
        <w:t xml:space="preserve"> al igual que la Secretaría de Bienestar Social de la Presidencia de la República que es encargada de hogares</w:t>
      </w:r>
      <w:sdt>
        <w:sdtPr>
          <w:rPr>
            <w:rFonts w:ascii="Gadugi" w:hAnsi="Gadugi"/>
            <w:kern w:val="0"/>
            <w14:ligatures w14:val="none"/>
          </w:rPr>
          <w:id w:val="1925760614"/>
          <w:citation/>
        </w:sdtPr>
        <w:sdtContent>
          <w:r>
            <w:rPr>
              <w:rFonts w:ascii="Gadugi" w:hAnsi="Gadugi"/>
              <w:kern w:val="0"/>
              <w14:ligatures w14:val="none"/>
            </w:rPr>
            <w:fldChar w:fldCharType="begin"/>
          </w:r>
          <w:r>
            <w:rPr>
              <w:rFonts w:ascii="Gadugi" w:hAnsi="Gadugi"/>
              <w:kern w:val="0"/>
              <w14:ligatures w14:val="none"/>
            </w:rPr>
            <w:instrText xml:space="preserve"> CITATION Sec23 \l 4106 </w:instrText>
          </w:r>
          <w:r>
            <w:rPr>
              <w:rFonts w:ascii="Gadugi" w:hAnsi="Gadugi"/>
              <w:kern w:val="0"/>
              <w14:ligatures w14:val="none"/>
            </w:rPr>
            <w:fldChar w:fldCharType="separate"/>
          </w:r>
          <w:r w:rsidR="00C225CD">
            <w:rPr>
              <w:rFonts w:ascii="Gadugi" w:hAnsi="Gadugi"/>
              <w:noProof/>
              <w:kern w:val="0"/>
              <w14:ligatures w14:val="none"/>
            </w:rPr>
            <w:t xml:space="preserve"> </w:t>
          </w:r>
          <w:r w:rsidR="00C225CD" w:rsidRPr="00C225CD">
            <w:rPr>
              <w:rFonts w:ascii="Gadugi" w:hAnsi="Gadugi"/>
              <w:noProof/>
              <w:kern w:val="0"/>
              <w14:ligatures w14:val="none"/>
            </w:rPr>
            <w:t>(Secretaría de Bienestar Social de la Presidencia de la República, 2023)</w:t>
          </w:r>
          <w:r>
            <w:rPr>
              <w:rFonts w:ascii="Gadugi" w:hAnsi="Gadugi"/>
              <w:kern w:val="0"/>
              <w14:ligatures w14:val="none"/>
            </w:rPr>
            <w:fldChar w:fldCharType="end"/>
          </w:r>
        </w:sdtContent>
      </w:sdt>
      <w:r>
        <w:rPr>
          <w:rFonts w:ascii="Gadugi" w:hAnsi="Gadugi"/>
          <w:kern w:val="0"/>
          <w14:ligatures w14:val="none"/>
        </w:rPr>
        <w:t>, no cuenta con atención especializada y rutas de abordaje integral.</w:t>
      </w:r>
    </w:p>
    <w:p w14:paraId="21D120F5" w14:textId="2B51B03F" w:rsidR="00266787" w:rsidRDefault="00C87C6A" w:rsidP="00C87C6A">
      <w:pPr>
        <w:jc w:val="both"/>
        <w:rPr>
          <w:rFonts w:ascii="Gadugi" w:hAnsi="Gadugi"/>
          <w:kern w:val="0"/>
          <w14:ligatures w14:val="none"/>
        </w:rPr>
      </w:pPr>
      <w:r>
        <w:rPr>
          <w:rFonts w:ascii="Gadugi" w:hAnsi="Gadugi"/>
          <w:kern w:val="0"/>
          <w14:ligatures w14:val="none"/>
        </w:rPr>
        <w:t>Para responder q</w:t>
      </w:r>
      <w:r w:rsidR="00266787" w:rsidRPr="00266787">
        <w:rPr>
          <w:rFonts w:ascii="Gadugi" w:hAnsi="Gadugi"/>
          <w:kern w:val="0"/>
          <w14:ligatures w14:val="none"/>
        </w:rPr>
        <w:t>ué medidas ha impulsado el Estado de Guatemala en torno a la vinculación de la mortalidad materna, el VIH y la violencia contra las mujeres, es preciso conocer si existen metodologías, protocolos y financiamiento para su implementación</w:t>
      </w:r>
      <w:r>
        <w:rPr>
          <w:rFonts w:ascii="Gadugi" w:hAnsi="Gadugi"/>
          <w:kern w:val="0"/>
          <w14:ligatures w14:val="none"/>
        </w:rPr>
        <w:t>; situación a que a la fecha no se conoce.</w:t>
      </w:r>
    </w:p>
    <w:p w14:paraId="76A17E81" w14:textId="31A0B081" w:rsidR="00C87C6A" w:rsidRPr="00266787" w:rsidRDefault="00C87C6A" w:rsidP="00C87C6A">
      <w:pPr>
        <w:jc w:val="both"/>
        <w:rPr>
          <w:rFonts w:ascii="Gadugi" w:hAnsi="Gadugi"/>
          <w:kern w:val="0"/>
          <w14:ligatures w14:val="none"/>
        </w:rPr>
      </w:pPr>
      <w:r>
        <w:rPr>
          <w:rFonts w:ascii="Gadugi" w:hAnsi="Gadugi"/>
          <w:kern w:val="0"/>
          <w14:ligatures w14:val="none"/>
        </w:rPr>
        <w:t>Ante la situación del abordaje del VIH en el país, se recomienda el abordaje integral y en los siguientes puntos:</w:t>
      </w:r>
    </w:p>
    <w:p w14:paraId="6EEA21DB" w14:textId="77777777" w:rsidR="00266787" w:rsidRPr="00266787" w:rsidRDefault="00266787" w:rsidP="00266787">
      <w:pPr>
        <w:pStyle w:val="Prrafodelista"/>
        <w:numPr>
          <w:ilvl w:val="0"/>
          <w:numId w:val="3"/>
        </w:numPr>
        <w:rPr>
          <w:rFonts w:ascii="Gadugi" w:hAnsi="Gadugi"/>
          <w:b/>
          <w:bCs/>
          <w:kern w:val="0"/>
          <w14:ligatures w14:val="none"/>
        </w:rPr>
      </w:pPr>
      <w:r w:rsidRPr="00266787">
        <w:rPr>
          <w:rFonts w:ascii="Gadugi" w:hAnsi="Gadugi"/>
          <w:b/>
          <w:bCs/>
          <w:kern w:val="0"/>
          <w14:ligatures w14:val="none"/>
        </w:rPr>
        <w:t>El</w:t>
      </w:r>
      <w:r w:rsidRPr="00266787">
        <w:rPr>
          <w:rFonts w:ascii="Gadugi" w:hAnsi="Gadugi"/>
          <w:kern w:val="0"/>
          <w14:ligatures w14:val="none"/>
        </w:rPr>
        <w:t xml:space="preserve"> </w:t>
      </w:r>
      <w:r w:rsidRPr="00266787">
        <w:rPr>
          <w:rFonts w:ascii="Gadugi" w:hAnsi="Gadugi"/>
          <w:b/>
          <w:bCs/>
          <w:kern w:val="0"/>
          <w14:ligatures w14:val="none"/>
        </w:rPr>
        <w:t>Estado debe responde sobre la Eliminación de la transmisión materno-Infantil del VIH -ETMI-</w:t>
      </w:r>
    </w:p>
    <w:p w14:paraId="2721BA02" w14:textId="77777777" w:rsidR="00266787" w:rsidRPr="00266787" w:rsidRDefault="00266787" w:rsidP="00266787">
      <w:pPr>
        <w:jc w:val="both"/>
        <w:rPr>
          <w:rFonts w:ascii="Gadugi" w:hAnsi="Gadugi"/>
          <w:kern w:val="0"/>
          <w14:ligatures w14:val="none"/>
        </w:rPr>
      </w:pPr>
      <w:r w:rsidRPr="00266787">
        <w:rPr>
          <w:rFonts w:ascii="Gadugi" w:hAnsi="Gadugi"/>
          <w:kern w:val="0"/>
          <w14:ligatures w14:val="none"/>
        </w:rPr>
        <w:lastRenderedPageBreak/>
        <w:t>El Estado debe generar una estrategia para abordar la ETMI, desde un enfoque intercultural, si bien los servicios de salud focalizan de la intervención, y dedican la mayor parte de las pruebas de tamizaje en las DAS y las UAI, alcanzando para el 2021, el 57% de las embarazadas estimadas y el 30% de las embarazadas con VIH en TAR; continua una barrera estructural (organización de los servicios), que no ha tenido una respuesta efectiva, persiste en las unidades de salud limitaciones en la captación temprana para el control prenatal y bajas coberturas de la atención del parto institucional, principalmente en poblaciones rurales y pueblos indígenas, siendo aún incipientes los esfuerzos para el desarrollo de un modelo intercultural de atención, es necesario fortalecer la vinculación de los servicios con agentes comunitarios como las comadronas.</w:t>
      </w:r>
      <w:r w:rsidRPr="00266787">
        <w:rPr>
          <w:rFonts w:ascii="Gadugi" w:hAnsi="Gadugi"/>
          <w:kern w:val="0"/>
          <w14:ligatures w14:val="none"/>
        </w:rPr>
        <w:footnoteReference w:id="2"/>
      </w:r>
    </w:p>
    <w:p w14:paraId="53E9A47C" w14:textId="77777777" w:rsidR="00266787" w:rsidRPr="00266787" w:rsidRDefault="00266787" w:rsidP="00266787">
      <w:pPr>
        <w:pStyle w:val="Prrafodelista"/>
        <w:numPr>
          <w:ilvl w:val="0"/>
          <w:numId w:val="3"/>
        </w:numPr>
        <w:rPr>
          <w:rFonts w:ascii="Gadugi" w:hAnsi="Gadugi"/>
          <w:b/>
          <w:bCs/>
          <w:kern w:val="0"/>
          <w14:ligatures w14:val="none"/>
        </w:rPr>
      </w:pPr>
      <w:r w:rsidRPr="00266787">
        <w:rPr>
          <w:rFonts w:ascii="Gadugi" w:hAnsi="Gadugi"/>
          <w:b/>
          <w:bCs/>
          <w:kern w:val="0"/>
          <w14:ligatures w14:val="none"/>
        </w:rPr>
        <w:t>Agenda 2030 erradicar el VIH</w:t>
      </w:r>
    </w:p>
    <w:p w14:paraId="45580702" w14:textId="557A780C" w:rsidR="00266787" w:rsidRPr="00266787" w:rsidRDefault="003B4878" w:rsidP="00266787">
      <w:pPr>
        <w:jc w:val="both"/>
        <w:rPr>
          <w:rFonts w:ascii="Gadugi" w:hAnsi="Gadugi"/>
          <w:kern w:val="0"/>
          <w14:ligatures w14:val="none"/>
        </w:rPr>
      </w:pPr>
      <w:r>
        <w:rPr>
          <w:rFonts w:ascii="Gadugi" w:hAnsi="Gadugi"/>
          <w:kern w:val="0"/>
          <w14:ligatures w14:val="none"/>
        </w:rPr>
        <w:t>De acuerdo con la evaluación del P</w:t>
      </w:r>
      <w:r w:rsidR="00D31BF6">
        <w:rPr>
          <w:rFonts w:ascii="Gadugi" w:hAnsi="Gadugi"/>
          <w:kern w:val="0"/>
          <w14:ligatures w14:val="none"/>
        </w:rPr>
        <w:t xml:space="preserve">lan </w:t>
      </w:r>
      <w:r>
        <w:rPr>
          <w:rFonts w:ascii="Gadugi" w:hAnsi="Gadugi"/>
          <w:kern w:val="0"/>
          <w14:ligatures w14:val="none"/>
        </w:rPr>
        <w:t>E</w:t>
      </w:r>
      <w:r w:rsidR="00D31BF6">
        <w:rPr>
          <w:rFonts w:ascii="Gadugi" w:hAnsi="Gadugi"/>
          <w:kern w:val="0"/>
          <w14:ligatures w14:val="none"/>
        </w:rPr>
        <w:t xml:space="preserve">stratégico </w:t>
      </w:r>
      <w:r>
        <w:rPr>
          <w:rFonts w:ascii="Gadugi" w:hAnsi="Gadugi"/>
          <w:kern w:val="0"/>
          <w14:ligatures w14:val="none"/>
        </w:rPr>
        <w:t>N</w:t>
      </w:r>
      <w:r w:rsidR="00D31BF6">
        <w:rPr>
          <w:rFonts w:ascii="Gadugi" w:hAnsi="Gadugi"/>
          <w:kern w:val="0"/>
          <w14:ligatures w14:val="none"/>
        </w:rPr>
        <w:t>acional de Guatemala</w:t>
      </w:r>
      <w:r>
        <w:rPr>
          <w:rFonts w:ascii="Gadugi" w:hAnsi="Gadugi"/>
          <w:kern w:val="0"/>
          <w14:ligatures w14:val="none"/>
        </w:rPr>
        <w:t xml:space="preserve"> </w:t>
      </w:r>
      <w:r w:rsidRPr="003B4878">
        <w:rPr>
          <w:rFonts w:ascii="Gadugi" w:hAnsi="Gadugi"/>
          <w:i/>
          <w:iCs/>
          <w:kern w:val="0"/>
          <w14:ligatures w14:val="none"/>
        </w:rPr>
        <w:t>“</w:t>
      </w:r>
      <w:r w:rsidR="00266787" w:rsidRPr="003B4878">
        <w:rPr>
          <w:rFonts w:ascii="Gadugi" w:hAnsi="Gadugi"/>
          <w:i/>
          <w:iCs/>
          <w:kern w:val="0"/>
          <w14:ligatures w14:val="none"/>
        </w:rPr>
        <w:t>Las metas 90,90,90 no fueron alcanzadas para salud y VIH, las prioridades derivadas del escenario “</w:t>
      </w:r>
      <w:proofErr w:type="spellStart"/>
      <w:r w:rsidR="00266787" w:rsidRPr="003B4878">
        <w:rPr>
          <w:rFonts w:ascii="Gadugi" w:hAnsi="Gadugi"/>
          <w:i/>
          <w:iCs/>
          <w:kern w:val="0"/>
          <w14:ligatures w14:val="none"/>
        </w:rPr>
        <w:t>Fast-Track</w:t>
      </w:r>
      <w:proofErr w:type="spellEnd"/>
      <w:r w:rsidR="00266787" w:rsidRPr="003B4878">
        <w:rPr>
          <w:rFonts w:ascii="Gadugi" w:hAnsi="Gadugi"/>
          <w:i/>
          <w:iCs/>
          <w:kern w:val="0"/>
          <w14:ligatures w14:val="none"/>
        </w:rPr>
        <w:t>”</w:t>
      </w:r>
      <w:r w:rsidR="00266787" w:rsidRPr="003B4878">
        <w:rPr>
          <w:rFonts w:ascii="Gadugi" w:hAnsi="Gadugi"/>
          <w:i/>
          <w:iCs/>
          <w:kern w:val="0"/>
          <w14:ligatures w14:val="none"/>
        </w:rPr>
        <w:footnoteReference w:id="3"/>
      </w:r>
      <w:r w:rsidR="00266787" w:rsidRPr="003B4878">
        <w:rPr>
          <w:rFonts w:ascii="Gadugi" w:hAnsi="Gadugi"/>
          <w:i/>
          <w:iCs/>
          <w:kern w:val="0"/>
          <w14:ligatures w14:val="none"/>
        </w:rPr>
        <w:t xml:space="preserve"> no fueron traducidas en estrategias de fortalecimiento que aseguraran los resultados planteados, ni se le asignaron los recursos adecuados</w:t>
      </w:r>
      <w:r w:rsidRPr="003B4878">
        <w:rPr>
          <w:rFonts w:ascii="Gadugi" w:hAnsi="Gadugi"/>
          <w:i/>
          <w:iCs/>
          <w:kern w:val="0"/>
          <w14:ligatures w14:val="none"/>
        </w:rPr>
        <w:t>”</w:t>
      </w:r>
      <w:r w:rsidR="00266787" w:rsidRPr="00266787">
        <w:rPr>
          <w:rFonts w:ascii="Gadugi" w:hAnsi="Gadugi"/>
          <w:kern w:val="0"/>
          <w14:ligatures w14:val="none"/>
        </w:rPr>
        <w:t>. La meta 90-90-90 implicaba modificar estructuralmente las acciones de tamizaje para la detección de casos que es la acción básica para fundamentar los avances en los tres pilares de la cascada.</w:t>
      </w:r>
    </w:p>
    <w:p w14:paraId="5D11A906" w14:textId="77777777" w:rsidR="00266787" w:rsidRPr="00266787" w:rsidRDefault="00266787" w:rsidP="00266787">
      <w:pPr>
        <w:jc w:val="both"/>
        <w:rPr>
          <w:rFonts w:ascii="Gadugi" w:hAnsi="Gadugi"/>
          <w:kern w:val="0"/>
          <w14:ligatures w14:val="none"/>
        </w:rPr>
      </w:pPr>
      <w:r w:rsidRPr="00266787">
        <w:rPr>
          <w:rFonts w:ascii="Gadugi" w:hAnsi="Gadugi"/>
          <w:kern w:val="0"/>
          <w14:ligatures w14:val="none"/>
        </w:rPr>
        <w:t xml:space="preserve">Actualmente existe pocos esfuerzos para alcanzar la meta del 95-95-95, en las personas que conocen su estado serológico se estimó en 88% para 2021, de las personas estimadas con VIH y reciben TAR se registra en 73% para 2021, mientras que las PVIH que están en TAR se alcanzó el 60% de supresión viral con menos de 1,000 copias/Ml. Siendo las mujeres que tienen menores alcances. </w:t>
      </w:r>
    </w:p>
    <w:p w14:paraId="5937B503" w14:textId="77777777" w:rsidR="00266787" w:rsidRPr="00266787" w:rsidRDefault="00266787" w:rsidP="00266787">
      <w:pPr>
        <w:rPr>
          <w:rFonts w:ascii="Gadugi" w:hAnsi="Gadugi"/>
          <w:b/>
          <w:bCs/>
          <w:kern w:val="0"/>
          <w14:ligatures w14:val="none"/>
        </w:rPr>
      </w:pPr>
      <w:r w:rsidRPr="00266787">
        <w:rPr>
          <w:rFonts w:ascii="Gadugi" w:hAnsi="Gadugi"/>
          <w:b/>
          <w:bCs/>
          <w:kern w:val="0"/>
          <w14:ligatures w14:val="none"/>
        </w:rPr>
        <w:t>Mortalidad en VIH</w:t>
      </w:r>
    </w:p>
    <w:p w14:paraId="492808E9" w14:textId="77777777" w:rsidR="00266787" w:rsidRPr="00266787" w:rsidRDefault="00266787" w:rsidP="00266787">
      <w:pPr>
        <w:jc w:val="both"/>
        <w:rPr>
          <w:rFonts w:ascii="Gadugi" w:hAnsi="Gadugi"/>
          <w:kern w:val="0"/>
          <w14:ligatures w14:val="none"/>
        </w:rPr>
      </w:pPr>
      <w:r w:rsidRPr="00266787">
        <w:rPr>
          <w:rFonts w:ascii="Gadugi" w:hAnsi="Gadugi"/>
          <w:kern w:val="0"/>
          <w14:ligatures w14:val="none"/>
        </w:rPr>
        <w:t xml:space="preserve">Según datos del INE, el descenso de la mortalidad a lo largo del quinquenio es muy lento, con pequeños incrementos en el 2019, llegando a un registro de 183 fallecimientos por VIH en 2021, que significa un 51% de las registradas en 2016 (183/355x100) siendo la verdadera disminución del 49%, (100-51) quedando una brecha del 26% con respecto a la meta </w:t>
      </w:r>
      <w:r w:rsidRPr="00266787">
        <w:rPr>
          <w:rFonts w:ascii="Gadugi" w:hAnsi="Gadugi"/>
          <w:kern w:val="0"/>
          <w14:ligatures w14:val="none"/>
        </w:rPr>
        <w:lastRenderedPageBreak/>
        <w:t>establecida en el PEN 2017-2021 que estima una reducción del 75% de la mortalidad asociada al sida.</w:t>
      </w:r>
      <w:r w:rsidRPr="00D31BF6">
        <w:rPr>
          <w:rFonts w:ascii="Gadugi" w:hAnsi="Gadugi"/>
          <w:kern w:val="0"/>
          <w:sz w:val="16"/>
          <w:szCs w:val="16"/>
          <w14:ligatures w14:val="none"/>
        </w:rPr>
        <w:footnoteReference w:id="4"/>
      </w:r>
    </w:p>
    <w:p w14:paraId="06B47C12" w14:textId="77777777" w:rsidR="00266787" w:rsidRPr="00266787" w:rsidRDefault="00266787" w:rsidP="00266787">
      <w:pPr>
        <w:rPr>
          <w:rFonts w:ascii="Gadugi" w:hAnsi="Gadugi"/>
          <w:b/>
          <w:bCs/>
          <w:kern w:val="0"/>
          <w14:ligatures w14:val="none"/>
        </w:rPr>
      </w:pPr>
      <w:r w:rsidRPr="00266787">
        <w:rPr>
          <w:rFonts w:ascii="Gadugi" w:hAnsi="Gadugi"/>
          <w:b/>
          <w:bCs/>
          <w:kern w:val="0"/>
          <w14:ligatures w14:val="none"/>
        </w:rPr>
        <w:t>Notificación de Casos</w:t>
      </w:r>
    </w:p>
    <w:p w14:paraId="550873AA" w14:textId="77777777" w:rsidR="00266787" w:rsidRPr="00266787" w:rsidRDefault="00266787" w:rsidP="009A2D8F">
      <w:pPr>
        <w:jc w:val="both"/>
        <w:rPr>
          <w:rFonts w:ascii="Gadugi" w:hAnsi="Gadugi"/>
          <w:kern w:val="0"/>
          <w14:ligatures w14:val="none"/>
        </w:rPr>
      </w:pPr>
      <w:r w:rsidRPr="00266787">
        <w:rPr>
          <w:rFonts w:ascii="Gadugi" w:hAnsi="Gadugi"/>
          <w:kern w:val="0"/>
          <w14:ligatures w14:val="none"/>
        </w:rPr>
        <w:t xml:space="preserve">La tasa de notificación de casos positivos de VIH muestra un incremento de manera global del 38% en el 2021(10.9) con respecto al 2016 (7.9). Los grupos de edad con los mayores incrementos en las tasas de notificación de casos positivos en el último quinquenio 2017-2021 con relación a la línea de base fueron: </w:t>
      </w:r>
      <w:r w:rsidRPr="00266787">
        <w:rPr>
          <w:rFonts w:ascii="Gadugi" w:hAnsi="Gadugi"/>
          <w:kern w:val="0"/>
          <w14:ligatures w14:val="none"/>
        </w:rPr>
        <w:sym w:font="Symbol" w:char="F0D8"/>
      </w:r>
      <w:r w:rsidRPr="00266787">
        <w:rPr>
          <w:rFonts w:ascii="Gadugi" w:hAnsi="Gadugi"/>
          <w:kern w:val="0"/>
          <w14:ligatures w14:val="none"/>
        </w:rPr>
        <w:t xml:space="preserve"> Grupo de 0-4 años: 68% </w:t>
      </w:r>
      <w:r w:rsidRPr="00266787">
        <w:rPr>
          <w:rFonts w:ascii="Gadugi" w:hAnsi="Gadugi"/>
          <w:kern w:val="0"/>
          <w14:ligatures w14:val="none"/>
        </w:rPr>
        <w:sym w:font="Symbol" w:char="F0D8"/>
      </w:r>
      <w:r w:rsidRPr="00266787">
        <w:rPr>
          <w:rFonts w:ascii="Gadugi" w:hAnsi="Gadugi"/>
          <w:kern w:val="0"/>
          <w14:ligatures w14:val="none"/>
        </w:rPr>
        <w:t xml:space="preserve"> Grupo de 15-24 años: 55% </w:t>
      </w:r>
      <w:r w:rsidRPr="00266787">
        <w:rPr>
          <w:rFonts w:ascii="Gadugi" w:hAnsi="Gadugi"/>
          <w:kern w:val="0"/>
          <w14:ligatures w14:val="none"/>
        </w:rPr>
        <w:sym w:font="Symbol" w:char="F0D8"/>
      </w:r>
      <w:r w:rsidRPr="00266787">
        <w:rPr>
          <w:rFonts w:ascii="Gadugi" w:hAnsi="Gadugi"/>
          <w:kern w:val="0"/>
          <w14:ligatures w14:val="none"/>
        </w:rPr>
        <w:t xml:space="preserve"> Grupo de 25-49 años: 38%, faltan campañas y estrategias dirigidas por grupo etario. </w:t>
      </w:r>
    </w:p>
    <w:p w14:paraId="74AC1F9B" w14:textId="3A195EF0" w:rsidR="00266787" w:rsidRPr="00266787" w:rsidRDefault="00266787" w:rsidP="00266787">
      <w:pPr>
        <w:rPr>
          <w:rFonts w:ascii="Gadugi" w:hAnsi="Gadugi"/>
          <w:b/>
          <w:bCs/>
          <w:kern w:val="0"/>
          <w14:ligatures w14:val="none"/>
        </w:rPr>
      </w:pPr>
      <w:r w:rsidRPr="00266787">
        <w:rPr>
          <w:rFonts w:ascii="Gadugi" w:hAnsi="Gadugi"/>
          <w:b/>
          <w:bCs/>
          <w:kern w:val="0"/>
          <w14:ligatures w14:val="none"/>
        </w:rPr>
        <w:t>Políticas Públicas</w:t>
      </w:r>
      <w:r w:rsidR="009A2D8F">
        <w:rPr>
          <w:rFonts w:ascii="Gadugi" w:hAnsi="Gadugi"/>
          <w:b/>
          <w:bCs/>
          <w:kern w:val="0"/>
          <w14:ligatures w14:val="none"/>
        </w:rPr>
        <w:t xml:space="preserve"> y protocolos de actuación</w:t>
      </w:r>
    </w:p>
    <w:p w14:paraId="0A457A25" w14:textId="4021CBF4" w:rsidR="00266787" w:rsidRPr="00266787" w:rsidRDefault="00266787" w:rsidP="009A2D8F">
      <w:pPr>
        <w:jc w:val="both"/>
        <w:rPr>
          <w:rFonts w:ascii="Gadugi" w:hAnsi="Gadugi"/>
          <w:kern w:val="0"/>
          <w14:ligatures w14:val="none"/>
        </w:rPr>
      </w:pPr>
      <w:r w:rsidRPr="00266787">
        <w:rPr>
          <w:rFonts w:ascii="Gadugi" w:hAnsi="Gadugi"/>
          <w:kern w:val="0"/>
          <w14:ligatures w14:val="none"/>
        </w:rPr>
        <w:t>Del año 2021 al 2023, está pendiente la actualización y aprobación de la política de VIH y del PEN, lo cual demuestra el desinterés del Estado por atender la problemática del VIH</w:t>
      </w:r>
      <w:r w:rsidR="009A2D8F">
        <w:rPr>
          <w:rFonts w:ascii="Gadugi" w:hAnsi="Gadugi"/>
          <w:kern w:val="0"/>
          <w14:ligatures w14:val="none"/>
        </w:rPr>
        <w:t>, especialmente desde la prevención y atención a las mujeres, niñas y adolescentes a nivel nacional sin discriminación.</w:t>
      </w:r>
    </w:p>
    <w:p w14:paraId="266B823C" w14:textId="1986BF4F" w:rsidR="00266787" w:rsidRDefault="00266787" w:rsidP="009A2D8F">
      <w:pPr>
        <w:jc w:val="both"/>
        <w:rPr>
          <w:rFonts w:ascii="Gadugi" w:hAnsi="Gadugi"/>
          <w:kern w:val="0"/>
          <w14:ligatures w14:val="none"/>
        </w:rPr>
      </w:pPr>
      <w:r w:rsidRPr="00266787">
        <w:rPr>
          <w:rFonts w:ascii="Gadugi" w:hAnsi="Gadugi"/>
          <w:kern w:val="0"/>
          <w14:ligatures w14:val="none"/>
        </w:rPr>
        <w:t>La Ley de VIH decreto 27-2000,</w:t>
      </w:r>
      <w:r w:rsidR="00020698">
        <w:rPr>
          <w:rFonts w:ascii="Gadugi" w:hAnsi="Gadugi"/>
          <w:kern w:val="0"/>
          <w14:ligatures w14:val="none"/>
        </w:rPr>
        <w:t xml:space="preserve"> que es la norma de carácter ordinario que contiene las regulaciones para la prevención, atención y promoción de derechos humanos, </w:t>
      </w:r>
      <w:r w:rsidR="00020698" w:rsidRPr="00266787">
        <w:rPr>
          <w:rFonts w:ascii="Gadugi" w:hAnsi="Gadugi"/>
          <w:kern w:val="0"/>
          <w14:ligatures w14:val="none"/>
        </w:rPr>
        <w:t>tiene</w:t>
      </w:r>
      <w:r w:rsidRPr="00266787">
        <w:rPr>
          <w:rFonts w:ascii="Gadugi" w:hAnsi="Gadugi"/>
          <w:kern w:val="0"/>
          <w14:ligatures w14:val="none"/>
        </w:rPr>
        <w:t xml:space="preserve"> ya más de 2 décadas y no ha sido actualizada, a pesar de que desde sociedad civil y otros sectores, se han impulsado varias iniciativas. </w:t>
      </w:r>
    </w:p>
    <w:p w14:paraId="31D09F5E" w14:textId="0F53120C" w:rsidR="009A2D8F" w:rsidRPr="00266787" w:rsidRDefault="009A2D8F" w:rsidP="009A2D8F">
      <w:pPr>
        <w:jc w:val="both"/>
        <w:rPr>
          <w:rFonts w:ascii="Gadugi" w:hAnsi="Gadugi"/>
          <w:kern w:val="0"/>
          <w14:ligatures w14:val="none"/>
        </w:rPr>
      </w:pPr>
      <w:r>
        <w:rPr>
          <w:rFonts w:ascii="Gadugi" w:hAnsi="Gadugi"/>
          <w:kern w:val="0"/>
          <w14:ligatures w14:val="none"/>
        </w:rPr>
        <w:t>Las instituciones que abordan niñez y adolescencia, deben contar con protocolos, guías y rutas de actuación ante casos de VIH, con el fin de proteger a las niñas y adolescentes en su proyecto de vida y desarrollo integral.</w:t>
      </w:r>
    </w:p>
    <w:p w14:paraId="078D43B3" w14:textId="77777777" w:rsidR="00086A7B" w:rsidRPr="00086A7B" w:rsidRDefault="00086A7B" w:rsidP="00086A7B">
      <w:pPr>
        <w:rPr>
          <w:rFonts w:ascii="Gadugi" w:hAnsi="Gadugi"/>
          <w:b/>
          <w:bCs/>
          <w:kern w:val="0"/>
          <w14:ligatures w14:val="none"/>
        </w:rPr>
      </w:pPr>
      <w:r w:rsidRPr="00086A7B">
        <w:rPr>
          <w:rFonts w:ascii="Gadugi" w:hAnsi="Gadugi"/>
          <w:b/>
          <w:bCs/>
          <w:kern w:val="0"/>
          <w14:ligatures w14:val="none"/>
        </w:rPr>
        <w:t xml:space="preserve">Financiamiento: </w:t>
      </w:r>
    </w:p>
    <w:p w14:paraId="516AD57D" w14:textId="77777777" w:rsidR="00086A7B" w:rsidRDefault="00086A7B" w:rsidP="00086A7B">
      <w:pPr>
        <w:jc w:val="both"/>
        <w:rPr>
          <w:rFonts w:ascii="Gadugi" w:hAnsi="Gadugi"/>
          <w:kern w:val="0"/>
          <w14:ligatures w14:val="none"/>
        </w:rPr>
      </w:pPr>
      <w:r w:rsidRPr="00266787">
        <w:rPr>
          <w:rFonts w:ascii="Gadugi" w:hAnsi="Gadugi"/>
          <w:kern w:val="0"/>
          <w14:ligatures w14:val="none"/>
        </w:rPr>
        <w:t>La inversión en VIH durante el periodo 2017-2020 ha sido menor que en periodos anteriores y la inversión pública presentó un decrecimiento progresivo en VIH. El escenario “</w:t>
      </w:r>
      <w:proofErr w:type="spellStart"/>
      <w:r w:rsidRPr="00266787">
        <w:rPr>
          <w:rFonts w:ascii="Gadugi" w:hAnsi="Gadugi"/>
          <w:kern w:val="0"/>
          <w14:ligatures w14:val="none"/>
        </w:rPr>
        <w:t>Fast</w:t>
      </w:r>
      <w:proofErr w:type="spellEnd"/>
      <w:r w:rsidRPr="00266787">
        <w:rPr>
          <w:rFonts w:ascii="Gadugi" w:hAnsi="Gadugi"/>
          <w:kern w:val="0"/>
          <w14:ligatures w14:val="none"/>
        </w:rPr>
        <w:t xml:space="preserve"> </w:t>
      </w:r>
      <w:proofErr w:type="spellStart"/>
      <w:r w:rsidRPr="00266787">
        <w:rPr>
          <w:rFonts w:ascii="Gadugi" w:hAnsi="Gadugi"/>
          <w:kern w:val="0"/>
          <w14:ligatures w14:val="none"/>
        </w:rPr>
        <w:t>Track</w:t>
      </w:r>
      <w:proofErr w:type="spellEnd"/>
      <w:r w:rsidRPr="00266787">
        <w:rPr>
          <w:rFonts w:ascii="Gadugi" w:hAnsi="Gadugi"/>
          <w:kern w:val="0"/>
          <w14:ligatures w14:val="none"/>
        </w:rPr>
        <w:t xml:space="preserve">” definido en el PEN 2017-2021 planteo la necesidad de invertir U$D 533 millones en el periodo 2015 a 2020 para lograr la meta 90-90-90, pero solo se registra un gasto de US $ 292 millones equivalente al 55% de lo proyectado en el PEN. El financiamiento público no registró los incrementos previstos y se redujo en el escenario de la pandemia COVID-19, en el 2020 se da Informe Final, reflejando un distanciamiento de los compromisos asumidos, que no compensó la reducción del financiamiento externo. Los avances alcanzados se </w:t>
      </w:r>
      <w:r w:rsidRPr="00266787">
        <w:rPr>
          <w:rFonts w:ascii="Gadugi" w:hAnsi="Gadugi"/>
          <w:kern w:val="0"/>
          <w14:ligatures w14:val="none"/>
        </w:rPr>
        <w:lastRenderedPageBreak/>
        <w:t xml:space="preserve">sustentaron en el financiamiento externo de OSC para las acciones de tamizaje en poblaciones clave y al trabajo de proyección extramuros de las UAI para mejorar adherencia a la TAR y la reducción de los abandonos. El financiamiento a las acciones de reducción del estigma y la discriminación y de defensa de los derechos humanos se redujo en el periodo, llegando a niveles bastante limitados. </w:t>
      </w:r>
    </w:p>
    <w:p w14:paraId="1A004015" w14:textId="77777777" w:rsidR="00D25DEA" w:rsidRDefault="00D25DEA" w:rsidP="00086A7B">
      <w:pPr>
        <w:jc w:val="both"/>
        <w:rPr>
          <w:rFonts w:ascii="Gadugi" w:hAnsi="Gadugi"/>
          <w:kern w:val="0"/>
          <w14:ligatures w14:val="none"/>
        </w:rPr>
      </w:pPr>
    </w:p>
    <w:sdt>
      <w:sdtPr>
        <w:rPr>
          <w:rFonts w:asciiTheme="minorHAnsi" w:eastAsiaTheme="minorHAnsi" w:hAnsiTheme="minorHAnsi" w:cstheme="minorBidi"/>
          <w:color w:val="auto"/>
          <w:kern w:val="2"/>
          <w:sz w:val="22"/>
          <w:szCs w:val="22"/>
          <w:lang w:val="es-ES" w:eastAsia="en-US"/>
          <w14:ligatures w14:val="standardContextual"/>
        </w:rPr>
        <w:id w:val="-928343682"/>
        <w:docPartObj>
          <w:docPartGallery w:val="Bibliographies"/>
          <w:docPartUnique/>
        </w:docPartObj>
      </w:sdtPr>
      <w:sdtEndPr>
        <w:rPr>
          <w:lang w:val="es-GT"/>
        </w:rPr>
      </w:sdtEndPr>
      <w:sdtContent>
        <w:p w14:paraId="743C15EF" w14:textId="0B26A35D" w:rsidR="003971EA" w:rsidRDefault="003971EA">
          <w:pPr>
            <w:pStyle w:val="Ttulo1"/>
          </w:pPr>
          <w:r>
            <w:rPr>
              <w:lang w:val="es-ES"/>
            </w:rPr>
            <w:t>Referencias</w:t>
          </w:r>
        </w:p>
        <w:sdt>
          <w:sdtPr>
            <w:id w:val="-573587230"/>
            <w:bibliography/>
          </w:sdtPr>
          <w:sdtContent>
            <w:p w14:paraId="1208C34F" w14:textId="77777777" w:rsidR="00C225CD" w:rsidRDefault="003971EA" w:rsidP="00C225CD">
              <w:pPr>
                <w:pStyle w:val="Bibliografa"/>
                <w:ind w:left="720" w:hanging="720"/>
                <w:rPr>
                  <w:noProof/>
                  <w:kern w:val="0"/>
                  <w:sz w:val="24"/>
                  <w:szCs w:val="24"/>
                  <w:lang w:val="es-ES"/>
                  <w14:ligatures w14:val="none"/>
                </w:rPr>
              </w:pPr>
              <w:r>
                <w:fldChar w:fldCharType="begin"/>
              </w:r>
              <w:r>
                <w:instrText>BIBLIOGRAPHY</w:instrText>
              </w:r>
              <w:r>
                <w:fldChar w:fldCharType="separate"/>
              </w:r>
              <w:r w:rsidR="00C225CD">
                <w:rPr>
                  <w:noProof/>
                  <w:lang w:val="es-ES"/>
                </w:rPr>
                <w:t xml:space="preserve">Domínguez, C. P. (8 de Abril de 2022). </w:t>
              </w:r>
              <w:r w:rsidR="00C225CD">
                <w:rPr>
                  <w:i/>
                  <w:iCs/>
                  <w:noProof/>
                  <w:lang w:val="es-ES"/>
                </w:rPr>
                <w:t>“Desabastecimiento es a propósito”: médico denuncia irregularidades en compra de medicamentos para pacientes con VIH</w:t>
              </w:r>
              <w:r w:rsidR="00C225CD">
                <w:rPr>
                  <w:noProof/>
                  <w:lang w:val="es-ES"/>
                </w:rPr>
                <w:t>. Obtenido de Guatevisión: https://www.guatevision.com/nacionales/desabastecimiento-es-a-proposito-medico-denuncia-irregularidades-en-compra-de-medicamentos-para-pacientes-con-vih</w:t>
              </w:r>
            </w:p>
            <w:p w14:paraId="75396345" w14:textId="77777777" w:rsidR="00C225CD" w:rsidRDefault="00C225CD" w:rsidP="00C225CD">
              <w:pPr>
                <w:pStyle w:val="Bibliografa"/>
                <w:ind w:left="720" w:hanging="720"/>
                <w:rPr>
                  <w:noProof/>
                  <w:lang w:val="es-ES"/>
                </w:rPr>
              </w:pPr>
              <w:r>
                <w:rPr>
                  <w:noProof/>
                  <w:lang w:val="es-ES"/>
                </w:rPr>
                <w:t xml:space="preserve">Estado de Guatemala. (2023). </w:t>
              </w:r>
              <w:r>
                <w:rPr>
                  <w:i/>
                  <w:iCs/>
                  <w:noProof/>
                  <w:lang w:val="es-ES"/>
                </w:rPr>
                <w:t>Respuestas de Guatemala a la lista de cuestiones y preguntas relativa a su décimo informe periódico.</w:t>
              </w:r>
              <w:r>
                <w:rPr>
                  <w:noProof/>
                  <w:lang w:val="es-ES"/>
                </w:rPr>
                <w:t xml:space="preserve"> Guatemala.</w:t>
              </w:r>
            </w:p>
            <w:p w14:paraId="35A24966" w14:textId="77777777" w:rsidR="00C225CD" w:rsidRDefault="00C225CD" w:rsidP="00C225CD">
              <w:pPr>
                <w:pStyle w:val="Bibliografa"/>
                <w:ind w:left="720" w:hanging="720"/>
                <w:rPr>
                  <w:noProof/>
                  <w:lang w:val="es-ES"/>
                </w:rPr>
              </w:pPr>
              <w:r>
                <w:rPr>
                  <w:noProof/>
                  <w:lang w:val="es-ES"/>
                </w:rPr>
                <w:t>Información Pública. Expediente, Expediente UIP-SI-0581-2023 (MSPAS 8 de Marzo de 2023).</w:t>
              </w:r>
            </w:p>
            <w:p w14:paraId="2DE6A74C" w14:textId="77777777" w:rsidR="00C225CD" w:rsidRDefault="00C225CD" w:rsidP="00C225CD">
              <w:pPr>
                <w:pStyle w:val="Bibliografa"/>
                <w:ind w:left="720" w:hanging="720"/>
                <w:rPr>
                  <w:noProof/>
                  <w:lang w:val="es-ES"/>
                </w:rPr>
              </w:pPr>
              <w:r>
                <w:rPr>
                  <w:noProof/>
                  <w:lang w:val="es-ES"/>
                </w:rPr>
                <w:t xml:space="preserve">Maldonado, A. (24 de Marzo de 2023). </w:t>
              </w:r>
              <w:r>
                <w:rPr>
                  <w:i/>
                  <w:iCs/>
                  <w:noProof/>
                  <w:lang w:val="es-ES"/>
                </w:rPr>
                <w:t>Persisten Problemas de Abastecimiento de Antirretrovirales en Guatemala.</w:t>
              </w:r>
              <w:r>
                <w:rPr>
                  <w:noProof/>
                  <w:lang w:val="es-ES"/>
                </w:rPr>
                <w:t xml:space="preserve"> Obtenido de www.agenciaocote.com: https://www.agenciaocote.com/blog/2023/03/24/persisten-problemas-de-abastecimiento-de-antirretrovirales-en-guatemala/</w:t>
              </w:r>
            </w:p>
            <w:p w14:paraId="04ACCEE7" w14:textId="77777777" w:rsidR="00C225CD" w:rsidRDefault="00C225CD" w:rsidP="00C225CD">
              <w:pPr>
                <w:pStyle w:val="Bibliografa"/>
                <w:ind w:left="720" w:hanging="720"/>
                <w:rPr>
                  <w:noProof/>
                  <w:lang w:val="es-ES"/>
                </w:rPr>
              </w:pPr>
              <w:r>
                <w:rPr>
                  <w:noProof/>
                  <w:lang w:val="es-ES"/>
                </w:rPr>
                <w:t xml:space="preserve">Ministerio de Salud Pública y Asistencia Social. (21 de Agosto de 2023). </w:t>
              </w:r>
              <w:r>
                <w:rPr>
                  <w:i/>
                  <w:iCs/>
                  <w:noProof/>
                  <w:lang w:val="es-ES"/>
                </w:rPr>
                <w:t>Vigilancia Epidemiológica del VIH. Guatemala enero-mayo 2023.</w:t>
              </w:r>
              <w:r>
                <w:rPr>
                  <w:noProof/>
                  <w:lang w:val="es-ES"/>
                </w:rPr>
                <w:t xml:space="preserve"> Obtenido de www.mspas.gob.gt: https://epidemiologia.mspas.gob.gt/phocadownload/userupload/vih/situacion-epidemiologica-vih-enero-a-mayo-2023.pdf</w:t>
              </w:r>
            </w:p>
            <w:p w14:paraId="748A218C" w14:textId="77777777" w:rsidR="00C225CD" w:rsidRDefault="00C225CD" w:rsidP="00C225CD">
              <w:pPr>
                <w:pStyle w:val="Bibliografa"/>
                <w:ind w:left="720" w:hanging="720"/>
                <w:rPr>
                  <w:noProof/>
                  <w:lang w:val="es-ES"/>
                </w:rPr>
              </w:pPr>
              <w:r>
                <w:rPr>
                  <w:noProof/>
                  <w:lang w:val="es-ES"/>
                </w:rPr>
                <w:t xml:space="preserve">MSPAS. (2021). </w:t>
              </w:r>
              <w:r>
                <w:rPr>
                  <w:i/>
                  <w:iCs/>
                  <w:noProof/>
                  <w:lang w:val="es-ES"/>
                </w:rPr>
                <w:t>Informe de Monitoreo Global de Sida (GAM).</w:t>
              </w:r>
              <w:r>
                <w:rPr>
                  <w:noProof/>
                  <w:lang w:val="es-ES"/>
                </w:rPr>
                <w:t xml:space="preserve"> Guatemala: MSPAS.</w:t>
              </w:r>
            </w:p>
            <w:p w14:paraId="7235E973" w14:textId="77777777" w:rsidR="00C225CD" w:rsidRDefault="00C225CD" w:rsidP="00C225CD">
              <w:pPr>
                <w:pStyle w:val="Bibliografa"/>
                <w:ind w:left="720" w:hanging="720"/>
                <w:rPr>
                  <w:noProof/>
                  <w:lang w:val="es-ES"/>
                </w:rPr>
              </w:pPr>
              <w:r>
                <w:rPr>
                  <w:noProof/>
                  <w:lang w:val="es-ES"/>
                </w:rPr>
                <w:t xml:space="preserve">Ola, A. L. (4 de Octubre de 2022). </w:t>
              </w:r>
              <w:r>
                <w:rPr>
                  <w:i/>
                  <w:iCs/>
                  <w:noProof/>
                  <w:lang w:val="es-ES"/>
                </w:rPr>
                <w:t>Desabastecimiento: OPS donará medicamentos antirretrovirales para niños con VIH.</w:t>
              </w:r>
              <w:r>
                <w:rPr>
                  <w:noProof/>
                  <w:lang w:val="es-ES"/>
                </w:rPr>
                <w:t xml:space="preserve"> Obtenido de www.prensalibre.com: https://www.prensalibre.com/guatemala/comunitario/desabastecimiento-ops-donara-medicamentos-antirretrovirales-para-ninos-con-vih/</w:t>
              </w:r>
            </w:p>
            <w:p w14:paraId="1949C8B5" w14:textId="77777777" w:rsidR="00C225CD" w:rsidRDefault="00C225CD" w:rsidP="00C225CD">
              <w:pPr>
                <w:pStyle w:val="Bibliografa"/>
                <w:ind w:left="720" w:hanging="720"/>
                <w:rPr>
                  <w:noProof/>
                  <w:lang w:val="es-ES"/>
                </w:rPr>
              </w:pPr>
              <w:r>
                <w:rPr>
                  <w:noProof/>
                  <w:lang w:val="es-ES"/>
                </w:rPr>
                <w:t xml:space="preserve">Ola, A. L. (7 de Septiembre de 2022). </w:t>
              </w:r>
              <w:r>
                <w:rPr>
                  <w:i/>
                  <w:iCs/>
                  <w:noProof/>
                  <w:lang w:val="es-ES"/>
                </w:rPr>
                <w:t>www. prensalibre.com</w:t>
              </w:r>
              <w:r>
                <w:rPr>
                  <w:noProof/>
                  <w:lang w:val="es-ES"/>
                </w:rPr>
                <w:t>. Obtenido de https://www.prensalibre.com/guatemala/comunitario/no-hay-medicamento-para-ninos-con-vih-pacientes-pediatricos-estan-en-riesgo-de-morir/?utm_source=modulosPL&amp;utm_medium=terecomendamos&amp;utm_campaign=ux</w:t>
              </w:r>
            </w:p>
            <w:p w14:paraId="3EA578D5" w14:textId="77777777" w:rsidR="00C225CD" w:rsidRDefault="00C225CD" w:rsidP="00C225CD">
              <w:pPr>
                <w:pStyle w:val="Bibliografa"/>
                <w:ind w:left="720" w:hanging="720"/>
                <w:rPr>
                  <w:noProof/>
                  <w:lang w:val="es-ES"/>
                </w:rPr>
              </w:pPr>
              <w:r>
                <w:rPr>
                  <w:noProof/>
                  <w:lang w:val="es-ES"/>
                </w:rPr>
                <w:t xml:space="preserve">Procurador de los Derechos Humanos. (2019). </w:t>
              </w:r>
              <w:r>
                <w:rPr>
                  <w:i/>
                  <w:iCs/>
                  <w:noProof/>
                  <w:lang w:val="es-ES"/>
                </w:rPr>
                <w:t>Informe sobre el cumplimiento de las recomendaciones de la CEDAW relativas al derecho de las mujeres a vivir sin discriminación y libres de violencia por parte del Estado de Guatemala.</w:t>
              </w:r>
              <w:r>
                <w:rPr>
                  <w:noProof/>
                  <w:lang w:val="es-ES"/>
                </w:rPr>
                <w:t xml:space="preserve"> Guatemala: PDH.</w:t>
              </w:r>
            </w:p>
            <w:p w14:paraId="6D195C3E" w14:textId="77777777" w:rsidR="00C225CD" w:rsidRDefault="00C225CD" w:rsidP="00C225CD">
              <w:pPr>
                <w:pStyle w:val="Bibliografa"/>
                <w:ind w:left="720" w:hanging="720"/>
                <w:rPr>
                  <w:noProof/>
                  <w:lang w:val="es-ES"/>
                </w:rPr>
              </w:pPr>
              <w:r>
                <w:rPr>
                  <w:noProof/>
                  <w:lang w:val="es-ES"/>
                </w:rPr>
                <w:lastRenderedPageBreak/>
                <w:t xml:space="preserve">Procuraduría de Derechos Humanos. (05 de Mayo de 2022). </w:t>
              </w:r>
              <w:r>
                <w:rPr>
                  <w:i/>
                  <w:iCs/>
                  <w:noProof/>
                  <w:lang w:val="es-ES"/>
                </w:rPr>
                <w:t>www.pdh.org.gt</w:t>
              </w:r>
              <w:r>
                <w:rPr>
                  <w:noProof/>
                  <w:lang w:val="es-ES"/>
                </w:rPr>
                <w:t>. Obtenido de https://www.pdh.org.gt/documentos/seccion-de-informes/supervision-y-monitoreo/defensoria-de-la-salud-1/ano-2022/informe-de-accion-especifica-supervision-al-desabastecimiento-de-medicamentos-antirretrovirales-e-insumos-en-las-unidades-de-atencion-integral-</w:t>
              </w:r>
            </w:p>
            <w:p w14:paraId="00F4A0B3" w14:textId="77777777" w:rsidR="00C225CD" w:rsidRDefault="00C225CD" w:rsidP="00C225CD">
              <w:pPr>
                <w:pStyle w:val="Bibliografa"/>
                <w:ind w:left="720" w:hanging="720"/>
                <w:rPr>
                  <w:noProof/>
                  <w:lang w:val="es-ES"/>
                </w:rPr>
              </w:pPr>
              <w:r>
                <w:rPr>
                  <w:noProof/>
                  <w:lang w:val="es-ES"/>
                </w:rPr>
                <w:t xml:space="preserve">Procuraduría General de la Nación. (2023). </w:t>
              </w:r>
              <w:r>
                <w:rPr>
                  <w:i/>
                  <w:iCs/>
                  <w:noProof/>
                  <w:lang w:val="es-ES"/>
                </w:rPr>
                <w:t>Resolución de Información Pública 359-2023.</w:t>
              </w:r>
              <w:r>
                <w:rPr>
                  <w:noProof/>
                  <w:lang w:val="es-ES"/>
                </w:rPr>
                <w:t xml:space="preserve"> Guatemala: PGN.</w:t>
              </w:r>
            </w:p>
            <w:p w14:paraId="43C5B557" w14:textId="77777777" w:rsidR="00C225CD" w:rsidRDefault="00C225CD" w:rsidP="00C225CD">
              <w:pPr>
                <w:pStyle w:val="Bibliografa"/>
                <w:ind w:left="720" w:hanging="720"/>
                <w:rPr>
                  <w:noProof/>
                  <w:lang w:val="es-ES"/>
                </w:rPr>
              </w:pPr>
              <w:r>
                <w:rPr>
                  <w:noProof/>
                  <w:lang w:val="es-ES"/>
                </w:rPr>
                <w:t xml:space="preserve">Secretaría de Bienestar Social de la Presidencia de la República. (2023). </w:t>
              </w:r>
              <w:r>
                <w:rPr>
                  <w:i/>
                  <w:iCs/>
                  <w:noProof/>
                  <w:lang w:val="es-ES"/>
                </w:rPr>
                <w:t>Información Pública. Solicitud U.I.P. DCS 120-2023.</w:t>
              </w:r>
              <w:r>
                <w:rPr>
                  <w:noProof/>
                  <w:lang w:val="es-ES"/>
                </w:rPr>
                <w:t xml:space="preserve"> Guatemala: SBS.</w:t>
              </w:r>
            </w:p>
            <w:p w14:paraId="40225CBF" w14:textId="2109AC60" w:rsidR="003971EA" w:rsidRDefault="003971EA" w:rsidP="00C225CD">
              <w:r>
                <w:rPr>
                  <w:b/>
                  <w:bCs/>
                </w:rPr>
                <w:fldChar w:fldCharType="end"/>
              </w:r>
            </w:p>
          </w:sdtContent>
        </w:sdt>
      </w:sdtContent>
    </w:sdt>
    <w:p w14:paraId="34383EA0" w14:textId="77777777" w:rsidR="00D25DEA" w:rsidRDefault="00D25DEA" w:rsidP="00D25DEA">
      <w:pPr>
        <w:jc w:val="center"/>
        <w:rPr>
          <w:rFonts w:ascii="Gadugi" w:hAnsi="Gadugi"/>
          <w:b/>
          <w:bCs/>
          <w:kern w:val="0"/>
          <w14:ligatures w14:val="none"/>
        </w:rPr>
      </w:pPr>
    </w:p>
    <w:p w14:paraId="05FE12E8" w14:textId="77777777" w:rsidR="00D25DEA" w:rsidRDefault="00D25DEA" w:rsidP="00D25DEA">
      <w:pPr>
        <w:jc w:val="center"/>
        <w:rPr>
          <w:rFonts w:ascii="Gadugi" w:hAnsi="Gadugi"/>
          <w:b/>
          <w:bCs/>
          <w:kern w:val="0"/>
          <w14:ligatures w14:val="none"/>
        </w:rPr>
      </w:pPr>
    </w:p>
    <w:p w14:paraId="3C9BE3DD" w14:textId="77777777" w:rsidR="00D25DEA" w:rsidRDefault="00D25DEA" w:rsidP="00D25DEA">
      <w:pPr>
        <w:jc w:val="center"/>
        <w:rPr>
          <w:rFonts w:ascii="Gadugi" w:hAnsi="Gadugi"/>
          <w:b/>
          <w:bCs/>
          <w:kern w:val="0"/>
          <w14:ligatures w14:val="none"/>
        </w:rPr>
      </w:pPr>
    </w:p>
    <w:p w14:paraId="58FB2000" w14:textId="77777777" w:rsidR="00D25DEA" w:rsidRDefault="00D25DEA" w:rsidP="00D25DEA">
      <w:pPr>
        <w:jc w:val="center"/>
        <w:rPr>
          <w:rFonts w:ascii="Gadugi" w:hAnsi="Gadugi"/>
          <w:b/>
          <w:bCs/>
          <w:kern w:val="0"/>
          <w14:ligatures w14:val="none"/>
        </w:rPr>
      </w:pPr>
    </w:p>
    <w:p w14:paraId="7D74E0C5" w14:textId="77777777" w:rsidR="00D25DEA" w:rsidRDefault="00D25DEA" w:rsidP="00D25DEA">
      <w:pPr>
        <w:jc w:val="center"/>
        <w:rPr>
          <w:rFonts w:ascii="Gadugi" w:hAnsi="Gadugi"/>
          <w:b/>
          <w:bCs/>
          <w:kern w:val="0"/>
          <w14:ligatures w14:val="none"/>
        </w:rPr>
      </w:pPr>
    </w:p>
    <w:p w14:paraId="33E043EB" w14:textId="77777777" w:rsidR="00D25DEA" w:rsidRDefault="00D25DEA" w:rsidP="00D25DEA">
      <w:pPr>
        <w:jc w:val="center"/>
        <w:rPr>
          <w:rFonts w:ascii="Gadugi" w:hAnsi="Gadugi"/>
          <w:b/>
          <w:bCs/>
          <w:kern w:val="0"/>
          <w14:ligatures w14:val="none"/>
        </w:rPr>
      </w:pPr>
    </w:p>
    <w:p w14:paraId="64D6B13B" w14:textId="77777777" w:rsidR="00D25DEA" w:rsidRDefault="00D25DEA" w:rsidP="00D25DEA">
      <w:pPr>
        <w:jc w:val="center"/>
        <w:rPr>
          <w:rFonts w:ascii="Gadugi" w:hAnsi="Gadugi"/>
          <w:b/>
          <w:bCs/>
          <w:kern w:val="0"/>
          <w14:ligatures w14:val="none"/>
        </w:rPr>
      </w:pPr>
    </w:p>
    <w:p w14:paraId="697C1292" w14:textId="77777777" w:rsidR="00D25DEA" w:rsidRDefault="00D25DEA" w:rsidP="00D25DEA">
      <w:pPr>
        <w:jc w:val="center"/>
        <w:rPr>
          <w:rFonts w:ascii="Gadugi" w:hAnsi="Gadugi"/>
          <w:b/>
          <w:bCs/>
          <w:kern w:val="0"/>
          <w14:ligatures w14:val="none"/>
        </w:rPr>
      </w:pPr>
    </w:p>
    <w:p w14:paraId="79DF891A" w14:textId="77777777" w:rsidR="00D25DEA" w:rsidRDefault="00D25DEA" w:rsidP="00D25DEA">
      <w:pPr>
        <w:jc w:val="center"/>
        <w:rPr>
          <w:rFonts w:ascii="Gadugi" w:hAnsi="Gadugi"/>
          <w:b/>
          <w:bCs/>
          <w:kern w:val="0"/>
          <w14:ligatures w14:val="none"/>
        </w:rPr>
      </w:pPr>
    </w:p>
    <w:p w14:paraId="62A38BFA" w14:textId="77777777" w:rsidR="00D25DEA" w:rsidRDefault="00D25DEA" w:rsidP="00D25DEA">
      <w:pPr>
        <w:jc w:val="center"/>
        <w:rPr>
          <w:rFonts w:ascii="Gadugi" w:hAnsi="Gadugi"/>
          <w:b/>
          <w:bCs/>
          <w:kern w:val="0"/>
          <w14:ligatures w14:val="none"/>
        </w:rPr>
      </w:pPr>
    </w:p>
    <w:p w14:paraId="5CAFD166" w14:textId="77777777" w:rsidR="00D25DEA" w:rsidRDefault="00D25DEA" w:rsidP="00D25DEA">
      <w:pPr>
        <w:jc w:val="center"/>
        <w:rPr>
          <w:rFonts w:ascii="Gadugi" w:hAnsi="Gadugi"/>
          <w:b/>
          <w:bCs/>
          <w:kern w:val="0"/>
          <w14:ligatures w14:val="none"/>
        </w:rPr>
      </w:pPr>
    </w:p>
    <w:p w14:paraId="230AFE88" w14:textId="77777777" w:rsidR="00D25DEA" w:rsidRDefault="00D25DEA" w:rsidP="00D25DEA">
      <w:pPr>
        <w:jc w:val="center"/>
        <w:rPr>
          <w:rFonts w:ascii="Gadugi" w:hAnsi="Gadugi"/>
          <w:b/>
          <w:bCs/>
          <w:kern w:val="0"/>
          <w14:ligatures w14:val="none"/>
        </w:rPr>
      </w:pPr>
    </w:p>
    <w:p w14:paraId="0363757E" w14:textId="77777777" w:rsidR="00D25DEA" w:rsidRDefault="00D25DEA" w:rsidP="00D25DEA">
      <w:pPr>
        <w:jc w:val="center"/>
        <w:rPr>
          <w:rFonts w:ascii="Gadugi" w:hAnsi="Gadugi"/>
          <w:b/>
          <w:bCs/>
          <w:kern w:val="0"/>
          <w14:ligatures w14:val="none"/>
        </w:rPr>
      </w:pPr>
    </w:p>
    <w:p w14:paraId="05E93527" w14:textId="77777777" w:rsidR="00D25DEA" w:rsidRDefault="00D25DEA" w:rsidP="00D25DEA">
      <w:pPr>
        <w:jc w:val="center"/>
        <w:rPr>
          <w:rFonts w:ascii="Gadugi" w:hAnsi="Gadugi"/>
          <w:b/>
          <w:bCs/>
          <w:kern w:val="0"/>
          <w14:ligatures w14:val="none"/>
        </w:rPr>
      </w:pPr>
    </w:p>
    <w:p w14:paraId="0BA0348D" w14:textId="77777777" w:rsidR="00D25DEA" w:rsidRDefault="00D25DEA" w:rsidP="00D25DEA">
      <w:pPr>
        <w:jc w:val="center"/>
        <w:rPr>
          <w:rFonts w:ascii="Gadugi" w:hAnsi="Gadugi"/>
          <w:b/>
          <w:bCs/>
          <w:kern w:val="0"/>
          <w14:ligatures w14:val="none"/>
        </w:rPr>
      </w:pPr>
    </w:p>
    <w:p w14:paraId="2D89CE8C" w14:textId="77777777" w:rsidR="00D25DEA" w:rsidRDefault="00D25DEA" w:rsidP="00D25DEA">
      <w:pPr>
        <w:jc w:val="center"/>
        <w:rPr>
          <w:rFonts w:ascii="Gadugi" w:hAnsi="Gadugi"/>
          <w:b/>
          <w:bCs/>
          <w:kern w:val="0"/>
          <w14:ligatures w14:val="none"/>
        </w:rPr>
      </w:pPr>
    </w:p>
    <w:p w14:paraId="2B1E731E" w14:textId="77777777" w:rsidR="00D25DEA" w:rsidRDefault="00D25DEA" w:rsidP="00D25DEA">
      <w:pPr>
        <w:jc w:val="center"/>
        <w:rPr>
          <w:rFonts w:ascii="Gadugi" w:hAnsi="Gadugi"/>
          <w:b/>
          <w:bCs/>
          <w:kern w:val="0"/>
          <w14:ligatures w14:val="none"/>
        </w:rPr>
      </w:pPr>
    </w:p>
    <w:p w14:paraId="225055A2" w14:textId="77777777" w:rsidR="00D25DEA" w:rsidRDefault="00D25DEA" w:rsidP="00D25DEA">
      <w:pPr>
        <w:jc w:val="center"/>
        <w:rPr>
          <w:rFonts w:ascii="Gadugi" w:hAnsi="Gadugi"/>
          <w:b/>
          <w:bCs/>
          <w:kern w:val="0"/>
          <w14:ligatures w14:val="none"/>
        </w:rPr>
      </w:pPr>
    </w:p>
    <w:p w14:paraId="220759B4" w14:textId="77777777" w:rsidR="00D25DEA" w:rsidRDefault="00D25DEA" w:rsidP="00D25DEA">
      <w:pPr>
        <w:jc w:val="center"/>
        <w:rPr>
          <w:rFonts w:ascii="Gadugi" w:hAnsi="Gadugi"/>
          <w:b/>
          <w:bCs/>
          <w:kern w:val="0"/>
          <w14:ligatures w14:val="none"/>
        </w:rPr>
      </w:pPr>
    </w:p>
    <w:p w14:paraId="6A795236" w14:textId="77777777" w:rsidR="00D25DEA" w:rsidRDefault="00D25DEA" w:rsidP="00D25DEA">
      <w:pPr>
        <w:jc w:val="center"/>
        <w:rPr>
          <w:rFonts w:ascii="Gadugi" w:hAnsi="Gadugi"/>
          <w:b/>
          <w:bCs/>
          <w:kern w:val="0"/>
          <w14:ligatures w14:val="none"/>
        </w:rPr>
      </w:pPr>
    </w:p>
    <w:p w14:paraId="6919E8D8" w14:textId="77777777" w:rsidR="00D25DEA" w:rsidRDefault="00D25DEA" w:rsidP="00D25DEA">
      <w:pPr>
        <w:jc w:val="center"/>
        <w:rPr>
          <w:rFonts w:ascii="Gadugi" w:hAnsi="Gadugi"/>
          <w:b/>
          <w:bCs/>
          <w:kern w:val="0"/>
          <w14:ligatures w14:val="none"/>
        </w:rPr>
      </w:pPr>
    </w:p>
    <w:p w14:paraId="6F389F93" w14:textId="77777777" w:rsidR="00D25DEA" w:rsidRDefault="00D25DEA" w:rsidP="00D25DEA">
      <w:pPr>
        <w:jc w:val="center"/>
        <w:rPr>
          <w:rFonts w:ascii="Gadugi" w:hAnsi="Gadugi"/>
          <w:b/>
          <w:bCs/>
          <w:kern w:val="0"/>
          <w14:ligatures w14:val="none"/>
        </w:rPr>
      </w:pPr>
    </w:p>
    <w:p w14:paraId="69EDC301" w14:textId="77777777" w:rsidR="00D25DEA" w:rsidRDefault="00D25DEA" w:rsidP="00D25DEA">
      <w:pPr>
        <w:jc w:val="center"/>
        <w:rPr>
          <w:rFonts w:ascii="Gadugi" w:hAnsi="Gadugi"/>
          <w:b/>
          <w:bCs/>
          <w:kern w:val="0"/>
          <w14:ligatures w14:val="none"/>
        </w:rPr>
      </w:pPr>
    </w:p>
    <w:p w14:paraId="037A52A7" w14:textId="77777777" w:rsidR="00F4316F" w:rsidRDefault="00F4316F" w:rsidP="00D25DEA">
      <w:pPr>
        <w:jc w:val="center"/>
        <w:rPr>
          <w:rFonts w:ascii="Gadugi" w:hAnsi="Gadugi"/>
          <w:b/>
          <w:bCs/>
          <w:kern w:val="0"/>
          <w14:ligatures w14:val="none"/>
        </w:rPr>
      </w:pPr>
    </w:p>
    <w:p w14:paraId="4B55D5D3" w14:textId="77777777" w:rsidR="00F4316F" w:rsidRDefault="00F4316F" w:rsidP="00D25DEA">
      <w:pPr>
        <w:jc w:val="center"/>
        <w:rPr>
          <w:rFonts w:ascii="Gadugi" w:hAnsi="Gadugi"/>
          <w:b/>
          <w:bCs/>
          <w:kern w:val="0"/>
          <w14:ligatures w14:val="none"/>
        </w:rPr>
      </w:pPr>
    </w:p>
    <w:p w14:paraId="0596D31C" w14:textId="77777777" w:rsidR="00F4316F" w:rsidRDefault="00F4316F" w:rsidP="00D25DEA">
      <w:pPr>
        <w:jc w:val="center"/>
        <w:rPr>
          <w:rFonts w:ascii="Gadugi" w:hAnsi="Gadugi"/>
          <w:b/>
          <w:bCs/>
          <w:kern w:val="0"/>
          <w14:ligatures w14:val="none"/>
        </w:rPr>
      </w:pPr>
    </w:p>
    <w:p w14:paraId="1DFD9C85" w14:textId="77777777" w:rsidR="00F4316F" w:rsidRDefault="00F4316F" w:rsidP="00D25DEA">
      <w:pPr>
        <w:jc w:val="center"/>
        <w:rPr>
          <w:rFonts w:ascii="Gadugi" w:hAnsi="Gadugi"/>
          <w:b/>
          <w:bCs/>
          <w:kern w:val="0"/>
          <w14:ligatures w14:val="none"/>
        </w:rPr>
      </w:pPr>
    </w:p>
    <w:p w14:paraId="11BCF1AC" w14:textId="77777777" w:rsidR="00D25DEA" w:rsidRDefault="00D25DEA" w:rsidP="00D25DEA">
      <w:pPr>
        <w:jc w:val="center"/>
        <w:rPr>
          <w:rFonts w:ascii="Gadugi" w:hAnsi="Gadugi"/>
          <w:b/>
          <w:bCs/>
          <w:kern w:val="0"/>
          <w14:ligatures w14:val="none"/>
        </w:rPr>
      </w:pPr>
    </w:p>
    <w:p w14:paraId="3DEE6B44" w14:textId="77777777" w:rsidR="00D25DEA" w:rsidRPr="00D25DEA" w:rsidRDefault="00D25DEA" w:rsidP="00D25DEA">
      <w:pPr>
        <w:jc w:val="center"/>
        <w:rPr>
          <w:rFonts w:ascii="Gadugi" w:hAnsi="Gadugi"/>
          <w:b/>
          <w:bCs/>
          <w:kern w:val="0"/>
          <w14:ligatures w14:val="none"/>
        </w:rPr>
      </w:pPr>
      <w:r w:rsidRPr="00D25DEA">
        <w:rPr>
          <w:rFonts w:ascii="Gadugi" w:hAnsi="Gadugi"/>
          <w:b/>
          <w:bCs/>
          <w:kern w:val="0"/>
          <w14:ligatures w14:val="none"/>
        </w:rPr>
        <w:t>Anexo 1</w:t>
      </w:r>
    </w:p>
    <w:p w14:paraId="7E95F3BB" w14:textId="6AED2F5B" w:rsidR="00D25DEA" w:rsidRDefault="00D25DEA" w:rsidP="00D25DEA">
      <w:pPr>
        <w:jc w:val="center"/>
        <w:rPr>
          <w:rFonts w:ascii="Gadugi" w:hAnsi="Gadugi"/>
          <w:b/>
          <w:bCs/>
          <w:kern w:val="0"/>
          <w14:ligatures w14:val="none"/>
        </w:rPr>
      </w:pPr>
      <w:r w:rsidRPr="00D25DEA">
        <w:rPr>
          <w:rFonts w:ascii="Gadugi" w:hAnsi="Gadugi"/>
          <w:b/>
          <w:bCs/>
          <w:kern w:val="0"/>
          <w14:ligatures w14:val="none"/>
        </w:rPr>
        <w:t>Mujeres que recibieron tratamiento antirretroviral en el año 2022 en el Ministerio de Salud Pública y Asistencia Social</w:t>
      </w:r>
      <w:r>
        <w:rPr>
          <w:rFonts w:ascii="Gadugi" w:hAnsi="Gadugi"/>
          <w:b/>
          <w:bCs/>
          <w:kern w:val="0"/>
          <w14:ligatures w14:val="none"/>
        </w:rPr>
        <w:t xml:space="preserve"> por distribución de edad</w:t>
      </w:r>
    </w:p>
    <w:p w14:paraId="6B5BDB06" w14:textId="77777777" w:rsidR="00D25DEA" w:rsidRDefault="00D25DEA" w:rsidP="00D25DEA">
      <w:pPr>
        <w:jc w:val="center"/>
        <w:rPr>
          <w:rFonts w:ascii="Gadugi" w:hAnsi="Gadugi"/>
          <w:b/>
          <w:bCs/>
          <w:kern w:val="0"/>
          <w14:ligatures w14:val="none"/>
        </w:rPr>
      </w:pPr>
    </w:p>
    <w:p w14:paraId="348BA4A8" w14:textId="6EAD759C" w:rsidR="00D25DEA" w:rsidRPr="00D25DEA" w:rsidRDefault="00D25DEA" w:rsidP="00D25DEA">
      <w:pPr>
        <w:jc w:val="center"/>
        <w:rPr>
          <w:rFonts w:ascii="Gadugi" w:hAnsi="Gadugi"/>
          <w:b/>
          <w:bCs/>
          <w:kern w:val="0"/>
          <w14:ligatures w14:val="none"/>
        </w:rPr>
      </w:pPr>
      <w:r w:rsidRPr="00D25DEA">
        <w:rPr>
          <w:noProof/>
        </w:rPr>
        <w:lastRenderedPageBreak/>
        <w:drawing>
          <wp:inline distT="0" distB="0" distL="0" distR="0" wp14:anchorId="52FFD449" wp14:editId="4F140616">
            <wp:extent cx="6844211" cy="3161438"/>
            <wp:effectExtent l="0" t="6350" r="7620" b="7620"/>
            <wp:docPr id="735994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6925195" cy="3198846"/>
                    </a:xfrm>
                    <a:prstGeom prst="rect">
                      <a:avLst/>
                    </a:prstGeom>
                    <a:noFill/>
                    <a:ln>
                      <a:noFill/>
                    </a:ln>
                  </pic:spPr>
                </pic:pic>
              </a:graphicData>
            </a:graphic>
          </wp:inline>
        </w:drawing>
      </w:r>
    </w:p>
    <w:sectPr w:rsidR="00D25DEA" w:rsidRPr="00D25DE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970E" w14:textId="77777777" w:rsidR="00F35E02" w:rsidRDefault="00F35E02" w:rsidP="000D5AC5">
      <w:pPr>
        <w:spacing w:after="0" w:line="240" w:lineRule="auto"/>
      </w:pPr>
      <w:r>
        <w:separator/>
      </w:r>
    </w:p>
  </w:endnote>
  <w:endnote w:type="continuationSeparator" w:id="0">
    <w:p w14:paraId="5823FB50" w14:textId="77777777" w:rsidR="00F35E02" w:rsidRDefault="00F35E02" w:rsidP="000D5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347032"/>
      <w:docPartObj>
        <w:docPartGallery w:val="Page Numbers (Bottom of Page)"/>
        <w:docPartUnique/>
      </w:docPartObj>
    </w:sdtPr>
    <w:sdtContent>
      <w:p w14:paraId="7CFA1D45" w14:textId="0922D245" w:rsidR="000D5AC5" w:rsidRDefault="000D5AC5">
        <w:pPr>
          <w:pStyle w:val="Piedepgina"/>
          <w:jc w:val="right"/>
        </w:pPr>
        <w:r>
          <w:fldChar w:fldCharType="begin"/>
        </w:r>
        <w:r>
          <w:instrText>PAGE   \* MERGEFORMAT</w:instrText>
        </w:r>
        <w:r>
          <w:fldChar w:fldCharType="separate"/>
        </w:r>
        <w:r>
          <w:rPr>
            <w:lang w:val="es-ES"/>
          </w:rPr>
          <w:t>2</w:t>
        </w:r>
        <w:r>
          <w:fldChar w:fldCharType="end"/>
        </w:r>
      </w:p>
    </w:sdtContent>
  </w:sdt>
  <w:p w14:paraId="12A7E02C" w14:textId="77777777" w:rsidR="000D5AC5" w:rsidRDefault="000D5A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3365F" w14:textId="77777777" w:rsidR="00F35E02" w:rsidRDefault="00F35E02" w:rsidP="000D5AC5">
      <w:pPr>
        <w:spacing w:after="0" w:line="240" w:lineRule="auto"/>
      </w:pPr>
      <w:r>
        <w:separator/>
      </w:r>
    </w:p>
  </w:footnote>
  <w:footnote w:type="continuationSeparator" w:id="0">
    <w:p w14:paraId="04FC4489" w14:textId="77777777" w:rsidR="00F35E02" w:rsidRDefault="00F35E02" w:rsidP="000D5AC5">
      <w:pPr>
        <w:spacing w:after="0" w:line="240" w:lineRule="auto"/>
      </w:pPr>
      <w:r>
        <w:continuationSeparator/>
      </w:r>
    </w:p>
  </w:footnote>
  <w:footnote w:id="1">
    <w:p w14:paraId="137F8E8F" w14:textId="35BB5000" w:rsidR="00CC6615" w:rsidRPr="00CC6615" w:rsidRDefault="00CC6615">
      <w:pPr>
        <w:pStyle w:val="Textonotapie"/>
        <w:rPr>
          <w:lang w:val="es-MX"/>
        </w:rPr>
      </w:pPr>
      <w:r>
        <w:rPr>
          <w:rStyle w:val="Refdenotaalpie"/>
        </w:rPr>
        <w:footnoteRef/>
      </w:r>
      <w:r>
        <w:t xml:space="preserve"> </w:t>
      </w:r>
      <w:r>
        <w:rPr>
          <w:lang w:val="es-MX"/>
        </w:rPr>
        <w:t>Informe del estudio de adolescentes y jóvenes que reciben educación sexual/Guatemala/2021</w:t>
      </w:r>
    </w:p>
  </w:footnote>
  <w:footnote w:id="2">
    <w:p w14:paraId="056FF265" w14:textId="77777777" w:rsidR="00266787" w:rsidRPr="005A79BA" w:rsidRDefault="00266787" w:rsidP="00266787">
      <w:pPr>
        <w:rPr>
          <w:sz w:val="20"/>
          <w:szCs w:val="20"/>
        </w:rPr>
      </w:pPr>
      <w:r w:rsidRPr="005A79BA">
        <w:rPr>
          <w:rStyle w:val="Refdenotaalpie"/>
          <w:sz w:val="20"/>
          <w:szCs w:val="20"/>
        </w:rPr>
        <w:footnoteRef/>
      </w:r>
      <w:r w:rsidRPr="005A79BA">
        <w:rPr>
          <w:sz w:val="20"/>
          <w:szCs w:val="20"/>
        </w:rPr>
        <w:t xml:space="preserve"> Informe Final. Evaluación PEN VIH GUA 2017-2021(pag-13-20)</w:t>
      </w:r>
    </w:p>
    <w:p w14:paraId="32B2C1D1" w14:textId="77777777" w:rsidR="00266787" w:rsidRPr="0006615E" w:rsidRDefault="00266787" w:rsidP="00266787">
      <w:pPr>
        <w:pStyle w:val="Textonotapie"/>
        <w:rPr>
          <w:lang w:val="es-MX"/>
        </w:rPr>
      </w:pPr>
    </w:p>
  </w:footnote>
  <w:footnote w:id="3">
    <w:p w14:paraId="0EC24073" w14:textId="77777777" w:rsidR="00266787" w:rsidRPr="005A79BA" w:rsidRDefault="00266787" w:rsidP="00266787">
      <w:pPr>
        <w:pStyle w:val="Textonotapie"/>
        <w:rPr>
          <w:sz w:val="14"/>
          <w:szCs w:val="14"/>
        </w:rPr>
      </w:pPr>
      <w:r>
        <w:rPr>
          <w:rStyle w:val="Refdenotaalpie"/>
        </w:rPr>
        <w:footnoteRef/>
      </w:r>
      <w:r>
        <w:t xml:space="preserve"> </w:t>
      </w:r>
      <w:r w:rsidRPr="005A79BA">
        <w:rPr>
          <w:sz w:val="14"/>
          <w:szCs w:val="14"/>
        </w:rPr>
        <w:t xml:space="preserve">Fast-Track, tiene que ver con el diseño del proyecto y la ejecución, que se realizan de forma paralela, superponiendo actividades que normalmente se realizan en una secuencia rígida, reduciendo el tiempo. </w:t>
      </w:r>
    </w:p>
    <w:p w14:paraId="4D2F473B" w14:textId="77777777" w:rsidR="00266787" w:rsidRPr="005A79BA" w:rsidRDefault="00266787" w:rsidP="00266787">
      <w:pPr>
        <w:pStyle w:val="Textonotapie"/>
        <w:rPr>
          <w:sz w:val="14"/>
          <w:szCs w:val="14"/>
          <w:lang w:val="es-MX"/>
        </w:rPr>
      </w:pPr>
      <w:r w:rsidRPr="005A79BA">
        <w:rPr>
          <w:rFonts w:ascii="Arial" w:hAnsi="Arial" w:cs="Arial"/>
          <w:color w:val="BDC1C6"/>
          <w:sz w:val="14"/>
          <w:szCs w:val="14"/>
          <w:shd w:val="clear" w:color="auto" w:fill="202124"/>
        </w:rPr>
        <w:t>.</w:t>
      </w:r>
    </w:p>
  </w:footnote>
  <w:footnote w:id="4">
    <w:p w14:paraId="29CC78E7" w14:textId="77777777" w:rsidR="00266787" w:rsidRPr="005A79BA" w:rsidRDefault="00266787" w:rsidP="00266787">
      <w:pPr>
        <w:rPr>
          <w:sz w:val="20"/>
          <w:szCs w:val="20"/>
        </w:rPr>
      </w:pPr>
      <w:r>
        <w:rPr>
          <w:rStyle w:val="Refdenotaalpie"/>
        </w:rPr>
        <w:footnoteRef/>
      </w:r>
      <w:r>
        <w:t xml:space="preserve"> </w:t>
      </w:r>
      <w:r w:rsidRPr="005A79BA">
        <w:rPr>
          <w:rStyle w:val="Refdenotaalpie"/>
          <w:sz w:val="20"/>
          <w:szCs w:val="20"/>
        </w:rPr>
        <w:footnoteRef/>
      </w:r>
      <w:r w:rsidRPr="005A79BA">
        <w:rPr>
          <w:sz w:val="20"/>
          <w:szCs w:val="20"/>
        </w:rPr>
        <w:t xml:space="preserve"> Informe Final. Evaluación PEN VIH GUA 2017-2021(pag-13-20)</w:t>
      </w:r>
    </w:p>
    <w:p w14:paraId="244700EC" w14:textId="77777777" w:rsidR="00266787" w:rsidRPr="00C43440" w:rsidRDefault="00266787" w:rsidP="00266787">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B65F" w14:textId="37127E08" w:rsidR="00D31BF6" w:rsidRDefault="00D31BF6">
    <w:pPr>
      <w:pStyle w:val="Encabezado"/>
    </w:pPr>
    <w:r>
      <w:rPr>
        <w:noProof/>
      </w:rPr>
      <w:drawing>
        <wp:inline distT="0" distB="0" distL="0" distR="0" wp14:anchorId="3E015668" wp14:editId="071250C4">
          <wp:extent cx="3582865" cy="914400"/>
          <wp:effectExtent l="0" t="0" r="0" b="0"/>
          <wp:docPr id="575250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45" r="34705"/>
                  <a:stretch/>
                </pic:blipFill>
                <pic:spPr bwMode="auto">
                  <a:xfrm>
                    <a:off x="0" y="0"/>
                    <a:ext cx="3586457" cy="915317"/>
                  </a:xfrm>
                  <a:prstGeom prst="rect">
                    <a:avLst/>
                  </a:prstGeom>
                  <a:noFill/>
                  <a:ln>
                    <a:noFill/>
                  </a:ln>
                  <a:extLst>
                    <a:ext uri="{53640926-AAD7-44D8-BBD7-CCE9431645EC}">
                      <a14:shadowObscured xmlns:a14="http://schemas.microsoft.com/office/drawing/2010/main"/>
                    </a:ext>
                  </a:extLst>
                </pic:spPr>
              </pic:pic>
            </a:graphicData>
          </a:graphic>
        </wp:inline>
      </w:drawing>
    </w:r>
  </w:p>
  <w:p w14:paraId="7F1B656C" w14:textId="77777777" w:rsidR="00D31BF6" w:rsidRDefault="00D31B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748D6"/>
    <w:multiLevelType w:val="multilevel"/>
    <w:tmpl w:val="DFFC607C"/>
    <w:lvl w:ilvl="0">
      <w:start w:val="1"/>
      <w:numFmt w:val="decimal"/>
      <w:lvlText w:val="%1."/>
      <w:lvlJc w:val="left"/>
      <w:pPr>
        <w:ind w:left="720" w:hanging="360"/>
      </w:pPr>
      <w:rPr>
        <w:i w:val="0"/>
        <w:iCs/>
        <w:u w:val="none"/>
      </w:rPr>
    </w:lvl>
    <w:lvl w:ilvl="1">
      <w:start w:val="1"/>
      <w:numFmt w:val="lowerLetter"/>
      <w:lvlText w:val="%2."/>
      <w:lvlJc w:val="left"/>
      <w:pPr>
        <w:ind w:left="1440" w:hanging="360"/>
      </w:pPr>
      <w:rPr>
        <w:u w:val="none"/>
      </w:rPr>
    </w:lvl>
    <w:lvl w:ilvl="2">
      <w:start w:val="1"/>
      <w:numFmt w:val="decimal"/>
      <w:lvlText w:val="%3."/>
      <w:lvlJc w:val="left"/>
      <w:pPr>
        <w:ind w:left="216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73908F5"/>
    <w:multiLevelType w:val="hybridMultilevel"/>
    <w:tmpl w:val="EAAC7D8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59031E33"/>
    <w:multiLevelType w:val="hybridMultilevel"/>
    <w:tmpl w:val="F22AFCAE"/>
    <w:lvl w:ilvl="0" w:tplc="77BE489C">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65A83D76"/>
    <w:multiLevelType w:val="hybridMultilevel"/>
    <w:tmpl w:val="15060A40"/>
    <w:lvl w:ilvl="0" w:tplc="77BE489C">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7AAF5FBE"/>
    <w:multiLevelType w:val="hybridMultilevel"/>
    <w:tmpl w:val="120CA43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866600605">
    <w:abstractNumId w:val="4"/>
  </w:num>
  <w:num w:numId="2" w16cid:durableId="719594385">
    <w:abstractNumId w:val="0"/>
  </w:num>
  <w:num w:numId="3" w16cid:durableId="460920674">
    <w:abstractNumId w:val="1"/>
  </w:num>
  <w:num w:numId="4" w16cid:durableId="45566218">
    <w:abstractNumId w:val="2"/>
  </w:num>
  <w:num w:numId="5" w16cid:durableId="1256405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E6"/>
    <w:rsid w:val="00020698"/>
    <w:rsid w:val="000214BC"/>
    <w:rsid w:val="00086A7B"/>
    <w:rsid w:val="000D5AC5"/>
    <w:rsid w:val="000E427C"/>
    <w:rsid w:val="00190D1A"/>
    <w:rsid w:val="002125C7"/>
    <w:rsid w:val="00266787"/>
    <w:rsid w:val="0031175C"/>
    <w:rsid w:val="00314646"/>
    <w:rsid w:val="003731ED"/>
    <w:rsid w:val="00395613"/>
    <w:rsid w:val="003971EA"/>
    <w:rsid w:val="003B4878"/>
    <w:rsid w:val="003C4D37"/>
    <w:rsid w:val="003C5D15"/>
    <w:rsid w:val="0045252B"/>
    <w:rsid w:val="00462328"/>
    <w:rsid w:val="0047086D"/>
    <w:rsid w:val="00511875"/>
    <w:rsid w:val="0063122C"/>
    <w:rsid w:val="00720AE1"/>
    <w:rsid w:val="0078163A"/>
    <w:rsid w:val="007D5563"/>
    <w:rsid w:val="0085427F"/>
    <w:rsid w:val="00877EB7"/>
    <w:rsid w:val="008C09B0"/>
    <w:rsid w:val="008C3D59"/>
    <w:rsid w:val="00913B25"/>
    <w:rsid w:val="009A2D8F"/>
    <w:rsid w:val="00AC74BE"/>
    <w:rsid w:val="00AD59CA"/>
    <w:rsid w:val="00B36E31"/>
    <w:rsid w:val="00B4610C"/>
    <w:rsid w:val="00B76F05"/>
    <w:rsid w:val="00BF24A6"/>
    <w:rsid w:val="00C225CD"/>
    <w:rsid w:val="00C75AA6"/>
    <w:rsid w:val="00C87C6A"/>
    <w:rsid w:val="00CA05E6"/>
    <w:rsid w:val="00CB2B3D"/>
    <w:rsid w:val="00CC6615"/>
    <w:rsid w:val="00CE6056"/>
    <w:rsid w:val="00D25DEA"/>
    <w:rsid w:val="00D31BF6"/>
    <w:rsid w:val="00DA1401"/>
    <w:rsid w:val="00E35A8D"/>
    <w:rsid w:val="00E575C7"/>
    <w:rsid w:val="00E74E06"/>
    <w:rsid w:val="00F35E02"/>
    <w:rsid w:val="00F4316F"/>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5392"/>
  <w15:chartTrackingRefBased/>
  <w15:docId w15:val="{1D68A1C1-436B-4523-9985-3BC2E0D2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971EA"/>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s-GT"/>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0AE1"/>
    <w:pPr>
      <w:ind w:left="720"/>
      <w:contextualSpacing/>
    </w:pPr>
  </w:style>
  <w:style w:type="character" w:styleId="Textoennegrita">
    <w:name w:val="Strong"/>
    <w:basedOn w:val="Fuentedeprrafopredeter"/>
    <w:uiPriority w:val="22"/>
    <w:qFormat/>
    <w:rsid w:val="008C09B0"/>
    <w:rPr>
      <w:b/>
      <w:bCs/>
    </w:rPr>
  </w:style>
  <w:style w:type="table" w:styleId="Tablaconcuadrcula">
    <w:name w:val="Table Grid"/>
    <w:basedOn w:val="Tablanormal"/>
    <w:uiPriority w:val="39"/>
    <w:rsid w:val="00913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E74E06"/>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kern w:val="0"/>
      <w:sz w:val="20"/>
      <w:szCs w:val="20"/>
      <w:lang w:val="es-ES" w:eastAsia="es-ES"/>
      <w14:ligatures w14:val="none"/>
    </w:rPr>
  </w:style>
  <w:style w:type="character" w:customStyle="1" w:styleId="SingleTxtGChar">
    <w:name w:val="_ Single Txt_G Char"/>
    <w:link w:val="SingleTxtG"/>
    <w:rsid w:val="00E74E06"/>
    <w:rPr>
      <w:rFonts w:ascii="Times New Roman" w:eastAsiaTheme="minorEastAsia" w:hAnsi="Times New Roman" w:cs="Times New Roman"/>
      <w:kern w:val="0"/>
      <w:sz w:val="20"/>
      <w:szCs w:val="20"/>
      <w:lang w:val="es-ES" w:eastAsia="es-ES"/>
      <w14:ligatures w14:val="none"/>
    </w:rPr>
  </w:style>
  <w:style w:type="paragraph" w:styleId="Encabezado">
    <w:name w:val="header"/>
    <w:basedOn w:val="Normal"/>
    <w:link w:val="EncabezadoCar"/>
    <w:uiPriority w:val="99"/>
    <w:unhideWhenUsed/>
    <w:rsid w:val="000D5A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5AC5"/>
  </w:style>
  <w:style w:type="paragraph" w:styleId="Piedepgina">
    <w:name w:val="footer"/>
    <w:basedOn w:val="Normal"/>
    <w:link w:val="PiedepginaCar"/>
    <w:uiPriority w:val="99"/>
    <w:unhideWhenUsed/>
    <w:rsid w:val="000D5A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5AC5"/>
  </w:style>
  <w:style w:type="character" w:customStyle="1" w:styleId="Ttulo1Car">
    <w:name w:val="Título 1 Car"/>
    <w:basedOn w:val="Fuentedeprrafopredeter"/>
    <w:link w:val="Ttulo1"/>
    <w:uiPriority w:val="9"/>
    <w:rsid w:val="003971EA"/>
    <w:rPr>
      <w:rFonts w:asciiTheme="majorHAnsi" w:eastAsiaTheme="majorEastAsia" w:hAnsiTheme="majorHAnsi" w:cstheme="majorBidi"/>
      <w:color w:val="2F5496" w:themeColor="accent1" w:themeShade="BF"/>
      <w:kern w:val="0"/>
      <w:sz w:val="32"/>
      <w:szCs w:val="32"/>
      <w:lang w:eastAsia="es-GT"/>
      <w14:ligatures w14:val="none"/>
    </w:rPr>
  </w:style>
  <w:style w:type="paragraph" w:styleId="Bibliografa">
    <w:name w:val="Bibliography"/>
    <w:basedOn w:val="Normal"/>
    <w:next w:val="Normal"/>
    <w:uiPriority w:val="37"/>
    <w:unhideWhenUsed/>
    <w:rsid w:val="003971EA"/>
  </w:style>
  <w:style w:type="paragraph" w:styleId="Textonotapie">
    <w:name w:val="footnote text"/>
    <w:basedOn w:val="Normal"/>
    <w:link w:val="TextonotapieCar"/>
    <w:uiPriority w:val="99"/>
    <w:unhideWhenUsed/>
    <w:rsid w:val="00266787"/>
    <w:pPr>
      <w:spacing w:after="0" w:line="240" w:lineRule="auto"/>
    </w:pPr>
    <w:rPr>
      <w:sz w:val="20"/>
      <w:szCs w:val="20"/>
    </w:rPr>
  </w:style>
  <w:style w:type="character" w:customStyle="1" w:styleId="TextonotapieCar">
    <w:name w:val="Texto nota pie Car"/>
    <w:basedOn w:val="Fuentedeprrafopredeter"/>
    <w:link w:val="Textonotapie"/>
    <w:uiPriority w:val="99"/>
    <w:rsid w:val="00266787"/>
    <w:rPr>
      <w:sz w:val="20"/>
      <w:szCs w:val="20"/>
    </w:rPr>
  </w:style>
  <w:style w:type="character" w:styleId="Refdenotaalpie">
    <w:name w:val="footnote reference"/>
    <w:basedOn w:val="Fuentedeprrafopredeter"/>
    <w:uiPriority w:val="99"/>
    <w:semiHidden/>
    <w:unhideWhenUsed/>
    <w:rsid w:val="00266787"/>
    <w:rPr>
      <w:vertAlign w:val="superscript"/>
    </w:rPr>
  </w:style>
  <w:style w:type="paragraph" w:customStyle="1" w:styleId="SingleTxt">
    <w:name w:val="__Single Txt"/>
    <w:basedOn w:val="Normal"/>
    <w:rsid w:val="00BF24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7613">
      <w:bodyDiv w:val="1"/>
      <w:marLeft w:val="0"/>
      <w:marRight w:val="0"/>
      <w:marTop w:val="0"/>
      <w:marBottom w:val="0"/>
      <w:divBdr>
        <w:top w:val="none" w:sz="0" w:space="0" w:color="auto"/>
        <w:left w:val="none" w:sz="0" w:space="0" w:color="auto"/>
        <w:bottom w:val="none" w:sz="0" w:space="0" w:color="auto"/>
        <w:right w:val="none" w:sz="0" w:space="0" w:color="auto"/>
      </w:divBdr>
    </w:div>
    <w:div w:id="21982502">
      <w:bodyDiv w:val="1"/>
      <w:marLeft w:val="0"/>
      <w:marRight w:val="0"/>
      <w:marTop w:val="0"/>
      <w:marBottom w:val="0"/>
      <w:divBdr>
        <w:top w:val="none" w:sz="0" w:space="0" w:color="auto"/>
        <w:left w:val="none" w:sz="0" w:space="0" w:color="auto"/>
        <w:bottom w:val="none" w:sz="0" w:space="0" w:color="auto"/>
        <w:right w:val="none" w:sz="0" w:space="0" w:color="auto"/>
      </w:divBdr>
    </w:div>
    <w:div w:id="67847330">
      <w:bodyDiv w:val="1"/>
      <w:marLeft w:val="0"/>
      <w:marRight w:val="0"/>
      <w:marTop w:val="0"/>
      <w:marBottom w:val="0"/>
      <w:divBdr>
        <w:top w:val="none" w:sz="0" w:space="0" w:color="auto"/>
        <w:left w:val="none" w:sz="0" w:space="0" w:color="auto"/>
        <w:bottom w:val="none" w:sz="0" w:space="0" w:color="auto"/>
        <w:right w:val="none" w:sz="0" w:space="0" w:color="auto"/>
      </w:divBdr>
    </w:div>
    <w:div w:id="91781604">
      <w:bodyDiv w:val="1"/>
      <w:marLeft w:val="0"/>
      <w:marRight w:val="0"/>
      <w:marTop w:val="0"/>
      <w:marBottom w:val="0"/>
      <w:divBdr>
        <w:top w:val="none" w:sz="0" w:space="0" w:color="auto"/>
        <w:left w:val="none" w:sz="0" w:space="0" w:color="auto"/>
        <w:bottom w:val="none" w:sz="0" w:space="0" w:color="auto"/>
        <w:right w:val="none" w:sz="0" w:space="0" w:color="auto"/>
      </w:divBdr>
    </w:div>
    <w:div w:id="97024775">
      <w:bodyDiv w:val="1"/>
      <w:marLeft w:val="0"/>
      <w:marRight w:val="0"/>
      <w:marTop w:val="0"/>
      <w:marBottom w:val="0"/>
      <w:divBdr>
        <w:top w:val="none" w:sz="0" w:space="0" w:color="auto"/>
        <w:left w:val="none" w:sz="0" w:space="0" w:color="auto"/>
        <w:bottom w:val="none" w:sz="0" w:space="0" w:color="auto"/>
        <w:right w:val="none" w:sz="0" w:space="0" w:color="auto"/>
      </w:divBdr>
    </w:div>
    <w:div w:id="106001078">
      <w:bodyDiv w:val="1"/>
      <w:marLeft w:val="0"/>
      <w:marRight w:val="0"/>
      <w:marTop w:val="0"/>
      <w:marBottom w:val="0"/>
      <w:divBdr>
        <w:top w:val="none" w:sz="0" w:space="0" w:color="auto"/>
        <w:left w:val="none" w:sz="0" w:space="0" w:color="auto"/>
        <w:bottom w:val="none" w:sz="0" w:space="0" w:color="auto"/>
        <w:right w:val="none" w:sz="0" w:space="0" w:color="auto"/>
      </w:divBdr>
    </w:div>
    <w:div w:id="112871286">
      <w:bodyDiv w:val="1"/>
      <w:marLeft w:val="0"/>
      <w:marRight w:val="0"/>
      <w:marTop w:val="0"/>
      <w:marBottom w:val="0"/>
      <w:divBdr>
        <w:top w:val="none" w:sz="0" w:space="0" w:color="auto"/>
        <w:left w:val="none" w:sz="0" w:space="0" w:color="auto"/>
        <w:bottom w:val="none" w:sz="0" w:space="0" w:color="auto"/>
        <w:right w:val="none" w:sz="0" w:space="0" w:color="auto"/>
      </w:divBdr>
    </w:div>
    <w:div w:id="128597884">
      <w:bodyDiv w:val="1"/>
      <w:marLeft w:val="0"/>
      <w:marRight w:val="0"/>
      <w:marTop w:val="0"/>
      <w:marBottom w:val="0"/>
      <w:divBdr>
        <w:top w:val="none" w:sz="0" w:space="0" w:color="auto"/>
        <w:left w:val="none" w:sz="0" w:space="0" w:color="auto"/>
        <w:bottom w:val="none" w:sz="0" w:space="0" w:color="auto"/>
        <w:right w:val="none" w:sz="0" w:space="0" w:color="auto"/>
      </w:divBdr>
    </w:div>
    <w:div w:id="154229969">
      <w:bodyDiv w:val="1"/>
      <w:marLeft w:val="0"/>
      <w:marRight w:val="0"/>
      <w:marTop w:val="0"/>
      <w:marBottom w:val="0"/>
      <w:divBdr>
        <w:top w:val="none" w:sz="0" w:space="0" w:color="auto"/>
        <w:left w:val="none" w:sz="0" w:space="0" w:color="auto"/>
        <w:bottom w:val="none" w:sz="0" w:space="0" w:color="auto"/>
        <w:right w:val="none" w:sz="0" w:space="0" w:color="auto"/>
      </w:divBdr>
    </w:div>
    <w:div w:id="156117742">
      <w:bodyDiv w:val="1"/>
      <w:marLeft w:val="0"/>
      <w:marRight w:val="0"/>
      <w:marTop w:val="0"/>
      <w:marBottom w:val="0"/>
      <w:divBdr>
        <w:top w:val="none" w:sz="0" w:space="0" w:color="auto"/>
        <w:left w:val="none" w:sz="0" w:space="0" w:color="auto"/>
        <w:bottom w:val="none" w:sz="0" w:space="0" w:color="auto"/>
        <w:right w:val="none" w:sz="0" w:space="0" w:color="auto"/>
      </w:divBdr>
    </w:div>
    <w:div w:id="168103603">
      <w:bodyDiv w:val="1"/>
      <w:marLeft w:val="0"/>
      <w:marRight w:val="0"/>
      <w:marTop w:val="0"/>
      <w:marBottom w:val="0"/>
      <w:divBdr>
        <w:top w:val="none" w:sz="0" w:space="0" w:color="auto"/>
        <w:left w:val="none" w:sz="0" w:space="0" w:color="auto"/>
        <w:bottom w:val="none" w:sz="0" w:space="0" w:color="auto"/>
        <w:right w:val="none" w:sz="0" w:space="0" w:color="auto"/>
      </w:divBdr>
    </w:div>
    <w:div w:id="169148594">
      <w:bodyDiv w:val="1"/>
      <w:marLeft w:val="0"/>
      <w:marRight w:val="0"/>
      <w:marTop w:val="0"/>
      <w:marBottom w:val="0"/>
      <w:divBdr>
        <w:top w:val="none" w:sz="0" w:space="0" w:color="auto"/>
        <w:left w:val="none" w:sz="0" w:space="0" w:color="auto"/>
        <w:bottom w:val="none" w:sz="0" w:space="0" w:color="auto"/>
        <w:right w:val="none" w:sz="0" w:space="0" w:color="auto"/>
      </w:divBdr>
    </w:div>
    <w:div w:id="180123097">
      <w:bodyDiv w:val="1"/>
      <w:marLeft w:val="0"/>
      <w:marRight w:val="0"/>
      <w:marTop w:val="0"/>
      <w:marBottom w:val="0"/>
      <w:divBdr>
        <w:top w:val="none" w:sz="0" w:space="0" w:color="auto"/>
        <w:left w:val="none" w:sz="0" w:space="0" w:color="auto"/>
        <w:bottom w:val="none" w:sz="0" w:space="0" w:color="auto"/>
        <w:right w:val="none" w:sz="0" w:space="0" w:color="auto"/>
      </w:divBdr>
    </w:div>
    <w:div w:id="200899102">
      <w:bodyDiv w:val="1"/>
      <w:marLeft w:val="0"/>
      <w:marRight w:val="0"/>
      <w:marTop w:val="0"/>
      <w:marBottom w:val="0"/>
      <w:divBdr>
        <w:top w:val="none" w:sz="0" w:space="0" w:color="auto"/>
        <w:left w:val="none" w:sz="0" w:space="0" w:color="auto"/>
        <w:bottom w:val="none" w:sz="0" w:space="0" w:color="auto"/>
        <w:right w:val="none" w:sz="0" w:space="0" w:color="auto"/>
      </w:divBdr>
    </w:div>
    <w:div w:id="246429297">
      <w:bodyDiv w:val="1"/>
      <w:marLeft w:val="0"/>
      <w:marRight w:val="0"/>
      <w:marTop w:val="0"/>
      <w:marBottom w:val="0"/>
      <w:divBdr>
        <w:top w:val="none" w:sz="0" w:space="0" w:color="auto"/>
        <w:left w:val="none" w:sz="0" w:space="0" w:color="auto"/>
        <w:bottom w:val="none" w:sz="0" w:space="0" w:color="auto"/>
        <w:right w:val="none" w:sz="0" w:space="0" w:color="auto"/>
      </w:divBdr>
    </w:div>
    <w:div w:id="254898091">
      <w:bodyDiv w:val="1"/>
      <w:marLeft w:val="0"/>
      <w:marRight w:val="0"/>
      <w:marTop w:val="0"/>
      <w:marBottom w:val="0"/>
      <w:divBdr>
        <w:top w:val="none" w:sz="0" w:space="0" w:color="auto"/>
        <w:left w:val="none" w:sz="0" w:space="0" w:color="auto"/>
        <w:bottom w:val="none" w:sz="0" w:space="0" w:color="auto"/>
        <w:right w:val="none" w:sz="0" w:space="0" w:color="auto"/>
      </w:divBdr>
    </w:div>
    <w:div w:id="261836523">
      <w:bodyDiv w:val="1"/>
      <w:marLeft w:val="0"/>
      <w:marRight w:val="0"/>
      <w:marTop w:val="0"/>
      <w:marBottom w:val="0"/>
      <w:divBdr>
        <w:top w:val="none" w:sz="0" w:space="0" w:color="auto"/>
        <w:left w:val="none" w:sz="0" w:space="0" w:color="auto"/>
        <w:bottom w:val="none" w:sz="0" w:space="0" w:color="auto"/>
        <w:right w:val="none" w:sz="0" w:space="0" w:color="auto"/>
      </w:divBdr>
    </w:div>
    <w:div w:id="268776828">
      <w:bodyDiv w:val="1"/>
      <w:marLeft w:val="0"/>
      <w:marRight w:val="0"/>
      <w:marTop w:val="0"/>
      <w:marBottom w:val="0"/>
      <w:divBdr>
        <w:top w:val="none" w:sz="0" w:space="0" w:color="auto"/>
        <w:left w:val="none" w:sz="0" w:space="0" w:color="auto"/>
        <w:bottom w:val="none" w:sz="0" w:space="0" w:color="auto"/>
        <w:right w:val="none" w:sz="0" w:space="0" w:color="auto"/>
      </w:divBdr>
    </w:div>
    <w:div w:id="272981749">
      <w:bodyDiv w:val="1"/>
      <w:marLeft w:val="0"/>
      <w:marRight w:val="0"/>
      <w:marTop w:val="0"/>
      <w:marBottom w:val="0"/>
      <w:divBdr>
        <w:top w:val="none" w:sz="0" w:space="0" w:color="auto"/>
        <w:left w:val="none" w:sz="0" w:space="0" w:color="auto"/>
        <w:bottom w:val="none" w:sz="0" w:space="0" w:color="auto"/>
        <w:right w:val="none" w:sz="0" w:space="0" w:color="auto"/>
      </w:divBdr>
    </w:div>
    <w:div w:id="274796823">
      <w:bodyDiv w:val="1"/>
      <w:marLeft w:val="0"/>
      <w:marRight w:val="0"/>
      <w:marTop w:val="0"/>
      <w:marBottom w:val="0"/>
      <w:divBdr>
        <w:top w:val="none" w:sz="0" w:space="0" w:color="auto"/>
        <w:left w:val="none" w:sz="0" w:space="0" w:color="auto"/>
        <w:bottom w:val="none" w:sz="0" w:space="0" w:color="auto"/>
        <w:right w:val="none" w:sz="0" w:space="0" w:color="auto"/>
      </w:divBdr>
    </w:div>
    <w:div w:id="292373674">
      <w:bodyDiv w:val="1"/>
      <w:marLeft w:val="0"/>
      <w:marRight w:val="0"/>
      <w:marTop w:val="0"/>
      <w:marBottom w:val="0"/>
      <w:divBdr>
        <w:top w:val="none" w:sz="0" w:space="0" w:color="auto"/>
        <w:left w:val="none" w:sz="0" w:space="0" w:color="auto"/>
        <w:bottom w:val="none" w:sz="0" w:space="0" w:color="auto"/>
        <w:right w:val="none" w:sz="0" w:space="0" w:color="auto"/>
      </w:divBdr>
    </w:div>
    <w:div w:id="301623855">
      <w:bodyDiv w:val="1"/>
      <w:marLeft w:val="0"/>
      <w:marRight w:val="0"/>
      <w:marTop w:val="0"/>
      <w:marBottom w:val="0"/>
      <w:divBdr>
        <w:top w:val="none" w:sz="0" w:space="0" w:color="auto"/>
        <w:left w:val="none" w:sz="0" w:space="0" w:color="auto"/>
        <w:bottom w:val="none" w:sz="0" w:space="0" w:color="auto"/>
        <w:right w:val="none" w:sz="0" w:space="0" w:color="auto"/>
      </w:divBdr>
    </w:div>
    <w:div w:id="325859764">
      <w:bodyDiv w:val="1"/>
      <w:marLeft w:val="0"/>
      <w:marRight w:val="0"/>
      <w:marTop w:val="0"/>
      <w:marBottom w:val="0"/>
      <w:divBdr>
        <w:top w:val="none" w:sz="0" w:space="0" w:color="auto"/>
        <w:left w:val="none" w:sz="0" w:space="0" w:color="auto"/>
        <w:bottom w:val="none" w:sz="0" w:space="0" w:color="auto"/>
        <w:right w:val="none" w:sz="0" w:space="0" w:color="auto"/>
      </w:divBdr>
    </w:div>
    <w:div w:id="337465035">
      <w:bodyDiv w:val="1"/>
      <w:marLeft w:val="0"/>
      <w:marRight w:val="0"/>
      <w:marTop w:val="0"/>
      <w:marBottom w:val="0"/>
      <w:divBdr>
        <w:top w:val="none" w:sz="0" w:space="0" w:color="auto"/>
        <w:left w:val="none" w:sz="0" w:space="0" w:color="auto"/>
        <w:bottom w:val="none" w:sz="0" w:space="0" w:color="auto"/>
        <w:right w:val="none" w:sz="0" w:space="0" w:color="auto"/>
      </w:divBdr>
    </w:div>
    <w:div w:id="338317030">
      <w:bodyDiv w:val="1"/>
      <w:marLeft w:val="0"/>
      <w:marRight w:val="0"/>
      <w:marTop w:val="0"/>
      <w:marBottom w:val="0"/>
      <w:divBdr>
        <w:top w:val="none" w:sz="0" w:space="0" w:color="auto"/>
        <w:left w:val="none" w:sz="0" w:space="0" w:color="auto"/>
        <w:bottom w:val="none" w:sz="0" w:space="0" w:color="auto"/>
        <w:right w:val="none" w:sz="0" w:space="0" w:color="auto"/>
      </w:divBdr>
    </w:div>
    <w:div w:id="351759901">
      <w:bodyDiv w:val="1"/>
      <w:marLeft w:val="0"/>
      <w:marRight w:val="0"/>
      <w:marTop w:val="0"/>
      <w:marBottom w:val="0"/>
      <w:divBdr>
        <w:top w:val="none" w:sz="0" w:space="0" w:color="auto"/>
        <w:left w:val="none" w:sz="0" w:space="0" w:color="auto"/>
        <w:bottom w:val="none" w:sz="0" w:space="0" w:color="auto"/>
        <w:right w:val="none" w:sz="0" w:space="0" w:color="auto"/>
      </w:divBdr>
    </w:div>
    <w:div w:id="351957209">
      <w:bodyDiv w:val="1"/>
      <w:marLeft w:val="0"/>
      <w:marRight w:val="0"/>
      <w:marTop w:val="0"/>
      <w:marBottom w:val="0"/>
      <w:divBdr>
        <w:top w:val="none" w:sz="0" w:space="0" w:color="auto"/>
        <w:left w:val="none" w:sz="0" w:space="0" w:color="auto"/>
        <w:bottom w:val="none" w:sz="0" w:space="0" w:color="auto"/>
        <w:right w:val="none" w:sz="0" w:space="0" w:color="auto"/>
      </w:divBdr>
    </w:div>
    <w:div w:id="352461294">
      <w:bodyDiv w:val="1"/>
      <w:marLeft w:val="0"/>
      <w:marRight w:val="0"/>
      <w:marTop w:val="0"/>
      <w:marBottom w:val="0"/>
      <w:divBdr>
        <w:top w:val="none" w:sz="0" w:space="0" w:color="auto"/>
        <w:left w:val="none" w:sz="0" w:space="0" w:color="auto"/>
        <w:bottom w:val="none" w:sz="0" w:space="0" w:color="auto"/>
        <w:right w:val="none" w:sz="0" w:space="0" w:color="auto"/>
      </w:divBdr>
    </w:div>
    <w:div w:id="362944726">
      <w:bodyDiv w:val="1"/>
      <w:marLeft w:val="0"/>
      <w:marRight w:val="0"/>
      <w:marTop w:val="0"/>
      <w:marBottom w:val="0"/>
      <w:divBdr>
        <w:top w:val="none" w:sz="0" w:space="0" w:color="auto"/>
        <w:left w:val="none" w:sz="0" w:space="0" w:color="auto"/>
        <w:bottom w:val="none" w:sz="0" w:space="0" w:color="auto"/>
        <w:right w:val="none" w:sz="0" w:space="0" w:color="auto"/>
      </w:divBdr>
    </w:div>
    <w:div w:id="366680861">
      <w:bodyDiv w:val="1"/>
      <w:marLeft w:val="0"/>
      <w:marRight w:val="0"/>
      <w:marTop w:val="0"/>
      <w:marBottom w:val="0"/>
      <w:divBdr>
        <w:top w:val="none" w:sz="0" w:space="0" w:color="auto"/>
        <w:left w:val="none" w:sz="0" w:space="0" w:color="auto"/>
        <w:bottom w:val="none" w:sz="0" w:space="0" w:color="auto"/>
        <w:right w:val="none" w:sz="0" w:space="0" w:color="auto"/>
      </w:divBdr>
    </w:div>
    <w:div w:id="381947600">
      <w:bodyDiv w:val="1"/>
      <w:marLeft w:val="0"/>
      <w:marRight w:val="0"/>
      <w:marTop w:val="0"/>
      <w:marBottom w:val="0"/>
      <w:divBdr>
        <w:top w:val="none" w:sz="0" w:space="0" w:color="auto"/>
        <w:left w:val="none" w:sz="0" w:space="0" w:color="auto"/>
        <w:bottom w:val="none" w:sz="0" w:space="0" w:color="auto"/>
        <w:right w:val="none" w:sz="0" w:space="0" w:color="auto"/>
      </w:divBdr>
    </w:div>
    <w:div w:id="413209294">
      <w:bodyDiv w:val="1"/>
      <w:marLeft w:val="0"/>
      <w:marRight w:val="0"/>
      <w:marTop w:val="0"/>
      <w:marBottom w:val="0"/>
      <w:divBdr>
        <w:top w:val="none" w:sz="0" w:space="0" w:color="auto"/>
        <w:left w:val="none" w:sz="0" w:space="0" w:color="auto"/>
        <w:bottom w:val="none" w:sz="0" w:space="0" w:color="auto"/>
        <w:right w:val="none" w:sz="0" w:space="0" w:color="auto"/>
      </w:divBdr>
    </w:div>
    <w:div w:id="461002251">
      <w:bodyDiv w:val="1"/>
      <w:marLeft w:val="0"/>
      <w:marRight w:val="0"/>
      <w:marTop w:val="0"/>
      <w:marBottom w:val="0"/>
      <w:divBdr>
        <w:top w:val="none" w:sz="0" w:space="0" w:color="auto"/>
        <w:left w:val="none" w:sz="0" w:space="0" w:color="auto"/>
        <w:bottom w:val="none" w:sz="0" w:space="0" w:color="auto"/>
        <w:right w:val="none" w:sz="0" w:space="0" w:color="auto"/>
      </w:divBdr>
    </w:div>
    <w:div w:id="472019523">
      <w:bodyDiv w:val="1"/>
      <w:marLeft w:val="0"/>
      <w:marRight w:val="0"/>
      <w:marTop w:val="0"/>
      <w:marBottom w:val="0"/>
      <w:divBdr>
        <w:top w:val="none" w:sz="0" w:space="0" w:color="auto"/>
        <w:left w:val="none" w:sz="0" w:space="0" w:color="auto"/>
        <w:bottom w:val="none" w:sz="0" w:space="0" w:color="auto"/>
        <w:right w:val="none" w:sz="0" w:space="0" w:color="auto"/>
      </w:divBdr>
    </w:div>
    <w:div w:id="478494948">
      <w:bodyDiv w:val="1"/>
      <w:marLeft w:val="0"/>
      <w:marRight w:val="0"/>
      <w:marTop w:val="0"/>
      <w:marBottom w:val="0"/>
      <w:divBdr>
        <w:top w:val="none" w:sz="0" w:space="0" w:color="auto"/>
        <w:left w:val="none" w:sz="0" w:space="0" w:color="auto"/>
        <w:bottom w:val="none" w:sz="0" w:space="0" w:color="auto"/>
        <w:right w:val="none" w:sz="0" w:space="0" w:color="auto"/>
      </w:divBdr>
    </w:div>
    <w:div w:id="489637762">
      <w:bodyDiv w:val="1"/>
      <w:marLeft w:val="0"/>
      <w:marRight w:val="0"/>
      <w:marTop w:val="0"/>
      <w:marBottom w:val="0"/>
      <w:divBdr>
        <w:top w:val="none" w:sz="0" w:space="0" w:color="auto"/>
        <w:left w:val="none" w:sz="0" w:space="0" w:color="auto"/>
        <w:bottom w:val="none" w:sz="0" w:space="0" w:color="auto"/>
        <w:right w:val="none" w:sz="0" w:space="0" w:color="auto"/>
      </w:divBdr>
    </w:div>
    <w:div w:id="494228048">
      <w:bodyDiv w:val="1"/>
      <w:marLeft w:val="0"/>
      <w:marRight w:val="0"/>
      <w:marTop w:val="0"/>
      <w:marBottom w:val="0"/>
      <w:divBdr>
        <w:top w:val="none" w:sz="0" w:space="0" w:color="auto"/>
        <w:left w:val="none" w:sz="0" w:space="0" w:color="auto"/>
        <w:bottom w:val="none" w:sz="0" w:space="0" w:color="auto"/>
        <w:right w:val="none" w:sz="0" w:space="0" w:color="auto"/>
      </w:divBdr>
    </w:div>
    <w:div w:id="524363864">
      <w:bodyDiv w:val="1"/>
      <w:marLeft w:val="0"/>
      <w:marRight w:val="0"/>
      <w:marTop w:val="0"/>
      <w:marBottom w:val="0"/>
      <w:divBdr>
        <w:top w:val="none" w:sz="0" w:space="0" w:color="auto"/>
        <w:left w:val="none" w:sz="0" w:space="0" w:color="auto"/>
        <w:bottom w:val="none" w:sz="0" w:space="0" w:color="auto"/>
        <w:right w:val="none" w:sz="0" w:space="0" w:color="auto"/>
      </w:divBdr>
    </w:div>
    <w:div w:id="550269519">
      <w:bodyDiv w:val="1"/>
      <w:marLeft w:val="0"/>
      <w:marRight w:val="0"/>
      <w:marTop w:val="0"/>
      <w:marBottom w:val="0"/>
      <w:divBdr>
        <w:top w:val="none" w:sz="0" w:space="0" w:color="auto"/>
        <w:left w:val="none" w:sz="0" w:space="0" w:color="auto"/>
        <w:bottom w:val="none" w:sz="0" w:space="0" w:color="auto"/>
        <w:right w:val="none" w:sz="0" w:space="0" w:color="auto"/>
      </w:divBdr>
    </w:div>
    <w:div w:id="572397590">
      <w:bodyDiv w:val="1"/>
      <w:marLeft w:val="0"/>
      <w:marRight w:val="0"/>
      <w:marTop w:val="0"/>
      <w:marBottom w:val="0"/>
      <w:divBdr>
        <w:top w:val="none" w:sz="0" w:space="0" w:color="auto"/>
        <w:left w:val="none" w:sz="0" w:space="0" w:color="auto"/>
        <w:bottom w:val="none" w:sz="0" w:space="0" w:color="auto"/>
        <w:right w:val="none" w:sz="0" w:space="0" w:color="auto"/>
      </w:divBdr>
    </w:div>
    <w:div w:id="600843004">
      <w:bodyDiv w:val="1"/>
      <w:marLeft w:val="0"/>
      <w:marRight w:val="0"/>
      <w:marTop w:val="0"/>
      <w:marBottom w:val="0"/>
      <w:divBdr>
        <w:top w:val="none" w:sz="0" w:space="0" w:color="auto"/>
        <w:left w:val="none" w:sz="0" w:space="0" w:color="auto"/>
        <w:bottom w:val="none" w:sz="0" w:space="0" w:color="auto"/>
        <w:right w:val="none" w:sz="0" w:space="0" w:color="auto"/>
      </w:divBdr>
    </w:div>
    <w:div w:id="600920881">
      <w:bodyDiv w:val="1"/>
      <w:marLeft w:val="0"/>
      <w:marRight w:val="0"/>
      <w:marTop w:val="0"/>
      <w:marBottom w:val="0"/>
      <w:divBdr>
        <w:top w:val="none" w:sz="0" w:space="0" w:color="auto"/>
        <w:left w:val="none" w:sz="0" w:space="0" w:color="auto"/>
        <w:bottom w:val="none" w:sz="0" w:space="0" w:color="auto"/>
        <w:right w:val="none" w:sz="0" w:space="0" w:color="auto"/>
      </w:divBdr>
    </w:div>
    <w:div w:id="601499316">
      <w:bodyDiv w:val="1"/>
      <w:marLeft w:val="0"/>
      <w:marRight w:val="0"/>
      <w:marTop w:val="0"/>
      <w:marBottom w:val="0"/>
      <w:divBdr>
        <w:top w:val="none" w:sz="0" w:space="0" w:color="auto"/>
        <w:left w:val="none" w:sz="0" w:space="0" w:color="auto"/>
        <w:bottom w:val="none" w:sz="0" w:space="0" w:color="auto"/>
        <w:right w:val="none" w:sz="0" w:space="0" w:color="auto"/>
      </w:divBdr>
    </w:div>
    <w:div w:id="601693940">
      <w:bodyDiv w:val="1"/>
      <w:marLeft w:val="0"/>
      <w:marRight w:val="0"/>
      <w:marTop w:val="0"/>
      <w:marBottom w:val="0"/>
      <w:divBdr>
        <w:top w:val="none" w:sz="0" w:space="0" w:color="auto"/>
        <w:left w:val="none" w:sz="0" w:space="0" w:color="auto"/>
        <w:bottom w:val="none" w:sz="0" w:space="0" w:color="auto"/>
        <w:right w:val="none" w:sz="0" w:space="0" w:color="auto"/>
      </w:divBdr>
    </w:div>
    <w:div w:id="605500303">
      <w:bodyDiv w:val="1"/>
      <w:marLeft w:val="0"/>
      <w:marRight w:val="0"/>
      <w:marTop w:val="0"/>
      <w:marBottom w:val="0"/>
      <w:divBdr>
        <w:top w:val="none" w:sz="0" w:space="0" w:color="auto"/>
        <w:left w:val="none" w:sz="0" w:space="0" w:color="auto"/>
        <w:bottom w:val="none" w:sz="0" w:space="0" w:color="auto"/>
        <w:right w:val="none" w:sz="0" w:space="0" w:color="auto"/>
      </w:divBdr>
    </w:div>
    <w:div w:id="605775018">
      <w:bodyDiv w:val="1"/>
      <w:marLeft w:val="0"/>
      <w:marRight w:val="0"/>
      <w:marTop w:val="0"/>
      <w:marBottom w:val="0"/>
      <w:divBdr>
        <w:top w:val="none" w:sz="0" w:space="0" w:color="auto"/>
        <w:left w:val="none" w:sz="0" w:space="0" w:color="auto"/>
        <w:bottom w:val="none" w:sz="0" w:space="0" w:color="auto"/>
        <w:right w:val="none" w:sz="0" w:space="0" w:color="auto"/>
      </w:divBdr>
    </w:div>
    <w:div w:id="609969074">
      <w:bodyDiv w:val="1"/>
      <w:marLeft w:val="0"/>
      <w:marRight w:val="0"/>
      <w:marTop w:val="0"/>
      <w:marBottom w:val="0"/>
      <w:divBdr>
        <w:top w:val="none" w:sz="0" w:space="0" w:color="auto"/>
        <w:left w:val="none" w:sz="0" w:space="0" w:color="auto"/>
        <w:bottom w:val="none" w:sz="0" w:space="0" w:color="auto"/>
        <w:right w:val="none" w:sz="0" w:space="0" w:color="auto"/>
      </w:divBdr>
    </w:div>
    <w:div w:id="625164799">
      <w:bodyDiv w:val="1"/>
      <w:marLeft w:val="0"/>
      <w:marRight w:val="0"/>
      <w:marTop w:val="0"/>
      <w:marBottom w:val="0"/>
      <w:divBdr>
        <w:top w:val="none" w:sz="0" w:space="0" w:color="auto"/>
        <w:left w:val="none" w:sz="0" w:space="0" w:color="auto"/>
        <w:bottom w:val="none" w:sz="0" w:space="0" w:color="auto"/>
        <w:right w:val="none" w:sz="0" w:space="0" w:color="auto"/>
      </w:divBdr>
    </w:div>
    <w:div w:id="639313149">
      <w:bodyDiv w:val="1"/>
      <w:marLeft w:val="0"/>
      <w:marRight w:val="0"/>
      <w:marTop w:val="0"/>
      <w:marBottom w:val="0"/>
      <w:divBdr>
        <w:top w:val="none" w:sz="0" w:space="0" w:color="auto"/>
        <w:left w:val="none" w:sz="0" w:space="0" w:color="auto"/>
        <w:bottom w:val="none" w:sz="0" w:space="0" w:color="auto"/>
        <w:right w:val="none" w:sz="0" w:space="0" w:color="auto"/>
      </w:divBdr>
    </w:div>
    <w:div w:id="657853606">
      <w:bodyDiv w:val="1"/>
      <w:marLeft w:val="0"/>
      <w:marRight w:val="0"/>
      <w:marTop w:val="0"/>
      <w:marBottom w:val="0"/>
      <w:divBdr>
        <w:top w:val="none" w:sz="0" w:space="0" w:color="auto"/>
        <w:left w:val="none" w:sz="0" w:space="0" w:color="auto"/>
        <w:bottom w:val="none" w:sz="0" w:space="0" w:color="auto"/>
        <w:right w:val="none" w:sz="0" w:space="0" w:color="auto"/>
      </w:divBdr>
    </w:div>
    <w:div w:id="670109364">
      <w:bodyDiv w:val="1"/>
      <w:marLeft w:val="0"/>
      <w:marRight w:val="0"/>
      <w:marTop w:val="0"/>
      <w:marBottom w:val="0"/>
      <w:divBdr>
        <w:top w:val="none" w:sz="0" w:space="0" w:color="auto"/>
        <w:left w:val="none" w:sz="0" w:space="0" w:color="auto"/>
        <w:bottom w:val="none" w:sz="0" w:space="0" w:color="auto"/>
        <w:right w:val="none" w:sz="0" w:space="0" w:color="auto"/>
      </w:divBdr>
    </w:div>
    <w:div w:id="672999126">
      <w:bodyDiv w:val="1"/>
      <w:marLeft w:val="0"/>
      <w:marRight w:val="0"/>
      <w:marTop w:val="0"/>
      <w:marBottom w:val="0"/>
      <w:divBdr>
        <w:top w:val="none" w:sz="0" w:space="0" w:color="auto"/>
        <w:left w:val="none" w:sz="0" w:space="0" w:color="auto"/>
        <w:bottom w:val="none" w:sz="0" w:space="0" w:color="auto"/>
        <w:right w:val="none" w:sz="0" w:space="0" w:color="auto"/>
      </w:divBdr>
    </w:div>
    <w:div w:id="695734571">
      <w:bodyDiv w:val="1"/>
      <w:marLeft w:val="0"/>
      <w:marRight w:val="0"/>
      <w:marTop w:val="0"/>
      <w:marBottom w:val="0"/>
      <w:divBdr>
        <w:top w:val="none" w:sz="0" w:space="0" w:color="auto"/>
        <w:left w:val="none" w:sz="0" w:space="0" w:color="auto"/>
        <w:bottom w:val="none" w:sz="0" w:space="0" w:color="auto"/>
        <w:right w:val="none" w:sz="0" w:space="0" w:color="auto"/>
      </w:divBdr>
    </w:div>
    <w:div w:id="700253002">
      <w:bodyDiv w:val="1"/>
      <w:marLeft w:val="0"/>
      <w:marRight w:val="0"/>
      <w:marTop w:val="0"/>
      <w:marBottom w:val="0"/>
      <w:divBdr>
        <w:top w:val="none" w:sz="0" w:space="0" w:color="auto"/>
        <w:left w:val="none" w:sz="0" w:space="0" w:color="auto"/>
        <w:bottom w:val="none" w:sz="0" w:space="0" w:color="auto"/>
        <w:right w:val="none" w:sz="0" w:space="0" w:color="auto"/>
      </w:divBdr>
    </w:div>
    <w:div w:id="708529822">
      <w:bodyDiv w:val="1"/>
      <w:marLeft w:val="0"/>
      <w:marRight w:val="0"/>
      <w:marTop w:val="0"/>
      <w:marBottom w:val="0"/>
      <w:divBdr>
        <w:top w:val="none" w:sz="0" w:space="0" w:color="auto"/>
        <w:left w:val="none" w:sz="0" w:space="0" w:color="auto"/>
        <w:bottom w:val="none" w:sz="0" w:space="0" w:color="auto"/>
        <w:right w:val="none" w:sz="0" w:space="0" w:color="auto"/>
      </w:divBdr>
    </w:div>
    <w:div w:id="716128843">
      <w:bodyDiv w:val="1"/>
      <w:marLeft w:val="0"/>
      <w:marRight w:val="0"/>
      <w:marTop w:val="0"/>
      <w:marBottom w:val="0"/>
      <w:divBdr>
        <w:top w:val="none" w:sz="0" w:space="0" w:color="auto"/>
        <w:left w:val="none" w:sz="0" w:space="0" w:color="auto"/>
        <w:bottom w:val="none" w:sz="0" w:space="0" w:color="auto"/>
        <w:right w:val="none" w:sz="0" w:space="0" w:color="auto"/>
      </w:divBdr>
    </w:div>
    <w:div w:id="778570400">
      <w:bodyDiv w:val="1"/>
      <w:marLeft w:val="0"/>
      <w:marRight w:val="0"/>
      <w:marTop w:val="0"/>
      <w:marBottom w:val="0"/>
      <w:divBdr>
        <w:top w:val="none" w:sz="0" w:space="0" w:color="auto"/>
        <w:left w:val="none" w:sz="0" w:space="0" w:color="auto"/>
        <w:bottom w:val="none" w:sz="0" w:space="0" w:color="auto"/>
        <w:right w:val="none" w:sz="0" w:space="0" w:color="auto"/>
      </w:divBdr>
    </w:div>
    <w:div w:id="778792791">
      <w:bodyDiv w:val="1"/>
      <w:marLeft w:val="0"/>
      <w:marRight w:val="0"/>
      <w:marTop w:val="0"/>
      <w:marBottom w:val="0"/>
      <w:divBdr>
        <w:top w:val="none" w:sz="0" w:space="0" w:color="auto"/>
        <w:left w:val="none" w:sz="0" w:space="0" w:color="auto"/>
        <w:bottom w:val="none" w:sz="0" w:space="0" w:color="auto"/>
        <w:right w:val="none" w:sz="0" w:space="0" w:color="auto"/>
      </w:divBdr>
    </w:div>
    <w:div w:id="780413059">
      <w:bodyDiv w:val="1"/>
      <w:marLeft w:val="0"/>
      <w:marRight w:val="0"/>
      <w:marTop w:val="0"/>
      <w:marBottom w:val="0"/>
      <w:divBdr>
        <w:top w:val="none" w:sz="0" w:space="0" w:color="auto"/>
        <w:left w:val="none" w:sz="0" w:space="0" w:color="auto"/>
        <w:bottom w:val="none" w:sz="0" w:space="0" w:color="auto"/>
        <w:right w:val="none" w:sz="0" w:space="0" w:color="auto"/>
      </w:divBdr>
    </w:div>
    <w:div w:id="789276539">
      <w:bodyDiv w:val="1"/>
      <w:marLeft w:val="0"/>
      <w:marRight w:val="0"/>
      <w:marTop w:val="0"/>
      <w:marBottom w:val="0"/>
      <w:divBdr>
        <w:top w:val="none" w:sz="0" w:space="0" w:color="auto"/>
        <w:left w:val="none" w:sz="0" w:space="0" w:color="auto"/>
        <w:bottom w:val="none" w:sz="0" w:space="0" w:color="auto"/>
        <w:right w:val="none" w:sz="0" w:space="0" w:color="auto"/>
      </w:divBdr>
    </w:div>
    <w:div w:id="808598814">
      <w:bodyDiv w:val="1"/>
      <w:marLeft w:val="0"/>
      <w:marRight w:val="0"/>
      <w:marTop w:val="0"/>
      <w:marBottom w:val="0"/>
      <w:divBdr>
        <w:top w:val="none" w:sz="0" w:space="0" w:color="auto"/>
        <w:left w:val="none" w:sz="0" w:space="0" w:color="auto"/>
        <w:bottom w:val="none" w:sz="0" w:space="0" w:color="auto"/>
        <w:right w:val="none" w:sz="0" w:space="0" w:color="auto"/>
      </w:divBdr>
    </w:div>
    <w:div w:id="841093511">
      <w:bodyDiv w:val="1"/>
      <w:marLeft w:val="0"/>
      <w:marRight w:val="0"/>
      <w:marTop w:val="0"/>
      <w:marBottom w:val="0"/>
      <w:divBdr>
        <w:top w:val="none" w:sz="0" w:space="0" w:color="auto"/>
        <w:left w:val="none" w:sz="0" w:space="0" w:color="auto"/>
        <w:bottom w:val="none" w:sz="0" w:space="0" w:color="auto"/>
        <w:right w:val="none" w:sz="0" w:space="0" w:color="auto"/>
      </w:divBdr>
    </w:div>
    <w:div w:id="847251466">
      <w:bodyDiv w:val="1"/>
      <w:marLeft w:val="0"/>
      <w:marRight w:val="0"/>
      <w:marTop w:val="0"/>
      <w:marBottom w:val="0"/>
      <w:divBdr>
        <w:top w:val="none" w:sz="0" w:space="0" w:color="auto"/>
        <w:left w:val="none" w:sz="0" w:space="0" w:color="auto"/>
        <w:bottom w:val="none" w:sz="0" w:space="0" w:color="auto"/>
        <w:right w:val="none" w:sz="0" w:space="0" w:color="auto"/>
      </w:divBdr>
    </w:div>
    <w:div w:id="852232919">
      <w:bodyDiv w:val="1"/>
      <w:marLeft w:val="0"/>
      <w:marRight w:val="0"/>
      <w:marTop w:val="0"/>
      <w:marBottom w:val="0"/>
      <w:divBdr>
        <w:top w:val="none" w:sz="0" w:space="0" w:color="auto"/>
        <w:left w:val="none" w:sz="0" w:space="0" w:color="auto"/>
        <w:bottom w:val="none" w:sz="0" w:space="0" w:color="auto"/>
        <w:right w:val="none" w:sz="0" w:space="0" w:color="auto"/>
      </w:divBdr>
    </w:div>
    <w:div w:id="868572133">
      <w:bodyDiv w:val="1"/>
      <w:marLeft w:val="0"/>
      <w:marRight w:val="0"/>
      <w:marTop w:val="0"/>
      <w:marBottom w:val="0"/>
      <w:divBdr>
        <w:top w:val="none" w:sz="0" w:space="0" w:color="auto"/>
        <w:left w:val="none" w:sz="0" w:space="0" w:color="auto"/>
        <w:bottom w:val="none" w:sz="0" w:space="0" w:color="auto"/>
        <w:right w:val="none" w:sz="0" w:space="0" w:color="auto"/>
      </w:divBdr>
    </w:div>
    <w:div w:id="895162832">
      <w:bodyDiv w:val="1"/>
      <w:marLeft w:val="0"/>
      <w:marRight w:val="0"/>
      <w:marTop w:val="0"/>
      <w:marBottom w:val="0"/>
      <w:divBdr>
        <w:top w:val="none" w:sz="0" w:space="0" w:color="auto"/>
        <w:left w:val="none" w:sz="0" w:space="0" w:color="auto"/>
        <w:bottom w:val="none" w:sz="0" w:space="0" w:color="auto"/>
        <w:right w:val="none" w:sz="0" w:space="0" w:color="auto"/>
      </w:divBdr>
    </w:div>
    <w:div w:id="911819494">
      <w:bodyDiv w:val="1"/>
      <w:marLeft w:val="0"/>
      <w:marRight w:val="0"/>
      <w:marTop w:val="0"/>
      <w:marBottom w:val="0"/>
      <w:divBdr>
        <w:top w:val="none" w:sz="0" w:space="0" w:color="auto"/>
        <w:left w:val="none" w:sz="0" w:space="0" w:color="auto"/>
        <w:bottom w:val="none" w:sz="0" w:space="0" w:color="auto"/>
        <w:right w:val="none" w:sz="0" w:space="0" w:color="auto"/>
      </w:divBdr>
    </w:div>
    <w:div w:id="912161661">
      <w:bodyDiv w:val="1"/>
      <w:marLeft w:val="0"/>
      <w:marRight w:val="0"/>
      <w:marTop w:val="0"/>
      <w:marBottom w:val="0"/>
      <w:divBdr>
        <w:top w:val="none" w:sz="0" w:space="0" w:color="auto"/>
        <w:left w:val="none" w:sz="0" w:space="0" w:color="auto"/>
        <w:bottom w:val="none" w:sz="0" w:space="0" w:color="auto"/>
        <w:right w:val="none" w:sz="0" w:space="0" w:color="auto"/>
      </w:divBdr>
    </w:div>
    <w:div w:id="918713763">
      <w:bodyDiv w:val="1"/>
      <w:marLeft w:val="0"/>
      <w:marRight w:val="0"/>
      <w:marTop w:val="0"/>
      <w:marBottom w:val="0"/>
      <w:divBdr>
        <w:top w:val="none" w:sz="0" w:space="0" w:color="auto"/>
        <w:left w:val="none" w:sz="0" w:space="0" w:color="auto"/>
        <w:bottom w:val="none" w:sz="0" w:space="0" w:color="auto"/>
        <w:right w:val="none" w:sz="0" w:space="0" w:color="auto"/>
      </w:divBdr>
    </w:div>
    <w:div w:id="934098831">
      <w:bodyDiv w:val="1"/>
      <w:marLeft w:val="0"/>
      <w:marRight w:val="0"/>
      <w:marTop w:val="0"/>
      <w:marBottom w:val="0"/>
      <w:divBdr>
        <w:top w:val="none" w:sz="0" w:space="0" w:color="auto"/>
        <w:left w:val="none" w:sz="0" w:space="0" w:color="auto"/>
        <w:bottom w:val="none" w:sz="0" w:space="0" w:color="auto"/>
        <w:right w:val="none" w:sz="0" w:space="0" w:color="auto"/>
      </w:divBdr>
    </w:div>
    <w:div w:id="951593120">
      <w:bodyDiv w:val="1"/>
      <w:marLeft w:val="0"/>
      <w:marRight w:val="0"/>
      <w:marTop w:val="0"/>
      <w:marBottom w:val="0"/>
      <w:divBdr>
        <w:top w:val="none" w:sz="0" w:space="0" w:color="auto"/>
        <w:left w:val="none" w:sz="0" w:space="0" w:color="auto"/>
        <w:bottom w:val="none" w:sz="0" w:space="0" w:color="auto"/>
        <w:right w:val="none" w:sz="0" w:space="0" w:color="auto"/>
      </w:divBdr>
    </w:div>
    <w:div w:id="954285253">
      <w:bodyDiv w:val="1"/>
      <w:marLeft w:val="0"/>
      <w:marRight w:val="0"/>
      <w:marTop w:val="0"/>
      <w:marBottom w:val="0"/>
      <w:divBdr>
        <w:top w:val="none" w:sz="0" w:space="0" w:color="auto"/>
        <w:left w:val="none" w:sz="0" w:space="0" w:color="auto"/>
        <w:bottom w:val="none" w:sz="0" w:space="0" w:color="auto"/>
        <w:right w:val="none" w:sz="0" w:space="0" w:color="auto"/>
      </w:divBdr>
    </w:div>
    <w:div w:id="957219594">
      <w:bodyDiv w:val="1"/>
      <w:marLeft w:val="0"/>
      <w:marRight w:val="0"/>
      <w:marTop w:val="0"/>
      <w:marBottom w:val="0"/>
      <w:divBdr>
        <w:top w:val="none" w:sz="0" w:space="0" w:color="auto"/>
        <w:left w:val="none" w:sz="0" w:space="0" w:color="auto"/>
        <w:bottom w:val="none" w:sz="0" w:space="0" w:color="auto"/>
        <w:right w:val="none" w:sz="0" w:space="0" w:color="auto"/>
      </w:divBdr>
    </w:div>
    <w:div w:id="960763501">
      <w:bodyDiv w:val="1"/>
      <w:marLeft w:val="0"/>
      <w:marRight w:val="0"/>
      <w:marTop w:val="0"/>
      <w:marBottom w:val="0"/>
      <w:divBdr>
        <w:top w:val="none" w:sz="0" w:space="0" w:color="auto"/>
        <w:left w:val="none" w:sz="0" w:space="0" w:color="auto"/>
        <w:bottom w:val="none" w:sz="0" w:space="0" w:color="auto"/>
        <w:right w:val="none" w:sz="0" w:space="0" w:color="auto"/>
      </w:divBdr>
    </w:div>
    <w:div w:id="967665461">
      <w:bodyDiv w:val="1"/>
      <w:marLeft w:val="0"/>
      <w:marRight w:val="0"/>
      <w:marTop w:val="0"/>
      <w:marBottom w:val="0"/>
      <w:divBdr>
        <w:top w:val="none" w:sz="0" w:space="0" w:color="auto"/>
        <w:left w:val="none" w:sz="0" w:space="0" w:color="auto"/>
        <w:bottom w:val="none" w:sz="0" w:space="0" w:color="auto"/>
        <w:right w:val="none" w:sz="0" w:space="0" w:color="auto"/>
      </w:divBdr>
    </w:div>
    <w:div w:id="972445704">
      <w:bodyDiv w:val="1"/>
      <w:marLeft w:val="0"/>
      <w:marRight w:val="0"/>
      <w:marTop w:val="0"/>
      <w:marBottom w:val="0"/>
      <w:divBdr>
        <w:top w:val="none" w:sz="0" w:space="0" w:color="auto"/>
        <w:left w:val="none" w:sz="0" w:space="0" w:color="auto"/>
        <w:bottom w:val="none" w:sz="0" w:space="0" w:color="auto"/>
        <w:right w:val="none" w:sz="0" w:space="0" w:color="auto"/>
      </w:divBdr>
    </w:div>
    <w:div w:id="973288760">
      <w:bodyDiv w:val="1"/>
      <w:marLeft w:val="0"/>
      <w:marRight w:val="0"/>
      <w:marTop w:val="0"/>
      <w:marBottom w:val="0"/>
      <w:divBdr>
        <w:top w:val="none" w:sz="0" w:space="0" w:color="auto"/>
        <w:left w:val="none" w:sz="0" w:space="0" w:color="auto"/>
        <w:bottom w:val="none" w:sz="0" w:space="0" w:color="auto"/>
        <w:right w:val="none" w:sz="0" w:space="0" w:color="auto"/>
      </w:divBdr>
    </w:div>
    <w:div w:id="983923838">
      <w:bodyDiv w:val="1"/>
      <w:marLeft w:val="0"/>
      <w:marRight w:val="0"/>
      <w:marTop w:val="0"/>
      <w:marBottom w:val="0"/>
      <w:divBdr>
        <w:top w:val="none" w:sz="0" w:space="0" w:color="auto"/>
        <w:left w:val="none" w:sz="0" w:space="0" w:color="auto"/>
        <w:bottom w:val="none" w:sz="0" w:space="0" w:color="auto"/>
        <w:right w:val="none" w:sz="0" w:space="0" w:color="auto"/>
      </w:divBdr>
    </w:div>
    <w:div w:id="984626408">
      <w:bodyDiv w:val="1"/>
      <w:marLeft w:val="0"/>
      <w:marRight w:val="0"/>
      <w:marTop w:val="0"/>
      <w:marBottom w:val="0"/>
      <w:divBdr>
        <w:top w:val="none" w:sz="0" w:space="0" w:color="auto"/>
        <w:left w:val="none" w:sz="0" w:space="0" w:color="auto"/>
        <w:bottom w:val="none" w:sz="0" w:space="0" w:color="auto"/>
        <w:right w:val="none" w:sz="0" w:space="0" w:color="auto"/>
      </w:divBdr>
    </w:div>
    <w:div w:id="986588555">
      <w:bodyDiv w:val="1"/>
      <w:marLeft w:val="0"/>
      <w:marRight w:val="0"/>
      <w:marTop w:val="0"/>
      <w:marBottom w:val="0"/>
      <w:divBdr>
        <w:top w:val="none" w:sz="0" w:space="0" w:color="auto"/>
        <w:left w:val="none" w:sz="0" w:space="0" w:color="auto"/>
        <w:bottom w:val="none" w:sz="0" w:space="0" w:color="auto"/>
        <w:right w:val="none" w:sz="0" w:space="0" w:color="auto"/>
      </w:divBdr>
    </w:div>
    <w:div w:id="990135845">
      <w:bodyDiv w:val="1"/>
      <w:marLeft w:val="0"/>
      <w:marRight w:val="0"/>
      <w:marTop w:val="0"/>
      <w:marBottom w:val="0"/>
      <w:divBdr>
        <w:top w:val="none" w:sz="0" w:space="0" w:color="auto"/>
        <w:left w:val="none" w:sz="0" w:space="0" w:color="auto"/>
        <w:bottom w:val="none" w:sz="0" w:space="0" w:color="auto"/>
        <w:right w:val="none" w:sz="0" w:space="0" w:color="auto"/>
      </w:divBdr>
    </w:div>
    <w:div w:id="1003171231">
      <w:bodyDiv w:val="1"/>
      <w:marLeft w:val="0"/>
      <w:marRight w:val="0"/>
      <w:marTop w:val="0"/>
      <w:marBottom w:val="0"/>
      <w:divBdr>
        <w:top w:val="none" w:sz="0" w:space="0" w:color="auto"/>
        <w:left w:val="none" w:sz="0" w:space="0" w:color="auto"/>
        <w:bottom w:val="none" w:sz="0" w:space="0" w:color="auto"/>
        <w:right w:val="none" w:sz="0" w:space="0" w:color="auto"/>
      </w:divBdr>
    </w:div>
    <w:div w:id="1049570376">
      <w:bodyDiv w:val="1"/>
      <w:marLeft w:val="0"/>
      <w:marRight w:val="0"/>
      <w:marTop w:val="0"/>
      <w:marBottom w:val="0"/>
      <w:divBdr>
        <w:top w:val="none" w:sz="0" w:space="0" w:color="auto"/>
        <w:left w:val="none" w:sz="0" w:space="0" w:color="auto"/>
        <w:bottom w:val="none" w:sz="0" w:space="0" w:color="auto"/>
        <w:right w:val="none" w:sz="0" w:space="0" w:color="auto"/>
      </w:divBdr>
    </w:div>
    <w:div w:id="1056319713">
      <w:bodyDiv w:val="1"/>
      <w:marLeft w:val="0"/>
      <w:marRight w:val="0"/>
      <w:marTop w:val="0"/>
      <w:marBottom w:val="0"/>
      <w:divBdr>
        <w:top w:val="none" w:sz="0" w:space="0" w:color="auto"/>
        <w:left w:val="none" w:sz="0" w:space="0" w:color="auto"/>
        <w:bottom w:val="none" w:sz="0" w:space="0" w:color="auto"/>
        <w:right w:val="none" w:sz="0" w:space="0" w:color="auto"/>
      </w:divBdr>
    </w:div>
    <w:div w:id="1058668564">
      <w:bodyDiv w:val="1"/>
      <w:marLeft w:val="0"/>
      <w:marRight w:val="0"/>
      <w:marTop w:val="0"/>
      <w:marBottom w:val="0"/>
      <w:divBdr>
        <w:top w:val="none" w:sz="0" w:space="0" w:color="auto"/>
        <w:left w:val="none" w:sz="0" w:space="0" w:color="auto"/>
        <w:bottom w:val="none" w:sz="0" w:space="0" w:color="auto"/>
        <w:right w:val="none" w:sz="0" w:space="0" w:color="auto"/>
      </w:divBdr>
    </w:div>
    <w:div w:id="1101922583">
      <w:bodyDiv w:val="1"/>
      <w:marLeft w:val="0"/>
      <w:marRight w:val="0"/>
      <w:marTop w:val="0"/>
      <w:marBottom w:val="0"/>
      <w:divBdr>
        <w:top w:val="none" w:sz="0" w:space="0" w:color="auto"/>
        <w:left w:val="none" w:sz="0" w:space="0" w:color="auto"/>
        <w:bottom w:val="none" w:sz="0" w:space="0" w:color="auto"/>
        <w:right w:val="none" w:sz="0" w:space="0" w:color="auto"/>
      </w:divBdr>
    </w:div>
    <w:div w:id="1103384074">
      <w:bodyDiv w:val="1"/>
      <w:marLeft w:val="0"/>
      <w:marRight w:val="0"/>
      <w:marTop w:val="0"/>
      <w:marBottom w:val="0"/>
      <w:divBdr>
        <w:top w:val="none" w:sz="0" w:space="0" w:color="auto"/>
        <w:left w:val="none" w:sz="0" w:space="0" w:color="auto"/>
        <w:bottom w:val="none" w:sz="0" w:space="0" w:color="auto"/>
        <w:right w:val="none" w:sz="0" w:space="0" w:color="auto"/>
      </w:divBdr>
    </w:div>
    <w:div w:id="1104885485">
      <w:bodyDiv w:val="1"/>
      <w:marLeft w:val="0"/>
      <w:marRight w:val="0"/>
      <w:marTop w:val="0"/>
      <w:marBottom w:val="0"/>
      <w:divBdr>
        <w:top w:val="none" w:sz="0" w:space="0" w:color="auto"/>
        <w:left w:val="none" w:sz="0" w:space="0" w:color="auto"/>
        <w:bottom w:val="none" w:sz="0" w:space="0" w:color="auto"/>
        <w:right w:val="none" w:sz="0" w:space="0" w:color="auto"/>
      </w:divBdr>
    </w:div>
    <w:div w:id="1112750258">
      <w:bodyDiv w:val="1"/>
      <w:marLeft w:val="0"/>
      <w:marRight w:val="0"/>
      <w:marTop w:val="0"/>
      <w:marBottom w:val="0"/>
      <w:divBdr>
        <w:top w:val="none" w:sz="0" w:space="0" w:color="auto"/>
        <w:left w:val="none" w:sz="0" w:space="0" w:color="auto"/>
        <w:bottom w:val="none" w:sz="0" w:space="0" w:color="auto"/>
        <w:right w:val="none" w:sz="0" w:space="0" w:color="auto"/>
      </w:divBdr>
    </w:div>
    <w:div w:id="1114406401">
      <w:bodyDiv w:val="1"/>
      <w:marLeft w:val="0"/>
      <w:marRight w:val="0"/>
      <w:marTop w:val="0"/>
      <w:marBottom w:val="0"/>
      <w:divBdr>
        <w:top w:val="none" w:sz="0" w:space="0" w:color="auto"/>
        <w:left w:val="none" w:sz="0" w:space="0" w:color="auto"/>
        <w:bottom w:val="none" w:sz="0" w:space="0" w:color="auto"/>
        <w:right w:val="none" w:sz="0" w:space="0" w:color="auto"/>
      </w:divBdr>
    </w:div>
    <w:div w:id="1117482290">
      <w:bodyDiv w:val="1"/>
      <w:marLeft w:val="0"/>
      <w:marRight w:val="0"/>
      <w:marTop w:val="0"/>
      <w:marBottom w:val="0"/>
      <w:divBdr>
        <w:top w:val="none" w:sz="0" w:space="0" w:color="auto"/>
        <w:left w:val="none" w:sz="0" w:space="0" w:color="auto"/>
        <w:bottom w:val="none" w:sz="0" w:space="0" w:color="auto"/>
        <w:right w:val="none" w:sz="0" w:space="0" w:color="auto"/>
      </w:divBdr>
    </w:div>
    <w:div w:id="1130975479">
      <w:bodyDiv w:val="1"/>
      <w:marLeft w:val="0"/>
      <w:marRight w:val="0"/>
      <w:marTop w:val="0"/>
      <w:marBottom w:val="0"/>
      <w:divBdr>
        <w:top w:val="none" w:sz="0" w:space="0" w:color="auto"/>
        <w:left w:val="none" w:sz="0" w:space="0" w:color="auto"/>
        <w:bottom w:val="none" w:sz="0" w:space="0" w:color="auto"/>
        <w:right w:val="none" w:sz="0" w:space="0" w:color="auto"/>
      </w:divBdr>
    </w:div>
    <w:div w:id="1139296995">
      <w:bodyDiv w:val="1"/>
      <w:marLeft w:val="0"/>
      <w:marRight w:val="0"/>
      <w:marTop w:val="0"/>
      <w:marBottom w:val="0"/>
      <w:divBdr>
        <w:top w:val="none" w:sz="0" w:space="0" w:color="auto"/>
        <w:left w:val="none" w:sz="0" w:space="0" w:color="auto"/>
        <w:bottom w:val="none" w:sz="0" w:space="0" w:color="auto"/>
        <w:right w:val="none" w:sz="0" w:space="0" w:color="auto"/>
      </w:divBdr>
    </w:div>
    <w:div w:id="1151630533">
      <w:bodyDiv w:val="1"/>
      <w:marLeft w:val="0"/>
      <w:marRight w:val="0"/>
      <w:marTop w:val="0"/>
      <w:marBottom w:val="0"/>
      <w:divBdr>
        <w:top w:val="none" w:sz="0" w:space="0" w:color="auto"/>
        <w:left w:val="none" w:sz="0" w:space="0" w:color="auto"/>
        <w:bottom w:val="none" w:sz="0" w:space="0" w:color="auto"/>
        <w:right w:val="none" w:sz="0" w:space="0" w:color="auto"/>
      </w:divBdr>
    </w:div>
    <w:div w:id="1161385359">
      <w:bodyDiv w:val="1"/>
      <w:marLeft w:val="0"/>
      <w:marRight w:val="0"/>
      <w:marTop w:val="0"/>
      <w:marBottom w:val="0"/>
      <w:divBdr>
        <w:top w:val="none" w:sz="0" w:space="0" w:color="auto"/>
        <w:left w:val="none" w:sz="0" w:space="0" w:color="auto"/>
        <w:bottom w:val="none" w:sz="0" w:space="0" w:color="auto"/>
        <w:right w:val="none" w:sz="0" w:space="0" w:color="auto"/>
      </w:divBdr>
    </w:div>
    <w:div w:id="1195656905">
      <w:bodyDiv w:val="1"/>
      <w:marLeft w:val="0"/>
      <w:marRight w:val="0"/>
      <w:marTop w:val="0"/>
      <w:marBottom w:val="0"/>
      <w:divBdr>
        <w:top w:val="none" w:sz="0" w:space="0" w:color="auto"/>
        <w:left w:val="none" w:sz="0" w:space="0" w:color="auto"/>
        <w:bottom w:val="none" w:sz="0" w:space="0" w:color="auto"/>
        <w:right w:val="none" w:sz="0" w:space="0" w:color="auto"/>
      </w:divBdr>
    </w:div>
    <w:div w:id="1202984909">
      <w:bodyDiv w:val="1"/>
      <w:marLeft w:val="0"/>
      <w:marRight w:val="0"/>
      <w:marTop w:val="0"/>
      <w:marBottom w:val="0"/>
      <w:divBdr>
        <w:top w:val="none" w:sz="0" w:space="0" w:color="auto"/>
        <w:left w:val="none" w:sz="0" w:space="0" w:color="auto"/>
        <w:bottom w:val="none" w:sz="0" w:space="0" w:color="auto"/>
        <w:right w:val="none" w:sz="0" w:space="0" w:color="auto"/>
      </w:divBdr>
    </w:div>
    <w:div w:id="1212309238">
      <w:bodyDiv w:val="1"/>
      <w:marLeft w:val="0"/>
      <w:marRight w:val="0"/>
      <w:marTop w:val="0"/>
      <w:marBottom w:val="0"/>
      <w:divBdr>
        <w:top w:val="none" w:sz="0" w:space="0" w:color="auto"/>
        <w:left w:val="none" w:sz="0" w:space="0" w:color="auto"/>
        <w:bottom w:val="none" w:sz="0" w:space="0" w:color="auto"/>
        <w:right w:val="none" w:sz="0" w:space="0" w:color="auto"/>
      </w:divBdr>
    </w:div>
    <w:div w:id="1224296993">
      <w:bodyDiv w:val="1"/>
      <w:marLeft w:val="0"/>
      <w:marRight w:val="0"/>
      <w:marTop w:val="0"/>
      <w:marBottom w:val="0"/>
      <w:divBdr>
        <w:top w:val="none" w:sz="0" w:space="0" w:color="auto"/>
        <w:left w:val="none" w:sz="0" w:space="0" w:color="auto"/>
        <w:bottom w:val="none" w:sz="0" w:space="0" w:color="auto"/>
        <w:right w:val="none" w:sz="0" w:space="0" w:color="auto"/>
      </w:divBdr>
    </w:div>
    <w:div w:id="1229614164">
      <w:bodyDiv w:val="1"/>
      <w:marLeft w:val="0"/>
      <w:marRight w:val="0"/>
      <w:marTop w:val="0"/>
      <w:marBottom w:val="0"/>
      <w:divBdr>
        <w:top w:val="none" w:sz="0" w:space="0" w:color="auto"/>
        <w:left w:val="none" w:sz="0" w:space="0" w:color="auto"/>
        <w:bottom w:val="none" w:sz="0" w:space="0" w:color="auto"/>
        <w:right w:val="none" w:sz="0" w:space="0" w:color="auto"/>
      </w:divBdr>
    </w:div>
    <w:div w:id="1242065110">
      <w:bodyDiv w:val="1"/>
      <w:marLeft w:val="0"/>
      <w:marRight w:val="0"/>
      <w:marTop w:val="0"/>
      <w:marBottom w:val="0"/>
      <w:divBdr>
        <w:top w:val="none" w:sz="0" w:space="0" w:color="auto"/>
        <w:left w:val="none" w:sz="0" w:space="0" w:color="auto"/>
        <w:bottom w:val="none" w:sz="0" w:space="0" w:color="auto"/>
        <w:right w:val="none" w:sz="0" w:space="0" w:color="auto"/>
      </w:divBdr>
    </w:div>
    <w:div w:id="1243880306">
      <w:bodyDiv w:val="1"/>
      <w:marLeft w:val="0"/>
      <w:marRight w:val="0"/>
      <w:marTop w:val="0"/>
      <w:marBottom w:val="0"/>
      <w:divBdr>
        <w:top w:val="none" w:sz="0" w:space="0" w:color="auto"/>
        <w:left w:val="none" w:sz="0" w:space="0" w:color="auto"/>
        <w:bottom w:val="none" w:sz="0" w:space="0" w:color="auto"/>
        <w:right w:val="none" w:sz="0" w:space="0" w:color="auto"/>
      </w:divBdr>
    </w:div>
    <w:div w:id="1261716403">
      <w:bodyDiv w:val="1"/>
      <w:marLeft w:val="0"/>
      <w:marRight w:val="0"/>
      <w:marTop w:val="0"/>
      <w:marBottom w:val="0"/>
      <w:divBdr>
        <w:top w:val="none" w:sz="0" w:space="0" w:color="auto"/>
        <w:left w:val="none" w:sz="0" w:space="0" w:color="auto"/>
        <w:bottom w:val="none" w:sz="0" w:space="0" w:color="auto"/>
        <w:right w:val="none" w:sz="0" w:space="0" w:color="auto"/>
      </w:divBdr>
    </w:div>
    <w:div w:id="1276598056">
      <w:bodyDiv w:val="1"/>
      <w:marLeft w:val="0"/>
      <w:marRight w:val="0"/>
      <w:marTop w:val="0"/>
      <w:marBottom w:val="0"/>
      <w:divBdr>
        <w:top w:val="none" w:sz="0" w:space="0" w:color="auto"/>
        <w:left w:val="none" w:sz="0" w:space="0" w:color="auto"/>
        <w:bottom w:val="none" w:sz="0" w:space="0" w:color="auto"/>
        <w:right w:val="none" w:sz="0" w:space="0" w:color="auto"/>
      </w:divBdr>
    </w:div>
    <w:div w:id="1292202432">
      <w:bodyDiv w:val="1"/>
      <w:marLeft w:val="0"/>
      <w:marRight w:val="0"/>
      <w:marTop w:val="0"/>
      <w:marBottom w:val="0"/>
      <w:divBdr>
        <w:top w:val="none" w:sz="0" w:space="0" w:color="auto"/>
        <w:left w:val="none" w:sz="0" w:space="0" w:color="auto"/>
        <w:bottom w:val="none" w:sz="0" w:space="0" w:color="auto"/>
        <w:right w:val="none" w:sz="0" w:space="0" w:color="auto"/>
      </w:divBdr>
    </w:div>
    <w:div w:id="1321424357">
      <w:bodyDiv w:val="1"/>
      <w:marLeft w:val="0"/>
      <w:marRight w:val="0"/>
      <w:marTop w:val="0"/>
      <w:marBottom w:val="0"/>
      <w:divBdr>
        <w:top w:val="none" w:sz="0" w:space="0" w:color="auto"/>
        <w:left w:val="none" w:sz="0" w:space="0" w:color="auto"/>
        <w:bottom w:val="none" w:sz="0" w:space="0" w:color="auto"/>
        <w:right w:val="none" w:sz="0" w:space="0" w:color="auto"/>
      </w:divBdr>
    </w:div>
    <w:div w:id="1324431782">
      <w:bodyDiv w:val="1"/>
      <w:marLeft w:val="0"/>
      <w:marRight w:val="0"/>
      <w:marTop w:val="0"/>
      <w:marBottom w:val="0"/>
      <w:divBdr>
        <w:top w:val="none" w:sz="0" w:space="0" w:color="auto"/>
        <w:left w:val="none" w:sz="0" w:space="0" w:color="auto"/>
        <w:bottom w:val="none" w:sz="0" w:space="0" w:color="auto"/>
        <w:right w:val="none" w:sz="0" w:space="0" w:color="auto"/>
      </w:divBdr>
    </w:div>
    <w:div w:id="1333871008">
      <w:bodyDiv w:val="1"/>
      <w:marLeft w:val="0"/>
      <w:marRight w:val="0"/>
      <w:marTop w:val="0"/>
      <w:marBottom w:val="0"/>
      <w:divBdr>
        <w:top w:val="none" w:sz="0" w:space="0" w:color="auto"/>
        <w:left w:val="none" w:sz="0" w:space="0" w:color="auto"/>
        <w:bottom w:val="none" w:sz="0" w:space="0" w:color="auto"/>
        <w:right w:val="none" w:sz="0" w:space="0" w:color="auto"/>
      </w:divBdr>
    </w:div>
    <w:div w:id="1360204402">
      <w:bodyDiv w:val="1"/>
      <w:marLeft w:val="0"/>
      <w:marRight w:val="0"/>
      <w:marTop w:val="0"/>
      <w:marBottom w:val="0"/>
      <w:divBdr>
        <w:top w:val="none" w:sz="0" w:space="0" w:color="auto"/>
        <w:left w:val="none" w:sz="0" w:space="0" w:color="auto"/>
        <w:bottom w:val="none" w:sz="0" w:space="0" w:color="auto"/>
        <w:right w:val="none" w:sz="0" w:space="0" w:color="auto"/>
      </w:divBdr>
    </w:div>
    <w:div w:id="1363895444">
      <w:bodyDiv w:val="1"/>
      <w:marLeft w:val="0"/>
      <w:marRight w:val="0"/>
      <w:marTop w:val="0"/>
      <w:marBottom w:val="0"/>
      <w:divBdr>
        <w:top w:val="none" w:sz="0" w:space="0" w:color="auto"/>
        <w:left w:val="none" w:sz="0" w:space="0" w:color="auto"/>
        <w:bottom w:val="none" w:sz="0" w:space="0" w:color="auto"/>
        <w:right w:val="none" w:sz="0" w:space="0" w:color="auto"/>
      </w:divBdr>
    </w:div>
    <w:div w:id="1368600072">
      <w:bodyDiv w:val="1"/>
      <w:marLeft w:val="0"/>
      <w:marRight w:val="0"/>
      <w:marTop w:val="0"/>
      <w:marBottom w:val="0"/>
      <w:divBdr>
        <w:top w:val="none" w:sz="0" w:space="0" w:color="auto"/>
        <w:left w:val="none" w:sz="0" w:space="0" w:color="auto"/>
        <w:bottom w:val="none" w:sz="0" w:space="0" w:color="auto"/>
        <w:right w:val="none" w:sz="0" w:space="0" w:color="auto"/>
      </w:divBdr>
    </w:div>
    <w:div w:id="1382825457">
      <w:bodyDiv w:val="1"/>
      <w:marLeft w:val="0"/>
      <w:marRight w:val="0"/>
      <w:marTop w:val="0"/>
      <w:marBottom w:val="0"/>
      <w:divBdr>
        <w:top w:val="none" w:sz="0" w:space="0" w:color="auto"/>
        <w:left w:val="none" w:sz="0" w:space="0" w:color="auto"/>
        <w:bottom w:val="none" w:sz="0" w:space="0" w:color="auto"/>
        <w:right w:val="none" w:sz="0" w:space="0" w:color="auto"/>
      </w:divBdr>
    </w:div>
    <w:div w:id="1384981524">
      <w:bodyDiv w:val="1"/>
      <w:marLeft w:val="0"/>
      <w:marRight w:val="0"/>
      <w:marTop w:val="0"/>
      <w:marBottom w:val="0"/>
      <w:divBdr>
        <w:top w:val="none" w:sz="0" w:space="0" w:color="auto"/>
        <w:left w:val="none" w:sz="0" w:space="0" w:color="auto"/>
        <w:bottom w:val="none" w:sz="0" w:space="0" w:color="auto"/>
        <w:right w:val="none" w:sz="0" w:space="0" w:color="auto"/>
      </w:divBdr>
    </w:div>
    <w:div w:id="1400131206">
      <w:bodyDiv w:val="1"/>
      <w:marLeft w:val="0"/>
      <w:marRight w:val="0"/>
      <w:marTop w:val="0"/>
      <w:marBottom w:val="0"/>
      <w:divBdr>
        <w:top w:val="none" w:sz="0" w:space="0" w:color="auto"/>
        <w:left w:val="none" w:sz="0" w:space="0" w:color="auto"/>
        <w:bottom w:val="none" w:sz="0" w:space="0" w:color="auto"/>
        <w:right w:val="none" w:sz="0" w:space="0" w:color="auto"/>
      </w:divBdr>
    </w:div>
    <w:div w:id="1462915208">
      <w:bodyDiv w:val="1"/>
      <w:marLeft w:val="0"/>
      <w:marRight w:val="0"/>
      <w:marTop w:val="0"/>
      <w:marBottom w:val="0"/>
      <w:divBdr>
        <w:top w:val="none" w:sz="0" w:space="0" w:color="auto"/>
        <w:left w:val="none" w:sz="0" w:space="0" w:color="auto"/>
        <w:bottom w:val="none" w:sz="0" w:space="0" w:color="auto"/>
        <w:right w:val="none" w:sz="0" w:space="0" w:color="auto"/>
      </w:divBdr>
    </w:div>
    <w:div w:id="1467819099">
      <w:bodyDiv w:val="1"/>
      <w:marLeft w:val="0"/>
      <w:marRight w:val="0"/>
      <w:marTop w:val="0"/>
      <w:marBottom w:val="0"/>
      <w:divBdr>
        <w:top w:val="none" w:sz="0" w:space="0" w:color="auto"/>
        <w:left w:val="none" w:sz="0" w:space="0" w:color="auto"/>
        <w:bottom w:val="none" w:sz="0" w:space="0" w:color="auto"/>
        <w:right w:val="none" w:sz="0" w:space="0" w:color="auto"/>
      </w:divBdr>
    </w:div>
    <w:div w:id="1495301125">
      <w:bodyDiv w:val="1"/>
      <w:marLeft w:val="0"/>
      <w:marRight w:val="0"/>
      <w:marTop w:val="0"/>
      <w:marBottom w:val="0"/>
      <w:divBdr>
        <w:top w:val="none" w:sz="0" w:space="0" w:color="auto"/>
        <w:left w:val="none" w:sz="0" w:space="0" w:color="auto"/>
        <w:bottom w:val="none" w:sz="0" w:space="0" w:color="auto"/>
        <w:right w:val="none" w:sz="0" w:space="0" w:color="auto"/>
      </w:divBdr>
    </w:div>
    <w:div w:id="1499887194">
      <w:bodyDiv w:val="1"/>
      <w:marLeft w:val="0"/>
      <w:marRight w:val="0"/>
      <w:marTop w:val="0"/>
      <w:marBottom w:val="0"/>
      <w:divBdr>
        <w:top w:val="none" w:sz="0" w:space="0" w:color="auto"/>
        <w:left w:val="none" w:sz="0" w:space="0" w:color="auto"/>
        <w:bottom w:val="none" w:sz="0" w:space="0" w:color="auto"/>
        <w:right w:val="none" w:sz="0" w:space="0" w:color="auto"/>
      </w:divBdr>
    </w:div>
    <w:div w:id="1535121884">
      <w:bodyDiv w:val="1"/>
      <w:marLeft w:val="0"/>
      <w:marRight w:val="0"/>
      <w:marTop w:val="0"/>
      <w:marBottom w:val="0"/>
      <w:divBdr>
        <w:top w:val="none" w:sz="0" w:space="0" w:color="auto"/>
        <w:left w:val="none" w:sz="0" w:space="0" w:color="auto"/>
        <w:bottom w:val="none" w:sz="0" w:space="0" w:color="auto"/>
        <w:right w:val="none" w:sz="0" w:space="0" w:color="auto"/>
      </w:divBdr>
    </w:div>
    <w:div w:id="1537498328">
      <w:bodyDiv w:val="1"/>
      <w:marLeft w:val="0"/>
      <w:marRight w:val="0"/>
      <w:marTop w:val="0"/>
      <w:marBottom w:val="0"/>
      <w:divBdr>
        <w:top w:val="none" w:sz="0" w:space="0" w:color="auto"/>
        <w:left w:val="none" w:sz="0" w:space="0" w:color="auto"/>
        <w:bottom w:val="none" w:sz="0" w:space="0" w:color="auto"/>
        <w:right w:val="none" w:sz="0" w:space="0" w:color="auto"/>
      </w:divBdr>
    </w:div>
    <w:div w:id="1616522011">
      <w:bodyDiv w:val="1"/>
      <w:marLeft w:val="0"/>
      <w:marRight w:val="0"/>
      <w:marTop w:val="0"/>
      <w:marBottom w:val="0"/>
      <w:divBdr>
        <w:top w:val="none" w:sz="0" w:space="0" w:color="auto"/>
        <w:left w:val="none" w:sz="0" w:space="0" w:color="auto"/>
        <w:bottom w:val="none" w:sz="0" w:space="0" w:color="auto"/>
        <w:right w:val="none" w:sz="0" w:space="0" w:color="auto"/>
      </w:divBdr>
    </w:div>
    <w:div w:id="1623000564">
      <w:bodyDiv w:val="1"/>
      <w:marLeft w:val="0"/>
      <w:marRight w:val="0"/>
      <w:marTop w:val="0"/>
      <w:marBottom w:val="0"/>
      <w:divBdr>
        <w:top w:val="none" w:sz="0" w:space="0" w:color="auto"/>
        <w:left w:val="none" w:sz="0" w:space="0" w:color="auto"/>
        <w:bottom w:val="none" w:sz="0" w:space="0" w:color="auto"/>
        <w:right w:val="none" w:sz="0" w:space="0" w:color="auto"/>
      </w:divBdr>
    </w:div>
    <w:div w:id="1650591120">
      <w:bodyDiv w:val="1"/>
      <w:marLeft w:val="0"/>
      <w:marRight w:val="0"/>
      <w:marTop w:val="0"/>
      <w:marBottom w:val="0"/>
      <w:divBdr>
        <w:top w:val="none" w:sz="0" w:space="0" w:color="auto"/>
        <w:left w:val="none" w:sz="0" w:space="0" w:color="auto"/>
        <w:bottom w:val="none" w:sz="0" w:space="0" w:color="auto"/>
        <w:right w:val="none" w:sz="0" w:space="0" w:color="auto"/>
      </w:divBdr>
    </w:div>
    <w:div w:id="1658924290">
      <w:bodyDiv w:val="1"/>
      <w:marLeft w:val="0"/>
      <w:marRight w:val="0"/>
      <w:marTop w:val="0"/>
      <w:marBottom w:val="0"/>
      <w:divBdr>
        <w:top w:val="none" w:sz="0" w:space="0" w:color="auto"/>
        <w:left w:val="none" w:sz="0" w:space="0" w:color="auto"/>
        <w:bottom w:val="none" w:sz="0" w:space="0" w:color="auto"/>
        <w:right w:val="none" w:sz="0" w:space="0" w:color="auto"/>
      </w:divBdr>
    </w:div>
    <w:div w:id="1659186951">
      <w:bodyDiv w:val="1"/>
      <w:marLeft w:val="0"/>
      <w:marRight w:val="0"/>
      <w:marTop w:val="0"/>
      <w:marBottom w:val="0"/>
      <w:divBdr>
        <w:top w:val="none" w:sz="0" w:space="0" w:color="auto"/>
        <w:left w:val="none" w:sz="0" w:space="0" w:color="auto"/>
        <w:bottom w:val="none" w:sz="0" w:space="0" w:color="auto"/>
        <w:right w:val="none" w:sz="0" w:space="0" w:color="auto"/>
      </w:divBdr>
    </w:div>
    <w:div w:id="1667829125">
      <w:bodyDiv w:val="1"/>
      <w:marLeft w:val="0"/>
      <w:marRight w:val="0"/>
      <w:marTop w:val="0"/>
      <w:marBottom w:val="0"/>
      <w:divBdr>
        <w:top w:val="none" w:sz="0" w:space="0" w:color="auto"/>
        <w:left w:val="none" w:sz="0" w:space="0" w:color="auto"/>
        <w:bottom w:val="none" w:sz="0" w:space="0" w:color="auto"/>
        <w:right w:val="none" w:sz="0" w:space="0" w:color="auto"/>
      </w:divBdr>
    </w:div>
    <w:div w:id="1690108339">
      <w:bodyDiv w:val="1"/>
      <w:marLeft w:val="0"/>
      <w:marRight w:val="0"/>
      <w:marTop w:val="0"/>
      <w:marBottom w:val="0"/>
      <w:divBdr>
        <w:top w:val="none" w:sz="0" w:space="0" w:color="auto"/>
        <w:left w:val="none" w:sz="0" w:space="0" w:color="auto"/>
        <w:bottom w:val="none" w:sz="0" w:space="0" w:color="auto"/>
        <w:right w:val="none" w:sz="0" w:space="0" w:color="auto"/>
      </w:divBdr>
    </w:div>
    <w:div w:id="1730956955">
      <w:bodyDiv w:val="1"/>
      <w:marLeft w:val="0"/>
      <w:marRight w:val="0"/>
      <w:marTop w:val="0"/>
      <w:marBottom w:val="0"/>
      <w:divBdr>
        <w:top w:val="none" w:sz="0" w:space="0" w:color="auto"/>
        <w:left w:val="none" w:sz="0" w:space="0" w:color="auto"/>
        <w:bottom w:val="none" w:sz="0" w:space="0" w:color="auto"/>
        <w:right w:val="none" w:sz="0" w:space="0" w:color="auto"/>
      </w:divBdr>
    </w:div>
    <w:div w:id="1732386565">
      <w:bodyDiv w:val="1"/>
      <w:marLeft w:val="0"/>
      <w:marRight w:val="0"/>
      <w:marTop w:val="0"/>
      <w:marBottom w:val="0"/>
      <w:divBdr>
        <w:top w:val="none" w:sz="0" w:space="0" w:color="auto"/>
        <w:left w:val="none" w:sz="0" w:space="0" w:color="auto"/>
        <w:bottom w:val="none" w:sz="0" w:space="0" w:color="auto"/>
        <w:right w:val="none" w:sz="0" w:space="0" w:color="auto"/>
      </w:divBdr>
    </w:div>
    <w:div w:id="1750617776">
      <w:bodyDiv w:val="1"/>
      <w:marLeft w:val="0"/>
      <w:marRight w:val="0"/>
      <w:marTop w:val="0"/>
      <w:marBottom w:val="0"/>
      <w:divBdr>
        <w:top w:val="none" w:sz="0" w:space="0" w:color="auto"/>
        <w:left w:val="none" w:sz="0" w:space="0" w:color="auto"/>
        <w:bottom w:val="none" w:sz="0" w:space="0" w:color="auto"/>
        <w:right w:val="none" w:sz="0" w:space="0" w:color="auto"/>
      </w:divBdr>
    </w:div>
    <w:div w:id="1792166312">
      <w:bodyDiv w:val="1"/>
      <w:marLeft w:val="0"/>
      <w:marRight w:val="0"/>
      <w:marTop w:val="0"/>
      <w:marBottom w:val="0"/>
      <w:divBdr>
        <w:top w:val="none" w:sz="0" w:space="0" w:color="auto"/>
        <w:left w:val="none" w:sz="0" w:space="0" w:color="auto"/>
        <w:bottom w:val="none" w:sz="0" w:space="0" w:color="auto"/>
        <w:right w:val="none" w:sz="0" w:space="0" w:color="auto"/>
      </w:divBdr>
    </w:div>
    <w:div w:id="1798529664">
      <w:bodyDiv w:val="1"/>
      <w:marLeft w:val="0"/>
      <w:marRight w:val="0"/>
      <w:marTop w:val="0"/>
      <w:marBottom w:val="0"/>
      <w:divBdr>
        <w:top w:val="none" w:sz="0" w:space="0" w:color="auto"/>
        <w:left w:val="none" w:sz="0" w:space="0" w:color="auto"/>
        <w:bottom w:val="none" w:sz="0" w:space="0" w:color="auto"/>
        <w:right w:val="none" w:sz="0" w:space="0" w:color="auto"/>
      </w:divBdr>
    </w:div>
    <w:div w:id="1801417626">
      <w:bodyDiv w:val="1"/>
      <w:marLeft w:val="0"/>
      <w:marRight w:val="0"/>
      <w:marTop w:val="0"/>
      <w:marBottom w:val="0"/>
      <w:divBdr>
        <w:top w:val="none" w:sz="0" w:space="0" w:color="auto"/>
        <w:left w:val="none" w:sz="0" w:space="0" w:color="auto"/>
        <w:bottom w:val="none" w:sz="0" w:space="0" w:color="auto"/>
        <w:right w:val="none" w:sz="0" w:space="0" w:color="auto"/>
      </w:divBdr>
    </w:div>
    <w:div w:id="1802646121">
      <w:bodyDiv w:val="1"/>
      <w:marLeft w:val="0"/>
      <w:marRight w:val="0"/>
      <w:marTop w:val="0"/>
      <w:marBottom w:val="0"/>
      <w:divBdr>
        <w:top w:val="none" w:sz="0" w:space="0" w:color="auto"/>
        <w:left w:val="none" w:sz="0" w:space="0" w:color="auto"/>
        <w:bottom w:val="none" w:sz="0" w:space="0" w:color="auto"/>
        <w:right w:val="none" w:sz="0" w:space="0" w:color="auto"/>
      </w:divBdr>
    </w:div>
    <w:div w:id="1813910943">
      <w:bodyDiv w:val="1"/>
      <w:marLeft w:val="0"/>
      <w:marRight w:val="0"/>
      <w:marTop w:val="0"/>
      <w:marBottom w:val="0"/>
      <w:divBdr>
        <w:top w:val="none" w:sz="0" w:space="0" w:color="auto"/>
        <w:left w:val="none" w:sz="0" w:space="0" w:color="auto"/>
        <w:bottom w:val="none" w:sz="0" w:space="0" w:color="auto"/>
        <w:right w:val="none" w:sz="0" w:space="0" w:color="auto"/>
      </w:divBdr>
    </w:div>
    <w:div w:id="1842233178">
      <w:bodyDiv w:val="1"/>
      <w:marLeft w:val="0"/>
      <w:marRight w:val="0"/>
      <w:marTop w:val="0"/>
      <w:marBottom w:val="0"/>
      <w:divBdr>
        <w:top w:val="none" w:sz="0" w:space="0" w:color="auto"/>
        <w:left w:val="none" w:sz="0" w:space="0" w:color="auto"/>
        <w:bottom w:val="none" w:sz="0" w:space="0" w:color="auto"/>
        <w:right w:val="none" w:sz="0" w:space="0" w:color="auto"/>
      </w:divBdr>
    </w:div>
    <w:div w:id="1855683775">
      <w:bodyDiv w:val="1"/>
      <w:marLeft w:val="0"/>
      <w:marRight w:val="0"/>
      <w:marTop w:val="0"/>
      <w:marBottom w:val="0"/>
      <w:divBdr>
        <w:top w:val="none" w:sz="0" w:space="0" w:color="auto"/>
        <w:left w:val="none" w:sz="0" w:space="0" w:color="auto"/>
        <w:bottom w:val="none" w:sz="0" w:space="0" w:color="auto"/>
        <w:right w:val="none" w:sz="0" w:space="0" w:color="auto"/>
      </w:divBdr>
    </w:div>
    <w:div w:id="1872037429">
      <w:bodyDiv w:val="1"/>
      <w:marLeft w:val="0"/>
      <w:marRight w:val="0"/>
      <w:marTop w:val="0"/>
      <w:marBottom w:val="0"/>
      <w:divBdr>
        <w:top w:val="none" w:sz="0" w:space="0" w:color="auto"/>
        <w:left w:val="none" w:sz="0" w:space="0" w:color="auto"/>
        <w:bottom w:val="none" w:sz="0" w:space="0" w:color="auto"/>
        <w:right w:val="none" w:sz="0" w:space="0" w:color="auto"/>
      </w:divBdr>
    </w:div>
    <w:div w:id="1923371245">
      <w:bodyDiv w:val="1"/>
      <w:marLeft w:val="0"/>
      <w:marRight w:val="0"/>
      <w:marTop w:val="0"/>
      <w:marBottom w:val="0"/>
      <w:divBdr>
        <w:top w:val="none" w:sz="0" w:space="0" w:color="auto"/>
        <w:left w:val="none" w:sz="0" w:space="0" w:color="auto"/>
        <w:bottom w:val="none" w:sz="0" w:space="0" w:color="auto"/>
        <w:right w:val="none" w:sz="0" w:space="0" w:color="auto"/>
      </w:divBdr>
    </w:div>
    <w:div w:id="1929579082">
      <w:bodyDiv w:val="1"/>
      <w:marLeft w:val="0"/>
      <w:marRight w:val="0"/>
      <w:marTop w:val="0"/>
      <w:marBottom w:val="0"/>
      <w:divBdr>
        <w:top w:val="none" w:sz="0" w:space="0" w:color="auto"/>
        <w:left w:val="none" w:sz="0" w:space="0" w:color="auto"/>
        <w:bottom w:val="none" w:sz="0" w:space="0" w:color="auto"/>
        <w:right w:val="none" w:sz="0" w:space="0" w:color="auto"/>
      </w:divBdr>
    </w:div>
    <w:div w:id="1952588483">
      <w:bodyDiv w:val="1"/>
      <w:marLeft w:val="0"/>
      <w:marRight w:val="0"/>
      <w:marTop w:val="0"/>
      <w:marBottom w:val="0"/>
      <w:divBdr>
        <w:top w:val="none" w:sz="0" w:space="0" w:color="auto"/>
        <w:left w:val="none" w:sz="0" w:space="0" w:color="auto"/>
        <w:bottom w:val="none" w:sz="0" w:space="0" w:color="auto"/>
        <w:right w:val="none" w:sz="0" w:space="0" w:color="auto"/>
      </w:divBdr>
    </w:div>
    <w:div w:id="1978487400">
      <w:bodyDiv w:val="1"/>
      <w:marLeft w:val="0"/>
      <w:marRight w:val="0"/>
      <w:marTop w:val="0"/>
      <w:marBottom w:val="0"/>
      <w:divBdr>
        <w:top w:val="none" w:sz="0" w:space="0" w:color="auto"/>
        <w:left w:val="none" w:sz="0" w:space="0" w:color="auto"/>
        <w:bottom w:val="none" w:sz="0" w:space="0" w:color="auto"/>
        <w:right w:val="none" w:sz="0" w:space="0" w:color="auto"/>
      </w:divBdr>
    </w:div>
    <w:div w:id="1986081918">
      <w:bodyDiv w:val="1"/>
      <w:marLeft w:val="0"/>
      <w:marRight w:val="0"/>
      <w:marTop w:val="0"/>
      <w:marBottom w:val="0"/>
      <w:divBdr>
        <w:top w:val="none" w:sz="0" w:space="0" w:color="auto"/>
        <w:left w:val="none" w:sz="0" w:space="0" w:color="auto"/>
        <w:bottom w:val="none" w:sz="0" w:space="0" w:color="auto"/>
        <w:right w:val="none" w:sz="0" w:space="0" w:color="auto"/>
      </w:divBdr>
    </w:div>
    <w:div w:id="2005282020">
      <w:bodyDiv w:val="1"/>
      <w:marLeft w:val="0"/>
      <w:marRight w:val="0"/>
      <w:marTop w:val="0"/>
      <w:marBottom w:val="0"/>
      <w:divBdr>
        <w:top w:val="none" w:sz="0" w:space="0" w:color="auto"/>
        <w:left w:val="none" w:sz="0" w:space="0" w:color="auto"/>
        <w:bottom w:val="none" w:sz="0" w:space="0" w:color="auto"/>
        <w:right w:val="none" w:sz="0" w:space="0" w:color="auto"/>
      </w:divBdr>
    </w:div>
    <w:div w:id="2016300870">
      <w:bodyDiv w:val="1"/>
      <w:marLeft w:val="0"/>
      <w:marRight w:val="0"/>
      <w:marTop w:val="0"/>
      <w:marBottom w:val="0"/>
      <w:divBdr>
        <w:top w:val="none" w:sz="0" w:space="0" w:color="auto"/>
        <w:left w:val="none" w:sz="0" w:space="0" w:color="auto"/>
        <w:bottom w:val="none" w:sz="0" w:space="0" w:color="auto"/>
        <w:right w:val="none" w:sz="0" w:space="0" w:color="auto"/>
      </w:divBdr>
    </w:div>
    <w:div w:id="2025740543">
      <w:bodyDiv w:val="1"/>
      <w:marLeft w:val="0"/>
      <w:marRight w:val="0"/>
      <w:marTop w:val="0"/>
      <w:marBottom w:val="0"/>
      <w:divBdr>
        <w:top w:val="none" w:sz="0" w:space="0" w:color="auto"/>
        <w:left w:val="none" w:sz="0" w:space="0" w:color="auto"/>
        <w:bottom w:val="none" w:sz="0" w:space="0" w:color="auto"/>
        <w:right w:val="none" w:sz="0" w:space="0" w:color="auto"/>
      </w:divBdr>
    </w:div>
    <w:div w:id="2046982755">
      <w:bodyDiv w:val="1"/>
      <w:marLeft w:val="0"/>
      <w:marRight w:val="0"/>
      <w:marTop w:val="0"/>
      <w:marBottom w:val="0"/>
      <w:divBdr>
        <w:top w:val="none" w:sz="0" w:space="0" w:color="auto"/>
        <w:left w:val="none" w:sz="0" w:space="0" w:color="auto"/>
        <w:bottom w:val="none" w:sz="0" w:space="0" w:color="auto"/>
        <w:right w:val="none" w:sz="0" w:space="0" w:color="auto"/>
      </w:divBdr>
    </w:div>
    <w:div w:id="2059013026">
      <w:bodyDiv w:val="1"/>
      <w:marLeft w:val="0"/>
      <w:marRight w:val="0"/>
      <w:marTop w:val="0"/>
      <w:marBottom w:val="0"/>
      <w:divBdr>
        <w:top w:val="none" w:sz="0" w:space="0" w:color="auto"/>
        <w:left w:val="none" w:sz="0" w:space="0" w:color="auto"/>
        <w:bottom w:val="none" w:sz="0" w:space="0" w:color="auto"/>
        <w:right w:val="none" w:sz="0" w:space="0" w:color="auto"/>
      </w:divBdr>
    </w:div>
    <w:div w:id="2060013114">
      <w:bodyDiv w:val="1"/>
      <w:marLeft w:val="0"/>
      <w:marRight w:val="0"/>
      <w:marTop w:val="0"/>
      <w:marBottom w:val="0"/>
      <w:divBdr>
        <w:top w:val="none" w:sz="0" w:space="0" w:color="auto"/>
        <w:left w:val="none" w:sz="0" w:space="0" w:color="auto"/>
        <w:bottom w:val="none" w:sz="0" w:space="0" w:color="auto"/>
        <w:right w:val="none" w:sz="0" w:space="0" w:color="auto"/>
      </w:divBdr>
    </w:div>
    <w:div w:id="2080595049">
      <w:bodyDiv w:val="1"/>
      <w:marLeft w:val="0"/>
      <w:marRight w:val="0"/>
      <w:marTop w:val="0"/>
      <w:marBottom w:val="0"/>
      <w:divBdr>
        <w:top w:val="none" w:sz="0" w:space="0" w:color="auto"/>
        <w:left w:val="none" w:sz="0" w:space="0" w:color="auto"/>
        <w:bottom w:val="none" w:sz="0" w:space="0" w:color="auto"/>
        <w:right w:val="none" w:sz="0" w:space="0" w:color="auto"/>
      </w:divBdr>
    </w:div>
    <w:div w:id="2121759920">
      <w:bodyDiv w:val="1"/>
      <w:marLeft w:val="0"/>
      <w:marRight w:val="0"/>
      <w:marTop w:val="0"/>
      <w:marBottom w:val="0"/>
      <w:divBdr>
        <w:top w:val="none" w:sz="0" w:space="0" w:color="auto"/>
        <w:left w:val="none" w:sz="0" w:space="0" w:color="auto"/>
        <w:bottom w:val="none" w:sz="0" w:space="0" w:color="auto"/>
        <w:right w:val="none" w:sz="0" w:space="0" w:color="auto"/>
      </w:divBdr>
    </w:div>
    <w:div w:id="2138521983">
      <w:bodyDiv w:val="1"/>
      <w:marLeft w:val="0"/>
      <w:marRight w:val="0"/>
      <w:marTop w:val="0"/>
      <w:marBottom w:val="0"/>
      <w:divBdr>
        <w:top w:val="none" w:sz="0" w:space="0" w:color="auto"/>
        <w:left w:val="none" w:sz="0" w:space="0" w:color="auto"/>
        <w:bottom w:val="none" w:sz="0" w:space="0" w:color="auto"/>
        <w:right w:val="none" w:sz="0" w:space="0" w:color="auto"/>
      </w:divBdr>
    </w:div>
    <w:div w:id="2142263727">
      <w:bodyDiv w:val="1"/>
      <w:marLeft w:val="0"/>
      <w:marRight w:val="0"/>
      <w:marTop w:val="0"/>
      <w:marBottom w:val="0"/>
      <w:divBdr>
        <w:top w:val="none" w:sz="0" w:space="0" w:color="auto"/>
        <w:left w:val="none" w:sz="0" w:space="0" w:color="auto"/>
        <w:bottom w:val="none" w:sz="0" w:space="0" w:color="auto"/>
        <w:right w:val="none" w:sz="0" w:space="0" w:color="auto"/>
      </w:divBdr>
    </w:div>
    <w:div w:id="21448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Inf234</b:Tag>
    <b:SourceType>Case</b:SourceType>
    <b:Guid>{19B47081-0BEB-4523-AFB3-3B81C6C217BE}</b:Guid>
    <b:Author>
      <b:Author>
        <b:Corporate>Ministerio de Salud Pública y Asistencia Social</b:Corporate>
      </b:Author>
    </b:Author>
    <b:Title>Información Pública. Expediente</b:Title>
    <b:Year>2023</b:Year>
    <b:CaseNumber>Expediente UIP-SI-0581-2023</b:CaseNumber>
    <b:Court>MSPAS</b:Court>
    <b:Month>Marzo</b:Month>
    <b:Day>8</b:Day>
    <b:RefOrder>3</b:RefOrder>
  </b:Source>
  <b:Source>
    <b:Tag>Dom22</b:Tag>
    <b:SourceType>InternetSite</b:SourceType>
    <b:Guid>{2BC32488-1B38-402D-8CA3-B46DF144522D}</b:Guid>
    <b:Title>“Desabastecimiento es a propósito”: médico denuncia irregularidades en compra de medicamentos para pacientes con VIH</b:Title>
    <b:Year>2022</b:Year>
    <b:Month>Abril</b:Month>
    <b:Day>8</b:Day>
    <b:Author>
      <b:Author>
        <b:NameList>
          <b:Person>
            <b:Last>Domínguez</b:Last>
            <b:First>César</b:First>
            <b:Middle>Pérez Marroquín y Andrea</b:Middle>
          </b:Person>
        </b:NameList>
      </b:Author>
    </b:Author>
    <b:City>Guatemala</b:City>
    <b:StateProvince>Guatemala</b:StateProvince>
    <b:CountryRegion>Guatemala</b:CountryRegion>
    <b:InternetSiteTitle>Guatevisión</b:InternetSiteTitle>
    <b:URL>https://www.guatevision.com/nacionales/desabastecimiento-es-a-proposito-medico-denuncia-irregularidades-en-compra-de-medicamentos-para-pacientes-con-vih</b:URL>
    <b:RefOrder>4</b:RefOrder>
  </b:Source>
  <b:Source>
    <b:Tag>Pro22</b:Tag>
    <b:SourceType>InternetSite</b:SourceType>
    <b:Guid>{5C416841-BB17-4A86-866A-4A8431ED9A21}</b:Guid>
    <b:Author>
      <b:Author>
        <b:Corporate>Procuraduría de Derechos Humanos</b:Corporate>
      </b:Author>
    </b:Author>
    <b:Title>www.pdh.org.gt</b:Title>
    <b:Year>2022</b:Year>
    <b:Month>Mayo</b:Month>
    <b:Day>05</b:Day>
    <b:URL>https://www.pdh.org.gt/documentos/seccion-de-informes/supervision-y-monitoreo/defensoria-de-la-salud-1/ano-2022/informe-de-accion-especifica-supervision-al-desabastecimiento-de-medicamentos-antirretrovirales-e-insumos-en-las-unidades-de-atencion-integral-</b:URL>
    <b:RefOrder>5</b:RefOrder>
  </b:Source>
  <b:Source>
    <b:Tag>Ana22</b:Tag>
    <b:SourceType>InternetSite</b:SourceType>
    <b:Guid>{71EB2EB1-40D2-49DD-9453-01ED8F22824B}</b:Guid>
    <b:Author>
      <b:Author>
        <b:NameList>
          <b:Person>
            <b:Last>Ola</b:Last>
            <b:First>Ana</b:First>
            <b:Middle>Lucía</b:Middle>
          </b:Person>
        </b:NameList>
      </b:Author>
    </b:Author>
    <b:Title>www. prensalibre.com</b:Title>
    <b:Year>2022</b:Year>
    <b:Month>Septiembre</b:Month>
    <b:Day>7</b:Day>
    <b:URL>https://www.prensalibre.com/guatemala/comunitario/no-hay-medicamento-para-ninos-con-vih-pacientes-pediatricos-estan-en-riesgo-de-morir/?utm_source=modulosPL&amp;utm_medium=terecomendamos&amp;utm_campaign=ux</b:URL>
    <b:RefOrder>6</b:RefOrder>
  </b:Source>
  <b:Source>
    <b:Tag>MSP212</b:Tag>
    <b:SourceType>Report</b:SourceType>
    <b:Guid>{98F5EF64-6A76-4FC8-9E69-43646F24DE35}</b:Guid>
    <b:Title>Informe de Monitoreo Global de Sida (GAM)</b:Title>
    <b:Year>2021</b:Year>
    <b:Author>
      <b:Author>
        <b:Corporate>MSPAS</b:Corporate>
      </b:Author>
    </b:Author>
    <b:Publisher>MSPAS</b:Publisher>
    <b:City>Guatemala</b:City>
    <b:RefOrder>7</b:RefOrder>
  </b:Source>
  <b:Source>
    <b:Tag>Est23</b:Tag>
    <b:SourceType>Report</b:SourceType>
    <b:Guid>{9DD8E1DD-BFD1-4D92-B350-A11E2A8284FD}</b:Guid>
    <b:Author>
      <b:Author>
        <b:Corporate>Estado de Guatemala</b:Corporate>
      </b:Author>
    </b:Author>
    <b:Title>Respuestas de Guatemala a la lista de cuestiones y preguntas relativa a su décimo informe periódico</b:Title>
    <b:Year>2023</b:Year>
    <b:City>Guatemala</b:City>
    <b:RefOrder>1</b:RefOrder>
  </b:Source>
  <b:Source>
    <b:Tag>Pro191</b:Tag>
    <b:SourceType>Report</b:SourceType>
    <b:Guid>{966A3145-D28B-4BD5-95C9-07BCFB648ACD}</b:Guid>
    <b:Author>
      <b:Author>
        <b:Corporate>Procurador de los Derechos Humanos</b:Corporate>
      </b:Author>
    </b:Author>
    <b:Title>Informe sobre el cumplimiento de las recomendaciones de la CEDAW relativas al derecho de las mujeres a vivir sin discriminación y libres de violencia por parte del Estado de Guatemala</b:Title>
    <b:Year>2019</b:Year>
    <b:Publisher>PDH</b:Publisher>
    <b:City>Guatemala</b:City>
    <b:RefOrder>2</b:RefOrder>
  </b:Source>
  <b:Source>
    <b:Tag>Ola22</b:Tag>
    <b:SourceType>DocumentFromInternetSite</b:SourceType>
    <b:Guid>{138DFD63-49E1-4476-807C-D18F5EDADBDC}</b:Guid>
    <b:Title>Desabastecimiento: OPS donará medicamentos antirretrovirales para niños con VIH</b:Title>
    <b:Year>2022</b:Year>
    <b:Author>
      <b:Author>
        <b:NameList>
          <b:Person>
            <b:Last>Ola</b:Last>
            <b:First>Ana</b:First>
            <b:Middle>Lucía</b:Middle>
          </b:Person>
        </b:NameList>
      </b:Author>
    </b:Author>
    <b:PeriodicalTitle>Comunitario</b:PeriodicalTitle>
    <b:Month>Octubre</b:Month>
    <b:Day>4</b:Day>
    <b:InternetSiteTitle>www.prensalibre.com</b:InternetSiteTitle>
    <b:URL>https://www.prensalibre.com/guatemala/comunitario/desabastecimiento-ops-donara-medicamentos-antirretrovirales-para-ninos-con-vih/</b:URL>
    <b:RefOrder>8</b:RefOrder>
  </b:Source>
  <b:Source>
    <b:Tag>Ale23</b:Tag>
    <b:SourceType>DocumentFromInternetSite</b:SourceType>
    <b:Guid>{4F87EDD7-2852-46C9-9B24-DC51061D1AF6}</b:Guid>
    <b:Author>
      <b:Author>
        <b:NameList>
          <b:Person>
            <b:Last>Maldonado</b:Last>
            <b:First>Alex</b:First>
          </b:Person>
        </b:NameList>
      </b:Author>
    </b:Author>
    <b:Title>Persisten Problemas de Abastecimiento de Antirretrovirales en Guatemala</b:Title>
    <b:InternetSiteTitle>www.agenciaocote.com</b:InternetSiteTitle>
    <b:Year>2023</b:Year>
    <b:Month>Marzo</b:Month>
    <b:Day>24</b:Day>
    <b:URL>https://www.agenciaocote.com/blog/2023/03/24/persisten-problemas-de-abastecimiento-de-antirretrovirales-en-guatemala/</b:URL>
    <b:RefOrder>9</b:RefOrder>
  </b:Source>
  <b:Source>
    <b:Tag>Min23</b:Tag>
    <b:SourceType>DocumentFromInternetSite</b:SourceType>
    <b:Guid>{50CBAFFB-7FC9-40E6-8874-D3EC1C77B9C2}</b:Guid>
    <b:Title>Vigilancia Epidemiológica del VIH. Guatemala enero-mayo 2023</b:Title>
    <b:Court>MSPAS</b:Court>
    <b:Year>2023</b:Year>
    <b:Month>Agosto</b:Month>
    <b:Day>21</b:Day>
    <b:Author>
      <b:Author>
        <b:Corporate>Ministerio de Salud Pública y Asistencia Social</b:Corporate>
      </b:Author>
    </b:Author>
    <b:InternetSiteTitle>www.mspas.gob.gt</b:InternetSiteTitle>
    <b:URL>https://epidemiologia.mspas.gob.gt/phocadownload/userupload/vih/situacion-epidemiologica-vih-enero-a-mayo-2023.pdf</b:URL>
    <b:RefOrder>10</b:RefOrder>
  </b:Source>
  <b:Source>
    <b:Tag>Pro231</b:Tag>
    <b:SourceType>Report</b:SourceType>
    <b:Guid>{909BDE76-79FC-434B-AB2C-28008336CFE9}</b:Guid>
    <b:Author>
      <b:Author>
        <b:Corporate>Procuraduría General de la Nación</b:Corporate>
      </b:Author>
    </b:Author>
    <b:Title>Resolución de Información Pública 359-2023</b:Title>
    <b:Year>2023</b:Year>
    <b:Publisher>PGN</b:Publisher>
    <b:City>Guatemala</b:City>
    <b:RefOrder>11</b:RefOrder>
  </b:Source>
  <b:Source>
    <b:Tag>Sec23</b:Tag>
    <b:SourceType>Report</b:SourceType>
    <b:Guid>{F31A9617-87E9-4FAD-AB5E-F749919FC726}</b:Guid>
    <b:Author>
      <b:Author>
        <b:Corporate>Secretaría de Bienestar Social de la Presidencia de la República</b:Corporate>
      </b:Author>
    </b:Author>
    <b:Title>Información Pública. Solicitud U.I.P. DCS 120-2023</b:Title>
    <b:Year>2023</b:Year>
    <b:Publisher>SBS</b:Publisher>
    <b:City>Guatemala</b:City>
    <b:RefOrder>12</b:RefOrder>
  </b:Source>
</b:Sources>
</file>

<file path=customXml/itemProps1.xml><?xml version="1.0" encoding="utf-8"?>
<ds:datastoreItem xmlns:ds="http://schemas.openxmlformats.org/officeDocument/2006/customXml" ds:itemID="{7410E37E-B0B4-4562-9681-0FD5171AE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3605</Words>
  <Characters>19832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 Samayoa Guillermo Josué</dc:creator>
  <cp:keywords/>
  <dc:description/>
  <cp:lastModifiedBy>Has Samayoa Guillermo Josué</cp:lastModifiedBy>
  <cp:revision>2</cp:revision>
  <dcterms:created xsi:type="dcterms:W3CDTF">2023-09-20T17:07:00Z</dcterms:created>
  <dcterms:modified xsi:type="dcterms:W3CDTF">2023-09-20T17:07:00Z</dcterms:modified>
</cp:coreProperties>
</file>