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D087B" w14:textId="3B2352A4" w:rsidR="001E0AEC" w:rsidRPr="001D3519" w:rsidRDefault="00493CFB" w:rsidP="00E3681A">
      <w:pPr>
        <w:autoSpaceDE w:val="0"/>
        <w:autoSpaceDN w:val="0"/>
        <w:adjustRightInd w:val="0"/>
        <w:spacing w:after="0" w:line="240" w:lineRule="auto"/>
        <w:jc w:val="both"/>
        <w:rPr>
          <w:rFonts w:cstheme="minorHAnsi"/>
          <w:b/>
          <w:bCs/>
          <w:color w:val="4E8542" w:themeColor="accent4"/>
          <w:sz w:val="32"/>
          <w:szCs w:val="32"/>
          <w:lang w:val="en-US"/>
        </w:rPr>
      </w:pPr>
      <w:r>
        <w:rPr>
          <w:rFonts w:cstheme="minorHAnsi"/>
          <w:b/>
          <w:bCs/>
          <w:color w:val="4E8542" w:themeColor="accent4"/>
          <w:sz w:val="32"/>
          <w:szCs w:val="32"/>
          <w:lang w:val="en-US"/>
        </w:rPr>
        <w:t xml:space="preserve">CEDAW Shadow report| </w:t>
      </w:r>
      <w:r w:rsidR="001E0AEC" w:rsidRPr="00493CFB">
        <w:rPr>
          <w:rFonts w:cstheme="minorHAnsi"/>
          <w:b/>
          <w:bCs/>
          <w:color w:val="8DC182" w:themeColor="accent4" w:themeTint="99"/>
          <w:sz w:val="32"/>
          <w:szCs w:val="32"/>
          <w:lang w:val="en-US"/>
        </w:rPr>
        <w:t xml:space="preserve">The </w:t>
      </w:r>
      <w:r w:rsidR="001D3519" w:rsidRPr="00493CFB">
        <w:rPr>
          <w:rFonts w:cstheme="minorHAnsi"/>
          <w:b/>
          <w:bCs/>
          <w:color w:val="8DC182" w:themeColor="accent4" w:themeTint="99"/>
          <w:sz w:val="32"/>
          <w:szCs w:val="32"/>
          <w:lang w:val="en-US"/>
        </w:rPr>
        <w:t>s</w:t>
      </w:r>
      <w:r w:rsidR="001E0AEC" w:rsidRPr="00493CFB">
        <w:rPr>
          <w:rFonts w:cstheme="minorHAnsi"/>
          <w:b/>
          <w:bCs/>
          <w:color w:val="8DC182" w:themeColor="accent4" w:themeTint="99"/>
          <w:sz w:val="32"/>
          <w:szCs w:val="32"/>
          <w:lang w:val="en-US"/>
        </w:rPr>
        <w:t xml:space="preserve">ituation of </w:t>
      </w:r>
      <w:r w:rsidR="001D3519" w:rsidRPr="00493CFB">
        <w:rPr>
          <w:rFonts w:cstheme="minorHAnsi"/>
          <w:b/>
          <w:bCs/>
          <w:color w:val="8DC182" w:themeColor="accent4" w:themeTint="99"/>
          <w:sz w:val="32"/>
          <w:szCs w:val="32"/>
          <w:lang w:val="en-US"/>
        </w:rPr>
        <w:t>l</w:t>
      </w:r>
      <w:r w:rsidR="001E0AEC" w:rsidRPr="00493CFB">
        <w:rPr>
          <w:rFonts w:cstheme="minorHAnsi"/>
          <w:b/>
          <w:bCs/>
          <w:color w:val="8DC182" w:themeColor="accent4" w:themeTint="99"/>
          <w:sz w:val="32"/>
          <w:szCs w:val="32"/>
          <w:lang w:val="en-US"/>
        </w:rPr>
        <w:t xml:space="preserve">esbian, </w:t>
      </w:r>
      <w:r w:rsidR="001D3519" w:rsidRPr="00493CFB">
        <w:rPr>
          <w:rFonts w:cstheme="minorHAnsi"/>
          <w:b/>
          <w:bCs/>
          <w:color w:val="8DC182" w:themeColor="accent4" w:themeTint="99"/>
          <w:sz w:val="32"/>
          <w:szCs w:val="32"/>
          <w:lang w:val="en-US"/>
        </w:rPr>
        <w:t>b</w:t>
      </w:r>
      <w:r w:rsidR="001E0AEC" w:rsidRPr="00493CFB">
        <w:rPr>
          <w:rFonts w:cstheme="minorHAnsi"/>
          <w:b/>
          <w:bCs/>
          <w:color w:val="8DC182" w:themeColor="accent4" w:themeTint="99"/>
          <w:sz w:val="32"/>
          <w:szCs w:val="32"/>
          <w:lang w:val="en-US"/>
        </w:rPr>
        <w:t>isexual</w:t>
      </w:r>
      <w:r w:rsidR="001D3519" w:rsidRPr="00493CFB">
        <w:rPr>
          <w:rFonts w:cstheme="minorHAnsi"/>
          <w:b/>
          <w:bCs/>
          <w:color w:val="8DC182" w:themeColor="accent4" w:themeTint="99"/>
          <w:sz w:val="32"/>
          <w:szCs w:val="32"/>
          <w:lang w:val="en-US"/>
        </w:rPr>
        <w:t>,</w:t>
      </w:r>
      <w:r w:rsidR="001E0AEC" w:rsidRPr="00493CFB">
        <w:rPr>
          <w:rFonts w:cstheme="minorHAnsi"/>
          <w:b/>
          <w:bCs/>
          <w:color w:val="8DC182" w:themeColor="accent4" w:themeTint="99"/>
          <w:sz w:val="32"/>
          <w:szCs w:val="32"/>
          <w:lang w:val="en-US"/>
        </w:rPr>
        <w:t xml:space="preserve"> queer women, other women who have sex with women and female bodied trans-gender men</w:t>
      </w:r>
      <w:r w:rsidR="001D3519" w:rsidRPr="00493CFB">
        <w:rPr>
          <w:rFonts w:cstheme="minorHAnsi"/>
          <w:b/>
          <w:bCs/>
          <w:color w:val="8DC182" w:themeColor="accent4" w:themeTint="99"/>
          <w:sz w:val="32"/>
          <w:szCs w:val="32"/>
          <w:lang w:val="en-US"/>
        </w:rPr>
        <w:t xml:space="preserve"> in Namibia</w:t>
      </w:r>
      <w:r w:rsidR="001E0AEC" w:rsidRPr="00493CFB">
        <w:rPr>
          <w:rFonts w:cstheme="minorHAnsi"/>
          <w:b/>
          <w:bCs/>
          <w:color w:val="8DC182" w:themeColor="accent4" w:themeTint="99"/>
          <w:sz w:val="32"/>
          <w:szCs w:val="32"/>
          <w:lang w:val="en-US"/>
        </w:rPr>
        <w:t xml:space="preserve">. </w:t>
      </w:r>
    </w:p>
    <w:p w14:paraId="76172459" w14:textId="77777777" w:rsidR="00F121AE" w:rsidRPr="00A962EA" w:rsidRDefault="00F121AE" w:rsidP="001E0AEC">
      <w:pPr>
        <w:autoSpaceDE w:val="0"/>
        <w:autoSpaceDN w:val="0"/>
        <w:adjustRightInd w:val="0"/>
        <w:spacing w:after="0" w:line="240" w:lineRule="auto"/>
        <w:rPr>
          <w:rFonts w:cstheme="minorHAnsi"/>
          <w:b/>
          <w:bCs/>
          <w:sz w:val="32"/>
          <w:szCs w:val="32"/>
          <w:lang w:val="en-US"/>
        </w:rPr>
      </w:pPr>
    </w:p>
    <w:p w14:paraId="5032740A" w14:textId="4FA8A5CE" w:rsidR="00593762" w:rsidRPr="00D1284A" w:rsidRDefault="00F121AE" w:rsidP="001E0AEC">
      <w:pPr>
        <w:autoSpaceDE w:val="0"/>
        <w:autoSpaceDN w:val="0"/>
        <w:adjustRightInd w:val="0"/>
        <w:spacing w:after="0" w:line="240" w:lineRule="auto"/>
        <w:rPr>
          <w:rFonts w:cstheme="minorHAnsi"/>
          <w:b/>
          <w:bCs/>
          <w:sz w:val="20"/>
          <w:szCs w:val="20"/>
          <w:lang w:val="en-US"/>
        </w:rPr>
      </w:pPr>
      <w:r w:rsidRPr="00D1284A">
        <w:rPr>
          <w:rFonts w:cstheme="minorHAnsi"/>
          <w:b/>
          <w:bCs/>
          <w:sz w:val="20"/>
          <w:szCs w:val="20"/>
          <w:lang w:val="en-US"/>
        </w:rPr>
        <w:t>Developed by Positive Vibes, Women</w:t>
      </w:r>
      <w:r w:rsidR="005F0C10" w:rsidRPr="00D1284A">
        <w:rPr>
          <w:rFonts w:cstheme="minorHAnsi"/>
          <w:b/>
          <w:bCs/>
          <w:sz w:val="20"/>
          <w:szCs w:val="20"/>
          <w:lang w:val="en-US"/>
        </w:rPr>
        <w:t xml:space="preserve">`s </w:t>
      </w:r>
      <w:r w:rsidRPr="00D1284A">
        <w:rPr>
          <w:rFonts w:cstheme="minorHAnsi"/>
          <w:b/>
          <w:bCs/>
          <w:sz w:val="20"/>
          <w:szCs w:val="20"/>
          <w:lang w:val="en-US"/>
        </w:rPr>
        <w:t>Leaders</w:t>
      </w:r>
      <w:r w:rsidR="00D1284A">
        <w:rPr>
          <w:rFonts w:cstheme="minorHAnsi"/>
          <w:b/>
          <w:bCs/>
          <w:sz w:val="20"/>
          <w:szCs w:val="20"/>
          <w:lang w:val="en-US"/>
        </w:rPr>
        <w:t>hip</w:t>
      </w:r>
      <w:r w:rsidRPr="00D1284A">
        <w:rPr>
          <w:rFonts w:cstheme="minorHAnsi"/>
          <w:b/>
          <w:bCs/>
          <w:sz w:val="20"/>
          <w:szCs w:val="20"/>
          <w:lang w:val="en-US"/>
        </w:rPr>
        <w:t xml:space="preserve"> Centre and Young Feminist Movement</w:t>
      </w:r>
      <w:r w:rsidR="00493CFB">
        <w:rPr>
          <w:rFonts w:cstheme="minorHAnsi"/>
          <w:b/>
          <w:bCs/>
          <w:sz w:val="20"/>
          <w:szCs w:val="20"/>
          <w:lang w:val="en-US"/>
        </w:rPr>
        <w:t xml:space="preserve"> Namibia</w:t>
      </w:r>
    </w:p>
    <w:p w14:paraId="20EF2EA1" w14:textId="12DC8CAA" w:rsidR="00D1284A" w:rsidRDefault="00D1284A" w:rsidP="001E0AEC">
      <w:pPr>
        <w:autoSpaceDE w:val="0"/>
        <w:autoSpaceDN w:val="0"/>
        <w:adjustRightInd w:val="0"/>
        <w:spacing w:after="0" w:line="240" w:lineRule="auto"/>
        <w:rPr>
          <w:rFonts w:cstheme="minorHAnsi"/>
          <w:b/>
          <w:bCs/>
          <w:sz w:val="20"/>
          <w:szCs w:val="20"/>
          <w:lang w:val="en-US"/>
        </w:rPr>
      </w:pPr>
    </w:p>
    <w:p w14:paraId="35B5E060" w14:textId="77777777" w:rsidR="00D1284A" w:rsidRDefault="00D1284A" w:rsidP="00D1284A">
      <w:pPr>
        <w:pStyle w:val="Default"/>
        <w:rPr>
          <w:rFonts w:asciiTheme="minorHAnsi" w:hAnsiTheme="minorHAnsi" w:cstheme="minorHAnsi"/>
          <w:b/>
          <w:bCs/>
          <w:sz w:val="20"/>
          <w:szCs w:val="20"/>
        </w:rPr>
      </w:pPr>
      <w:r w:rsidRPr="00FC3B07">
        <w:rPr>
          <w:rFonts w:asciiTheme="minorHAnsi" w:hAnsiTheme="minorHAnsi" w:cstheme="minorHAnsi"/>
          <w:b/>
          <w:bCs/>
          <w:sz w:val="20"/>
          <w:szCs w:val="20"/>
        </w:rPr>
        <w:t>Positive Vibes Trust (PV)</w:t>
      </w:r>
    </w:p>
    <w:p w14:paraId="29EB02FD" w14:textId="77777777" w:rsidR="00246770" w:rsidRDefault="00246770" w:rsidP="00D1284A">
      <w:pPr>
        <w:pStyle w:val="Default"/>
        <w:rPr>
          <w:rStyle w:val="Hyperlink"/>
          <w:rFonts w:cstheme="minorHAnsi"/>
          <w:b/>
          <w:bCs/>
          <w:sz w:val="20"/>
          <w:szCs w:val="20"/>
        </w:rPr>
      </w:pPr>
      <w:r w:rsidRPr="00D1284A">
        <w:rPr>
          <w:rFonts w:cstheme="minorHAnsi"/>
          <w:b/>
          <w:bCs/>
          <w:sz w:val="20"/>
          <w:szCs w:val="20"/>
        </w:rPr>
        <w:t xml:space="preserve">Salen Kambinda </w:t>
      </w:r>
      <w:r w:rsidRPr="00D1284A">
        <w:rPr>
          <w:rFonts w:cstheme="minorHAnsi"/>
          <w:b/>
          <w:bCs/>
          <w:sz w:val="20"/>
          <w:szCs w:val="20"/>
        </w:rPr>
        <w:tab/>
      </w:r>
      <w:r w:rsidRPr="00D1284A">
        <w:rPr>
          <w:rFonts w:cstheme="minorHAnsi"/>
          <w:b/>
          <w:bCs/>
          <w:sz w:val="20"/>
          <w:szCs w:val="20"/>
        </w:rPr>
        <w:tab/>
      </w:r>
      <w:hyperlink r:id="rId7" w:history="1">
        <w:r w:rsidRPr="00D1284A">
          <w:rPr>
            <w:rStyle w:val="Hyperlink"/>
            <w:rFonts w:cstheme="minorHAnsi"/>
            <w:b/>
            <w:bCs/>
            <w:sz w:val="20"/>
            <w:szCs w:val="20"/>
          </w:rPr>
          <w:t>salen@positiivevibes.org</w:t>
        </w:r>
      </w:hyperlink>
    </w:p>
    <w:p w14:paraId="3C7FEFD7" w14:textId="4FC1B109" w:rsidR="00D1284A" w:rsidRPr="00D1284A" w:rsidRDefault="00E84F68" w:rsidP="00246770">
      <w:pPr>
        <w:pStyle w:val="Default"/>
        <w:ind w:left="2115" w:firstLine="720"/>
        <w:rPr>
          <w:rFonts w:asciiTheme="minorHAnsi" w:hAnsiTheme="minorHAnsi" w:cstheme="minorHAnsi"/>
          <w:b/>
          <w:bCs/>
          <w:sz w:val="20"/>
          <w:szCs w:val="20"/>
        </w:rPr>
      </w:pPr>
      <w:hyperlink r:id="rId8" w:history="1">
        <w:r w:rsidR="00246770" w:rsidRPr="00D57A97">
          <w:rPr>
            <w:rStyle w:val="Hyperlink"/>
            <w:rFonts w:asciiTheme="minorHAnsi" w:hAnsiTheme="minorHAnsi" w:cstheme="minorHAnsi"/>
            <w:bCs/>
            <w:sz w:val="20"/>
            <w:szCs w:val="20"/>
          </w:rPr>
          <w:t>www.positivevibes.org</w:t>
        </w:r>
      </w:hyperlink>
    </w:p>
    <w:p w14:paraId="1320EBFE" w14:textId="30FC2838" w:rsidR="00D1284A" w:rsidRPr="00FC3B07" w:rsidRDefault="00D1284A" w:rsidP="00D1284A">
      <w:pPr>
        <w:pStyle w:val="Default"/>
        <w:rPr>
          <w:rFonts w:asciiTheme="minorHAnsi" w:hAnsiTheme="minorHAnsi" w:cstheme="minorHAnsi"/>
          <w:bCs/>
          <w:sz w:val="20"/>
          <w:szCs w:val="20"/>
        </w:rPr>
      </w:pPr>
    </w:p>
    <w:p w14:paraId="2C17DA9B" w14:textId="762357A9" w:rsidR="00D1284A" w:rsidRPr="00FC3B07" w:rsidRDefault="00D1284A" w:rsidP="00246770">
      <w:pPr>
        <w:pStyle w:val="Default"/>
        <w:ind w:left="2835"/>
        <w:rPr>
          <w:rFonts w:asciiTheme="minorHAnsi" w:hAnsiTheme="minorHAnsi" w:cstheme="minorHAnsi"/>
          <w:bCs/>
          <w:sz w:val="20"/>
          <w:szCs w:val="20"/>
        </w:rPr>
      </w:pPr>
      <w:r w:rsidRPr="00FC3B07">
        <w:rPr>
          <w:rFonts w:asciiTheme="minorHAnsi" w:hAnsiTheme="minorHAnsi" w:cstheme="minorHAnsi"/>
          <w:bCs/>
          <w:noProof/>
          <w:sz w:val="20"/>
          <w:szCs w:val="20"/>
        </w:rPr>
        <w:drawing>
          <wp:anchor distT="0" distB="0" distL="114300" distR="114300" simplePos="0" relativeHeight="251658240" behindDoc="1" locked="0" layoutInCell="1" allowOverlap="1" wp14:anchorId="6737E666" wp14:editId="279765A6">
            <wp:simplePos x="0" y="0"/>
            <wp:positionH relativeFrom="column">
              <wp:posOffset>3810</wp:posOffset>
            </wp:positionH>
            <wp:positionV relativeFrom="paragraph">
              <wp:posOffset>50165</wp:posOffset>
            </wp:positionV>
            <wp:extent cx="1059180" cy="872490"/>
            <wp:effectExtent l="0" t="0" r="7620" b="3810"/>
            <wp:wrapSquare wrapText="bothSides"/>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059180" cy="872490"/>
                    </a:xfrm>
                    <a:prstGeom prst="rect">
                      <a:avLst/>
                    </a:prstGeom>
                  </pic:spPr>
                </pic:pic>
              </a:graphicData>
            </a:graphic>
            <wp14:sizeRelH relativeFrom="margin">
              <wp14:pctWidth>0</wp14:pctWidth>
            </wp14:sizeRelH>
            <wp14:sizeRelV relativeFrom="margin">
              <wp14:pctHeight>0</wp14:pctHeight>
            </wp14:sizeRelV>
          </wp:anchor>
        </w:drawing>
      </w:r>
      <w:r w:rsidRPr="00FC3B07">
        <w:rPr>
          <w:rFonts w:asciiTheme="minorHAnsi" w:hAnsiTheme="minorHAnsi" w:cstheme="minorHAnsi"/>
          <w:bCs/>
          <w:sz w:val="20"/>
          <w:szCs w:val="20"/>
        </w:rPr>
        <w:t xml:space="preserve">Positive Vibes is a Namibian registered trust that has been operating nationally since 2008 and in the SADC region since 2012.its footprint has expanded to include West and North Africa and since 2019, </w:t>
      </w:r>
      <w:proofErr w:type="gramStart"/>
      <w:r w:rsidRPr="00FC3B07">
        <w:rPr>
          <w:rFonts w:asciiTheme="minorHAnsi" w:hAnsiTheme="minorHAnsi" w:cstheme="minorHAnsi"/>
          <w:bCs/>
          <w:sz w:val="20"/>
          <w:szCs w:val="20"/>
        </w:rPr>
        <w:t>South East</w:t>
      </w:r>
      <w:proofErr w:type="gramEnd"/>
      <w:r w:rsidRPr="00FC3B07">
        <w:rPr>
          <w:rFonts w:asciiTheme="minorHAnsi" w:hAnsiTheme="minorHAnsi" w:cstheme="minorHAnsi"/>
          <w:bCs/>
          <w:sz w:val="20"/>
          <w:szCs w:val="20"/>
        </w:rPr>
        <w:t xml:space="preserve"> Asia. Positive Vibes works in the field of health and human rights in Africa, in Solidarity and partnership with marginalized and vulnerable communities. All PV’s work </w:t>
      </w:r>
      <w:proofErr w:type="gramStart"/>
      <w:r w:rsidRPr="00FC3B07">
        <w:rPr>
          <w:rFonts w:asciiTheme="minorHAnsi" w:hAnsiTheme="minorHAnsi" w:cstheme="minorHAnsi"/>
          <w:bCs/>
          <w:sz w:val="20"/>
          <w:szCs w:val="20"/>
        </w:rPr>
        <w:t>aim</w:t>
      </w:r>
      <w:proofErr w:type="gramEnd"/>
      <w:r w:rsidRPr="00FC3B07">
        <w:rPr>
          <w:rFonts w:asciiTheme="minorHAnsi" w:hAnsiTheme="minorHAnsi" w:cstheme="minorHAnsi"/>
          <w:bCs/>
          <w:sz w:val="20"/>
          <w:szCs w:val="20"/>
        </w:rPr>
        <w:t xml:space="preserve"> to disrupt othering, marginalization and exclusion –where they live, and the larger system that surrounds them.</w:t>
      </w:r>
    </w:p>
    <w:p w14:paraId="2A2A3777" w14:textId="77777777" w:rsidR="00D1284A" w:rsidRPr="00FC3B07" w:rsidRDefault="00D1284A" w:rsidP="00D1284A">
      <w:pPr>
        <w:pStyle w:val="Default"/>
        <w:rPr>
          <w:rFonts w:asciiTheme="minorHAnsi" w:hAnsiTheme="minorHAnsi" w:cstheme="minorHAnsi"/>
          <w:bCs/>
          <w:sz w:val="20"/>
          <w:szCs w:val="20"/>
        </w:rPr>
      </w:pPr>
    </w:p>
    <w:p w14:paraId="706694B5" w14:textId="77777777" w:rsidR="00D1284A" w:rsidRDefault="00D1284A" w:rsidP="00D1284A">
      <w:pPr>
        <w:pStyle w:val="Default"/>
        <w:jc w:val="center"/>
        <w:rPr>
          <w:rFonts w:asciiTheme="minorHAnsi" w:hAnsiTheme="minorHAnsi" w:cstheme="minorHAnsi"/>
          <w:b/>
          <w:bCs/>
          <w:sz w:val="20"/>
          <w:szCs w:val="20"/>
        </w:rPr>
      </w:pPr>
    </w:p>
    <w:p w14:paraId="309E8AD3" w14:textId="6F60D209" w:rsidR="00D1284A" w:rsidRPr="00FC3B07" w:rsidRDefault="00D1284A" w:rsidP="00D1284A">
      <w:pPr>
        <w:pStyle w:val="Default"/>
        <w:rPr>
          <w:rFonts w:asciiTheme="minorHAnsi" w:hAnsiTheme="minorHAnsi" w:cstheme="minorHAnsi"/>
          <w:b/>
          <w:bCs/>
          <w:sz w:val="20"/>
          <w:szCs w:val="20"/>
        </w:rPr>
      </w:pPr>
      <w:r w:rsidRPr="00FC3B07">
        <w:rPr>
          <w:rFonts w:asciiTheme="minorHAnsi" w:hAnsiTheme="minorHAnsi" w:cstheme="minorHAnsi"/>
          <w:b/>
          <w:bCs/>
          <w:sz w:val="20"/>
          <w:szCs w:val="20"/>
        </w:rPr>
        <w:t>Young Feminist Movement Namibia (Y-FEM)</w:t>
      </w:r>
    </w:p>
    <w:p w14:paraId="44A63685" w14:textId="54B19649" w:rsidR="00246770" w:rsidRDefault="00246770" w:rsidP="00D1284A">
      <w:pPr>
        <w:pStyle w:val="Default"/>
        <w:rPr>
          <w:rFonts w:cstheme="minorHAnsi"/>
          <w:b/>
          <w:bCs/>
          <w:sz w:val="20"/>
          <w:szCs w:val="20"/>
        </w:rPr>
      </w:pPr>
      <w:r w:rsidRPr="00D1284A">
        <w:rPr>
          <w:rFonts w:cstheme="minorHAnsi"/>
          <w:b/>
          <w:bCs/>
          <w:sz w:val="20"/>
          <w:szCs w:val="20"/>
        </w:rPr>
        <w:t>Florence Khaxas</w:t>
      </w:r>
      <w:r w:rsidRPr="00D1284A">
        <w:rPr>
          <w:rFonts w:cstheme="minorHAnsi"/>
          <w:b/>
          <w:bCs/>
          <w:sz w:val="20"/>
          <w:szCs w:val="20"/>
        </w:rPr>
        <w:tab/>
      </w:r>
      <w:r w:rsidRPr="00D1284A">
        <w:rPr>
          <w:rFonts w:cstheme="minorHAnsi"/>
          <w:b/>
          <w:bCs/>
          <w:sz w:val="20"/>
          <w:szCs w:val="20"/>
        </w:rPr>
        <w:tab/>
      </w:r>
      <w:r>
        <w:rPr>
          <w:rFonts w:cstheme="minorHAnsi"/>
          <w:b/>
          <w:bCs/>
          <w:sz w:val="20"/>
          <w:szCs w:val="20"/>
        </w:rPr>
        <w:tab/>
      </w:r>
      <w:hyperlink r:id="rId10" w:history="1">
        <w:r w:rsidRPr="00D57A97">
          <w:rPr>
            <w:rStyle w:val="Hyperlink"/>
            <w:rFonts w:cstheme="minorHAnsi"/>
            <w:b/>
            <w:bCs/>
            <w:sz w:val="20"/>
            <w:szCs w:val="20"/>
          </w:rPr>
          <w:t>florencekhaxas@gmail.com</w:t>
        </w:r>
      </w:hyperlink>
    </w:p>
    <w:p w14:paraId="3BDF5D90" w14:textId="77777777" w:rsidR="00246770" w:rsidRDefault="00246770" w:rsidP="00D1284A">
      <w:pPr>
        <w:pStyle w:val="Default"/>
        <w:rPr>
          <w:rFonts w:cstheme="minorHAnsi"/>
          <w:b/>
          <w:bCs/>
          <w:sz w:val="20"/>
          <w:szCs w:val="20"/>
        </w:rPr>
      </w:pPr>
    </w:p>
    <w:p w14:paraId="63ABF965" w14:textId="44E6DDBD" w:rsidR="00D1284A" w:rsidRPr="00FC3B07" w:rsidRDefault="00D1284A" w:rsidP="00246770">
      <w:pPr>
        <w:pStyle w:val="Default"/>
        <w:ind w:left="2835"/>
        <w:rPr>
          <w:rFonts w:asciiTheme="minorHAnsi" w:hAnsiTheme="minorHAnsi" w:cstheme="minorHAnsi"/>
          <w:bCs/>
          <w:sz w:val="20"/>
          <w:szCs w:val="20"/>
        </w:rPr>
      </w:pPr>
      <w:r w:rsidRPr="00FC3B07">
        <w:rPr>
          <w:rFonts w:asciiTheme="minorHAnsi" w:hAnsiTheme="minorHAnsi" w:cstheme="minorHAnsi"/>
          <w:noProof/>
          <w:sz w:val="20"/>
          <w:szCs w:val="20"/>
        </w:rPr>
        <w:drawing>
          <wp:anchor distT="0" distB="0" distL="114300" distR="114300" simplePos="0" relativeHeight="251659264" behindDoc="0" locked="0" layoutInCell="1" allowOverlap="1" wp14:anchorId="0F06EE2C" wp14:editId="69EB14FE">
            <wp:simplePos x="0" y="0"/>
            <wp:positionH relativeFrom="margin">
              <wp:align>left</wp:align>
            </wp:positionH>
            <wp:positionV relativeFrom="paragraph">
              <wp:posOffset>1905</wp:posOffset>
            </wp:positionV>
            <wp:extent cx="1330960" cy="925195"/>
            <wp:effectExtent l="0" t="0" r="2540" b="8255"/>
            <wp:wrapSquare wrapText="bothSides"/>
            <wp:docPr id="2" name="Picture 2" descr="A picture containing text, clipart&#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lipar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30960" cy="92519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anchor>
        </w:drawing>
      </w:r>
      <w:r w:rsidRPr="00FC3B07">
        <w:rPr>
          <w:rFonts w:asciiTheme="minorHAnsi" w:hAnsiTheme="minorHAnsi" w:cstheme="minorHAnsi"/>
          <w:bCs/>
          <w:sz w:val="20"/>
          <w:szCs w:val="20"/>
        </w:rPr>
        <w:t xml:space="preserve">Y-Fem Namibia is an activist-led feminist women’s human rights organization, our aim is to build an inclusive and intersectional feminist movement young women and girls in Namibia that </w:t>
      </w:r>
      <w:proofErr w:type="gramStart"/>
      <w:r w:rsidRPr="00FC3B07">
        <w:rPr>
          <w:rFonts w:asciiTheme="minorHAnsi" w:hAnsiTheme="minorHAnsi" w:cstheme="minorHAnsi"/>
          <w:bCs/>
          <w:sz w:val="20"/>
          <w:szCs w:val="20"/>
        </w:rPr>
        <w:t>know  and</w:t>
      </w:r>
      <w:proofErr w:type="gramEnd"/>
      <w:r w:rsidRPr="00FC3B07">
        <w:rPr>
          <w:rFonts w:asciiTheme="minorHAnsi" w:hAnsiTheme="minorHAnsi" w:cstheme="minorHAnsi"/>
          <w:bCs/>
          <w:sz w:val="20"/>
          <w:szCs w:val="20"/>
        </w:rPr>
        <w:t xml:space="preserve"> can claim their full human rights as persons as active citizens. We raise consciousness among young women of all forms of discrimination and oppression that has an impact on their lives and choices.</w:t>
      </w:r>
    </w:p>
    <w:p w14:paraId="578B9485" w14:textId="77777777" w:rsidR="00D1284A" w:rsidRPr="00FC3B07" w:rsidRDefault="00D1284A" w:rsidP="00D1284A">
      <w:pPr>
        <w:pStyle w:val="Default"/>
        <w:jc w:val="center"/>
        <w:rPr>
          <w:rFonts w:asciiTheme="minorHAnsi" w:hAnsiTheme="minorHAnsi" w:cstheme="minorHAnsi"/>
          <w:bCs/>
          <w:sz w:val="20"/>
          <w:szCs w:val="20"/>
        </w:rPr>
      </w:pPr>
    </w:p>
    <w:p w14:paraId="02968659" w14:textId="77777777" w:rsidR="00246770" w:rsidRDefault="00246770" w:rsidP="00D1284A">
      <w:pPr>
        <w:pStyle w:val="Default"/>
        <w:rPr>
          <w:rFonts w:asciiTheme="minorHAnsi" w:hAnsiTheme="minorHAnsi" w:cstheme="minorHAnsi"/>
          <w:b/>
          <w:bCs/>
          <w:sz w:val="20"/>
          <w:szCs w:val="20"/>
        </w:rPr>
      </w:pPr>
    </w:p>
    <w:p w14:paraId="75B7FEFD" w14:textId="77777777" w:rsidR="00246770" w:rsidRDefault="00246770" w:rsidP="00D1284A">
      <w:pPr>
        <w:pStyle w:val="Default"/>
        <w:rPr>
          <w:rFonts w:asciiTheme="minorHAnsi" w:hAnsiTheme="minorHAnsi" w:cstheme="minorHAnsi"/>
          <w:b/>
          <w:bCs/>
          <w:sz w:val="20"/>
          <w:szCs w:val="20"/>
        </w:rPr>
      </w:pPr>
    </w:p>
    <w:p w14:paraId="20CDA3AF" w14:textId="63ACC2BF" w:rsidR="00D1284A" w:rsidRPr="00246770" w:rsidRDefault="00D1284A" w:rsidP="00D1284A">
      <w:pPr>
        <w:pStyle w:val="Default"/>
        <w:rPr>
          <w:rFonts w:asciiTheme="minorHAnsi" w:hAnsiTheme="minorHAnsi" w:cstheme="minorHAnsi"/>
          <w:b/>
          <w:bCs/>
          <w:sz w:val="20"/>
          <w:szCs w:val="20"/>
        </w:rPr>
      </w:pPr>
      <w:r w:rsidRPr="00246770">
        <w:rPr>
          <w:rFonts w:asciiTheme="minorHAnsi" w:hAnsiTheme="minorHAnsi" w:cstheme="minorHAnsi"/>
          <w:b/>
          <w:bCs/>
          <w:sz w:val="20"/>
          <w:szCs w:val="20"/>
        </w:rPr>
        <w:t>Women’s Leadership Centre (WLC)</w:t>
      </w:r>
    </w:p>
    <w:p w14:paraId="0C8B63EF" w14:textId="059962CC" w:rsidR="00246770" w:rsidRDefault="00246770" w:rsidP="00D1284A">
      <w:pPr>
        <w:pStyle w:val="Default"/>
        <w:rPr>
          <w:b/>
          <w:bCs/>
          <w:sz w:val="20"/>
          <w:szCs w:val="20"/>
        </w:rPr>
      </w:pPr>
      <w:r w:rsidRPr="00D1284A">
        <w:rPr>
          <w:rFonts w:cstheme="minorHAnsi"/>
          <w:b/>
          <w:bCs/>
          <w:sz w:val="20"/>
          <w:szCs w:val="20"/>
        </w:rPr>
        <w:t>Nadia Revonia April</w:t>
      </w:r>
      <w:r w:rsidRPr="00D1284A">
        <w:rPr>
          <w:rFonts w:cstheme="minorHAnsi"/>
          <w:b/>
          <w:bCs/>
          <w:sz w:val="20"/>
          <w:szCs w:val="20"/>
        </w:rPr>
        <w:tab/>
      </w:r>
      <w:r>
        <w:rPr>
          <w:rFonts w:cstheme="minorHAnsi"/>
          <w:b/>
          <w:bCs/>
          <w:sz w:val="20"/>
          <w:szCs w:val="20"/>
        </w:rPr>
        <w:tab/>
      </w:r>
      <w:hyperlink r:id="rId12" w:history="1">
        <w:r w:rsidRPr="00D57A97">
          <w:rPr>
            <w:rStyle w:val="Hyperlink"/>
            <w:b/>
            <w:bCs/>
            <w:sz w:val="20"/>
            <w:szCs w:val="20"/>
          </w:rPr>
          <w:t>revoniaapril@gmail.com</w:t>
        </w:r>
      </w:hyperlink>
    </w:p>
    <w:p w14:paraId="0C0D4399" w14:textId="4598975B" w:rsidR="00D1284A" w:rsidRPr="00FC3B07" w:rsidRDefault="00246770" w:rsidP="00D1284A">
      <w:pPr>
        <w:pStyle w:val="Default"/>
        <w:rPr>
          <w:rFonts w:asciiTheme="minorHAnsi" w:hAnsiTheme="minorHAnsi" w:cstheme="minorHAnsi"/>
          <w:bCs/>
          <w:sz w:val="20"/>
          <w:szCs w:val="20"/>
        </w:rPr>
      </w:pPr>
      <w:r w:rsidRPr="00FC3B07">
        <w:rPr>
          <w:rFonts w:asciiTheme="minorHAnsi" w:hAnsiTheme="minorHAnsi" w:cstheme="minorHAnsi"/>
          <w:bCs/>
          <w:sz w:val="20"/>
          <w:szCs w:val="20"/>
        </w:rPr>
        <w:t xml:space="preserve"> </w:t>
      </w:r>
    </w:p>
    <w:p w14:paraId="15CFFD5F" w14:textId="52EA7AB8" w:rsidR="00D1284A" w:rsidRPr="00FC3B07" w:rsidRDefault="00246770" w:rsidP="00246770">
      <w:pPr>
        <w:pStyle w:val="Default"/>
        <w:ind w:left="2880"/>
        <w:rPr>
          <w:rFonts w:asciiTheme="minorHAnsi" w:hAnsiTheme="minorHAnsi" w:cstheme="minorHAnsi"/>
          <w:bCs/>
          <w:sz w:val="20"/>
          <w:szCs w:val="20"/>
        </w:rPr>
      </w:pPr>
      <w:r w:rsidRPr="00FC3B07">
        <w:rPr>
          <w:rFonts w:asciiTheme="minorHAnsi" w:hAnsiTheme="minorHAnsi" w:cstheme="minorHAnsi"/>
          <w:noProof/>
          <w:sz w:val="20"/>
          <w:szCs w:val="20"/>
        </w:rPr>
        <w:drawing>
          <wp:anchor distT="0" distB="0" distL="114300" distR="114300" simplePos="0" relativeHeight="251660288" behindDoc="0" locked="0" layoutInCell="1" allowOverlap="1" wp14:anchorId="49CB84A7" wp14:editId="57FC13B1">
            <wp:simplePos x="0" y="0"/>
            <wp:positionH relativeFrom="margin">
              <wp:posOffset>-26670</wp:posOffset>
            </wp:positionH>
            <wp:positionV relativeFrom="paragraph">
              <wp:posOffset>64770</wp:posOffset>
            </wp:positionV>
            <wp:extent cx="1386840" cy="544830"/>
            <wp:effectExtent l="0" t="0" r="3810" b="7620"/>
            <wp:wrapSquare wrapText="bothSides"/>
            <wp:docPr id="3" name="Picture 3" descr="logo-small"/>
            <wp:cNvGraphicFramePr/>
            <a:graphic xmlns:a="http://schemas.openxmlformats.org/drawingml/2006/main">
              <a:graphicData uri="http://schemas.openxmlformats.org/drawingml/2006/picture">
                <pic:pic xmlns:pic="http://schemas.openxmlformats.org/drawingml/2006/picture">
                  <pic:nvPicPr>
                    <pic:cNvPr id="1" name="Picture 1" descr="logo-small"/>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86840" cy="544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1284A" w:rsidRPr="00FC3B07">
        <w:rPr>
          <w:rFonts w:asciiTheme="minorHAnsi" w:hAnsiTheme="minorHAnsi" w:cstheme="minorHAnsi"/>
          <w:bCs/>
          <w:sz w:val="20"/>
          <w:szCs w:val="20"/>
        </w:rPr>
        <w:t>Women’s Leadership Centre IS A Namibian-based feminist organization. Our overall strategy is to educate women, in particular young women, on their rights as guaranteed under national laws and policies as well as international instruments ratified by the state, and to provide safe spaces within which young women can relate to their own rights, develop feminist intersectional analysis why these rights are not yet realized.</w:t>
      </w:r>
    </w:p>
    <w:p w14:paraId="320D15BF" w14:textId="77777777" w:rsidR="00D1284A" w:rsidRPr="00D1284A" w:rsidRDefault="00D1284A" w:rsidP="001E0AEC">
      <w:pPr>
        <w:autoSpaceDE w:val="0"/>
        <w:autoSpaceDN w:val="0"/>
        <w:adjustRightInd w:val="0"/>
        <w:spacing w:after="0" w:line="240" w:lineRule="auto"/>
        <w:rPr>
          <w:rFonts w:cstheme="minorHAnsi"/>
          <w:b/>
          <w:bCs/>
          <w:sz w:val="20"/>
          <w:szCs w:val="20"/>
          <w:lang w:val="en-US"/>
        </w:rPr>
      </w:pPr>
    </w:p>
    <w:p w14:paraId="35DDA41F" w14:textId="12EDF702" w:rsidR="00F121AE" w:rsidRPr="00D1284A" w:rsidRDefault="00F121AE" w:rsidP="00593762">
      <w:pPr>
        <w:autoSpaceDE w:val="0"/>
        <w:autoSpaceDN w:val="0"/>
        <w:adjustRightInd w:val="0"/>
        <w:spacing w:after="0" w:line="240" w:lineRule="auto"/>
        <w:rPr>
          <w:rFonts w:cstheme="minorHAnsi"/>
          <w:b/>
          <w:bCs/>
          <w:color w:val="000000"/>
          <w:sz w:val="20"/>
          <w:szCs w:val="20"/>
          <w:lang w:val="en-GB"/>
        </w:rPr>
      </w:pPr>
    </w:p>
    <w:p w14:paraId="0A6DCC0E" w14:textId="75B63D17" w:rsidR="00D1284A" w:rsidRPr="00D1284A" w:rsidRDefault="00D1284A" w:rsidP="00D1284A">
      <w:pPr>
        <w:autoSpaceDE w:val="0"/>
        <w:autoSpaceDN w:val="0"/>
        <w:adjustRightInd w:val="0"/>
        <w:spacing w:after="0" w:line="240" w:lineRule="auto"/>
        <w:rPr>
          <w:rFonts w:cstheme="minorHAnsi"/>
          <w:b/>
          <w:bCs/>
          <w:sz w:val="20"/>
          <w:szCs w:val="20"/>
          <w:lang w:val="en-US"/>
        </w:rPr>
      </w:pPr>
      <w:r w:rsidRPr="00D1284A">
        <w:rPr>
          <w:rFonts w:cstheme="minorHAnsi"/>
          <w:b/>
          <w:bCs/>
          <w:sz w:val="20"/>
          <w:szCs w:val="20"/>
          <w:lang w:val="en-US"/>
        </w:rPr>
        <w:tab/>
      </w:r>
      <w:r w:rsidRPr="00D1284A">
        <w:rPr>
          <w:b/>
          <w:bCs/>
          <w:sz w:val="20"/>
          <w:szCs w:val="20"/>
        </w:rPr>
        <w:t xml:space="preserve"> </w:t>
      </w:r>
    </w:p>
    <w:p w14:paraId="3139EEC8" w14:textId="1DCC1263" w:rsidR="00D1284A" w:rsidRDefault="00D1284A" w:rsidP="00D1284A">
      <w:pPr>
        <w:autoSpaceDE w:val="0"/>
        <w:autoSpaceDN w:val="0"/>
        <w:adjustRightInd w:val="0"/>
        <w:spacing w:after="0" w:line="240" w:lineRule="auto"/>
        <w:rPr>
          <w:rFonts w:cstheme="minorHAnsi"/>
          <w:b/>
          <w:bCs/>
          <w:sz w:val="20"/>
          <w:szCs w:val="20"/>
          <w:lang w:val="en-US"/>
        </w:rPr>
      </w:pPr>
      <w:r w:rsidRPr="00D1284A">
        <w:rPr>
          <w:rFonts w:cstheme="minorHAnsi"/>
          <w:b/>
          <w:bCs/>
          <w:sz w:val="20"/>
          <w:szCs w:val="20"/>
          <w:lang w:val="en-US"/>
        </w:rPr>
        <w:tab/>
        <w:t xml:space="preserve"> </w:t>
      </w:r>
    </w:p>
    <w:p w14:paraId="54167180" w14:textId="77777777" w:rsidR="00D1284A" w:rsidRDefault="00D1284A">
      <w:pPr>
        <w:rPr>
          <w:rFonts w:asciiTheme="majorHAnsi" w:eastAsiaTheme="majorEastAsia" w:hAnsiTheme="majorHAnsi" w:cstheme="majorBidi"/>
          <w:b/>
          <w:bCs/>
          <w:color w:val="4E8542" w:themeColor="accent4"/>
          <w:sz w:val="24"/>
          <w:szCs w:val="32"/>
          <w:lang w:val="en-GB"/>
        </w:rPr>
      </w:pPr>
      <w:r>
        <w:br w:type="page"/>
      </w:r>
    </w:p>
    <w:p w14:paraId="4E29BD00" w14:textId="6A54D904" w:rsidR="00F121AE" w:rsidRPr="001D3519" w:rsidRDefault="00F121AE" w:rsidP="001D3519">
      <w:pPr>
        <w:pStyle w:val="Heading1"/>
      </w:pPr>
      <w:r w:rsidRPr="001D3519">
        <w:lastRenderedPageBreak/>
        <w:t>Background</w:t>
      </w:r>
    </w:p>
    <w:p w14:paraId="28D8E216" w14:textId="5F1008EB" w:rsidR="00A962EA" w:rsidRPr="001D3519" w:rsidRDefault="00A962EA" w:rsidP="00E3681A">
      <w:pPr>
        <w:autoSpaceDE w:val="0"/>
        <w:autoSpaceDN w:val="0"/>
        <w:adjustRightInd w:val="0"/>
        <w:spacing w:after="0" w:line="240" w:lineRule="auto"/>
        <w:jc w:val="both"/>
        <w:rPr>
          <w:rFonts w:cstheme="minorHAnsi"/>
          <w:color w:val="000000"/>
          <w:sz w:val="20"/>
          <w:szCs w:val="20"/>
          <w:lang w:val="en-GB"/>
        </w:rPr>
      </w:pPr>
      <w:r w:rsidRPr="001D3519">
        <w:rPr>
          <w:rFonts w:cstheme="minorHAnsi"/>
          <w:color w:val="000000"/>
          <w:sz w:val="20"/>
          <w:szCs w:val="20"/>
          <w:lang w:val="en-GB"/>
        </w:rPr>
        <w:t>The Convention on the Elimination of All Forms of Discrimination against Women (CEDAW), adopted in 1979 by the UN General Assembly, defines what constitutes discrimination against women and sets up an agenda for national action to end such discrimination.</w:t>
      </w:r>
      <w:r w:rsidR="001D3519" w:rsidRPr="001D3519">
        <w:rPr>
          <w:rFonts w:cstheme="minorHAnsi"/>
          <w:color w:val="000000"/>
          <w:sz w:val="20"/>
          <w:szCs w:val="20"/>
          <w:lang w:val="en-GB"/>
        </w:rPr>
        <w:t xml:space="preserve"> </w:t>
      </w:r>
      <w:r w:rsidRPr="001D3519">
        <w:rPr>
          <w:rFonts w:cstheme="minorHAnsi"/>
          <w:color w:val="000000"/>
          <w:sz w:val="20"/>
          <w:szCs w:val="20"/>
          <w:lang w:val="en-GB"/>
        </w:rPr>
        <w:t>The Convention defines discrimination against women as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14:paraId="0532FCF6" w14:textId="77777777" w:rsidR="001D3519" w:rsidRPr="001D3519" w:rsidRDefault="001D3519" w:rsidP="00E3681A">
      <w:pPr>
        <w:autoSpaceDE w:val="0"/>
        <w:autoSpaceDN w:val="0"/>
        <w:adjustRightInd w:val="0"/>
        <w:spacing w:after="0" w:line="240" w:lineRule="auto"/>
        <w:jc w:val="both"/>
        <w:rPr>
          <w:rFonts w:cstheme="minorHAnsi"/>
          <w:color w:val="000000"/>
          <w:sz w:val="20"/>
          <w:szCs w:val="20"/>
          <w:lang w:val="en-GB"/>
        </w:rPr>
      </w:pPr>
    </w:p>
    <w:p w14:paraId="283670BA" w14:textId="69C25B13" w:rsidR="00A962EA" w:rsidRPr="001D3519" w:rsidRDefault="001D3519" w:rsidP="00E3681A">
      <w:pPr>
        <w:autoSpaceDE w:val="0"/>
        <w:autoSpaceDN w:val="0"/>
        <w:adjustRightInd w:val="0"/>
        <w:spacing w:after="0" w:line="240" w:lineRule="auto"/>
        <w:jc w:val="both"/>
        <w:rPr>
          <w:rFonts w:cstheme="minorHAnsi"/>
          <w:sz w:val="20"/>
          <w:szCs w:val="20"/>
          <w:lang w:val="en-US"/>
        </w:rPr>
      </w:pPr>
      <w:r w:rsidRPr="001D3519">
        <w:rPr>
          <w:rFonts w:cstheme="minorHAnsi"/>
          <w:color w:val="000000"/>
          <w:sz w:val="20"/>
          <w:szCs w:val="20"/>
          <w:lang w:val="en-GB"/>
        </w:rPr>
        <w:t xml:space="preserve">In relation to health </w:t>
      </w:r>
      <w:r w:rsidR="00A962EA" w:rsidRPr="001D3519">
        <w:rPr>
          <w:rFonts w:cstheme="minorHAnsi"/>
          <w:color w:val="000000"/>
          <w:sz w:val="20"/>
          <w:szCs w:val="20"/>
          <w:lang w:val="en-GB"/>
        </w:rPr>
        <w:t xml:space="preserve">Article 10, Article 11, Article 12, </w:t>
      </w:r>
      <w:r w:rsidR="00A962EA" w:rsidRPr="001D3519">
        <w:rPr>
          <w:rFonts w:cstheme="minorHAnsi"/>
          <w:sz w:val="20"/>
          <w:szCs w:val="20"/>
        </w:rPr>
        <w:t>Article 14</w:t>
      </w:r>
      <w:r w:rsidRPr="001D3519">
        <w:rPr>
          <w:rFonts w:cstheme="minorHAnsi"/>
          <w:sz w:val="20"/>
          <w:szCs w:val="20"/>
          <w:lang w:val="en-US"/>
        </w:rPr>
        <w:t xml:space="preserve"> specifically emphasize equitable health access to all women and that appropriate measures be instituted to ensure provisions are put in place to create equitable service delivery. </w:t>
      </w:r>
    </w:p>
    <w:p w14:paraId="51F9F9ED" w14:textId="77777777" w:rsidR="001D3519" w:rsidRPr="001D3519" w:rsidRDefault="001D3519" w:rsidP="00E3681A">
      <w:pPr>
        <w:autoSpaceDE w:val="0"/>
        <w:autoSpaceDN w:val="0"/>
        <w:adjustRightInd w:val="0"/>
        <w:spacing w:after="0" w:line="240" w:lineRule="auto"/>
        <w:jc w:val="both"/>
        <w:rPr>
          <w:rFonts w:cstheme="minorHAnsi"/>
          <w:b/>
          <w:bCs/>
          <w:sz w:val="20"/>
          <w:szCs w:val="20"/>
          <w:lang w:val="en-US"/>
        </w:rPr>
      </w:pPr>
    </w:p>
    <w:p w14:paraId="78C42AE3" w14:textId="3CD37C0A" w:rsidR="00F121AE" w:rsidRPr="001D3519" w:rsidRDefault="004438A6" w:rsidP="00E3681A">
      <w:pPr>
        <w:autoSpaceDE w:val="0"/>
        <w:autoSpaceDN w:val="0"/>
        <w:adjustRightInd w:val="0"/>
        <w:spacing w:after="0" w:line="240" w:lineRule="auto"/>
        <w:jc w:val="both"/>
        <w:rPr>
          <w:rFonts w:cstheme="minorHAnsi"/>
          <w:color w:val="000000"/>
          <w:sz w:val="20"/>
          <w:szCs w:val="20"/>
          <w:lang w:val="en-GB"/>
        </w:rPr>
      </w:pPr>
      <w:r w:rsidRPr="001D3519">
        <w:rPr>
          <w:rFonts w:cstheme="minorHAnsi"/>
          <w:color w:val="000000"/>
          <w:sz w:val="20"/>
          <w:szCs w:val="20"/>
          <w:lang w:val="en-GB"/>
        </w:rPr>
        <w:t xml:space="preserve">Since 2017, Positive Vibes with </w:t>
      </w:r>
      <w:r w:rsidR="00F121AE" w:rsidRPr="001D3519">
        <w:rPr>
          <w:rFonts w:cstheme="minorHAnsi"/>
          <w:color w:val="000000"/>
          <w:sz w:val="20"/>
          <w:szCs w:val="20"/>
          <w:lang w:val="en-GB"/>
        </w:rPr>
        <w:t>local Namibian</w:t>
      </w:r>
      <w:r w:rsidRPr="001D3519">
        <w:rPr>
          <w:rFonts w:cstheme="minorHAnsi"/>
          <w:color w:val="000000"/>
          <w:sz w:val="20"/>
          <w:szCs w:val="20"/>
          <w:lang w:val="en-GB"/>
        </w:rPr>
        <w:t xml:space="preserve"> LGBT and feminist organisations have been implementing community led monitoring prosses, processes that detail the experience of LGBTQ</w:t>
      </w:r>
      <w:r w:rsidR="001D3519">
        <w:rPr>
          <w:rFonts w:cstheme="minorHAnsi"/>
          <w:color w:val="000000"/>
          <w:sz w:val="20"/>
          <w:szCs w:val="20"/>
          <w:lang w:val="en-GB"/>
        </w:rPr>
        <w:t>+</w:t>
      </w:r>
      <w:r w:rsidRPr="001D3519">
        <w:rPr>
          <w:rFonts w:cstheme="minorHAnsi"/>
          <w:color w:val="000000"/>
          <w:sz w:val="20"/>
          <w:szCs w:val="20"/>
          <w:lang w:val="en-GB"/>
        </w:rPr>
        <w:t xml:space="preserve"> persons on specific health facilities. </w:t>
      </w:r>
      <w:r w:rsidR="00F121AE" w:rsidRPr="001D3519">
        <w:rPr>
          <w:rFonts w:cstheme="minorHAnsi"/>
          <w:color w:val="000000"/>
          <w:sz w:val="20"/>
          <w:szCs w:val="20"/>
          <w:lang w:val="en-GB"/>
        </w:rPr>
        <w:t>Through the engagements, one fact</w:t>
      </w:r>
      <w:r w:rsidR="00921F70">
        <w:rPr>
          <w:rFonts w:cstheme="minorHAnsi"/>
          <w:color w:val="000000"/>
          <w:sz w:val="20"/>
          <w:szCs w:val="20"/>
          <w:lang w:val="en-GB"/>
        </w:rPr>
        <w:t xml:space="preserve"> </w:t>
      </w:r>
      <w:r w:rsidR="00F121AE" w:rsidRPr="001D3519">
        <w:rPr>
          <w:rFonts w:cstheme="minorHAnsi"/>
          <w:color w:val="000000"/>
          <w:sz w:val="20"/>
          <w:szCs w:val="20"/>
          <w:lang w:val="en-GB"/>
        </w:rPr>
        <w:t>is resoundingly clear:</w:t>
      </w:r>
    </w:p>
    <w:p w14:paraId="5442BBFE" w14:textId="74D0958E" w:rsidR="00593762" w:rsidRPr="001D3519" w:rsidRDefault="00593762" w:rsidP="00E3681A">
      <w:pPr>
        <w:autoSpaceDE w:val="0"/>
        <w:autoSpaceDN w:val="0"/>
        <w:adjustRightInd w:val="0"/>
        <w:spacing w:after="0" w:line="240" w:lineRule="auto"/>
        <w:ind w:left="720"/>
        <w:jc w:val="both"/>
        <w:rPr>
          <w:rFonts w:cstheme="minorHAnsi"/>
          <w:b/>
          <w:bCs/>
          <w:color w:val="000000"/>
          <w:sz w:val="20"/>
          <w:szCs w:val="20"/>
          <w:lang w:val="en-GB"/>
        </w:rPr>
      </w:pPr>
      <w:r w:rsidRPr="001D3519">
        <w:rPr>
          <w:rFonts w:cstheme="minorHAnsi"/>
          <w:color w:val="000000"/>
          <w:sz w:val="20"/>
          <w:szCs w:val="20"/>
          <w:lang w:val="en-GB"/>
        </w:rPr>
        <w:t xml:space="preserve">lesbian, bisexual and queer women – and female-bodied trans-diverse persons, specifically transmen, are routinely the silent victims of a health system built on heteronormative, cisgender and patriarchal assumptions: that sexual and reproductive health considerations apply to people who either have a </w:t>
      </w:r>
      <w:r w:rsidR="00E3681A" w:rsidRPr="001D3519">
        <w:rPr>
          <w:rFonts w:cstheme="minorHAnsi"/>
          <w:color w:val="000000"/>
          <w:sz w:val="20"/>
          <w:szCs w:val="20"/>
          <w:lang w:val="en-GB"/>
        </w:rPr>
        <w:t>penis or</w:t>
      </w:r>
      <w:r w:rsidRPr="001D3519">
        <w:rPr>
          <w:rFonts w:cstheme="minorHAnsi"/>
          <w:color w:val="000000"/>
          <w:sz w:val="20"/>
          <w:szCs w:val="20"/>
          <w:lang w:val="en-GB"/>
        </w:rPr>
        <w:t xml:space="preserve"> have sex with a penis.</w:t>
      </w:r>
    </w:p>
    <w:p w14:paraId="7EFEE557" w14:textId="77777777" w:rsidR="00593762" w:rsidRPr="001D3519" w:rsidRDefault="00593762" w:rsidP="00E3681A">
      <w:pPr>
        <w:autoSpaceDE w:val="0"/>
        <w:autoSpaceDN w:val="0"/>
        <w:adjustRightInd w:val="0"/>
        <w:spacing w:after="0" w:line="240" w:lineRule="auto"/>
        <w:jc w:val="both"/>
        <w:rPr>
          <w:rFonts w:cstheme="minorHAnsi"/>
          <w:b/>
          <w:bCs/>
          <w:color w:val="000000"/>
          <w:sz w:val="20"/>
          <w:szCs w:val="20"/>
          <w:lang w:val="en-GB"/>
        </w:rPr>
      </w:pPr>
    </w:p>
    <w:p w14:paraId="0E4FC9CC" w14:textId="77777777" w:rsidR="00593762" w:rsidRPr="001D3519" w:rsidRDefault="00593762" w:rsidP="00E3681A">
      <w:pPr>
        <w:autoSpaceDE w:val="0"/>
        <w:autoSpaceDN w:val="0"/>
        <w:adjustRightInd w:val="0"/>
        <w:spacing w:after="0" w:line="240" w:lineRule="auto"/>
        <w:jc w:val="both"/>
        <w:rPr>
          <w:rFonts w:cstheme="minorHAnsi"/>
          <w:b/>
          <w:bCs/>
          <w:color w:val="000000"/>
          <w:sz w:val="20"/>
          <w:szCs w:val="20"/>
          <w:lang w:val="en-GB"/>
        </w:rPr>
      </w:pPr>
    </w:p>
    <w:p w14:paraId="659B31AA" w14:textId="1B17C2B0" w:rsidR="00593762" w:rsidRPr="00593762" w:rsidRDefault="00593762" w:rsidP="00E3681A">
      <w:pPr>
        <w:autoSpaceDE w:val="0"/>
        <w:autoSpaceDN w:val="0"/>
        <w:adjustRightInd w:val="0"/>
        <w:spacing w:after="0" w:line="240" w:lineRule="auto"/>
        <w:jc w:val="both"/>
        <w:rPr>
          <w:rFonts w:cstheme="minorHAnsi"/>
          <w:sz w:val="20"/>
          <w:szCs w:val="20"/>
          <w:lang w:val="en-GB"/>
        </w:rPr>
      </w:pPr>
      <w:r w:rsidRPr="00593762">
        <w:rPr>
          <w:rFonts w:cstheme="minorHAnsi"/>
          <w:sz w:val="20"/>
          <w:szCs w:val="20"/>
          <w:lang w:val="en-GB"/>
        </w:rPr>
        <w:t>When not a function of men, when not linked directly in service of a penis, in service of maintaining heteronormativity, that the urgency of SRH-R services prioritises men who have sex with men, and heterosexual, cisgender women.</w:t>
      </w:r>
    </w:p>
    <w:p w14:paraId="0DCD3FC5" w14:textId="7994ABE8" w:rsidR="00593762" w:rsidRPr="00593762" w:rsidRDefault="00593762" w:rsidP="00E3681A">
      <w:pPr>
        <w:jc w:val="both"/>
        <w:rPr>
          <w:rFonts w:cstheme="minorHAnsi"/>
          <w:sz w:val="20"/>
          <w:szCs w:val="20"/>
          <w:lang w:val="en-GB"/>
        </w:rPr>
      </w:pPr>
      <w:r w:rsidRPr="00593762">
        <w:rPr>
          <w:rFonts w:cstheme="minorHAnsi"/>
          <w:sz w:val="20"/>
          <w:szCs w:val="20"/>
          <w:lang w:val="en-GB"/>
        </w:rPr>
        <w:t xml:space="preserve">These priorities </w:t>
      </w:r>
      <w:proofErr w:type="spellStart"/>
      <w:r w:rsidRPr="00593762">
        <w:rPr>
          <w:rFonts w:cstheme="minorHAnsi"/>
          <w:sz w:val="20"/>
          <w:szCs w:val="20"/>
          <w:lang w:val="en-GB"/>
        </w:rPr>
        <w:t>invisibilise</w:t>
      </w:r>
      <w:proofErr w:type="spellEnd"/>
      <w:r w:rsidRPr="00593762">
        <w:rPr>
          <w:rFonts w:cstheme="minorHAnsi"/>
          <w:sz w:val="20"/>
          <w:szCs w:val="20"/>
          <w:lang w:val="en-GB"/>
        </w:rPr>
        <w:t xml:space="preserve"> lesbian, bisexual and other queer women who have sex with women, and female-bodied trans men, in compound ways that increase their exclusion, vulnerability and marginalisation.</w:t>
      </w:r>
    </w:p>
    <w:p w14:paraId="16142975" w14:textId="77777777" w:rsidR="00593762" w:rsidRPr="00593762" w:rsidRDefault="00593762" w:rsidP="00E3681A">
      <w:pPr>
        <w:jc w:val="both"/>
        <w:rPr>
          <w:rFonts w:cstheme="minorHAnsi"/>
          <w:sz w:val="20"/>
          <w:szCs w:val="20"/>
          <w:lang w:val="en-GB"/>
        </w:rPr>
      </w:pPr>
      <w:proofErr w:type="spellStart"/>
      <w:r w:rsidRPr="00593762">
        <w:rPr>
          <w:rFonts w:cstheme="minorHAnsi"/>
          <w:sz w:val="20"/>
          <w:szCs w:val="20"/>
          <w:lang w:val="en-GB"/>
        </w:rPr>
        <w:t>Invisibilisation</w:t>
      </w:r>
      <w:proofErr w:type="spellEnd"/>
      <w:r w:rsidRPr="00593762">
        <w:rPr>
          <w:rFonts w:cstheme="minorHAnsi"/>
          <w:sz w:val="20"/>
          <w:szCs w:val="20"/>
          <w:lang w:val="en-GB"/>
        </w:rPr>
        <w:t xml:space="preserve"> occurs across the following domains: </w:t>
      </w:r>
      <w:r w:rsidRPr="00593762">
        <w:rPr>
          <w:rFonts w:cstheme="minorHAnsi"/>
          <w:sz w:val="20"/>
          <w:szCs w:val="20"/>
          <w:lang w:val="en-GB"/>
        </w:rPr>
        <w:tab/>
      </w:r>
    </w:p>
    <w:p w14:paraId="1E872C85" w14:textId="77777777" w:rsidR="00593762" w:rsidRPr="00593762" w:rsidRDefault="00593762" w:rsidP="00E3681A">
      <w:pPr>
        <w:jc w:val="both"/>
        <w:rPr>
          <w:rFonts w:cstheme="minorHAnsi"/>
          <w:sz w:val="20"/>
          <w:szCs w:val="20"/>
          <w:lang w:val="en-GB"/>
        </w:rPr>
      </w:pPr>
      <w:r w:rsidRPr="00593762">
        <w:rPr>
          <w:rFonts w:cstheme="minorHAnsi"/>
          <w:sz w:val="20"/>
          <w:szCs w:val="20"/>
          <w:lang w:val="en-GB"/>
        </w:rPr>
        <w:t xml:space="preserve">Access to differentiated services for queer women and transmen; subjugation within the KP response; Lack of representative data; Lack of prioritisation within policy; lack of available and access to SRH-R related information for queer women and transmen; </w:t>
      </w:r>
      <w:proofErr w:type="gramStart"/>
      <w:r w:rsidRPr="00593762">
        <w:rPr>
          <w:rFonts w:cstheme="minorHAnsi"/>
          <w:sz w:val="20"/>
          <w:szCs w:val="20"/>
          <w:lang w:val="en-GB"/>
        </w:rPr>
        <w:t>and,</w:t>
      </w:r>
      <w:proofErr w:type="gramEnd"/>
      <w:r w:rsidRPr="00593762">
        <w:rPr>
          <w:rFonts w:cstheme="minorHAnsi"/>
          <w:sz w:val="20"/>
          <w:szCs w:val="20"/>
          <w:lang w:val="en-GB"/>
        </w:rPr>
        <w:t xml:space="preserve"> lack of preventative commodities. </w:t>
      </w:r>
    </w:p>
    <w:p w14:paraId="42C3BAF0" w14:textId="77777777" w:rsidR="00593762" w:rsidRPr="00593762" w:rsidRDefault="00593762" w:rsidP="00E3681A">
      <w:pPr>
        <w:pStyle w:val="Heading1"/>
        <w:jc w:val="both"/>
      </w:pPr>
      <w:r w:rsidRPr="00593762">
        <w:t>Access to differentiated services for queer women and transmen</w:t>
      </w:r>
    </w:p>
    <w:p w14:paraId="69E7741C" w14:textId="77777777" w:rsidR="00593762" w:rsidRPr="00593762" w:rsidRDefault="00593762" w:rsidP="00E3681A">
      <w:pPr>
        <w:autoSpaceDE w:val="0"/>
        <w:autoSpaceDN w:val="0"/>
        <w:adjustRightInd w:val="0"/>
        <w:spacing w:after="0" w:line="240" w:lineRule="auto"/>
        <w:jc w:val="both"/>
        <w:rPr>
          <w:rFonts w:cstheme="minorHAnsi"/>
          <w:color w:val="000000"/>
          <w:sz w:val="20"/>
          <w:szCs w:val="20"/>
          <w:lang w:val="en-GB"/>
        </w:rPr>
      </w:pPr>
      <w:r w:rsidRPr="00593762">
        <w:rPr>
          <w:rFonts w:cstheme="minorHAnsi"/>
          <w:color w:val="000000"/>
          <w:sz w:val="20"/>
          <w:szCs w:val="20"/>
          <w:lang w:val="en-GB"/>
        </w:rPr>
        <w:t xml:space="preserve">Women who have sex with women – or who identify as lesbian, bisexual or queer – and female-bodied transmen, are routinely the silent victims of a health system built on heteronormative and patriarchal assumptions: that sexual and reproductive health considerations apply to people who either have a </w:t>
      </w:r>
      <w:proofErr w:type="gramStart"/>
      <w:r w:rsidRPr="00593762">
        <w:rPr>
          <w:rFonts w:cstheme="minorHAnsi"/>
          <w:color w:val="000000"/>
          <w:sz w:val="20"/>
          <w:szCs w:val="20"/>
          <w:lang w:val="en-GB"/>
        </w:rPr>
        <w:t>penis, or</w:t>
      </w:r>
      <w:proofErr w:type="gramEnd"/>
      <w:r w:rsidRPr="00593762">
        <w:rPr>
          <w:rFonts w:cstheme="minorHAnsi"/>
          <w:color w:val="000000"/>
          <w:sz w:val="20"/>
          <w:szCs w:val="20"/>
          <w:lang w:val="en-GB"/>
        </w:rPr>
        <w:t xml:space="preserve"> have sex with a penis. These assumptions apply to prevention and protection from HIV; They apply to access to family planning, they apply to experiences of intimate partner violence, or broader sexual and gender-violence; they apply to information on sexually transmitted infections; they apply to counselling and mental health support.</w:t>
      </w:r>
    </w:p>
    <w:p w14:paraId="6F5E37BA" w14:textId="77777777" w:rsidR="00593762" w:rsidRPr="00593762" w:rsidRDefault="00593762" w:rsidP="00E3681A">
      <w:pPr>
        <w:autoSpaceDE w:val="0"/>
        <w:autoSpaceDN w:val="0"/>
        <w:adjustRightInd w:val="0"/>
        <w:spacing w:after="0" w:line="240" w:lineRule="auto"/>
        <w:jc w:val="both"/>
        <w:rPr>
          <w:rFonts w:cstheme="minorHAnsi"/>
          <w:color w:val="000000"/>
          <w:sz w:val="20"/>
          <w:szCs w:val="20"/>
          <w:lang w:val="en-GB"/>
        </w:rPr>
      </w:pPr>
    </w:p>
    <w:p w14:paraId="0FCC110C" w14:textId="6E21741D" w:rsidR="00593762" w:rsidRPr="00E3681A" w:rsidRDefault="00593762" w:rsidP="00E3681A">
      <w:pPr>
        <w:jc w:val="both"/>
        <w:rPr>
          <w:rFonts w:cstheme="minorHAnsi"/>
          <w:sz w:val="20"/>
          <w:szCs w:val="20"/>
          <w:lang w:val="en-GB"/>
        </w:rPr>
      </w:pPr>
      <w:r w:rsidRPr="00593762">
        <w:rPr>
          <w:rFonts w:cstheme="minorHAnsi"/>
          <w:sz w:val="20"/>
          <w:szCs w:val="20"/>
          <w:lang w:val="en-GB"/>
        </w:rPr>
        <w:t xml:space="preserve">Whilst many sexual and reproductive health services are available to women, in general these services </w:t>
      </w:r>
      <w:r w:rsidR="00921F70" w:rsidRPr="00593762">
        <w:rPr>
          <w:rFonts w:cstheme="minorHAnsi"/>
          <w:sz w:val="20"/>
          <w:szCs w:val="20"/>
          <w:lang w:val="en-GB"/>
        </w:rPr>
        <w:t>assume</w:t>
      </w:r>
      <w:r w:rsidRPr="00593762">
        <w:rPr>
          <w:rFonts w:cstheme="minorHAnsi"/>
          <w:sz w:val="20"/>
          <w:szCs w:val="20"/>
          <w:lang w:val="en-GB"/>
        </w:rPr>
        <w:t xml:space="preserve"> that women are cisgender and heterosexual. Very few services (including information and counselling) are specifically available to women who identify as lesbian, or who have partners who are – either exclusively or occasionally – women. This applies even more so for transmen, who remain largely foreign, exotic to our health systems. Trans men require access to comprehensive sexual and reproductive health, but may not present in settings that are unwelcoming, inhospitable or hostile. SRH-R services include comprehensive family planning services, breast examinations, menstrual hygiene, HIV prevention and treatment.   </w:t>
      </w:r>
    </w:p>
    <w:p w14:paraId="22B6A86B" w14:textId="77777777" w:rsidR="00593762" w:rsidRPr="00593762" w:rsidRDefault="00593762" w:rsidP="00E3681A">
      <w:pPr>
        <w:pStyle w:val="Heading1"/>
        <w:jc w:val="both"/>
      </w:pPr>
      <w:r w:rsidRPr="00593762">
        <w:t>Subjugation within the KP response</w:t>
      </w:r>
    </w:p>
    <w:p w14:paraId="5467C70B" w14:textId="77777777" w:rsidR="00593762" w:rsidRPr="00593762" w:rsidRDefault="00593762" w:rsidP="00E3681A">
      <w:pPr>
        <w:jc w:val="both"/>
        <w:rPr>
          <w:rFonts w:cstheme="minorHAnsi"/>
          <w:sz w:val="20"/>
          <w:szCs w:val="20"/>
          <w:lang w:val="en-GB"/>
        </w:rPr>
      </w:pPr>
      <w:r w:rsidRPr="00593762">
        <w:rPr>
          <w:rFonts w:cstheme="minorHAnsi"/>
          <w:sz w:val="20"/>
          <w:szCs w:val="20"/>
          <w:lang w:val="en-GB"/>
        </w:rPr>
        <w:t xml:space="preserve">Key populations and LGBT+ is language used within our health response, and within community to mean the same thing. Technically speaking, however, “Key Populations” is not a language of identity, regardless of how that terminology has been appropriated and reclaimed by LGBTIQ people and sex workers to self-reference. The </w:t>
      </w:r>
      <w:r w:rsidRPr="00593762">
        <w:rPr>
          <w:rFonts w:cstheme="minorHAnsi"/>
          <w:sz w:val="20"/>
          <w:szCs w:val="20"/>
          <w:lang w:val="en-GB"/>
        </w:rPr>
        <w:lastRenderedPageBreak/>
        <w:t xml:space="preserve">language is epidemiological, a public health framing through which to understand, manage, control and ultimately eliminate the threats that are HIV and AIDS, through targeted health interventions amongst those deemed to be disproportionately vulnerable to infection. </w:t>
      </w:r>
    </w:p>
    <w:p w14:paraId="2C4BD75A" w14:textId="77777777" w:rsidR="00593762" w:rsidRPr="00593762" w:rsidRDefault="00593762" w:rsidP="00E3681A">
      <w:pPr>
        <w:jc w:val="both"/>
        <w:rPr>
          <w:rFonts w:cstheme="minorHAnsi"/>
          <w:sz w:val="20"/>
          <w:szCs w:val="20"/>
          <w:lang w:val="en-GB"/>
        </w:rPr>
      </w:pPr>
      <w:r w:rsidRPr="00593762">
        <w:rPr>
          <w:rFonts w:cstheme="minorHAnsi"/>
          <w:sz w:val="20"/>
          <w:szCs w:val="20"/>
          <w:lang w:val="en-GB"/>
        </w:rPr>
        <w:t xml:space="preserve">For LBQ women and transmen, this is an important consideration: Epidemiologically, whilst heterosexual women are seen to be highly vulnerable to HIV – through transmission by their male partners – LBQ women and transmen are perceived to be at negligible risk. Priority in programming is given to gay, bisexual and other men who have sex with men; to sex workers; to heterosexual women. </w:t>
      </w:r>
    </w:p>
    <w:p w14:paraId="74914FD0" w14:textId="77777777" w:rsidR="00593762" w:rsidRPr="00593762" w:rsidRDefault="00593762" w:rsidP="00E3681A">
      <w:pPr>
        <w:jc w:val="both"/>
        <w:rPr>
          <w:rFonts w:cstheme="minorHAnsi"/>
          <w:sz w:val="20"/>
          <w:szCs w:val="20"/>
          <w:lang w:val="en-GB"/>
        </w:rPr>
      </w:pPr>
      <w:r w:rsidRPr="00593762">
        <w:rPr>
          <w:rFonts w:cstheme="minorHAnsi"/>
          <w:sz w:val="20"/>
          <w:szCs w:val="20"/>
          <w:lang w:val="en-GB"/>
        </w:rPr>
        <w:t xml:space="preserve">While many facilities included LBQ women &amp; Transmen when referencing Key Populations groups worked with, services, products, commodities, prevention methods and information that meet their unique sexual, reproductive and mental health needs were not available. While existing in theory, and often on the frontlines working as KP-mobilisers, peer counsellors, case workers, unless engaged in Sex work, or AGYW, LBQ women &amp; Transmen unique vulnerabilities (and contributions towards strengthening the health response) is unacknowledged within our “KP” response and this groups remains an under-served population. </w:t>
      </w:r>
    </w:p>
    <w:p w14:paraId="4749B3A4" w14:textId="77777777" w:rsidR="00593762" w:rsidRPr="00921F70" w:rsidRDefault="00593762" w:rsidP="00E3681A">
      <w:pPr>
        <w:pStyle w:val="Heading1"/>
        <w:jc w:val="both"/>
      </w:pPr>
      <w:r w:rsidRPr="00921F70">
        <w:t xml:space="preserve">Lack of representative </w:t>
      </w:r>
      <w:proofErr w:type="gramStart"/>
      <w:r w:rsidRPr="00921F70">
        <w:t>data;</w:t>
      </w:r>
      <w:proofErr w:type="gramEnd"/>
      <w:r w:rsidRPr="00921F70">
        <w:t xml:space="preserve"> </w:t>
      </w:r>
    </w:p>
    <w:p w14:paraId="717D8007" w14:textId="77777777" w:rsidR="00593762" w:rsidRPr="00593762" w:rsidRDefault="00593762" w:rsidP="00E3681A">
      <w:pPr>
        <w:autoSpaceDE w:val="0"/>
        <w:autoSpaceDN w:val="0"/>
        <w:adjustRightInd w:val="0"/>
        <w:spacing w:after="0" w:line="240" w:lineRule="auto"/>
        <w:jc w:val="both"/>
        <w:rPr>
          <w:rFonts w:cstheme="minorHAnsi"/>
          <w:sz w:val="20"/>
          <w:szCs w:val="20"/>
          <w:lang w:val="en-GB"/>
        </w:rPr>
      </w:pPr>
      <w:r w:rsidRPr="00593762">
        <w:rPr>
          <w:rFonts w:cstheme="minorHAnsi"/>
          <w:sz w:val="20"/>
          <w:szCs w:val="20"/>
          <w:lang w:val="en-GB"/>
        </w:rPr>
        <w:t xml:space="preserve">LBQ women and transmen data are subsumed within data sets that make heteronormative assumptions on what constitutes womanhood. Unless the purpose of a study is specifically to explore the vulnerabilities, needs, and context of LBQ women and Transmen, most studies revert to heteronormative assumptions relating to the types of sex wo0men have, the types of reproductive and sexual needs women have, the types of relationships engaged in, which in turn influence the kinds of questions we ask. </w:t>
      </w:r>
    </w:p>
    <w:p w14:paraId="47BF1103" w14:textId="47D474AC" w:rsidR="00593762" w:rsidRDefault="00593762" w:rsidP="00E3681A">
      <w:pPr>
        <w:autoSpaceDE w:val="0"/>
        <w:autoSpaceDN w:val="0"/>
        <w:adjustRightInd w:val="0"/>
        <w:spacing w:after="0" w:line="240" w:lineRule="auto"/>
        <w:jc w:val="both"/>
        <w:rPr>
          <w:rFonts w:cstheme="minorHAnsi"/>
          <w:sz w:val="20"/>
          <w:szCs w:val="20"/>
          <w:lang w:val="en-GB"/>
        </w:rPr>
      </w:pPr>
      <w:r w:rsidRPr="00593762">
        <w:rPr>
          <w:rFonts w:cstheme="minorHAnsi"/>
          <w:sz w:val="20"/>
          <w:szCs w:val="20"/>
          <w:lang w:val="en-GB"/>
        </w:rPr>
        <w:t xml:space="preserve">For instance, DHS information on intimate partner violence and GBV focus on ‘never-married’ women, ‘ever-married’ women, divorced, separated, or widowed women, age 15- 49, on violence committed by their current and former spouses, and by others. This line of questioning is rooted in heteronormative assumptions about relationships and intimate partner violence – assumptions which are likely to constrain respondents’ from talking about same sex relationships. These assumptions then translate into policy and strategy. </w:t>
      </w:r>
    </w:p>
    <w:p w14:paraId="3C8CCA65" w14:textId="77777777" w:rsidR="00E3681A" w:rsidRPr="00593762" w:rsidRDefault="00E3681A" w:rsidP="00E3681A">
      <w:pPr>
        <w:autoSpaceDE w:val="0"/>
        <w:autoSpaceDN w:val="0"/>
        <w:adjustRightInd w:val="0"/>
        <w:spacing w:after="0" w:line="240" w:lineRule="auto"/>
        <w:jc w:val="both"/>
        <w:rPr>
          <w:rFonts w:cstheme="minorHAnsi"/>
          <w:sz w:val="20"/>
          <w:szCs w:val="20"/>
          <w:lang w:val="en-GB"/>
        </w:rPr>
      </w:pPr>
    </w:p>
    <w:p w14:paraId="07FC8911" w14:textId="6623086B" w:rsidR="00593762" w:rsidRPr="00593762" w:rsidRDefault="00593762" w:rsidP="00E3681A">
      <w:pPr>
        <w:pStyle w:val="Heading1"/>
        <w:jc w:val="both"/>
      </w:pPr>
      <w:r w:rsidRPr="00593762">
        <w:t xml:space="preserve">Lack of prioritisation within SRH-R related policy and </w:t>
      </w:r>
      <w:r w:rsidR="00E3681A" w:rsidRPr="00593762">
        <w:t>strategy.</w:t>
      </w:r>
      <w:r w:rsidRPr="00593762">
        <w:t xml:space="preserve"> </w:t>
      </w:r>
    </w:p>
    <w:p w14:paraId="7E231701" w14:textId="77777777" w:rsidR="00593762" w:rsidRPr="00593762" w:rsidRDefault="00593762" w:rsidP="00E3681A">
      <w:pPr>
        <w:jc w:val="both"/>
        <w:rPr>
          <w:rFonts w:cstheme="minorHAnsi"/>
          <w:sz w:val="20"/>
          <w:szCs w:val="20"/>
          <w:lang w:val="en-GB"/>
        </w:rPr>
      </w:pPr>
      <w:r w:rsidRPr="00593762">
        <w:rPr>
          <w:rFonts w:cstheme="minorHAnsi"/>
          <w:sz w:val="20"/>
          <w:szCs w:val="20"/>
          <w:lang w:val="en-GB"/>
        </w:rPr>
        <w:t xml:space="preserve">Country and regional policy, unless specifically designed to cater to specific populations, are often heteronormative, and assumes a homogeneity amongst population groups. For instance, The SADC SRHR strategy makes no mention of LBQ women and transmen, and for the purposes of this Strategy, include under key populations: 1) men who have sex with men, 2) people in prisons, 3) people who use drugs, 4) sex workers and 5) transgender people. With transgender people, this often refers to only transwomen in operationalisation of policy and strategy at country level. </w:t>
      </w:r>
    </w:p>
    <w:p w14:paraId="7EBED647" w14:textId="3DDC49A6" w:rsidR="00593762" w:rsidRPr="00593762" w:rsidRDefault="00593762" w:rsidP="00E3681A">
      <w:pPr>
        <w:jc w:val="both"/>
        <w:rPr>
          <w:rFonts w:cstheme="minorHAnsi"/>
          <w:sz w:val="20"/>
          <w:szCs w:val="20"/>
          <w:lang w:val="en-GB"/>
        </w:rPr>
      </w:pPr>
      <w:r w:rsidRPr="00593762">
        <w:rPr>
          <w:rFonts w:cstheme="minorHAnsi"/>
          <w:sz w:val="20"/>
          <w:szCs w:val="20"/>
          <w:lang w:val="en-GB"/>
        </w:rPr>
        <w:t xml:space="preserve">Policies and strategies integrating gender considerations, addressing intimate partner violence, or broader sexual and gender-violence, Gender considerations almost always assumes women who are cisgender and heterosexual. Women, and their sexuality, their bodies, are functions of men; unless they are having sex with a man, they are not considered as a candidate for policy and or strategic address. This lack of acknowledgement fuels the </w:t>
      </w:r>
      <w:r w:rsidR="00E3681A" w:rsidRPr="00593762">
        <w:rPr>
          <w:rFonts w:cstheme="minorHAnsi"/>
          <w:sz w:val="20"/>
          <w:szCs w:val="20"/>
          <w:lang w:val="en-GB"/>
        </w:rPr>
        <w:t>never-ending</w:t>
      </w:r>
      <w:r w:rsidRPr="00593762">
        <w:rPr>
          <w:rFonts w:cstheme="minorHAnsi"/>
          <w:sz w:val="20"/>
          <w:szCs w:val="20"/>
          <w:lang w:val="en-GB"/>
        </w:rPr>
        <w:t xml:space="preserve"> cycle of limited national budgeting for LBQ and TM populations, lack of focused interventions, procurement of SRH-R related commodities and development of IEC specific to this group. </w:t>
      </w:r>
    </w:p>
    <w:p w14:paraId="7A2F6C68" w14:textId="77777777" w:rsidR="00593762" w:rsidRPr="00593762" w:rsidRDefault="00593762" w:rsidP="00E3681A">
      <w:pPr>
        <w:pStyle w:val="Heading1"/>
        <w:jc w:val="both"/>
      </w:pPr>
      <w:r w:rsidRPr="00593762">
        <w:t xml:space="preserve">Lack of available and access to SRH-R related information for LBQ women and </w:t>
      </w:r>
      <w:proofErr w:type="gramStart"/>
      <w:r w:rsidRPr="00593762">
        <w:t>transmen;</w:t>
      </w:r>
      <w:proofErr w:type="gramEnd"/>
      <w:r w:rsidRPr="00593762">
        <w:t xml:space="preserve"> </w:t>
      </w:r>
    </w:p>
    <w:p w14:paraId="38E3FFB5" w14:textId="47022EBC" w:rsidR="00593762" w:rsidRPr="00593762" w:rsidRDefault="00593762" w:rsidP="00E3681A">
      <w:pPr>
        <w:jc w:val="both"/>
        <w:rPr>
          <w:rFonts w:cstheme="minorHAnsi"/>
          <w:sz w:val="20"/>
          <w:szCs w:val="20"/>
          <w:lang w:val="en-GB"/>
        </w:rPr>
      </w:pPr>
      <w:r w:rsidRPr="00593762">
        <w:rPr>
          <w:rFonts w:cstheme="minorHAnsi"/>
          <w:sz w:val="20"/>
          <w:szCs w:val="20"/>
          <w:lang w:val="en-GB"/>
        </w:rPr>
        <w:t xml:space="preserve">A consequence of </w:t>
      </w:r>
      <w:proofErr w:type="spellStart"/>
      <w:r w:rsidRPr="00593762">
        <w:rPr>
          <w:rFonts w:cstheme="minorHAnsi"/>
          <w:sz w:val="20"/>
          <w:szCs w:val="20"/>
          <w:lang w:val="en-GB"/>
        </w:rPr>
        <w:t>deprioritisation</w:t>
      </w:r>
      <w:proofErr w:type="spellEnd"/>
      <w:r w:rsidRPr="00593762">
        <w:rPr>
          <w:rFonts w:cstheme="minorHAnsi"/>
          <w:sz w:val="20"/>
          <w:szCs w:val="20"/>
          <w:lang w:val="en-GB"/>
        </w:rPr>
        <w:t xml:space="preserve"> and lack of acknowledgement across the SRH-R policy and intervention domains, is the lack of differentiated information. This task - providing tailored information to LBQ women and transmen - is largely left to civil society that focus on these </w:t>
      </w:r>
      <w:proofErr w:type="gramStart"/>
      <w:r w:rsidRPr="00593762">
        <w:rPr>
          <w:rFonts w:cstheme="minorHAnsi"/>
          <w:sz w:val="20"/>
          <w:szCs w:val="20"/>
          <w:lang w:val="en-GB"/>
        </w:rPr>
        <w:t>particular groups</w:t>
      </w:r>
      <w:proofErr w:type="gramEnd"/>
      <w:r w:rsidRPr="00593762">
        <w:rPr>
          <w:rFonts w:cstheme="minorHAnsi"/>
          <w:sz w:val="20"/>
          <w:szCs w:val="20"/>
          <w:lang w:val="en-GB"/>
        </w:rPr>
        <w:t xml:space="preserve">. With funding opportunities already limited and resources stretched, the development and distribution of such, remains an under sourced area. For instance, no information is available to LBQ women and Transmen on HIV and STIs, and their potential risks (or options for risk reduction) of contracting or transmitting these infections. No information exists on barrier methods suited to women who have sex with women are available for their protection, or for the protection of their partners. No focus exists on promoting sexual pleasure – a human right – for women that seems significant to an understanding of acceptable, appropriate, beneficial and attractive health programme design. Health staff </w:t>
      </w:r>
      <w:r w:rsidRPr="00593762">
        <w:rPr>
          <w:rFonts w:cstheme="minorHAnsi"/>
          <w:sz w:val="20"/>
          <w:szCs w:val="20"/>
          <w:lang w:val="en-GB"/>
        </w:rPr>
        <w:lastRenderedPageBreak/>
        <w:t xml:space="preserve">are also often unfamiliar on the specific information requirements for this group. Breast binding, information on family planning, menstrual health, IPV, STIs, dental dams and finger condoms are subjects uncomfortably, moralistically and insubstantially addressed when requested or when they arise. </w:t>
      </w:r>
    </w:p>
    <w:p w14:paraId="1DD59D6B" w14:textId="77777777" w:rsidR="00593762" w:rsidRPr="00593762" w:rsidRDefault="00593762" w:rsidP="00E3681A">
      <w:pPr>
        <w:pStyle w:val="Heading1"/>
        <w:jc w:val="both"/>
      </w:pPr>
      <w:r w:rsidRPr="00593762">
        <w:t>Lack of preventative commodities.</w:t>
      </w:r>
    </w:p>
    <w:p w14:paraId="233F7CCD" w14:textId="39C7BC70" w:rsidR="00593762" w:rsidRPr="00593762" w:rsidRDefault="00593762" w:rsidP="00E3681A">
      <w:pPr>
        <w:autoSpaceDE w:val="0"/>
        <w:autoSpaceDN w:val="0"/>
        <w:adjustRightInd w:val="0"/>
        <w:spacing w:after="0" w:line="240" w:lineRule="auto"/>
        <w:jc w:val="both"/>
        <w:rPr>
          <w:rFonts w:cstheme="minorHAnsi"/>
          <w:sz w:val="20"/>
          <w:szCs w:val="20"/>
          <w:lang w:val="en-GB"/>
        </w:rPr>
      </w:pPr>
      <w:r w:rsidRPr="00593762">
        <w:rPr>
          <w:rFonts w:cstheme="minorHAnsi"/>
          <w:sz w:val="20"/>
          <w:szCs w:val="20"/>
          <w:lang w:val="en-GB"/>
        </w:rPr>
        <w:t xml:space="preserve">As with the lack of information, access to dental dams, finger condoms, PEP and PREP is under sourced for LBQ women and transmen. Health facilities often do not know what dental dams, finger condoms are, or why these specific commodities would be required by LBQ women or transmen, even when presenting significant risk to HIV and STI acquisition and transmission. </w:t>
      </w:r>
    </w:p>
    <w:p w14:paraId="55A38FDA" w14:textId="77777777" w:rsidR="00593762" w:rsidRPr="00593762" w:rsidRDefault="00593762" w:rsidP="00E3681A">
      <w:pPr>
        <w:pStyle w:val="Heading1"/>
        <w:jc w:val="both"/>
      </w:pPr>
      <w:r w:rsidRPr="00593762">
        <w:t>Recommendations</w:t>
      </w:r>
    </w:p>
    <w:p w14:paraId="6B8050F9" w14:textId="77777777" w:rsidR="00593762" w:rsidRPr="00593762" w:rsidRDefault="00593762" w:rsidP="00E3681A">
      <w:pPr>
        <w:numPr>
          <w:ilvl w:val="0"/>
          <w:numId w:val="1"/>
        </w:numPr>
        <w:autoSpaceDE w:val="0"/>
        <w:autoSpaceDN w:val="0"/>
        <w:adjustRightInd w:val="0"/>
        <w:spacing w:after="0" w:line="240" w:lineRule="auto"/>
        <w:contextualSpacing/>
        <w:jc w:val="both"/>
        <w:rPr>
          <w:rFonts w:cstheme="minorHAnsi"/>
          <w:sz w:val="20"/>
          <w:szCs w:val="20"/>
          <w:lang w:val="en-GB"/>
        </w:rPr>
      </w:pPr>
      <w:r w:rsidRPr="00593762">
        <w:rPr>
          <w:rFonts w:cstheme="minorHAnsi"/>
          <w:sz w:val="20"/>
          <w:szCs w:val="20"/>
          <w:lang w:val="en-GB"/>
        </w:rPr>
        <w:t>Advocacy around the recognition and inclusion of LBQ women and trans-diverse people whose specific needs are underserved even in the public sector, primary health environment, let alone in the “special/KP” environment.</w:t>
      </w:r>
    </w:p>
    <w:p w14:paraId="34AF4A2F" w14:textId="77777777" w:rsidR="00593762" w:rsidRPr="00593762" w:rsidRDefault="00593762" w:rsidP="00E3681A">
      <w:pPr>
        <w:numPr>
          <w:ilvl w:val="0"/>
          <w:numId w:val="1"/>
        </w:numPr>
        <w:autoSpaceDE w:val="0"/>
        <w:autoSpaceDN w:val="0"/>
        <w:adjustRightInd w:val="0"/>
        <w:spacing w:after="0" w:line="240" w:lineRule="auto"/>
        <w:contextualSpacing/>
        <w:jc w:val="both"/>
        <w:rPr>
          <w:rFonts w:cstheme="minorHAnsi"/>
          <w:sz w:val="20"/>
          <w:szCs w:val="20"/>
          <w:lang w:val="en-GB"/>
        </w:rPr>
      </w:pPr>
      <w:r w:rsidRPr="00593762">
        <w:rPr>
          <w:rFonts w:cstheme="minorHAnsi"/>
          <w:sz w:val="20"/>
          <w:szCs w:val="20"/>
          <w:lang w:val="en-GB"/>
        </w:rPr>
        <w:t>Design, plan for and implement research in some form to generate strategic intelligence on the health and service needs of LBQ women and transmen</w:t>
      </w:r>
    </w:p>
    <w:p w14:paraId="43BDABF0" w14:textId="77777777" w:rsidR="00593762" w:rsidRPr="00593762" w:rsidRDefault="00593762" w:rsidP="00E3681A">
      <w:pPr>
        <w:numPr>
          <w:ilvl w:val="0"/>
          <w:numId w:val="1"/>
        </w:numPr>
        <w:autoSpaceDE w:val="0"/>
        <w:autoSpaceDN w:val="0"/>
        <w:adjustRightInd w:val="0"/>
        <w:spacing w:after="0" w:line="240" w:lineRule="auto"/>
        <w:contextualSpacing/>
        <w:jc w:val="both"/>
        <w:rPr>
          <w:rFonts w:cstheme="minorHAnsi"/>
          <w:sz w:val="20"/>
          <w:szCs w:val="20"/>
          <w:lang w:val="en-GB"/>
        </w:rPr>
      </w:pPr>
      <w:r w:rsidRPr="00593762">
        <w:rPr>
          <w:rFonts w:cstheme="minorHAnsi"/>
          <w:sz w:val="20"/>
          <w:szCs w:val="20"/>
          <w:lang w:val="en-GB"/>
        </w:rPr>
        <w:t>Content-development, dissemination and socialisation of information and clinical resource material appropriate for quality sexual and reproductive health care – and affirming of the sexual and reproductive rights – of lesbian, bisexual and queer women. Content could be modified and customised to be suitable to at least two audiences: LBQ women themselves, to provide them access to unique and specific SRH-information; and clinicians, many of whom are presently unable to answer questions that may be directed to them by LBQ clients, related to risk, protection, safety, social issues, same-sex partnerships, violence and sexual pleasure.</w:t>
      </w:r>
    </w:p>
    <w:p w14:paraId="5E79FF3C" w14:textId="77777777" w:rsidR="00593762" w:rsidRPr="00593762" w:rsidRDefault="00593762" w:rsidP="00E3681A">
      <w:pPr>
        <w:numPr>
          <w:ilvl w:val="0"/>
          <w:numId w:val="1"/>
        </w:numPr>
        <w:autoSpaceDE w:val="0"/>
        <w:autoSpaceDN w:val="0"/>
        <w:adjustRightInd w:val="0"/>
        <w:spacing w:after="0" w:line="240" w:lineRule="auto"/>
        <w:contextualSpacing/>
        <w:jc w:val="both"/>
        <w:rPr>
          <w:rFonts w:cstheme="minorHAnsi"/>
          <w:sz w:val="20"/>
          <w:szCs w:val="20"/>
          <w:lang w:val="en-GB"/>
        </w:rPr>
      </w:pPr>
      <w:r w:rsidRPr="00593762">
        <w:rPr>
          <w:rFonts w:cstheme="minorHAnsi"/>
          <w:sz w:val="20"/>
          <w:szCs w:val="20"/>
          <w:lang w:val="en-GB"/>
        </w:rPr>
        <w:t xml:space="preserve">Procurement and distribution of preventative commodities. </w:t>
      </w:r>
    </w:p>
    <w:p w14:paraId="52FA8612" w14:textId="77777777" w:rsidR="00593762" w:rsidRPr="00A962EA" w:rsidRDefault="00593762" w:rsidP="001E0AEC">
      <w:pPr>
        <w:autoSpaceDE w:val="0"/>
        <w:autoSpaceDN w:val="0"/>
        <w:adjustRightInd w:val="0"/>
        <w:spacing w:after="0" w:line="240" w:lineRule="auto"/>
        <w:rPr>
          <w:rFonts w:cstheme="minorHAnsi"/>
          <w:b/>
          <w:bCs/>
          <w:sz w:val="18"/>
          <w:szCs w:val="18"/>
        </w:rPr>
      </w:pPr>
    </w:p>
    <w:p w14:paraId="53305829" w14:textId="77777777" w:rsidR="00593762" w:rsidRPr="00A962EA" w:rsidRDefault="00593762" w:rsidP="001E0AEC">
      <w:pPr>
        <w:autoSpaceDE w:val="0"/>
        <w:autoSpaceDN w:val="0"/>
        <w:adjustRightInd w:val="0"/>
        <w:spacing w:after="0" w:line="240" w:lineRule="auto"/>
        <w:rPr>
          <w:rFonts w:cstheme="minorHAnsi"/>
          <w:b/>
          <w:bCs/>
          <w:sz w:val="18"/>
          <w:szCs w:val="18"/>
        </w:rPr>
      </w:pPr>
    </w:p>
    <w:p w14:paraId="6E9EC5B9" w14:textId="77777777" w:rsidR="00593762" w:rsidRPr="00A962EA" w:rsidRDefault="00593762" w:rsidP="001E0AEC">
      <w:pPr>
        <w:autoSpaceDE w:val="0"/>
        <w:autoSpaceDN w:val="0"/>
        <w:adjustRightInd w:val="0"/>
        <w:spacing w:after="0" w:line="240" w:lineRule="auto"/>
        <w:rPr>
          <w:rFonts w:cstheme="minorHAnsi"/>
          <w:b/>
          <w:bCs/>
          <w:sz w:val="18"/>
          <w:szCs w:val="18"/>
        </w:rPr>
      </w:pPr>
    </w:p>
    <w:p w14:paraId="0EA8DBC4" w14:textId="77777777" w:rsidR="00593762" w:rsidRPr="00A962EA" w:rsidRDefault="00593762" w:rsidP="001E0AEC">
      <w:pPr>
        <w:autoSpaceDE w:val="0"/>
        <w:autoSpaceDN w:val="0"/>
        <w:adjustRightInd w:val="0"/>
        <w:spacing w:after="0" w:line="240" w:lineRule="auto"/>
        <w:rPr>
          <w:rFonts w:cstheme="minorHAnsi"/>
          <w:b/>
          <w:bCs/>
          <w:sz w:val="18"/>
          <w:szCs w:val="18"/>
        </w:rPr>
      </w:pPr>
    </w:p>
    <w:p w14:paraId="1D18DC2B" w14:textId="77777777" w:rsidR="00A962EA" w:rsidRPr="00A962EA" w:rsidRDefault="00A962EA">
      <w:pPr>
        <w:rPr>
          <w:rFonts w:cstheme="minorHAnsi"/>
        </w:rPr>
      </w:pPr>
    </w:p>
    <w:sectPr w:rsidR="00A962EA" w:rsidRPr="00A962E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5981D" w14:textId="77777777" w:rsidR="00E84F68" w:rsidRDefault="00E84F68" w:rsidP="00A962EA">
      <w:pPr>
        <w:spacing w:after="0" w:line="240" w:lineRule="auto"/>
      </w:pPr>
      <w:r>
        <w:separator/>
      </w:r>
    </w:p>
  </w:endnote>
  <w:endnote w:type="continuationSeparator" w:id="0">
    <w:p w14:paraId="1435C722" w14:textId="77777777" w:rsidR="00E84F68" w:rsidRDefault="00E84F68" w:rsidP="00A962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2484004"/>
      <w:docPartObj>
        <w:docPartGallery w:val="Page Numbers (Bottom of Page)"/>
        <w:docPartUnique/>
      </w:docPartObj>
    </w:sdtPr>
    <w:sdtEndPr>
      <w:rPr>
        <w:noProof/>
      </w:rPr>
    </w:sdtEndPr>
    <w:sdtContent>
      <w:p w14:paraId="41250C1A" w14:textId="7037F89D" w:rsidR="00A962EA" w:rsidRDefault="00A962E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8C76F1" w14:textId="77777777" w:rsidR="00A962EA" w:rsidRDefault="00A96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54413" w14:textId="77777777" w:rsidR="00E84F68" w:rsidRDefault="00E84F68" w:rsidP="00A962EA">
      <w:pPr>
        <w:spacing w:after="0" w:line="240" w:lineRule="auto"/>
      </w:pPr>
      <w:r>
        <w:separator/>
      </w:r>
    </w:p>
  </w:footnote>
  <w:footnote w:type="continuationSeparator" w:id="0">
    <w:p w14:paraId="0071E373" w14:textId="77777777" w:rsidR="00E84F68" w:rsidRDefault="00E84F68" w:rsidP="00A962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EC1881"/>
    <w:multiLevelType w:val="hybridMultilevel"/>
    <w:tmpl w:val="711A8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58004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AEC"/>
    <w:rsid w:val="001730CC"/>
    <w:rsid w:val="001D3519"/>
    <w:rsid w:val="001E0AEC"/>
    <w:rsid w:val="00246770"/>
    <w:rsid w:val="003A73BC"/>
    <w:rsid w:val="004438A6"/>
    <w:rsid w:val="00493CFB"/>
    <w:rsid w:val="00593762"/>
    <w:rsid w:val="005F0C10"/>
    <w:rsid w:val="00685034"/>
    <w:rsid w:val="006F2825"/>
    <w:rsid w:val="00813ED1"/>
    <w:rsid w:val="00851085"/>
    <w:rsid w:val="00921F70"/>
    <w:rsid w:val="00A2000B"/>
    <w:rsid w:val="00A962EA"/>
    <w:rsid w:val="00C909AF"/>
    <w:rsid w:val="00D1284A"/>
    <w:rsid w:val="00DA1CF6"/>
    <w:rsid w:val="00E3681A"/>
    <w:rsid w:val="00E84F68"/>
    <w:rsid w:val="00F121AE"/>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4388E"/>
  <w15:chartTrackingRefBased/>
  <w15:docId w15:val="{65D91C1E-BB7C-41B2-8094-F00F88A59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3519"/>
    <w:pPr>
      <w:keepNext/>
      <w:keepLines/>
      <w:spacing w:before="240" w:after="0"/>
      <w:outlineLvl w:val="0"/>
    </w:pPr>
    <w:rPr>
      <w:rFonts w:asciiTheme="majorHAnsi" w:eastAsiaTheme="majorEastAsia" w:hAnsiTheme="majorHAnsi" w:cstheme="majorBidi"/>
      <w:b/>
      <w:bCs/>
      <w:color w:val="4E8542" w:themeColor="accent4"/>
      <w:sz w:val="24"/>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21AE"/>
    <w:rPr>
      <w:color w:val="6B9F25" w:themeColor="hyperlink"/>
      <w:u w:val="single"/>
    </w:rPr>
  </w:style>
  <w:style w:type="character" w:styleId="UnresolvedMention">
    <w:name w:val="Unresolved Mention"/>
    <w:basedOn w:val="DefaultParagraphFont"/>
    <w:uiPriority w:val="99"/>
    <w:semiHidden/>
    <w:unhideWhenUsed/>
    <w:rsid w:val="00F121AE"/>
    <w:rPr>
      <w:color w:val="605E5C"/>
      <w:shd w:val="clear" w:color="auto" w:fill="E1DFDD"/>
    </w:rPr>
  </w:style>
  <w:style w:type="paragraph" w:styleId="Header">
    <w:name w:val="header"/>
    <w:basedOn w:val="Normal"/>
    <w:link w:val="HeaderChar"/>
    <w:uiPriority w:val="99"/>
    <w:unhideWhenUsed/>
    <w:rsid w:val="00A962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62EA"/>
  </w:style>
  <w:style w:type="paragraph" w:styleId="Footer">
    <w:name w:val="footer"/>
    <w:basedOn w:val="Normal"/>
    <w:link w:val="FooterChar"/>
    <w:uiPriority w:val="99"/>
    <w:unhideWhenUsed/>
    <w:rsid w:val="00A962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2EA"/>
  </w:style>
  <w:style w:type="character" w:customStyle="1" w:styleId="Heading1Char">
    <w:name w:val="Heading 1 Char"/>
    <w:basedOn w:val="DefaultParagraphFont"/>
    <w:link w:val="Heading1"/>
    <w:uiPriority w:val="9"/>
    <w:rsid w:val="001D3519"/>
    <w:rPr>
      <w:rFonts w:asciiTheme="majorHAnsi" w:eastAsiaTheme="majorEastAsia" w:hAnsiTheme="majorHAnsi" w:cstheme="majorBidi"/>
      <w:b/>
      <w:bCs/>
      <w:color w:val="4E8542" w:themeColor="accent4"/>
      <w:sz w:val="24"/>
      <w:szCs w:val="32"/>
      <w:lang w:val="en-GB"/>
    </w:rPr>
  </w:style>
  <w:style w:type="paragraph" w:customStyle="1" w:styleId="Default">
    <w:name w:val="Default"/>
    <w:rsid w:val="00D1284A"/>
    <w:pPr>
      <w:autoSpaceDE w:val="0"/>
      <w:autoSpaceDN w:val="0"/>
      <w:adjustRightInd w:val="0"/>
      <w:spacing w:after="0" w:line="240" w:lineRule="auto"/>
    </w:pPr>
    <w:rPr>
      <w:rFonts w:ascii="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36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sitivevibes.org" TargetMode="External"/><Relationship Id="rId13" Type="http://schemas.openxmlformats.org/officeDocument/2006/relationships/image" Target="media/image3.png"/><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mailto:salen@positiivevibes.org" TargetMode="External"/><Relationship Id="rId12" Type="http://schemas.openxmlformats.org/officeDocument/2006/relationships/hyperlink" Target="mailto:revoniaapril@gmail.com"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florencekhaxas@gmail.com"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084C99-EB36-44BB-9277-33CBD202241B}"/>
</file>

<file path=customXml/itemProps2.xml><?xml version="1.0" encoding="utf-8"?>
<ds:datastoreItem xmlns:ds="http://schemas.openxmlformats.org/officeDocument/2006/customXml" ds:itemID="{7A24DA15-0DC3-4EDE-8938-D8135A0BBD44}"/>
</file>

<file path=customXml/itemProps3.xml><?xml version="1.0" encoding="utf-8"?>
<ds:datastoreItem xmlns:ds="http://schemas.openxmlformats.org/officeDocument/2006/customXml" ds:itemID="{6C3EA0E3-6856-4AB7-88C9-A4B667D3F7CB}"/>
</file>

<file path=docProps/app.xml><?xml version="1.0" encoding="utf-8"?>
<Properties xmlns="http://schemas.openxmlformats.org/officeDocument/2006/extended-properties" xmlns:vt="http://schemas.openxmlformats.org/officeDocument/2006/docPropsVTypes">
  <Template>Normal</Template>
  <TotalTime>1</TotalTime>
  <Pages>4</Pages>
  <Words>1884</Words>
  <Characters>10742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dc:creator>
  <cp:keywords/>
  <dc:description/>
  <cp:lastModifiedBy>Abigail</cp:lastModifiedBy>
  <cp:revision>2</cp:revision>
  <dcterms:created xsi:type="dcterms:W3CDTF">2022-05-24T11:10:00Z</dcterms:created>
  <dcterms:modified xsi:type="dcterms:W3CDTF">2022-05-24T11:10:00Z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