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642CF" w14:textId="77777777" w:rsidR="00F37FC8" w:rsidRPr="00976C66" w:rsidRDefault="00F37FC8" w:rsidP="00F37FC8">
      <w:pPr>
        <w:rPr>
          <w:rtl/>
        </w:rPr>
      </w:pPr>
      <w:bookmarkStart w:id="0" w:name="_GoBack"/>
      <w:bookmarkEnd w:id="0"/>
    </w:p>
    <w:p w14:paraId="7D7DAE7A" w14:textId="77777777" w:rsidR="00F37FC8" w:rsidRPr="00976C66" w:rsidRDefault="00F37FC8" w:rsidP="00F37FC8">
      <w:pPr>
        <w:pStyle w:val="Header"/>
        <w:jc w:val="center"/>
        <w:rPr>
          <w:rFonts w:asciiTheme="majorBidi" w:hAnsiTheme="majorBidi" w:cstheme="majorBidi"/>
          <w:b/>
          <w:bCs/>
          <w:spacing w:val="60"/>
          <w:szCs w:val="28"/>
        </w:rPr>
      </w:pPr>
      <w:r w:rsidRPr="00976C66">
        <w:rPr>
          <w:rFonts w:asciiTheme="majorBidi" w:hAnsiTheme="majorBidi" w:cstheme="majorBidi"/>
        </w:rPr>
        <w:object w:dxaOrig="1306" w:dyaOrig="1195" w14:anchorId="621DDF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5pt;height:60.5pt" o:ole="">
            <v:imagedata r:id="rId8" o:title=""/>
          </v:shape>
          <o:OLEObject Type="Embed" ProgID="Word.Picture.8" ShapeID="_x0000_i1025" DrawAspect="Content" ObjectID="_1713073777" r:id="rId9"/>
        </w:object>
      </w:r>
    </w:p>
    <w:p w14:paraId="599B6FC3" w14:textId="77777777" w:rsidR="00F37FC8" w:rsidRPr="00976C66" w:rsidRDefault="00F37FC8" w:rsidP="00F37FC8">
      <w:pPr>
        <w:pStyle w:val="Heading7"/>
        <w:spacing w:before="0" w:line="360" w:lineRule="auto"/>
        <w:jc w:val="center"/>
        <w:rPr>
          <w:rFonts w:asciiTheme="majorBidi" w:hAnsiTheme="majorBidi" w:cstheme="majorBidi"/>
          <w:b/>
          <w:bCs/>
          <w:sz w:val="32"/>
          <w:szCs w:val="32"/>
          <w:rtl/>
        </w:rPr>
      </w:pPr>
      <w:r w:rsidRPr="00976C66">
        <w:rPr>
          <w:rFonts w:asciiTheme="majorBidi" w:hAnsiTheme="majorBidi" w:cstheme="majorBidi"/>
          <w:b/>
          <w:bCs/>
          <w:sz w:val="32"/>
          <w:szCs w:val="32"/>
        </w:rPr>
        <w:t>STATE OF ISRAEL</w:t>
      </w:r>
    </w:p>
    <w:p w14:paraId="3B1B65FB" w14:textId="77777777" w:rsidR="00F37FC8" w:rsidRPr="00644D43" w:rsidRDefault="00F37FC8" w:rsidP="00F37FC8">
      <w:pPr>
        <w:pStyle w:val="Heading8"/>
        <w:bidi w:val="0"/>
        <w:spacing w:before="0" w:line="360" w:lineRule="auto"/>
        <w:rPr>
          <w:rFonts w:asciiTheme="majorBidi" w:hAnsiTheme="majorBidi"/>
        </w:rPr>
      </w:pPr>
    </w:p>
    <w:p w14:paraId="2524155E" w14:textId="15F7C0B2" w:rsidR="00F37FC8" w:rsidRPr="00644D43" w:rsidRDefault="00F37FC8" w:rsidP="00991544">
      <w:pPr>
        <w:pStyle w:val="Heading9"/>
        <w:bidi w:val="0"/>
        <w:spacing w:before="0" w:line="360" w:lineRule="auto"/>
        <w:jc w:val="center"/>
        <w:rPr>
          <w:rFonts w:asciiTheme="majorBidi" w:hAnsiTheme="majorBidi"/>
          <w:b/>
          <w:bCs/>
          <w:sz w:val="28"/>
          <w:szCs w:val="28"/>
        </w:rPr>
      </w:pPr>
      <w:r>
        <w:rPr>
          <w:rFonts w:asciiTheme="majorBidi" w:hAnsiTheme="majorBidi"/>
          <w:b/>
          <w:bCs/>
          <w:sz w:val="28"/>
          <w:szCs w:val="28"/>
        </w:rPr>
        <w:t>Reply</w:t>
      </w:r>
      <w:r w:rsidRPr="00644D43">
        <w:rPr>
          <w:rFonts w:asciiTheme="majorBidi" w:hAnsiTheme="majorBidi"/>
          <w:b/>
          <w:bCs/>
          <w:sz w:val="28"/>
          <w:szCs w:val="28"/>
        </w:rPr>
        <w:t xml:space="preserve"> to List of Issues in relation to </w:t>
      </w:r>
      <w:r w:rsidR="00991544">
        <w:rPr>
          <w:rFonts w:asciiTheme="majorBidi" w:hAnsiTheme="majorBidi" w:hint="cs"/>
          <w:b/>
          <w:bCs/>
          <w:sz w:val="28"/>
          <w:szCs w:val="28"/>
        </w:rPr>
        <w:t>I</w:t>
      </w:r>
      <w:r w:rsidR="00991544">
        <w:rPr>
          <w:rFonts w:asciiTheme="majorBidi" w:hAnsiTheme="majorBidi"/>
          <w:b/>
          <w:bCs/>
          <w:sz w:val="28"/>
          <w:szCs w:val="28"/>
        </w:rPr>
        <w:t>srael's</w:t>
      </w:r>
      <w:r w:rsidRPr="00644D43">
        <w:rPr>
          <w:rFonts w:asciiTheme="majorBidi" w:hAnsiTheme="majorBidi"/>
          <w:b/>
          <w:bCs/>
          <w:sz w:val="28"/>
          <w:szCs w:val="28"/>
        </w:rPr>
        <w:t xml:space="preserve"> Initial Report  </w:t>
      </w:r>
    </w:p>
    <w:p w14:paraId="7454800D" w14:textId="77777777" w:rsidR="00F37FC8" w:rsidRPr="00BB093F" w:rsidRDefault="00F37FC8" w:rsidP="00F37FC8">
      <w:pPr>
        <w:pStyle w:val="Heading9"/>
        <w:bidi w:val="0"/>
        <w:spacing w:before="0" w:line="360" w:lineRule="auto"/>
        <w:jc w:val="center"/>
        <w:rPr>
          <w:rFonts w:asciiTheme="majorBidi" w:hAnsiTheme="majorBidi"/>
          <w:b/>
          <w:bCs/>
          <w:sz w:val="28"/>
          <w:szCs w:val="28"/>
        </w:rPr>
      </w:pPr>
      <w:r w:rsidRPr="00BB093F">
        <w:rPr>
          <w:rFonts w:asciiTheme="majorBidi" w:hAnsiTheme="majorBidi"/>
          <w:b/>
          <w:bCs/>
          <w:sz w:val="28"/>
          <w:szCs w:val="28"/>
        </w:rPr>
        <w:t>Presented to the UN CRPD Committee</w:t>
      </w:r>
    </w:p>
    <w:p w14:paraId="68C168CF" w14:textId="77777777" w:rsidR="00F37FC8" w:rsidRPr="00BB093F" w:rsidRDefault="00F37FC8" w:rsidP="00F37FC8">
      <w:pPr>
        <w:pStyle w:val="Heading9"/>
        <w:bidi w:val="0"/>
        <w:spacing w:before="0" w:line="360" w:lineRule="auto"/>
        <w:jc w:val="center"/>
        <w:rPr>
          <w:rFonts w:asciiTheme="majorBidi" w:hAnsiTheme="majorBidi"/>
          <w:sz w:val="24"/>
          <w:szCs w:val="24"/>
        </w:rPr>
      </w:pPr>
    </w:p>
    <w:p w14:paraId="5EDEB13A" w14:textId="77777777" w:rsidR="00F37FC8" w:rsidRPr="00BB093F" w:rsidRDefault="00F37FC8" w:rsidP="00F37FC8">
      <w:pPr>
        <w:bidi w:val="0"/>
        <w:spacing w:line="360" w:lineRule="auto"/>
        <w:jc w:val="center"/>
        <w:rPr>
          <w:rFonts w:asciiTheme="majorBidi" w:hAnsiTheme="majorBidi" w:cstheme="majorBidi"/>
          <w:b/>
          <w:bCs/>
          <w:sz w:val="28"/>
          <w:szCs w:val="28"/>
        </w:rPr>
      </w:pPr>
      <w:r w:rsidRPr="00BB093F">
        <w:rPr>
          <w:rFonts w:asciiTheme="majorBidi" w:hAnsiTheme="majorBidi" w:cstheme="majorBidi"/>
          <w:b/>
          <w:bCs/>
          <w:sz w:val="28"/>
          <w:szCs w:val="28"/>
        </w:rPr>
        <w:t>Concerning the</w:t>
      </w:r>
    </w:p>
    <w:p w14:paraId="2041EAB8" w14:textId="77777777" w:rsidR="00F37FC8" w:rsidRPr="00BB093F" w:rsidRDefault="00F37FC8" w:rsidP="00F37FC8">
      <w:pPr>
        <w:bidi w:val="0"/>
        <w:spacing w:line="360" w:lineRule="auto"/>
        <w:jc w:val="center"/>
        <w:rPr>
          <w:rFonts w:asciiTheme="majorBidi" w:hAnsiTheme="majorBidi" w:cstheme="majorBidi"/>
          <w:b/>
          <w:bCs/>
          <w:sz w:val="28"/>
          <w:szCs w:val="28"/>
        </w:rPr>
      </w:pPr>
      <w:r w:rsidRPr="00BB093F">
        <w:rPr>
          <w:rFonts w:asciiTheme="majorBidi" w:hAnsiTheme="majorBidi" w:cstheme="majorBidi"/>
          <w:b/>
          <w:bCs/>
          <w:sz w:val="28"/>
          <w:szCs w:val="28"/>
        </w:rPr>
        <w:t xml:space="preserve">IMPLEMENTATION OF </w:t>
      </w:r>
    </w:p>
    <w:p w14:paraId="1BD656DC" w14:textId="77777777" w:rsidR="00F37FC8" w:rsidRPr="00BB093F" w:rsidRDefault="00F37FC8" w:rsidP="00F37FC8">
      <w:pPr>
        <w:bidi w:val="0"/>
        <w:spacing w:line="360" w:lineRule="auto"/>
        <w:jc w:val="center"/>
        <w:rPr>
          <w:rFonts w:asciiTheme="majorBidi" w:hAnsiTheme="majorBidi" w:cstheme="majorBidi"/>
          <w:b/>
          <w:bCs/>
          <w:sz w:val="36"/>
          <w:szCs w:val="36"/>
        </w:rPr>
      </w:pPr>
    </w:p>
    <w:p w14:paraId="08CEEA60" w14:textId="77777777" w:rsidR="00F37FC8" w:rsidRPr="00D43CF9" w:rsidRDefault="00F37FC8" w:rsidP="00F37FC8">
      <w:pPr>
        <w:bidi w:val="0"/>
        <w:spacing w:line="360" w:lineRule="auto"/>
        <w:jc w:val="center"/>
        <w:rPr>
          <w:rFonts w:asciiTheme="majorBidi" w:hAnsiTheme="majorBidi" w:cstheme="majorBidi"/>
          <w:b/>
          <w:bCs/>
          <w:sz w:val="32"/>
          <w:szCs w:val="32"/>
        </w:rPr>
      </w:pPr>
      <w:r w:rsidRPr="00BB093F">
        <w:rPr>
          <w:rFonts w:asciiTheme="majorBidi" w:hAnsiTheme="majorBidi" w:cstheme="majorBidi"/>
          <w:b/>
          <w:bCs/>
          <w:sz w:val="32"/>
          <w:szCs w:val="32"/>
        </w:rPr>
        <w:t xml:space="preserve">THE CONVENTION ON THE RIGHTS OF </w:t>
      </w:r>
      <w:r w:rsidRPr="00D43CF9">
        <w:rPr>
          <w:rFonts w:asciiTheme="majorBidi" w:hAnsiTheme="majorBidi" w:cstheme="majorBidi"/>
          <w:b/>
          <w:bCs/>
          <w:sz w:val="32"/>
          <w:szCs w:val="32"/>
        </w:rPr>
        <w:t>PERSONS WITH DISABILITIES</w:t>
      </w:r>
    </w:p>
    <w:p w14:paraId="05021E0D" w14:textId="77777777" w:rsidR="00F37FC8" w:rsidRPr="00976C66" w:rsidRDefault="00F37FC8" w:rsidP="00F37FC8">
      <w:pPr>
        <w:pStyle w:val="Heading9"/>
        <w:bidi w:val="0"/>
        <w:spacing w:line="360" w:lineRule="auto"/>
        <w:jc w:val="center"/>
        <w:rPr>
          <w:rFonts w:asciiTheme="majorBidi" w:hAnsiTheme="majorBidi"/>
          <w:szCs w:val="24"/>
        </w:rPr>
      </w:pPr>
    </w:p>
    <w:p w14:paraId="3D477C8A" w14:textId="77777777" w:rsidR="00F37FC8" w:rsidRPr="00976C66" w:rsidRDefault="00F37FC8" w:rsidP="00F37FC8">
      <w:pPr>
        <w:pStyle w:val="Heading9"/>
        <w:bidi w:val="0"/>
        <w:spacing w:line="360" w:lineRule="auto"/>
        <w:jc w:val="center"/>
        <w:rPr>
          <w:rFonts w:asciiTheme="majorBidi" w:hAnsiTheme="majorBidi"/>
          <w:szCs w:val="24"/>
          <w:rtl/>
        </w:rPr>
      </w:pPr>
      <w:r w:rsidRPr="00976C66">
        <w:rPr>
          <w:rFonts w:asciiTheme="majorBidi" w:hAnsiTheme="majorBidi"/>
          <w:szCs w:val="24"/>
        </w:rPr>
        <w:t xml:space="preserve">Compiled by the </w:t>
      </w:r>
      <w:r>
        <w:rPr>
          <w:rFonts w:asciiTheme="majorBidi" w:hAnsiTheme="majorBidi"/>
          <w:szCs w:val="24"/>
        </w:rPr>
        <w:t>Office of the Deputy Attorney General</w:t>
      </w:r>
      <w:r w:rsidRPr="00976C66">
        <w:rPr>
          <w:rFonts w:asciiTheme="majorBidi" w:hAnsiTheme="majorBidi"/>
          <w:szCs w:val="24"/>
        </w:rPr>
        <w:t xml:space="preserve"> (International Law), </w:t>
      </w:r>
    </w:p>
    <w:p w14:paraId="7A818D3A" w14:textId="77777777" w:rsidR="00F37FC8" w:rsidRPr="00976C66" w:rsidRDefault="00F37FC8" w:rsidP="00F37FC8">
      <w:pPr>
        <w:pStyle w:val="Heading9"/>
        <w:bidi w:val="0"/>
        <w:spacing w:line="360" w:lineRule="auto"/>
        <w:jc w:val="center"/>
        <w:rPr>
          <w:rFonts w:asciiTheme="majorBidi" w:hAnsiTheme="majorBidi"/>
          <w:szCs w:val="24"/>
        </w:rPr>
      </w:pPr>
      <w:r w:rsidRPr="00976C66">
        <w:rPr>
          <w:rFonts w:asciiTheme="majorBidi" w:hAnsiTheme="majorBidi"/>
          <w:szCs w:val="24"/>
        </w:rPr>
        <w:t>Ministry of Justice</w:t>
      </w:r>
    </w:p>
    <w:p w14:paraId="5713D4C4" w14:textId="77777777" w:rsidR="00F37FC8" w:rsidRPr="00976C66" w:rsidRDefault="00F37FC8" w:rsidP="00F37FC8">
      <w:pPr>
        <w:bidi w:val="0"/>
      </w:pPr>
    </w:p>
    <w:p w14:paraId="2ED65638" w14:textId="77777777" w:rsidR="00F37FC8" w:rsidRPr="00976C66" w:rsidRDefault="00F37FC8" w:rsidP="00F37FC8">
      <w:pPr>
        <w:bidi w:val="0"/>
      </w:pPr>
    </w:p>
    <w:p w14:paraId="6FB67536" w14:textId="77777777" w:rsidR="00F37FC8" w:rsidRPr="00976C66" w:rsidRDefault="00F37FC8" w:rsidP="00F37FC8">
      <w:pPr>
        <w:bidi w:val="0"/>
      </w:pPr>
    </w:p>
    <w:p w14:paraId="45BB94C6" w14:textId="6729088F" w:rsidR="00F37FC8" w:rsidRPr="00976C66" w:rsidRDefault="00496FC0" w:rsidP="00F37FC8">
      <w:pPr>
        <w:bidi w:val="0"/>
        <w:jc w:val="center"/>
        <w:rPr>
          <w:rFonts w:asciiTheme="majorBidi" w:hAnsiTheme="majorBidi"/>
          <w:b/>
          <w:bCs/>
        </w:rPr>
      </w:pPr>
      <w:r>
        <w:rPr>
          <w:rFonts w:asciiTheme="majorBidi" w:hAnsiTheme="majorBidi" w:cstheme="majorBidi" w:hint="cs"/>
          <w:b/>
          <w:bCs/>
        </w:rPr>
        <w:t>M</w:t>
      </w:r>
      <w:r>
        <w:rPr>
          <w:rFonts w:asciiTheme="majorBidi" w:hAnsiTheme="majorBidi" w:cstheme="majorBidi"/>
          <w:b/>
          <w:bCs/>
        </w:rPr>
        <w:t>ay</w:t>
      </w:r>
      <w:r w:rsidR="00F37FC8" w:rsidRPr="00976C66">
        <w:rPr>
          <w:rFonts w:asciiTheme="majorBidi" w:hAnsiTheme="majorBidi" w:cstheme="majorBidi"/>
          <w:b/>
          <w:bCs/>
        </w:rPr>
        <w:t xml:space="preserve"> 2022</w:t>
      </w:r>
    </w:p>
    <w:p w14:paraId="48474905" w14:textId="77777777" w:rsidR="00F37FC8" w:rsidRPr="00976C66" w:rsidRDefault="00F37FC8" w:rsidP="00F37FC8">
      <w:pPr>
        <w:bidi w:val="0"/>
        <w:rPr>
          <w:rFonts w:asciiTheme="majorBidi" w:eastAsia="SimSun" w:hAnsiTheme="majorBidi" w:cstheme="majorBidi"/>
          <w:b/>
          <w:sz w:val="24"/>
          <w:szCs w:val="24"/>
          <w:lang w:eastAsia="zh-CN" w:bidi="ar-SA"/>
        </w:rPr>
      </w:pPr>
    </w:p>
    <w:p w14:paraId="71C91D87" w14:textId="77777777" w:rsidR="00F37FC8" w:rsidRPr="00976C66" w:rsidRDefault="00F37FC8" w:rsidP="00F37FC8">
      <w:pPr>
        <w:bidi w:val="0"/>
        <w:rPr>
          <w:rFonts w:asciiTheme="majorBidi" w:eastAsia="SimSun" w:hAnsiTheme="majorBidi" w:cstheme="majorBidi"/>
          <w:b/>
          <w:lang w:eastAsia="zh-CN" w:bidi="ar-SA"/>
        </w:rPr>
      </w:pPr>
      <w:r w:rsidRPr="00976C66">
        <w:rPr>
          <w:rFonts w:asciiTheme="majorBidi" w:hAnsiTheme="majorBidi" w:cstheme="majorBidi"/>
          <w:szCs w:val="24"/>
        </w:rPr>
        <w:br w:type="page"/>
      </w:r>
    </w:p>
    <w:p w14:paraId="4B7EC6A5" w14:textId="77777777" w:rsidR="004F7E70" w:rsidRDefault="004F7E70" w:rsidP="004F7E70">
      <w:pPr>
        <w:bidi w:val="0"/>
        <w:jc w:val="center"/>
        <w:rPr>
          <w:rFonts w:asciiTheme="majorBidi" w:hAnsiTheme="majorBidi" w:cstheme="majorBidi"/>
          <w:b/>
          <w:bCs/>
          <w:sz w:val="24"/>
          <w:szCs w:val="24"/>
          <w:u w:val="single"/>
        </w:rPr>
      </w:pPr>
      <w:bookmarkStart w:id="1" w:name="_Toc16796395"/>
      <w:r w:rsidRPr="004F7E70">
        <w:rPr>
          <w:rFonts w:asciiTheme="majorBidi" w:hAnsiTheme="majorBidi" w:cstheme="majorBidi"/>
          <w:b/>
          <w:bCs/>
          <w:sz w:val="24"/>
          <w:szCs w:val="24"/>
          <w:u w:val="single"/>
        </w:rPr>
        <w:lastRenderedPageBreak/>
        <w:t>Table of Content</w:t>
      </w:r>
    </w:p>
    <w:p w14:paraId="5997727E" w14:textId="77777777" w:rsidR="004F7E70" w:rsidRPr="004F7E70" w:rsidRDefault="004F7E70" w:rsidP="004F7E70">
      <w:pPr>
        <w:pStyle w:val="TOC1"/>
        <w:tabs>
          <w:tab w:val="right" w:leader="dot" w:pos="8296"/>
        </w:tabs>
        <w:bidi w:val="0"/>
        <w:spacing w:after="0" w:line="240" w:lineRule="auto"/>
        <w:rPr>
          <w:rFonts w:asciiTheme="majorBidi" w:hAnsiTheme="majorBidi" w:cstheme="majorBidi"/>
          <w:noProof/>
          <w:sz w:val="24"/>
          <w:szCs w:val="24"/>
          <w:rtl/>
        </w:rPr>
      </w:pPr>
      <w:r w:rsidRPr="004F7E70">
        <w:rPr>
          <w:rFonts w:asciiTheme="majorBidi" w:hAnsiTheme="majorBidi" w:cstheme="majorBidi"/>
          <w:sz w:val="24"/>
          <w:szCs w:val="24"/>
        </w:rPr>
        <w:fldChar w:fldCharType="begin"/>
      </w:r>
      <w:r w:rsidRPr="004F7E70">
        <w:rPr>
          <w:rFonts w:asciiTheme="majorBidi" w:hAnsiTheme="majorBidi" w:cstheme="majorBidi"/>
          <w:sz w:val="24"/>
          <w:szCs w:val="24"/>
        </w:rPr>
        <w:instrText xml:space="preserve"> TOC \o "1-1" \h \z \u </w:instrText>
      </w:r>
      <w:r w:rsidRPr="004F7E70">
        <w:rPr>
          <w:rFonts w:asciiTheme="majorBidi" w:hAnsiTheme="majorBidi" w:cstheme="majorBidi"/>
          <w:sz w:val="24"/>
          <w:szCs w:val="24"/>
        </w:rPr>
        <w:fldChar w:fldCharType="separate"/>
      </w:r>
      <w:hyperlink w:anchor="_Toc100224038" w:history="1">
        <w:r w:rsidRPr="004F7E70">
          <w:rPr>
            <w:rStyle w:val="Hyperlink"/>
            <w:rFonts w:asciiTheme="majorBidi" w:hAnsiTheme="majorBidi" w:cstheme="majorBidi"/>
            <w:b/>
            <w:bCs/>
            <w:noProof/>
            <w:sz w:val="24"/>
            <w:szCs w:val="24"/>
          </w:rPr>
          <w:t>Question 1</w:t>
        </w:r>
        <w:r w:rsidRPr="004F7E70">
          <w:rPr>
            <w:rFonts w:asciiTheme="majorBidi" w:hAnsiTheme="majorBidi" w:cstheme="majorBidi"/>
            <w:noProof/>
            <w:webHidden/>
            <w:sz w:val="24"/>
            <w:szCs w:val="24"/>
            <w:rtl/>
          </w:rPr>
          <w:tab/>
        </w:r>
        <w:r w:rsidRPr="004F7E70">
          <w:rPr>
            <w:rFonts w:asciiTheme="majorBidi" w:hAnsiTheme="majorBidi" w:cstheme="majorBidi"/>
            <w:noProof/>
            <w:webHidden/>
            <w:sz w:val="24"/>
            <w:szCs w:val="24"/>
            <w:rtl/>
          </w:rPr>
          <w:fldChar w:fldCharType="begin"/>
        </w:r>
        <w:r w:rsidRPr="004F7E70">
          <w:rPr>
            <w:rFonts w:asciiTheme="majorBidi" w:hAnsiTheme="majorBidi" w:cstheme="majorBidi"/>
            <w:noProof/>
            <w:webHidden/>
            <w:sz w:val="24"/>
            <w:szCs w:val="24"/>
            <w:rtl/>
          </w:rPr>
          <w:instrText xml:space="preserve"> </w:instrText>
        </w:r>
        <w:r w:rsidRPr="004F7E70">
          <w:rPr>
            <w:rFonts w:asciiTheme="majorBidi" w:hAnsiTheme="majorBidi" w:cstheme="majorBidi"/>
            <w:noProof/>
            <w:webHidden/>
            <w:sz w:val="24"/>
            <w:szCs w:val="24"/>
          </w:rPr>
          <w:instrText>PAGEREF</w:instrText>
        </w:r>
        <w:r w:rsidRPr="004F7E70">
          <w:rPr>
            <w:rFonts w:asciiTheme="majorBidi" w:hAnsiTheme="majorBidi" w:cstheme="majorBidi"/>
            <w:noProof/>
            <w:webHidden/>
            <w:sz w:val="24"/>
            <w:szCs w:val="24"/>
            <w:rtl/>
          </w:rPr>
          <w:instrText xml:space="preserve"> _</w:instrText>
        </w:r>
        <w:r w:rsidRPr="004F7E70">
          <w:rPr>
            <w:rFonts w:asciiTheme="majorBidi" w:hAnsiTheme="majorBidi" w:cstheme="majorBidi"/>
            <w:noProof/>
            <w:webHidden/>
            <w:sz w:val="24"/>
            <w:szCs w:val="24"/>
          </w:rPr>
          <w:instrText>Toc100224038 \h</w:instrText>
        </w:r>
        <w:r w:rsidRPr="004F7E70">
          <w:rPr>
            <w:rFonts w:asciiTheme="majorBidi" w:hAnsiTheme="majorBidi" w:cstheme="majorBidi"/>
            <w:noProof/>
            <w:webHidden/>
            <w:sz w:val="24"/>
            <w:szCs w:val="24"/>
            <w:rtl/>
          </w:rPr>
          <w:instrText xml:space="preserve"> </w:instrText>
        </w:r>
        <w:r w:rsidRPr="004F7E70">
          <w:rPr>
            <w:rFonts w:asciiTheme="majorBidi" w:hAnsiTheme="majorBidi" w:cstheme="majorBidi"/>
            <w:noProof/>
            <w:webHidden/>
            <w:sz w:val="24"/>
            <w:szCs w:val="24"/>
            <w:rtl/>
          </w:rPr>
        </w:r>
        <w:r w:rsidRPr="004F7E70">
          <w:rPr>
            <w:rFonts w:asciiTheme="majorBidi" w:hAnsiTheme="majorBidi" w:cstheme="majorBidi"/>
            <w:noProof/>
            <w:webHidden/>
            <w:sz w:val="24"/>
            <w:szCs w:val="24"/>
            <w:rtl/>
          </w:rPr>
          <w:fldChar w:fldCharType="separate"/>
        </w:r>
        <w:r w:rsidRPr="004F7E70">
          <w:rPr>
            <w:rFonts w:asciiTheme="majorBidi" w:hAnsiTheme="majorBidi" w:cstheme="majorBidi"/>
            <w:noProof/>
            <w:webHidden/>
            <w:sz w:val="24"/>
            <w:szCs w:val="24"/>
            <w:rtl/>
          </w:rPr>
          <w:t>3</w:t>
        </w:r>
        <w:r w:rsidRPr="004F7E70">
          <w:rPr>
            <w:rFonts w:asciiTheme="majorBidi" w:hAnsiTheme="majorBidi" w:cstheme="majorBidi"/>
            <w:noProof/>
            <w:webHidden/>
            <w:sz w:val="24"/>
            <w:szCs w:val="24"/>
            <w:rtl/>
          </w:rPr>
          <w:fldChar w:fldCharType="end"/>
        </w:r>
      </w:hyperlink>
    </w:p>
    <w:p w14:paraId="221041B6"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39" w:history="1">
        <w:r w:rsidR="004F7E70" w:rsidRPr="004F7E70">
          <w:rPr>
            <w:rStyle w:val="Hyperlink"/>
            <w:rFonts w:asciiTheme="majorBidi" w:hAnsiTheme="majorBidi" w:cstheme="majorBidi"/>
            <w:b/>
            <w:bCs/>
            <w:noProof/>
            <w:sz w:val="24"/>
            <w:szCs w:val="24"/>
          </w:rPr>
          <w:t>Question 2</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Toc100224039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6</w:t>
        </w:r>
        <w:r w:rsidR="004F7E70" w:rsidRPr="004F7E70">
          <w:rPr>
            <w:rFonts w:asciiTheme="majorBidi" w:hAnsiTheme="majorBidi" w:cstheme="majorBidi"/>
            <w:noProof/>
            <w:webHidden/>
            <w:sz w:val="24"/>
            <w:szCs w:val="24"/>
            <w:rtl/>
          </w:rPr>
          <w:fldChar w:fldCharType="end"/>
        </w:r>
      </w:hyperlink>
    </w:p>
    <w:p w14:paraId="64B5B935"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0" w:history="1">
        <w:r w:rsidR="004F7E70" w:rsidRPr="004F7E70">
          <w:rPr>
            <w:rStyle w:val="Hyperlink"/>
            <w:rFonts w:asciiTheme="majorBidi" w:hAnsiTheme="majorBidi" w:cstheme="majorBidi"/>
            <w:b/>
            <w:bCs/>
            <w:noProof/>
            <w:sz w:val="24"/>
            <w:szCs w:val="24"/>
          </w:rPr>
          <w:t>Question 3</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Toc100224040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10</w:t>
        </w:r>
        <w:r w:rsidR="004F7E70" w:rsidRPr="004F7E70">
          <w:rPr>
            <w:rFonts w:asciiTheme="majorBidi" w:hAnsiTheme="majorBidi" w:cstheme="majorBidi"/>
            <w:noProof/>
            <w:webHidden/>
            <w:sz w:val="24"/>
            <w:szCs w:val="24"/>
            <w:rtl/>
          </w:rPr>
          <w:fldChar w:fldCharType="end"/>
        </w:r>
      </w:hyperlink>
    </w:p>
    <w:p w14:paraId="2A8F1B25"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1" w:history="1">
        <w:r w:rsidR="004F7E70" w:rsidRPr="004F7E70">
          <w:rPr>
            <w:rStyle w:val="Hyperlink"/>
            <w:rFonts w:asciiTheme="majorBidi" w:hAnsiTheme="majorBidi" w:cstheme="majorBidi"/>
            <w:b/>
            <w:bCs/>
            <w:noProof/>
            <w:sz w:val="24"/>
            <w:szCs w:val="24"/>
          </w:rPr>
          <w:t>Question 4</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Toc100224041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11</w:t>
        </w:r>
        <w:r w:rsidR="004F7E70" w:rsidRPr="004F7E70">
          <w:rPr>
            <w:rFonts w:asciiTheme="majorBidi" w:hAnsiTheme="majorBidi" w:cstheme="majorBidi"/>
            <w:noProof/>
            <w:webHidden/>
            <w:sz w:val="24"/>
            <w:szCs w:val="24"/>
            <w:rtl/>
          </w:rPr>
          <w:fldChar w:fldCharType="end"/>
        </w:r>
      </w:hyperlink>
    </w:p>
    <w:p w14:paraId="4F111BB4"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2" w:history="1">
        <w:r w:rsidR="004F7E70" w:rsidRPr="004F7E70">
          <w:rPr>
            <w:rStyle w:val="Hyperlink"/>
            <w:rFonts w:asciiTheme="majorBidi" w:hAnsiTheme="majorBidi" w:cstheme="majorBidi"/>
            <w:b/>
            <w:bCs/>
            <w:noProof/>
            <w:sz w:val="24"/>
            <w:szCs w:val="24"/>
          </w:rPr>
          <w:t>Question 6</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Toc100224042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12</w:t>
        </w:r>
        <w:r w:rsidR="004F7E70" w:rsidRPr="004F7E70">
          <w:rPr>
            <w:rFonts w:asciiTheme="majorBidi" w:hAnsiTheme="majorBidi" w:cstheme="majorBidi"/>
            <w:noProof/>
            <w:webHidden/>
            <w:sz w:val="24"/>
            <w:szCs w:val="24"/>
            <w:rtl/>
          </w:rPr>
          <w:fldChar w:fldCharType="end"/>
        </w:r>
      </w:hyperlink>
    </w:p>
    <w:p w14:paraId="5E60AA3F"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3" w:history="1">
        <w:r w:rsidR="004F7E70" w:rsidRPr="004F7E70">
          <w:rPr>
            <w:rStyle w:val="Hyperlink"/>
            <w:rFonts w:asciiTheme="majorBidi" w:hAnsiTheme="majorBidi" w:cstheme="majorBidi"/>
            <w:b/>
            <w:bCs/>
            <w:noProof/>
            <w:sz w:val="24"/>
            <w:szCs w:val="24"/>
          </w:rPr>
          <w:t>Question 7</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Toc100224043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16</w:t>
        </w:r>
        <w:r w:rsidR="004F7E70" w:rsidRPr="004F7E70">
          <w:rPr>
            <w:rFonts w:asciiTheme="majorBidi" w:hAnsiTheme="majorBidi" w:cstheme="majorBidi"/>
            <w:noProof/>
            <w:webHidden/>
            <w:sz w:val="24"/>
            <w:szCs w:val="24"/>
            <w:rtl/>
          </w:rPr>
          <w:fldChar w:fldCharType="end"/>
        </w:r>
      </w:hyperlink>
    </w:p>
    <w:p w14:paraId="3D701545"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4" w:history="1">
        <w:r w:rsidR="004F7E70" w:rsidRPr="004F7E70">
          <w:rPr>
            <w:rStyle w:val="Hyperlink"/>
            <w:rFonts w:asciiTheme="majorBidi" w:hAnsiTheme="majorBidi" w:cstheme="majorBidi"/>
            <w:b/>
            <w:bCs/>
            <w:noProof/>
            <w:sz w:val="24"/>
            <w:szCs w:val="24"/>
          </w:rPr>
          <w:t>Question 8</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Toc100224044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20</w:t>
        </w:r>
        <w:r w:rsidR="004F7E70" w:rsidRPr="004F7E70">
          <w:rPr>
            <w:rFonts w:asciiTheme="majorBidi" w:hAnsiTheme="majorBidi" w:cstheme="majorBidi"/>
            <w:noProof/>
            <w:webHidden/>
            <w:sz w:val="24"/>
            <w:szCs w:val="24"/>
            <w:rtl/>
          </w:rPr>
          <w:fldChar w:fldCharType="end"/>
        </w:r>
      </w:hyperlink>
    </w:p>
    <w:p w14:paraId="0FECBE81"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5" w:history="1">
        <w:r w:rsidR="004F7E70" w:rsidRPr="004F7E70">
          <w:rPr>
            <w:rStyle w:val="Hyperlink"/>
            <w:rFonts w:asciiTheme="majorBidi" w:hAnsiTheme="majorBidi" w:cstheme="majorBidi"/>
            <w:b/>
            <w:bCs/>
            <w:noProof/>
            <w:sz w:val="24"/>
            <w:szCs w:val="24"/>
          </w:rPr>
          <w:t>Question 9</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Toc100224045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22</w:t>
        </w:r>
        <w:r w:rsidR="004F7E70" w:rsidRPr="004F7E70">
          <w:rPr>
            <w:rFonts w:asciiTheme="majorBidi" w:hAnsiTheme="majorBidi" w:cstheme="majorBidi"/>
            <w:noProof/>
            <w:webHidden/>
            <w:sz w:val="24"/>
            <w:szCs w:val="24"/>
            <w:rtl/>
          </w:rPr>
          <w:fldChar w:fldCharType="end"/>
        </w:r>
      </w:hyperlink>
    </w:p>
    <w:p w14:paraId="08550474"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6" w:history="1">
        <w:r w:rsidR="004F7E70" w:rsidRPr="004F7E70">
          <w:rPr>
            <w:rStyle w:val="Hyperlink"/>
            <w:rFonts w:asciiTheme="majorBidi" w:hAnsiTheme="majorBidi" w:cstheme="majorBidi"/>
            <w:b/>
            <w:bCs/>
            <w:noProof/>
            <w:sz w:val="24"/>
            <w:szCs w:val="24"/>
          </w:rPr>
          <w:t>Question 11</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Toc100224046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23</w:t>
        </w:r>
        <w:r w:rsidR="004F7E70" w:rsidRPr="004F7E70">
          <w:rPr>
            <w:rFonts w:asciiTheme="majorBidi" w:hAnsiTheme="majorBidi" w:cstheme="majorBidi"/>
            <w:noProof/>
            <w:webHidden/>
            <w:sz w:val="24"/>
            <w:szCs w:val="24"/>
            <w:rtl/>
          </w:rPr>
          <w:fldChar w:fldCharType="end"/>
        </w:r>
      </w:hyperlink>
    </w:p>
    <w:p w14:paraId="40988259"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7" w:history="1">
        <w:r w:rsidR="004F7E70" w:rsidRPr="004F7E70">
          <w:rPr>
            <w:rStyle w:val="Hyperlink"/>
            <w:rFonts w:asciiTheme="majorBidi" w:hAnsiTheme="majorBidi" w:cstheme="majorBidi"/>
            <w:b/>
            <w:bCs/>
            <w:noProof/>
            <w:sz w:val="24"/>
            <w:szCs w:val="24"/>
          </w:rPr>
          <w:t>Question 12</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Toc100224047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28</w:t>
        </w:r>
        <w:r w:rsidR="004F7E70" w:rsidRPr="004F7E70">
          <w:rPr>
            <w:rFonts w:asciiTheme="majorBidi" w:hAnsiTheme="majorBidi" w:cstheme="majorBidi"/>
            <w:noProof/>
            <w:webHidden/>
            <w:sz w:val="24"/>
            <w:szCs w:val="24"/>
            <w:rtl/>
          </w:rPr>
          <w:fldChar w:fldCharType="end"/>
        </w:r>
      </w:hyperlink>
    </w:p>
    <w:p w14:paraId="35CD709E"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8" w:history="1">
        <w:r w:rsidR="004F7E70" w:rsidRPr="004F7E70">
          <w:rPr>
            <w:rStyle w:val="Hyperlink"/>
            <w:rFonts w:asciiTheme="majorBidi" w:hAnsiTheme="majorBidi" w:cstheme="majorBidi"/>
            <w:b/>
            <w:bCs/>
            <w:noProof/>
            <w:sz w:val="24"/>
            <w:szCs w:val="24"/>
          </w:rPr>
          <w:t>Question 13</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Toc100224048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34</w:t>
        </w:r>
        <w:r w:rsidR="004F7E70" w:rsidRPr="004F7E70">
          <w:rPr>
            <w:rFonts w:asciiTheme="majorBidi" w:hAnsiTheme="majorBidi" w:cstheme="majorBidi"/>
            <w:noProof/>
            <w:webHidden/>
            <w:sz w:val="24"/>
            <w:szCs w:val="24"/>
            <w:rtl/>
          </w:rPr>
          <w:fldChar w:fldCharType="end"/>
        </w:r>
      </w:hyperlink>
    </w:p>
    <w:p w14:paraId="25662089"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49" w:history="1">
        <w:r w:rsidR="004F7E70" w:rsidRPr="004F7E70">
          <w:rPr>
            <w:rStyle w:val="Hyperlink"/>
            <w:rFonts w:asciiTheme="majorBidi" w:hAnsiTheme="majorBidi" w:cstheme="majorBidi"/>
            <w:b/>
            <w:bCs/>
            <w:noProof/>
            <w:sz w:val="24"/>
            <w:szCs w:val="24"/>
          </w:rPr>
          <w:t>Question 14</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Toc100224049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35</w:t>
        </w:r>
        <w:r w:rsidR="004F7E70" w:rsidRPr="004F7E70">
          <w:rPr>
            <w:rFonts w:asciiTheme="majorBidi" w:hAnsiTheme="majorBidi" w:cstheme="majorBidi"/>
            <w:noProof/>
            <w:webHidden/>
            <w:sz w:val="24"/>
            <w:szCs w:val="24"/>
            <w:rtl/>
          </w:rPr>
          <w:fldChar w:fldCharType="end"/>
        </w:r>
      </w:hyperlink>
    </w:p>
    <w:p w14:paraId="59FAF804"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0" w:history="1">
        <w:r w:rsidR="004F7E70" w:rsidRPr="004F7E70">
          <w:rPr>
            <w:rStyle w:val="Hyperlink"/>
            <w:rFonts w:asciiTheme="majorBidi" w:hAnsiTheme="majorBidi" w:cstheme="majorBidi"/>
            <w:b/>
            <w:bCs/>
            <w:noProof/>
            <w:sz w:val="24"/>
            <w:szCs w:val="24"/>
          </w:rPr>
          <w:t>Question 15</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Toc100224050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38</w:t>
        </w:r>
        <w:r w:rsidR="004F7E70" w:rsidRPr="004F7E70">
          <w:rPr>
            <w:rFonts w:asciiTheme="majorBidi" w:hAnsiTheme="majorBidi" w:cstheme="majorBidi"/>
            <w:noProof/>
            <w:webHidden/>
            <w:sz w:val="24"/>
            <w:szCs w:val="24"/>
            <w:rtl/>
          </w:rPr>
          <w:fldChar w:fldCharType="end"/>
        </w:r>
      </w:hyperlink>
    </w:p>
    <w:p w14:paraId="0C099FE7"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1" w:history="1">
        <w:r w:rsidR="004F7E70" w:rsidRPr="004F7E70">
          <w:rPr>
            <w:rStyle w:val="Hyperlink"/>
            <w:rFonts w:asciiTheme="majorBidi" w:hAnsiTheme="majorBidi" w:cstheme="majorBidi"/>
            <w:b/>
            <w:bCs/>
            <w:noProof/>
            <w:sz w:val="24"/>
            <w:szCs w:val="24"/>
          </w:rPr>
          <w:t>Question 16</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Toc100224051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39</w:t>
        </w:r>
        <w:r w:rsidR="004F7E70" w:rsidRPr="004F7E70">
          <w:rPr>
            <w:rFonts w:asciiTheme="majorBidi" w:hAnsiTheme="majorBidi" w:cstheme="majorBidi"/>
            <w:noProof/>
            <w:webHidden/>
            <w:sz w:val="24"/>
            <w:szCs w:val="24"/>
            <w:rtl/>
          </w:rPr>
          <w:fldChar w:fldCharType="end"/>
        </w:r>
      </w:hyperlink>
    </w:p>
    <w:p w14:paraId="68480A5A"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2" w:history="1">
        <w:r w:rsidR="004F7E70" w:rsidRPr="004F7E70">
          <w:rPr>
            <w:rStyle w:val="Hyperlink"/>
            <w:rFonts w:asciiTheme="majorBidi" w:hAnsiTheme="majorBidi" w:cstheme="majorBidi"/>
            <w:b/>
            <w:bCs/>
            <w:noProof/>
            <w:sz w:val="24"/>
            <w:szCs w:val="24"/>
          </w:rPr>
          <w:t>Question 18</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Toc100224052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40</w:t>
        </w:r>
        <w:r w:rsidR="004F7E70" w:rsidRPr="004F7E70">
          <w:rPr>
            <w:rFonts w:asciiTheme="majorBidi" w:hAnsiTheme="majorBidi" w:cstheme="majorBidi"/>
            <w:noProof/>
            <w:webHidden/>
            <w:sz w:val="24"/>
            <w:szCs w:val="24"/>
            <w:rtl/>
          </w:rPr>
          <w:fldChar w:fldCharType="end"/>
        </w:r>
      </w:hyperlink>
    </w:p>
    <w:p w14:paraId="2EC209B2"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3" w:history="1">
        <w:r w:rsidR="004F7E70" w:rsidRPr="004F7E70">
          <w:rPr>
            <w:rStyle w:val="Hyperlink"/>
            <w:rFonts w:asciiTheme="majorBidi" w:hAnsiTheme="majorBidi" w:cstheme="majorBidi"/>
            <w:b/>
            <w:bCs/>
            <w:noProof/>
            <w:sz w:val="24"/>
            <w:szCs w:val="24"/>
          </w:rPr>
          <w:t>Question 20</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Toc100224053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40</w:t>
        </w:r>
        <w:r w:rsidR="004F7E70" w:rsidRPr="004F7E70">
          <w:rPr>
            <w:rFonts w:asciiTheme="majorBidi" w:hAnsiTheme="majorBidi" w:cstheme="majorBidi"/>
            <w:noProof/>
            <w:webHidden/>
            <w:sz w:val="24"/>
            <w:szCs w:val="24"/>
            <w:rtl/>
          </w:rPr>
          <w:fldChar w:fldCharType="end"/>
        </w:r>
      </w:hyperlink>
    </w:p>
    <w:p w14:paraId="64FAB3D3"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4" w:history="1">
        <w:r w:rsidR="004F7E70" w:rsidRPr="004F7E70">
          <w:rPr>
            <w:rStyle w:val="Hyperlink"/>
            <w:rFonts w:asciiTheme="majorBidi" w:hAnsiTheme="majorBidi" w:cstheme="majorBidi"/>
            <w:b/>
            <w:bCs/>
            <w:noProof/>
            <w:sz w:val="24"/>
            <w:szCs w:val="24"/>
          </w:rPr>
          <w:t>Question 21</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Toc100224054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42</w:t>
        </w:r>
        <w:r w:rsidR="004F7E70" w:rsidRPr="004F7E70">
          <w:rPr>
            <w:rFonts w:asciiTheme="majorBidi" w:hAnsiTheme="majorBidi" w:cstheme="majorBidi"/>
            <w:noProof/>
            <w:webHidden/>
            <w:sz w:val="24"/>
            <w:szCs w:val="24"/>
            <w:rtl/>
          </w:rPr>
          <w:fldChar w:fldCharType="end"/>
        </w:r>
      </w:hyperlink>
    </w:p>
    <w:p w14:paraId="00D18E68"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5" w:history="1">
        <w:r w:rsidR="004F7E70" w:rsidRPr="004F7E70">
          <w:rPr>
            <w:rStyle w:val="Hyperlink"/>
            <w:rFonts w:asciiTheme="majorBidi" w:hAnsiTheme="majorBidi" w:cstheme="majorBidi"/>
            <w:b/>
            <w:bCs/>
            <w:noProof/>
            <w:sz w:val="24"/>
            <w:szCs w:val="24"/>
          </w:rPr>
          <w:t>Question 22</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Toc100224055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45</w:t>
        </w:r>
        <w:r w:rsidR="004F7E70" w:rsidRPr="004F7E70">
          <w:rPr>
            <w:rFonts w:asciiTheme="majorBidi" w:hAnsiTheme="majorBidi" w:cstheme="majorBidi"/>
            <w:noProof/>
            <w:webHidden/>
            <w:sz w:val="24"/>
            <w:szCs w:val="24"/>
            <w:rtl/>
          </w:rPr>
          <w:fldChar w:fldCharType="end"/>
        </w:r>
      </w:hyperlink>
    </w:p>
    <w:p w14:paraId="0250DCB7"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6" w:history="1">
        <w:r w:rsidR="004F7E70" w:rsidRPr="004F7E70">
          <w:rPr>
            <w:rStyle w:val="Hyperlink"/>
            <w:rFonts w:asciiTheme="majorBidi" w:hAnsiTheme="majorBidi" w:cstheme="majorBidi"/>
            <w:b/>
            <w:bCs/>
            <w:noProof/>
            <w:sz w:val="24"/>
            <w:szCs w:val="24"/>
          </w:rPr>
          <w:t>Question 23</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Toc100224056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46</w:t>
        </w:r>
        <w:r w:rsidR="004F7E70" w:rsidRPr="004F7E70">
          <w:rPr>
            <w:rFonts w:asciiTheme="majorBidi" w:hAnsiTheme="majorBidi" w:cstheme="majorBidi"/>
            <w:noProof/>
            <w:webHidden/>
            <w:sz w:val="24"/>
            <w:szCs w:val="24"/>
            <w:rtl/>
          </w:rPr>
          <w:fldChar w:fldCharType="end"/>
        </w:r>
      </w:hyperlink>
    </w:p>
    <w:p w14:paraId="732FFD0B"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7" w:history="1">
        <w:r w:rsidR="004F7E70" w:rsidRPr="004F7E70">
          <w:rPr>
            <w:rStyle w:val="Hyperlink"/>
            <w:rFonts w:asciiTheme="majorBidi" w:hAnsiTheme="majorBidi" w:cstheme="majorBidi"/>
            <w:b/>
            <w:bCs/>
            <w:noProof/>
            <w:sz w:val="24"/>
            <w:szCs w:val="24"/>
          </w:rPr>
          <w:t>Question 24</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Toc100224057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46</w:t>
        </w:r>
        <w:r w:rsidR="004F7E70" w:rsidRPr="004F7E70">
          <w:rPr>
            <w:rFonts w:asciiTheme="majorBidi" w:hAnsiTheme="majorBidi" w:cstheme="majorBidi"/>
            <w:noProof/>
            <w:webHidden/>
            <w:sz w:val="24"/>
            <w:szCs w:val="24"/>
            <w:rtl/>
          </w:rPr>
          <w:fldChar w:fldCharType="end"/>
        </w:r>
      </w:hyperlink>
    </w:p>
    <w:p w14:paraId="130B8CEA"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8" w:history="1">
        <w:r w:rsidR="004F7E70" w:rsidRPr="004F7E70">
          <w:rPr>
            <w:rStyle w:val="Hyperlink"/>
            <w:rFonts w:asciiTheme="majorBidi" w:hAnsiTheme="majorBidi" w:cstheme="majorBidi"/>
            <w:b/>
            <w:bCs/>
            <w:noProof/>
            <w:sz w:val="24"/>
            <w:szCs w:val="24"/>
          </w:rPr>
          <w:t>Question 25</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Toc100224058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49</w:t>
        </w:r>
        <w:r w:rsidR="004F7E70" w:rsidRPr="004F7E70">
          <w:rPr>
            <w:rFonts w:asciiTheme="majorBidi" w:hAnsiTheme="majorBidi" w:cstheme="majorBidi"/>
            <w:noProof/>
            <w:webHidden/>
            <w:sz w:val="24"/>
            <w:szCs w:val="24"/>
            <w:rtl/>
          </w:rPr>
          <w:fldChar w:fldCharType="end"/>
        </w:r>
      </w:hyperlink>
    </w:p>
    <w:p w14:paraId="3D29A62E"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59" w:history="1">
        <w:r w:rsidR="004F7E70" w:rsidRPr="004F7E70">
          <w:rPr>
            <w:rStyle w:val="Hyperlink"/>
            <w:rFonts w:asciiTheme="majorBidi" w:hAnsiTheme="majorBidi" w:cstheme="majorBidi"/>
            <w:b/>
            <w:bCs/>
            <w:noProof/>
            <w:sz w:val="24"/>
            <w:szCs w:val="24"/>
          </w:rPr>
          <w:t>Question 26</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Toc100224059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55</w:t>
        </w:r>
        <w:r w:rsidR="004F7E70" w:rsidRPr="004F7E70">
          <w:rPr>
            <w:rFonts w:asciiTheme="majorBidi" w:hAnsiTheme="majorBidi" w:cstheme="majorBidi"/>
            <w:noProof/>
            <w:webHidden/>
            <w:sz w:val="24"/>
            <w:szCs w:val="24"/>
            <w:rtl/>
          </w:rPr>
          <w:fldChar w:fldCharType="end"/>
        </w:r>
      </w:hyperlink>
    </w:p>
    <w:p w14:paraId="01D8FCE5"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60" w:history="1">
        <w:r w:rsidR="004F7E70" w:rsidRPr="004F7E70">
          <w:rPr>
            <w:rStyle w:val="Hyperlink"/>
            <w:rFonts w:asciiTheme="majorBidi" w:hAnsiTheme="majorBidi" w:cstheme="majorBidi"/>
            <w:b/>
            <w:bCs/>
            <w:noProof/>
            <w:sz w:val="24"/>
            <w:szCs w:val="24"/>
          </w:rPr>
          <w:t>Question 27</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Toc100224060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59</w:t>
        </w:r>
        <w:r w:rsidR="004F7E70" w:rsidRPr="004F7E70">
          <w:rPr>
            <w:rFonts w:asciiTheme="majorBidi" w:hAnsiTheme="majorBidi" w:cstheme="majorBidi"/>
            <w:noProof/>
            <w:webHidden/>
            <w:sz w:val="24"/>
            <w:szCs w:val="24"/>
            <w:rtl/>
          </w:rPr>
          <w:fldChar w:fldCharType="end"/>
        </w:r>
      </w:hyperlink>
    </w:p>
    <w:p w14:paraId="7C6A89EC"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61" w:history="1">
        <w:r w:rsidR="004F7E70" w:rsidRPr="004F7E70">
          <w:rPr>
            <w:rStyle w:val="Hyperlink"/>
            <w:rFonts w:asciiTheme="majorBidi" w:hAnsiTheme="majorBidi" w:cstheme="majorBidi"/>
            <w:b/>
            <w:bCs/>
            <w:noProof/>
            <w:sz w:val="24"/>
            <w:szCs w:val="24"/>
          </w:rPr>
          <w:t>Question 28</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Toc100224061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59</w:t>
        </w:r>
        <w:r w:rsidR="004F7E70" w:rsidRPr="004F7E70">
          <w:rPr>
            <w:rFonts w:asciiTheme="majorBidi" w:hAnsiTheme="majorBidi" w:cstheme="majorBidi"/>
            <w:noProof/>
            <w:webHidden/>
            <w:sz w:val="24"/>
            <w:szCs w:val="24"/>
            <w:rtl/>
          </w:rPr>
          <w:fldChar w:fldCharType="end"/>
        </w:r>
      </w:hyperlink>
    </w:p>
    <w:p w14:paraId="1E3A0D70"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62" w:history="1">
        <w:r w:rsidR="004F7E70" w:rsidRPr="004F7E70">
          <w:rPr>
            <w:rStyle w:val="Hyperlink"/>
            <w:rFonts w:asciiTheme="majorBidi" w:hAnsiTheme="majorBidi" w:cstheme="majorBidi"/>
            <w:b/>
            <w:bCs/>
            <w:noProof/>
            <w:sz w:val="24"/>
            <w:szCs w:val="24"/>
          </w:rPr>
          <w:t>Question 29</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Toc100224062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67</w:t>
        </w:r>
        <w:r w:rsidR="004F7E70" w:rsidRPr="004F7E70">
          <w:rPr>
            <w:rFonts w:asciiTheme="majorBidi" w:hAnsiTheme="majorBidi" w:cstheme="majorBidi"/>
            <w:noProof/>
            <w:webHidden/>
            <w:sz w:val="24"/>
            <w:szCs w:val="24"/>
            <w:rtl/>
          </w:rPr>
          <w:fldChar w:fldCharType="end"/>
        </w:r>
      </w:hyperlink>
    </w:p>
    <w:p w14:paraId="34223F0E"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63" w:history="1">
        <w:r w:rsidR="004F7E70" w:rsidRPr="004F7E70">
          <w:rPr>
            <w:rStyle w:val="Hyperlink"/>
            <w:rFonts w:asciiTheme="majorBidi" w:hAnsiTheme="majorBidi" w:cstheme="majorBidi"/>
            <w:b/>
            <w:bCs/>
            <w:noProof/>
            <w:sz w:val="24"/>
            <w:szCs w:val="24"/>
          </w:rPr>
          <w:t>Question 31</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Toc100224063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69</w:t>
        </w:r>
        <w:r w:rsidR="004F7E70" w:rsidRPr="004F7E70">
          <w:rPr>
            <w:rFonts w:asciiTheme="majorBidi" w:hAnsiTheme="majorBidi" w:cstheme="majorBidi"/>
            <w:noProof/>
            <w:webHidden/>
            <w:sz w:val="24"/>
            <w:szCs w:val="24"/>
            <w:rtl/>
          </w:rPr>
          <w:fldChar w:fldCharType="end"/>
        </w:r>
      </w:hyperlink>
    </w:p>
    <w:p w14:paraId="20D9CCDC"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64" w:history="1">
        <w:r w:rsidR="004F7E70" w:rsidRPr="004F7E70">
          <w:rPr>
            <w:rStyle w:val="Hyperlink"/>
            <w:rFonts w:asciiTheme="majorBidi" w:hAnsiTheme="majorBidi" w:cstheme="majorBidi"/>
            <w:b/>
            <w:bCs/>
            <w:noProof/>
            <w:sz w:val="24"/>
            <w:szCs w:val="24"/>
          </w:rPr>
          <w:t>Question 32</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Toc100224064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70</w:t>
        </w:r>
        <w:r w:rsidR="004F7E70" w:rsidRPr="004F7E70">
          <w:rPr>
            <w:rFonts w:asciiTheme="majorBidi" w:hAnsiTheme="majorBidi" w:cstheme="majorBidi"/>
            <w:noProof/>
            <w:webHidden/>
            <w:sz w:val="24"/>
            <w:szCs w:val="24"/>
            <w:rtl/>
          </w:rPr>
          <w:fldChar w:fldCharType="end"/>
        </w:r>
      </w:hyperlink>
    </w:p>
    <w:p w14:paraId="5E94E66B" w14:textId="77777777" w:rsidR="004F7E70" w:rsidRPr="004F7E70" w:rsidRDefault="006059C3" w:rsidP="004F7E70">
      <w:pPr>
        <w:pStyle w:val="TOC1"/>
        <w:tabs>
          <w:tab w:val="right" w:leader="dot" w:pos="8296"/>
        </w:tabs>
        <w:bidi w:val="0"/>
        <w:spacing w:after="0" w:line="240" w:lineRule="auto"/>
        <w:rPr>
          <w:rFonts w:asciiTheme="majorBidi" w:hAnsiTheme="majorBidi" w:cstheme="majorBidi"/>
          <w:noProof/>
          <w:sz w:val="24"/>
          <w:szCs w:val="24"/>
          <w:rtl/>
        </w:rPr>
      </w:pPr>
      <w:hyperlink w:anchor="_Toc100224065" w:history="1">
        <w:r w:rsidR="004F7E70" w:rsidRPr="004F7E70">
          <w:rPr>
            <w:rStyle w:val="Hyperlink"/>
            <w:rFonts w:asciiTheme="majorBidi" w:hAnsiTheme="majorBidi" w:cstheme="majorBidi"/>
            <w:b/>
            <w:bCs/>
            <w:noProof/>
            <w:sz w:val="24"/>
            <w:szCs w:val="24"/>
          </w:rPr>
          <w:t>Question 33</w:t>
        </w:r>
        <w:r w:rsidR="004F7E70" w:rsidRPr="004F7E70">
          <w:rPr>
            <w:rFonts w:asciiTheme="majorBidi" w:hAnsiTheme="majorBidi" w:cstheme="majorBidi"/>
            <w:noProof/>
            <w:webHidden/>
            <w:sz w:val="24"/>
            <w:szCs w:val="24"/>
            <w:rtl/>
          </w:rPr>
          <w:tab/>
        </w:r>
        <w:r w:rsidR="004F7E70" w:rsidRPr="004F7E70">
          <w:rPr>
            <w:rFonts w:asciiTheme="majorBidi" w:hAnsiTheme="majorBidi" w:cstheme="majorBidi"/>
            <w:noProof/>
            <w:webHidden/>
            <w:sz w:val="24"/>
            <w:szCs w:val="24"/>
            <w:rtl/>
          </w:rPr>
          <w:fldChar w:fldCharType="begin"/>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Pr>
          <w:instrText>PAGEREF</w:instrText>
        </w:r>
        <w:r w:rsidR="004F7E70" w:rsidRPr="004F7E70">
          <w:rPr>
            <w:rFonts w:asciiTheme="majorBidi" w:hAnsiTheme="majorBidi" w:cstheme="majorBidi"/>
            <w:noProof/>
            <w:webHidden/>
            <w:sz w:val="24"/>
            <w:szCs w:val="24"/>
            <w:rtl/>
          </w:rPr>
          <w:instrText xml:space="preserve"> _</w:instrText>
        </w:r>
        <w:r w:rsidR="004F7E70" w:rsidRPr="004F7E70">
          <w:rPr>
            <w:rFonts w:asciiTheme="majorBidi" w:hAnsiTheme="majorBidi" w:cstheme="majorBidi"/>
            <w:noProof/>
            <w:webHidden/>
            <w:sz w:val="24"/>
            <w:szCs w:val="24"/>
          </w:rPr>
          <w:instrText>Toc100224065 \h</w:instrText>
        </w:r>
        <w:r w:rsidR="004F7E70" w:rsidRPr="004F7E70">
          <w:rPr>
            <w:rFonts w:asciiTheme="majorBidi" w:hAnsiTheme="majorBidi" w:cstheme="majorBidi"/>
            <w:noProof/>
            <w:webHidden/>
            <w:sz w:val="24"/>
            <w:szCs w:val="24"/>
            <w:rtl/>
          </w:rPr>
          <w:instrText xml:space="preserve"> </w:instrText>
        </w:r>
        <w:r w:rsidR="004F7E70" w:rsidRPr="004F7E70">
          <w:rPr>
            <w:rFonts w:asciiTheme="majorBidi" w:hAnsiTheme="majorBidi" w:cstheme="majorBidi"/>
            <w:noProof/>
            <w:webHidden/>
            <w:sz w:val="24"/>
            <w:szCs w:val="24"/>
            <w:rtl/>
          </w:rPr>
        </w:r>
        <w:r w:rsidR="004F7E70" w:rsidRPr="004F7E70">
          <w:rPr>
            <w:rFonts w:asciiTheme="majorBidi" w:hAnsiTheme="majorBidi" w:cstheme="majorBidi"/>
            <w:noProof/>
            <w:webHidden/>
            <w:sz w:val="24"/>
            <w:szCs w:val="24"/>
            <w:rtl/>
          </w:rPr>
          <w:fldChar w:fldCharType="separate"/>
        </w:r>
        <w:r w:rsidR="004F7E70" w:rsidRPr="004F7E70">
          <w:rPr>
            <w:rFonts w:asciiTheme="majorBidi" w:hAnsiTheme="majorBidi" w:cstheme="majorBidi"/>
            <w:noProof/>
            <w:webHidden/>
            <w:sz w:val="24"/>
            <w:szCs w:val="24"/>
            <w:rtl/>
          </w:rPr>
          <w:t>71</w:t>
        </w:r>
        <w:r w:rsidR="004F7E70" w:rsidRPr="004F7E70">
          <w:rPr>
            <w:rFonts w:asciiTheme="majorBidi" w:hAnsiTheme="majorBidi" w:cstheme="majorBidi"/>
            <w:noProof/>
            <w:webHidden/>
            <w:sz w:val="24"/>
            <w:szCs w:val="24"/>
            <w:rtl/>
          </w:rPr>
          <w:fldChar w:fldCharType="end"/>
        </w:r>
      </w:hyperlink>
    </w:p>
    <w:p w14:paraId="11587030" w14:textId="77777777" w:rsidR="004F7E70" w:rsidRPr="004F7E70" w:rsidRDefault="004F7E70" w:rsidP="004F7E70">
      <w:pPr>
        <w:bidi w:val="0"/>
        <w:spacing w:after="0" w:line="240" w:lineRule="auto"/>
        <w:rPr>
          <w:rFonts w:asciiTheme="majorBidi" w:hAnsiTheme="majorBidi" w:cstheme="majorBidi"/>
          <w:sz w:val="24"/>
          <w:szCs w:val="24"/>
        </w:rPr>
      </w:pPr>
      <w:r w:rsidRPr="004F7E70">
        <w:rPr>
          <w:rFonts w:asciiTheme="majorBidi" w:hAnsiTheme="majorBidi" w:cstheme="majorBidi"/>
          <w:sz w:val="24"/>
          <w:szCs w:val="24"/>
        </w:rPr>
        <w:fldChar w:fldCharType="end"/>
      </w:r>
    </w:p>
    <w:p w14:paraId="08D4A8B3" w14:textId="77777777" w:rsidR="004F7E70" w:rsidRDefault="004F7E70" w:rsidP="004F7E70">
      <w:pPr>
        <w:bidi w:val="0"/>
      </w:pPr>
    </w:p>
    <w:p w14:paraId="61588489" w14:textId="77777777" w:rsidR="004F7E70" w:rsidRDefault="004F7E70" w:rsidP="004F7E70">
      <w:pPr>
        <w:bidi w:val="0"/>
      </w:pPr>
    </w:p>
    <w:p w14:paraId="1BE16DBD" w14:textId="77777777" w:rsidR="004F7E70" w:rsidRDefault="004F7E70">
      <w:pPr>
        <w:bidi w:val="0"/>
        <w:rPr>
          <w:rFonts w:asciiTheme="majorBidi" w:hAnsiTheme="majorBidi" w:cs="Times New Roman"/>
          <w:b/>
          <w:bCs/>
          <w:color w:val="000000"/>
          <w:sz w:val="24"/>
          <w:szCs w:val="24"/>
          <w:u w:val="single"/>
        </w:rPr>
      </w:pPr>
      <w:r>
        <w:br w:type="page"/>
      </w:r>
    </w:p>
    <w:p w14:paraId="323BA9B4" w14:textId="77777777" w:rsidR="00F37FC8" w:rsidRPr="005C149A" w:rsidRDefault="00C269F9" w:rsidP="00327130">
      <w:pPr>
        <w:pStyle w:val="Heading2"/>
        <w:spacing w:before="0" w:after="0"/>
        <w:rPr>
          <w:rStyle w:val="Heading2Char"/>
          <w:b/>
          <w:bCs/>
        </w:rPr>
      </w:pPr>
      <w:r w:rsidRPr="005C149A">
        <w:lastRenderedPageBreak/>
        <w:t>Articles 1-4</w:t>
      </w:r>
      <w:r w:rsidR="00F37FC8" w:rsidRPr="005C149A">
        <w:rPr>
          <w:rStyle w:val="Heading2Char"/>
          <w:b/>
          <w:bCs/>
        </w:rPr>
        <w:t xml:space="preserve"> </w:t>
      </w:r>
    </w:p>
    <w:p w14:paraId="35EA2127" w14:textId="77777777" w:rsidR="00F37FC8" w:rsidRPr="005C149A" w:rsidRDefault="00F37FC8" w:rsidP="00327130">
      <w:pPr>
        <w:pStyle w:val="Heading1"/>
        <w:shd w:val="clear" w:color="auto" w:fill="D9D9D9" w:themeFill="background1" w:themeFillShade="D9"/>
        <w:bidi w:val="0"/>
        <w:spacing w:before="0" w:after="120"/>
        <w:rPr>
          <w:rFonts w:asciiTheme="majorBidi" w:hAnsiTheme="majorBidi"/>
          <w:b/>
          <w:bCs/>
          <w:color w:val="auto"/>
          <w:sz w:val="24"/>
          <w:szCs w:val="24"/>
          <w:u w:val="single"/>
          <w:rtl/>
        </w:rPr>
      </w:pPr>
      <w:bookmarkStart w:id="2" w:name="_Toc100224038"/>
      <w:r w:rsidRPr="005C149A">
        <w:rPr>
          <w:rFonts w:asciiTheme="majorBidi" w:hAnsiTheme="majorBidi"/>
          <w:b/>
          <w:bCs/>
          <w:color w:val="auto"/>
          <w:sz w:val="24"/>
          <w:szCs w:val="24"/>
          <w:u w:val="single"/>
        </w:rPr>
        <w:t>Question 1</w:t>
      </w:r>
      <w:bookmarkEnd w:id="1"/>
      <w:bookmarkEnd w:id="2"/>
    </w:p>
    <w:p w14:paraId="7206A8EF" w14:textId="77777777" w:rsidR="00C269F9" w:rsidRPr="005C149A" w:rsidRDefault="00C269F9" w:rsidP="00C269F9">
      <w:pPr>
        <w:pStyle w:val="Heading3"/>
      </w:pPr>
      <w:bookmarkStart w:id="3" w:name="_Hlk76563247"/>
      <w:r w:rsidRPr="005C149A">
        <w:t>B. Harmonization with the Convention Model of Disability</w:t>
      </w:r>
    </w:p>
    <w:p w14:paraId="048BDBE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Disabilities Administration has merged three (3) units that provide services to: persons on the autistic spectrum, persons with intellectual-developmental disabilities and persons with physical and sensory disabilities. The Administration's role is to provide services that assist PWD to live fulfilling lives and to have fruitful interactions in their surroundings, while emphasizing their own autonomy. </w:t>
      </w:r>
    </w:p>
    <w:p w14:paraId="047EEE6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Administration receives an annual budget; in 2020, this budget stood at 5.063 Billion NIS (1.632 Billion USD). Further budget </w:t>
      </w:r>
      <w:r w:rsidR="00F91780" w:rsidRPr="005C149A">
        <w:rPr>
          <w:rFonts w:asciiTheme="majorBidi" w:hAnsiTheme="majorBidi" w:cstheme="majorBidi"/>
          <w:sz w:val="24"/>
          <w:szCs w:val="24"/>
        </w:rPr>
        <w:t>wa</w:t>
      </w:r>
      <w:r w:rsidRPr="005C149A">
        <w:rPr>
          <w:rFonts w:asciiTheme="majorBidi" w:hAnsiTheme="majorBidi" w:cstheme="majorBidi"/>
          <w:sz w:val="24"/>
          <w:szCs w:val="24"/>
        </w:rPr>
        <w:t xml:space="preserve">s allocated by local authorities. </w:t>
      </w:r>
    </w:p>
    <w:bookmarkEnd w:id="3"/>
    <w:p w14:paraId="148BB617"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w:t>
      </w:r>
      <w:r w:rsidR="00F91780" w:rsidRPr="005C149A">
        <w:rPr>
          <w:rFonts w:asciiTheme="majorBidi" w:hAnsiTheme="majorBidi" w:cstheme="majorBidi"/>
          <w:b/>
          <w:bCs/>
          <w:sz w:val="24"/>
          <w:szCs w:val="24"/>
        </w:rPr>
        <w:t>D</w:t>
      </w:r>
      <w:r w:rsidRPr="005C149A">
        <w:rPr>
          <w:rFonts w:asciiTheme="majorBidi" w:hAnsiTheme="majorBidi" w:cstheme="majorBidi"/>
          <w:b/>
          <w:bCs/>
          <w:sz w:val="24"/>
          <w:szCs w:val="24"/>
        </w:rPr>
        <w:t>ual disability</w:t>
      </w:r>
      <w:r w:rsidRPr="005C149A">
        <w:rPr>
          <w:rFonts w:asciiTheme="majorBidi" w:hAnsiTheme="majorBidi" w:cstheme="majorBidi"/>
          <w:sz w:val="24"/>
          <w:szCs w:val="24"/>
        </w:rPr>
        <w:t xml:space="preserve">" refers to situations in which a person has a combination of two </w:t>
      </w:r>
      <w:r w:rsidR="008E7E7A">
        <w:rPr>
          <w:rFonts w:asciiTheme="majorBidi" w:hAnsiTheme="majorBidi" w:cstheme="majorBidi"/>
          <w:sz w:val="24"/>
          <w:szCs w:val="24"/>
        </w:rPr>
        <w:t xml:space="preserve">(2) </w:t>
      </w:r>
      <w:r w:rsidRPr="005C149A">
        <w:rPr>
          <w:rFonts w:asciiTheme="majorBidi" w:hAnsiTheme="majorBidi" w:cstheme="majorBidi"/>
          <w:sz w:val="24"/>
          <w:szCs w:val="24"/>
        </w:rPr>
        <w:t xml:space="preserve">or more types of disability. Receiving an evaluation of a "dual disability" allows better-tailored services, such as in the field of mental health rehabilitation or social services. </w:t>
      </w:r>
    </w:p>
    <w:p w14:paraId="4ED54255"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Ministry of Health (MOH) establishes facilities, intended for populations with unique needs, in order to prevent hospitalizations, to the extent possible, such as: housing schemes for persons with dual disabilities (substance abuse and mental illness) and respite houses in place of psychiatric hospitalization. During the past years, respite houses have been accepted as an alternative to hospitalization, and are funded by most of the health funds (HMOs). In addition, the MOH produced guidelines for HMO at-home hospitalization.</w:t>
      </w:r>
    </w:p>
    <w:p w14:paraId="665E96A3" w14:textId="77777777" w:rsidR="00F37FC8" w:rsidRPr="005C149A" w:rsidRDefault="00C269F9" w:rsidP="0050316B">
      <w:pPr>
        <w:pStyle w:val="Heading3"/>
      </w:pPr>
      <w:r w:rsidRPr="005C149A">
        <w:t>C.</w:t>
      </w:r>
      <w:r w:rsidR="00F37FC8" w:rsidRPr="005C149A">
        <w:t xml:space="preserve"> General Challenges</w:t>
      </w:r>
    </w:p>
    <w:p w14:paraId="55C5CA4C"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2019, the Commission published a</w:t>
      </w:r>
      <w:r w:rsidRPr="005C149A">
        <w:rPr>
          <w:rFonts w:ascii="___WRD_EMBED_SUB_47,Bold" w:hAnsi="___WRD_EMBED_SUB_47,Bold" w:cs="___WRD_EMBED_SUB_47,Bold"/>
          <w:b/>
          <w:bCs/>
          <w:sz w:val="24"/>
          <w:szCs w:val="24"/>
        </w:rPr>
        <w:t xml:space="preserve"> </w:t>
      </w:r>
      <w:r w:rsidRPr="005C149A">
        <w:rPr>
          <w:rFonts w:asciiTheme="majorBidi" w:hAnsiTheme="majorBidi" w:cstheme="majorBidi"/>
          <w:sz w:val="24"/>
          <w:szCs w:val="24"/>
        </w:rPr>
        <w:t xml:space="preserve">Municipal Accessibility Index, based on two (2) surveys, which measured the attitudes of the Israeli public towards PWD and the level of satisfaction among PWD regarding accessibility and their quality of life. 3,671 persons from 20 cities participated in the former survey, and 473 PWD participated in the latter. The Municipal Accessibility Index was produced as a collaboration between the Ruderman Family Foundation, the Ted Arison Family Foundation, the Commission for Equal Rights of PWD in the MOJ and JDC Israel. The research was done by AChord, Social Psychology for Social Change of the, Hebrew University.  </w:t>
      </w:r>
    </w:p>
    <w:p w14:paraId="1FEEB2B5" w14:textId="414F440F"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Regarding public perception, the survey indicated a</w:t>
      </w:r>
      <w:r w:rsidRPr="005C149A">
        <w:rPr>
          <w:rFonts w:ascii="___WRD_EMBED_SUB_47" w:hAnsi="___WRD_EMBED_SUB_47" w:cs="___WRD_EMBED_SUB_47"/>
          <w:sz w:val="24"/>
          <w:szCs w:val="24"/>
        </w:rPr>
        <w:t xml:space="preserve"> </w:t>
      </w:r>
      <w:r w:rsidRPr="005C149A">
        <w:rPr>
          <w:rFonts w:asciiTheme="majorBidi" w:hAnsiTheme="majorBidi" w:cstheme="majorBidi"/>
          <w:sz w:val="24"/>
          <w:szCs w:val="24"/>
        </w:rPr>
        <w:t xml:space="preserve">steady improvement in perceptions, emotions, and behavior towards PWD as compared to 2018. Specifically, there has been a decrease in the public view of PWD as incompetent and as a homogenous group. A slight increase in empathy and decrease in embarrassment has been noted. The most statistically significant positive trend was found in the willingness of the public to form various collegiate, social and/or romantic relationships with PWD. However, there was no notable increase in willingness to engage in individual action to promote the rights and welfare of PWD. </w:t>
      </w:r>
    </w:p>
    <w:p w14:paraId="234A8F37" w14:textId="77777777" w:rsidR="00F37FC8" w:rsidRPr="005C149A" w:rsidRDefault="00F37FC8" w:rsidP="001910FC">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analysis of the accessibility perceptions in five (5) major areas of life (leisure and social life, labor market, public transportation, healthcare, and municipal services) showed that, compared to what persons without disabilities reported, most PWD felt these areas are inaccessible to them</w:t>
      </w:r>
      <w:r w:rsidR="008E7E7A">
        <w:rPr>
          <w:rFonts w:asciiTheme="majorBidi" w:hAnsiTheme="majorBidi" w:cstheme="majorBidi"/>
          <w:sz w:val="24"/>
          <w:szCs w:val="24"/>
        </w:rPr>
        <w:t>,</w:t>
      </w:r>
      <w:r w:rsidRPr="005C149A">
        <w:rPr>
          <w:rFonts w:asciiTheme="majorBidi" w:hAnsiTheme="majorBidi" w:cstheme="majorBidi"/>
          <w:sz w:val="24"/>
          <w:szCs w:val="24"/>
        </w:rPr>
        <w:t xml:space="preserve"> primarily the labor marker and healthcare.</w:t>
      </w:r>
    </w:p>
    <w:p w14:paraId="7E64F310" w14:textId="77777777" w:rsidR="00C269F9" w:rsidRPr="005C149A" w:rsidRDefault="00C269F9" w:rsidP="00C269F9">
      <w:pPr>
        <w:pStyle w:val="Heading3"/>
      </w:pPr>
      <w:r w:rsidRPr="005C149A">
        <w:t>E. Consultation with Disabled Persons Organizations (DPOs)</w:t>
      </w:r>
    </w:p>
    <w:p w14:paraId="01CDB4F6"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Consultation with DPOs Organizations of PWD </w:t>
      </w:r>
      <w:r w:rsidR="000423C8">
        <w:rPr>
          <w:rFonts w:asciiTheme="majorBidi" w:hAnsiTheme="majorBidi" w:cstheme="majorBidi"/>
          <w:sz w:val="24"/>
          <w:szCs w:val="24"/>
          <w:u w:val="single"/>
        </w:rPr>
        <w:t>F</w:t>
      </w:r>
      <w:r w:rsidRPr="005C149A">
        <w:rPr>
          <w:rFonts w:asciiTheme="majorBidi" w:hAnsiTheme="majorBidi" w:cstheme="majorBidi"/>
          <w:sz w:val="24"/>
          <w:szCs w:val="24"/>
          <w:u w:val="single"/>
        </w:rPr>
        <w:t xml:space="preserve">acilitated by the Administration </w:t>
      </w:r>
    </w:p>
    <w:p w14:paraId="4BA3F67E" w14:textId="77777777" w:rsidR="00F37FC8" w:rsidRPr="005C149A" w:rsidRDefault="00F37FC8" w:rsidP="00B8219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Administration promotes partnership in decision-making and policy-making in all areas of life for children, youth and adults with disabilities. </w:t>
      </w:r>
    </w:p>
    <w:p w14:paraId="6C34114C"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following are several programs that emphasize partnership of the Administration with PWD and DPOs: </w:t>
      </w:r>
    </w:p>
    <w:p w14:paraId="24887311" w14:textId="77777777" w:rsidR="00F37FC8" w:rsidRPr="005C149A" w:rsidRDefault="00F37FC8" w:rsidP="00C000F6">
      <w:pPr>
        <w:pStyle w:val="ListParagraph"/>
        <w:numPr>
          <w:ilvl w:val="0"/>
          <w:numId w:val="7"/>
        </w:numPr>
        <w:spacing w:after="160" w:line="360" w:lineRule="auto"/>
        <w:ind w:hanging="294"/>
        <w:contextualSpacing/>
        <w:jc w:val="both"/>
        <w:rPr>
          <w:rFonts w:asciiTheme="majorBidi" w:hAnsiTheme="majorBidi" w:cstheme="majorBidi"/>
          <w:sz w:val="24"/>
          <w:szCs w:val="24"/>
        </w:rPr>
      </w:pPr>
      <w:r w:rsidRPr="005C149A">
        <w:rPr>
          <w:rFonts w:asciiTheme="majorBidi" w:hAnsiTheme="majorBidi" w:cstheme="majorBidi"/>
          <w:sz w:val="24"/>
          <w:szCs w:val="24"/>
        </w:rPr>
        <w:t>The Administration's Advisory Forum. The Administration created an advisory forum, which includes PWD, representatives of families, representative organizations and academics engaged in the field. The purpose of the forum is to create a platform for joint discourse to influence the policy-making process and improve the quality of services for PWD. The Forum promotes the personal and social well-being of PWD</w:t>
      </w:r>
      <w:r w:rsidR="008E7E7A">
        <w:rPr>
          <w:rFonts w:asciiTheme="majorBidi" w:hAnsiTheme="majorBidi" w:cstheme="majorBidi"/>
          <w:sz w:val="24"/>
          <w:szCs w:val="24"/>
        </w:rPr>
        <w:t>,</w:t>
      </w:r>
      <w:r w:rsidRPr="005C149A">
        <w:rPr>
          <w:rFonts w:asciiTheme="majorBidi" w:hAnsiTheme="majorBidi" w:cstheme="majorBidi"/>
          <w:sz w:val="24"/>
          <w:szCs w:val="24"/>
        </w:rPr>
        <w:t xml:space="preserve"> their participation in the community and society, and is in line with the principles of the Convention. </w:t>
      </w:r>
    </w:p>
    <w:p w14:paraId="21B320BB" w14:textId="77777777" w:rsidR="00F37FC8" w:rsidRPr="005C149A" w:rsidRDefault="00F37FC8" w:rsidP="00C000F6">
      <w:pPr>
        <w:pStyle w:val="ListParagraph"/>
        <w:numPr>
          <w:ilvl w:val="0"/>
          <w:numId w:val="7"/>
        </w:numPr>
        <w:spacing w:after="160" w:line="360" w:lineRule="auto"/>
        <w:ind w:hanging="294"/>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"Breakthrough Partnership" Pilot. The pilot aims to facilitate cooperation between PWD, family members and professionals towards making plans and decisions that are most beneficial for the PWD themselves and their family. </w:t>
      </w:r>
    </w:p>
    <w:p w14:paraId="6FFB5955" w14:textId="77777777" w:rsidR="00F37FC8" w:rsidRPr="005C149A" w:rsidRDefault="00F37FC8" w:rsidP="00C000F6">
      <w:pPr>
        <w:pStyle w:val="ListParagraph"/>
        <w:numPr>
          <w:ilvl w:val="0"/>
          <w:numId w:val="7"/>
        </w:numPr>
        <w:spacing w:after="160" w:line="360" w:lineRule="auto"/>
        <w:ind w:hanging="294"/>
        <w:contextualSpacing/>
        <w:jc w:val="both"/>
        <w:rPr>
          <w:rFonts w:asciiTheme="majorBidi" w:hAnsiTheme="majorBidi" w:cstheme="majorBidi"/>
          <w:sz w:val="24"/>
          <w:szCs w:val="24"/>
        </w:rPr>
      </w:pPr>
      <w:r w:rsidRPr="005C149A">
        <w:rPr>
          <w:rFonts w:asciiTheme="majorBidi" w:hAnsiTheme="majorBidi" w:cstheme="majorBidi"/>
          <w:sz w:val="24"/>
          <w:szCs w:val="24"/>
        </w:rPr>
        <w:t>Dialogue workshops of parents of PWD and professionals. The workshops enable an open and joint discourse between both parties, aimed tow</w:t>
      </w:r>
      <w:r w:rsidR="001910FC" w:rsidRPr="005C149A">
        <w:rPr>
          <w:rFonts w:asciiTheme="majorBidi" w:hAnsiTheme="majorBidi" w:cstheme="majorBidi"/>
          <w:sz w:val="24"/>
          <w:szCs w:val="24"/>
        </w:rPr>
        <w:t xml:space="preserve">ards developing mutually agreed </w:t>
      </w:r>
      <w:r w:rsidRPr="005C149A">
        <w:rPr>
          <w:rFonts w:asciiTheme="majorBidi" w:hAnsiTheme="majorBidi" w:cstheme="majorBidi"/>
          <w:sz w:val="24"/>
          <w:szCs w:val="24"/>
        </w:rPr>
        <w:t>upon services in the community for PWD.</w:t>
      </w:r>
    </w:p>
    <w:p w14:paraId="189F02F3" w14:textId="77777777" w:rsidR="00F37FC8" w:rsidRPr="005C149A" w:rsidRDefault="00F37FC8" w:rsidP="00C000F6">
      <w:pPr>
        <w:pStyle w:val="ListParagraph"/>
        <w:numPr>
          <w:ilvl w:val="0"/>
          <w:numId w:val="7"/>
        </w:numPr>
        <w:spacing w:after="160" w:line="360" w:lineRule="auto"/>
        <w:ind w:hanging="294"/>
        <w:contextualSpacing/>
        <w:jc w:val="both"/>
        <w:rPr>
          <w:rFonts w:asciiTheme="majorBidi" w:hAnsiTheme="majorBidi" w:cstheme="majorBidi"/>
          <w:sz w:val="24"/>
          <w:szCs w:val="24"/>
        </w:rPr>
      </w:pPr>
      <w:r w:rsidRPr="005C149A">
        <w:rPr>
          <w:rFonts w:asciiTheme="majorBidi" w:hAnsiTheme="majorBidi" w:cstheme="majorBidi"/>
          <w:sz w:val="24"/>
          <w:szCs w:val="24"/>
        </w:rPr>
        <w:t>Knowledge Merger Course. In 2020, a collaborative course with a university was held, in which knowledge and information was accumulated from both personal and academic experience regarding PWD services. The course was attended by students, PWD and family members and professionals, and due to its success, it was introduced as a standard course in the University's Master's degree study programs.</w:t>
      </w:r>
    </w:p>
    <w:p w14:paraId="2740DB80"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bookmarkStart w:id="4" w:name="_Hlk76653159"/>
      <w:r w:rsidRPr="005C149A">
        <w:rPr>
          <w:rFonts w:asciiTheme="majorBidi" w:hAnsiTheme="majorBidi" w:cstheme="majorBidi"/>
          <w:sz w:val="24"/>
          <w:szCs w:val="24"/>
          <w:u w:val="single"/>
        </w:rPr>
        <w:t xml:space="preserve">Consultation with DPOs </w:t>
      </w:r>
      <w:r w:rsidR="000423C8">
        <w:rPr>
          <w:rFonts w:asciiTheme="majorBidi" w:hAnsiTheme="majorBidi" w:cstheme="majorBidi"/>
          <w:sz w:val="24"/>
          <w:szCs w:val="24"/>
          <w:u w:val="single"/>
        </w:rPr>
        <w:t>F</w:t>
      </w:r>
      <w:r w:rsidRPr="005C149A">
        <w:rPr>
          <w:rFonts w:asciiTheme="majorBidi" w:hAnsiTheme="majorBidi" w:cstheme="majorBidi"/>
          <w:sz w:val="24"/>
          <w:szCs w:val="24"/>
          <w:u w:val="single"/>
        </w:rPr>
        <w:t xml:space="preserve">acilitated by the MOH  </w:t>
      </w:r>
    </w:p>
    <w:p w14:paraId="7E31925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As a rule, the MOH strives to engage the public, when possible, including by distributing drafts of various topics for the public's comments, bringing information to the public's attention and more. For example, organizations that promote the rights of PWD are involved in writing the MOH Accessibility Regulations. For several years, the MOH has been conducting public engagement processes and consultation meetings in various formats, including round tables discussions, in order to draft regulations and instructions that will be as widely accepted as possible and suit the needs of PWD. </w:t>
      </w:r>
    </w:p>
    <w:p w14:paraId="4EC71EF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In addition, there are dedicated public engagement events on specific topics or policy issues with medical staff and caregivers to learn about the challenges and needs and the MOH conducts public engagement and consultation as part of the Ministry's acquisition procedures. </w:t>
      </w:r>
    </w:p>
    <w:p w14:paraId="47FAE495"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Moreover, civil society organizations are regularly included in the Health Council and National Councils, including: the National Council for the Rehabilitation of Persons with Mental Disabilities in the Community, the National Council for Mental Health and more.</w:t>
      </w:r>
      <w:r w:rsidRPr="005C149A">
        <w:rPr>
          <w:rStyle w:val="FootnoteReference"/>
          <w:sz w:val="24"/>
          <w:szCs w:val="24"/>
          <w:rtl/>
        </w:rPr>
        <w:t xml:space="preserve"> </w:t>
      </w:r>
    </w:p>
    <w:bookmarkEnd w:id="4"/>
    <w:p w14:paraId="7F200A95"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Consultation with DPOs </w:t>
      </w:r>
      <w:r w:rsidR="000423C8">
        <w:rPr>
          <w:rFonts w:asciiTheme="majorBidi" w:hAnsiTheme="majorBidi" w:cstheme="majorBidi"/>
          <w:sz w:val="24"/>
          <w:szCs w:val="24"/>
          <w:u w:val="single"/>
        </w:rPr>
        <w:t>F</w:t>
      </w:r>
      <w:r w:rsidRPr="005C149A">
        <w:rPr>
          <w:rFonts w:asciiTheme="majorBidi" w:hAnsiTheme="majorBidi" w:cstheme="majorBidi"/>
          <w:sz w:val="24"/>
          <w:szCs w:val="24"/>
          <w:u w:val="single"/>
        </w:rPr>
        <w:t>acilitated by the MOD</w:t>
      </w:r>
    </w:p>
    <w:p w14:paraId="0B42E9E6"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Pursuant to the </w:t>
      </w:r>
      <w:r w:rsidRPr="005C149A">
        <w:rPr>
          <w:rFonts w:asciiTheme="majorBidi" w:hAnsiTheme="majorBidi" w:cstheme="majorBidi"/>
          <w:i/>
          <w:iCs/>
          <w:sz w:val="24"/>
          <w:szCs w:val="24"/>
        </w:rPr>
        <w:t>Persons with Disabilities (Allowance and Rehabilitation)</w:t>
      </w:r>
      <w:r w:rsidRPr="005C149A">
        <w:rPr>
          <w:rFonts w:asciiTheme="majorBidi" w:hAnsiTheme="majorBidi" w:cstheme="majorBidi"/>
          <w:sz w:val="24"/>
          <w:szCs w:val="24"/>
        </w:rPr>
        <w:t xml:space="preserve"> </w:t>
      </w:r>
      <w:r w:rsidRPr="005C149A">
        <w:rPr>
          <w:rFonts w:asciiTheme="majorBidi" w:hAnsiTheme="majorBidi" w:cstheme="majorBidi"/>
          <w:i/>
          <w:iCs/>
          <w:sz w:val="24"/>
          <w:szCs w:val="24"/>
        </w:rPr>
        <w:t xml:space="preserve">Law </w:t>
      </w:r>
      <w:r w:rsidRPr="005C149A">
        <w:rPr>
          <w:rFonts w:asciiTheme="majorBidi" w:hAnsiTheme="majorBidi" w:cstheme="majorBidi"/>
          <w:sz w:val="24"/>
          <w:szCs w:val="24"/>
        </w:rPr>
        <w:t>5719</w:t>
      </w:r>
      <w:r w:rsidRPr="005C149A">
        <w:rPr>
          <w:rFonts w:asciiTheme="majorBidi" w:hAnsiTheme="majorBidi" w:cstheme="majorBidi"/>
          <w:i/>
          <w:iCs/>
          <w:sz w:val="24"/>
          <w:szCs w:val="24"/>
        </w:rPr>
        <w:t>-</w:t>
      </w:r>
      <w:r w:rsidRPr="005C149A">
        <w:rPr>
          <w:rFonts w:asciiTheme="majorBidi" w:hAnsiTheme="majorBidi" w:cstheme="majorBidi"/>
          <w:sz w:val="24"/>
          <w:szCs w:val="24"/>
        </w:rPr>
        <w:t>1959, the Minister of Defence designated the Israel Defence Forces (IDF) Disabled Veterans Organization as the representative organization of IDF veterans with disabilities, and membership fees for the organization are deducted from the benefits paid to them. The organization promotes the full realization of the rights of veterans with disabilities by maintaining an on-going dialogue and conducting negotiations with the MOD. The activities are carried out both on a general as well as individual level following applications regarding specific eligibilities. Additionally, the Organization's representatives are members of various committees operating at the Rehabilitation Department discussing the eligibility of PWD for obtaining various rights and expressing their positions before the committees as well as before medical panels.</w:t>
      </w:r>
    </w:p>
    <w:p w14:paraId="2113C219"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MOD's policy is to operate transparently with the Organization. Additionally, in the case of disputes between the Department and the Organization, the Organization may appeal to the MOD Director General, and the MOD’s decisions may be appealed in courts.</w:t>
      </w:r>
    </w:p>
    <w:p w14:paraId="0E09ECA3" w14:textId="18F2DDB3" w:rsidR="00F37FC8" w:rsidRPr="005C149A" w:rsidRDefault="00F37FC8" w:rsidP="008E7E7A">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Additionally, according to the Ministry's policy, any legislation initiated by the Ministry regarding veterans with disabilities is brought</w:t>
      </w:r>
      <w:r w:rsidRPr="005C149A" w:rsidDel="00316C73">
        <w:rPr>
          <w:rFonts w:asciiTheme="majorBidi" w:hAnsiTheme="majorBidi" w:cstheme="majorBidi"/>
          <w:sz w:val="24"/>
          <w:szCs w:val="24"/>
        </w:rPr>
        <w:t xml:space="preserve"> </w:t>
      </w:r>
      <w:r w:rsidRPr="005C149A">
        <w:rPr>
          <w:rFonts w:asciiTheme="majorBidi" w:hAnsiTheme="majorBidi" w:cstheme="majorBidi"/>
          <w:sz w:val="24"/>
          <w:szCs w:val="24"/>
        </w:rPr>
        <w:t>before the Organization for comments, prior to their publication for public comments.</w:t>
      </w:r>
    </w:p>
    <w:p w14:paraId="2DC7DB7E"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bookmarkStart w:id="5" w:name="_Hlk76658370"/>
      <w:r w:rsidRPr="005C149A">
        <w:rPr>
          <w:rFonts w:asciiTheme="majorBidi" w:hAnsiTheme="majorBidi" w:cstheme="majorBidi"/>
          <w:sz w:val="24"/>
          <w:szCs w:val="24"/>
          <w:u w:val="single"/>
        </w:rPr>
        <w:t xml:space="preserve">Consultation with Organizations of PWD </w:t>
      </w:r>
      <w:r w:rsidR="000423C8">
        <w:rPr>
          <w:rFonts w:asciiTheme="majorBidi" w:hAnsiTheme="majorBidi" w:cstheme="majorBidi"/>
          <w:sz w:val="24"/>
          <w:szCs w:val="24"/>
          <w:u w:val="single"/>
        </w:rPr>
        <w:t>F</w:t>
      </w:r>
      <w:r w:rsidRPr="005C149A">
        <w:rPr>
          <w:rFonts w:asciiTheme="majorBidi" w:hAnsiTheme="majorBidi" w:cstheme="majorBidi"/>
          <w:sz w:val="24"/>
          <w:szCs w:val="24"/>
          <w:u w:val="single"/>
        </w:rPr>
        <w:t>acilitated by the MOE</w:t>
      </w:r>
    </w:p>
    <w:p w14:paraId="673C460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b/>
          <w:bCs/>
          <w:sz w:val="24"/>
          <w:szCs w:val="24"/>
          <w:rtl/>
        </w:rPr>
      </w:pPr>
      <w:r w:rsidRPr="005C149A">
        <w:rPr>
          <w:rFonts w:asciiTheme="majorBidi" w:hAnsiTheme="majorBidi" w:cstheme="majorBidi"/>
          <w:sz w:val="24"/>
          <w:szCs w:val="24"/>
        </w:rPr>
        <w:t xml:space="preserve">According to Section 6(a)(5) of the </w:t>
      </w:r>
      <w:r w:rsidRPr="005C149A">
        <w:rPr>
          <w:rFonts w:asciiTheme="majorBidi" w:hAnsiTheme="majorBidi" w:cstheme="majorBidi"/>
          <w:i/>
          <w:iCs/>
          <w:sz w:val="24"/>
          <w:szCs w:val="24"/>
        </w:rPr>
        <w:t>Special Education Law</w:t>
      </w:r>
      <w:r w:rsidRPr="005C149A">
        <w:rPr>
          <w:rFonts w:asciiTheme="majorBidi" w:hAnsiTheme="majorBidi" w:cstheme="majorBidi"/>
          <w:sz w:val="24"/>
          <w:szCs w:val="24"/>
        </w:rPr>
        <w:t xml:space="preserve"> 5758-1998 (</w:t>
      </w:r>
      <w:r w:rsidRPr="005C149A">
        <w:rPr>
          <w:rFonts w:asciiTheme="majorBidi" w:hAnsiTheme="majorBidi" w:cstheme="majorBidi"/>
          <w:i/>
          <w:iCs/>
          <w:sz w:val="24"/>
          <w:szCs w:val="24"/>
        </w:rPr>
        <w:t>Special Education Law)</w:t>
      </w:r>
      <w:r w:rsidRPr="005C149A">
        <w:rPr>
          <w:rFonts w:asciiTheme="majorBidi" w:hAnsiTheme="majorBidi" w:cstheme="majorBidi"/>
          <w:sz w:val="24"/>
          <w:szCs w:val="24"/>
        </w:rPr>
        <w:t xml:space="preserve"> any Eligibility Committee discussion regarding a pupil who is entitled to special education services should be attended by a parent to a child with disabilities, who is a representative appointed by the Minister.</w:t>
      </w:r>
      <w:r w:rsidRPr="005C149A">
        <w:rPr>
          <w:rFonts w:asciiTheme="majorBidi" w:hAnsiTheme="majorBidi" w:cstheme="majorBidi"/>
          <w:b/>
          <w:bCs/>
          <w:sz w:val="24"/>
          <w:szCs w:val="24"/>
        </w:rPr>
        <w:t xml:space="preserve"> </w:t>
      </w:r>
    </w:p>
    <w:p w14:paraId="0E57E299" w14:textId="77777777" w:rsidR="00F37FC8" w:rsidRPr="005C149A" w:rsidRDefault="00F37FC8" w:rsidP="001910FC">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As part of the work towards enacting Amendment No. 11 to the </w:t>
      </w:r>
      <w:r w:rsidRPr="005C149A">
        <w:rPr>
          <w:rFonts w:asciiTheme="majorBidi" w:hAnsiTheme="majorBidi" w:cstheme="majorBidi"/>
          <w:i/>
          <w:iCs/>
          <w:sz w:val="24"/>
          <w:szCs w:val="24"/>
        </w:rPr>
        <w:t>Special Education Law</w:t>
      </w:r>
      <w:r w:rsidRPr="005C149A">
        <w:rPr>
          <w:rFonts w:asciiTheme="majorBidi" w:hAnsiTheme="majorBidi" w:cstheme="majorBidi"/>
          <w:sz w:val="24"/>
          <w:szCs w:val="24"/>
        </w:rPr>
        <w:t>, as elaborated in Israel's reply to Question 25(a), many meetings and discussions with several parties took place, including the Commission and various organizations and associations that voiced their positions. In addition, after the enactment of the Amendment, task teams were formed in the M</w:t>
      </w:r>
      <w:r w:rsidR="001910FC" w:rsidRPr="005C149A">
        <w:rPr>
          <w:rFonts w:asciiTheme="majorBidi" w:hAnsiTheme="majorBidi" w:cstheme="majorBidi"/>
          <w:sz w:val="24"/>
          <w:szCs w:val="24"/>
        </w:rPr>
        <w:t>O</w:t>
      </w:r>
      <w:r w:rsidRPr="005C149A">
        <w:rPr>
          <w:rFonts w:asciiTheme="majorBidi" w:hAnsiTheme="majorBidi" w:cstheme="majorBidi"/>
          <w:sz w:val="24"/>
          <w:szCs w:val="24"/>
        </w:rPr>
        <w:t xml:space="preserve">E to formulate guidelines for the operation of the eligibility committees, which included representatives of children with disabilities organizations. </w:t>
      </w:r>
    </w:p>
    <w:p w14:paraId="5C9CCFD0"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Consultation with Organizations of PWD </w:t>
      </w:r>
      <w:r w:rsidR="000423C8">
        <w:rPr>
          <w:rFonts w:asciiTheme="majorBidi" w:hAnsiTheme="majorBidi" w:cstheme="majorBidi"/>
          <w:sz w:val="24"/>
          <w:szCs w:val="24"/>
          <w:u w:val="single"/>
        </w:rPr>
        <w:t>F</w:t>
      </w:r>
      <w:r w:rsidRPr="005C149A">
        <w:rPr>
          <w:rFonts w:asciiTheme="majorBidi" w:hAnsiTheme="majorBidi" w:cstheme="majorBidi"/>
          <w:sz w:val="24"/>
          <w:szCs w:val="24"/>
          <w:u w:val="single"/>
        </w:rPr>
        <w:t>acilitated by the M</w:t>
      </w:r>
      <w:r w:rsidRPr="005C149A">
        <w:rPr>
          <w:rFonts w:asciiTheme="majorBidi" w:hAnsiTheme="majorBidi" w:cstheme="majorBidi" w:hint="cs"/>
          <w:sz w:val="24"/>
          <w:szCs w:val="24"/>
          <w:u w:val="single"/>
        </w:rPr>
        <w:t>O</w:t>
      </w:r>
      <w:r w:rsidRPr="005C149A">
        <w:rPr>
          <w:rFonts w:asciiTheme="majorBidi" w:hAnsiTheme="majorBidi" w:cstheme="majorBidi"/>
          <w:sz w:val="24"/>
          <w:szCs w:val="24"/>
          <w:u w:val="single"/>
        </w:rPr>
        <w:t>J</w:t>
      </w:r>
    </w:p>
    <w:p w14:paraId="06DD3C4D"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bCs/>
          <w:sz w:val="24"/>
          <w:szCs w:val="24"/>
        </w:rPr>
      </w:pPr>
      <w:r w:rsidRPr="005C149A">
        <w:rPr>
          <w:rFonts w:asciiTheme="majorBidi" w:hAnsiTheme="majorBidi" w:cstheme="majorBidi"/>
          <w:bCs/>
          <w:sz w:val="24"/>
          <w:szCs w:val="24"/>
        </w:rPr>
        <w:t xml:space="preserve">On the ongoing </w:t>
      </w:r>
      <w:r w:rsidRPr="005C149A">
        <w:rPr>
          <w:rFonts w:asciiTheme="majorBidi" w:hAnsiTheme="majorBidi" w:cstheme="majorBidi"/>
          <w:sz w:val="24"/>
          <w:szCs w:val="24"/>
        </w:rPr>
        <w:t>Consultation</w:t>
      </w:r>
      <w:r w:rsidRPr="005C149A">
        <w:rPr>
          <w:rFonts w:asciiTheme="majorBidi" w:hAnsiTheme="majorBidi" w:cstheme="majorBidi"/>
          <w:bCs/>
          <w:sz w:val="24"/>
          <w:szCs w:val="24"/>
        </w:rPr>
        <w:t xml:space="preserve"> </w:t>
      </w:r>
      <w:r w:rsidRPr="005C149A">
        <w:rPr>
          <w:rFonts w:asciiTheme="majorBidi" w:hAnsiTheme="majorBidi" w:cstheme="majorBidi"/>
          <w:sz w:val="24"/>
          <w:szCs w:val="24"/>
        </w:rPr>
        <w:t>with</w:t>
      </w:r>
      <w:r w:rsidRPr="005C149A">
        <w:rPr>
          <w:rFonts w:asciiTheme="majorBidi" w:hAnsiTheme="majorBidi" w:cstheme="majorBidi"/>
          <w:bCs/>
          <w:sz w:val="24"/>
          <w:szCs w:val="24"/>
        </w:rPr>
        <w:t xml:space="preserve"> PWD, </w:t>
      </w:r>
      <w:r w:rsidRPr="005C149A">
        <w:rPr>
          <w:rFonts w:asciiTheme="majorBidi" w:hAnsiTheme="majorBidi" w:cstheme="majorBidi"/>
          <w:sz w:val="24"/>
          <w:szCs w:val="24"/>
        </w:rPr>
        <w:t>especially</w:t>
      </w:r>
      <w:r w:rsidRPr="005C149A">
        <w:rPr>
          <w:rFonts w:asciiTheme="majorBidi" w:hAnsiTheme="majorBidi" w:cstheme="majorBidi"/>
          <w:bCs/>
          <w:sz w:val="24"/>
          <w:szCs w:val="24"/>
        </w:rPr>
        <w:t xml:space="preserve"> by the Commission, see Israel's initial report paras. 33-34, 308-314.</w:t>
      </w:r>
    </w:p>
    <w:p w14:paraId="705F125D"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Furthermore, the Commission's Advisory Committee was established in accordance with the </w:t>
      </w:r>
      <w:r w:rsidRPr="005C149A">
        <w:rPr>
          <w:rFonts w:asciiTheme="majorBidi" w:hAnsiTheme="majorBidi" w:cstheme="majorBidi"/>
          <w:i/>
          <w:iCs/>
          <w:snapToGrid w:val="0"/>
          <w:sz w:val="24"/>
          <w:szCs w:val="24"/>
        </w:rPr>
        <w:t xml:space="preserve">Equal Rights Law, </w:t>
      </w:r>
      <w:r w:rsidRPr="005C149A">
        <w:rPr>
          <w:rFonts w:asciiTheme="majorBidi" w:hAnsiTheme="majorBidi" w:cstheme="majorBidi"/>
          <w:snapToGrid w:val="0"/>
          <w:sz w:val="24"/>
          <w:szCs w:val="24"/>
        </w:rPr>
        <w:t xml:space="preserve">in </w:t>
      </w:r>
      <w:r w:rsidRPr="005C149A">
        <w:rPr>
          <w:rFonts w:asciiTheme="majorBidi" w:hAnsiTheme="majorBidi" w:cstheme="majorBidi"/>
          <w:sz w:val="24"/>
          <w:szCs w:val="24"/>
        </w:rPr>
        <w:t>order</w:t>
      </w:r>
      <w:r w:rsidRPr="005C149A">
        <w:rPr>
          <w:rFonts w:asciiTheme="majorBidi" w:hAnsiTheme="majorBidi" w:cstheme="majorBidi"/>
          <w:snapToGrid w:val="0"/>
          <w:sz w:val="24"/>
          <w:szCs w:val="24"/>
        </w:rPr>
        <w:t xml:space="preserve"> to</w:t>
      </w:r>
      <w:r w:rsidRPr="005C149A">
        <w:rPr>
          <w:rFonts w:asciiTheme="majorBidi" w:hAnsiTheme="majorBidi" w:cstheme="majorBidi"/>
          <w:i/>
          <w:iCs/>
          <w:snapToGrid w:val="0"/>
          <w:sz w:val="24"/>
          <w:szCs w:val="24"/>
        </w:rPr>
        <w:t xml:space="preserve"> </w:t>
      </w:r>
      <w:r w:rsidRPr="005C149A">
        <w:rPr>
          <w:rFonts w:asciiTheme="majorBidi" w:hAnsiTheme="majorBidi" w:cstheme="majorBidi"/>
          <w:sz w:val="24"/>
          <w:szCs w:val="24"/>
        </w:rPr>
        <w:t xml:space="preserve">create a mechanism that guarantees consultation with PWD and DPOs. In 2017-2021, the following topics were discussed by the Advisory Committee: inclusion in education, the right to parenthood, the right to adequate standard of living and social protection, participation in decision-making, the rights of PWD in the Covid-19 pandemic, PWD in the social periphery, especially the Bedouin population and accessibility of voting procedures. </w:t>
      </w:r>
    </w:p>
    <w:p w14:paraId="0A506310"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Consultation with DPOs </w:t>
      </w:r>
      <w:r w:rsidR="000423C8">
        <w:rPr>
          <w:rFonts w:asciiTheme="majorBidi" w:hAnsiTheme="majorBidi" w:cstheme="majorBidi"/>
          <w:sz w:val="24"/>
          <w:szCs w:val="24"/>
          <w:u w:val="single"/>
        </w:rPr>
        <w:t>F</w:t>
      </w:r>
      <w:r w:rsidRPr="005C149A">
        <w:rPr>
          <w:rFonts w:asciiTheme="majorBidi" w:hAnsiTheme="majorBidi" w:cstheme="majorBidi"/>
          <w:sz w:val="24"/>
          <w:szCs w:val="24"/>
          <w:u w:val="single"/>
        </w:rPr>
        <w:t xml:space="preserve">acilitated by the Prime Minister's Office </w:t>
      </w:r>
    </w:p>
    <w:p w14:paraId="48F5183B"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In February 2008, the Government passed Resolution No. 3190 (24.2.2008) regarding strengthening the relations between the Government, civil society and the business sector promoting public interests, requiring the Government to engage in ongoing dialogue with the latter via the Prime Minister's Office. Accordingly, an Inter-Sectoral Collaborations Unit was established in the Prime Minister's Office. One of the leading platforms for maintaining such dialogue is the Inter-Sectoral Round Table. For information on the Round Tables established to promote the rights of PWD during the Covid-19 pandemic, see the reply to Questions 9-11. </w:t>
      </w:r>
    </w:p>
    <w:p w14:paraId="7DAF6AD8"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Additionally, the Prime Minister's Office has a Public Participation Unit, responsible for developing and implementing methods for involving the public in the Government’s work. </w:t>
      </w:r>
    </w:p>
    <w:p w14:paraId="4DA2D163" w14:textId="77777777" w:rsidR="00F37FC8" w:rsidRPr="005C149A" w:rsidRDefault="00F37FC8" w:rsidP="00327130">
      <w:pPr>
        <w:pStyle w:val="Heading2"/>
        <w:spacing w:before="0" w:after="0"/>
      </w:pPr>
      <w:bookmarkStart w:id="6" w:name="_Hlk76914855"/>
      <w:bookmarkEnd w:id="5"/>
      <w:r w:rsidRPr="005C149A">
        <w:rPr>
          <w:rFonts w:hint="cs"/>
        </w:rPr>
        <w:t>A</w:t>
      </w:r>
      <w:r w:rsidR="00C269F9" w:rsidRPr="005C149A">
        <w:t>rticle 5</w:t>
      </w:r>
      <w:r w:rsidRPr="005C149A">
        <w:t xml:space="preserve"> </w:t>
      </w:r>
    </w:p>
    <w:p w14:paraId="7A47929C"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7" w:name="_Toc100224039"/>
      <w:r w:rsidRPr="005C149A">
        <w:rPr>
          <w:rFonts w:asciiTheme="majorBidi" w:hAnsiTheme="majorBidi"/>
          <w:b/>
          <w:bCs/>
          <w:color w:val="auto"/>
          <w:sz w:val="24"/>
          <w:szCs w:val="24"/>
          <w:u w:val="single"/>
        </w:rPr>
        <w:t>Question 2</w:t>
      </w:r>
      <w:bookmarkEnd w:id="7"/>
    </w:p>
    <w:p w14:paraId="26D06E19" w14:textId="0193AA75" w:rsidR="00F37FC8" w:rsidRPr="005C149A" w:rsidRDefault="00C269F9" w:rsidP="00567228">
      <w:pPr>
        <w:pStyle w:val="Heading3"/>
      </w:pPr>
      <w:r w:rsidRPr="005C149A">
        <w:t xml:space="preserve">A. Equality and Non-Discrimination </w:t>
      </w:r>
      <w:r w:rsidR="00DF23AB">
        <w:t>of</w:t>
      </w:r>
      <w:r w:rsidR="00DF23AB" w:rsidRPr="005C149A">
        <w:t xml:space="preserve"> </w:t>
      </w:r>
      <w:r w:rsidRPr="005C149A">
        <w:t xml:space="preserve">Minorities </w:t>
      </w:r>
      <w:r w:rsidR="00F37FC8" w:rsidRPr="005C149A">
        <w:t>PWD in Arab Society</w:t>
      </w:r>
    </w:p>
    <w:p w14:paraId="251C7FA3"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In 2021, </w:t>
      </w:r>
      <w:r w:rsidR="00DF23AB">
        <w:rPr>
          <w:rFonts w:asciiTheme="majorBidi" w:hAnsiTheme="majorBidi" w:cstheme="majorBidi"/>
          <w:sz w:val="24"/>
          <w:szCs w:val="24"/>
        </w:rPr>
        <w:t xml:space="preserve">the </w:t>
      </w:r>
      <w:r w:rsidRPr="005C149A">
        <w:rPr>
          <w:rFonts w:asciiTheme="majorBidi" w:hAnsiTheme="majorBidi" w:cstheme="majorBidi"/>
          <w:sz w:val="24"/>
          <w:szCs w:val="24"/>
        </w:rPr>
        <w:t>MOWSA funded a research project in order to map the services provided to Bedouin families of children with disabilities in the Negev, and to note the obstacles to receiving these services as well as the services lacking in the region. According to the research,</w:t>
      </w:r>
      <w:r w:rsidRPr="005C149A">
        <w:rPr>
          <w:rFonts w:asciiTheme="majorBidi" w:hAnsiTheme="majorBidi" w:cstheme="majorBidi"/>
          <w:i/>
          <w:iCs/>
          <w:sz w:val="24"/>
          <w:szCs w:val="24"/>
        </w:rPr>
        <w:t xml:space="preserve"> </w:t>
      </w:r>
      <w:r w:rsidRPr="005C149A">
        <w:rPr>
          <w:rFonts w:asciiTheme="majorBidi" w:hAnsiTheme="majorBidi" w:cstheme="majorBidi"/>
          <w:sz w:val="24"/>
          <w:szCs w:val="24"/>
        </w:rPr>
        <w:t xml:space="preserve">the rate of identification of children with disabilities in the Bedouin population is relatively low, and there are notable challenges in the provision of services at large. The report recommended, </w:t>
      </w:r>
      <w:r w:rsidRPr="005C149A">
        <w:rPr>
          <w:rFonts w:asciiTheme="majorBidi" w:hAnsiTheme="majorBidi" w:cstheme="majorBidi"/>
          <w:i/>
          <w:iCs/>
          <w:sz w:val="24"/>
          <w:szCs w:val="24"/>
        </w:rPr>
        <w:t>inter alia</w:t>
      </w:r>
      <w:r w:rsidRPr="005C149A">
        <w:rPr>
          <w:rFonts w:asciiTheme="majorBidi" w:hAnsiTheme="majorBidi" w:cstheme="majorBidi"/>
          <w:sz w:val="24"/>
          <w:szCs w:val="24"/>
        </w:rPr>
        <w:t xml:space="preserve">, establishing a policy to offer a wider range of services, and to tailor the services both personally, per family and per community. </w:t>
      </w:r>
    </w:p>
    <w:p w14:paraId="51595FCA" w14:textId="18FEEBED" w:rsidR="00F37FC8" w:rsidRPr="005C149A" w:rsidRDefault="00F37FC8" w:rsidP="00DF23AB">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Due to the special challenges facing PWD in Arab communities, the Commission has specific projects aimed at reaching this demographic, and emphasizes the equal rights of PWD in the social and geographical periphery in all its activities. Specifically, this includes publishing information, campaigns, lectures and training</w:t>
      </w:r>
      <w:r w:rsidR="00DF23AB">
        <w:rPr>
          <w:rFonts w:asciiTheme="majorBidi" w:hAnsiTheme="majorBidi" w:cstheme="majorBidi"/>
          <w:sz w:val="24"/>
          <w:szCs w:val="24"/>
        </w:rPr>
        <w:t xml:space="preserve"> </w:t>
      </w:r>
      <w:r w:rsidRPr="005C149A">
        <w:rPr>
          <w:rFonts w:asciiTheme="majorBidi" w:hAnsiTheme="majorBidi" w:cstheme="majorBidi"/>
          <w:sz w:val="24"/>
          <w:szCs w:val="24"/>
        </w:rPr>
        <w:t>in Arabic, as well as conducting activities specifically adapted to the Bedouin population. The Commission's website, which includes extensive information on rights and resources for PWD, was translated into Arabic in 2020, along with all its Facebook posts. Furthermore, the Commission call center also published a dedicated website regarding the COVID-19 pandemic in both Hebrew and Arabic.</w:t>
      </w:r>
      <w:r w:rsidRPr="005C149A">
        <w:rPr>
          <w:b/>
          <w:bCs/>
          <w:sz w:val="24"/>
          <w:szCs w:val="24"/>
          <w:u w:val="single"/>
        </w:rPr>
        <w:t xml:space="preserve"> </w:t>
      </w:r>
    </w:p>
    <w:p w14:paraId="6CBC9E79" w14:textId="3FA5298A" w:rsidR="00F37FC8" w:rsidRPr="005C149A" w:rsidRDefault="00F37FC8" w:rsidP="007E1602">
      <w:pPr>
        <w:pStyle w:val="ListParagraph"/>
        <w:numPr>
          <w:ilvl w:val="0"/>
          <w:numId w:val="22"/>
        </w:numPr>
        <w:spacing w:line="360" w:lineRule="auto"/>
        <w:ind w:left="426" w:hanging="426"/>
        <w:jc w:val="both"/>
        <w:rPr>
          <w:rFonts w:asciiTheme="majorBidi" w:hAnsiTheme="majorBidi" w:cstheme="majorBidi"/>
          <w:b/>
          <w:bCs/>
          <w:sz w:val="24"/>
          <w:szCs w:val="24"/>
          <w:u w:val="single"/>
        </w:rPr>
      </w:pPr>
      <w:r w:rsidRPr="005C149A">
        <w:rPr>
          <w:rFonts w:asciiTheme="majorBidi" w:hAnsiTheme="majorBidi" w:cstheme="majorBidi"/>
          <w:sz w:val="24"/>
          <w:szCs w:val="24"/>
        </w:rPr>
        <w:t xml:space="preserve">For example, in December 2021 unique awareness raising activities were held in the </w:t>
      </w:r>
      <w:r w:rsidR="00DF23AB" w:rsidRPr="005C149A">
        <w:rPr>
          <w:rFonts w:asciiTheme="majorBidi" w:hAnsiTheme="majorBidi" w:cstheme="majorBidi"/>
          <w:sz w:val="24"/>
          <w:szCs w:val="24"/>
        </w:rPr>
        <w:t>Bedouin</w:t>
      </w:r>
      <w:r w:rsidRPr="005C149A">
        <w:rPr>
          <w:rFonts w:asciiTheme="majorBidi" w:hAnsiTheme="majorBidi" w:cstheme="majorBidi"/>
          <w:sz w:val="24"/>
          <w:szCs w:val="24"/>
        </w:rPr>
        <w:t xml:space="preserve"> </w:t>
      </w:r>
      <w:r w:rsidR="00DF23AB">
        <w:rPr>
          <w:rFonts w:asciiTheme="majorBidi" w:hAnsiTheme="majorBidi" w:cstheme="majorBidi"/>
          <w:sz w:val="24"/>
          <w:szCs w:val="24"/>
        </w:rPr>
        <w:t>city</w:t>
      </w:r>
      <w:r w:rsidR="00DF23AB" w:rsidRPr="005C149A">
        <w:rPr>
          <w:rFonts w:asciiTheme="majorBidi" w:hAnsiTheme="majorBidi" w:cstheme="majorBidi"/>
          <w:sz w:val="24"/>
          <w:szCs w:val="24"/>
        </w:rPr>
        <w:t xml:space="preserve"> </w:t>
      </w:r>
      <w:r w:rsidRPr="005C149A">
        <w:rPr>
          <w:rFonts w:asciiTheme="majorBidi" w:hAnsiTheme="majorBidi" w:cstheme="majorBidi"/>
          <w:sz w:val="24"/>
          <w:szCs w:val="24"/>
        </w:rPr>
        <w:t>of Rahat. The Commission has been allocated a specific budget to increase these activities during 2022-2027 as part of the five</w:t>
      </w:r>
      <w:r w:rsidR="00DF23AB">
        <w:rPr>
          <w:rFonts w:asciiTheme="majorBidi" w:hAnsiTheme="majorBidi" w:cstheme="majorBidi"/>
          <w:sz w:val="24"/>
          <w:szCs w:val="24"/>
        </w:rPr>
        <w:t xml:space="preserve"> (5)</w:t>
      </w:r>
      <w:r w:rsidRPr="005C149A">
        <w:rPr>
          <w:rFonts w:asciiTheme="majorBidi" w:hAnsiTheme="majorBidi" w:cstheme="majorBidi"/>
          <w:sz w:val="24"/>
          <w:szCs w:val="24"/>
        </w:rPr>
        <w:t xml:space="preserve"> year Governmental Action Plan for the Arab society and for the Bedouin society.</w:t>
      </w:r>
    </w:p>
    <w:p w14:paraId="1B187CD9"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Additionally, as noted above, the Commission's website, public inquiries, and forms of complaints are available in Arabic. Furthermore, the Commission's complaint body, which receives complaints addressing discrimination under the Law, is accessible in Arabic as well. Of the Commission's yearly cases, 7% come from members of the Arab population. For more information on the Commission's complaint body, see Israel's Initial Report, para. 30.</w:t>
      </w:r>
    </w:p>
    <w:p w14:paraId="157A5219"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As for the accessibility to redress of the Arab community, the Call Center of the Ministry of Social Equality (MOSE) is operated in Arabic. </w:t>
      </w:r>
    </w:p>
    <w:p w14:paraId="10AC4494"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Ethnic, </w:t>
      </w:r>
      <w:r w:rsidR="000423C8">
        <w:rPr>
          <w:rFonts w:asciiTheme="majorBidi" w:hAnsiTheme="majorBidi" w:cstheme="majorBidi"/>
          <w:sz w:val="24"/>
          <w:szCs w:val="24"/>
          <w:u w:val="single"/>
        </w:rPr>
        <w:t>R</w:t>
      </w:r>
      <w:r w:rsidRPr="005C149A">
        <w:rPr>
          <w:rFonts w:asciiTheme="majorBidi" w:hAnsiTheme="majorBidi" w:cstheme="majorBidi"/>
          <w:sz w:val="24"/>
          <w:szCs w:val="24"/>
          <w:u w:val="single"/>
        </w:rPr>
        <w:t xml:space="preserve">eligious and </w:t>
      </w:r>
      <w:r w:rsidR="000423C8">
        <w:rPr>
          <w:rFonts w:asciiTheme="majorBidi" w:hAnsiTheme="majorBidi" w:cstheme="majorBidi"/>
          <w:sz w:val="24"/>
          <w:szCs w:val="24"/>
          <w:u w:val="single"/>
        </w:rPr>
        <w:t>L</w:t>
      </w:r>
      <w:r w:rsidRPr="005C149A">
        <w:rPr>
          <w:rFonts w:asciiTheme="majorBidi" w:hAnsiTheme="majorBidi" w:cstheme="majorBidi"/>
          <w:sz w:val="24"/>
          <w:szCs w:val="24"/>
          <w:u w:val="single"/>
        </w:rPr>
        <w:t xml:space="preserve">inguistic </w:t>
      </w:r>
      <w:r w:rsidR="000423C8">
        <w:rPr>
          <w:rFonts w:asciiTheme="majorBidi" w:hAnsiTheme="majorBidi" w:cstheme="majorBidi"/>
          <w:sz w:val="24"/>
          <w:szCs w:val="24"/>
          <w:u w:val="single"/>
        </w:rPr>
        <w:t>M</w:t>
      </w:r>
      <w:r w:rsidRPr="005C149A">
        <w:rPr>
          <w:rFonts w:asciiTheme="majorBidi" w:hAnsiTheme="majorBidi" w:cstheme="majorBidi"/>
          <w:sz w:val="24"/>
          <w:szCs w:val="24"/>
          <w:u w:val="single"/>
        </w:rPr>
        <w:t>inorities</w:t>
      </w:r>
    </w:p>
    <w:p w14:paraId="3BCF9DC9"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following are examples of the Commission's activities carried out in 2020-2021 aimed to expand the Commission activities among all social groups:</w:t>
      </w:r>
    </w:p>
    <w:p w14:paraId="26E4EE74" w14:textId="77777777" w:rsidR="00F37FC8" w:rsidRPr="005C149A" w:rsidRDefault="00F37FC8" w:rsidP="00C000F6">
      <w:pPr>
        <w:pStyle w:val="ListParagraph"/>
        <w:numPr>
          <w:ilvl w:val="0"/>
          <w:numId w:val="23"/>
        </w:numPr>
        <w:spacing w:after="120" w:line="360" w:lineRule="auto"/>
        <w:ind w:hanging="295"/>
        <w:contextualSpacing/>
        <w:jc w:val="both"/>
        <w:rPr>
          <w:rFonts w:ascii="Times New Roman" w:hAnsi="Times New Roman" w:cs="Times New Roman"/>
          <w:sz w:val="24"/>
          <w:szCs w:val="24"/>
        </w:rPr>
      </w:pPr>
      <w:r w:rsidRPr="005C149A">
        <w:rPr>
          <w:rFonts w:ascii="Times New Roman" w:hAnsi="Times New Roman" w:cs="Times New Roman"/>
          <w:b/>
          <w:bCs/>
          <w:sz w:val="24"/>
          <w:szCs w:val="24"/>
        </w:rPr>
        <w:t>Israelis of Ethiopian descent</w:t>
      </w:r>
      <w:r w:rsidRPr="005C149A" w:rsidDel="00D9454A">
        <w:rPr>
          <w:rFonts w:ascii="Times New Roman" w:hAnsi="Times New Roman" w:cs="Times New Roman"/>
          <w:b/>
          <w:bCs/>
          <w:sz w:val="24"/>
          <w:szCs w:val="24"/>
        </w:rPr>
        <w:t xml:space="preserve"> </w:t>
      </w:r>
      <w:r w:rsidRPr="005C149A">
        <w:rPr>
          <w:rFonts w:ascii="Times New Roman" w:hAnsi="Times New Roman" w:cs="Times New Roman"/>
          <w:sz w:val="24"/>
          <w:szCs w:val="24"/>
          <w:rtl/>
        </w:rPr>
        <w:t>-</w:t>
      </w:r>
      <w:r w:rsidRPr="005C149A">
        <w:rPr>
          <w:rFonts w:ascii="Times New Roman" w:hAnsi="Times New Roman" w:cs="Times New Roman"/>
          <w:sz w:val="24"/>
          <w:szCs w:val="24"/>
        </w:rPr>
        <w:t xml:space="preserve"> </w:t>
      </w:r>
      <w:r w:rsidRPr="005C149A">
        <w:rPr>
          <w:rFonts w:asciiTheme="majorBidi" w:hAnsiTheme="majorBidi" w:cstheme="majorBidi"/>
          <w:sz w:val="24"/>
          <w:szCs w:val="24"/>
        </w:rPr>
        <w:t>An</w:t>
      </w:r>
      <w:r w:rsidRPr="005C149A">
        <w:rPr>
          <w:rFonts w:ascii="Times New Roman" w:hAnsi="Times New Roman" w:cs="Times New Roman"/>
          <w:sz w:val="24"/>
          <w:szCs w:val="24"/>
        </w:rPr>
        <w:t xml:space="preserve"> informational booklet on rights was published in Amharic, and a process to integrate PWD-based content in Ministry of Aliyah and Integration's absorption centers was conducted and a lecture on PWD rights was given in Amharic on a dedicated radio channel for Amharic speakers (2018).</w:t>
      </w:r>
    </w:p>
    <w:p w14:paraId="379CA817" w14:textId="77777777" w:rsidR="001910FC" w:rsidRPr="005C149A" w:rsidRDefault="00F37FC8" w:rsidP="00C000F6">
      <w:pPr>
        <w:pStyle w:val="ListParagraph"/>
        <w:numPr>
          <w:ilvl w:val="0"/>
          <w:numId w:val="23"/>
        </w:numPr>
        <w:spacing w:after="120" w:line="360" w:lineRule="auto"/>
        <w:ind w:hanging="295"/>
        <w:contextualSpacing/>
        <w:jc w:val="both"/>
        <w:rPr>
          <w:rFonts w:ascii="Times New Roman" w:hAnsi="Times New Roman" w:cs="Times New Roman"/>
          <w:sz w:val="24"/>
          <w:szCs w:val="24"/>
        </w:rPr>
      </w:pPr>
      <w:r w:rsidRPr="005C149A">
        <w:rPr>
          <w:rFonts w:ascii="Times New Roman" w:hAnsi="Times New Roman" w:cs="Times New Roman"/>
          <w:b/>
          <w:bCs/>
          <w:sz w:val="24"/>
          <w:szCs w:val="24"/>
        </w:rPr>
        <w:t xml:space="preserve">Ultra-Orthodox </w:t>
      </w:r>
      <w:r w:rsidRPr="005C149A">
        <w:rPr>
          <w:rFonts w:ascii="Times New Roman" w:hAnsi="Times New Roman" w:cs="Times New Roman"/>
          <w:sz w:val="24"/>
          <w:szCs w:val="24"/>
          <w:rtl/>
        </w:rPr>
        <w:t>-</w:t>
      </w:r>
      <w:r w:rsidRPr="005C149A">
        <w:rPr>
          <w:rFonts w:ascii="Times New Roman" w:hAnsi="Times New Roman" w:cs="Times New Roman"/>
          <w:sz w:val="24"/>
          <w:szCs w:val="24"/>
        </w:rPr>
        <w:t xml:space="preserve"> 14 training activities and online lectures for the ultra-Orthodox population were conducted. A unique information booklet on rights in education adapted to the ultra-Orthodox population was distributed, as well as a pamphlet on employment rights. Additionally, a round table discussion with stakeholders on barriers to ultra-Orthodox employment was established and several meetings held. </w:t>
      </w:r>
    </w:p>
    <w:p w14:paraId="0FE94CEE" w14:textId="77777777" w:rsidR="00F37FC8" w:rsidRPr="005C149A" w:rsidRDefault="00F37FC8" w:rsidP="00C000F6">
      <w:pPr>
        <w:pStyle w:val="ListParagraph"/>
        <w:numPr>
          <w:ilvl w:val="0"/>
          <w:numId w:val="23"/>
        </w:numPr>
        <w:spacing w:after="120" w:line="360" w:lineRule="auto"/>
        <w:ind w:hanging="295"/>
        <w:contextualSpacing/>
        <w:jc w:val="both"/>
        <w:rPr>
          <w:rFonts w:ascii="Times New Roman" w:hAnsi="Times New Roman" w:cs="Times New Roman"/>
          <w:sz w:val="24"/>
          <w:szCs w:val="24"/>
        </w:rPr>
      </w:pPr>
      <w:r w:rsidRPr="005C149A">
        <w:rPr>
          <w:rFonts w:ascii="Times New Roman" w:hAnsi="Times New Roman" w:cs="Times New Roman"/>
          <w:b/>
          <w:bCs/>
          <w:sz w:val="24"/>
          <w:szCs w:val="24"/>
        </w:rPr>
        <w:t>Geographical and Social Periphery</w:t>
      </w:r>
      <w:r w:rsidRPr="005C149A">
        <w:rPr>
          <w:rFonts w:ascii="Times New Roman" w:hAnsi="Times New Roman" w:cs="Times New Roman"/>
          <w:sz w:val="24"/>
          <w:szCs w:val="24"/>
        </w:rPr>
        <w:t xml:space="preserve"> - The Commission reaches many places throughout the country, including the geographic periphery, and meets with activists and senior officials in local authorities. Thus, for example, the "Equality in the Living Room" project included about 40 meetings in the periphery.</w:t>
      </w:r>
    </w:p>
    <w:p w14:paraId="04390062" w14:textId="77777777" w:rsidR="00F37FC8" w:rsidRPr="005C149A" w:rsidRDefault="00F37FC8" w:rsidP="00B82196">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LGBTQ PWD </w:t>
      </w:r>
    </w:p>
    <w:p w14:paraId="19D072BD"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MOWSA operates centers for education, counseling and treatment in the sexual-social area, in all districts across the country. The centers offer both group and individual therapy for LGBTQ PWD, or those who are in various stages of questioning their sexual identity. Recently, the MOWSA took part in an inter-ministry team on promoting knowledge about transgenderism. </w:t>
      </w:r>
    </w:p>
    <w:p w14:paraId="6CCE8CE8"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Awareness raising activities on this issue are included in the Commission's various activities, for example, films on the subject, were also included in conferences and events. During 2020-2021, as part of a large-scale advocacy campaign conducted by the Commission ("Equality in the Living Room"), a number of meetings were held that dealt with issues of women with disabilities and PWD from the LGBTQ community.</w:t>
      </w:r>
    </w:p>
    <w:p w14:paraId="4B008EB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In 2020, representatives of the Commission took part in a seminar and several meetings led by the MOJ together with members of the transgender community in Israel and introduced relevant issues for this community. </w:t>
      </w:r>
    </w:p>
    <w:p w14:paraId="6F704584"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On January 1, 2021, the MOH published the Mental Health Division Procedure No. 90.01 on the subject: Cultural Accessibility of Mental Health Services for Persons on the Transgender Spectrum, in order to make culturally accessible mental health services to patients on the trans spectrum. </w:t>
      </w:r>
    </w:p>
    <w:p w14:paraId="4127D1E3" w14:textId="77777777" w:rsidR="00C269F9" w:rsidRPr="005C149A" w:rsidRDefault="00C269F9" w:rsidP="0050316B">
      <w:pPr>
        <w:pStyle w:val="Heading3"/>
      </w:pPr>
      <w:bookmarkStart w:id="8" w:name="_Hlk76917122"/>
      <w:bookmarkEnd w:id="6"/>
      <w:r w:rsidRPr="005C149A">
        <w:t>C. Remedies and Redress</w:t>
      </w:r>
    </w:p>
    <w:p w14:paraId="2FABD1E6" w14:textId="77777777" w:rsidR="00F37FC8" w:rsidRPr="005C149A" w:rsidRDefault="00F37FC8" w:rsidP="00B82196">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Equal Access to Banks</w:t>
      </w:r>
    </w:p>
    <w:p w14:paraId="6DA035A0"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w:t>
      </w:r>
      <w:r w:rsidRPr="005C149A">
        <w:rPr>
          <w:rFonts w:asciiTheme="majorBidi" w:hAnsiTheme="majorBidi" w:cstheme="majorBidi"/>
          <w:i/>
          <w:iCs/>
          <w:sz w:val="24"/>
          <w:szCs w:val="24"/>
        </w:rPr>
        <w:t>Equal Rights Law</w:t>
      </w:r>
      <w:r w:rsidRPr="005C149A">
        <w:rPr>
          <w:rFonts w:asciiTheme="majorBidi" w:hAnsiTheme="majorBidi" w:cstheme="majorBidi"/>
          <w:sz w:val="24"/>
          <w:szCs w:val="24"/>
        </w:rPr>
        <w:t xml:space="preserve"> and the Accessibility Regulations apply to banks in all aspects, including an obligation to make buildings and services accessible, simplify materials, offer accessible digital services, provide personal assistance, make ATMs accessible, and more.</w:t>
      </w:r>
    </w:p>
    <w:p w14:paraId="3636297F"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Discrimination against a PWD in opening a bank account or a banking service is prohibited by law. </w:t>
      </w:r>
    </w:p>
    <w:p w14:paraId="56E2B60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On November 24, 2019, the Center-Lod District Court ruled in a class action lawsuit filed pursuant to the </w:t>
      </w:r>
      <w:r w:rsidRPr="005C149A">
        <w:rPr>
          <w:rFonts w:asciiTheme="majorBidi" w:hAnsiTheme="majorBidi" w:cstheme="majorBidi"/>
          <w:i/>
          <w:iCs/>
          <w:sz w:val="24"/>
          <w:szCs w:val="24"/>
        </w:rPr>
        <w:t>Equal Rights Law</w:t>
      </w:r>
      <w:r w:rsidRPr="005C149A">
        <w:rPr>
          <w:rFonts w:asciiTheme="majorBidi" w:hAnsiTheme="majorBidi" w:cstheme="majorBidi"/>
          <w:sz w:val="24"/>
          <w:szCs w:val="24"/>
        </w:rPr>
        <w:t xml:space="preserve"> against banks that treat disability benefits differently from salaries. The class action lawsuit was supported by the Commission and the Attorney General. In its ruling, the Court validated the arrangement agreed upon by the parties, which awarded 1,200 NIS (383 USD) of non-pecuniary damages from each respondent and a total of 164,280,000 NIS (52,461,988 USD) to all parties to the class action, as well as retroactive refunds on bank fees taken in discriminatory practices totaling 2,499,800 NIS (798,298 USD) (C.A. 44543-06-16 </w:t>
      </w:r>
      <w:r w:rsidRPr="005C149A">
        <w:rPr>
          <w:rFonts w:asciiTheme="majorBidi" w:hAnsiTheme="majorBidi" w:cstheme="majorBidi"/>
          <w:i/>
          <w:iCs/>
          <w:sz w:val="24"/>
          <w:szCs w:val="24"/>
        </w:rPr>
        <w:t xml:space="preserve">Rotem Simcha et. al. v. The First International Bank of Israel Ltd. et. al. </w:t>
      </w:r>
      <w:r w:rsidRPr="005C149A">
        <w:rPr>
          <w:rFonts w:asciiTheme="majorBidi" w:hAnsiTheme="majorBidi" w:cstheme="majorBidi"/>
          <w:sz w:val="24"/>
          <w:szCs w:val="24"/>
        </w:rPr>
        <w:t xml:space="preserve">(24.11.2019)). </w:t>
      </w:r>
    </w:p>
    <w:p w14:paraId="526E93B8"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July 2020, the Bank of Israel published guidelines regarding remote banking tools intended to offer solutions for certain populations, including persons to whom a legal guardian was appointed and persons with lasting powers of attorney. The guidelines include a series of provisions:</w:t>
      </w:r>
    </w:p>
    <w:p w14:paraId="7725DDDF" w14:textId="77777777" w:rsidR="00F37FC8" w:rsidRPr="005C149A" w:rsidRDefault="00F37FC8" w:rsidP="00C000F6">
      <w:pPr>
        <w:pStyle w:val="ListParagraph"/>
        <w:numPr>
          <w:ilvl w:val="1"/>
          <w:numId w:val="6"/>
        </w:numPr>
        <w:spacing w:line="360" w:lineRule="auto"/>
        <w:ind w:left="851" w:hanging="425"/>
        <w:contextualSpacing/>
        <w:jc w:val="both"/>
        <w:rPr>
          <w:rFonts w:ascii="Times New Roman" w:hAnsi="Times New Roman" w:cs="Times New Roman"/>
          <w:sz w:val="24"/>
          <w:szCs w:val="24"/>
        </w:rPr>
      </w:pPr>
      <w:r w:rsidRPr="005C149A">
        <w:rPr>
          <w:rFonts w:ascii="Times New Roman" w:hAnsi="Times New Roman" w:cs="Times New Roman"/>
          <w:sz w:val="24"/>
          <w:szCs w:val="24"/>
        </w:rPr>
        <w:t>Persons may access their bank account to view their statements  (without conducting actions, while maintaining access to information);</w:t>
      </w:r>
    </w:p>
    <w:p w14:paraId="02BDA0A9" w14:textId="0A5704CA" w:rsidR="00F37FC8" w:rsidRPr="005C149A" w:rsidRDefault="00F37FC8" w:rsidP="00C000F6">
      <w:pPr>
        <w:pStyle w:val="ListParagraph"/>
        <w:numPr>
          <w:ilvl w:val="1"/>
          <w:numId w:val="6"/>
        </w:numPr>
        <w:spacing w:line="360" w:lineRule="auto"/>
        <w:ind w:left="851" w:hanging="425"/>
        <w:contextualSpacing/>
        <w:jc w:val="both"/>
        <w:rPr>
          <w:rFonts w:ascii="Times New Roman" w:hAnsi="Times New Roman" w:cs="Times New Roman"/>
          <w:sz w:val="24"/>
          <w:szCs w:val="24"/>
        </w:rPr>
      </w:pPr>
      <w:r w:rsidRPr="005C149A">
        <w:rPr>
          <w:rFonts w:ascii="Times New Roman" w:hAnsi="Times New Roman" w:cs="Times New Roman"/>
          <w:sz w:val="24"/>
          <w:szCs w:val="24"/>
        </w:rPr>
        <w:t>Persons may receive rechargeable debit cards</w:t>
      </w:r>
      <w:r w:rsidR="00DF23AB">
        <w:rPr>
          <w:rFonts w:ascii="Times New Roman" w:hAnsi="Times New Roman" w:cs="Times New Roman"/>
          <w:sz w:val="24"/>
          <w:szCs w:val="24"/>
        </w:rPr>
        <w:t>.</w:t>
      </w:r>
    </w:p>
    <w:p w14:paraId="3FC9358E" w14:textId="475F63F1" w:rsidR="00F37FC8" w:rsidRPr="005C149A" w:rsidRDefault="00F37FC8" w:rsidP="00DF23AB">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Alternative tracks, such as a no-credit account, a small account and more are available to enable persons to conduct themselves financially without an appointed guardian. Additionally, in July 2021, the AG, the Bank of Israel and the Association of Banks in Israel jointly published two (2) policy documents outlining how to handle bank accounts belonging to persons with lasting powers of attorney and with supporters of decision-making, both of which detail the procedural steps that should be taken regarding activities in the account, with the express aim of lessening the financial challenges for this population.</w:t>
      </w:r>
    </w:p>
    <w:bookmarkEnd w:id="8"/>
    <w:p w14:paraId="25187157" w14:textId="77777777" w:rsidR="00F37FC8" w:rsidRPr="00976C66" w:rsidRDefault="00C269F9" w:rsidP="00327130">
      <w:pPr>
        <w:pStyle w:val="Heading2"/>
        <w:spacing w:before="0" w:after="0"/>
      </w:pPr>
      <w:r>
        <w:t>Article 6</w:t>
      </w:r>
      <w:r w:rsidR="00F37FC8" w:rsidRPr="00976C66">
        <w:t xml:space="preserve"> </w:t>
      </w:r>
    </w:p>
    <w:p w14:paraId="35C0DE8A" w14:textId="77777777" w:rsidR="00F37FC8" w:rsidRPr="0050316B"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9" w:name="_Toc100224040"/>
      <w:r w:rsidRPr="0050316B">
        <w:rPr>
          <w:rFonts w:asciiTheme="majorBidi" w:hAnsiTheme="majorBidi"/>
          <w:b/>
          <w:bCs/>
          <w:color w:val="auto"/>
          <w:sz w:val="24"/>
          <w:szCs w:val="24"/>
          <w:u w:val="single"/>
        </w:rPr>
        <w:t>Question 3</w:t>
      </w:r>
      <w:bookmarkEnd w:id="9"/>
    </w:p>
    <w:p w14:paraId="432615FF" w14:textId="77777777" w:rsidR="00C269F9" w:rsidRPr="00953FFC" w:rsidRDefault="00C269F9" w:rsidP="00C269F9">
      <w:pPr>
        <w:pStyle w:val="Heading3"/>
      </w:pPr>
      <w:bookmarkStart w:id="10" w:name="_Hlk76919532"/>
      <w:r w:rsidRPr="00953FFC">
        <w:t xml:space="preserve">A. </w:t>
      </w:r>
      <w:r>
        <w:t xml:space="preserve">Gender Equality </w:t>
      </w:r>
      <w:r w:rsidRPr="00953FFC">
        <w:t xml:space="preserve">Legislation </w:t>
      </w:r>
    </w:p>
    <w:p w14:paraId="2726A484" w14:textId="77777777" w:rsidR="00F37FC8" w:rsidRPr="0067433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67433A">
        <w:rPr>
          <w:rFonts w:asciiTheme="majorBidi" w:hAnsiTheme="majorBidi" w:cstheme="majorBidi"/>
          <w:sz w:val="24"/>
          <w:szCs w:val="24"/>
        </w:rPr>
        <w:t xml:space="preserve">There are many laws aimed at promoting equality among the genders in the workforce and encourage integration of women in the workforce: The </w:t>
      </w:r>
      <w:r w:rsidRPr="0067433A">
        <w:rPr>
          <w:rFonts w:asciiTheme="majorBidi" w:hAnsiTheme="majorBidi" w:cstheme="majorBidi"/>
          <w:i/>
          <w:iCs/>
          <w:sz w:val="24"/>
          <w:szCs w:val="24"/>
        </w:rPr>
        <w:t>Equal Opportunities in Employment Law</w:t>
      </w:r>
      <w:r w:rsidRPr="0067433A">
        <w:rPr>
          <w:rFonts w:asciiTheme="majorBidi" w:hAnsiTheme="majorBidi" w:cstheme="majorBidi"/>
          <w:sz w:val="24"/>
          <w:szCs w:val="24"/>
        </w:rPr>
        <w:t xml:space="preserve"> 5748-1988, the </w:t>
      </w:r>
      <w:r w:rsidRPr="0067433A">
        <w:rPr>
          <w:rFonts w:asciiTheme="majorBidi" w:hAnsiTheme="majorBidi" w:cstheme="majorBidi"/>
          <w:i/>
          <w:iCs/>
          <w:sz w:val="24"/>
          <w:szCs w:val="24"/>
        </w:rPr>
        <w:t>Women’s Work Law</w:t>
      </w:r>
      <w:r w:rsidRPr="0067433A">
        <w:rPr>
          <w:rFonts w:asciiTheme="majorBidi" w:hAnsiTheme="majorBidi" w:cstheme="majorBidi"/>
          <w:sz w:val="24"/>
          <w:szCs w:val="24"/>
        </w:rPr>
        <w:t xml:space="preserve"> 5714-1954 the </w:t>
      </w:r>
      <w:r w:rsidRPr="0067433A">
        <w:rPr>
          <w:rFonts w:asciiTheme="majorBidi" w:hAnsiTheme="majorBidi" w:cstheme="majorBidi"/>
          <w:i/>
          <w:iCs/>
          <w:sz w:val="24"/>
          <w:szCs w:val="24"/>
        </w:rPr>
        <w:t xml:space="preserve">Equal Pay for Female and Male Workers Law </w:t>
      </w:r>
      <w:r w:rsidRPr="0067433A">
        <w:rPr>
          <w:rFonts w:asciiTheme="majorBidi" w:hAnsiTheme="majorBidi" w:cstheme="majorBidi"/>
          <w:sz w:val="24"/>
          <w:szCs w:val="24"/>
        </w:rPr>
        <w:t xml:space="preserve">5756-1996 and the </w:t>
      </w:r>
      <w:r w:rsidRPr="0067433A">
        <w:rPr>
          <w:rFonts w:asciiTheme="majorBidi" w:hAnsiTheme="majorBidi" w:cstheme="majorBidi"/>
          <w:i/>
          <w:iCs/>
          <w:sz w:val="24"/>
          <w:szCs w:val="24"/>
        </w:rPr>
        <w:t>Encouragement of the Advancement and Integration of Women in the Work force and Adjustment of Work places to Women's Needs Law</w:t>
      </w:r>
      <w:r w:rsidRPr="0067433A">
        <w:rPr>
          <w:rFonts w:asciiTheme="majorBidi" w:hAnsiTheme="majorBidi" w:cstheme="majorBidi"/>
          <w:sz w:val="24"/>
          <w:szCs w:val="24"/>
        </w:rPr>
        <w:t xml:space="preserve"> 5768-2008. Additionally, the duty of proper representation in public agencies is reflected under the following legislation: the</w:t>
      </w:r>
      <w:r w:rsidRPr="0067433A">
        <w:rPr>
          <w:rFonts w:asciiTheme="majorBidi" w:hAnsiTheme="majorBidi" w:cstheme="majorBidi"/>
          <w:i/>
          <w:iCs/>
          <w:sz w:val="24"/>
          <w:szCs w:val="24"/>
        </w:rPr>
        <w:t xml:space="preserve"> Civil Service Law (Appointments)</w:t>
      </w:r>
      <w:r w:rsidRPr="0067433A">
        <w:rPr>
          <w:rFonts w:asciiTheme="majorBidi" w:hAnsiTheme="majorBidi" w:cstheme="majorBidi"/>
          <w:sz w:val="24"/>
          <w:szCs w:val="24"/>
        </w:rPr>
        <w:t xml:space="preserve"> 5719-1959; the </w:t>
      </w:r>
      <w:r w:rsidRPr="0067433A">
        <w:rPr>
          <w:rFonts w:asciiTheme="majorBidi" w:hAnsiTheme="majorBidi" w:cstheme="majorBidi"/>
          <w:i/>
          <w:iCs/>
          <w:sz w:val="24"/>
          <w:szCs w:val="24"/>
        </w:rPr>
        <w:t>Women’s Equal Rights Law</w:t>
      </w:r>
      <w:r w:rsidRPr="0067433A">
        <w:rPr>
          <w:rFonts w:asciiTheme="majorBidi" w:hAnsiTheme="majorBidi" w:cstheme="majorBidi"/>
          <w:sz w:val="24"/>
          <w:szCs w:val="24"/>
        </w:rPr>
        <w:t xml:space="preserve">; Section 18a of the </w:t>
      </w:r>
      <w:r w:rsidRPr="0067433A">
        <w:rPr>
          <w:rFonts w:asciiTheme="majorBidi" w:hAnsiTheme="majorBidi" w:cstheme="majorBidi"/>
          <w:i/>
          <w:iCs/>
          <w:sz w:val="24"/>
          <w:szCs w:val="24"/>
        </w:rPr>
        <w:t>Government Companies Law</w:t>
      </w:r>
      <w:r w:rsidRPr="0067433A">
        <w:rPr>
          <w:rFonts w:asciiTheme="majorBidi" w:hAnsiTheme="majorBidi" w:cstheme="majorBidi"/>
          <w:sz w:val="24"/>
          <w:szCs w:val="24"/>
        </w:rPr>
        <w:t xml:space="preserve"> 5735-1975. </w:t>
      </w:r>
    </w:p>
    <w:p w14:paraId="10821D5E" w14:textId="77777777" w:rsidR="00F37FC8" w:rsidRPr="0067433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67433A">
        <w:rPr>
          <w:rFonts w:asciiTheme="majorBidi" w:hAnsiTheme="majorBidi" w:cstheme="majorBidi"/>
          <w:sz w:val="24"/>
          <w:szCs w:val="24"/>
        </w:rPr>
        <w:t>In recent years, several legislative amendments have been enacted in order to improve the status of women in Israel in the field of employment, for more information, see Israel's Sixth Periodic Report to CEDAW, pp. 41-44.</w:t>
      </w:r>
    </w:p>
    <w:p w14:paraId="6AAD6893" w14:textId="77777777" w:rsidR="00F37FC8" w:rsidRPr="0067433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67433A">
        <w:rPr>
          <w:rFonts w:asciiTheme="majorBidi" w:hAnsiTheme="majorBidi" w:cstheme="majorBidi"/>
          <w:sz w:val="24"/>
          <w:szCs w:val="24"/>
        </w:rPr>
        <w:t xml:space="preserve">Furthermore, on August 25, 2020, Amendment No. 6 to the </w:t>
      </w:r>
      <w:r w:rsidRPr="0067433A">
        <w:rPr>
          <w:rFonts w:asciiTheme="majorBidi" w:hAnsiTheme="majorBidi" w:cstheme="majorBidi"/>
          <w:i/>
          <w:iCs/>
          <w:sz w:val="24"/>
          <w:szCs w:val="24"/>
        </w:rPr>
        <w:t xml:space="preserve">Equal Pay for Female and Male Workers Law </w:t>
      </w:r>
      <w:r w:rsidRPr="0067433A">
        <w:rPr>
          <w:rFonts w:asciiTheme="majorBidi" w:hAnsiTheme="majorBidi" w:cstheme="majorBidi"/>
          <w:sz w:val="24"/>
          <w:szCs w:val="24"/>
        </w:rPr>
        <w:t xml:space="preserve">was enacted. This amendment requires an employer employing more than 518 employees to collect data and once a year via internal report, specifying the average wages of female and male employees, as well as the existing average wage gaps between men and women in any breakdown of employees in the workplace. The employer must then inform the employees regarding the wage bracket he/she belongs to. Additionally, once a year the employer must publish a public report, which includes data regarding the average wage gaps in the workplace by group and gender. This applies to all women in the workforce, including women with disabilities. </w:t>
      </w:r>
    </w:p>
    <w:p w14:paraId="1991CFE8" w14:textId="77777777" w:rsidR="00F37FC8" w:rsidRPr="00B82196" w:rsidRDefault="00F37FC8" w:rsidP="00B82196">
      <w:pPr>
        <w:bidi w:val="0"/>
        <w:spacing w:after="0" w:line="360" w:lineRule="auto"/>
        <w:jc w:val="both"/>
        <w:rPr>
          <w:rFonts w:asciiTheme="majorBidi" w:hAnsiTheme="majorBidi" w:cstheme="majorBidi"/>
          <w:sz w:val="24"/>
          <w:szCs w:val="24"/>
          <w:u w:val="single"/>
          <w:rtl/>
        </w:rPr>
      </w:pPr>
      <w:r w:rsidRPr="00B82196">
        <w:rPr>
          <w:rFonts w:asciiTheme="majorBidi" w:hAnsiTheme="majorBidi" w:cstheme="majorBidi"/>
          <w:sz w:val="24"/>
          <w:szCs w:val="24"/>
          <w:u w:val="single"/>
        </w:rPr>
        <w:t>Statistical Information</w:t>
      </w:r>
    </w:p>
    <w:p w14:paraId="09E1BE77" w14:textId="77777777" w:rsidR="00F37FC8" w:rsidRPr="007A519F"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7A519F">
        <w:rPr>
          <w:rFonts w:asciiTheme="majorBidi" w:hAnsiTheme="majorBidi" w:cstheme="majorBidi"/>
          <w:sz w:val="24"/>
          <w:szCs w:val="24"/>
        </w:rPr>
        <w:t>According to the statistical data of the Commission, the gaps between women and men with disabilities are consistent with the prevalent social gaps be</w:t>
      </w:r>
      <w:r w:rsidR="000423C8">
        <w:rPr>
          <w:rFonts w:asciiTheme="majorBidi" w:hAnsiTheme="majorBidi" w:cstheme="majorBidi"/>
          <w:sz w:val="24"/>
          <w:szCs w:val="24"/>
        </w:rPr>
        <w:t>tween women and men in general.</w:t>
      </w:r>
      <w:r w:rsidRPr="007A519F">
        <w:rPr>
          <w:rFonts w:asciiTheme="majorBidi" w:hAnsiTheme="majorBidi" w:cstheme="majorBidi"/>
          <w:sz w:val="24"/>
          <w:szCs w:val="24"/>
        </w:rPr>
        <w:t xml:space="preserve"> 21% of women with disabilities are in the work market (compared to 60% of men), 26% of women with disabilities have an academic education (compared to 16% of men with disabilities). Furthermore, over the years, approximately half of the inquiries to the Commission came from women, and approximately half of the civil cases filed were by or on behalf of women with disabilities.</w:t>
      </w:r>
      <w:r w:rsidRPr="007A519F">
        <w:rPr>
          <w:rFonts w:asciiTheme="majorBidi" w:hAnsiTheme="majorBidi" w:cstheme="majorBidi"/>
          <w:sz w:val="24"/>
          <w:szCs w:val="24"/>
          <w:shd w:val="clear" w:color="auto" w:fill="FFFFFF"/>
        </w:rPr>
        <w:t xml:space="preserve"> Over the past four (4) years, 58% of the inquiries on employment handled by the Commission came from women, compared to 42% by men.</w:t>
      </w:r>
    </w:p>
    <w:p w14:paraId="3454A423" w14:textId="77777777" w:rsidR="00F37FC8" w:rsidRPr="007A519F"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7A519F">
        <w:rPr>
          <w:rFonts w:asciiTheme="majorBidi" w:hAnsiTheme="majorBidi" w:cstheme="majorBidi"/>
          <w:sz w:val="24"/>
          <w:szCs w:val="24"/>
        </w:rPr>
        <w:t>Furthermore, the representation of PWD in the Civil Service since 2019 stands at 3.8%, of which 36% are men and 62% are women, similar to the proportion in the general population in the Civil Service.</w:t>
      </w:r>
    </w:p>
    <w:bookmarkEnd w:id="10"/>
    <w:p w14:paraId="2E29A271" w14:textId="77777777" w:rsidR="00C269F9" w:rsidRPr="00953FFC" w:rsidRDefault="00C269F9" w:rsidP="00C269F9">
      <w:pPr>
        <w:pStyle w:val="Heading3"/>
      </w:pPr>
      <w:r w:rsidRPr="00953FFC">
        <w:t>B. Discrimination against Women</w:t>
      </w:r>
    </w:p>
    <w:p w14:paraId="0E4986B8" w14:textId="77777777" w:rsidR="00F37FC8" w:rsidRPr="00B82196" w:rsidRDefault="00F37FC8" w:rsidP="00B82196">
      <w:pPr>
        <w:bidi w:val="0"/>
        <w:spacing w:after="0" w:line="360" w:lineRule="auto"/>
        <w:jc w:val="both"/>
        <w:rPr>
          <w:rFonts w:asciiTheme="majorBidi" w:hAnsiTheme="majorBidi" w:cstheme="majorBidi"/>
          <w:sz w:val="24"/>
          <w:szCs w:val="24"/>
          <w:u w:val="single"/>
        </w:rPr>
      </w:pPr>
      <w:r w:rsidRPr="00B82196">
        <w:rPr>
          <w:rFonts w:asciiTheme="majorBidi" w:hAnsiTheme="majorBidi" w:cstheme="majorBidi"/>
          <w:sz w:val="24"/>
          <w:szCs w:val="24"/>
          <w:u w:val="single"/>
        </w:rPr>
        <w:t>The Commission Activities for Women with Disabilities</w:t>
      </w:r>
    </w:p>
    <w:p w14:paraId="35C20721" w14:textId="02E46E9C" w:rsidR="00F37FC8" w:rsidRPr="007A519F"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7A519F">
        <w:rPr>
          <w:rFonts w:asciiTheme="majorBidi" w:hAnsiTheme="majorBidi" w:cstheme="majorBidi"/>
          <w:sz w:val="24"/>
          <w:szCs w:val="24"/>
        </w:rPr>
        <w:t xml:space="preserve">The Commission conducts </w:t>
      </w:r>
      <w:r w:rsidR="00757568">
        <w:rPr>
          <w:rFonts w:asciiTheme="majorBidi" w:hAnsiTheme="majorBidi" w:cstheme="majorBidi"/>
          <w:sz w:val="24"/>
          <w:szCs w:val="24"/>
        </w:rPr>
        <w:t xml:space="preserve">several </w:t>
      </w:r>
      <w:r w:rsidRPr="007A519F">
        <w:rPr>
          <w:rFonts w:asciiTheme="majorBidi" w:hAnsiTheme="majorBidi" w:cstheme="majorBidi"/>
          <w:sz w:val="24"/>
          <w:szCs w:val="24"/>
        </w:rPr>
        <w:t>activities aimed for women with disabilities</w:t>
      </w:r>
      <w:r w:rsidR="00757568">
        <w:rPr>
          <w:rFonts w:asciiTheme="majorBidi" w:hAnsiTheme="majorBidi" w:cstheme="majorBidi"/>
          <w:sz w:val="24"/>
          <w:szCs w:val="24"/>
        </w:rPr>
        <w:t>, including</w:t>
      </w:r>
      <w:r w:rsidRPr="007A519F">
        <w:rPr>
          <w:rFonts w:asciiTheme="majorBidi" w:hAnsiTheme="majorBidi" w:cstheme="majorBidi"/>
          <w:sz w:val="24"/>
          <w:szCs w:val="24"/>
        </w:rPr>
        <w:t>:</w:t>
      </w:r>
    </w:p>
    <w:p w14:paraId="6F983EFF" w14:textId="667AE3F0" w:rsidR="00F37FC8" w:rsidRPr="007A519F" w:rsidRDefault="00F37FC8" w:rsidP="00C000F6">
      <w:pPr>
        <w:pStyle w:val="ListParagraph"/>
        <w:numPr>
          <w:ilvl w:val="0"/>
          <w:numId w:val="24"/>
        </w:numPr>
        <w:spacing w:after="120" w:line="360" w:lineRule="auto"/>
        <w:ind w:hanging="295"/>
        <w:contextualSpacing/>
        <w:jc w:val="both"/>
        <w:rPr>
          <w:rFonts w:asciiTheme="majorBidi" w:hAnsiTheme="majorBidi" w:cstheme="majorBidi"/>
          <w:sz w:val="24"/>
          <w:szCs w:val="24"/>
        </w:rPr>
      </w:pPr>
      <w:r w:rsidRPr="007A519F">
        <w:rPr>
          <w:rFonts w:asciiTheme="majorBidi" w:hAnsiTheme="majorBidi" w:cstheme="majorBidi"/>
          <w:sz w:val="24"/>
          <w:szCs w:val="24"/>
        </w:rPr>
        <w:t xml:space="preserve">In 2018, the </w:t>
      </w:r>
      <w:r w:rsidRPr="001910FC">
        <w:rPr>
          <w:rFonts w:asciiTheme="majorBidi" w:hAnsiTheme="majorBidi" w:cstheme="majorBidi"/>
          <w:sz w:val="24"/>
          <w:szCs w:val="24"/>
        </w:rPr>
        <w:t>Commission held</w:t>
      </w:r>
      <w:r w:rsidRPr="007A519F">
        <w:rPr>
          <w:rFonts w:asciiTheme="majorBidi" w:hAnsiTheme="majorBidi" w:cstheme="majorBidi"/>
          <w:sz w:val="24"/>
          <w:szCs w:val="24"/>
        </w:rPr>
        <w:t xml:space="preserve"> a course for ultra-Orthodox women activists. In this framework, 20 women in leadership positions have undergone comprehensive training regarding the rights of PWD and methods for rights</w:t>
      </w:r>
      <w:r w:rsidR="00D94BEB">
        <w:rPr>
          <w:rFonts w:asciiTheme="majorBidi" w:hAnsiTheme="majorBidi" w:cstheme="majorBidi"/>
          <w:sz w:val="24"/>
          <w:szCs w:val="24"/>
        </w:rPr>
        <w:t>'</w:t>
      </w:r>
      <w:r w:rsidRPr="007A519F">
        <w:rPr>
          <w:rFonts w:asciiTheme="majorBidi" w:hAnsiTheme="majorBidi" w:cstheme="majorBidi"/>
          <w:sz w:val="24"/>
          <w:szCs w:val="24"/>
        </w:rPr>
        <w:t xml:space="preserve"> promotion.</w:t>
      </w:r>
    </w:p>
    <w:p w14:paraId="3EB5BDD0" w14:textId="77777777" w:rsidR="00F37FC8" w:rsidRPr="007A519F" w:rsidRDefault="00F37FC8" w:rsidP="00C000F6">
      <w:pPr>
        <w:pStyle w:val="ListParagraph"/>
        <w:numPr>
          <w:ilvl w:val="0"/>
          <w:numId w:val="24"/>
        </w:numPr>
        <w:spacing w:after="120" w:line="360" w:lineRule="auto"/>
        <w:ind w:hanging="295"/>
        <w:contextualSpacing/>
        <w:jc w:val="both"/>
        <w:rPr>
          <w:rFonts w:asciiTheme="majorBidi" w:hAnsiTheme="majorBidi" w:cstheme="majorBidi"/>
          <w:sz w:val="24"/>
          <w:szCs w:val="24"/>
        </w:rPr>
      </w:pPr>
      <w:r w:rsidRPr="007A519F">
        <w:rPr>
          <w:rFonts w:asciiTheme="majorBidi" w:hAnsiTheme="majorBidi" w:cstheme="majorBidi"/>
          <w:sz w:val="24"/>
          <w:szCs w:val="24"/>
        </w:rPr>
        <w:t>In 2018, a number of meetings were held for ultra-Orthodox women regarding the integration in the education of children with disabilities.</w:t>
      </w:r>
    </w:p>
    <w:p w14:paraId="5D3FB418" w14:textId="77777777" w:rsidR="00F37FC8" w:rsidRPr="007A519F" w:rsidRDefault="00F37FC8" w:rsidP="00C000F6">
      <w:pPr>
        <w:pStyle w:val="ListParagraph"/>
        <w:numPr>
          <w:ilvl w:val="0"/>
          <w:numId w:val="24"/>
        </w:numPr>
        <w:spacing w:after="120" w:line="360" w:lineRule="auto"/>
        <w:ind w:hanging="295"/>
        <w:contextualSpacing/>
        <w:jc w:val="both"/>
        <w:rPr>
          <w:rFonts w:asciiTheme="majorBidi" w:hAnsiTheme="majorBidi" w:cstheme="majorBidi"/>
          <w:sz w:val="24"/>
          <w:szCs w:val="24"/>
        </w:rPr>
      </w:pPr>
      <w:r w:rsidRPr="00D97F93">
        <w:rPr>
          <w:rFonts w:asciiTheme="majorBidi" w:hAnsiTheme="majorBidi" w:cstheme="majorBidi"/>
          <w:sz w:val="24"/>
          <w:szCs w:val="24"/>
        </w:rPr>
        <w:t>The Commission</w:t>
      </w:r>
      <w:r w:rsidRPr="007A519F">
        <w:rPr>
          <w:rFonts w:asciiTheme="majorBidi" w:hAnsiTheme="majorBidi" w:cstheme="majorBidi"/>
          <w:sz w:val="24"/>
          <w:szCs w:val="24"/>
        </w:rPr>
        <w:t xml:space="preserve"> meets with women's rights organizations such as Women for Women Forum - The Feminist Center in Haifa on Women with Disabilities and the Women Leadership Forum at the Izzy Shapira House.</w:t>
      </w:r>
    </w:p>
    <w:p w14:paraId="6FECED42" w14:textId="77777777" w:rsidR="00F37FC8" w:rsidRPr="005C149A" w:rsidRDefault="00C269F9" w:rsidP="00327130">
      <w:pPr>
        <w:pStyle w:val="Heading2"/>
        <w:spacing w:before="0" w:after="0"/>
      </w:pPr>
      <w:r w:rsidRPr="005C149A">
        <w:t>Article 7</w:t>
      </w:r>
    </w:p>
    <w:p w14:paraId="6F56F66F"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11" w:name="_Toc100224041"/>
      <w:r w:rsidRPr="005C149A">
        <w:rPr>
          <w:rFonts w:asciiTheme="majorBidi" w:hAnsiTheme="majorBidi"/>
          <w:b/>
          <w:bCs/>
          <w:color w:val="auto"/>
          <w:sz w:val="24"/>
          <w:szCs w:val="24"/>
          <w:u w:val="single"/>
        </w:rPr>
        <w:t>Question 4</w:t>
      </w:r>
      <w:bookmarkEnd w:id="11"/>
    </w:p>
    <w:p w14:paraId="7638EB18" w14:textId="77777777" w:rsidR="00F37FC8" w:rsidRPr="005C149A" w:rsidRDefault="00AE36C0" w:rsidP="0050316B">
      <w:pPr>
        <w:pStyle w:val="Heading3"/>
      </w:pPr>
      <w:bookmarkStart w:id="12" w:name="_Hlk76921958"/>
      <w:r w:rsidRPr="005C149A">
        <w:t>Education</w:t>
      </w:r>
    </w:p>
    <w:p w14:paraId="009FF1C8" w14:textId="77777777" w:rsidR="00F37FC8" w:rsidRPr="005C149A" w:rsidRDefault="00F37FC8" w:rsidP="001910FC">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In July 2018, Amendment No.11 to the </w:t>
      </w:r>
      <w:r w:rsidRPr="005C149A">
        <w:rPr>
          <w:rFonts w:asciiTheme="majorBidi" w:hAnsiTheme="majorBidi" w:cstheme="majorBidi"/>
          <w:i/>
          <w:iCs/>
          <w:sz w:val="24"/>
          <w:szCs w:val="24"/>
        </w:rPr>
        <w:t>Special Education Law</w:t>
      </w:r>
      <w:r w:rsidRPr="005C149A">
        <w:rPr>
          <w:rFonts w:asciiTheme="majorBidi" w:hAnsiTheme="majorBidi" w:cstheme="majorBidi"/>
          <w:sz w:val="24"/>
          <w:szCs w:val="24"/>
        </w:rPr>
        <w:t xml:space="preserve"> entered into force. This Amendment emphasizes participation of the pupils and their parents in the eligibility evaluation process. For details, see Question 25(a). </w:t>
      </w:r>
    </w:p>
    <w:p w14:paraId="130B3517" w14:textId="1F0F39CE"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Section 9(b)(3) to the </w:t>
      </w:r>
      <w:r w:rsidRPr="005C149A">
        <w:rPr>
          <w:rFonts w:asciiTheme="majorBidi" w:hAnsiTheme="majorBidi" w:cstheme="majorBidi"/>
          <w:i/>
          <w:iCs/>
          <w:sz w:val="24"/>
          <w:szCs w:val="24"/>
        </w:rPr>
        <w:t>Special Education Law</w:t>
      </w:r>
      <w:r w:rsidRPr="005C149A">
        <w:rPr>
          <w:rFonts w:asciiTheme="majorBidi" w:hAnsiTheme="majorBidi" w:cstheme="majorBidi"/>
          <w:sz w:val="24"/>
          <w:szCs w:val="24"/>
        </w:rPr>
        <w:t xml:space="preserve"> stipulates that all discussions of the Eligibility Committee for examining pupils' eligibility to receive special education services, as well as decisions regarding their participation, are made by the pupil's parents and with the involvement of the pupils themselves. When </w:t>
      </w:r>
      <w:r w:rsidR="00D94BEB">
        <w:rPr>
          <w:rFonts w:asciiTheme="majorBidi" w:hAnsiTheme="majorBidi" w:cstheme="majorBidi"/>
          <w:sz w:val="24"/>
          <w:szCs w:val="24"/>
        </w:rPr>
        <w:t xml:space="preserve">the </w:t>
      </w:r>
      <w:r w:rsidRPr="005C149A">
        <w:rPr>
          <w:rFonts w:asciiTheme="majorBidi" w:hAnsiTheme="majorBidi" w:cstheme="majorBidi"/>
          <w:sz w:val="24"/>
          <w:szCs w:val="24"/>
        </w:rPr>
        <w:t>MOWSA Committee evaluates a child with disabilities, the process includes inviting the child to speak before the committee before a decision is made in their regard, to the extent possible.</w:t>
      </w:r>
    </w:p>
    <w:p w14:paraId="30006602" w14:textId="77777777" w:rsidR="00F37FC8" w:rsidRPr="005C149A" w:rsidRDefault="000423C8" w:rsidP="0050316B">
      <w:pPr>
        <w:pStyle w:val="Heading3"/>
      </w:pPr>
      <w:r>
        <w:t xml:space="preserve">The </w:t>
      </w:r>
      <w:r w:rsidR="00F37FC8" w:rsidRPr="005C149A">
        <w:t>Youth Complaints Commission</w:t>
      </w:r>
      <w:r w:rsidR="00F37FC8" w:rsidRPr="005C149A" w:rsidDel="002347A1">
        <w:t xml:space="preserve"> </w:t>
      </w:r>
    </w:p>
    <w:p w14:paraId="1A5637FA" w14:textId="0F15BCDB"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lang w:val="en"/>
        </w:rPr>
      </w:pPr>
      <w:r w:rsidRPr="005C149A">
        <w:rPr>
          <w:rFonts w:asciiTheme="majorBidi" w:hAnsiTheme="majorBidi" w:cstheme="majorBidi"/>
          <w:sz w:val="24"/>
          <w:szCs w:val="24"/>
        </w:rPr>
        <w:t xml:space="preserve">The Children’s and Youth Complaints Commission, established in 2017, operates in accordance with Section 56 of the </w:t>
      </w:r>
      <w:r w:rsidRPr="005C149A">
        <w:rPr>
          <w:rFonts w:asciiTheme="majorBidi" w:hAnsiTheme="majorBidi" w:cstheme="majorBidi"/>
          <w:i/>
          <w:iCs/>
          <w:sz w:val="24"/>
          <w:szCs w:val="24"/>
        </w:rPr>
        <w:t>Children Foster Care Law</w:t>
      </w:r>
      <w:r w:rsidRPr="005C149A">
        <w:rPr>
          <w:rFonts w:asciiTheme="majorBidi" w:hAnsiTheme="majorBidi" w:cstheme="majorBidi"/>
          <w:sz w:val="24"/>
          <w:szCs w:val="24"/>
        </w:rPr>
        <w:t xml:space="preserve"> 5776-2016 and is part of </w:t>
      </w:r>
      <w:r w:rsidR="00D94BEB">
        <w:rPr>
          <w:rFonts w:asciiTheme="majorBidi" w:hAnsiTheme="majorBidi" w:cstheme="majorBidi"/>
          <w:sz w:val="24"/>
          <w:szCs w:val="24"/>
        </w:rPr>
        <w:t xml:space="preserve">the </w:t>
      </w:r>
      <w:r w:rsidRPr="005C149A">
        <w:rPr>
          <w:rFonts w:asciiTheme="majorBidi" w:hAnsiTheme="majorBidi" w:cstheme="majorBidi"/>
          <w:sz w:val="24"/>
          <w:szCs w:val="24"/>
        </w:rPr>
        <w:t>MOWSA.</w:t>
      </w:r>
      <w:r w:rsidRPr="005C149A">
        <w:rPr>
          <w:rFonts w:asciiTheme="majorBidi" w:hAnsiTheme="majorBidi" w:cstheme="majorBidi"/>
          <w:color w:val="1F497D"/>
          <w:sz w:val="24"/>
          <w:szCs w:val="24"/>
        </w:rPr>
        <w:t xml:space="preserve"> </w:t>
      </w:r>
      <w:r w:rsidRPr="005C149A">
        <w:rPr>
          <w:rFonts w:asciiTheme="majorBidi" w:hAnsiTheme="majorBidi" w:cstheme="majorBidi"/>
          <w:color w:val="000000"/>
          <w:sz w:val="24"/>
          <w:szCs w:val="24"/>
        </w:rPr>
        <w:t xml:space="preserve">At the onset of its establishment, the Youth Complaints Commissioner interviewed over two hundred (200) children in alternative care, including children with disabilities, and the children's responses were aggregated and served as the basis </w:t>
      </w:r>
      <w:r w:rsidRPr="005C149A">
        <w:rPr>
          <w:rFonts w:asciiTheme="majorBidi" w:hAnsiTheme="majorBidi" w:cstheme="majorBidi"/>
          <w:sz w:val="24"/>
          <w:szCs w:val="24"/>
        </w:rPr>
        <w:t>for</w:t>
      </w:r>
      <w:r w:rsidRPr="005C149A">
        <w:rPr>
          <w:rFonts w:asciiTheme="majorBidi" w:hAnsiTheme="majorBidi" w:cstheme="majorBidi"/>
          <w:color w:val="000000"/>
          <w:sz w:val="24"/>
          <w:szCs w:val="24"/>
        </w:rPr>
        <w:t xml:space="preserve"> the framework in which the Youth Complaints Commission was established, as well as the way in which it conducts its activities. The questionnaire was adapted to the needs of children with disabilities, in collaboration with the Administration, in order to ensure that their input be received</w:t>
      </w:r>
      <w:r w:rsidRPr="005C149A">
        <w:rPr>
          <w:rFonts w:asciiTheme="majorBidi" w:hAnsiTheme="majorBidi" w:cstheme="majorBidi"/>
          <w:sz w:val="24"/>
          <w:szCs w:val="24"/>
          <w:lang w:val="en"/>
        </w:rPr>
        <w:t xml:space="preserve">. </w:t>
      </w:r>
    </w:p>
    <w:p w14:paraId="78AE3A76"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lang w:val="en"/>
        </w:rPr>
        <w:t xml:space="preserve">The Youth Complaints </w:t>
      </w:r>
      <w:r w:rsidRPr="005C149A">
        <w:rPr>
          <w:rFonts w:asciiTheme="majorBidi" w:hAnsiTheme="majorBidi" w:cstheme="majorBidi"/>
          <w:sz w:val="24"/>
          <w:szCs w:val="24"/>
        </w:rPr>
        <w:t>Commissioner's</w:t>
      </w:r>
      <w:r w:rsidRPr="005C149A">
        <w:rPr>
          <w:rFonts w:asciiTheme="majorBidi" w:hAnsiTheme="majorBidi" w:cstheme="majorBidi"/>
          <w:sz w:val="24"/>
          <w:szCs w:val="24"/>
          <w:lang w:val="en"/>
        </w:rPr>
        <w:t xml:space="preserve"> process to make the Youth Complaints Commission more accessible included conducting visitations at alternative care frameworks, meeting with relevant government and civil society professionals, </w:t>
      </w:r>
      <w:r w:rsidRPr="005C149A">
        <w:rPr>
          <w:rFonts w:asciiTheme="majorBidi" w:hAnsiTheme="majorBidi" w:cstheme="majorBidi"/>
          <w:sz w:val="24"/>
          <w:szCs w:val="24"/>
        </w:rPr>
        <w:t xml:space="preserve">meeting with children with disabilities, analyzing data and implementing tools to ensure </w:t>
      </w:r>
      <w:r w:rsidRPr="005C149A">
        <w:rPr>
          <w:rFonts w:asciiTheme="majorBidi" w:hAnsiTheme="majorBidi" w:cstheme="majorBidi"/>
          <w:sz w:val="24"/>
          <w:szCs w:val="24"/>
          <w:lang w:val="en"/>
        </w:rPr>
        <w:t xml:space="preserve">free and private communication and establish mutual trust. As of December 2021, the Commissioner met with 40 children in alternative care frameworks to share how the Commission works, together with the </w:t>
      </w:r>
      <w:r w:rsidRPr="005C149A">
        <w:rPr>
          <w:rFonts w:asciiTheme="majorBidi" w:hAnsiTheme="majorBidi" w:cstheme="majorBidi"/>
          <w:sz w:val="24"/>
          <w:szCs w:val="24"/>
        </w:rPr>
        <w:t>Israeli Institute on Cognitive Accessibility. The children were asked how they would feel comfortable sharing information if need be with the Commission and how they would prefer to be in contact with them. Based on the information gathered, in the year 2022, the Commission plans to: design accessible signs and contact cards, publish a video advertisement, become contactable via video calls and voice notes, cooperate with social workers and teachers in assisting children to be in contact and train their staff who manage the phone line on disability sensitivity.</w:t>
      </w:r>
    </w:p>
    <w:bookmarkEnd w:id="12"/>
    <w:p w14:paraId="4F05B1BF" w14:textId="77777777" w:rsidR="00F37FC8" w:rsidRPr="005C149A" w:rsidRDefault="00AE36C0" w:rsidP="00327130">
      <w:pPr>
        <w:pStyle w:val="Heading2"/>
        <w:spacing w:before="0" w:after="0"/>
      </w:pPr>
      <w:r w:rsidRPr="005C149A">
        <w:t>Article 8</w:t>
      </w:r>
    </w:p>
    <w:p w14:paraId="2880CBC6"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13" w:name="_Toc100224042"/>
      <w:r w:rsidRPr="005C149A">
        <w:rPr>
          <w:rFonts w:asciiTheme="majorBidi" w:hAnsiTheme="majorBidi"/>
          <w:b/>
          <w:bCs/>
          <w:color w:val="auto"/>
          <w:sz w:val="24"/>
          <w:szCs w:val="24"/>
          <w:u w:val="single"/>
        </w:rPr>
        <w:t>Question 6</w:t>
      </w:r>
      <w:bookmarkEnd w:id="13"/>
    </w:p>
    <w:p w14:paraId="7016272B" w14:textId="77777777" w:rsidR="00F37FC8" w:rsidRPr="005C149A" w:rsidRDefault="00F37FC8" w:rsidP="0050316B">
      <w:pPr>
        <w:pStyle w:val="Heading3"/>
      </w:pPr>
      <w:r w:rsidRPr="005C149A">
        <w:t>The MOWSA Awareness Raising Activities</w:t>
      </w:r>
    </w:p>
    <w:p w14:paraId="1CE99E53"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Administration developed additional programs including:</w:t>
      </w:r>
    </w:p>
    <w:p w14:paraId="496B99D0" w14:textId="77777777" w:rsidR="00F37FC8" w:rsidRPr="005C149A" w:rsidRDefault="00F37FC8" w:rsidP="007A519F">
      <w:pPr>
        <w:pStyle w:val="ListParagraph"/>
        <w:numPr>
          <w:ilvl w:val="1"/>
          <w:numId w:val="2"/>
        </w:numPr>
        <w:spacing w:after="120" w:line="360" w:lineRule="auto"/>
        <w:ind w:left="850" w:hanging="357"/>
        <w:jc w:val="both"/>
        <w:rPr>
          <w:rFonts w:ascii="Times New Roman" w:hAnsi="Times New Roman" w:cs="Times New Roman"/>
          <w:sz w:val="24"/>
          <w:szCs w:val="24"/>
        </w:rPr>
      </w:pPr>
      <w:r w:rsidRPr="005C149A">
        <w:rPr>
          <w:rFonts w:ascii="Times New Roman" w:hAnsi="Times New Roman" w:cs="Times New Roman"/>
          <w:b/>
          <w:bCs/>
          <w:sz w:val="24"/>
          <w:szCs w:val="24"/>
        </w:rPr>
        <w:t xml:space="preserve">A joint program with the Service for Community Work which conducts informational activities to change attitudes toward PWD. </w:t>
      </w:r>
      <w:r w:rsidRPr="005C149A">
        <w:rPr>
          <w:rFonts w:ascii="Times New Roman" w:hAnsi="Times New Roman" w:cs="Times New Roman"/>
          <w:sz w:val="24"/>
          <w:szCs w:val="24"/>
        </w:rPr>
        <w:t xml:space="preserve">The program operates in 30 regions. </w:t>
      </w:r>
    </w:p>
    <w:p w14:paraId="3FF89B3A" w14:textId="77777777" w:rsidR="00F37FC8" w:rsidRPr="005C149A" w:rsidRDefault="00F37FC8" w:rsidP="007A519F">
      <w:pPr>
        <w:pStyle w:val="ListParagraph"/>
        <w:numPr>
          <w:ilvl w:val="1"/>
          <w:numId w:val="2"/>
        </w:numPr>
        <w:spacing w:after="120" w:line="360" w:lineRule="auto"/>
        <w:ind w:left="850" w:hanging="357"/>
        <w:jc w:val="both"/>
        <w:rPr>
          <w:rFonts w:ascii="Times New Roman" w:hAnsi="Times New Roman" w:cs="Times New Roman"/>
          <w:sz w:val="24"/>
          <w:szCs w:val="24"/>
        </w:rPr>
      </w:pPr>
      <w:r w:rsidRPr="005C149A">
        <w:rPr>
          <w:rFonts w:ascii="Times New Roman" w:hAnsi="Times New Roman" w:cs="Times New Roman"/>
          <w:b/>
          <w:bCs/>
          <w:sz w:val="24"/>
          <w:szCs w:val="24"/>
        </w:rPr>
        <w:t>A local organization within which PWD work with professionals in their community</w:t>
      </w:r>
      <w:r w:rsidRPr="005C149A">
        <w:rPr>
          <w:rFonts w:ascii="Times New Roman" w:hAnsi="Times New Roman" w:cs="Times New Roman"/>
          <w:sz w:val="24"/>
          <w:szCs w:val="24"/>
        </w:rPr>
        <w:t>. The organization focuses on four (4) areas of activity: advocacy and awareness raising, increasing accessibility, preparing for emergencies and integration.</w:t>
      </w:r>
    </w:p>
    <w:p w14:paraId="3F67D1AB" w14:textId="77777777" w:rsidR="00F37FC8" w:rsidRPr="005C149A" w:rsidRDefault="00F37FC8" w:rsidP="004A5A55">
      <w:pPr>
        <w:pStyle w:val="ListParagraph"/>
        <w:numPr>
          <w:ilvl w:val="1"/>
          <w:numId w:val="2"/>
        </w:numPr>
        <w:spacing w:after="120" w:line="360" w:lineRule="auto"/>
        <w:ind w:left="850" w:hanging="357"/>
        <w:jc w:val="both"/>
        <w:rPr>
          <w:rFonts w:ascii="Times New Roman" w:hAnsi="Times New Roman" w:cs="Times New Roman"/>
          <w:sz w:val="24"/>
          <w:szCs w:val="24"/>
        </w:rPr>
      </w:pPr>
      <w:r w:rsidRPr="005C149A">
        <w:rPr>
          <w:rFonts w:ascii="Times New Roman" w:hAnsi="Times New Roman" w:cs="Times New Roman"/>
          <w:b/>
          <w:bCs/>
          <w:sz w:val="24"/>
          <w:szCs w:val="24"/>
        </w:rPr>
        <w:t>A "Family Center" which provides complementary social services to families of children with disabilities, in which parents are full partners in the planning and operation</w:t>
      </w:r>
      <w:r w:rsidRPr="005C149A">
        <w:rPr>
          <w:rFonts w:ascii="Times New Roman" w:hAnsi="Times New Roman" w:cs="Times New Roman"/>
          <w:sz w:val="24"/>
          <w:szCs w:val="24"/>
        </w:rPr>
        <w:t xml:space="preserve">. One of the main goals of the Center is to change social attitudes towards children and young PWD. The Center develops working relationships with all existing services and entities in the authority </w:t>
      </w:r>
      <w:r w:rsidR="004A5A55">
        <w:rPr>
          <w:rFonts w:ascii="Times New Roman" w:hAnsi="Times New Roman" w:cs="Times New Roman"/>
          <w:sz w:val="24"/>
          <w:szCs w:val="24"/>
        </w:rPr>
        <w:t>-</w:t>
      </w:r>
      <w:r w:rsidRPr="005C149A">
        <w:rPr>
          <w:rFonts w:ascii="Times New Roman" w:hAnsi="Times New Roman" w:cs="Times New Roman"/>
          <w:sz w:val="24"/>
          <w:szCs w:val="24"/>
        </w:rPr>
        <w:t xml:space="preserve"> education, health, leisure, society and more </w:t>
      </w:r>
      <w:r w:rsidR="004A5A55">
        <w:rPr>
          <w:rFonts w:ascii="Times New Roman" w:hAnsi="Times New Roman" w:cs="Times New Roman"/>
          <w:sz w:val="24"/>
          <w:szCs w:val="24"/>
        </w:rPr>
        <w:t>-</w:t>
      </w:r>
      <w:r w:rsidRPr="005C149A">
        <w:rPr>
          <w:rFonts w:ascii="Times New Roman" w:hAnsi="Times New Roman" w:cs="Times New Roman"/>
          <w:sz w:val="24"/>
          <w:szCs w:val="24"/>
        </w:rPr>
        <w:t xml:space="preserve"> and is an infrastructure service for future community developments for and in favor of children and families with disabilities, which help processes of changing attitudes and reducing stigmas.</w:t>
      </w:r>
    </w:p>
    <w:p w14:paraId="0CE35F8C" w14:textId="77777777" w:rsidR="00F37FC8" w:rsidRPr="005C149A" w:rsidRDefault="00F37FC8" w:rsidP="0050316B">
      <w:pPr>
        <w:pStyle w:val="Heading3"/>
      </w:pPr>
      <w:r w:rsidRPr="005C149A">
        <w:t>Television Broadcasting and Campaigns</w:t>
      </w:r>
    </w:p>
    <w:p w14:paraId="09D529D9"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w:t>
      </w:r>
      <w:r w:rsidRPr="005C149A">
        <w:rPr>
          <w:rFonts w:asciiTheme="majorBidi" w:hAnsiTheme="majorBidi" w:cstheme="majorBidi"/>
          <w:b/>
          <w:bCs/>
          <w:sz w:val="24"/>
          <w:szCs w:val="24"/>
        </w:rPr>
        <w:t>Public Israeli Cooperation Broadcasting</w:t>
      </w:r>
      <w:r w:rsidRPr="005C149A">
        <w:rPr>
          <w:rFonts w:asciiTheme="majorBidi" w:hAnsiTheme="majorBidi" w:cstheme="majorBidi"/>
          <w:sz w:val="24"/>
          <w:szCs w:val="24"/>
        </w:rPr>
        <w:t xml:space="preserve"> publishes a range of content that raises awareness towards PWD. For example, the show "The Special Ones," produced about and in consultation with PWD, succeeded in both changing the lives of those who participated in it, as well as in inspiring the establishment of a new yearly conference on the subject of the rights of PWD. The show "You Can't Ask That" is a documentary-reality show focusing on persons belonging to social minorities, including PWD, and offers a look into their day-to-day lives. The show aims at breaking stereotypes and offering answers to politically incorrect questions that persons in mainstream society are afraid to ask.</w:t>
      </w:r>
    </w:p>
    <w:p w14:paraId="51B30ED9"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2019, there were several specialized broadcasts of the Eurovision Song Contest, that was held in Israel that year: one broadcast was made accessible to persons with hearing impairments by including a sign language translator, one broadcast was made</w:t>
      </w:r>
      <w:r w:rsidR="007A519F" w:rsidRPr="005C149A">
        <w:rPr>
          <w:rFonts w:asciiTheme="majorBidi" w:hAnsiTheme="majorBidi" w:cstheme="majorBidi"/>
          <w:sz w:val="24"/>
          <w:szCs w:val="24"/>
        </w:rPr>
        <w:t xml:space="preserve"> </w:t>
      </w:r>
      <w:r w:rsidRPr="005C149A">
        <w:rPr>
          <w:rFonts w:asciiTheme="majorBidi" w:hAnsiTheme="majorBidi" w:cstheme="majorBidi"/>
          <w:sz w:val="24"/>
          <w:szCs w:val="24"/>
        </w:rPr>
        <w:t>accessible to persons with visual impairment by including descriptive narration, and one broadcast was made accessible to persons with cognitive disabilities. The production of these broadcasts was in consultation with professionals and PWD in order to ensure that the broadcasts accurately accounted for the needs of this population. The success of these accessible broadcasts led to broadcasting the elections of September 2019 and March 2020 in these accessible formats as well. Additionally, emergency broadcasts during the first month of the Covid-19 pandemic were broadcasted both in sign language and with simplified audio narration for persons with cognitive disabilities.</w:t>
      </w:r>
    </w:p>
    <w:p w14:paraId="5D4D6A54" w14:textId="77777777" w:rsidR="00F37FC8" w:rsidRPr="005C149A" w:rsidRDefault="00F37FC8" w:rsidP="0050316B">
      <w:pPr>
        <w:pStyle w:val="Heading3"/>
      </w:pPr>
      <w:bookmarkStart w:id="14" w:name="_Hlk76990511"/>
      <w:r w:rsidRPr="005C149A">
        <w:t>The Commission's Awareness Raising Activities</w:t>
      </w:r>
    </w:p>
    <w:p w14:paraId="7DF50E00"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b/>
          <w:bCs/>
          <w:sz w:val="24"/>
          <w:szCs w:val="24"/>
          <w:u w:val="single"/>
          <w:rtl/>
        </w:rPr>
      </w:pPr>
      <w:r w:rsidRPr="005C149A">
        <w:rPr>
          <w:rFonts w:asciiTheme="majorBidi" w:hAnsiTheme="majorBidi" w:cstheme="majorBidi"/>
          <w:sz w:val="24"/>
          <w:szCs w:val="24"/>
        </w:rPr>
        <w:t>The</w:t>
      </w:r>
      <w:r w:rsidRPr="005C149A">
        <w:rPr>
          <w:rFonts w:asciiTheme="majorBidi" w:hAnsiTheme="majorBidi" w:cstheme="majorBidi"/>
          <w:bCs/>
          <w:sz w:val="24"/>
          <w:szCs w:val="24"/>
        </w:rPr>
        <w:t xml:space="preserve"> Commission activities </w:t>
      </w:r>
      <w:r w:rsidRPr="005C149A">
        <w:rPr>
          <w:rFonts w:asciiTheme="majorBidi" w:hAnsiTheme="majorBidi" w:cstheme="majorBidi"/>
          <w:sz w:val="24"/>
          <w:szCs w:val="24"/>
        </w:rPr>
        <w:t>on awareness raising include</w:t>
      </w:r>
      <w:r w:rsidRPr="005C149A">
        <w:rPr>
          <w:rFonts w:asciiTheme="majorBidi" w:hAnsiTheme="majorBidi" w:cstheme="majorBidi"/>
          <w:bCs/>
          <w:sz w:val="24"/>
          <w:szCs w:val="24"/>
        </w:rPr>
        <w:t>:</w:t>
      </w:r>
    </w:p>
    <w:p w14:paraId="3D270F02"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Public </w:t>
      </w:r>
      <w:r w:rsidR="000423C8">
        <w:rPr>
          <w:rFonts w:asciiTheme="majorBidi" w:hAnsiTheme="majorBidi" w:cstheme="majorBidi"/>
          <w:sz w:val="24"/>
          <w:szCs w:val="24"/>
          <w:u w:val="single"/>
        </w:rPr>
        <w:t>C</w:t>
      </w:r>
      <w:r w:rsidRPr="005C149A">
        <w:rPr>
          <w:rFonts w:asciiTheme="majorBidi" w:hAnsiTheme="majorBidi" w:cstheme="majorBidi"/>
          <w:sz w:val="24"/>
          <w:szCs w:val="24"/>
          <w:u w:val="single"/>
        </w:rPr>
        <w:t>ampaigns:</w:t>
      </w:r>
    </w:p>
    <w:p w14:paraId="1E77A70E" w14:textId="77777777" w:rsidR="00F37FC8" w:rsidRPr="005C149A" w:rsidRDefault="00F37FC8" w:rsidP="00362CD0">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 xml:space="preserve">The "Just Act Normally" campaign to challenge stigmas of children with disabilities </w:t>
      </w:r>
      <w:r w:rsidRPr="005C149A">
        <w:rPr>
          <w:rFonts w:ascii="Times New Roman" w:hAnsi="Times New Roman" w:cs="Times New Roman"/>
          <w:sz w:val="24"/>
          <w:szCs w:val="24"/>
        </w:rPr>
        <w:t xml:space="preserve">- </w:t>
      </w:r>
      <w:r w:rsidR="00362CD0" w:rsidRPr="005C149A">
        <w:rPr>
          <w:rFonts w:ascii="Times New Roman" w:hAnsi="Times New Roman" w:cs="Times New Roman"/>
          <w:sz w:val="24"/>
          <w:szCs w:val="24"/>
        </w:rPr>
        <w:t>B</w:t>
      </w:r>
      <w:r w:rsidRPr="005C149A">
        <w:rPr>
          <w:rFonts w:ascii="Times New Roman" w:hAnsi="Times New Roman" w:cs="Times New Roman"/>
          <w:sz w:val="24"/>
          <w:szCs w:val="24"/>
        </w:rPr>
        <w:t xml:space="preserve">roadcasted on television and via digital media in 2017 and 2019. </w:t>
      </w:r>
    </w:p>
    <w:p w14:paraId="6F508A11" w14:textId="77777777" w:rsidR="00F37FC8" w:rsidRPr="005C149A" w:rsidRDefault="00F37FC8" w:rsidP="00362CD0">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The "Remove prejudices, do not restrict us" employment campaign</w:t>
      </w:r>
      <w:r w:rsidRPr="005C149A">
        <w:rPr>
          <w:rFonts w:ascii="Times New Roman" w:hAnsi="Times New Roman" w:cs="Times New Roman"/>
          <w:sz w:val="24"/>
          <w:szCs w:val="24"/>
        </w:rPr>
        <w:t xml:space="preserve"> - </w:t>
      </w:r>
      <w:r w:rsidR="00362CD0" w:rsidRPr="005C149A">
        <w:rPr>
          <w:rFonts w:ascii="Times New Roman" w:hAnsi="Times New Roman" w:cs="Times New Roman"/>
          <w:sz w:val="24"/>
          <w:szCs w:val="24"/>
        </w:rPr>
        <w:t>P</w:t>
      </w:r>
      <w:r w:rsidRPr="005C149A">
        <w:rPr>
          <w:rFonts w:ascii="Times New Roman" w:hAnsi="Times New Roman" w:cs="Times New Roman"/>
          <w:sz w:val="24"/>
          <w:szCs w:val="24"/>
        </w:rPr>
        <w:t xml:space="preserve">ublished on television and in digital media, in both Hebrew and Arabic. </w:t>
      </w:r>
    </w:p>
    <w:p w14:paraId="7FCDA10A" w14:textId="77777777" w:rsidR="00F37FC8" w:rsidRPr="005C149A" w:rsidRDefault="00F37FC8" w:rsidP="00362CD0">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The "The first to open a door for me" campaign on the role of the general public in opening doors to employment for PWD</w:t>
      </w:r>
      <w:r w:rsidRPr="005C149A">
        <w:rPr>
          <w:rFonts w:ascii="Times New Roman" w:hAnsi="Times New Roman" w:cs="Times New Roman"/>
          <w:sz w:val="24"/>
          <w:szCs w:val="24"/>
        </w:rPr>
        <w:t xml:space="preserve"> - </w:t>
      </w:r>
      <w:r w:rsidR="00362CD0" w:rsidRPr="005C149A">
        <w:rPr>
          <w:rFonts w:ascii="Times New Roman" w:hAnsi="Times New Roman" w:cs="Times New Roman"/>
          <w:sz w:val="24"/>
          <w:szCs w:val="24"/>
        </w:rPr>
        <w:t>P</w:t>
      </w:r>
      <w:r w:rsidRPr="005C149A">
        <w:rPr>
          <w:rFonts w:ascii="Times New Roman" w:hAnsi="Times New Roman" w:cs="Times New Roman"/>
          <w:sz w:val="24"/>
          <w:szCs w:val="24"/>
        </w:rPr>
        <w:t xml:space="preserve">ublished in 2019 at the cost of NIS 1.5 Million NIS (469,348 USD) on television and in digital media, on Arabic channels and in a special version for the ultra-Orthodox society. </w:t>
      </w:r>
    </w:p>
    <w:p w14:paraId="0EA7E802" w14:textId="77777777" w:rsidR="00F37FC8" w:rsidRPr="005C149A" w:rsidRDefault="00F37FC8" w:rsidP="00362CD0">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The</w:t>
      </w:r>
      <w:r w:rsidRPr="005C149A">
        <w:rPr>
          <w:rFonts w:ascii="Times New Roman" w:hAnsi="Times New Roman" w:cs="Times New Roman"/>
          <w:sz w:val="24"/>
          <w:szCs w:val="24"/>
        </w:rPr>
        <w:t xml:space="preserve"> "</w:t>
      </w:r>
      <w:r w:rsidRPr="005C149A">
        <w:rPr>
          <w:rFonts w:ascii="Times New Roman" w:hAnsi="Times New Roman" w:cs="Times New Roman"/>
          <w:b/>
          <w:bCs/>
          <w:sz w:val="24"/>
          <w:szCs w:val="24"/>
        </w:rPr>
        <w:t>Living together and spending time together</w:t>
      </w:r>
      <w:r w:rsidRPr="005C149A">
        <w:rPr>
          <w:rFonts w:ascii="Times New Roman" w:hAnsi="Times New Roman" w:cs="Times New Roman"/>
          <w:sz w:val="24"/>
          <w:szCs w:val="24"/>
        </w:rPr>
        <w:t xml:space="preserve">" video raising awareness to the right of PWD to participate in and enjoy activities and events equally - </w:t>
      </w:r>
      <w:r w:rsidR="00362CD0" w:rsidRPr="005C149A">
        <w:rPr>
          <w:rFonts w:ascii="Times New Roman" w:hAnsi="Times New Roman" w:cs="Times New Roman"/>
          <w:sz w:val="24"/>
          <w:szCs w:val="24"/>
        </w:rPr>
        <w:t>P</w:t>
      </w:r>
      <w:r w:rsidRPr="005C149A">
        <w:rPr>
          <w:rFonts w:ascii="Times New Roman" w:hAnsi="Times New Roman" w:cs="Times New Roman"/>
          <w:sz w:val="24"/>
          <w:szCs w:val="24"/>
        </w:rPr>
        <w:t xml:space="preserve">ublished in social media. </w:t>
      </w:r>
    </w:p>
    <w:p w14:paraId="5A7C5371" w14:textId="77777777" w:rsidR="00F37FC8" w:rsidRPr="005C149A" w:rsidRDefault="00F37FC8" w:rsidP="00362CD0">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An inclusive community campaign regarding PWD in the religious community</w:t>
      </w:r>
      <w:r w:rsidRPr="005C149A">
        <w:rPr>
          <w:rFonts w:ascii="Times New Roman" w:hAnsi="Times New Roman" w:cs="Times New Roman"/>
          <w:sz w:val="24"/>
          <w:szCs w:val="24"/>
        </w:rPr>
        <w:t xml:space="preserve"> - </w:t>
      </w:r>
      <w:r w:rsidR="00362CD0" w:rsidRPr="005C149A">
        <w:rPr>
          <w:rFonts w:ascii="Times New Roman" w:hAnsi="Times New Roman" w:cs="Times New Roman"/>
          <w:sz w:val="24"/>
          <w:szCs w:val="24"/>
        </w:rPr>
        <w:t>C</w:t>
      </w:r>
      <w:r w:rsidRPr="005C149A">
        <w:rPr>
          <w:rFonts w:ascii="Times New Roman" w:hAnsi="Times New Roman" w:cs="Times New Roman"/>
          <w:sz w:val="24"/>
          <w:szCs w:val="24"/>
        </w:rPr>
        <w:t xml:space="preserve">onducted by the Commission in collaboration with JDC and the Beit Hillel Rabbinical Organization. </w:t>
      </w:r>
    </w:p>
    <w:p w14:paraId="6E99F129"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Activities to </w:t>
      </w:r>
      <w:r w:rsidR="000423C8">
        <w:rPr>
          <w:rFonts w:asciiTheme="majorBidi" w:hAnsiTheme="majorBidi" w:cstheme="majorBidi"/>
          <w:sz w:val="24"/>
          <w:szCs w:val="24"/>
          <w:u w:val="single"/>
        </w:rPr>
        <w:t>M</w:t>
      </w:r>
      <w:r w:rsidRPr="005C149A">
        <w:rPr>
          <w:rFonts w:asciiTheme="majorBidi" w:hAnsiTheme="majorBidi" w:cstheme="majorBidi"/>
          <w:sz w:val="24"/>
          <w:szCs w:val="24"/>
          <w:u w:val="single"/>
        </w:rPr>
        <w:t xml:space="preserve">ark International Day for the Rights of PWD: </w:t>
      </w:r>
    </w:p>
    <w:p w14:paraId="22C5AD4E" w14:textId="77777777" w:rsidR="00F37FC8" w:rsidRPr="005C149A" w:rsidRDefault="00F37FC8" w:rsidP="00362CD0">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Annual conferences</w:t>
      </w:r>
      <w:r w:rsidRPr="005C149A">
        <w:rPr>
          <w:rFonts w:ascii="Times New Roman" w:hAnsi="Times New Roman" w:cs="Times New Roman"/>
          <w:sz w:val="24"/>
          <w:szCs w:val="24"/>
        </w:rPr>
        <w:t xml:space="preserve"> - </w:t>
      </w:r>
      <w:r w:rsidR="00362CD0" w:rsidRPr="005C149A">
        <w:rPr>
          <w:rFonts w:ascii="Times New Roman" w:hAnsi="Times New Roman" w:cs="Times New Roman"/>
          <w:sz w:val="24"/>
          <w:szCs w:val="24"/>
        </w:rPr>
        <w:t>A</w:t>
      </w:r>
      <w:r w:rsidRPr="005C149A">
        <w:rPr>
          <w:rFonts w:ascii="Times New Roman" w:hAnsi="Times New Roman" w:cs="Times New Roman"/>
          <w:sz w:val="24"/>
          <w:szCs w:val="24"/>
        </w:rPr>
        <w:t xml:space="preserve">ttended by more than 1,000 persons each year, these conferences focused on a different topic, such as: the implementation of the Convention, cultural activities in museums, the Covid-19 pandemic affects on PWD, etc. </w:t>
      </w:r>
    </w:p>
    <w:p w14:paraId="1496431C" w14:textId="77777777" w:rsidR="00F37FC8" w:rsidRPr="005C149A" w:rsidRDefault="00F37FC8" w:rsidP="00362CD0">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Unique </w:t>
      </w:r>
      <w:r w:rsidR="00362CD0" w:rsidRPr="005C149A">
        <w:rPr>
          <w:rFonts w:asciiTheme="majorBidi" w:hAnsiTheme="majorBidi" w:cstheme="majorBidi"/>
          <w:sz w:val="24"/>
          <w:szCs w:val="24"/>
          <w:u w:val="single"/>
        </w:rPr>
        <w:t>A</w:t>
      </w:r>
      <w:r w:rsidRPr="005C149A">
        <w:rPr>
          <w:rFonts w:asciiTheme="majorBidi" w:hAnsiTheme="majorBidi" w:cstheme="majorBidi"/>
          <w:sz w:val="24"/>
          <w:szCs w:val="24"/>
          <w:u w:val="single"/>
        </w:rPr>
        <w:t xml:space="preserve">wareness-raising </w:t>
      </w:r>
      <w:r w:rsidR="00362CD0" w:rsidRPr="005C149A">
        <w:rPr>
          <w:rFonts w:asciiTheme="majorBidi" w:hAnsiTheme="majorBidi" w:cstheme="majorBidi"/>
          <w:sz w:val="24"/>
          <w:szCs w:val="24"/>
          <w:u w:val="single"/>
        </w:rPr>
        <w:t>A</w:t>
      </w:r>
      <w:r w:rsidRPr="005C149A">
        <w:rPr>
          <w:rFonts w:asciiTheme="majorBidi" w:hAnsiTheme="majorBidi" w:cstheme="majorBidi"/>
          <w:sz w:val="24"/>
          <w:szCs w:val="24"/>
          <w:u w:val="single"/>
        </w:rPr>
        <w:t>ctivities:</w:t>
      </w:r>
    </w:p>
    <w:p w14:paraId="63993E5E" w14:textId="6D129D9A" w:rsidR="00F37FC8" w:rsidRPr="005C149A" w:rsidRDefault="00F37FC8" w:rsidP="00D94BEB">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b/>
          <w:bCs/>
          <w:sz w:val="24"/>
          <w:szCs w:val="24"/>
        </w:rPr>
        <w:t>Interactive events</w:t>
      </w:r>
      <w:r w:rsidRPr="005C149A">
        <w:rPr>
          <w:rFonts w:ascii="Times New Roman" w:hAnsi="Times New Roman" w:cs="Times New Roman"/>
          <w:sz w:val="24"/>
          <w:szCs w:val="24"/>
        </w:rPr>
        <w:t xml:space="preserve"> </w:t>
      </w:r>
      <w:r w:rsidRPr="005C149A">
        <w:rPr>
          <w:rFonts w:ascii="Times New Roman" w:hAnsi="Times New Roman" w:cs="Times New Roman"/>
          <w:b/>
          <w:bCs/>
          <w:sz w:val="24"/>
          <w:szCs w:val="24"/>
        </w:rPr>
        <w:t xml:space="preserve">for families to familiarize with PWD. </w:t>
      </w:r>
      <w:r w:rsidRPr="005C149A">
        <w:rPr>
          <w:rFonts w:ascii="Times New Roman" w:hAnsi="Times New Roman" w:cs="Times New Roman"/>
          <w:sz w:val="24"/>
          <w:szCs w:val="24"/>
        </w:rPr>
        <w:t>The events took place each day in various museum and venues throughout Israel. A total of about 10,000 persons took part in the events.</w:t>
      </w:r>
    </w:p>
    <w:p w14:paraId="08FA9B01" w14:textId="77777777" w:rsidR="00F37FC8" w:rsidRPr="005C149A" w:rsidRDefault="00F37FC8" w:rsidP="007A519F">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b/>
          <w:bCs/>
          <w:sz w:val="24"/>
          <w:szCs w:val="24"/>
        </w:rPr>
        <w:t>Cultural events in which PWD or groups of artists with disabilities shared their life stories</w:t>
      </w:r>
      <w:r w:rsidRPr="005C149A">
        <w:rPr>
          <w:rFonts w:ascii="Times New Roman" w:hAnsi="Times New Roman" w:cs="Times New Roman"/>
          <w:sz w:val="24"/>
          <w:szCs w:val="24"/>
        </w:rPr>
        <w:t>. In collaboration with the annual cultural event 'Bimot Pais', in 2018 and 2019, 28 shows were held in Hebrew and attended by approximately 20,000 persons, and ten (10) shows were held in Arabic and attended by approximately 5,000 persons.</w:t>
      </w:r>
    </w:p>
    <w:p w14:paraId="11193CB3" w14:textId="77777777" w:rsidR="00F37FC8" w:rsidRPr="005C149A" w:rsidRDefault="00F37FC8" w:rsidP="007A519F">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b/>
          <w:bCs/>
          <w:sz w:val="24"/>
          <w:szCs w:val="24"/>
        </w:rPr>
        <w:t>An information station at the Israel Business Conference 2018 to raise issues of employment accessibility</w:t>
      </w:r>
      <w:r w:rsidRPr="005C149A">
        <w:rPr>
          <w:rFonts w:ascii="Times New Roman" w:hAnsi="Times New Roman" w:cs="Times New Roman"/>
          <w:sz w:val="24"/>
          <w:szCs w:val="24"/>
        </w:rPr>
        <w:t>. On each of the two (2) days of the event, approximately 1,000 persons participated.</w:t>
      </w:r>
    </w:p>
    <w:p w14:paraId="103A4F82" w14:textId="77777777" w:rsidR="00F37FC8" w:rsidRPr="005C149A" w:rsidRDefault="00F37FC8" w:rsidP="007A519F">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sz w:val="24"/>
          <w:szCs w:val="24"/>
        </w:rPr>
        <w:t>"</w:t>
      </w:r>
      <w:r w:rsidRPr="005C149A">
        <w:rPr>
          <w:rFonts w:ascii="Times New Roman" w:hAnsi="Times New Roman" w:cs="Times New Roman"/>
          <w:b/>
          <w:bCs/>
          <w:sz w:val="24"/>
          <w:szCs w:val="24"/>
        </w:rPr>
        <w:t>Let's talk about it"</w:t>
      </w:r>
      <w:r w:rsidRPr="005C149A">
        <w:rPr>
          <w:rFonts w:ascii="Times New Roman" w:hAnsi="Times New Roman" w:cs="Times New Roman"/>
          <w:sz w:val="24"/>
          <w:szCs w:val="24"/>
        </w:rPr>
        <w:t xml:space="preserve"> </w:t>
      </w:r>
      <w:r w:rsidRPr="005C149A">
        <w:rPr>
          <w:rFonts w:ascii="Times New Roman" w:hAnsi="Times New Roman" w:cs="Times New Roman"/>
          <w:b/>
          <w:bCs/>
          <w:sz w:val="24"/>
          <w:szCs w:val="24"/>
        </w:rPr>
        <w:t xml:space="preserve">a large cultural event, which included personal stories of speakers with various disabilities (a physical disability, deaf -hearing impairment, mental disability and Tourette syndrome). </w:t>
      </w:r>
      <w:r w:rsidRPr="005C149A">
        <w:rPr>
          <w:rFonts w:ascii="Times New Roman" w:hAnsi="Times New Roman" w:cs="Times New Roman"/>
          <w:sz w:val="24"/>
          <w:szCs w:val="24"/>
        </w:rPr>
        <w:t>The event was held in February 2019, attended by approximately 400 persons.</w:t>
      </w:r>
    </w:p>
    <w:p w14:paraId="2808F5B6" w14:textId="3AFD0981" w:rsidR="00F37FC8" w:rsidRPr="005C149A" w:rsidRDefault="00F37FC8" w:rsidP="007A519F">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b/>
          <w:bCs/>
          <w:sz w:val="24"/>
          <w:szCs w:val="24"/>
        </w:rPr>
        <w:t>A unique children's puppet show "Perfect"</w:t>
      </w:r>
      <w:r w:rsidRPr="005C149A">
        <w:rPr>
          <w:rFonts w:ascii="Times New Roman" w:hAnsi="Times New Roman" w:cs="Times New Roman"/>
          <w:sz w:val="24"/>
          <w:szCs w:val="24"/>
        </w:rPr>
        <w:t xml:space="preserve"> aimed at challenging stigmas in early childhood age. The Commission produced the performance for children in ages 4-8. In 2019, showed</w:t>
      </w:r>
      <w:r w:rsidR="00D94BEB">
        <w:rPr>
          <w:rFonts w:ascii="Times New Roman" w:hAnsi="Times New Roman" w:cs="Times New Roman"/>
          <w:sz w:val="24"/>
          <w:szCs w:val="24"/>
        </w:rPr>
        <w:t xml:space="preserve"> </w:t>
      </w:r>
      <w:r w:rsidRPr="005C149A">
        <w:rPr>
          <w:rFonts w:ascii="Times New Roman" w:hAnsi="Times New Roman" w:cs="Times New Roman"/>
          <w:sz w:val="24"/>
          <w:szCs w:val="24"/>
        </w:rPr>
        <w:t>45 times across the country.</w:t>
      </w:r>
    </w:p>
    <w:p w14:paraId="7AC70587" w14:textId="77777777" w:rsidR="00F37FC8" w:rsidRPr="005C149A" w:rsidRDefault="00F37FC8" w:rsidP="007A519F">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b/>
          <w:bCs/>
          <w:sz w:val="24"/>
          <w:szCs w:val="24"/>
        </w:rPr>
        <w:t>"Living together, spending time together" collaborative photography competition for photographers with and without disabilities.</w:t>
      </w:r>
      <w:r w:rsidRPr="005C149A">
        <w:rPr>
          <w:rFonts w:ascii="Times New Roman" w:hAnsi="Times New Roman" w:cs="Times New Roman"/>
          <w:sz w:val="24"/>
          <w:szCs w:val="24"/>
        </w:rPr>
        <w:t xml:space="preserve"> Approximately 200 photographers submitted photos to the competition. </w:t>
      </w:r>
    </w:p>
    <w:p w14:paraId="402C1802" w14:textId="77777777" w:rsidR="00F37FC8" w:rsidRPr="005C149A" w:rsidRDefault="00F37FC8" w:rsidP="007A519F">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b/>
          <w:bCs/>
          <w:sz w:val="24"/>
          <w:szCs w:val="24"/>
        </w:rPr>
        <w:t>"Equality in the Living Room" event series, created a platform for PWD to share their life stories in virtual meetings with various audiences</w:t>
      </w:r>
      <w:r w:rsidRPr="005C149A">
        <w:rPr>
          <w:rFonts w:ascii="Times New Roman" w:hAnsi="Times New Roman" w:cs="Times New Roman"/>
          <w:sz w:val="24"/>
          <w:szCs w:val="24"/>
        </w:rPr>
        <w:t>. Over 100 meetings were held, attended by approximately 7,500 persons.</w:t>
      </w:r>
    </w:p>
    <w:p w14:paraId="76A1EA40" w14:textId="64DD656A" w:rsidR="00F37FC8" w:rsidRPr="005C149A" w:rsidRDefault="00F37FC8" w:rsidP="00D94BEB">
      <w:pPr>
        <w:pStyle w:val="ListParagraph"/>
        <w:numPr>
          <w:ilvl w:val="1"/>
          <w:numId w:val="1"/>
        </w:numPr>
        <w:spacing w:after="120" w:line="360" w:lineRule="auto"/>
        <w:ind w:left="851" w:hanging="425"/>
        <w:jc w:val="both"/>
        <w:rPr>
          <w:rFonts w:ascii="Times New Roman" w:hAnsi="Times New Roman" w:cs="Times New Roman"/>
          <w:sz w:val="24"/>
          <w:szCs w:val="24"/>
        </w:rPr>
      </w:pPr>
      <w:r w:rsidRPr="005C149A">
        <w:rPr>
          <w:rFonts w:ascii="Times New Roman" w:hAnsi="Times New Roman" w:cs="Times New Roman"/>
          <w:b/>
          <w:bCs/>
          <w:sz w:val="24"/>
          <w:szCs w:val="24"/>
        </w:rPr>
        <w:t xml:space="preserve">Day seminars for MOJ employees on the issue of the rights of PWD. </w:t>
      </w:r>
      <w:r w:rsidRPr="005C149A">
        <w:rPr>
          <w:rFonts w:ascii="Times New Roman" w:hAnsi="Times New Roman" w:cs="Times New Roman"/>
          <w:sz w:val="24"/>
          <w:szCs w:val="24"/>
        </w:rPr>
        <w:t xml:space="preserve">Approximately 600 participants attended the seminars. </w:t>
      </w:r>
    </w:p>
    <w:p w14:paraId="3CA49E2C"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Activities regarding </w:t>
      </w:r>
      <w:r w:rsidR="000423C8">
        <w:rPr>
          <w:rFonts w:asciiTheme="majorBidi" w:hAnsiTheme="majorBidi" w:cstheme="majorBidi"/>
          <w:sz w:val="24"/>
          <w:szCs w:val="24"/>
          <w:u w:val="single"/>
        </w:rPr>
        <w:t>C</w:t>
      </w:r>
      <w:r w:rsidRPr="005C149A">
        <w:rPr>
          <w:rFonts w:asciiTheme="majorBidi" w:hAnsiTheme="majorBidi" w:cstheme="majorBidi"/>
          <w:sz w:val="24"/>
          <w:szCs w:val="24"/>
          <w:u w:val="single"/>
        </w:rPr>
        <w:t xml:space="preserve">hildren with </w:t>
      </w:r>
      <w:r w:rsidR="000423C8">
        <w:rPr>
          <w:rFonts w:asciiTheme="majorBidi" w:hAnsiTheme="majorBidi" w:cstheme="majorBidi"/>
          <w:sz w:val="24"/>
          <w:szCs w:val="24"/>
          <w:u w:val="single"/>
        </w:rPr>
        <w:t>D</w:t>
      </w:r>
      <w:r w:rsidRPr="005C149A">
        <w:rPr>
          <w:rFonts w:asciiTheme="majorBidi" w:hAnsiTheme="majorBidi" w:cstheme="majorBidi"/>
          <w:sz w:val="24"/>
          <w:szCs w:val="24"/>
          <w:u w:val="single"/>
        </w:rPr>
        <w:t>isabilities</w:t>
      </w:r>
      <w:r w:rsidR="007A519F" w:rsidRPr="005C149A">
        <w:rPr>
          <w:rFonts w:asciiTheme="majorBidi" w:hAnsiTheme="majorBidi" w:cstheme="majorBidi"/>
          <w:sz w:val="24"/>
          <w:szCs w:val="24"/>
          <w:u w:val="single"/>
        </w:rPr>
        <w:t>:</w:t>
      </w:r>
    </w:p>
    <w:p w14:paraId="1254E0D1" w14:textId="77777777" w:rsidR="00F37FC8" w:rsidRPr="005C149A" w:rsidRDefault="00F37FC8" w:rsidP="007A519F">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The children's "Just Act Normally" campaign</w:t>
      </w:r>
      <w:r w:rsidRPr="005C149A">
        <w:rPr>
          <w:rFonts w:ascii="Times New Roman" w:hAnsi="Times New Roman" w:cs="Times New Roman"/>
          <w:sz w:val="24"/>
          <w:szCs w:val="24"/>
        </w:rPr>
        <w:t xml:space="preserve"> (above) and related content on the children's television channel.</w:t>
      </w:r>
    </w:p>
    <w:p w14:paraId="5D417BCE" w14:textId="1C887644" w:rsidR="00F37FC8" w:rsidRPr="005C149A" w:rsidRDefault="00F37FC8" w:rsidP="00D94BEB">
      <w:pPr>
        <w:pStyle w:val="ListParagraph"/>
        <w:numPr>
          <w:ilvl w:val="1"/>
          <w:numId w:val="1"/>
        </w:numPr>
        <w:spacing w:after="120" w:line="360" w:lineRule="auto"/>
        <w:ind w:left="850" w:hanging="425"/>
        <w:jc w:val="both"/>
        <w:rPr>
          <w:rFonts w:ascii="Times New Roman" w:hAnsi="Times New Roman" w:cs="Times New Roman"/>
          <w:sz w:val="24"/>
          <w:szCs w:val="24"/>
        </w:rPr>
      </w:pPr>
      <w:r w:rsidRPr="005C149A">
        <w:rPr>
          <w:rFonts w:ascii="Times New Roman" w:hAnsi="Times New Roman" w:cs="Times New Roman"/>
          <w:b/>
          <w:bCs/>
          <w:sz w:val="24"/>
          <w:szCs w:val="24"/>
        </w:rPr>
        <w:t>Informational events and children's show for the families and children of the MOJ employees</w:t>
      </w:r>
      <w:r w:rsidRPr="005C149A">
        <w:rPr>
          <w:rFonts w:ascii="Times New Roman" w:hAnsi="Times New Roman" w:cs="Times New Roman"/>
          <w:sz w:val="24"/>
          <w:szCs w:val="24"/>
        </w:rPr>
        <w:t>. Approximately 400 families attended these four (4) events.</w:t>
      </w:r>
    </w:p>
    <w:p w14:paraId="34376B6C" w14:textId="3A2DD19D" w:rsidR="00F37FC8" w:rsidRPr="005C149A" w:rsidRDefault="00F37FC8" w:rsidP="00D94BEB">
      <w:pPr>
        <w:pStyle w:val="ListParagraph"/>
        <w:numPr>
          <w:ilvl w:val="1"/>
          <w:numId w:val="1"/>
        </w:numPr>
        <w:spacing w:after="120" w:line="360" w:lineRule="auto"/>
        <w:ind w:left="850" w:hanging="425"/>
        <w:jc w:val="both"/>
        <w:rPr>
          <w:rStyle w:val="FootnoteReference"/>
          <w:rFonts w:ascii="Times New Roman" w:hAnsi="Times New Roman" w:cs="Times New Roman"/>
          <w:sz w:val="24"/>
          <w:szCs w:val="24"/>
          <w:vertAlign w:val="baseline"/>
        </w:rPr>
      </w:pPr>
      <w:r w:rsidRPr="005C149A">
        <w:rPr>
          <w:rFonts w:ascii="Times New Roman" w:hAnsi="Times New Roman" w:cs="Times New Roman"/>
          <w:b/>
          <w:bCs/>
          <w:sz w:val="24"/>
          <w:szCs w:val="24"/>
        </w:rPr>
        <w:t xml:space="preserve">Activities for pupils in various schools across the country regarding the Convention, accessibility and fulfilment of rights in </w:t>
      </w:r>
      <w:r w:rsidRPr="005C149A">
        <w:rPr>
          <w:rFonts w:ascii="Times New Roman" w:hAnsi="Times New Roman" w:cs="Times New Roman"/>
          <w:sz w:val="24"/>
          <w:szCs w:val="24"/>
        </w:rPr>
        <w:t>collaboration with the MOE.</w:t>
      </w:r>
    </w:p>
    <w:bookmarkEnd w:id="14"/>
    <w:p w14:paraId="4D20E30D" w14:textId="77777777" w:rsidR="00F37FC8" w:rsidRPr="005C149A" w:rsidRDefault="00F37FC8" w:rsidP="00327130">
      <w:pPr>
        <w:pStyle w:val="Heading2"/>
        <w:spacing w:before="0" w:after="0"/>
      </w:pPr>
      <w:r w:rsidRPr="005C149A">
        <w:t>Accessibility (Article 9)</w:t>
      </w:r>
    </w:p>
    <w:p w14:paraId="01B35B3E"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15" w:name="_Toc100224043"/>
      <w:r w:rsidRPr="005C149A">
        <w:rPr>
          <w:rFonts w:asciiTheme="majorBidi" w:hAnsiTheme="majorBidi"/>
          <w:b/>
          <w:bCs/>
          <w:color w:val="auto"/>
          <w:sz w:val="24"/>
          <w:szCs w:val="24"/>
          <w:u w:val="single"/>
        </w:rPr>
        <w:t>Question 7</w:t>
      </w:r>
      <w:bookmarkEnd w:id="15"/>
    </w:p>
    <w:p w14:paraId="58C0141E" w14:textId="77777777" w:rsidR="00AE36C0" w:rsidRPr="005C149A" w:rsidRDefault="00AE36C0" w:rsidP="00AE36C0">
      <w:pPr>
        <w:pStyle w:val="Heading3"/>
      </w:pPr>
      <w:r w:rsidRPr="005C149A">
        <w:t>B. Accessibility Regulations</w:t>
      </w:r>
    </w:p>
    <w:p w14:paraId="5BD09E63"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On January 1, 2022, several Amendments to the </w:t>
      </w:r>
      <w:r w:rsidRPr="005C149A">
        <w:rPr>
          <w:rFonts w:asciiTheme="majorBidi" w:hAnsiTheme="majorBidi" w:cstheme="majorBidi"/>
          <w:i/>
          <w:iCs/>
          <w:sz w:val="24"/>
          <w:szCs w:val="24"/>
        </w:rPr>
        <w:t>Equal Rights Law</w:t>
      </w:r>
      <w:r w:rsidRPr="005C149A">
        <w:rPr>
          <w:rFonts w:asciiTheme="majorBidi" w:hAnsiTheme="majorBidi" w:cstheme="majorBidi"/>
          <w:sz w:val="24"/>
          <w:szCs w:val="24"/>
        </w:rPr>
        <w:t xml:space="preserve"> entered into force, regarding extending the deadline to implement accessibility measures:</w:t>
      </w:r>
    </w:p>
    <w:p w14:paraId="6D59247D" w14:textId="77777777" w:rsidR="00F37FC8" w:rsidRPr="005C149A" w:rsidRDefault="00F37FC8" w:rsidP="00362CD0">
      <w:pPr>
        <w:pStyle w:val="ListParagraph"/>
        <w:numPr>
          <w:ilvl w:val="0"/>
          <w:numId w:val="25"/>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 xml:space="preserve">Government Ministries - </w:t>
      </w:r>
      <w:r w:rsidR="00362CD0" w:rsidRPr="005C149A">
        <w:rPr>
          <w:rFonts w:asciiTheme="majorBidi" w:hAnsiTheme="majorBidi" w:cstheme="majorBidi"/>
          <w:sz w:val="24"/>
          <w:szCs w:val="24"/>
        </w:rPr>
        <w:t>T</w:t>
      </w:r>
      <w:r w:rsidRPr="005C149A">
        <w:rPr>
          <w:rFonts w:asciiTheme="majorBidi" w:hAnsiTheme="majorBidi" w:cstheme="majorBidi"/>
          <w:sz w:val="24"/>
          <w:szCs w:val="24"/>
        </w:rPr>
        <w:t>he deadline for making all public buildings accessible was set for the end of 2022. Currently, 75% of buildings have been made accessible.</w:t>
      </w:r>
    </w:p>
    <w:p w14:paraId="0FD9B82A" w14:textId="77777777" w:rsidR="00F37FC8" w:rsidRPr="005C149A" w:rsidRDefault="00F37FC8" w:rsidP="00362CD0">
      <w:pPr>
        <w:pStyle w:val="ListParagraph"/>
        <w:numPr>
          <w:ilvl w:val="0"/>
          <w:numId w:val="25"/>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 xml:space="preserve">Health Sector - </w:t>
      </w:r>
      <w:r w:rsidR="00362CD0" w:rsidRPr="005C149A">
        <w:rPr>
          <w:rFonts w:asciiTheme="majorBidi" w:hAnsiTheme="majorBidi" w:cstheme="majorBidi"/>
          <w:sz w:val="24"/>
          <w:szCs w:val="24"/>
        </w:rPr>
        <w:t>T</w:t>
      </w:r>
      <w:r w:rsidRPr="005C149A">
        <w:rPr>
          <w:rFonts w:asciiTheme="majorBidi" w:hAnsiTheme="majorBidi" w:cstheme="majorBidi"/>
          <w:sz w:val="24"/>
          <w:szCs w:val="24"/>
        </w:rPr>
        <w:t>he deadline for making all public buildings accessible was set for the end of 2024 with a gradual distribution and a requirement to submit a progress report yearly. The Amendment included measures to make the services offered more accessible (such as sign language translation), and requires gradual implementation of them for the proceeding two (2) years.</w:t>
      </w:r>
    </w:p>
    <w:p w14:paraId="2E7AD456" w14:textId="77777777" w:rsidR="00F37FC8" w:rsidRPr="005C149A" w:rsidRDefault="00F37FC8" w:rsidP="00362CD0">
      <w:pPr>
        <w:pStyle w:val="ListParagraph"/>
        <w:numPr>
          <w:ilvl w:val="0"/>
          <w:numId w:val="25"/>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 xml:space="preserve">Local Municipalities - </w:t>
      </w:r>
      <w:r w:rsidR="00362CD0" w:rsidRPr="005C149A">
        <w:rPr>
          <w:rFonts w:asciiTheme="majorBidi" w:hAnsiTheme="majorBidi" w:cstheme="majorBidi"/>
          <w:sz w:val="24"/>
          <w:szCs w:val="24"/>
        </w:rPr>
        <w:t>E</w:t>
      </w:r>
      <w:r w:rsidRPr="005C149A">
        <w:rPr>
          <w:rFonts w:asciiTheme="majorBidi" w:hAnsiTheme="majorBidi" w:cstheme="majorBidi"/>
          <w:sz w:val="24"/>
          <w:szCs w:val="24"/>
        </w:rPr>
        <w:t>ach year every municipality must make 25% of the non-accessible buildings accessible, with a deadline to complete the implementation of all accessibility measures by the end of March 2026.</w:t>
      </w:r>
    </w:p>
    <w:p w14:paraId="3930C01C" w14:textId="77777777" w:rsidR="00F37FC8" w:rsidRPr="005C149A" w:rsidRDefault="00F37FC8" w:rsidP="00B82196">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Future Regulations</w:t>
      </w:r>
    </w:p>
    <w:p w14:paraId="1E46B5FC" w14:textId="0AFDA645" w:rsidR="00F37FC8" w:rsidRPr="005C149A" w:rsidRDefault="00F37FC8" w:rsidP="0042315E">
      <w:pPr>
        <w:pStyle w:val="ListParagraph"/>
        <w:numPr>
          <w:ilvl w:val="0"/>
          <w:numId w:val="22"/>
        </w:numPr>
        <w:spacing w:line="360" w:lineRule="auto"/>
        <w:ind w:left="426" w:hanging="426"/>
        <w:jc w:val="both"/>
        <w:rPr>
          <w:rFonts w:asciiTheme="majorBidi" w:hAnsiTheme="majorBidi" w:cstheme="majorBidi"/>
          <w:b/>
          <w:bCs/>
          <w:sz w:val="24"/>
          <w:szCs w:val="24"/>
          <w:u w:val="single"/>
        </w:rPr>
      </w:pPr>
      <w:r w:rsidRPr="005C149A">
        <w:rPr>
          <w:rFonts w:asciiTheme="majorBidi" w:hAnsiTheme="majorBidi" w:cstheme="majorBidi"/>
          <w:sz w:val="24"/>
          <w:szCs w:val="24"/>
        </w:rPr>
        <w:t xml:space="preserve">Other </w:t>
      </w:r>
      <w:r w:rsidRPr="005C149A">
        <w:rPr>
          <w:rFonts w:asciiTheme="majorBidi" w:hAnsiTheme="majorBidi" w:cstheme="majorBidi"/>
          <w:sz w:val="24"/>
          <w:szCs w:val="24"/>
          <w:lang w:val="en-AU"/>
        </w:rPr>
        <w:t>Regulations</w:t>
      </w:r>
      <w:r w:rsidRPr="005C149A">
        <w:rPr>
          <w:rFonts w:asciiTheme="majorBidi" w:hAnsiTheme="majorBidi" w:cstheme="majorBidi"/>
          <w:sz w:val="24"/>
          <w:szCs w:val="24"/>
        </w:rPr>
        <w:t xml:space="preserve"> on the following issues have yet to be finalized, and are in the process of being promulgated as the </w:t>
      </w:r>
      <w:r w:rsidR="0042315E">
        <w:rPr>
          <w:rFonts w:asciiTheme="majorBidi" w:hAnsiTheme="majorBidi" w:cstheme="majorBidi"/>
          <w:sz w:val="24"/>
          <w:szCs w:val="24"/>
        </w:rPr>
        <w:t>State</w:t>
      </w:r>
      <w:r w:rsidR="0042315E" w:rsidRPr="005C149A">
        <w:rPr>
          <w:rFonts w:asciiTheme="majorBidi" w:hAnsiTheme="majorBidi" w:cstheme="majorBidi"/>
          <w:sz w:val="24"/>
          <w:szCs w:val="24"/>
        </w:rPr>
        <w:t xml:space="preserve"> </w:t>
      </w:r>
      <w:r w:rsidRPr="005C149A">
        <w:rPr>
          <w:rFonts w:asciiTheme="majorBidi" w:hAnsiTheme="majorBidi" w:cstheme="majorBidi"/>
          <w:sz w:val="24"/>
          <w:szCs w:val="24"/>
        </w:rPr>
        <w:t xml:space="preserve">submitted to the High Court of Justice (HCJ) in a petition on this issue (H.C.J. 5833/08 </w:t>
      </w:r>
      <w:r w:rsidRPr="005C149A">
        <w:rPr>
          <w:rFonts w:asciiTheme="majorBidi" w:hAnsiTheme="majorBidi" w:cstheme="majorBidi"/>
          <w:i/>
          <w:iCs/>
          <w:sz w:val="24"/>
          <w:szCs w:val="24"/>
        </w:rPr>
        <w:t xml:space="preserve">Access Israel v. The Minister of Transportation </w:t>
      </w:r>
      <w:r w:rsidRPr="005C149A">
        <w:rPr>
          <w:rFonts w:asciiTheme="majorBidi" w:hAnsiTheme="majorBidi" w:cstheme="majorBidi"/>
          <w:i/>
          <w:iCs/>
          <w:sz w:val="24"/>
          <w:szCs w:val="24"/>
          <w:lang w:eastAsia="he-IL"/>
        </w:rPr>
        <w:t xml:space="preserve">et. al. </w:t>
      </w:r>
      <w:r w:rsidRPr="005C149A">
        <w:rPr>
          <w:rFonts w:asciiTheme="majorBidi" w:hAnsiTheme="majorBidi" w:cstheme="majorBidi"/>
          <w:sz w:val="24"/>
          <w:szCs w:val="24"/>
        </w:rPr>
        <w:t>(pending)):</w:t>
      </w:r>
    </w:p>
    <w:p w14:paraId="19C046C9" w14:textId="05DD6AA5" w:rsidR="00F37FC8" w:rsidRPr="005C149A" w:rsidRDefault="0042315E" w:rsidP="00B82196">
      <w:pPr>
        <w:pStyle w:val="ListParagraph"/>
        <w:numPr>
          <w:ilvl w:val="0"/>
          <w:numId w:val="26"/>
        </w:numPr>
        <w:spacing w:line="360" w:lineRule="auto"/>
        <w:ind w:left="850" w:hanging="425"/>
        <w:jc w:val="both"/>
        <w:rPr>
          <w:rFonts w:asciiTheme="majorBidi" w:hAnsiTheme="majorBidi" w:cstheme="majorBidi"/>
          <w:sz w:val="24"/>
          <w:szCs w:val="24"/>
        </w:rPr>
      </w:pPr>
      <w:r>
        <w:rPr>
          <w:rFonts w:asciiTheme="majorBidi" w:hAnsiTheme="majorBidi" w:cstheme="majorBidi"/>
          <w:sz w:val="24"/>
          <w:szCs w:val="24"/>
        </w:rPr>
        <w:t xml:space="preserve">The </w:t>
      </w:r>
      <w:r w:rsidR="00F37FC8" w:rsidRPr="005C149A">
        <w:rPr>
          <w:rFonts w:asciiTheme="majorBidi" w:hAnsiTheme="majorBidi" w:cstheme="majorBidi"/>
          <w:sz w:val="24"/>
          <w:szCs w:val="24"/>
        </w:rPr>
        <w:t>Ministry of Interior (MOI):</w:t>
      </w:r>
    </w:p>
    <w:p w14:paraId="00685661" w14:textId="77777777" w:rsidR="00F37FC8" w:rsidRPr="005C149A" w:rsidRDefault="00F37FC8" w:rsidP="00362CD0">
      <w:pPr>
        <w:pStyle w:val="ListParagraph"/>
        <w:numPr>
          <w:ilvl w:val="2"/>
          <w:numId w:val="8"/>
        </w:numPr>
        <w:spacing w:after="120" w:line="360" w:lineRule="auto"/>
        <w:ind w:left="1276" w:hanging="283"/>
        <w:jc w:val="both"/>
        <w:rPr>
          <w:rFonts w:asciiTheme="majorBidi" w:hAnsiTheme="majorBidi" w:cstheme="majorBidi"/>
          <w:sz w:val="24"/>
          <w:szCs w:val="24"/>
        </w:rPr>
      </w:pPr>
      <w:r w:rsidRPr="005C149A">
        <w:rPr>
          <w:rFonts w:asciiTheme="majorBidi" w:hAnsiTheme="majorBidi" w:cstheme="majorBidi"/>
          <w:sz w:val="24"/>
          <w:szCs w:val="24"/>
        </w:rPr>
        <w:t xml:space="preserve">Accessibility of public space and roads (sidewalks, crossings, etc.) - </w:t>
      </w:r>
      <w:r w:rsidR="00362CD0" w:rsidRPr="005C149A">
        <w:rPr>
          <w:rFonts w:asciiTheme="majorBidi" w:hAnsiTheme="majorBidi" w:cstheme="majorBidi"/>
          <w:sz w:val="24"/>
          <w:szCs w:val="24"/>
        </w:rPr>
        <w:t>I</w:t>
      </w:r>
      <w:r w:rsidRPr="005C149A">
        <w:rPr>
          <w:rFonts w:asciiTheme="majorBidi" w:hAnsiTheme="majorBidi" w:cstheme="majorBidi"/>
          <w:sz w:val="24"/>
          <w:szCs w:val="24"/>
        </w:rPr>
        <w:t>t was decided to septate to two (2) sets of accessibility regulations on new roads and existing roads;</w:t>
      </w:r>
    </w:p>
    <w:p w14:paraId="3DC6740C" w14:textId="5D8DC1EA" w:rsidR="00F37FC8" w:rsidRPr="005C149A" w:rsidRDefault="0042315E" w:rsidP="00B82196">
      <w:pPr>
        <w:pStyle w:val="ListParagraph"/>
        <w:numPr>
          <w:ilvl w:val="0"/>
          <w:numId w:val="26"/>
        </w:numPr>
        <w:spacing w:line="360" w:lineRule="auto"/>
        <w:ind w:left="850" w:hanging="425"/>
        <w:jc w:val="both"/>
        <w:rPr>
          <w:rFonts w:asciiTheme="majorBidi" w:hAnsiTheme="majorBidi" w:cstheme="majorBidi"/>
          <w:sz w:val="24"/>
          <w:szCs w:val="24"/>
        </w:rPr>
      </w:pPr>
      <w:r>
        <w:rPr>
          <w:rFonts w:asciiTheme="majorBidi" w:hAnsiTheme="majorBidi" w:cstheme="majorBidi"/>
          <w:sz w:val="24"/>
          <w:szCs w:val="24"/>
        </w:rPr>
        <w:t xml:space="preserve">The </w:t>
      </w:r>
      <w:r w:rsidR="00F37FC8" w:rsidRPr="005C149A">
        <w:rPr>
          <w:rFonts w:asciiTheme="majorBidi" w:hAnsiTheme="majorBidi" w:cstheme="majorBidi"/>
          <w:sz w:val="24"/>
          <w:szCs w:val="24"/>
        </w:rPr>
        <w:t xml:space="preserve">MOH: </w:t>
      </w:r>
    </w:p>
    <w:p w14:paraId="015EBBAB" w14:textId="77777777" w:rsidR="00F37FC8" w:rsidRPr="005C149A" w:rsidRDefault="00F37FC8" w:rsidP="00C000F6">
      <w:pPr>
        <w:pStyle w:val="ListParagraph"/>
        <w:numPr>
          <w:ilvl w:val="0"/>
          <w:numId w:val="27"/>
        </w:numPr>
        <w:spacing w:after="120" w:line="360" w:lineRule="auto"/>
        <w:ind w:left="1276"/>
        <w:jc w:val="both"/>
        <w:rPr>
          <w:rFonts w:asciiTheme="majorBidi" w:hAnsiTheme="majorBidi" w:cstheme="majorBidi"/>
          <w:sz w:val="24"/>
          <w:szCs w:val="24"/>
        </w:rPr>
      </w:pPr>
      <w:r w:rsidRPr="005C149A">
        <w:rPr>
          <w:rFonts w:asciiTheme="majorBidi" w:hAnsiTheme="majorBidi" w:cstheme="majorBidi"/>
          <w:sz w:val="24"/>
          <w:szCs w:val="24"/>
        </w:rPr>
        <w:t>Accessibility of health services in hospitals and HMOs (as opposed to physical accessibility of pl</w:t>
      </w:r>
      <w:r w:rsidR="0098008B" w:rsidRPr="005C149A">
        <w:rPr>
          <w:rFonts w:asciiTheme="majorBidi" w:hAnsiTheme="majorBidi" w:cstheme="majorBidi"/>
          <w:sz w:val="24"/>
          <w:szCs w:val="24"/>
        </w:rPr>
        <w:t>aces providing health services)</w:t>
      </w:r>
      <w:r w:rsidRPr="005C149A">
        <w:rPr>
          <w:rFonts w:asciiTheme="majorBidi" w:hAnsiTheme="majorBidi" w:cstheme="majorBidi"/>
          <w:sz w:val="24"/>
          <w:szCs w:val="24"/>
        </w:rPr>
        <w:t>;</w:t>
      </w:r>
    </w:p>
    <w:p w14:paraId="2A523FAD" w14:textId="77777777" w:rsidR="00F37FC8" w:rsidRPr="005C149A" w:rsidRDefault="00F37FC8" w:rsidP="00362CD0">
      <w:pPr>
        <w:pStyle w:val="ListParagraph"/>
        <w:numPr>
          <w:ilvl w:val="0"/>
          <w:numId w:val="27"/>
        </w:numPr>
        <w:spacing w:after="120" w:line="360" w:lineRule="auto"/>
        <w:ind w:left="1276"/>
        <w:jc w:val="both"/>
        <w:rPr>
          <w:rFonts w:asciiTheme="majorBidi" w:hAnsiTheme="majorBidi" w:cstheme="majorBidi"/>
          <w:sz w:val="24"/>
          <w:szCs w:val="24"/>
        </w:rPr>
      </w:pPr>
      <w:r w:rsidRPr="005C149A">
        <w:rPr>
          <w:rFonts w:asciiTheme="majorBidi" w:hAnsiTheme="majorBidi" w:cstheme="majorBidi"/>
          <w:sz w:val="24"/>
          <w:szCs w:val="24"/>
        </w:rPr>
        <w:t xml:space="preserve">Physical accessibility and health care provided in clinics by independent bodies - </w:t>
      </w:r>
      <w:r w:rsidR="00362CD0" w:rsidRPr="005C149A">
        <w:rPr>
          <w:rFonts w:asciiTheme="majorBidi" w:hAnsiTheme="majorBidi" w:cstheme="majorBidi"/>
          <w:sz w:val="24"/>
          <w:szCs w:val="24"/>
        </w:rPr>
        <w:t>A</w:t>
      </w:r>
      <w:r w:rsidRPr="005C149A">
        <w:rPr>
          <w:rFonts w:asciiTheme="majorBidi" w:hAnsiTheme="majorBidi" w:cstheme="majorBidi"/>
          <w:sz w:val="24"/>
          <w:szCs w:val="24"/>
        </w:rPr>
        <w:t>re in final stages of drafting.</w:t>
      </w:r>
    </w:p>
    <w:p w14:paraId="30619E4D" w14:textId="3FE05851" w:rsidR="00F37FC8" w:rsidRPr="005C149A" w:rsidRDefault="0042315E" w:rsidP="0042315E">
      <w:pPr>
        <w:pStyle w:val="ListParagraph"/>
        <w:numPr>
          <w:ilvl w:val="0"/>
          <w:numId w:val="26"/>
        </w:numPr>
        <w:spacing w:after="120" w:line="360" w:lineRule="auto"/>
        <w:ind w:left="850" w:hanging="425"/>
        <w:jc w:val="both"/>
        <w:rPr>
          <w:rFonts w:asciiTheme="majorBidi" w:hAnsiTheme="majorBidi" w:cstheme="majorBidi"/>
          <w:sz w:val="24"/>
          <w:szCs w:val="24"/>
        </w:rPr>
      </w:pPr>
      <w:r>
        <w:rPr>
          <w:rFonts w:asciiTheme="majorBidi" w:hAnsiTheme="majorBidi" w:cstheme="majorBidi"/>
          <w:sz w:val="24"/>
          <w:szCs w:val="24"/>
        </w:rPr>
        <w:t xml:space="preserve">The </w:t>
      </w:r>
      <w:r w:rsidR="00F37FC8" w:rsidRPr="005C149A">
        <w:rPr>
          <w:rFonts w:asciiTheme="majorBidi" w:hAnsiTheme="majorBidi" w:cstheme="majorBidi"/>
          <w:sz w:val="24"/>
          <w:szCs w:val="24"/>
        </w:rPr>
        <w:t>MOD:</w:t>
      </w:r>
      <w:r>
        <w:rPr>
          <w:rFonts w:asciiTheme="majorBidi" w:hAnsiTheme="majorBidi" w:cstheme="majorBidi"/>
          <w:sz w:val="24"/>
          <w:szCs w:val="24"/>
        </w:rPr>
        <w:t xml:space="preserve"> </w:t>
      </w:r>
      <w:r w:rsidR="00965A51" w:rsidRPr="005C149A">
        <w:rPr>
          <w:rFonts w:asciiTheme="majorBidi" w:hAnsiTheme="majorBidi" w:cstheme="majorBidi"/>
          <w:sz w:val="24"/>
          <w:szCs w:val="24"/>
        </w:rPr>
        <w:br/>
      </w:r>
      <w:r w:rsidR="00F37FC8" w:rsidRPr="005C149A">
        <w:rPr>
          <w:rFonts w:asciiTheme="majorBidi" w:hAnsiTheme="majorBidi" w:cstheme="majorBidi"/>
          <w:sz w:val="24"/>
          <w:szCs w:val="24"/>
        </w:rPr>
        <w:t>The first set of regulations was promulgated in 2020, additional regulations are pending:</w:t>
      </w:r>
    </w:p>
    <w:p w14:paraId="2C02B5C5" w14:textId="77777777" w:rsidR="00F37FC8" w:rsidRPr="005C149A" w:rsidRDefault="00F37FC8" w:rsidP="00D97F93">
      <w:pPr>
        <w:pStyle w:val="ListParagraph"/>
        <w:numPr>
          <w:ilvl w:val="0"/>
          <w:numId w:val="28"/>
        </w:numPr>
        <w:spacing w:line="360" w:lineRule="auto"/>
        <w:ind w:left="1275" w:hanging="181"/>
        <w:jc w:val="both"/>
        <w:rPr>
          <w:rFonts w:asciiTheme="majorBidi" w:hAnsiTheme="majorBidi" w:cstheme="majorBidi"/>
          <w:sz w:val="24"/>
          <w:szCs w:val="24"/>
        </w:rPr>
      </w:pPr>
      <w:r w:rsidRPr="005C149A">
        <w:rPr>
          <w:rFonts w:asciiTheme="majorBidi" w:hAnsiTheme="majorBidi" w:cstheme="majorBidi"/>
          <w:sz w:val="24"/>
          <w:szCs w:val="24"/>
        </w:rPr>
        <w:t>The authorities' treatment and evacuation of PWD in an emergency;</w:t>
      </w:r>
    </w:p>
    <w:p w14:paraId="7F0414D3" w14:textId="77777777" w:rsidR="00F37FC8" w:rsidRPr="005C149A" w:rsidRDefault="00F37FC8" w:rsidP="00D97F93">
      <w:pPr>
        <w:pStyle w:val="ListParagraph"/>
        <w:numPr>
          <w:ilvl w:val="0"/>
          <w:numId w:val="28"/>
        </w:numPr>
        <w:spacing w:line="360" w:lineRule="auto"/>
        <w:ind w:left="1275" w:hanging="181"/>
        <w:jc w:val="both"/>
        <w:rPr>
          <w:rFonts w:asciiTheme="majorBidi" w:hAnsiTheme="majorBidi" w:cstheme="majorBidi"/>
          <w:sz w:val="24"/>
          <w:szCs w:val="24"/>
        </w:rPr>
      </w:pPr>
      <w:r w:rsidRPr="005C149A">
        <w:rPr>
          <w:rFonts w:asciiTheme="majorBidi" w:hAnsiTheme="majorBidi" w:cstheme="majorBidi"/>
          <w:sz w:val="24"/>
          <w:szCs w:val="24"/>
        </w:rPr>
        <w:t>The provision of essential services;</w:t>
      </w:r>
    </w:p>
    <w:p w14:paraId="5A9FEB6F" w14:textId="77777777" w:rsidR="00F37FC8" w:rsidRPr="005C149A" w:rsidRDefault="00F37FC8" w:rsidP="00D97F93">
      <w:pPr>
        <w:pStyle w:val="ListParagraph"/>
        <w:numPr>
          <w:ilvl w:val="0"/>
          <w:numId w:val="28"/>
        </w:numPr>
        <w:spacing w:line="360" w:lineRule="auto"/>
        <w:ind w:left="1275" w:hanging="181"/>
        <w:jc w:val="both"/>
        <w:rPr>
          <w:rFonts w:asciiTheme="majorBidi" w:hAnsiTheme="majorBidi" w:cstheme="majorBidi"/>
          <w:sz w:val="24"/>
          <w:szCs w:val="24"/>
        </w:rPr>
      </w:pPr>
      <w:r w:rsidRPr="005C149A">
        <w:rPr>
          <w:rFonts w:asciiTheme="majorBidi" w:hAnsiTheme="majorBidi" w:cstheme="majorBidi"/>
          <w:sz w:val="24"/>
          <w:szCs w:val="24"/>
        </w:rPr>
        <w:t>The provision of health services in the community;</w:t>
      </w:r>
    </w:p>
    <w:p w14:paraId="4417DE76" w14:textId="77777777" w:rsidR="00F37FC8" w:rsidRPr="005C149A" w:rsidRDefault="00F37FC8" w:rsidP="00D97F93">
      <w:pPr>
        <w:pStyle w:val="ListParagraph"/>
        <w:numPr>
          <w:ilvl w:val="0"/>
          <w:numId w:val="28"/>
        </w:numPr>
        <w:spacing w:line="360" w:lineRule="auto"/>
        <w:ind w:left="1275" w:hanging="181"/>
        <w:jc w:val="both"/>
        <w:rPr>
          <w:rFonts w:asciiTheme="majorBidi" w:hAnsiTheme="majorBidi" w:cstheme="majorBidi"/>
          <w:sz w:val="24"/>
          <w:szCs w:val="24"/>
        </w:rPr>
      </w:pPr>
      <w:r w:rsidRPr="005C149A">
        <w:rPr>
          <w:rFonts w:asciiTheme="majorBidi" w:hAnsiTheme="majorBidi" w:cstheme="majorBidi"/>
          <w:sz w:val="24"/>
          <w:szCs w:val="24"/>
        </w:rPr>
        <w:t>An information database;</w:t>
      </w:r>
    </w:p>
    <w:p w14:paraId="62BE263D" w14:textId="3230388D" w:rsidR="00F37FC8" w:rsidRPr="005C149A" w:rsidRDefault="0042315E" w:rsidP="00B82196">
      <w:pPr>
        <w:pStyle w:val="ListParagraph"/>
        <w:numPr>
          <w:ilvl w:val="0"/>
          <w:numId w:val="26"/>
        </w:numPr>
        <w:spacing w:line="360" w:lineRule="auto"/>
        <w:ind w:left="850" w:hanging="425"/>
        <w:jc w:val="both"/>
        <w:rPr>
          <w:rFonts w:asciiTheme="majorBidi" w:hAnsiTheme="majorBidi" w:cstheme="majorBidi"/>
          <w:sz w:val="24"/>
          <w:szCs w:val="24"/>
        </w:rPr>
      </w:pPr>
      <w:r>
        <w:rPr>
          <w:rFonts w:asciiTheme="majorBidi" w:hAnsiTheme="majorBidi" w:cstheme="majorBidi"/>
          <w:sz w:val="24"/>
          <w:szCs w:val="24"/>
        </w:rPr>
        <w:t xml:space="preserve">The </w:t>
      </w:r>
      <w:r w:rsidR="00F37FC8" w:rsidRPr="005C149A">
        <w:rPr>
          <w:rFonts w:asciiTheme="majorBidi" w:hAnsiTheme="majorBidi" w:cstheme="majorBidi"/>
          <w:sz w:val="24"/>
          <w:szCs w:val="24"/>
        </w:rPr>
        <w:t xml:space="preserve">MOE: </w:t>
      </w:r>
    </w:p>
    <w:p w14:paraId="33CDD60A" w14:textId="77777777" w:rsidR="00F37FC8" w:rsidRPr="005C149A" w:rsidRDefault="00F37FC8" w:rsidP="00D97F93">
      <w:pPr>
        <w:pStyle w:val="ListParagraph"/>
        <w:numPr>
          <w:ilvl w:val="0"/>
          <w:numId w:val="29"/>
        </w:numPr>
        <w:spacing w:line="360" w:lineRule="auto"/>
        <w:ind w:left="1275" w:hanging="181"/>
        <w:jc w:val="both"/>
        <w:rPr>
          <w:rFonts w:asciiTheme="majorBidi" w:hAnsiTheme="majorBidi" w:cstheme="majorBidi"/>
          <w:sz w:val="24"/>
          <w:szCs w:val="24"/>
        </w:rPr>
      </w:pPr>
      <w:r w:rsidRPr="005C149A">
        <w:rPr>
          <w:rFonts w:asciiTheme="majorBidi" w:hAnsiTheme="majorBidi" w:cstheme="majorBidi"/>
          <w:sz w:val="24"/>
          <w:szCs w:val="24"/>
        </w:rPr>
        <w:t>Accessibility of religious higher educ</w:t>
      </w:r>
      <w:r w:rsidR="0098008B" w:rsidRPr="005C149A">
        <w:rPr>
          <w:rFonts w:asciiTheme="majorBidi" w:hAnsiTheme="majorBidi" w:cstheme="majorBidi"/>
          <w:sz w:val="24"/>
          <w:szCs w:val="24"/>
        </w:rPr>
        <w:t>ation institutions</w:t>
      </w:r>
      <w:r w:rsidRPr="005C149A">
        <w:rPr>
          <w:rFonts w:asciiTheme="majorBidi" w:hAnsiTheme="majorBidi" w:cstheme="majorBidi"/>
          <w:sz w:val="24"/>
          <w:szCs w:val="24"/>
        </w:rPr>
        <w:t>;</w:t>
      </w:r>
    </w:p>
    <w:p w14:paraId="7A991C57" w14:textId="038258CF" w:rsidR="00F37FC8" w:rsidRPr="005C149A" w:rsidRDefault="0042315E" w:rsidP="00B82196">
      <w:pPr>
        <w:pStyle w:val="ListParagraph"/>
        <w:numPr>
          <w:ilvl w:val="0"/>
          <w:numId w:val="26"/>
        </w:numPr>
        <w:spacing w:line="360" w:lineRule="auto"/>
        <w:ind w:left="850" w:hanging="425"/>
        <w:jc w:val="both"/>
        <w:rPr>
          <w:rFonts w:asciiTheme="majorBidi" w:hAnsiTheme="majorBidi" w:cstheme="majorBidi"/>
          <w:sz w:val="24"/>
          <w:szCs w:val="24"/>
        </w:rPr>
      </w:pPr>
      <w:r>
        <w:rPr>
          <w:rFonts w:asciiTheme="majorBidi" w:hAnsiTheme="majorBidi" w:cstheme="majorBidi"/>
          <w:sz w:val="24"/>
          <w:szCs w:val="24"/>
        </w:rPr>
        <w:t xml:space="preserve">The </w:t>
      </w:r>
      <w:r w:rsidR="00F37FC8" w:rsidRPr="005C149A">
        <w:rPr>
          <w:rFonts w:asciiTheme="majorBidi" w:hAnsiTheme="majorBidi" w:cstheme="majorBidi"/>
          <w:sz w:val="24"/>
          <w:szCs w:val="24"/>
        </w:rPr>
        <w:t xml:space="preserve">Ministry of Transportation (MOT): </w:t>
      </w:r>
    </w:p>
    <w:p w14:paraId="5EE12639" w14:textId="77777777" w:rsidR="00F37FC8" w:rsidRPr="005C149A" w:rsidRDefault="00F37FC8" w:rsidP="00D97F93">
      <w:pPr>
        <w:pStyle w:val="ListParagraph"/>
        <w:numPr>
          <w:ilvl w:val="0"/>
          <w:numId w:val="30"/>
        </w:numPr>
        <w:spacing w:line="360" w:lineRule="auto"/>
        <w:ind w:left="1275" w:hanging="181"/>
        <w:jc w:val="both"/>
        <w:rPr>
          <w:rFonts w:asciiTheme="majorBidi" w:hAnsiTheme="majorBidi" w:cstheme="majorBidi"/>
          <w:sz w:val="24"/>
          <w:szCs w:val="24"/>
        </w:rPr>
      </w:pPr>
      <w:r w:rsidRPr="005C149A">
        <w:rPr>
          <w:rFonts w:asciiTheme="majorBidi" w:hAnsiTheme="majorBidi" w:cstheme="majorBidi"/>
          <w:sz w:val="24"/>
          <w:szCs w:val="24"/>
        </w:rPr>
        <w:t>The Amendment to the</w:t>
      </w:r>
      <w:r w:rsidRPr="005C149A">
        <w:rPr>
          <w:rFonts w:asciiTheme="majorBidi" w:hAnsiTheme="majorBidi" w:cstheme="majorBidi"/>
          <w:b/>
          <w:bCs/>
          <w:sz w:val="24"/>
          <w:szCs w:val="24"/>
        </w:rPr>
        <w:t xml:space="preserve"> </w:t>
      </w:r>
      <w:r w:rsidRPr="005C149A">
        <w:rPr>
          <w:rStyle w:val="Strong"/>
          <w:rFonts w:asciiTheme="majorBidi" w:hAnsiTheme="majorBidi" w:cstheme="majorBidi"/>
          <w:b w:val="0"/>
          <w:bCs w:val="0"/>
          <w:i/>
          <w:iCs/>
          <w:sz w:val="24"/>
          <w:szCs w:val="24"/>
          <w:shd w:val="clear" w:color="auto" w:fill="FFFFFF"/>
        </w:rPr>
        <w:t xml:space="preserve">Equal Rights for </w:t>
      </w:r>
      <w:r w:rsidRPr="005C149A">
        <w:rPr>
          <w:rFonts w:asciiTheme="majorBidi" w:hAnsiTheme="majorBidi" w:cstheme="majorBidi"/>
          <w:i/>
          <w:iCs/>
          <w:sz w:val="24"/>
          <w:szCs w:val="24"/>
        </w:rPr>
        <w:t>PWD</w:t>
      </w:r>
      <w:r w:rsidRPr="005C149A">
        <w:rPr>
          <w:rStyle w:val="Strong"/>
          <w:rFonts w:asciiTheme="majorBidi" w:hAnsiTheme="majorBidi" w:cstheme="majorBidi"/>
          <w:b w:val="0"/>
          <w:bCs w:val="0"/>
          <w:i/>
          <w:iCs/>
          <w:sz w:val="24"/>
          <w:szCs w:val="24"/>
          <w:shd w:val="clear" w:color="auto" w:fill="FFFFFF"/>
        </w:rPr>
        <w:t xml:space="preserve"> (Access to Public Transport Services) Regulations</w:t>
      </w:r>
      <w:r w:rsidRPr="005C149A">
        <w:rPr>
          <w:rStyle w:val="Strong"/>
          <w:rFonts w:asciiTheme="majorBidi" w:hAnsiTheme="majorBidi" w:cstheme="majorBidi"/>
          <w:b w:val="0"/>
          <w:bCs w:val="0"/>
          <w:sz w:val="24"/>
          <w:szCs w:val="24"/>
          <w:shd w:val="clear" w:color="auto" w:fill="FFFFFF"/>
        </w:rPr>
        <w:t xml:space="preserve"> 5763-2003</w:t>
      </w:r>
      <w:r w:rsidRPr="005C149A">
        <w:rPr>
          <w:rFonts w:asciiTheme="majorBidi" w:hAnsiTheme="majorBidi" w:cstheme="majorBidi"/>
          <w:sz w:val="24"/>
          <w:szCs w:val="24"/>
        </w:rPr>
        <w:t xml:space="preserve">. </w:t>
      </w:r>
    </w:p>
    <w:p w14:paraId="7E8432D8" w14:textId="77777777" w:rsidR="00F37FC8" w:rsidRPr="005C149A" w:rsidRDefault="00F37FC8" w:rsidP="00B82196">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Accessibility of Public Transportation</w:t>
      </w:r>
    </w:p>
    <w:p w14:paraId="309F7604"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MOT started a pilot to make 100 inner-city bus lines accessible by the end of 2022. The MOI allocated 60 Million NIS (18,772,398 USD) to improving the accessibility in localities with low socio-economic status and supported accessibility projects in other localities. The MOI also allocated 50 Million NIS (15,643,665 NIS) to improve the accessibility in the framework of the Economic Program to minimize gaps in the Arab population.</w:t>
      </w:r>
    </w:p>
    <w:p w14:paraId="707F408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MOT trains its drivers on providing service for PWD, and promotes the following measures: accessibility in inner-city buses (electronic signs and announcements), continuing the project to make buses accessible, improving the service provided in the Israel Rail, translating more information on transportation rights and services for PWD into Arabic and running campaigns on the issue.</w:t>
      </w:r>
    </w:p>
    <w:p w14:paraId="5CDA98E3" w14:textId="77777777" w:rsidR="00F37FC8" w:rsidRPr="005C149A" w:rsidRDefault="00F37FC8" w:rsidP="00B82196">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Accessibility Regulations for Health Services</w:t>
      </w:r>
    </w:p>
    <w:p w14:paraId="49281867" w14:textId="15690654"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MOH promotes the accessibility of the health services, and works to enact the regulations that have not yet been promulgated. In addition</w:t>
      </w:r>
      <w:r w:rsidR="00C8799D">
        <w:rPr>
          <w:rFonts w:asciiTheme="majorBidi" w:hAnsiTheme="majorBidi" w:cstheme="majorBidi"/>
          <w:sz w:val="24"/>
          <w:szCs w:val="24"/>
        </w:rPr>
        <w:t>,</w:t>
      </w:r>
      <w:r w:rsidRPr="005C149A">
        <w:rPr>
          <w:rFonts w:asciiTheme="majorBidi" w:hAnsiTheme="majorBidi" w:cstheme="majorBidi"/>
          <w:sz w:val="24"/>
          <w:szCs w:val="24"/>
        </w:rPr>
        <w:t xml:space="preserve"> </w:t>
      </w:r>
      <w:r w:rsidR="00C8799D">
        <w:rPr>
          <w:rFonts w:asciiTheme="majorBidi" w:hAnsiTheme="majorBidi" w:cstheme="majorBidi"/>
          <w:sz w:val="24"/>
          <w:szCs w:val="24"/>
        </w:rPr>
        <w:t xml:space="preserve">the </w:t>
      </w:r>
      <w:r w:rsidRPr="005C149A">
        <w:rPr>
          <w:rFonts w:asciiTheme="majorBidi" w:hAnsiTheme="majorBidi" w:cstheme="majorBidi"/>
          <w:sz w:val="24"/>
          <w:szCs w:val="24"/>
        </w:rPr>
        <w:t xml:space="preserve">following steps have been taken: </w:t>
      </w:r>
    </w:p>
    <w:p w14:paraId="223CFC64" w14:textId="77777777" w:rsidR="00F37FC8" w:rsidRPr="005C149A" w:rsidRDefault="00F37FC8" w:rsidP="00C000F6">
      <w:pPr>
        <w:pStyle w:val="ListParagraph"/>
        <w:numPr>
          <w:ilvl w:val="0"/>
          <w:numId w:val="31"/>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Guidelines for appointing equality officers and accessibility coordinators in all health services, and training and consultation resources for them, including regarding integrating PWD and their representative organizations in the planning and implementation process;</w:t>
      </w:r>
    </w:p>
    <w:p w14:paraId="18AB3B0F" w14:textId="77777777" w:rsidR="00F37FC8" w:rsidRPr="005C149A" w:rsidRDefault="00F37FC8" w:rsidP="00C000F6">
      <w:pPr>
        <w:pStyle w:val="ListParagraph"/>
        <w:numPr>
          <w:ilvl w:val="0"/>
          <w:numId w:val="31"/>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Active participation of health representatives in conferences and advanced training programs conducted by organizations representing PWD;</w:t>
      </w:r>
    </w:p>
    <w:p w14:paraId="7C0560CC" w14:textId="77777777" w:rsidR="00F37FC8" w:rsidRPr="005C149A" w:rsidRDefault="00F37FC8" w:rsidP="00C000F6">
      <w:pPr>
        <w:pStyle w:val="ListParagraph"/>
        <w:numPr>
          <w:ilvl w:val="0"/>
          <w:numId w:val="31"/>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Collaborations with  medical, nursing and health academics to assimilate the field of equality and accessibility in practical curriculum and training courses and seminars, as well as in the field of assimilating inclusive language in research and academic writing;</w:t>
      </w:r>
    </w:p>
    <w:p w14:paraId="755F74B5" w14:textId="77777777" w:rsidR="00F37FC8" w:rsidRPr="005C149A" w:rsidRDefault="00F37FC8" w:rsidP="00C000F6">
      <w:pPr>
        <w:pStyle w:val="ListParagraph"/>
        <w:numPr>
          <w:ilvl w:val="0"/>
          <w:numId w:val="31"/>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Intensive work to improve the accessibility of the information and health guidelines regarding the COVID-19 pandemic for PWD;</w:t>
      </w:r>
    </w:p>
    <w:p w14:paraId="6A0D34AB" w14:textId="77777777" w:rsidR="00F37FC8" w:rsidRPr="005C149A" w:rsidRDefault="00F37FC8" w:rsidP="00C000F6">
      <w:pPr>
        <w:pStyle w:val="ListParagraph"/>
        <w:numPr>
          <w:ilvl w:val="0"/>
          <w:numId w:val="31"/>
        </w:numPr>
        <w:spacing w:after="120"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Collaboration of units within the MOH, including planning and building unit, the legal department and the departments for geriatric health, medic health, children's development and more.</w:t>
      </w:r>
    </w:p>
    <w:p w14:paraId="17AA7A23" w14:textId="77777777" w:rsidR="00F37FC8" w:rsidRPr="005C149A" w:rsidRDefault="00F37FC8" w:rsidP="00B82196">
      <w:pPr>
        <w:bidi w:val="0"/>
        <w:spacing w:after="0" w:line="360" w:lineRule="auto"/>
        <w:jc w:val="both"/>
        <w:rPr>
          <w:rFonts w:asciiTheme="majorBidi" w:hAnsiTheme="majorBidi" w:cstheme="majorBidi"/>
          <w:sz w:val="24"/>
          <w:szCs w:val="24"/>
          <w:u w:val="single"/>
        </w:rPr>
      </w:pPr>
      <w:bookmarkStart w:id="16" w:name="_Hlk77079762"/>
      <w:r w:rsidRPr="005C149A">
        <w:rPr>
          <w:rFonts w:asciiTheme="majorBidi" w:hAnsiTheme="majorBidi" w:cstheme="majorBidi"/>
          <w:sz w:val="24"/>
          <w:szCs w:val="24"/>
          <w:u w:val="single"/>
        </w:rPr>
        <w:t>Enforcement of the Implementation of the Accessibility Regulations</w:t>
      </w:r>
    </w:p>
    <w:p w14:paraId="021C476B" w14:textId="1A3A7357" w:rsidR="00F37FC8" w:rsidRPr="005C149A" w:rsidRDefault="00F37FC8" w:rsidP="00C8799D">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commission works with the various </w:t>
      </w:r>
      <w:r w:rsidR="00C8799D">
        <w:rPr>
          <w:rFonts w:asciiTheme="majorBidi" w:hAnsiTheme="majorBidi" w:cstheme="majorBidi"/>
          <w:sz w:val="24"/>
          <w:szCs w:val="24"/>
        </w:rPr>
        <w:t>G</w:t>
      </w:r>
      <w:r w:rsidR="00C8799D" w:rsidRPr="005C149A">
        <w:rPr>
          <w:rFonts w:asciiTheme="majorBidi" w:hAnsiTheme="majorBidi" w:cstheme="majorBidi"/>
          <w:sz w:val="24"/>
          <w:szCs w:val="24"/>
        </w:rPr>
        <w:t xml:space="preserve">overnment </w:t>
      </w:r>
      <w:r w:rsidR="00C8799D">
        <w:rPr>
          <w:rFonts w:asciiTheme="majorBidi" w:hAnsiTheme="majorBidi" w:cstheme="majorBidi"/>
          <w:sz w:val="24"/>
          <w:szCs w:val="24"/>
        </w:rPr>
        <w:t>Ministries</w:t>
      </w:r>
      <w:r w:rsidR="00C8799D" w:rsidRPr="005C149A">
        <w:rPr>
          <w:rFonts w:asciiTheme="majorBidi" w:hAnsiTheme="majorBidi" w:cstheme="majorBidi"/>
          <w:sz w:val="24"/>
          <w:szCs w:val="24"/>
        </w:rPr>
        <w:t xml:space="preserve"> </w:t>
      </w:r>
      <w:r w:rsidRPr="005C149A">
        <w:rPr>
          <w:rFonts w:asciiTheme="majorBidi" w:hAnsiTheme="majorBidi" w:cstheme="majorBidi"/>
          <w:sz w:val="24"/>
          <w:szCs w:val="24"/>
        </w:rPr>
        <w:t xml:space="preserve">to promote the promulgation of the accessibility regulations, carry out consultations and assist to resolve the issues. Necessary amendments to the regulations are also promoted by the commission. </w:t>
      </w:r>
    </w:p>
    <w:p w14:paraId="11EC77EA" w14:textId="4F679DB5" w:rsidR="00F37FC8" w:rsidRPr="005C149A" w:rsidRDefault="00F37FC8" w:rsidP="004A5A55">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Between the years 2017-2020, 4,830 inspections were carried out, covering various aspects, including: education, discrimination, internet, culture and shows, leisure </w:t>
      </w:r>
      <w:r w:rsidR="004A5A55">
        <w:rPr>
          <w:rFonts w:asciiTheme="majorBidi" w:hAnsiTheme="majorBidi" w:cstheme="majorBidi"/>
          <w:sz w:val="24"/>
          <w:szCs w:val="24"/>
        </w:rPr>
        <w:t>-</w:t>
      </w:r>
      <w:r w:rsidRPr="005C149A">
        <w:rPr>
          <w:rFonts w:asciiTheme="majorBidi" w:hAnsiTheme="majorBidi" w:cstheme="majorBidi"/>
          <w:sz w:val="24"/>
          <w:szCs w:val="24"/>
        </w:rPr>
        <w:t xml:space="preserve"> nature and heritage sites, televised broadcasts, public transportation, </w:t>
      </w:r>
      <w:r w:rsidR="00C8799D">
        <w:rPr>
          <w:rFonts w:asciiTheme="majorBidi" w:hAnsiTheme="majorBidi" w:cstheme="majorBidi"/>
          <w:sz w:val="24"/>
          <w:szCs w:val="24"/>
        </w:rPr>
        <w:t>"</w:t>
      </w:r>
      <w:r w:rsidRPr="005C149A">
        <w:rPr>
          <w:rFonts w:asciiTheme="majorBidi" w:hAnsiTheme="majorBidi" w:cstheme="majorBidi"/>
          <w:sz w:val="24"/>
          <w:szCs w:val="24"/>
        </w:rPr>
        <w:t>mikvahs</w:t>
      </w:r>
      <w:r w:rsidR="00C8799D">
        <w:rPr>
          <w:rFonts w:asciiTheme="majorBidi" w:hAnsiTheme="majorBidi" w:cstheme="majorBidi"/>
          <w:sz w:val="24"/>
          <w:szCs w:val="24"/>
        </w:rPr>
        <w:t>"</w:t>
      </w:r>
      <w:r w:rsidRPr="005C149A">
        <w:rPr>
          <w:rFonts w:asciiTheme="majorBidi" w:hAnsiTheme="majorBidi" w:cstheme="majorBidi"/>
          <w:sz w:val="24"/>
          <w:szCs w:val="24"/>
        </w:rPr>
        <w:t xml:space="preserve"> (Jewish ritual baths) and religious institutions, higher education, playgrounds, public transportation and other issues. These supervision processes aim to identify barriers to accessibility in services and promote the inclusion of PWD in public spaces.</w:t>
      </w:r>
    </w:p>
    <w:p w14:paraId="37C10DA6"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Commission also handles public inquiries. Some inquiries include requests for information, queries or advice on regulations and some complaints about lack of accessibility. Approximately 3,000 such inquiries regarding accessibility are processed each year. Between 2018</w:t>
      </w:r>
      <w:r w:rsidR="00F91780" w:rsidRPr="005C149A">
        <w:rPr>
          <w:rFonts w:asciiTheme="majorBidi" w:hAnsiTheme="majorBidi" w:cstheme="majorBidi"/>
          <w:sz w:val="24"/>
          <w:szCs w:val="24"/>
        </w:rPr>
        <w:t xml:space="preserve"> and </w:t>
      </w:r>
      <w:r w:rsidRPr="005C149A">
        <w:rPr>
          <w:rFonts w:asciiTheme="majorBidi" w:hAnsiTheme="majorBidi" w:cstheme="majorBidi"/>
          <w:sz w:val="24"/>
          <w:szCs w:val="24"/>
        </w:rPr>
        <w:t xml:space="preserve">2020, approximately 8,500 inquiries were in the field of accessibility, including of school buildings, individual accessibility for pupils and parents, internet services, public spaces, public transportations and more. </w:t>
      </w:r>
    </w:p>
    <w:p w14:paraId="04356848" w14:textId="77777777" w:rsidR="00F37FC8" w:rsidRPr="005C149A" w:rsidRDefault="00F37FC8" w:rsidP="00B8219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Between the years 2017-2020, 18 civil lawsuits were filed due to lack of  accessibility. The cases dealt with the accessibility of places such as hotels, restaurants, synagogues, sports halls, airports and public transportation. Most claims ended in monetary compensation of 10,000-40,000 NIS (approx. 3,185-12,741 USD).</w:t>
      </w:r>
    </w:p>
    <w:p w14:paraId="0FEE56DE"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Commission is also involved in promoting the implementation of accessibility on a general level, thus, for example there is a strong emphasis in the Commission's work on local authorities. In accordance with the law, in each municipality, an accessibility coordinator is appointed, whose role is to provide a solutions and to promote accessibility in the municipality. The Commission conducts training courses for accessibility coordinators as well as ongoing training activities. Between the years 2017-2020, four (4) training courses were held, 15 forums for coordinators on various topics were conducted, including four (4) meetings conducted in Arabic for coordinators from Arab authorities.</w:t>
      </w:r>
    </w:p>
    <w:p w14:paraId="45874BC7" w14:textId="5519FF12" w:rsidR="00F37FC8" w:rsidRPr="005C149A" w:rsidRDefault="00F37FC8" w:rsidP="00C8799D">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Commission supervisors are in contact with the accessibility coordinators in their region and answer questions regarding the Law and regulations and conduct periodic inspections. Some of the inspections take a general view of the accessibility status in all relevant area including buildings, trainings, and publication of information, in accordance with the regulations. In addition, the Commission collaborates with Federation of Local Authorities in Israel to promote accessibility issues.</w:t>
      </w:r>
    </w:p>
    <w:p w14:paraId="7272F5EB"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Commission also conducts extensive training and information activities that include, </w:t>
      </w:r>
      <w:r w:rsidRPr="005C149A">
        <w:rPr>
          <w:rFonts w:asciiTheme="majorBidi" w:hAnsiTheme="majorBidi" w:cstheme="majorBidi"/>
          <w:i/>
          <w:iCs/>
          <w:sz w:val="24"/>
          <w:szCs w:val="24"/>
        </w:rPr>
        <w:t>inter alia</w:t>
      </w:r>
      <w:r w:rsidRPr="005C149A">
        <w:rPr>
          <w:rFonts w:asciiTheme="majorBidi" w:hAnsiTheme="majorBidi" w:cstheme="majorBidi"/>
          <w:sz w:val="24"/>
          <w:szCs w:val="24"/>
        </w:rPr>
        <w:t>, training of professionals and disseminating information to PWD regarding their rights. Between the years 2018-2020, approximately 50 lectures in courses to train the Licensed Accessibility Experts, six (6) conferences and seminars for Licensed Accessibility Experts, and advanced training and forums for accessibility coordinators and professionals in Government Ministries were conducted.</w:t>
      </w:r>
    </w:p>
    <w:p w14:paraId="3F513667"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Commission website contains a wealth of information on accessibility professionals as well PWD. Written materials on the matter were also produced. Between 2017-2020, the following booklets were published and distributed: a booklet for small businesses on accessibility (in Arabic and Hebrew), a booklet for PWD on service rights (in Hebrew, Arabic, Amharic, a voice file and a Braille version), a booklet in simple language on service rights, booklets on the subject of accessibility rights in events, cultural activities, recreation and sports. In addition, lectures and meetings with civil society representatives are held regularly throughout the country.</w:t>
      </w:r>
    </w:p>
    <w:p w14:paraId="29A0D4FA" w14:textId="77777777" w:rsidR="00F37FC8" w:rsidRPr="005C149A" w:rsidRDefault="00F37FC8" w:rsidP="00B82196">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Case Law</w:t>
      </w:r>
    </w:p>
    <w:p w14:paraId="1A174035" w14:textId="79FB4F09" w:rsidR="00F37FC8" w:rsidRPr="005C149A" w:rsidRDefault="00F37FC8" w:rsidP="00C8799D">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On July 5, 2021, the Jerusalem District Court validated a</w:t>
      </w:r>
      <w:r w:rsidR="00965A51" w:rsidRPr="005C149A">
        <w:rPr>
          <w:rFonts w:asciiTheme="majorBidi" w:hAnsiTheme="majorBidi" w:cstheme="majorBidi"/>
          <w:sz w:val="24"/>
          <w:szCs w:val="24"/>
        </w:rPr>
        <w:t>n</w:t>
      </w:r>
      <w:r w:rsidRPr="005C149A">
        <w:rPr>
          <w:rFonts w:asciiTheme="majorBidi" w:hAnsiTheme="majorBidi" w:cstheme="majorBidi"/>
          <w:sz w:val="24"/>
          <w:szCs w:val="24"/>
        </w:rPr>
        <w:t xml:space="preserve"> </w:t>
      </w:r>
      <w:r w:rsidR="00965A51" w:rsidRPr="005C149A">
        <w:rPr>
          <w:rFonts w:asciiTheme="majorBidi" w:hAnsiTheme="majorBidi" w:cstheme="majorBidi"/>
          <w:sz w:val="24"/>
          <w:szCs w:val="24"/>
        </w:rPr>
        <w:t>arrangement</w:t>
      </w:r>
      <w:r w:rsidRPr="005C149A">
        <w:rPr>
          <w:rFonts w:asciiTheme="majorBidi" w:hAnsiTheme="majorBidi" w:cstheme="majorBidi"/>
          <w:sz w:val="24"/>
          <w:szCs w:val="24"/>
        </w:rPr>
        <w:t xml:space="preserve"> in the framework of a class action lawsuit filed by the Commission and two (2) individuals, in the name of 45,000 PWD, against Egged Public Transportation Company for continued breaches of the obligation to use the public address system. According to the arrangement reached, the company would install new technological hearing devices over five (5) years in all their buses, in addition to the </w:t>
      </w:r>
      <w:r w:rsidR="00C8799D" w:rsidRPr="005C149A">
        <w:rPr>
          <w:rFonts w:asciiTheme="majorBidi" w:hAnsiTheme="majorBidi" w:cstheme="majorBidi"/>
          <w:sz w:val="24"/>
          <w:szCs w:val="24"/>
        </w:rPr>
        <w:t>public address</w:t>
      </w:r>
      <w:r w:rsidRPr="005C149A">
        <w:rPr>
          <w:rFonts w:asciiTheme="majorBidi" w:hAnsiTheme="majorBidi" w:cstheme="majorBidi"/>
          <w:sz w:val="24"/>
          <w:szCs w:val="24"/>
        </w:rPr>
        <w:t xml:space="preserve"> system. Additionally, noting the significant public importance of the case, the Court awarded the individuals compensation of 100,000 NIS (32,122 USD). (C.A. 37237-08-17, </w:t>
      </w:r>
      <w:r w:rsidRPr="005C149A">
        <w:rPr>
          <w:rFonts w:asciiTheme="majorBidi" w:hAnsiTheme="majorBidi" w:cstheme="majorBidi"/>
          <w:i/>
          <w:iCs/>
          <w:sz w:val="24"/>
          <w:szCs w:val="24"/>
        </w:rPr>
        <w:t>The Commission for the Equal Rights of PWD v. Egged Public Transportation Company</w:t>
      </w:r>
      <w:r w:rsidRPr="005C149A">
        <w:rPr>
          <w:rFonts w:asciiTheme="majorBidi" w:hAnsiTheme="majorBidi" w:cstheme="majorBidi"/>
          <w:sz w:val="24"/>
          <w:szCs w:val="24"/>
        </w:rPr>
        <w:t xml:space="preserve"> (5.7.2021).)</w:t>
      </w:r>
    </w:p>
    <w:p w14:paraId="0906EC60" w14:textId="77777777" w:rsidR="00F37FC8" w:rsidRPr="005C149A" w:rsidRDefault="00F37FC8" w:rsidP="00965A51">
      <w:pPr>
        <w:pStyle w:val="ListParagraph"/>
        <w:spacing w:line="360" w:lineRule="auto"/>
        <w:ind w:left="426"/>
        <w:jc w:val="both"/>
        <w:rPr>
          <w:rFonts w:asciiTheme="majorBidi" w:hAnsiTheme="majorBidi" w:cstheme="majorBidi"/>
          <w:sz w:val="24"/>
          <w:szCs w:val="24"/>
        </w:rPr>
      </w:pPr>
      <w:r w:rsidRPr="005C149A">
        <w:rPr>
          <w:rFonts w:asciiTheme="majorBidi" w:hAnsiTheme="majorBidi" w:cstheme="majorBidi"/>
          <w:sz w:val="24"/>
          <w:szCs w:val="24"/>
        </w:rPr>
        <w:t xml:space="preserve">On February 1, 2021, the Supreme Court ruled in an appeal submitted by </w:t>
      </w:r>
      <w:r w:rsidRPr="005C149A">
        <w:rPr>
          <w:rFonts w:asciiTheme="majorBidi" w:hAnsiTheme="majorBidi" w:cstheme="majorBidi"/>
          <w:i/>
          <w:iCs/>
          <w:sz w:val="24"/>
          <w:szCs w:val="24"/>
        </w:rPr>
        <w:t>Egged Public Transportation</w:t>
      </w:r>
      <w:r w:rsidRPr="005C149A">
        <w:rPr>
          <w:rFonts w:asciiTheme="majorBidi" w:hAnsiTheme="majorBidi" w:cstheme="majorBidi"/>
          <w:sz w:val="24"/>
          <w:szCs w:val="24"/>
        </w:rPr>
        <w:t xml:space="preserve"> to diminish the amount of legal fees determined by the District Court by half while leaving the compensation at its entirety, at the parties consent (Ci.Ap. 7318/21</w:t>
      </w:r>
      <w:r w:rsidR="00965A51" w:rsidRPr="005C149A">
        <w:rPr>
          <w:rFonts w:asciiTheme="majorBidi" w:hAnsiTheme="majorBidi" w:cstheme="majorBidi"/>
          <w:sz w:val="24"/>
          <w:szCs w:val="24"/>
        </w:rPr>
        <w:t>,</w:t>
      </w:r>
      <w:r w:rsidRPr="005C149A">
        <w:rPr>
          <w:rFonts w:asciiTheme="majorBidi" w:hAnsiTheme="majorBidi" w:cstheme="majorBidi"/>
          <w:sz w:val="24"/>
          <w:szCs w:val="24"/>
        </w:rPr>
        <w:t xml:space="preserve"> </w:t>
      </w:r>
      <w:r w:rsidRPr="005C149A">
        <w:rPr>
          <w:rFonts w:asciiTheme="majorBidi" w:hAnsiTheme="majorBidi" w:cstheme="majorBidi"/>
          <w:i/>
          <w:iCs/>
          <w:sz w:val="24"/>
          <w:szCs w:val="24"/>
        </w:rPr>
        <w:t>Egged Public Transportation Company v.</w:t>
      </w:r>
      <w:r w:rsidRPr="005C149A">
        <w:rPr>
          <w:rFonts w:asciiTheme="majorBidi" w:hAnsiTheme="majorBidi" w:cstheme="majorBidi"/>
          <w:sz w:val="24"/>
          <w:szCs w:val="24"/>
        </w:rPr>
        <w:t xml:space="preserve"> </w:t>
      </w:r>
      <w:r w:rsidRPr="005C149A">
        <w:rPr>
          <w:rFonts w:asciiTheme="majorBidi" w:hAnsiTheme="majorBidi" w:cstheme="majorBidi"/>
          <w:i/>
          <w:iCs/>
          <w:sz w:val="24"/>
          <w:szCs w:val="24"/>
        </w:rPr>
        <w:t xml:space="preserve">The Commission for the Equal Rights of PWD </w:t>
      </w:r>
      <w:r w:rsidRPr="005C149A">
        <w:rPr>
          <w:rFonts w:asciiTheme="majorBidi" w:hAnsiTheme="majorBidi" w:cstheme="majorBidi"/>
          <w:sz w:val="24"/>
          <w:szCs w:val="24"/>
        </w:rPr>
        <w:t>(1.2.2021).)</w:t>
      </w:r>
    </w:p>
    <w:bookmarkEnd w:id="16"/>
    <w:p w14:paraId="69A6DE69" w14:textId="77777777" w:rsidR="00F37FC8" w:rsidRPr="005C149A" w:rsidRDefault="00F37FC8" w:rsidP="00327130">
      <w:pPr>
        <w:pStyle w:val="Heading2"/>
        <w:spacing w:before="0" w:after="0"/>
      </w:pPr>
      <w:r w:rsidRPr="005C149A">
        <w:t>Article 10</w:t>
      </w:r>
    </w:p>
    <w:p w14:paraId="41AF638C"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tl/>
        </w:rPr>
      </w:pPr>
      <w:bookmarkStart w:id="17" w:name="_Toc100224044"/>
      <w:r w:rsidRPr="005C149A">
        <w:rPr>
          <w:rFonts w:asciiTheme="majorBidi" w:hAnsiTheme="majorBidi"/>
          <w:b/>
          <w:bCs/>
          <w:color w:val="auto"/>
          <w:sz w:val="24"/>
          <w:szCs w:val="24"/>
          <w:u w:val="single"/>
        </w:rPr>
        <w:t>Question 8</w:t>
      </w:r>
      <w:bookmarkEnd w:id="17"/>
    </w:p>
    <w:p w14:paraId="008ABFF0" w14:textId="77777777" w:rsidR="00F37FC8" w:rsidRPr="005C149A" w:rsidRDefault="00F37FC8" w:rsidP="0050316B">
      <w:pPr>
        <w:pStyle w:val="Heading3"/>
      </w:pPr>
      <w:r w:rsidRPr="005C149A">
        <w:t xml:space="preserve">The Inter-Ministerial Committee on Law Enforcement and Security Forces' Practices regarding PWD </w:t>
      </w:r>
    </w:p>
    <w:p w14:paraId="65F21800" w14:textId="37FE8C7D" w:rsidR="00F37FC8" w:rsidRPr="005C149A" w:rsidRDefault="00F37FC8" w:rsidP="00C8799D">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In 2020, the Office of the President established an inter-ministerial committee on law enforcement and security forces' practices regarding PWD. The Committee was chaired by the MOWSA Director General, with participants from various relevant departments in </w:t>
      </w:r>
      <w:r w:rsidR="00C8799D">
        <w:rPr>
          <w:rFonts w:asciiTheme="majorBidi" w:hAnsiTheme="majorBidi" w:cstheme="majorBidi"/>
          <w:sz w:val="24"/>
          <w:szCs w:val="24"/>
        </w:rPr>
        <w:t xml:space="preserve">the </w:t>
      </w:r>
      <w:r w:rsidRPr="005C149A">
        <w:rPr>
          <w:rFonts w:asciiTheme="majorBidi" w:hAnsiTheme="majorBidi" w:cstheme="majorBidi"/>
          <w:sz w:val="24"/>
          <w:szCs w:val="24"/>
        </w:rPr>
        <w:t xml:space="preserve">MOWSA, MOH, MOJ and civil society organizations. </w:t>
      </w:r>
    </w:p>
    <w:p w14:paraId="138FB296"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committee examined methods to prevent the recurrence of incidents where PWD were injured while interacting with law enforcement agencies, by comparing best practices from around the world, aimed to offer comprehensive recommendations regarding protective measures and training for law enforcement agents. </w:t>
      </w:r>
    </w:p>
    <w:p w14:paraId="0AC2E9BB"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February 2021, the committee submitted its following recommendations:</w:t>
      </w:r>
    </w:p>
    <w:p w14:paraId="728D581D" w14:textId="77777777" w:rsidR="00F37FC8" w:rsidRPr="005C149A" w:rsidRDefault="00F37FC8" w:rsidP="00965A51">
      <w:pPr>
        <w:pStyle w:val="ListParagraph"/>
        <w:numPr>
          <w:ilvl w:val="0"/>
          <w:numId w:val="3"/>
        </w:numPr>
        <w:spacing w:line="360" w:lineRule="auto"/>
        <w:ind w:left="851" w:hanging="425"/>
        <w:contextualSpacing/>
        <w:jc w:val="both"/>
        <w:rPr>
          <w:rFonts w:ascii="Times New Roman" w:hAnsi="Times New Roman" w:cs="Times New Roman"/>
          <w:sz w:val="24"/>
          <w:szCs w:val="24"/>
        </w:rPr>
      </w:pPr>
      <w:r w:rsidRPr="005C149A">
        <w:rPr>
          <w:rFonts w:ascii="Times New Roman" w:hAnsi="Times New Roman" w:cs="Times New Roman"/>
          <w:sz w:val="24"/>
          <w:szCs w:val="24"/>
          <w:u w:val="single"/>
        </w:rPr>
        <w:t>Developing specializing training programs for law enforcement officials</w:t>
      </w:r>
      <w:r w:rsidRPr="005C149A">
        <w:rPr>
          <w:rFonts w:ascii="Times New Roman" w:hAnsi="Times New Roman" w:cs="Times New Roman"/>
          <w:sz w:val="24"/>
          <w:szCs w:val="24"/>
        </w:rPr>
        <w:t>. The committee's report emphasizes that the goal of the specialized training programs for law enforcement officials is to engrain a shift in the perception of PWD, and to provide law enforcement officials tools to identify PWD in the field as well as tools to effectively communicate depending on the person's abilities and function while maintaining the dignity of PWD. The training programs are to include several lectures, interactive workshops, personal meetings with PWD and simulations. The training programs are to be offered to several law enforcement agencies, including the Police and Border Police, municipal security and supervisory forces, soldiers and security guards interacting with the public, etc.</w:t>
      </w:r>
    </w:p>
    <w:p w14:paraId="337A3EAE" w14:textId="77777777" w:rsidR="00F37FC8" w:rsidRPr="005C149A" w:rsidRDefault="00F37FC8" w:rsidP="00965A51">
      <w:pPr>
        <w:pStyle w:val="ListParagraph"/>
        <w:numPr>
          <w:ilvl w:val="0"/>
          <w:numId w:val="3"/>
        </w:numPr>
        <w:spacing w:line="360" w:lineRule="auto"/>
        <w:ind w:left="851" w:hanging="425"/>
        <w:contextualSpacing/>
        <w:jc w:val="both"/>
        <w:rPr>
          <w:rFonts w:ascii="Times New Roman" w:hAnsi="Times New Roman" w:cs="Times New Roman"/>
          <w:sz w:val="24"/>
          <w:szCs w:val="24"/>
        </w:rPr>
      </w:pPr>
      <w:r w:rsidRPr="005C149A">
        <w:rPr>
          <w:rFonts w:ascii="Times New Roman" w:hAnsi="Times New Roman" w:cs="Times New Roman"/>
          <w:sz w:val="24"/>
          <w:szCs w:val="24"/>
          <w:u w:val="single"/>
        </w:rPr>
        <w:t>Establishing multi-disciplinary crisis intervention teams</w:t>
      </w:r>
      <w:r w:rsidRPr="005C149A">
        <w:rPr>
          <w:rFonts w:ascii="Times New Roman" w:hAnsi="Times New Roman" w:cs="Times New Roman"/>
          <w:sz w:val="24"/>
          <w:szCs w:val="24"/>
        </w:rPr>
        <w:t xml:space="preserve">. These multi-disciplinary teams may be called upon during a crisis, to offer assistance including: assessing mental health status, mediating between the PWD and law enforcement officials and referring to relevant treatments. </w:t>
      </w:r>
    </w:p>
    <w:p w14:paraId="73C373A6" w14:textId="3B607598" w:rsidR="00F37FC8" w:rsidRPr="005C149A" w:rsidRDefault="00F37FC8" w:rsidP="00C8799D">
      <w:pPr>
        <w:pStyle w:val="ListParagraph"/>
        <w:numPr>
          <w:ilvl w:val="0"/>
          <w:numId w:val="3"/>
        </w:numPr>
        <w:spacing w:line="360" w:lineRule="auto"/>
        <w:ind w:left="851" w:hanging="425"/>
        <w:contextualSpacing/>
        <w:jc w:val="both"/>
        <w:rPr>
          <w:rFonts w:ascii="Times New Roman" w:hAnsi="Times New Roman" w:cs="Times New Roman"/>
          <w:sz w:val="24"/>
          <w:szCs w:val="24"/>
        </w:rPr>
      </w:pPr>
      <w:r w:rsidRPr="005C149A">
        <w:rPr>
          <w:rFonts w:ascii="Times New Roman" w:hAnsi="Times New Roman" w:cs="Times New Roman"/>
          <w:sz w:val="24"/>
          <w:szCs w:val="24"/>
          <w:u w:val="single"/>
        </w:rPr>
        <w:t>The continuous assessment of the connection between PWD and the criminal justice system</w:t>
      </w:r>
      <w:r w:rsidRPr="005C149A">
        <w:rPr>
          <w:rFonts w:ascii="Times New Roman" w:hAnsi="Times New Roman" w:cs="Times New Roman"/>
          <w:sz w:val="24"/>
          <w:szCs w:val="24"/>
        </w:rPr>
        <w:t xml:space="preserve">. Specifically, it was </w:t>
      </w:r>
      <w:r w:rsidR="00362CD0" w:rsidRPr="005C149A">
        <w:rPr>
          <w:rFonts w:ascii="Times New Roman" w:hAnsi="Times New Roman" w:cs="Times New Roman"/>
          <w:sz w:val="24"/>
          <w:szCs w:val="24"/>
        </w:rPr>
        <w:t xml:space="preserve">recommended to address the over </w:t>
      </w:r>
      <w:r w:rsidRPr="005C149A">
        <w:rPr>
          <w:rFonts w:ascii="Times New Roman" w:hAnsi="Times New Roman" w:cs="Times New Roman"/>
          <w:sz w:val="24"/>
          <w:szCs w:val="24"/>
        </w:rPr>
        <w:t>representation of PWD in criminal proceedings.</w:t>
      </w:r>
    </w:p>
    <w:p w14:paraId="2C388A5D" w14:textId="77777777" w:rsidR="00F37FC8" w:rsidRPr="005C149A" w:rsidRDefault="00F37FC8" w:rsidP="00965A51">
      <w:pPr>
        <w:pStyle w:val="ListParagraph"/>
        <w:numPr>
          <w:ilvl w:val="0"/>
          <w:numId w:val="3"/>
        </w:numPr>
        <w:spacing w:line="360" w:lineRule="auto"/>
        <w:ind w:left="851" w:hanging="425"/>
        <w:contextualSpacing/>
        <w:jc w:val="both"/>
        <w:rPr>
          <w:rFonts w:ascii="Times New Roman" w:hAnsi="Times New Roman" w:cs="Times New Roman"/>
          <w:sz w:val="24"/>
          <w:szCs w:val="24"/>
        </w:rPr>
      </w:pPr>
      <w:r w:rsidRPr="005C149A">
        <w:rPr>
          <w:rFonts w:ascii="Times New Roman" w:hAnsi="Times New Roman" w:cs="Times New Roman"/>
          <w:sz w:val="24"/>
          <w:szCs w:val="24"/>
          <w:u w:val="single"/>
        </w:rPr>
        <w:t>Promoting the employment of PWD in the law enforcement agencies</w:t>
      </w:r>
      <w:r w:rsidRPr="005C149A">
        <w:rPr>
          <w:rFonts w:ascii="Times New Roman" w:hAnsi="Times New Roman" w:cs="Times New Roman"/>
          <w:sz w:val="24"/>
          <w:szCs w:val="24"/>
        </w:rPr>
        <w:t xml:space="preserve"> as another means of raising awareness and reducing stigma</w:t>
      </w:r>
    </w:p>
    <w:p w14:paraId="1020CA5C" w14:textId="77777777" w:rsidR="00F37FC8" w:rsidRPr="005C149A" w:rsidRDefault="00F37FC8" w:rsidP="00965A51">
      <w:pPr>
        <w:pStyle w:val="ListParagraph"/>
        <w:numPr>
          <w:ilvl w:val="0"/>
          <w:numId w:val="3"/>
        </w:numPr>
        <w:spacing w:line="360" w:lineRule="auto"/>
        <w:ind w:left="851" w:hanging="425"/>
        <w:contextualSpacing/>
        <w:jc w:val="both"/>
        <w:rPr>
          <w:rFonts w:ascii="Times New Roman" w:hAnsi="Times New Roman" w:cs="Times New Roman"/>
          <w:sz w:val="24"/>
          <w:szCs w:val="24"/>
          <w:rtl/>
        </w:rPr>
      </w:pPr>
      <w:r w:rsidRPr="005C149A">
        <w:rPr>
          <w:rFonts w:ascii="Times New Roman" w:hAnsi="Times New Roman" w:cs="Times New Roman"/>
          <w:sz w:val="24"/>
          <w:szCs w:val="24"/>
          <w:u w:val="single"/>
        </w:rPr>
        <w:t xml:space="preserve"> Other recommendations</w:t>
      </w:r>
      <w:r w:rsidRPr="005C149A">
        <w:rPr>
          <w:rFonts w:ascii="Times New Roman" w:hAnsi="Times New Roman" w:cs="Times New Roman"/>
          <w:sz w:val="24"/>
          <w:szCs w:val="24"/>
        </w:rPr>
        <w:t xml:space="preserve"> included, </w:t>
      </w:r>
      <w:r w:rsidRPr="005C149A">
        <w:rPr>
          <w:rFonts w:ascii="Times New Roman" w:hAnsi="Times New Roman" w:cs="Times New Roman"/>
          <w:i/>
          <w:iCs/>
          <w:sz w:val="24"/>
          <w:szCs w:val="24"/>
        </w:rPr>
        <w:t>inter alia</w:t>
      </w:r>
      <w:r w:rsidRPr="005C149A">
        <w:rPr>
          <w:rFonts w:ascii="Times New Roman" w:hAnsi="Times New Roman" w:cs="Times New Roman"/>
          <w:sz w:val="24"/>
          <w:szCs w:val="24"/>
        </w:rPr>
        <w:t xml:space="preserve">, improving conditions in proceedings for PWD, considering the development of "communication cards" for situations in which a PWD is having difficulty explaining </w:t>
      </w:r>
      <w:r w:rsidRPr="005C149A">
        <w:rPr>
          <w:rFonts w:asciiTheme="majorBidi" w:hAnsiTheme="majorBidi" w:cstheme="majorBidi"/>
          <w:sz w:val="24"/>
          <w:szCs w:val="24"/>
        </w:rPr>
        <w:t xml:space="preserve">her/his </w:t>
      </w:r>
      <w:r w:rsidRPr="005C149A">
        <w:rPr>
          <w:rFonts w:ascii="Times New Roman" w:hAnsi="Times New Roman" w:cs="Times New Roman"/>
          <w:sz w:val="24"/>
          <w:szCs w:val="24"/>
        </w:rPr>
        <w:t xml:space="preserve">self, and examining the role of  PWD's family members. </w:t>
      </w:r>
    </w:p>
    <w:p w14:paraId="54FFE437" w14:textId="77777777" w:rsidR="00F37FC8" w:rsidRPr="005C149A" w:rsidRDefault="00F37FC8" w:rsidP="0050316B">
      <w:pPr>
        <w:pStyle w:val="Heading3"/>
      </w:pPr>
      <w:r w:rsidRPr="005C149A">
        <w:t>Police Proceedings regarding PWD</w:t>
      </w:r>
    </w:p>
    <w:p w14:paraId="77E3060B"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On 7 April 2021, the Police established Operations Division (OD) Procedure No. 220.002.21 for patrol officers regarding the treatment of PWD. The procedure establishes guidelines for the treatment of persons with mental disabilities by police officers. </w:t>
      </w:r>
    </w:p>
    <w:p w14:paraId="5B6BBBB2" w14:textId="7E8C2E6B" w:rsidR="00F37FC8" w:rsidRPr="005C149A" w:rsidRDefault="00F37FC8" w:rsidP="00C8799D">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appropriate cases, the Police conducts questionings outside of Police facilities, in accordance with the wishes of the PWD in question. In addition, in certain circumstances, the Police allows PWD to be accompanied during their questioning.</w:t>
      </w:r>
    </w:p>
    <w:p w14:paraId="4F0C847D" w14:textId="77777777" w:rsidR="00F37FC8" w:rsidRPr="005C149A" w:rsidRDefault="00F37FC8" w:rsidP="002D3CE5">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During the COVID-19 pandemic, the Police opened the option of filing a complaint online to all persons, a measure expected to assist PWD especially.</w:t>
      </w:r>
    </w:p>
    <w:p w14:paraId="2E438DAC" w14:textId="62DDB5C8" w:rsidR="00F37FC8" w:rsidRPr="005C149A" w:rsidRDefault="00F37FC8" w:rsidP="00050EF3">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special investigators' internal procedures were amended to include, for example, the requirement to examine the wish of the person being </w:t>
      </w:r>
      <w:r w:rsidR="00050EF3" w:rsidRPr="005C149A">
        <w:rPr>
          <w:rFonts w:asciiTheme="majorBidi" w:hAnsiTheme="majorBidi" w:cstheme="majorBidi"/>
          <w:sz w:val="24"/>
          <w:szCs w:val="24"/>
        </w:rPr>
        <w:t>in</w:t>
      </w:r>
      <w:r w:rsidR="00050EF3">
        <w:rPr>
          <w:rFonts w:asciiTheme="majorBidi" w:hAnsiTheme="majorBidi" w:cstheme="majorBidi"/>
          <w:sz w:val="24"/>
          <w:szCs w:val="24"/>
        </w:rPr>
        <w:t>vestigat</w:t>
      </w:r>
      <w:r w:rsidR="00050EF3" w:rsidRPr="005C149A">
        <w:rPr>
          <w:rFonts w:asciiTheme="majorBidi" w:hAnsiTheme="majorBidi" w:cstheme="majorBidi"/>
          <w:sz w:val="24"/>
          <w:szCs w:val="24"/>
        </w:rPr>
        <w:t xml:space="preserve">ed </w:t>
      </w:r>
      <w:r w:rsidRPr="005C149A">
        <w:rPr>
          <w:rFonts w:asciiTheme="majorBidi" w:hAnsiTheme="majorBidi" w:cstheme="majorBidi"/>
          <w:sz w:val="24"/>
          <w:szCs w:val="24"/>
        </w:rPr>
        <w:t>to be accompanied during the investigation and to obtain her/his position regarding the recommendation whether or not to testify in court. Furthermore, the warning and reading of rights for persons with intellectual disabilities has been linguistically adapted, and their individual understanding is checked.</w:t>
      </w:r>
    </w:p>
    <w:p w14:paraId="709EC64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Police takes steps, through both legal and regulatory tools, to make its services accessible in order to a PWD to receive service from the Police independently, safely and respectfully, to the extent possible. </w:t>
      </w:r>
    </w:p>
    <w:p w14:paraId="1629F7AD"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Police has established an Equality Administration which coordinates and promotes the rights of PWD through training police officers and disseminating information regarding accessibility of services and infrastructures, as well as recruiting police officers with disabilities.</w:t>
      </w:r>
    </w:p>
    <w:p w14:paraId="630F65D0"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every police station, a content expert for the subject of PWD is appointed. The content experts are the contact persons during an encounter between a police officer and a PWD. In addition, they are in charge of the information being disseminated in stations, the knowledge passing to the police officers in the station, and implementing improvements to Police procedures in order to improve their routines over time.</w:t>
      </w:r>
    </w:p>
    <w:p w14:paraId="60C1BEB8" w14:textId="77777777" w:rsidR="00F37FC8" w:rsidRPr="005C149A" w:rsidRDefault="00AE36C0" w:rsidP="00327130">
      <w:pPr>
        <w:pStyle w:val="Heading2"/>
        <w:spacing w:before="0" w:after="0"/>
      </w:pPr>
      <w:r w:rsidRPr="005C149A">
        <w:t>Article 11</w:t>
      </w:r>
    </w:p>
    <w:p w14:paraId="03BE70BD"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18" w:name="_Toc100224045"/>
      <w:r w:rsidRPr="005C149A">
        <w:rPr>
          <w:rFonts w:asciiTheme="majorBidi" w:hAnsiTheme="majorBidi"/>
          <w:b/>
          <w:bCs/>
          <w:color w:val="auto"/>
          <w:sz w:val="24"/>
          <w:szCs w:val="24"/>
          <w:u w:val="single"/>
        </w:rPr>
        <w:t>Question 9</w:t>
      </w:r>
      <w:bookmarkEnd w:id="18"/>
    </w:p>
    <w:p w14:paraId="3BF7B89C" w14:textId="77777777" w:rsidR="00AE36C0" w:rsidRPr="005C149A" w:rsidRDefault="00AE36C0" w:rsidP="00AE36C0">
      <w:pPr>
        <w:pStyle w:val="Heading3"/>
      </w:pPr>
      <w:r w:rsidRPr="005C149A">
        <w:t xml:space="preserve">B. IDF PWD Services Branch </w:t>
      </w:r>
    </w:p>
    <w:p w14:paraId="29720A1F"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Home Front Command conducts training sessions and exercises to improve the emergency readiness of full-care facilities run by the MOWSA and protected communities, as well as exercises for municipalities in offering services during emergencies. </w:t>
      </w:r>
    </w:p>
    <w:p w14:paraId="16FB0BC0" w14:textId="6048B049"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In </w:t>
      </w:r>
      <w:r w:rsidR="00175633">
        <w:rPr>
          <w:rFonts w:asciiTheme="majorBidi" w:hAnsiTheme="majorBidi" w:cstheme="majorBidi"/>
          <w:sz w:val="24"/>
          <w:szCs w:val="24"/>
        </w:rPr>
        <w:t xml:space="preserve">the vicinity of the Gaza Strip and in </w:t>
      </w:r>
      <w:r w:rsidRPr="005C149A">
        <w:rPr>
          <w:rFonts w:asciiTheme="majorBidi" w:hAnsiTheme="majorBidi" w:cstheme="majorBidi"/>
          <w:sz w:val="24"/>
          <w:szCs w:val="24"/>
        </w:rPr>
        <w:t xml:space="preserve">times of armed conflict, the Home Front Command alerts the public to incoming rocket-fire through a variety of measures: sirens, television alerts, radio alerts and written warnings via their website. In order to ensure inclusivity and the safety of persons with hearing disability, a specially developed App provides real-time text message alerts. The App replaced the pagers that were provided to the deaf and hearing impaired populations in Israel. Additional efforts are currently being made to improve the accuracy of the App and provide service when the digital communication is shut off. The Home Front Command hotline is also accessible via text messages. </w:t>
      </w:r>
    </w:p>
    <w:p w14:paraId="37FE78F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Furthermore, relevant information is displayed interactively on the MOWSA website, regarding the proper conduct during situations of fire, earthquake and or rocket-fire and safety measures to take when am emergency  siren is sounded (in Hebrew, Arabic, Amharic, Russian, French, Spanish and English). Practice exercises for all these scenarios are also held in full-care and community facilities. </w:t>
      </w:r>
    </w:p>
    <w:p w14:paraId="3873D973"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tl/>
        </w:rPr>
      </w:pPr>
      <w:bookmarkStart w:id="19" w:name="_Toc100224046"/>
      <w:r w:rsidRPr="005C149A">
        <w:rPr>
          <w:rFonts w:asciiTheme="majorBidi" w:hAnsiTheme="majorBidi"/>
          <w:b/>
          <w:bCs/>
          <w:color w:val="auto"/>
          <w:sz w:val="24"/>
          <w:szCs w:val="24"/>
          <w:u w:val="single"/>
        </w:rPr>
        <w:t>Question 11</w:t>
      </w:r>
      <w:bookmarkEnd w:id="19"/>
    </w:p>
    <w:p w14:paraId="4F69E752" w14:textId="6210BAE1" w:rsidR="00F37FC8" w:rsidRPr="005C149A" w:rsidRDefault="00F37FC8" w:rsidP="000423C8">
      <w:pPr>
        <w:pStyle w:val="Heading3"/>
        <w:tabs>
          <w:tab w:val="right" w:pos="709"/>
        </w:tabs>
        <w:rPr>
          <w:rtl/>
        </w:rPr>
      </w:pPr>
      <w:r w:rsidRPr="005C149A">
        <w:t xml:space="preserve">Effects of the </w:t>
      </w:r>
      <w:r w:rsidR="00050EF3">
        <w:t xml:space="preserve">Covid-19 </w:t>
      </w:r>
      <w:r w:rsidRPr="005C149A">
        <w:t xml:space="preserve">Pandemic on PWD </w:t>
      </w:r>
      <w:r w:rsidR="000423C8">
        <w:t>-</w:t>
      </w:r>
      <w:r w:rsidRPr="005C149A">
        <w:t xml:space="preserve"> Statistical Data </w:t>
      </w:r>
    </w:p>
    <w:p w14:paraId="2CDC06C3" w14:textId="77777777" w:rsidR="00362CD0"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The Covid-19 pandemic affected all persons around the world, however particular characteristics of the pandemic, including, </w:t>
      </w:r>
      <w:r w:rsidRPr="005C149A">
        <w:rPr>
          <w:rFonts w:asciiTheme="majorBidi" w:hAnsiTheme="majorBidi" w:cstheme="majorBidi"/>
          <w:i/>
          <w:iCs/>
          <w:sz w:val="24"/>
          <w:szCs w:val="24"/>
        </w:rPr>
        <w:t>inter alia</w:t>
      </w:r>
      <w:r w:rsidRPr="005C149A">
        <w:rPr>
          <w:rFonts w:asciiTheme="majorBidi" w:hAnsiTheme="majorBidi" w:cstheme="majorBidi"/>
          <w:sz w:val="24"/>
          <w:szCs w:val="24"/>
        </w:rPr>
        <w:t xml:space="preserve">, closures or limitations among service providers or limitations in gatherings of persons, had a greater effect on PWD. According to a survey on the effects of the pandemic on PWD and their families conducted in Israel in October 2020 for the Myers JDC Brookdale Institute the pandemic affected PWD in many fields: </w:t>
      </w:r>
    </w:p>
    <w:p w14:paraId="0FFC35BE" w14:textId="77777777" w:rsidR="00F37FC8" w:rsidRPr="005C149A" w:rsidRDefault="00F37FC8" w:rsidP="000423C8">
      <w:pPr>
        <w:pStyle w:val="ListParagraph"/>
        <w:numPr>
          <w:ilvl w:val="0"/>
          <w:numId w:val="47"/>
        </w:numPr>
        <w:spacing w:line="360" w:lineRule="auto"/>
        <w:ind w:left="851"/>
        <w:contextualSpacing/>
        <w:jc w:val="both"/>
        <w:rPr>
          <w:rFonts w:asciiTheme="majorBidi" w:hAnsiTheme="majorBidi" w:cstheme="majorBidi"/>
          <w:sz w:val="24"/>
          <w:szCs w:val="24"/>
        </w:rPr>
      </w:pPr>
      <w:r w:rsidRPr="005C149A">
        <w:rPr>
          <w:rFonts w:asciiTheme="majorBidi" w:hAnsiTheme="majorBidi" w:cstheme="majorBidi"/>
          <w:b/>
          <w:bCs/>
          <w:sz w:val="24"/>
          <w:szCs w:val="24"/>
        </w:rPr>
        <w:t>Employment</w:t>
      </w:r>
      <w:r w:rsidRPr="005C149A">
        <w:rPr>
          <w:rFonts w:asciiTheme="majorBidi" w:hAnsiTheme="majorBidi" w:cstheme="majorBidi"/>
          <w:sz w:val="24"/>
          <w:szCs w:val="24"/>
        </w:rPr>
        <w:t xml:space="preserve"> - 30% of PWD </w:t>
      </w:r>
      <w:r w:rsidRPr="00391B56">
        <w:rPr>
          <w:rFonts w:ascii="Times New Roman" w:hAnsi="Times New Roman" w:cs="Times New Roman"/>
          <w:sz w:val="24"/>
          <w:szCs w:val="24"/>
        </w:rPr>
        <w:t>reported</w:t>
      </w:r>
      <w:r w:rsidRPr="005C149A">
        <w:rPr>
          <w:rFonts w:asciiTheme="majorBidi" w:hAnsiTheme="majorBidi" w:cstheme="majorBidi"/>
          <w:sz w:val="24"/>
          <w:szCs w:val="24"/>
        </w:rPr>
        <w:t xml:space="preserve"> </w:t>
      </w:r>
      <w:r w:rsidRPr="00391B56">
        <w:rPr>
          <w:rFonts w:ascii="Times New Roman" w:hAnsi="Times New Roman" w:cs="Times New Roman"/>
          <w:sz w:val="24"/>
          <w:szCs w:val="24"/>
          <w:u w:val="single"/>
        </w:rPr>
        <w:t>working</w:t>
      </w:r>
      <w:r w:rsidRPr="005C149A">
        <w:rPr>
          <w:rFonts w:asciiTheme="majorBidi" w:hAnsiTheme="majorBidi" w:cstheme="majorBidi"/>
          <w:sz w:val="24"/>
          <w:szCs w:val="24"/>
        </w:rPr>
        <w:t xml:space="preserve"> less hours since the pandemic broke out, and 4% reported being let go or put on unpaid leave. 42% reported that their financial status did not change, 33% reported that their financial status worsened slightly, 20% reported that their financial status worsened significantly, and 5% reported that their financial status improved. </w:t>
      </w:r>
    </w:p>
    <w:p w14:paraId="59A677C3" w14:textId="6677BA31" w:rsidR="00F37FC8" w:rsidRPr="005C149A" w:rsidRDefault="00F37FC8" w:rsidP="000423C8">
      <w:pPr>
        <w:pStyle w:val="ListParagraph"/>
        <w:numPr>
          <w:ilvl w:val="0"/>
          <w:numId w:val="47"/>
        </w:numPr>
        <w:spacing w:line="360" w:lineRule="auto"/>
        <w:ind w:left="851"/>
        <w:contextualSpacing/>
        <w:jc w:val="both"/>
        <w:rPr>
          <w:rFonts w:asciiTheme="majorBidi" w:hAnsiTheme="majorBidi" w:cstheme="majorBidi"/>
          <w:sz w:val="24"/>
          <w:szCs w:val="24"/>
        </w:rPr>
      </w:pPr>
      <w:r w:rsidRPr="005C149A">
        <w:rPr>
          <w:rFonts w:asciiTheme="majorBidi" w:hAnsiTheme="majorBidi" w:cstheme="majorBidi"/>
          <w:b/>
          <w:bCs/>
          <w:sz w:val="24"/>
          <w:szCs w:val="24"/>
        </w:rPr>
        <w:t>Education</w:t>
      </w:r>
      <w:r w:rsidRPr="005C149A">
        <w:rPr>
          <w:rFonts w:asciiTheme="majorBidi" w:hAnsiTheme="majorBidi" w:cstheme="majorBidi"/>
          <w:sz w:val="24"/>
          <w:szCs w:val="24"/>
        </w:rPr>
        <w:t xml:space="preserve"> - Regarding </w:t>
      </w:r>
      <w:r w:rsidRPr="00391B56">
        <w:rPr>
          <w:rFonts w:asciiTheme="majorBidi" w:hAnsiTheme="majorBidi" w:cstheme="majorBidi"/>
          <w:sz w:val="24"/>
          <w:szCs w:val="24"/>
        </w:rPr>
        <w:t>the periods of the pandemic</w:t>
      </w:r>
      <w:r w:rsidRPr="005C149A">
        <w:rPr>
          <w:rFonts w:asciiTheme="majorBidi" w:hAnsiTheme="majorBidi" w:cstheme="majorBidi"/>
          <w:sz w:val="24"/>
          <w:szCs w:val="24"/>
        </w:rPr>
        <w:t xml:space="preserve"> in which school</w:t>
      </w:r>
      <w:r w:rsidR="00050EF3">
        <w:rPr>
          <w:rFonts w:asciiTheme="majorBidi" w:hAnsiTheme="majorBidi" w:cstheme="majorBidi"/>
          <w:sz w:val="24"/>
          <w:szCs w:val="24"/>
        </w:rPr>
        <w:t>ing?</w:t>
      </w:r>
      <w:r w:rsidRPr="005C149A">
        <w:rPr>
          <w:rFonts w:asciiTheme="majorBidi" w:hAnsiTheme="majorBidi" w:cstheme="majorBidi"/>
          <w:sz w:val="24"/>
          <w:szCs w:val="24"/>
        </w:rPr>
        <w:t xml:space="preserve"> was conducted remotely, 47% reported participating in most or all virtual studies, 25% in some, 9% in none and 19% were not in frameworks of virtual learning. Parents of children with disabilities similarly reported that in 24% of families the child participated in all or most virtual studies, 29% in some, 16% in none and 31% were not in frameworks of virtual learning.</w:t>
      </w:r>
    </w:p>
    <w:p w14:paraId="624D6774" w14:textId="77777777" w:rsidR="00F37FC8" w:rsidRPr="005C149A" w:rsidRDefault="00F37FC8" w:rsidP="000423C8">
      <w:pPr>
        <w:pStyle w:val="ListParagraph"/>
        <w:numPr>
          <w:ilvl w:val="0"/>
          <w:numId w:val="47"/>
        </w:numPr>
        <w:spacing w:line="360" w:lineRule="auto"/>
        <w:ind w:left="851"/>
        <w:contextualSpacing/>
        <w:jc w:val="both"/>
        <w:rPr>
          <w:rFonts w:asciiTheme="majorBidi" w:hAnsiTheme="majorBidi" w:cstheme="majorBidi"/>
          <w:sz w:val="24"/>
          <w:szCs w:val="24"/>
        </w:rPr>
      </w:pPr>
      <w:r w:rsidRPr="005C149A">
        <w:rPr>
          <w:rFonts w:asciiTheme="majorBidi" w:hAnsiTheme="majorBidi" w:cstheme="majorBidi"/>
          <w:b/>
          <w:bCs/>
          <w:sz w:val="24"/>
          <w:szCs w:val="24"/>
        </w:rPr>
        <w:t>Health</w:t>
      </w:r>
      <w:r w:rsidRPr="005C149A">
        <w:rPr>
          <w:rFonts w:asciiTheme="majorBidi" w:hAnsiTheme="majorBidi" w:cstheme="majorBidi"/>
          <w:sz w:val="24"/>
          <w:szCs w:val="24"/>
        </w:rPr>
        <w:t xml:space="preserve"> - Generally, 6% of PWD reported </w:t>
      </w:r>
      <w:r w:rsidRPr="00391B56">
        <w:rPr>
          <w:rFonts w:asciiTheme="majorBidi" w:hAnsiTheme="majorBidi" w:cstheme="majorBidi"/>
          <w:sz w:val="24"/>
          <w:szCs w:val="24"/>
        </w:rPr>
        <w:t>an improvement in</w:t>
      </w:r>
      <w:r w:rsidRPr="005C149A">
        <w:rPr>
          <w:rFonts w:asciiTheme="majorBidi" w:hAnsiTheme="majorBidi" w:cstheme="majorBidi"/>
          <w:sz w:val="24"/>
          <w:szCs w:val="24"/>
        </w:rPr>
        <w:t xml:space="preserve"> their health status, 56% reported no change in their health status, 32% reported a worsened health status and 6% reported a significantly worse health status. 5% of PWD reported an improvement in their mental health, 29% reported no change in their mental health, 51% reported a worsened state of mental health and 15% reported a significantly worse state of mental health. </w:t>
      </w:r>
    </w:p>
    <w:p w14:paraId="4E86B165" w14:textId="77777777" w:rsidR="00F37FC8" w:rsidRPr="005C149A" w:rsidRDefault="00F37FC8" w:rsidP="000423C8">
      <w:pPr>
        <w:pStyle w:val="ListParagraph"/>
        <w:numPr>
          <w:ilvl w:val="0"/>
          <w:numId w:val="47"/>
        </w:numPr>
        <w:spacing w:line="360" w:lineRule="auto"/>
        <w:ind w:left="851"/>
        <w:contextualSpacing/>
        <w:jc w:val="both"/>
        <w:rPr>
          <w:rFonts w:asciiTheme="majorBidi" w:hAnsiTheme="majorBidi" w:cstheme="majorBidi"/>
          <w:sz w:val="24"/>
          <w:szCs w:val="24"/>
        </w:rPr>
      </w:pPr>
      <w:r w:rsidRPr="005C149A">
        <w:rPr>
          <w:rFonts w:asciiTheme="majorBidi" w:hAnsiTheme="majorBidi" w:cstheme="majorBidi"/>
          <w:b/>
          <w:bCs/>
          <w:sz w:val="24"/>
          <w:szCs w:val="24"/>
        </w:rPr>
        <w:t>Family life</w:t>
      </w:r>
      <w:r w:rsidRPr="005C149A">
        <w:rPr>
          <w:rFonts w:asciiTheme="majorBidi" w:hAnsiTheme="majorBidi" w:cstheme="majorBidi"/>
          <w:sz w:val="24"/>
          <w:szCs w:val="24"/>
        </w:rPr>
        <w:t xml:space="preserve"> - 23% of PWD reported </w:t>
      </w:r>
      <w:r w:rsidRPr="00391B56">
        <w:rPr>
          <w:rFonts w:asciiTheme="majorBidi" w:hAnsiTheme="majorBidi" w:cstheme="majorBidi"/>
          <w:sz w:val="24"/>
          <w:szCs w:val="24"/>
        </w:rPr>
        <w:t>an improvement in their</w:t>
      </w:r>
      <w:r w:rsidRPr="005C149A">
        <w:rPr>
          <w:rFonts w:asciiTheme="majorBidi" w:hAnsiTheme="majorBidi" w:cstheme="majorBidi"/>
          <w:sz w:val="24"/>
          <w:szCs w:val="24"/>
        </w:rPr>
        <w:t xml:space="preserve"> relationship with their family, 44% reported no change in their relationship with their family, 26% reported a worsened relationship with their family and 7% reported a significantly worse relationship with their family. </w:t>
      </w:r>
    </w:p>
    <w:p w14:paraId="20504AE2" w14:textId="77777777" w:rsidR="00F37FC8" w:rsidRPr="005C149A" w:rsidRDefault="00F37FC8" w:rsidP="000423C8">
      <w:pPr>
        <w:pStyle w:val="ListParagraph"/>
        <w:numPr>
          <w:ilvl w:val="0"/>
          <w:numId w:val="47"/>
        </w:numPr>
        <w:spacing w:line="360" w:lineRule="auto"/>
        <w:ind w:left="851"/>
        <w:contextualSpacing/>
        <w:jc w:val="both"/>
        <w:rPr>
          <w:rFonts w:asciiTheme="majorBidi" w:hAnsiTheme="majorBidi" w:cstheme="majorBidi"/>
          <w:sz w:val="24"/>
          <w:szCs w:val="24"/>
          <w:rtl/>
        </w:rPr>
      </w:pPr>
      <w:r w:rsidRPr="005C149A">
        <w:rPr>
          <w:rFonts w:asciiTheme="majorBidi" w:hAnsiTheme="majorBidi" w:cstheme="majorBidi"/>
          <w:b/>
          <w:bCs/>
          <w:sz w:val="24"/>
          <w:szCs w:val="24"/>
        </w:rPr>
        <w:t>General functioning</w:t>
      </w:r>
      <w:r w:rsidRPr="005C149A">
        <w:rPr>
          <w:rFonts w:asciiTheme="majorBidi" w:hAnsiTheme="majorBidi" w:cstheme="majorBidi"/>
          <w:sz w:val="24"/>
          <w:szCs w:val="24"/>
        </w:rPr>
        <w:t xml:space="preserve"> -</w:t>
      </w:r>
      <w:r w:rsidR="0098008B" w:rsidRPr="005C149A">
        <w:rPr>
          <w:rFonts w:asciiTheme="majorBidi" w:hAnsiTheme="majorBidi" w:cstheme="majorBidi"/>
          <w:sz w:val="24"/>
          <w:szCs w:val="24"/>
        </w:rPr>
        <w:t xml:space="preserve"> </w:t>
      </w:r>
      <w:r w:rsidRPr="005C149A">
        <w:rPr>
          <w:rFonts w:asciiTheme="majorBidi" w:hAnsiTheme="majorBidi" w:cstheme="majorBidi"/>
          <w:sz w:val="24"/>
          <w:szCs w:val="24"/>
        </w:rPr>
        <w:t xml:space="preserve">8% of PWD </w:t>
      </w:r>
      <w:r w:rsidRPr="00391B56">
        <w:rPr>
          <w:rFonts w:asciiTheme="majorBidi" w:hAnsiTheme="majorBidi" w:cstheme="majorBidi"/>
          <w:sz w:val="24"/>
          <w:szCs w:val="24"/>
        </w:rPr>
        <w:t>reported an improvement in their</w:t>
      </w:r>
      <w:r w:rsidRPr="005C149A">
        <w:rPr>
          <w:rFonts w:asciiTheme="majorBidi" w:hAnsiTheme="majorBidi" w:cstheme="majorBidi"/>
          <w:sz w:val="24"/>
          <w:szCs w:val="24"/>
        </w:rPr>
        <w:t xml:space="preserve"> general functioning, 40% reported no change in their general functioning, 43% reported a worsened functionality and 9% reported a significantly worse functionality.</w:t>
      </w:r>
    </w:p>
    <w:p w14:paraId="435575C0" w14:textId="77777777" w:rsidR="00F37FC8" w:rsidRPr="005C149A" w:rsidRDefault="00F37FC8" w:rsidP="0050316B">
      <w:pPr>
        <w:pStyle w:val="Heading3"/>
      </w:pPr>
      <w:r w:rsidRPr="005C149A">
        <w:t>Measures during the COVID-19 Pandemic taking PWD into Consideration</w:t>
      </w:r>
    </w:p>
    <w:p w14:paraId="409322B0"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On July 23, 2020, the Knesset legislated the</w:t>
      </w:r>
      <w:r w:rsidRPr="005C149A">
        <w:rPr>
          <w:rFonts w:asciiTheme="majorBidi" w:hAnsiTheme="majorBidi" w:cstheme="majorBidi"/>
          <w:i/>
          <w:iCs/>
          <w:sz w:val="24"/>
          <w:szCs w:val="24"/>
        </w:rPr>
        <w:t xml:space="preserve"> Special Authorities to Combat the New Coronavirus (Temporary Provision) Law </w:t>
      </w:r>
      <w:r w:rsidRPr="005C149A">
        <w:rPr>
          <w:rFonts w:asciiTheme="majorBidi" w:hAnsiTheme="majorBidi" w:cstheme="majorBidi"/>
          <w:sz w:val="24"/>
          <w:szCs w:val="24"/>
        </w:rPr>
        <w:t>5780-2020 (</w:t>
      </w:r>
      <w:r w:rsidRPr="005C149A">
        <w:rPr>
          <w:rFonts w:asciiTheme="majorBidi" w:hAnsiTheme="majorBidi" w:cstheme="majorBidi"/>
          <w:i/>
          <w:iCs/>
          <w:sz w:val="24"/>
          <w:szCs w:val="24"/>
        </w:rPr>
        <w:t>Special Authorities Law</w:t>
      </w:r>
      <w:r w:rsidRPr="005C149A">
        <w:rPr>
          <w:rFonts w:asciiTheme="majorBidi" w:hAnsiTheme="majorBidi" w:cstheme="majorBidi"/>
          <w:sz w:val="24"/>
          <w:szCs w:val="24"/>
        </w:rPr>
        <w:t xml:space="preserve">). Section 4(b) requires that any emergency regulation promulgated pursuant to this law will take into consideration the rights and needs of the elderly, children and PWD, as well as the provisions of the </w:t>
      </w:r>
      <w:r w:rsidRPr="005C149A">
        <w:rPr>
          <w:rFonts w:asciiTheme="majorBidi" w:hAnsiTheme="majorBidi" w:cstheme="majorBidi"/>
          <w:i/>
          <w:iCs/>
          <w:sz w:val="24"/>
          <w:szCs w:val="24"/>
        </w:rPr>
        <w:t>Equal Rights Law</w:t>
      </w:r>
      <w:r w:rsidRPr="005C149A">
        <w:rPr>
          <w:rFonts w:asciiTheme="majorBidi" w:hAnsiTheme="majorBidi" w:cstheme="majorBidi"/>
          <w:sz w:val="24"/>
          <w:szCs w:val="24"/>
        </w:rPr>
        <w:t xml:space="preserve">. </w:t>
      </w:r>
    </w:p>
    <w:p w14:paraId="67A68EE7"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Specific guidelines took PWD into account during the periods of lockdown, and many exemptions were offered to PWD depending on their needs. For example</w:t>
      </w:r>
      <w:r w:rsidRPr="005C149A">
        <w:rPr>
          <w:rFonts w:asciiTheme="majorBidi" w:hAnsiTheme="majorBidi" w:cstheme="majorBidi"/>
          <w:sz w:val="24"/>
          <w:szCs w:val="24"/>
          <w:rtl/>
        </w:rPr>
        <w:t>:</w:t>
      </w:r>
      <w:r w:rsidRPr="005C149A">
        <w:rPr>
          <w:rFonts w:asciiTheme="majorBidi" w:hAnsiTheme="majorBidi" w:cstheme="majorBidi"/>
          <w:sz w:val="24"/>
          <w:szCs w:val="24"/>
        </w:rPr>
        <w:t xml:space="preserve"> a first-degree family member or guardian was allowed to travel beyond the restricted area to visit a PWD in the community, PWD were allowed to exceed the restricted area and travel not in accordance with lockdown measures, to the extent it was required due to their disability, and with relevant accompaniment. It was allowed for part-time caregivers to enter the homes of PWD, and exit for treatments. </w:t>
      </w:r>
    </w:p>
    <w:p w14:paraId="7BC5335E"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Other exemptions included exemption from providing a PCR test as a condition to enter certain public places; exemption from mandatory mask wearing; certain exemptions based on accessibility of State facilities used for isolating; special arrangements on flights, etc. </w:t>
      </w:r>
    </w:p>
    <w:p w14:paraId="57509C3A" w14:textId="5401EA61"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All Government Ministries made, and are still making efforts to ensure all information and services are accessible during COVID-19. in order to make accessible accommodations for PWD during COVID-19, for example the Commission provided accessible information during the pandemic in Hebrew and Arabic; </w:t>
      </w:r>
      <w:r w:rsidR="00050EF3">
        <w:rPr>
          <w:rFonts w:asciiTheme="majorBidi" w:hAnsiTheme="majorBidi" w:cstheme="majorBidi"/>
          <w:sz w:val="24"/>
          <w:szCs w:val="24"/>
        </w:rPr>
        <w:t xml:space="preserve">the </w:t>
      </w:r>
      <w:r w:rsidRPr="005C149A">
        <w:rPr>
          <w:rFonts w:asciiTheme="majorBidi" w:hAnsiTheme="majorBidi" w:cstheme="majorBidi"/>
          <w:sz w:val="24"/>
          <w:szCs w:val="24"/>
        </w:rPr>
        <w:t xml:space="preserve">MOWSA provided accessible information regarding services and the pandemic, and </w:t>
      </w:r>
      <w:r w:rsidR="00050EF3">
        <w:rPr>
          <w:rFonts w:asciiTheme="majorBidi" w:hAnsiTheme="majorBidi" w:cstheme="majorBidi"/>
          <w:sz w:val="24"/>
          <w:szCs w:val="24"/>
        </w:rPr>
        <w:t xml:space="preserve">the </w:t>
      </w:r>
      <w:r w:rsidRPr="005C149A">
        <w:rPr>
          <w:rFonts w:asciiTheme="majorBidi" w:hAnsiTheme="majorBidi" w:cstheme="majorBidi"/>
          <w:sz w:val="24"/>
          <w:szCs w:val="24"/>
        </w:rPr>
        <w:t xml:space="preserve">MOH made increasing amounts of its information accessible as the pandemic developed. </w:t>
      </w:r>
    </w:p>
    <w:p w14:paraId="4A86394F" w14:textId="77777777" w:rsidR="00F37FC8" w:rsidRPr="005C149A" w:rsidRDefault="00F37FC8" w:rsidP="0050316B">
      <w:pPr>
        <w:pStyle w:val="Heading3"/>
      </w:pPr>
      <w:r w:rsidRPr="005C149A">
        <w:t>Closure of the MOWSA Facilities during the COVID-19 Pandemic</w:t>
      </w:r>
    </w:p>
    <w:p w14:paraId="1A51562E" w14:textId="3CD6F006"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the initial stages of the COVID-19 pandemic, during the initial lockdowns full-care facilities, including nursing homes were closed for visitations, in order to mitigate the spread of the virus. Afterwards</w:t>
      </w:r>
      <w:r w:rsidR="00050EF3">
        <w:rPr>
          <w:rFonts w:asciiTheme="majorBidi" w:hAnsiTheme="majorBidi" w:cstheme="majorBidi"/>
          <w:sz w:val="24"/>
          <w:szCs w:val="24"/>
        </w:rPr>
        <w:t>,</w:t>
      </w:r>
      <w:r w:rsidRPr="005C149A">
        <w:rPr>
          <w:rFonts w:asciiTheme="majorBidi" w:hAnsiTheme="majorBidi" w:cstheme="majorBidi"/>
          <w:sz w:val="24"/>
          <w:szCs w:val="24"/>
        </w:rPr>
        <w:t xml:space="preserve"> limited visitations were permitted.</w:t>
      </w:r>
    </w:p>
    <w:p w14:paraId="3D63EB5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tl/>
        </w:rPr>
      </w:pPr>
      <w:r w:rsidRPr="005C149A">
        <w:rPr>
          <w:rFonts w:asciiTheme="majorBidi" w:hAnsiTheme="majorBidi" w:cstheme="majorBidi"/>
          <w:sz w:val="24"/>
          <w:szCs w:val="24"/>
        </w:rPr>
        <w:t xml:space="preserve">The rehabilitative day-care centers were also shut down for a short period of time and were re-opened, prior to many other services that remained closed, in order to assist PWD during the COVID-19 pandemic. </w:t>
      </w:r>
    </w:p>
    <w:p w14:paraId="3D475CA4" w14:textId="77777777" w:rsidR="00F37FC8" w:rsidRPr="005C149A" w:rsidRDefault="000423C8" w:rsidP="0050316B">
      <w:pPr>
        <w:pStyle w:val="Heading3"/>
      </w:pPr>
      <w:r>
        <w:t>"</w:t>
      </w:r>
      <w:r w:rsidR="00F37FC8" w:rsidRPr="005C149A">
        <w:t>Fathers and Mothers Shield</w:t>
      </w:r>
      <w:r>
        <w:t>"</w:t>
      </w:r>
      <w:r w:rsidR="00F37FC8" w:rsidRPr="005C149A">
        <w:t xml:space="preserve"> Program</w:t>
      </w:r>
    </w:p>
    <w:p w14:paraId="75B9CDB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On April 11, 2020, the MOH established the Fathers and Mothers Shield program, aimed at coordinating the protection of the elderly and PWD residing in full-care facilities from the spread of the COVID-19 pandemic. The project enabled government officials in charge of geriatric and other full-care facilities to coordinate their protective measures and create work plans that could be amended on a daily basis, in order to ensure tailored solutions.</w:t>
      </w:r>
    </w:p>
    <w:p w14:paraId="741643B7" w14:textId="77777777" w:rsidR="00F37FC8" w:rsidRPr="005C149A" w:rsidRDefault="00F37FC8" w:rsidP="0050316B">
      <w:pPr>
        <w:pStyle w:val="Heading3"/>
      </w:pPr>
      <w:r w:rsidRPr="005C149A">
        <w:t>Education during the COVID-19 Pandemic</w:t>
      </w:r>
    </w:p>
    <w:p w14:paraId="1530BA18" w14:textId="6E939DAF"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As of January 2022, there were three (3) periods in which the education system was closed to in-person learning and educational institutions moved to virtual studies. The special education system was closed for only few weeks in the first lockdown and in the following lockdowns remained open even when the general education system was closed or shifted to remote learning. One of the issues arising for mainstreamed pupils in general education system was that the personal teaching aid could not arrive to their home. Later on, it was agreed that the personal teaching aids could come to the </w:t>
      </w:r>
      <w:r w:rsidR="005D012B" w:rsidRPr="005C149A">
        <w:rPr>
          <w:rFonts w:asciiTheme="majorBidi" w:hAnsiTheme="majorBidi" w:cstheme="majorBidi"/>
          <w:sz w:val="24"/>
          <w:szCs w:val="24"/>
        </w:rPr>
        <w:t>pupils'</w:t>
      </w:r>
      <w:r w:rsidRPr="005C149A">
        <w:rPr>
          <w:rFonts w:asciiTheme="majorBidi" w:hAnsiTheme="majorBidi" w:cstheme="majorBidi"/>
          <w:sz w:val="24"/>
          <w:szCs w:val="24"/>
        </w:rPr>
        <w:t xml:space="preserve"> homes even during lockdown in order to assist the mainstreamed pupils during remote learning. </w:t>
      </w:r>
    </w:p>
    <w:p w14:paraId="095FF2E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In order to assist pupils to adapt to virtual learning, as of March 2021, 2,811 computers were provided to 355 special education institutions. The MOH opened a hotline for questions regarding the pandemic; 3.9% of questions came from special education frameworks.</w:t>
      </w:r>
    </w:p>
    <w:p w14:paraId="40F55224" w14:textId="77777777" w:rsidR="00F37FC8" w:rsidRPr="005C149A" w:rsidRDefault="00F37FC8" w:rsidP="000423C8">
      <w:pPr>
        <w:pStyle w:val="Heading3"/>
      </w:pPr>
      <w:r w:rsidRPr="005C149A">
        <w:t xml:space="preserve">Equal </w:t>
      </w:r>
      <w:r w:rsidR="000423C8">
        <w:t>A</w:t>
      </w:r>
      <w:r w:rsidRPr="005C149A">
        <w:t xml:space="preserve">ccess to </w:t>
      </w:r>
      <w:r w:rsidR="000423C8">
        <w:t>H</w:t>
      </w:r>
      <w:r w:rsidRPr="005C149A">
        <w:t xml:space="preserve">ealthcare </w:t>
      </w:r>
      <w:r w:rsidR="000423C8">
        <w:t>d</w:t>
      </w:r>
      <w:r w:rsidRPr="005C149A">
        <w:t>uring the COVID-19 Pandemic</w:t>
      </w:r>
    </w:p>
    <w:p w14:paraId="1E5D15F5"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b/>
          <w:bCs/>
          <w:sz w:val="24"/>
          <w:szCs w:val="24"/>
          <w:rtl/>
        </w:rPr>
      </w:pPr>
      <w:r w:rsidRPr="005C149A">
        <w:rPr>
          <w:rFonts w:asciiTheme="majorBidi" w:hAnsiTheme="majorBidi" w:cstheme="majorBidi"/>
          <w:sz w:val="24"/>
          <w:szCs w:val="24"/>
        </w:rPr>
        <w:t>Pursuant to the aforementioned MOD regulations, assessments were conducted to determine the readiness of services dedicated to PWD to maintain functional continuity in emergencies.</w:t>
      </w:r>
    </w:p>
    <w:p w14:paraId="74201A8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Administration established designated frameworks for PWD who contracted the virus and were required to be in isolation, by establishing a separate ward. In addition, the Administration worked to train medical teams in hospitals, so that they could properly treat PWD if their situation deteriorated. The MOH made efforts to establish accessible COVID-19 testing facilities; each HMO arranged accessible facilities to allow persons with mobility or other disabilities to receive services.</w:t>
      </w:r>
    </w:p>
    <w:p w14:paraId="0EA7055D"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Special COVID-19 wards were opened at mental health clinics, tailored to the needs of persons with mental disabilities. In addition, a unique framework was established for providing out-of-home support, without hospitalization, for persons with mental disabilities, alongside the facilities in the community, most of which remained open throughout the pandemic, to the extent possible. </w:t>
      </w:r>
    </w:p>
    <w:p w14:paraId="3885838C" w14:textId="77777777" w:rsidR="00F37FC8" w:rsidRPr="005C149A" w:rsidRDefault="00F37FC8" w:rsidP="000423C8">
      <w:pPr>
        <w:pStyle w:val="Heading3"/>
      </w:pPr>
      <w:r w:rsidRPr="005C149A">
        <w:t xml:space="preserve">Accessible </w:t>
      </w:r>
      <w:r w:rsidR="000423C8">
        <w:t>I</w:t>
      </w:r>
      <w:r w:rsidRPr="005C149A">
        <w:t xml:space="preserve">nformation </w:t>
      </w:r>
      <w:r w:rsidR="000423C8">
        <w:t>d</w:t>
      </w:r>
      <w:r w:rsidRPr="005C149A">
        <w:t>uring the COVID-19 Pandemic</w:t>
      </w:r>
    </w:p>
    <w:p w14:paraId="751465A0"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Due to the gaps in accessible information, the Commission published adapted information in accessible formats, including MOH guidelines and updates in both Hebrew and Arabic. The information was also published on social media. The Commission further conducted public webinars. The MOH made increasing amounts of the information accessible.</w:t>
      </w:r>
    </w:p>
    <w:p w14:paraId="2A8BAE2D"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tl/>
        </w:rPr>
      </w:pPr>
      <w:r w:rsidRPr="005C149A">
        <w:rPr>
          <w:rFonts w:asciiTheme="majorBidi" w:hAnsiTheme="majorBidi" w:cstheme="majorBidi"/>
          <w:sz w:val="24"/>
          <w:szCs w:val="24"/>
        </w:rPr>
        <w:t>The MOWSA offered accessible information regarding the pandemic and social services through various means: the "accessible community" website; multi-service community centers, established throughout the country, managed by and for PWD; family informational centers, operated on both municipal and national levels.</w:t>
      </w:r>
    </w:p>
    <w:p w14:paraId="4BA5C259" w14:textId="77777777" w:rsidR="00F37FC8" w:rsidRPr="005C149A" w:rsidRDefault="00F37FC8" w:rsidP="000423C8">
      <w:pPr>
        <w:pStyle w:val="Heading3"/>
      </w:pPr>
      <w:r w:rsidRPr="005C149A">
        <w:t xml:space="preserve">State </w:t>
      </w:r>
      <w:r w:rsidR="000423C8">
        <w:t>F</w:t>
      </w:r>
      <w:r w:rsidRPr="005C149A">
        <w:t xml:space="preserve">unded Isolation Hostels </w:t>
      </w:r>
      <w:r w:rsidR="000423C8">
        <w:t>d</w:t>
      </w:r>
      <w:r w:rsidRPr="005C149A">
        <w:t>uring the COVID-19 Pandemic</w:t>
      </w:r>
    </w:p>
    <w:p w14:paraId="311DAD8B"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During several succinct periods of the pandemic, according to certain criteria persons had to isolate in State-provided hostels. The MOH collaborated with the Home Front Command to create procedures that order, to the extent possible, adapted conditions for the stay of PWD in COVID-19 hotels. According to the relevant emergency regulations (</w:t>
      </w:r>
      <w:r w:rsidRPr="005C149A">
        <w:rPr>
          <w:rFonts w:asciiTheme="majorBidi" w:hAnsiTheme="majorBidi" w:cstheme="majorBidi"/>
          <w:i/>
          <w:iCs/>
          <w:sz w:val="24"/>
          <w:szCs w:val="24"/>
        </w:rPr>
        <w:t>Extending the Force of the Emergency Regulations Law (New Coronavirus) (Isolation in a Government-Provided Isolation Facility)</w:t>
      </w:r>
      <w:r w:rsidRPr="005C149A">
        <w:rPr>
          <w:rFonts w:asciiTheme="majorBidi" w:hAnsiTheme="majorBidi" w:cstheme="majorBidi"/>
          <w:sz w:val="24"/>
          <w:szCs w:val="24"/>
        </w:rPr>
        <w:t xml:space="preserve"> 5780-2020), promulgated on July 2, 2020 a PWD will not be referred to a State isolation facility until an official ensures that it is both accessible and suits the person's particular needs, as well as convinced that isolating in such a facility will not cause that person harm due to her/his disability.</w:t>
      </w:r>
    </w:p>
    <w:p w14:paraId="5A9785D6" w14:textId="77777777" w:rsidR="00F37FC8" w:rsidRPr="005C149A" w:rsidRDefault="00F37FC8" w:rsidP="0050316B">
      <w:pPr>
        <w:pStyle w:val="Heading3"/>
      </w:pPr>
      <w:r w:rsidRPr="005C149A">
        <w:t>Services in the Community during the COVID-19 Pandemic</w:t>
      </w:r>
    </w:p>
    <w:p w14:paraId="01F64281"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Municipal social services departments provided a range of services, including: providing meals for persons in isolation, sick persons or persons without financial means; delivering medicinal or other essential equipment; meetings and entertainment were organized to alleviate loneliness; visitations of educational staff to the homes of children with disabilities. In various cases, local authorities assisted in transporting patients requiring emergency services to the hospitals, and bringing medical personnel to the patients' homes.</w:t>
      </w:r>
    </w:p>
    <w:p w14:paraId="5F620795" w14:textId="77777777" w:rsidR="00F37FC8" w:rsidRPr="005C149A" w:rsidRDefault="00F37FC8" w:rsidP="002D3CE5">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The MOH requested all HMOs provide three (3) sessions with a mental health therapist to any person seeking mental health support, including via chat services translated into sign language.</w:t>
      </w:r>
      <w:r w:rsidRPr="005C149A">
        <w:rPr>
          <w:rStyle w:val="FootnoteReference"/>
          <w:sz w:val="24"/>
          <w:szCs w:val="24"/>
          <w:rtl/>
        </w:rPr>
        <w:t xml:space="preserve"> </w:t>
      </w:r>
    </w:p>
    <w:p w14:paraId="4EC9CC3A"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A unique educational tool "I care about you" was developed to identify distress and risk due to the pandemic, and was adapted to different age groups in both Hebrew and Arabic.</w:t>
      </w:r>
    </w:p>
    <w:p w14:paraId="2EACA989" w14:textId="77777777" w:rsidR="00F37FC8" w:rsidRPr="005C149A" w:rsidRDefault="00F37FC8" w:rsidP="0050316B">
      <w:pPr>
        <w:pStyle w:val="Heading3"/>
      </w:pPr>
      <w:r w:rsidRPr="005C149A">
        <w:t>Social Benefits during the COVID-19 Pandemic</w:t>
      </w:r>
    </w:p>
    <w:p w14:paraId="30F0A5CB"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During the COVID-19 pandemic, several amendments were made to prevent harm to the earning potential of PWD who receive disability allowances. </w:t>
      </w:r>
    </w:p>
    <w:p w14:paraId="1B1518FE" w14:textId="77777777" w:rsidR="00F37FC8" w:rsidRPr="005C149A" w:rsidRDefault="00F37FC8" w:rsidP="00C000F6">
      <w:pPr>
        <w:pStyle w:val="ListParagraph"/>
        <w:numPr>
          <w:ilvl w:val="0"/>
          <w:numId w:val="22"/>
        </w:numPr>
        <w:spacing w:line="360" w:lineRule="auto"/>
        <w:ind w:left="426" w:hanging="426"/>
        <w:jc w:val="both"/>
        <w:rPr>
          <w:rFonts w:asciiTheme="majorBidi" w:hAnsiTheme="majorBidi" w:cstheme="majorBidi"/>
          <w:sz w:val="24"/>
          <w:szCs w:val="24"/>
        </w:rPr>
      </w:pPr>
      <w:r w:rsidRPr="005C149A">
        <w:rPr>
          <w:rFonts w:asciiTheme="majorBidi" w:hAnsiTheme="majorBidi" w:cstheme="majorBidi"/>
          <w:sz w:val="24"/>
          <w:szCs w:val="24"/>
        </w:rPr>
        <w:t xml:space="preserve">On June 28, 2020, Amendment No. 216 to the </w:t>
      </w:r>
      <w:r w:rsidRPr="005C149A">
        <w:rPr>
          <w:rFonts w:asciiTheme="majorBidi" w:hAnsiTheme="majorBidi" w:cstheme="majorBidi"/>
          <w:i/>
          <w:iCs/>
          <w:sz w:val="24"/>
          <w:szCs w:val="24"/>
        </w:rPr>
        <w:t xml:space="preserve">National Insurance Law </w:t>
      </w:r>
      <w:r w:rsidRPr="005C149A">
        <w:rPr>
          <w:rFonts w:asciiTheme="majorBidi" w:hAnsiTheme="majorBidi" w:cstheme="majorBidi"/>
          <w:sz w:val="24"/>
          <w:szCs w:val="24"/>
        </w:rPr>
        <w:t>5755-1995,  entered into force, until November 30, 2020 (</w:t>
      </w:r>
      <w:r w:rsidRPr="005C149A">
        <w:rPr>
          <w:rFonts w:asciiTheme="majorBidi" w:hAnsiTheme="majorBidi" w:cstheme="majorBidi"/>
          <w:i/>
          <w:iCs/>
          <w:sz w:val="24"/>
          <w:szCs w:val="24"/>
        </w:rPr>
        <w:t>National Insurance Law (The New Coronavirus - Temporary Provision - Amendment No. 216) (Special provisions regarding unemployment insurance</w:t>
      </w:r>
      <w:r w:rsidRPr="005C149A">
        <w:rPr>
          <w:rFonts w:asciiTheme="majorBidi" w:hAnsiTheme="majorBidi" w:cstheme="majorBidi"/>
          <w:sz w:val="24"/>
          <w:szCs w:val="24"/>
        </w:rPr>
        <w:t>) 5780-2020). This Amendment, which expired on November 30, 2020, stipulated that persons receiving allowances including disability allowances are eligible for unemployment benefits.</w:t>
      </w:r>
    </w:p>
    <w:p w14:paraId="136C7D4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November 18, 2020, another amendment raised the amount of economic assistance offered due to the pandemic that a person is eligible for, without it affecting their eligibility to receive their disability allowance </w:t>
      </w:r>
      <w:r w:rsidRPr="005C149A">
        <w:rPr>
          <w:rFonts w:asciiTheme="majorBidi" w:hAnsiTheme="majorBidi" w:cstheme="majorBidi"/>
          <w:i/>
          <w:iCs/>
          <w:sz w:val="24"/>
          <w:szCs w:val="24"/>
        </w:rPr>
        <w:t>(The Economic Assistance Program Law (the New Coronavirus) (Temporary Provision)</w:t>
      </w:r>
      <w:r w:rsidRPr="005C149A">
        <w:rPr>
          <w:rFonts w:asciiTheme="majorBidi" w:hAnsiTheme="majorBidi" w:cstheme="majorBidi"/>
          <w:sz w:val="24"/>
          <w:szCs w:val="24"/>
        </w:rPr>
        <w:t xml:space="preserve"> 5780-2020).</w:t>
      </w:r>
    </w:p>
    <w:p w14:paraId="440DC3D6"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August 2020, the Government provided financial grants to all citizens of Israel in the amount of 750 NIS (approx. 239 USD), to assist them in the pandemic. Those entitled to a disability allowance and recipients of special benefits whose needs were increased due to the pandemic were given additional grants in the amount of an additional 750 NIS (approx. 239 USD), i.e., a total of 1,500 NIS (approx. 478 USD).</w:t>
      </w:r>
      <w:r w:rsidRPr="005C149A">
        <w:rPr>
          <w:rStyle w:val="FootnoteReference"/>
          <w:sz w:val="24"/>
          <w:szCs w:val="24"/>
          <w:rtl/>
        </w:rPr>
        <w:t xml:space="preserve"> </w:t>
      </w:r>
    </w:p>
    <w:p w14:paraId="5F1EBC6F"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During January-June 2021, an additional grant not exceeding 190 NIS (59 USD) per month was provided to persons eligible for disability allowance.</w:t>
      </w:r>
    </w:p>
    <w:p w14:paraId="392FEA68" w14:textId="36B6F89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NII expanded the work committees could conduct without the physical presence of the applicant (based on his/her documents alone) in order to ease the burden on PWD to arrive at NII offices and limit the</w:t>
      </w:r>
      <w:r w:rsidR="005D012B">
        <w:rPr>
          <w:rFonts w:asciiTheme="majorBidi" w:hAnsiTheme="majorBidi" w:cstheme="majorBidi"/>
          <w:sz w:val="24"/>
          <w:szCs w:val="24"/>
        </w:rPr>
        <w:t>ir</w:t>
      </w:r>
      <w:r w:rsidRPr="005C149A">
        <w:rPr>
          <w:rFonts w:asciiTheme="majorBidi" w:hAnsiTheme="majorBidi" w:cstheme="majorBidi"/>
          <w:sz w:val="24"/>
          <w:szCs w:val="24"/>
        </w:rPr>
        <w:t xml:space="preserve"> exposure to the virus. </w:t>
      </w:r>
    </w:p>
    <w:p w14:paraId="7E4069D3" w14:textId="77777777" w:rsidR="00F37FC8" w:rsidRPr="005C149A" w:rsidRDefault="00F37FC8" w:rsidP="000423C8">
      <w:pPr>
        <w:pStyle w:val="Heading3"/>
      </w:pPr>
      <w:bookmarkStart w:id="20" w:name="_Hlk78054376"/>
      <w:r w:rsidRPr="005C149A">
        <w:t xml:space="preserve">Food Security Projects during COVID-19 </w:t>
      </w:r>
      <w:r w:rsidR="000423C8">
        <w:t>P</w:t>
      </w:r>
      <w:r w:rsidRPr="005C149A">
        <w:t>andemic</w:t>
      </w:r>
    </w:p>
    <w:p w14:paraId="0828BFE3" w14:textId="36C44900"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December 2020, the MOI launched a "Food Security for Vulnerable Families" project to distribute food vouchers to those in need based on </w:t>
      </w:r>
      <w:r w:rsidR="003C0B92">
        <w:rPr>
          <w:rFonts w:asciiTheme="majorBidi" w:hAnsiTheme="majorBidi" w:cstheme="majorBidi"/>
          <w:sz w:val="24"/>
          <w:szCs w:val="24"/>
        </w:rPr>
        <w:t xml:space="preserve">the </w:t>
      </w:r>
      <w:r w:rsidRPr="005C149A">
        <w:rPr>
          <w:rFonts w:asciiTheme="majorBidi" w:hAnsiTheme="majorBidi" w:cstheme="majorBidi"/>
          <w:sz w:val="24"/>
          <w:szCs w:val="24"/>
        </w:rPr>
        <w:t xml:space="preserve">MOI eligibility criteria. Disability benefits pursuant to Sections 4 and 11 of the </w:t>
      </w:r>
      <w:r w:rsidRPr="005C149A">
        <w:rPr>
          <w:rFonts w:asciiTheme="majorBidi" w:hAnsiTheme="majorBidi" w:cstheme="majorBidi"/>
          <w:i/>
          <w:iCs/>
          <w:sz w:val="24"/>
          <w:szCs w:val="24"/>
        </w:rPr>
        <w:t xml:space="preserve">National Insurance </w:t>
      </w:r>
      <w:r w:rsidRPr="005C149A">
        <w:rPr>
          <w:rFonts w:asciiTheme="majorBidi" w:hAnsiTheme="majorBidi" w:cstheme="majorBidi"/>
          <w:sz w:val="24"/>
          <w:szCs w:val="24"/>
        </w:rPr>
        <w:t xml:space="preserve">Law and the </w:t>
      </w:r>
      <w:r w:rsidRPr="005C149A">
        <w:rPr>
          <w:rFonts w:asciiTheme="majorBidi" w:hAnsiTheme="majorBidi" w:cstheme="majorBidi"/>
          <w:i/>
          <w:iCs/>
          <w:sz w:val="24"/>
          <w:szCs w:val="24"/>
        </w:rPr>
        <w:t xml:space="preserve">National Insurance Institute (Child with Disabilities) Regulations </w:t>
      </w:r>
      <w:r w:rsidRPr="005C149A">
        <w:rPr>
          <w:rFonts w:asciiTheme="majorBidi" w:hAnsiTheme="majorBidi" w:cstheme="majorBidi"/>
          <w:sz w:val="24"/>
          <w:szCs w:val="24"/>
        </w:rPr>
        <w:t>5770-2010 are not considered in determining "income" with respect to the distribution of the project, allowing these families to receive these benefits.</w:t>
      </w:r>
    </w:p>
    <w:p w14:paraId="1E56213D"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addition, the MOWSA operated three (3) food security projects in 2020, in which food vouchers were distributed to families in need. According to the criteria and income tests set as eligibility conditions, a large group of PWD who receive governmental assistance were entitled to food vouchers under these projects.</w:t>
      </w:r>
    </w:p>
    <w:bookmarkEnd w:id="20"/>
    <w:p w14:paraId="6945D65B" w14:textId="77777777" w:rsidR="00AE36C0" w:rsidRPr="005C149A" w:rsidRDefault="00AE36C0" w:rsidP="00327130">
      <w:pPr>
        <w:pStyle w:val="Heading2"/>
        <w:spacing w:before="0" w:after="0"/>
      </w:pPr>
      <w:r w:rsidRPr="005C149A">
        <w:t>Article 12</w:t>
      </w:r>
    </w:p>
    <w:p w14:paraId="373D5FEA" w14:textId="77777777" w:rsidR="00AE36C0" w:rsidRPr="005C149A" w:rsidRDefault="00AE36C0"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21" w:name="_Toc100147394"/>
      <w:bookmarkStart w:id="22" w:name="_Toc100224047"/>
      <w:r w:rsidRPr="005C149A">
        <w:rPr>
          <w:rFonts w:asciiTheme="majorBidi" w:hAnsiTheme="majorBidi"/>
          <w:b/>
          <w:bCs/>
          <w:color w:val="auto"/>
          <w:sz w:val="24"/>
          <w:szCs w:val="24"/>
          <w:u w:val="single"/>
        </w:rPr>
        <w:t>Question 12</w:t>
      </w:r>
      <w:bookmarkEnd w:id="21"/>
      <w:bookmarkEnd w:id="22"/>
    </w:p>
    <w:p w14:paraId="48955B57" w14:textId="77777777" w:rsidR="00AE36C0" w:rsidRPr="005C149A" w:rsidRDefault="00AE36C0" w:rsidP="00AE36C0">
      <w:pPr>
        <w:pStyle w:val="Heading3"/>
      </w:pPr>
      <w:r w:rsidRPr="005C149A">
        <w:t>A. Supported Decision-Making</w:t>
      </w:r>
    </w:p>
    <w:p w14:paraId="24DDEF73"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b/>
          <w:bCs/>
          <w:sz w:val="24"/>
          <w:szCs w:val="24"/>
          <w:u w:val="single"/>
          <w:rtl/>
        </w:rPr>
      </w:pPr>
      <w:r w:rsidRPr="005C149A">
        <w:rPr>
          <w:rFonts w:asciiTheme="majorBidi" w:hAnsiTheme="majorBidi" w:cstheme="majorBidi"/>
          <w:sz w:val="24"/>
          <w:szCs w:val="24"/>
        </w:rPr>
        <w:t>Israel has taken many steps to implement the law and realize the newly introduced supported decision making  measures:</w:t>
      </w:r>
    </w:p>
    <w:p w14:paraId="7137D642" w14:textId="40871059" w:rsidR="00F37FC8" w:rsidRPr="005C149A" w:rsidRDefault="00F37FC8" w:rsidP="003C0B92">
      <w:pPr>
        <w:pStyle w:val="ListParagraph"/>
        <w:widowControl w:val="0"/>
        <w:numPr>
          <w:ilvl w:val="0"/>
          <w:numId w:val="18"/>
        </w:numPr>
        <w:autoSpaceDE w:val="0"/>
        <w:autoSpaceDN w:val="0"/>
        <w:adjustRightInd w:val="0"/>
        <w:spacing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 xml:space="preserve">A special budget has been allocated for the purpose of integrating and disseminating information on Amendment No. 18 to the </w:t>
      </w:r>
      <w:r w:rsidRPr="005C149A">
        <w:rPr>
          <w:rFonts w:asciiTheme="majorBidi" w:hAnsiTheme="majorBidi" w:cstheme="majorBidi"/>
          <w:i/>
          <w:iCs/>
          <w:sz w:val="24"/>
          <w:szCs w:val="24"/>
        </w:rPr>
        <w:t>Legal Capacity and Guardianship Law</w:t>
      </w:r>
      <w:r w:rsidRPr="005C149A">
        <w:rPr>
          <w:rFonts w:asciiTheme="majorBidi" w:hAnsiTheme="majorBidi" w:cstheme="majorBidi"/>
          <w:sz w:val="24"/>
          <w:szCs w:val="24"/>
        </w:rPr>
        <w:t xml:space="preserve">, among the general public and relevant professionals, in order to promote the alternatives to guardianship in the State of Israel. The AG, together with the Commission, conducted numerous training sessions and seminars on this subject. </w:t>
      </w:r>
    </w:p>
    <w:p w14:paraId="062386C2" w14:textId="77777777" w:rsidR="00F37FC8" w:rsidRPr="005C149A" w:rsidRDefault="00F37FC8" w:rsidP="00C000F6">
      <w:pPr>
        <w:pStyle w:val="ListParagraph"/>
        <w:widowControl w:val="0"/>
        <w:numPr>
          <w:ilvl w:val="0"/>
          <w:numId w:val="18"/>
        </w:numPr>
        <w:autoSpaceDE w:val="0"/>
        <w:autoSpaceDN w:val="0"/>
        <w:adjustRightInd w:val="0"/>
        <w:spacing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 xml:space="preserve">The AG training resources include hundreds of lectures aimed at heightening exposure of the mechanism and sharing information for different target audiences: PWD, family members and professionals. Furthermore, the AG operates two (2) mandatory training programs: </w:t>
      </w:r>
    </w:p>
    <w:p w14:paraId="1BF57FCB" w14:textId="77777777" w:rsidR="00F37FC8" w:rsidRPr="005C149A" w:rsidRDefault="00362CD0" w:rsidP="00C000F6">
      <w:pPr>
        <w:pStyle w:val="ListParagraph"/>
        <w:numPr>
          <w:ilvl w:val="0"/>
          <w:numId w:val="32"/>
        </w:numPr>
        <w:spacing w:line="360" w:lineRule="auto"/>
        <w:ind w:left="1276" w:hanging="142"/>
        <w:jc w:val="both"/>
        <w:rPr>
          <w:rFonts w:asciiTheme="majorBidi" w:hAnsiTheme="majorBidi" w:cstheme="majorBidi"/>
          <w:sz w:val="24"/>
          <w:szCs w:val="24"/>
        </w:rPr>
      </w:pPr>
      <w:r w:rsidRPr="005C149A">
        <w:rPr>
          <w:rFonts w:asciiTheme="majorBidi" w:hAnsiTheme="majorBidi" w:cstheme="majorBidi"/>
          <w:sz w:val="24"/>
          <w:szCs w:val="24"/>
        </w:rPr>
        <w:t xml:space="preserve">A 15 hour </w:t>
      </w:r>
      <w:r w:rsidR="00F37FC8" w:rsidRPr="005C149A">
        <w:rPr>
          <w:rFonts w:asciiTheme="majorBidi" w:hAnsiTheme="majorBidi" w:cstheme="majorBidi"/>
          <w:sz w:val="24"/>
          <w:szCs w:val="24"/>
        </w:rPr>
        <w:t xml:space="preserve">long program for volunteer supporters of decision-making conducted by the AG, </w:t>
      </w:r>
    </w:p>
    <w:p w14:paraId="343454E1" w14:textId="188AF143" w:rsidR="00F37FC8" w:rsidRPr="005C149A" w:rsidRDefault="00362CD0" w:rsidP="00C000F6">
      <w:pPr>
        <w:pStyle w:val="ListParagraph"/>
        <w:numPr>
          <w:ilvl w:val="0"/>
          <w:numId w:val="32"/>
        </w:numPr>
        <w:spacing w:line="360" w:lineRule="auto"/>
        <w:ind w:left="1276" w:hanging="142"/>
        <w:jc w:val="both"/>
        <w:rPr>
          <w:rFonts w:asciiTheme="majorBidi" w:hAnsiTheme="majorBidi" w:cstheme="majorBidi"/>
          <w:sz w:val="24"/>
          <w:szCs w:val="24"/>
        </w:rPr>
      </w:pPr>
      <w:r w:rsidRPr="005C149A">
        <w:rPr>
          <w:rFonts w:asciiTheme="majorBidi" w:hAnsiTheme="majorBidi" w:cstheme="majorBidi"/>
          <w:sz w:val="24"/>
          <w:szCs w:val="24"/>
        </w:rPr>
        <w:t>A 60</w:t>
      </w:r>
      <w:r w:rsidR="003C0B92">
        <w:rPr>
          <w:rFonts w:asciiTheme="majorBidi" w:hAnsiTheme="majorBidi" w:cstheme="majorBidi"/>
          <w:sz w:val="24"/>
          <w:szCs w:val="24"/>
        </w:rPr>
        <w:t>-</w:t>
      </w:r>
      <w:r w:rsidRPr="005C149A">
        <w:rPr>
          <w:rFonts w:asciiTheme="majorBidi" w:hAnsiTheme="majorBidi" w:cstheme="majorBidi"/>
          <w:sz w:val="24"/>
          <w:szCs w:val="24"/>
        </w:rPr>
        <w:t xml:space="preserve">hour </w:t>
      </w:r>
      <w:r w:rsidR="00F37FC8" w:rsidRPr="005C149A">
        <w:rPr>
          <w:rFonts w:asciiTheme="majorBidi" w:hAnsiTheme="majorBidi" w:cstheme="majorBidi"/>
          <w:sz w:val="24"/>
          <w:szCs w:val="24"/>
        </w:rPr>
        <w:t>long program for professional supports of decision-making supervised by the AG conducted by academic institutes. There were seven (7) training programs for over 100 supporters of decision-making.</w:t>
      </w:r>
    </w:p>
    <w:p w14:paraId="56A9162D"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AG programs includes content related to: social perceptions and integration of PWD, rights of PWD and elderly PWD, the role of the supporter of decision-making, accessibility and communication skills and information regarding other relevant services. The AG training resources include hundreds of lectures aimed at sharing information and raising awareness of the mechanism and sharing information for different target audiences: PWD, family members and professionals.</w:t>
      </w:r>
    </w:p>
    <w:p w14:paraId="2FC49F67"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MOJ, together with the MOH, has taken measures to implement the alternative of supporters of decision-making by training MOH social workers and medical professionals, specifically those handling legal capacity issues or PWD. Several hundred professionals took part in these trainings. Additionally, guidelines for social workers involved in legal procedures require them to examine first the possibility to appoint a supporter of decision-making, even in cases where a guardian's appointment was requested. It is apparent that raising awareness about the alternatives to guardianship leads to a decrease in applications for guardianship.</w:t>
      </w:r>
    </w:p>
    <w:p w14:paraId="25241134" w14:textId="77777777" w:rsidR="00F37FC8" w:rsidRPr="005C149A" w:rsidRDefault="00F37FC8" w:rsidP="00C000F6">
      <w:pPr>
        <w:pStyle w:val="ListParagraph"/>
        <w:widowControl w:val="0"/>
        <w:numPr>
          <w:ilvl w:val="0"/>
          <w:numId w:val="33"/>
        </w:numPr>
        <w:autoSpaceDE w:val="0"/>
        <w:autoSpaceDN w:val="0"/>
        <w:adjustRightInd w:val="0"/>
        <w:spacing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A public campaign run by the MOJ promoting guardianship alternatives was broadcasted on the radio, social media and the internet with a budget of 700,000 NIS (219,180 USD). Additionally, brochures on both enduring power of attorney and supported decision-making were distributed to professionals and the general public.</w:t>
      </w:r>
    </w:p>
    <w:p w14:paraId="73B4C91C" w14:textId="77777777" w:rsidR="00F37FC8" w:rsidRPr="005C149A" w:rsidRDefault="00F37FC8" w:rsidP="00C000F6">
      <w:pPr>
        <w:pStyle w:val="ListParagraph"/>
        <w:widowControl w:val="0"/>
        <w:numPr>
          <w:ilvl w:val="0"/>
          <w:numId w:val="33"/>
        </w:numPr>
        <w:autoSpaceDE w:val="0"/>
        <w:autoSpaceDN w:val="0"/>
        <w:adjustRightInd w:val="0"/>
        <w:spacing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 xml:space="preserve">Pursuant to Amendment No. 18, the AG established a new call center for complaints and inquiries. There are currently three (3) phone lines: for the subject of guardianship, for the subject of enduring power of attorney and for the subject of supported decision-making. The call center handles hundreds of inquiries per year. The AG has a thorough process for investigating complaints, including gathering information and testimonies. In all these fields hundreds of complaints are handled each year. In 2021 a digital program for recording complaints on enduring power of attorney was established.  </w:t>
      </w:r>
    </w:p>
    <w:p w14:paraId="7994337A"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Statistical Data on Supported </w:t>
      </w:r>
      <w:r w:rsidR="007D56C0" w:rsidRPr="005C149A">
        <w:rPr>
          <w:rFonts w:asciiTheme="majorBidi" w:hAnsiTheme="majorBidi" w:cstheme="majorBidi"/>
          <w:sz w:val="24"/>
          <w:szCs w:val="24"/>
          <w:u w:val="single"/>
        </w:rPr>
        <w:t>Decision-M</w:t>
      </w:r>
      <w:r w:rsidRPr="005C149A">
        <w:rPr>
          <w:rFonts w:asciiTheme="majorBidi" w:hAnsiTheme="majorBidi" w:cstheme="majorBidi"/>
          <w:sz w:val="24"/>
          <w:szCs w:val="24"/>
          <w:u w:val="single"/>
        </w:rPr>
        <w:t xml:space="preserve">aking and Enduring </w:t>
      </w:r>
      <w:r w:rsidR="007D56C0" w:rsidRPr="005C149A">
        <w:rPr>
          <w:rFonts w:asciiTheme="majorBidi" w:hAnsiTheme="majorBidi" w:cstheme="majorBidi"/>
          <w:sz w:val="24"/>
          <w:szCs w:val="24"/>
          <w:u w:val="single"/>
        </w:rPr>
        <w:t>P</w:t>
      </w:r>
      <w:r w:rsidRPr="005C149A">
        <w:rPr>
          <w:rFonts w:asciiTheme="majorBidi" w:hAnsiTheme="majorBidi" w:cstheme="majorBidi"/>
          <w:sz w:val="24"/>
          <w:szCs w:val="24"/>
          <w:u w:val="single"/>
        </w:rPr>
        <w:t xml:space="preserve">ower of </w:t>
      </w:r>
      <w:r w:rsidR="007D56C0" w:rsidRPr="005C149A">
        <w:rPr>
          <w:rFonts w:asciiTheme="majorBidi" w:hAnsiTheme="majorBidi" w:cstheme="majorBidi"/>
          <w:sz w:val="24"/>
          <w:szCs w:val="24"/>
          <w:u w:val="single"/>
        </w:rPr>
        <w:t>A</w:t>
      </w:r>
      <w:r w:rsidRPr="005C149A">
        <w:rPr>
          <w:rFonts w:asciiTheme="majorBidi" w:hAnsiTheme="majorBidi" w:cstheme="majorBidi"/>
          <w:sz w:val="24"/>
          <w:szCs w:val="24"/>
          <w:u w:val="single"/>
        </w:rPr>
        <w:t>ttorney</w:t>
      </w:r>
    </w:p>
    <w:p w14:paraId="4587B659" w14:textId="25566365" w:rsidR="007D56C0"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b/>
          <w:bCs/>
          <w:sz w:val="24"/>
          <w:szCs w:val="24"/>
        </w:rPr>
        <w:t>Supported decision</w:t>
      </w:r>
      <w:r w:rsidR="002D66D3">
        <w:rPr>
          <w:rFonts w:asciiTheme="majorBidi" w:hAnsiTheme="majorBidi" w:cstheme="majorBidi"/>
          <w:b/>
          <w:bCs/>
          <w:sz w:val="24"/>
          <w:szCs w:val="24"/>
        </w:rPr>
        <w:t>-</w:t>
      </w:r>
      <w:r w:rsidRPr="005C149A">
        <w:rPr>
          <w:rFonts w:asciiTheme="majorBidi" w:hAnsiTheme="majorBidi" w:cstheme="majorBidi"/>
          <w:b/>
          <w:bCs/>
          <w:sz w:val="24"/>
          <w:szCs w:val="24"/>
        </w:rPr>
        <w:t>making</w:t>
      </w:r>
      <w:r w:rsidRPr="005C149A">
        <w:rPr>
          <w:rFonts w:asciiTheme="majorBidi" w:hAnsiTheme="majorBidi" w:cstheme="majorBidi"/>
          <w:sz w:val="24"/>
          <w:szCs w:val="24"/>
        </w:rPr>
        <w:t xml:space="preserve"> - Amendment No. 18 was enacted in March 2016, and entered into force in April 2018 (for more information, see paras. 90-96 of the </w:t>
      </w:r>
      <w:r w:rsidR="000C2AE5" w:rsidRPr="005C149A">
        <w:rPr>
          <w:rFonts w:asciiTheme="majorBidi" w:hAnsiTheme="majorBidi" w:cstheme="majorBidi"/>
          <w:sz w:val="24"/>
          <w:szCs w:val="24"/>
        </w:rPr>
        <w:t xml:space="preserve">Israel's </w:t>
      </w:r>
      <w:r w:rsidRPr="005C149A">
        <w:rPr>
          <w:rFonts w:asciiTheme="majorBidi" w:hAnsiTheme="majorBidi" w:cstheme="majorBidi"/>
          <w:sz w:val="24"/>
          <w:szCs w:val="24"/>
        </w:rPr>
        <w:t xml:space="preserve">Initial Report). Between 2016-2018, approximately 60 supporters of decision-making were appointed. 700 appointments of supporters were made since the Amendment entered into force until October 2021.  </w:t>
      </w:r>
    </w:p>
    <w:p w14:paraId="026B44E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b/>
          <w:bCs/>
          <w:sz w:val="24"/>
          <w:szCs w:val="24"/>
        </w:rPr>
        <w:t>Enduring power of attorney</w:t>
      </w:r>
      <w:r w:rsidRPr="005C149A">
        <w:rPr>
          <w:rFonts w:asciiTheme="majorBidi" w:hAnsiTheme="majorBidi" w:cstheme="majorBidi"/>
          <w:sz w:val="24"/>
          <w:szCs w:val="24"/>
        </w:rPr>
        <w:t xml:space="preserve"> - As of November 2021, 70,283 enduring power of attorney requests were filed, of which only 2,106 were activated. </w:t>
      </w:r>
    </w:p>
    <w:p w14:paraId="683E4FB1" w14:textId="77777777" w:rsidR="007D56C0" w:rsidRPr="005C149A" w:rsidRDefault="007D56C0"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AG Internal Procedure on Supported Decision-Making</w:t>
      </w:r>
    </w:p>
    <w:p w14:paraId="39841EFB" w14:textId="7E2FDB2D" w:rsidR="007D56C0" w:rsidRPr="005C149A" w:rsidRDefault="007D56C0" w:rsidP="002D66D3">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July 2018, a new temporary internal procedure was published by the AG, </w:t>
      </w:r>
      <w:r w:rsidR="002D66D3">
        <w:rPr>
          <w:rFonts w:asciiTheme="majorBidi" w:hAnsiTheme="majorBidi" w:cstheme="majorBidi"/>
          <w:sz w:val="24"/>
          <w:szCs w:val="24"/>
        </w:rPr>
        <w:t xml:space="preserve">that </w:t>
      </w:r>
      <w:r w:rsidRPr="005C149A">
        <w:rPr>
          <w:rFonts w:asciiTheme="majorBidi" w:hAnsiTheme="majorBidi" w:cstheme="majorBidi"/>
          <w:sz w:val="24"/>
          <w:szCs w:val="24"/>
        </w:rPr>
        <w:t>aim</w:t>
      </w:r>
      <w:r w:rsidR="002D66D3">
        <w:rPr>
          <w:rFonts w:asciiTheme="majorBidi" w:hAnsiTheme="majorBidi" w:cstheme="majorBidi"/>
          <w:sz w:val="24"/>
          <w:szCs w:val="24"/>
        </w:rPr>
        <w:t xml:space="preserve">s </w:t>
      </w:r>
      <w:r w:rsidRPr="005C149A">
        <w:rPr>
          <w:rFonts w:asciiTheme="majorBidi" w:hAnsiTheme="majorBidi" w:cstheme="majorBidi"/>
          <w:sz w:val="24"/>
          <w:szCs w:val="24"/>
        </w:rPr>
        <w:t xml:space="preserve">to regulate and offer clarity regarding the process of appointing a supporter of decision-making, the criteria for appointment, the supporter's responsibilities and the manner in which he/she should fulfil their role. </w:t>
      </w:r>
    </w:p>
    <w:p w14:paraId="1CA56052" w14:textId="77777777" w:rsidR="007D56C0" w:rsidRPr="005C149A" w:rsidRDefault="007D56C0"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procedure is a temporary tool, until the relevant regulations are promulgated pursuant to Section 67B of the </w:t>
      </w:r>
      <w:r w:rsidRPr="005C149A">
        <w:rPr>
          <w:rFonts w:asciiTheme="majorBidi" w:hAnsiTheme="majorBidi" w:cstheme="majorBidi"/>
          <w:i/>
          <w:iCs/>
          <w:sz w:val="24"/>
          <w:szCs w:val="24"/>
        </w:rPr>
        <w:t>Legal Capacity and Guardianship Law</w:t>
      </w:r>
      <w:r w:rsidRPr="005C149A">
        <w:rPr>
          <w:rFonts w:asciiTheme="majorBidi" w:hAnsiTheme="majorBidi" w:cstheme="majorBidi"/>
          <w:sz w:val="24"/>
          <w:szCs w:val="24"/>
        </w:rPr>
        <w:t xml:space="preserve">. </w:t>
      </w:r>
    </w:p>
    <w:p w14:paraId="0F6CFB2A" w14:textId="77777777" w:rsidR="007D56C0" w:rsidRPr="005C149A" w:rsidRDefault="007D56C0" w:rsidP="007D56C0">
      <w:pPr>
        <w:pStyle w:val="Heading3"/>
      </w:pPr>
      <w:r w:rsidRPr="005C149A">
        <w:t>B. Measures to Eliminate Guardianship</w:t>
      </w:r>
    </w:p>
    <w:p w14:paraId="62EC37C6"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The Inter-Ministerial Committee for Guardianship and Alternatives for Support and Protection of Adults </w:t>
      </w:r>
    </w:p>
    <w:p w14:paraId="1B2485A4"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inter-ministerial committee’s national plan recommendations included the following objectives: development and implementation of guardianship alternatives; promotion of comprehensive, effective and accessible public services within the guardianship domain; development and improvement of professional public services concerning guardianship; supported decision-making; as well as other alternatives and manners to enhance inter-sectoral collaboration and sharing knowledge. </w:t>
      </w:r>
    </w:p>
    <w:p w14:paraId="6327AED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inter-ministerial committee’s recommendations aimed to promote legislation adapted to the spirit of social change and equality of PWD. Following are the main recommendations:</w:t>
      </w:r>
    </w:p>
    <w:p w14:paraId="046AFB72"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 xml:space="preserve">To establish a legal competency tribunal, thereby reducing court proceedings </w:t>
      </w:r>
      <w:r w:rsidRPr="005C149A">
        <w:rPr>
          <w:rFonts w:ascii="Times New Roman" w:hAnsi="Times New Roman" w:cs="Times New Roman"/>
          <w:sz w:val="24"/>
          <w:szCs w:val="24"/>
        </w:rPr>
        <w:t>and to have an opportunity to hear the person's desires and to find the best alternative for her/him</w:t>
      </w:r>
      <w:r w:rsidRPr="005C149A">
        <w:rPr>
          <w:rFonts w:asciiTheme="majorBidi" w:hAnsiTheme="majorBidi" w:cstheme="majorBidi"/>
          <w:sz w:val="24"/>
          <w:szCs w:val="24"/>
        </w:rPr>
        <w:t>;</w:t>
      </w:r>
    </w:p>
    <w:p w14:paraId="173D04A1"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Legislating alternative models for the process of appointing a guardian in urgent medical cases;</w:t>
      </w:r>
      <w:r w:rsidRPr="005C149A">
        <w:rPr>
          <w:rStyle w:val="FootnoteReference"/>
          <w:sz w:val="24"/>
          <w:szCs w:val="24"/>
        </w:rPr>
        <w:t xml:space="preserve"> </w:t>
      </w:r>
    </w:p>
    <w:p w14:paraId="1AE76184"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 xml:space="preserve">Implementation, training for and access to Amendment 18 of the </w:t>
      </w:r>
      <w:r w:rsidRPr="005C149A">
        <w:rPr>
          <w:rFonts w:asciiTheme="majorBidi" w:hAnsiTheme="majorBidi" w:cstheme="majorBidi"/>
          <w:i/>
          <w:iCs/>
          <w:sz w:val="24"/>
          <w:szCs w:val="24"/>
        </w:rPr>
        <w:t>Legal Competency and Guardianship Law</w:t>
      </w:r>
      <w:r w:rsidRPr="005C149A">
        <w:rPr>
          <w:rFonts w:asciiTheme="majorBidi" w:hAnsiTheme="majorBidi" w:cstheme="majorBidi"/>
          <w:sz w:val="24"/>
          <w:szCs w:val="24"/>
        </w:rPr>
        <w:t xml:space="preserve">; </w:t>
      </w:r>
    </w:p>
    <w:p w14:paraId="3994D44E"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Changing the mechanism of “allowance recipients” who are appointed by the NII for obtaining the allowances of PWD who may not understand the matter, so that it is only a temporary appointment, and recommendations for improving the appointment process;</w:t>
      </w:r>
    </w:p>
    <w:p w14:paraId="1DA17587"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Modification of the professional guardians model and state funding and distinguishing between minors and adults;</w:t>
      </w:r>
      <w:r w:rsidRPr="005C149A">
        <w:rPr>
          <w:rStyle w:val="FootnoteReference"/>
          <w:sz w:val="24"/>
          <w:szCs w:val="24"/>
        </w:rPr>
        <w:t xml:space="preserve"> </w:t>
      </w:r>
    </w:p>
    <w:p w14:paraId="56267091"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Holding mandatory training programs for private and professional guardians;</w:t>
      </w:r>
      <w:r w:rsidRPr="005C149A">
        <w:rPr>
          <w:rStyle w:val="FootnoteReference"/>
          <w:sz w:val="24"/>
          <w:szCs w:val="24"/>
        </w:rPr>
        <w:t xml:space="preserve"> </w:t>
      </w:r>
    </w:p>
    <w:p w14:paraId="1BB9512E"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Establishing a supervision framework by the AG concerning personal and property issues;</w:t>
      </w:r>
    </w:p>
    <w:p w14:paraId="2F6C17C5"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Promoting uniform guidelines vis-a-vis banks and financial bodies regarding PWD;</w:t>
      </w:r>
      <w:r w:rsidRPr="005C149A">
        <w:rPr>
          <w:rStyle w:val="FootnoteReference"/>
          <w:sz w:val="24"/>
          <w:szCs w:val="24"/>
        </w:rPr>
        <w:t xml:space="preserve"> </w:t>
      </w:r>
    </w:p>
    <w:p w14:paraId="60D8B409" w14:textId="77777777" w:rsidR="00F37FC8" w:rsidRPr="005C149A" w:rsidRDefault="00F37FC8" w:rsidP="00C000F6">
      <w:pPr>
        <w:pStyle w:val="ListParagraph"/>
        <w:widowControl w:val="0"/>
        <w:numPr>
          <w:ilvl w:val="0"/>
          <w:numId w:val="17"/>
        </w:numPr>
        <w:autoSpaceDE w:val="0"/>
        <w:autoSpaceDN w:val="0"/>
        <w:adjustRightInd w:val="0"/>
        <w:spacing w:line="360" w:lineRule="auto"/>
        <w:ind w:left="851" w:hanging="425"/>
        <w:jc w:val="both"/>
        <w:rPr>
          <w:rFonts w:asciiTheme="majorBidi" w:hAnsiTheme="majorBidi" w:cstheme="majorBidi"/>
          <w:sz w:val="24"/>
          <w:szCs w:val="24"/>
        </w:rPr>
      </w:pPr>
      <w:r w:rsidRPr="005C149A">
        <w:rPr>
          <w:rFonts w:asciiTheme="majorBidi" w:hAnsiTheme="majorBidi" w:cstheme="majorBidi"/>
          <w:sz w:val="24"/>
          <w:szCs w:val="24"/>
        </w:rPr>
        <w:t>Increasing collaboration and sharing information between the relevant parties.</w:t>
      </w:r>
    </w:p>
    <w:p w14:paraId="747FA47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As mentioned in the Report, the recommendations were published in 2019 and since then the teams have been working intensively in order to specify the details to promote its implementation.  </w:t>
      </w:r>
    </w:p>
    <w:p w14:paraId="5FD487D2"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0423C8">
        <w:rPr>
          <w:rFonts w:ascii="Times New Roman" w:hAnsi="Times New Roman" w:cs="Times New Roman"/>
          <w:sz w:val="24"/>
          <w:szCs w:val="24"/>
          <w:u w:val="single"/>
        </w:rPr>
        <w:t xml:space="preserve">The </w:t>
      </w:r>
      <w:r w:rsidR="007D56C0" w:rsidRPr="000423C8">
        <w:rPr>
          <w:rFonts w:ascii="Times New Roman" w:hAnsi="Times New Roman" w:cs="Times New Roman"/>
          <w:sz w:val="24"/>
          <w:szCs w:val="24"/>
          <w:u w:val="single"/>
        </w:rPr>
        <w:t>S</w:t>
      </w:r>
      <w:r w:rsidRPr="000423C8">
        <w:rPr>
          <w:rFonts w:ascii="Times New Roman" w:hAnsi="Times New Roman" w:cs="Times New Roman"/>
          <w:sz w:val="24"/>
          <w:szCs w:val="24"/>
          <w:u w:val="single"/>
        </w:rPr>
        <w:t xml:space="preserve">upervision of </w:t>
      </w:r>
      <w:r w:rsidR="007D56C0" w:rsidRPr="000423C8">
        <w:rPr>
          <w:rFonts w:ascii="Times New Roman" w:hAnsi="Times New Roman" w:cs="Times New Roman"/>
          <w:sz w:val="24"/>
          <w:szCs w:val="24"/>
          <w:u w:val="single"/>
        </w:rPr>
        <w:t>G</w:t>
      </w:r>
      <w:r w:rsidRPr="000423C8">
        <w:rPr>
          <w:rFonts w:ascii="Times New Roman" w:hAnsi="Times New Roman" w:cs="Times New Roman"/>
          <w:sz w:val="24"/>
          <w:szCs w:val="24"/>
          <w:u w:val="single"/>
        </w:rPr>
        <w:t>uardians</w:t>
      </w:r>
      <w:r w:rsidRPr="005C149A">
        <w:rPr>
          <w:rFonts w:asciiTheme="majorBidi" w:hAnsiTheme="majorBidi" w:cstheme="majorBidi"/>
          <w:sz w:val="24"/>
          <w:szCs w:val="24"/>
          <w:u w:val="single"/>
        </w:rPr>
        <w:t xml:space="preserve"> for </w:t>
      </w:r>
      <w:r w:rsidR="007D56C0" w:rsidRPr="005C149A">
        <w:rPr>
          <w:rFonts w:asciiTheme="majorBidi" w:hAnsiTheme="majorBidi" w:cstheme="majorBidi"/>
          <w:sz w:val="24"/>
          <w:szCs w:val="24"/>
          <w:u w:val="single"/>
        </w:rPr>
        <w:t>P</w:t>
      </w:r>
      <w:r w:rsidRPr="005C149A">
        <w:rPr>
          <w:rFonts w:asciiTheme="majorBidi" w:hAnsiTheme="majorBidi" w:cstheme="majorBidi"/>
          <w:sz w:val="24"/>
          <w:szCs w:val="24"/>
          <w:u w:val="single"/>
        </w:rPr>
        <w:t xml:space="preserve">ersonal and </w:t>
      </w:r>
      <w:r w:rsidR="007D56C0" w:rsidRPr="005C149A">
        <w:rPr>
          <w:rFonts w:asciiTheme="majorBidi" w:hAnsiTheme="majorBidi" w:cstheme="majorBidi"/>
          <w:sz w:val="24"/>
          <w:szCs w:val="24"/>
          <w:u w:val="single"/>
        </w:rPr>
        <w:t>M</w:t>
      </w:r>
      <w:r w:rsidRPr="005C149A">
        <w:rPr>
          <w:rFonts w:asciiTheme="majorBidi" w:hAnsiTheme="majorBidi" w:cstheme="majorBidi"/>
          <w:sz w:val="24"/>
          <w:szCs w:val="24"/>
          <w:u w:val="single"/>
        </w:rPr>
        <w:t xml:space="preserve">edical </w:t>
      </w:r>
      <w:r w:rsidR="007D56C0" w:rsidRPr="005C149A">
        <w:rPr>
          <w:rFonts w:asciiTheme="majorBidi" w:hAnsiTheme="majorBidi" w:cstheme="majorBidi"/>
          <w:sz w:val="24"/>
          <w:szCs w:val="24"/>
          <w:u w:val="single"/>
        </w:rPr>
        <w:t>M</w:t>
      </w:r>
      <w:r w:rsidRPr="005C149A">
        <w:rPr>
          <w:rFonts w:asciiTheme="majorBidi" w:hAnsiTheme="majorBidi" w:cstheme="majorBidi"/>
          <w:sz w:val="24"/>
          <w:szCs w:val="24"/>
          <w:u w:val="single"/>
        </w:rPr>
        <w:t xml:space="preserve">atters </w:t>
      </w:r>
    </w:p>
    <w:p w14:paraId="776B7E6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Regarding the pilot on </w:t>
      </w:r>
      <w:r w:rsidRPr="005C149A">
        <w:rPr>
          <w:rFonts w:asciiTheme="majorBidi" w:hAnsiTheme="majorBidi" w:cstheme="majorBidi"/>
          <w:sz w:val="24"/>
          <w:szCs w:val="24"/>
          <w:lang w:val="en"/>
        </w:rPr>
        <w:t xml:space="preserve">supervision for </w:t>
      </w:r>
      <w:r w:rsidRPr="005C149A">
        <w:rPr>
          <w:rFonts w:asciiTheme="majorBidi" w:hAnsiTheme="majorBidi" w:cstheme="majorBidi"/>
          <w:sz w:val="24"/>
          <w:szCs w:val="24"/>
        </w:rPr>
        <w:t xml:space="preserve">personal and medical matters, see Israel's Initial Report, para. 99. Following the termination of the pilot, it was decided to establish a new policy that includes </w:t>
      </w:r>
      <w:r w:rsidRPr="005C149A">
        <w:rPr>
          <w:rStyle w:val="Emphasis"/>
          <w:rFonts w:asciiTheme="majorBidi" w:hAnsiTheme="majorBidi" w:cstheme="majorBidi"/>
          <w:i w:val="0"/>
          <w:iCs w:val="0"/>
          <w:sz w:val="24"/>
          <w:szCs w:val="24"/>
          <w:shd w:val="clear" w:color="auto" w:fill="FFFFFF"/>
        </w:rPr>
        <w:t>supervision of</w:t>
      </w:r>
      <w:r w:rsidRPr="005C149A">
        <w:rPr>
          <w:rStyle w:val="Emphasis"/>
          <w:rFonts w:asciiTheme="majorBidi" w:hAnsiTheme="majorBidi" w:cstheme="majorBidi"/>
          <w:sz w:val="24"/>
          <w:szCs w:val="24"/>
          <w:shd w:val="clear" w:color="auto" w:fill="FFFFFF"/>
        </w:rPr>
        <w:t xml:space="preserve"> </w:t>
      </w:r>
      <w:r w:rsidRPr="005C149A">
        <w:rPr>
          <w:rFonts w:asciiTheme="majorBidi" w:hAnsiTheme="majorBidi" w:cstheme="majorBidi"/>
          <w:sz w:val="24"/>
          <w:szCs w:val="24"/>
        </w:rPr>
        <w:t>guardians for personal and medical matters. Currently, two (2) supervisors oversee complaints, and conduct visitations in both facilities and homes in which persons for whom a guardian was appointed reside. Since 2017, approximately 500 complaints were received from professionals and the general public and approximately 100 visitations at facilities and 60 home visitations were conducted.</w:t>
      </w:r>
    </w:p>
    <w:p w14:paraId="71DCD33D" w14:textId="77777777" w:rsidR="00F37FC8" w:rsidRPr="005C149A" w:rsidRDefault="007D56C0"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Legal Representation</w:t>
      </w:r>
    </w:p>
    <w:p w14:paraId="3FA0B063"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special representation unit at the LAA enables significant representation availability, including in a person’s natural surroundings - their home, or care facility. The information is provided to the person, with necessary adjustments, and utilization of creative communication tools for optimal representation. The attorneys are better able to connect with the persons they represent, integrate them in their proceedings, and in cases where there is difficulty in determining their opinion - creatively examine their wishes in-depth. The process of bringing the person’s position and perception of their reality has also been found to empower the person in the proceedings, and assists in determining a wide range of her/his legal issues. </w:t>
      </w:r>
    </w:p>
    <w:p w14:paraId="129BAF1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special representation unit has been operating in order to enshrine the principles and spirit of Amendment No. 18 including by conducting trainings for judges, social workers, lawyers, law students, nurses in intensive care units, psycho-geriatric physicians, police officers, the elderly etc. </w:t>
      </w:r>
    </w:p>
    <w:p w14:paraId="7998D91F" w14:textId="0CF8441D" w:rsidR="00F37FC8" w:rsidRPr="005C149A" w:rsidRDefault="00F37FC8" w:rsidP="002D66D3">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Since Amendment No. 18 entered into force, dozens of precedential rulings implemented both the Amendment and its spirit. It is clear that the intense activity of the representation unit has gradually led to enshrining the rights of those being represented in proceedings and reducing the limitations of their freedom. Many rulings have been issued regarding the right to life in the community (including end of life) and avoiding coercive placement in facilities, the right to avoid coercion of medical treatment, the right to a “different” lifestyle and addressing the person’s point of view as the person experiences it.</w:t>
      </w:r>
      <w:r w:rsidRPr="005C149A">
        <w:rPr>
          <w:rFonts w:asciiTheme="majorBidi" w:hAnsiTheme="majorBidi" w:cstheme="majorBidi"/>
          <w:sz w:val="24"/>
          <w:szCs w:val="24"/>
          <w:vertAlign w:val="superscript"/>
        </w:rPr>
        <w:t xml:space="preserve"> </w:t>
      </w:r>
    </w:p>
    <w:p w14:paraId="77CE7D4F"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LAA collaborates with many organizations in the field of aging, and routinely receives cases, conducts meetings and brainstorming to make services more accessible and offer personal, social, occupational, professional and medical accompaniment as necessary. Noting existing barriers regarding information and accessibility</w:t>
      </w:r>
      <w:r w:rsidRPr="005C149A">
        <w:rPr>
          <w:rFonts w:asciiTheme="majorBidi" w:hAnsiTheme="majorBidi" w:cstheme="majorBidi"/>
          <w:sz w:val="24"/>
          <w:szCs w:val="24"/>
          <w:rtl/>
        </w:rPr>
        <w:t xml:space="preserve"> </w:t>
      </w:r>
      <w:r w:rsidRPr="005C149A">
        <w:rPr>
          <w:rFonts w:asciiTheme="majorBidi" w:hAnsiTheme="majorBidi" w:cstheme="majorBidi"/>
          <w:sz w:val="24"/>
          <w:szCs w:val="24"/>
        </w:rPr>
        <w:t>of services, the LAA met with Ministry of Aliyah and Integration absorption centres throughout the state, specifically in the Druze and Ethiopian communities, and gave lectures on realizing their rights. The LAA also collaborates with the Senior Citizens Center of the MOSE.</w:t>
      </w:r>
    </w:p>
    <w:p w14:paraId="47AA3410"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Case Law </w:t>
      </w:r>
    </w:p>
    <w:p w14:paraId="679C2719" w14:textId="35D2C8A9" w:rsidR="00F37FC8" w:rsidRPr="005C149A" w:rsidRDefault="00F37FC8" w:rsidP="004A5A55">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July 12, 2020, the Nazareth Family Matters Court delivered a ruling which outlined which elements should be addressed in the professional medical recommendation in order to appoint a guardian. In this case, the plaintiff asked the Court to order to appoint him as a temporary guardian of his 69 years old aunt, with mental disabilities, who resisted to undergo a surgery. The Court dismissed the plaintiff request, and ruled that she is qualified to make decisions for herself, as was recommended by the </w:t>
      </w:r>
      <w:r w:rsidRPr="000C3BD3">
        <w:rPr>
          <w:rFonts w:asciiTheme="majorBidi" w:hAnsiTheme="majorBidi" w:cstheme="majorBidi"/>
          <w:i/>
          <w:iCs/>
          <w:sz w:val="24"/>
          <w:szCs w:val="24"/>
        </w:rPr>
        <w:t>guardian ad litem</w:t>
      </w:r>
      <w:r w:rsidRPr="005C149A">
        <w:rPr>
          <w:rFonts w:asciiTheme="majorBidi" w:hAnsiTheme="majorBidi" w:cstheme="majorBidi"/>
          <w:sz w:val="24"/>
          <w:szCs w:val="24"/>
        </w:rPr>
        <w:t xml:space="preserve"> appointed in this case. During this case</w:t>
      </w:r>
      <w:r w:rsidR="002D66D3">
        <w:rPr>
          <w:rFonts w:asciiTheme="majorBidi" w:hAnsiTheme="majorBidi" w:cstheme="majorBidi"/>
          <w:sz w:val="24"/>
          <w:szCs w:val="24"/>
        </w:rPr>
        <w:t>,</w:t>
      </w:r>
      <w:r w:rsidRPr="005C149A">
        <w:rPr>
          <w:rFonts w:asciiTheme="majorBidi" w:hAnsiTheme="majorBidi" w:cstheme="majorBidi"/>
          <w:sz w:val="24"/>
          <w:szCs w:val="24"/>
        </w:rPr>
        <w:t xml:space="preserve"> the judge, at the request of her lawyer, visited her at her home in order to assess her situation and hear her position on the matter. The ruling included procedural instructions for the hospital social worker, the elements which the professional psychiatric evaluation must include, noting that the account must be specific and detailed, and instructions for the AG legal counsel (L.G. 18522-07-20, </w:t>
      </w:r>
      <w:r w:rsidRPr="005C149A">
        <w:rPr>
          <w:rFonts w:asciiTheme="majorBidi" w:hAnsiTheme="majorBidi" w:cstheme="majorBidi"/>
          <w:i/>
          <w:iCs/>
          <w:sz w:val="24"/>
          <w:szCs w:val="24"/>
        </w:rPr>
        <w:t xml:space="preserve">M.Z. v. The Administrator General </w:t>
      </w:r>
      <w:r w:rsidR="004A5A55">
        <w:rPr>
          <w:rFonts w:asciiTheme="majorBidi" w:hAnsiTheme="majorBidi" w:cstheme="majorBidi"/>
          <w:i/>
          <w:iCs/>
          <w:sz w:val="24"/>
          <w:szCs w:val="24"/>
        </w:rPr>
        <w:t>-</w:t>
      </w:r>
      <w:r w:rsidRPr="005C149A">
        <w:rPr>
          <w:rFonts w:asciiTheme="majorBidi" w:hAnsiTheme="majorBidi" w:cstheme="majorBidi"/>
          <w:i/>
          <w:iCs/>
          <w:sz w:val="24"/>
          <w:szCs w:val="24"/>
        </w:rPr>
        <w:t>Northern District</w:t>
      </w:r>
      <w:r w:rsidRPr="005C149A">
        <w:rPr>
          <w:rFonts w:asciiTheme="majorBidi" w:hAnsiTheme="majorBidi" w:cstheme="majorBidi"/>
          <w:sz w:val="24"/>
          <w:szCs w:val="24"/>
        </w:rPr>
        <w:t xml:space="preserve"> (12.07.2020).)</w:t>
      </w:r>
    </w:p>
    <w:p w14:paraId="6C94C963" w14:textId="2B59BC44" w:rsidR="00F37FC8" w:rsidRPr="005C149A" w:rsidRDefault="00F37FC8" w:rsidP="002D66D3">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May 26, 2020, the Northern District Family Matters Court approved the LAA attorney's recommendation not to appoint a guardian for a 105 year old woman with dementia, and instead appointed her son as a "grant receiver" only, to assist with her bank account. (L.G. 35963-11-19, </w:t>
      </w:r>
      <w:r w:rsidRPr="005C149A">
        <w:rPr>
          <w:rFonts w:asciiTheme="majorBidi" w:hAnsiTheme="majorBidi" w:cstheme="majorBidi"/>
          <w:i/>
          <w:iCs/>
          <w:sz w:val="24"/>
          <w:szCs w:val="24"/>
        </w:rPr>
        <w:t xml:space="preserve">Anonymous </w:t>
      </w:r>
      <w:r w:rsidR="002D66D3">
        <w:rPr>
          <w:rFonts w:asciiTheme="majorBidi" w:hAnsiTheme="majorBidi" w:cstheme="majorBidi"/>
          <w:i/>
          <w:iCs/>
          <w:sz w:val="24"/>
          <w:szCs w:val="24"/>
        </w:rPr>
        <w:t>v</w:t>
      </w:r>
      <w:r w:rsidRPr="005C149A">
        <w:rPr>
          <w:rFonts w:asciiTheme="majorBidi" w:hAnsiTheme="majorBidi" w:cstheme="majorBidi"/>
          <w:i/>
          <w:iCs/>
          <w:sz w:val="24"/>
          <w:szCs w:val="24"/>
        </w:rPr>
        <w:t xml:space="preserve">. The Attorney General </w:t>
      </w:r>
      <w:r w:rsidRPr="005C149A">
        <w:rPr>
          <w:rFonts w:asciiTheme="majorBidi" w:hAnsiTheme="majorBidi" w:cstheme="majorBidi"/>
          <w:sz w:val="24"/>
          <w:szCs w:val="24"/>
        </w:rPr>
        <w:t>(26.05.2020).)</w:t>
      </w:r>
    </w:p>
    <w:p w14:paraId="22FEDCF8" w14:textId="2C984B3B" w:rsidR="00F37FC8" w:rsidRPr="005C149A" w:rsidRDefault="00F37FC8" w:rsidP="002D66D3">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On April 20, 2020, the Tel</w:t>
      </w:r>
      <w:r w:rsidR="002D66D3">
        <w:rPr>
          <w:rFonts w:asciiTheme="majorBidi" w:hAnsiTheme="majorBidi" w:cstheme="majorBidi"/>
          <w:sz w:val="24"/>
          <w:szCs w:val="24"/>
        </w:rPr>
        <w:t xml:space="preserve"> </w:t>
      </w:r>
      <w:r w:rsidRPr="005C149A">
        <w:rPr>
          <w:rFonts w:asciiTheme="majorBidi" w:hAnsiTheme="majorBidi" w:cstheme="majorBidi"/>
          <w:sz w:val="24"/>
          <w:szCs w:val="24"/>
        </w:rPr>
        <w:t xml:space="preserve">Aviv-Jaffa Family Matters Court delivered a ruling in a case where a caretaker exploited an elderly Holocaust survivor in her care. The caretaker took control over her house and belongings and created a situation of extreme dependence. The woman was moved to a nursing home by </w:t>
      </w:r>
      <w:r w:rsidR="002D66D3">
        <w:rPr>
          <w:rFonts w:asciiTheme="majorBidi" w:hAnsiTheme="majorBidi" w:cstheme="majorBidi"/>
          <w:sz w:val="24"/>
          <w:szCs w:val="24"/>
        </w:rPr>
        <w:t xml:space="preserve">an </w:t>
      </w:r>
      <w:r w:rsidRPr="005C149A">
        <w:rPr>
          <w:rFonts w:asciiTheme="majorBidi" w:hAnsiTheme="majorBidi" w:cstheme="majorBidi"/>
          <w:sz w:val="24"/>
          <w:szCs w:val="24"/>
        </w:rPr>
        <w:t xml:space="preserve">emergency order, however requested to return to her home. The Court upheld her right to live in her home, and ordered measures to stop the exploitation by her caretaker (L.G. 65340-01-20 </w:t>
      </w:r>
      <w:r w:rsidRPr="005C149A">
        <w:rPr>
          <w:rFonts w:asciiTheme="majorBidi" w:hAnsiTheme="majorBidi" w:cstheme="majorBidi"/>
          <w:i/>
          <w:iCs/>
          <w:sz w:val="24"/>
          <w:szCs w:val="24"/>
        </w:rPr>
        <w:t>Anonymous v. Anonymous</w:t>
      </w:r>
      <w:r w:rsidRPr="005C149A">
        <w:rPr>
          <w:rFonts w:asciiTheme="majorBidi" w:hAnsiTheme="majorBidi" w:cstheme="majorBidi"/>
          <w:sz w:val="24"/>
          <w:szCs w:val="24"/>
        </w:rPr>
        <w:t xml:space="preserve"> (20.04.2020).  </w:t>
      </w:r>
    </w:p>
    <w:p w14:paraId="266FCF44"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December 25, 2019, the Haifa Family Matters Court ruled in favor of an elderly man with intellectual disabilities represented by the LAA, whose family requested that he would be placed in a full-care facility and appointed a guardian against his will. The Court noted that the criteria for appointing a guardian was not met in this case. Additionally, the Court noted that removing him from the home in which he grew up would greatly harm his dignity and rights generally, as forcible transfer can be traumatizing (L.G. 55180-01-19, </w:t>
      </w:r>
      <w:r w:rsidRPr="005C149A">
        <w:rPr>
          <w:rFonts w:asciiTheme="majorBidi" w:hAnsiTheme="majorBidi" w:cstheme="majorBidi"/>
          <w:i/>
          <w:iCs/>
          <w:sz w:val="24"/>
          <w:szCs w:val="24"/>
        </w:rPr>
        <w:t xml:space="preserve">R. v. E. </w:t>
      </w:r>
      <w:r w:rsidRPr="005C149A">
        <w:rPr>
          <w:rFonts w:asciiTheme="majorBidi" w:hAnsiTheme="majorBidi" w:cstheme="majorBidi"/>
          <w:sz w:val="24"/>
          <w:szCs w:val="24"/>
        </w:rPr>
        <w:t xml:space="preserve">(25.12.2019)). </w:t>
      </w:r>
    </w:p>
    <w:p w14:paraId="2A6F2DE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On November 27, 2019, the Haifa Family Matters Court ruled against placing a woman with mental disabilities in a full-care facility against her will. The psychiatric report supported placing her in a full-care facility and further noted that she required an appointed guardian. The LAA attorney which represented the woman, voiced her opinion, according to which, she did not want to reside outside of her home under any circumstance. The Vice President of the Court noted that "I must remember that for many years Anonymous lived her life in the manner of her choosing, and that is her right. I must be wary of paternalistic methods and deciding 'what is right' for her, as that would be a death sentence at worst, and an intrusive, harmful violation of her rights at best.'."</w:t>
      </w:r>
      <w:r w:rsidR="0098008B" w:rsidRPr="005C149A">
        <w:rPr>
          <w:rFonts w:asciiTheme="majorBidi" w:hAnsiTheme="majorBidi" w:cstheme="majorBidi"/>
          <w:b/>
          <w:bCs/>
          <w:i/>
          <w:iCs/>
          <w:sz w:val="24"/>
          <w:szCs w:val="24"/>
        </w:rPr>
        <w:t xml:space="preserve"> </w:t>
      </w:r>
      <w:r w:rsidRPr="005C149A">
        <w:rPr>
          <w:rFonts w:asciiTheme="majorBidi" w:hAnsiTheme="majorBidi" w:cstheme="majorBidi"/>
          <w:sz w:val="24"/>
          <w:szCs w:val="24"/>
        </w:rPr>
        <w:t xml:space="preserve">(L.G. 58088-06-19 </w:t>
      </w:r>
      <w:r w:rsidRPr="005C149A">
        <w:rPr>
          <w:rFonts w:asciiTheme="majorBidi" w:hAnsiTheme="majorBidi" w:cstheme="majorBidi"/>
          <w:i/>
          <w:iCs/>
          <w:sz w:val="24"/>
          <w:szCs w:val="24"/>
        </w:rPr>
        <w:t>Anonymous v. Anonymous</w:t>
      </w:r>
      <w:r w:rsidRPr="005C149A">
        <w:rPr>
          <w:rFonts w:asciiTheme="majorBidi" w:hAnsiTheme="majorBidi" w:cstheme="majorBidi"/>
          <w:sz w:val="24"/>
          <w:szCs w:val="24"/>
        </w:rPr>
        <w:t xml:space="preserve"> (27.11.2019)).</w:t>
      </w:r>
    </w:p>
    <w:p w14:paraId="06400A33" w14:textId="77777777" w:rsidR="007D56C0" w:rsidRPr="005C149A" w:rsidRDefault="007D56C0" w:rsidP="00327130">
      <w:pPr>
        <w:pStyle w:val="Heading2"/>
        <w:spacing w:before="0" w:after="0"/>
      </w:pPr>
      <w:r w:rsidRPr="005C149A">
        <w:t xml:space="preserve">Article 13 </w:t>
      </w:r>
    </w:p>
    <w:p w14:paraId="61D40ADC" w14:textId="77777777" w:rsidR="007D56C0" w:rsidRPr="005C149A" w:rsidRDefault="007D56C0"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23" w:name="_Toc100147395"/>
      <w:bookmarkStart w:id="24" w:name="_Toc100224048"/>
      <w:r w:rsidRPr="005C149A">
        <w:rPr>
          <w:rFonts w:asciiTheme="majorBidi" w:hAnsiTheme="majorBidi"/>
          <w:b/>
          <w:bCs/>
          <w:color w:val="auto"/>
          <w:sz w:val="24"/>
          <w:szCs w:val="24"/>
          <w:u w:val="single"/>
        </w:rPr>
        <w:t>Question 13</w:t>
      </w:r>
      <w:bookmarkEnd w:id="23"/>
      <w:bookmarkEnd w:id="24"/>
    </w:p>
    <w:p w14:paraId="1EB18CF0" w14:textId="77777777" w:rsidR="00F37FC8" w:rsidRPr="005C149A" w:rsidRDefault="008427F3" w:rsidP="008427F3">
      <w:pPr>
        <w:pStyle w:val="Heading3"/>
      </w:pPr>
      <w:bookmarkStart w:id="25" w:name="_Hlk77188898"/>
      <w:r w:rsidRPr="005C149A">
        <w:t>B. T</w:t>
      </w:r>
      <w:r w:rsidR="007D56C0" w:rsidRPr="005C149A">
        <w:t>raining Programs</w:t>
      </w:r>
      <w:r w:rsidR="00F37FC8" w:rsidRPr="005C149A">
        <w:t xml:space="preserve">  </w:t>
      </w:r>
    </w:p>
    <w:p w14:paraId="1C78A61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napToGrid w:val="0"/>
          <w:sz w:val="24"/>
          <w:szCs w:val="24"/>
        </w:rPr>
        <w:t xml:space="preserve">The </w:t>
      </w:r>
      <w:r w:rsidRPr="005C149A">
        <w:rPr>
          <w:rFonts w:asciiTheme="majorBidi" w:hAnsiTheme="majorBidi" w:cstheme="majorBidi"/>
          <w:sz w:val="24"/>
          <w:szCs w:val="24"/>
        </w:rPr>
        <w:t>Institute</w:t>
      </w:r>
      <w:r w:rsidRPr="005C149A">
        <w:rPr>
          <w:rFonts w:asciiTheme="majorBidi" w:hAnsiTheme="majorBidi" w:cstheme="majorBidi"/>
          <w:snapToGrid w:val="0"/>
          <w:sz w:val="24"/>
          <w:szCs w:val="24"/>
        </w:rPr>
        <w:t xml:space="preserve"> of Advanced </w:t>
      </w:r>
      <w:r w:rsidRPr="005C149A">
        <w:rPr>
          <w:rFonts w:asciiTheme="majorBidi" w:hAnsiTheme="majorBidi" w:cstheme="majorBidi"/>
          <w:sz w:val="24"/>
          <w:szCs w:val="24"/>
        </w:rPr>
        <w:t>Judicial</w:t>
      </w:r>
      <w:r w:rsidRPr="005C149A">
        <w:rPr>
          <w:rFonts w:asciiTheme="majorBidi" w:hAnsiTheme="majorBidi" w:cstheme="majorBidi"/>
          <w:snapToGrid w:val="0"/>
          <w:sz w:val="24"/>
          <w:szCs w:val="24"/>
        </w:rPr>
        <w:t xml:space="preserve"> Studies </w:t>
      </w:r>
      <w:r w:rsidRPr="005C149A">
        <w:rPr>
          <w:rFonts w:asciiTheme="majorBidi" w:hAnsiTheme="majorBidi" w:cstheme="majorBidi"/>
          <w:sz w:val="24"/>
          <w:szCs w:val="24"/>
        </w:rPr>
        <w:t>for</w:t>
      </w:r>
      <w:r w:rsidRPr="005C149A">
        <w:rPr>
          <w:rFonts w:asciiTheme="majorBidi" w:hAnsiTheme="majorBidi" w:cstheme="majorBidi"/>
          <w:snapToGrid w:val="0"/>
          <w:sz w:val="24"/>
          <w:szCs w:val="24"/>
        </w:rPr>
        <w:t xml:space="preserve"> Judges holds </w:t>
      </w:r>
      <w:r w:rsidRPr="005C149A">
        <w:rPr>
          <w:rFonts w:asciiTheme="majorBidi" w:hAnsiTheme="majorBidi" w:cstheme="majorBidi"/>
          <w:sz w:val="24"/>
          <w:szCs w:val="24"/>
        </w:rPr>
        <w:t>lectures, seminars</w:t>
      </w:r>
      <w:r w:rsidRPr="005C149A">
        <w:rPr>
          <w:rFonts w:asciiTheme="majorBidi" w:hAnsiTheme="majorBidi" w:cstheme="majorBidi"/>
          <w:snapToGrid w:val="0"/>
          <w:sz w:val="24"/>
          <w:szCs w:val="24"/>
        </w:rPr>
        <w:t xml:space="preserve"> and </w:t>
      </w:r>
      <w:r w:rsidRPr="005C149A">
        <w:rPr>
          <w:rFonts w:asciiTheme="majorBidi" w:hAnsiTheme="majorBidi" w:cstheme="majorBidi"/>
          <w:sz w:val="24"/>
          <w:szCs w:val="24"/>
        </w:rPr>
        <w:t>courses</w:t>
      </w:r>
      <w:r w:rsidRPr="005C149A">
        <w:rPr>
          <w:rFonts w:asciiTheme="majorBidi" w:hAnsiTheme="majorBidi" w:cstheme="majorBidi"/>
          <w:snapToGrid w:val="0"/>
          <w:sz w:val="24"/>
          <w:szCs w:val="24"/>
        </w:rPr>
        <w:t xml:space="preserve"> for judges </w:t>
      </w:r>
      <w:r w:rsidRPr="005C149A">
        <w:rPr>
          <w:rFonts w:asciiTheme="majorBidi" w:hAnsiTheme="majorBidi" w:cstheme="majorBidi"/>
          <w:sz w:val="24"/>
          <w:szCs w:val="24"/>
        </w:rPr>
        <w:t>on</w:t>
      </w:r>
      <w:r w:rsidRPr="005C149A">
        <w:rPr>
          <w:rFonts w:asciiTheme="majorBidi" w:hAnsiTheme="majorBidi" w:cstheme="majorBidi"/>
          <w:snapToGrid w:val="0"/>
          <w:sz w:val="24"/>
          <w:szCs w:val="24"/>
        </w:rPr>
        <w:t xml:space="preserve"> various human rights issues and disabilities issues. Courses include topics such as </w:t>
      </w:r>
      <w:r w:rsidRPr="005C149A">
        <w:rPr>
          <w:rFonts w:asciiTheme="majorBidi" w:hAnsiTheme="majorBidi" w:cstheme="majorBidi"/>
          <w:sz w:val="24"/>
          <w:szCs w:val="24"/>
        </w:rPr>
        <w:t xml:space="preserve">witnesses with disabilities in criminal proceedings, investigating PWD, and accessibility. In 2019 and 2020 a unique training sessions on accessibility took place for judges, focused on providing tools for effective communication, identifying disabilities that are "unseen," and dealing with physical disabilities. </w:t>
      </w:r>
    </w:p>
    <w:p w14:paraId="5B87633E" w14:textId="76C54004" w:rsidR="00F37FC8" w:rsidRPr="005C149A" w:rsidRDefault="00F37FC8" w:rsidP="007E1602">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Additionally, the Public Defender's Office (PDO), LAA and the </w:t>
      </w:r>
      <w:r w:rsidRPr="005C149A">
        <w:rPr>
          <w:rFonts w:asciiTheme="majorBidi" w:hAnsiTheme="majorBidi" w:cstheme="majorBidi"/>
          <w:sz w:val="24"/>
          <w:szCs w:val="24"/>
          <w:lang w:eastAsia="he-IL"/>
        </w:rPr>
        <w:t>State Attorney</w:t>
      </w:r>
      <w:r w:rsidRPr="005C149A">
        <w:rPr>
          <w:rFonts w:asciiTheme="majorBidi" w:hAnsiTheme="majorBidi" w:cstheme="majorBidi"/>
          <w:sz w:val="24"/>
          <w:szCs w:val="24"/>
          <w:rtl/>
          <w:lang w:eastAsia="he-IL"/>
        </w:rPr>
        <w:t>'</w:t>
      </w:r>
      <w:r w:rsidRPr="005C149A">
        <w:rPr>
          <w:rFonts w:asciiTheme="majorBidi" w:hAnsiTheme="majorBidi" w:cstheme="majorBidi"/>
          <w:sz w:val="24"/>
          <w:szCs w:val="24"/>
          <w:lang w:eastAsia="he-IL"/>
        </w:rPr>
        <w:t>s Office</w:t>
      </w:r>
      <w:r w:rsidRPr="005C149A">
        <w:rPr>
          <w:rFonts w:asciiTheme="majorBidi" w:hAnsiTheme="majorBidi" w:cstheme="majorBidi"/>
          <w:sz w:val="24"/>
          <w:szCs w:val="24"/>
        </w:rPr>
        <w:t xml:space="preserve"> (SAO) in the MOJ, together with JDC and operating partner Israel Elwyn, conducted a unique program aimed at making legal services accessible. The purpose of the program is to </w:t>
      </w:r>
      <w:r w:rsidRPr="005C149A">
        <w:rPr>
          <w:rFonts w:asciiTheme="majorBidi" w:hAnsiTheme="majorBidi" w:cstheme="majorBidi"/>
          <w:color w:val="000000"/>
          <w:sz w:val="24"/>
          <w:szCs w:val="24"/>
          <w:shd w:val="clear" w:color="auto" w:fill="FFFFFF"/>
        </w:rPr>
        <w:t>train lawyers and legal practitioners from the legal system on how to improve their services for PWD. The program, operated by Israel Elwyn</w:t>
      </w:r>
      <w:r w:rsidRPr="005C149A">
        <w:rPr>
          <w:rFonts w:asciiTheme="majorBidi" w:hAnsiTheme="majorBidi" w:cstheme="majorBidi"/>
          <w:color w:val="000000"/>
          <w:sz w:val="24"/>
          <w:szCs w:val="24"/>
          <w:shd w:val="clear" w:color="auto" w:fill="FFFFFF"/>
          <w:rtl/>
        </w:rPr>
        <w:t xml:space="preserve"> </w:t>
      </w:r>
      <w:r w:rsidRPr="005C149A">
        <w:rPr>
          <w:rFonts w:asciiTheme="majorBidi" w:hAnsiTheme="majorBidi" w:cstheme="majorBidi"/>
          <w:color w:val="000000"/>
          <w:sz w:val="24"/>
          <w:szCs w:val="24"/>
          <w:shd w:val="clear" w:color="auto" w:fill="FFFFFF"/>
        </w:rPr>
        <w:t xml:space="preserve">organization, has two </w:t>
      </w:r>
      <w:r w:rsidR="00894C84">
        <w:rPr>
          <w:rFonts w:asciiTheme="majorBidi" w:hAnsiTheme="majorBidi" w:cstheme="majorBidi"/>
          <w:color w:val="000000"/>
          <w:sz w:val="24"/>
          <w:szCs w:val="24"/>
          <w:shd w:val="clear" w:color="auto" w:fill="FFFFFF"/>
        </w:rPr>
        <w:t xml:space="preserve">(2) </w:t>
      </w:r>
      <w:r w:rsidRPr="005C149A">
        <w:rPr>
          <w:rFonts w:asciiTheme="majorBidi" w:hAnsiTheme="majorBidi" w:cstheme="majorBidi"/>
          <w:color w:val="000000"/>
          <w:sz w:val="24"/>
          <w:szCs w:val="24"/>
          <w:shd w:val="clear" w:color="auto" w:fill="FFFFFF"/>
        </w:rPr>
        <w:t>main components: a comprehensive training for legal professionals; and creating tools to facilitate communication with PWD. The program also established a new role - a Legal Disability Mentor - in charge of counseling and guiding hundreds of lawyers in special matters and questions regarding the representation of PWD. The training provides professional knowledge regarding disabilities and how they might manifest in interactions with legal professionals and the legal system. The syllabus includes a description of disabilities, relevant legislations, and practical tools for optimal communication, such as a lexicon of easy language legal terms. In 2019 and 2020 the program had 320 participants each year. In 2021 this number more than doubled to 720 participants.</w:t>
      </w:r>
      <w:r w:rsidRPr="005C149A">
        <w:rPr>
          <w:rFonts w:asciiTheme="majorBidi" w:hAnsiTheme="majorBidi" w:cstheme="majorBidi"/>
          <w:sz w:val="24"/>
          <w:szCs w:val="24"/>
        </w:rPr>
        <w:t xml:space="preserve"> This project received the Zero Project Award for innovative solution in 2022.</w:t>
      </w:r>
      <w:r w:rsidR="007E1602">
        <w:rPr>
          <w:rStyle w:val="FootnoteReference"/>
          <w:rFonts w:asciiTheme="majorBidi" w:hAnsiTheme="majorBidi" w:cstheme="majorBidi"/>
          <w:sz w:val="24"/>
          <w:szCs w:val="24"/>
        </w:rPr>
        <w:footnoteReference w:id="1"/>
      </w:r>
    </w:p>
    <w:p w14:paraId="73F71A89" w14:textId="3F54648B" w:rsidR="00F37FC8" w:rsidRPr="005C149A" w:rsidRDefault="00894C84" w:rsidP="002D3CE5">
      <w:pPr>
        <w:bidi w:val="0"/>
        <w:spacing w:after="0" w:line="360" w:lineRule="auto"/>
        <w:jc w:val="both"/>
        <w:rPr>
          <w:rFonts w:asciiTheme="majorBidi" w:hAnsiTheme="majorBidi" w:cstheme="majorBidi"/>
          <w:sz w:val="24"/>
          <w:szCs w:val="24"/>
          <w:u w:val="single"/>
        </w:rPr>
      </w:pPr>
      <w:r>
        <w:rPr>
          <w:rFonts w:asciiTheme="majorBidi" w:hAnsiTheme="majorBidi" w:cstheme="majorBidi"/>
          <w:sz w:val="24"/>
          <w:szCs w:val="24"/>
          <w:u w:val="single"/>
        </w:rPr>
        <w:t xml:space="preserve">The </w:t>
      </w:r>
      <w:r w:rsidR="00F37FC8" w:rsidRPr="005C149A">
        <w:rPr>
          <w:rFonts w:asciiTheme="majorBidi" w:hAnsiTheme="majorBidi" w:cstheme="majorBidi"/>
          <w:sz w:val="24"/>
          <w:szCs w:val="24"/>
          <w:u w:val="single"/>
        </w:rPr>
        <w:t xml:space="preserve">Police Training Programs </w:t>
      </w:r>
    </w:p>
    <w:p w14:paraId="69C1F1E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Police developed unique training sessions regarding PWD for officers and investigators. The program for training content experts prepares representatives from various police units to be content experts on the subject of PWD. In August 2021, there was one (1) training cycle for 34 content experts. Two (2) additional trainings are expected to be conducted during 2022, each one with 30-35 participants.</w:t>
      </w:r>
    </w:p>
    <w:p w14:paraId="5069252C" w14:textId="1F5135B3" w:rsidR="00F37FC8" w:rsidRPr="005C149A" w:rsidRDefault="00F37FC8" w:rsidP="00894C84">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senior commanders and the field officers participate in an annual conference on issues relating to PWD, in which matters of accessibility and equality in their stations are presented. Since 2019, the police inspectors course includes an in-depth study unit on police encounters with PWD. The unit includes learning about police duties and procedures alongside practicing simulations of encounters between a police officer and a PWD. So far</w:t>
      </w:r>
      <w:r w:rsidR="00894C84">
        <w:rPr>
          <w:rFonts w:asciiTheme="majorBidi" w:hAnsiTheme="majorBidi" w:cstheme="majorBidi"/>
          <w:sz w:val="24"/>
          <w:szCs w:val="24"/>
        </w:rPr>
        <w:t>,</w:t>
      </w:r>
      <w:r w:rsidRPr="005C149A">
        <w:rPr>
          <w:rFonts w:asciiTheme="majorBidi" w:hAnsiTheme="majorBidi" w:cstheme="majorBidi"/>
          <w:sz w:val="24"/>
          <w:szCs w:val="24"/>
        </w:rPr>
        <w:t xml:space="preserve"> 150 inspectors have already went through this training and another 150 inspectors will be trained in the next cycle. Investigators also undergo a week-long training on issues relating to PWD, a training that is provided two (2) to three (3) times a year. In addition, Information on PWD rights and police duties towards them has been integrated in the training of new police officers. Finally, every police officer is required to undergo the periodic training session through a digital learning system in which he/she receives relevant information on the subject (including the obligation to provide an accessible service, provide services through various means of communication, etc.). Since 2020, the course on questioning PWD has been introduced as a compulsory subject in basic training, in order to be certified as an investigator. Therefore today, the vast majority of police officers have been trained on disabilities issues. </w:t>
      </w:r>
    </w:p>
    <w:p w14:paraId="6CC3DA0E"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Additionally, every year, the Police holds a national conference on PWD, with the aim of keeping the topic on the Police agenda, and increasing police officers knowledge and awareness of the rights of PWD and the officers' obligations towards them therein. </w:t>
      </w:r>
    </w:p>
    <w:bookmarkEnd w:id="25"/>
    <w:p w14:paraId="30913975" w14:textId="77777777" w:rsidR="00F37FC8" w:rsidRPr="00976C66" w:rsidRDefault="007D56C0" w:rsidP="00327130">
      <w:pPr>
        <w:pStyle w:val="Heading2"/>
        <w:spacing w:before="0" w:after="0"/>
      </w:pPr>
      <w:r>
        <w:t>Article 14</w:t>
      </w:r>
    </w:p>
    <w:p w14:paraId="4E560669" w14:textId="77777777" w:rsidR="00F37FC8" w:rsidRPr="0050316B"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26" w:name="_Toc100224049"/>
      <w:r w:rsidRPr="0050316B">
        <w:rPr>
          <w:rFonts w:asciiTheme="majorBidi" w:hAnsiTheme="majorBidi"/>
          <w:b/>
          <w:bCs/>
          <w:color w:val="auto"/>
          <w:sz w:val="24"/>
          <w:szCs w:val="24"/>
          <w:u w:val="single"/>
        </w:rPr>
        <w:t>Question 14</w:t>
      </w:r>
      <w:bookmarkEnd w:id="26"/>
    </w:p>
    <w:p w14:paraId="5540B9DE" w14:textId="77777777" w:rsidR="007D56C0" w:rsidRPr="005A057F" w:rsidRDefault="007D56C0" w:rsidP="007D56C0">
      <w:pPr>
        <w:pStyle w:val="Heading3"/>
      </w:pPr>
      <w:r w:rsidRPr="00953FFC">
        <w:t xml:space="preserve">A. Complaints of </w:t>
      </w:r>
      <w:r>
        <w:t>F</w:t>
      </w:r>
      <w:r w:rsidRPr="00953FFC">
        <w:t xml:space="preserve">orced </w:t>
      </w:r>
      <w:r>
        <w:t>H</w:t>
      </w:r>
      <w:r w:rsidRPr="00953FFC">
        <w:t>ospitalization</w:t>
      </w:r>
    </w:p>
    <w:p w14:paraId="2F275DAE" w14:textId="77777777" w:rsidR="00F37FC8" w:rsidRPr="002D3CE5" w:rsidRDefault="00512329" w:rsidP="002D3CE5">
      <w:pPr>
        <w:pStyle w:val="Heading3"/>
        <w:jc w:val="center"/>
      </w:pPr>
      <w:r w:rsidRPr="008427F3">
        <w:t xml:space="preserve">Table </w:t>
      </w:r>
      <w:r w:rsidR="00D11EFA" w:rsidRPr="008427F3">
        <w:t>N</w:t>
      </w:r>
      <w:r w:rsidRPr="008427F3">
        <w:t>o. 1 - R</w:t>
      </w:r>
      <w:r w:rsidR="00F37FC8" w:rsidRPr="008427F3">
        <w:t xml:space="preserve">equests for </w:t>
      </w:r>
      <w:r w:rsidR="00B105DF" w:rsidRPr="008427F3">
        <w:rPr>
          <w:rFonts w:hint="cs"/>
        </w:rPr>
        <w:t>R</w:t>
      </w:r>
      <w:r w:rsidR="00F37FC8" w:rsidRPr="008427F3">
        <w:t>eexaminations</w:t>
      </w:r>
      <w:r w:rsidRPr="008427F3">
        <w:t xml:space="preserve"> against I</w:t>
      </w:r>
      <w:r w:rsidR="00F37FC8" w:rsidRPr="008427F3">
        <w:t xml:space="preserve">nitial </w:t>
      </w:r>
      <w:r w:rsidRPr="008427F3">
        <w:t>H</w:t>
      </w:r>
      <w:r w:rsidR="00F37FC8" w:rsidRPr="008427F3">
        <w:t xml:space="preserve">ospitalization </w:t>
      </w:r>
      <w:r w:rsidRPr="008427F3">
        <w:t>O</w:t>
      </w:r>
      <w:r w:rsidR="00F37FC8" w:rsidRPr="008427F3">
        <w:t>rders</w:t>
      </w:r>
      <w:r w:rsidR="00F37FC8" w:rsidRPr="002D3CE5">
        <w:t xml:space="preserve"> and </w:t>
      </w:r>
      <w:r w:rsidRPr="002D3CE5">
        <w:t>E</w:t>
      </w:r>
      <w:r w:rsidR="00F37FC8" w:rsidRPr="002D3CE5">
        <w:t xml:space="preserve">xtension of </w:t>
      </w:r>
      <w:r w:rsidRPr="002D3CE5">
        <w:t>Hospitalization O</w:t>
      </w:r>
      <w:r w:rsidR="00F37FC8" w:rsidRPr="002D3CE5">
        <w:t xml:space="preserve">rders before the </w:t>
      </w:r>
      <w:r w:rsidRPr="002D3CE5">
        <w:t>D</w:t>
      </w:r>
      <w:r w:rsidR="00F37FC8" w:rsidRPr="002D3CE5">
        <w:t xml:space="preserve">istrict </w:t>
      </w:r>
      <w:r w:rsidRPr="002D3CE5">
        <w:t>Psychiatric C</w:t>
      </w:r>
      <w:r w:rsidR="00F37FC8" w:rsidRPr="002D3CE5">
        <w:t xml:space="preserve">ommittees and the </w:t>
      </w:r>
      <w:r w:rsidRPr="002D3CE5">
        <w:t>D</w:t>
      </w:r>
      <w:r w:rsidR="00F37FC8" w:rsidRPr="002D3CE5">
        <w:t xml:space="preserve">istribution of </w:t>
      </w:r>
      <w:r w:rsidRPr="002D3CE5">
        <w:t>D</w:t>
      </w:r>
      <w:r w:rsidR="005C149A">
        <w:t>ecisions</w:t>
      </w:r>
      <w:r w:rsidR="00F37FC8" w:rsidRPr="002D3CE5">
        <w:t xml:space="preserve"> </w:t>
      </w:r>
      <w:r w:rsidRPr="002D3CE5">
        <w:t>(2017-</w:t>
      </w:r>
      <w:r w:rsidR="00F37FC8" w:rsidRPr="002D3CE5">
        <w:t>2020</w:t>
      </w:r>
      <w:r w:rsidRPr="002D3CE5">
        <w:t>)</w:t>
      </w:r>
      <w:r w:rsidR="00F37FC8" w:rsidRPr="002D3CE5">
        <w:t>.</w:t>
      </w:r>
    </w:p>
    <w:tbl>
      <w:tblPr>
        <w:tblW w:w="8789"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1659"/>
        <w:gridCol w:w="666"/>
        <w:gridCol w:w="733"/>
        <w:gridCol w:w="666"/>
        <w:gridCol w:w="733"/>
        <w:gridCol w:w="666"/>
        <w:gridCol w:w="733"/>
        <w:gridCol w:w="772"/>
        <w:gridCol w:w="733"/>
      </w:tblGrid>
      <w:tr w:rsidR="00F37FC8" w:rsidRPr="00B105DF" w14:paraId="7EC17733" w14:textId="77777777" w:rsidTr="00B105DF">
        <w:tc>
          <w:tcPr>
            <w:tcW w:w="1428" w:type="dxa"/>
            <w:vMerge w:val="restart"/>
            <w:shd w:val="clear" w:color="auto" w:fill="D9D9D9" w:themeFill="background1" w:themeFillShade="D9"/>
            <w:vAlign w:val="center"/>
          </w:tcPr>
          <w:p w14:paraId="1441A27F" w14:textId="77777777" w:rsidR="00F37FC8" w:rsidRPr="00B105DF" w:rsidRDefault="00F37FC8" w:rsidP="00B105DF">
            <w:pPr>
              <w:bidi w:val="0"/>
              <w:spacing w:after="0" w:line="240" w:lineRule="auto"/>
              <w:jc w:val="center"/>
              <w:rPr>
                <w:rFonts w:asciiTheme="majorBidi" w:hAnsiTheme="majorBidi" w:cstheme="majorBidi"/>
                <w:b/>
                <w:bCs/>
                <w:sz w:val="20"/>
                <w:szCs w:val="20"/>
                <w:rtl/>
              </w:rPr>
            </w:pPr>
            <w:r w:rsidRPr="00B105DF">
              <w:rPr>
                <w:rFonts w:asciiTheme="majorBidi" w:hAnsiTheme="majorBidi" w:cstheme="majorBidi"/>
                <w:b/>
                <w:bCs/>
                <w:sz w:val="20"/>
                <w:szCs w:val="20"/>
              </w:rPr>
              <w:t>Topic of hearing</w:t>
            </w:r>
          </w:p>
        </w:tc>
        <w:tc>
          <w:tcPr>
            <w:tcW w:w="1659" w:type="dxa"/>
            <w:vMerge w:val="restart"/>
            <w:shd w:val="clear" w:color="auto" w:fill="D9D9D9" w:themeFill="background1" w:themeFillShade="D9"/>
            <w:vAlign w:val="center"/>
          </w:tcPr>
          <w:p w14:paraId="3503A426" w14:textId="77777777" w:rsidR="00F37FC8" w:rsidRPr="00B105DF" w:rsidRDefault="00F37FC8" w:rsidP="00B105DF">
            <w:pPr>
              <w:bidi w:val="0"/>
              <w:spacing w:after="0" w:line="240" w:lineRule="auto"/>
              <w:jc w:val="center"/>
              <w:rPr>
                <w:rFonts w:asciiTheme="majorBidi" w:hAnsiTheme="majorBidi" w:cstheme="majorBidi"/>
                <w:b/>
                <w:bCs/>
                <w:sz w:val="20"/>
                <w:szCs w:val="20"/>
                <w:rtl/>
              </w:rPr>
            </w:pPr>
            <w:r w:rsidRPr="00B105DF">
              <w:rPr>
                <w:rFonts w:asciiTheme="majorBidi" w:hAnsiTheme="majorBidi" w:cstheme="majorBidi"/>
                <w:b/>
                <w:bCs/>
                <w:sz w:val="20"/>
                <w:szCs w:val="20"/>
              </w:rPr>
              <w:t>The committee's decision</w:t>
            </w:r>
          </w:p>
        </w:tc>
        <w:tc>
          <w:tcPr>
            <w:tcW w:w="1399" w:type="dxa"/>
            <w:gridSpan w:val="2"/>
            <w:shd w:val="clear" w:color="auto" w:fill="D9D9D9" w:themeFill="background1" w:themeFillShade="D9"/>
          </w:tcPr>
          <w:p w14:paraId="67BD209E" w14:textId="77777777" w:rsidR="00F37FC8" w:rsidRPr="00B105DF" w:rsidRDefault="00F37FC8" w:rsidP="00B105DF">
            <w:pPr>
              <w:bidi w:val="0"/>
              <w:spacing w:after="0" w:line="240" w:lineRule="auto"/>
              <w:jc w:val="center"/>
              <w:rPr>
                <w:rFonts w:asciiTheme="majorBidi" w:hAnsiTheme="majorBidi" w:cstheme="majorBidi"/>
                <w:b/>
                <w:bCs/>
                <w:sz w:val="20"/>
                <w:szCs w:val="20"/>
                <w:rtl/>
              </w:rPr>
            </w:pPr>
            <w:r w:rsidRPr="00B105DF">
              <w:rPr>
                <w:rFonts w:asciiTheme="majorBidi" w:hAnsiTheme="majorBidi" w:cstheme="majorBidi"/>
                <w:b/>
                <w:bCs/>
                <w:sz w:val="20"/>
                <w:szCs w:val="20"/>
                <w:rtl/>
              </w:rPr>
              <w:t>2020</w:t>
            </w:r>
          </w:p>
        </w:tc>
        <w:tc>
          <w:tcPr>
            <w:tcW w:w="1399" w:type="dxa"/>
            <w:gridSpan w:val="2"/>
            <w:shd w:val="clear" w:color="auto" w:fill="D9D9D9" w:themeFill="background1" w:themeFillShade="D9"/>
          </w:tcPr>
          <w:p w14:paraId="5D992CEE" w14:textId="77777777" w:rsidR="00F37FC8" w:rsidRPr="00B105DF" w:rsidRDefault="00F37FC8" w:rsidP="00B105DF">
            <w:pPr>
              <w:bidi w:val="0"/>
              <w:spacing w:after="0" w:line="240" w:lineRule="auto"/>
              <w:jc w:val="center"/>
              <w:rPr>
                <w:rFonts w:asciiTheme="majorBidi" w:hAnsiTheme="majorBidi" w:cstheme="majorBidi"/>
                <w:b/>
                <w:bCs/>
                <w:sz w:val="20"/>
                <w:szCs w:val="20"/>
                <w:rtl/>
              </w:rPr>
            </w:pPr>
            <w:r w:rsidRPr="00B105DF">
              <w:rPr>
                <w:rFonts w:asciiTheme="majorBidi" w:hAnsiTheme="majorBidi" w:cstheme="majorBidi"/>
                <w:b/>
                <w:bCs/>
                <w:sz w:val="20"/>
                <w:szCs w:val="20"/>
                <w:rtl/>
              </w:rPr>
              <w:t>2019</w:t>
            </w:r>
          </w:p>
        </w:tc>
        <w:tc>
          <w:tcPr>
            <w:tcW w:w="1399" w:type="dxa"/>
            <w:gridSpan w:val="2"/>
            <w:shd w:val="clear" w:color="auto" w:fill="D9D9D9" w:themeFill="background1" w:themeFillShade="D9"/>
          </w:tcPr>
          <w:p w14:paraId="585D9701" w14:textId="77777777" w:rsidR="00F37FC8" w:rsidRPr="00B105DF" w:rsidRDefault="00F37FC8" w:rsidP="00B105DF">
            <w:pPr>
              <w:bidi w:val="0"/>
              <w:spacing w:after="0" w:line="240" w:lineRule="auto"/>
              <w:jc w:val="center"/>
              <w:rPr>
                <w:rFonts w:asciiTheme="majorBidi" w:hAnsiTheme="majorBidi" w:cstheme="majorBidi"/>
                <w:b/>
                <w:bCs/>
                <w:sz w:val="20"/>
                <w:szCs w:val="20"/>
                <w:rtl/>
              </w:rPr>
            </w:pPr>
            <w:r w:rsidRPr="00B105DF">
              <w:rPr>
                <w:rFonts w:asciiTheme="majorBidi" w:hAnsiTheme="majorBidi" w:cstheme="majorBidi"/>
                <w:b/>
                <w:bCs/>
                <w:sz w:val="20"/>
                <w:szCs w:val="20"/>
                <w:rtl/>
              </w:rPr>
              <w:t>2018</w:t>
            </w:r>
          </w:p>
        </w:tc>
        <w:tc>
          <w:tcPr>
            <w:tcW w:w="1505" w:type="dxa"/>
            <w:gridSpan w:val="2"/>
            <w:shd w:val="clear" w:color="auto" w:fill="D9D9D9" w:themeFill="background1" w:themeFillShade="D9"/>
          </w:tcPr>
          <w:p w14:paraId="1976D476" w14:textId="77777777" w:rsidR="00F37FC8" w:rsidRPr="00B105DF" w:rsidRDefault="00F37FC8" w:rsidP="00B105DF">
            <w:pPr>
              <w:bidi w:val="0"/>
              <w:spacing w:after="0" w:line="240" w:lineRule="auto"/>
              <w:jc w:val="center"/>
              <w:rPr>
                <w:rFonts w:asciiTheme="majorBidi" w:hAnsiTheme="majorBidi" w:cstheme="majorBidi"/>
                <w:b/>
                <w:bCs/>
                <w:sz w:val="20"/>
                <w:szCs w:val="20"/>
                <w:rtl/>
              </w:rPr>
            </w:pPr>
            <w:r w:rsidRPr="00B105DF">
              <w:rPr>
                <w:rFonts w:asciiTheme="majorBidi" w:hAnsiTheme="majorBidi" w:cstheme="majorBidi"/>
                <w:b/>
                <w:bCs/>
                <w:sz w:val="20"/>
                <w:szCs w:val="20"/>
                <w:rtl/>
              </w:rPr>
              <w:t>2017</w:t>
            </w:r>
          </w:p>
        </w:tc>
      </w:tr>
      <w:tr w:rsidR="00B105DF" w:rsidRPr="00B105DF" w14:paraId="7FB374C3" w14:textId="77777777" w:rsidTr="00B105DF">
        <w:trPr>
          <w:cantSplit/>
          <w:trHeight w:val="466"/>
        </w:trPr>
        <w:tc>
          <w:tcPr>
            <w:tcW w:w="1428" w:type="dxa"/>
            <w:vMerge/>
            <w:shd w:val="clear" w:color="auto" w:fill="D9D9D9" w:themeFill="background1" w:themeFillShade="D9"/>
          </w:tcPr>
          <w:p w14:paraId="5F06D28A" w14:textId="77777777" w:rsidR="00B105DF" w:rsidRPr="00B105DF" w:rsidRDefault="00B105DF" w:rsidP="00B105DF">
            <w:pPr>
              <w:bidi w:val="0"/>
              <w:spacing w:after="0" w:line="240" w:lineRule="auto"/>
              <w:jc w:val="center"/>
              <w:rPr>
                <w:rFonts w:asciiTheme="majorBidi" w:hAnsiTheme="majorBidi" w:cstheme="majorBidi"/>
                <w:b/>
                <w:bCs/>
                <w:sz w:val="20"/>
                <w:szCs w:val="20"/>
                <w:rtl/>
              </w:rPr>
            </w:pPr>
          </w:p>
        </w:tc>
        <w:tc>
          <w:tcPr>
            <w:tcW w:w="1659" w:type="dxa"/>
            <w:vMerge/>
            <w:shd w:val="clear" w:color="auto" w:fill="D9D9D9" w:themeFill="background1" w:themeFillShade="D9"/>
          </w:tcPr>
          <w:p w14:paraId="23C7F172" w14:textId="77777777" w:rsidR="00B105DF" w:rsidRPr="00B105DF" w:rsidRDefault="00B105DF" w:rsidP="00B105DF">
            <w:pPr>
              <w:bidi w:val="0"/>
              <w:spacing w:after="0" w:line="240" w:lineRule="auto"/>
              <w:jc w:val="center"/>
              <w:rPr>
                <w:rFonts w:asciiTheme="majorBidi" w:hAnsiTheme="majorBidi" w:cstheme="majorBidi"/>
                <w:b/>
                <w:bCs/>
                <w:sz w:val="20"/>
                <w:szCs w:val="20"/>
                <w:rtl/>
              </w:rPr>
            </w:pPr>
          </w:p>
        </w:tc>
        <w:tc>
          <w:tcPr>
            <w:tcW w:w="666" w:type="dxa"/>
            <w:shd w:val="clear" w:color="auto" w:fill="D9D9D9" w:themeFill="background1" w:themeFillShade="D9"/>
            <w:vAlign w:val="center"/>
          </w:tcPr>
          <w:p w14:paraId="488658D0" w14:textId="77777777" w:rsidR="00B105DF" w:rsidRPr="00B105DF" w:rsidRDefault="00B105DF" w:rsidP="00B105DF">
            <w:pPr>
              <w:bidi w:val="0"/>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Pr>
              <w:t>No.</w:t>
            </w:r>
          </w:p>
        </w:tc>
        <w:tc>
          <w:tcPr>
            <w:tcW w:w="733" w:type="dxa"/>
            <w:shd w:val="clear" w:color="auto" w:fill="D9D9D9" w:themeFill="background1" w:themeFillShade="D9"/>
            <w:vAlign w:val="center"/>
          </w:tcPr>
          <w:p w14:paraId="6509F874" w14:textId="77777777" w:rsidR="00B105DF" w:rsidRPr="00B105DF" w:rsidRDefault="00B105DF" w:rsidP="00B105DF">
            <w:pPr>
              <w:bidi w:val="0"/>
              <w:spacing w:after="0" w:line="240" w:lineRule="auto"/>
              <w:jc w:val="center"/>
              <w:rPr>
                <w:rFonts w:asciiTheme="majorBidi" w:hAnsiTheme="majorBidi" w:cstheme="majorBidi"/>
                <w:b/>
                <w:bCs/>
                <w:sz w:val="20"/>
                <w:szCs w:val="20"/>
                <w:rtl/>
              </w:rPr>
            </w:pPr>
            <w:r w:rsidRPr="00B105DF">
              <w:rPr>
                <w:rFonts w:asciiTheme="majorBidi" w:hAnsiTheme="majorBidi" w:cstheme="majorBidi"/>
                <w:b/>
                <w:bCs/>
                <w:sz w:val="20"/>
                <w:szCs w:val="20"/>
              </w:rPr>
              <w:t>%</w:t>
            </w:r>
          </w:p>
        </w:tc>
        <w:tc>
          <w:tcPr>
            <w:tcW w:w="666" w:type="dxa"/>
            <w:shd w:val="clear" w:color="auto" w:fill="D9D9D9" w:themeFill="background1" w:themeFillShade="D9"/>
            <w:vAlign w:val="center"/>
          </w:tcPr>
          <w:p w14:paraId="4A8D72A0" w14:textId="77777777" w:rsidR="00B105DF" w:rsidRPr="00B105DF" w:rsidRDefault="00B105DF" w:rsidP="00B105DF">
            <w:pPr>
              <w:bidi w:val="0"/>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No.</w:t>
            </w:r>
          </w:p>
        </w:tc>
        <w:tc>
          <w:tcPr>
            <w:tcW w:w="733" w:type="dxa"/>
            <w:shd w:val="clear" w:color="auto" w:fill="D9D9D9" w:themeFill="background1" w:themeFillShade="D9"/>
            <w:vAlign w:val="center"/>
          </w:tcPr>
          <w:p w14:paraId="2F7340F6" w14:textId="77777777" w:rsidR="00B105DF" w:rsidRPr="00B105DF" w:rsidRDefault="00B105DF" w:rsidP="00B105DF">
            <w:pPr>
              <w:bidi w:val="0"/>
              <w:spacing w:after="0" w:line="240" w:lineRule="auto"/>
              <w:jc w:val="center"/>
              <w:rPr>
                <w:rFonts w:asciiTheme="majorBidi" w:hAnsiTheme="majorBidi" w:cstheme="majorBidi"/>
                <w:b/>
                <w:bCs/>
                <w:sz w:val="20"/>
                <w:szCs w:val="20"/>
              </w:rPr>
            </w:pPr>
            <w:r w:rsidRPr="00B105DF">
              <w:rPr>
                <w:rFonts w:asciiTheme="majorBidi" w:hAnsiTheme="majorBidi" w:cstheme="majorBidi"/>
                <w:b/>
                <w:bCs/>
                <w:sz w:val="20"/>
                <w:szCs w:val="20"/>
              </w:rPr>
              <w:t>%</w:t>
            </w:r>
          </w:p>
        </w:tc>
        <w:tc>
          <w:tcPr>
            <w:tcW w:w="666" w:type="dxa"/>
            <w:shd w:val="clear" w:color="auto" w:fill="D9D9D9" w:themeFill="background1" w:themeFillShade="D9"/>
            <w:vAlign w:val="center"/>
          </w:tcPr>
          <w:p w14:paraId="738FF93A" w14:textId="77777777" w:rsidR="00B105DF" w:rsidRPr="00B105DF" w:rsidRDefault="00B105DF" w:rsidP="00B105DF">
            <w:pPr>
              <w:bidi w:val="0"/>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No.</w:t>
            </w:r>
          </w:p>
        </w:tc>
        <w:tc>
          <w:tcPr>
            <w:tcW w:w="733" w:type="dxa"/>
            <w:shd w:val="clear" w:color="auto" w:fill="D9D9D9" w:themeFill="background1" w:themeFillShade="D9"/>
            <w:vAlign w:val="center"/>
          </w:tcPr>
          <w:p w14:paraId="75591A6E" w14:textId="77777777" w:rsidR="00B105DF" w:rsidRPr="00B105DF" w:rsidRDefault="00B105DF" w:rsidP="00B105DF">
            <w:pPr>
              <w:bidi w:val="0"/>
              <w:spacing w:after="0" w:line="240" w:lineRule="auto"/>
              <w:jc w:val="center"/>
              <w:rPr>
                <w:rFonts w:asciiTheme="majorBidi" w:hAnsiTheme="majorBidi" w:cstheme="majorBidi"/>
                <w:b/>
                <w:bCs/>
                <w:sz w:val="20"/>
                <w:szCs w:val="20"/>
              </w:rPr>
            </w:pPr>
            <w:r w:rsidRPr="00B105DF">
              <w:rPr>
                <w:rFonts w:asciiTheme="majorBidi" w:hAnsiTheme="majorBidi" w:cstheme="majorBidi"/>
                <w:b/>
                <w:bCs/>
                <w:sz w:val="20"/>
                <w:szCs w:val="20"/>
              </w:rPr>
              <w:t>%</w:t>
            </w:r>
          </w:p>
        </w:tc>
        <w:tc>
          <w:tcPr>
            <w:tcW w:w="772" w:type="dxa"/>
            <w:shd w:val="clear" w:color="auto" w:fill="D9D9D9" w:themeFill="background1" w:themeFillShade="D9"/>
            <w:vAlign w:val="center"/>
          </w:tcPr>
          <w:p w14:paraId="7657F19B" w14:textId="77777777" w:rsidR="00B105DF" w:rsidRPr="00B105DF" w:rsidRDefault="00B105DF" w:rsidP="00B105DF">
            <w:pPr>
              <w:bidi w:val="0"/>
              <w:spacing w:after="0" w:line="240" w:lineRule="auto"/>
              <w:jc w:val="center"/>
              <w:rPr>
                <w:rFonts w:asciiTheme="majorBidi" w:hAnsiTheme="majorBidi" w:cstheme="majorBidi"/>
                <w:b/>
                <w:bCs/>
                <w:sz w:val="20"/>
                <w:szCs w:val="20"/>
              </w:rPr>
            </w:pPr>
            <w:r>
              <w:rPr>
                <w:rFonts w:asciiTheme="majorBidi" w:hAnsiTheme="majorBidi" w:cstheme="majorBidi"/>
                <w:b/>
                <w:bCs/>
                <w:sz w:val="20"/>
                <w:szCs w:val="20"/>
              </w:rPr>
              <w:t>No.</w:t>
            </w:r>
          </w:p>
        </w:tc>
        <w:tc>
          <w:tcPr>
            <w:tcW w:w="733" w:type="dxa"/>
            <w:shd w:val="clear" w:color="auto" w:fill="D9D9D9" w:themeFill="background1" w:themeFillShade="D9"/>
            <w:vAlign w:val="center"/>
          </w:tcPr>
          <w:p w14:paraId="26DCCD0F" w14:textId="77777777" w:rsidR="00B105DF" w:rsidRPr="00B105DF" w:rsidRDefault="00B105DF" w:rsidP="00B105DF">
            <w:pPr>
              <w:bidi w:val="0"/>
              <w:spacing w:after="0" w:line="240" w:lineRule="auto"/>
              <w:jc w:val="center"/>
              <w:rPr>
                <w:rFonts w:asciiTheme="majorBidi" w:hAnsiTheme="majorBidi" w:cstheme="majorBidi"/>
                <w:b/>
                <w:bCs/>
                <w:sz w:val="20"/>
                <w:szCs w:val="20"/>
              </w:rPr>
            </w:pPr>
            <w:r w:rsidRPr="00B105DF">
              <w:rPr>
                <w:rFonts w:asciiTheme="majorBidi" w:hAnsiTheme="majorBidi" w:cstheme="majorBidi"/>
                <w:b/>
                <w:bCs/>
                <w:sz w:val="20"/>
                <w:szCs w:val="20"/>
              </w:rPr>
              <w:t>%</w:t>
            </w:r>
          </w:p>
        </w:tc>
      </w:tr>
      <w:tr w:rsidR="00F37FC8" w:rsidRPr="00B105DF" w14:paraId="55982F1E" w14:textId="77777777" w:rsidTr="00B105DF">
        <w:tc>
          <w:tcPr>
            <w:tcW w:w="1428" w:type="dxa"/>
            <w:vMerge w:val="restart"/>
            <w:shd w:val="clear" w:color="auto" w:fill="auto"/>
            <w:vAlign w:val="center"/>
          </w:tcPr>
          <w:p w14:paraId="22936583" w14:textId="77777777" w:rsidR="00F37FC8" w:rsidRPr="00B105DF" w:rsidRDefault="000423C8" w:rsidP="00B105DF">
            <w:pPr>
              <w:bidi w:val="0"/>
              <w:spacing w:after="0" w:line="240" w:lineRule="auto"/>
              <w:rPr>
                <w:rFonts w:asciiTheme="majorBidi" w:hAnsiTheme="majorBidi" w:cstheme="majorBidi"/>
                <w:sz w:val="20"/>
                <w:szCs w:val="20"/>
                <w:rtl/>
              </w:rPr>
            </w:pPr>
            <w:r>
              <w:rPr>
                <w:rFonts w:asciiTheme="majorBidi" w:hAnsiTheme="majorBidi" w:cstheme="majorBidi"/>
                <w:sz w:val="20"/>
                <w:szCs w:val="20"/>
              </w:rPr>
              <w:t>R</w:t>
            </w:r>
            <w:r w:rsidR="00F37FC8" w:rsidRPr="00B105DF">
              <w:rPr>
                <w:rFonts w:asciiTheme="majorBidi" w:hAnsiTheme="majorBidi" w:cstheme="majorBidi"/>
                <w:sz w:val="20"/>
                <w:szCs w:val="20"/>
              </w:rPr>
              <w:t>equests for reexamination of the first hospitalization order</w:t>
            </w:r>
          </w:p>
        </w:tc>
        <w:tc>
          <w:tcPr>
            <w:tcW w:w="1659" w:type="dxa"/>
            <w:shd w:val="clear" w:color="auto" w:fill="auto"/>
            <w:vAlign w:val="center"/>
          </w:tcPr>
          <w:p w14:paraId="0BAA120F"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Approval</w:t>
            </w:r>
          </w:p>
        </w:tc>
        <w:tc>
          <w:tcPr>
            <w:tcW w:w="666" w:type="dxa"/>
            <w:shd w:val="clear" w:color="auto" w:fill="auto"/>
            <w:vAlign w:val="center"/>
          </w:tcPr>
          <w:p w14:paraId="1683772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252</w:t>
            </w:r>
          </w:p>
        </w:tc>
        <w:tc>
          <w:tcPr>
            <w:tcW w:w="733" w:type="dxa"/>
            <w:shd w:val="clear" w:color="auto" w:fill="auto"/>
            <w:vAlign w:val="center"/>
          </w:tcPr>
          <w:p w14:paraId="4C7F0BB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4.9%</w:t>
            </w:r>
          </w:p>
        </w:tc>
        <w:tc>
          <w:tcPr>
            <w:tcW w:w="666" w:type="dxa"/>
            <w:shd w:val="clear" w:color="auto" w:fill="auto"/>
            <w:vAlign w:val="center"/>
          </w:tcPr>
          <w:p w14:paraId="40F1C26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349</w:t>
            </w:r>
          </w:p>
        </w:tc>
        <w:tc>
          <w:tcPr>
            <w:tcW w:w="733" w:type="dxa"/>
            <w:shd w:val="clear" w:color="auto" w:fill="auto"/>
            <w:vAlign w:val="center"/>
          </w:tcPr>
          <w:p w14:paraId="15BAB49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6.9%</w:t>
            </w:r>
          </w:p>
        </w:tc>
        <w:tc>
          <w:tcPr>
            <w:tcW w:w="666" w:type="dxa"/>
            <w:shd w:val="clear" w:color="auto" w:fill="auto"/>
            <w:vAlign w:val="center"/>
          </w:tcPr>
          <w:p w14:paraId="36AFDFC6"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444</w:t>
            </w:r>
          </w:p>
        </w:tc>
        <w:tc>
          <w:tcPr>
            <w:tcW w:w="733" w:type="dxa"/>
            <w:shd w:val="clear" w:color="auto" w:fill="auto"/>
            <w:vAlign w:val="center"/>
          </w:tcPr>
          <w:p w14:paraId="1428889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9.2%</w:t>
            </w:r>
          </w:p>
        </w:tc>
        <w:tc>
          <w:tcPr>
            <w:tcW w:w="772" w:type="dxa"/>
            <w:shd w:val="clear" w:color="auto" w:fill="auto"/>
            <w:vAlign w:val="center"/>
          </w:tcPr>
          <w:p w14:paraId="720DFF7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425</w:t>
            </w:r>
          </w:p>
        </w:tc>
        <w:tc>
          <w:tcPr>
            <w:tcW w:w="733" w:type="dxa"/>
            <w:shd w:val="clear" w:color="auto" w:fill="auto"/>
            <w:vAlign w:val="center"/>
          </w:tcPr>
          <w:p w14:paraId="1E0F8CC5"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10.4%</w:t>
            </w:r>
          </w:p>
        </w:tc>
      </w:tr>
      <w:tr w:rsidR="00F37FC8" w:rsidRPr="00B105DF" w14:paraId="678C8959" w14:textId="77777777" w:rsidTr="00B105DF">
        <w:tc>
          <w:tcPr>
            <w:tcW w:w="1428" w:type="dxa"/>
            <w:vMerge/>
            <w:shd w:val="clear" w:color="auto" w:fill="auto"/>
            <w:vAlign w:val="center"/>
          </w:tcPr>
          <w:p w14:paraId="4A546BAA" w14:textId="77777777" w:rsidR="00F37FC8" w:rsidRPr="00B105DF" w:rsidRDefault="00F37FC8" w:rsidP="00B105DF">
            <w:pPr>
              <w:bidi w:val="0"/>
              <w:spacing w:after="0" w:line="240" w:lineRule="auto"/>
              <w:rPr>
                <w:rFonts w:asciiTheme="majorBidi" w:hAnsiTheme="majorBidi" w:cstheme="majorBidi"/>
                <w:sz w:val="20"/>
                <w:szCs w:val="20"/>
                <w:rtl/>
              </w:rPr>
            </w:pPr>
          </w:p>
        </w:tc>
        <w:tc>
          <w:tcPr>
            <w:tcW w:w="1659" w:type="dxa"/>
            <w:shd w:val="clear" w:color="auto" w:fill="auto"/>
            <w:vAlign w:val="center"/>
          </w:tcPr>
          <w:p w14:paraId="23B32377"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Rejection</w:t>
            </w:r>
          </w:p>
        </w:tc>
        <w:tc>
          <w:tcPr>
            <w:tcW w:w="666" w:type="dxa"/>
            <w:shd w:val="clear" w:color="auto" w:fill="auto"/>
            <w:vAlign w:val="center"/>
          </w:tcPr>
          <w:p w14:paraId="2A644361"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w:t>
            </w:r>
            <w:r w:rsidRPr="00B105DF">
              <w:rPr>
                <w:rFonts w:asciiTheme="majorBidi" w:hAnsiTheme="majorBidi" w:cstheme="majorBidi"/>
                <w:sz w:val="20"/>
                <w:szCs w:val="20"/>
              </w:rPr>
              <w:t>,</w:t>
            </w:r>
            <w:r w:rsidRPr="00B105DF">
              <w:rPr>
                <w:rFonts w:asciiTheme="majorBidi" w:hAnsiTheme="majorBidi" w:cstheme="majorBidi"/>
                <w:sz w:val="20"/>
                <w:szCs w:val="20"/>
                <w:rtl/>
              </w:rPr>
              <w:t>036</w:t>
            </w:r>
          </w:p>
        </w:tc>
        <w:tc>
          <w:tcPr>
            <w:tcW w:w="733" w:type="dxa"/>
            <w:shd w:val="clear" w:color="auto" w:fill="auto"/>
            <w:vAlign w:val="center"/>
          </w:tcPr>
          <w:p w14:paraId="6379AE16"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78.9%</w:t>
            </w:r>
          </w:p>
        </w:tc>
        <w:tc>
          <w:tcPr>
            <w:tcW w:w="666" w:type="dxa"/>
            <w:shd w:val="clear" w:color="auto" w:fill="auto"/>
            <w:vAlign w:val="center"/>
          </w:tcPr>
          <w:p w14:paraId="4E1877A1"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w:t>
            </w:r>
            <w:r w:rsidRPr="00B105DF">
              <w:rPr>
                <w:rFonts w:asciiTheme="majorBidi" w:hAnsiTheme="majorBidi" w:cstheme="majorBidi"/>
                <w:sz w:val="20"/>
                <w:szCs w:val="20"/>
              </w:rPr>
              <w:t>,</w:t>
            </w:r>
            <w:r w:rsidRPr="00B105DF">
              <w:rPr>
                <w:rFonts w:asciiTheme="majorBidi" w:hAnsiTheme="majorBidi" w:cstheme="majorBidi"/>
                <w:sz w:val="20"/>
                <w:szCs w:val="20"/>
                <w:rtl/>
              </w:rPr>
              <w:t>876</w:t>
            </w:r>
          </w:p>
        </w:tc>
        <w:tc>
          <w:tcPr>
            <w:tcW w:w="733" w:type="dxa"/>
            <w:shd w:val="clear" w:color="auto" w:fill="auto"/>
            <w:vAlign w:val="center"/>
          </w:tcPr>
          <w:p w14:paraId="1BB23C1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76.8%</w:t>
            </w:r>
          </w:p>
        </w:tc>
        <w:tc>
          <w:tcPr>
            <w:tcW w:w="666" w:type="dxa"/>
            <w:shd w:val="clear" w:color="auto" w:fill="auto"/>
            <w:vAlign w:val="center"/>
          </w:tcPr>
          <w:p w14:paraId="1FB75D8D"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w:t>
            </w:r>
            <w:r w:rsidRPr="00B105DF">
              <w:rPr>
                <w:rFonts w:asciiTheme="majorBidi" w:hAnsiTheme="majorBidi" w:cstheme="majorBidi"/>
                <w:sz w:val="20"/>
                <w:szCs w:val="20"/>
              </w:rPr>
              <w:t>,</w:t>
            </w:r>
            <w:r w:rsidRPr="00B105DF">
              <w:rPr>
                <w:rFonts w:asciiTheme="majorBidi" w:hAnsiTheme="majorBidi" w:cstheme="majorBidi"/>
                <w:sz w:val="20"/>
                <w:szCs w:val="20"/>
                <w:rtl/>
              </w:rPr>
              <w:t>657</w:t>
            </w:r>
          </w:p>
        </w:tc>
        <w:tc>
          <w:tcPr>
            <w:tcW w:w="733" w:type="dxa"/>
            <w:shd w:val="clear" w:color="auto" w:fill="auto"/>
            <w:vAlign w:val="center"/>
          </w:tcPr>
          <w:p w14:paraId="588CA9F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75.5%</w:t>
            </w:r>
          </w:p>
        </w:tc>
        <w:tc>
          <w:tcPr>
            <w:tcW w:w="772" w:type="dxa"/>
            <w:shd w:val="clear" w:color="auto" w:fill="auto"/>
            <w:vAlign w:val="center"/>
          </w:tcPr>
          <w:p w14:paraId="2762187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w:t>
            </w:r>
            <w:r w:rsidRPr="00B105DF">
              <w:rPr>
                <w:rFonts w:asciiTheme="majorBidi" w:hAnsiTheme="majorBidi" w:cstheme="majorBidi"/>
                <w:sz w:val="20"/>
                <w:szCs w:val="20"/>
              </w:rPr>
              <w:t>,</w:t>
            </w:r>
            <w:r w:rsidRPr="00B105DF">
              <w:rPr>
                <w:rFonts w:asciiTheme="majorBidi" w:hAnsiTheme="majorBidi" w:cstheme="majorBidi"/>
                <w:sz w:val="20"/>
                <w:szCs w:val="20"/>
                <w:rtl/>
              </w:rPr>
              <w:t>127</w:t>
            </w:r>
          </w:p>
        </w:tc>
        <w:tc>
          <w:tcPr>
            <w:tcW w:w="733" w:type="dxa"/>
            <w:shd w:val="clear" w:color="auto" w:fill="auto"/>
            <w:vAlign w:val="center"/>
          </w:tcPr>
          <w:p w14:paraId="79525B7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76.2%</w:t>
            </w:r>
          </w:p>
        </w:tc>
      </w:tr>
      <w:tr w:rsidR="00F37FC8" w:rsidRPr="00B105DF" w14:paraId="168487DB" w14:textId="77777777" w:rsidTr="00B105DF">
        <w:tc>
          <w:tcPr>
            <w:tcW w:w="1428" w:type="dxa"/>
            <w:vMerge/>
            <w:shd w:val="clear" w:color="auto" w:fill="auto"/>
            <w:vAlign w:val="center"/>
          </w:tcPr>
          <w:p w14:paraId="157E0B5A" w14:textId="77777777" w:rsidR="00F37FC8" w:rsidRPr="00B105DF" w:rsidRDefault="00F37FC8" w:rsidP="00B105DF">
            <w:pPr>
              <w:bidi w:val="0"/>
              <w:spacing w:after="0" w:line="240" w:lineRule="auto"/>
              <w:rPr>
                <w:rFonts w:asciiTheme="majorBidi" w:hAnsiTheme="majorBidi" w:cstheme="majorBidi"/>
                <w:sz w:val="20"/>
                <w:szCs w:val="20"/>
                <w:rtl/>
              </w:rPr>
            </w:pPr>
          </w:p>
        </w:tc>
        <w:tc>
          <w:tcPr>
            <w:tcW w:w="1659" w:type="dxa"/>
            <w:shd w:val="clear" w:color="auto" w:fill="auto"/>
            <w:vAlign w:val="center"/>
          </w:tcPr>
          <w:p w14:paraId="1F864461"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Postpone the date of the hearing</w:t>
            </w:r>
          </w:p>
        </w:tc>
        <w:tc>
          <w:tcPr>
            <w:tcW w:w="666" w:type="dxa"/>
            <w:shd w:val="clear" w:color="auto" w:fill="auto"/>
            <w:vAlign w:val="center"/>
          </w:tcPr>
          <w:p w14:paraId="7CF9F80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205</w:t>
            </w:r>
          </w:p>
        </w:tc>
        <w:tc>
          <w:tcPr>
            <w:tcW w:w="733" w:type="dxa"/>
            <w:shd w:val="clear" w:color="auto" w:fill="auto"/>
            <w:vAlign w:val="center"/>
          </w:tcPr>
          <w:p w14:paraId="1CAE217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w:t>
            </w:r>
          </w:p>
        </w:tc>
        <w:tc>
          <w:tcPr>
            <w:tcW w:w="666" w:type="dxa"/>
            <w:shd w:val="clear" w:color="auto" w:fill="auto"/>
            <w:vAlign w:val="center"/>
          </w:tcPr>
          <w:p w14:paraId="5F4730D7" w14:textId="77777777" w:rsidR="00F37FC8" w:rsidRPr="00B105DF" w:rsidRDefault="00F37FC8" w:rsidP="00B105DF">
            <w:pPr>
              <w:bidi w:val="0"/>
              <w:spacing w:after="0" w:line="240" w:lineRule="auto"/>
              <w:jc w:val="center"/>
              <w:rPr>
                <w:rFonts w:asciiTheme="majorBidi" w:hAnsiTheme="majorBidi" w:cstheme="majorBidi"/>
                <w:sz w:val="20"/>
                <w:szCs w:val="20"/>
              </w:rPr>
            </w:pPr>
            <w:r w:rsidRPr="00B105DF">
              <w:rPr>
                <w:rFonts w:asciiTheme="majorBidi" w:hAnsiTheme="majorBidi" w:cstheme="majorBidi"/>
                <w:sz w:val="20"/>
                <w:szCs w:val="20"/>
                <w:rtl/>
              </w:rPr>
              <w:t>234</w:t>
            </w:r>
          </w:p>
        </w:tc>
        <w:tc>
          <w:tcPr>
            <w:tcW w:w="733" w:type="dxa"/>
            <w:shd w:val="clear" w:color="auto" w:fill="auto"/>
            <w:vAlign w:val="center"/>
          </w:tcPr>
          <w:p w14:paraId="49299B0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4.6%</w:t>
            </w:r>
          </w:p>
        </w:tc>
        <w:tc>
          <w:tcPr>
            <w:tcW w:w="666" w:type="dxa"/>
            <w:shd w:val="clear" w:color="auto" w:fill="auto"/>
            <w:vAlign w:val="center"/>
          </w:tcPr>
          <w:p w14:paraId="5C2DE74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204</w:t>
            </w:r>
          </w:p>
        </w:tc>
        <w:tc>
          <w:tcPr>
            <w:tcW w:w="733" w:type="dxa"/>
            <w:shd w:val="clear" w:color="auto" w:fill="auto"/>
            <w:vAlign w:val="center"/>
          </w:tcPr>
          <w:p w14:paraId="680DCF4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4.2%</w:t>
            </w:r>
          </w:p>
        </w:tc>
        <w:tc>
          <w:tcPr>
            <w:tcW w:w="772" w:type="dxa"/>
            <w:shd w:val="clear" w:color="auto" w:fill="auto"/>
            <w:vAlign w:val="center"/>
          </w:tcPr>
          <w:p w14:paraId="74D4C94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193</w:t>
            </w:r>
          </w:p>
        </w:tc>
        <w:tc>
          <w:tcPr>
            <w:tcW w:w="733" w:type="dxa"/>
            <w:shd w:val="clear" w:color="auto" w:fill="auto"/>
            <w:vAlign w:val="center"/>
          </w:tcPr>
          <w:p w14:paraId="223997E2"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4.7%</w:t>
            </w:r>
          </w:p>
        </w:tc>
      </w:tr>
      <w:tr w:rsidR="00F37FC8" w:rsidRPr="00B105DF" w14:paraId="334372F3" w14:textId="77777777" w:rsidTr="00B105DF">
        <w:tc>
          <w:tcPr>
            <w:tcW w:w="1428" w:type="dxa"/>
            <w:vMerge/>
            <w:shd w:val="clear" w:color="auto" w:fill="auto"/>
            <w:vAlign w:val="center"/>
          </w:tcPr>
          <w:p w14:paraId="755C8C5C" w14:textId="77777777" w:rsidR="00F37FC8" w:rsidRPr="00B105DF" w:rsidRDefault="00F37FC8" w:rsidP="00B105DF">
            <w:pPr>
              <w:bidi w:val="0"/>
              <w:spacing w:after="0" w:line="240" w:lineRule="auto"/>
              <w:rPr>
                <w:rFonts w:asciiTheme="majorBidi" w:hAnsiTheme="majorBidi" w:cstheme="majorBidi"/>
                <w:sz w:val="20"/>
                <w:szCs w:val="20"/>
                <w:rtl/>
              </w:rPr>
            </w:pPr>
          </w:p>
        </w:tc>
        <w:tc>
          <w:tcPr>
            <w:tcW w:w="1659" w:type="dxa"/>
            <w:shd w:val="clear" w:color="auto" w:fill="auto"/>
            <w:vAlign w:val="center"/>
          </w:tcPr>
          <w:p w14:paraId="7A81A146"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The applicant did not appear or withdrew the request</w:t>
            </w:r>
          </w:p>
        </w:tc>
        <w:tc>
          <w:tcPr>
            <w:tcW w:w="666" w:type="dxa"/>
            <w:shd w:val="clear" w:color="auto" w:fill="auto"/>
            <w:vAlign w:val="center"/>
          </w:tcPr>
          <w:p w14:paraId="5A15045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443</w:t>
            </w:r>
          </w:p>
        </w:tc>
        <w:tc>
          <w:tcPr>
            <w:tcW w:w="733" w:type="dxa"/>
            <w:shd w:val="clear" w:color="auto" w:fill="auto"/>
            <w:vAlign w:val="center"/>
          </w:tcPr>
          <w:p w14:paraId="735599C8"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8.7%</w:t>
            </w:r>
          </w:p>
        </w:tc>
        <w:tc>
          <w:tcPr>
            <w:tcW w:w="666" w:type="dxa"/>
            <w:shd w:val="clear" w:color="auto" w:fill="auto"/>
            <w:vAlign w:val="center"/>
          </w:tcPr>
          <w:p w14:paraId="35F995B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339</w:t>
            </w:r>
          </w:p>
        </w:tc>
        <w:tc>
          <w:tcPr>
            <w:tcW w:w="733" w:type="dxa"/>
            <w:shd w:val="clear" w:color="auto" w:fill="auto"/>
            <w:vAlign w:val="center"/>
          </w:tcPr>
          <w:p w14:paraId="42F1D504"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6.7%</w:t>
            </w:r>
          </w:p>
        </w:tc>
        <w:tc>
          <w:tcPr>
            <w:tcW w:w="666" w:type="dxa"/>
            <w:shd w:val="clear" w:color="auto" w:fill="auto"/>
            <w:vAlign w:val="center"/>
          </w:tcPr>
          <w:p w14:paraId="5285C921"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375</w:t>
            </w:r>
          </w:p>
        </w:tc>
        <w:tc>
          <w:tcPr>
            <w:tcW w:w="733" w:type="dxa"/>
            <w:shd w:val="clear" w:color="auto" w:fill="auto"/>
            <w:vAlign w:val="center"/>
          </w:tcPr>
          <w:p w14:paraId="7181C62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7.2%</w:t>
            </w:r>
          </w:p>
        </w:tc>
        <w:tc>
          <w:tcPr>
            <w:tcW w:w="772" w:type="dxa"/>
            <w:shd w:val="clear" w:color="auto" w:fill="auto"/>
            <w:vAlign w:val="center"/>
          </w:tcPr>
          <w:p w14:paraId="1A9CF90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239</w:t>
            </w:r>
          </w:p>
        </w:tc>
        <w:tc>
          <w:tcPr>
            <w:tcW w:w="733" w:type="dxa"/>
            <w:shd w:val="clear" w:color="auto" w:fill="auto"/>
            <w:vAlign w:val="center"/>
          </w:tcPr>
          <w:p w14:paraId="130B4AD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5.8%</w:t>
            </w:r>
          </w:p>
        </w:tc>
      </w:tr>
      <w:tr w:rsidR="00F37FC8" w:rsidRPr="00B105DF" w14:paraId="50F9C0E5" w14:textId="77777777" w:rsidTr="00B105DF">
        <w:tc>
          <w:tcPr>
            <w:tcW w:w="1428" w:type="dxa"/>
            <w:vMerge/>
            <w:shd w:val="clear" w:color="auto" w:fill="auto"/>
            <w:vAlign w:val="center"/>
          </w:tcPr>
          <w:p w14:paraId="3D9DA161" w14:textId="77777777" w:rsidR="00F37FC8" w:rsidRPr="00B105DF" w:rsidRDefault="00F37FC8" w:rsidP="00B105DF">
            <w:pPr>
              <w:bidi w:val="0"/>
              <w:spacing w:after="0" w:line="240" w:lineRule="auto"/>
              <w:rPr>
                <w:rFonts w:asciiTheme="majorBidi" w:hAnsiTheme="majorBidi" w:cstheme="majorBidi"/>
                <w:sz w:val="20"/>
                <w:szCs w:val="20"/>
                <w:rtl/>
              </w:rPr>
            </w:pPr>
          </w:p>
        </w:tc>
        <w:tc>
          <w:tcPr>
            <w:tcW w:w="1659" w:type="dxa"/>
            <w:shd w:val="clear" w:color="auto" w:fill="auto"/>
            <w:vAlign w:val="center"/>
          </w:tcPr>
          <w:p w14:paraId="6344DC8E"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Conversion to forced clinical treatment</w:t>
            </w:r>
          </w:p>
        </w:tc>
        <w:tc>
          <w:tcPr>
            <w:tcW w:w="666" w:type="dxa"/>
            <w:shd w:val="clear" w:color="auto" w:fill="auto"/>
            <w:vAlign w:val="center"/>
          </w:tcPr>
          <w:p w14:paraId="63CE1704"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101</w:t>
            </w:r>
          </w:p>
        </w:tc>
        <w:tc>
          <w:tcPr>
            <w:tcW w:w="733" w:type="dxa"/>
            <w:shd w:val="clear" w:color="auto" w:fill="auto"/>
            <w:vAlign w:val="center"/>
          </w:tcPr>
          <w:p w14:paraId="7455CFB7"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w:t>
            </w:r>
          </w:p>
        </w:tc>
        <w:tc>
          <w:tcPr>
            <w:tcW w:w="666" w:type="dxa"/>
            <w:shd w:val="clear" w:color="auto" w:fill="auto"/>
            <w:vAlign w:val="center"/>
          </w:tcPr>
          <w:p w14:paraId="1B0E8277"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108</w:t>
            </w:r>
          </w:p>
        </w:tc>
        <w:tc>
          <w:tcPr>
            <w:tcW w:w="733" w:type="dxa"/>
            <w:shd w:val="clear" w:color="auto" w:fill="auto"/>
            <w:vAlign w:val="center"/>
          </w:tcPr>
          <w:p w14:paraId="16AFC0C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2.1%</w:t>
            </w:r>
          </w:p>
        </w:tc>
        <w:tc>
          <w:tcPr>
            <w:tcW w:w="666" w:type="dxa"/>
            <w:shd w:val="clear" w:color="auto" w:fill="auto"/>
            <w:vAlign w:val="center"/>
          </w:tcPr>
          <w:p w14:paraId="6F82AEC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81</w:t>
            </w:r>
          </w:p>
        </w:tc>
        <w:tc>
          <w:tcPr>
            <w:tcW w:w="733" w:type="dxa"/>
            <w:shd w:val="clear" w:color="auto" w:fill="auto"/>
            <w:vAlign w:val="center"/>
          </w:tcPr>
          <w:p w14:paraId="03784CD5"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1.7%</w:t>
            </w:r>
          </w:p>
        </w:tc>
        <w:tc>
          <w:tcPr>
            <w:tcW w:w="772" w:type="dxa"/>
            <w:shd w:val="clear" w:color="auto" w:fill="auto"/>
            <w:vAlign w:val="center"/>
          </w:tcPr>
          <w:p w14:paraId="39284BF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43</w:t>
            </w:r>
          </w:p>
        </w:tc>
        <w:tc>
          <w:tcPr>
            <w:tcW w:w="733" w:type="dxa"/>
            <w:shd w:val="clear" w:color="auto" w:fill="auto"/>
            <w:vAlign w:val="center"/>
          </w:tcPr>
          <w:p w14:paraId="59F617B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w:t>
            </w:r>
          </w:p>
        </w:tc>
      </w:tr>
      <w:tr w:rsidR="00F37FC8" w:rsidRPr="00B105DF" w14:paraId="3CB35A49" w14:textId="77777777" w:rsidTr="00B105DF">
        <w:tc>
          <w:tcPr>
            <w:tcW w:w="1428" w:type="dxa"/>
            <w:vMerge/>
            <w:shd w:val="clear" w:color="auto" w:fill="auto"/>
            <w:vAlign w:val="center"/>
          </w:tcPr>
          <w:p w14:paraId="1869E81C" w14:textId="77777777" w:rsidR="00F37FC8" w:rsidRPr="00B105DF" w:rsidRDefault="00F37FC8" w:rsidP="00B105DF">
            <w:pPr>
              <w:bidi w:val="0"/>
              <w:spacing w:after="0" w:line="240" w:lineRule="auto"/>
              <w:rPr>
                <w:rFonts w:asciiTheme="majorBidi" w:hAnsiTheme="majorBidi" w:cstheme="majorBidi"/>
                <w:sz w:val="20"/>
                <w:szCs w:val="20"/>
                <w:rtl/>
              </w:rPr>
            </w:pPr>
          </w:p>
        </w:tc>
        <w:tc>
          <w:tcPr>
            <w:tcW w:w="1659" w:type="dxa"/>
            <w:shd w:val="clear" w:color="auto" w:fill="auto"/>
            <w:vAlign w:val="center"/>
          </w:tcPr>
          <w:p w14:paraId="31FA489F"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Other decision</w:t>
            </w:r>
          </w:p>
        </w:tc>
        <w:tc>
          <w:tcPr>
            <w:tcW w:w="666" w:type="dxa"/>
            <w:shd w:val="clear" w:color="auto" w:fill="auto"/>
            <w:vAlign w:val="center"/>
          </w:tcPr>
          <w:p w14:paraId="69C0DC6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80</w:t>
            </w:r>
          </w:p>
        </w:tc>
        <w:tc>
          <w:tcPr>
            <w:tcW w:w="733" w:type="dxa"/>
            <w:shd w:val="clear" w:color="auto" w:fill="auto"/>
            <w:vAlign w:val="center"/>
          </w:tcPr>
          <w:p w14:paraId="26D4DAD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1.6%</w:t>
            </w:r>
          </w:p>
        </w:tc>
        <w:tc>
          <w:tcPr>
            <w:tcW w:w="666" w:type="dxa"/>
            <w:shd w:val="clear" w:color="auto" w:fill="auto"/>
            <w:vAlign w:val="center"/>
          </w:tcPr>
          <w:p w14:paraId="4EDC98D6"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142</w:t>
            </w:r>
          </w:p>
        </w:tc>
        <w:tc>
          <w:tcPr>
            <w:tcW w:w="733" w:type="dxa"/>
            <w:shd w:val="clear" w:color="auto" w:fill="auto"/>
            <w:vAlign w:val="center"/>
          </w:tcPr>
          <w:p w14:paraId="7FE03A0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2.8%</w:t>
            </w:r>
          </w:p>
        </w:tc>
        <w:tc>
          <w:tcPr>
            <w:tcW w:w="666" w:type="dxa"/>
            <w:shd w:val="clear" w:color="auto" w:fill="auto"/>
            <w:vAlign w:val="center"/>
          </w:tcPr>
          <w:p w14:paraId="5820360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87</w:t>
            </w:r>
          </w:p>
        </w:tc>
        <w:tc>
          <w:tcPr>
            <w:tcW w:w="733" w:type="dxa"/>
            <w:shd w:val="clear" w:color="auto" w:fill="auto"/>
            <w:vAlign w:val="center"/>
          </w:tcPr>
          <w:p w14:paraId="66C49535"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1.8%</w:t>
            </w:r>
          </w:p>
        </w:tc>
        <w:tc>
          <w:tcPr>
            <w:tcW w:w="772" w:type="dxa"/>
            <w:shd w:val="clear" w:color="auto" w:fill="auto"/>
            <w:vAlign w:val="center"/>
          </w:tcPr>
          <w:p w14:paraId="1E9D1215"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77</w:t>
            </w:r>
          </w:p>
        </w:tc>
        <w:tc>
          <w:tcPr>
            <w:tcW w:w="733" w:type="dxa"/>
            <w:shd w:val="clear" w:color="auto" w:fill="auto"/>
            <w:vAlign w:val="center"/>
          </w:tcPr>
          <w:p w14:paraId="0ACB84D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1.9%</w:t>
            </w:r>
          </w:p>
        </w:tc>
      </w:tr>
      <w:tr w:rsidR="00F37FC8" w:rsidRPr="00B105DF" w14:paraId="5CFA0B77" w14:textId="77777777" w:rsidTr="00B105DF">
        <w:tc>
          <w:tcPr>
            <w:tcW w:w="1428" w:type="dxa"/>
            <w:vMerge/>
            <w:shd w:val="clear" w:color="auto" w:fill="auto"/>
            <w:vAlign w:val="center"/>
          </w:tcPr>
          <w:p w14:paraId="479B6EDF" w14:textId="77777777" w:rsidR="00F37FC8" w:rsidRPr="00B105DF" w:rsidRDefault="00F37FC8" w:rsidP="00B105DF">
            <w:pPr>
              <w:bidi w:val="0"/>
              <w:spacing w:after="0" w:line="240" w:lineRule="auto"/>
              <w:rPr>
                <w:rFonts w:asciiTheme="majorBidi" w:hAnsiTheme="majorBidi" w:cstheme="majorBidi"/>
                <w:sz w:val="20"/>
                <w:szCs w:val="20"/>
                <w:rtl/>
              </w:rPr>
            </w:pPr>
          </w:p>
        </w:tc>
        <w:tc>
          <w:tcPr>
            <w:tcW w:w="1659" w:type="dxa"/>
            <w:shd w:val="clear" w:color="auto" w:fill="auto"/>
            <w:vAlign w:val="center"/>
          </w:tcPr>
          <w:p w14:paraId="30F93E60"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 xml:space="preserve">Total </w:t>
            </w:r>
          </w:p>
        </w:tc>
        <w:tc>
          <w:tcPr>
            <w:tcW w:w="666" w:type="dxa"/>
            <w:shd w:val="clear" w:color="auto" w:fill="auto"/>
            <w:vAlign w:val="center"/>
          </w:tcPr>
          <w:p w14:paraId="64DAA8C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5</w:t>
            </w:r>
            <w:r w:rsidRPr="00B105DF">
              <w:rPr>
                <w:rFonts w:asciiTheme="majorBidi" w:hAnsiTheme="majorBidi" w:cstheme="majorBidi"/>
                <w:sz w:val="20"/>
                <w:szCs w:val="20"/>
              </w:rPr>
              <w:t>,</w:t>
            </w:r>
            <w:r w:rsidRPr="00B105DF">
              <w:rPr>
                <w:rFonts w:asciiTheme="majorBidi" w:hAnsiTheme="majorBidi" w:cstheme="majorBidi"/>
                <w:sz w:val="20"/>
                <w:szCs w:val="20"/>
                <w:rtl/>
              </w:rPr>
              <w:t>117</w:t>
            </w:r>
          </w:p>
        </w:tc>
        <w:tc>
          <w:tcPr>
            <w:tcW w:w="733" w:type="dxa"/>
            <w:shd w:val="clear" w:color="auto" w:fill="auto"/>
            <w:vAlign w:val="center"/>
          </w:tcPr>
          <w:p w14:paraId="338A24E6"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100%</w:t>
            </w:r>
          </w:p>
        </w:tc>
        <w:tc>
          <w:tcPr>
            <w:tcW w:w="666" w:type="dxa"/>
            <w:shd w:val="clear" w:color="auto" w:fill="auto"/>
            <w:vAlign w:val="center"/>
          </w:tcPr>
          <w:p w14:paraId="55B66B6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5</w:t>
            </w:r>
            <w:r w:rsidRPr="00B105DF">
              <w:rPr>
                <w:rFonts w:asciiTheme="majorBidi" w:hAnsiTheme="majorBidi" w:cstheme="majorBidi"/>
                <w:sz w:val="20"/>
                <w:szCs w:val="20"/>
              </w:rPr>
              <w:t>,</w:t>
            </w:r>
            <w:r w:rsidRPr="00B105DF">
              <w:rPr>
                <w:rFonts w:asciiTheme="majorBidi" w:hAnsiTheme="majorBidi" w:cstheme="majorBidi"/>
                <w:sz w:val="20"/>
                <w:szCs w:val="20"/>
                <w:rtl/>
              </w:rPr>
              <w:t>048</w:t>
            </w:r>
          </w:p>
        </w:tc>
        <w:tc>
          <w:tcPr>
            <w:tcW w:w="733" w:type="dxa"/>
            <w:shd w:val="clear" w:color="auto" w:fill="auto"/>
            <w:vAlign w:val="center"/>
          </w:tcPr>
          <w:p w14:paraId="52429B04"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100%</w:t>
            </w:r>
          </w:p>
        </w:tc>
        <w:tc>
          <w:tcPr>
            <w:tcW w:w="666" w:type="dxa"/>
            <w:shd w:val="clear" w:color="auto" w:fill="auto"/>
            <w:vAlign w:val="center"/>
          </w:tcPr>
          <w:p w14:paraId="6041D16D"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w:t>
            </w:r>
            <w:r w:rsidRPr="00B105DF">
              <w:rPr>
                <w:rFonts w:asciiTheme="majorBidi" w:hAnsiTheme="majorBidi" w:cstheme="majorBidi"/>
                <w:sz w:val="20"/>
                <w:szCs w:val="20"/>
              </w:rPr>
              <w:t>,</w:t>
            </w:r>
            <w:r w:rsidRPr="00B105DF">
              <w:rPr>
                <w:rFonts w:asciiTheme="majorBidi" w:hAnsiTheme="majorBidi" w:cstheme="majorBidi"/>
                <w:sz w:val="20"/>
                <w:szCs w:val="20"/>
                <w:rtl/>
              </w:rPr>
              <w:t>847</w:t>
            </w:r>
          </w:p>
        </w:tc>
        <w:tc>
          <w:tcPr>
            <w:tcW w:w="733" w:type="dxa"/>
            <w:shd w:val="clear" w:color="auto" w:fill="auto"/>
            <w:vAlign w:val="center"/>
          </w:tcPr>
          <w:p w14:paraId="580C2EC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100%</w:t>
            </w:r>
          </w:p>
        </w:tc>
        <w:tc>
          <w:tcPr>
            <w:tcW w:w="772" w:type="dxa"/>
            <w:shd w:val="clear" w:color="auto" w:fill="auto"/>
            <w:vAlign w:val="center"/>
          </w:tcPr>
          <w:p w14:paraId="666C06A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w:t>
            </w:r>
            <w:r w:rsidRPr="00B105DF">
              <w:rPr>
                <w:rFonts w:asciiTheme="majorBidi" w:hAnsiTheme="majorBidi" w:cstheme="majorBidi"/>
                <w:sz w:val="20"/>
                <w:szCs w:val="20"/>
              </w:rPr>
              <w:t>,</w:t>
            </w:r>
            <w:r w:rsidRPr="00B105DF">
              <w:rPr>
                <w:rFonts w:asciiTheme="majorBidi" w:hAnsiTheme="majorBidi" w:cstheme="majorBidi"/>
                <w:sz w:val="20"/>
                <w:szCs w:val="20"/>
                <w:rtl/>
              </w:rPr>
              <w:t>104</w:t>
            </w:r>
          </w:p>
        </w:tc>
        <w:tc>
          <w:tcPr>
            <w:tcW w:w="733" w:type="dxa"/>
            <w:shd w:val="clear" w:color="auto" w:fill="auto"/>
            <w:vAlign w:val="center"/>
          </w:tcPr>
          <w:p w14:paraId="5948E806"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100%</w:t>
            </w:r>
          </w:p>
        </w:tc>
      </w:tr>
      <w:tr w:rsidR="00F37FC8" w:rsidRPr="00B105DF" w14:paraId="2D896DB9" w14:textId="77777777" w:rsidTr="00B105DF">
        <w:tc>
          <w:tcPr>
            <w:tcW w:w="1428" w:type="dxa"/>
            <w:vMerge w:val="restart"/>
            <w:shd w:val="clear" w:color="auto" w:fill="auto"/>
            <w:vAlign w:val="center"/>
          </w:tcPr>
          <w:p w14:paraId="7F96B389" w14:textId="77777777" w:rsidR="00F37FC8" w:rsidRPr="00B105DF" w:rsidRDefault="000423C8" w:rsidP="00B105DF">
            <w:pPr>
              <w:bidi w:val="0"/>
              <w:spacing w:after="0" w:line="240" w:lineRule="auto"/>
              <w:rPr>
                <w:rFonts w:asciiTheme="majorBidi" w:hAnsiTheme="majorBidi" w:cstheme="majorBidi"/>
                <w:sz w:val="20"/>
                <w:szCs w:val="20"/>
                <w:rtl/>
              </w:rPr>
            </w:pPr>
            <w:r>
              <w:rPr>
                <w:rFonts w:asciiTheme="majorBidi" w:hAnsiTheme="majorBidi" w:cstheme="majorBidi"/>
                <w:sz w:val="20"/>
                <w:szCs w:val="20"/>
              </w:rPr>
              <w:t>R</w:t>
            </w:r>
            <w:r w:rsidR="00F37FC8" w:rsidRPr="00B105DF">
              <w:rPr>
                <w:rFonts w:asciiTheme="majorBidi" w:hAnsiTheme="majorBidi" w:cstheme="majorBidi"/>
                <w:sz w:val="20"/>
                <w:szCs w:val="20"/>
              </w:rPr>
              <w:t>equests for reexamination of the extension of the hospitalization order</w:t>
            </w:r>
            <w:r w:rsidR="00F37FC8" w:rsidRPr="00B105DF">
              <w:rPr>
                <w:rFonts w:asciiTheme="majorBidi" w:hAnsiTheme="majorBidi" w:cstheme="majorBidi"/>
                <w:sz w:val="20"/>
                <w:szCs w:val="20"/>
                <w:rtl/>
              </w:rPr>
              <w:t xml:space="preserve"> </w:t>
            </w:r>
          </w:p>
        </w:tc>
        <w:tc>
          <w:tcPr>
            <w:tcW w:w="1659" w:type="dxa"/>
            <w:shd w:val="clear" w:color="auto" w:fill="auto"/>
            <w:vAlign w:val="center"/>
          </w:tcPr>
          <w:p w14:paraId="537290C5" w14:textId="77777777" w:rsidR="00F37FC8" w:rsidRPr="00B105DF" w:rsidRDefault="00F37FC8" w:rsidP="00B105DF">
            <w:pPr>
              <w:bidi w:val="0"/>
              <w:spacing w:after="0" w:line="240" w:lineRule="auto"/>
              <w:rPr>
                <w:rFonts w:asciiTheme="majorBidi" w:hAnsiTheme="majorBidi" w:cstheme="majorBidi"/>
                <w:sz w:val="20"/>
                <w:szCs w:val="20"/>
              </w:rPr>
            </w:pPr>
            <w:r w:rsidRPr="00B105DF">
              <w:rPr>
                <w:rFonts w:asciiTheme="majorBidi" w:hAnsiTheme="majorBidi" w:cstheme="majorBidi"/>
                <w:sz w:val="20"/>
                <w:szCs w:val="20"/>
              </w:rPr>
              <w:t>Approval</w:t>
            </w:r>
          </w:p>
        </w:tc>
        <w:tc>
          <w:tcPr>
            <w:tcW w:w="666" w:type="dxa"/>
            <w:shd w:val="clear" w:color="auto" w:fill="auto"/>
            <w:vAlign w:val="center"/>
          </w:tcPr>
          <w:p w14:paraId="6D28B51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72</w:t>
            </w:r>
          </w:p>
        </w:tc>
        <w:tc>
          <w:tcPr>
            <w:tcW w:w="733" w:type="dxa"/>
            <w:shd w:val="clear" w:color="auto" w:fill="auto"/>
            <w:vAlign w:val="center"/>
          </w:tcPr>
          <w:p w14:paraId="4DB870A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3.3%</w:t>
            </w:r>
          </w:p>
        </w:tc>
        <w:tc>
          <w:tcPr>
            <w:tcW w:w="666" w:type="dxa"/>
            <w:shd w:val="clear" w:color="auto" w:fill="auto"/>
            <w:vAlign w:val="center"/>
          </w:tcPr>
          <w:p w14:paraId="37C57D5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59</w:t>
            </w:r>
          </w:p>
        </w:tc>
        <w:tc>
          <w:tcPr>
            <w:tcW w:w="733" w:type="dxa"/>
            <w:shd w:val="clear" w:color="auto" w:fill="auto"/>
            <w:vAlign w:val="center"/>
          </w:tcPr>
          <w:p w14:paraId="2E6777C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3.9%</w:t>
            </w:r>
          </w:p>
        </w:tc>
        <w:tc>
          <w:tcPr>
            <w:tcW w:w="666" w:type="dxa"/>
            <w:shd w:val="clear" w:color="auto" w:fill="auto"/>
            <w:vAlign w:val="center"/>
          </w:tcPr>
          <w:p w14:paraId="526B1E6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52</w:t>
            </w:r>
          </w:p>
        </w:tc>
        <w:tc>
          <w:tcPr>
            <w:tcW w:w="733" w:type="dxa"/>
            <w:shd w:val="clear" w:color="auto" w:fill="auto"/>
            <w:vAlign w:val="center"/>
          </w:tcPr>
          <w:p w14:paraId="727B3594"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5.9%</w:t>
            </w:r>
          </w:p>
        </w:tc>
        <w:tc>
          <w:tcPr>
            <w:tcW w:w="772" w:type="dxa"/>
            <w:shd w:val="clear" w:color="auto" w:fill="auto"/>
            <w:vAlign w:val="center"/>
          </w:tcPr>
          <w:p w14:paraId="7BC363E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60</w:t>
            </w:r>
          </w:p>
        </w:tc>
        <w:tc>
          <w:tcPr>
            <w:tcW w:w="733" w:type="dxa"/>
            <w:shd w:val="clear" w:color="auto" w:fill="auto"/>
            <w:vAlign w:val="center"/>
          </w:tcPr>
          <w:p w14:paraId="11DB84F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8.1%</w:t>
            </w:r>
          </w:p>
        </w:tc>
      </w:tr>
      <w:tr w:rsidR="00F37FC8" w:rsidRPr="00B105DF" w14:paraId="2551F2DC" w14:textId="77777777" w:rsidTr="00B105DF">
        <w:tc>
          <w:tcPr>
            <w:tcW w:w="1428" w:type="dxa"/>
            <w:vMerge/>
            <w:shd w:val="clear" w:color="auto" w:fill="auto"/>
          </w:tcPr>
          <w:p w14:paraId="0C431233" w14:textId="77777777" w:rsidR="00F37FC8" w:rsidRPr="00B105DF" w:rsidRDefault="00F37FC8" w:rsidP="00B105DF">
            <w:pPr>
              <w:bidi w:val="0"/>
              <w:spacing w:after="0" w:line="240" w:lineRule="auto"/>
              <w:jc w:val="both"/>
              <w:rPr>
                <w:rFonts w:asciiTheme="majorBidi" w:hAnsiTheme="majorBidi" w:cstheme="majorBidi"/>
                <w:sz w:val="20"/>
                <w:szCs w:val="20"/>
                <w:rtl/>
              </w:rPr>
            </w:pPr>
          </w:p>
        </w:tc>
        <w:tc>
          <w:tcPr>
            <w:tcW w:w="1659" w:type="dxa"/>
            <w:shd w:val="clear" w:color="auto" w:fill="auto"/>
            <w:vAlign w:val="center"/>
          </w:tcPr>
          <w:p w14:paraId="041DE6A7" w14:textId="77777777" w:rsidR="00F37FC8" w:rsidRPr="00B105DF" w:rsidRDefault="00F37FC8" w:rsidP="00B105DF">
            <w:pPr>
              <w:bidi w:val="0"/>
              <w:spacing w:after="0" w:line="240" w:lineRule="auto"/>
              <w:rPr>
                <w:rFonts w:asciiTheme="majorBidi" w:hAnsiTheme="majorBidi" w:cstheme="majorBidi"/>
                <w:sz w:val="20"/>
                <w:szCs w:val="20"/>
              </w:rPr>
            </w:pPr>
            <w:r w:rsidRPr="00B105DF">
              <w:rPr>
                <w:rFonts w:asciiTheme="majorBidi" w:hAnsiTheme="majorBidi" w:cstheme="majorBidi"/>
                <w:sz w:val="20"/>
                <w:szCs w:val="20"/>
              </w:rPr>
              <w:t>Rejection</w:t>
            </w:r>
          </w:p>
        </w:tc>
        <w:tc>
          <w:tcPr>
            <w:tcW w:w="666" w:type="dxa"/>
            <w:shd w:val="clear" w:color="auto" w:fill="auto"/>
            <w:vAlign w:val="center"/>
          </w:tcPr>
          <w:p w14:paraId="0A264A05"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w:t>
            </w:r>
            <w:r w:rsidRPr="00B105DF">
              <w:rPr>
                <w:rFonts w:asciiTheme="majorBidi" w:hAnsiTheme="majorBidi" w:cstheme="majorBidi"/>
                <w:sz w:val="20"/>
                <w:szCs w:val="20"/>
              </w:rPr>
              <w:t>,</w:t>
            </w:r>
            <w:r w:rsidRPr="00B105DF">
              <w:rPr>
                <w:rFonts w:asciiTheme="majorBidi" w:hAnsiTheme="majorBidi" w:cstheme="majorBidi"/>
                <w:sz w:val="20"/>
                <w:szCs w:val="20"/>
                <w:rtl/>
              </w:rPr>
              <w:t>448</w:t>
            </w:r>
          </w:p>
        </w:tc>
        <w:tc>
          <w:tcPr>
            <w:tcW w:w="733" w:type="dxa"/>
            <w:shd w:val="clear" w:color="auto" w:fill="auto"/>
            <w:vAlign w:val="center"/>
          </w:tcPr>
          <w:p w14:paraId="79F261E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66.%</w:t>
            </w:r>
          </w:p>
        </w:tc>
        <w:tc>
          <w:tcPr>
            <w:tcW w:w="666" w:type="dxa"/>
            <w:shd w:val="clear" w:color="auto" w:fill="auto"/>
            <w:vAlign w:val="center"/>
          </w:tcPr>
          <w:p w14:paraId="62A1DA3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w:t>
            </w:r>
            <w:r w:rsidRPr="00B105DF">
              <w:rPr>
                <w:rFonts w:asciiTheme="majorBidi" w:hAnsiTheme="majorBidi" w:cstheme="majorBidi"/>
                <w:sz w:val="20"/>
                <w:szCs w:val="20"/>
              </w:rPr>
              <w:t>,</w:t>
            </w:r>
            <w:r w:rsidRPr="00B105DF">
              <w:rPr>
                <w:rFonts w:asciiTheme="majorBidi" w:hAnsiTheme="majorBidi" w:cstheme="majorBidi"/>
                <w:sz w:val="20"/>
                <w:szCs w:val="20"/>
                <w:rtl/>
              </w:rPr>
              <w:t>052</w:t>
            </w:r>
          </w:p>
        </w:tc>
        <w:tc>
          <w:tcPr>
            <w:tcW w:w="733" w:type="dxa"/>
            <w:shd w:val="clear" w:color="auto" w:fill="auto"/>
            <w:vAlign w:val="center"/>
          </w:tcPr>
          <w:p w14:paraId="763C618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69.9%</w:t>
            </w:r>
          </w:p>
        </w:tc>
        <w:tc>
          <w:tcPr>
            <w:tcW w:w="666" w:type="dxa"/>
            <w:shd w:val="clear" w:color="auto" w:fill="auto"/>
            <w:vAlign w:val="center"/>
          </w:tcPr>
          <w:p w14:paraId="0576DFE0"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673</w:t>
            </w:r>
          </w:p>
        </w:tc>
        <w:tc>
          <w:tcPr>
            <w:tcW w:w="733" w:type="dxa"/>
            <w:shd w:val="clear" w:color="auto" w:fill="auto"/>
            <w:vAlign w:val="center"/>
          </w:tcPr>
          <w:p w14:paraId="3C7747D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77%</w:t>
            </w:r>
          </w:p>
        </w:tc>
        <w:tc>
          <w:tcPr>
            <w:tcW w:w="772" w:type="dxa"/>
            <w:shd w:val="clear" w:color="auto" w:fill="auto"/>
            <w:vAlign w:val="center"/>
          </w:tcPr>
          <w:p w14:paraId="470C47D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545</w:t>
            </w:r>
          </w:p>
        </w:tc>
        <w:tc>
          <w:tcPr>
            <w:tcW w:w="733" w:type="dxa"/>
            <w:shd w:val="clear" w:color="auto" w:fill="auto"/>
            <w:vAlign w:val="center"/>
          </w:tcPr>
          <w:p w14:paraId="3D2DE90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73.2%</w:t>
            </w:r>
          </w:p>
        </w:tc>
      </w:tr>
      <w:tr w:rsidR="00F37FC8" w:rsidRPr="00B105DF" w14:paraId="155223F1" w14:textId="77777777" w:rsidTr="00B105DF">
        <w:tc>
          <w:tcPr>
            <w:tcW w:w="1428" w:type="dxa"/>
            <w:vMerge/>
            <w:shd w:val="clear" w:color="auto" w:fill="auto"/>
          </w:tcPr>
          <w:p w14:paraId="53DEADAC" w14:textId="77777777" w:rsidR="00F37FC8" w:rsidRPr="00B105DF" w:rsidRDefault="00F37FC8" w:rsidP="00B105DF">
            <w:pPr>
              <w:bidi w:val="0"/>
              <w:spacing w:after="0" w:line="240" w:lineRule="auto"/>
              <w:jc w:val="both"/>
              <w:rPr>
                <w:rFonts w:asciiTheme="majorBidi" w:hAnsiTheme="majorBidi" w:cstheme="majorBidi"/>
                <w:sz w:val="20"/>
                <w:szCs w:val="20"/>
                <w:rtl/>
              </w:rPr>
            </w:pPr>
          </w:p>
        </w:tc>
        <w:tc>
          <w:tcPr>
            <w:tcW w:w="1659" w:type="dxa"/>
            <w:shd w:val="clear" w:color="auto" w:fill="auto"/>
            <w:vAlign w:val="center"/>
          </w:tcPr>
          <w:p w14:paraId="20B991D4" w14:textId="77777777" w:rsidR="00F37FC8" w:rsidRPr="00B105DF" w:rsidRDefault="00F37FC8" w:rsidP="00B105DF">
            <w:pPr>
              <w:bidi w:val="0"/>
              <w:spacing w:after="0" w:line="240" w:lineRule="auto"/>
              <w:rPr>
                <w:rFonts w:asciiTheme="majorBidi" w:hAnsiTheme="majorBidi" w:cstheme="majorBidi"/>
                <w:sz w:val="20"/>
                <w:szCs w:val="20"/>
              </w:rPr>
            </w:pPr>
            <w:r w:rsidRPr="00B105DF">
              <w:rPr>
                <w:rFonts w:asciiTheme="majorBidi" w:hAnsiTheme="majorBidi" w:cstheme="majorBidi"/>
                <w:sz w:val="20"/>
                <w:szCs w:val="20"/>
              </w:rPr>
              <w:t>Postpone the date of the hearing</w:t>
            </w:r>
          </w:p>
        </w:tc>
        <w:tc>
          <w:tcPr>
            <w:tcW w:w="666" w:type="dxa"/>
            <w:shd w:val="clear" w:color="auto" w:fill="auto"/>
            <w:vAlign w:val="center"/>
          </w:tcPr>
          <w:p w14:paraId="0A1C2C8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71</w:t>
            </w:r>
          </w:p>
        </w:tc>
        <w:tc>
          <w:tcPr>
            <w:tcW w:w="733" w:type="dxa"/>
            <w:shd w:val="clear" w:color="auto" w:fill="auto"/>
            <w:vAlign w:val="center"/>
          </w:tcPr>
          <w:p w14:paraId="75E5584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3.3%</w:t>
            </w:r>
          </w:p>
        </w:tc>
        <w:tc>
          <w:tcPr>
            <w:tcW w:w="666" w:type="dxa"/>
            <w:shd w:val="clear" w:color="auto" w:fill="auto"/>
            <w:vAlign w:val="center"/>
          </w:tcPr>
          <w:p w14:paraId="7A78E486"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46</w:t>
            </w:r>
          </w:p>
        </w:tc>
        <w:tc>
          <w:tcPr>
            <w:tcW w:w="733" w:type="dxa"/>
            <w:shd w:val="clear" w:color="auto" w:fill="auto"/>
            <w:vAlign w:val="center"/>
          </w:tcPr>
          <w:p w14:paraId="0AE3DA3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3.1%</w:t>
            </w:r>
          </w:p>
        </w:tc>
        <w:tc>
          <w:tcPr>
            <w:tcW w:w="666" w:type="dxa"/>
            <w:shd w:val="clear" w:color="auto" w:fill="auto"/>
            <w:vAlign w:val="center"/>
          </w:tcPr>
          <w:p w14:paraId="62369132"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28</w:t>
            </w:r>
          </w:p>
        </w:tc>
        <w:tc>
          <w:tcPr>
            <w:tcW w:w="733" w:type="dxa"/>
            <w:shd w:val="clear" w:color="auto" w:fill="auto"/>
            <w:vAlign w:val="center"/>
          </w:tcPr>
          <w:p w14:paraId="626D0D9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3.2%</w:t>
            </w:r>
          </w:p>
        </w:tc>
        <w:tc>
          <w:tcPr>
            <w:tcW w:w="772" w:type="dxa"/>
            <w:shd w:val="clear" w:color="auto" w:fill="auto"/>
            <w:vAlign w:val="center"/>
          </w:tcPr>
          <w:p w14:paraId="0CB05A2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18</w:t>
            </w:r>
          </w:p>
        </w:tc>
        <w:tc>
          <w:tcPr>
            <w:tcW w:w="733" w:type="dxa"/>
            <w:shd w:val="clear" w:color="auto" w:fill="auto"/>
            <w:vAlign w:val="center"/>
          </w:tcPr>
          <w:p w14:paraId="647FC915"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2.4%</w:t>
            </w:r>
          </w:p>
        </w:tc>
      </w:tr>
      <w:tr w:rsidR="00F37FC8" w:rsidRPr="00B105DF" w14:paraId="659727ED" w14:textId="77777777" w:rsidTr="00B105DF">
        <w:tc>
          <w:tcPr>
            <w:tcW w:w="1428" w:type="dxa"/>
            <w:vMerge/>
            <w:shd w:val="clear" w:color="auto" w:fill="auto"/>
          </w:tcPr>
          <w:p w14:paraId="0B398AF4" w14:textId="77777777" w:rsidR="00F37FC8" w:rsidRPr="00B105DF" w:rsidRDefault="00F37FC8" w:rsidP="00B105DF">
            <w:pPr>
              <w:bidi w:val="0"/>
              <w:spacing w:after="0" w:line="240" w:lineRule="auto"/>
              <w:jc w:val="both"/>
              <w:rPr>
                <w:rFonts w:asciiTheme="majorBidi" w:hAnsiTheme="majorBidi" w:cstheme="majorBidi"/>
                <w:sz w:val="20"/>
                <w:szCs w:val="20"/>
                <w:rtl/>
              </w:rPr>
            </w:pPr>
          </w:p>
        </w:tc>
        <w:tc>
          <w:tcPr>
            <w:tcW w:w="1659" w:type="dxa"/>
            <w:shd w:val="clear" w:color="auto" w:fill="auto"/>
            <w:vAlign w:val="center"/>
          </w:tcPr>
          <w:p w14:paraId="3994612C" w14:textId="77777777" w:rsidR="00F37FC8" w:rsidRPr="00B105DF" w:rsidRDefault="00F37FC8" w:rsidP="00B105DF">
            <w:pPr>
              <w:bidi w:val="0"/>
              <w:spacing w:after="0" w:line="240" w:lineRule="auto"/>
              <w:rPr>
                <w:rFonts w:asciiTheme="majorBidi" w:hAnsiTheme="majorBidi" w:cstheme="majorBidi"/>
                <w:sz w:val="20"/>
                <w:szCs w:val="20"/>
              </w:rPr>
            </w:pPr>
            <w:r w:rsidRPr="00B105DF">
              <w:rPr>
                <w:rFonts w:asciiTheme="majorBidi" w:hAnsiTheme="majorBidi" w:cstheme="majorBidi"/>
                <w:sz w:val="20"/>
                <w:szCs w:val="20"/>
              </w:rPr>
              <w:t>The applicant did not appear or withdrew the request</w:t>
            </w:r>
          </w:p>
        </w:tc>
        <w:tc>
          <w:tcPr>
            <w:tcW w:w="666" w:type="dxa"/>
            <w:shd w:val="clear" w:color="auto" w:fill="auto"/>
            <w:vAlign w:val="center"/>
          </w:tcPr>
          <w:p w14:paraId="0C60A71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155</w:t>
            </w:r>
          </w:p>
        </w:tc>
        <w:tc>
          <w:tcPr>
            <w:tcW w:w="733" w:type="dxa"/>
            <w:shd w:val="clear" w:color="auto" w:fill="auto"/>
            <w:vAlign w:val="center"/>
          </w:tcPr>
          <w:p w14:paraId="72F793A4" w14:textId="77777777" w:rsidR="00F37FC8" w:rsidRPr="00B105DF" w:rsidRDefault="00F37FC8" w:rsidP="00B105DF">
            <w:pPr>
              <w:bidi w:val="0"/>
              <w:spacing w:after="0" w:line="240" w:lineRule="auto"/>
              <w:jc w:val="center"/>
              <w:rPr>
                <w:rFonts w:asciiTheme="majorBidi" w:hAnsiTheme="majorBidi" w:cstheme="majorBidi"/>
                <w:sz w:val="20"/>
                <w:szCs w:val="20"/>
              </w:rPr>
            </w:pPr>
            <w:r w:rsidRPr="00B105DF">
              <w:rPr>
                <w:rFonts w:asciiTheme="majorBidi" w:hAnsiTheme="majorBidi" w:cstheme="majorBidi"/>
                <w:sz w:val="20"/>
                <w:szCs w:val="20"/>
                <w:rtl/>
              </w:rPr>
              <w:t>7.2%</w:t>
            </w:r>
          </w:p>
        </w:tc>
        <w:tc>
          <w:tcPr>
            <w:tcW w:w="666" w:type="dxa"/>
            <w:shd w:val="clear" w:color="auto" w:fill="auto"/>
            <w:vAlign w:val="center"/>
          </w:tcPr>
          <w:p w14:paraId="1EE7FCC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125</w:t>
            </w:r>
          </w:p>
        </w:tc>
        <w:tc>
          <w:tcPr>
            <w:tcW w:w="733" w:type="dxa"/>
            <w:shd w:val="clear" w:color="auto" w:fill="auto"/>
            <w:vAlign w:val="center"/>
          </w:tcPr>
          <w:p w14:paraId="44DA38F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8.3%</w:t>
            </w:r>
          </w:p>
        </w:tc>
        <w:tc>
          <w:tcPr>
            <w:tcW w:w="666" w:type="dxa"/>
            <w:shd w:val="clear" w:color="auto" w:fill="auto"/>
            <w:vAlign w:val="center"/>
          </w:tcPr>
          <w:p w14:paraId="02C906B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61</w:t>
            </w:r>
          </w:p>
        </w:tc>
        <w:tc>
          <w:tcPr>
            <w:tcW w:w="733" w:type="dxa"/>
            <w:shd w:val="clear" w:color="auto" w:fill="auto"/>
            <w:vAlign w:val="center"/>
          </w:tcPr>
          <w:p w14:paraId="7512AAC2"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w:t>
            </w:r>
          </w:p>
        </w:tc>
        <w:tc>
          <w:tcPr>
            <w:tcW w:w="772" w:type="dxa"/>
            <w:shd w:val="clear" w:color="auto" w:fill="auto"/>
            <w:vAlign w:val="center"/>
          </w:tcPr>
          <w:p w14:paraId="682DDB5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26</w:t>
            </w:r>
          </w:p>
        </w:tc>
        <w:tc>
          <w:tcPr>
            <w:tcW w:w="733" w:type="dxa"/>
            <w:shd w:val="clear" w:color="auto" w:fill="auto"/>
            <w:vAlign w:val="center"/>
          </w:tcPr>
          <w:p w14:paraId="4244D47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3.5%</w:t>
            </w:r>
          </w:p>
        </w:tc>
      </w:tr>
      <w:tr w:rsidR="00F37FC8" w:rsidRPr="00B105DF" w14:paraId="5D56A091" w14:textId="77777777" w:rsidTr="00B105DF">
        <w:tc>
          <w:tcPr>
            <w:tcW w:w="1428" w:type="dxa"/>
            <w:vMerge/>
            <w:shd w:val="clear" w:color="auto" w:fill="auto"/>
          </w:tcPr>
          <w:p w14:paraId="72E39B5E" w14:textId="77777777" w:rsidR="00F37FC8" w:rsidRPr="00B105DF" w:rsidRDefault="00F37FC8" w:rsidP="00B105DF">
            <w:pPr>
              <w:bidi w:val="0"/>
              <w:spacing w:after="0" w:line="240" w:lineRule="auto"/>
              <w:jc w:val="both"/>
              <w:rPr>
                <w:rFonts w:asciiTheme="majorBidi" w:hAnsiTheme="majorBidi" w:cstheme="majorBidi"/>
                <w:sz w:val="20"/>
                <w:szCs w:val="20"/>
                <w:rtl/>
              </w:rPr>
            </w:pPr>
          </w:p>
        </w:tc>
        <w:tc>
          <w:tcPr>
            <w:tcW w:w="1659" w:type="dxa"/>
            <w:shd w:val="clear" w:color="auto" w:fill="auto"/>
            <w:vAlign w:val="center"/>
          </w:tcPr>
          <w:p w14:paraId="20CC510C" w14:textId="77777777" w:rsidR="00F37FC8" w:rsidRPr="00B105DF" w:rsidRDefault="00F37FC8" w:rsidP="00B105DF">
            <w:pPr>
              <w:bidi w:val="0"/>
              <w:spacing w:after="0" w:line="240" w:lineRule="auto"/>
              <w:rPr>
                <w:rFonts w:asciiTheme="majorBidi" w:hAnsiTheme="majorBidi" w:cstheme="majorBidi"/>
                <w:sz w:val="20"/>
                <w:szCs w:val="20"/>
                <w:rtl/>
              </w:rPr>
            </w:pPr>
            <w:r w:rsidRPr="00B105DF">
              <w:rPr>
                <w:rFonts w:asciiTheme="majorBidi" w:hAnsiTheme="majorBidi" w:cstheme="majorBidi"/>
                <w:sz w:val="20"/>
                <w:szCs w:val="20"/>
              </w:rPr>
              <w:t>Deny the request and extend the hospitalization</w:t>
            </w:r>
          </w:p>
        </w:tc>
        <w:tc>
          <w:tcPr>
            <w:tcW w:w="666" w:type="dxa"/>
            <w:shd w:val="clear" w:color="auto" w:fill="auto"/>
            <w:vAlign w:val="center"/>
          </w:tcPr>
          <w:p w14:paraId="594E026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337</w:t>
            </w:r>
          </w:p>
        </w:tc>
        <w:tc>
          <w:tcPr>
            <w:tcW w:w="733" w:type="dxa"/>
            <w:shd w:val="clear" w:color="auto" w:fill="auto"/>
            <w:vAlign w:val="center"/>
          </w:tcPr>
          <w:p w14:paraId="20BF7A2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15.6%</w:t>
            </w:r>
          </w:p>
        </w:tc>
        <w:tc>
          <w:tcPr>
            <w:tcW w:w="666" w:type="dxa"/>
            <w:shd w:val="clear" w:color="auto" w:fill="auto"/>
            <w:vAlign w:val="center"/>
          </w:tcPr>
          <w:p w14:paraId="6CBE9F68"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162</w:t>
            </w:r>
          </w:p>
        </w:tc>
        <w:tc>
          <w:tcPr>
            <w:tcW w:w="733" w:type="dxa"/>
            <w:shd w:val="clear" w:color="auto" w:fill="auto"/>
            <w:vAlign w:val="center"/>
          </w:tcPr>
          <w:p w14:paraId="67F6462D"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10.8%</w:t>
            </w:r>
          </w:p>
        </w:tc>
        <w:tc>
          <w:tcPr>
            <w:tcW w:w="666" w:type="dxa"/>
            <w:shd w:val="clear" w:color="auto" w:fill="auto"/>
            <w:vAlign w:val="center"/>
          </w:tcPr>
          <w:p w14:paraId="6DEF0DAD"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14</w:t>
            </w:r>
          </w:p>
        </w:tc>
        <w:tc>
          <w:tcPr>
            <w:tcW w:w="733" w:type="dxa"/>
            <w:shd w:val="clear" w:color="auto" w:fill="auto"/>
            <w:vAlign w:val="center"/>
          </w:tcPr>
          <w:p w14:paraId="06ECA42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1.6%</w:t>
            </w:r>
          </w:p>
        </w:tc>
        <w:tc>
          <w:tcPr>
            <w:tcW w:w="772" w:type="dxa"/>
            <w:shd w:val="clear" w:color="auto" w:fill="auto"/>
            <w:vAlign w:val="center"/>
          </w:tcPr>
          <w:p w14:paraId="3F6335C7"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64</w:t>
            </w:r>
          </w:p>
        </w:tc>
        <w:tc>
          <w:tcPr>
            <w:tcW w:w="733" w:type="dxa"/>
            <w:shd w:val="clear" w:color="auto" w:fill="auto"/>
            <w:vAlign w:val="center"/>
          </w:tcPr>
          <w:p w14:paraId="5C12EE8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8.6%</w:t>
            </w:r>
          </w:p>
        </w:tc>
      </w:tr>
      <w:tr w:rsidR="00F37FC8" w:rsidRPr="00B105DF" w14:paraId="00C7152F" w14:textId="77777777" w:rsidTr="00B105DF">
        <w:tc>
          <w:tcPr>
            <w:tcW w:w="1428" w:type="dxa"/>
            <w:vMerge/>
            <w:shd w:val="clear" w:color="auto" w:fill="auto"/>
          </w:tcPr>
          <w:p w14:paraId="5F5AB27D" w14:textId="77777777" w:rsidR="00F37FC8" w:rsidRPr="00B105DF" w:rsidRDefault="00F37FC8" w:rsidP="00B105DF">
            <w:pPr>
              <w:bidi w:val="0"/>
              <w:spacing w:after="0" w:line="240" w:lineRule="auto"/>
              <w:jc w:val="both"/>
              <w:rPr>
                <w:rFonts w:asciiTheme="majorBidi" w:hAnsiTheme="majorBidi" w:cstheme="majorBidi"/>
                <w:sz w:val="20"/>
                <w:szCs w:val="20"/>
                <w:rtl/>
              </w:rPr>
            </w:pPr>
          </w:p>
        </w:tc>
        <w:tc>
          <w:tcPr>
            <w:tcW w:w="1659" w:type="dxa"/>
            <w:shd w:val="clear" w:color="auto" w:fill="auto"/>
            <w:vAlign w:val="center"/>
          </w:tcPr>
          <w:p w14:paraId="357E611E" w14:textId="77777777" w:rsidR="00F37FC8" w:rsidRPr="00B105DF" w:rsidRDefault="00F37FC8" w:rsidP="00B105DF">
            <w:pPr>
              <w:bidi w:val="0"/>
              <w:spacing w:after="0" w:line="240" w:lineRule="auto"/>
              <w:rPr>
                <w:rFonts w:asciiTheme="majorBidi" w:hAnsiTheme="majorBidi" w:cstheme="majorBidi"/>
                <w:sz w:val="20"/>
                <w:szCs w:val="20"/>
              </w:rPr>
            </w:pPr>
            <w:r w:rsidRPr="00B105DF">
              <w:rPr>
                <w:rFonts w:asciiTheme="majorBidi" w:hAnsiTheme="majorBidi" w:cstheme="majorBidi"/>
                <w:sz w:val="20"/>
                <w:szCs w:val="20"/>
              </w:rPr>
              <w:t>Conversion to forced clinical treatment</w:t>
            </w:r>
          </w:p>
        </w:tc>
        <w:tc>
          <w:tcPr>
            <w:tcW w:w="666" w:type="dxa"/>
            <w:shd w:val="clear" w:color="auto" w:fill="auto"/>
            <w:vAlign w:val="center"/>
          </w:tcPr>
          <w:p w14:paraId="4C609177"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45</w:t>
            </w:r>
          </w:p>
        </w:tc>
        <w:tc>
          <w:tcPr>
            <w:tcW w:w="733" w:type="dxa"/>
            <w:shd w:val="clear" w:color="auto" w:fill="auto"/>
            <w:vAlign w:val="center"/>
          </w:tcPr>
          <w:p w14:paraId="2FB96CB4"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2.1%</w:t>
            </w:r>
          </w:p>
        </w:tc>
        <w:tc>
          <w:tcPr>
            <w:tcW w:w="666" w:type="dxa"/>
            <w:shd w:val="clear" w:color="auto" w:fill="auto"/>
            <w:vAlign w:val="center"/>
          </w:tcPr>
          <w:p w14:paraId="778C137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43</w:t>
            </w:r>
          </w:p>
        </w:tc>
        <w:tc>
          <w:tcPr>
            <w:tcW w:w="733" w:type="dxa"/>
            <w:shd w:val="clear" w:color="auto" w:fill="auto"/>
            <w:vAlign w:val="center"/>
          </w:tcPr>
          <w:p w14:paraId="53D4F4BC"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2.9%</w:t>
            </w:r>
          </w:p>
        </w:tc>
        <w:tc>
          <w:tcPr>
            <w:tcW w:w="666" w:type="dxa"/>
            <w:shd w:val="clear" w:color="auto" w:fill="auto"/>
            <w:vAlign w:val="center"/>
          </w:tcPr>
          <w:p w14:paraId="2BBDA50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18</w:t>
            </w:r>
          </w:p>
        </w:tc>
        <w:tc>
          <w:tcPr>
            <w:tcW w:w="733" w:type="dxa"/>
            <w:shd w:val="clear" w:color="auto" w:fill="auto"/>
            <w:vAlign w:val="center"/>
          </w:tcPr>
          <w:p w14:paraId="25715B2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2.1%</w:t>
            </w:r>
          </w:p>
        </w:tc>
        <w:tc>
          <w:tcPr>
            <w:tcW w:w="772" w:type="dxa"/>
            <w:shd w:val="clear" w:color="auto" w:fill="auto"/>
            <w:vAlign w:val="center"/>
          </w:tcPr>
          <w:p w14:paraId="08C3D8CB"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18</w:t>
            </w:r>
          </w:p>
        </w:tc>
        <w:tc>
          <w:tcPr>
            <w:tcW w:w="733" w:type="dxa"/>
            <w:shd w:val="clear" w:color="auto" w:fill="auto"/>
            <w:vAlign w:val="center"/>
          </w:tcPr>
          <w:p w14:paraId="5C60987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2.4%</w:t>
            </w:r>
          </w:p>
        </w:tc>
      </w:tr>
      <w:tr w:rsidR="00F37FC8" w:rsidRPr="00B105DF" w14:paraId="299060CA" w14:textId="77777777" w:rsidTr="00B105DF">
        <w:tc>
          <w:tcPr>
            <w:tcW w:w="1428" w:type="dxa"/>
            <w:vMerge/>
            <w:shd w:val="clear" w:color="auto" w:fill="auto"/>
          </w:tcPr>
          <w:p w14:paraId="708465C4" w14:textId="77777777" w:rsidR="00F37FC8" w:rsidRPr="00B105DF" w:rsidRDefault="00F37FC8" w:rsidP="00B105DF">
            <w:pPr>
              <w:bidi w:val="0"/>
              <w:spacing w:after="0" w:line="240" w:lineRule="auto"/>
              <w:jc w:val="both"/>
              <w:rPr>
                <w:rFonts w:asciiTheme="majorBidi" w:hAnsiTheme="majorBidi" w:cstheme="majorBidi"/>
                <w:sz w:val="20"/>
                <w:szCs w:val="20"/>
                <w:rtl/>
              </w:rPr>
            </w:pPr>
          </w:p>
        </w:tc>
        <w:tc>
          <w:tcPr>
            <w:tcW w:w="1659" w:type="dxa"/>
            <w:shd w:val="clear" w:color="auto" w:fill="auto"/>
            <w:vAlign w:val="center"/>
          </w:tcPr>
          <w:p w14:paraId="22410B2A" w14:textId="77777777" w:rsidR="00F37FC8" w:rsidRPr="00B105DF" w:rsidRDefault="00F37FC8" w:rsidP="00B105DF">
            <w:pPr>
              <w:bidi w:val="0"/>
              <w:spacing w:after="0" w:line="240" w:lineRule="auto"/>
              <w:rPr>
                <w:rFonts w:asciiTheme="majorBidi" w:hAnsiTheme="majorBidi" w:cstheme="majorBidi"/>
                <w:sz w:val="20"/>
                <w:szCs w:val="20"/>
              </w:rPr>
            </w:pPr>
            <w:r w:rsidRPr="00B105DF">
              <w:rPr>
                <w:rFonts w:asciiTheme="majorBidi" w:hAnsiTheme="majorBidi" w:cstheme="majorBidi"/>
                <w:sz w:val="20"/>
                <w:szCs w:val="20"/>
              </w:rPr>
              <w:t>Other decision</w:t>
            </w:r>
          </w:p>
        </w:tc>
        <w:tc>
          <w:tcPr>
            <w:tcW w:w="666" w:type="dxa"/>
            <w:shd w:val="clear" w:color="auto" w:fill="auto"/>
            <w:vAlign w:val="center"/>
          </w:tcPr>
          <w:p w14:paraId="34560C1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35</w:t>
            </w:r>
          </w:p>
        </w:tc>
        <w:tc>
          <w:tcPr>
            <w:tcW w:w="733" w:type="dxa"/>
            <w:shd w:val="clear" w:color="auto" w:fill="auto"/>
            <w:vAlign w:val="center"/>
          </w:tcPr>
          <w:p w14:paraId="641BCE2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1.6%</w:t>
            </w:r>
          </w:p>
        </w:tc>
        <w:tc>
          <w:tcPr>
            <w:tcW w:w="666" w:type="dxa"/>
            <w:shd w:val="clear" w:color="auto" w:fill="auto"/>
            <w:vAlign w:val="center"/>
          </w:tcPr>
          <w:p w14:paraId="19BFFC7E"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17</w:t>
            </w:r>
          </w:p>
        </w:tc>
        <w:tc>
          <w:tcPr>
            <w:tcW w:w="733" w:type="dxa"/>
            <w:shd w:val="clear" w:color="auto" w:fill="auto"/>
            <w:vAlign w:val="center"/>
          </w:tcPr>
          <w:p w14:paraId="75463733"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1.2%</w:t>
            </w:r>
          </w:p>
        </w:tc>
        <w:tc>
          <w:tcPr>
            <w:tcW w:w="666" w:type="dxa"/>
            <w:shd w:val="clear" w:color="auto" w:fill="auto"/>
            <w:vAlign w:val="center"/>
          </w:tcPr>
          <w:p w14:paraId="21C0A008"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28</w:t>
            </w:r>
          </w:p>
        </w:tc>
        <w:tc>
          <w:tcPr>
            <w:tcW w:w="733" w:type="dxa"/>
            <w:shd w:val="clear" w:color="auto" w:fill="auto"/>
            <w:vAlign w:val="center"/>
          </w:tcPr>
          <w:p w14:paraId="75C81A2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1.9%</w:t>
            </w:r>
          </w:p>
        </w:tc>
        <w:tc>
          <w:tcPr>
            <w:tcW w:w="772" w:type="dxa"/>
            <w:shd w:val="clear" w:color="auto" w:fill="auto"/>
            <w:vAlign w:val="center"/>
          </w:tcPr>
          <w:p w14:paraId="18A08D22"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14</w:t>
            </w:r>
          </w:p>
        </w:tc>
        <w:tc>
          <w:tcPr>
            <w:tcW w:w="733" w:type="dxa"/>
            <w:shd w:val="clear" w:color="auto" w:fill="auto"/>
            <w:vAlign w:val="center"/>
          </w:tcPr>
          <w:p w14:paraId="62531D1A"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1.9%</w:t>
            </w:r>
          </w:p>
        </w:tc>
      </w:tr>
      <w:tr w:rsidR="00F37FC8" w:rsidRPr="00B105DF" w14:paraId="0681936F" w14:textId="77777777" w:rsidTr="00B105DF">
        <w:tc>
          <w:tcPr>
            <w:tcW w:w="1428" w:type="dxa"/>
            <w:vMerge/>
            <w:shd w:val="clear" w:color="auto" w:fill="auto"/>
          </w:tcPr>
          <w:p w14:paraId="22DDDFE7" w14:textId="77777777" w:rsidR="00F37FC8" w:rsidRPr="00B105DF" w:rsidRDefault="00F37FC8" w:rsidP="00B105DF">
            <w:pPr>
              <w:bidi w:val="0"/>
              <w:spacing w:after="0" w:line="240" w:lineRule="auto"/>
              <w:jc w:val="both"/>
              <w:rPr>
                <w:rFonts w:asciiTheme="majorBidi" w:hAnsiTheme="majorBidi" w:cstheme="majorBidi"/>
                <w:sz w:val="20"/>
                <w:szCs w:val="20"/>
                <w:rtl/>
              </w:rPr>
            </w:pPr>
          </w:p>
        </w:tc>
        <w:tc>
          <w:tcPr>
            <w:tcW w:w="1659" w:type="dxa"/>
            <w:shd w:val="clear" w:color="auto" w:fill="auto"/>
            <w:vAlign w:val="center"/>
          </w:tcPr>
          <w:p w14:paraId="34E37570" w14:textId="77777777" w:rsidR="00F37FC8" w:rsidRPr="00B105DF" w:rsidRDefault="00F37FC8" w:rsidP="00B105DF">
            <w:pPr>
              <w:bidi w:val="0"/>
              <w:spacing w:after="0" w:line="240" w:lineRule="auto"/>
              <w:rPr>
                <w:rFonts w:asciiTheme="majorBidi" w:hAnsiTheme="majorBidi" w:cstheme="majorBidi"/>
                <w:sz w:val="20"/>
                <w:szCs w:val="20"/>
              </w:rPr>
            </w:pPr>
            <w:r w:rsidRPr="00B105DF">
              <w:rPr>
                <w:rFonts w:asciiTheme="majorBidi" w:hAnsiTheme="majorBidi" w:cstheme="majorBidi"/>
                <w:sz w:val="20"/>
                <w:szCs w:val="20"/>
              </w:rPr>
              <w:t xml:space="preserve">Total </w:t>
            </w:r>
          </w:p>
        </w:tc>
        <w:tc>
          <w:tcPr>
            <w:tcW w:w="666" w:type="dxa"/>
            <w:shd w:val="clear" w:color="auto" w:fill="auto"/>
            <w:vAlign w:val="center"/>
          </w:tcPr>
          <w:p w14:paraId="151D1F55"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2</w:t>
            </w:r>
            <w:r w:rsidRPr="00B105DF">
              <w:rPr>
                <w:rFonts w:asciiTheme="majorBidi" w:hAnsiTheme="majorBidi" w:cstheme="majorBidi"/>
                <w:sz w:val="20"/>
                <w:szCs w:val="20"/>
              </w:rPr>
              <w:t>,</w:t>
            </w:r>
            <w:r w:rsidRPr="00B105DF">
              <w:rPr>
                <w:rFonts w:asciiTheme="majorBidi" w:hAnsiTheme="majorBidi" w:cstheme="majorBidi"/>
                <w:sz w:val="20"/>
                <w:szCs w:val="20"/>
                <w:rtl/>
              </w:rPr>
              <w:t>163</w:t>
            </w:r>
          </w:p>
        </w:tc>
        <w:tc>
          <w:tcPr>
            <w:tcW w:w="733" w:type="dxa"/>
            <w:shd w:val="clear" w:color="auto" w:fill="auto"/>
            <w:vAlign w:val="center"/>
          </w:tcPr>
          <w:p w14:paraId="1947CAF6"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100%</w:t>
            </w:r>
          </w:p>
        </w:tc>
        <w:tc>
          <w:tcPr>
            <w:tcW w:w="666" w:type="dxa"/>
            <w:shd w:val="clear" w:color="auto" w:fill="auto"/>
            <w:vAlign w:val="center"/>
          </w:tcPr>
          <w:p w14:paraId="7241F2FD"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w:t>
            </w:r>
            <w:r w:rsidRPr="00B105DF">
              <w:rPr>
                <w:rFonts w:asciiTheme="majorBidi" w:hAnsiTheme="majorBidi" w:cstheme="majorBidi"/>
                <w:sz w:val="20"/>
                <w:szCs w:val="20"/>
              </w:rPr>
              <w:t>,</w:t>
            </w:r>
            <w:r w:rsidRPr="00B105DF">
              <w:rPr>
                <w:rFonts w:asciiTheme="majorBidi" w:hAnsiTheme="majorBidi" w:cstheme="majorBidi"/>
                <w:sz w:val="20"/>
                <w:szCs w:val="20"/>
                <w:rtl/>
              </w:rPr>
              <w:t>504</w:t>
            </w:r>
          </w:p>
        </w:tc>
        <w:tc>
          <w:tcPr>
            <w:tcW w:w="733" w:type="dxa"/>
            <w:shd w:val="clear" w:color="auto" w:fill="auto"/>
            <w:vAlign w:val="center"/>
          </w:tcPr>
          <w:p w14:paraId="6713D9E1"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100%</w:t>
            </w:r>
          </w:p>
        </w:tc>
        <w:tc>
          <w:tcPr>
            <w:tcW w:w="666" w:type="dxa"/>
            <w:shd w:val="clear" w:color="auto" w:fill="auto"/>
            <w:vAlign w:val="center"/>
          </w:tcPr>
          <w:p w14:paraId="7F9A843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874</w:t>
            </w:r>
          </w:p>
        </w:tc>
        <w:tc>
          <w:tcPr>
            <w:tcW w:w="733" w:type="dxa"/>
            <w:shd w:val="clear" w:color="auto" w:fill="auto"/>
            <w:vAlign w:val="center"/>
          </w:tcPr>
          <w:p w14:paraId="65D05A39"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100%</w:t>
            </w:r>
          </w:p>
        </w:tc>
        <w:tc>
          <w:tcPr>
            <w:tcW w:w="772" w:type="dxa"/>
            <w:shd w:val="clear" w:color="auto" w:fill="auto"/>
            <w:vAlign w:val="center"/>
          </w:tcPr>
          <w:p w14:paraId="052227EF" w14:textId="77777777" w:rsidR="00F37FC8" w:rsidRPr="00B105DF" w:rsidRDefault="00F37FC8" w:rsidP="00B105DF">
            <w:pPr>
              <w:bidi w:val="0"/>
              <w:spacing w:after="0" w:line="240" w:lineRule="auto"/>
              <w:jc w:val="center"/>
              <w:rPr>
                <w:rFonts w:asciiTheme="majorBidi" w:hAnsiTheme="majorBidi" w:cstheme="majorBidi"/>
                <w:sz w:val="20"/>
                <w:szCs w:val="20"/>
                <w:rtl/>
              </w:rPr>
            </w:pPr>
            <w:r w:rsidRPr="00B105DF">
              <w:rPr>
                <w:rFonts w:asciiTheme="majorBidi" w:hAnsiTheme="majorBidi" w:cstheme="majorBidi"/>
                <w:sz w:val="20"/>
                <w:szCs w:val="20"/>
                <w:rtl/>
              </w:rPr>
              <w:t>745</w:t>
            </w:r>
          </w:p>
        </w:tc>
        <w:tc>
          <w:tcPr>
            <w:tcW w:w="733" w:type="dxa"/>
            <w:shd w:val="clear" w:color="auto" w:fill="auto"/>
            <w:vAlign w:val="center"/>
          </w:tcPr>
          <w:p w14:paraId="0A62AC88" w14:textId="77777777" w:rsidR="00F37FC8" w:rsidRPr="00B105DF" w:rsidRDefault="00F37FC8" w:rsidP="00B105DF">
            <w:pPr>
              <w:bidi w:val="0"/>
              <w:spacing w:after="0" w:line="240" w:lineRule="auto"/>
              <w:jc w:val="center"/>
              <w:rPr>
                <w:rFonts w:asciiTheme="majorBidi" w:hAnsiTheme="majorBidi" w:cstheme="majorBidi"/>
                <w:sz w:val="20"/>
                <w:szCs w:val="20"/>
              </w:rPr>
            </w:pPr>
            <w:r w:rsidRPr="00B105DF">
              <w:rPr>
                <w:rFonts w:asciiTheme="majorBidi" w:hAnsiTheme="majorBidi" w:cstheme="majorBidi"/>
                <w:sz w:val="20"/>
                <w:szCs w:val="20"/>
                <w:rtl/>
              </w:rPr>
              <w:t>100%</w:t>
            </w:r>
          </w:p>
        </w:tc>
      </w:tr>
    </w:tbl>
    <w:p w14:paraId="3401BB61" w14:textId="77777777" w:rsidR="00F37FC8" w:rsidRPr="00512329" w:rsidRDefault="00F37FC8" w:rsidP="00C000F6">
      <w:pPr>
        <w:pStyle w:val="SingleTxtG"/>
        <w:numPr>
          <w:ilvl w:val="0"/>
          <w:numId w:val="9"/>
        </w:numPr>
        <w:spacing w:line="240" w:lineRule="auto"/>
        <w:ind w:left="714" w:hanging="357"/>
        <w:rPr>
          <w:rFonts w:asciiTheme="majorBidi" w:hAnsiTheme="majorBidi" w:cstheme="majorBidi"/>
          <w:i/>
          <w:iCs/>
        </w:rPr>
      </w:pPr>
      <w:r w:rsidRPr="00512329">
        <w:rPr>
          <w:rFonts w:asciiTheme="majorBidi" w:hAnsiTheme="majorBidi" w:cstheme="majorBidi"/>
          <w:i/>
          <w:iCs/>
        </w:rPr>
        <w:t xml:space="preserve"> </w:t>
      </w:r>
      <w:r w:rsidR="00512329" w:rsidRPr="00512329">
        <w:rPr>
          <w:rFonts w:asciiTheme="majorBidi" w:hAnsiTheme="majorBidi" w:cstheme="majorBidi"/>
          <w:i/>
          <w:iCs/>
        </w:rPr>
        <w:t xml:space="preserve">Source: </w:t>
      </w:r>
      <w:r w:rsidRPr="00512329">
        <w:rPr>
          <w:rFonts w:asciiTheme="majorBidi" w:hAnsiTheme="majorBidi" w:cstheme="majorBidi"/>
          <w:i/>
          <w:iCs/>
        </w:rPr>
        <w:t>Ministry of Health (May 2021)</w:t>
      </w:r>
    </w:p>
    <w:p w14:paraId="417E389A" w14:textId="77777777" w:rsidR="007D56C0" w:rsidRPr="005C149A" w:rsidRDefault="007D56C0" w:rsidP="007D56C0">
      <w:pPr>
        <w:pStyle w:val="Heading3"/>
      </w:pPr>
      <w:r w:rsidRPr="005C149A">
        <w:t xml:space="preserve">B. Compulsory Assessment and Treatment Due to Serious Mental Health Grounds </w:t>
      </w:r>
    </w:p>
    <w:p w14:paraId="224E46E9" w14:textId="77777777" w:rsidR="007D56C0" w:rsidRPr="005C149A" w:rsidRDefault="007D56C0"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The Use of Restraints in Psychiatric Hospitals</w:t>
      </w:r>
    </w:p>
    <w:p w14:paraId="30031FC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April 2017, a steering</w:t>
      </w:r>
      <w:r w:rsidRPr="005C149A">
        <w:rPr>
          <w:rFonts w:asciiTheme="majorBidi" w:hAnsiTheme="majorBidi" w:cstheme="majorBidi"/>
          <w:sz w:val="24"/>
          <w:szCs w:val="24"/>
          <w:lang w:val="en"/>
        </w:rPr>
        <w:t xml:space="preserve"> </w:t>
      </w:r>
      <w:r w:rsidRPr="005C149A">
        <w:rPr>
          <w:rFonts w:asciiTheme="majorBidi" w:hAnsiTheme="majorBidi" w:cstheme="majorBidi"/>
          <w:sz w:val="24"/>
          <w:szCs w:val="24"/>
        </w:rPr>
        <w:t>committee</w:t>
      </w:r>
      <w:r w:rsidRPr="005C149A">
        <w:rPr>
          <w:rFonts w:asciiTheme="majorBidi" w:hAnsiTheme="majorBidi" w:cstheme="majorBidi"/>
          <w:sz w:val="24"/>
          <w:szCs w:val="24"/>
          <w:lang w:val="en"/>
        </w:rPr>
        <w:t xml:space="preserve"> on the issue of mechanical restraints, </w:t>
      </w:r>
      <w:r w:rsidRPr="005C149A">
        <w:rPr>
          <w:rFonts w:asciiTheme="majorBidi" w:hAnsiTheme="majorBidi" w:cstheme="majorBidi"/>
          <w:sz w:val="24"/>
          <w:szCs w:val="24"/>
        </w:rPr>
        <w:t>recommended a series of measures, based on meetings with relevant bodies and comparative research, aimed at significantly minimizing the use of restraints in Israel, with the goal to eventually abolish the practice altogether. Following are the steering committee's main recommendations:</w:t>
      </w:r>
    </w:p>
    <w:p w14:paraId="02E5F10E" w14:textId="77777777" w:rsidR="00F37FC8" w:rsidRPr="005C149A" w:rsidRDefault="00F37FC8" w:rsidP="00C000F6">
      <w:pPr>
        <w:pStyle w:val="PS"/>
        <w:numPr>
          <w:ilvl w:val="0"/>
          <w:numId w:val="34"/>
        </w:numPr>
        <w:spacing w:line="360" w:lineRule="auto"/>
        <w:ind w:left="788" w:hanging="357"/>
        <w:jc w:val="both"/>
        <w:rPr>
          <w:szCs w:val="24"/>
        </w:rPr>
      </w:pPr>
      <w:r w:rsidRPr="005C149A">
        <w:rPr>
          <w:b/>
          <w:bCs/>
          <w:szCs w:val="24"/>
        </w:rPr>
        <w:t>Paradigm shift</w:t>
      </w:r>
      <w:r w:rsidRPr="005C149A">
        <w:rPr>
          <w:szCs w:val="24"/>
        </w:rPr>
        <w:t xml:space="preserve">: The committee recommended imparting a paradigm shift among relevant professionals in regards to patients’ rights, attitudes towards patients, and the balance of power between staff and patients, in order to reduce and eventually mitigate the use of restraints. </w:t>
      </w:r>
    </w:p>
    <w:p w14:paraId="4A5D5391" w14:textId="77777777" w:rsidR="00F37FC8" w:rsidRPr="005C149A" w:rsidRDefault="00F37FC8" w:rsidP="00C000F6">
      <w:pPr>
        <w:pStyle w:val="PS"/>
        <w:numPr>
          <w:ilvl w:val="0"/>
          <w:numId w:val="34"/>
        </w:numPr>
        <w:spacing w:line="360" w:lineRule="auto"/>
        <w:ind w:left="788" w:hanging="357"/>
        <w:jc w:val="both"/>
        <w:rPr>
          <w:szCs w:val="24"/>
        </w:rPr>
      </w:pPr>
      <w:r w:rsidRPr="005C149A">
        <w:rPr>
          <w:b/>
          <w:bCs/>
          <w:szCs w:val="24"/>
        </w:rPr>
        <w:t>Alternatives</w:t>
      </w:r>
      <w:r w:rsidRPr="005C149A">
        <w:rPr>
          <w:szCs w:val="24"/>
        </w:rPr>
        <w:t xml:space="preserve">: It was also recommended assimilating alternative methods and tools to allow immediate, professional, accommodating, non-aggressive, and safe responses to challenging behaviors. </w:t>
      </w:r>
    </w:p>
    <w:p w14:paraId="795BC554" w14:textId="77777777" w:rsidR="00F37FC8" w:rsidRPr="005C149A" w:rsidRDefault="00F37FC8" w:rsidP="00C000F6">
      <w:pPr>
        <w:pStyle w:val="PS"/>
        <w:numPr>
          <w:ilvl w:val="0"/>
          <w:numId w:val="34"/>
        </w:numPr>
        <w:spacing w:line="360" w:lineRule="auto"/>
        <w:ind w:left="788" w:hanging="357"/>
        <w:jc w:val="both"/>
        <w:rPr>
          <w:szCs w:val="24"/>
        </w:rPr>
      </w:pPr>
      <w:r w:rsidRPr="005C149A">
        <w:rPr>
          <w:b/>
          <w:bCs/>
          <w:szCs w:val="24"/>
        </w:rPr>
        <w:t>Procedures</w:t>
      </w:r>
      <w:r w:rsidRPr="005C149A">
        <w:rPr>
          <w:szCs w:val="24"/>
        </w:rPr>
        <w:t xml:space="preserve">: The committee further recommended anchoring the paradigm shift and alternatives into binding procedures, which would establish very narrow grounds for the use of restraints. The rules must emphasize that patients should be restrained only in exceptional cases of substantive and immediate danger to their life and limb or to that of another patient or a staff member, and only as a last resort and after all alternatives have failed. </w:t>
      </w:r>
    </w:p>
    <w:p w14:paraId="50AE2EB0" w14:textId="77777777" w:rsidR="00F37FC8" w:rsidRPr="005C149A" w:rsidRDefault="00F37FC8" w:rsidP="00C000F6">
      <w:pPr>
        <w:pStyle w:val="PS"/>
        <w:numPr>
          <w:ilvl w:val="0"/>
          <w:numId w:val="34"/>
        </w:numPr>
        <w:spacing w:line="360" w:lineRule="auto"/>
        <w:ind w:left="788" w:hanging="357"/>
        <w:jc w:val="both"/>
        <w:rPr>
          <w:szCs w:val="24"/>
        </w:rPr>
      </w:pPr>
      <w:r w:rsidRPr="005C149A">
        <w:rPr>
          <w:b/>
          <w:bCs/>
          <w:szCs w:val="24"/>
        </w:rPr>
        <w:t>Analysis</w:t>
      </w:r>
      <w:r w:rsidRPr="005C149A">
        <w:rPr>
          <w:szCs w:val="24"/>
        </w:rPr>
        <w:t>: Additional recommendation was that the MOH conduct individual case studies to both improve caregiving for specific patients and the system at large. The committee noted that hospitals should conduct an internal review shortly after any event of restraint in order to determine how to prevent recurrence. Furthermore, the committee affirmed the patient’s right to present the MOH with a grievance about having been restrained.</w:t>
      </w:r>
    </w:p>
    <w:p w14:paraId="4541E37D" w14:textId="47652C92" w:rsidR="00F37FC8" w:rsidRPr="005C149A" w:rsidRDefault="00F37FC8" w:rsidP="00894C84">
      <w:pPr>
        <w:pStyle w:val="PS"/>
        <w:numPr>
          <w:ilvl w:val="0"/>
          <w:numId w:val="34"/>
        </w:numPr>
        <w:spacing w:line="360" w:lineRule="auto"/>
        <w:ind w:left="788" w:hanging="357"/>
        <w:jc w:val="both"/>
        <w:rPr>
          <w:szCs w:val="24"/>
        </w:rPr>
      </w:pPr>
      <w:r w:rsidRPr="005C149A">
        <w:rPr>
          <w:b/>
          <w:bCs/>
          <w:szCs w:val="24"/>
        </w:rPr>
        <w:t>Action plan</w:t>
      </w:r>
      <w:r w:rsidRPr="005C149A">
        <w:rPr>
          <w:szCs w:val="24"/>
        </w:rPr>
        <w:t>: The committee recommended on the creation of a three</w:t>
      </w:r>
      <w:r w:rsidR="00894C84">
        <w:rPr>
          <w:szCs w:val="24"/>
        </w:rPr>
        <w:t xml:space="preserve"> (3)</w:t>
      </w:r>
      <w:r w:rsidRPr="005C149A">
        <w:rPr>
          <w:szCs w:val="24"/>
        </w:rPr>
        <w:t>-year phased system government program for the mitigation of use of restraints. The program should present annual mitigation objectives that shall be binding on all hospitals: a 70 percent reduction in restraint use at each hospital in the 1st year, another 60 percent in the 2</w:t>
      </w:r>
      <w:r w:rsidRPr="005C149A">
        <w:rPr>
          <w:szCs w:val="24"/>
          <w:vertAlign w:val="superscript"/>
        </w:rPr>
        <w:t>nd</w:t>
      </w:r>
      <w:r w:rsidRPr="005C149A">
        <w:rPr>
          <w:szCs w:val="24"/>
        </w:rPr>
        <w:t xml:space="preserve"> year, and another 60 percent in the 3</w:t>
      </w:r>
      <w:r w:rsidRPr="005C149A">
        <w:rPr>
          <w:szCs w:val="24"/>
          <w:vertAlign w:val="superscript"/>
        </w:rPr>
        <w:t>rd</w:t>
      </w:r>
      <w:r w:rsidRPr="005C149A">
        <w:rPr>
          <w:szCs w:val="24"/>
        </w:rPr>
        <w:t xml:space="preserve"> year. </w:t>
      </w:r>
    </w:p>
    <w:p w14:paraId="0BC10C2E" w14:textId="77777777" w:rsidR="00F37FC8" w:rsidRPr="005C149A" w:rsidRDefault="00F37FC8" w:rsidP="00C000F6">
      <w:pPr>
        <w:pStyle w:val="PS"/>
        <w:numPr>
          <w:ilvl w:val="0"/>
          <w:numId w:val="34"/>
        </w:numPr>
        <w:spacing w:line="360" w:lineRule="auto"/>
        <w:ind w:left="788" w:hanging="357"/>
        <w:jc w:val="both"/>
        <w:rPr>
          <w:szCs w:val="24"/>
        </w:rPr>
      </w:pPr>
      <w:r w:rsidRPr="005C149A">
        <w:rPr>
          <w:b/>
          <w:bCs/>
          <w:szCs w:val="24"/>
        </w:rPr>
        <w:t>Public commission</w:t>
      </w:r>
      <w:r w:rsidRPr="005C149A">
        <w:rPr>
          <w:szCs w:val="24"/>
        </w:rPr>
        <w:t>: The committee also recommended on the establishment of a public commission to review latitudinal system-wide aspects of the issue, alongside  analysis of immediate requisites for the assurance of minimizing the use of restraints.</w:t>
      </w:r>
    </w:p>
    <w:p w14:paraId="07FCE50E"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April 1, 2018, the MOH Director General (DG) published Circular No. 10/2018, clarifying and minimizing the conditions under which it is permissible to use restraints, while establishing a detailed monitoring and reporting system. The circular includes, </w:t>
      </w:r>
      <w:r w:rsidRPr="005C149A">
        <w:rPr>
          <w:rFonts w:asciiTheme="majorBidi" w:hAnsiTheme="majorBidi" w:cstheme="majorBidi"/>
          <w:i/>
          <w:iCs/>
          <w:sz w:val="24"/>
          <w:szCs w:val="24"/>
        </w:rPr>
        <w:t>inter alia</w:t>
      </w:r>
      <w:r w:rsidRPr="005C149A">
        <w:rPr>
          <w:rFonts w:asciiTheme="majorBidi" w:hAnsiTheme="majorBidi" w:cstheme="majorBidi"/>
          <w:sz w:val="24"/>
          <w:szCs w:val="24"/>
        </w:rPr>
        <w:t xml:space="preserve">, binding principles aimed at decreasing the use of restraints, a detailed system with checks and balances for using restraints, obligations to ensure a patient's security and dignity and a requirement to record and report all instances in which restraints are used. </w:t>
      </w:r>
    </w:p>
    <w:p w14:paraId="0BEC013D" w14:textId="77777777" w:rsidR="00F37FC8" w:rsidRPr="005C149A" w:rsidRDefault="008427F3" w:rsidP="008427F3">
      <w:pPr>
        <w:pStyle w:val="Heading3"/>
      </w:pPr>
      <w:r w:rsidRPr="005C149A">
        <w:t>C.</w:t>
      </w:r>
      <w:r w:rsidR="00F37FC8" w:rsidRPr="005C149A">
        <w:t xml:space="preserve"> Due Process for Persons with Intellectual Disabilities</w:t>
      </w:r>
    </w:p>
    <w:p w14:paraId="77F828A5" w14:textId="27DC2D6C"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Currently, </w:t>
      </w:r>
      <w:r w:rsidR="00894C84">
        <w:rPr>
          <w:rFonts w:asciiTheme="majorBidi" w:hAnsiTheme="majorBidi" w:cstheme="majorBidi"/>
          <w:sz w:val="24"/>
          <w:szCs w:val="24"/>
        </w:rPr>
        <w:t xml:space="preserve">the </w:t>
      </w:r>
      <w:r w:rsidRPr="005C149A">
        <w:rPr>
          <w:rFonts w:asciiTheme="majorBidi" w:hAnsiTheme="majorBidi" w:cstheme="majorBidi"/>
          <w:sz w:val="24"/>
          <w:szCs w:val="24"/>
        </w:rPr>
        <w:t xml:space="preserve">MOWSA enables suspects and defendants with cognitive disabilities, who are not </w:t>
      </w:r>
      <w:r w:rsidR="00894C84">
        <w:rPr>
          <w:rFonts w:asciiTheme="majorBidi" w:hAnsiTheme="majorBidi" w:cstheme="majorBidi"/>
          <w:sz w:val="24"/>
          <w:szCs w:val="24"/>
        </w:rPr>
        <w:t xml:space="preserve">persons with </w:t>
      </w:r>
      <w:r w:rsidRPr="005C149A">
        <w:rPr>
          <w:rFonts w:asciiTheme="majorBidi" w:hAnsiTheme="majorBidi" w:cstheme="majorBidi"/>
          <w:sz w:val="24"/>
          <w:szCs w:val="24"/>
        </w:rPr>
        <w:t xml:space="preserve">intellectual-developmental disabilities, to serve their sentence and detention in the locked facility "Neveh Menashe", which, as stated above, is designed for persons with intellectual-developmental disabilities. In any case where the condition of the defendant and those already in "Neveh Menashe" allows, and subject to the recommendation of the Diagnostic Committee and the consent of the Prosecution, the Court may rule that relevant defendants serve in the locked facility. </w:t>
      </w:r>
    </w:p>
    <w:p w14:paraId="063C3795" w14:textId="56624537" w:rsidR="00F37FC8" w:rsidRPr="005C149A" w:rsidRDefault="00F37FC8" w:rsidP="00894C84">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As of January 2022, six (6) persons are residing in the locked facility "Neve Menashe", all of whom as detainees. Since 2017 until January 2022 in total, 36 persons have resided in "Neve Menashe</w:t>
      </w:r>
      <w:r w:rsidR="00894C84">
        <w:rPr>
          <w:rFonts w:asciiTheme="majorBidi" w:hAnsiTheme="majorBidi" w:cstheme="majorBidi"/>
          <w:sz w:val="24"/>
          <w:szCs w:val="24"/>
        </w:rPr>
        <w:t>"</w:t>
      </w:r>
      <w:r w:rsidRPr="005C149A">
        <w:rPr>
          <w:rFonts w:asciiTheme="majorBidi" w:hAnsiTheme="majorBidi" w:cstheme="majorBidi"/>
          <w:sz w:val="24"/>
          <w:szCs w:val="24"/>
        </w:rPr>
        <w:t xml:space="preserve">, all of whom as detainees. Only one third (1/3) remained until the end of their sentence. 50% of the detainees are held for violent crimes, and 50% for sex crimes. 18 continued to a different framework; 12 returned to their homes. Only five (5) of the detainees were diagnosed by the Committee, whereas the remainder were part of the rehabilitative unit with or without a diagnosis, and the Court declared they should be held in the locked facility. Regarding the length of stay, 15 persons were held for less than one (1) year, 12 for between one (1) to two (2) years, </w:t>
      </w:r>
      <w:r w:rsidR="00894C84">
        <w:rPr>
          <w:rFonts w:asciiTheme="majorBidi" w:hAnsiTheme="majorBidi" w:cstheme="majorBidi"/>
          <w:sz w:val="24"/>
          <w:szCs w:val="24"/>
        </w:rPr>
        <w:t>five (</w:t>
      </w:r>
      <w:r w:rsidRPr="005C149A">
        <w:rPr>
          <w:rFonts w:asciiTheme="majorBidi" w:hAnsiTheme="majorBidi" w:cstheme="majorBidi"/>
          <w:sz w:val="24"/>
          <w:szCs w:val="24"/>
        </w:rPr>
        <w:t>5</w:t>
      </w:r>
      <w:r w:rsidR="00894C84">
        <w:rPr>
          <w:rFonts w:asciiTheme="majorBidi" w:hAnsiTheme="majorBidi" w:cstheme="majorBidi"/>
          <w:sz w:val="24"/>
          <w:szCs w:val="24"/>
        </w:rPr>
        <w:t>)</w:t>
      </w:r>
      <w:r w:rsidRPr="005C149A">
        <w:rPr>
          <w:rFonts w:asciiTheme="majorBidi" w:hAnsiTheme="majorBidi" w:cstheme="majorBidi"/>
          <w:sz w:val="24"/>
          <w:szCs w:val="24"/>
        </w:rPr>
        <w:t xml:space="preserve"> for between two (2) to four (4) years and four (4) for more than four (4) years. </w:t>
      </w:r>
    </w:p>
    <w:p w14:paraId="4F2D097F"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27" w:name="_Toc100224050"/>
      <w:r w:rsidRPr="005C149A">
        <w:rPr>
          <w:rFonts w:asciiTheme="majorBidi" w:hAnsiTheme="majorBidi"/>
          <w:b/>
          <w:bCs/>
          <w:color w:val="auto"/>
          <w:sz w:val="24"/>
          <w:szCs w:val="24"/>
          <w:u w:val="single"/>
        </w:rPr>
        <w:t>Question 15</w:t>
      </w:r>
      <w:bookmarkEnd w:id="27"/>
      <w:r w:rsidRPr="005C149A">
        <w:rPr>
          <w:rFonts w:asciiTheme="majorBidi" w:hAnsiTheme="majorBidi"/>
          <w:b/>
          <w:bCs/>
          <w:color w:val="auto"/>
          <w:sz w:val="24"/>
          <w:szCs w:val="24"/>
          <w:u w:val="single"/>
        </w:rPr>
        <w:t xml:space="preserve"> </w:t>
      </w:r>
    </w:p>
    <w:p w14:paraId="0DD23A16" w14:textId="77777777" w:rsidR="00F37FC8" w:rsidRPr="005C149A" w:rsidRDefault="00F37FC8" w:rsidP="008427F3">
      <w:pPr>
        <w:pStyle w:val="Heading3"/>
      </w:pPr>
      <w:r w:rsidRPr="005C149A">
        <w:t>IPS Supportive Prisoners</w:t>
      </w:r>
    </w:p>
    <w:p w14:paraId="550B1583"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IPS program "supportive prisoners" is designed for prisoners who need assistance and extra support. There are different wings for prisoners who need supervision: a wing for prisoners with mental disabilities, a nursing wing for the elderly and ill prisoners, and an accessible wing for prisoners with physical disabilities. In each wing there are "supportive prisoners," assigned based on specific criteria. The supporting prisoners undergo filtering processes by professional committees, pass first aid training, after which they are placed together with the prisoners needing assistance. The supportive prisoners assist in accessibility or nursing issues, provide a sympathetic ear, help the IPS staff, and report problems. The supportive prisoners are under IPS supervision throughout all their duties. In the parole board, the participation in the program is considered as a rehabilitation procedure and taken into account. In parallel, the IPS works diligently on therapy programs for prisoners suited for their cognitive abilities, including non-verbal methods, external therapy and rehabilitative employment.</w:t>
      </w:r>
    </w:p>
    <w:p w14:paraId="25453349" w14:textId="77777777" w:rsidR="00F37FC8" w:rsidRPr="005C149A" w:rsidRDefault="007D56C0" w:rsidP="00327130">
      <w:pPr>
        <w:pStyle w:val="Heading2"/>
        <w:spacing w:before="0" w:after="0"/>
      </w:pPr>
      <w:r w:rsidRPr="005C149A">
        <w:t>Article 15</w:t>
      </w:r>
    </w:p>
    <w:p w14:paraId="6ACD3230"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28" w:name="_Toc100224051"/>
      <w:r w:rsidRPr="005C149A">
        <w:rPr>
          <w:rFonts w:asciiTheme="majorBidi" w:hAnsiTheme="majorBidi"/>
          <w:b/>
          <w:bCs/>
          <w:color w:val="auto"/>
          <w:sz w:val="24"/>
          <w:szCs w:val="24"/>
          <w:u w:val="single"/>
        </w:rPr>
        <w:t>Question 16</w:t>
      </w:r>
      <w:bookmarkEnd w:id="28"/>
    </w:p>
    <w:p w14:paraId="5D0B3DE4" w14:textId="77777777" w:rsidR="007D56C0" w:rsidRPr="005C149A" w:rsidRDefault="007D56C0" w:rsidP="007D56C0">
      <w:pPr>
        <w:pStyle w:val="Heading3"/>
      </w:pPr>
      <w:r w:rsidRPr="005C149A">
        <w:t xml:space="preserve">A. Protection of PWD </w:t>
      </w:r>
    </w:p>
    <w:p w14:paraId="135247BF"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August 2, 2017, the Tel Aviv-Jaffa District Court accepted a petition against the use of restraints on a detainee in a psychiatric hospital. The petitioner, indicted for manslaughter and sentenced to serve in Neve Tirza prison, was moved to Abarbanel psychiatric hospital after a decline in her mental health. The petitioner was restrained to her bed and was oversaw by IPS guards on a 24-hours-a-day basis. She requested her restraints be removed and that she be allowed to buy cigarettes and make phone calls without IPS guards supervision. Noting that the use of restraints is an extreme measure that must be utilized for limited periods and only when absolutely necessary, the Court accepted the petition and ordered for her restraints to be removed. The Court further noted that in this case, the use of restraints was not proportionate and indeed humiliating (PP 71047-07/17, </w:t>
      </w:r>
      <w:r w:rsidRPr="005C149A">
        <w:rPr>
          <w:rFonts w:asciiTheme="majorBidi" w:hAnsiTheme="majorBidi" w:cstheme="majorBidi"/>
          <w:i/>
          <w:iCs/>
          <w:sz w:val="24"/>
          <w:szCs w:val="24"/>
        </w:rPr>
        <w:t>Ashkenazi vs. The Israel Prisons Service</w:t>
      </w:r>
      <w:r w:rsidRPr="005C149A">
        <w:rPr>
          <w:rFonts w:asciiTheme="majorBidi" w:hAnsiTheme="majorBidi" w:cstheme="majorBidi"/>
          <w:sz w:val="24"/>
          <w:szCs w:val="24"/>
        </w:rPr>
        <w:t xml:space="preserve"> (2.8.17)).</w:t>
      </w:r>
    </w:p>
    <w:p w14:paraId="56971DC9" w14:textId="77777777" w:rsidR="00F37FC8" w:rsidRPr="005C149A" w:rsidRDefault="007D56C0" w:rsidP="00F37FC8">
      <w:pPr>
        <w:pStyle w:val="Heading3"/>
      </w:pPr>
      <w:r w:rsidRPr="005C149A">
        <w:t xml:space="preserve">B. </w:t>
      </w:r>
      <w:r w:rsidR="00F37FC8" w:rsidRPr="005C149A">
        <w:t>Free and Informed Consent</w:t>
      </w:r>
    </w:p>
    <w:p w14:paraId="7E5E991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Inter-Ministerial Committee for Guardianship and Alternatives for Support and Protection of Adults, mentioned in Question 12, made a series of recommendations, including regarding informed consent. The Committee recommended, </w:t>
      </w:r>
      <w:r w:rsidRPr="005C149A">
        <w:rPr>
          <w:rFonts w:asciiTheme="majorBidi" w:hAnsiTheme="majorBidi" w:cstheme="majorBidi"/>
          <w:i/>
          <w:iCs/>
          <w:sz w:val="24"/>
          <w:szCs w:val="24"/>
        </w:rPr>
        <w:t>inter alia</w:t>
      </w:r>
      <w:r w:rsidRPr="005C149A">
        <w:rPr>
          <w:rFonts w:asciiTheme="majorBidi" w:hAnsiTheme="majorBidi" w:cstheme="majorBidi"/>
          <w:sz w:val="24"/>
          <w:szCs w:val="24"/>
        </w:rPr>
        <w:t>, that the medical staff make every effort to obtain a person's position, using necessary adjustments, and that authorizing other representatives be temporary only for the period in which it is impossible to obtain their opinion. Furthermore, the Committee recommended that only neurologists, psychiatrists and geriatric physicians be authorized to determine whether or not a person is able to make an informed decision.</w:t>
      </w:r>
    </w:p>
    <w:p w14:paraId="0E23BE8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On May 1, 2020, the MOH published a “Procedure of Informed Consent to Human Clinical Trials". The procedure addresses different populations as well as different levels of urgency, from medical emergencies, urgent medical needs and situations in which a person has a temporary loss of legal capacity. The procedure authorizes a Chief Researcher as well as a Committee to determine that informed consent was given. The procedure requires the potential participant be informed of the stages of the experimental treatment, the methodology and length of the trial, and any and all risks and discomforts that may be expected. According to this Procedure a guardian can give her/his consent to include PWD in a clinical trial. The procedure allows for a person's guardian to permit him/her to participate in a clinical trial, and only in extraordinary circumstances, outlines situations in which a person may be included in a trial without their or their guardian's consent.</w:t>
      </w:r>
    </w:p>
    <w:p w14:paraId="0C5028B8" w14:textId="77777777" w:rsidR="00F37FC8" w:rsidRPr="005C149A" w:rsidRDefault="00F37FC8" w:rsidP="00327130">
      <w:pPr>
        <w:pStyle w:val="Heading2"/>
        <w:spacing w:before="0" w:after="0"/>
      </w:pPr>
      <w:r w:rsidRPr="005C149A">
        <w:t>Article</w:t>
      </w:r>
      <w:r w:rsidR="007D56C0" w:rsidRPr="005C149A">
        <w:t xml:space="preserve"> 16</w:t>
      </w:r>
    </w:p>
    <w:p w14:paraId="7A36C3C0"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29" w:name="_Toc100224052"/>
      <w:r w:rsidRPr="005C149A">
        <w:rPr>
          <w:rFonts w:asciiTheme="majorBidi" w:hAnsiTheme="majorBidi"/>
          <w:b/>
          <w:bCs/>
          <w:color w:val="auto"/>
          <w:sz w:val="24"/>
          <w:szCs w:val="24"/>
          <w:u w:val="single"/>
        </w:rPr>
        <w:t>Question 18</w:t>
      </w:r>
      <w:bookmarkEnd w:id="29"/>
    </w:p>
    <w:p w14:paraId="2200A3B3" w14:textId="77777777" w:rsidR="00F37FC8" w:rsidRPr="005C149A" w:rsidRDefault="007D56C0" w:rsidP="008427F3">
      <w:pPr>
        <w:pStyle w:val="Heading3"/>
      </w:pPr>
      <w:r w:rsidRPr="005C149A">
        <w:t xml:space="preserve">A. </w:t>
      </w:r>
      <w:r w:rsidR="00F37FC8" w:rsidRPr="005C149A">
        <w:t xml:space="preserve">Protection </w:t>
      </w:r>
      <w:r w:rsidRPr="005C149A">
        <w:t xml:space="preserve">from </w:t>
      </w:r>
      <w:r w:rsidR="00F37FC8" w:rsidRPr="005C149A">
        <w:t>Exploitation</w:t>
      </w:r>
    </w:p>
    <w:p w14:paraId="0D94C2C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There are general criminal offenses that have been set forth to protect children specifically, which includes children with disabilities For example, provision regarding the exploitation of minors by prostitution clients, provisions regarding the assault of a minor or child abuse, etc.</w:t>
      </w:r>
    </w:p>
    <w:p w14:paraId="1F00067C"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For information on the National Child Online Protection Bureau (NCOPB)</w:t>
      </w:r>
      <w:r w:rsidRPr="005C149A">
        <w:rPr>
          <w:rFonts w:asciiTheme="majorBidi" w:hAnsiTheme="majorBidi" w:cstheme="majorBidi"/>
          <w:sz w:val="24"/>
          <w:szCs w:val="24"/>
          <w:shd w:val="clear" w:color="auto" w:fill="FFFFFF"/>
          <w:lang w:eastAsia="he-IL"/>
        </w:rPr>
        <w:t xml:space="preserve"> </w:t>
      </w:r>
      <w:r w:rsidR="00362CD0" w:rsidRPr="005C149A">
        <w:rPr>
          <w:rFonts w:asciiTheme="majorBidi" w:hAnsiTheme="majorBidi" w:cstheme="majorBidi"/>
          <w:sz w:val="24"/>
          <w:szCs w:val="24"/>
        </w:rPr>
        <w:t xml:space="preserve">headed by the MOPS, a Civil </w:t>
      </w:r>
      <w:r w:rsidRPr="005C149A">
        <w:rPr>
          <w:rFonts w:asciiTheme="majorBidi" w:hAnsiTheme="majorBidi" w:cstheme="majorBidi"/>
          <w:sz w:val="24"/>
          <w:szCs w:val="24"/>
        </w:rPr>
        <w:t xml:space="preserve">Police bureau dedicated to prevention of crime and violence against children and adolescents online, see Israel's Third Periodic Report to the CRC, paras. 60-61, and Annex I. For information on exploitation of children, see Israel's Third Periodic Report to the CRC, paras. 72-73 (sexual exploitation), 183-184 (economic exploitation) and 193-194 (domestic violence). </w:t>
      </w:r>
    </w:p>
    <w:p w14:paraId="5F058881" w14:textId="77777777" w:rsidR="007D56C0" w:rsidRPr="005C149A" w:rsidRDefault="00F37FC8" w:rsidP="00327130">
      <w:pPr>
        <w:pStyle w:val="Heading2"/>
        <w:spacing w:before="0" w:after="0"/>
      </w:pPr>
      <w:r w:rsidRPr="005C149A" w:rsidDel="00B70837">
        <w:t xml:space="preserve"> </w:t>
      </w:r>
      <w:bookmarkStart w:id="30" w:name="_Hlk77454894"/>
      <w:bookmarkStart w:id="31" w:name="_Hlk77454606"/>
      <w:r w:rsidR="007D56C0" w:rsidRPr="005C149A">
        <w:t>Article 18</w:t>
      </w:r>
    </w:p>
    <w:p w14:paraId="7252A550" w14:textId="77777777" w:rsidR="007D56C0" w:rsidRPr="005C149A" w:rsidRDefault="007D56C0"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32" w:name="_Toc100147402"/>
      <w:bookmarkStart w:id="33" w:name="_Toc100224053"/>
      <w:r w:rsidRPr="005C149A">
        <w:rPr>
          <w:rFonts w:asciiTheme="majorBidi" w:hAnsiTheme="majorBidi"/>
          <w:b/>
          <w:bCs/>
          <w:color w:val="auto"/>
          <w:sz w:val="24"/>
          <w:szCs w:val="24"/>
          <w:u w:val="single"/>
        </w:rPr>
        <w:t>Question 20</w:t>
      </w:r>
      <w:bookmarkEnd w:id="32"/>
      <w:bookmarkEnd w:id="33"/>
    </w:p>
    <w:p w14:paraId="679CCFD8" w14:textId="77777777" w:rsidR="007D56C0" w:rsidRPr="005C149A" w:rsidRDefault="007D56C0" w:rsidP="007D56C0">
      <w:pPr>
        <w:pStyle w:val="Heading3"/>
      </w:pPr>
      <w:r w:rsidRPr="005C149A">
        <w:t>A. Eastern Neighborhoods of Jerusalem</w:t>
      </w:r>
    </w:p>
    <w:p w14:paraId="05DE6CF6" w14:textId="5F2B182B"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Residents with disabilities in the Eastern Neighborhoods of Jerusalem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J</w:t>
      </w:r>
      <w:r w:rsidRPr="005C149A">
        <w:rPr>
          <w:rFonts w:asciiTheme="majorBidi" w:hAnsiTheme="majorBidi" w:cstheme="majorBidi"/>
          <w:sz w:val="24"/>
          <w:szCs w:val="24"/>
        </w:rPr>
        <w:t xml:space="preserve">) enjoy the liberty of movement as stipulated at Section 6 of the </w:t>
      </w:r>
      <w:r w:rsidRPr="005C149A">
        <w:rPr>
          <w:rFonts w:asciiTheme="majorBidi" w:hAnsiTheme="majorBidi" w:cstheme="majorBidi"/>
          <w:i/>
          <w:iCs/>
          <w:sz w:val="24"/>
          <w:szCs w:val="24"/>
        </w:rPr>
        <w:t xml:space="preserve">Basic Law: Human Dignity and Liberty. </w:t>
      </w:r>
    </w:p>
    <w:p w14:paraId="4106C487"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Education</w:t>
      </w:r>
    </w:p>
    <w:p w14:paraId="3BAE3A7F" w14:textId="134B2182"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There are 23 special education schools for pupils with disabilities in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J</w:t>
      </w:r>
      <w:r w:rsidRPr="005C149A">
        <w:rPr>
          <w:rFonts w:asciiTheme="majorBidi" w:hAnsiTheme="majorBidi" w:cstheme="majorBidi"/>
          <w:sz w:val="24"/>
          <w:szCs w:val="24"/>
        </w:rPr>
        <w:t>, including a local support center, which provide support for pupils according to their various disabilities. In addition, pupils attending special education settings are entitled to transportation from their homes.</w:t>
      </w:r>
    </w:p>
    <w:p w14:paraId="2606F09B"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Health Care</w:t>
      </w:r>
    </w:p>
    <w:p w14:paraId="7349354F" w14:textId="5E241E36"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eastAsia="SimSun" w:hAnsiTheme="majorBidi" w:cstheme="majorBidi"/>
          <w:sz w:val="24"/>
          <w:szCs w:val="24"/>
          <w:lang w:eastAsia="zh-CN"/>
        </w:rPr>
        <w:t xml:space="preserve">Residents living in </w:t>
      </w:r>
      <w:r w:rsidR="00567228" w:rsidRPr="005C149A">
        <w:rPr>
          <w:rFonts w:asciiTheme="majorBidi" w:eastAsia="SimSun" w:hAnsiTheme="majorBidi" w:cstheme="majorBidi"/>
          <w:sz w:val="24"/>
          <w:szCs w:val="24"/>
          <w:lang w:eastAsia="zh-CN"/>
        </w:rPr>
        <w:t>EN</w:t>
      </w:r>
      <w:r w:rsidR="00567228">
        <w:rPr>
          <w:rFonts w:asciiTheme="majorBidi" w:eastAsia="SimSun" w:hAnsiTheme="majorBidi" w:cstheme="majorBidi"/>
          <w:sz w:val="24"/>
          <w:szCs w:val="24"/>
          <w:lang w:eastAsia="zh-CN"/>
        </w:rPr>
        <w:t>O</w:t>
      </w:r>
      <w:r w:rsidR="00567228" w:rsidRPr="005C149A">
        <w:rPr>
          <w:rFonts w:asciiTheme="majorBidi" w:eastAsia="SimSun" w:hAnsiTheme="majorBidi" w:cstheme="majorBidi"/>
          <w:sz w:val="24"/>
          <w:szCs w:val="24"/>
          <w:lang w:eastAsia="zh-CN"/>
        </w:rPr>
        <w:t xml:space="preserve">J </w:t>
      </w:r>
      <w:r w:rsidRPr="005C149A">
        <w:rPr>
          <w:rFonts w:asciiTheme="majorBidi" w:eastAsia="SimSun" w:hAnsiTheme="majorBidi" w:cstheme="majorBidi"/>
          <w:sz w:val="24"/>
          <w:szCs w:val="24"/>
          <w:lang w:eastAsia="zh-CN"/>
        </w:rPr>
        <w:t xml:space="preserve">are insured </w:t>
      </w:r>
      <w:r w:rsidRPr="005C149A">
        <w:rPr>
          <w:rFonts w:asciiTheme="majorBidi" w:hAnsiTheme="majorBidi" w:cstheme="majorBidi"/>
          <w:sz w:val="24"/>
          <w:szCs w:val="24"/>
        </w:rPr>
        <w:t>under</w:t>
      </w:r>
      <w:r w:rsidRPr="005C149A">
        <w:rPr>
          <w:rFonts w:asciiTheme="majorBidi" w:eastAsia="SimSun" w:hAnsiTheme="majorBidi" w:cstheme="majorBidi"/>
          <w:sz w:val="24"/>
          <w:szCs w:val="24"/>
          <w:lang w:eastAsia="zh-CN"/>
        </w:rPr>
        <w:t xml:space="preserve"> the </w:t>
      </w:r>
      <w:r w:rsidRPr="005C149A">
        <w:rPr>
          <w:rFonts w:asciiTheme="majorBidi" w:eastAsia="SimSun" w:hAnsiTheme="majorBidi" w:cstheme="majorBidi"/>
          <w:i/>
          <w:iCs/>
          <w:sz w:val="24"/>
          <w:szCs w:val="24"/>
          <w:lang w:eastAsia="zh-CN"/>
        </w:rPr>
        <w:t xml:space="preserve">National Health Insurance Law </w:t>
      </w:r>
      <w:r w:rsidRPr="005C149A">
        <w:rPr>
          <w:rFonts w:asciiTheme="majorBidi" w:hAnsiTheme="majorBidi" w:cstheme="majorBidi"/>
          <w:sz w:val="24"/>
          <w:szCs w:val="24"/>
        </w:rPr>
        <w:t>5754-1994</w:t>
      </w:r>
      <w:r w:rsidRPr="005C149A">
        <w:rPr>
          <w:rFonts w:asciiTheme="majorBidi" w:eastAsia="SimSun" w:hAnsiTheme="majorBidi" w:cstheme="majorBidi"/>
          <w:sz w:val="24"/>
          <w:szCs w:val="24"/>
          <w:lang w:eastAsia="zh-CN"/>
        </w:rPr>
        <w:t xml:space="preserve">. HMOs </w:t>
      </w:r>
      <w:r w:rsidRPr="005C149A">
        <w:rPr>
          <w:rFonts w:asciiTheme="majorBidi" w:hAnsiTheme="majorBidi" w:cstheme="majorBidi"/>
          <w:sz w:val="24"/>
          <w:szCs w:val="24"/>
        </w:rPr>
        <w:t>branches</w:t>
      </w:r>
      <w:r w:rsidRPr="005C149A">
        <w:rPr>
          <w:rFonts w:asciiTheme="majorBidi" w:eastAsia="SimSun" w:hAnsiTheme="majorBidi" w:cstheme="majorBidi"/>
          <w:sz w:val="24"/>
          <w:szCs w:val="24"/>
          <w:lang w:eastAsia="zh-CN"/>
        </w:rPr>
        <w:t xml:space="preserve"> in the </w:t>
      </w:r>
      <w:r w:rsidR="00567228" w:rsidRPr="005C149A">
        <w:rPr>
          <w:rFonts w:asciiTheme="majorBidi" w:eastAsia="SimSun" w:hAnsiTheme="majorBidi" w:cstheme="majorBidi"/>
          <w:sz w:val="24"/>
          <w:szCs w:val="24"/>
          <w:lang w:eastAsia="zh-CN"/>
        </w:rPr>
        <w:t>EN</w:t>
      </w:r>
      <w:r w:rsidR="00567228">
        <w:rPr>
          <w:rFonts w:asciiTheme="majorBidi" w:eastAsia="SimSun" w:hAnsiTheme="majorBidi" w:cstheme="majorBidi"/>
          <w:sz w:val="24"/>
          <w:szCs w:val="24"/>
          <w:lang w:eastAsia="zh-CN"/>
        </w:rPr>
        <w:t>O</w:t>
      </w:r>
      <w:r w:rsidR="00567228" w:rsidRPr="005C149A">
        <w:rPr>
          <w:rFonts w:asciiTheme="majorBidi" w:eastAsia="SimSun" w:hAnsiTheme="majorBidi" w:cstheme="majorBidi"/>
          <w:sz w:val="24"/>
          <w:szCs w:val="24"/>
          <w:lang w:eastAsia="zh-CN"/>
        </w:rPr>
        <w:t xml:space="preserve">J </w:t>
      </w:r>
      <w:r w:rsidRPr="005C149A">
        <w:rPr>
          <w:rFonts w:asciiTheme="majorBidi" w:eastAsia="SimSun" w:hAnsiTheme="majorBidi" w:cstheme="majorBidi"/>
          <w:sz w:val="24"/>
          <w:szCs w:val="24"/>
          <w:lang w:eastAsia="zh-CN"/>
        </w:rPr>
        <w:t xml:space="preserve">that are supervised by the MOH, </w:t>
      </w:r>
      <w:r w:rsidRPr="005C149A">
        <w:rPr>
          <w:rFonts w:asciiTheme="majorBidi" w:hAnsiTheme="majorBidi" w:cstheme="majorBidi"/>
          <w:sz w:val="24"/>
          <w:szCs w:val="24"/>
        </w:rPr>
        <w:t xml:space="preserve">Makassed, St. Joseph and Augusta Victoria hospitals provide services in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 xml:space="preserve">J </w:t>
      </w:r>
      <w:r w:rsidRPr="005C149A">
        <w:rPr>
          <w:rFonts w:asciiTheme="majorBidi" w:hAnsiTheme="majorBidi" w:cstheme="majorBidi"/>
          <w:sz w:val="24"/>
          <w:szCs w:val="24"/>
        </w:rPr>
        <w:t>with the support of the MOH.</w:t>
      </w:r>
    </w:p>
    <w:p w14:paraId="5A8F1115"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Transportation</w:t>
      </w:r>
    </w:p>
    <w:p w14:paraId="3D8F365C" w14:textId="08BE7E9B"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On January 29, 2019, the HCJ rejected a petition of the organization 'Bizchut - Center for Human Rights for PWD'</w:t>
      </w:r>
      <w:r w:rsidRPr="005C149A">
        <w:rPr>
          <w:rFonts w:asciiTheme="majorBidi" w:hAnsiTheme="majorBidi" w:cstheme="majorBidi"/>
          <w:i/>
          <w:iCs/>
          <w:sz w:val="24"/>
          <w:szCs w:val="24"/>
        </w:rPr>
        <w:t xml:space="preserve"> </w:t>
      </w:r>
      <w:r w:rsidRPr="005C149A">
        <w:rPr>
          <w:rFonts w:asciiTheme="majorBidi" w:hAnsiTheme="majorBidi" w:cstheme="majorBidi"/>
          <w:sz w:val="24"/>
          <w:szCs w:val="24"/>
        </w:rPr>
        <w:t xml:space="preserve">on the lack of accessibility of public transportation in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J</w:t>
      </w:r>
      <w:r w:rsidRPr="005C149A">
        <w:rPr>
          <w:rFonts w:asciiTheme="majorBidi" w:hAnsiTheme="majorBidi" w:cstheme="majorBidi"/>
          <w:sz w:val="24"/>
          <w:szCs w:val="24"/>
        </w:rPr>
        <w:t xml:space="preserve">. Alongside and during the Court proceedings, the MOT conducted work to gradually make public transportation in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 xml:space="preserve">J </w:t>
      </w:r>
      <w:r w:rsidRPr="005C149A">
        <w:rPr>
          <w:rFonts w:asciiTheme="majorBidi" w:hAnsiTheme="majorBidi" w:cstheme="majorBidi"/>
          <w:sz w:val="24"/>
          <w:szCs w:val="24"/>
        </w:rPr>
        <w:t xml:space="preserve">more accessible. Due to the significant progress made by the MOT in this regard, and noting the complex nature of the area, the Court rejected the petition, however, it charged the Respondent with the Court fees due to the great contribution of the Petitioner towards achieving accessible solutions (H.C.J. 4267/16, </w:t>
      </w:r>
      <w:r w:rsidRPr="005C149A">
        <w:rPr>
          <w:rFonts w:asciiTheme="majorBidi" w:hAnsiTheme="majorBidi" w:cstheme="majorBidi"/>
          <w:i/>
          <w:iCs/>
          <w:sz w:val="24"/>
          <w:szCs w:val="24"/>
        </w:rPr>
        <w:t xml:space="preserve">Bizchut </w:t>
      </w:r>
      <w:r w:rsidRPr="005C149A">
        <w:rPr>
          <w:rFonts w:asciiTheme="majorBidi" w:hAnsiTheme="majorBidi" w:cstheme="majorBidi"/>
          <w:i/>
          <w:iCs/>
          <w:sz w:val="24"/>
          <w:szCs w:val="24"/>
          <w:rtl/>
        </w:rPr>
        <w:t>-</w:t>
      </w:r>
      <w:r w:rsidRPr="005C149A">
        <w:rPr>
          <w:rFonts w:asciiTheme="majorBidi" w:hAnsiTheme="majorBidi" w:cstheme="majorBidi"/>
          <w:i/>
          <w:iCs/>
          <w:sz w:val="24"/>
          <w:szCs w:val="24"/>
        </w:rPr>
        <w:t xml:space="preserve"> Center for Human Rights for PWD v. The Ministry of Transportation et. al.</w:t>
      </w:r>
      <w:r w:rsidRPr="005C149A">
        <w:rPr>
          <w:rFonts w:asciiTheme="majorBidi" w:hAnsiTheme="majorBidi" w:cstheme="majorBidi"/>
          <w:sz w:val="24"/>
          <w:szCs w:val="24"/>
        </w:rPr>
        <w:t xml:space="preserve"> (29.01.2019)).</w:t>
      </w:r>
    </w:p>
    <w:p w14:paraId="3A253832" w14:textId="0F0BA69A"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tl/>
        </w:rPr>
      </w:pPr>
      <w:r w:rsidRPr="005C149A">
        <w:rPr>
          <w:rFonts w:asciiTheme="majorBidi" w:hAnsiTheme="majorBidi" w:cstheme="majorBidi"/>
          <w:sz w:val="24"/>
          <w:szCs w:val="24"/>
        </w:rPr>
        <w:t xml:space="preserve">As of 2021, the MOT noted that municipal transportation services in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 xml:space="preserve">J </w:t>
      </w:r>
      <w:r w:rsidRPr="005C149A">
        <w:rPr>
          <w:rFonts w:asciiTheme="majorBidi" w:hAnsiTheme="majorBidi" w:cstheme="majorBidi"/>
          <w:sz w:val="24"/>
          <w:szCs w:val="24"/>
        </w:rPr>
        <w:t xml:space="preserve">are physically and sensory accessible, and inter-city buses are sensory accessible.  The MOT initiated a project to improve accessibility of bus stops and central stations by the end of the year 2022. </w:t>
      </w:r>
    </w:p>
    <w:p w14:paraId="40E9A8A9" w14:textId="4D030E74" w:rsidR="00F37FC8" w:rsidRPr="005C149A" w:rsidRDefault="00F37FC8" w:rsidP="0056722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Social Services in </w:t>
      </w:r>
      <w:r w:rsidR="00567228" w:rsidRPr="005C149A">
        <w:rPr>
          <w:rFonts w:asciiTheme="majorBidi" w:hAnsiTheme="majorBidi" w:cstheme="majorBidi"/>
          <w:sz w:val="24"/>
          <w:szCs w:val="24"/>
          <w:u w:val="single"/>
        </w:rPr>
        <w:t>EN</w:t>
      </w:r>
      <w:r w:rsidR="00567228">
        <w:rPr>
          <w:rFonts w:asciiTheme="majorBidi" w:hAnsiTheme="majorBidi" w:cstheme="majorBidi"/>
          <w:sz w:val="24"/>
          <w:szCs w:val="24"/>
          <w:u w:val="single"/>
        </w:rPr>
        <w:t>O</w:t>
      </w:r>
      <w:r w:rsidR="00567228" w:rsidRPr="005C149A">
        <w:rPr>
          <w:rFonts w:asciiTheme="majorBidi" w:hAnsiTheme="majorBidi" w:cstheme="majorBidi"/>
          <w:sz w:val="24"/>
          <w:szCs w:val="24"/>
          <w:u w:val="single"/>
        </w:rPr>
        <w:t>J</w:t>
      </w:r>
    </w:p>
    <w:p w14:paraId="5EF834B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lang w:val="en"/>
        </w:rPr>
      </w:pPr>
      <w:r w:rsidRPr="005C149A">
        <w:rPr>
          <w:rFonts w:asciiTheme="majorBidi" w:hAnsiTheme="majorBidi" w:cstheme="majorBidi"/>
          <w:sz w:val="24"/>
          <w:szCs w:val="24"/>
          <w:lang w:val="en"/>
        </w:rPr>
        <w:t xml:space="preserve">Services are available to all </w:t>
      </w:r>
      <w:r w:rsidRPr="005C149A">
        <w:rPr>
          <w:rFonts w:asciiTheme="majorBidi" w:hAnsiTheme="majorBidi" w:cstheme="majorBidi"/>
          <w:sz w:val="24"/>
          <w:szCs w:val="24"/>
        </w:rPr>
        <w:t>residents</w:t>
      </w:r>
      <w:r w:rsidRPr="005C149A">
        <w:rPr>
          <w:rFonts w:asciiTheme="majorBidi" w:hAnsiTheme="majorBidi" w:cstheme="majorBidi"/>
          <w:sz w:val="24"/>
          <w:szCs w:val="24"/>
          <w:lang w:val="en"/>
        </w:rPr>
        <w:t xml:space="preserve"> of the </w:t>
      </w:r>
      <w:r w:rsidRPr="005C149A">
        <w:rPr>
          <w:rFonts w:asciiTheme="majorBidi" w:hAnsiTheme="majorBidi" w:cstheme="majorBidi"/>
          <w:sz w:val="24"/>
          <w:szCs w:val="24"/>
        </w:rPr>
        <w:t>Jerusalem</w:t>
      </w:r>
      <w:r w:rsidRPr="005C149A">
        <w:rPr>
          <w:rFonts w:asciiTheme="majorBidi" w:hAnsiTheme="majorBidi" w:cstheme="majorBidi"/>
          <w:sz w:val="24"/>
          <w:szCs w:val="24"/>
          <w:lang w:val="en"/>
        </w:rPr>
        <w:t xml:space="preserve"> municipal area with a valid residence permit or those who have applied for family reunification and are in possession of a Ministry ID number while their application is being processed. Residents of the Jerusalem municipal area who do not meet the above criteria are still able to access emergency treatment when required. At present, the Jerusalem Social Services Department provides services to 1,155 individuals with Palestinian IDs, and a further 183 individuals with only Ministry ID numbers.</w:t>
      </w:r>
    </w:p>
    <w:p w14:paraId="730AF15F" w14:textId="1C10A2D7"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lang w:val="en"/>
        </w:rPr>
        <w:t>T</w:t>
      </w:r>
      <w:r w:rsidRPr="005C149A">
        <w:rPr>
          <w:rFonts w:asciiTheme="majorBidi" w:hAnsiTheme="majorBidi" w:cstheme="majorBidi"/>
          <w:sz w:val="24"/>
          <w:szCs w:val="24"/>
        </w:rPr>
        <w:t xml:space="preserve">he social service budget for the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 xml:space="preserve">J </w:t>
      </w:r>
      <w:r w:rsidRPr="005C149A">
        <w:rPr>
          <w:rFonts w:asciiTheme="majorBidi" w:hAnsiTheme="majorBidi" w:cstheme="majorBidi"/>
          <w:sz w:val="24"/>
          <w:szCs w:val="24"/>
        </w:rPr>
        <w:t xml:space="preserve">has grown significantly in the past few years, which allowed increase of staff numbers, the amount of spaces for service users, the number of institutions, and the number of plans for further services being developed. As of December 2021, there are eight (8) service stations and the ninth is in advanced stages, the number of social workers working in the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 xml:space="preserve">J </w:t>
      </w:r>
      <w:r w:rsidRPr="005C149A">
        <w:rPr>
          <w:rFonts w:asciiTheme="majorBidi" w:hAnsiTheme="majorBidi" w:cstheme="majorBidi"/>
          <w:sz w:val="24"/>
          <w:szCs w:val="24"/>
        </w:rPr>
        <w:t>is currently 157 - an increase of 67% in only four (4) years.</w:t>
      </w:r>
    </w:p>
    <w:p w14:paraId="05DABFC1" w14:textId="5889028D"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accordance with the Five (5)-Year National Plan</w:t>
      </w:r>
      <w:r w:rsidRPr="005C149A">
        <w:rPr>
          <w:rFonts w:asciiTheme="majorBidi" w:hAnsiTheme="majorBidi" w:cstheme="majorBidi"/>
          <w:sz w:val="24"/>
          <w:szCs w:val="24"/>
          <w:rtl/>
        </w:rPr>
        <w:t xml:space="preserve"> </w:t>
      </w:r>
      <w:r w:rsidRPr="005C149A">
        <w:rPr>
          <w:rFonts w:asciiTheme="majorBidi" w:hAnsiTheme="majorBidi" w:cstheme="majorBidi"/>
          <w:sz w:val="24"/>
          <w:szCs w:val="24"/>
        </w:rPr>
        <w:t xml:space="preserve">for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J</w:t>
      </w:r>
      <w:r w:rsidRPr="005C149A">
        <w:rPr>
          <w:rFonts w:asciiTheme="majorBidi" w:hAnsiTheme="majorBidi" w:cstheme="majorBidi"/>
          <w:sz w:val="24"/>
          <w:szCs w:val="24"/>
        </w:rPr>
        <w:t xml:space="preserve">, 45 social service programs were either created or expanded in the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J</w:t>
      </w:r>
      <w:r w:rsidRPr="005C149A">
        <w:rPr>
          <w:rFonts w:asciiTheme="majorBidi" w:hAnsiTheme="majorBidi" w:cstheme="majorBidi"/>
          <w:sz w:val="24"/>
          <w:szCs w:val="24"/>
        </w:rPr>
        <w:t>, at a total cost of 20</w:t>
      </w:r>
      <w:r w:rsidRPr="005C149A">
        <w:rPr>
          <w:rFonts w:asciiTheme="majorBidi" w:hAnsiTheme="majorBidi" w:cstheme="majorBidi"/>
          <w:sz w:val="24"/>
          <w:szCs w:val="24"/>
          <w:rtl/>
          <w:lang w:eastAsia="he-IL"/>
        </w:rPr>
        <w:t>.</w:t>
      </w:r>
      <w:r w:rsidRPr="005C149A">
        <w:rPr>
          <w:rFonts w:asciiTheme="majorBidi" w:hAnsiTheme="majorBidi" w:cstheme="majorBidi"/>
          <w:sz w:val="24"/>
          <w:szCs w:val="24"/>
        </w:rPr>
        <w:t xml:space="preserve">3 Million NIS (5.6 Million USD) across the five (5) years. </w:t>
      </w:r>
    </w:p>
    <w:p w14:paraId="33FAF481" w14:textId="5C1B716A" w:rsidR="00F37FC8" w:rsidRPr="005C149A" w:rsidRDefault="00F37FC8" w:rsidP="0056722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There are 18 social day care centers for the elderly community run by the MOWSA in the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 xml:space="preserve">J </w:t>
      </w:r>
      <w:r w:rsidRPr="005C149A">
        <w:rPr>
          <w:rFonts w:asciiTheme="majorBidi" w:hAnsiTheme="majorBidi" w:cstheme="majorBidi"/>
          <w:sz w:val="24"/>
          <w:szCs w:val="24"/>
        </w:rPr>
        <w:t xml:space="preserve">with 450 regular participants. These centers are designated to create a sense of community and to offer a solution to feelings of loneliness that can be prevalent among the elderly. Furthermore, the Ministry runs six (6) "Mofet" day centers in the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J</w:t>
      </w:r>
      <w:r w:rsidRPr="005C149A">
        <w:rPr>
          <w:rFonts w:asciiTheme="majorBidi" w:hAnsiTheme="majorBidi" w:cstheme="majorBidi"/>
          <w:sz w:val="24"/>
          <w:szCs w:val="24"/>
        </w:rPr>
        <w:t xml:space="preserve">, which provide food assistance to senior citizens. Approximately 70 senior citizens attend clubs based in the </w:t>
      </w:r>
      <w:r w:rsidR="00567228" w:rsidRPr="005C149A">
        <w:rPr>
          <w:rFonts w:asciiTheme="majorBidi" w:hAnsiTheme="majorBidi" w:cstheme="majorBidi"/>
          <w:sz w:val="24"/>
          <w:szCs w:val="24"/>
        </w:rPr>
        <w:t>EN</w:t>
      </w:r>
      <w:r w:rsidR="00567228">
        <w:rPr>
          <w:rFonts w:asciiTheme="majorBidi" w:hAnsiTheme="majorBidi" w:cstheme="majorBidi"/>
          <w:sz w:val="24"/>
          <w:szCs w:val="24"/>
        </w:rPr>
        <w:t>O</w:t>
      </w:r>
      <w:r w:rsidR="00567228" w:rsidRPr="005C149A">
        <w:rPr>
          <w:rFonts w:asciiTheme="majorBidi" w:hAnsiTheme="majorBidi" w:cstheme="majorBidi"/>
          <w:sz w:val="24"/>
          <w:szCs w:val="24"/>
        </w:rPr>
        <w:t>J</w:t>
      </w:r>
      <w:r w:rsidRPr="005C149A">
        <w:rPr>
          <w:rFonts w:asciiTheme="majorBidi" w:hAnsiTheme="majorBidi" w:cstheme="majorBidi"/>
          <w:sz w:val="24"/>
          <w:szCs w:val="24"/>
        </w:rPr>
        <w:t>. In addition, in 2021, 400 senior citizens were taken to outer-home activities by the Municipality Welfare Department. In addition, in the frame of the "golden shield" program, 480 senior citizens received financial assistance for food and electricity products.</w:t>
      </w:r>
    </w:p>
    <w:bookmarkEnd w:id="30"/>
    <w:p w14:paraId="3D82C4D7" w14:textId="77777777" w:rsidR="00F37FC8" w:rsidRPr="005C149A" w:rsidRDefault="007D56C0" w:rsidP="00327130">
      <w:pPr>
        <w:pStyle w:val="Heading2"/>
        <w:spacing w:before="0" w:after="0"/>
      </w:pPr>
      <w:r w:rsidRPr="005C149A">
        <w:t>Article 19</w:t>
      </w:r>
    </w:p>
    <w:p w14:paraId="5CC64CFC"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34" w:name="_Toc100224054"/>
      <w:r w:rsidRPr="005C149A">
        <w:rPr>
          <w:rFonts w:asciiTheme="majorBidi" w:hAnsiTheme="majorBidi"/>
          <w:b/>
          <w:bCs/>
          <w:color w:val="auto"/>
          <w:sz w:val="24"/>
          <w:szCs w:val="24"/>
          <w:u w:val="single"/>
        </w:rPr>
        <w:t>Question 21</w:t>
      </w:r>
      <w:bookmarkEnd w:id="34"/>
    </w:p>
    <w:p w14:paraId="3E845A6E" w14:textId="77777777" w:rsidR="007D56C0" w:rsidRPr="00953FFC" w:rsidRDefault="007D56C0" w:rsidP="000423C8">
      <w:pPr>
        <w:pStyle w:val="Heading3"/>
      </w:pPr>
      <w:r w:rsidRPr="00953FFC">
        <w:t xml:space="preserve">A. The </w:t>
      </w:r>
      <w:r w:rsidR="000423C8">
        <w:t>C</w:t>
      </w:r>
      <w:r w:rsidRPr="00953FFC">
        <w:t xml:space="preserve">hoice of </w:t>
      </w:r>
      <w:r w:rsidR="000423C8">
        <w:t>P</w:t>
      </w:r>
      <w:r w:rsidRPr="00953FFC">
        <w:t xml:space="preserve">lace of </w:t>
      </w:r>
      <w:r w:rsidR="000423C8">
        <w:t>R</w:t>
      </w:r>
      <w:r w:rsidRPr="00953FFC">
        <w:t>esidence</w:t>
      </w:r>
    </w:p>
    <w:p w14:paraId="768E039A" w14:textId="77777777" w:rsidR="00F37FC8" w:rsidRPr="007D56C0" w:rsidRDefault="00F37FC8" w:rsidP="002D3CE5">
      <w:pPr>
        <w:bidi w:val="0"/>
        <w:spacing w:after="0" w:line="360" w:lineRule="auto"/>
        <w:jc w:val="both"/>
        <w:rPr>
          <w:rFonts w:asciiTheme="majorBidi" w:hAnsiTheme="majorBidi" w:cstheme="majorBidi"/>
          <w:sz w:val="24"/>
          <w:szCs w:val="24"/>
          <w:u w:val="single"/>
        </w:rPr>
      </w:pPr>
      <w:r w:rsidRPr="007D56C0">
        <w:rPr>
          <w:rFonts w:asciiTheme="majorBidi" w:hAnsiTheme="majorBidi" w:cstheme="majorBidi"/>
          <w:sz w:val="24"/>
          <w:szCs w:val="24"/>
          <w:u w:val="single"/>
        </w:rPr>
        <w:t>Out-of-home Placement Data</w:t>
      </w:r>
    </w:p>
    <w:p w14:paraId="412D1C63" w14:textId="23DAE226" w:rsidR="00F37FC8" w:rsidRPr="00B105DF" w:rsidRDefault="00D11EFA" w:rsidP="000C3BD3">
      <w:pPr>
        <w:bidi w:val="0"/>
        <w:spacing w:after="120" w:line="360" w:lineRule="auto"/>
        <w:jc w:val="center"/>
        <w:rPr>
          <w:rFonts w:asciiTheme="majorBidi" w:hAnsiTheme="majorBidi" w:cstheme="majorBidi"/>
          <w:b/>
          <w:bCs/>
          <w:sz w:val="24"/>
          <w:szCs w:val="24"/>
          <w:u w:val="single"/>
        </w:rPr>
      </w:pPr>
      <w:r>
        <w:rPr>
          <w:rFonts w:asciiTheme="majorBidi" w:hAnsiTheme="majorBidi" w:cstheme="majorBidi"/>
          <w:b/>
          <w:bCs/>
          <w:sz w:val="24"/>
          <w:szCs w:val="24"/>
          <w:u w:val="single"/>
        </w:rPr>
        <w:t>Table N</w:t>
      </w:r>
      <w:r w:rsidR="00B105DF" w:rsidRPr="00B105DF">
        <w:rPr>
          <w:rFonts w:asciiTheme="majorBidi" w:hAnsiTheme="majorBidi" w:cstheme="majorBidi"/>
          <w:b/>
          <w:bCs/>
          <w:sz w:val="24"/>
          <w:szCs w:val="24"/>
          <w:u w:val="single"/>
        </w:rPr>
        <w:t xml:space="preserve">o. 2 - Out-of-home </w:t>
      </w:r>
      <w:r w:rsidR="00B105DF">
        <w:rPr>
          <w:rFonts w:asciiTheme="majorBidi" w:hAnsiTheme="majorBidi" w:cstheme="majorBidi"/>
          <w:b/>
          <w:bCs/>
          <w:sz w:val="24"/>
          <w:szCs w:val="24"/>
          <w:u w:val="single"/>
        </w:rPr>
        <w:t>P</w:t>
      </w:r>
      <w:r w:rsidR="00F37FC8" w:rsidRPr="00B105DF">
        <w:rPr>
          <w:rFonts w:asciiTheme="majorBidi" w:hAnsiTheme="majorBidi" w:cstheme="majorBidi"/>
          <w:b/>
          <w:bCs/>
          <w:sz w:val="24"/>
          <w:szCs w:val="24"/>
          <w:u w:val="single"/>
        </w:rPr>
        <w:t xml:space="preserve">lacement </w:t>
      </w:r>
      <w:r w:rsidR="00B105DF" w:rsidRPr="00B105DF">
        <w:rPr>
          <w:rFonts w:asciiTheme="majorBidi" w:hAnsiTheme="majorBidi" w:cstheme="majorBidi"/>
          <w:b/>
          <w:bCs/>
          <w:sz w:val="24"/>
          <w:szCs w:val="24"/>
          <w:u w:val="single"/>
        </w:rPr>
        <w:t xml:space="preserve">by </w:t>
      </w:r>
      <w:r w:rsidR="000C3BD3">
        <w:rPr>
          <w:rFonts w:asciiTheme="majorBidi" w:hAnsiTheme="majorBidi" w:cstheme="majorBidi"/>
          <w:b/>
          <w:bCs/>
          <w:sz w:val="24"/>
          <w:szCs w:val="24"/>
          <w:u w:val="single"/>
        </w:rPr>
        <w:t>T</w:t>
      </w:r>
      <w:r w:rsidR="00B44BE2">
        <w:rPr>
          <w:rFonts w:asciiTheme="majorBidi" w:hAnsiTheme="majorBidi" w:cstheme="majorBidi"/>
          <w:b/>
          <w:bCs/>
          <w:sz w:val="24"/>
          <w:szCs w:val="24"/>
          <w:u w:val="single"/>
        </w:rPr>
        <w:t xml:space="preserve">he </w:t>
      </w:r>
      <w:r w:rsidR="00B105DF" w:rsidRPr="00B105DF">
        <w:rPr>
          <w:rFonts w:asciiTheme="majorBidi" w:hAnsiTheme="majorBidi" w:cstheme="majorBidi"/>
          <w:b/>
          <w:bCs/>
          <w:sz w:val="24"/>
          <w:szCs w:val="24"/>
          <w:u w:val="single"/>
        </w:rPr>
        <w:t>MOWSA according to</w:t>
      </w:r>
      <w:r w:rsidR="00F37FC8" w:rsidRPr="00B105DF">
        <w:rPr>
          <w:rFonts w:asciiTheme="majorBidi" w:hAnsiTheme="majorBidi" w:cstheme="majorBidi"/>
          <w:b/>
          <w:bCs/>
          <w:sz w:val="24"/>
          <w:szCs w:val="24"/>
          <w:u w:val="single"/>
        </w:rPr>
        <w:t xml:space="preserve"> </w:t>
      </w:r>
      <w:r w:rsidR="00B105DF">
        <w:rPr>
          <w:rFonts w:asciiTheme="majorBidi" w:hAnsiTheme="majorBidi" w:cstheme="majorBidi"/>
          <w:b/>
          <w:bCs/>
          <w:sz w:val="24"/>
          <w:szCs w:val="24"/>
          <w:u w:val="single"/>
        </w:rPr>
        <w:t>T</w:t>
      </w:r>
      <w:r w:rsidR="00F37FC8" w:rsidRPr="00B105DF">
        <w:rPr>
          <w:rFonts w:asciiTheme="majorBidi" w:hAnsiTheme="majorBidi" w:cstheme="majorBidi"/>
          <w:b/>
          <w:bCs/>
          <w:sz w:val="24"/>
          <w:szCs w:val="24"/>
          <w:u w:val="single"/>
        </w:rPr>
        <w:t xml:space="preserve">ype of </w:t>
      </w:r>
      <w:r w:rsidR="00B105DF">
        <w:rPr>
          <w:rFonts w:asciiTheme="majorBidi" w:hAnsiTheme="majorBidi" w:cstheme="majorBidi"/>
          <w:b/>
          <w:bCs/>
          <w:sz w:val="24"/>
          <w:szCs w:val="24"/>
          <w:u w:val="single"/>
        </w:rPr>
        <w:t>L</w:t>
      </w:r>
      <w:r w:rsidR="00F37FC8" w:rsidRPr="00B105DF">
        <w:rPr>
          <w:rFonts w:asciiTheme="majorBidi" w:hAnsiTheme="majorBidi" w:cstheme="majorBidi"/>
          <w:b/>
          <w:bCs/>
          <w:sz w:val="24"/>
          <w:szCs w:val="24"/>
          <w:u w:val="single"/>
        </w:rPr>
        <w:t xml:space="preserve">iving </w:t>
      </w:r>
      <w:r w:rsidR="00B105DF">
        <w:rPr>
          <w:rFonts w:asciiTheme="majorBidi" w:hAnsiTheme="majorBidi" w:cstheme="majorBidi"/>
          <w:b/>
          <w:bCs/>
          <w:sz w:val="24"/>
          <w:szCs w:val="24"/>
          <w:u w:val="single"/>
        </w:rPr>
        <w:t>A</w:t>
      </w:r>
      <w:r w:rsidR="00F37FC8" w:rsidRPr="00B105DF">
        <w:rPr>
          <w:rFonts w:asciiTheme="majorBidi" w:hAnsiTheme="majorBidi" w:cstheme="majorBidi"/>
          <w:b/>
          <w:bCs/>
          <w:sz w:val="24"/>
          <w:szCs w:val="24"/>
          <w:u w:val="single"/>
        </w:rPr>
        <w:t>rrangement:</w:t>
      </w:r>
    </w:p>
    <w:tbl>
      <w:tblPr>
        <w:tblStyle w:val="TableGrid"/>
        <w:tblW w:w="8359" w:type="dxa"/>
        <w:tblLook w:val="04A0" w:firstRow="1" w:lastRow="0" w:firstColumn="1" w:lastColumn="0" w:noHBand="0" w:noVBand="1"/>
      </w:tblPr>
      <w:tblGrid>
        <w:gridCol w:w="638"/>
        <w:gridCol w:w="1323"/>
        <w:gridCol w:w="2287"/>
        <w:gridCol w:w="1984"/>
        <w:gridCol w:w="2127"/>
      </w:tblGrid>
      <w:tr w:rsidR="00D77095" w:rsidRPr="00E83D53" w14:paraId="0CD0B502" w14:textId="77777777" w:rsidTr="00D77095">
        <w:trPr>
          <w:trHeight w:val="714"/>
        </w:trPr>
        <w:tc>
          <w:tcPr>
            <w:tcW w:w="638" w:type="dxa"/>
            <w:vMerge w:val="restart"/>
            <w:shd w:val="clear" w:color="auto" w:fill="D9D9D9" w:themeFill="background1" w:themeFillShade="D9"/>
            <w:vAlign w:val="center"/>
          </w:tcPr>
          <w:p w14:paraId="7AA6DC1A" w14:textId="77777777" w:rsidR="00D77095" w:rsidRPr="00E83D53" w:rsidRDefault="00D77095" w:rsidP="00B105DF">
            <w:pPr>
              <w:bidi w:val="0"/>
              <w:jc w:val="center"/>
              <w:rPr>
                <w:rFonts w:asciiTheme="majorBidi" w:hAnsiTheme="majorBidi" w:cstheme="majorBidi"/>
                <w:b/>
                <w:bCs/>
                <w:sz w:val="20"/>
                <w:szCs w:val="20"/>
              </w:rPr>
            </w:pPr>
            <w:r w:rsidRPr="00E83D53">
              <w:rPr>
                <w:rFonts w:asciiTheme="majorBidi" w:hAnsiTheme="majorBidi" w:cstheme="majorBidi"/>
                <w:b/>
                <w:bCs/>
                <w:sz w:val="20"/>
                <w:szCs w:val="20"/>
              </w:rPr>
              <w:t>Year</w:t>
            </w:r>
          </w:p>
        </w:tc>
        <w:tc>
          <w:tcPr>
            <w:tcW w:w="3610" w:type="dxa"/>
            <w:gridSpan w:val="2"/>
            <w:shd w:val="clear" w:color="auto" w:fill="D9D9D9" w:themeFill="background1" w:themeFillShade="D9"/>
            <w:vAlign w:val="center"/>
          </w:tcPr>
          <w:p w14:paraId="6E56BEFD" w14:textId="77777777" w:rsidR="00D77095" w:rsidRPr="00E83D53" w:rsidRDefault="00D77095" w:rsidP="00B105DF">
            <w:pPr>
              <w:bidi w:val="0"/>
              <w:jc w:val="center"/>
              <w:rPr>
                <w:rFonts w:asciiTheme="majorBidi" w:hAnsiTheme="majorBidi" w:cstheme="majorBidi"/>
                <w:b/>
                <w:bCs/>
                <w:sz w:val="20"/>
                <w:szCs w:val="20"/>
              </w:rPr>
            </w:pPr>
            <w:r w:rsidRPr="00E83D53">
              <w:rPr>
                <w:rFonts w:asciiTheme="majorBidi" w:hAnsiTheme="majorBidi" w:cstheme="majorBidi"/>
                <w:b/>
                <w:bCs/>
                <w:sz w:val="20"/>
                <w:szCs w:val="20"/>
              </w:rPr>
              <w:t>Living in the Community</w:t>
            </w:r>
          </w:p>
        </w:tc>
        <w:tc>
          <w:tcPr>
            <w:tcW w:w="1984" w:type="dxa"/>
            <w:shd w:val="clear" w:color="auto" w:fill="D9D9D9" w:themeFill="background1" w:themeFillShade="D9"/>
            <w:vAlign w:val="center"/>
          </w:tcPr>
          <w:p w14:paraId="10E9DF55" w14:textId="77777777" w:rsidR="00D77095" w:rsidRPr="00E83D53" w:rsidRDefault="00D77095" w:rsidP="00362CD0">
            <w:pPr>
              <w:bidi w:val="0"/>
              <w:jc w:val="center"/>
              <w:rPr>
                <w:rFonts w:asciiTheme="majorBidi" w:hAnsiTheme="majorBidi" w:cstheme="majorBidi"/>
                <w:b/>
                <w:bCs/>
                <w:sz w:val="20"/>
                <w:szCs w:val="20"/>
              </w:rPr>
            </w:pPr>
            <w:r w:rsidRPr="00E83D53">
              <w:rPr>
                <w:rFonts w:asciiTheme="majorBidi" w:hAnsiTheme="majorBidi" w:cstheme="majorBidi"/>
                <w:b/>
                <w:bCs/>
                <w:sz w:val="20"/>
                <w:szCs w:val="20"/>
              </w:rPr>
              <w:t>Full</w:t>
            </w:r>
            <w:r w:rsidR="00362CD0">
              <w:rPr>
                <w:rFonts w:asciiTheme="majorBidi" w:hAnsiTheme="majorBidi" w:cstheme="majorBidi"/>
                <w:b/>
                <w:bCs/>
                <w:sz w:val="20"/>
                <w:szCs w:val="20"/>
              </w:rPr>
              <w:t>-</w:t>
            </w:r>
            <w:r w:rsidRPr="00E83D53">
              <w:rPr>
                <w:rFonts w:asciiTheme="majorBidi" w:hAnsiTheme="majorBidi" w:cstheme="majorBidi"/>
                <w:b/>
                <w:bCs/>
                <w:sz w:val="20"/>
                <w:szCs w:val="20"/>
              </w:rPr>
              <w:t>care Large Residential Facilities</w:t>
            </w:r>
            <w:r>
              <w:rPr>
                <w:rFonts w:asciiTheme="majorBidi" w:hAnsiTheme="majorBidi" w:cstheme="majorBidi"/>
                <w:b/>
                <w:bCs/>
                <w:sz w:val="20"/>
                <w:szCs w:val="20"/>
              </w:rPr>
              <w:t xml:space="preserve"> </w:t>
            </w:r>
          </w:p>
        </w:tc>
        <w:tc>
          <w:tcPr>
            <w:tcW w:w="2127" w:type="dxa"/>
            <w:vMerge w:val="restart"/>
            <w:shd w:val="clear" w:color="auto" w:fill="D9D9D9" w:themeFill="background1" w:themeFillShade="D9"/>
            <w:vAlign w:val="center"/>
          </w:tcPr>
          <w:p w14:paraId="7729773F" w14:textId="77777777" w:rsidR="00D77095" w:rsidRPr="00E83D53" w:rsidRDefault="00D77095" w:rsidP="00B105DF">
            <w:pPr>
              <w:bidi w:val="0"/>
              <w:jc w:val="center"/>
              <w:rPr>
                <w:rFonts w:asciiTheme="majorBidi" w:hAnsiTheme="majorBidi" w:cstheme="majorBidi"/>
                <w:b/>
                <w:bCs/>
                <w:sz w:val="20"/>
                <w:szCs w:val="20"/>
              </w:rPr>
            </w:pPr>
            <w:r w:rsidRPr="00E83D53">
              <w:rPr>
                <w:rFonts w:asciiTheme="majorBidi" w:hAnsiTheme="majorBidi" w:cstheme="majorBidi"/>
                <w:b/>
                <w:bCs/>
                <w:sz w:val="20"/>
                <w:szCs w:val="20"/>
              </w:rPr>
              <w:t>Total</w:t>
            </w:r>
          </w:p>
        </w:tc>
      </w:tr>
      <w:tr w:rsidR="00D77095" w:rsidRPr="00E83D53" w14:paraId="7B6B5EAF" w14:textId="77777777" w:rsidTr="00D77095">
        <w:tc>
          <w:tcPr>
            <w:tcW w:w="638" w:type="dxa"/>
            <w:vMerge/>
            <w:vAlign w:val="center"/>
          </w:tcPr>
          <w:p w14:paraId="3DBCD0CA" w14:textId="77777777" w:rsidR="00D77095" w:rsidRPr="00E83D53" w:rsidRDefault="00D77095" w:rsidP="00B105DF">
            <w:pPr>
              <w:bidi w:val="0"/>
              <w:jc w:val="center"/>
              <w:rPr>
                <w:rFonts w:asciiTheme="majorBidi" w:hAnsiTheme="majorBidi" w:cstheme="majorBidi"/>
                <w:sz w:val="20"/>
                <w:szCs w:val="20"/>
              </w:rPr>
            </w:pPr>
          </w:p>
        </w:tc>
        <w:tc>
          <w:tcPr>
            <w:tcW w:w="1323" w:type="dxa"/>
            <w:shd w:val="clear" w:color="auto" w:fill="D9D9D9" w:themeFill="background1" w:themeFillShade="D9"/>
            <w:vAlign w:val="center"/>
          </w:tcPr>
          <w:p w14:paraId="0FA29EAA" w14:textId="77777777" w:rsidR="00D77095" w:rsidRPr="00E83D53" w:rsidRDefault="00D77095" w:rsidP="00B105DF">
            <w:pPr>
              <w:bidi w:val="0"/>
              <w:jc w:val="center"/>
              <w:rPr>
                <w:rFonts w:asciiTheme="majorBidi" w:hAnsiTheme="majorBidi" w:cstheme="majorBidi"/>
                <w:sz w:val="20"/>
                <w:szCs w:val="20"/>
              </w:rPr>
            </w:pPr>
            <w:r w:rsidRPr="00E83D53">
              <w:rPr>
                <w:rFonts w:asciiTheme="majorBidi" w:hAnsiTheme="majorBidi" w:cstheme="majorBidi"/>
                <w:sz w:val="20"/>
                <w:szCs w:val="20"/>
              </w:rPr>
              <w:t>Residential Facilities of 7-18 Persons</w:t>
            </w:r>
          </w:p>
        </w:tc>
        <w:tc>
          <w:tcPr>
            <w:tcW w:w="2287" w:type="dxa"/>
            <w:shd w:val="clear" w:color="auto" w:fill="D9D9D9" w:themeFill="background1" w:themeFillShade="D9"/>
            <w:vAlign w:val="center"/>
          </w:tcPr>
          <w:p w14:paraId="6CADABF5" w14:textId="77777777" w:rsidR="00D77095" w:rsidRPr="00E83D53" w:rsidRDefault="00D77095" w:rsidP="00B105DF">
            <w:pPr>
              <w:bidi w:val="0"/>
              <w:jc w:val="center"/>
              <w:rPr>
                <w:rFonts w:asciiTheme="majorBidi" w:hAnsiTheme="majorBidi" w:cstheme="majorBidi"/>
                <w:sz w:val="20"/>
                <w:szCs w:val="20"/>
              </w:rPr>
            </w:pPr>
            <w:r w:rsidRPr="00E83D53">
              <w:rPr>
                <w:rFonts w:asciiTheme="majorBidi" w:hAnsiTheme="majorBidi" w:cstheme="majorBidi"/>
                <w:sz w:val="20"/>
                <w:szCs w:val="20"/>
              </w:rPr>
              <w:t>Home facilities apartments and Residential Facilities**</w:t>
            </w:r>
          </w:p>
        </w:tc>
        <w:tc>
          <w:tcPr>
            <w:tcW w:w="1984" w:type="dxa"/>
            <w:shd w:val="clear" w:color="auto" w:fill="D9D9D9" w:themeFill="background1" w:themeFillShade="D9"/>
            <w:vAlign w:val="center"/>
          </w:tcPr>
          <w:p w14:paraId="5DAACBCA" w14:textId="77777777" w:rsidR="00D77095" w:rsidRPr="00E83D53" w:rsidRDefault="00D77095" w:rsidP="00B105DF">
            <w:pPr>
              <w:bidi w:val="0"/>
              <w:jc w:val="center"/>
              <w:rPr>
                <w:rFonts w:asciiTheme="majorBidi" w:hAnsiTheme="majorBidi" w:cstheme="majorBidi"/>
                <w:sz w:val="20"/>
                <w:szCs w:val="20"/>
              </w:rPr>
            </w:pPr>
            <w:r w:rsidRPr="00D77095">
              <w:rPr>
                <w:rFonts w:asciiTheme="majorBidi" w:hAnsiTheme="majorBidi" w:cstheme="majorBidi"/>
                <w:sz w:val="20"/>
                <w:szCs w:val="20"/>
              </w:rPr>
              <w:t>Facilities of more than 25 persons</w:t>
            </w:r>
          </w:p>
        </w:tc>
        <w:tc>
          <w:tcPr>
            <w:tcW w:w="2127" w:type="dxa"/>
            <w:vMerge/>
            <w:vAlign w:val="center"/>
          </w:tcPr>
          <w:p w14:paraId="7C58F2E6" w14:textId="77777777" w:rsidR="00D77095" w:rsidRPr="00E83D53" w:rsidRDefault="00D77095" w:rsidP="00B105DF">
            <w:pPr>
              <w:bidi w:val="0"/>
              <w:jc w:val="center"/>
              <w:rPr>
                <w:rFonts w:asciiTheme="majorBidi" w:hAnsiTheme="majorBidi" w:cstheme="majorBidi"/>
                <w:sz w:val="20"/>
                <w:szCs w:val="20"/>
              </w:rPr>
            </w:pPr>
          </w:p>
        </w:tc>
      </w:tr>
      <w:tr w:rsidR="00B105DF" w:rsidRPr="00E83D53" w14:paraId="3BA1CB0A" w14:textId="77777777" w:rsidTr="00D77095">
        <w:tc>
          <w:tcPr>
            <w:tcW w:w="638" w:type="dxa"/>
            <w:vAlign w:val="center"/>
          </w:tcPr>
          <w:p w14:paraId="611C4699" w14:textId="77777777" w:rsidR="00B105DF" w:rsidRPr="00E83D53" w:rsidRDefault="00B105DF" w:rsidP="00B105DF">
            <w:pPr>
              <w:bidi w:val="0"/>
              <w:rPr>
                <w:rFonts w:asciiTheme="majorBidi" w:hAnsiTheme="majorBidi" w:cstheme="majorBidi"/>
                <w:sz w:val="20"/>
                <w:szCs w:val="20"/>
              </w:rPr>
            </w:pPr>
            <w:r w:rsidRPr="00E83D53">
              <w:rPr>
                <w:rFonts w:asciiTheme="majorBidi" w:hAnsiTheme="majorBidi" w:cstheme="majorBidi"/>
                <w:sz w:val="20"/>
                <w:szCs w:val="20"/>
              </w:rPr>
              <w:t>2019</w:t>
            </w:r>
          </w:p>
        </w:tc>
        <w:tc>
          <w:tcPr>
            <w:tcW w:w="1323" w:type="dxa"/>
            <w:vAlign w:val="center"/>
          </w:tcPr>
          <w:p w14:paraId="14CD527F" w14:textId="77777777" w:rsidR="00B105DF" w:rsidRPr="00E83D53" w:rsidRDefault="00B105DF" w:rsidP="00B105DF">
            <w:pPr>
              <w:bidi w:val="0"/>
              <w:jc w:val="center"/>
              <w:rPr>
                <w:rFonts w:asciiTheme="majorBidi" w:hAnsiTheme="majorBidi" w:cstheme="majorBidi"/>
                <w:sz w:val="20"/>
                <w:szCs w:val="20"/>
                <w:rtl/>
              </w:rPr>
            </w:pPr>
            <w:r w:rsidRPr="00E83D53">
              <w:rPr>
                <w:rFonts w:asciiTheme="majorBidi" w:hAnsiTheme="majorBidi" w:cstheme="majorBidi"/>
                <w:sz w:val="20"/>
                <w:szCs w:val="20"/>
                <w:rtl/>
              </w:rPr>
              <w:t>2,453</w:t>
            </w:r>
          </w:p>
        </w:tc>
        <w:tc>
          <w:tcPr>
            <w:tcW w:w="2287" w:type="dxa"/>
            <w:vAlign w:val="center"/>
          </w:tcPr>
          <w:p w14:paraId="23E28FBB" w14:textId="77777777" w:rsidR="00B105DF" w:rsidRPr="00E83D53" w:rsidRDefault="00B105DF" w:rsidP="00B105DF">
            <w:pPr>
              <w:bidi w:val="0"/>
              <w:jc w:val="center"/>
              <w:rPr>
                <w:rFonts w:asciiTheme="majorBidi" w:hAnsiTheme="majorBidi" w:cstheme="majorBidi"/>
                <w:sz w:val="20"/>
                <w:szCs w:val="20"/>
                <w:rtl/>
              </w:rPr>
            </w:pPr>
            <w:r w:rsidRPr="00E83D53">
              <w:rPr>
                <w:rFonts w:asciiTheme="majorBidi" w:hAnsiTheme="majorBidi" w:cstheme="majorBidi"/>
                <w:sz w:val="20"/>
                <w:szCs w:val="20"/>
                <w:rtl/>
              </w:rPr>
              <w:t>5,255</w:t>
            </w:r>
          </w:p>
        </w:tc>
        <w:tc>
          <w:tcPr>
            <w:tcW w:w="1984" w:type="dxa"/>
            <w:vAlign w:val="center"/>
          </w:tcPr>
          <w:p w14:paraId="45B0B83F" w14:textId="77777777" w:rsidR="00B105DF" w:rsidRPr="00E83D53" w:rsidRDefault="00B105DF" w:rsidP="00B105DF">
            <w:pPr>
              <w:bidi w:val="0"/>
              <w:jc w:val="center"/>
              <w:rPr>
                <w:rFonts w:asciiTheme="majorBidi" w:hAnsiTheme="majorBidi" w:cstheme="majorBidi"/>
                <w:sz w:val="20"/>
                <w:szCs w:val="20"/>
              </w:rPr>
            </w:pPr>
            <w:r w:rsidRPr="00E83D53">
              <w:rPr>
                <w:rFonts w:asciiTheme="majorBidi" w:hAnsiTheme="majorBidi" w:cstheme="majorBidi"/>
                <w:sz w:val="20"/>
                <w:szCs w:val="20"/>
                <w:rtl/>
              </w:rPr>
              <w:t>9,295</w:t>
            </w:r>
          </w:p>
        </w:tc>
        <w:tc>
          <w:tcPr>
            <w:tcW w:w="2127" w:type="dxa"/>
            <w:vAlign w:val="center"/>
          </w:tcPr>
          <w:p w14:paraId="27993562" w14:textId="77777777" w:rsidR="00B105DF" w:rsidRPr="00E83D53" w:rsidRDefault="00B105DF" w:rsidP="00B105DF">
            <w:pPr>
              <w:bidi w:val="0"/>
              <w:jc w:val="center"/>
              <w:rPr>
                <w:rFonts w:asciiTheme="majorBidi" w:hAnsiTheme="majorBidi" w:cstheme="majorBidi"/>
                <w:sz w:val="20"/>
                <w:szCs w:val="20"/>
              </w:rPr>
            </w:pPr>
            <w:r w:rsidRPr="00E83D53">
              <w:rPr>
                <w:rFonts w:asciiTheme="majorBidi" w:hAnsiTheme="majorBidi" w:cstheme="majorBidi"/>
                <w:sz w:val="20"/>
                <w:szCs w:val="20"/>
                <w:rtl/>
              </w:rPr>
              <w:t>17</w:t>
            </w:r>
            <w:r w:rsidRPr="00E83D53">
              <w:rPr>
                <w:rFonts w:asciiTheme="majorBidi" w:hAnsiTheme="majorBidi" w:cstheme="majorBidi"/>
                <w:sz w:val="20"/>
                <w:szCs w:val="20"/>
              </w:rPr>
              <w:t>,003</w:t>
            </w:r>
          </w:p>
        </w:tc>
      </w:tr>
      <w:tr w:rsidR="00B105DF" w:rsidRPr="00E83D53" w14:paraId="04769E85" w14:textId="77777777" w:rsidTr="00D77095">
        <w:tc>
          <w:tcPr>
            <w:tcW w:w="638" w:type="dxa"/>
            <w:vAlign w:val="center"/>
          </w:tcPr>
          <w:p w14:paraId="48F721B0" w14:textId="77777777" w:rsidR="00B105DF" w:rsidRPr="00E83D53" w:rsidRDefault="00B105DF" w:rsidP="00B105DF">
            <w:pPr>
              <w:bidi w:val="0"/>
              <w:rPr>
                <w:rFonts w:asciiTheme="majorBidi" w:hAnsiTheme="majorBidi" w:cstheme="majorBidi"/>
                <w:sz w:val="20"/>
                <w:szCs w:val="20"/>
              </w:rPr>
            </w:pPr>
            <w:r w:rsidRPr="00E83D53">
              <w:rPr>
                <w:rFonts w:asciiTheme="majorBidi" w:hAnsiTheme="majorBidi" w:cstheme="majorBidi"/>
                <w:sz w:val="20"/>
                <w:szCs w:val="20"/>
              </w:rPr>
              <w:t>2020</w:t>
            </w:r>
          </w:p>
        </w:tc>
        <w:tc>
          <w:tcPr>
            <w:tcW w:w="1323" w:type="dxa"/>
            <w:vAlign w:val="center"/>
          </w:tcPr>
          <w:p w14:paraId="4BD43BB9" w14:textId="77777777" w:rsidR="00B105DF" w:rsidRPr="00E83D53" w:rsidRDefault="00B105DF" w:rsidP="00B105DF">
            <w:pPr>
              <w:bidi w:val="0"/>
              <w:jc w:val="center"/>
              <w:rPr>
                <w:rFonts w:asciiTheme="majorBidi" w:hAnsiTheme="majorBidi" w:cstheme="majorBidi"/>
                <w:sz w:val="20"/>
                <w:szCs w:val="20"/>
                <w:rtl/>
              </w:rPr>
            </w:pPr>
            <w:r w:rsidRPr="00E83D53">
              <w:rPr>
                <w:rFonts w:asciiTheme="majorBidi" w:hAnsiTheme="majorBidi" w:cstheme="majorBidi"/>
                <w:sz w:val="20"/>
                <w:szCs w:val="20"/>
                <w:rtl/>
              </w:rPr>
              <w:t>2,479</w:t>
            </w:r>
          </w:p>
        </w:tc>
        <w:tc>
          <w:tcPr>
            <w:tcW w:w="2287" w:type="dxa"/>
            <w:vAlign w:val="center"/>
          </w:tcPr>
          <w:p w14:paraId="2803F96E" w14:textId="77777777" w:rsidR="00B105DF" w:rsidRPr="00E83D53" w:rsidRDefault="00B105DF" w:rsidP="00B105DF">
            <w:pPr>
              <w:bidi w:val="0"/>
              <w:jc w:val="center"/>
              <w:rPr>
                <w:rFonts w:asciiTheme="majorBidi" w:hAnsiTheme="majorBidi" w:cstheme="majorBidi"/>
                <w:sz w:val="20"/>
                <w:szCs w:val="20"/>
                <w:rtl/>
              </w:rPr>
            </w:pPr>
            <w:r w:rsidRPr="00E83D53">
              <w:rPr>
                <w:rFonts w:asciiTheme="majorBidi" w:hAnsiTheme="majorBidi" w:cstheme="majorBidi"/>
                <w:sz w:val="20"/>
                <w:szCs w:val="20"/>
                <w:rtl/>
              </w:rPr>
              <w:t>5,518</w:t>
            </w:r>
          </w:p>
        </w:tc>
        <w:tc>
          <w:tcPr>
            <w:tcW w:w="1984" w:type="dxa"/>
            <w:vAlign w:val="center"/>
          </w:tcPr>
          <w:p w14:paraId="3B84C6E7" w14:textId="77777777" w:rsidR="00B105DF" w:rsidRPr="00E83D53" w:rsidRDefault="00B105DF" w:rsidP="00B105DF">
            <w:pPr>
              <w:bidi w:val="0"/>
              <w:jc w:val="center"/>
              <w:rPr>
                <w:rFonts w:asciiTheme="majorBidi" w:hAnsiTheme="majorBidi" w:cstheme="majorBidi"/>
                <w:sz w:val="20"/>
                <w:szCs w:val="20"/>
              </w:rPr>
            </w:pPr>
            <w:r w:rsidRPr="00E83D53">
              <w:rPr>
                <w:rFonts w:asciiTheme="majorBidi" w:hAnsiTheme="majorBidi" w:cstheme="majorBidi"/>
                <w:sz w:val="20"/>
                <w:szCs w:val="20"/>
                <w:rtl/>
              </w:rPr>
              <w:t>9,170</w:t>
            </w:r>
          </w:p>
        </w:tc>
        <w:tc>
          <w:tcPr>
            <w:tcW w:w="2127" w:type="dxa"/>
            <w:vAlign w:val="center"/>
          </w:tcPr>
          <w:p w14:paraId="6FCF72DE" w14:textId="77777777" w:rsidR="00B105DF" w:rsidRPr="00E83D53" w:rsidRDefault="00B105DF" w:rsidP="00B105DF">
            <w:pPr>
              <w:bidi w:val="0"/>
              <w:jc w:val="center"/>
              <w:rPr>
                <w:rFonts w:asciiTheme="majorBidi" w:hAnsiTheme="majorBidi" w:cstheme="majorBidi"/>
                <w:sz w:val="20"/>
                <w:szCs w:val="20"/>
              </w:rPr>
            </w:pPr>
            <w:r w:rsidRPr="00E83D53">
              <w:rPr>
                <w:rFonts w:asciiTheme="majorBidi" w:hAnsiTheme="majorBidi" w:cstheme="majorBidi"/>
                <w:sz w:val="20"/>
                <w:szCs w:val="20"/>
              </w:rPr>
              <w:t>17,167</w:t>
            </w:r>
          </w:p>
        </w:tc>
      </w:tr>
    </w:tbl>
    <w:p w14:paraId="55AC0F22" w14:textId="77777777" w:rsidR="00F37FC8" w:rsidRPr="00D77095" w:rsidRDefault="00D77095" w:rsidP="00C000F6">
      <w:pPr>
        <w:pStyle w:val="SingleTxtG"/>
        <w:numPr>
          <w:ilvl w:val="0"/>
          <w:numId w:val="9"/>
        </w:numPr>
        <w:spacing w:line="240" w:lineRule="auto"/>
        <w:ind w:left="284" w:firstLine="0"/>
        <w:rPr>
          <w:rFonts w:asciiTheme="majorBidi" w:hAnsiTheme="majorBidi" w:cstheme="majorBidi"/>
          <w:i/>
          <w:iCs/>
        </w:rPr>
      </w:pPr>
      <w:r w:rsidRPr="00D77095">
        <w:rPr>
          <w:rFonts w:asciiTheme="majorBidi" w:hAnsiTheme="majorBidi" w:cstheme="majorBidi"/>
          <w:i/>
          <w:iCs/>
        </w:rPr>
        <w:t xml:space="preserve">Source: </w:t>
      </w:r>
      <w:r>
        <w:rPr>
          <w:rFonts w:asciiTheme="majorBidi" w:hAnsiTheme="majorBidi" w:cstheme="majorBidi"/>
          <w:i/>
          <w:iCs/>
        </w:rPr>
        <w:t xml:space="preserve">The MOWSA </w:t>
      </w:r>
      <w:r w:rsidRPr="00D77095">
        <w:rPr>
          <w:rFonts w:asciiTheme="majorBidi" w:hAnsiTheme="majorBidi" w:cstheme="majorBidi"/>
          <w:i/>
          <w:iCs/>
        </w:rPr>
        <w:t>(</w:t>
      </w:r>
      <w:r w:rsidR="00D11EFA">
        <w:rPr>
          <w:rFonts w:asciiTheme="majorBidi" w:hAnsiTheme="majorBidi" w:cstheme="majorBidi"/>
          <w:i/>
          <w:iCs/>
        </w:rPr>
        <w:t>November 2021</w:t>
      </w:r>
      <w:r w:rsidRPr="00D77095">
        <w:rPr>
          <w:rFonts w:asciiTheme="majorBidi" w:hAnsiTheme="majorBidi" w:cstheme="majorBidi"/>
          <w:i/>
          <w:iCs/>
        </w:rPr>
        <w:t>)</w:t>
      </w:r>
    </w:p>
    <w:p w14:paraId="44CD7BBE" w14:textId="77777777" w:rsidR="00F37FC8" w:rsidRPr="00E83D53" w:rsidRDefault="00F37FC8" w:rsidP="00D77095">
      <w:pPr>
        <w:bidi w:val="0"/>
        <w:spacing w:after="120" w:line="240" w:lineRule="auto"/>
        <w:ind w:left="567" w:hanging="283"/>
        <w:jc w:val="both"/>
        <w:rPr>
          <w:rFonts w:asciiTheme="majorBidi" w:hAnsiTheme="majorBidi" w:cstheme="majorBidi"/>
          <w:sz w:val="20"/>
          <w:szCs w:val="20"/>
        </w:rPr>
      </w:pPr>
      <w:r w:rsidRPr="00E83D53">
        <w:rPr>
          <w:rFonts w:asciiTheme="majorBidi" w:hAnsiTheme="majorBidi" w:cstheme="majorBidi"/>
          <w:sz w:val="20"/>
          <w:szCs w:val="20"/>
        </w:rPr>
        <w:t xml:space="preserve">* </w:t>
      </w:r>
      <w:r w:rsidR="00D77095">
        <w:rPr>
          <w:rFonts w:asciiTheme="majorBidi" w:hAnsiTheme="majorBidi" w:cstheme="majorBidi"/>
          <w:sz w:val="20"/>
          <w:szCs w:val="20"/>
        </w:rPr>
        <w:t xml:space="preserve">  </w:t>
      </w:r>
      <w:r w:rsidRPr="00E83D53">
        <w:rPr>
          <w:rFonts w:asciiTheme="majorBidi" w:hAnsiTheme="majorBidi" w:cstheme="majorBidi"/>
          <w:sz w:val="20"/>
          <w:szCs w:val="20"/>
        </w:rPr>
        <w:t xml:space="preserve">1,200 out of 9,367 residents reside in </w:t>
      </w:r>
      <w:r w:rsidRPr="00E83D53">
        <w:rPr>
          <w:rFonts w:asciiTheme="majorBidi" w:hAnsiTheme="majorBidi"/>
          <w:sz w:val="20"/>
          <w:szCs w:val="20"/>
        </w:rPr>
        <w:t>home-facilities apartments or residential facilities</w:t>
      </w:r>
      <w:r w:rsidRPr="00E83D53">
        <w:rPr>
          <w:rFonts w:asciiTheme="majorBidi" w:hAnsiTheme="majorBidi" w:cstheme="majorBidi"/>
          <w:sz w:val="20"/>
          <w:szCs w:val="20"/>
        </w:rPr>
        <w:t xml:space="preserve">. </w:t>
      </w:r>
    </w:p>
    <w:p w14:paraId="1A11138C" w14:textId="77777777" w:rsidR="00F37FC8" w:rsidRPr="00E83D53" w:rsidRDefault="00F37FC8" w:rsidP="00D77095">
      <w:pPr>
        <w:bidi w:val="0"/>
        <w:spacing w:after="120" w:line="240" w:lineRule="auto"/>
        <w:ind w:left="567" w:hanging="283"/>
        <w:jc w:val="both"/>
        <w:rPr>
          <w:rFonts w:asciiTheme="majorBidi" w:hAnsiTheme="majorBidi" w:cstheme="majorBidi"/>
          <w:sz w:val="20"/>
          <w:szCs w:val="20"/>
        </w:rPr>
      </w:pPr>
      <w:r w:rsidRPr="00E83D53">
        <w:rPr>
          <w:rFonts w:asciiTheme="majorBidi" w:hAnsiTheme="majorBidi" w:cstheme="majorBidi"/>
          <w:sz w:val="20"/>
          <w:szCs w:val="20"/>
        </w:rPr>
        <w:t>** Home facilities Apartments and Residential Facilities - facilities that operate 16 hours a day, wherein the person can be included in the community based on her/his wishes and abilities in the fields of employment, leisure and other community services. These facilities can be home facilities apartments (up to 6 persons) or residential facilities between six (6) to 18 persons.</w:t>
      </w:r>
    </w:p>
    <w:p w14:paraId="1C27AE70"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Further Information</w:t>
      </w:r>
    </w:p>
    <w:p w14:paraId="395BCA97"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As for the elderly, the trend is to strengthen the home-care facilities, whilst maintaining the option of full care-facilities, to be offered to those who need this service.</w:t>
      </w:r>
      <w:r w:rsidRPr="005C149A">
        <w:rPr>
          <w:rStyle w:val="FootnoteReference"/>
          <w:rFonts w:asciiTheme="majorBidi" w:hAnsiTheme="majorBidi" w:cstheme="majorBidi"/>
          <w:sz w:val="24"/>
          <w:szCs w:val="24"/>
          <w:rtl/>
        </w:rPr>
        <w:t xml:space="preserve"> </w:t>
      </w:r>
    </w:p>
    <w:p w14:paraId="1177DCC6"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the field of rehabilitation of </w:t>
      </w:r>
      <w:r w:rsidRPr="005C149A">
        <w:rPr>
          <w:rFonts w:asciiTheme="majorBidi" w:hAnsiTheme="majorBidi" w:cstheme="majorBidi"/>
          <w:sz w:val="24"/>
          <w:szCs w:val="24"/>
          <w:lang w:val="en"/>
        </w:rPr>
        <w:t>persons</w:t>
      </w:r>
      <w:r w:rsidRPr="005C149A">
        <w:rPr>
          <w:rFonts w:asciiTheme="majorBidi" w:hAnsiTheme="majorBidi" w:cstheme="majorBidi"/>
          <w:sz w:val="24"/>
          <w:szCs w:val="24"/>
        </w:rPr>
        <w:t xml:space="preserve"> with mental disabilities, the MOH has acted and continues to act to rehabilitate persons in the community.</w:t>
      </w:r>
    </w:p>
    <w:p w14:paraId="3E5D4A35" w14:textId="361E99CD" w:rsidR="00F37FC8" w:rsidRPr="005C149A" w:rsidRDefault="00F37FC8" w:rsidP="004A5A55">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Regarding the elderly and </w:t>
      </w:r>
      <w:r w:rsidRPr="005C149A">
        <w:rPr>
          <w:rFonts w:asciiTheme="majorBidi" w:hAnsiTheme="majorBidi" w:cstheme="majorBidi"/>
          <w:sz w:val="24"/>
          <w:szCs w:val="24"/>
          <w:lang w:val="en"/>
        </w:rPr>
        <w:t>persons</w:t>
      </w:r>
      <w:r w:rsidRPr="005C149A">
        <w:rPr>
          <w:rFonts w:asciiTheme="majorBidi" w:hAnsiTheme="majorBidi" w:cstheme="majorBidi"/>
          <w:sz w:val="24"/>
          <w:szCs w:val="24"/>
        </w:rPr>
        <w:t xml:space="preserve"> suffering from chronic illnesses, the MOH, together with </w:t>
      </w:r>
      <w:r w:rsidR="00B44BE2">
        <w:rPr>
          <w:rFonts w:asciiTheme="majorBidi" w:hAnsiTheme="majorBidi" w:cstheme="majorBidi"/>
          <w:sz w:val="24"/>
          <w:szCs w:val="24"/>
        </w:rPr>
        <w:t xml:space="preserve">the </w:t>
      </w:r>
      <w:r w:rsidRPr="005C149A">
        <w:rPr>
          <w:rFonts w:asciiTheme="majorBidi" w:hAnsiTheme="majorBidi" w:cstheme="majorBidi"/>
          <w:sz w:val="24"/>
          <w:szCs w:val="24"/>
        </w:rPr>
        <w:t xml:space="preserve">MOWSA and other relevant bodies, promotes models of at-home care, rehabilitation and hospitalization, by assessing support structures and formulating professional procedures and criteria for such services. For example, a pilot of the "Homecoming Project" is currently underway, which aims to return the elderly from nursing homes to their homes, while maintaining professional and medical support. In addition, elderly persons coping with a psychiatric disability may be included, according to their needs and clinical situation, in nursing homes within the community operated by </w:t>
      </w:r>
      <w:r w:rsidR="00B44BE2">
        <w:rPr>
          <w:rFonts w:asciiTheme="majorBidi" w:hAnsiTheme="majorBidi" w:cstheme="majorBidi"/>
          <w:sz w:val="24"/>
          <w:szCs w:val="24"/>
        </w:rPr>
        <w:t xml:space="preserve">the </w:t>
      </w:r>
      <w:r w:rsidRPr="005C149A">
        <w:rPr>
          <w:rFonts w:asciiTheme="majorBidi" w:hAnsiTheme="majorBidi" w:cstheme="majorBidi"/>
          <w:sz w:val="24"/>
          <w:szCs w:val="24"/>
        </w:rPr>
        <w:t>MOWSA. The trend is to strengthen the home-care facilities, whilst maintaining the option of full</w:t>
      </w:r>
      <w:r w:rsidR="004A5A55">
        <w:rPr>
          <w:rFonts w:asciiTheme="majorBidi" w:hAnsiTheme="majorBidi" w:cstheme="majorBidi"/>
          <w:sz w:val="24"/>
          <w:szCs w:val="24"/>
        </w:rPr>
        <w:t>-</w:t>
      </w:r>
      <w:r w:rsidRPr="005C149A">
        <w:rPr>
          <w:rFonts w:asciiTheme="majorBidi" w:hAnsiTheme="majorBidi" w:cstheme="majorBidi"/>
          <w:sz w:val="24"/>
          <w:szCs w:val="24"/>
        </w:rPr>
        <w:t>care facilities, offered to those who need this service.</w:t>
      </w:r>
    </w:p>
    <w:p w14:paraId="1BF4A886"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Small Residential Facilities</w:t>
      </w:r>
    </w:p>
    <w:p w14:paraId="13F1EB4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order to implement the </w:t>
      </w:r>
      <w:r w:rsidRPr="005C149A">
        <w:rPr>
          <w:rFonts w:asciiTheme="majorBidi" w:hAnsiTheme="majorBidi" w:cstheme="majorBidi"/>
          <w:sz w:val="24"/>
          <w:szCs w:val="24"/>
          <w:lang w:val="en"/>
        </w:rPr>
        <w:t>movement</w:t>
      </w:r>
      <w:r w:rsidRPr="005C149A">
        <w:rPr>
          <w:rFonts w:asciiTheme="majorBidi" w:hAnsiTheme="majorBidi" w:cstheme="majorBidi"/>
          <w:sz w:val="24"/>
          <w:szCs w:val="24"/>
        </w:rPr>
        <w:t xml:space="preserve"> of PWD to small residential facilities, several tenders were published in recent years. Through these tenders,  </w:t>
      </w:r>
      <w:r w:rsidRPr="005C149A">
        <w:rPr>
          <w:rFonts w:asciiTheme="majorBidi" w:hAnsiTheme="majorBidi" w:cstheme="majorBidi"/>
          <w:sz w:val="24"/>
          <w:szCs w:val="24"/>
          <w:rtl/>
        </w:rPr>
        <w:t>150</w:t>
      </w:r>
      <w:r w:rsidRPr="005C149A">
        <w:rPr>
          <w:rFonts w:asciiTheme="majorBidi" w:hAnsiTheme="majorBidi" w:cstheme="majorBidi"/>
          <w:sz w:val="24"/>
          <w:szCs w:val="24"/>
        </w:rPr>
        <w:t xml:space="preserve"> apartments were opened to allow smaller residential facilities as well as home-facilities apartments:  </w:t>
      </w:r>
    </w:p>
    <w:p w14:paraId="42DBF163" w14:textId="77777777" w:rsidR="00F37FC8" w:rsidRPr="005C149A" w:rsidRDefault="00F37FC8" w:rsidP="00C000F6">
      <w:pPr>
        <w:pStyle w:val="ListParagraph"/>
        <w:numPr>
          <w:ilvl w:val="0"/>
          <w:numId w:val="16"/>
        </w:numPr>
        <w:spacing w:after="160"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sz w:val="24"/>
          <w:szCs w:val="24"/>
        </w:rPr>
        <w:t>In three (3) municipalities in rural areas, in order to allow persons to live in the proximity of their community;</w:t>
      </w:r>
    </w:p>
    <w:p w14:paraId="0AC840B4" w14:textId="77777777" w:rsidR="00F37FC8" w:rsidRPr="005C149A" w:rsidRDefault="00F37FC8" w:rsidP="00C000F6">
      <w:pPr>
        <w:pStyle w:val="ListParagraph"/>
        <w:numPr>
          <w:ilvl w:val="0"/>
          <w:numId w:val="16"/>
        </w:numPr>
        <w:spacing w:after="160"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sz w:val="24"/>
          <w:szCs w:val="24"/>
        </w:rPr>
        <w:t>For persons with low-functioning or moderate to high functioning autism, and with challenging behavior. Reducing the size of the facility from full care facility to large residential facility;</w:t>
      </w:r>
    </w:p>
    <w:p w14:paraId="3F66F5C8" w14:textId="77777777" w:rsidR="00F37FC8" w:rsidRPr="005C149A" w:rsidRDefault="00F37FC8" w:rsidP="00C000F6">
      <w:pPr>
        <w:pStyle w:val="ListParagraph"/>
        <w:numPr>
          <w:ilvl w:val="0"/>
          <w:numId w:val="16"/>
        </w:numPr>
        <w:spacing w:after="160"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For young persons with complex disabilities; </w:t>
      </w:r>
    </w:p>
    <w:p w14:paraId="6BEFE2EE" w14:textId="77777777" w:rsidR="00F37FC8" w:rsidRPr="005C149A" w:rsidRDefault="00F37FC8" w:rsidP="002D3CE5">
      <w:pPr>
        <w:pStyle w:val="ListParagraph"/>
        <w:numPr>
          <w:ilvl w:val="0"/>
          <w:numId w:val="16"/>
        </w:numPr>
        <w:spacing w:after="120" w:line="360" w:lineRule="auto"/>
        <w:ind w:left="992" w:hanging="425"/>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For the operation of home facilities apartments for minority communities, such as: ultra-Orthodox Jews, Bedouin, LGBTQ, Circassian, Jewish-Reform, and more. </w:t>
      </w:r>
    </w:p>
    <w:p w14:paraId="6CE1A62A" w14:textId="77777777" w:rsidR="00F37FC8" w:rsidRPr="005C149A" w:rsidRDefault="004A0AA8" w:rsidP="008427F3">
      <w:pPr>
        <w:pStyle w:val="Heading3"/>
      </w:pPr>
      <w:r w:rsidRPr="005C149A">
        <w:t>B.</w:t>
      </w:r>
      <w:r w:rsidR="00F37FC8" w:rsidRPr="005C149A">
        <w:t xml:space="preserve"> Community Support Services</w:t>
      </w:r>
    </w:p>
    <w:p w14:paraId="27B0941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MOWSA operates a number of unique programs that support community living, including: </w:t>
      </w:r>
    </w:p>
    <w:p w14:paraId="3C2D1EED" w14:textId="1F22A233" w:rsidR="00F37FC8" w:rsidRPr="005C149A" w:rsidRDefault="00F37FC8" w:rsidP="00B44BE2">
      <w:pPr>
        <w:pStyle w:val="ListParagraph"/>
        <w:numPr>
          <w:ilvl w:val="0"/>
          <w:numId w:val="15"/>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b/>
          <w:bCs/>
          <w:sz w:val="24"/>
          <w:szCs w:val="24"/>
          <w:u w:val="single"/>
        </w:rPr>
        <w:t>Supported</w:t>
      </w:r>
      <w:r w:rsidR="00D77095" w:rsidRPr="005C149A">
        <w:rPr>
          <w:rFonts w:asciiTheme="majorBidi" w:hAnsiTheme="majorBidi" w:cstheme="majorBidi"/>
          <w:b/>
          <w:bCs/>
          <w:sz w:val="24"/>
          <w:szCs w:val="24"/>
          <w:u w:val="single"/>
        </w:rPr>
        <w:t xml:space="preserve"> </w:t>
      </w:r>
      <w:r w:rsidRPr="005C149A">
        <w:rPr>
          <w:rFonts w:asciiTheme="majorBidi" w:hAnsiTheme="majorBidi" w:cstheme="majorBidi"/>
          <w:b/>
          <w:bCs/>
          <w:sz w:val="24"/>
          <w:szCs w:val="24"/>
          <w:u w:val="single"/>
        </w:rPr>
        <w:t>living</w:t>
      </w:r>
      <w:r w:rsidR="00D77095" w:rsidRPr="005C149A">
        <w:rPr>
          <w:rFonts w:asciiTheme="majorBidi" w:hAnsiTheme="majorBidi" w:cstheme="majorBidi"/>
          <w:b/>
          <w:bCs/>
          <w:sz w:val="24"/>
          <w:szCs w:val="24"/>
          <w:u w:val="single"/>
        </w:rPr>
        <w:t xml:space="preserve"> </w:t>
      </w:r>
      <w:r w:rsidRPr="005C149A">
        <w:rPr>
          <w:rFonts w:asciiTheme="majorBidi" w:hAnsiTheme="majorBidi" w:cstheme="majorBidi"/>
          <w:b/>
          <w:bCs/>
          <w:sz w:val="24"/>
          <w:szCs w:val="24"/>
          <w:u w:val="single"/>
        </w:rPr>
        <w:t>program</w:t>
      </w:r>
      <w:r w:rsidR="00D77095" w:rsidRPr="005C149A">
        <w:rPr>
          <w:rFonts w:asciiTheme="majorBidi" w:hAnsiTheme="majorBidi" w:cstheme="majorBidi"/>
          <w:sz w:val="24"/>
          <w:szCs w:val="24"/>
        </w:rPr>
        <w:t xml:space="preserve"> </w:t>
      </w:r>
      <w:r w:rsidR="004A5A55">
        <w:rPr>
          <w:rFonts w:asciiTheme="majorBidi" w:hAnsiTheme="majorBidi" w:cstheme="majorBidi"/>
          <w:sz w:val="24"/>
          <w:szCs w:val="24"/>
        </w:rPr>
        <w:t>-</w:t>
      </w:r>
      <w:r w:rsidR="00D77095" w:rsidRPr="005C149A">
        <w:rPr>
          <w:rFonts w:asciiTheme="majorBidi" w:hAnsiTheme="majorBidi" w:cstheme="majorBidi"/>
          <w:sz w:val="24"/>
          <w:szCs w:val="24"/>
        </w:rPr>
        <w:t xml:space="preserve"> </w:t>
      </w:r>
      <w:r w:rsidRPr="005C149A">
        <w:rPr>
          <w:rFonts w:asciiTheme="majorBidi" w:hAnsiTheme="majorBidi" w:cstheme="majorBidi" w:hint="cs"/>
          <w:sz w:val="24"/>
          <w:szCs w:val="24"/>
        </w:rPr>
        <w:t>T</w:t>
      </w:r>
      <w:r w:rsidRPr="005C149A">
        <w:rPr>
          <w:rFonts w:asciiTheme="majorBidi" w:hAnsiTheme="majorBidi" w:cstheme="majorBidi"/>
          <w:sz w:val="24"/>
          <w:szCs w:val="24"/>
        </w:rPr>
        <w:t>his</w:t>
      </w:r>
      <w:r w:rsidR="00D77095" w:rsidRPr="005C149A">
        <w:rPr>
          <w:rFonts w:asciiTheme="majorBidi" w:hAnsiTheme="majorBidi" w:cstheme="majorBidi"/>
          <w:sz w:val="24"/>
          <w:szCs w:val="24"/>
        </w:rPr>
        <w:t xml:space="preserve"> </w:t>
      </w:r>
      <w:r w:rsidRPr="005C149A">
        <w:rPr>
          <w:rFonts w:asciiTheme="majorBidi" w:hAnsiTheme="majorBidi" w:cstheme="majorBidi"/>
          <w:sz w:val="24"/>
          <w:szCs w:val="24"/>
        </w:rPr>
        <w:t>program</w:t>
      </w:r>
      <w:r w:rsidR="00D77095" w:rsidRPr="005C149A">
        <w:rPr>
          <w:rFonts w:asciiTheme="majorBidi" w:hAnsiTheme="majorBidi" w:cstheme="majorBidi"/>
          <w:sz w:val="24"/>
          <w:szCs w:val="24"/>
        </w:rPr>
        <w:t xml:space="preserve"> </w:t>
      </w:r>
      <w:r w:rsidRPr="005C149A">
        <w:rPr>
          <w:rFonts w:asciiTheme="majorBidi" w:hAnsiTheme="majorBidi" w:cstheme="majorBidi"/>
          <w:sz w:val="24"/>
          <w:szCs w:val="24"/>
        </w:rPr>
        <w:t>provides</w:t>
      </w:r>
      <w:r w:rsidR="00D77095" w:rsidRPr="005C149A">
        <w:rPr>
          <w:rFonts w:asciiTheme="majorBidi" w:hAnsiTheme="majorBidi" w:cstheme="majorBidi"/>
          <w:sz w:val="24"/>
          <w:szCs w:val="24"/>
        </w:rPr>
        <w:t xml:space="preserve"> </w:t>
      </w:r>
      <w:r w:rsidRPr="005C149A">
        <w:rPr>
          <w:rFonts w:asciiTheme="majorBidi" w:hAnsiTheme="majorBidi" w:cstheme="majorBidi"/>
          <w:sz w:val="24"/>
          <w:szCs w:val="24"/>
        </w:rPr>
        <w:t>support,</w:t>
      </w:r>
      <w:r w:rsidR="00D77095" w:rsidRPr="005C149A">
        <w:rPr>
          <w:rFonts w:asciiTheme="majorBidi" w:hAnsiTheme="majorBidi" w:cstheme="majorBidi"/>
          <w:sz w:val="24"/>
          <w:szCs w:val="24"/>
        </w:rPr>
        <w:t xml:space="preserve"> </w:t>
      </w:r>
      <w:r w:rsidRPr="005C149A">
        <w:rPr>
          <w:rFonts w:asciiTheme="majorBidi" w:hAnsiTheme="majorBidi" w:cstheme="majorBidi"/>
          <w:sz w:val="24"/>
          <w:szCs w:val="24"/>
        </w:rPr>
        <w:t>accompaniment and guidance services for persons with intellectual disabilities who manage an independent household, or live with their elderly parents. The program goals are to allow PWD to live in a community, as well as to create a support network, which will provide medical monitoring and HMO treatment, as well as social support services</w:t>
      </w:r>
      <w:r w:rsidR="00B44BE2">
        <w:rPr>
          <w:rFonts w:asciiTheme="majorBidi" w:hAnsiTheme="majorBidi" w:cstheme="majorBidi"/>
          <w:sz w:val="24"/>
          <w:szCs w:val="24"/>
        </w:rPr>
        <w:t>,</w:t>
      </w:r>
      <w:r w:rsidRPr="000C3BD3">
        <w:rPr>
          <w:rFonts w:asciiTheme="majorBidi" w:hAnsiTheme="majorBidi" w:cstheme="majorBidi"/>
          <w:i/>
          <w:iCs/>
          <w:sz w:val="24"/>
          <w:szCs w:val="24"/>
        </w:rPr>
        <w:t>inter alia</w:t>
      </w:r>
      <w:r w:rsidRPr="005C149A">
        <w:rPr>
          <w:rFonts w:asciiTheme="majorBidi" w:hAnsiTheme="majorBidi" w:cstheme="majorBidi"/>
          <w:sz w:val="24"/>
          <w:szCs w:val="24"/>
        </w:rPr>
        <w:t xml:space="preserve">, concerning: employment, rights exhaustion, leisure activities, cleaning and maintenance of the home, safety and security, social relations and community involvement. This program enables a person with intellectual disabilities to have the utmost independence according to their personal abilities. Furthermore, the program offers an alternative or at least allows for the postponement of out-of-home placement. This program currently assists 757 PWD nationwide. </w:t>
      </w:r>
    </w:p>
    <w:p w14:paraId="2A084044" w14:textId="77777777" w:rsidR="00F37FC8" w:rsidRPr="005C149A" w:rsidRDefault="00F37FC8" w:rsidP="00C000F6">
      <w:pPr>
        <w:pStyle w:val="ListParagraph"/>
        <w:numPr>
          <w:ilvl w:val="0"/>
          <w:numId w:val="15"/>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b/>
          <w:bCs/>
          <w:sz w:val="24"/>
          <w:szCs w:val="24"/>
          <w:u w:val="single"/>
        </w:rPr>
        <w:t>An independent-living supporting community for PWD</w:t>
      </w:r>
      <w:r w:rsidRPr="005C149A">
        <w:rPr>
          <w:rFonts w:asciiTheme="majorBidi" w:hAnsiTheme="majorBidi" w:cstheme="majorBidi"/>
          <w:sz w:val="24"/>
          <w:szCs w:val="24"/>
        </w:rPr>
        <w:t xml:space="preserve"> - This program is intended to strengthen the community network of PWD, in order to promote an independent life with maximal integration. The program provides a basic range of services to PWD, including: a panic button, emergency health services, basic home repair services and social activities. The program is intended for persons aged 18 and above with a disability (physical disability, including sensory impairments) or a neuropsychological impairment, with at least 40 percent disability as recognized by the NII. Currently there are 1,862  PWD assisted by this program.</w:t>
      </w:r>
    </w:p>
    <w:p w14:paraId="19964633" w14:textId="77777777" w:rsidR="00F37FC8" w:rsidRPr="005C149A" w:rsidRDefault="00F37FC8" w:rsidP="00C000F6">
      <w:pPr>
        <w:pStyle w:val="ListParagraph"/>
        <w:numPr>
          <w:ilvl w:val="0"/>
          <w:numId w:val="15"/>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b/>
          <w:bCs/>
          <w:sz w:val="24"/>
          <w:szCs w:val="24"/>
          <w:u w:val="single"/>
        </w:rPr>
        <w:t>Temporary programs</w:t>
      </w:r>
      <w:r w:rsidRPr="005C149A">
        <w:rPr>
          <w:rFonts w:asciiTheme="majorBidi" w:hAnsiTheme="majorBidi" w:cstheme="majorBidi"/>
          <w:sz w:val="24"/>
          <w:szCs w:val="24"/>
        </w:rPr>
        <w:t xml:space="preserve">: the MOWSA preparatory programs and transition programs are intended for young PWD (between the ages 18-25), aimed at providing skills in order to enable them to live independently in the community. Currently there are 16 programs nationwide. </w:t>
      </w:r>
    </w:p>
    <w:p w14:paraId="350FCFAB" w14:textId="77777777" w:rsidR="00F37FC8" w:rsidRPr="005C149A" w:rsidRDefault="00F37FC8" w:rsidP="00C000F6">
      <w:pPr>
        <w:pStyle w:val="ListParagraph"/>
        <w:numPr>
          <w:ilvl w:val="0"/>
          <w:numId w:val="15"/>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b/>
          <w:bCs/>
          <w:sz w:val="24"/>
          <w:szCs w:val="24"/>
          <w:u w:val="single"/>
        </w:rPr>
        <w:t>Supported housing</w:t>
      </w:r>
      <w:r w:rsidRPr="005C149A">
        <w:rPr>
          <w:rFonts w:asciiTheme="majorBidi" w:hAnsiTheme="majorBidi" w:cstheme="majorBidi"/>
          <w:sz w:val="24"/>
          <w:szCs w:val="24"/>
        </w:rPr>
        <w:t>:</w:t>
      </w:r>
      <w:r w:rsidRPr="005C149A">
        <w:rPr>
          <w:rFonts w:asciiTheme="majorBidi" w:hAnsiTheme="majorBidi" w:cstheme="majorBidi"/>
          <w:b/>
          <w:bCs/>
          <w:sz w:val="24"/>
          <w:szCs w:val="24"/>
        </w:rPr>
        <w:t xml:space="preserve"> </w:t>
      </w:r>
      <w:r w:rsidRPr="005C149A">
        <w:rPr>
          <w:rFonts w:asciiTheme="majorBidi" w:hAnsiTheme="majorBidi" w:cstheme="majorBidi"/>
          <w:sz w:val="24"/>
          <w:szCs w:val="24"/>
        </w:rPr>
        <w:t>This is a unique model designed for PWD who wish to continue living in a community both independently and with a support system. The participants receive assistance, guidance and mediation of professionals while living independently. The program is intended for PWD at the ages of 21-55, who live in their parents' homes or in an out-of-home facility and wish to make a change and live independently in a community.</w:t>
      </w:r>
      <w:r w:rsidR="0098008B" w:rsidRPr="005C149A">
        <w:rPr>
          <w:rFonts w:asciiTheme="majorBidi" w:hAnsiTheme="majorBidi" w:cstheme="majorBidi"/>
          <w:sz w:val="24"/>
          <w:szCs w:val="24"/>
        </w:rPr>
        <w:t xml:space="preserve"> </w:t>
      </w:r>
      <w:r w:rsidRPr="005C149A">
        <w:rPr>
          <w:rFonts w:asciiTheme="majorBidi" w:hAnsiTheme="majorBidi" w:cstheme="majorBidi"/>
          <w:sz w:val="24"/>
          <w:szCs w:val="24"/>
        </w:rPr>
        <w:t>This program is currently assisting 330 PWD.</w:t>
      </w:r>
    </w:p>
    <w:p w14:paraId="3A9EB55A" w14:textId="77777777" w:rsidR="00F37FC8" w:rsidRPr="005C149A" w:rsidRDefault="00F37FC8" w:rsidP="00C000F6">
      <w:pPr>
        <w:pStyle w:val="ListParagraph"/>
        <w:numPr>
          <w:ilvl w:val="0"/>
          <w:numId w:val="15"/>
        </w:numPr>
        <w:autoSpaceDE w:val="0"/>
        <w:autoSpaceDN w:val="0"/>
        <w:adjustRightInd w:val="0"/>
        <w:spacing w:after="120" w:line="360" w:lineRule="auto"/>
        <w:ind w:left="993" w:hanging="426"/>
        <w:jc w:val="both"/>
        <w:rPr>
          <w:rFonts w:ascii="Times New Roman" w:hAnsi="Times New Roman" w:cs="Times New Roman"/>
          <w:sz w:val="24"/>
          <w:szCs w:val="24"/>
        </w:rPr>
      </w:pPr>
      <w:r w:rsidRPr="005C149A">
        <w:rPr>
          <w:rFonts w:ascii="Times New Roman" w:hAnsi="Times New Roman" w:cs="Times New Roman"/>
          <w:b/>
          <w:bCs/>
          <w:sz w:val="24"/>
          <w:szCs w:val="24"/>
          <w:u w:val="single"/>
        </w:rPr>
        <w:t>Digital Resources</w:t>
      </w:r>
      <w:r w:rsidRPr="005C149A">
        <w:rPr>
          <w:rFonts w:ascii="Times New Roman" w:hAnsi="Times New Roman" w:cs="Times New Roman"/>
          <w:sz w:val="24"/>
          <w:szCs w:val="24"/>
        </w:rPr>
        <w:t xml:space="preserve">: The MOWSA operates a social media page "Online Center for Independent Life." The page provides a range of digital and phone resources: a call center to assist with information comprehension, peer consultations, a Facebook community (virtual community) in which members can share information and experience, and information about services and rights on a regularly updated website. This page also assists PWD who cannot attend a support center, or do not have a center for independent life in their residential environment. </w:t>
      </w:r>
    </w:p>
    <w:p w14:paraId="75A01C8D" w14:textId="0769C911" w:rsidR="00F37FC8" w:rsidRPr="005C149A" w:rsidRDefault="00F37FC8" w:rsidP="001910FC">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Furthermore, JDC Israel - “Israel Beyond Limits”, the Labor Branch in the </w:t>
      </w:r>
      <w:r w:rsidR="001910FC" w:rsidRPr="005C149A">
        <w:rPr>
          <w:rFonts w:asciiTheme="majorBidi" w:hAnsiTheme="majorBidi" w:cstheme="majorBidi"/>
          <w:sz w:val="24"/>
          <w:szCs w:val="24"/>
        </w:rPr>
        <w:t>MOEI</w:t>
      </w:r>
      <w:r w:rsidRPr="005C149A">
        <w:rPr>
          <w:rFonts w:asciiTheme="majorBidi" w:hAnsiTheme="majorBidi" w:cstheme="majorBidi"/>
          <w:sz w:val="24"/>
          <w:szCs w:val="24"/>
        </w:rPr>
        <w:t>, MOWSA, the “Dig</w:t>
      </w:r>
      <w:r w:rsidR="007E1602">
        <w:rPr>
          <w:rFonts w:asciiTheme="majorBidi" w:hAnsiTheme="majorBidi" w:cstheme="majorBidi"/>
          <w:sz w:val="24"/>
          <w:szCs w:val="24"/>
        </w:rPr>
        <w:t xml:space="preserve">ital Israel” national venture, </w:t>
      </w:r>
      <w:r w:rsidRPr="005C149A">
        <w:rPr>
          <w:rFonts w:asciiTheme="majorBidi" w:hAnsiTheme="majorBidi" w:cstheme="majorBidi"/>
          <w:sz w:val="24"/>
          <w:szCs w:val="24"/>
        </w:rPr>
        <w:t>Beit I</w:t>
      </w:r>
      <w:r w:rsidR="007E1602">
        <w:rPr>
          <w:rFonts w:asciiTheme="majorBidi" w:hAnsiTheme="majorBidi" w:cstheme="majorBidi"/>
          <w:sz w:val="24"/>
          <w:szCs w:val="24"/>
        </w:rPr>
        <w:t>ssie Shapiro</w:t>
      </w:r>
      <w:r w:rsidRPr="005C149A">
        <w:rPr>
          <w:rFonts w:asciiTheme="majorBidi" w:hAnsiTheme="majorBidi" w:cstheme="majorBidi"/>
          <w:sz w:val="24"/>
          <w:szCs w:val="24"/>
        </w:rPr>
        <w:t xml:space="preserve"> organization and Atwaiezer Co., the MOH, the MOJ and the Innovation Authority have established a pilot program of "smart homes". The purpose of the program is to make the home accessible through technological accessories that will allow PWD to operate with more independence.</w:t>
      </w:r>
    </w:p>
    <w:p w14:paraId="1A744BC7" w14:textId="77777777" w:rsidR="00F37FC8" w:rsidRPr="005C149A" w:rsidRDefault="004A0AA8" w:rsidP="00327130">
      <w:pPr>
        <w:pStyle w:val="Heading2"/>
        <w:spacing w:before="0" w:after="0"/>
      </w:pPr>
      <w:r w:rsidRPr="005C149A">
        <w:t>Article 20</w:t>
      </w:r>
    </w:p>
    <w:p w14:paraId="7A8BE330"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35" w:name="_Toc100224055"/>
      <w:r w:rsidRPr="005C149A">
        <w:rPr>
          <w:rFonts w:asciiTheme="majorBidi" w:hAnsiTheme="majorBidi"/>
          <w:b/>
          <w:bCs/>
          <w:color w:val="auto"/>
          <w:sz w:val="24"/>
          <w:szCs w:val="24"/>
          <w:u w:val="single"/>
        </w:rPr>
        <w:t>Question 22</w:t>
      </w:r>
      <w:bookmarkEnd w:id="35"/>
    </w:p>
    <w:p w14:paraId="639796BB" w14:textId="77777777" w:rsidR="004A0AA8" w:rsidRPr="005C149A" w:rsidRDefault="004A0AA8" w:rsidP="004A0AA8">
      <w:pPr>
        <w:pStyle w:val="Heading3"/>
      </w:pPr>
      <w:bookmarkStart w:id="36" w:name="_Toc462859445"/>
      <w:bookmarkStart w:id="37" w:name="_Toc469567627"/>
      <w:bookmarkStart w:id="38" w:name="_Hlk77581720"/>
      <w:r w:rsidRPr="005C149A">
        <w:t>A. New Assistive Technologies for PWD</w:t>
      </w:r>
    </w:p>
    <w:p w14:paraId="497E6C29"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following is a partial list of studies and initiatives currently funded by the MOST that are relevant to PWD:</w:t>
      </w:r>
    </w:p>
    <w:p w14:paraId="12082DC6" w14:textId="77777777" w:rsidR="00F37FC8" w:rsidRPr="005C149A" w:rsidRDefault="00F37FC8" w:rsidP="00512329">
      <w:pPr>
        <w:pStyle w:val="ListParagraph"/>
        <w:numPr>
          <w:ilvl w:val="2"/>
          <w:numId w:val="4"/>
        </w:numPr>
        <w:autoSpaceDE w:val="0"/>
        <w:autoSpaceDN w:val="0"/>
        <w:adjustRightInd w:val="0"/>
        <w:spacing w:after="120" w:line="360" w:lineRule="auto"/>
        <w:ind w:left="851" w:hanging="284"/>
        <w:jc w:val="both"/>
        <w:rPr>
          <w:rFonts w:ascii="Times New Roman" w:hAnsi="Times New Roman" w:cs="Times New Roman"/>
          <w:sz w:val="24"/>
          <w:szCs w:val="24"/>
        </w:rPr>
      </w:pPr>
      <w:r w:rsidRPr="005C149A">
        <w:rPr>
          <w:rFonts w:ascii="Times New Roman" w:hAnsi="Times New Roman" w:cs="Times New Roman"/>
          <w:sz w:val="24"/>
          <w:szCs w:val="24"/>
        </w:rPr>
        <w:t>A brain-to-machine interface for the restoration of speech abilities;</w:t>
      </w:r>
    </w:p>
    <w:p w14:paraId="5ED0C657" w14:textId="77777777" w:rsidR="00F37FC8" w:rsidRPr="005C149A" w:rsidRDefault="00F37FC8" w:rsidP="00512329">
      <w:pPr>
        <w:pStyle w:val="ListParagraph"/>
        <w:numPr>
          <w:ilvl w:val="2"/>
          <w:numId w:val="4"/>
        </w:numPr>
        <w:autoSpaceDE w:val="0"/>
        <w:autoSpaceDN w:val="0"/>
        <w:adjustRightInd w:val="0"/>
        <w:spacing w:after="120" w:line="360" w:lineRule="auto"/>
        <w:ind w:left="851" w:hanging="284"/>
        <w:jc w:val="both"/>
        <w:rPr>
          <w:rFonts w:ascii="Times New Roman" w:hAnsi="Times New Roman" w:cs="Times New Roman"/>
          <w:sz w:val="24"/>
          <w:szCs w:val="24"/>
        </w:rPr>
      </w:pPr>
      <w:r w:rsidRPr="005C149A">
        <w:rPr>
          <w:rFonts w:ascii="Times New Roman" w:hAnsi="Times New Roman" w:cs="Times New Roman"/>
          <w:sz w:val="24"/>
          <w:szCs w:val="24"/>
        </w:rPr>
        <w:t xml:space="preserve">The use of in-depth learning methods, virtual reality and miniature portable sensors to diagnose motor cognitive impairments; </w:t>
      </w:r>
    </w:p>
    <w:p w14:paraId="0A55E767" w14:textId="77777777" w:rsidR="00F37FC8" w:rsidRPr="005C149A" w:rsidRDefault="00F37FC8" w:rsidP="00512329">
      <w:pPr>
        <w:pStyle w:val="ListParagraph"/>
        <w:numPr>
          <w:ilvl w:val="2"/>
          <w:numId w:val="4"/>
        </w:numPr>
        <w:autoSpaceDE w:val="0"/>
        <w:autoSpaceDN w:val="0"/>
        <w:adjustRightInd w:val="0"/>
        <w:spacing w:after="120" w:line="360" w:lineRule="auto"/>
        <w:ind w:left="851" w:hanging="284"/>
        <w:jc w:val="both"/>
        <w:rPr>
          <w:rFonts w:ascii="Times New Roman" w:hAnsi="Times New Roman" w:cs="Times New Roman"/>
          <w:sz w:val="24"/>
          <w:szCs w:val="24"/>
        </w:rPr>
      </w:pPr>
      <w:r w:rsidRPr="005C149A">
        <w:rPr>
          <w:rFonts w:ascii="Times New Roman" w:hAnsi="Times New Roman" w:cs="Times New Roman"/>
          <w:sz w:val="24"/>
          <w:szCs w:val="24"/>
        </w:rPr>
        <w:t>The development of innovative treatments for neurodegenerative diseases which combine advanced computational tools and experimental methods;</w:t>
      </w:r>
    </w:p>
    <w:p w14:paraId="1C9B0E32" w14:textId="77777777" w:rsidR="00F37FC8" w:rsidRPr="005C149A" w:rsidRDefault="00F37FC8" w:rsidP="00512329">
      <w:pPr>
        <w:pStyle w:val="ListParagraph"/>
        <w:numPr>
          <w:ilvl w:val="2"/>
          <w:numId w:val="4"/>
        </w:numPr>
        <w:autoSpaceDE w:val="0"/>
        <w:autoSpaceDN w:val="0"/>
        <w:adjustRightInd w:val="0"/>
        <w:spacing w:after="120" w:line="360" w:lineRule="auto"/>
        <w:ind w:left="851" w:hanging="284"/>
        <w:jc w:val="both"/>
        <w:rPr>
          <w:rFonts w:ascii="Times New Roman" w:hAnsi="Times New Roman" w:cs="Times New Roman"/>
          <w:sz w:val="24"/>
          <w:szCs w:val="24"/>
        </w:rPr>
      </w:pPr>
      <w:r w:rsidRPr="005C149A">
        <w:rPr>
          <w:rFonts w:ascii="Times New Roman" w:hAnsi="Times New Roman" w:cs="Times New Roman"/>
          <w:sz w:val="24"/>
          <w:szCs w:val="24"/>
        </w:rPr>
        <w:t>The quantification of autism symptoms in children through speech signal processing;</w:t>
      </w:r>
    </w:p>
    <w:p w14:paraId="037C5B5A" w14:textId="77777777" w:rsidR="00F37FC8" w:rsidRPr="005C149A" w:rsidRDefault="00F37FC8" w:rsidP="00512329">
      <w:pPr>
        <w:pStyle w:val="ListParagraph"/>
        <w:numPr>
          <w:ilvl w:val="2"/>
          <w:numId w:val="4"/>
        </w:numPr>
        <w:autoSpaceDE w:val="0"/>
        <w:autoSpaceDN w:val="0"/>
        <w:adjustRightInd w:val="0"/>
        <w:spacing w:after="120" w:line="360" w:lineRule="auto"/>
        <w:ind w:left="851" w:hanging="284"/>
        <w:jc w:val="both"/>
        <w:rPr>
          <w:rFonts w:ascii="Times New Roman" w:hAnsi="Times New Roman" w:cs="Times New Roman"/>
          <w:sz w:val="24"/>
          <w:szCs w:val="24"/>
        </w:rPr>
      </w:pPr>
      <w:r w:rsidRPr="005C149A">
        <w:rPr>
          <w:rFonts w:ascii="Times New Roman" w:hAnsi="Times New Roman" w:cs="Times New Roman"/>
          <w:sz w:val="24"/>
          <w:szCs w:val="24"/>
        </w:rPr>
        <w:t xml:space="preserve">The impact of a virtual reality-based remote rehabilitation program on the upper body function of persons with multiple sclerosis; </w:t>
      </w:r>
    </w:p>
    <w:p w14:paraId="54C92E3C" w14:textId="77777777" w:rsidR="00F37FC8" w:rsidRPr="005C149A" w:rsidRDefault="00F37FC8" w:rsidP="00512329">
      <w:pPr>
        <w:pStyle w:val="ListParagraph"/>
        <w:numPr>
          <w:ilvl w:val="2"/>
          <w:numId w:val="4"/>
        </w:numPr>
        <w:autoSpaceDE w:val="0"/>
        <w:autoSpaceDN w:val="0"/>
        <w:adjustRightInd w:val="0"/>
        <w:spacing w:after="120" w:line="360" w:lineRule="auto"/>
        <w:ind w:left="851" w:hanging="284"/>
        <w:jc w:val="both"/>
        <w:rPr>
          <w:rFonts w:ascii="Times New Roman" w:hAnsi="Times New Roman" w:cs="Times New Roman"/>
          <w:sz w:val="24"/>
          <w:szCs w:val="24"/>
        </w:rPr>
      </w:pPr>
      <w:r w:rsidRPr="005C149A">
        <w:rPr>
          <w:rFonts w:ascii="Times New Roman" w:hAnsi="Times New Roman" w:cs="Times New Roman"/>
          <w:sz w:val="24"/>
          <w:szCs w:val="24"/>
        </w:rPr>
        <w:t>The development and update of a smartphone-based system for improving walking, cognition and social involvement of the elderly with a history of falling;</w:t>
      </w:r>
    </w:p>
    <w:p w14:paraId="44FFA9E2" w14:textId="77777777" w:rsidR="00F37FC8" w:rsidRPr="005C149A" w:rsidRDefault="00F37FC8" w:rsidP="00512329">
      <w:pPr>
        <w:pStyle w:val="ListParagraph"/>
        <w:numPr>
          <w:ilvl w:val="2"/>
          <w:numId w:val="4"/>
        </w:numPr>
        <w:autoSpaceDE w:val="0"/>
        <w:autoSpaceDN w:val="0"/>
        <w:adjustRightInd w:val="0"/>
        <w:spacing w:after="120" w:line="360" w:lineRule="auto"/>
        <w:ind w:left="851" w:hanging="284"/>
        <w:jc w:val="both"/>
        <w:rPr>
          <w:rFonts w:ascii="Times New Roman" w:hAnsi="Times New Roman" w:cs="Times New Roman"/>
          <w:sz w:val="24"/>
          <w:szCs w:val="24"/>
        </w:rPr>
      </w:pPr>
      <w:r w:rsidRPr="005C149A">
        <w:rPr>
          <w:rFonts w:ascii="Times New Roman" w:hAnsi="Times New Roman" w:cs="Times New Roman"/>
          <w:sz w:val="24"/>
          <w:szCs w:val="24"/>
        </w:rPr>
        <w:t>The development of an efficient system obtaining transportation services for the elderly;</w:t>
      </w:r>
    </w:p>
    <w:p w14:paraId="1F252722" w14:textId="77777777" w:rsidR="00F37FC8" w:rsidRPr="005C149A" w:rsidRDefault="00F37FC8" w:rsidP="00F37FC8">
      <w:pPr>
        <w:pStyle w:val="ListParagraph"/>
        <w:autoSpaceDE w:val="0"/>
        <w:autoSpaceDN w:val="0"/>
        <w:adjustRightInd w:val="0"/>
        <w:spacing w:after="120" w:line="360" w:lineRule="auto"/>
        <w:ind w:left="567"/>
        <w:jc w:val="both"/>
        <w:rPr>
          <w:rFonts w:asciiTheme="majorBidi" w:hAnsiTheme="majorBidi" w:cstheme="majorBidi"/>
          <w:sz w:val="24"/>
          <w:szCs w:val="24"/>
          <w:u w:val="single"/>
        </w:rPr>
      </w:pPr>
      <w:r w:rsidRPr="005C149A">
        <w:rPr>
          <w:rFonts w:asciiTheme="majorBidi" w:hAnsiTheme="majorBidi" w:cstheme="majorBidi"/>
          <w:sz w:val="24"/>
          <w:szCs w:val="24"/>
          <w:u w:val="single"/>
        </w:rPr>
        <w:t>Hearing Aids</w:t>
      </w:r>
    </w:p>
    <w:p w14:paraId="6F5B09A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August 2020, the Ministry of Communications had amended the</w:t>
      </w:r>
      <w:r w:rsidRPr="005C149A">
        <w:rPr>
          <w:rFonts w:asciiTheme="majorBidi" w:hAnsiTheme="majorBidi" w:cstheme="majorBidi"/>
          <w:i/>
          <w:iCs/>
          <w:sz w:val="24"/>
          <w:szCs w:val="24"/>
        </w:rPr>
        <w:t xml:space="preserve"> Wireless Telegraph Order (Non-Applicability of the Ordinance) (No. 2)</w:t>
      </w:r>
      <w:r w:rsidRPr="005C149A">
        <w:rPr>
          <w:rFonts w:asciiTheme="majorBidi" w:hAnsiTheme="majorBidi" w:cstheme="majorBidi"/>
          <w:sz w:val="24"/>
          <w:szCs w:val="24"/>
        </w:rPr>
        <w:t xml:space="preserve"> 5742-1982. As part of the Amendment, additional wireless devices, such as wireless hearing aids and medical implants with telemetry transmissions, were added to the list of instruments listed in Section 1(a)(1) of the Order. These devices will be exempt from certain fees, and assist the manufacturers and importers of this type of equipment.</w:t>
      </w:r>
    </w:p>
    <w:p w14:paraId="128D743B"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2017, all applications for hearing aids and FM systems for minors were transferred from the MOH to external communications clinicians, which has improved the procedure. In addition, in 2019, the MOH exempted all families who purchased hearing aids for their children from the costs, which significantly relieved financial pressure (until 2019, they were required to cover 25% of the cost). </w:t>
      </w:r>
    </w:p>
    <w:p w14:paraId="57B0AFF5"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The National Research Center for Autism</w:t>
      </w:r>
    </w:p>
    <w:p w14:paraId="305B308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tl/>
        </w:rPr>
      </w:pPr>
      <w:r w:rsidRPr="005C149A">
        <w:rPr>
          <w:rFonts w:asciiTheme="majorBidi" w:hAnsiTheme="majorBidi" w:cstheme="majorBidi"/>
          <w:sz w:val="24"/>
          <w:szCs w:val="24"/>
        </w:rPr>
        <w:t>In 2018, the MOST allocated three (3) Million NIS (970,324 USD) to the Ben-Gurion University towards the joint establishment of the National Research Center for Autism with the Soroka Hospital. The Center provides services for assessing autism and tracking children's development, support services for families of children with autism, developing the Israeli database on autism, integrating clinical and academic research in all stages of autism assessment and treatment, conducting clinical trials with developing medication, and training doctors, researchers and students regarding autism.</w:t>
      </w:r>
      <w:r w:rsidRPr="005C149A">
        <w:rPr>
          <w:rFonts w:asciiTheme="majorBidi" w:hAnsiTheme="majorBidi" w:cstheme="majorBidi"/>
          <w:sz w:val="24"/>
          <w:szCs w:val="24"/>
          <w:rtl/>
        </w:rPr>
        <w:t xml:space="preserve"> </w:t>
      </w:r>
    </w:p>
    <w:bookmarkEnd w:id="36"/>
    <w:bookmarkEnd w:id="37"/>
    <w:bookmarkEnd w:id="38"/>
    <w:p w14:paraId="3560B149" w14:textId="77777777" w:rsidR="00F37FC8" w:rsidRPr="005C149A" w:rsidRDefault="00F37FC8" w:rsidP="00327130">
      <w:pPr>
        <w:pStyle w:val="Heading2"/>
        <w:spacing w:before="0" w:after="0"/>
      </w:pPr>
      <w:r w:rsidRPr="005C149A">
        <w:t xml:space="preserve">Article </w:t>
      </w:r>
      <w:r w:rsidR="004A0AA8" w:rsidRPr="005C149A">
        <w:t>21</w:t>
      </w:r>
    </w:p>
    <w:p w14:paraId="597E10FD"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39" w:name="_Toc100224056"/>
      <w:r w:rsidRPr="005C149A">
        <w:rPr>
          <w:rFonts w:asciiTheme="majorBidi" w:hAnsiTheme="majorBidi"/>
          <w:b/>
          <w:bCs/>
          <w:color w:val="auto"/>
          <w:sz w:val="24"/>
          <w:szCs w:val="24"/>
          <w:u w:val="single"/>
        </w:rPr>
        <w:t>Question 23</w:t>
      </w:r>
      <w:bookmarkEnd w:id="39"/>
    </w:p>
    <w:p w14:paraId="545EA116" w14:textId="77777777" w:rsidR="00F37FC8" w:rsidRPr="005C149A" w:rsidRDefault="004A0AA8" w:rsidP="00F37FC8">
      <w:pPr>
        <w:pStyle w:val="Heading3"/>
      </w:pPr>
      <w:r w:rsidRPr="005C149A">
        <w:t>B.</w:t>
      </w:r>
      <w:r w:rsidR="00F37FC8" w:rsidRPr="005C149A">
        <w:t xml:space="preserve"> Israeli Sign Language</w:t>
      </w:r>
    </w:p>
    <w:p w14:paraId="4D56A767" w14:textId="0EB54291" w:rsidR="00F37FC8" w:rsidRPr="005C149A" w:rsidRDefault="00F37FC8" w:rsidP="00B44BE2">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bCs/>
          <w:sz w:val="24"/>
          <w:szCs w:val="24"/>
        </w:rPr>
        <w:t xml:space="preserve">The Commission </w:t>
      </w:r>
      <w:r w:rsidRPr="005C149A">
        <w:rPr>
          <w:rFonts w:asciiTheme="majorBidi" w:hAnsiTheme="majorBidi" w:cstheme="majorBidi"/>
          <w:sz w:val="24"/>
          <w:szCs w:val="24"/>
        </w:rPr>
        <w:t>promotes</w:t>
      </w:r>
      <w:r w:rsidRPr="005C149A">
        <w:rPr>
          <w:rFonts w:asciiTheme="majorBidi" w:hAnsiTheme="majorBidi" w:cstheme="majorBidi"/>
          <w:bCs/>
          <w:sz w:val="24"/>
          <w:szCs w:val="24"/>
        </w:rPr>
        <w:t xml:space="preserve"> awareness on the world of sign language and protects the</w:t>
      </w:r>
      <w:r w:rsidRPr="005C149A">
        <w:rPr>
          <w:rFonts w:asciiTheme="majorBidi" w:hAnsiTheme="majorBidi" w:cstheme="majorBidi"/>
          <w:b/>
          <w:sz w:val="24"/>
          <w:szCs w:val="24"/>
        </w:rPr>
        <w:t xml:space="preserve"> </w:t>
      </w:r>
      <w:r w:rsidRPr="005C149A">
        <w:rPr>
          <w:rFonts w:asciiTheme="majorBidi" w:hAnsiTheme="majorBidi" w:cstheme="majorBidi"/>
          <w:sz w:val="24"/>
          <w:szCs w:val="24"/>
        </w:rPr>
        <w:t>right of individuals to receive sign language interpretation.</w:t>
      </w:r>
      <w:r w:rsidRPr="005C149A">
        <w:rPr>
          <w:sz w:val="24"/>
          <w:szCs w:val="24"/>
        </w:rPr>
        <w:t xml:space="preserve"> </w:t>
      </w:r>
      <w:r w:rsidRPr="005C149A">
        <w:rPr>
          <w:rFonts w:asciiTheme="majorBidi" w:hAnsiTheme="majorBidi" w:cstheme="majorBidi"/>
          <w:sz w:val="24"/>
          <w:szCs w:val="24"/>
        </w:rPr>
        <w:t xml:space="preserve">For example, in 2019, the Commission issued a position regarding the right of a person who only speaks sign language to receive translation in all oral education institutions, as part of professional and vocational training and higher education. </w:t>
      </w:r>
    </w:p>
    <w:p w14:paraId="1060EF2A" w14:textId="77777777" w:rsidR="00F37FC8" w:rsidRPr="005C149A" w:rsidRDefault="004A0AA8" w:rsidP="00327130">
      <w:pPr>
        <w:pStyle w:val="Heading2"/>
        <w:spacing w:before="0" w:after="0"/>
      </w:pPr>
      <w:r w:rsidRPr="005C149A">
        <w:t>Article 23</w:t>
      </w:r>
    </w:p>
    <w:p w14:paraId="71C3E271"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40" w:name="_Toc100224057"/>
      <w:r w:rsidRPr="005C149A">
        <w:rPr>
          <w:rFonts w:asciiTheme="majorBidi" w:hAnsiTheme="majorBidi"/>
          <w:b/>
          <w:bCs/>
          <w:color w:val="auto"/>
          <w:sz w:val="24"/>
          <w:szCs w:val="24"/>
          <w:u w:val="single"/>
        </w:rPr>
        <w:t>Question 24</w:t>
      </w:r>
      <w:bookmarkEnd w:id="40"/>
    </w:p>
    <w:p w14:paraId="02D2EE22" w14:textId="77777777" w:rsidR="004A0AA8" w:rsidRPr="005C149A" w:rsidRDefault="004A0AA8" w:rsidP="000423C8">
      <w:pPr>
        <w:pStyle w:val="Heading3"/>
        <w:rPr>
          <w:rtl/>
        </w:rPr>
      </w:pPr>
      <w:bookmarkStart w:id="41" w:name="_Toc462859455"/>
      <w:bookmarkStart w:id="42" w:name="_Toc469567637"/>
      <w:r w:rsidRPr="005C149A">
        <w:t xml:space="preserve">A. Alternative Care to Parents of </w:t>
      </w:r>
      <w:r w:rsidR="000423C8">
        <w:t>C</w:t>
      </w:r>
      <w:r w:rsidRPr="005C149A">
        <w:t>hildren with Disabilities</w:t>
      </w:r>
      <w:bookmarkEnd w:id="41"/>
      <w:bookmarkEnd w:id="42"/>
    </w:p>
    <w:p w14:paraId="7106432C" w14:textId="77777777" w:rsidR="00F37FC8" w:rsidRPr="005C149A" w:rsidRDefault="00F37FC8" w:rsidP="00362CD0">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A. Measures to avoid separation of children from their parents -</w:t>
      </w:r>
      <w:r w:rsidRPr="005C149A" w:rsidDel="00034D91">
        <w:rPr>
          <w:rFonts w:asciiTheme="majorBidi" w:hAnsiTheme="majorBidi" w:cstheme="majorBidi"/>
          <w:sz w:val="24"/>
          <w:szCs w:val="24"/>
        </w:rPr>
        <w:t xml:space="preserve"> </w:t>
      </w:r>
      <w:r w:rsidR="00362CD0" w:rsidRPr="005C149A">
        <w:rPr>
          <w:rFonts w:asciiTheme="majorBidi" w:hAnsiTheme="majorBidi" w:cstheme="majorBidi"/>
          <w:sz w:val="24"/>
          <w:szCs w:val="24"/>
        </w:rPr>
        <w:t>M</w:t>
      </w:r>
      <w:r w:rsidRPr="005C149A">
        <w:rPr>
          <w:rFonts w:asciiTheme="majorBidi" w:hAnsiTheme="majorBidi" w:cstheme="majorBidi"/>
          <w:sz w:val="24"/>
          <w:szCs w:val="24"/>
        </w:rPr>
        <w:t xml:space="preserve">any of the referrals and requests for alternative care are made with the consent and even initiative of the parents, and the process is often conducted in partnership with the parents. In potentially dangerous situations, involving neglect or domestic violence, the social service is involved and together with the parents there is an attempt to reduce the risk and allow the child to continue to stay with his/her family. In severely dangerous situations, involving abandonment of a child with disabilities or extreme violence, the social service has the authority to order the immediate removal of the child for her/his protection. In cases of temporary family crisis, the child will temporarily leave her/his home and in the meantime, the social service will provide the family the support needed so the child may return. </w:t>
      </w:r>
    </w:p>
    <w:p w14:paraId="184BF15D" w14:textId="5AC76574" w:rsidR="00F37FC8" w:rsidRPr="005C149A" w:rsidRDefault="00F37FC8" w:rsidP="00B44BE2">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general, the removal of a child to foster care will only be conducted after all the processes in the community have been exhausted, except in situations of imminent danger or risk. The mechanism for placing a child in foster care is as follows: obtaining a professional opinion from a social worker on the need for foster care, including comprehensive medical developmental and educational materials; decision of a treatment planning committee or diagnostic committee, in which the parents may take part and express their stance; approval of a foster care supervisor to begin the process of locating and adjusting a foster family. According to </w:t>
      </w:r>
      <w:r w:rsidR="00336800">
        <w:rPr>
          <w:rFonts w:asciiTheme="majorBidi" w:hAnsiTheme="majorBidi" w:cstheme="majorBidi"/>
          <w:sz w:val="24"/>
          <w:szCs w:val="24"/>
        </w:rPr>
        <w:t xml:space="preserve">the </w:t>
      </w:r>
      <w:r w:rsidRPr="005C149A">
        <w:rPr>
          <w:rFonts w:asciiTheme="majorBidi" w:hAnsiTheme="majorBidi" w:cstheme="majorBidi" w:hint="cs"/>
          <w:sz w:val="24"/>
          <w:szCs w:val="24"/>
        </w:rPr>
        <w:t>MOW</w:t>
      </w:r>
      <w:r w:rsidRPr="005C149A">
        <w:rPr>
          <w:rFonts w:asciiTheme="majorBidi" w:hAnsiTheme="majorBidi" w:cstheme="majorBidi"/>
          <w:sz w:val="24"/>
          <w:szCs w:val="24"/>
        </w:rPr>
        <w:t>SA DG Directive, as a rule, a removal  of a child up to age eight (8) will be to a foster family and not to an out-of-home full-care facility. The same rules apply to children with disabilities. If a child with a disability is removed from the custody of his/her parents and later returned to their custody, the return is conducted in a manner tailored to the specific needs of the child, while providing the necessary assistance to enable their proper upbringing, as with children without disabilities. The circumstances of removal from home dictate the return (for example, in certain cases of neglect or parental dysfunction, guidance can be provided).</w:t>
      </w:r>
    </w:p>
    <w:p w14:paraId="34774970"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Parents with Disabilities</w:t>
      </w:r>
    </w:p>
    <w:p w14:paraId="5F49208E" w14:textId="5DE6B1DB"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According to </w:t>
      </w:r>
      <w:r w:rsidR="00336800">
        <w:rPr>
          <w:rFonts w:asciiTheme="majorBidi" w:hAnsiTheme="majorBidi" w:cstheme="majorBidi"/>
          <w:sz w:val="24"/>
          <w:szCs w:val="24"/>
        </w:rPr>
        <w:t xml:space="preserve">the </w:t>
      </w:r>
      <w:r w:rsidRPr="005C149A">
        <w:rPr>
          <w:rFonts w:asciiTheme="majorBidi" w:hAnsiTheme="majorBidi" w:cstheme="majorBidi"/>
          <w:sz w:val="24"/>
          <w:szCs w:val="24"/>
        </w:rPr>
        <w:t>MOWSA policy in order to avoid separating family members to the extent possible, there is an alternative model of family support or "fostering”, in which children could be placed with foster families together with their parents, so that the family unit is not separated while dealing with a short-term crisis. When a child is removed from her/his home as a result of hospitalization of her/his parents or the chronic illness of a single parent, they may be placed in alternative care. Such placement is also possible for children with significant functional limitations who cannot be included in the community.</w:t>
      </w:r>
    </w:p>
    <w:p w14:paraId="1372E3BF" w14:textId="77777777" w:rsidR="004A0AA8" w:rsidRPr="005C149A" w:rsidRDefault="004A0AA8" w:rsidP="008427F3">
      <w:pPr>
        <w:pStyle w:val="Heading3"/>
      </w:pPr>
      <w:r w:rsidRPr="005C149A">
        <w:t>B. The Right to Parenthood</w:t>
      </w:r>
    </w:p>
    <w:p w14:paraId="3997C90A" w14:textId="77777777" w:rsidR="00F37FC8" w:rsidRPr="005C149A" w:rsidRDefault="00F37FC8" w:rsidP="004A0AA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Services and Programs for Parents with Disabilities</w:t>
      </w:r>
    </w:p>
    <w:p w14:paraId="0F08566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following is information on available services aimed to support parents with disabilities:  </w:t>
      </w:r>
    </w:p>
    <w:p w14:paraId="4DE6A798"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The MOWSA Programs:  </w:t>
      </w:r>
    </w:p>
    <w:p w14:paraId="24B862B0" w14:textId="77777777" w:rsidR="00F37FC8" w:rsidRPr="005C149A" w:rsidRDefault="00F37FC8" w:rsidP="00C000F6">
      <w:pPr>
        <w:pStyle w:val="ListParagraph"/>
        <w:numPr>
          <w:ilvl w:val="0"/>
          <w:numId w:val="13"/>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Pilot program - A program run by the MOWSA and JDC training for parents with disabilities. In this framework, parents are provided with at-home individual, spousal and parental guidance on strengthening parental functioning, family environment and relationships and empowerment for parents with disabilities. </w:t>
      </w:r>
    </w:p>
    <w:p w14:paraId="50AEC610" w14:textId="77777777" w:rsidR="00F37FC8" w:rsidRPr="005C149A" w:rsidRDefault="00F37FC8" w:rsidP="00362CD0">
      <w:pPr>
        <w:pStyle w:val="ListParagraph"/>
        <w:numPr>
          <w:ilvl w:val="0"/>
          <w:numId w:val="13"/>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United Family pilot programs </w:t>
      </w:r>
      <w:r w:rsidR="00362CD0" w:rsidRPr="005C149A">
        <w:rPr>
          <w:rFonts w:asciiTheme="majorBidi" w:hAnsiTheme="majorBidi" w:cstheme="majorBidi"/>
          <w:sz w:val="24"/>
          <w:szCs w:val="24"/>
        </w:rPr>
        <w:t>-</w:t>
      </w:r>
      <w:r w:rsidRPr="005C149A">
        <w:rPr>
          <w:rFonts w:asciiTheme="majorBidi" w:hAnsiTheme="majorBidi" w:cstheme="majorBidi"/>
          <w:sz w:val="24"/>
          <w:szCs w:val="24"/>
        </w:rPr>
        <w:t xml:space="preserve"> In this pilot program, which is provided in some cities throughout the country, families enjoy holistic support and guidance. This pilot program is an intensive program accompanying parents with intellectual disabilities and is aimed to prevent family members from being placed in separate housing frameworks, and it includes 24/7 at-home services and support for parents over long periods of time. </w:t>
      </w:r>
    </w:p>
    <w:p w14:paraId="5BF142A1" w14:textId="782C7713" w:rsidR="00F37FC8" w:rsidRPr="005C149A" w:rsidRDefault="00F37FC8" w:rsidP="00C000F6">
      <w:pPr>
        <w:pStyle w:val="ListParagraph"/>
        <w:numPr>
          <w:ilvl w:val="0"/>
          <w:numId w:val="13"/>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Sexual and spousal training - In order to normalize and encourage parenting and relationships, </w:t>
      </w:r>
      <w:r w:rsidR="00336800">
        <w:rPr>
          <w:rFonts w:asciiTheme="majorBidi" w:hAnsiTheme="majorBidi" w:cstheme="majorBidi"/>
          <w:sz w:val="24"/>
          <w:szCs w:val="24"/>
        </w:rPr>
        <w:t xml:space="preserve">the </w:t>
      </w:r>
      <w:r w:rsidRPr="005C149A">
        <w:rPr>
          <w:rFonts w:asciiTheme="majorBidi" w:hAnsiTheme="majorBidi" w:cstheme="majorBidi"/>
          <w:sz w:val="24"/>
          <w:szCs w:val="24"/>
        </w:rPr>
        <w:t xml:space="preserve">MOWSA produced a booklet with information on healthy sexuality and reproductive health, relationships counselling is offered, and social workers were trained on these issues. Additionally, six (6) centers nationwide offer training and sexual-social counseling and individual, spousal or group treatments. </w:t>
      </w:r>
    </w:p>
    <w:p w14:paraId="51960D21" w14:textId="77777777" w:rsidR="00F37FC8" w:rsidRPr="005C149A" w:rsidRDefault="00F37FC8" w:rsidP="00C000F6">
      <w:pPr>
        <w:pStyle w:val="ListParagraph"/>
        <w:numPr>
          <w:ilvl w:val="0"/>
          <w:numId w:val="13"/>
        </w:numPr>
        <w:spacing w:line="360" w:lineRule="auto"/>
        <w:ind w:left="993" w:hanging="426"/>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"Nitzan" (blossom) Parents - A program for parents with intellectual disabilities and/or learning disabilities and their children, providing individual and group guidance and support. </w:t>
      </w:r>
    </w:p>
    <w:p w14:paraId="04828162" w14:textId="592D839D" w:rsidR="00F37FC8" w:rsidRPr="005C149A" w:rsidRDefault="00336800" w:rsidP="002D3CE5">
      <w:pPr>
        <w:bidi w:val="0"/>
        <w:spacing w:after="0" w:line="360" w:lineRule="auto"/>
        <w:jc w:val="both"/>
        <w:rPr>
          <w:rFonts w:asciiTheme="majorBidi" w:hAnsiTheme="majorBidi" w:cstheme="majorBidi"/>
          <w:sz w:val="24"/>
          <w:szCs w:val="24"/>
          <w:u w:val="single"/>
        </w:rPr>
      </w:pPr>
      <w:r>
        <w:rPr>
          <w:rFonts w:asciiTheme="majorBidi" w:hAnsiTheme="majorBidi" w:cstheme="majorBidi"/>
          <w:sz w:val="24"/>
          <w:szCs w:val="24"/>
          <w:u w:val="single"/>
        </w:rPr>
        <w:t xml:space="preserve">The </w:t>
      </w:r>
      <w:r w:rsidR="00F37FC8" w:rsidRPr="005C149A">
        <w:rPr>
          <w:rFonts w:asciiTheme="majorBidi" w:hAnsiTheme="majorBidi" w:cstheme="majorBidi"/>
          <w:sz w:val="24"/>
          <w:szCs w:val="24"/>
          <w:u w:val="single"/>
        </w:rPr>
        <w:t>MOH Programs:</w:t>
      </w:r>
    </w:p>
    <w:p w14:paraId="1DAA50A4" w14:textId="77777777" w:rsidR="00F37FC8" w:rsidRPr="005C149A" w:rsidRDefault="00F37FC8" w:rsidP="00C000F6">
      <w:pPr>
        <w:pStyle w:val="ListParagraph"/>
        <w:numPr>
          <w:ilvl w:val="0"/>
          <w:numId w:val="35"/>
        </w:numPr>
        <w:spacing w:line="360" w:lineRule="auto"/>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“Tzipor Hanefesh” (The Bird of the Soul) center - This center operates in several locations nationwide. The center's goal is to help parents to cope with the possible effects of their disability on their parenting abilities, improve their parenting and maintain positive and healthy relationships, as part of a complete rehabilitation process. </w:t>
      </w:r>
    </w:p>
    <w:p w14:paraId="29E4545C" w14:textId="77777777" w:rsidR="00F37FC8" w:rsidRPr="005C149A" w:rsidRDefault="00F37FC8" w:rsidP="00C000F6">
      <w:pPr>
        <w:pStyle w:val="ListParagraph"/>
        <w:numPr>
          <w:ilvl w:val="0"/>
          <w:numId w:val="35"/>
        </w:numPr>
        <w:spacing w:line="360" w:lineRule="auto"/>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Professional training - There is a course for professionals in the MOH's Rehabilitation, Integration and Recovery School, which teaches group intervention for parents with disabilities. </w:t>
      </w:r>
    </w:p>
    <w:p w14:paraId="37850A6A" w14:textId="77777777" w:rsidR="00F37FC8" w:rsidRPr="005C149A" w:rsidRDefault="00F37FC8" w:rsidP="00C000F6">
      <w:pPr>
        <w:pStyle w:val="ListParagraph"/>
        <w:numPr>
          <w:ilvl w:val="0"/>
          <w:numId w:val="35"/>
        </w:numPr>
        <w:spacing w:line="360" w:lineRule="auto"/>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Family counselling centers - Centers which offer counseling and guidance services for families, operating through various non-governmental organizations and adapted to various cultural sectors nationwide. </w:t>
      </w:r>
    </w:p>
    <w:p w14:paraId="05ED58CE" w14:textId="77777777" w:rsidR="00F37FC8" w:rsidRPr="005C149A" w:rsidRDefault="00F37FC8" w:rsidP="00C000F6">
      <w:pPr>
        <w:pStyle w:val="ListParagraph"/>
        <w:numPr>
          <w:ilvl w:val="0"/>
          <w:numId w:val="35"/>
        </w:numPr>
        <w:spacing w:line="360" w:lineRule="auto"/>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Eve Clinic - for more information, see Article 25. </w:t>
      </w:r>
    </w:p>
    <w:p w14:paraId="7D749792"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Integrated programs:</w:t>
      </w:r>
    </w:p>
    <w:p w14:paraId="7CE7B9D7" w14:textId="77777777" w:rsidR="00F37FC8" w:rsidRPr="005C149A" w:rsidRDefault="00F37FC8" w:rsidP="00C000F6">
      <w:pPr>
        <w:pStyle w:val="ListParagraph"/>
        <w:numPr>
          <w:ilvl w:val="0"/>
          <w:numId w:val="36"/>
        </w:numPr>
        <w:spacing w:line="360" w:lineRule="auto"/>
        <w:contextualSpacing/>
        <w:jc w:val="both"/>
        <w:rPr>
          <w:rFonts w:asciiTheme="majorBidi" w:hAnsiTheme="majorBidi" w:cstheme="majorBidi"/>
          <w:sz w:val="24"/>
          <w:szCs w:val="24"/>
        </w:rPr>
      </w:pPr>
      <w:r w:rsidRPr="005C149A">
        <w:rPr>
          <w:rFonts w:asciiTheme="majorBidi" w:hAnsiTheme="majorBidi" w:cstheme="majorBidi"/>
          <w:sz w:val="24"/>
          <w:szCs w:val="24"/>
        </w:rPr>
        <w:t>The BROSH - Mental Health, Social Affairs and Rehabilitation Program - In the framework which is collaborative program by the MOWSA and MOH, intensive support services are provided to families of children up to the age of 12, in which one or both parents have mental disabilities. The support is provided at the family's home, when possible. The program provides a holistic therapeutic environment for the whole family. During the five (5) years of its operation, the program has assisted 48 families with 110 children.</w:t>
      </w:r>
    </w:p>
    <w:p w14:paraId="60D16C68"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Support for </w:t>
      </w:r>
      <w:r w:rsidR="004A0AA8" w:rsidRPr="005C149A">
        <w:rPr>
          <w:rFonts w:asciiTheme="majorBidi" w:hAnsiTheme="majorBidi" w:cstheme="majorBidi"/>
          <w:sz w:val="24"/>
          <w:szCs w:val="24"/>
          <w:u w:val="single"/>
        </w:rPr>
        <w:t>P</w:t>
      </w:r>
      <w:r w:rsidRPr="005C149A">
        <w:rPr>
          <w:rFonts w:asciiTheme="majorBidi" w:hAnsiTheme="majorBidi" w:cstheme="majorBidi"/>
          <w:sz w:val="24"/>
          <w:szCs w:val="24"/>
          <w:u w:val="single"/>
        </w:rPr>
        <w:t xml:space="preserve">arents of </w:t>
      </w:r>
      <w:r w:rsidR="004A0AA8" w:rsidRPr="005C149A">
        <w:rPr>
          <w:rFonts w:asciiTheme="majorBidi" w:hAnsiTheme="majorBidi" w:cstheme="majorBidi"/>
          <w:sz w:val="24"/>
          <w:szCs w:val="24"/>
          <w:u w:val="single"/>
        </w:rPr>
        <w:t>C</w:t>
      </w:r>
      <w:r w:rsidRPr="005C149A">
        <w:rPr>
          <w:rFonts w:asciiTheme="majorBidi" w:hAnsiTheme="majorBidi" w:cstheme="majorBidi"/>
          <w:sz w:val="24"/>
          <w:szCs w:val="24"/>
          <w:u w:val="single"/>
        </w:rPr>
        <w:t xml:space="preserve">hildren with </w:t>
      </w:r>
      <w:r w:rsidR="004A0AA8" w:rsidRPr="005C149A">
        <w:rPr>
          <w:rFonts w:asciiTheme="majorBidi" w:hAnsiTheme="majorBidi" w:cstheme="majorBidi"/>
          <w:sz w:val="24"/>
          <w:szCs w:val="24"/>
          <w:u w:val="single"/>
        </w:rPr>
        <w:t>D</w:t>
      </w:r>
      <w:r w:rsidRPr="005C149A">
        <w:rPr>
          <w:rFonts w:asciiTheme="majorBidi" w:hAnsiTheme="majorBidi" w:cstheme="majorBidi"/>
          <w:sz w:val="24"/>
          <w:szCs w:val="24"/>
          <w:u w:val="single"/>
        </w:rPr>
        <w:t>isabilities</w:t>
      </w:r>
    </w:p>
    <w:p w14:paraId="5D38C2FF" w14:textId="3591BED3" w:rsidR="00F37FC8" w:rsidRPr="005C149A" w:rsidRDefault="00336800" w:rsidP="00C000F6">
      <w:pPr>
        <w:pStyle w:val="ListParagraph"/>
        <w:numPr>
          <w:ilvl w:val="0"/>
          <w:numId w:val="22"/>
        </w:numPr>
        <w:spacing w:line="360" w:lineRule="auto"/>
        <w:ind w:left="567" w:hanging="567"/>
        <w:jc w:val="both"/>
        <w:rPr>
          <w:rFonts w:asciiTheme="majorBidi" w:hAnsiTheme="majorBidi" w:cstheme="majorBidi"/>
          <w:sz w:val="24"/>
          <w:szCs w:val="24"/>
        </w:rPr>
      </w:pPr>
      <w:r>
        <w:rPr>
          <w:rFonts w:asciiTheme="majorBidi" w:hAnsiTheme="majorBidi" w:cstheme="majorBidi"/>
          <w:sz w:val="24"/>
          <w:szCs w:val="24"/>
        </w:rPr>
        <w:t xml:space="preserve">The </w:t>
      </w:r>
      <w:r w:rsidR="00F37FC8" w:rsidRPr="005C149A">
        <w:rPr>
          <w:rFonts w:asciiTheme="majorBidi" w:hAnsiTheme="majorBidi" w:cstheme="majorBidi"/>
          <w:sz w:val="24"/>
          <w:szCs w:val="24"/>
        </w:rPr>
        <w:t xml:space="preserve">MOWSA is developing programs to support parents of children with disabilities, such as training and support programs for parents of children with disabilities up to age three (3), and parents of children with disabilities beyond age three (3). </w:t>
      </w:r>
    </w:p>
    <w:p w14:paraId="659D9C1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Commission works with parents of children with disabilities, either in response to public inquiries, assistance in protecting the children's rights by making schools accessible, or in preventing their discrimination in education and other areas. </w:t>
      </w:r>
    </w:p>
    <w:p w14:paraId="6A79BD99"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addition, the Commission provides families with information through various means about the rights of their children, and in recent years there were 15 lectures for parents given on behalf of the Commission.</w:t>
      </w:r>
    </w:p>
    <w:p w14:paraId="5B6B8CF8" w14:textId="77777777" w:rsidR="00F37FC8" w:rsidRPr="005C149A" w:rsidRDefault="00327130" w:rsidP="00327130">
      <w:pPr>
        <w:pStyle w:val="Heading2"/>
        <w:spacing w:before="0" w:after="0"/>
      </w:pPr>
      <w:r w:rsidRPr="005C149A">
        <w:t>Article 24</w:t>
      </w:r>
    </w:p>
    <w:p w14:paraId="480BDFA2"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43" w:name="_Toc100224058"/>
      <w:r w:rsidRPr="005C149A">
        <w:rPr>
          <w:rFonts w:asciiTheme="majorBidi" w:hAnsiTheme="majorBidi"/>
          <w:b/>
          <w:bCs/>
          <w:color w:val="auto"/>
          <w:sz w:val="24"/>
          <w:szCs w:val="24"/>
          <w:u w:val="single"/>
        </w:rPr>
        <w:t>Question 25</w:t>
      </w:r>
      <w:bookmarkEnd w:id="43"/>
    </w:p>
    <w:p w14:paraId="0A8F2604" w14:textId="77777777" w:rsidR="00F37FC8" w:rsidRPr="005C149A" w:rsidRDefault="004A0AA8" w:rsidP="00F37FC8">
      <w:pPr>
        <w:pStyle w:val="Heading3"/>
      </w:pPr>
      <w:bookmarkStart w:id="44" w:name="_Hlk77726177"/>
      <w:r w:rsidRPr="005C149A">
        <w:t>A.</w:t>
      </w:r>
      <w:r w:rsidR="00F37FC8" w:rsidRPr="005C149A">
        <w:t xml:space="preserve"> Promoting Inclusive Education</w:t>
      </w:r>
    </w:p>
    <w:p w14:paraId="30B22AF7"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July 2, 2018, as part of a reform in the special education system, Amendment No. 11 to the </w:t>
      </w:r>
      <w:r w:rsidRPr="005C149A">
        <w:rPr>
          <w:rFonts w:asciiTheme="majorBidi" w:hAnsiTheme="majorBidi" w:cstheme="majorBidi"/>
          <w:i/>
          <w:iCs/>
          <w:sz w:val="24"/>
          <w:szCs w:val="24"/>
        </w:rPr>
        <w:t xml:space="preserve">Special Education Law </w:t>
      </w:r>
      <w:r w:rsidRPr="005C149A">
        <w:rPr>
          <w:rFonts w:asciiTheme="majorBidi" w:hAnsiTheme="majorBidi" w:cstheme="majorBidi"/>
          <w:sz w:val="24"/>
          <w:szCs w:val="24"/>
        </w:rPr>
        <w:t xml:space="preserve">entered into force. As part of the implementation of the reform, the MOE established an Inclusion Division. This Division instils a new discourse in the MOE and develops tools and training activities. The required budgets have been allocated in order to implement this Amendment, through: building special education classrooms, developing administrative bodies for its implementation as well as integrating pupils with disabilities in the general education system. </w:t>
      </w:r>
    </w:p>
    <w:p w14:paraId="3E271275" w14:textId="77777777" w:rsidR="00F37FC8" w:rsidRPr="00D77095" w:rsidRDefault="00D77095" w:rsidP="00D77095">
      <w:pPr>
        <w:autoSpaceDE w:val="0"/>
        <w:autoSpaceDN w:val="0"/>
        <w:bidi w:val="0"/>
        <w:adjustRightInd w:val="0"/>
        <w:spacing w:after="120" w:line="360" w:lineRule="auto"/>
        <w:jc w:val="center"/>
        <w:rPr>
          <w:rFonts w:asciiTheme="majorBidi" w:eastAsia="Calibri" w:hAnsiTheme="majorBidi" w:cstheme="majorBidi"/>
          <w:b/>
          <w:bCs/>
          <w:sz w:val="24"/>
          <w:szCs w:val="24"/>
          <w:u w:val="single"/>
        </w:rPr>
      </w:pPr>
      <w:r w:rsidRPr="00D77095">
        <w:rPr>
          <w:rFonts w:asciiTheme="majorBidi" w:eastAsia="Calibri" w:hAnsiTheme="majorBidi" w:cstheme="majorBidi"/>
          <w:b/>
          <w:bCs/>
          <w:sz w:val="24"/>
          <w:szCs w:val="24"/>
          <w:u w:val="single"/>
        </w:rPr>
        <w:t xml:space="preserve">Table No. 3 - </w:t>
      </w:r>
      <w:r w:rsidR="00F37FC8" w:rsidRPr="00D77095">
        <w:rPr>
          <w:rFonts w:asciiTheme="majorBidi" w:eastAsia="Calibri" w:hAnsiTheme="majorBidi" w:cstheme="majorBidi"/>
          <w:b/>
          <w:bCs/>
          <w:sz w:val="24"/>
          <w:szCs w:val="24"/>
          <w:u w:val="single"/>
        </w:rPr>
        <w:t>Number of Pupils with Disabilities in Education</w:t>
      </w:r>
      <w:r w:rsidRPr="00D77095">
        <w:rPr>
          <w:rFonts w:asciiTheme="majorBidi" w:eastAsia="Calibri" w:hAnsiTheme="majorBidi" w:cstheme="majorBidi"/>
          <w:b/>
          <w:bCs/>
          <w:sz w:val="24"/>
          <w:szCs w:val="24"/>
          <w:u w:val="single"/>
        </w:rPr>
        <w:t xml:space="preserve"> System</w:t>
      </w:r>
      <w:r w:rsidR="00F37FC8" w:rsidRPr="00D77095">
        <w:rPr>
          <w:rFonts w:asciiTheme="majorBidi" w:eastAsia="Calibri" w:hAnsiTheme="majorBidi" w:cstheme="majorBidi"/>
          <w:b/>
          <w:bCs/>
          <w:sz w:val="24"/>
          <w:szCs w:val="24"/>
          <w:u w:val="single"/>
        </w:rPr>
        <w:t xml:space="preserve"> </w:t>
      </w:r>
      <w:r w:rsidRPr="00D77095">
        <w:rPr>
          <w:rFonts w:asciiTheme="majorBidi" w:eastAsia="Calibri" w:hAnsiTheme="majorBidi" w:cstheme="majorBidi"/>
          <w:b/>
          <w:bCs/>
          <w:sz w:val="24"/>
          <w:szCs w:val="24"/>
          <w:u w:val="single"/>
        </w:rPr>
        <w:t>(</w:t>
      </w:r>
      <w:r w:rsidR="00F37FC8" w:rsidRPr="00D77095">
        <w:rPr>
          <w:rFonts w:asciiTheme="majorBidi" w:eastAsia="Calibri" w:hAnsiTheme="majorBidi" w:cstheme="majorBidi"/>
          <w:b/>
          <w:bCs/>
          <w:sz w:val="24"/>
          <w:szCs w:val="24"/>
          <w:u w:val="single"/>
        </w:rPr>
        <w:t>2017-2022</w:t>
      </w:r>
      <w:r w:rsidRPr="00D77095">
        <w:rPr>
          <w:rFonts w:asciiTheme="majorBidi" w:eastAsia="Calibri" w:hAnsiTheme="majorBidi" w:cstheme="majorBidi"/>
          <w:b/>
          <w:bCs/>
          <w:sz w:val="24"/>
          <w:szCs w:val="24"/>
          <w:u w:val="single"/>
        </w:rPr>
        <w:t>)</w:t>
      </w:r>
    </w:p>
    <w:tbl>
      <w:tblPr>
        <w:tblStyle w:val="TableGrid"/>
        <w:bidiVisual/>
        <w:tblW w:w="8762" w:type="dxa"/>
        <w:tblLayout w:type="fixed"/>
        <w:tblLook w:val="04A0" w:firstRow="1" w:lastRow="0" w:firstColumn="1" w:lastColumn="0" w:noHBand="0" w:noVBand="1"/>
      </w:tblPr>
      <w:tblGrid>
        <w:gridCol w:w="1437"/>
        <w:gridCol w:w="2939"/>
        <w:gridCol w:w="1134"/>
        <w:gridCol w:w="1805"/>
        <w:gridCol w:w="1447"/>
      </w:tblGrid>
      <w:tr w:rsidR="00D77095" w:rsidRPr="00384397" w14:paraId="08A47E54" w14:textId="77777777" w:rsidTr="00D77095">
        <w:trPr>
          <w:trHeight w:val="645"/>
        </w:trPr>
        <w:tc>
          <w:tcPr>
            <w:tcW w:w="1437" w:type="dxa"/>
            <w:vMerge w:val="restart"/>
            <w:shd w:val="clear" w:color="auto" w:fill="D9D9D9" w:themeFill="background1" w:themeFillShade="D9"/>
            <w:vAlign w:val="center"/>
          </w:tcPr>
          <w:p w14:paraId="7BFBEC57" w14:textId="77777777" w:rsidR="00D77095" w:rsidRPr="00384397" w:rsidRDefault="00D77095" w:rsidP="00D77095">
            <w:pPr>
              <w:bidi w:val="0"/>
              <w:jc w:val="center"/>
              <w:rPr>
                <w:rFonts w:asciiTheme="majorBidi" w:eastAsia="Calibri" w:hAnsiTheme="majorBidi" w:cstheme="majorBidi"/>
                <w:b/>
                <w:bCs/>
                <w:sz w:val="20"/>
                <w:szCs w:val="20"/>
                <w:u w:val="single"/>
                <w:rtl/>
              </w:rPr>
            </w:pPr>
            <w:r w:rsidRPr="00384397">
              <w:rPr>
                <w:rFonts w:asciiTheme="majorBidi" w:eastAsia="Calibri" w:hAnsiTheme="majorBidi" w:cstheme="majorBidi"/>
                <w:b/>
                <w:bCs/>
                <w:sz w:val="20"/>
                <w:szCs w:val="20"/>
                <w:u w:val="single"/>
              </w:rPr>
              <w:t>No. of pupils mainstreamed in General Education</w:t>
            </w:r>
          </w:p>
        </w:tc>
        <w:tc>
          <w:tcPr>
            <w:tcW w:w="2939" w:type="dxa"/>
            <w:shd w:val="clear" w:color="auto" w:fill="D9D9D9" w:themeFill="background1" w:themeFillShade="D9"/>
          </w:tcPr>
          <w:p w14:paraId="0AA6BDA5" w14:textId="77777777" w:rsidR="00D77095" w:rsidRPr="00384397" w:rsidRDefault="00D77095" w:rsidP="00D77095">
            <w:pPr>
              <w:bidi w:val="0"/>
              <w:jc w:val="center"/>
              <w:rPr>
                <w:rFonts w:asciiTheme="majorBidi" w:eastAsia="Calibri" w:hAnsiTheme="majorBidi" w:cstheme="majorBidi"/>
                <w:b/>
                <w:bCs/>
                <w:sz w:val="20"/>
                <w:szCs w:val="20"/>
                <w:u w:val="single"/>
              </w:rPr>
            </w:pPr>
            <w:r w:rsidRPr="00384397">
              <w:rPr>
                <w:rFonts w:asciiTheme="majorBidi" w:eastAsia="Calibri" w:hAnsiTheme="majorBidi" w:cstheme="majorBidi"/>
                <w:b/>
                <w:bCs/>
                <w:sz w:val="20"/>
                <w:szCs w:val="20"/>
                <w:u w:val="single"/>
              </w:rPr>
              <w:t>Special Education Classes in general education</w:t>
            </w:r>
          </w:p>
        </w:tc>
        <w:tc>
          <w:tcPr>
            <w:tcW w:w="2939" w:type="dxa"/>
            <w:gridSpan w:val="2"/>
            <w:shd w:val="clear" w:color="auto" w:fill="D9D9D9" w:themeFill="background1" w:themeFillShade="D9"/>
            <w:vAlign w:val="center"/>
          </w:tcPr>
          <w:p w14:paraId="39C6161E" w14:textId="77777777" w:rsidR="00D77095" w:rsidRPr="00384397" w:rsidRDefault="00D77095" w:rsidP="00D77095">
            <w:pPr>
              <w:bidi w:val="0"/>
              <w:jc w:val="center"/>
              <w:rPr>
                <w:rFonts w:asciiTheme="majorBidi" w:eastAsia="Calibri" w:hAnsiTheme="majorBidi" w:cstheme="majorBidi"/>
                <w:b/>
                <w:bCs/>
                <w:sz w:val="20"/>
                <w:szCs w:val="20"/>
                <w:u w:val="single"/>
              </w:rPr>
            </w:pPr>
            <w:r w:rsidRPr="00384397">
              <w:rPr>
                <w:rFonts w:asciiTheme="majorBidi" w:eastAsia="Calibri" w:hAnsiTheme="majorBidi" w:cstheme="majorBidi"/>
                <w:b/>
                <w:bCs/>
                <w:sz w:val="20"/>
                <w:szCs w:val="20"/>
                <w:u w:val="single"/>
              </w:rPr>
              <w:t xml:space="preserve">Special Education </w:t>
            </w:r>
            <w:r>
              <w:rPr>
                <w:rFonts w:asciiTheme="majorBidi" w:eastAsia="Calibri" w:hAnsiTheme="majorBidi" w:cstheme="majorBidi"/>
                <w:b/>
                <w:bCs/>
                <w:sz w:val="20"/>
                <w:szCs w:val="20"/>
                <w:u w:val="single"/>
              </w:rPr>
              <w:t>S</w:t>
            </w:r>
            <w:r w:rsidRPr="00384397">
              <w:rPr>
                <w:rFonts w:asciiTheme="majorBidi" w:eastAsia="Calibri" w:hAnsiTheme="majorBidi" w:cstheme="majorBidi"/>
                <w:b/>
                <w:bCs/>
                <w:sz w:val="20"/>
                <w:szCs w:val="20"/>
                <w:u w:val="single"/>
              </w:rPr>
              <w:t>chools and pre-schools</w:t>
            </w:r>
          </w:p>
        </w:tc>
        <w:tc>
          <w:tcPr>
            <w:tcW w:w="1447" w:type="dxa"/>
            <w:vMerge w:val="restart"/>
            <w:shd w:val="clear" w:color="auto" w:fill="D9D9D9" w:themeFill="background1" w:themeFillShade="D9"/>
            <w:vAlign w:val="center"/>
          </w:tcPr>
          <w:p w14:paraId="7F4B590F" w14:textId="77777777" w:rsidR="00D77095" w:rsidRPr="00384397" w:rsidRDefault="00D77095" w:rsidP="00D77095">
            <w:pPr>
              <w:bidi w:val="0"/>
              <w:jc w:val="center"/>
              <w:rPr>
                <w:rFonts w:asciiTheme="majorBidi" w:eastAsia="Calibri" w:hAnsiTheme="majorBidi" w:cstheme="majorBidi"/>
                <w:b/>
                <w:bCs/>
                <w:sz w:val="20"/>
                <w:szCs w:val="20"/>
                <w:u w:val="single"/>
                <w:rtl/>
              </w:rPr>
            </w:pPr>
            <w:r w:rsidRPr="00384397">
              <w:rPr>
                <w:rFonts w:asciiTheme="majorBidi" w:eastAsia="Calibri" w:hAnsiTheme="majorBidi" w:cstheme="majorBidi"/>
                <w:b/>
                <w:bCs/>
                <w:sz w:val="20"/>
                <w:szCs w:val="20"/>
                <w:u w:val="single"/>
              </w:rPr>
              <w:t>School year</w:t>
            </w:r>
          </w:p>
        </w:tc>
      </w:tr>
      <w:tr w:rsidR="00D77095" w:rsidRPr="00384397" w14:paraId="7BF53B52" w14:textId="77777777" w:rsidTr="00D77095">
        <w:trPr>
          <w:trHeight w:val="645"/>
        </w:trPr>
        <w:tc>
          <w:tcPr>
            <w:tcW w:w="1437" w:type="dxa"/>
            <w:vMerge/>
          </w:tcPr>
          <w:p w14:paraId="298F02F5" w14:textId="77777777" w:rsidR="00D77095" w:rsidRPr="00384397" w:rsidRDefault="00D77095" w:rsidP="00D77095">
            <w:pPr>
              <w:bidi w:val="0"/>
              <w:jc w:val="center"/>
              <w:rPr>
                <w:rFonts w:asciiTheme="majorBidi" w:eastAsia="Calibri" w:hAnsiTheme="majorBidi" w:cstheme="majorBidi"/>
                <w:b/>
                <w:bCs/>
                <w:sz w:val="20"/>
                <w:szCs w:val="20"/>
                <w:u w:val="single"/>
              </w:rPr>
            </w:pPr>
          </w:p>
        </w:tc>
        <w:tc>
          <w:tcPr>
            <w:tcW w:w="2939" w:type="dxa"/>
            <w:shd w:val="clear" w:color="auto" w:fill="D9D9D9" w:themeFill="background1" w:themeFillShade="D9"/>
            <w:vAlign w:val="center"/>
          </w:tcPr>
          <w:p w14:paraId="6E712B72" w14:textId="77777777" w:rsidR="00D77095" w:rsidRPr="00384397" w:rsidRDefault="00D77095" w:rsidP="00D77095">
            <w:pPr>
              <w:bidi w:val="0"/>
              <w:jc w:val="center"/>
              <w:rPr>
                <w:rFonts w:asciiTheme="majorBidi" w:eastAsia="Calibri" w:hAnsiTheme="majorBidi" w:cstheme="majorBidi"/>
                <w:b/>
                <w:bCs/>
                <w:sz w:val="20"/>
                <w:szCs w:val="20"/>
                <w:u w:val="single"/>
              </w:rPr>
            </w:pPr>
            <w:r w:rsidRPr="00384397">
              <w:rPr>
                <w:rFonts w:asciiTheme="majorBidi" w:eastAsia="Calibri" w:hAnsiTheme="majorBidi" w:cstheme="majorBidi"/>
                <w:b/>
                <w:bCs/>
                <w:sz w:val="20"/>
                <w:szCs w:val="20"/>
                <w:u w:val="single"/>
              </w:rPr>
              <w:t>No. of pupils</w:t>
            </w:r>
          </w:p>
        </w:tc>
        <w:tc>
          <w:tcPr>
            <w:tcW w:w="1134" w:type="dxa"/>
            <w:shd w:val="clear" w:color="auto" w:fill="D9D9D9" w:themeFill="background1" w:themeFillShade="D9"/>
            <w:vAlign w:val="center"/>
          </w:tcPr>
          <w:p w14:paraId="069CA855" w14:textId="77777777" w:rsidR="00D77095" w:rsidRPr="00384397" w:rsidRDefault="00D77095" w:rsidP="00D77095">
            <w:pPr>
              <w:bidi w:val="0"/>
              <w:jc w:val="center"/>
              <w:rPr>
                <w:rFonts w:asciiTheme="majorBidi" w:eastAsia="Calibri" w:hAnsiTheme="majorBidi" w:cstheme="majorBidi"/>
                <w:b/>
                <w:bCs/>
                <w:sz w:val="20"/>
                <w:szCs w:val="20"/>
                <w:u w:val="single"/>
              </w:rPr>
            </w:pPr>
            <w:r w:rsidRPr="00384397">
              <w:rPr>
                <w:rFonts w:asciiTheme="majorBidi" w:eastAsia="Calibri" w:hAnsiTheme="majorBidi" w:cstheme="majorBidi"/>
                <w:b/>
                <w:bCs/>
                <w:sz w:val="20"/>
                <w:szCs w:val="20"/>
                <w:u w:val="single"/>
              </w:rPr>
              <w:t>schools No. of pupils</w:t>
            </w:r>
          </w:p>
        </w:tc>
        <w:tc>
          <w:tcPr>
            <w:tcW w:w="1805" w:type="dxa"/>
            <w:shd w:val="clear" w:color="auto" w:fill="D9D9D9" w:themeFill="background1" w:themeFillShade="D9"/>
            <w:vAlign w:val="center"/>
          </w:tcPr>
          <w:p w14:paraId="42F2785B" w14:textId="77777777" w:rsidR="00D77095" w:rsidRPr="00384397" w:rsidRDefault="00D77095" w:rsidP="00D77095">
            <w:pPr>
              <w:bidi w:val="0"/>
              <w:jc w:val="center"/>
              <w:rPr>
                <w:rFonts w:asciiTheme="majorBidi" w:eastAsia="Calibri" w:hAnsiTheme="majorBidi" w:cstheme="majorBidi"/>
                <w:b/>
                <w:bCs/>
                <w:sz w:val="20"/>
                <w:szCs w:val="20"/>
                <w:u w:val="single"/>
              </w:rPr>
            </w:pPr>
            <w:r w:rsidRPr="00384397">
              <w:rPr>
                <w:rFonts w:asciiTheme="majorBidi" w:eastAsia="Calibri" w:hAnsiTheme="majorBidi" w:cstheme="majorBidi"/>
                <w:b/>
                <w:bCs/>
                <w:sz w:val="20"/>
                <w:szCs w:val="20"/>
                <w:u w:val="single"/>
              </w:rPr>
              <w:t>Kindergartens No. of pupils</w:t>
            </w:r>
          </w:p>
        </w:tc>
        <w:tc>
          <w:tcPr>
            <w:tcW w:w="1447" w:type="dxa"/>
            <w:vMerge/>
          </w:tcPr>
          <w:p w14:paraId="6B000CBA" w14:textId="77777777" w:rsidR="00D77095" w:rsidRPr="00384397" w:rsidRDefault="00D77095" w:rsidP="00D77095">
            <w:pPr>
              <w:bidi w:val="0"/>
              <w:jc w:val="center"/>
              <w:rPr>
                <w:rFonts w:asciiTheme="majorBidi" w:eastAsia="Calibri" w:hAnsiTheme="majorBidi" w:cstheme="majorBidi"/>
                <w:b/>
                <w:bCs/>
                <w:sz w:val="20"/>
                <w:szCs w:val="20"/>
                <w:u w:val="single"/>
              </w:rPr>
            </w:pPr>
          </w:p>
        </w:tc>
      </w:tr>
      <w:tr w:rsidR="00D77095" w:rsidRPr="00384397" w14:paraId="49BF57EE" w14:textId="77777777" w:rsidTr="00D77095">
        <w:tc>
          <w:tcPr>
            <w:tcW w:w="1437" w:type="dxa"/>
            <w:vAlign w:val="center"/>
          </w:tcPr>
          <w:p w14:paraId="09F1AD75"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hAnsiTheme="majorBidi" w:cstheme="majorBidi"/>
                <w:sz w:val="20"/>
                <w:szCs w:val="20"/>
              </w:rPr>
              <w:t>164,190</w:t>
            </w:r>
          </w:p>
        </w:tc>
        <w:tc>
          <w:tcPr>
            <w:tcW w:w="2939" w:type="dxa"/>
            <w:vAlign w:val="bottom"/>
          </w:tcPr>
          <w:p w14:paraId="17980DF0"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Pr>
              <w:t>46,678</w:t>
            </w:r>
          </w:p>
        </w:tc>
        <w:tc>
          <w:tcPr>
            <w:tcW w:w="1134" w:type="dxa"/>
          </w:tcPr>
          <w:p w14:paraId="3F5B7F03"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tl/>
              </w:rPr>
              <w:t>27,768</w:t>
            </w:r>
          </w:p>
        </w:tc>
        <w:tc>
          <w:tcPr>
            <w:tcW w:w="1805" w:type="dxa"/>
          </w:tcPr>
          <w:p w14:paraId="3424733A" w14:textId="77777777" w:rsidR="00D77095" w:rsidRPr="00384397" w:rsidRDefault="00D77095" w:rsidP="00D77095">
            <w:pPr>
              <w:bidi w:val="0"/>
              <w:jc w:val="center"/>
              <w:rPr>
                <w:rFonts w:asciiTheme="majorBidi" w:eastAsia="Calibri" w:hAnsiTheme="majorBidi" w:cstheme="majorBidi"/>
                <w:sz w:val="20"/>
                <w:szCs w:val="20"/>
              </w:rPr>
            </w:pPr>
            <w:r w:rsidRPr="00384397">
              <w:rPr>
                <w:rFonts w:asciiTheme="majorBidi" w:eastAsia="Calibri" w:hAnsiTheme="majorBidi" w:cstheme="majorBidi"/>
                <w:sz w:val="20"/>
                <w:szCs w:val="20"/>
              </w:rPr>
              <w:t>21,383</w:t>
            </w:r>
          </w:p>
        </w:tc>
        <w:tc>
          <w:tcPr>
            <w:tcW w:w="1447" w:type="dxa"/>
          </w:tcPr>
          <w:p w14:paraId="75654971" w14:textId="77777777" w:rsidR="00D77095" w:rsidRPr="00384397" w:rsidRDefault="00D77095" w:rsidP="00D77095">
            <w:pPr>
              <w:bidi w:val="0"/>
              <w:jc w:val="center"/>
              <w:rPr>
                <w:rFonts w:asciiTheme="majorBidi" w:eastAsia="Calibri" w:hAnsiTheme="majorBidi" w:cstheme="majorBidi"/>
                <w:b/>
                <w:bCs/>
                <w:sz w:val="20"/>
                <w:szCs w:val="20"/>
                <w:rtl/>
              </w:rPr>
            </w:pPr>
            <w:r w:rsidRPr="00384397">
              <w:rPr>
                <w:rFonts w:asciiTheme="majorBidi" w:eastAsia="Calibri" w:hAnsiTheme="majorBidi" w:cstheme="majorBidi"/>
                <w:b/>
                <w:bCs/>
                <w:sz w:val="20"/>
                <w:szCs w:val="20"/>
                <w:rtl/>
              </w:rPr>
              <w:t>2017-2018</w:t>
            </w:r>
          </w:p>
        </w:tc>
      </w:tr>
      <w:tr w:rsidR="00D77095" w:rsidRPr="00384397" w14:paraId="2B81BB1E" w14:textId="77777777" w:rsidTr="00D77095">
        <w:tc>
          <w:tcPr>
            <w:tcW w:w="1437" w:type="dxa"/>
          </w:tcPr>
          <w:p w14:paraId="4C9D243F"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hAnsiTheme="majorBidi" w:cstheme="majorBidi"/>
                <w:sz w:val="20"/>
                <w:szCs w:val="20"/>
              </w:rPr>
              <w:t>176,560</w:t>
            </w:r>
          </w:p>
        </w:tc>
        <w:tc>
          <w:tcPr>
            <w:tcW w:w="2939" w:type="dxa"/>
            <w:vAlign w:val="bottom"/>
          </w:tcPr>
          <w:p w14:paraId="4384561C"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Pr>
              <w:t>46,224</w:t>
            </w:r>
          </w:p>
        </w:tc>
        <w:tc>
          <w:tcPr>
            <w:tcW w:w="1134" w:type="dxa"/>
          </w:tcPr>
          <w:p w14:paraId="46E8461D"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tl/>
              </w:rPr>
              <w:t>29,235</w:t>
            </w:r>
          </w:p>
        </w:tc>
        <w:tc>
          <w:tcPr>
            <w:tcW w:w="1805" w:type="dxa"/>
          </w:tcPr>
          <w:p w14:paraId="57D6AD7C" w14:textId="77777777" w:rsidR="00D77095" w:rsidRPr="00384397" w:rsidRDefault="00D77095" w:rsidP="00D77095">
            <w:pPr>
              <w:bidi w:val="0"/>
              <w:jc w:val="center"/>
              <w:rPr>
                <w:rFonts w:asciiTheme="majorBidi" w:eastAsia="Calibri" w:hAnsiTheme="majorBidi" w:cstheme="majorBidi"/>
                <w:sz w:val="20"/>
                <w:szCs w:val="20"/>
              </w:rPr>
            </w:pPr>
            <w:r w:rsidRPr="00384397">
              <w:rPr>
                <w:rFonts w:asciiTheme="majorBidi" w:eastAsia="Calibri" w:hAnsiTheme="majorBidi" w:cstheme="majorBidi"/>
                <w:sz w:val="20"/>
                <w:szCs w:val="20"/>
              </w:rPr>
              <w:t>22,738</w:t>
            </w:r>
          </w:p>
        </w:tc>
        <w:tc>
          <w:tcPr>
            <w:tcW w:w="1447" w:type="dxa"/>
          </w:tcPr>
          <w:p w14:paraId="61CA5DEA" w14:textId="77777777" w:rsidR="00D77095" w:rsidRPr="00384397" w:rsidRDefault="00D77095" w:rsidP="00D77095">
            <w:pPr>
              <w:bidi w:val="0"/>
              <w:jc w:val="center"/>
              <w:rPr>
                <w:rFonts w:asciiTheme="majorBidi" w:eastAsia="Calibri" w:hAnsiTheme="majorBidi" w:cstheme="majorBidi"/>
                <w:b/>
                <w:bCs/>
                <w:sz w:val="20"/>
                <w:szCs w:val="20"/>
                <w:rtl/>
              </w:rPr>
            </w:pPr>
            <w:r w:rsidRPr="00384397">
              <w:rPr>
                <w:rFonts w:asciiTheme="majorBidi" w:eastAsia="Calibri" w:hAnsiTheme="majorBidi" w:cstheme="majorBidi"/>
                <w:b/>
                <w:bCs/>
                <w:sz w:val="20"/>
                <w:szCs w:val="20"/>
                <w:rtl/>
              </w:rPr>
              <w:t>2018-2019</w:t>
            </w:r>
          </w:p>
        </w:tc>
      </w:tr>
      <w:tr w:rsidR="00D77095" w:rsidRPr="00384397" w14:paraId="3A7E2150" w14:textId="77777777" w:rsidTr="00D77095">
        <w:tc>
          <w:tcPr>
            <w:tcW w:w="1437" w:type="dxa"/>
          </w:tcPr>
          <w:p w14:paraId="2AF430F6" w14:textId="77777777" w:rsidR="00D77095" w:rsidRPr="00384397" w:rsidRDefault="00D77095" w:rsidP="00D77095">
            <w:pPr>
              <w:bidi w:val="0"/>
              <w:jc w:val="center"/>
              <w:rPr>
                <w:rFonts w:asciiTheme="majorBidi" w:eastAsia="Calibri" w:hAnsiTheme="majorBidi" w:cstheme="majorBidi"/>
                <w:sz w:val="20"/>
                <w:szCs w:val="20"/>
              </w:rPr>
            </w:pPr>
            <w:r w:rsidRPr="00384397">
              <w:rPr>
                <w:rFonts w:asciiTheme="majorBidi" w:hAnsiTheme="majorBidi" w:cstheme="majorBidi"/>
                <w:sz w:val="20"/>
                <w:szCs w:val="20"/>
              </w:rPr>
              <w:t>181,133</w:t>
            </w:r>
          </w:p>
        </w:tc>
        <w:tc>
          <w:tcPr>
            <w:tcW w:w="2939" w:type="dxa"/>
            <w:vAlign w:val="bottom"/>
          </w:tcPr>
          <w:p w14:paraId="750716A5"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Pr>
              <w:t>47,227</w:t>
            </w:r>
          </w:p>
        </w:tc>
        <w:tc>
          <w:tcPr>
            <w:tcW w:w="1134" w:type="dxa"/>
          </w:tcPr>
          <w:p w14:paraId="2BFCAA82"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tl/>
              </w:rPr>
              <w:t>30,592</w:t>
            </w:r>
          </w:p>
        </w:tc>
        <w:tc>
          <w:tcPr>
            <w:tcW w:w="1805" w:type="dxa"/>
          </w:tcPr>
          <w:p w14:paraId="17260CBA" w14:textId="77777777" w:rsidR="00D77095" w:rsidRPr="00384397" w:rsidRDefault="00D77095" w:rsidP="00D77095">
            <w:pPr>
              <w:bidi w:val="0"/>
              <w:jc w:val="center"/>
              <w:rPr>
                <w:rFonts w:asciiTheme="majorBidi" w:eastAsia="Calibri" w:hAnsiTheme="majorBidi" w:cstheme="majorBidi"/>
                <w:sz w:val="20"/>
                <w:szCs w:val="20"/>
              </w:rPr>
            </w:pPr>
            <w:r w:rsidRPr="00384397">
              <w:rPr>
                <w:rFonts w:asciiTheme="majorBidi" w:eastAsia="Calibri" w:hAnsiTheme="majorBidi" w:cstheme="majorBidi"/>
                <w:sz w:val="20"/>
                <w:szCs w:val="20"/>
              </w:rPr>
              <w:t>24,026</w:t>
            </w:r>
          </w:p>
        </w:tc>
        <w:tc>
          <w:tcPr>
            <w:tcW w:w="1447" w:type="dxa"/>
          </w:tcPr>
          <w:p w14:paraId="29C30AB2" w14:textId="77777777" w:rsidR="00D77095" w:rsidRPr="00384397" w:rsidRDefault="00D77095" w:rsidP="00D77095">
            <w:pPr>
              <w:bidi w:val="0"/>
              <w:jc w:val="center"/>
              <w:rPr>
                <w:rFonts w:asciiTheme="majorBidi" w:eastAsia="Calibri" w:hAnsiTheme="majorBidi" w:cstheme="majorBidi"/>
                <w:b/>
                <w:bCs/>
                <w:sz w:val="20"/>
                <w:szCs w:val="20"/>
                <w:rtl/>
              </w:rPr>
            </w:pPr>
            <w:r w:rsidRPr="00384397">
              <w:rPr>
                <w:rFonts w:asciiTheme="majorBidi" w:eastAsia="Calibri" w:hAnsiTheme="majorBidi" w:cstheme="majorBidi"/>
                <w:b/>
                <w:bCs/>
                <w:sz w:val="20"/>
                <w:szCs w:val="20"/>
                <w:rtl/>
              </w:rPr>
              <w:t>2019-2020</w:t>
            </w:r>
          </w:p>
        </w:tc>
      </w:tr>
      <w:tr w:rsidR="00D77095" w:rsidRPr="00384397" w14:paraId="124ABE05" w14:textId="77777777" w:rsidTr="00D77095">
        <w:tc>
          <w:tcPr>
            <w:tcW w:w="1437" w:type="dxa"/>
          </w:tcPr>
          <w:p w14:paraId="13D0BAF4"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hAnsiTheme="majorBidi" w:cstheme="majorBidi"/>
                <w:sz w:val="20"/>
                <w:szCs w:val="20"/>
              </w:rPr>
              <w:t>182,119</w:t>
            </w:r>
          </w:p>
        </w:tc>
        <w:tc>
          <w:tcPr>
            <w:tcW w:w="2939" w:type="dxa"/>
            <w:vAlign w:val="bottom"/>
          </w:tcPr>
          <w:p w14:paraId="49A0E1A8" w14:textId="77777777" w:rsidR="00D77095" w:rsidRPr="00384397" w:rsidRDefault="00D77095" w:rsidP="00D77095">
            <w:pPr>
              <w:tabs>
                <w:tab w:val="left" w:pos="493"/>
              </w:tabs>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Pr>
              <w:t>49,763</w:t>
            </w:r>
          </w:p>
        </w:tc>
        <w:tc>
          <w:tcPr>
            <w:tcW w:w="1134" w:type="dxa"/>
          </w:tcPr>
          <w:p w14:paraId="3BFDBAA8" w14:textId="77777777" w:rsidR="00D77095" w:rsidRPr="00384397" w:rsidRDefault="00D77095" w:rsidP="00D77095">
            <w:pPr>
              <w:tabs>
                <w:tab w:val="left" w:pos="493"/>
              </w:tabs>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tl/>
              </w:rPr>
              <w:t>31,410</w:t>
            </w:r>
          </w:p>
        </w:tc>
        <w:tc>
          <w:tcPr>
            <w:tcW w:w="1805" w:type="dxa"/>
          </w:tcPr>
          <w:p w14:paraId="0FEE8398" w14:textId="77777777" w:rsidR="00D77095" w:rsidRPr="00384397" w:rsidRDefault="00D77095" w:rsidP="00D77095">
            <w:pPr>
              <w:bidi w:val="0"/>
              <w:jc w:val="center"/>
              <w:rPr>
                <w:rFonts w:asciiTheme="majorBidi" w:eastAsia="Calibri" w:hAnsiTheme="majorBidi" w:cstheme="majorBidi"/>
                <w:sz w:val="20"/>
                <w:szCs w:val="20"/>
              </w:rPr>
            </w:pPr>
            <w:r w:rsidRPr="00384397">
              <w:rPr>
                <w:rFonts w:asciiTheme="majorBidi" w:eastAsia="Calibri" w:hAnsiTheme="majorBidi" w:cstheme="majorBidi"/>
                <w:sz w:val="20"/>
                <w:szCs w:val="20"/>
              </w:rPr>
              <w:t>23,953</w:t>
            </w:r>
          </w:p>
        </w:tc>
        <w:tc>
          <w:tcPr>
            <w:tcW w:w="1447" w:type="dxa"/>
          </w:tcPr>
          <w:p w14:paraId="4C3B1969" w14:textId="77777777" w:rsidR="00D77095" w:rsidRPr="00384397" w:rsidRDefault="00D77095" w:rsidP="00D77095">
            <w:pPr>
              <w:bidi w:val="0"/>
              <w:jc w:val="center"/>
              <w:rPr>
                <w:rFonts w:asciiTheme="majorBidi" w:eastAsia="Calibri" w:hAnsiTheme="majorBidi" w:cstheme="majorBidi"/>
                <w:b/>
                <w:bCs/>
                <w:sz w:val="20"/>
                <w:szCs w:val="20"/>
                <w:rtl/>
              </w:rPr>
            </w:pPr>
            <w:r w:rsidRPr="00384397">
              <w:rPr>
                <w:rFonts w:asciiTheme="majorBidi" w:eastAsia="Calibri" w:hAnsiTheme="majorBidi" w:cstheme="majorBidi"/>
                <w:b/>
                <w:bCs/>
                <w:sz w:val="20"/>
                <w:szCs w:val="20"/>
                <w:rtl/>
              </w:rPr>
              <w:t>2020-2021</w:t>
            </w:r>
          </w:p>
        </w:tc>
      </w:tr>
      <w:tr w:rsidR="00D77095" w:rsidRPr="00384397" w14:paraId="638D2216" w14:textId="77777777" w:rsidTr="00D77095">
        <w:tc>
          <w:tcPr>
            <w:tcW w:w="1437" w:type="dxa"/>
          </w:tcPr>
          <w:p w14:paraId="5868765E"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hAnsiTheme="majorBidi" w:cstheme="majorBidi"/>
                <w:sz w:val="20"/>
                <w:szCs w:val="20"/>
              </w:rPr>
              <w:t>172,796</w:t>
            </w:r>
          </w:p>
        </w:tc>
        <w:tc>
          <w:tcPr>
            <w:tcW w:w="2939" w:type="dxa"/>
            <w:vAlign w:val="bottom"/>
          </w:tcPr>
          <w:p w14:paraId="3A91E8F6"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Pr>
              <w:t>54,406</w:t>
            </w:r>
          </w:p>
        </w:tc>
        <w:tc>
          <w:tcPr>
            <w:tcW w:w="1134" w:type="dxa"/>
          </w:tcPr>
          <w:p w14:paraId="0AA30607" w14:textId="77777777" w:rsidR="00D77095" w:rsidRPr="00384397" w:rsidRDefault="00D77095" w:rsidP="00D77095">
            <w:pPr>
              <w:bidi w:val="0"/>
              <w:jc w:val="center"/>
              <w:rPr>
                <w:rFonts w:asciiTheme="majorBidi" w:eastAsia="Calibri" w:hAnsiTheme="majorBidi" w:cstheme="majorBidi"/>
                <w:sz w:val="20"/>
                <w:szCs w:val="20"/>
                <w:rtl/>
              </w:rPr>
            </w:pPr>
            <w:r w:rsidRPr="00384397">
              <w:rPr>
                <w:rFonts w:asciiTheme="majorBidi" w:eastAsia="Calibri" w:hAnsiTheme="majorBidi" w:cstheme="majorBidi"/>
                <w:sz w:val="20"/>
                <w:szCs w:val="20"/>
                <w:rtl/>
              </w:rPr>
              <w:t>32,496</w:t>
            </w:r>
          </w:p>
        </w:tc>
        <w:tc>
          <w:tcPr>
            <w:tcW w:w="1805" w:type="dxa"/>
          </w:tcPr>
          <w:p w14:paraId="2B2AFA29" w14:textId="77777777" w:rsidR="00D77095" w:rsidRPr="00384397" w:rsidRDefault="00D77095" w:rsidP="00D77095">
            <w:pPr>
              <w:bidi w:val="0"/>
              <w:jc w:val="center"/>
              <w:rPr>
                <w:rFonts w:asciiTheme="majorBidi" w:eastAsia="Calibri" w:hAnsiTheme="majorBidi" w:cstheme="majorBidi"/>
                <w:sz w:val="20"/>
                <w:szCs w:val="20"/>
              </w:rPr>
            </w:pPr>
            <w:r w:rsidRPr="00384397">
              <w:rPr>
                <w:rFonts w:asciiTheme="majorBidi" w:eastAsia="Calibri" w:hAnsiTheme="majorBidi" w:cstheme="majorBidi"/>
                <w:sz w:val="20"/>
                <w:szCs w:val="20"/>
              </w:rPr>
              <w:t>25,441</w:t>
            </w:r>
          </w:p>
        </w:tc>
        <w:tc>
          <w:tcPr>
            <w:tcW w:w="1447" w:type="dxa"/>
          </w:tcPr>
          <w:p w14:paraId="2ACBB28A" w14:textId="77777777" w:rsidR="00D77095" w:rsidRPr="00384397" w:rsidRDefault="00D77095" w:rsidP="00D77095">
            <w:pPr>
              <w:bidi w:val="0"/>
              <w:jc w:val="center"/>
              <w:rPr>
                <w:rFonts w:asciiTheme="majorBidi" w:eastAsia="Calibri" w:hAnsiTheme="majorBidi" w:cstheme="majorBidi"/>
                <w:b/>
                <w:bCs/>
                <w:sz w:val="20"/>
                <w:szCs w:val="20"/>
                <w:rtl/>
              </w:rPr>
            </w:pPr>
            <w:r w:rsidRPr="00384397">
              <w:rPr>
                <w:rFonts w:asciiTheme="majorBidi" w:eastAsia="Calibri" w:hAnsiTheme="majorBidi" w:cstheme="majorBidi"/>
                <w:b/>
                <w:bCs/>
                <w:sz w:val="20"/>
                <w:szCs w:val="20"/>
                <w:rtl/>
              </w:rPr>
              <w:t>2021-2022</w:t>
            </w:r>
          </w:p>
        </w:tc>
      </w:tr>
    </w:tbl>
    <w:p w14:paraId="38618A8C" w14:textId="77777777" w:rsidR="00F37FC8" w:rsidRDefault="00D77095" w:rsidP="00C000F6">
      <w:pPr>
        <w:pStyle w:val="SingleTxtG"/>
        <w:numPr>
          <w:ilvl w:val="0"/>
          <w:numId w:val="9"/>
        </w:numPr>
        <w:spacing w:line="240" w:lineRule="auto"/>
        <w:ind w:left="284" w:firstLine="0"/>
        <w:rPr>
          <w:rFonts w:asciiTheme="majorBidi" w:hAnsiTheme="majorBidi" w:cstheme="majorBidi"/>
          <w:i/>
          <w:iCs/>
        </w:rPr>
      </w:pPr>
      <w:r w:rsidRPr="00D77095">
        <w:rPr>
          <w:rFonts w:asciiTheme="majorBidi" w:hAnsiTheme="majorBidi" w:cstheme="majorBidi"/>
          <w:i/>
          <w:iCs/>
        </w:rPr>
        <w:t>Source: The M</w:t>
      </w:r>
      <w:r>
        <w:rPr>
          <w:rFonts w:asciiTheme="majorBidi" w:hAnsiTheme="majorBidi" w:cstheme="majorBidi"/>
          <w:i/>
          <w:iCs/>
        </w:rPr>
        <w:t>O</w:t>
      </w:r>
      <w:r w:rsidRPr="00D77095">
        <w:rPr>
          <w:rFonts w:asciiTheme="majorBidi" w:hAnsiTheme="majorBidi" w:cstheme="majorBidi"/>
          <w:i/>
          <w:iCs/>
        </w:rPr>
        <w:t>E (</w:t>
      </w:r>
      <w:r>
        <w:rPr>
          <w:rFonts w:asciiTheme="majorBidi" w:hAnsiTheme="majorBidi" w:cstheme="majorBidi"/>
          <w:i/>
          <w:iCs/>
        </w:rPr>
        <w:t>January 2022)</w:t>
      </w:r>
    </w:p>
    <w:p w14:paraId="110CED8F" w14:textId="77777777" w:rsidR="00D77095" w:rsidRPr="00D77095" w:rsidRDefault="00D77095" w:rsidP="00D77095">
      <w:pPr>
        <w:pStyle w:val="SingleTxtG"/>
        <w:spacing w:line="240" w:lineRule="auto"/>
        <w:ind w:left="284"/>
        <w:rPr>
          <w:rFonts w:asciiTheme="majorBidi" w:hAnsiTheme="majorBidi" w:cstheme="majorBidi"/>
          <w:i/>
          <w:iCs/>
          <w:rtl/>
        </w:rPr>
      </w:pPr>
    </w:p>
    <w:p w14:paraId="3802527A" w14:textId="77777777" w:rsidR="00F37FC8" w:rsidRPr="00D77095" w:rsidRDefault="00D77095" w:rsidP="00D77095">
      <w:pPr>
        <w:bidi w:val="0"/>
        <w:spacing w:after="120" w:line="360" w:lineRule="auto"/>
        <w:jc w:val="center"/>
        <w:rPr>
          <w:rFonts w:asciiTheme="majorBidi" w:hAnsiTheme="majorBidi" w:cstheme="majorBidi"/>
          <w:b/>
          <w:bCs/>
          <w:sz w:val="24"/>
          <w:szCs w:val="24"/>
          <w:u w:val="single"/>
          <w:rtl/>
        </w:rPr>
      </w:pPr>
      <w:r w:rsidRPr="00D77095">
        <w:rPr>
          <w:rFonts w:asciiTheme="majorBidi" w:hAnsiTheme="majorBidi" w:cstheme="majorBidi"/>
          <w:b/>
          <w:bCs/>
          <w:sz w:val="24"/>
          <w:szCs w:val="24"/>
          <w:u w:val="single"/>
        </w:rPr>
        <w:t xml:space="preserve">Table No. 4 - </w:t>
      </w:r>
      <w:r w:rsidR="00F37FC8" w:rsidRPr="00D77095">
        <w:rPr>
          <w:rFonts w:asciiTheme="majorBidi" w:hAnsiTheme="majorBidi" w:cstheme="majorBidi"/>
          <w:b/>
          <w:bCs/>
          <w:sz w:val="24"/>
          <w:szCs w:val="24"/>
          <w:u w:val="single"/>
        </w:rPr>
        <w:t xml:space="preserve"> Parents' Choice of Education Settings,</w:t>
      </w:r>
      <w:r w:rsidRPr="00D77095">
        <w:rPr>
          <w:rFonts w:asciiTheme="majorBidi" w:hAnsiTheme="majorBidi" w:cstheme="majorBidi"/>
          <w:b/>
          <w:bCs/>
          <w:sz w:val="24"/>
          <w:szCs w:val="24"/>
          <w:u w:val="single"/>
        </w:rPr>
        <w:t xml:space="preserve"> (</w:t>
      </w:r>
      <w:r w:rsidR="00F37FC8" w:rsidRPr="00D77095">
        <w:rPr>
          <w:rFonts w:asciiTheme="majorBidi" w:hAnsiTheme="majorBidi" w:cstheme="majorBidi"/>
          <w:b/>
          <w:bCs/>
          <w:sz w:val="24"/>
          <w:szCs w:val="24"/>
          <w:u w:val="single"/>
        </w:rPr>
        <w:t>2021-2022</w:t>
      </w:r>
      <w:r w:rsidRPr="00D77095">
        <w:rPr>
          <w:rFonts w:asciiTheme="majorBidi" w:hAnsiTheme="majorBidi" w:cstheme="majorBidi"/>
          <w:b/>
          <w:bCs/>
          <w:sz w:val="24"/>
          <w:szCs w:val="24"/>
          <w:u w:val="single"/>
        </w:rPr>
        <w:t>)</w:t>
      </w:r>
      <w:r w:rsidR="00F37FC8" w:rsidRPr="00D77095">
        <w:rPr>
          <w:rFonts w:asciiTheme="majorBidi" w:hAnsiTheme="majorBidi" w:cstheme="majorBidi"/>
          <w:b/>
          <w:bCs/>
          <w:sz w:val="24"/>
          <w:szCs w:val="24"/>
          <w:u w:val="single"/>
        </w:rPr>
        <w:t>**</w:t>
      </w:r>
    </w:p>
    <w:tbl>
      <w:tblPr>
        <w:tblStyle w:val="TableGrid"/>
        <w:bidiVisual/>
        <w:tblW w:w="0" w:type="auto"/>
        <w:tblInd w:w="-486" w:type="dxa"/>
        <w:tblLook w:val="04A0" w:firstRow="1" w:lastRow="0" w:firstColumn="1" w:lastColumn="0" w:noHBand="0" w:noVBand="1"/>
      </w:tblPr>
      <w:tblGrid>
        <w:gridCol w:w="2927"/>
        <w:gridCol w:w="2927"/>
        <w:gridCol w:w="2928"/>
      </w:tblGrid>
      <w:tr w:rsidR="00F37FC8" w:rsidRPr="00384397" w14:paraId="4B75EA35" w14:textId="77777777" w:rsidTr="00D11EFA">
        <w:trPr>
          <w:trHeight w:val="369"/>
        </w:trPr>
        <w:tc>
          <w:tcPr>
            <w:tcW w:w="2927" w:type="dxa"/>
            <w:shd w:val="clear" w:color="auto" w:fill="D9D9D9" w:themeFill="background1" w:themeFillShade="D9"/>
            <w:vAlign w:val="center"/>
          </w:tcPr>
          <w:p w14:paraId="4C22EFC1" w14:textId="77777777" w:rsidR="00F37FC8" w:rsidRPr="00384397" w:rsidRDefault="00F37FC8" w:rsidP="0098008B">
            <w:pPr>
              <w:bidi w:val="0"/>
              <w:jc w:val="center"/>
              <w:rPr>
                <w:b/>
                <w:bCs/>
                <w:sz w:val="20"/>
                <w:szCs w:val="20"/>
                <w:rtl/>
              </w:rPr>
            </w:pPr>
            <w:r w:rsidRPr="00384397">
              <w:rPr>
                <w:rFonts w:asciiTheme="majorBidi" w:hAnsiTheme="majorBidi" w:cstheme="majorBidi"/>
                <w:b/>
                <w:bCs/>
                <w:sz w:val="20"/>
                <w:szCs w:val="20"/>
                <w:u w:val="single"/>
              </w:rPr>
              <w:t>General Education</w:t>
            </w:r>
          </w:p>
        </w:tc>
        <w:tc>
          <w:tcPr>
            <w:tcW w:w="2927" w:type="dxa"/>
            <w:shd w:val="clear" w:color="auto" w:fill="D9D9D9" w:themeFill="background1" w:themeFillShade="D9"/>
            <w:vAlign w:val="center"/>
          </w:tcPr>
          <w:p w14:paraId="7354AC5B" w14:textId="77777777" w:rsidR="00F37FC8" w:rsidRPr="00384397" w:rsidRDefault="00F37FC8" w:rsidP="0098008B">
            <w:pPr>
              <w:bidi w:val="0"/>
              <w:jc w:val="center"/>
              <w:rPr>
                <w:b/>
                <w:bCs/>
                <w:sz w:val="20"/>
                <w:szCs w:val="20"/>
                <w:rtl/>
              </w:rPr>
            </w:pPr>
            <w:r w:rsidRPr="00384397">
              <w:rPr>
                <w:rFonts w:asciiTheme="majorBidi" w:eastAsia="Calibri" w:hAnsiTheme="majorBidi" w:cstheme="majorBidi"/>
                <w:b/>
                <w:bCs/>
                <w:sz w:val="20"/>
                <w:szCs w:val="20"/>
                <w:u w:val="single"/>
              </w:rPr>
              <w:t>Special Education</w:t>
            </w:r>
          </w:p>
        </w:tc>
        <w:tc>
          <w:tcPr>
            <w:tcW w:w="2928" w:type="dxa"/>
            <w:shd w:val="clear" w:color="auto" w:fill="D9D9D9" w:themeFill="background1" w:themeFillShade="D9"/>
            <w:vAlign w:val="center"/>
          </w:tcPr>
          <w:p w14:paraId="126518D2" w14:textId="77777777" w:rsidR="00F37FC8" w:rsidRPr="00384397" w:rsidRDefault="00F37FC8" w:rsidP="0098008B">
            <w:pPr>
              <w:bidi w:val="0"/>
              <w:jc w:val="center"/>
              <w:rPr>
                <w:b/>
                <w:bCs/>
                <w:sz w:val="20"/>
                <w:szCs w:val="20"/>
                <w:rtl/>
              </w:rPr>
            </w:pPr>
          </w:p>
        </w:tc>
      </w:tr>
      <w:tr w:rsidR="00F37FC8" w:rsidRPr="00384397" w14:paraId="1EBF7799" w14:textId="77777777" w:rsidTr="00D11EFA">
        <w:trPr>
          <w:trHeight w:val="417"/>
        </w:trPr>
        <w:tc>
          <w:tcPr>
            <w:tcW w:w="2927" w:type="dxa"/>
            <w:vAlign w:val="center"/>
          </w:tcPr>
          <w:p w14:paraId="05A6DCC2" w14:textId="77777777" w:rsidR="00F37FC8" w:rsidRPr="00384397" w:rsidRDefault="00F37FC8" w:rsidP="0098008B">
            <w:pPr>
              <w:bidi w:val="0"/>
              <w:jc w:val="center"/>
              <w:rPr>
                <w:rFonts w:asciiTheme="majorBidi" w:eastAsia="Times New Roman" w:hAnsiTheme="majorBidi" w:cstheme="majorBidi"/>
                <w:color w:val="000000"/>
                <w:sz w:val="20"/>
                <w:szCs w:val="20"/>
              </w:rPr>
            </w:pPr>
            <w:r w:rsidRPr="00384397">
              <w:rPr>
                <w:rFonts w:asciiTheme="majorBidi" w:eastAsia="Times New Roman" w:hAnsiTheme="majorBidi" w:cstheme="majorBidi"/>
                <w:color w:val="000000"/>
                <w:sz w:val="20"/>
                <w:szCs w:val="20"/>
              </w:rPr>
              <w:t>29,087</w:t>
            </w:r>
          </w:p>
        </w:tc>
        <w:tc>
          <w:tcPr>
            <w:tcW w:w="2927" w:type="dxa"/>
            <w:vAlign w:val="center"/>
          </w:tcPr>
          <w:p w14:paraId="6D6FA85C" w14:textId="77777777" w:rsidR="00F37FC8" w:rsidRPr="00384397" w:rsidRDefault="00F37FC8" w:rsidP="0098008B">
            <w:pPr>
              <w:bidi w:val="0"/>
              <w:jc w:val="center"/>
              <w:rPr>
                <w:rFonts w:asciiTheme="majorBidi" w:eastAsia="Times New Roman" w:hAnsiTheme="majorBidi" w:cstheme="majorBidi"/>
                <w:color w:val="000000"/>
                <w:sz w:val="20"/>
                <w:szCs w:val="20"/>
              </w:rPr>
            </w:pPr>
            <w:r w:rsidRPr="00384397">
              <w:rPr>
                <w:rFonts w:asciiTheme="majorBidi" w:eastAsia="Times New Roman" w:hAnsiTheme="majorBidi" w:cstheme="majorBidi"/>
                <w:color w:val="000000"/>
                <w:sz w:val="20"/>
                <w:szCs w:val="20"/>
              </w:rPr>
              <w:t>43,637</w:t>
            </w:r>
          </w:p>
        </w:tc>
        <w:tc>
          <w:tcPr>
            <w:tcW w:w="2928" w:type="dxa"/>
            <w:vAlign w:val="center"/>
          </w:tcPr>
          <w:p w14:paraId="6F9ABFDD" w14:textId="77777777" w:rsidR="00F37FC8" w:rsidRPr="00384397" w:rsidRDefault="00F37FC8" w:rsidP="0098008B">
            <w:pPr>
              <w:bidi w:val="0"/>
              <w:rPr>
                <w:b/>
                <w:bCs/>
                <w:sz w:val="20"/>
                <w:szCs w:val="20"/>
              </w:rPr>
            </w:pPr>
            <w:r w:rsidRPr="00384397">
              <w:rPr>
                <w:rFonts w:asciiTheme="majorBidi" w:eastAsia="Calibri" w:hAnsiTheme="majorBidi" w:cstheme="majorBidi"/>
                <w:b/>
                <w:bCs/>
                <w:sz w:val="20"/>
                <w:szCs w:val="20"/>
              </w:rPr>
              <w:t>Total</w:t>
            </w:r>
          </w:p>
        </w:tc>
      </w:tr>
      <w:tr w:rsidR="00F37FC8" w:rsidRPr="00384397" w14:paraId="0643943F" w14:textId="77777777" w:rsidTr="00D11EFA">
        <w:trPr>
          <w:trHeight w:val="417"/>
        </w:trPr>
        <w:tc>
          <w:tcPr>
            <w:tcW w:w="2927" w:type="dxa"/>
            <w:vAlign w:val="center"/>
          </w:tcPr>
          <w:p w14:paraId="325BFB3B" w14:textId="77777777" w:rsidR="00F37FC8" w:rsidRPr="00384397" w:rsidRDefault="00F37FC8" w:rsidP="0098008B">
            <w:pPr>
              <w:bidi w:val="0"/>
              <w:jc w:val="center"/>
              <w:rPr>
                <w:rFonts w:asciiTheme="majorBidi" w:eastAsia="Times New Roman" w:hAnsiTheme="majorBidi" w:cstheme="majorBidi"/>
                <w:color w:val="000000"/>
                <w:sz w:val="20"/>
                <w:szCs w:val="20"/>
              </w:rPr>
            </w:pPr>
            <w:r w:rsidRPr="00384397">
              <w:rPr>
                <w:rFonts w:asciiTheme="majorBidi" w:eastAsia="Times New Roman" w:hAnsiTheme="majorBidi" w:cstheme="majorBidi"/>
                <w:color w:val="000000"/>
                <w:sz w:val="20"/>
                <w:szCs w:val="20"/>
              </w:rPr>
              <w:t>40%</w:t>
            </w:r>
          </w:p>
        </w:tc>
        <w:tc>
          <w:tcPr>
            <w:tcW w:w="2927" w:type="dxa"/>
            <w:vAlign w:val="center"/>
          </w:tcPr>
          <w:p w14:paraId="0DC1C753" w14:textId="77777777" w:rsidR="00F37FC8" w:rsidRPr="00384397" w:rsidRDefault="00F37FC8" w:rsidP="0098008B">
            <w:pPr>
              <w:bidi w:val="0"/>
              <w:jc w:val="center"/>
              <w:rPr>
                <w:rFonts w:asciiTheme="majorBidi" w:eastAsia="Times New Roman" w:hAnsiTheme="majorBidi" w:cstheme="majorBidi"/>
                <w:color w:val="000000"/>
                <w:sz w:val="20"/>
                <w:szCs w:val="20"/>
              </w:rPr>
            </w:pPr>
            <w:r w:rsidRPr="00384397">
              <w:rPr>
                <w:rFonts w:asciiTheme="majorBidi" w:eastAsia="Times New Roman" w:hAnsiTheme="majorBidi" w:cstheme="majorBidi"/>
                <w:color w:val="000000"/>
                <w:sz w:val="20"/>
                <w:szCs w:val="20"/>
              </w:rPr>
              <w:t>60%</w:t>
            </w:r>
          </w:p>
        </w:tc>
        <w:tc>
          <w:tcPr>
            <w:tcW w:w="2928" w:type="dxa"/>
            <w:vAlign w:val="center"/>
          </w:tcPr>
          <w:p w14:paraId="5E087A2A" w14:textId="77777777" w:rsidR="00F37FC8" w:rsidRPr="00384397" w:rsidRDefault="00F37FC8" w:rsidP="0098008B">
            <w:pPr>
              <w:bidi w:val="0"/>
              <w:rPr>
                <w:rFonts w:asciiTheme="majorBidi" w:eastAsia="Calibri" w:hAnsiTheme="majorBidi" w:cstheme="majorBidi"/>
                <w:b/>
                <w:bCs/>
                <w:sz w:val="20"/>
                <w:szCs w:val="20"/>
              </w:rPr>
            </w:pPr>
            <w:r w:rsidRPr="00384397">
              <w:rPr>
                <w:rFonts w:asciiTheme="majorBidi" w:eastAsia="Calibri" w:hAnsiTheme="majorBidi" w:cstheme="majorBidi"/>
                <w:b/>
                <w:bCs/>
                <w:sz w:val="20"/>
                <w:szCs w:val="20"/>
              </w:rPr>
              <w:t>Percentage</w:t>
            </w:r>
          </w:p>
        </w:tc>
      </w:tr>
    </w:tbl>
    <w:p w14:paraId="699AF972" w14:textId="77777777" w:rsidR="00D77095" w:rsidRDefault="00D77095" w:rsidP="00C000F6">
      <w:pPr>
        <w:pStyle w:val="SingleTxtG"/>
        <w:numPr>
          <w:ilvl w:val="0"/>
          <w:numId w:val="9"/>
        </w:numPr>
        <w:spacing w:line="240" w:lineRule="auto"/>
        <w:ind w:left="0" w:firstLine="0"/>
        <w:rPr>
          <w:rFonts w:asciiTheme="majorBidi" w:hAnsiTheme="majorBidi" w:cstheme="majorBidi"/>
          <w:i/>
          <w:iCs/>
        </w:rPr>
      </w:pPr>
      <w:r w:rsidRPr="00D77095">
        <w:rPr>
          <w:rFonts w:asciiTheme="majorBidi" w:hAnsiTheme="majorBidi" w:cstheme="majorBidi"/>
          <w:i/>
          <w:iCs/>
        </w:rPr>
        <w:t>Source: The M</w:t>
      </w:r>
      <w:r>
        <w:rPr>
          <w:rFonts w:asciiTheme="majorBidi" w:hAnsiTheme="majorBidi" w:cstheme="majorBidi"/>
          <w:i/>
          <w:iCs/>
        </w:rPr>
        <w:t>O</w:t>
      </w:r>
      <w:r w:rsidRPr="00D77095">
        <w:rPr>
          <w:rFonts w:asciiTheme="majorBidi" w:hAnsiTheme="majorBidi" w:cstheme="majorBidi"/>
          <w:i/>
          <w:iCs/>
        </w:rPr>
        <w:t>E (</w:t>
      </w:r>
      <w:r>
        <w:rPr>
          <w:rFonts w:asciiTheme="majorBidi" w:hAnsiTheme="majorBidi" w:cstheme="majorBidi"/>
          <w:i/>
          <w:iCs/>
        </w:rPr>
        <w:t>January 2022)</w:t>
      </w:r>
    </w:p>
    <w:p w14:paraId="79606BF8" w14:textId="77777777" w:rsidR="00F37FC8" w:rsidRPr="008F5248" w:rsidRDefault="00F37FC8" w:rsidP="00F37FC8">
      <w:pPr>
        <w:bidi w:val="0"/>
        <w:spacing w:after="120" w:line="240" w:lineRule="auto"/>
        <w:jc w:val="both"/>
        <w:rPr>
          <w:rFonts w:asciiTheme="majorBidi" w:hAnsiTheme="majorBidi" w:cstheme="majorBidi"/>
          <w:sz w:val="20"/>
          <w:szCs w:val="20"/>
          <w:rtl/>
        </w:rPr>
      </w:pPr>
      <w:r w:rsidRPr="008F5248">
        <w:rPr>
          <w:rFonts w:asciiTheme="majorBidi" w:hAnsiTheme="majorBidi" w:cstheme="majorBidi"/>
          <w:sz w:val="20"/>
          <w:szCs w:val="20"/>
        </w:rPr>
        <w:t xml:space="preserve">** The total number includes pupils who went through the Eligibility Committee in the last two (2) years and chose either special education or mainstreaming in general education. The numbers reflect the parents' choice, some of whom are new in the system as the Committee meets once every three (3) years per pupil. </w:t>
      </w:r>
    </w:p>
    <w:p w14:paraId="031AF5F8"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The MOE Activities in order to </w:t>
      </w:r>
      <w:r w:rsidR="004A0AA8" w:rsidRPr="005C149A">
        <w:rPr>
          <w:rFonts w:asciiTheme="majorBidi" w:hAnsiTheme="majorBidi" w:cstheme="majorBidi"/>
          <w:sz w:val="24"/>
          <w:szCs w:val="24"/>
          <w:u w:val="single"/>
        </w:rPr>
        <w:t>E</w:t>
      </w:r>
      <w:r w:rsidRPr="005C149A">
        <w:rPr>
          <w:rFonts w:asciiTheme="majorBidi" w:hAnsiTheme="majorBidi" w:cstheme="majorBidi"/>
          <w:sz w:val="24"/>
          <w:szCs w:val="24"/>
          <w:u w:val="single"/>
        </w:rPr>
        <w:t xml:space="preserve">ncourage </w:t>
      </w:r>
      <w:r w:rsidR="004A0AA8" w:rsidRPr="005C149A">
        <w:rPr>
          <w:rFonts w:asciiTheme="majorBidi" w:hAnsiTheme="majorBidi" w:cstheme="majorBidi"/>
          <w:sz w:val="24"/>
          <w:szCs w:val="24"/>
          <w:u w:val="single"/>
        </w:rPr>
        <w:t>M</w:t>
      </w:r>
      <w:r w:rsidRPr="005C149A">
        <w:rPr>
          <w:rFonts w:asciiTheme="majorBidi" w:hAnsiTheme="majorBidi" w:cstheme="majorBidi"/>
          <w:sz w:val="24"/>
          <w:szCs w:val="24"/>
          <w:u w:val="single"/>
        </w:rPr>
        <w:t>ainstreaming into the General Education</w:t>
      </w:r>
    </w:p>
    <w:p w14:paraId="3C5ADBB9"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According to Amendment No. 11, parents are allowed to determine the type of framework for their child. Therefore, the MOE took a series of steps towards improving mainstreaming  pupils with disabilities into general education system: </w:t>
      </w:r>
    </w:p>
    <w:p w14:paraId="04AC1DA2" w14:textId="77777777" w:rsidR="00F37FC8" w:rsidRPr="005C149A" w:rsidRDefault="00F37FC8" w:rsidP="00C000F6">
      <w:pPr>
        <w:pStyle w:val="ListParagraph"/>
        <w:widowControl w:val="0"/>
        <w:numPr>
          <w:ilvl w:val="1"/>
          <w:numId w:val="5"/>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 xml:space="preserve">The Inclusion and Integration Division was established, the purpose of raising awareness, providing unified processes and assimilating the values ​​of inclusion in educational institutions. </w:t>
      </w:r>
      <w:r w:rsidRPr="005C149A">
        <w:rPr>
          <w:rFonts w:ascii="Times New Roman" w:hAnsi="Times New Roman" w:cs="Times New Roman"/>
          <w:sz w:val="24"/>
          <w:szCs w:val="24"/>
        </w:rPr>
        <w:t>The Division conducted online conferences and public consultations with over 180,000 participants, round table meetings regarding inclusive education with the relevant entities as well as with principals, educators and parents.</w:t>
      </w:r>
      <w:r w:rsidRPr="005C149A">
        <w:rPr>
          <w:rStyle w:val="FootnoteReference"/>
          <w:rFonts w:ascii="Times New Roman" w:hAnsi="Times New Roman" w:cs="Times New Roman"/>
          <w:sz w:val="24"/>
          <w:szCs w:val="24"/>
        </w:rPr>
        <w:footnoteReference w:id="2"/>
      </w:r>
      <w:r w:rsidRPr="005C149A">
        <w:rPr>
          <w:rFonts w:ascii="Times New Roman" w:hAnsi="Times New Roman" w:cs="Times New Roman"/>
          <w:sz w:val="24"/>
          <w:szCs w:val="24"/>
        </w:rPr>
        <w:t xml:space="preserve"> The Division released Six (6) video campaigns on social values. In each of the </w:t>
      </w:r>
      <w:r w:rsidR="00F91780" w:rsidRPr="005C149A">
        <w:rPr>
          <w:rFonts w:ascii="Times New Roman" w:hAnsi="Times New Roman" w:cs="Times New Roman"/>
          <w:sz w:val="24"/>
          <w:szCs w:val="24"/>
        </w:rPr>
        <w:t>campaigns</w:t>
      </w:r>
      <w:r w:rsidRPr="005C149A">
        <w:rPr>
          <w:rFonts w:ascii="Times New Roman" w:hAnsi="Times New Roman" w:cs="Times New Roman"/>
          <w:sz w:val="24"/>
          <w:szCs w:val="24"/>
        </w:rPr>
        <w:t>, specific goals were set with respect to the various factors in the community.</w:t>
      </w:r>
    </w:p>
    <w:p w14:paraId="59F976AA" w14:textId="77777777" w:rsidR="00F37FC8" w:rsidRPr="005C149A" w:rsidRDefault="00F37FC8" w:rsidP="00C000F6">
      <w:pPr>
        <w:pStyle w:val="ListParagraph"/>
        <w:widowControl w:val="0"/>
        <w:numPr>
          <w:ilvl w:val="1"/>
          <w:numId w:val="5"/>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The MOE has so far allocated more than 50 Million NIS (15,615,289 USD) for professional development and training mainstream teaching staff for the inclusion of pupils with disabilities.</w:t>
      </w:r>
    </w:p>
    <w:p w14:paraId="524A350B" w14:textId="77777777" w:rsidR="00F37FC8" w:rsidRPr="005C149A" w:rsidRDefault="00F37FC8" w:rsidP="00C000F6">
      <w:pPr>
        <w:pStyle w:val="ListParagraph"/>
        <w:widowControl w:val="0"/>
        <w:numPr>
          <w:ilvl w:val="1"/>
          <w:numId w:val="5"/>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In more than 90% of official schools, an inclusion and integration coordinator has been appointed, whose role is to assimilate the concept and practices of inclusion.</w:t>
      </w:r>
    </w:p>
    <w:p w14:paraId="03E1C64F" w14:textId="77777777" w:rsidR="00F37FC8" w:rsidRPr="005C149A" w:rsidRDefault="00F37FC8" w:rsidP="00D97F93">
      <w:pPr>
        <w:pStyle w:val="ListParagraph"/>
        <w:widowControl w:val="0"/>
        <w:numPr>
          <w:ilvl w:val="1"/>
          <w:numId w:val="5"/>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The MOE allocates 105 Million NIS (</w:t>
      </w:r>
      <w:r w:rsidR="000C2AE5" w:rsidRPr="005C149A">
        <w:rPr>
          <w:rFonts w:asciiTheme="majorBidi" w:hAnsiTheme="majorBidi" w:cstheme="majorBidi"/>
          <w:sz w:val="24"/>
          <w:szCs w:val="24"/>
        </w:rPr>
        <w:t xml:space="preserve">32.8 </w:t>
      </w:r>
      <w:r w:rsidRPr="005C149A">
        <w:rPr>
          <w:rFonts w:asciiTheme="majorBidi" w:hAnsiTheme="majorBidi" w:cstheme="majorBidi" w:hint="cs"/>
          <w:sz w:val="24"/>
          <w:szCs w:val="24"/>
        </w:rPr>
        <w:t>M</w:t>
      </w:r>
      <w:r w:rsidRPr="005C149A">
        <w:rPr>
          <w:rFonts w:asciiTheme="majorBidi" w:hAnsiTheme="majorBidi" w:cstheme="majorBidi"/>
          <w:sz w:val="24"/>
          <w:szCs w:val="24"/>
        </w:rPr>
        <w:t>illion USD) each year for schools to increase activities promoting inclusion, the budget is individually tailored for each school's organizational culture and community.</w:t>
      </w:r>
    </w:p>
    <w:p w14:paraId="078179FA" w14:textId="77777777" w:rsidR="00F37FC8" w:rsidRPr="005C149A" w:rsidRDefault="00F37FC8" w:rsidP="00C000F6">
      <w:pPr>
        <w:pStyle w:val="ListParagraph"/>
        <w:widowControl w:val="0"/>
        <w:numPr>
          <w:ilvl w:val="1"/>
          <w:numId w:val="5"/>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Every year the Ministry budgets at least 250 new inclusive spaces.</w:t>
      </w:r>
    </w:p>
    <w:p w14:paraId="0D3124EB" w14:textId="77777777" w:rsidR="00F37FC8" w:rsidRPr="005C149A" w:rsidRDefault="00F37FC8" w:rsidP="00C000F6">
      <w:pPr>
        <w:pStyle w:val="ListParagraph"/>
        <w:widowControl w:val="0"/>
        <w:numPr>
          <w:ilvl w:val="1"/>
          <w:numId w:val="5"/>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The Ministry takes steps to promote accessibility of online pedagogical content.</w:t>
      </w:r>
    </w:p>
    <w:p w14:paraId="31620E95" w14:textId="77777777" w:rsidR="00F37FC8" w:rsidRPr="005C149A" w:rsidRDefault="00F37FC8" w:rsidP="00C000F6">
      <w:pPr>
        <w:pStyle w:val="ListParagraph"/>
        <w:widowControl w:val="0"/>
        <w:numPr>
          <w:ilvl w:val="1"/>
          <w:numId w:val="5"/>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Tools have been developed by relevant divisions at the MOE, aimed at promoting inclusion and heterogeneous teaching at unique inclusive schools, including universal design for learning in educational institutions.</w:t>
      </w:r>
    </w:p>
    <w:p w14:paraId="19D64159" w14:textId="77777777" w:rsidR="00F37FC8" w:rsidRPr="005C149A" w:rsidRDefault="004A0AA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The </w:t>
      </w:r>
      <w:r w:rsidR="00F37FC8" w:rsidRPr="005C149A">
        <w:rPr>
          <w:rFonts w:asciiTheme="majorBidi" w:hAnsiTheme="majorBidi" w:cstheme="majorBidi"/>
          <w:sz w:val="24"/>
          <w:szCs w:val="24"/>
          <w:u w:val="single"/>
        </w:rPr>
        <w:t>Commission Activities to Enhance Inclusive Education</w:t>
      </w:r>
    </w:p>
    <w:p w14:paraId="4B95B74B"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Each year, the Commission handles hundreds of complaints from parents on the issue of mainstreaming in general education, and addresses the MOE directly. In 2020, based on input from the general public, the Commission prepared a paper outlining the challenges in inclusive education with recommendations for the MOE. The Commission conducts many activities to promote inclusion and disseminate relevant information. </w:t>
      </w:r>
    </w:p>
    <w:p w14:paraId="49A5886B"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tl/>
        </w:rPr>
      </w:pPr>
      <w:r w:rsidRPr="005C149A">
        <w:rPr>
          <w:rFonts w:asciiTheme="majorBidi" w:hAnsiTheme="majorBidi" w:cstheme="majorBidi"/>
          <w:sz w:val="24"/>
          <w:szCs w:val="24"/>
        </w:rPr>
        <w:t xml:space="preserve">The Commission developed, together with the MOE, an educational tool for inclusion, with an informational video for teachers with success stories and tips on inclusion. </w:t>
      </w:r>
    </w:p>
    <w:p w14:paraId="6E6F585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order to raise the awareness of parents of children with disabilities to their rights and to allow them to fully enjoy these rights, including the inclusion for their children into the mainstream education, the Commission has, </w:t>
      </w:r>
      <w:r w:rsidRPr="000C3BD3">
        <w:rPr>
          <w:rFonts w:asciiTheme="majorBidi" w:hAnsiTheme="majorBidi" w:cstheme="majorBidi"/>
          <w:i/>
          <w:iCs/>
          <w:sz w:val="24"/>
          <w:szCs w:val="24"/>
        </w:rPr>
        <w:t>inter alia,</w:t>
      </w:r>
      <w:r w:rsidRPr="005C149A">
        <w:rPr>
          <w:rFonts w:asciiTheme="majorBidi" w:hAnsiTheme="majorBidi" w:cstheme="majorBidi"/>
          <w:sz w:val="24"/>
          <w:szCs w:val="24"/>
        </w:rPr>
        <w:t xml:space="preserve"> taken the following steps:</w:t>
      </w:r>
    </w:p>
    <w:p w14:paraId="409D2241" w14:textId="77777777" w:rsidR="00F37FC8" w:rsidRPr="005C149A" w:rsidRDefault="00F37FC8" w:rsidP="00C000F6">
      <w:pPr>
        <w:pStyle w:val="ListParagraph"/>
        <w:numPr>
          <w:ilvl w:val="0"/>
          <w:numId w:val="37"/>
        </w:numPr>
        <w:spacing w:after="120" w:line="360" w:lineRule="auto"/>
        <w:ind w:left="851" w:hanging="284"/>
        <w:jc w:val="both"/>
        <w:rPr>
          <w:rFonts w:asciiTheme="majorBidi" w:hAnsiTheme="majorBidi" w:cstheme="majorBidi"/>
          <w:sz w:val="24"/>
          <w:szCs w:val="24"/>
        </w:rPr>
      </w:pPr>
      <w:r w:rsidRPr="005C149A">
        <w:rPr>
          <w:rFonts w:asciiTheme="majorBidi" w:hAnsiTheme="majorBidi" w:cstheme="majorBidi"/>
          <w:sz w:val="24"/>
          <w:szCs w:val="24"/>
        </w:rPr>
        <w:t xml:space="preserve">During 2020, the Commission published a guide for children with disabilities who study in the ultra-Orthodox education system. </w:t>
      </w:r>
    </w:p>
    <w:p w14:paraId="6737DBDF" w14:textId="77777777" w:rsidR="00F37FC8" w:rsidRPr="005C149A" w:rsidRDefault="00F37FC8" w:rsidP="00C000F6">
      <w:pPr>
        <w:pStyle w:val="ListParagraph"/>
        <w:numPr>
          <w:ilvl w:val="0"/>
          <w:numId w:val="37"/>
        </w:numPr>
        <w:spacing w:after="120" w:line="360" w:lineRule="auto"/>
        <w:ind w:left="851" w:hanging="284"/>
        <w:jc w:val="both"/>
        <w:rPr>
          <w:rFonts w:asciiTheme="majorBidi" w:hAnsiTheme="majorBidi" w:cstheme="majorBidi"/>
          <w:sz w:val="24"/>
          <w:szCs w:val="24"/>
        </w:rPr>
      </w:pPr>
      <w:r w:rsidRPr="005C149A">
        <w:rPr>
          <w:rFonts w:asciiTheme="majorBidi" w:hAnsiTheme="majorBidi" w:cstheme="majorBidi"/>
          <w:sz w:val="24"/>
          <w:szCs w:val="24"/>
        </w:rPr>
        <w:t xml:space="preserve">The Commission also translated informational rights guides to Arabic and delivered unique lectures on the right to education in all communities in Israel.  </w:t>
      </w:r>
    </w:p>
    <w:p w14:paraId="64FAE60E" w14:textId="77777777" w:rsidR="004A0AA8" w:rsidRPr="005C149A" w:rsidRDefault="004A0AA8" w:rsidP="004A0AA8">
      <w:pPr>
        <w:pStyle w:val="Heading3"/>
      </w:pPr>
      <w:bookmarkStart w:id="45" w:name="_Hlk77772512"/>
      <w:bookmarkEnd w:id="44"/>
      <w:r w:rsidRPr="005C149A">
        <w:t>B. Accessibility Adjustments of Education Institutions</w:t>
      </w:r>
    </w:p>
    <w:p w14:paraId="0858A472" w14:textId="77777777" w:rsidR="00F37FC8" w:rsidRPr="005C149A" w:rsidRDefault="00F37FC8" w:rsidP="004A5A55">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responsibility for the implementation of the </w:t>
      </w:r>
      <w:r w:rsidRPr="005C149A">
        <w:rPr>
          <w:rFonts w:asciiTheme="majorBidi" w:hAnsiTheme="majorBidi" w:cstheme="majorBidi"/>
          <w:i/>
          <w:iCs/>
          <w:sz w:val="24"/>
          <w:szCs w:val="24"/>
        </w:rPr>
        <w:t>Equal Rights Law</w:t>
      </w:r>
      <w:r w:rsidRPr="005C149A">
        <w:rPr>
          <w:rFonts w:asciiTheme="majorBidi" w:hAnsiTheme="majorBidi" w:cstheme="majorBidi"/>
          <w:sz w:val="24"/>
          <w:szCs w:val="24"/>
        </w:rPr>
        <w:t xml:space="preserve">, as well as the </w:t>
      </w:r>
      <w:r w:rsidRPr="005C149A">
        <w:rPr>
          <w:rFonts w:asciiTheme="majorBidi" w:hAnsiTheme="majorBidi" w:cstheme="majorBidi"/>
          <w:i/>
          <w:iCs/>
          <w:sz w:val="24"/>
          <w:szCs w:val="24"/>
        </w:rPr>
        <w:t>Equal Rights Regulations (Individual Access Adjustments for Parent and Child)</w:t>
      </w:r>
      <w:r w:rsidRPr="005C149A">
        <w:rPr>
          <w:rFonts w:asciiTheme="majorBidi" w:hAnsiTheme="majorBidi" w:cstheme="majorBidi"/>
          <w:sz w:val="24"/>
          <w:szCs w:val="24"/>
        </w:rPr>
        <w:t xml:space="preserve">, lies with the proprietor of the educational institution </w:t>
      </w:r>
      <w:r w:rsidR="004A5A55">
        <w:rPr>
          <w:rFonts w:asciiTheme="majorBidi" w:hAnsiTheme="majorBidi" w:cstheme="majorBidi"/>
          <w:sz w:val="24"/>
          <w:szCs w:val="24"/>
        </w:rPr>
        <w:t>-</w:t>
      </w:r>
      <w:r w:rsidRPr="005C149A">
        <w:rPr>
          <w:rFonts w:asciiTheme="majorBidi" w:hAnsiTheme="majorBidi" w:cstheme="majorBidi"/>
          <w:sz w:val="24"/>
          <w:szCs w:val="24"/>
        </w:rPr>
        <w:t xml:space="preserve"> which is generally the local authority - to make educational institutions and services accessible. A pupil or parent who has not received the necessary accessibility adjustments can sue the proprietor of the educational institution. </w:t>
      </w:r>
    </w:p>
    <w:p w14:paraId="4BA9587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purpose of accessibility is to give the pupil tools and adjustments that are required in order to participate in educational activities, while addressing existing limitations. Individual accessibility adjustments are determined at a multi-professional meeting in the educational framework, in which the pupil's accessibility needs are examined. The types of individual accessibility measures include: physical, acoustic, accessibility for the visually impaired, accessibility of school trips, technology, furniture, teaching materials, etc.</w:t>
      </w:r>
    </w:p>
    <w:p w14:paraId="3AB3D02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Commission and the MOE have held seminars and trainings for various bodies regarding these regulations. Since their enactment, 16 training activities have been offered to professionals regarding individual accessibility.</w:t>
      </w:r>
    </w:p>
    <w:p w14:paraId="1F44685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Commission uses its enforcement tools to promote accessibility. In 2021, the Commission dealt with 140 inquiries regarding individual accessibility for pupils and parents with disabilities. 28 inquiries are still under examination. In 21 cases, it issued warning letters to local authorities regarding non-compliance with pupil accessibility adjustments. In 2020, the Commission dealt with 83 inquiries regarding individual accessibility. In 17 cases, it issued warning letters to local authorities regarding non-compliance with pupil accessibility adjustments. It has also filed a number of lawsuits against local authorities that have not made schools accessible. In a number of cases, a compromise was reached outside the court that included monetary compensation as well as a commitment to make the accessibility adjustment. For example, in a lawsuit filed against a local authority, the pupil was awarded compensation in the amount of 60,000 NIS (18,816 USD).</w:t>
      </w:r>
    </w:p>
    <w:p w14:paraId="1E63B01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addition, the Commission carries out enforcement activities to ensure school are accessible. In recent years, 451 inspections have been made at educational institutions and 13 inspections were carried out based on public inquiries submitted to the Commission. There are approximately 70 institutions in various enforcement proceedings. During the COVID-19 pandemic, with the transition to remote learning, an order was issued against the MOE for not making the on line learning website accessible.</w:t>
      </w:r>
    </w:p>
    <w:p w14:paraId="71673E11"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Measures to </w:t>
      </w:r>
      <w:r w:rsidR="004A0AA8" w:rsidRPr="005C149A">
        <w:rPr>
          <w:rFonts w:asciiTheme="majorBidi" w:hAnsiTheme="majorBidi" w:cstheme="majorBidi"/>
          <w:sz w:val="24"/>
          <w:szCs w:val="24"/>
          <w:u w:val="single"/>
        </w:rPr>
        <w:t>P</w:t>
      </w:r>
      <w:r w:rsidRPr="005C149A">
        <w:rPr>
          <w:rFonts w:asciiTheme="majorBidi" w:hAnsiTheme="majorBidi" w:cstheme="majorBidi"/>
          <w:sz w:val="24"/>
          <w:szCs w:val="24"/>
          <w:u w:val="single"/>
        </w:rPr>
        <w:t xml:space="preserve">romote </w:t>
      </w:r>
      <w:r w:rsidR="004A0AA8" w:rsidRPr="005C149A">
        <w:rPr>
          <w:rFonts w:asciiTheme="majorBidi" w:hAnsiTheme="majorBidi" w:cstheme="majorBidi"/>
          <w:sz w:val="24"/>
          <w:szCs w:val="24"/>
          <w:u w:val="single"/>
        </w:rPr>
        <w:t>Reasonable</w:t>
      </w:r>
      <w:r w:rsidRPr="005C149A">
        <w:rPr>
          <w:rFonts w:asciiTheme="majorBidi" w:hAnsiTheme="majorBidi" w:cstheme="majorBidi"/>
          <w:sz w:val="24"/>
          <w:szCs w:val="24"/>
          <w:u w:val="single"/>
        </w:rPr>
        <w:t xml:space="preserve"> </w:t>
      </w:r>
      <w:r w:rsidR="004A0AA8" w:rsidRPr="005C149A">
        <w:rPr>
          <w:rFonts w:asciiTheme="majorBidi" w:hAnsiTheme="majorBidi" w:cstheme="majorBidi"/>
          <w:sz w:val="24"/>
          <w:szCs w:val="24"/>
          <w:u w:val="single"/>
        </w:rPr>
        <w:t>A</w:t>
      </w:r>
      <w:r w:rsidRPr="005C149A">
        <w:rPr>
          <w:rFonts w:asciiTheme="majorBidi" w:hAnsiTheme="majorBidi" w:cstheme="majorBidi"/>
          <w:sz w:val="24"/>
          <w:szCs w:val="24"/>
          <w:u w:val="single"/>
        </w:rPr>
        <w:t xml:space="preserve">djustments </w:t>
      </w:r>
    </w:p>
    <w:p w14:paraId="20C4F89B"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MOE measures include:</w:t>
      </w:r>
    </w:p>
    <w:p w14:paraId="3F821179" w14:textId="77777777" w:rsidR="00F37FC8" w:rsidRPr="005C149A" w:rsidRDefault="00F37FC8" w:rsidP="00C000F6">
      <w:pPr>
        <w:pStyle w:val="ListParagraph"/>
        <w:widowControl w:val="0"/>
        <w:numPr>
          <w:ilvl w:val="0"/>
          <w:numId w:val="38"/>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A pupil who is eligible for a special education service can exercise this eligibility in a mainstream classroom.</w:t>
      </w:r>
    </w:p>
    <w:p w14:paraId="7BE52D83" w14:textId="2E8BF67F" w:rsidR="00F37FC8" w:rsidRPr="005C149A" w:rsidRDefault="00F37FC8" w:rsidP="00336800">
      <w:pPr>
        <w:pStyle w:val="ListParagraph"/>
        <w:widowControl w:val="0"/>
        <w:numPr>
          <w:ilvl w:val="0"/>
          <w:numId w:val="38"/>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Personal plans and provision of solutions in mainstream education are usually provided by the educational institution and the local or regional support center, in accordance with the type of disability, level of functionality and the scope of the grant.</w:t>
      </w:r>
    </w:p>
    <w:p w14:paraId="221003A3" w14:textId="77777777" w:rsidR="00F37FC8" w:rsidRPr="005C149A" w:rsidRDefault="00F37FC8" w:rsidP="00C000F6">
      <w:pPr>
        <w:pStyle w:val="ListParagraph"/>
        <w:widowControl w:val="0"/>
        <w:numPr>
          <w:ilvl w:val="0"/>
          <w:numId w:val="38"/>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The MOE has allocated about 130 training days for inclusion, professional development, integration coordinators and local or regional support center training.</w:t>
      </w:r>
    </w:p>
    <w:p w14:paraId="5B68403B" w14:textId="77777777" w:rsidR="00F37FC8" w:rsidRPr="005C149A" w:rsidRDefault="00F37FC8" w:rsidP="00C000F6">
      <w:pPr>
        <w:pStyle w:val="ListParagraph"/>
        <w:widowControl w:val="0"/>
        <w:numPr>
          <w:ilvl w:val="0"/>
          <w:numId w:val="38"/>
        </w:numPr>
        <w:autoSpaceDE w:val="0"/>
        <w:autoSpaceDN w:val="0"/>
        <w:adjustRightInd w:val="0"/>
        <w:spacing w:after="120" w:line="360" w:lineRule="auto"/>
        <w:ind w:left="993" w:hanging="426"/>
        <w:jc w:val="both"/>
        <w:rPr>
          <w:rFonts w:asciiTheme="majorBidi" w:hAnsiTheme="majorBidi" w:cstheme="majorBidi"/>
          <w:sz w:val="24"/>
          <w:szCs w:val="24"/>
        </w:rPr>
      </w:pPr>
      <w:r w:rsidRPr="005C149A">
        <w:rPr>
          <w:rFonts w:asciiTheme="majorBidi" w:hAnsiTheme="majorBidi" w:cstheme="majorBidi"/>
          <w:sz w:val="24"/>
          <w:szCs w:val="24"/>
        </w:rPr>
        <w:t>In addition, many online conferences are held on a variety of topics: The connection between inclusion and integration; inclusion in kindergarten; pupils with ADHD and learning disabilities; and regarding pupils with behavioral disorders.</w:t>
      </w:r>
    </w:p>
    <w:p w14:paraId="4975043B"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Higher Education</w:t>
      </w:r>
    </w:p>
    <w:p w14:paraId="29301B6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January 2020, following claims that students who are deaf or hard of hearing are unable to fulfil English as a second language mandatory course, the CHE adopted a resolution allowing academic institutes discretion to deviate from this obligation if needed on a case-by-case basis, in order to dismantle the barrier for certain PWD to engage in higher education. Additionally, the resolution notes that students with hearing disabilities are encouraged to study the English language to the best of their abilities, and institutes must offer adaptations as necessary.</w:t>
      </w:r>
    </w:p>
    <w:p w14:paraId="3597512C"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Furthermore, the MOH offers Hebrew language courses for new immigrants. Noting that the process of learning a new language is entirely different for persons with hearing disabilities, a course was adapted and conducted by the Adult Education Branch of the Ministry together with the Association of the Deaf in Israel. </w:t>
      </w:r>
    </w:p>
    <w:p w14:paraId="0911E54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Authority for the Economic Development of the Arab Society, together with the MOWSA initiated a project promoting</w:t>
      </w:r>
      <w:r w:rsidRPr="005C149A">
        <w:rPr>
          <w:rFonts w:asciiTheme="majorBidi" w:hAnsiTheme="majorBidi" w:cstheme="majorBidi"/>
          <w:sz w:val="24"/>
          <w:szCs w:val="24"/>
          <w:rtl/>
        </w:rPr>
        <w:t xml:space="preserve"> </w:t>
      </w:r>
      <w:r w:rsidRPr="005C149A">
        <w:rPr>
          <w:rFonts w:asciiTheme="majorBidi" w:hAnsiTheme="majorBidi" w:cstheme="majorBidi"/>
          <w:sz w:val="24"/>
          <w:szCs w:val="24"/>
        </w:rPr>
        <w:t>inclusion of PWD of the Arab population in higher education settings, in preparation for employment. This project assisted adults (17-40 years) in Arab population with various disabilities (with at least 20% disability) who were candidates for higher education and students at the beginning of their bachelor's degrees. The program’s goal is to increase the number of Arab students with disabilities who successfully graduate, and support their integration into employment settings after graduation. The program identifies and guides candidates with disabilities, prepares them for studies and offers relevant training.</w:t>
      </w:r>
    </w:p>
    <w:p w14:paraId="0E954B35"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The Commission Activities on the Accessibility of Higher Education</w:t>
      </w:r>
    </w:p>
    <w:p w14:paraId="1072DA24"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Commission processes inquiries from students with disabilities regarding a lack of accessibility adjustments. The Commission addresses the higher education institutes and directs applicants to the information relevant to them. </w:t>
      </w:r>
    </w:p>
    <w:p w14:paraId="21275F29"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Commission also promotes the issue of access to higher education through information and training activities. In 2020 For example, the Commission created a seminar together with the accessibility coordinators in the Academia on the subject of online learning and </w:t>
      </w:r>
      <w:r w:rsidR="0098008B" w:rsidRPr="005C149A">
        <w:rPr>
          <w:rFonts w:asciiTheme="majorBidi" w:hAnsiTheme="majorBidi" w:cstheme="majorBidi"/>
          <w:sz w:val="24"/>
          <w:szCs w:val="24"/>
        </w:rPr>
        <w:t>the challenges of the COVID-1</w:t>
      </w:r>
      <w:r w:rsidRPr="005C149A">
        <w:rPr>
          <w:rFonts w:asciiTheme="majorBidi" w:hAnsiTheme="majorBidi" w:cstheme="majorBidi"/>
          <w:sz w:val="24"/>
          <w:szCs w:val="24"/>
        </w:rPr>
        <w:t>9 pandemic with respect to students with disabilities. In addition, a joint seminar was held on the challenges faced by Arab students with disabilities.</w:t>
      </w:r>
    </w:p>
    <w:p w14:paraId="7E7A77B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COVID-19 pandemic presented new challenges, such as the transfer of educational content to online forums. During the pandemic, the Commission worked with the CHE to ensure that students continue to receive adaptations in online learning as well.</w:t>
      </w:r>
    </w:p>
    <w:bookmarkEnd w:id="45"/>
    <w:p w14:paraId="3B4EAC4D" w14:textId="77777777" w:rsidR="00F37FC8" w:rsidRPr="005C149A" w:rsidRDefault="004A0AA8" w:rsidP="00F37FC8">
      <w:pPr>
        <w:pStyle w:val="Heading3"/>
      </w:pPr>
      <w:r w:rsidRPr="005C149A">
        <w:t>C.</w:t>
      </w:r>
      <w:r w:rsidR="00F37FC8" w:rsidRPr="005C149A">
        <w:t xml:space="preserve"> Transportation for Children with Disabilities </w:t>
      </w:r>
    </w:p>
    <w:p w14:paraId="5434C82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April 18, 2019, the HCJ ruled in a petition requested that the MOE provide complimentary transportation for pupils with disabilities mainstreamed in the general education system, in the same manner in which they are provided to pupils with disabilities in special education. The Court determined that, pursuant to Amendment No. 11 to the </w:t>
      </w:r>
      <w:r w:rsidRPr="005C149A">
        <w:rPr>
          <w:rFonts w:asciiTheme="majorBidi" w:hAnsiTheme="majorBidi" w:cstheme="majorBidi"/>
          <w:i/>
          <w:iCs/>
          <w:sz w:val="24"/>
          <w:szCs w:val="24"/>
        </w:rPr>
        <w:t>Special Education Law</w:t>
      </w:r>
      <w:r w:rsidRPr="005C149A">
        <w:rPr>
          <w:rFonts w:asciiTheme="majorBidi" w:hAnsiTheme="majorBidi" w:cstheme="majorBidi"/>
          <w:sz w:val="24"/>
          <w:szCs w:val="24"/>
        </w:rPr>
        <w:t xml:space="preserve">, pupils with disabilities must receive complimentary transportation, dependent on the criteria that shall be set forth by the MOE, irrespective of what type of school they attend. Furthermore, the Court noted that restricting the criteria for eligibility to receive transportation could be interpreted as incentivizing parents not to mainstream their children with disabilities in the general education system, which would negate the principles in the </w:t>
      </w:r>
      <w:r w:rsidRPr="005C149A">
        <w:rPr>
          <w:rFonts w:asciiTheme="majorBidi" w:hAnsiTheme="majorBidi" w:cstheme="majorBidi"/>
          <w:i/>
          <w:iCs/>
          <w:sz w:val="24"/>
          <w:szCs w:val="24"/>
        </w:rPr>
        <w:t>Special Education Law</w:t>
      </w:r>
      <w:r w:rsidRPr="005C149A">
        <w:rPr>
          <w:rFonts w:asciiTheme="majorBidi" w:hAnsiTheme="majorBidi" w:cstheme="majorBidi"/>
          <w:sz w:val="24"/>
          <w:szCs w:val="24"/>
        </w:rPr>
        <w:t xml:space="preserve"> (H.C.J. 191/15, </w:t>
      </w:r>
      <w:r w:rsidRPr="005C149A">
        <w:rPr>
          <w:rFonts w:asciiTheme="majorBidi" w:hAnsiTheme="majorBidi" w:cstheme="majorBidi"/>
          <w:i/>
          <w:iCs/>
          <w:sz w:val="24"/>
          <w:szCs w:val="24"/>
        </w:rPr>
        <w:t>Anonymous et. al. v. The City of Bnei Brak et. al.</w:t>
      </w:r>
      <w:r w:rsidRPr="005C149A">
        <w:rPr>
          <w:rFonts w:asciiTheme="majorBidi" w:hAnsiTheme="majorBidi" w:cstheme="majorBidi"/>
          <w:sz w:val="24"/>
          <w:szCs w:val="24"/>
        </w:rPr>
        <w:t xml:space="preserve"> (18.04.2019). </w:t>
      </w:r>
    </w:p>
    <w:p w14:paraId="07EEA91B" w14:textId="77777777" w:rsidR="00F37FC8" w:rsidRPr="005C149A" w:rsidRDefault="004A0AA8" w:rsidP="0050316B">
      <w:pPr>
        <w:pStyle w:val="Heading2"/>
        <w:spacing w:before="0" w:after="0"/>
      </w:pPr>
      <w:r w:rsidRPr="005C149A">
        <w:t>Article 25</w:t>
      </w:r>
    </w:p>
    <w:p w14:paraId="69DA21BC"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46" w:name="_Toc100224059"/>
      <w:r w:rsidRPr="005C149A">
        <w:rPr>
          <w:rFonts w:asciiTheme="majorBidi" w:hAnsiTheme="majorBidi"/>
          <w:b/>
          <w:bCs/>
          <w:color w:val="auto"/>
          <w:sz w:val="24"/>
          <w:szCs w:val="24"/>
          <w:u w:val="single"/>
        </w:rPr>
        <w:t>Question 26</w:t>
      </w:r>
      <w:bookmarkEnd w:id="46"/>
      <w:r w:rsidRPr="005C149A">
        <w:rPr>
          <w:rFonts w:asciiTheme="majorBidi" w:hAnsiTheme="majorBidi"/>
          <w:b/>
          <w:bCs/>
          <w:color w:val="auto"/>
          <w:sz w:val="24"/>
          <w:szCs w:val="24"/>
          <w:u w:val="single"/>
        </w:rPr>
        <w:t xml:space="preserve"> </w:t>
      </w:r>
    </w:p>
    <w:p w14:paraId="704D1A96" w14:textId="77777777" w:rsidR="004A0AA8" w:rsidRPr="005C149A" w:rsidRDefault="004A0AA8" w:rsidP="000423C8">
      <w:pPr>
        <w:pStyle w:val="Heading3"/>
      </w:pPr>
      <w:r w:rsidRPr="005C149A">
        <w:t xml:space="preserve">A. Sexual and </w:t>
      </w:r>
      <w:r w:rsidR="000423C8">
        <w:t>R</w:t>
      </w:r>
      <w:r w:rsidRPr="005C149A">
        <w:t xml:space="preserve">eproductive </w:t>
      </w:r>
      <w:r w:rsidR="000423C8">
        <w:t>H</w:t>
      </w:r>
      <w:r w:rsidRPr="005C149A">
        <w:t xml:space="preserve">ealth </w:t>
      </w:r>
      <w:r w:rsidR="000423C8">
        <w:t>P</w:t>
      </w:r>
      <w:r w:rsidRPr="005C149A">
        <w:t>rograms available for PWD</w:t>
      </w:r>
    </w:p>
    <w:p w14:paraId="5901DEE8" w14:textId="77777777" w:rsidR="00F37FC8" w:rsidRPr="005C149A" w:rsidRDefault="00F37FC8" w:rsidP="000423C8">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Training </w:t>
      </w:r>
      <w:r w:rsidR="000423C8">
        <w:rPr>
          <w:rFonts w:asciiTheme="majorBidi" w:hAnsiTheme="majorBidi" w:cstheme="majorBidi"/>
          <w:sz w:val="24"/>
          <w:szCs w:val="24"/>
          <w:u w:val="single"/>
        </w:rPr>
        <w:t>P</w:t>
      </w:r>
      <w:r w:rsidRPr="005C149A">
        <w:rPr>
          <w:rFonts w:asciiTheme="majorBidi" w:hAnsiTheme="majorBidi" w:cstheme="majorBidi"/>
          <w:sz w:val="24"/>
          <w:szCs w:val="24"/>
          <w:u w:val="single"/>
        </w:rPr>
        <w:t xml:space="preserve">rograms for </w:t>
      </w:r>
      <w:r w:rsidR="000423C8">
        <w:rPr>
          <w:rFonts w:asciiTheme="majorBidi" w:hAnsiTheme="majorBidi" w:cstheme="majorBidi"/>
          <w:sz w:val="24"/>
          <w:szCs w:val="24"/>
          <w:u w:val="single"/>
        </w:rPr>
        <w:t>M</w:t>
      </w:r>
      <w:r w:rsidRPr="005C149A">
        <w:rPr>
          <w:rFonts w:asciiTheme="majorBidi" w:hAnsiTheme="majorBidi" w:cstheme="majorBidi"/>
          <w:sz w:val="24"/>
          <w:szCs w:val="24"/>
          <w:u w:val="single"/>
        </w:rPr>
        <w:t xml:space="preserve">edical </w:t>
      </w:r>
      <w:r w:rsidR="000423C8">
        <w:rPr>
          <w:rFonts w:asciiTheme="majorBidi" w:hAnsiTheme="majorBidi" w:cstheme="majorBidi"/>
          <w:sz w:val="24"/>
          <w:szCs w:val="24"/>
          <w:u w:val="single"/>
        </w:rPr>
        <w:t>S</w:t>
      </w:r>
      <w:r w:rsidRPr="005C149A">
        <w:rPr>
          <w:rFonts w:asciiTheme="majorBidi" w:hAnsiTheme="majorBidi" w:cstheme="majorBidi"/>
          <w:sz w:val="24"/>
          <w:szCs w:val="24"/>
          <w:u w:val="single"/>
        </w:rPr>
        <w:t xml:space="preserve">taff on the </w:t>
      </w:r>
      <w:r w:rsidR="000423C8">
        <w:rPr>
          <w:rFonts w:asciiTheme="majorBidi" w:hAnsiTheme="majorBidi" w:cstheme="majorBidi"/>
          <w:sz w:val="24"/>
          <w:szCs w:val="24"/>
          <w:u w:val="single"/>
        </w:rPr>
        <w:t>R</w:t>
      </w:r>
      <w:r w:rsidRPr="005C149A">
        <w:rPr>
          <w:rFonts w:asciiTheme="majorBidi" w:hAnsiTheme="majorBidi" w:cstheme="majorBidi"/>
          <w:sz w:val="24"/>
          <w:szCs w:val="24"/>
          <w:u w:val="single"/>
        </w:rPr>
        <w:t xml:space="preserve">ights of PWD including </w:t>
      </w:r>
      <w:r w:rsidR="000423C8">
        <w:rPr>
          <w:rFonts w:asciiTheme="majorBidi" w:hAnsiTheme="majorBidi" w:cstheme="majorBidi"/>
          <w:sz w:val="24"/>
          <w:szCs w:val="24"/>
          <w:u w:val="single"/>
        </w:rPr>
        <w:t>G</w:t>
      </w:r>
      <w:r w:rsidRPr="005C149A">
        <w:rPr>
          <w:rFonts w:asciiTheme="majorBidi" w:hAnsiTheme="majorBidi" w:cstheme="majorBidi"/>
          <w:sz w:val="24"/>
          <w:szCs w:val="24"/>
          <w:u w:val="single"/>
        </w:rPr>
        <w:t xml:space="preserve">ender </w:t>
      </w:r>
      <w:r w:rsidR="000423C8">
        <w:rPr>
          <w:rFonts w:asciiTheme="majorBidi" w:hAnsiTheme="majorBidi" w:cstheme="majorBidi"/>
          <w:sz w:val="24"/>
          <w:szCs w:val="24"/>
          <w:u w:val="single"/>
        </w:rPr>
        <w:t>D</w:t>
      </w:r>
      <w:r w:rsidRPr="005C149A">
        <w:rPr>
          <w:rFonts w:asciiTheme="majorBidi" w:hAnsiTheme="majorBidi" w:cstheme="majorBidi"/>
          <w:sz w:val="24"/>
          <w:szCs w:val="24"/>
          <w:u w:val="single"/>
        </w:rPr>
        <w:t>imension</w:t>
      </w:r>
    </w:p>
    <w:p w14:paraId="37D1523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MOH also</w:t>
      </w:r>
      <w:r w:rsidRPr="005C149A">
        <w:rPr>
          <w:rFonts w:asciiTheme="majorBidi" w:hAnsiTheme="majorBidi" w:cstheme="majorBidi"/>
          <w:sz w:val="24"/>
          <w:szCs w:val="24"/>
          <w:rtl/>
        </w:rPr>
        <w:t xml:space="preserve"> </w:t>
      </w:r>
      <w:r w:rsidRPr="005C149A">
        <w:rPr>
          <w:rFonts w:asciiTheme="majorBidi" w:hAnsiTheme="majorBidi" w:cstheme="majorBidi"/>
          <w:sz w:val="24"/>
          <w:szCs w:val="24"/>
        </w:rPr>
        <w:t>cooperates with the academia in order to incorporate equality and accessibility in their medicinal studies, research projects and training courses, including regarding perceptions and ways to communicate with PWD.</w:t>
      </w:r>
    </w:p>
    <w:p w14:paraId="744B929E"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Furthermore, the MOH works to integrate patients and their family members in the management, practice and decision-making process in the mental health system, promoting policies and programs aimed at collaboration eradicating stigmas about persons with mental disabilities. Two (2) flagship programs in this regard are: the counselling and training center for families in the field of mental health and the "Fellows for Rights" program, which aims to make knowledge about mental health rights more accessible.</w:t>
      </w:r>
    </w:p>
    <w:p w14:paraId="1244AFA9" w14:textId="77777777" w:rsidR="004A0AA8" w:rsidRPr="005C149A" w:rsidRDefault="004A0AA8" w:rsidP="004A0AA8">
      <w:pPr>
        <w:pStyle w:val="Heading3"/>
      </w:pPr>
      <w:r w:rsidRPr="005C149A">
        <w:t xml:space="preserve">C. Discrimination in Insurance Contracts </w:t>
      </w:r>
    </w:p>
    <w:p w14:paraId="7013AE66" w14:textId="77777777" w:rsidR="00F37FC8" w:rsidRPr="005C149A" w:rsidRDefault="00F37FC8" w:rsidP="002D3CE5">
      <w:pPr>
        <w:bidi w:val="0"/>
        <w:spacing w:after="0" w:line="360" w:lineRule="auto"/>
        <w:jc w:val="both"/>
        <w:rPr>
          <w:rFonts w:asciiTheme="majorBidi" w:hAnsiTheme="majorBidi" w:cstheme="majorBidi"/>
          <w:sz w:val="24"/>
          <w:szCs w:val="24"/>
          <w:u w:val="single"/>
          <w:rtl/>
        </w:rPr>
      </w:pPr>
      <w:r w:rsidRPr="005C149A">
        <w:rPr>
          <w:rFonts w:asciiTheme="majorBidi" w:hAnsiTheme="majorBidi" w:cstheme="majorBidi"/>
          <w:sz w:val="24"/>
          <w:szCs w:val="24"/>
          <w:u w:val="single"/>
        </w:rPr>
        <w:t>Legislation Amendments and Regulations</w:t>
      </w:r>
    </w:p>
    <w:p w14:paraId="3E166E4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tl/>
        </w:rPr>
      </w:pPr>
      <w:r w:rsidRPr="005C149A">
        <w:rPr>
          <w:rFonts w:asciiTheme="majorBidi" w:hAnsiTheme="majorBidi" w:cstheme="majorBidi"/>
          <w:sz w:val="24"/>
          <w:szCs w:val="24"/>
        </w:rPr>
        <w:t xml:space="preserve">On July 8, 2018, Amendment No. 18 of the </w:t>
      </w:r>
      <w:r w:rsidRPr="005C149A">
        <w:rPr>
          <w:rFonts w:asciiTheme="majorBidi" w:hAnsiTheme="majorBidi" w:cstheme="majorBidi"/>
          <w:i/>
          <w:iCs/>
          <w:sz w:val="24"/>
          <w:szCs w:val="24"/>
        </w:rPr>
        <w:t>Equal Rights Law</w:t>
      </w:r>
      <w:r w:rsidRPr="005C149A">
        <w:rPr>
          <w:rFonts w:asciiTheme="majorBidi" w:hAnsiTheme="majorBidi" w:cstheme="majorBidi"/>
          <w:sz w:val="24"/>
          <w:szCs w:val="24"/>
        </w:rPr>
        <w:t xml:space="preserve"> </w:t>
      </w:r>
      <w:r w:rsidRPr="005C149A">
        <w:rPr>
          <w:rFonts w:asciiTheme="majorBidi" w:hAnsiTheme="majorBidi" w:cstheme="majorBidi"/>
          <w:i/>
          <w:iCs/>
          <w:sz w:val="24"/>
          <w:szCs w:val="24"/>
        </w:rPr>
        <w:t xml:space="preserve">(Life Insurance for a Person with a Life-Shortening Disability for Housing Loans) </w:t>
      </w:r>
      <w:r w:rsidRPr="005C149A">
        <w:rPr>
          <w:rFonts w:asciiTheme="majorBidi" w:hAnsiTheme="majorBidi" w:cstheme="majorBidi"/>
          <w:sz w:val="24"/>
          <w:szCs w:val="24"/>
        </w:rPr>
        <w:t xml:space="preserve">5778-2018 was enacted. According to this Amendment, an insurer selling life insurance for the purpose of obtaining a housing loan may not refuse to sell such a life insurance policy to a person with a life-shortening disability, except subject to the provisions of this Law. If the insurer refuses to sell a policy, they must offer that person a life insurance policy for a person with a life-shortening disability, which shall amount to half the balance of the housing loan offered by the financial entity and a maximum of 500,000 NIS (160,660 USD) (although the insurer may agree to a larger amount). Additionally, the Amendment requires the MOCH to offer monthly financial assistance to a person with a life-shortening disability in purchasing an apartment. </w:t>
      </w:r>
    </w:p>
    <w:p w14:paraId="7D90560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b/>
          <w:bCs/>
          <w:sz w:val="24"/>
          <w:szCs w:val="24"/>
          <w:u w:val="single"/>
        </w:rPr>
      </w:pPr>
      <w:r w:rsidRPr="005C149A">
        <w:rPr>
          <w:rFonts w:asciiTheme="majorBidi" w:hAnsiTheme="majorBidi" w:cstheme="majorBidi"/>
          <w:sz w:val="24"/>
          <w:szCs w:val="24"/>
        </w:rPr>
        <w:t xml:space="preserve">Pursuant to this Amendment, the Inspector of the Banks must report to the Knesset Finance Committee regarding the implementation of these provisions. According to the 2020 report, in 2019, 44 loans were offered to clients with life-shortening disabilities, at the value of 22 Million NIS (7,069,067 USD). </w:t>
      </w:r>
      <w:bookmarkStart w:id="47" w:name="_Hlk77856086"/>
    </w:p>
    <w:p w14:paraId="25404C84"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Case Law</w:t>
      </w:r>
    </w:p>
    <w:p w14:paraId="2EC42A03"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On September 1, 2020, the Jerusalem Magistrate Court ruled in a case claiming discrimination on the basis of disability in an insurance for home-based care. The plaintiff, who has diabetes, filed a suit in the Jerusalem Magistrate Court after the respondent, a private insurance company, charged her a premium of 150% more than that of her other family members. The Attorney's General Opinion in this case stipulated that private insurance companies who are insured by reinsurers (companies insuring insurance companies) operate by the guidelines of the latter. Therefore, if the decision is made by the reinsurer, the reinsurer's decision to exclude the risk will suffice for the aforementioned obligation to offer an explanation. The Magistrate Court ruled that the reinsurer's decision must itself comply with the anti-discrimination clause, but nevertheless denied the suit, ruling that in the specific case, that obligation was met. The Court held that the respondent has the right to take into account</w:t>
      </w:r>
      <w:r w:rsidRPr="005C149A" w:rsidDel="00762F8D">
        <w:rPr>
          <w:rFonts w:asciiTheme="majorBidi" w:hAnsiTheme="majorBidi" w:cstheme="majorBidi"/>
          <w:sz w:val="24"/>
          <w:szCs w:val="24"/>
        </w:rPr>
        <w:t xml:space="preserve"> </w:t>
      </w:r>
      <w:r w:rsidRPr="005C149A">
        <w:rPr>
          <w:rFonts w:asciiTheme="majorBidi" w:hAnsiTheme="majorBidi" w:cstheme="majorBidi"/>
          <w:sz w:val="24"/>
          <w:szCs w:val="24"/>
        </w:rPr>
        <w:t>business considerations, including whether or not a risk is feasible, and that if such a decision is made based on the professional opinion of a reinsurer, so long as the data is relevant and substantive and not rooted in arbitrariness, it is not considered discrimination. Therefore, as a private company, the respondent had to right to offer the plaintiff insurance of home-based care recipient with conditions the company had established (Exp.Ci.C.</w:t>
      </w:r>
      <w:r w:rsidRPr="005C149A" w:rsidDel="008576F6">
        <w:rPr>
          <w:rFonts w:asciiTheme="majorBidi" w:hAnsiTheme="majorBidi" w:cstheme="majorBidi"/>
          <w:sz w:val="24"/>
          <w:szCs w:val="24"/>
        </w:rPr>
        <w:t xml:space="preserve"> </w:t>
      </w:r>
      <w:r w:rsidRPr="005C149A">
        <w:rPr>
          <w:rFonts w:asciiTheme="majorBidi" w:hAnsiTheme="majorBidi" w:cstheme="majorBidi"/>
          <w:sz w:val="24"/>
          <w:szCs w:val="24"/>
        </w:rPr>
        <w:t xml:space="preserve">11025-09-27, </w:t>
      </w:r>
      <w:r w:rsidRPr="005C149A">
        <w:rPr>
          <w:rFonts w:asciiTheme="majorBidi" w:hAnsiTheme="majorBidi" w:cstheme="majorBidi"/>
          <w:i/>
          <w:iCs/>
          <w:sz w:val="24"/>
          <w:szCs w:val="24"/>
        </w:rPr>
        <w:t xml:space="preserve">Anonymous v. Migdal Insurance and Financial Holdings Ltd </w:t>
      </w:r>
      <w:r w:rsidRPr="005C149A">
        <w:rPr>
          <w:rFonts w:asciiTheme="majorBidi" w:hAnsiTheme="majorBidi" w:cstheme="majorBidi"/>
          <w:sz w:val="24"/>
          <w:szCs w:val="24"/>
        </w:rPr>
        <w:t>(1.9.2020)).</w:t>
      </w:r>
    </w:p>
    <w:p w14:paraId="368C8890" w14:textId="77777777" w:rsidR="00F37FC8" w:rsidRPr="005C149A" w:rsidRDefault="00F37FC8" w:rsidP="00A6688D">
      <w:pPr>
        <w:pStyle w:val="ParaNo"/>
        <w:tabs>
          <w:tab w:val="clear" w:pos="737"/>
        </w:tabs>
        <w:spacing w:line="360" w:lineRule="auto"/>
        <w:ind w:left="567"/>
        <w:jc w:val="both"/>
        <w:rPr>
          <w:rFonts w:asciiTheme="majorBidi" w:hAnsiTheme="majorBidi" w:cstheme="majorBidi"/>
          <w:szCs w:val="24"/>
        </w:rPr>
      </w:pPr>
      <w:r w:rsidRPr="005C149A">
        <w:rPr>
          <w:rFonts w:asciiTheme="majorBidi" w:hAnsiTheme="majorBidi" w:cstheme="majorBidi"/>
          <w:szCs w:val="24"/>
        </w:rPr>
        <w:t xml:space="preserve">The plaintiff appealed this ruling to the District Court. On July 8, 2021, the Jerusalem District Court, validated an agreement reached between the plaintiff and the respondent to reject the appeal and the suit, and also rejected comments made by the Magistrate Court, that the reinsurer's decision must also comply with the anti-discrimination clause (Ci.Ap. 6060-11-20 </w:t>
      </w:r>
      <w:r w:rsidRPr="005C149A">
        <w:rPr>
          <w:rFonts w:asciiTheme="majorBidi" w:hAnsiTheme="majorBidi"/>
          <w:i/>
          <w:iCs/>
          <w:szCs w:val="24"/>
        </w:rPr>
        <w:t>Anonymous</w:t>
      </w:r>
      <w:r w:rsidRPr="005C149A">
        <w:rPr>
          <w:rFonts w:asciiTheme="majorBidi" w:hAnsiTheme="majorBidi" w:cstheme="majorBidi"/>
          <w:i/>
          <w:iCs/>
          <w:szCs w:val="24"/>
        </w:rPr>
        <w:t xml:space="preserve"> v. Migdal Insurance and Financial Holdings Ltd. </w:t>
      </w:r>
      <w:r w:rsidRPr="005C149A">
        <w:rPr>
          <w:rFonts w:asciiTheme="majorBidi" w:hAnsiTheme="majorBidi" w:cstheme="majorBidi"/>
          <w:szCs w:val="24"/>
        </w:rPr>
        <w:t>(8.7.2021)).</w:t>
      </w:r>
    </w:p>
    <w:p w14:paraId="485FBD2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sz w:val="24"/>
          <w:szCs w:val="24"/>
        </w:rPr>
      </w:pPr>
      <w:r w:rsidRPr="005C149A">
        <w:rPr>
          <w:rFonts w:asciiTheme="majorBidi" w:hAnsiTheme="majorBidi" w:cstheme="majorBidi"/>
          <w:sz w:val="24"/>
          <w:szCs w:val="24"/>
        </w:rPr>
        <w:t xml:space="preserve">Additionally, a class action was submitted against several insurance companies claiming discrimination in home-care insurance for persons with autism </w:t>
      </w:r>
      <w:r w:rsidRPr="005C149A">
        <w:rPr>
          <w:rFonts w:asciiTheme="majorBidi" w:hAnsiTheme="majorBidi"/>
          <w:sz w:val="24"/>
          <w:szCs w:val="24"/>
        </w:rPr>
        <w:t xml:space="preserve">(C.A. 60255-12-17, </w:t>
      </w:r>
      <w:r w:rsidRPr="005C149A">
        <w:rPr>
          <w:rFonts w:asciiTheme="majorBidi" w:hAnsiTheme="majorBidi"/>
          <w:i/>
          <w:iCs/>
          <w:sz w:val="24"/>
          <w:szCs w:val="24"/>
        </w:rPr>
        <w:t>Anonymous v. Harel Insurance Ltd. et. al.</w:t>
      </w:r>
      <w:r w:rsidRPr="005C149A">
        <w:rPr>
          <w:rFonts w:asciiTheme="majorBidi" w:hAnsiTheme="majorBidi"/>
          <w:sz w:val="24"/>
          <w:szCs w:val="24"/>
        </w:rPr>
        <w:t xml:space="preserve"> (pending)).</w:t>
      </w:r>
    </w:p>
    <w:bookmarkEnd w:id="47"/>
    <w:p w14:paraId="1BE7530A" w14:textId="77777777" w:rsidR="00133315" w:rsidRPr="005C149A" w:rsidRDefault="00133315" w:rsidP="00133315">
      <w:pPr>
        <w:pStyle w:val="Heading3"/>
      </w:pPr>
      <w:r w:rsidRPr="005C149A">
        <w:t>D. Cultural Accessibility of Health Care Services</w:t>
      </w:r>
    </w:p>
    <w:p w14:paraId="14695504" w14:textId="4A7C3A6E" w:rsidR="00F37FC8" w:rsidRPr="005C149A" w:rsidRDefault="00F37FC8" w:rsidP="00F0401E">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Following the MOH DG Circular No. 7/11, a cultural accessibility tutorial was written and distributed, training sessions were held, and cultural accessibility coordinators were appointed at all health institutions. For years, extensive activity has been carried out towards learning and assimilating the procedure in the various health services, through training sessions for health care workers engaged in the provision of services, especially those who regularly come into contact with culturally diverse populations. </w:t>
      </w:r>
    </w:p>
    <w:p w14:paraId="27EF3EA4"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Medical Rights for Asylum Seekers</w:t>
      </w:r>
    </w:p>
    <w:p w14:paraId="2042D84C"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u w:val="single"/>
        </w:rPr>
      </w:pPr>
      <w:r w:rsidRPr="005C149A">
        <w:rPr>
          <w:rFonts w:asciiTheme="majorBidi" w:hAnsiTheme="majorBidi" w:cstheme="majorBidi"/>
          <w:color w:val="000000"/>
          <w:sz w:val="24"/>
          <w:szCs w:val="24"/>
        </w:rPr>
        <w:t xml:space="preserve">Pursuant </w:t>
      </w:r>
      <w:r w:rsidRPr="005C149A">
        <w:rPr>
          <w:rFonts w:asciiTheme="majorBidi" w:hAnsiTheme="majorBidi" w:cstheme="majorBidi"/>
          <w:sz w:val="24"/>
          <w:szCs w:val="24"/>
        </w:rPr>
        <w:t>to</w:t>
      </w:r>
      <w:r w:rsidRPr="005C149A">
        <w:rPr>
          <w:rFonts w:asciiTheme="majorBidi" w:hAnsiTheme="majorBidi" w:cstheme="majorBidi"/>
          <w:color w:val="000000"/>
          <w:sz w:val="24"/>
          <w:szCs w:val="24"/>
        </w:rPr>
        <w:t xml:space="preserve"> </w:t>
      </w:r>
      <w:r w:rsidRPr="005C149A">
        <w:rPr>
          <w:rFonts w:asciiTheme="majorBidi" w:hAnsiTheme="majorBidi" w:cstheme="majorBidi"/>
          <w:i/>
          <w:iCs/>
          <w:color w:val="000000"/>
          <w:sz w:val="24"/>
          <w:szCs w:val="24"/>
        </w:rPr>
        <w:t>Patients' Rights Law</w:t>
      </w:r>
      <w:r w:rsidRPr="005C149A">
        <w:rPr>
          <w:rFonts w:asciiTheme="majorBidi" w:hAnsiTheme="majorBidi" w:cstheme="majorBidi"/>
          <w:color w:val="000000"/>
          <w:sz w:val="24"/>
          <w:szCs w:val="24"/>
        </w:rPr>
        <w:t xml:space="preserve"> 1996-5756, all persons </w:t>
      </w:r>
      <w:r w:rsidRPr="005C149A">
        <w:rPr>
          <w:rFonts w:asciiTheme="majorBidi" w:hAnsiTheme="majorBidi" w:cstheme="majorBidi"/>
          <w:sz w:val="24"/>
          <w:szCs w:val="24"/>
        </w:rPr>
        <w:t>are</w:t>
      </w:r>
      <w:r w:rsidRPr="005C149A">
        <w:rPr>
          <w:rFonts w:asciiTheme="majorBidi" w:hAnsiTheme="majorBidi" w:cstheme="majorBidi"/>
          <w:color w:val="000000"/>
          <w:sz w:val="24"/>
          <w:szCs w:val="24"/>
        </w:rPr>
        <w:t xml:space="preserve"> entitled to urgent medical care in a situation of medical emergency. Specifically, migrants, including minors, are offered the following health services (in addition to the aforesaid urgent medical treatments): preventive medicine for pregnant women, babies and infants at family health centers; primary health care in the </w:t>
      </w:r>
      <w:r w:rsidRPr="005C149A">
        <w:rPr>
          <w:rFonts w:asciiTheme="majorBidi" w:hAnsiTheme="majorBidi" w:cstheme="majorBidi"/>
          <w:i/>
          <w:iCs/>
          <w:color w:val="000000"/>
          <w:sz w:val="24"/>
          <w:szCs w:val="24"/>
        </w:rPr>
        <w:t>Terem</w:t>
      </w:r>
      <w:r w:rsidRPr="005C149A">
        <w:rPr>
          <w:rFonts w:asciiTheme="majorBidi" w:hAnsiTheme="majorBidi" w:cstheme="majorBidi"/>
          <w:color w:val="000000"/>
          <w:sz w:val="24"/>
          <w:szCs w:val="24"/>
        </w:rPr>
        <w:t xml:space="preserve"> clinic for persons without civil status in Tel Aviv-Jaffa; and psycho-social and medicinal treatment in the </w:t>
      </w:r>
      <w:r w:rsidRPr="005C149A">
        <w:rPr>
          <w:rFonts w:asciiTheme="majorBidi" w:hAnsiTheme="majorBidi" w:cstheme="majorBidi"/>
          <w:i/>
          <w:iCs/>
          <w:color w:val="000000"/>
          <w:sz w:val="24"/>
          <w:szCs w:val="24"/>
        </w:rPr>
        <w:t>Ruth</w:t>
      </w:r>
      <w:r w:rsidRPr="005C149A">
        <w:rPr>
          <w:rFonts w:asciiTheme="majorBidi" w:hAnsiTheme="majorBidi" w:cstheme="majorBidi"/>
          <w:color w:val="000000"/>
          <w:sz w:val="24"/>
          <w:szCs w:val="24"/>
        </w:rPr>
        <w:t xml:space="preserve"> clinic for mental health in Tel Aviv-Jaffa; and more. </w:t>
      </w:r>
      <w:r w:rsidRPr="005C149A">
        <w:rPr>
          <w:rFonts w:asciiTheme="majorBidi" w:hAnsiTheme="majorBidi" w:cstheme="majorBidi"/>
          <w:sz w:val="24"/>
          <w:szCs w:val="24"/>
          <w:u w:val="single"/>
        </w:rPr>
        <w:t xml:space="preserve"> </w:t>
      </w:r>
    </w:p>
    <w:p w14:paraId="3F70905C"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Protection for </w:t>
      </w:r>
      <w:r w:rsidR="00133315" w:rsidRPr="005C149A">
        <w:rPr>
          <w:rFonts w:asciiTheme="majorBidi" w:hAnsiTheme="majorBidi" w:cstheme="majorBidi"/>
          <w:sz w:val="24"/>
          <w:szCs w:val="24"/>
          <w:u w:val="single"/>
        </w:rPr>
        <w:t>W</w:t>
      </w:r>
      <w:r w:rsidRPr="005C149A">
        <w:rPr>
          <w:rFonts w:asciiTheme="majorBidi" w:hAnsiTheme="majorBidi" w:cstheme="majorBidi"/>
          <w:sz w:val="24"/>
          <w:szCs w:val="24"/>
          <w:u w:val="single"/>
        </w:rPr>
        <w:t xml:space="preserve">omen </w:t>
      </w:r>
      <w:r w:rsidR="00133315" w:rsidRPr="005C149A">
        <w:rPr>
          <w:rFonts w:asciiTheme="majorBidi" w:hAnsiTheme="majorBidi" w:cstheme="majorBidi"/>
          <w:sz w:val="24"/>
          <w:szCs w:val="24"/>
          <w:u w:val="single"/>
        </w:rPr>
        <w:t>Asylum S</w:t>
      </w:r>
      <w:r w:rsidRPr="005C149A">
        <w:rPr>
          <w:rFonts w:asciiTheme="majorBidi" w:hAnsiTheme="majorBidi" w:cstheme="majorBidi"/>
          <w:sz w:val="24"/>
          <w:szCs w:val="24"/>
          <w:u w:val="single"/>
        </w:rPr>
        <w:t xml:space="preserve">eekers </w:t>
      </w:r>
      <w:r w:rsidR="00133315" w:rsidRPr="005C149A">
        <w:rPr>
          <w:rFonts w:asciiTheme="majorBidi" w:hAnsiTheme="majorBidi" w:cstheme="majorBidi"/>
          <w:sz w:val="24"/>
          <w:szCs w:val="24"/>
          <w:u w:val="single"/>
        </w:rPr>
        <w:t>I</w:t>
      </w:r>
      <w:r w:rsidRPr="005C149A">
        <w:rPr>
          <w:rFonts w:asciiTheme="majorBidi" w:hAnsiTheme="majorBidi" w:cstheme="majorBidi"/>
          <w:sz w:val="24"/>
          <w:szCs w:val="24"/>
          <w:u w:val="single"/>
        </w:rPr>
        <w:t>nvolved in ‘</w:t>
      </w:r>
      <w:r w:rsidR="00133315" w:rsidRPr="005C149A">
        <w:rPr>
          <w:rFonts w:asciiTheme="majorBidi" w:hAnsiTheme="majorBidi" w:cstheme="majorBidi"/>
          <w:sz w:val="24"/>
          <w:szCs w:val="24"/>
          <w:u w:val="single"/>
        </w:rPr>
        <w:t>S</w:t>
      </w:r>
      <w:r w:rsidRPr="005C149A">
        <w:rPr>
          <w:rFonts w:asciiTheme="majorBidi" w:hAnsiTheme="majorBidi" w:cstheme="majorBidi"/>
          <w:sz w:val="24"/>
          <w:szCs w:val="24"/>
          <w:u w:val="single"/>
        </w:rPr>
        <w:t xml:space="preserve">urvival </w:t>
      </w:r>
      <w:r w:rsidR="00133315" w:rsidRPr="005C149A">
        <w:rPr>
          <w:rFonts w:asciiTheme="majorBidi" w:hAnsiTheme="majorBidi" w:cstheme="majorBidi"/>
          <w:sz w:val="24"/>
          <w:szCs w:val="24"/>
          <w:u w:val="single"/>
        </w:rPr>
        <w:t>S</w:t>
      </w:r>
      <w:r w:rsidRPr="005C149A">
        <w:rPr>
          <w:rFonts w:asciiTheme="majorBidi" w:hAnsiTheme="majorBidi" w:cstheme="majorBidi"/>
          <w:sz w:val="24"/>
          <w:szCs w:val="24"/>
          <w:u w:val="single"/>
        </w:rPr>
        <w:t>ex’</w:t>
      </w:r>
    </w:p>
    <w:p w14:paraId="5C5EEE77" w14:textId="1ADA7511" w:rsidR="00F37FC8" w:rsidRPr="005C149A" w:rsidRDefault="00F37FC8" w:rsidP="00F0401E">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As part of ventures for implementing the </w:t>
      </w:r>
      <w:r w:rsidRPr="005C149A">
        <w:rPr>
          <w:rFonts w:asciiTheme="majorBidi" w:hAnsiTheme="majorBidi" w:cstheme="majorBidi"/>
          <w:i/>
          <w:iCs/>
          <w:sz w:val="24"/>
          <w:szCs w:val="24"/>
        </w:rPr>
        <w:t>Prohibition of Prostitution Consumption Law (Temporary Order and Legislation Amendment)</w:t>
      </w:r>
      <w:r w:rsidRPr="005C149A">
        <w:rPr>
          <w:rFonts w:asciiTheme="majorBidi" w:hAnsiTheme="majorBidi" w:cstheme="majorBidi"/>
          <w:sz w:val="24"/>
          <w:szCs w:val="24"/>
        </w:rPr>
        <w:t xml:space="preserve"> 5779-2019, emergency apartments taking in women and girls in prostitution, providing them a temporary and immediate shelter unconditionally were established. At these apartments the women are provided</w:t>
      </w:r>
      <w:r w:rsidRPr="005C149A" w:rsidDel="00762F8D">
        <w:rPr>
          <w:rFonts w:asciiTheme="majorBidi" w:hAnsiTheme="majorBidi" w:cstheme="majorBidi"/>
          <w:sz w:val="24"/>
          <w:szCs w:val="24"/>
        </w:rPr>
        <w:t xml:space="preserve"> </w:t>
      </w:r>
      <w:r w:rsidRPr="005C149A">
        <w:rPr>
          <w:rFonts w:asciiTheme="majorBidi" w:hAnsiTheme="majorBidi" w:cstheme="majorBidi"/>
          <w:sz w:val="24"/>
          <w:szCs w:val="24"/>
        </w:rPr>
        <w:t>solutions for basic needs such as accommodation, food and clothing, protection, medical examinations and care, as well as the assistance of a social worker, and drug and alcohol rehabilitation. This project is financed by the MOWSA together with NGOs. One of these apartments is to be designed for women without legal status.</w:t>
      </w:r>
    </w:p>
    <w:p w14:paraId="40EF2B4A"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Additionally, there is a nationwide hotline operating 24 hours a day and designed for applicants in the field of prostitution exploitation, assisting in exhaustion of rights, therapy and other existing care services.</w:t>
      </w:r>
    </w:p>
    <w:p w14:paraId="325C8A7A" w14:textId="6EA10684"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MOWSA operates a national rehabilitative hostel as a comprehensive framework for women and girls</w:t>
      </w:r>
      <w:r w:rsidR="00F0401E">
        <w:rPr>
          <w:rFonts w:asciiTheme="majorBidi" w:hAnsiTheme="majorBidi" w:cstheme="majorBidi"/>
          <w:sz w:val="24"/>
          <w:szCs w:val="24"/>
        </w:rPr>
        <w:t xml:space="preserve"> in prostitution</w:t>
      </w:r>
      <w:r w:rsidRPr="005C149A">
        <w:rPr>
          <w:rFonts w:asciiTheme="majorBidi" w:hAnsiTheme="majorBidi" w:cstheme="majorBidi"/>
          <w:sz w:val="24"/>
          <w:szCs w:val="24"/>
        </w:rPr>
        <w:t>, which includes housing that provides care for one (1) year. The hostel provides accommodation, intensive and comprehensive emotional and mental therapy in all areas of life and assistance in the rehabilitation process, including vocational rehabilitation, contact with the family, finding a solution for permanent housing and returning to a normative life in the community. Additionally, there are day and night centers, which offer day-to-day services for women and girls, including individual and group emotional treatment, assistance in acquiring basic social, education, employment skills and more.</w:t>
      </w:r>
    </w:p>
    <w:p w14:paraId="233946EF" w14:textId="766FB521"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MOH offers various treatment centers and mobile clinics for therapy. The goal of the mobile clinics is to locate men and women engaging in prostitution and refer them to the psychosocial services clinics, additional treatment and rehabilitation services, encourage periodic medical exams for sexually transmitted diseases, empowerment towards physical and mental rehabilitation, and assistance in exhausting social rights and health rights. These programs conduct tours for locating men and women engaging in prostitution, including refugees</w:t>
      </w:r>
      <w:r w:rsidR="00F0401E">
        <w:rPr>
          <w:rFonts w:asciiTheme="majorBidi" w:hAnsiTheme="majorBidi" w:cstheme="majorBidi"/>
          <w:sz w:val="24"/>
          <w:szCs w:val="24"/>
        </w:rPr>
        <w:t>, asylum seekers</w:t>
      </w:r>
      <w:r w:rsidRPr="005C149A">
        <w:rPr>
          <w:rFonts w:asciiTheme="majorBidi" w:hAnsiTheme="majorBidi" w:cstheme="majorBidi"/>
          <w:sz w:val="24"/>
          <w:szCs w:val="24"/>
        </w:rPr>
        <w:t xml:space="preserve"> and immigrants, in discreet apartments, brothels, etc.</w:t>
      </w:r>
    </w:p>
    <w:p w14:paraId="676305C7"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In 2020, in light of the COVID-19 pandemic, additional assistance was provided to eight (8) women without legal status in the prostitution circle treated at the Levinski Clinic and to four (4) additional women and men without legal status, by several non-governmental organizations, including food baskets, scholarships for rental fees and food vouchers for three (3) months.</w:t>
      </w:r>
    </w:p>
    <w:p w14:paraId="5CE1A405" w14:textId="77777777" w:rsidR="00133315" w:rsidRPr="005C149A" w:rsidRDefault="00133315" w:rsidP="0050316B">
      <w:pPr>
        <w:pStyle w:val="Heading2"/>
        <w:spacing w:before="0" w:after="0"/>
      </w:pPr>
      <w:r w:rsidRPr="005C149A">
        <w:t>Article 26</w:t>
      </w:r>
    </w:p>
    <w:p w14:paraId="575E2FE7" w14:textId="77777777" w:rsidR="00133315" w:rsidRPr="005C149A" w:rsidRDefault="00133315"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48" w:name="_Toc100147409"/>
      <w:bookmarkStart w:id="49" w:name="_Toc100224060"/>
      <w:r w:rsidRPr="005C149A">
        <w:rPr>
          <w:rFonts w:asciiTheme="majorBidi" w:hAnsiTheme="majorBidi"/>
          <w:b/>
          <w:bCs/>
          <w:color w:val="auto"/>
          <w:sz w:val="24"/>
          <w:szCs w:val="24"/>
          <w:u w:val="single"/>
        </w:rPr>
        <w:t>Question 27</w:t>
      </w:r>
      <w:bookmarkEnd w:id="48"/>
      <w:bookmarkEnd w:id="49"/>
    </w:p>
    <w:p w14:paraId="536093D3" w14:textId="77777777" w:rsidR="00133315" w:rsidRPr="005C149A" w:rsidRDefault="00133315" w:rsidP="008427F3">
      <w:pPr>
        <w:pStyle w:val="Heading3"/>
      </w:pPr>
      <w:r w:rsidRPr="005C149A">
        <w:t>Rehabilitation Programs</w:t>
      </w:r>
    </w:p>
    <w:p w14:paraId="3B13D680" w14:textId="49C9BE41" w:rsidR="00133315" w:rsidRPr="005C149A" w:rsidRDefault="00133315" w:rsidP="00F0401E">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December 19, 2021, GR No. 827 on "Adey Negev" - a full care facility for PWD and children with disabilities in the Israeli Negev - allocated budget for several </w:t>
      </w:r>
      <w:r w:rsidR="00F0401E">
        <w:rPr>
          <w:rFonts w:asciiTheme="majorBidi" w:hAnsiTheme="majorBidi" w:cstheme="majorBidi"/>
          <w:sz w:val="24"/>
          <w:szCs w:val="24"/>
        </w:rPr>
        <w:t>M</w:t>
      </w:r>
      <w:r w:rsidR="00F0401E" w:rsidRPr="005C149A">
        <w:rPr>
          <w:rFonts w:asciiTheme="majorBidi" w:hAnsiTheme="majorBidi" w:cstheme="majorBidi"/>
          <w:sz w:val="24"/>
          <w:szCs w:val="24"/>
        </w:rPr>
        <w:t xml:space="preserve">inistries </w:t>
      </w:r>
      <w:r w:rsidRPr="005C149A">
        <w:rPr>
          <w:rFonts w:asciiTheme="majorBidi" w:hAnsiTheme="majorBidi" w:cstheme="majorBidi"/>
          <w:sz w:val="24"/>
          <w:szCs w:val="24"/>
        </w:rPr>
        <w:t xml:space="preserve">in order to facilitate, </w:t>
      </w:r>
      <w:r w:rsidRPr="005C149A">
        <w:rPr>
          <w:rFonts w:asciiTheme="majorBidi" w:hAnsiTheme="majorBidi" w:cstheme="majorBidi"/>
          <w:i/>
          <w:iCs/>
          <w:sz w:val="24"/>
          <w:szCs w:val="24"/>
        </w:rPr>
        <w:t>inter alia</w:t>
      </w:r>
      <w:r w:rsidRPr="005C149A">
        <w:rPr>
          <w:rFonts w:asciiTheme="majorBidi" w:hAnsiTheme="majorBidi" w:cstheme="majorBidi"/>
          <w:sz w:val="24"/>
          <w:szCs w:val="24"/>
        </w:rPr>
        <w:t xml:space="preserve">, rehabilitative programs for persons who live there, as well as for other PWD in the Negev, such as: the establishment of a regional rehabilitative hospital, research and medical equipment, a support center for parents with children with disabilities etc. </w:t>
      </w:r>
    </w:p>
    <w:p w14:paraId="0318C5F8" w14:textId="77777777" w:rsidR="00F37FC8" w:rsidRPr="005C149A" w:rsidRDefault="00133315" w:rsidP="00965AFD">
      <w:pPr>
        <w:pStyle w:val="SingleTxtG"/>
        <w:spacing w:line="360" w:lineRule="auto"/>
        <w:ind w:left="0"/>
        <w:rPr>
          <w:rFonts w:asciiTheme="majorBidi" w:hAnsiTheme="majorBidi" w:cstheme="majorBidi"/>
          <w:b/>
          <w:bCs/>
          <w:sz w:val="24"/>
          <w:szCs w:val="24"/>
          <w:u w:val="single"/>
        </w:rPr>
      </w:pPr>
      <w:r w:rsidRPr="005C149A">
        <w:rPr>
          <w:rFonts w:asciiTheme="majorBidi" w:hAnsiTheme="majorBidi" w:cstheme="majorBidi"/>
          <w:b/>
          <w:bCs/>
          <w:sz w:val="24"/>
          <w:szCs w:val="24"/>
          <w:u w:val="single"/>
        </w:rPr>
        <w:t xml:space="preserve">Rehabilitation at The </w:t>
      </w:r>
      <w:r w:rsidR="00965AFD">
        <w:rPr>
          <w:rFonts w:asciiTheme="majorBidi" w:hAnsiTheme="majorBidi" w:cstheme="majorBidi"/>
          <w:b/>
          <w:bCs/>
          <w:sz w:val="24"/>
          <w:szCs w:val="24"/>
          <w:u w:val="single"/>
        </w:rPr>
        <w:t>MOD</w:t>
      </w:r>
      <w:r w:rsidRPr="005C149A">
        <w:rPr>
          <w:rFonts w:asciiTheme="majorBidi" w:hAnsiTheme="majorBidi" w:cstheme="majorBidi"/>
          <w:b/>
          <w:bCs/>
          <w:sz w:val="24"/>
          <w:szCs w:val="24"/>
          <w:u w:val="single"/>
        </w:rPr>
        <w:t xml:space="preserve"> </w:t>
      </w:r>
      <w:r w:rsidR="00F37FC8" w:rsidRPr="005C149A">
        <w:rPr>
          <w:rFonts w:asciiTheme="majorBidi" w:hAnsiTheme="majorBidi" w:cstheme="majorBidi"/>
          <w:b/>
          <w:bCs/>
          <w:sz w:val="24"/>
          <w:szCs w:val="24"/>
          <w:u w:val="single"/>
        </w:rPr>
        <w:t xml:space="preserve"> </w:t>
      </w:r>
    </w:p>
    <w:p w14:paraId="686F69EC" w14:textId="2257969B" w:rsidR="00F37FC8" w:rsidRPr="005C149A" w:rsidRDefault="00F37FC8" w:rsidP="00F0401E">
      <w:pPr>
        <w:pStyle w:val="ListParagraph"/>
        <w:numPr>
          <w:ilvl w:val="0"/>
          <w:numId w:val="22"/>
        </w:numPr>
        <w:spacing w:line="360" w:lineRule="auto"/>
        <w:ind w:left="567" w:hanging="567"/>
        <w:jc w:val="both"/>
        <w:rPr>
          <w:rFonts w:asciiTheme="majorBidi" w:hAnsiTheme="majorBidi" w:cstheme="majorBidi"/>
          <w:bCs/>
          <w:sz w:val="24"/>
          <w:szCs w:val="24"/>
        </w:rPr>
      </w:pPr>
      <w:r w:rsidRPr="005C149A">
        <w:rPr>
          <w:rFonts w:asciiTheme="majorBidi" w:hAnsiTheme="majorBidi" w:cstheme="majorBidi"/>
          <w:bCs/>
          <w:sz w:val="24"/>
          <w:szCs w:val="24"/>
        </w:rPr>
        <w:t xml:space="preserve">The </w:t>
      </w:r>
      <w:r w:rsidR="00F0401E">
        <w:rPr>
          <w:rFonts w:asciiTheme="majorBidi" w:hAnsiTheme="majorBidi" w:cstheme="majorBidi"/>
          <w:bCs/>
          <w:sz w:val="24"/>
          <w:szCs w:val="24"/>
        </w:rPr>
        <w:t xml:space="preserve">2021 </w:t>
      </w:r>
      <w:r w:rsidRPr="005C149A">
        <w:rPr>
          <w:rFonts w:asciiTheme="majorBidi" w:hAnsiTheme="majorBidi" w:cstheme="majorBidi"/>
          <w:bCs/>
          <w:sz w:val="24"/>
          <w:szCs w:val="24"/>
        </w:rPr>
        <w:t>reform</w:t>
      </w:r>
      <w:r w:rsidR="00F0401E">
        <w:rPr>
          <w:rFonts w:asciiTheme="majorBidi" w:hAnsiTheme="majorBidi" w:cstheme="majorBidi"/>
          <w:bCs/>
          <w:sz w:val="24"/>
          <w:szCs w:val="24"/>
        </w:rPr>
        <w:t>, titled</w:t>
      </w:r>
      <w:r w:rsidRPr="005C149A">
        <w:rPr>
          <w:rFonts w:asciiTheme="majorBidi" w:hAnsiTheme="majorBidi" w:cstheme="majorBidi"/>
          <w:bCs/>
          <w:sz w:val="24"/>
          <w:szCs w:val="24"/>
        </w:rPr>
        <w:t xml:space="preserve"> "Nefesh Ahat" in the Rehabilitation Department in </w:t>
      </w:r>
      <w:r w:rsidRPr="005C149A">
        <w:rPr>
          <w:rFonts w:asciiTheme="majorBidi" w:hAnsiTheme="majorBidi" w:cstheme="majorBidi"/>
          <w:sz w:val="24"/>
          <w:szCs w:val="24"/>
        </w:rPr>
        <w:t>the</w:t>
      </w:r>
      <w:r w:rsidRPr="005C149A">
        <w:rPr>
          <w:rFonts w:asciiTheme="majorBidi" w:hAnsiTheme="majorBidi" w:cstheme="majorBidi"/>
          <w:bCs/>
          <w:sz w:val="24"/>
          <w:szCs w:val="24"/>
        </w:rPr>
        <w:t xml:space="preserve"> MOD</w:t>
      </w:r>
      <w:r w:rsidR="00F0401E">
        <w:rPr>
          <w:rFonts w:asciiTheme="majorBidi" w:hAnsiTheme="majorBidi" w:cstheme="majorBidi"/>
          <w:bCs/>
          <w:sz w:val="24"/>
          <w:szCs w:val="24"/>
        </w:rPr>
        <w:t>, is ongoing</w:t>
      </w:r>
      <w:r w:rsidRPr="005C149A">
        <w:rPr>
          <w:rFonts w:asciiTheme="majorBidi" w:hAnsiTheme="majorBidi" w:cstheme="majorBidi"/>
          <w:bCs/>
          <w:sz w:val="24"/>
          <w:szCs w:val="24"/>
        </w:rPr>
        <w:t xml:space="preserve">. Until 2022, comprehensive recommendations have been formulated, including with regard to: disability recognition procedures medical care, medical committees, </w:t>
      </w:r>
      <w:r w:rsidR="00F0401E" w:rsidRPr="005C149A">
        <w:rPr>
          <w:rFonts w:asciiTheme="majorBidi" w:hAnsiTheme="majorBidi" w:cstheme="majorBidi"/>
          <w:bCs/>
          <w:sz w:val="24"/>
          <w:szCs w:val="24"/>
        </w:rPr>
        <w:t>assist</w:t>
      </w:r>
      <w:r w:rsidR="00F0401E">
        <w:rPr>
          <w:rFonts w:asciiTheme="majorBidi" w:hAnsiTheme="majorBidi" w:cstheme="majorBidi"/>
          <w:bCs/>
          <w:sz w:val="24"/>
          <w:szCs w:val="24"/>
        </w:rPr>
        <w:t>ance</w:t>
      </w:r>
      <w:r w:rsidRPr="005C149A">
        <w:rPr>
          <w:rFonts w:asciiTheme="majorBidi" w:hAnsiTheme="majorBidi" w:cstheme="majorBidi"/>
          <w:bCs/>
          <w:sz w:val="24"/>
          <w:szCs w:val="24"/>
        </w:rPr>
        <w:t xml:space="preserve"> in  employment, vehicle and housing areas and expanding and adjusting eligibility for PTSD veterans. The Department has received significant supplement of employees and began </w:t>
      </w:r>
      <w:r w:rsidR="00F0401E">
        <w:rPr>
          <w:rFonts w:asciiTheme="majorBidi" w:hAnsiTheme="majorBidi" w:cstheme="majorBidi"/>
          <w:bCs/>
          <w:sz w:val="24"/>
          <w:szCs w:val="24"/>
        </w:rPr>
        <w:t>the</w:t>
      </w:r>
      <w:r w:rsidRPr="005C149A">
        <w:rPr>
          <w:rFonts w:asciiTheme="majorBidi" w:hAnsiTheme="majorBidi" w:cstheme="majorBidi"/>
          <w:bCs/>
          <w:sz w:val="24"/>
          <w:szCs w:val="24"/>
        </w:rPr>
        <w:t xml:space="preserve"> process of streamlining and reducing bureaucracy. The aim of the reform is to improve the services for veterans with disabilities.</w:t>
      </w:r>
      <w:bookmarkStart w:id="50" w:name="_Hlk77868376"/>
    </w:p>
    <w:bookmarkEnd w:id="50"/>
    <w:p w14:paraId="153F70BC" w14:textId="77777777" w:rsidR="00F37FC8" w:rsidRPr="005C149A" w:rsidRDefault="00F37FC8" w:rsidP="0050316B">
      <w:pPr>
        <w:pStyle w:val="Heading2"/>
        <w:spacing w:before="0" w:after="0"/>
      </w:pPr>
      <w:r w:rsidRPr="005C149A">
        <w:t xml:space="preserve">Article </w:t>
      </w:r>
      <w:r w:rsidR="00133315" w:rsidRPr="005C149A">
        <w:t>27</w:t>
      </w:r>
      <w:r w:rsidRPr="005C149A">
        <w:t xml:space="preserve"> </w:t>
      </w:r>
    </w:p>
    <w:p w14:paraId="3DD4994A"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51" w:name="_Toc100224061"/>
      <w:r w:rsidRPr="005C149A">
        <w:rPr>
          <w:rFonts w:asciiTheme="majorBidi" w:hAnsiTheme="majorBidi"/>
          <w:b/>
          <w:bCs/>
          <w:color w:val="auto"/>
          <w:sz w:val="24"/>
          <w:szCs w:val="24"/>
          <w:u w:val="single"/>
        </w:rPr>
        <w:t>Question 28</w:t>
      </w:r>
      <w:bookmarkEnd w:id="51"/>
    </w:p>
    <w:p w14:paraId="2009802E" w14:textId="77777777" w:rsidR="00133315" w:rsidRPr="005C149A" w:rsidRDefault="00133315" w:rsidP="00133315">
      <w:pPr>
        <w:pStyle w:val="Heading3"/>
      </w:pPr>
      <w:bookmarkStart w:id="52" w:name="_Toc462859480"/>
      <w:bookmarkStart w:id="53" w:name="_Toc469567661"/>
      <w:bookmarkStart w:id="54" w:name="_Hlk78034245"/>
      <w:r w:rsidRPr="005C149A">
        <w:t>A. Employment Opportunities</w:t>
      </w:r>
    </w:p>
    <w:p w14:paraId="27872573"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Affirmative Action in the Civil Service </w:t>
      </w:r>
    </w:p>
    <w:p w14:paraId="06B48439"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CSC is currently promoting the initiative "Launch to the Workforce" aimed at removing obstacles and assisting PWD to be integrated into the Civil Service. The initiative includes three (3) key factors: a database of candidates with disabilities, offering extra support and tailored services including making information about the hiring processes accessible, and maintaining the support offered to candidates in a manner that promotes their effective acclimation into the workforce, while noting insights on the process itself.</w:t>
      </w:r>
    </w:p>
    <w:p w14:paraId="56413135"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The Commission </w:t>
      </w:r>
      <w:r w:rsidR="00133315" w:rsidRPr="005C149A">
        <w:rPr>
          <w:rFonts w:asciiTheme="majorBidi" w:hAnsiTheme="majorBidi" w:cstheme="majorBidi"/>
          <w:sz w:val="24"/>
          <w:szCs w:val="24"/>
          <w:u w:val="single"/>
        </w:rPr>
        <w:t>A</w:t>
      </w:r>
      <w:r w:rsidRPr="005C149A">
        <w:rPr>
          <w:rFonts w:asciiTheme="majorBidi" w:hAnsiTheme="majorBidi" w:cstheme="majorBidi"/>
          <w:sz w:val="24"/>
          <w:szCs w:val="24"/>
          <w:u w:val="single"/>
        </w:rPr>
        <w:t xml:space="preserve">ctivities on </w:t>
      </w:r>
      <w:r w:rsidR="00133315" w:rsidRPr="005C149A">
        <w:rPr>
          <w:rFonts w:asciiTheme="majorBidi" w:hAnsiTheme="majorBidi" w:cstheme="majorBidi"/>
          <w:sz w:val="24"/>
          <w:szCs w:val="24"/>
          <w:u w:val="single"/>
        </w:rPr>
        <w:t>E</w:t>
      </w:r>
      <w:r w:rsidRPr="005C149A">
        <w:rPr>
          <w:rFonts w:asciiTheme="majorBidi" w:hAnsiTheme="majorBidi" w:cstheme="majorBidi"/>
          <w:sz w:val="24"/>
          <w:szCs w:val="24"/>
          <w:u w:val="single"/>
        </w:rPr>
        <w:t xml:space="preserve">mployment of PWD </w:t>
      </w:r>
    </w:p>
    <w:p w14:paraId="1E09A86E"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I</w:t>
      </w:r>
      <w:r w:rsidRPr="005C149A">
        <w:rPr>
          <w:rFonts w:asciiTheme="majorBidi" w:hAnsiTheme="majorBidi" w:cstheme="majorBidi"/>
          <w:sz w:val="24"/>
          <w:szCs w:val="24"/>
        </w:rPr>
        <w:t>n</w:t>
      </w:r>
      <w:r w:rsidRPr="005C149A">
        <w:rPr>
          <w:rFonts w:asciiTheme="majorBidi" w:hAnsiTheme="majorBidi" w:cstheme="majorBidi"/>
          <w:sz w:val="24"/>
          <w:szCs w:val="24"/>
          <w:shd w:val="clear" w:color="auto" w:fill="FFFFFF"/>
        </w:rPr>
        <w:t xml:space="preserve"> order to further promote </w:t>
      </w:r>
      <w:r w:rsidRPr="005C149A">
        <w:rPr>
          <w:rFonts w:asciiTheme="majorBidi" w:hAnsiTheme="majorBidi" w:cstheme="majorBidi"/>
          <w:sz w:val="24"/>
          <w:szCs w:val="24"/>
        </w:rPr>
        <w:t>implementation</w:t>
      </w:r>
      <w:r w:rsidRPr="005C149A">
        <w:rPr>
          <w:rFonts w:asciiTheme="majorBidi" w:hAnsiTheme="majorBidi" w:cstheme="majorBidi"/>
          <w:sz w:val="24"/>
          <w:szCs w:val="24"/>
          <w:shd w:val="clear" w:color="auto" w:fill="FFFFFF"/>
        </w:rPr>
        <w:t xml:space="preserve">, </w:t>
      </w:r>
      <w:r w:rsidRPr="005C149A">
        <w:rPr>
          <w:rFonts w:asciiTheme="majorBidi" w:hAnsiTheme="majorBidi" w:cstheme="majorBidi"/>
          <w:sz w:val="24"/>
          <w:szCs w:val="24"/>
        </w:rPr>
        <w:t>the</w:t>
      </w:r>
      <w:r w:rsidRPr="005C149A">
        <w:rPr>
          <w:rFonts w:asciiTheme="majorBidi" w:hAnsiTheme="majorBidi" w:cstheme="majorBidi"/>
          <w:sz w:val="24"/>
          <w:szCs w:val="24"/>
          <w:shd w:val="clear" w:color="auto" w:fill="FFFFFF"/>
        </w:rPr>
        <w:t xml:space="preserve"> Commission publishes information, conducts training activities for PWD regarding their rights and equality officers, receives inquiries and meets with various central and local government representatives as well as relevant professionals on the issue of employment of PWD in the public sector. </w:t>
      </w:r>
    </w:p>
    <w:p w14:paraId="738F4632" w14:textId="1539839D"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rPr>
        <w:t>The</w:t>
      </w:r>
      <w:r w:rsidRPr="005C149A">
        <w:rPr>
          <w:rFonts w:asciiTheme="majorBidi" w:hAnsiTheme="majorBidi" w:cstheme="majorBidi"/>
          <w:sz w:val="24"/>
          <w:szCs w:val="24"/>
          <w:shd w:val="clear" w:color="auto" w:fill="FFFFFF"/>
        </w:rPr>
        <w:t xml:space="preserve"> Commission is </w:t>
      </w:r>
      <w:r w:rsidRPr="005C149A">
        <w:rPr>
          <w:rFonts w:asciiTheme="majorBidi" w:hAnsiTheme="majorBidi" w:cstheme="majorBidi"/>
          <w:sz w:val="24"/>
          <w:szCs w:val="24"/>
        </w:rPr>
        <w:t>authorized</w:t>
      </w:r>
      <w:r w:rsidRPr="005C149A">
        <w:rPr>
          <w:rFonts w:asciiTheme="majorBidi" w:hAnsiTheme="majorBidi" w:cstheme="majorBidi"/>
          <w:sz w:val="24"/>
          <w:szCs w:val="24"/>
          <w:shd w:val="clear" w:color="auto" w:fill="FFFFFF"/>
        </w:rPr>
        <w:t xml:space="preserve"> to enforce implementation </w:t>
      </w:r>
      <w:r w:rsidRPr="005C149A">
        <w:rPr>
          <w:rFonts w:asciiTheme="majorBidi" w:hAnsiTheme="majorBidi" w:cstheme="majorBidi"/>
          <w:sz w:val="24"/>
          <w:szCs w:val="24"/>
        </w:rPr>
        <w:t>of</w:t>
      </w:r>
      <w:r w:rsidRPr="005C149A">
        <w:rPr>
          <w:rFonts w:asciiTheme="majorBidi" w:hAnsiTheme="majorBidi" w:cstheme="majorBidi"/>
          <w:sz w:val="24"/>
          <w:szCs w:val="24"/>
          <w:shd w:val="clear" w:color="auto" w:fill="FFFFFF"/>
        </w:rPr>
        <w:t xml:space="preserve"> the law, and performs supervision and criminal enforcement actions vis-à-vis public bodies that do not meet the legal requirements. In 2021 for example (as of 31 October), 125 bodies did not meet the requirements. 72 warning letters (</w:t>
      </w:r>
      <w:r w:rsidR="00F0401E" w:rsidRPr="005C149A">
        <w:rPr>
          <w:rFonts w:asciiTheme="majorBidi" w:hAnsiTheme="majorBidi" w:cstheme="majorBidi"/>
          <w:sz w:val="24"/>
          <w:szCs w:val="24"/>
          <w:shd w:val="clear" w:color="auto" w:fill="FFFFFF"/>
        </w:rPr>
        <w:t>in advance</w:t>
      </w:r>
      <w:r w:rsidRPr="005C149A">
        <w:rPr>
          <w:rFonts w:asciiTheme="majorBidi" w:hAnsiTheme="majorBidi" w:cstheme="majorBidi"/>
          <w:sz w:val="24"/>
          <w:szCs w:val="24"/>
          <w:shd w:val="clear" w:color="auto" w:fill="FFFFFF"/>
        </w:rPr>
        <w:t xml:space="preserve"> </w:t>
      </w:r>
      <w:r w:rsidR="00F0401E">
        <w:rPr>
          <w:rFonts w:asciiTheme="majorBidi" w:hAnsiTheme="majorBidi" w:cstheme="majorBidi"/>
          <w:sz w:val="24"/>
          <w:szCs w:val="24"/>
          <w:shd w:val="clear" w:color="auto" w:fill="FFFFFF"/>
        </w:rPr>
        <w:t xml:space="preserve">of </w:t>
      </w:r>
      <w:r w:rsidRPr="005C149A">
        <w:rPr>
          <w:rFonts w:asciiTheme="majorBidi" w:hAnsiTheme="majorBidi" w:cstheme="majorBidi"/>
          <w:sz w:val="24"/>
          <w:szCs w:val="24"/>
          <w:shd w:val="clear" w:color="auto" w:fill="FFFFFF"/>
        </w:rPr>
        <w:t xml:space="preserve">an order) were issued to entities that did not meet the appropriate representation target and did not publish an annual plan. For 31 of these entities, an appropriate representation order was issued after they did not comply with the requirement. </w:t>
      </w:r>
    </w:p>
    <w:p w14:paraId="5A84DBE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 xml:space="preserve">In 2020, there were 1,343 public inquires </w:t>
      </w:r>
      <w:r w:rsidRPr="005C149A">
        <w:rPr>
          <w:rFonts w:asciiTheme="majorBidi" w:hAnsiTheme="majorBidi" w:cstheme="majorBidi"/>
          <w:sz w:val="24"/>
          <w:szCs w:val="24"/>
        </w:rPr>
        <w:t>on</w:t>
      </w:r>
      <w:r w:rsidRPr="005C149A">
        <w:rPr>
          <w:rFonts w:asciiTheme="majorBidi" w:hAnsiTheme="majorBidi" w:cstheme="majorBidi"/>
          <w:sz w:val="24"/>
          <w:szCs w:val="24"/>
          <w:shd w:val="clear" w:color="auto" w:fill="FFFFFF"/>
        </w:rPr>
        <w:t xml:space="preserve"> employment handled by the Commission.</w:t>
      </w:r>
    </w:p>
    <w:p w14:paraId="35F44059"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 xml:space="preserve">In recent years, the Commission filed 19 civil lawsuits for discrimination in employment. Of these, in 13 cases the applicant </w:t>
      </w:r>
      <w:r w:rsidRPr="005C149A">
        <w:rPr>
          <w:rFonts w:asciiTheme="majorBidi" w:hAnsiTheme="majorBidi" w:cstheme="majorBidi"/>
          <w:sz w:val="24"/>
          <w:szCs w:val="24"/>
        </w:rPr>
        <w:t>was</w:t>
      </w:r>
      <w:r w:rsidRPr="005C149A">
        <w:rPr>
          <w:rFonts w:asciiTheme="majorBidi" w:hAnsiTheme="majorBidi" w:cstheme="majorBidi"/>
          <w:sz w:val="24"/>
          <w:szCs w:val="24"/>
          <w:shd w:val="clear" w:color="auto" w:fill="FFFFFF"/>
        </w:rPr>
        <w:t xml:space="preserve"> a woman (68%) and in three (3) cases the applicant was from the Arab population (15%).</w:t>
      </w:r>
      <w:r w:rsidRPr="005C149A">
        <w:rPr>
          <w:rFonts w:asciiTheme="majorBidi" w:hAnsiTheme="majorBidi" w:cstheme="majorBidi"/>
          <w:sz w:val="24"/>
          <w:szCs w:val="24"/>
          <w:shd w:val="clear" w:color="auto" w:fill="FFFFFF"/>
          <w:rtl/>
        </w:rPr>
        <w:t xml:space="preserve"> </w:t>
      </w:r>
    </w:p>
    <w:p w14:paraId="7655689A"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 xml:space="preserve">Between 2017 and 2020, in the field of employment </w:t>
      </w:r>
      <w:r w:rsidRPr="005C149A">
        <w:rPr>
          <w:rFonts w:asciiTheme="majorBidi" w:hAnsiTheme="majorBidi" w:cstheme="majorBidi"/>
          <w:sz w:val="24"/>
          <w:szCs w:val="24"/>
        </w:rPr>
        <w:t>alone</w:t>
      </w:r>
      <w:r w:rsidRPr="005C149A">
        <w:rPr>
          <w:rFonts w:asciiTheme="majorBidi" w:hAnsiTheme="majorBidi" w:cstheme="majorBidi"/>
          <w:sz w:val="24"/>
          <w:szCs w:val="24"/>
          <w:shd w:val="clear" w:color="auto" w:fill="FFFFFF"/>
        </w:rPr>
        <w:t xml:space="preserve">, the Commission handled 3,890 inquiries: 1,343 in 2020, 926 in 2019, 864 in 2018 and 757 in 2017. Specifically, in these years the Commission handled 751 general inquiries, 375 affirmative action inquiries, 537 inquiries about adjustments, 20 inquiries about rights of spouses and family members, 1,411 inquiries about parental rights for a child with disabilities, 195 inquiries about rights in dismissal, 513 inquiries about discrimination in employment and 87 inquiries about employment agreements. </w:t>
      </w:r>
    </w:p>
    <w:bookmarkEnd w:id="52"/>
    <w:bookmarkEnd w:id="53"/>
    <w:p w14:paraId="459AC6B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Furthermore, on April 2021 the MOEI has </w:t>
      </w:r>
      <w:r w:rsidRPr="005C149A">
        <w:rPr>
          <w:rFonts w:asciiTheme="majorBidi" w:hAnsiTheme="majorBidi" w:cstheme="majorBidi"/>
          <w:sz w:val="24"/>
          <w:szCs w:val="24"/>
          <w:shd w:val="clear" w:color="auto" w:fill="FFFFFF"/>
        </w:rPr>
        <w:t>launched</w:t>
      </w:r>
      <w:r w:rsidRPr="005C149A">
        <w:rPr>
          <w:rFonts w:asciiTheme="majorBidi" w:hAnsiTheme="majorBidi" w:cstheme="majorBidi"/>
          <w:sz w:val="24"/>
          <w:szCs w:val="24"/>
        </w:rPr>
        <w:t xml:space="preserve"> a new website entitled "Accessible work" that contains information about all training and employment programs for PWD on behalf of government agencies. The website includes an advanced search engine, which allows efficient and focused search which is user-compatible. The website offers information on jobs (1,075 jobs were up in the website and 4,542 job nominations submitted); an advanced chat, and call center; information on employment programs; information about tools and agencies that help employ PWD, offer adjustments and equipment loans to PWD; and a database of candidates on the site (more than 500 candidates approved the disclosure of their resumes to relevant employers).</w:t>
      </w:r>
    </w:p>
    <w:p w14:paraId="5DC6548A"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Regulation of the </w:t>
      </w:r>
      <w:r w:rsidR="00133315" w:rsidRPr="005C149A">
        <w:rPr>
          <w:rFonts w:asciiTheme="majorBidi" w:hAnsiTheme="majorBidi" w:cstheme="majorBidi"/>
          <w:sz w:val="24"/>
          <w:szCs w:val="24"/>
          <w:u w:val="single"/>
        </w:rPr>
        <w:t>P</w:t>
      </w:r>
      <w:r w:rsidRPr="005C149A">
        <w:rPr>
          <w:rFonts w:asciiTheme="majorBidi" w:hAnsiTheme="majorBidi" w:cstheme="majorBidi"/>
          <w:sz w:val="24"/>
          <w:szCs w:val="24"/>
          <w:u w:val="single"/>
        </w:rPr>
        <w:t xml:space="preserve">rocess of </w:t>
      </w:r>
      <w:r w:rsidR="00133315" w:rsidRPr="005C149A">
        <w:rPr>
          <w:rFonts w:asciiTheme="majorBidi" w:hAnsiTheme="majorBidi" w:cstheme="majorBidi"/>
          <w:sz w:val="24"/>
          <w:szCs w:val="24"/>
          <w:u w:val="single"/>
        </w:rPr>
        <w:t>P</w:t>
      </w:r>
      <w:r w:rsidRPr="005C149A">
        <w:rPr>
          <w:rFonts w:asciiTheme="majorBidi" w:hAnsiTheme="majorBidi" w:cstheme="majorBidi"/>
          <w:sz w:val="24"/>
          <w:szCs w:val="24"/>
          <w:u w:val="single"/>
        </w:rPr>
        <w:t xml:space="preserve">roviding </w:t>
      </w:r>
      <w:r w:rsidR="00133315" w:rsidRPr="005C149A">
        <w:rPr>
          <w:rFonts w:asciiTheme="majorBidi" w:hAnsiTheme="majorBidi" w:cstheme="majorBidi"/>
          <w:sz w:val="24"/>
          <w:szCs w:val="24"/>
          <w:u w:val="single"/>
        </w:rPr>
        <w:t>A</w:t>
      </w:r>
      <w:r w:rsidRPr="005C149A">
        <w:rPr>
          <w:rFonts w:asciiTheme="majorBidi" w:hAnsiTheme="majorBidi" w:cstheme="majorBidi"/>
          <w:sz w:val="24"/>
          <w:szCs w:val="24"/>
          <w:u w:val="single"/>
        </w:rPr>
        <w:t xml:space="preserve">djustments at </w:t>
      </w:r>
      <w:r w:rsidR="00133315" w:rsidRPr="005C149A">
        <w:rPr>
          <w:rFonts w:asciiTheme="majorBidi" w:hAnsiTheme="majorBidi" w:cstheme="majorBidi"/>
          <w:sz w:val="24"/>
          <w:szCs w:val="24"/>
          <w:u w:val="single"/>
        </w:rPr>
        <w:t>W</w:t>
      </w:r>
      <w:r w:rsidRPr="005C149A">
        <w:rPr>
          <w:rFonts w:asciiTheme="majorBidi" w:hAnsiTheme="majorBidi" w:cstheme="majorBidi"/>
          <w:sz w:val="24"/>
          <w:szCs w:val="24"/>
          <w:u w:val="single"/>
        </w:rPr>
        <w:t>ork</w:t>
      </w:r>
    </w:p>
    <w:p w14:paraId="1CA607DA"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tl/>
        </w:rPr>
      </w:pPr>
      <w:r w:rsidRPr="005C149A">
        <w:rPr>
          <w:rFonts w:asciiTheme="majorBidi" w:hAnsiTheme="majorBidi" w:cstheme="majorBidi"/>
          <w:sz w:val="24"/>
          <w:szCs w:val="24"/>
        </w:rPr>
        <w:t>On Programs and Projects for the Encouragement of Employment, including the funding of adjustments, see Israel's Initial Report, para. 281(a). In regard to State funding of adjustments at private employers, see data below.</w:t>
      </w:r>
    </w:p>
    <w:p w14:paraId="2888083E"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 xml:space="preserve">In 2019, </w:t>
      </w:r>
      <w:r w:rsidRPr="005C149A">
        <w:rPr>
          <w:rFonts w:asciiTheme="majorBidi" w:hAnsiTheme="majorBidi" w:cstheme="majorBidi"/>
          <w:sz w:val="24"/>
          <w:szCs w:val="24"/>
        </w:rPr>
        <w:t>the</w:t>
      </w:r>
      <w:r w:rsidRPr="005C149A">
        <w:rPr>
          <w:rFonts w:asciiTheme="majorBidi" w:hAnsiTheme="majorBidi" w:cstheme="majorBidi"/>
          <w:sz w:val="24"/>
          <w:szCs w:val="24"/>
          <w:shd w:val="clear" w:color="auto" w:fill="FFFFFF"/>
        </w:rPr>
        <w:t xml:space="preserve"> Commission initiated round table </w:t>
      </w:r>
      <w:r w:rsidRPr="005C149A">
        <w:rPr>
          <w:rFonts w:asciiTheme="majorBidi" w:hAnsiTheme="majorBidi" w:cstheme="majorBidi"/>
          <w:sz w:val="24"/>
          <w:szCs w:val="24"/>
        </w:rPr>
        <w:t>discussions</w:t>
      </w:r>
      <w:r w:rsidRPr="005C149A">
        <w:rPr>
          <w:rFonts w:asciiTheme="majorBidi" w:hAnsiTheme="majorBidi" w:cstheme="majorBidi"/>
          <w:sz w:val="24"/>
          <w:szCs w:val="24"/>
          <w:shd w:val="clear" w:color="auto" w:fill="FFFFFF"/>
        </w:rPr>
        <w:t xml:space="preserve"> to </w:t>
      </w:r>
      <w:r w:rsidRPr="005C149A">
        <w:rPr>
          <w:rFonts w:asciiTheme="majorBidi" w:hAnsiTheme="majorBidi" w:cstheme="majorBidi"/>
          <w:sz w:val="24"/>
          <w:szCs w:val="24"/>
        </w:rPr>
        <w:t>improve</w:t>
      </w:r>
      <w:r w:rsidRPr="005C149A">
        <w:rPr>
          <w:rFonts w:asciiTheme="majorBidi" w:hAnsiTheme="majorBidi" w:cstheme="majorBidi"/>
          <w:sz w:val="24"/>
          <w:szCs w:val="24"/>
          <w:shd w:val="clear" w:color="auto" w:fill="FFFFFF"/>
        </w:rPr>
        <w:t xml:space="preserve"> the process of providing workplace adjustments to PWD. The aim was to simplify the procedures necessary to obtain government funding for adjustments and several recommendations were drawn. Currently, a pilot project to determine how to implement these recommendations is being held by the Labor Branch. </w:t>
      </w:r>
    </w:p>
    <w:p w14:paraId="05B10865" w14:textId="77777777" w:rsidR="00133315" w:rsidRPr="005C149A" w:rsidRDefault="00133315" w:rsidP="00133315">
      <w:pPr>
        <w:pStyle w:val="Heading3"/>
      </w:pPr>
      <w:bookmarkStart w:id="55" w:name="_Hlk78039665"/>
      <w:bookmarkEnd w:id="54"/>
      <w:r w:rsidRPr="005C149A">
        <w:t>B. Mechanisms to Ensure Labor Rights</w:t>
      </w:r>
    </w:p>
    <w:p w14:paraId="739BC44F"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Facilitating Real Work for Real Pay - Sheltered Employment</w:t>
      </w:r>
    </w:p>
    <w:p w14:paraId="39C6FEB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In recent years the numbers of veterans </w:t>
      </w:r>
      <w:r w:rsidRPr="005C149A">
        <w:rPr>
          <w:rFonts w:asciiTheme="majorBidi" w:hAnsiTheme="majorBidi" w:cstheme="majorBidi"/>
          <w:sz w:val="24"/>
          <w:szCs w:val="24"/>
          <w:shd w:val="clear" w:color="auto" w:fill="FFFFFF"/>
        </w:rPr>
        <w:t>with</w:t>
      </w:r>
      <w:r w:rsidRPr="005C149A">
        <w:rPr>
          <w:rFonts w:asciiTheme="majorBidi" w:hAnsiTheme="majorBidi" w:cstheme="majorBidi"/>
          <w:sz w:val="24"/>
          <w:szCs w:val="24"/>
        </w:rPr>
        <w:t xml:space="preserve"> disabilities which participated in sheltered employment of the Rehabilitation Department in the MOD are: in 2017, 135 participants; in 2018, 118 participants; in 2019, 123 participants; in 2020, 122 participants; and in 2021, 126 participants.</w:t>
      </w:r>
    </w:p>
    <w:p w14:paraId="222586AC"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During the reporting period, </w:t>
      </w:r>
      <w:r w:rsidRPr="005C149A">
        <w:rPr>
          <w:rFonts w:asciiTheme="majorBidi" w:hAnsiTheme="majorBidi" w:cstheme="majorBidi"/>
          <w:sz w:val="24"/>
          <w:szCs w:val="24"/>
          <w:shd w:val="clear" w:color="auto" w:fill="FFFFFF"/>
        </w:rPr>
        <w:t>each</w:t>
      </w:r>
      <w:r w:rsidRPr="005C149A">
        <w:rPr>
          <w:rFonts w:asciiTheme="majorBidi" w:hAnsiTheme="majorBidi" w:cstheme="majorBidi"/>
          <w:sz w:val="24"/>
          <w:szCs w:val="24"/>
        </w:rPr>
        <w:t xml:space="preserve"> year, approximately 80% of veterans with disabilities participated in the open labor market. </w:t>
      </w:r>
    </w:p>
    <w:p w14:paraId="14AC3B12"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Employer-Employee Relationship in Sheltered Employment Enterprises</w:t>
      </w:r>
    </w:p>
    <w:p w14:paraId="2E62D910" w14:textId="64214623"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October 10, 2021, the National </w:t>
      </w:r>
      <w:r w:rsidRPr="005C149A">
        <w:rPr>
          <w:rFonts w:asciiTheme="majorBidi" w:hAnsiTheme="majorBidi" w:cstheme="majorBidi"/>
          <w:sz w:val="24"/>
          <w:szCs w:val="24"/>
          <w:shd w:val="clear" w:color="auto" w:fill="FFFFFF"/>
        </w:rPr>
        <w:t>Labor</w:t>
      </w:r>
      <w:r w:rsidRPr="005C149A">
        <w:rPr>
          <w:rFonts w:asciiTheme="majorBidi" w:hAnsiTheme="majorBidi" w:cstheme="majorBidi"/>
          <w:sz w:val="24"/>
          <w:szCs w:val="24"/>
        </w:rPr>
        <w:t xml:space="preserve"> </w:t>
      </w:r>
      <w:r w:rsidRPr="005C149A">
        <w:rPr>
          <w:rFonts w:asciiTheme="majorBidi" w:hAnsiTheme="majorBidi" w:cstheme="majorBidi"/>
          <w:sz w:val="24"/>
          <w:szCs w:val="24"/>
          <w:shd w:val="clear" w:color="auto" w:fill="FFFFFF"/>
        </w:rPr>
        <w:t>Court</w:t>
      </w:r>
      <w:r w:rsidRPr="005C149A">
        <w:rPr>
          <w:rFonts w:asciiTheme="majorBidi" w:hAnsiTheme="majorBidi" w:cstheme="majorBidi"/>
          <w:sz w:val="24"/>
          <w:szCs w:val="24"/>
        </w:rPr>
        <w:t xml:space="preserve"> determined employer-employee relationship between the appellant, a person with mental disabilities, and the respondent, a non-profit public institution operating a sheltered workshop, thereby ensuring the appellant all applicable labor rights. The appellant was a person with 52% disability which included mental disability. He was employed in a sheltered workshop pursuant to the </w:t>
      </w:r>
      <w:r w:rsidRPr="005C149A">
        <w:rPr>
          <w:rFonts w:asciiTheme="majorBidi" w:hAnsiTheme="majorBidi" w:cstheme="majorBidi"/>
          <w:i/>
          <w:iCs/>
          <w:sz w:val="24"/>
          <w:szCs w:val="24"/>
        </w:rPr>
        <w:t>Rehabilitation of Mentally Disabled Persons in the Community</w:t>
      </w:r>
      <w:r w:rsidRPr="005C149A">
        <w:rPr>
          <w:rFonts w:asciiTheme="majorBidi" w:hAnsiTheme="majorBidi" w:cstheme="majorBidi"/>
          <w:sz w:val="24"/>
          <w:szCs w:val="24"/>
        </w:rPr>
        <w:t xml:space="preserve"> </w:t>
      </w:r>
      <w:r w:rsidRPr="005C149A">
        <w:rPr>
          <w:rFonts w:asciiTheme="majorBidi" w:hAnsiTheme="majorBidi" w:cstheme="majorBidi"/>
          <w:i/>
          <w:iCs/>
          <w:sz w:val="24"/>
          <w:szCs w:val="24"/>
        </w:rPr>
        <w:t>Law</w:t>
      </w:r>
      <w:r w:rsidRPr="005C149A">
        <w:rPr>
          <w:rFonts w:asciiTheme="majorBidi" w:hAnsiTheme="majorBidi" w:cstheme="majorBidi"/>
          <w:sz w:val="24"/>
          <w:szCs w:val="24"/>
        </w:rPr>
        <w:t xml:space="preserve"> for twelve </w:t>
      </w:r>
      <w:r w:rsidR="00753DF8">
        <w:rPr>
          <w:rFonts w:asciiTheme="majorBidi" w:hAnsiTheme="majorBidi" w:cstheme="majorBidi"/>
          <w:sz w:val="24"/>
          <w:szCs w:val="24"/>
        </w:rPr>
        <w:t xml:space="preserve">(12) </w:t>
      </w:r>
      <w:r w:rsidRPr="005C149A">
        <w:rPr>
          <w:rFonts w:asciiTheme="majorBidi" w:hAnsiTheme="majorBidi" w:cstheme="majorBidi"/>
          <w:sz w:val="24"/>
          <w:szCs w:val="24"/>
        </w:rPr>
        <w:t xml:space="preserve">years. After his work arrangement was terminated, the appellant filed a suit to the District Labor Court, claiming that there was an employer-employee relationship between himself and the respondent, and therefore he should receive compensation for termination, minimum wage differential payment, compensation for illegal termination and termination without a hearing and other social rights. The District Labor Court denied the suit, finding that no employer-employee relationship took place in the workshop as a place of rehabilitation service, accepting only the claim regarding termination without a hearing. The appellant appealed the decision to the National Labor Court. After considering the circumstances carefully, the National Labor Court overturned the District Labor Court's decision, noting that employer-employee relationships can be determined on a case-by-case basis. </w:t>
      </w:r>
    </w:p>
    <w:p w14:paraId="212E0525" w14:textId="77777777" w:rsidR="00F37FC8" w:rsidRPr="005C149A" w:rsidRDefault="00F37FC8" w:rsidP="00A6688D">
      <w:pPr>
        <w:bidi w:val="0"/>
        <w:spacing w:line="360" w:lineRule="auto"/>
        <w:ind w:left="567"/>
        <w:jc w:val="both"/>
        <w:rPr>
          <w:rFonts w:asciiTheme="majorBidi" w:hAnsiTheme="majorBidi" w:cstheme="majorBidi"/>
          <w:sz w:val="24"/>
          <w:szCs w:val="24"/>
        </w:rPr>
      </w:pPr>
      <w:r w:rsidRPr="005C149A">
        <w:rPr>
          <w:rFonts w:asciiTheme="majorBidi" w:hAnsiTheme="majorBidi" w:cstheme="majorBidi"/>
          <w:sz w:val="24"/>
          <w:szCs w:val="24"/>
        </w:rPr>
        <w:t xml:space="preserve">The National Labor Court determined that the criteria for an employer-employee relationship is the integration test, which takes into account whether the employee is a part of the organizational framework of the workplace, or if he has her/his own business. Additionally, considerations such as the business hierarchy, if the work is done on an individual level, and the continuance and dependency of the relationship should be taken into account. </w:t>
      </w:r>
    </w:p>
    <w:p w14:paraId="7D88171B" w14:textId="5A7AE691" w:rsidR="00F37FC8" w:rsidRPr="005C149A" w:rsidRDefault="00F37FC8" w:rsidP="00753DF8">
      <w:pPr>
        <w:bidi w:val="0"/>
        <w:spacing w:line="360" w:lineRule="auto"/>
        <w:ind w:left="567"/>
        <w:jc w:val="both"/>
        <w:rPr>
          <w:rFonts w:asciiTheme="majorBidi" w:hAnsiTheme="majorBidi" w:cstheme="majorBidi"/>
          <w:sz w:val="24"/>
          <w:szCs w:val="24"/>
          <w:rtl/>
        </w:rPr>
      </w:pPr>
      <w:r w:rsidRPr="005C149A">
        <w:rPr>
          <w:rFonts w:asciiTheme="majorBidi" w:hAnsiTheme="majorBidi" w:cstheme="majorBidi"/>
          <w:sz w:val="24"/>
          <w:szCs w:val="24"/>
        </w:rPr>
        <w:t xml:space="preserve">Pursuant to the finding of employer-employee relationship between the appellant and the respondent, the Court awarded the appellant compensation for lack of pension payments, vacation days, etc. Furthermore, the Court urged the Legislator to regulate sheltered employment into law (La.Ap. 30279-05-19, </w:t>
      </w:r>
      <w:r w:rsidRPr="005C149A">
        <w:rPr>
          <w:rFonts w:asciiTheme="majorBidi" w:hAnsiTheme="majorBidi" w:cstheme="majorBidi"/>
          <w:i/>
          <w:iCs/>
          <w:sz w:val="24"/>
          <w:szCs w:val="24"/>
        </w:rPr>
        <w:t>Haim Zar v. Matash - Center for Rehabilitation Employment Ltd. et. al.</w:t>
      </w:r>
      <w:r w:rsidRPr="005C149A">
        <w:rPr>
          <w:rFonts w:asciiTheme="majorBidi" w:hAnsiTheme="majorBidi" w:cstheme="majorBidi"/>
          <w:sz w:val="24"/>
          <w:szCs w:val="24"/>
        </w:rPr>
        <w:t xml:space="preserve"> (10.10.2021)). The </w:t>
      </w:r>
      <w:r w:rsidR="00753DF8">
        <w:rPr>
          <w:rFonts w:asciiTheme="majorBidi" w:hAnsiTheme="majorBidi" w:cstheme="majorBidi"/>
          <w:sz w:val="24"/>
          <w:szCs w:val="24"/>
        </w:rPr>
        <w:t>S</w:t>
      </w:r>
      <w:r w:rsidR="00753DF8" w:rsidRPr="005C149A">
        <w:rPr>
          <w:rFonts w:asciiTheme="majorBidi" w:hAnsiTheme="majorBidi" w:cstheme="majorBidi"/>
          <w:sz w:val="24"/>
          <w:szCs w:val="24"/>
        </w:rPr>
        <w:t xml:space="preserve">tate </w:t>
      </w:r>
      <w:r w:rsidRPr="005C149A">
        <w:rPr>
          <w:rFonts w:asciiTheme="majorBidi" w:hAnsiTheme="majorBidi" w:cstheme="majorBidi"/>
          <w:sz w:val="24"/>
          <w:szCs w:val="24"/>
        </w:rPr>
        <w:t xml:space="preserve">is currently considering to petition to the High Court of Justice on this ruling. </w:t>
      </w:r>
    </w:p>
    <w:bookmarkEnd w:id="55"/>
    <w:p w14:paraId="68EB6FA0" w14:textId="77777777" w:rsidR="00F37FC8" w:rsidRPr="005C149A" w:rsidRDefault="00F37FC8" w:rsidP="008427F3">
      <w:pPr>
        <w:pStyle w:val="Heading3"/>
      </w:pPr>
      <w:r w:rsidRPr="005C149A">
        <w:t xml:space="preserve">Statistical </w:t>
      </w:r>
      <w:r w:rsidR="00133315" w:rsidRPr="005C149A">
        <w:t>D</w:t>
      </w:r>
      <w:r w:rsidRPr="005C149A">
        <w:t xml:space="preserve">ata and </w:t>
      </w:r>
      <w:r w:rsidR="00133315" w:rsidRPr="005C149A">
        <w:t>P</w:t>
      </w:r>
      <w:r w:rsidRPr="005C149A">
        <w:t xml:space="preserve">rograms </w:t>
      </w:r>
    </w:p>
    <w:p w14:paraId="2B26410A"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Employment of PWD</w:t>
      </w:r>
    </w:p>
    <w:p w14:paraId="7599F665" w14:textId="37EC1BEC" w:rsidR="00F37FC8" w:rsidRPr="005C149A" w:rsidRDefault="00F37FC8" w:rsidP="00753DF8">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 xml:space="preserve">In Israel, there are approximately 751,000 PWD of </w:t>
      </w:r>
      <w:r w:rsidRPr="005C149A">
        <w:rPr>
          <w:rFonts w:asciiTheme="majorBidi" w:hAnsiTheme="majorBidi" w:cstheme="majorBidi"/>
          <w:sz w:val="24"/>
          <w:szCs w:val="24"/>
        </w:rPr>
        <w:t>working</w:t>
      </w:r>
      <w:r w:rsidRPr="005C149A">
        <w:rPr>
          <w:rFonts w:asciiTheme="majorBidi" w:hAnsiTheme="majorBidi" w:cstheme="majorBidi"/>
          <w:sz w:val="24"/>
          <w:szCs w:val="24"/>
          <w:shd w:val="clear" w:color="auto" w:fill="FFFFFF"/>
        </w:rPr>
        <w:t xml:space="preserve"> age (ages 18-64), wh</w:t>
      </w:r>
      <w:r w:rsidR="00753DF8">
        <w:rPr>
          <w:rFonts w:asciiTheme="majorBidi" w:hAnsiTheme="majorBidi" w:cstheme="majorBidi"/>
          <w:sz w:val="24"/>
          <w:szCs w:val="24"/>
          <w:shd w:val="clear" w:color="auto" w:fill="FFFFFF"/>
        </w:rPr>
        <w:t>ich?</w:t>
      </w:r>
      <w:r w:rsidRPr="005C149A">
        <w:rPr>
          <w:rFonts w:asciiTheme="majorBidi" w:hAnsiTheme="majorBidi" w:cstheme="majorBidi"/>
          <w:sz w:val="24"/>
          <w:szCs w:val="24"/>
          <w:shd w:val="clear" w:color="auto" w:fill="FFFFFF"/>
        </w:rPr>
        <w:t xml:space="preserve"> constitute about 16% of the age group in the general population. </w:t>
      </w:r>
    </w:p>
    <w:p w14:paraId="2E8E71C2" w14:textId="77777777" w:rsidR="00F37FC8" w:rsidRPr="005C149A" w:rsidRDefault="00F37FC8" w:rsidP="004A5A55">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 xml:space="preserve">In 2020, 57% of the working age PWD were employed, as </w:t>
      </w:r>
      <w:r w:rsidRPr="005C149A">
        <w:rPr>
          <w:rFonts w:asciiTheme="majorBidi" w:hAnsiTheme="majorBidi" w:cstheme="majorBidi"/>
          <w:sz w:val="24"/>
          <w:szCs w:val="24"/>
        </w:rPr>
        <w:t>compared</w:t>
      </w:r>
      <w:r w:rsidRPr="005C149A">
        <w:rPr>
          <w:rFonts w:asciiTheme="majorBidi" w:hAnsiTheme="majorBidi" w:cstheme="majorBidi"/>
          <w:sz w:val="24"/>
          <w:szCs w:val="24"/>
          <w:shd w:val="clear" w:color="auto" w:fill="FFFFFF"/>
        </w:rPr>
        <w:t xml:space="preserve"> to 77% of persons without disabilities. Among persons with severe disabilities, the employment rate was only 47%. There are also wage gaps </w:t>
      </w:r>
      <w:r w:rsidR="004A5A55">
        <w:rPr>
          <w:rFonts w:asciiTheme="majorBidi" w:hAnsiTheme="majorBidi" w:cstheme="majorBidi"/>
          <w:sz w:val="24"/>
          <w:szCs w:val="24"/>
          <w:shd w:val="clear" w:color="auto" w:fill="FFFFFF"/>
        </w:rPr>
        <w:t>-</w:t>
      </w:r>
      <w:r w:rsidRPr="005C149A">
        <w:rPr>
          <w:rFonts w:asciiTheme="majorBidi" w:hAnsiTheme="majorBidi" w:cstheme="majorBidi"/>
          <w:sz w:val="24"/>
          <w:szCs w:val="24"/>
          <w:shd w:val="clear" w:color="auto" w:fill="FFFFFF"/>
        </w:rPr>
        <w:t xml:space="preserve"> 34% of PWD, 36% of persons with severe disabilities earned up to 5,000 NIS (1,564 USD) net, whereas 23% of persons without disabilities earned this rate. Similarly, only 34% of persons with severe disabilities earned more than 7,500 NIS (2,346 USD), as compared to 43% persons without disabilities. In addition, generally PWD worked fewer hours per week, while among persons with severe disabilities only 29% work 35-42 hours per week, 45% of persons without disabilities were employed the same number of hours. However, the proportion of persons with severe disabilities who work part-time is 28%, a figure significantly higher than among persons without disabilities (15%).</w:t>
      </w:r>
    </w:p>
    <w:p w14:paraId="29AEFD10"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Representation in Large Public Bodies</w:t>
      </w:r>
    </w:p>
    <w:p w14:paraId="392F23A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According to Amendment</w:t>
      </w:r>
      <w:r w:rsidRPr="005C149A">
        <w:rPr>
          <w:rFonts w:asciiTheme="majorBidi" w:hAnsiTheme="majorBidi" w:cstheme="majorBidi"/>
          <w:sz w:val="24"/>
          <w:szCs w:val="24"/>
        </w:rPr>
        <w:t xml:space="preserve"> No. 15 to the </w:t>
      </w:r>
      <w:r w:rsidRPr="005C149A">
        <w:rPr>
          <w:rFonts w:asciiTheme="majorBidi" w:hAnsiTheme="majorBidi" w:cstheme="majorBidi"/>
          <w:i/>
          <w:iCs/>
          <w:sz w:val="24"/>
          <w:szCs w:val="24"/>
        </w:rPr>
        <w:t>Equal Rights</w:t>
      </w:r>
      <w:r w:rsidRPr="005C149A">
        <w:rPr>
          <w:rFonts w:asciiTheme="majorBidi" w:hAnsiTheme="majorBidi" w:cstheme="majorBidi"/>
          <w:sz w:val="24"/>
          <w:szCs w:val="24"/>
        </w:rPr>
        <w:t xml:space="preserve"> </w:t>
      </w:r>
      <w:r w:rsidRPr="005C149A">
        <w:rPr>
          <w:rFonts w:asciiTheme="majorBidi" w:hAnsiTheme="majorBidi" w:cstheme="majorBidi"/>
          <w:i/>
          <w:iCs/>
          <w:sz w:val="24"/>
          <w:szCs w:val="24"/>
        </w:rPr>
        <w:t>Law</w:t>
      </w:r>
      <w:r w:rsidRPr="005C149A">
        <w:rPr>
          <w:rFonts w:asciiTheme="majorBidi" w:hAnsiTheme="majorBidi" w:cstheme="majorBidi"/>
          <w:sz w:val="24"/>
          <w:szCs w:val="24"/>
          <w:shd w:val="clear" w:color="auto" w:fill="FFFFFF"/>
        </w:rPr>
        <w:t xml:space="preserve">, </w:t>
      </w:r>
      <w:r w:rsidRPr="005C149A">
        <w:rPr>
          <w:rFonts w:asciiTheme="majorBidi" w:hAnsiTheme="majorBidi" w:cstheme="majorBidi"/>
          <w:sz w:val="24"/>
          <w:szCs w:val="24"/>
        </w:rPr>
        <w:t>the</w:t>
      </w:r>
      <w:r w:rsidRPr="005C149A">
        <w:rPr>
          <w:rFonts w:asciiTheme="majorBidi" w:hAnsiTheme="majorBidi" w:cstheme="majorBidi"/>
          <w:sz w:val="24"/>
          <w:szCs w:val="24"/>
          <w:shd w:val="clear" w:color="auto" w:fill="FFFFFF"/>
        </w:rPr>
        <w:t xml:space="preserve"> Commission publishes an annual report on the compliance data for these large public bodies, based on information provided by the NII. Any entity that does not meet the target is required to take specific "best effort" actions which include preparing and publishing an annual plan to promote the employment of PWD. Specifically, the plan should include measures to promote the employment of persons with significant disabilities, including their prioritization or promotion, designating jobs for PWD, contacting agencies involved in integrating the employment of PWD, and documenting the implementation of the annual plan</w:t>
      </w:r>
      <w:r w:rsidRPr="005C149A">
        <w:rPr>
          <w:rFonts w:asciiTheme="majorBidi" w:hAnsiTheme="majorBidi" w:cstheme="majorBidi"/>
          <w:sz w:val="24"/>
          <w:szCs w:val="24"/>
          <w:shd w:val="clear" w:color="auto" w:fill="FFFFFF"/>
          <w:rtl/>
        </w:rPr>
        <w:t>.</w:t>
      </w:r>
      <w:r w:rsidRPr="005C149A">
        <w:rPr>
          <w:rFonts w:asciiTheme="majorBidi" w:hAnsiTheme="majorBidi" w:cstheme="majorBidi"/>
          <w:sz w:val="24"/>
          <w:szCs w:val="24"/>
          <w:shd w:val="clear" w:color="auto" w:fill="FFFFFF"/>
        </w:rPr>
        <w:t xml:space="preserve"> </w:t>
      </w:r>
    </w:p>
    <w:p w14:paraId="6076C90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rPr>
        <w:t>In 2020,</w:t>
      </w:r>
      <w:r w:rsidRPr="005C149A">
        <w:rPr>
          <w:rFonts w:asciiTheme="majorBidi" w:hAnsiTheme="majorBidi" w:cstheme="majorBidi"/>
          <w:sz w:val="24"/>
          <w:szCs w:val="24"/>
          <w:shd w:val="clear" w:color="auto" w:fill="FFFFFF"/>
        </w:rPr>
        <w:t xml:space="preserve"> out of 312 large public bodies (excluding Government Ministries and auxiliary units) - 61% met the employment target of 5% or </w:t>
      </w:r>
      <w:r w:rsidRPr="005C149A">
        <w:rPr>
          <w:rFonts w:asciiTheme="majorBidi" w:hAnsiTheme="majorBidi" w:cstheme="majorBidi"/>
          <w:sz w:val="24"/>
          <w:szCs w:val="24"/>
        </w:rPr>
        <w:t>more</w:t>
      </w:r>
      <w:r w:rsidRPr="005C149A">
        <w:rPr>
          <w:rFonts w:asciiTheme="majorBidi" w:hAnsiTheme="majorBidi" w:cstheme="majorBidi"/>
          <w:sz w:val="24"/>
          <w:szCs w:val="24"/>
          <w:shd w:val="clear" w:color="auto" w:fill="FFFFFF"/>
        </w:rPr>
        <w:t>, 26% met the target at an intermediate level (3.5% - 5%), 12% met the target at a low level (2% - 3.5%), and 1% did not meet the target at all.</w:t>
      </w:r>
    </w:p>
    <w:p w14:paraId="480A0C5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tl/>
        </w:rPr>
      </w:pPr>
      <w:r w:rsidRPr="005C149A">
        <w:rPr>
          <w:rFonts w:asciiTheme="majorBidi" w:hAnsiTheme="majorBidi" w:cstheme="majorBidi"/>
          <w:sz w:val="24"/>
          <w:szCs w:val="24"/>
        </w:rPr>
        <w:t>In 2019,</w:t>
      </w:r>
      <w:r w:rsidRPr="005C149A">
        <w:rPr>
          <w:rFonts w:asciiTheme="majorBidi" w:hAnsiTheme="majorBidi" w:cstheme="majorBidi"/>
          <w:sz w:val="24"/>
          <w:szCs w:val="24"/>
          <w:shd w:val="clear" w:color="auto" w:fill="FFFFFF"/>
        </w:rPr>
        <w:t xml:space="preserve"> out of 314 large public bodies (excluding </w:t>
      </w:r>
      <w:r w:rsidRPr="005C149A">
        <w:rPr>
          <w:rFonts w:asciiTheme="majorBidi" w:hAnsiTheme="majorBidi" w:cstheme="majorBidi"/>
          <w:sz w:val="24"/>
          <w:szCs w:val="24"/>
        </w:rPr>
        <w:t>Government</w:t>
      </w:r>
      <w:r w:rsidRPr="005C149A">
        <w:rPr>
          <w:rFonts w:asciiTheme="majorBidi" w:hAnsiTheme="majorBidi" w:cstheme="majorBidi"/>
          <w:sz w:val="24"/>
          <w:szCs w:val="24"/>
          <w:shd w:val="clear" w:color="auto" w:fill="FFFFFF"/>
        </w:rPr>
        <w:t xml:space="preserve"> Ministries and auxiliary units) - 60% met the employment target of 5% or more, 26% met the target at an intermediate level (3.5% - 5%), 13% met the target at a low level (2% - 3.5%), and 1% did not meet the target at all.</w:t>
      </w:r>
    </w:p>
    <w:p w14:paraId="44878147"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rPr>
        <w:t>In 2018,</w:t>
      </w:r>
      <w:r w:rsidRPr="005C149A">
        <w:rPr>
          <w:rFonts w:asciiTheme="majorBidi" w:hAnsiTheme="majorBidi" w:cstheme="majorBidi"/>
          <w:sz w:val="24"/>
          <w:szCs w:val="24"/>
          <w:shd w:val="clear" w:color="auto" w:fill="FFFFFF"/>
        </w:rPr>
        <w:t xml:space="preserve"> out of 316 large public bodies - 60% met the </w:t>
      </w:r>
      <w:r w:rsidRPr="005C149A">
        <w:rPr>
          <w:rFonts w:asciiTheme="majorBidi" w:hAnsiTheme="majorBidi" w:cstheme="majorBidi"/>
          <w:sz w:val="24"/>
          <w:szCs w:val="24"/>
        </w:rPr>
        <w:t>employment</w:t>
      </w:r>
      <w:r w:rsidRPr="005C149A">
        <w:rPr>
          <w:rFonts w:asciiTheme="majorBidi" w:hAnsiTheme="majorBidi" w:cstheme="majorBidi"/>
          <w:sz w:val="24"/>
          <w:szCs w:val="24"/>
          <w:shd w:val="clear" w:color="auto" w:fill="FFFFFF"/>
        </w:rPr>
        <w:t xml:space="preserve"> target of 5% or more, 22% met the target at an intermediate level (3.5% - 5%), 15% met the target at a low level (2% - 3.5%), and 3% did not meet the target at all</w:t>
      </w:r>
      <w:r w:rsidRPr="005C149A">
        <w:rPr>
          <w:rFonts w:asciiTheme="majorBidi" w:hAnsiTheme="majorBidi" w:cstheme="majorBidi"/>
          <w:sz w:val="24"/>
          <w:szCs w:val="24"/>
          <w:shd w:val="clear" w:color="auto" w:fill="FFFFFF"/>
          <w:rtl/>
        </w:rPr>
        <w:t>.</w:t>
      </w:r>
      <w:r w:rsidRPr="005C149A">
        <w:rPr>
          <w:rFonts w:asciiTheme="majorBidi" w:hAnsiTheme="majorBidi" w:cstheme="majorBidi"/>
          <w:sz w:val="24"/>
          <w:szCs w:val="24"/>
          <w:shd w:val="clear" w:color="auto" w:fill="FFFFFF"/>
        </w:rPr>
        <w:t xml:space="preserve"> </w:t>
      </w:r>
    </w:p>
    <w:p w14:paraId="1D775251"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shd w:val="clear" w:color="auto" w:fill="FFFFFF"/>
        </w:rPr>
      </w:pPr>
      <w:r w:rsidRPr="005C149A">
        <w:rPr>
          <w:rFonts w:asciiTheme="majorBidi" w:hAnsiTheme="majorBidi" w:cstheme="majorBidi"/>
          <w:sz w:val="24"/>
          <w:szCs w:val="24"/>
        </w:rPr>
        <w:t>In 2017,</w:t>
      </w:r>
      <w:r w:rsidRPr="005C149A">
        <w:rPr>
          <w:rFonts w:asciiTheme="majorBidi" w:hAnsiTheme="majorBidi" w:cstheme="majorBidi"/>
          <w:sz w:val="24"/>
          <w:szCs w:val="24"/>
          <w:shd w:val="clear" w:color="auto" w:fill="FFFFFF"/>
        </w:rPr>
        <w:t xml:space="preserve"> out of 328 large public bodies - 61% met the </w:t>
      </w:r>
      <w:r w:rsidRPr="005C149A">
        <w:rPr>
          <w:rFonts w:asciiTheme="majorBidi" w:hAnsiTheme="majorBidi" w:cstheme="majorBidi"/>
          <w:sz w:val="24"/>
          <w:szCs w:val="24"/>
        </w:rPr>
        <w:t>employment</w:t>
      </w:r>
      <w:r w:rsidRPr="005C149A">
        <w:rPr>
          <w:rFonts w:asciiTheme="majorBidi" w:hAnsiTheme="majorBidi" w:cstheme="majorBidi"/>
          <w:sz w:val="24"/>
          <w:szCs w:val="24"/>
          <w:shd w:val="clear" w:color="auto" w:fill="FFFFFF"/>
        </w:rPr>
        <w:t xml:space="preserve"> target of 5% or more, 22% met the target at an intermediate level (3.5% - 5%), 14% met the target at a low level (2% - 3.5%), and 3% did not meet the target at all</w:t>
      </w:r>
      <w:r w:rsidRPr="005C149A">
        <w:rPr>
          <w:rFonts w:asciiTheme="majorBidi" w:hAnsiTheme="majorBidi" w:cstheme="majorBidi"/>
          <w:sz w:val="24"/>
          <w:szCs w:val="24"/>
          <w:shd w:val="clear" w:color="auto" w:fill="FFFFFF"/>
          <w:rtl/>
        </w:rPr>
        <w:t>.</w:t>
      </w:r>
      <w:r w:rsidRPr="005C149A">
        <w:rPr>
          <w:rFonts w:asciiTheme="majorBidi" w:hAnsiTheme="majorBidi" w:cstheme="majorBidi"/>
          <w:sz w:val="24"/>
          <w:szCs w:val="24"/>
          <w:shd w:val="clear" w:color="auto" w:fill="FFFFFF"/>
        </w:rPr>
        <w:t xml:space="preserve"> </w:t>
      </w:r>
    </w:p>
    <w:p w14:paraId="059DB8E2"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Diversity in Civil Services</w:t>
      </w:r>
    </w:p>
    <w:p w14:paraId="0ECA6635" w14:textId="77F7FF01" w:rsidR="00F37FC8" w:rsidRPr="005C149A" w:rsidRDefault="00F37FC8" w:rsidP="00753DF8">
      <w:pPr>
        <w:pStyle w:val="ListParagraph"/>
        <w:numPr>
          <w:ilvl w:val="0"/>
          <w:numId w:val="22"/>
        </w:numPr>
        <w:spacing w:line="360" w:lineRule="auto"/>
        <w:ind w:left="567" w:hanging="567"/>
        <w:jc w:val="both"/>
        <w:rPr>
          <w:rFonts w:asciiTheme="majorBidi" w:hAnsiTheme="majorBidi" w:cstheme="majorBidi"/>
          <w:b/>
          <w:bCs/>
          <w:sz w:val="24"/>
          <w:szCs w:val="24"/>
          <w:shd w:val="clear" w:color="auto" w:fill="FFFFFF"/>
        </w:rPr>
      </w:pPr>
      <w:r w:rsidRPr="005C149A">
        <w:rPr>
          <w:rFonts w:asciiTheme="majorBidi" w:hAnsiTheme="majorBidi" w:cstheme="majorBidi"/>
          <w:sz w:val="24"/>
          <w:szCs w:val="24"/>
          <w:shd w:val="clear" w:color="auto" w:fill="FFFFFF"/>
        </w:rPr>
        <w:t xml:space="preserve">According to the CSC 2020 Diversity Report, in 2020, 3.7% of </w:t>
      </w:r>
      <w:r w:rsidRPr="005C149A">
        <w:rPr>
          <w:rFonts w:asciiTheme="majorBidi" w:hAnsiTheme="majorBidi" w:cstheme="majorBidi"/>
          <w:sz w:val="24"/>
          <w:szCs w:val="24"/>
        </w:rPr>
        <w:t>employees</w:t>
      </w:r>
      <w:r w:rsidRPr="005C149A">
        <w:rPr>
          <w:rFonts w:asciiTheme="majorBidi" w:hAnsiTheme="majorBidi" w:cstheme="majorBidi"/>
          <w:sz w:val="24"/>
          <w:szCs w:val="24"/>
          <w:shd w:val="clear" w:color="auto" w:fill="FFFFFF"/>
        </w:rPr>
        <w:t xml:space="preserve"> had disabilities. In 2019, there was a decrease of 0.4% in the representation of PWD compared to the previous year, and in 2020, there was a 0.1% decrease from the prior year. In 2020, there was a slight increase in the representation of PWD among entry-level employees, mid-level employees and students, whereas there was no significant change among administrative and high-level employees. In the health system, 4.8% of employees have disabilities, almost meeting the target, and the target has been surpassed among mid-level employees (of whom 10.4% have disabilities) and high-level employees (of whom 8.3% have disabilities). In general, among all Government Ministries and units, in 2020, 5% of high-level employees have disabilities. In 2020, 63% of employees with disabilities were women (compared to 62% in 2019).</w:t>
      </w:r>
    </w:p>
    <w:p w14:paraId="05BFCA43"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Programs to Encourage Employment </w:t>
      </w:r>
    </w:p>
    <w:p w14:paraId="29BF190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Programs that </w:t>
      </w:r>
      <w:r w:rsidRPr="005C149A">
        <w:rPr>
          <w:rFonts w:asciiTheme="majorBidi" w:hAnsiTheme="majorBidi" w:cstheme="majorBidi"/>
          <w:sz w:val="24"/>
          <w:szCs w:val="24"/>
          <w:shd w:val="clear" w:color="auto" w:fill="FFFFFF"/>
        </w:rPr>
        <w:t>encourage</w:t>
      </w:r>
      <w:r w:rsidRPr="005C149A">
        <w:rPr>
          <w:rFonts w:asciiTheme="majorBidi" w:hAnsiTheme="majorBidi" w:cstheme="majorBidi"/>
          <w:sz w:val="24"/>
          <w:szCs w:val="24"/>
        </w:rPr>
        <w:t xml:space="preserve"> PWD employment:</w:t>
      </w:r>
    </w:p>
    <w:p w14:paraId="232ED25E" w14:textId="77777777" w:rsidR="00F37FC8" w:rsidRPr="005C149A" w:rsidRDefault="00F37FC8" w:rsidP="00C000F6">
      <w:pPr>
        <w:pStyle w:val="ListParagraph"/>
        <w:numPr>
          <w:ilvl w:val="1"/>
          <w:numId w:val="11"/>
        </w:numPr>
        <w:spacing w:after="120" w:line="360" w:lineRule="auto"/>
        <w:ind w:left="992" w:hanging="425"/>
        <w:contextualSpacing/>
        <w:jc w:val="both"/>
        <w:rPr>
          <w:rFonts w:asciiTheme="majorBidi" w:hAnsiTheme="majorBidi" w:cstheme="majorBidi"/>
          <w:sz w:val="24"/>
          <w:szCs w:val="24"/>
        </w:rPr>
      </w:pPr>
      <w:r w:rsidRPr="005C149A">
        <w:rPr>
          <w:rFonts w:asciiTheme="majorBidi" w:hAnsiTheme="majorBidi" w:cstheme="majorBidi"/>
          <w:sz w:val="24"/>
          <w:szCs w:val="24"/>
        </w:rPr>
        <w:t>The 'ANAN' (cloud) Program assists different groups that need more intense support services. There are two (2) additional designated programs which are operated by the MOH and the NII.</w:t>
      </w:r>
    </w:p>
    <w:p w14:paraId="564930EC" w14:textId="77777777" w:rsidR="00F37FC8" w:rsidRPr="005C149A" w:rsidRDefault="00F37FC8" w:rsidP="00C000F6">
      <w:pPr>
        <w:pStyle w:val="ListParagraph"/>
        <w:numPr>
          <w:ilvl w:val="1"/>
          <w:numId w:val="11"/>
        </w:numPr>
        <w:spacing w:after="120" w:line="360" w:lineRule="auto"/>
        <w:ind w:left="992" w:hanging="425"/>
        <w:contextualSpacing/>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 xml:space="preserve">The </w:t>
      </w:r>
      <w:r w:rsidRPr="005C149A">
        <w:rPr>
          <w:rFonts w:asciiTheme="majorBidi" w:hAnsiTheme="majorBidi" w:cstheme="majorBidi"/>
          <w:sz w:val="24"/>
          <w:szCs w:val="24"/>
        </w:rPr>
        <w:t>'</w:t>
      </w:r>
      <w:r w:rsidRPr="005C149A">
        <w:rPr>
          <w:rFonts w:asciiTheme="majorBidi" w:hAnsiTheme="majorBidi" w:cstheme="majorBidi"/>
          <w:sz w:val="24"/>
          <w:szCs w:val="24"/>
          <w:shd w:val="clear" w:color="auto" w:fill="FFFFFF"/>
        </w:rPr>
        <w:t>Creating a Future' Program is a MOWSA operated transitional program for students with disabilities in special education frameworks transitioning into the workforce.</w:t>
      </w:r>
    </w:p>
    <w:p w14:paraId="50E6A03B" w14:textId="7FFEB422" w:rsidR="00F37FC8" w:rsidRPr="005C149A" w:rsidRDefault="00F37FC8" w:rsidP="00753DF8">
      <w:pPr>
        <w:pStyle w:val="ListParagraph"/>
        <w:numPr>
          <w:ilvl w:val="1"/>
          <w:numId w:val="11"/>
        </w:numPr>
        <w:spacing w:after="120" w:line="360" w:lineRule="auto"/>
        <w:ind w:left="992" w:hanging="425"/>
        <w:contextualSpacing/>
        <w:jc w:val="both"/>
        <w:rPr>
          <w:rFonts w:asciiTheme="majorBidi" w:hAnsiTheme="majorBidi" w:cstheme="majorBidi"/>
          <w:sz w:val="24"/>
          <w:szCs w:val="24"/>
        </w:rPr>
      </w:pPr>
      <w:r w:rsidRPr="005C149A">
        <w:rPr>
          <w:rFonts w:asciiTheme="majorBidi" w:hAnsiTheme="majorBidi" w:cstheme="majorBidi"/>
          <w:sz w:val="24"/>
          <w:szCs w:val="24"/>
        </w:rPr>
        <w:t>Additionally, there are programs adapted to both the ultra-Orthodox and the Arab population.</w:t>
      </w:r>
    </w:p>
    <w:p w14:paraId="3A9DD0C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Programs that </w:t>
      </w:r>
      <w:r w:rsidRPr="005C149A">
        <w:rPr>
          <w:rFonts w:asciiTheme="majorBidi" w:hAnsiTheme="majorBidi" w:cstheme="majorBidi"/>
          <w:sz w:val="24"/>
          <w:szCs w:val="24"/>
          <w:shd w:val="clear" w:color="auto" w:fill="FFFFFF"/>
        </w:rPr>
        <w:t>support</w:t>
      </w:r>
      <w:r w:rsidRPr="005C149A">
        <w:rPr>
          <w:rFonts w:asciiTheme="majorBidi" w:hAnsiTheme="majorBidi" w:cstheme="majorBidi"/>
          <w:sz w:val="24"/>
          <w:szCs w:val="24"/>
        </w:rPr>
        <w:t xml:space="preserve"> employees with disabilities: </w:t>
      </w:r>
    </w:p>
    <w:p w14:paraId="535E1D02" w14:textId="77777777" w:rsidR="00F37FC8" w:rsidRPr="005C149A" w:rsidRDefault="00F37FC8" w:rsidP="00C000F6">
      <w:pPr>
        <w:pStyle w:val="ListParagraph"/>
        <w:numPr>
          <w:ilvl w:val="0"/>
          <w:numId w:val="39"/>
        </w:numPr>
        <w:spacing w:after="120" w:line="360" w:lineRule="auto"/>
        <w:ind w:left="992" w:hanging="425"/>
        <w:contextualSpacing/>
        <w:jc w:val="both"/>
        <w:rPr>
          <w:rFonts w:asciiTheme="majorBidi" w:hAnsiTheme="majorBidi" w:cstheme="majorBidi"/>
          <w:sz w:val="24"/>
          <w:szCs w:val="24"/>
        </w:rPr>
      </w:pPr>
      <w:r w:rsidRPr="005C149A">
        <w:rPr>
          <w:rFonts w:asciiTheme="majorBidi" w:hAnsiTheme="majorBidi" w:cstheme="majorBidi"/>
          <w:sz w:val="24"/>
          <w:szCs w:val="24"/>
        </w:rPr>
        <w:t xml:space="preserve">The Equal Employment Program in the Labor Branch has expanded the MOWSA Administration for the Integration of PWD in the Workforce's activities and services, which are now offered in 34 locations throughout the country, usually mainstreamed into other employment advancement centers. The centers offer services and assistance to persons and companies involved in the employment of PWD and also services for employers. </w:t>
      </w:r>
    </w:p>
    <w:p w14:paraId="5C8BA599" w14:textId="77777777" w:rsidR="00F37FC8" w:rsidRPr="005C149A" w:rsidRDefault="00F37FC8" w:rsidP="00C000F6">
      <w:pPr>
        <w:pStyle w:val="ListParagraph"/>
        <w:numPr>
          <w:ilvl w:val="0"/>
          <w:numId w:val="39"/>
        </w:numPr>
        <w:spacing w:after="120" w:line="360" w:lineRule="auto"/>
        <w:ind w:left="992" w:hanging="425"/>
        <w:contextualSpacing/>
        <w:jc w:val="both"/>
        <w:rPr>
          <w:rFonts w:asciiTheme="majorBidi" w:hAnsiTheme="majorBidi" w:cstheme="majorBidi"/>
          <w:sz w:val="24"/>
          <w:szCs w:val="24"/>
          <w:shd w:val="clear" w:color="auto" w:fill="FFFFFF"/>
        </w:rPr>
      </w:pPr>
      <w:r w:rsidRPr="005C149A">
        <w:rPr>
          <w:rFonts w:asciiTheme="majorBidi" w:hAnsiTheme="majorBidi" w:cstheme="majorBidi"/>
          <w:sz w:val="24"/>
          <w:szCs w:val="24"/>
        </w:rPr>
        <w:t>The</w:t>
      </w:r>
      <w:r w:rsidRPr="005C149A">
        <w:rPr>
          <w:rFonts w:asciiTheme="majorBidi" w:hAnsiTheme="majorBidi" w:cstheme="majorBidi"/>
          <w:sz w:val="24"/>
          <w:szCs w:val="24"/>
          <w:shd w:val="clear" w:color="auto" w:fill="FFFFFF"/>
        </w:rPr>
        <w:t xml:space="preserve"> </w:t>
      </w:r>
      <w:r w:rsidRPr="005C149A">
        <w:rPr>
          <w:rFonts w:asciiTheme="majorBidi" w:hAnsiTheme="majorBidi" w:cstheme="majorBidi"/>
          <w:sz w:val="24"/>
          <w:szCs w:val="24"/>
        </w:rPr>
        <w:t>Mentoring Program</w:t>
      </w:r>
      <w:r w:rsidRPr="005C149A">
        <w:rPr>
          <w:rFonts w:asciiTheme="majorBidi" w:hAnsiTheme="majorBidi" w:cstheme="majorBidi"/>
          <w:sz w:val="24"/>
          <w:szCs w:val="24"/>
          <w:shd w:val="clear" w:color="auto" w:fill="FFFFFF"/>
        </w:rPr>
        <w:t>, which operated from November 2017 to November 2020, as part of the implementation of the Staff for Integrating PWD in the Workplace Program. As part of the program, 11 classes were conducted in collaboration with nine (9) organizations, for 197 pairs of mentors and mentees</w:t>
      </w:r>
      <w:r w:rsidRPr="005C149A">
        <w:rPr>
          <w:rFonts w:asciiTheme="majorBidi" w:hAnsiTheme="majorBidi" w:cstheme="majorBidi"/>
          <w:sz w:val="24"/>
          <w:szCs w:val="24"/>
          <w:shd w:val="clear" w:color="auto" w:fill="FFFFFF"/>
          <w:rtl/>
        </w:rPr>
        <w:t>.</w:t>
      </w:r>
      <w:r w:rsidRPr="005C149A">
        <w:rPr>
          <w:rFonts w:asciiTheme="majorBidi" w:hAnsiTheme="majorBidi" w:cstheme="majorBidi"/>
          <w:sz w:val="24"/>
          <w:szCs w:val="24"/>
          <w:shd w:val="clear" w:color="auto" w:fill="FFFFFF"/>
        </w:rPr>
        <w:t xml:space="preserve"> The program was operated by the MOWSA together with JDC.</w:t>
      </w:r>
    </w:p>
    <w:p w14:paraId="745CD08C"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Programs that support </w:t>
      </w:r>
      <w:r w:rsidRPr="005C149A">
        <w:rPr>
          <w:rFonts w:asciiTheme="majorBidi" w:hAnsiTheme="majorBidi" w:cstheme="majorBidi"/>
          <w:sz w:val="24"/>
          <w:szCs w:val="24"/>
          <w:shd w:val="clear" w:color="auto" w:fill="FFFFFF"/>
        </w:rPr>
        <w:t>employers</w:t>
      </w:r>
      <w:r w:rsidRPr="005C149A">
        <w:rPr>
          <w:rFonts w:asciiTheme="majorBidi" w:hAnsiTheme="majorBidi" w:cstheme="majorBidi"/>
          <w:sz w:val="24"/>
          <w:szCs w:val="24"/>
        </w:rPr>
        <w:t xml:space="preserve"> integrating employees with disabilities:</w:t>
      </w:r>
    </w:p>
    <w:p w14:paraId="27B96F44" w14:textId="77777777" w:rsidR="00F37FC8" w:rsidRPr="005C149A" w:rsidRDefault="00F37FC8" w:rsidP="00C000F6">
      <w:pPr>
        <w:pStyle w:val="NoSpacing"/>
        <w:numPr>
          <w:ilvl w:val="0"/>
          <w:numId w:val="40"/>
        </w:numPr>
        <w:bidi w:val="0"/>
        <w:spacing w:after="120"/>
        <w:ind w:left="851" w:hanging="284"/>
        <w:rPr>
          <w:rStyle w:val="Hyperlink"/>
          <w:rFonts w:asciiTheme="majorBidi" w:hAnsiTheme="majorBidi" w:cstheme="majorBidi"/>
          <w:color w:val="auto"/>
          <w:sz w:val="24"/>
          <w:szCs w:val="24"/>
          <w:u w:val="none"/>
          <w:shd w:val="clear" w:color="auto" w:fill="FFFFFF"/>
        </w:rPr>
      </w:pPr>
      <w:r w:rsidRPr="005C149A">
        <w:rPr>
          <w:rFonts w:asciiTheme="majorBidi" w:hAnsiTheme="majorBidi" w:cstheme="majorBidi"/>
          <w:color w:val="auto"/>
          <w:sz w:val="24"/>
          <w:szCs w:val="24"/>
        </w:rPr>
        <w:t xml:space="preserve">The Employer Centers </w:t>
      </w:r>
      <w:hyperlink r:id="rId10" w:history="1">
        <w:r w:rsidRPr="005C149A">
          <w:rPr>
            <w:rStyle w:val="Hyperlink"/>
            <w:rFonts w:asciiTheme="majorBidi" w:hAnsiTheme="majorBidi" w:cstheme="majorBidi"/>
            <w:color w:val="auto"/>
            <w:sz w:val="24"/>
            <w:szCs w:val="24"/>
            <w:u w:val="none"/>
          </w:rPr>
          <w:t xml:space="preserve">support the employment of employees with disabilities by offering human resources assistance. For more information, see Israel's Initial Report, para. 281(b). </w:t>
        </w:r>
      </w:hyperlink>
      <w:hyperlink r:id="rId11" w:history="1">
        <w:r w:rsidRPr="005C149A">
          <w:rPr>
            <w:rStyle w:val="Hyperlink"/>
            <w:rFonts w:asciiTheme="majorBidi" w:hAnsiTheme="majorBidi" w:cstheme="majorBidi"/>
            <w:color w:val="auto"/>
            <w:sz w:val="24"/>
            <w:szCs w:val="24"/>
            <w:u w:val="none"/>
          </w:rPr>
          <w:t xml:space="preserve"> </w:t>
        </w:r>
      </w:hyperlink>
    </w:p>
    <w:p w14:paraId="0FEE4678" w14:textId="77777777" w:rsidR="00F37FC8" w:rsidRPr="005C149A" w:rsidRDefault="00F37FC8" w:rsidP="00C000F6">
      <w:pPr>
        <w:pStyle w:val="NoSpacing"/>
        <w:numPr>
          <w:ilvl w:val="0"/>
          <w:numId w:val="40"/>
        </w:numPr>
        <w:bidi w:val="0"/>
        <w:spacing w:after="120"/>
        <w:ind w:left="851" w:hanging="284"/>
        <w:rPr>
          <w:rFonts w:asciiTheme="majorBidi" w:hAnsiTheme="majorBidi" w:cstheme="majorBidi"/>
          <w:color w:val="auto"/>
          <w:sz w:val="24"/>
          <w:szCs w:val="24"/>
        </w:rPr>
      </w:pPr>
      <w:r w:rsidRPr="005C149A">
        <w:rPr>
          <w:rFonts w:asciiTheme="majorBidi" w:hAnsiTheme="majorBidi" w:cstheme="majorBidi"/>
          <w:color w:val="auto"/>
          <w:sz w:val="24"/>
          <w:szCs w:val="24"/>
        </w:rPr>
        <w:t>The MOEI offers financial assistance programs for employers who employ persons belonging to groups whose rate of participation in the workforce is low, including PWD. The extent of the assistance ranges between 20%-33% of the cost of wages of the employee for a period of between one (1) to three (3) years. Additionally, there is a dedicated track for employing of PWD, adapted to the specific characteristics. The track applies to most employment sectors and includes a grant for the employment of at least one (1) employee working part-time, an increased grant at the rate of 33% of the employee's wages for three (3) years, and a starting salary of minimum wage or adjusted minimum wage.</w:t>
      </w:r>
    </w:p>
    <w:p w14:paraId="43121700"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Data on the </w:t>
      </w:r>
      <w:r w:rsidR="00D80630" w:rsidRPr="005C149A">
        <w:rPr>
          <w:rFonts w:asciiTheme="majorBidi" w:hAnsiTheme="majorBidi" w:cstheme="majorBidi"/>
          <w:sz w:val="24"/>
          <w:szCs w:val="24"/>
          <w:u w:val="single"/>
        </w:rPr>
        <w:t>B</w:t>
      </w:r>
      <w:r w:rsidRPr="005C149A">
        <w:rPr>
          <w:rFonts w:asciiTheme="majorBidi" w:hAnsiTheme="majorBidi" w:cstheme="majorBidi"/>
          <w:sz w:val="24"/>
          <w:szCs w:val="24"/>
          <w:u w:val="single"/>
        </w:rPr>
        <w:t xml:space="preserve">udgets of </w:t>
      </w:r>
      <w:r w:rsidR="00D80630" w:rsidRPr="005C149A">
        <w:rPr>
          <w:rFonts w:asciiTheme="majorBidi" w:hAnsiTheme="majorBidi" w:cstheme="majorBidi"/>
          <w:sz w:val="24"/>
          <w:szCs w:val="24"/>
          <w:u w:val="single"/>
        </w:rPr>
        <w:t>E</w:t>
      </w:r>
      <w:r w:rsidRPr="005C149A">
        <w:rPr>
          <w:rFonts w:asciiTheme="majorBidi" w:hAnsiTheme="majorBidi" w:cstheme="majorBidi"/>
          <w:sz w:val="24"/>
          <w:szCs w:val="24"/>
          <w:u w:val="single"/>
        </w:rPr>
        <w:t xml:space="preserve">mployment </w:t>
      </w:r>
      <w:r w:rsidR="00D80630" w:rsidRPr="005C149A">
        <w:rPr>
          <w:rFonts w:asciiTheme="majorBidi" w:hAnsiTheme="majorBidi" w:cstheme="majorBidi"/>
          <w:sz w:val="24"/>
          <w:szCs w:val="24"/>
          <w:u w:val="single"/>
        </w:rPr>
        <w:t>P</w:t>
      </w:r>
      <w:r w:rsidRPr="005C149A">
        <w:rPr>
          <w:rFonts w:asciiTheme="majorBidi" w:hAnsiTheme="majorBidi" w:cstheme="majorBidi"/>
          <w:sz w:val="24"/>
          <w:szCs w:val="24"/>
          <w:u w:val="single"/>
        </w:rPr>
        <w:t>rograms</w:t>
      </w:r>
    </w:p>
    <w:p w14:paraId="280937B0" w14:textId="77777777" w:rsidR="00F37FC8"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7A4478">
        <w:rPr>
          <w:rFonts w:asciiTheme="majorBidi" w:hAnsiTheme="majorBidi" w:cstheme="majorBidi"/>
          <w:sz w:val="24"/>
          <w:szCs w:val="24"/>
        </w:rPr>
        <w:t>Note that in mid-2019</w:t>
      </w:r>
      <w:r w:rsidRPr="008F5248">
        <w:rPr>
          <w:rFonts w:asciiTheme="majorBidi" w:hAnsiTheme="majorBidi" w:cstheme="majorBidi"/>
          <w:sz w:val="24"/>
          <w:szCs w:val="24"/>
        </w:rPr>
        <w:t>, the</w:t>
      </w:r>
      <w:r w:rsidRPr="007A4478">
        <w:rPr>
          <w:rFonts w:asciiTheme="majorBidi" w:hAnsiTheme="majorBidi" w:cstheme="majorBidi"/>
          <w:sz w:val="24"/>
          <w:szCs w:val="24"/>
        </w:rPr>
        <w:t xml:space="preserve"> "equal employment" program was established, including both areas of individuals and employers</w:t>
      </w:r>
      <w:r w:rsidRPr="008F5248">
        <w:rPr>
          <w:rFonts w:asciiTheme="majorBidi" w:hAnsiTheme="majorBidi" w:cstheme="majorBidi"/>
          <w:sz w:val="24"/>
          <w:szCs w:val="24"/>
        </w:rPr>
        <w:t>. Since this change, the program's</w:t>
      </w:r>
      <w:r w:rsidRPr="007A4478">
        <w:rPr>
          <w:rFonts w:asciiTheme="majorBidi" w:hAnsiTheme="majorBidi" w:cstheme="majorBidi"/>
          <w:sz w:val="24"/>
          <w:szCs w:val="24"/>
        </w:rPr>
        <w:t xml:space="preserve"> operating budget is a unified budget for both areas.</w:t>
      </w:r>
    </w:p>
    <w:p w14:paraId="04AA28DE" w14:textId="77777777" w:rsidR="00F37FC8" w:rsidRPr="00D11EFA" w:rsidRDefault="00D11EFA" w:rsidP="00D11EFA">
      <w:pPr>
        <w:pStyle w:val="NoSpacing"/>
        <w:bidi w:val="0"/>
        <w:spacing w:after="120"/>
        <w:ind w:left="1077"/>
        <w:jc w:val="center"/>
        <w:rPr>
          <w:rStyle w:val="CommentReference"/>
          <w:rFonts w:asciiTheme="majorBidi" w:hAnsiTheme="majorBidi" w:cstheme="majorBidi"/>
          <w:b/>
          <w:bCs/>
          <w:color w:val="auto"/>
          <w:sz w:val="24"/>
          <w:szCs w:val="24"/>
          <w:u w:val="single"/>
          <w:shd w:val="clear" w:color="auto" w:fill="FFFFFF"/>
          <w:rtl/>
          <w:lang w:val="en-GB"/>
        </w:rPr>
      </w:pPr>
      <w:r w:rsidRPr="00D11EFA">
        <w:rPr>
          <w:rFonts w:asciiTheme="majorBidi" w:hAnsiTheme="majorBidi" w:cstheme="majorBidi"/>
          <w:b/>
          <w:bCs/>
          <w:color w:val="auto"/>
          <w:sz w:val="24"/>
          <w:szCs w:val="24"/>
          <w:u w:val="single"/>
        </w:rPr>
        <w:t xml:space="preserve">Table No. 5 - </w:t>
      </w:r>
      <w:r w:rsidR="00F37FC8" w:rsidRPr="00D11EFA">
        <w:rPr>
          <w:rFonts w:asciiTheme="majorBidi" w:hAnsiTheme="majorBidi" w:cstheme="majorBidi"/>
          <w:b/>
          <w:bCs/>
          <w:color w:val="auto"/>
          <w:sz w:val="24"/>
          <w:szCs w:val="24"/>
          <w:u w:val="single"/>
        </w:rPr>
        <w:t xml:space="preserve">MOEI Administration for </w:t>
      </w:r>
      <w:r w:rsidRPr="00D11EFA">
        <w:rPr>
          <w:rFonts w:asciiTheme="majorBidi" w:hAnsiTheme="majorBidi" w:cstheme="majorBidi"/>
          <w:b/>
          <w:bCs/>
          <w:color w:val="auto"/>
          <w:sz w:val="24"/>
          <w:szCs w:val="24"/>
          <w:u w:val="single"/>
        </w:rPr>
        <w:t xml:space="preserve">the Integration of PWD programs - </w:t>
      </w:r>
      <w:r w:rsidR="00F37FC8" w:rsidRPr="00D11EFA">
        <w:rPr>
          <w:rFonts w:asciiTheme="majorBidi" w:hAnsiTheme="majorBidi" w:cstheme="majorBidi"/>
          <w:b/>
          <w:bCs/>
          <w:color w:val="auto"/>
          <w:sz w:val="24"/>
          <w:szCs w:val="24"/>
          <w:u w:val="single"/>
        </w:rPr>
        <w:t>budgets and participants</w:t>
      </w:r>
    </w:p>
    <w:tbl>
      <w:tblPr>
        <w:tblW w:w="9379" w:type="dxa"/>
        <w:tblLayout w:type="fixed"/>
        <w:tblCellMar>
          <w:left w:w="0" w:type="dxa"/>
          <w:right w:w="0" w:type="dxa"/>
        </w:tblCellMar>
        <w:tblLook w:val="04A0" w:firstRow="1" w:lastRow="0" w:firstColumn="1" w:lastColumn="0" w:noHBand="0" w:noVBand="1"/>
      </w:tblPr>
      <w:tblGrid>
        <w:gridCol w:w="2258"/>
        <w:gridCol w:w="1276"/>
        <w:gridCol w:w="1097"/>
        <w:gridCol w:w="1313"/>
        <w:gridCol w:w="1061"/>
        <w:gridCol w:w="1207"/>
        <w:gridCol w:w="1167"/>
      </w:tblGrid>
      <w:tr w:rsidR="00D11EFA" w:rsidRPr="00E2291A" w14:paraId="1C7246FC" w14:textId="77777777" w:rsidTr="00D11EFA">
        <w:trPr>
          <w:trHeight w:val="274"/>
        </w:trPr>
        <w:tc>
          <w:tcPr>
            <w:tcW w:w="2258"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tcMar>
              <w:top w:w="0" w:type="dxa"/>
              <w:left w:w="108" w:type="dxa"/>
              <w:bottom w:w="0" w:type="dxa"/>
              <w:right w:w="108" w:type="dxa"/>
            </w:tcMar>
            <w:vAlign w:val="center"/>
            <w:hideMark/>
          </w:tcPr>
          <w:p w14:paraId="0EEE7C88" w14:textId="77777777" w:rsidR="00D11EFA" w:rsidRPr="00D11EFA" w:rsidRDefault="00D11EFA" w:rsidP="006966DC">
            <w:pPr>
              <w:bidi w:val="0"/>
              <w:spacing w:after="0" w:line="240" w:lineRule="auto"/>
              <w:rPr>
                <w:rFonts w:asciiTheme="majorBidi" w:hAnsiTheme="majorBidi" w:cstheme="majorBidi"/>
                <w:b/>
                <w:bCs/>
                <w:sz w:val="20"/>
                <w:szCs w:val="20"/>
                <w:rtl/>
              </w:rPr>
            </w:pPr>
          </w:p>
        </w:tc>
        <w:tc>
          <w:tcPr>
            <w:tcW w:w="2373" w:type="dxa"/>
            <w:gridSpan w:val="2"/>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108" w:type="dxa"/>
              <w:bottom w:w="0" w:type="dxa"/>
              <w:right w:w="108" w:type="dxa"/>
            </w:tcMar>
            <w:vAlign w:val="center"/>
            <w:hideMark/>
          </w:tcPr>
          <w:p w14:paraId="6E2C2381" w14:textId="77777777" w:rsidR="00D11EFA" w:rsidRPr="00D11EFA" w:rsidRDefault="00D11EFA" w:rsidP="006966DC">
            <w:pPr>
              <w:bidi w:val="0"/>
              <w:spacing w:after="0" w:line="240" w:lineRule="auto"/>
              <w:jc w:val="center"/>
              <w:rPr>
                <w:rFonts w:asciiTheme="majorBidi" w:hAnsiTheme="majorBidi" w:cstheme="majorBidi"/>
                <w:b/>
                <w:bCs/>
                <w:sz w:val="20"/>
                <w:szCs w:val="20"/>
                <w:rtl/>
              </w:rPr>
            </w:pPr>
            <w:r w:rsidRPr="00D11EFA">
              <w:rPr>
                <w:rFonts w:asciiTheme="majorBidi" w:hAnsiTheme="majorBidi" w:cstheme="majorBidi"/>
                <w:b/>
                <w:bCs/>
                <w:sz w:val="20"/>
                <w:szCs w:val="20"/>
              </w:rPr>
              <w:t>2018</w:t>
            </w:r>
          </w:p>
        </w:tc>
        <w:tc>
          <w:tcPr>
            <w:tcW w:w="2374" w:type="dxa"/>
            <w:gridSpan w:val="2"/>
            <w:tcBorders>
              <w:top w:val="single" w:sz="8" w:space="0" w:color="auto"/>
              <w:left w:val="nil"/>
              <w:bottom w:val="single" w:sz="8" w:space="0" w:color="auto"/>
              <w:right w:val="single" w:sz="8" w:space="0" w:color="auto"/>
            </w:tcBorders>
            <w:shd w:val="clear" w:color="auto" w:fill="D9D9D9" w:themeFill="background1" w:themeFillShade="D9"/>
            <w:noWrap/>
            <w:tcMar>
              <w:top w:w="0" w:type="dxa"/>
              <w:left w:w="108" w:type="dxa"/>
              <w:bottom w:w="0" w:type="dxa"/>
              <w:right w:w="108" w:type="dxa"/>
            </w:tcMar>
            <w:vAlign w:val="center"/>
            <w:hideMark/>
          </w:tcPr>
          <w:p w14:paraId="2E5AEB40" w14:textId="77777777" w:rsidR="00D11EFA" w:rsidRPr="00D11EFA" w:rsidRDefault="00D11EFA" w:rsidP="006966DC">
            <w:pPr>
              <w:bidi w:val="0"/>
              <w:spacing w:after="0" w:line="240" w:lineRule="auto"/>
              <w:jc w:val="center"/>
              <w:rPr>
                <w:rFonts w:asciiTheme="majorBidi" w:hAnsiTheme="majorBidi" w:cstheme="majorBidi"/>
                <w:b/>
                <w:bCs/>
                <w:sz w:val="20"/>
                <w:szCs w:val="20"/>
                <w:rtl/>
              </w:rPr>
            </w:pPr>
            <w:r w:rsidRPr="00D11EFA">
              <w:rPr>
                <w:rFonts w:asciiTheme="majorBidi" w:hAnsiTheme="majorBidi" w:cstheme="majorBidi"/>
                <w:b/>
                <w:bCs/>
                <w:sz w:val="20"/>
                <w:szCs w:val="20"/>
              </w:rPr>
              <w:t>2019</w:t>
            </w:r>
          </w:p>
        </w:tc>
        <w:tc>
          <w:tcPr>
            <w:tcW w:w="2374" w:type="dxa"/>
            <w:gridSpan w:val="2"/>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0FFB291" w14:textId="77777777" w:rsidR="00D11EFA" w:rsidRPr="00D11EFA" w:rsidRDefault="00D11EFA" w:rsidP="006966DC">
            <w:pPr>
              <w:bidi w:val="0"/>
              <w:spacing w:after="0" w:line="240" w:lineRule="auto"/>
              <w:jc w:val="center"/>
              <w:rPr>
                <w:rFonts w:asciiTheme="majorBidi" w:hAnsiTheme="majorBidi" w:cstheme="majorBidi"/>
                <w:b/>
                <w:bCs/>
                <w:sz w:val="20"/>
                <w:szCs w:val="20"/>
              </w:rPr>
            </w:pPr>
            <w:r w:rsidRPr="00D11EFA">
              <w:rPr>
                <w:rFonts w:asciiTheme="majorBidi" w:hAnsiTheme="majorBidi" w:cstheme="majorBidi"/>
                <w:b/>
                <w:bCs/>
                <w:sz w:val="20"/>
                <w:szCs w:val="20"/>
              </w:rPr>
              <w:t>2020</w:t>
            </w:r>
          </w:p>
        </w:tc>
      </w:tr>
      <w:tr w:rsidR="00D11EFA" w:rsidRPr="00E2291A" w14:paraId="2F88E499" w14:textId="77777777" w:rsidTr="00D11EFA">
        <w:trPr>
          <w:trHeight w:val="548"/>
        </w:trPr>
        <w:tc>
          <w:tcPr>
            <w:tcW w:w="2258" w:type="dxa"/>
            <w:tcBorders>
              <w:top w:val="nil"/>
              <w:left w:val="single" w:sz="8" w:space="0" w:color="auto"/>
              <w:bottom w:val="single" w:sz="8" w:space="0" w:color="auto"/>
              <w:right w:val="single" w:sz="8" w:space="0" w:color="auto"/>
            </w:tcBorders>
            <w:shd w:val="clear" w:color="auto" w:fill="D9D9D9" w:themeFill="background1" w:themeFillShade="D9"/>
            <w:noWrap/>
            <w:tcMar>
              <w:top w:w="0" w:type="dxa"/>
              <w:left w:w="108" w:type="dxa"/>
              <w:bottom w:w="0" w:type="dxa"/>
              <w:right w:w="108" w:type="dxa"/>
            </w:tcMar>
            <w:vAlign w:val="center"/>
            <w:hideMark/>
          </w:tcPr>
          <w:p w14:paraId="6719F102" w14:textId="77777777" w:rsidR="00F37FC8" w:rsidRPr="00D11EFA" w:rsidRDefault="00F37FC8" w:rsidP="006966DC">
            <w:pPr>
              <w:bidi w:val="0"/>
              <w:spacing w:after="0" w:line="240" w:lineRule="auto"/>
              <w:rPr>
                <w:rFonts w:asciiTheme="majorBidi" w:hAnsiTheme="majorBidi" w:cstheme="majorBidi"/>
                <w:b/>
                <w:bCs/>
                <w:sz w:val="20"/>
                <w:szCs w:val="20"/>
              </w:rPr>
            </w:pPr>
            <w:r w:rsidRPr="00D11EFA">
              <w:rPr>
                <w:rFonts w:asciiTheme="majorBidi" w:hAnsiTheme="majorBidi" w:cstheme="majorBidi"/>
                <w:b/>
                <w:bCs/>
                <w:sz w:val="20"/>
                <w:szCs w:val="20"/>
              </w:rPr>
              <w:t>Programs</w:t>
            </w:r>
          </w:p>
        </w:tc>
        <w:tc>
          <w:tcPr>
            <w:tcW w:w="1276"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93FD428" w14:textId="77777777" w:rsidR="00F37FC8" w:rsidRPr="00D11EFA" w:rsidRDefault="00F37FC8" w:rsidP="006966DC">
            <w:pPr>
              <w:bidi w:val="0"/>
              <w:spacing w:after="0" w:line="240" w:lineRule="auto"/>
              <w:jc w:val="center"/>
              <w:rPr>
                <w:rFonts w:asciiTheme="majorBidi" w:hAnsiTheme="majorBidi" w:cstheme="majorBidi"/>
                <w:b/>
                <w:bCs/>
                <w:sz w:val="20"/>
                <w:szCs w:val="20"/>
              </w:rPr>
            </w:pPr>
            <w:r w:rsidRPr="00D11EFA">
              <w:rPr>
                <w:rFonts w:asciiTheme="majorBidi" w:hAnsiTheme="majorBidi" w:cstheme="majorBidi"/>
                <w:b/>
                <w:bCs/>
                <w:sz w:val="20"/>
                <w:szCs w:val="20"/>
              </w:rPr>
              <w:t>Number of participants</w:t>
            </w:r>
          </w:p>
        </w:tc>
        <w:tc>
          <w:tcPr>
            <w:tcW w:w="1097" w:type="dxa"/>
            <w:tcBorders>
              <w:top w:val="nil"/>
              <w:left w:val="nil"/>
              <w:bottom w:val="single" w:sz="8" w:space="0" w:color="auto"/>
              <w:right w:val="single" w:sz="8" w:space="0" w:color="auto"/>
            </w:tcBorders>
            <w:shd w:val="clear" w:color="auto" w:fill="D9D9D9" w:themeFill="background1" w:themeFillShade="D9"/>
            <w:noWrap/>
            <w:tcMar>
              <w:top w:w="0" w:type="dxa"/>
              <w:left w:w="108" w:type="dxa"/>
              <w:bottom w:w="0" w:type="dxa"/>
              <w:right w:w="108" w:type="dxa"/>
            </w:tcMar>
            <w:vAlign w:val="center"/>
            <w:hideMark/>
          </w:tcPr>
          <w:p w14:paraId="50BAFB17" w14:textId="77777777" w:rsidR="00F37FC8" w:rsidRPr="00D11EFA" w:rsidRDefault="00F37FC8" w:rsidP="006966DC">
            <w:pPr>
              <w:bidi w:val="0"/>
              <w:spacing w:after="0" w:line="240" w:lineRule="auto"/>
              <w:jc w:val="center"/>
              <w:rPr>
                <w:rFonts w:asciiTheme="majorBidi" w:hAnsiTheme="majorBidi" w:cstheme="majorBidi"/>
                <w:b/>
                <w:bCs/>
                <w:sz w:val="20"/>
                <w:szCs w:val="20"/>
              </w:rPr>
            </w:pPr>
            <w:r w:rsidRPr="00D11EFA">
              <w:rPr>
                <w:rFonts w:asciiTheme="majorBidi" w:hAnsiTheme="majorBidi" w:cstheme="majorBidi"/>
                <w:b/>
                <w:bCs/>
                <w:sz w:val="20"/>
                <w:szCs w:val="20"/>
              </w:rPr>
              <w:t>Budget</w:t>
            </w:r>
          </w:p>
        </w:tc>
        <w:tc>
          <w:tcPr>
            <w:tcW w:w="131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03F8529" w14:textId="77777777" w:rsidR="00F37FC8" w:rsidRPr="00D11EFA" w:rsidRDefault="00F37FC8" w:rsidP="006966DC">
            <w:pPr>
              <w:bidi w:val="0"/>
              <w:spacing w:after="0" w:line="240" w:lineRule="auto"/>
              <w:jc w:val="center"/>
              <w:rPr>
                <w:rFonts w:asciiTheme="majorBidi" w:hAnsiTheme="majorBidi" w:cstheme="majorBidi"/>
                <w:b/>
                <w:bCs/>
                <w:sz w:val="20"/>
                <w:szCs w:val="20"/>
                <w:rtl/>
              </w:rPr>
            </w:pPr>
            <w:r w:rsidRPr="00D11EFA">
              <w:rPr>
                <w:rFonts w:asciiTheme="majorBidi" w:hAnsiTheme="majorBidi" w:cstheme="majorBidi"/>
                <w:b/>
                <w:bCs/>
                <w:sz w:val="20"/>
                <w:szCs w:val="20"/>
              </w:rPr>
              <w:t>Number of participants</w:t>
            </w:r>
          </w:p>
        </w:tc>
        <w:tc>
          <w:tcPr>
            <w:tcW w:w="1061" w:type="dxa"/>
            <w:tcBorders>
              <w:top w:val="nil"/>
              <w:left w:val="nil"/>
              <w:bottom w:val="single" w:sz="8" w:space="0" w:color="auto"/>
              <w:right w:val="single" w:sz="8" w:space="0" w:color="auto"/>
            </w:tcBorders>
            <w:shd w:val="clear" w:color="auto" w:fill="D9D9D9" w:themeFill="background1" w:themeFillShade="D9"/>
            <w:noWrap/>
            <w:tcMar>
              <w:top w:w="0" w:type="dxa"/>
              <w:left w:w="108" w:type="dxa"/>
              <w:bottom w:w="0" w:type="dxa"/>
              <w:right w:w="108" w:type="dxa"/>
            </w:tcMar>
            <w:vAlign w:val="center"/>
            <w:hideMark/>
          </w:tcPr>
          <w:p w14:paraId="0FE44DA4" w14:textId="77777777" w:rsidR="00F37FC8" w:rsidRPr="00D11EFA" w:rsidRDefault="00F37FC8" w:rsidP="006966DC">
            <w:pPr>
              <w:bidi w:val="0"/>
              <w:spacing w:after="0" w:line="240" w:lineRule="auto"/>
              <w:jc w:val="center"/>
              <w:rPr>
                <w:rFonts w:asciiTheme="majorBidi" w:hAnsiTheme="majorBidi" w:cstheme="majorBidi"/>
                <w:b/>
                <w:bCs/>
                <w:sz w:val="20"/>
                <w:szCs w:val="20"/>
                <w:rtl/>
              </w:rPr>
            </w:pPr>
            <w:r w:rsidRPr="00D11EFA">
              <w:rPr>
                <w:rFonts w:asciiTheme="majorBidi" w:hAnsiTheme="majorBidi" w:cstheme="majorBidi"/>
                <w:b/>
                <w:bCs/>
                <w:sz w:val="20"/>
                <w:szCs w:val="20"/>
              </w:rPr>
              <w:t>Budget</w:t>
            </w:r>
          </w:p>
        </w:tc>
        <w:tc>
          <w:tcPr>
            <w:tcW w:w="1207" w:type="dxa"/>
            <w:tcBorders>
              <w:top w:val="nil"/>
              <w:left w:val="nil"/>
              <w:bottom w:val="single" w:sz="8" w:space="0" w:color="auto"/>
              <w:right w:val="single" w:sz="8" w:space="0" w:color="auto"/>
            </w:tcBorders>
            <w:shd w:val="clear" w:color="auto" w:fill="D9D9D9" w:themeFill="background1" w:themeFillShade="D9"/>
            <w:vAlign w:val="center"/>
            <w:hideMark/>
          </w:tcPr>
          <w:p w14:paraId="44833497" w14:textId="77777777" w:rsidR="00F37FC8" w:rsidRPr="00D11EFA" w:rsidRDefault="00F37FC8" w:rsidP="006966DC">
            <w:pPr>
              <w:bidi w:val="0"/>
              <w:spacing w:after="0" w:line="240" w:lineRule="auto"/>
              <w:jc w:val="center"/>
              <w:rPr>
                <w:rFonts w:asciiTheme="majorBidi" w:hAnsiTheme="majorBidi" w:cstheme="majorBidi"/>
                <w:b/>
                <w:bCs/>
                <w:sz w:val="20"/>
                <w:szCs w:val="20"/>
                <w:rtl/>
              </w:rPr>
            </w:pPr>
            <w:r w:rsidRPr="00D11EFA">
              <w:rPr>
                <w:rFonts w:asciiTheme="majorBidi" w:hAnsiTheme="majorBidi" w:cstheme="majorBidi"/>
                <w:b/>
                <w:bCs/>
                <w:sz w:val="20"/>
                <w:szCs w:val="20"/>
              </w:rPr>
              <w:t>Number of participants</w:t>
            </w:r>
          </w:p>
        </w:tc>
        <w:tc>
          <w:tcPr>
            <w:tcW w:w="1167" w:type="dxa"/>
            <w:tcBorders>
              <w:top w:val="nil"/>
              <w:left w:val="nil"/>
              <w:bottom w:val="single" w:sz="8" w:space="0" w:color="auto"/>
              <w:right w:val="single" w:sz="8" w:space="0" w:color="auto"/>
            </w:tcBorders>
            <w:shd w:val="clear" w:color="auto" w:fill="D9D9D9" w:themeFill="background1" w:themeFillShade="D9"/>
            <w:vAlign w:val="center"/>
            <w:hideMark/>
          </w:tcPr>
          <w:p w14:paraId="78855E8B" w14:textId="77777777" w:rsidR="00F37FC8" w:rsidRPr="00D11EFA" w:rsidRDefault="00F37FC8" w:rsidP="006966DC">
            <w:pPr>
              <w:bidi w:val="0"/>
              <w:spacing w:after="0" w:line="240" w:lineRule="auto"/>
              <w:jc w:val="center"/>
              <w:rPr>
                <w:rFonts w:asciiTheme="majorBidi" w:hAnsiTheme="majorBidi" w:cstheme="majorBidi"/>
                <w:b/>
                <w:bCs/>
                <w:sz w:val="20"/>
                <w:szCs w:val="20"/>
                <w:rtl/>
              </w:rPr>
            </w:pPr>
            <w:r w:rsidRPr="00D11EFA">
              <w:rPr>
                <w:rFonts w:asciiTheme="majorBidi" w:hAnsiTheme="majorBidi" w:cstheme="majorBidi"/>
                <w:b/>
                <w:bCs/>
                <w:sz w:val="20"/>
                <w:szCs w:val="20"/>
              </w:rPr>
              <w:t>Budget</w:t>
            </w:r>
          </w:p>
        </w:tc>
      </w:tr>
      <w:tr w:rsidR="00D11EFA" w:rsidRPr="00E2291A" w14:paraId="7D87FD49" w14:textId="77777777" w:rsidTr="00D11EFA">
        <w:trPr>
          <w:trHeight w:val="823"/>
        </w:trPr>
        <w:tc>
          <w:tcPr>
            <w:tcW w:w="225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B67CDA" w14:textId="77777777" w:rsidR="00F37FC8" w:rsidRPr="00E2291A" w:rsidRDefault="00F37FC8" w:rsidP="006966DC">
            <w:pPr>
              <w:bidi w:val="0"/>
              <w:spacing w:after="0" w:line="240" w:lineRule="auto"/>
              <w:rPr>
                <w:rFonts w:asciiTheme="majorBidi" w:hAnsiTheme="majorBidi" w:cstheme="majorBidi"/>
                <w:sz w:val="20"/>
                <w:szCs w:val="20"/>
                <w:rtl/>
              </w:rPr>
            </w:pPr>
            <w:r w:rsidRPr="00E2291A">
              <w:rPr>
                <w:rFonts w:asciiTheme="majorBidi" w:hAnsiTheme="majorBidi" w:cstheme="majorBidi"/>
                <w:sz w:val="20"/>
                <w:szCs w:val="20"/>
              </w:rPr>
              <w:t>One</w:t>
            </w:r>
            <w:r w:rsidRPr="00E2291A">
              <w:rPr>
                <w:rFonts w:asciiTheme="majorBidi" w:hAnsiTheme="majorBidi" w:cstheme="majorBidi"/>
                <w:sz w:val="20"/>
                <w:szCs w:val="20"/>
                <w:rtl/>
              </w:rPr>
              <w:t>-</w:t>
            </w:r>
            <w:r w:rsidRPr="00E2291A">
              <w:rPr>
                <w:rFonts w:asciiTheme="majorBidi" w:hAnsiTheme="majorBidi" w:cstheme="majorBidi"/>
                <w:sz w:val="20"/>
                <w:szCs w:val="20"/>
              </w:rPr>
              <w:t>stop center for PWD</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E084AC"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429</w:t>
            </w:r>
          </w:p>
        </w:tc>
        <w:tc>
          <w:tcPr>
            <w:tcW w:w="109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04E8D49"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tl/>
              </w:rPr>
              <w:t>7,000</w:t>
            </w:r>
            <w:r w:rsidRPr="00E2291A">
              <w:rPr>
                <w:rFonts w:asciiTheme="majorBidi" w:hAnsiTheme="majorBidi" w:cstheme="majorBidi"/>
                <w:sz w:val="20"/>
                <w:szCs w:val="20"/>
              </w:rPr>
              <w:t>,000</w:t>
            </w:r>
          </w:p>
        </w:tc>
        <w:tc>
          <w:tcPr>
            <w:tcW w:w="13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08ED1FB"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Pr>
              <w:t>890</w:t>
            </w:r>
          </w:p>
        </w:tc>
        <w:tc>
          <w:tcPr>
            <w:tcW w:w="106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621A6752"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9,000,000</w:t>
            </w:r>
          </w:p>
          <w:p w14:paraId="29FA948D"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Including employers</w:t>
            </w:r>
          </w:p>
        </w:tc>
        <w:tc>
          <w:tcPr>
            <w:tcW w:w="1207" w:type="dxa"/>
            <w:tcBorders>
              <w:top w:val="nil"/>
              <w:left w:val="nil"/>
              <w:bottom w:val="single" w:sz="8" w:space="0" w:color="auto"/>
              <w:right w:val="single" w:sz="8" w:space="0" w:color="auto"/>
            </w:tcBorders>
            <w:shd w:val="clear" w:color="auto" w:fill="auto"/>
            <w:vAlign w:val="center"/>
          </w:tcPr>
          <w:p w14:paraId="0D219DF2"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tl/>
              </w:rPr>
              <w:t>839</w:t>
            </w:r>
          </w:p>
        </w:tc>
        <w:tc>
          <w:tcPr>
            <w:tcW w:w="1167" w:type="dxa"/>
            <w:tcBorders>
              <w:top w:val="nil"/>
              <w:left w:val="nil"/>
              <w:bottom w:val="single" w:sz="8" w:space="0" w:color="auto"/>
              <w:right w:val="single" w:sz="8" w:space="0" w:color="auto"/>
            </w:tcBorders>
            <w:shd w:val="clear" w:color="auto" w:fill="auto"/>
            <w:vAlign w:val="center"/>
            <w:hideMark/>
          </w:tcPr>
          <w:p w14:paraId="5DB513A5"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tl/>
              </w:rPr>
              <w:t>13,000</w:t>
            </w:r>
            <w:r w:rsidRPr="00E2291A">
              <w:rPr>
                <w:rFonts w:asciiTheme="majorBidi" w:hAnsiTheme="majorBidi" w:cstheme="majorBidi"/>
                <w:sz w:val="20"/>
                <w:szCs w:val="20"/>
              </w:rPr>
              <w:t>,000</w:t>
            </w:r>
          </w:p>
          <w:p w14:paraId="06BF8CC4"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Pr>
              <w:t>Including employers</w:t>
            </w:r>
          </w:p>
        </w:tc>
      </w:tr>
      <w:tr w:rsidR="00D11EFA" w:rsidRPr="00E2291A" w14:paraId="28435A75" w14:textId="77777777" w:rsidTr="00D11EFA">
        <w:trPr>
          <w:trHeight w:val="714"/>
        </w:trPr>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0CE1AA" w14:textId="77777777" w:rsidR="00F37FC8" w:rsidRPr="00E2291A" w:rsidRDefault="00F37FC8" w:rsidP="006966DC">
            <w:pPr>
              <w:bidi w:val="0"/>
              <w:spacing w:after="0" w:line="240" w:lineRule="auto"/>
              <w:rPr>
                <w:rFonts w:asciiTheme="majorBidi" w:hAnsiTheme="majorBidi" w:cstheme="majorBidi"/>
                <w:sz w:val="20"/>
                <w:szCs w:val="20"/>
                <w:rtl/>
              </w:rPr>
            </w:pPr>
            <w:r w:rsidRPr="00E2291A">
              <w:rPr>
                <w:rFonts w:asciiTheme="majorBidi" w:hAnsiTheme="majorBidi" w:cstheme="majorBidi"/>
                <w:sz w:val="20"/>
                <w:szCs w:val="20"/>
              </w:rPr>
              <w:t>Adjusted minimum wage for employees with disabilities with reduced employment capacity</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3A123F"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826</w:t>
            </w:r>
          </w:p>
        </w:tc>
        <w:tc>
          <w:tcPr>
            <w:tcW w:w="10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DACC68"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1,950,000</w:t>
            </w:r>
          </w:p>
        </w:tc>
        <w:tc>
          <w:tcPr>
            <w:tcW w:w="13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44E0A399"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Pr>
              <w:t>962</w:t>
            </w:r>
          </w:p>
        </w:tc>
        <w:tc>
          <w:tcPr>
            <w:tcW w:w="106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78F0FB0C"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2,020,000</w:t>
            </w:r>
          </w:p>
        </w:tc>
        <w:tc>
          <w:tcPr>
            <w:tcW w:w="1207" w:type="dxa"/>
            <w:tcBorders>
              <w:top w:val="nil"/>
              <w:left w:val="nil"/>
              <w:bottom w:val="single" w:sz="8" w:space="0" w:color="auto"/>
              <w:right w:val="single" w:sz="8" w:space="0" w:color="auto"/>
            </w:tcBorders>
            <w:shd w:val="clear" w:color="auto" w:fill="auto"/>
            <w:vAlign w:val="center"/>
          </w:tcPr>
          <w:p w14:paraId="4FDBECBA"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tl/>
              </w:rPr>
              <w:t>600</w:t>
            </w:r>
          </w:p>
        </w:tc>
        <w:tc>
          <w:tcPr>
            <w:tcW w:w="1167" w:type="dxa"/>
            <w:tcBorders>
              <w:top w:val="nil"/>
              <w:left w:val="nil"/>
              <w:bottom w:val="single" w:sz="8" w:space="0" w:color="auto"/>
              <w:right w:val="single" w:sz="8" w:space="0" w:color="auto"/>
            </w:tcBorders>
            <w:shd w:val="clear" w:color="auto" w:fill="auto"/>
            <w:vAlign w:val="center"/>
          </w:tcPr>
          <w:p w14:paraId="43156EAA"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tl/>
              </w:rPr>
              <w:t>1,260</w:t>
            </w:r>
            <w:r w:rsidRPr="00E2291A">
              <w:rPr>
                <w:rFonts w:asciiTheme="majorBidi" w:hAnsiTheme="majorBidi" w:cstheme="majorBidi"/>
                <w:sz w:val="20"/>
                <w:szCs w:val="20"/>
              </w:rPr>
              <w:t>,000</w:t>
            </w:r>
          </w:p>
        </w:tc>
      </w:tr>
      <w:tr w:rsidR="00D11EFA" w:rsidRPr="00E2291A" w14:paraId="173945BC" w14:textId="77777777" w:rsidTr="00D11EFA">
        <w:trPr>
          <w:trHeight w:val="473"/>
        </w:trPr>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F20728" w14:textId="77777777" w:rsidR="00F37FC8" w:rsidRPr="00E2291A" w:rsidRDefault="00F37FC8" w:rsidP="006966DC">
            <w:pPr>
              <w:bidi w:val="0"/>
              <w:spacing w:after="0" w:line="240" w:lineRule="auto"/>
              <w:rPr>
                <w:rFonts w:asciiTheme="majorBidi" w:hAnsiTheme="majorBidi" w:cstheme="majorBidi"/>
                <w:sz w:val="20"/>
                <w:szCs w:val="20"/>
                <w:rtl/>
              </w:rPr>
            </w:pPr>
            <w:r w:rsidRPr="00E2291A">
              <w:rPr>
                <w:rFonts w:asciiTheme="majorBidi" w:hAnsiTheme="majorBidi" w:cstheme="majorBidi"/>
                <w:sz w:val="20"/>
                <w:szCs w:val="20"/>
              </w:rPr>
              <w:t>Participation in adaptation of the workplace for employees with disabilities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095C66"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Pr>
              <w:t>189</w:t>
            </w:r>
          </w:p>
        </w:tc>
        <w:tc>
          <w:tcPr>
            <w:tcW w:w="10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2AB135"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3,000,000</w:t>
            </w:r>
          </w:p>
        </w:tc>
        <w:tc>
          <w:tcPr>
            <w:tcW w:w="13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3CDD3DB5"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Pr>
              <w:t>187</w:t>
            </w:r>
          </w:p>
        </w:tc>
        <w:tc>
          <w:tcPr>
            <w:tcW w:w="106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E95218C"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3,000,000</w:t>
            </w:r>
          </w:p>
        </w:tc>
        <w:tc>
          <w:tcPr>
            <w:tcW w:w="1207" w:type="dxa"/>
            <w:tcBorders>
              <w:top w:val="nil"/>
              <w:left w:val="nil"/>
              <w:bottom w:val="single" w:sz="8" w:space="0" w:color="auto"/>
              <w:right w:val="single" w:sz="8" w:space="0" w:color="auto"/>
            </w:tcBorders>
            <w:shd w:val="clear" w:color="auto" w:fill="auto"/>
            <w:vAlign w:val="center"/>
          </w:tcPr>
          <w:p w14:paraId="0A34B4B4"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tl/>
              </w:rPr>
              <w:t>62</w:t>
            </w:r>
          </w:p>
        </w:tc>
        <w:tc>
          <w:tcPr>
            <w:tcW w:w="1167" w:type="dxa"/>
            <w:tcBorders>
              <w:top w:val="nil"/>
              <w:left w:val="nil"/>
              <w:bottom w:val="single" w:sz="8" w:space="0" w:color="auto"/>
              <w:right w:val="single" w:sz="8" w:space="0" w:color="auto"/>
            </w:tcBorders>
            <w:shd w:val="clear" w:color="auto" w:fill="auto"/>
            <w:vAlign w:val="center"/>
          </w:tcPr>
          <w:p w14:paraId="230523C0"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tl/>
              </w:rPr>
              <w:t>2,400</w:t>
            </w:r>
            <w:r w:rsidRPr="00E2291A">
              <w:rPr>
                <w:rFonts w:asciiTheme="majorBidi" w:hAnsiTheme="majorBidi" w:cstheme="majorBidi"/>
                <w:sz w:val="20"/>
                <w:szCs w:val="20"/>
              </w:rPr>
              <w:t>,000</w:t>
            </w:r>
          </w:p>
        </w:tc>
      </w:tr>
      <w:tr w:rsidR="00D11EFA" w:rsidRPr="00E2291A" w14:paraId="6402A8E0" w14:textId="77777777" w:rsidTr="00D11EFA">
        <w:trPr>
          <w:trHeight w:val="670"/>
        </w:trPr>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34EDA1" w14:textId="77777777" w:rsidR="00F37FC8" w:rsidRPr="00E2291A" w:rsidRDefault="00F37FC8" w:rsidP="006966DC">
            <w:pPr>
              <w:bidi w:val="0"/>
              <w:spacing w:after="0" w:line="240" w:lineRule="auto"/>
              <w:rPr>
                <w:rFonts w:asciiTheme="majorBidi" w:hAnsiTheme="majorBidi" w:cstheme="majorBidi"/>
                <w:sz w:val="20"/>
                <w:szCs w:val="20"/>
                <w:rtl/>
              </w:rPr>
            </w:pPr>
            <w:r w:rsidRPr="00E2291A">
              <w:rPr>
                <w:rFonts w:asciiTheme="majorBidi" w:hAnsiTheme="majorBidi" w:cstheme="majorBidi"/>
                <w:sz w:val="20"/>
                <w:szCs w:val="20"/>
              </w:rPr>
              <w:t>Advisory and support centers for employers of PWD</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8CF309"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2,294</w:t>
            </w:r>
          </w:p>
        </w:tc>
        <w:tc>
          <w:tcPr>
            <w:tcW w:w="10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5466EE"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Pr>
              <w:t>4,000,000</w:t>
            </w:r>
          </w:p>
        </w:tc>
        <w:tc>
          <w:tcPr>
            <w:tcW w:w="1313"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1AFD76F4" w14:textId="77777777" w:rsidR="00F37FC8" w:rsidRPr="00E2291A" w:rsidRDefault="00F37FC8" w:rsidP="00D11EFA">
            <w:pPr>
              <w:bidi w:val="0"/>
              <w:spacing w:after="0" w:line="240" w:lineRule="auto"/>
              <w:jc w:val="center"/>
              <w:rPr>
                <w:rFonts w:asciiTheme="majorBidi" w:hAnsiTheme="majorBidi" w:cstheme="majorBidi"/>
                <w:sz w:val="20"/>
                <w:szCs w:val="20"/>
              </w:rPr>
            </w:pPr>
            <w:r w:rsidRPr="00E2291A">
              <w:rPr>
                <w:rFonts w:asciiTheme="majorBidi" w:hAnsiTheme="majorBidi" w:cstheme="majorBidi"/>
                <w:sz w:val="20"/>
                <w:szCs w:val="20"/>
              </w:rPr>
              <w:t>1</w:t>
            </w:r>
            <w:r>
              <w:rPr>
                <w:rFonts w:asciiTheme="majorBidi" w:hAnsiTheme="majorBidi" w:cstheme="majorBidi"/>
                <w:sz w:val="20"/>
                <w:szCs w:val="20"/>
              </w:rPr>
              <w:t>,</w:t>
            </w:r>
            <w:r w:rsidRPr="00E2291A">
              <w:rPr>
                <w:rFonts w:asciiTheme="majorBidi" w:hAnsiTheme="majorBidi" w:cstheme="majorBidi"/>
                <w:sz w:val="20"/>
                <w:szCs w:val="20"/>
              </w:rPr>
              <w:t>477</w:t>
            </w:r>
          </w:p>
        </w:tc>
        <w:tc>
          <w:tcPr>
            <w:tcW w:w="106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8C934DA" w14:textId="77777777" w:rsidR="00F37FC8" w:rsidRPr="00E2291A" w:rsidRDefault="00F37FC8" w:rsidP="00D11EFA">
            <w:pPr>
              <w:bidi w:val="0"/>
              <w:spacing w:after="0" w:line="240" w:lineRule="auto"/>
              <w:jc w:val="center"/>
              <w:rPr>
                <w:rFonts w:asciiTheme="majorBidi" w:hAnsiTheme="majorBidi" w:cstheme="majorBidi"/>
                <w:sz w:val="20"/>
                <w:szCs w:val="20"/>
                <w:rtl/>
              </w:rPr>
            </w:pPr>
          </w:p>
        </w:tc>
        <w:tc>
          <w:tcPr>
            <w:tcW w:w="1207" w:type="dxa"/>
            <w:tcBorders>
              <w:top w:val="nil"/>
              <w:left w:val="nil"/>
              <w:bottom w:val="single" w:sz="8" w:space="0" w:color="auto"/>
              <w:right w:val="single" w:sz="8" w:space="0" w:color="auto"/>
            </w:tcBorders>
            <w:shd w:val="clear" w:color="auto" w:fill="auto"/>
            <w:vAlign w:val="center"/>
          </w:tcPr>
          <w:p w14:paraId="29FD4A3E" w14:textId="77777777" w:rsidR="00F37FC8" w:rsidRPr="00E2291A" w:rsidRDefault="00F37FC8" w:rsidP="00D11EFA">
            <w:pPr>
              <w:bidi w:val="0"/>
              <w:spacing w:after="0" w:line="240" w:lineRule="auto"/>
              <w:jc w:val="center"/>
              <w:rPr>
                <w:rFonts w:asciiTheme="majorBidi" w:hAnsiTheme="majorBidi" w:cstheme="majorBidi"/>
                <w:sz w:val="20"/>
                <w:szCs w:val="20"/>
                <w:rtl/>
              </w:rPr>
            </w:pPr>
            <w:r w:rsidRPr="00E2291A">
              <w:rPr>
                <w:rFonts w:asciiTheme="majorBidi" w:hAnsiTheme="majorBidi" w:cstheme="majorBidi"/>
                <w:sz w:val="20"/>
                <w:szCs w:val="20"/>
                <w:rtl/>
              </w:rPr>
              <w:t>692</w:t>
            </w:r>
          </w:p>
        </w:tc>
        <w:tc>
          <w:tcPr>
            <w:tcW w:w="1167" w:type="dxa"/>
            <w:tcBorders>
              <w:top w:val="nil"/>
              <w:left w:val="nil"/>
              <w:bottom w:val="single" w:sz="8" w:space="0" w:color="auto"/>
              <w:right w:val="single" w:sz="8" w:space="0" w:color="auto"/>
            </w:tcBorders>
            <w:shd w:val="clear" w:color="auto" w:fill="auto"/>
            <w:vAlign w:val="center"/>
            <w:hideMark/>
          </w:tcPr>
          <w:p w14:paraId="7515E517" w14:textId="77777777" w:rsidR="00F37FC8" w:rsidRPr="00E2291A" w:rsidRDefault="00F37FC8" w:rsidP="00D11EFA">
            <w:pPr>
              <w:bidi w:val="0"/>
              <w:spacing w:after="0" w:line="240" w:lineRule="auto"/>
              <w:jc w:val="center"/>
              <w:rPr>
                <w:rFonts w:asciiTheme="majorBidi" w:hAnsiTheme="majorBidi" w:cstheme="majorBidi"/>
                <w:sz w:val="20"/>
                <w:szCs w:val="20"/>
                <w:rtl/>
              </w:rPr>
            </w:pPr>
          </w:p>
        </w:tc>
      </w:tr>
    </w:tbl>
    <w:p w14:paraId="55158D96" w14:textId="77777777" w:rsidR="00D11EFA" w:rsidRDefault="00D11EFA" w:rsidP="00C000F6">
      <w:pPr>
        <w:pStyle w:val="SingleTxtG"/>
        <w:numPr>
          <w:ilvl w:val="0"/>
          <w:numId w:val="41"/>
        </w:numPr>
        <w:spacing w:line="240" w:lineRule="auto"/>
        <w:ind w:left="0" w:firstLine="0"/>
        <w:rPr>
          <w:rFonts w:asciiTheme="majorBidi" w:hAnsiTheme="majorBidi" w:cstheme="majorBidi"/>
          <w:i/>
          <w:iCs/>
        </w:rPr>
      </w:pPr>
      <w:r w:rsidRPr="00D77095">
        <w:rPr>
          <w:rFonts w:asciiTheme="majorBidi" w:hAnsiTheme="majorBidi" w:cstheme="majorBidi"/>
          <w:i/>
          <w:iCs/>
        </w:rPr>
        <w:t>Source: The M</w:t>
      </w:r>
      <w:r>
        <w:rPr>
          <w:rFonts w:asciiTheme="majorBidi" w:hAnsiTheme="majorBidi" w:cstheme="majorBidi"/>
          <w:i/>
          <w:iCs/>
        </w:rPr>
        <w:t>O</w:t>
      </w:r>
      <w:r w:rsidRPr="00D77095">
        <w:rPr>
          <w:rFonts w:asciiTheme="majorBidi" w:hAnsiTheme="majorBidi" w:cstheme="majorBidi"/>
          <w:i/>
          <w:iCs/>
        </w:rPr>
        <w:t>E</w:t>
      </w:r>
      <w:r>
        <w:rPr>
          <w:rFonts w:asciiTheme="majorBidi" w:hAnsiTheme="majorBidi" w:cstheme="majorBidi"/>
          <w:i/>
          <w:iCs/>
        </w:rPr>
        <w:t>I</w:t>
      </w:r>
      <w:r w:rsidRPr="00D77095">
        <w:rPr>
          <w:rFonts w:asciiTheme="majorBidi" w:hAnsiTheme="majorBidi" w:cstheme="majorBidi"/>
          <w:i/>
          <w:iCs/>
        </w:rPr>
        <w:t xml:space="preserve"> (</w:t>
      </w:r>
      <w:r>
        <w:rPr>
          <w:rFonts w:asciiTheme="majorBidi" w:hAnsiTheme="majorBidi" w:cstheme="majorBidi"/>
          <w:i/>
          <w:iCs/>
        </w:rPr>
        <w:t>July 2021)</w:t>
      </w:r>
    </w:p>
    <w:p w14:paraId="36E5A921" w14:textId="77777777" w:rsidR="00F91780" w:rsidRPr="005C149A" w:rsidRDefault="00F91780" w:rsidP="00C000F6">
      <w:pPr>
        <w:pStyle w:val="ListParagraph"/>
        <w:numPr>
          <w:ilvl w:val="0"/>
          <w:numId w:val="22"/>
        </w:numPr>
        <w:spacing w:line="360" w:lineRule="auto"/>
        <w:ind w:left="567" w:hanging="567"/>
        <w:jc w:val="both"/>
        <w:rPr>
          <w:rFonts w:asciiTheme="majorBidi" w:hAnsiTheme="majorBidi" w:cstheme="majorBidi"/>
          <w:sz w:val="24"/>
          <w:szCs w:val="24"/>
          <w:u w:val="single"/>
        </w:rPr>
      </w:pPr>
      <w:r w:rsidRPr="005C149A">
        <w:rPr>
          <w:rFonts w:asciiTheme="majorBidi" w:hAnsiTheme="majorBidi" w:cstheme="majorBidi"/>
          <w:sz w:val="24"/>
          <w:szCs w:val="24"/>
        </w:rPr>
        <w:t>In 2020, the Equal Employment program budget stood at 16,660,000 NIS (5,226,653</w:t>
      </w:r>
      <w:r w:rsidR="00D11EFA" w:rsidRPr="005C149A">
        <w:rPr>
          <w:rFonts w:asciiTheme="majorBidi" w:hAnsiTheme="majorBidi" w:cstheme="majorBidi"/>
          <w:sz w:val="24"/>
          <w:szCs w:val="24"/>
        </w:rPr>
        <w:t xml:space="preserve"> </w:t>
      </w:r>
      <w:r w:rsidRPr="005C149A">
        <w:rPr>
          <w:rFonts w:asciiTheme="majorBidi" w:hAnsiTheme="majorBidi" w:cstheme="majorBidi"/>
          <w:sz w:val="24"/>
          <w:szCs w:val="24"/>
        </w:rPr>
        <w:t>USD), and services were offered to 2,139 persons. In 2019, the program budget stood at 11,320,000 NIS (3,551,363</w:t>
      </w:r>
      <w:r w:rsidR="00D11EFA" w:rsidRPr="005C149A">
        <w:rPr>
          <w:rFonts w:asciiTheme="majorBidi" w:hAnsiTheme="majorBidi" w:cstheme="majorBidi"/>
          <w:sz w:val="24"/>
          <w:szCs w:val="24"/>
        </w:rPr>
        <w:t xml:space="preserve"> </w:t>
      </w:r>
      <w:r w:rsidRPr="005C149A">
        <w:rPr>
          <w:rFonts w:asciiTheme="majorBidi" w:hAnsiTheme="majorBidi" w:cstheme="majorBidi"/>
          <w:sz w:val="24"/>
          <w:szCs w:val="24"/>
        </w:rPr>
        <w:t>USD), and services were offered to 3,516 persons. In 2018, the program budget stood at 15,950,000 NIS (5,003,908</w:t>
      </w:r>
      <w:r w:rsidR="00D11EFA" w:rsidRPr="005C149A">
        <w:rPr>
          <w:rFonts w:asciiTheme="majorBidi" w:hAnsiTheme="majorBidi" w:cstheme="majorBidi"/>
          <w:sz w:val="24"/>
          <w:szCs w:val="24"/>
        </w:rPr>
        <w:t xml:space="preserve"> </w:t>
      </w:r>
      <w:r w:rsidRPr="005C149A">
        <w:rPr>
          <w:rFonts w:asciiTheme="majorBidi" w:hAnsiTheme="majorBidi" w:cstheme="majorBidi"/>
          <w:sz w:val="24"/>
          <w:szCs w:val="24"/>
        </w:rPr>
        <w:t>USD), and services were offered to 3,738 persons.</w:t>
      </w:r>
    </w:p>
    <w:p w14:paraId="23963793"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Entrepreneurs with Disabilities </w:t>
      </w:r>
    </w:p>
    <w:p w14:paraId="54DEBB0C"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The following programs support entrepreneurs with disabilities:</w:t>
      </w:r>
    </w:p>
    <w:p w14:paraId="7FBAA17C" w14:textId="77777777" w:rsidR="00F37FC8" w:rsidRPr="005C149A" w:rsidRDefault="00F37FC8" w:rsidP="00C000F6">
      <w:pPr>
        <w:pStyle w:val="ListParagraph"/>
        <w:numPr>
          <w:ilvl w:val="0"/>
          <w:numId w:val="10"/>
        </w:numPr>
        <w:spacing w:after="120" w:line="360" w:lineRule="auto"/>
        <w:ind w:left="851" w:hanging="284"/>
        <w:contextualSpacing/>
        <w:jc w:val="both"/>
        <w:rPr>
          <w:rFonts w:asciiTheme="majorBidi" w:eastAsia="Times New Roman" w:hAnsiTheme="majorBidi" w:cstheme="majorBidi"/>
          <w:sz w:val="24"/>
          <w:szCs w:val="24"/>
        </w:rPr>
      </w:pPr>
      <w:r w:rsidRPr="005C149A">
        <w:rPr>
          <w:rFonts w:asciiTheme="majorBidi" w:eastAsia="Times New Roman" w:hAnsiTheme="majorBidi" w:cstheme="majorBidi"/>
          <w:sz w:val="24"/>
          <w:szCs w:val="24"/>
        </w:rPr>
        <w:t xml:space="preserve"> The program 'WinWork' is a training project for entrepreneurs with and without disabilities, established by PWD, which is financially aided by the Government. The 'WinWork' community includes senior Israeli industry executives, as well as new entrepreneurs, all of whom share their knowledge and experience, working to make the Israeli industry more accessible for PWD. </w:t>
      </w:r>
    </w:p>
    <w:p w14:paraId="35D201FE" w14:textId="77777777" w:rsidR="00F37FC8" w:rsidRPr="005C149A" w:rsidRDefault="00F37FC8" w:rsidP="00C000F6">
      <w:pPr>
        <w:pStyle w:val="ListParagraph"/>
        <w:numPr>
          <w:ilvl w:val="0"/>
          <w:numId w:val="10"/>
        </w:numPr>
        <w:spacing w:after="120" w:line="360" w:lineRule="auto"/>
        <w:ind w:left="851" w:hanging="284"/>
        <w:contextualSpacing/>
        <w:jc w:val="both"/>
        <w:rPr>
          <w:rFonts w:asciiTheme="majorBidi" w:hAnsiTheme="majorBidi" w:cstheme="majorBidi"/>
          <w:sz w:val="24"/>
          <w:szCs w:val="24"/>
          <w:shd w:val="clear" w:color="auto" w:fill="FFFFFF"/>
        </w:rPr>
      </w:pPr>
      <w:r w:rsidRPr="005C149A">
        <w:rPr>
          <w:rFonts w:asciiTheme="majorBidi" w:hAnsiTheme="majorBidi" w:cstheme="majorBidi"/>
          <w:sz w:val="24"/>
          <w:szCs w:val="24"/>
          <w:shd w:val="clear" w:color="auto" w:fill="FFFFFF"/>
        </w:rPr>
        <w:t>As part of the vocational rehabilitation programs offered to service recipients in the mental health rehabilitation system, there is a program to accompany service recipients who are entrepreneurs or are interested in becoming entrepreneurs. As part of the program, they receive guidance and instruction in the field of setting up and running a business, as well as assistance in exercising rights regarding establishing and maintaining a business in the State of Israel.</w:t>
      </w:r>
    </w:p>
    <w:p w14:paraId="54A32F22" w14:textId="77777777" w:rsidR="00F37FC8" w:rsidRPr="005C149A" w:rsidRDefault="00F37FC8" w:rsidP="000C2AE5">
      <w:pPr>
        <w:bidi w:val="0"/>
        <w:spacing w:after="0" w:line="360" w:lineRule="auto"/>
        <w:ind w:left="131" w:firstLine="720"/>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This includes: </w:t>
      </w:r>
    </w:p>
    <w:p w14:paraId="13541E98" w14:textId="77777777" w:rsidR="00F37FC8" w:rsidRPr="005C149A" w:rsidRDefault="00F37FC8" w:rsidP="000C2AE5">
      <w:pPr>
        <w:pStyle w:val="ListParagraph"/>
        <w:numPr>
          <w:ilvl w:val="4"/>
          <w:numId w:val="44"/>
        </w:numPr>
        <w:spacing w:after="120" w:line="360" w:lineRule="auto"/>
        <w:ind w:left="1276" w:hanging="283"/>
        <w:contextualSpacing/>
        <w:jc w:val="both"/>
        <w:rPr>
          <w:rFonts w:asciiTheme="majorBidi" w:hAnsiTheme="majorBidi" w:cstheme="majorBidi"/>
          <w:sz w:val="24"/>
          <w:szCs w:val="24"/>
        </w:rPr>
      </w:pPr>
      <w:r w:rsidRPr="005C149A">
        <w:rPr>
          <w:rFonts w:asciiTheme="majorBidi" w:hAnsiTheme="majorBidi" w:cstheme="majorBidi"/>
          <w:sz w:val="24"/>
          <w:szCs w:val="24"/>
          <w:u w:val="single"/>
        </w:rPr>
        <w:t>The Small and Medium Sized Businesses Agency</w:t>
      </w:r>
      <w:r w:rsidRPr="005C149A">
        <w:rPr>
          <w:rFonts w:asciiTheme="majorBidi" w:hAnsiTheme="majorBidi" w:cstheme="majorBidi"/>
          <w:sz w:val="24"/>
          <w:szCs w:val="24"/>
        </w:rPr>
        <w:t xml:space="preserve"> - entrepreneurs and business owners with disabilities are encouraged to participate in these programs, and a discount of 50% is offered as part of the track for encouraging business entrepreneurs, as well as financial aid. As part of this program, business owners and entrepreneurs are given a service package at reduced cost that includes: a dedicated entrepreneurship course, individual advice and assistance in formulating a business plan. </w:t>
      </w:r>
    </w:p>
    <w:p w14:paraId="1D266EA2" w14:textId="77777777" w:rsidR="00C438F1" w:rsidRPr="005C149A" w:rsidRDefault="00F37FC8" w:rsidP="000C2AE5">
      <w:pPr>
        <w:pStyle w:val="ListParagraph"/>
        <w:numPr>
          <w:ilvl w:val="4"/>
          <w:numId w:val="44"/>
        </w:numPr>
        <w:spacing w:after="120" w:line="360" w:lineRule="auto"/>
        <w:ind w:left="1276" w:hanging="283"/>
        <w:contextualSpacing/>
        <w:jc w:val="both"/>
        <w:rPr>
          <w:rFonts w:asciiTheme="majorBidi" w:hAnsiTheme="majorBidi" w:cstheme="majorBidi"/>
          <w:sz w:val="24"/>
          <w:szCs w:val="24"/>
        </w:rPr>
      </w:pPr>
      <w:r w:rsidRPr="005C149A">
        <w:rPr>
          <w:rFonts w:asciiTheme="majorBidi" w:hAnsiTheme="majorBidi" w:cstheme="majorBidi"/>
          <w:sz w:val="24"/>
          <w:szCs w:val="24"/>
          <w:u w:val="single"/>
        </w:rPr>
        <w:t>The Smart Money and S.L.B Programs for Encouraging Export</w:t>
      </w:r>
      <w:r w:rsidRPr="005C149A">
        <w:rPr>
          <w:rFonts w:asciiTheme="majorBidi" w:hAnsiTheme="majorBidi" w:cstheme="majorBidi"/>
          <w:sz w:val="24"/>
          <w:szCs w:val="24"/>
        </w:rPr>
        <w:t xml:space="preserve"> - The MOEI operates programs for encouraging the Israeli industry, towards increasing occupation possibilities and deepening Israel's industrial activity in international markets. Both programs incentivize companies to employ PWD.</w:t>
      </w:r>
    </w:p>
    <w:p w14:paraId="666F0647" w14:textId="77777777" w:rsidR="00F37FC8" w:rsidRPr="00C438F1" w:rsidRDefault="00C438F1" w:rsidP="004A5A55">
      <w:pPr>
        <w:bidi w:val="0"/>
        <w:spacing w:after="120" w:line="360" w:lineRule="auto"/>
        <w:contextualSpacing/>
        <w:jc w:val="center"/>
        <w:rPr>
          <w:rFonts w:asciiTheme="majorBidi" w:hAnsiTheme="majorBidi" w:cstheme="majorBidi"/>
          <w:sz w:val="24"/>
          <w:szCs w:val="24"/>
        </w:rPr>
      </w:pPr>
      <w:r w:rsidRPr="00D11EFA">
        <w:rPr>
          <w:rFonts w:asciiTheme="majorBidi" w:hAnsiTheme="majorBidi" w:cstheme="majorBidi"/>
          <w:b/>
          <w:bCs/>
          <w:sz w:val="24"/>
          <w:szCs w:val="24"/>
          <w:u w:val="single"/>
        </w:rPr>
        <w:t xml:space="preserve">Table No. 6 </w:t>
      </w:r>
      <w:r w:rsidR="004A5A55">
        <w:rPr>
          <w:rFonts w:asciiTheme="majorBidi" w:hAnsiTheme="majorBidi" w:cstheme="majorBidi"/>
          <w:b/>
          <w:bCs/>
          <w:sz w:val="24"/>
          <w:szCs w:val="24"/>
          <w:u w:val="single"/>
        </w:rPr>
        <w:t>-</w:t>
      </w:r>
      <w:r w:rsidRPr="00D11EFA">
        <w:rPr>
          <w:rFonts w:asciiTheme="majorBidi" w:hAnsiTheme="majorBidi" w:cstheme="majorBidi"/>
          <w:b/>
          <w:bCs/>
          <w:sz w:val="24"/>
          <w:szCs w:val="24"/>
          <w:u w:val="single"/>
        </w:rPr>
        <w:t xml:space="preserve"> Adjustments at the Work Place Provided by</w:t>
      </w:r>
      <w:r>
        <w:rPr>
          <w:rFonts w:asciiTheme="majorBidi" w:hAnsiTheme="majorBidi" w:cstheme="majorBidi"/>
          <w:b/>
          <w:bCs/>
          <w:sz w:val="24"/>
          <w:szCs w:val="24"/>
          <w:u w:val="single"/>
        </w:rPr>
        <w:t xml:space="preserve"> the MOEI</w:t>
      </w:r>
    </w:p>
    <w:tbl>
      <w:tblPr>
        <w:tblStyle w:val="TableGrid"/>
        <w:tblW w:w="8364" w:type="dxa"/>
        <w:tblInd w:w="-5" w:type="dxa"/>
        <w:tblLook w:val="04A0" w:firstRow="1" w:lastRow="0" w:firstColumn="1" w:lastColumn="0" w:noHBand="0" w:noVBand="1"/>
      </w:tblPr>
      <w:tblGrid>
        <w:gridCol w:w="723"/>
        <w:gridCol w:w="1083"/>
        <w:gridCol w:w="1029"/>
        <w:gridCol w:w="1183"/>
        <w:gridCol w:w="789"/>
        <w:gridCol w:w="1416"/>
        <w:gridCol w:w="2141"/>
      </w:tblGrid>
      <w:tr w:rsidR="00F37FC8" w:rsidRPr="00E2291A" w14:paraId="101DCC18" w14:textId="77777777" w:rsidTr="00D11EFA">
        <w:trPr>
          <w:trHeight w:val="760"/>
        </w:trPr>
        <w:tc>
          <w:tcPr>
            <w:tcW w:w="723" w:type="dxa"/>
            <w:shd w:val="clear" w:color="auto" w:fill="D9D9D9" w:themeFill="background1" w:themeFillShade="D9"/>
            <w:vAlign w:val="center"/>
          </w:tcPr>
          <w:p w14:paraId="4C50D24B" w14:textId="77777777" w:rsidR="00F37FC8" w:rsidRPr="00E2291A" w:rsidRDefault="00F37FC8" w:rsidP="0098008B">
            <w:pPr>
              <w:bidi w:val="0"/>
              <w:jc w:val="center"/>
              <w:rPr>
                <w:rFonts w:asciiTheme="majorBidi" w:hAnsiTheme="majorBidi" w:cstheme="majorBidi"/>
                <w:b/>
                <w:bCs/>
                <w:sz w:val="20"/>
                <w:szCs w:val="20"/>
                <w:rtl/>
              </w:rPr>
            </w:pPr>
          </w:p>
        </w:tc>
        <w:tc>
          <w:tcPr>
            <w:tcW w:w="1083" w:type="dxa"/>
            <w:shd w:val="clear" w:color="auto" w:fill="D9D9D9" w:themeFill="background1" w:themeFillShade="D9"/>
            <w:vAlign w:val="center"/>
          </w:tcPr>
          <w:p w14:paraId="53A074CA" w14:textId="77777777" w:rsidR="00F37FC8" w:rsidRPr="00E2291A" w:rsidRDefault="00F37FC8" w:rsidP="0098008B">
            <w:pPr>
              <w:bidi w:val="0"/>
              <w:jc w:val="center"/>
              <w:rPr>
                <w:rFonts w:asciiTheme="majorBidi" w:hAnsiTheme="majorBidi" w:cstheme="majorBidi"/>
                <w:b/>
                <w:bCs/>
                <w:sz w:val="20"/>
                <w:szCs w:val="20"/>
              </w:rPr>
            </w:pPr>
            <w:r w:rsidRPr="00E2291A">
              <w:rPr>
                <w:rFonts w:asciiTheme="majorBidi" w:hAnsiTheme="majorBidi" w:cstheme="majorBidi"/>
                <w:b/>
                <w:bCs/>
                <w:sz w:val="20"/>
                <w:szCs w:val="20"/>
              </w:rPr>
              <w:t>Amount of added positions</w:t>
            </w:r>
          </w:p>
        </w:tc>
        <w:tc>
          <w:tcPr>
            <w:tcW w:w="1029" w:type="dxa"/>
            <w:shd w:val="clear" w:color="auto" w:fill="D9D9D9" w:themeFill="background1" w:themeFillShade="D9"/>
            <w:vAlign w:val="center"/>
          </w:tcPr>
          <w:p w14:paraId="4DAD58A7" w14:textId="77777777" w:rsidR="00F37FC8" w:rsidRPr="00E2291A" w:rsidRDefault="00F37FC8" w:rsidP="0098008B">
            <w:pPr>
              <w:bidi w:val="0"/>
              <w:jc w:val="center"/>
              <w:rPr>
                <w:rFonts w:asciiTheme="majorBidi" w:hAnsiTheme="majorBidi" w:cstheme="majorBidi"/>
                <w:b/>
                <w:bCs/>
                <w:sz w:val="20"/>
                <w:szCs w:val="20"/>
              </w:rPr>
            </w:pPr>
            <w:r w:rsidRPr="00E2291A">
              <w:rPr>
                <w:rFonts w:asciiTheme="majorBidi" w:hAnsiTheme="majorBidi" w:cstheme="majorBidi"/>
                <w:b/>
                <w:bCs/>
                <w:sz w:val="20"/>
                <w:szCs w:val="20"/>
              </w:rPr>
              <w:t>Average wage</w:t>
            </w:r>
          </w:p>
        </w:tc>
        <w:tc>
          <w:tcPr>
            <w:tcW w:w="1183" w:type="dxa"/>
            <w:shd w:val="clear" w:color="auto" w:fill="D9D9D9" w:themeFill="background1" w:themeFillShade="D9"/>
            <w:vAlign w:val="center"/>
          </w:tcPr>
          <w:p w14:paraId="0E2ECE65" w14:textId="77777777" w:rsidR="00F37FC8" w:rsidRPr="00E2291A" w:rsidRDefault="00F37FC8" w:rsidP="0098008B">
            <w:pPr>
              <w:bidi w:val="0"/>
              <w:jc w:val="center"/>
              <w:rPr>
                <w:rFonts w:asciiTheme="majorBidi" w:hAnsiTheme="majorBidi" w:cstheme="majorBidi"/>
                <w:b/>
                <w:bCs/>
                <w:sz w:val="20"/>
                <w:szCs w:val="20"/>
              </w:rPr>
            </w:pPr>
            <w:r w:rsidRPr="00E2291A">
              <w:rPr>
                <w:rFonts w:asciiTheme="majorBidi" w:hAnsiTheme="majorBidi" w:cstheme="majorBidi"/>
                <w:b/>
                <w:bCs/>
                <w:sz w:val="20"/>
                <w:szCs w:val="20"/>
              </w:rPr>
              <w:t>Amount of stipend</w:t>
            </w:r>
          </w:p>
        </w:tc>
        <w:tc>
          <w:tcPr>
            <w:tcW w:w="789" w:type="dxa"/>
            <w:shd w:val="clear" w:color="auto" w:fill="D9D9D9" w:themeFill="background1" w:themeFillShade="D9"/>
            <w:vAlign w:val="center"/>
          </w:tcPr>
          <w:p w14:paraId="34B0B65C" w14:textId="77777777" w:rsidR="00F37FC8" w:rsidRPr="00E2291A" w:rsidRDefault="00F37FC8" w:rsidP="0098008B">
            <w:pPr>
              <w:bidi w:val="0"/>
              <w:jc w:val="center"/>
              <w:rPr>
                <w:rFonts w:asciiTheme="majorBidi" w:hAnsiTheme="majorBidi" w:cstheme="majorBidi"/>
                <w:b/>
                <w:bCs/>
                <w:sz w:val="20"/>
                <w:szCs w:val="20"/>
              </w:rPr>
            </w:pPr>
            <w:r w:rsidRPr="00E2291A">
              <w:rPr>
                <w:rFonts w:asciiTheme="majorBidi" w:hAnsiTheme="majorBidi" w:cstheme="majorBidi"/>
                <w:b/>
                <w:bCs/>
                <w:sz w:val="20"/>
                <w:szCs w:val="20"/>
              </w:rPr>
              <w:t>Case count</w:t>
            </w:r>
          </w:p>
        </w:tc>
        <w:tc>
          <w:tcPr>
            <w:tcW w:w="1416" w:type="dxa"/>
            <w:shd w:val="clear" w:color="auto" w:fill="D9D9D9" w:themeFill="background1" w:themeFillShade="D9"/>
            <w:vAlign w:val="center"/>
          </w:tcPr>
          <w:p w14:paraId="7A50ADB4" w14:textId="77777777" w:rsidR="00F37FC8" w:rsidRPr="00E2291A" w:rsidRDefault="00F37FC8" w:rsidP="0098008B">
            <w:pPr>
              <w:bidi w:val="0"/>
              <w:jc w:val="center"/>
              <w:rPr>
                <w:rFonts w:asciiTheme="majorBidi" w:hAnsiTheme="majorBidi" w:cstheme="majorBidi"/>
                <w:b/>
                <w:bCs/>
                <w:sz w:val="20"/>
                <w:szCs w:val="20"/>
              </w:rPr>
            </w:pPr>
            <w:r w:rsidRPr="00E2291A">
              <w:rPr>
                <w:rFonts w:asciiTheme="majorBidi" w:hAnsiTheme="majorBidi" w:cstheme="majorBidi"/>
                <w:b/>
                <w:bCs/>
                <w:sz w:val="20"/>
                <w:szCs w:val="20"/>
              </w:rPr>
              <w:t>Amount invested in employment</w:t>
            </w:r>
          </w:p>
        </w:tc>
        <w:tc>
          <w:tcPr>
            <w:tcW w:w="2141" w:type="dxa"/>
            <w:shd w:val="clear" w:color="auto" w:fill="D9D9D9" w:themeFill="background1" w:themeFillShade="D9"/>
            <w:vAlign w:val="center"/>
          </w:tcPr>
          <w:p w14:paraId="0424BAC5" w14:textId="77777777" w:rsidR="00F37FC8" w:rsidRPr="00E2291A" w:rsidRDefault="00F37FC8" w:rsidP="0098008B">
            <w:pPr>
              <w:bidi w:val="0"/>
              <w:jc w:val="center"/>
              <w:rPr>
                <w:rFonts w:asciiTheme="majorBidi" w:hAnsiTheme="majorBidi" w:cstheme="majorBidi"/>
                <w:b/>
                <w:bCs/>
                <w:sz w:val="20"/>
                <w:szCs w:val="20"/>
              </w:rPr>
            </w:pPr>
            <w:r w:rsidRPr="00E2291A">
              <w:rPr>
                <w:rFonts w:asciiTheme="majorBidi" w:hAnsiTheme="majorBidi" w:cstheme="majorBidi"/>
                <w:b/>
                <w:bCs/>
                <w:sz w:val="20"/>
                <w:szCs w:val="20"/>
              </w:rPr>
              <w:t>Amount of base-level positions</w:t>
            </w:r>
          </w:p>
        </w:tc>
      </w:tr>
      <w:tr w:rsidR="00F37FC8" w:rsidRPr="00E2291A" w14:paraId="784C9FC9" w14:textId="77777777" w:rsidTr="00D11EFA">
        <w:trPr>
          <w:trHeight w:val="497"/>
        </w:trPr>
        <w:tc>
          <w:tcPr>
            <w:tcW w:w="723" w:type="dxa"/>
            <w:vAlign w:val="center"/>
          </w:tcPr>
          <w:p w14:paraId="622B74DB" w14:textId="77777777" w:rsidR="00F37FC8" w:rsidRPr="00E2291A" w:rsidRDefault="00F37FC8" w:rsidP="0098008B">
            <w:pPr>
              <w:bidi w:val="0"/>
              <w:rPr>
                <w:rFonts w:asciiTheme="majorBidi" w:hAnsiTheme="majorBidi" w:cstheme="majorBidi"/>
                <w:sz w:val="20"/>
                <w:szCs w:val="20"/>
              </w:rPr>
            </w:pPr>
            <w:r w:rsidRPr="00E2291A">
              <w:rPr>
                <w:rFonts w:asciiTheme="majorBidi" w:hAnsiTheme="majorBidi" w:cstheme="majorBidi"/>
                <w:sz w:val="20"/>
                <w:szCs w:val="20"/>
              </w:rPr>
              <w:t>2017</w:t>
            </w:r>
          </w:p>
        </w:tc>
        <w:tc>
          <w:tcPr>
            <w:tcW w:w="1083" w:type="dxa"/>
            <w:vAlign w:val="center"/>
          </w:tcPr>
          <w:p w14:paraId="382EE1FB"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36</w:t>
            </w:r>
          </w:p>
        </w:tc>
        <w:tc>
          <w:tcPr>
            <w:tcW w:w="1029" w:type="dxa"/>
            <w:vAlign w:val="center"/>
          </w:tcPr>
          <w:p w14:paraId="79A02DA7"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7,842</w:t>
            </w:r>
          </w:p>
        </w:tc>
        <w:tc>
          <w:tcPr>
            <w:tcW w:w="1183" w:type="dxa"/>
            <w:vAlign w:val="center"/>
          </w:tcPr>
          <w:p w14:paraId="110446D9"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2,921,809</w:t>
            </w:r>
          </w:p>
        </w:tc>
        <w:tc>
          <w:tcPr>
            <w:tcW w:w="789" w:type="dxa"/>
            <w:vAlign w:val="center"/>
          </w:tcPr>
          <w:p w14:paraId="6C1EAAF3"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15</w:t>
            </w:r>
          </w:p>
        </w:tc>
        <w:tc>
          <w:tcPr>
            <w:tcW w:w="1416" w:type="dxa"/>
            <w:vAlign w:val="center"/>
          </w:tcPr>
          <w:p w14:paraId="6F912E5A"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8,765,428</w:t>
            </w:r>
          </w:p>
        </w:tc>
        <w:tc>
          <w:tcPr>
            <w:tcW w:w="2141" w:type="dxa"/>
            <w:vAlign w:val="center"/>
          </w:tcPr>
          <w:p w14:paraId="2FAC1920"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1,990</w:t>
            </w:r>
          </w:p>
        </w:tc>
      </w:tr>
      <w:tr w:rsidR="00F37FC8" w:rsidRPr="00E2291A" w14:paraId="24F9618C" w14:textId="77777777" w:rsidTr="00D11EFA">
        <w:trPr>
          <w:trHeight w:val="511"/>
        </w:trPr>
        <w:tc>
          <w:tcPr>
            <w:tcW w:w="723" w:type="dxa"/>
            <w:vAlign w:val="center"/>
          </w:tcPr>
          <w:p w14:paraId="2E9AE6F2" w14:textId="77777777" w:rsidR="00F37FC8" w:rsidRPr="00E2291A" w:rsidRDefault="00F37FC8" w:rsidP="0098008B">
            <w:pPr>
              <w:bidi w:val="0"/>
              <w:rPr>
                <w:rFonts w:asciiTheme="majorBidi" w:hAnsiTheme="majorBidi" w:cstheme="majorBidi"/>
                <w:sz w:val="20"/>
                <w:szCs w:val="20"/>
              </w:rPr>
            </w:pPr>
            <w:r w:rsidRPr="00E2291A">
              <w:rPr>
                <w:rFonts w:asciiTheme="majorBidi" w:hAnsiTheme="majorBidi" w:cstheme="majorBidi"/>
                <w:sz w:val="20"/>
                <w:szCs w:val="20"/>
              </w:rPr>
              <w:t>2018</w:t>
            </w:r>
          </w:p>
        </w:tc>
        <w:tc>
          <w:tcPr>
            <w:tcW w:w="1083" w:type="dxa"/>
            <w:vAlign w:val="center"/>
          </w:tcPr>
          <w:p w14:paraId="079A8E63"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23</w:t>
            </w:r>
          </w:p>
        </w:tc>
        <w:tc>
          <w:tcPr>
            <w:tcW w:w="1029" w:type="dxa"/>
            <w:vAlign w:val="center"/>
          </w:tcPr>
          <w:p w14:paraId="4F550F7B"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7,529</w:t>
            </w:r>
          </w:p>
        </w:tc>
        <w:tc>
          <w:tcPr>
            <w:tcW w:w="1183" w:type="dxa"/>
            <w:vAlign w:val="center"/>
          </w:tcPr>
          <w:p w14:paraId="0D3FBF46"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1,935,208</w:t>
            </w:r>
          </w:p>
        </w:tc>
        <w:tc>
          <w:tcPr>
            <w:tcW w:w="789" w:type="dxa"/>
            <w:vAlign w:val="center"/>
          </w:tcPr>
          <w:p w14:paraId="61998EE2"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8</w:t>
            </w:r>
          </w:p>
        </w:tc>
        <w:tc>
          <w:tcPr>
            <w:tcW w:w="1416" w:type="dxa"/>
            <w:vAlign w:val="center"/>
          </w:tcPr>
          <w:p w14:paraId="5B0B659E"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5,805,481</w:t>
            </w:r>
          </w:p>
        </w:tc>
        <w:tc>
          <w:tcPr>
            <w:tcW w:w="2141" w:type="dxa"/>
            <w:vAlign w:val="center"/>
          </w:tcPr>
          <w:p w14:paraId="5F463F5B"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923</w:t>
            </w:r>
          </w:p>
        </w:tc>
      </w:tr>
      <w:tr w:rsidR="00F37FC8" w:rsidRPr="00E2291A" w14:paraId="7149E2A3" w14:textId="77777777" w:rsidTr="00D11EFA">
        <w:trPr>
          <w:trHeight w:val="497"/>
        </w:trPr>
        <w:tc>
          <w:tcPr>
            <w:tcW w:w="723" w:type="dxa"/>
            <w:vAlign w:val="center"/>
          </w:tcPr>
          <w:p w14:paraId="0E200962" w14:textId="77777777" w:rsidR="00F37FC8" w:rsidRPr="00E2291A" w:rsidRDefault="00F37FC8" w:rsidP="0098008B">
            <w:pPr>
              <w:bidi w:val="0"/>
              <w:rPr>
                <w:rFonts w:asciiTheme="majorBidi" w:hAnsiTheme="majorBidi" w:cstheme="majorBidi"/>
                <w:sz w:val="20"/>
                <w:szCs w:val="20"/>
              </w:rPr>
            </w:pPr>
            <w:r w:rsidRPr="00E2291A">
              <w:rPr>
                <w:rFonts w:asciiTheme="majorBidi" w:hAnsiTheme="majorBidi" w:cstheme="majorBidi"/>
                <w:sz w:val="20"/>
                <w:szCs w:val="20"/>
              </w:rPr>
              <w:t>2019</w:t>
            </w:r>
          </w:p>
        </w:tc>
        <w:tc>
          <w:tcPr>
            <w:tcW w:w="1083" w:type="dxa"/>
            <w:vAlign w:val="center"/>
          </w:tcPr>
          <w:p w14:paraId="7E14C00D"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28</w:t>
            </w:r>
          </w:p>
        </w:tc>
        <w:tc>
          <w:tcPr>
            <w:tcW w:w="1029" w:type="dxa"/>
            <w:vAlign w:val="center"/>
          </w:tcPr>
          <w:p w14:paraId="7D18AF8D"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7,077</w:t>
            </w:r>
          </w:p>
        </w:tc>
        <w:tc>
          <w:tcPr>
            <w:tcW w:w="1183" w:type="dxa"/>
            <w:vAlign w:val="center"/>
          </w:tcPr>
          <w:p w14:paraId="3713A5BD"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2,030,556</w:t>
            </w:r>
          </w:p>
        </w:tc>
        <w:tc>
          <w:tcPr>
            <w:tcW w:w="789" w:type="dxa"/>
            <w:vAlign w:val="center"/>
          </w:tcPr>
          <w:p w14:paraId="07CA24B2"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12</w:t>
            </w:r>
          </w:p>
        </w:tc>
        <w:tc>
          <w:tcPr>
            <w:tcW w:w="1416" w:type="dxa"/>
            <w:vAlign w:val="center"/>
          </w:tcPr>
          <w:p w14:paraId="70EE7CC1"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6,091,535</w:t>
            </w:r>
          </w:p>
        </w:tc>
        <w:tc>
          <w:tcPr>
            <w:tcW w:w="2141" w:type="dxa"/>
            <w:vAlign w:val="center"/>
          </w:tcPr>
          <w:p w14:paraId="0834EBE2"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330</w:t>
            </w:r>
          </w:p>
        </w:tc>
      </w:tr>
      <w:tr w:rsidR="00F37FC8" w:rsidRPr="00E2291A" w14:paraId="6C7CFB1B" w14:textId="77777777" w:rsidTr="00D11EFA">
        <w:trPr>
          <w:trHeight w:val="497"/>
        </w:trPr>
        <w:tc>
          <w:tcPr>
            <w:tcW w:w="723" w:type="dxa"/>
            <w:vAlign w:val="center"/>
          </w:tcPr>
          <w:p w14:paraId="3A88877E" w14:textId="77777777" w:rsidR="00F37FC8" w:rsidRPr="00E2291A" w:rsidRDefault="00F37FC8" w:rsidP="0098008B">
            <w:pPr>
              <w:bidi w:val="0"/>
              <w:rPr>
                <w:rFonts w:asciiTheme="majorBidi" w:hAnsiTheme="majorBidi" w:cstheme="majorBidi"/>
                <w:sz w:val="20"/>
                <w:szCs w:val="20"/>
              </w:rPr>
            </w:pPr>
            <w:r w:rsidRPr="00E2291A">
              <w:rPr>
                <w:rFonts w:asciiTheme="majorBidi" w:hAnsiTheme="majorBidi" w:cstheme="majorBidi"/>
                <w:sz w:val="20"/>
                <w:szCs w:val="20"/>
              </w:rPr>
              <w:t>Total</w:t>
            </w:r>
          </w:p>
        </w:tc>
        <w:tc>
          <w:tcPr>
            <w:tcW w:w="1083" w:type="dxa"/>
            <w:vAlign w:val="center"/>
          </w:tcPr>
          <w:p w14:paraId="22C2C56A"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87</w:t>
            </w:r>
          </w:p>
        </w:tc>
        <w:tc>
          <w:tcPr>
            <w:tcW w:w="1029" w:type="dxa"/>
            <w:vAlign w:val="center"/>
          </w:tcPr>
          <w:p w14:paraId="251C48C7"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7,508</w:t>
            </w:r>
          </w:p>
        </w:tc>
        <w:tc>
          <w:tcPr>
            <w:tcW w:w="1183" w:type="dxa"/>
            <w:vAlign w:val="center"/>
          </w:tcPr>
          <w:p w14:paraId="4920C8E4"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6,887,573</w:t>
            </w:r>
          </w:p>
        </w:tc>
        <w:tc>
          <w:tcPr>
            <w:tcW w:w="789" w:type="dxa"/>
            <w:vAlign w:val="center"/>
          </w:tcPr>
          <w:p w14:paraId="09C7C16D"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35</w:t>
            </w:r>
          </w:p>
        </w:tc>
        <w:tc>
          <w:tcPr>
            <w:tcW w:w="1416" w:type="dxa"/>
            <w:vAlign w:val="center"/>
          </w:tcPr>
          <w:p w14:paraId="4F5429F8"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20,662,443</w:t>
            </w:r>
          </w:p>
        </w:tc>
        <w:tc>
          <w:tcPr>
            <w:tcW w:w="2141" w:type="dxa"/>
            <w:vAlign w:val="center"/>
          </w:tcPr>
          <w:p w14:paraId="6ADAF1D9" w14:textId="77777777" w:rsidR="00F37FC8" w:rsidRPr="00E2291A" w:rsidRDefault="00F37FC8" w:rsidP="0098008B">
            <w:pPr>
              <w:bidi w:val="0"/>
              <w:jc w:val="center"/>
              <w:rPr>
                <w:rFonts w:asciiTheme="majorBidi" w:hAnsiTheme="majorBidi" w:cstheme="majorBidi"/>
                <w:sz w:val="20"/>
                <w:szCs w:val="20"/>
              </w:rPr>
            </w:pPr>
            <w:r w:rsidRPr="00E2291A">
              <w:rPr>
                <w:rFonts w:asciiTheme="majorBidi" w:hAnsiTheme="majorBidi" w:cstheme="majorBidi"/>
                <w:sz w:val="20"/>
                <w:szCs w:val="20"/>
              </w:rPr>
              <w:t>3,243</w:t>
            </w:r>
          </w:p>
        </w:tc>
      </w:tr>
    </w:tbl>
    <w:p w14:paraId="11BA1C98" w14:textId="77777777" w:rsidR="00F37FC8" w:rsidRPr="00C438F1" w:rsidRDefault="00C438F1" w:rsidP="00C000F6">
      <w:pPr>
        <w:pStyle w:val="SingleTxtG"/>
        <w:numPr>
          <w:ilvl w:val="0"/>
          <w:numId w:val="9"/>
        </w:numPr>
        <w:spacing w:line="240" w:lineRule="auto"/>
        <w:ind w:left="284" w:firstLine="0"/>
        <w:rPr>
          <w:rFonts w:asciiTheme="majorBidi" w:hAnsiTheme="majorBidi" w:cstheme="majorBidi"/>
          <w:i/>
          <w:iCs/>
        </w:rPr>
      </w:pPr>
      <w:r w:rsidRPr="00C438F1">
        <w:rPr>
          <w:rFonts w:asciiTheme="majorBidi" w:hAnsiTheme="majorBidi" w:cstheme="majorBidi"/>
          <w:i/>
          <w:iCs/>
        </w:rPr>
        <w:t>Source: MOEI (</w:t>
      </w:r>
      <w:r>
        <w:rPr>
          <w:rFonts w:asciiTheme="majorBidi" w:hAnsiTheme="majorBidi" w:cstheme="majorBidi"/>
          <w:i/>
          <w:iCs/>
        </w:rPr>
        <w:t>January</w:t>
      </w:r>
      <w:r w:rsidRPr="00C438F1">
        <w:rPr>
          <w:rFonts w:asciiTheme="majorBidi" w:hAnsiTheme="majorBidi" w:cstheme="majorBidi"/>
          <w:i/>
          <w:iCs/>
        </w:rPr>
        <w:t xml:space="preserve"> 202</w:t>
      </w:r>
      <w:r>
        <w:rPr>
          <w:rFonts w:asciiTheme="majorBidi" w:hAnsiTheme="majorBidi" w:cstheme="majorBidi"/>
          <w:i/>
          <w:iCs/>
        </w:rPr>
        <w:t>2</w:t>
      </w:r>
      <w:r w:rsidRPr="00C438F1">
        <w:rPr>
          <w:rFonts w:asciiTheme="majorBidi" w:hAnsiTheme="majorBidi" w:cstheme="majorBidi"/>
          <w:i/>
          <w:iCs/>
        </w:rPr>
        <w:t>)</w:t>
      </w:r>
    </w:p>
    <w:p w14:paraId="2BE7A858" w14:textId="77777777" w:rsidR="00C438F1" w:rsidRPr="00C438F1" w:rsidRDefault="00C438F1" w:rsidP="00C438F1">
      <w:pPr>
        <w:pStyle w:val="ListParagraph"/>
        <w:ind w:left="426"/>
        <w:jc w:val="both"/>
        <w:rPr>
          <w:rFonts w:asciiTheme="majorBidi" w:hAnsiTheme="majorBidi" w:cstheme="majorBidi"/>
          <w:color w:val="1F497D"/>
          <w:sz w:val="24"/>
          <w:szCs w:val="24"/>
          <w:rtl/>
        </w:rPr>
      </w:pPr>
    </w:p>
    <w:p w14:paraId="7132097D" w14:textId="77777777" w:rsidR="00F37FC8" w:rsidRPr="00C438F1" w:rsidRDefault="00C438F1" w:rsidP="00C438F1">
      <w:pPr>
        <w:bidi w:val="0"/>
        <w:spacing w:after="120" w:line="360" w:lineRule="auto"/>
        <w:jc w:val="center"/>
        <w:rPr>
          <w:rFonts w:asciiTheme="majorBidi" w:hAnsiTheme="majorBidi" w:cstheme="majorBidi"/>
          <w:b/>
          <w:bCs/>
          <w:sz w:val="24"/>
          <w:szCs w:val="24"/>
          <w:u w:val="single"/>
          <w:rtl/>
        </w:rPr>
      </w:pPr>
      <w:r w:rsidRPr="00C438F1">
        <w:rPr>
          <w:rFonts w:asciiTheme="majorBidi" w:hAnsiTheme="majorBidi" w:cstheme="majorBidi"/>
          <w:b/>
          <w:bCs/>
          <w:sz w:val="24"/>
          <w:szCs w:val="24"/>
          <w:u w:val="single"/>
        </w:rPr>
        <w:t xml:space="preserve">Table No. 7 - </w:t>
      </w:r>
      <w:r w:rsidR="00F37FC8" w:rsidRPr="00C438F1">
        <w:rPr>
          <w:rFonts w:asciiTheme="majorBidi" w:hAnsiTheme="majorBidi" w:cstheme="majorBidi"/>
          <w:b/>
          <w:bCs/>
          <w:sz w:val="24"/>
          <w:szCs w:val="24"/>
          <w:u w:val="single"/>
        </w:rPr>
        <w:t>Data on Supported Employment</w:t>
      </w:r>
      <w:r w:rsidRPr="00C438F1">
        <w:rPr>
          <w:rFonts w:asciiTheme="majorBidi" w:hAnsiTheme="majorBidi" w:cstheme="majorBidi"/>
          <w:b/>
          <w:bCs/>
          <w:sz w:val="24"/>
          <w:szCs w:val="24"/>
          <w:u w:val="single"/>
        </w:rPr>
        <w:t xml:space="preserve"> by MOWSA</w:t>
      </w:r>
      <w:r w:rsidR="00C000F6">
        <w:rPr>
          <w:rFonts w:asciiTheme="majorBidi" w:hAnsiTheme="majorBidi" w:cstheme="majorBidi"/>
          <w:b/>
          <w:bCs/>
          <w:sz w:val="24"/>
          <w:szCs w:val="24"/>
          <w:u w:val="single"/>
        </w:rPr>
        <w:t xml:space="preserve"> (2018-2021)</w:t>
      </w:r>
      <w:r w:rsidR="00F37FC8" w:rsidRPr="00C438F1">
        <w:rPr>
          <w:rFonts w:asciiTheme="majorBidi" w:hAnsiTheme="majorBidi" w:cstheme="majorBidi"/>
          <w:b/>
          <w:bCs/>
          <w:sz w:val="24"/>
          <w:szCs w:val="24"/>
          <w:u w:val="single"/>
        </w:rPr>
        <w:t>:</w:t>
      </w:r>
    </w:p>
    <w:tbl>
      <w:tblPr>
        <w:tblStyle w:val="TableGrid"/>
        <w:bidiVisual/>
        <w:tblW w:w="8332" w:type="dxa"/>
        <w:tblLook w:val="04A0" w:firstRow="1" w:lastRow="0" w:firstColumn="1" w:lastColumn="0" w:noHBand="0" w:noVBand="1"/>
      </w:tblPr>
      <w:tblGrid>
        <w:gridCol w:w="1791"/>
        <w:gridCol w:w="1791"/>
        <w:gridCol w:w="1791"/>
        <w:gridCol w:w="2959"/>
      </w:tblGrid>
      <w:tr w:rsidR="00C000F6" w:rsidRPr="00C000F6" w14:paraId="3671C33B" w14:textId="77777777" w:rsidTr="00C000F6">
        <w:tc>
          <w:tcPr>
            <w:tcW w:w="1791" w:type="dxa"/>
            <w:shd w:val="clear" w:color="auto" w:fill="D9D9D9" w:themeFill="background1" w:themeFillShade="D9"/>
            <w:vAlign w:val="center"/>
          </w:tcPr>
          <w:p w14:paraId="27A2F23A" w14:textId="77777777" w:rsidR="00C000F6" w:rsidRPr="000C3BD3" w:rsidRDefault="00C000F6" w:rsidP="00C000F6">
            <w:pPr>
              <w:jc w:val="center"/>
              <w:rPr>
                <w:rFonts w:asciiTheme="majorBidi" w:hAnsiTheme="majorBidi" w:cstheme="majorBidi"/>
                <w:b/>
                <w:bCs/>
                <w:sz w:val="20"/>
                <w:szCs w:val="20"/>
              </w:rPr>
            </w:pPr>
            <w:r w:rsidRPr="000C3BD3">
              <w:rPr>
                <w:rFonts w:asciiTheme="majorBidi" w:hAnsiTheme="majorBidi" w:cstheme="majorBidi"/>
                <w:b/>
                <w:bCs/>
                <w:sz w:val="20"/>
                <w:szCs w:val="20"/>
              </w:rPr>
              <w:t>Rate</w:t>
            </w:r>
          </w:p>
        </w:tc>
        <w:tc>
          <w:tcPr>
            <w:tcW w:w="1791" w:type="dxa"/>
            <w:shd w:val="clear" w:color="auto" w:fill="D9D9D9" w:themeFill="background1" w:themeFillShade="D9"/>
            <w:vAlign w:val="center"/>
          </w:tcPr>
          <w:p w14:paraId="3133719D" w14:textId="77777777" w:rsidR="00C000F6" w:rsidRPr="000C3BD3" w:rsidRDefault="00C000F6" w:rsidP="00C000F6">
            <w:pPr>
              <w:jc w:val="center"/>
              <w:rPr>
                <w:rFonts w:asciiTheme="majorBidi" w:hAnsiTheme="majorBidi" w:cstheme="majorBidi"/>
                <w:b/>
                <w:bCs/>
                <w:sz w:val="20"/>
                <w:szCs w:val="20"/>
                <w:rtl/>
              </w:rPr>
            </w:pPr>
            <w:r w:rsidRPr="000C3BD3">
              <w:rPr>
                <w:rFonts w:asciiTheme="majorBidi" w:hAnsiTheme="majorBidi" w:cstheme="majorBidi"/>
                <w:b/>
                <w:bCs/>
                <w:color w:val="000000"/>
                <w:sz w:val="20"/>
                <w:szCs w:val="20"/>
              </w:rPr>
              <w:t>Participants</w:t>
            </w:r>
          </w:p>
        </w:tc>
        <w:tc>
          <w:tcPr>
            <w:tcW w:w="1791" w:type="dxa"/>
            <w:shd w:val="clear" w:color="auto" w:fill="D9D9D9" w:themeFill="background1" w:themeFillShade="D9"/>
            <w:vAlign w:val="center"/>
          </w:tcPr>
          <w:p w14:paraId="1D9A6602" w14:textId="77777777" w:rsidR="00C000F6" w:rsidRPr="000C3BD3" w:rsidRDefault="00C000F6" w:rsidP="00C000F6">
            <w:pPr>
              <w:jc w:val="center"/>
              <w:rPr>
                <w:rFonts w:asciiTheme="majorBidi" w:hAnsiTheme="majorBidi" w:cstheme="majorBidi"/>
                <w:b/>
                <w:bCs/>
                <w:sz w:val="20"/>
                <w:szCs w:val="20"/>
                <w:rtl/>
              </w:rPr>
            </w:pPr>
            <w:r w:rsidRPr="000C3BD3">
              <w:rPr>
                <w:rFonts w:asciiTheme="majorBidi" w:hAnsiTheme="majorBidi" w:cstheme="majorBidi"/>
                <w:b/>
                <w:bCs/>
                <w:color w:val="000000"/>
                <w:sz w:val="20"/>
                <w:szCs w:val="20"/>
              </w:rPr>
              <w:t>Participants</w:t>
            </w:r>
          </w:p>
        </w:tc>
        <w:tc>
          <w:tcPr>
            <w:tcW w:w="2959" w:type="dxa"/>
            <w:shd w:val="clear" w:color="auto" w:fill="D9D9D9" w:themeFill="background1" w:themeFillShade="D9"/>
            <w:vAlign w:val="center"/>
          </w:tcPr>
          <w:p w14:paraId="474829A0" w14:textId="77777777" w:rsidR="00C000F6" w:rsidRPr="000C3BD3" w:rsidRDefault="00C000F6" w:rsidP="00C000F6">
            <w:pPr>
              <w:jc w:val="center"/>
              <w:rPr>
                <w:rFonts w:asciiTheme="majorBidi" w:hAnsiTheme="majorBidi" w:cstheme="majorBidi"/>
                <w:b/>
                <w:bCs/>
                <w:sz w:val="20"/>
                <w:szCs w:val="20"/>
              </w:rPr>
            </w:pPr>
            <w:r w:rsidRPr="000C3BD3">
              <w:rPr>
                <w:rFonts w:asciiTheme="majorBidi" w:hAnsiTheme="majorBidi" w:cstheme="majorBidi"/>
                <w:b/>
                <w:bCs/>
                <w:sz w:val="20"/>
                <w:szCs w:val="20"/>
              </w:rPr>
              <w:t>Year</w:t>
            </w:r>
          </w:p>
        </w:tc>
      </w:tr>
      <w:tr w:rsidR="00C000F6" w:rsidRPr="00C000F6" w14:paraId="761563DA" w14:textId="77777777" w:rsidTr="00C000F6">
        <w:tc>
          <w:tcPr>
            <w:tcW w:w="1791" w:type="dxa"/>
            <w:vAlign w:val="center"/>
          </w:tcPr>
          <w:p w14:paraId="455B7BAF"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0.7</w:t>
            </w:r>
          </w:p>
        </w:tc>
        <w:tc>
          <w:tcPr>
            <w:tcW w:w="1791" w:type="dxa"/>
            <w:vAlign w:val="center"/>
          </w:tcPr>
          <w:p w14:paraId="61A4CCD4"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988</w:t>
            </w:r>
          </w:p>
        </w:tc>
        <w:tc>
          <w:tcPr>
            <w:tcW w:w="1791" w:type="dxa"/>
            <w:vAlign w:val="center"/>
          </w:tcPr>
          <w:p w14:paraId="0A52BC35"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1,415</w:t>
            </w:r>
          </w:p>
        </w:tc>
        <w:tc>
          <w:tcPr>
            <w:tcW w:w="2959" w:type="dxa"/>
            <w:vAlign w:val="center"/>
          </w:tcPr>
          <w:p w14:paraId="230AF2E8" w14:textId="77777777" w:rsidR="00C000F6" w:rsidRPr="00C000F6" w:rsidRDefault="00C000F6" w:rsidP="00C000F6">
            <w:pPr>
              <w:jc w:val="right"/>
              <w:rPr>
                <w:rFonts w:asciiTheme="majorBidi" w:hAnsiTheme="majorBidi" w:cstheme="majorBidi"/>
                <w:sz w:val="20"/>
                <w:szCs w:val="20"/>
                <w:rtl/>
              </w:rPr>
            </w:pPr>
            <w:r w:rsidRPr="00C000F6">
              <w:rPr>
                <w:rFonts w:asciiTheme="majorBidi" w:hAnsiTheme="majorBidi" w:cstheme="majorBidi"/>
                <w:sz w:val="20"/>
                <w:szCs w:val="20"/>
                <w:rtl/>
              </w:rPr>
              <w:t>2018</w:t>
            </w:r>
          </w:p>
        </w:tc>
      </w:tr>
      <w:tr w:rsidR="00C000F6" w:rsidRPr="00C000F6" w14:paraId="0895DF65" w14:textId="77777777" w:rsidTr="00C000F6">
        <w:tc>
          <w:tcPr>
            <w:tcW w:w="1791" w:type="dxa"/>
            <w:vAlign w:val="center"/>
          </w:tcPr>
          <w:p w14:paraId="2DA49D87"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0.53</w:t>
            </w:r>
          </w:p>
        </w:tc>
        <w:tc>
          <w:tcPr>
            <w:tcW w:w="1791" w:type="dxa"/>
            <w:vAlign w:val="center"/>
          </w:tcPr>
          <w:p w14:paraId="1F3C1D49"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888</w:t>
            </w:r>
          </w:p>
        </w:tc>
        <w:tc>
          <w:tcPr>
            <w:tcW w:w="1791" w:type="dxa"/>
            <w:vAlign w:val="center"/>
          </w:tcPr>
          <w:p w14:paraId="603C39CE"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1,676</w:t>
            </w:r>
          </w:p>
        </w:tc>
        <w:tc>
          <w:tcPr>
            <w:tcW w:w="2959" w:type="dxa"/>
            <w:vAlign w:val="center"/>
          </w:tcPr>
          <w:p w14:paraId="01828E33" w14:textId="77777777" w:rsidR="00C000F6" w:rsidRPr="00C000F6" w:rsidRDefault="00C000F6" w:rsidP="00C000F6">
            <w:pPr>
              <w:jc w:val="right"/>
              <w:rPr>
                <w:rFonts w:asciiTheme="majorBidi" w:hAnsiTheme="majorBidi" w:cstheme="majorBidi"/>
                <w:sz w:val="20"/>
                <w:szCs w:val="20"/>
                <w:rtl/>
              </w:rPr>
            </w:pPr>
            <w:r w:rsidRPr="00C000F6">
              <w:rPr>
                <w:rFonts w:asciiTheme="majorBidi" w:hAnsiTheme="majorBidi" w:cstheme="majorBidi"/>
                <w:sz w:val="20"/>
                <w:szCs w:val="20"/>
                <w:rtl/>
              </w:rPr>
              <w:t>2019</w:t>
            </w:r>
          </w:p>
        </w:tc>
      </w:tr>
      <w:tr w:rsidR="00C000F6" w:rsidRPr="00C000F6" w14:paraId="3C205D3F" w14:textId="77777777" w:rsidTr="00C000F6">
        <w:tc>
          <w:tcPr>
            <w:tcW w:w="1791" w:type="dxa"/>
            <w:vAlign w:val="center"/>
          </w:tcPr>
          <w:p w14:paraId="78A7E740"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0.67</w:t>
            </w:r>
          </w:p>
        </w:tc>
        <w:tc>
          <w:tcPr>
            <w:tcW w:w="1791" w:type="dxa"/>
            <w:vAlign w:val="center"/>
          </w:tcPr>
          <w:p w14:paraId="5C5F8B7B"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1,210</w:t>
            </w:r>
          </w:p>
        </w:tc>
        <w:tc>
          <w:tcPr>
            <w:tcW w:w="1791" w:type="dxa"/>
            <w:vAlign w:val="center"/>
          </w:tcPr>
          <w:p w14:paraId="5876CE44"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1,807</w:t>
            </w:r>
          </w:p>
        </w:tc>
        <w:tc>
          <w:tcPr>
            <w:tcW w:w="2959" w:type="dxa"/>
            <w:vAlign w:val="center"/>
          </w:tcPr>
          <w:p w14:paraId="60D3E5B6" w14:textId="77777777" w:rsidR="00C000F6" w:rsidRPr="00C000F6" w:rsidRDefault="00C000F6" w:rsidP="00C000F6">
            <w:pPr>
              <w:jc w:val="right"/>
              <w:rPr>
                <w:rFonts w:asciiTheme="majorBidi" w:hAnsiTheme="majorBidi" w:cstheme="majorBidi"/>
                <w:sz w:val="20"/>
                <w:szCs w:val="20"/>
                <w:rtl/>
              </w:rPr>
            </w:pPr>
            <w:r w:rsidRPr="00C000F6">
              <w:rPr>
                <w:rFonts w:asciiTheme="majorBidi" w:hAnsiTheme="majorBidi" w:cstheme="majorBidi"/>
                <w:sz w:val="20"/>
                <w:szCs w:val="20"/>
                <w:rtl/>
              </w:rPr>
              <w:t>2020</w:t>
            </w:r>
          </w:p>
        </w:tc>
      </w:tr>
      <w:tr w:rsidR="00C000F6" w:rsidRPr="00C000F6" w14:paraId="5FC3B07A" w14:textId="77777777" w:rsidTr="00C000F6">
        <w:tc>
          <w:tcPr>
            <w:tcW w:w="1791" w:type="dxa"/>
            <w:vAlign w:val="center"/>
          </w:tcPr>
          <w:p w14:paraId="40A60377"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0.74</w:t>
            </w:r>
          </w:p>
        </w:tc>
        <w:tc>
          <w:tcPr>
            <w:tcW w:w="1791" w:type="dxa"/>
            <w:vAlign w:val="center"/>
          </w:tcPr>
          <w:p w14:paraId="3BDFD44E"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1,501</w:t>
            </w:r>
          </w:p>
        </w:tc>
        <w:tc>
          <w:tcPr>
            <w:tcW w:w="1791" w:type="dxa"/>
            <w:vAlign w:val="center"/>
          </w:tcPr>
          <w:p w14:paraId="14E099A4" w14:textId="77777777" w:rsidR="00C000F6" w:rsidRPr="00C000F6" w:rsidRDefault="00C000F6" w:rsidP="00C000F6">
            <w:pPr>
              <w:jc w:val="center"/>
              <w:rPr>
                <w:rFonts w:asciiTheme="majorBidi" w:hAnsiTheme="majorBidi" w:cstheme="majorBidi"/>
                <w:sz w:val="20"/>
                <w:szCs w:val="20"/>
                <w:rtl/>
              </w:rPr>
            </w:pPr>
            <w:r w:rsidRPr="00C000F6">
              <w:rPr>
                <w:rFonts w:asciiTheme="majorBidi" w:hAnsiTheme="majorBidi" w:cstheme="majorBidi"/>
                <w:sz w:val="20"/>
                <w:szCs w:val="20"/>
                <w:rtl/>
              </w:rPr>
              <w:t>2,028</w:t>
            </w:r>
          </w:p>
        </w:tc>
        <w:tc>
          <w:tcPr>
            <w:tcW w:w="2959" w:type="dxa"/>
            <w:vAlign w:val="center"/>
          </w:tcPr>
          <w:p w14:paraId="0772F23D" w14:textId="77777777" w:rsidR="00C000F6" w:rsidRPr="00C000F6" w:rsidRDefault="00C000F6" w:rsidP="00C000F6">
            <w:pPr>
              <w:jc w:val="right"/>
              <w:rPr>
                <w:rFonts w:asciiTheme="majorBidi" w:hAnsiTheme="majorBidi" w:cstheme="majorBidi"/>
                <w:sz w:val="20"/>
                <w:szCs w:val="20"/>
                <w:rtl/>
              </w:rPr>
            </w:pPr>
            <w:r w:rsidRPr="00C000F6">
              <w:rPr>
                <w:rFonts w:asciiTheme="majorBidi" w:hAnsiTheme="majorBidi" w:cstheme="majorBidi"/>
                <w:sz w:val="20"/>
                <w:szCs w:val="20"/>
                <w:rtl/>
              </w:rPr>
              <w:t>2021</w:t>
            </w:r>
          </w:p>
        </w:tc>
      </w:tr>
    </w:tbl>
    <w:p w14:paraId="71561980" w14:textId="77777777" w:rsidR="00C000F6" w:rsidRPr="00C438F1" w:rsidRDefault="00C000F6" w:rsidP="00C000F6">
      <w:pPr>
        <w:pStyle w:val="SingleTxtG"/>
        <w:numPr>
          <w:ilvl w:val="0"/>
          <w:numId w:val="9"/>
        </w:numPr>
        <w:spacing w:line="240" w:lineRule="auto"/>
        <w:ind w:left="284" w:firstLine="0"/>
        <w:rPr>
          <w:rFonts w:asciiTheme="majorBidi" w:hAnsiTheme="majorBidi" w:cstheme="majorBidi"/>
          <w:i/>
          <w:iCs/>
        </w:rPr>
      </w:pPr>
      <w:r w:rsidRPr="00C438F1">
        <w:rPr>
          <w:rFonts w:asciiTheme="majorBidi" w:hAnsiTheme="majorBidi" w:cstheme="majorBidi"/>
          <w:i/>
          <w:iCs/>
        </w:rPr>
        <w:t>Source: MO</w:t>
      </w:r>
      <w:r>
        <w:rPr>
          <w:rFonts w:asciiTheme="majorBidi" w:hAnsiTheme="majorBidi" w:cstheme="majorBidi"/>
          <w:i/>
          <w:iCs/>
        </w:rPr>
        <w:t>WSA</w:t>
      </w:r>
      <w:r w:rsidRPr="00C438F1">
        <w:rPr>
          <w:rFonts w:asciiTheme="majorBidi" w:hAnsiTheme="majorBidi" w:cstheme="majorBidi"/>
          <w:i/>
          <w:iCs/>
        </w:rPr>
        <w:t xml:space="preserve"> (</w:t>
      </w:r>
      <w:r>
        <w:rPr>
          <w:rFonts w:asciiTheme="majorBidi" w:hAnsiTheme="majorBidi" w:cstheme="majorBidi"/>
          <w:i/>
          <w:iCs/>
        </w:rPr>
        <w:t>January</w:t>
      </w:r>
      <w:r w:rsidRPr="00C438F1">
        <w:rPr>
          <w:rFonts w:asciiTheme="majorBidi" w:hAnsiTheme="majorBidi" w:cstheme="majorBidi"/>
          <w:i/>
          <w:iCs/>
        </w:rPr>
        <w:t xml:space="preserve"> 202</w:t>
      </w:r>
      <w:r>
        <w:rPr>
          <w:rFonts w:asciiTheme="majorBidi" w:hAnsiTheme="majorBidi" w:cstheme="majorBidi"/>
          <w:i/>
          <w:iCs/>
        </w:rPr>
        <w:t>2</w:t>
      </w:r>
      <w:r w:rsidRPr="00C438F1">
        <w:rPr>
          <w:rFonts w:asciiTheme="majorBidi" w:hAnsiTheme="majorBidi" w:cstheme="majorBidi"/>
          <w:i/>
          <w:iCs/>
        </w:rPr>
        <w:t>)</w:t>
      </w:r>
    </w:p>
    <w:p w14:paraId="0F1D33E5" w14:textId="77777777" w:rsidR="00F37FC8" w:rsidRPr="00C000F6" w:rsidRDefault="00C000F6" w:rsidP="00C000F6">
      <w:pPr>
        <w:bidi w:val="0"/>
        <w:spacing w:after="120" w:line="360" w:lineRule="auto"/>
        <w:jc w:val="center"/>
        <w:rPr>
          <w:rFonts w:asciiTheme="majorBidi" w:hAnsiTheme="majorBidi" w:cstheme="majorBidi"/>
          <w:b/>
          <w:bCs/>
          <w:sz w:val="24"/>
          <w:szCs w:val="24"/>
          <w:u w:val="single"/>
        </w:rPr>
      </w:pPr>
      <w:r>
        <w:rPr>
          <w:rFonts w:asciiTheme="majorBidi" w:hAnsiTheme="majorBidi" w:cstheme="majorBidi"/>
          <w:b/>
          <w:bCs/>
          <w:sz w:val="24"/>
          <w:szCs w:val="24"/>
          <w:u w:val="single"/>
        </w:rPr>
        <w:t xml:space="preserve">Table No. 8 - </w:t>
      </w:r>
      <w:r w:rsidRPr="00C000F6">
        <w:rPr>
          <w:rFonts w:asciiTheme="majorBidi" w:hAnsiTheme="majorBidi" w:cstheme="majorBidi"/>
          <w:b/>
          <w:bCs/>
          <w:sz w:val="24"/>
          <w:szCs w:val="24"/>
          <w:u w:val="single"/>
        </w:rPr>
        <w:t xml:space="preserve">Data on Sheltered Employment </w:t>
      </w:r>
      <w:r>
        <w:rPr>
          <w:rFonts w:asciiTheme="majorBidi" w:hAnsiTheme="majorBidi" w:cstheme="majorBidi"/>
          <w:b/>
          <w:bCs/>
          <w:sz w:val="24"/>
          <w:szCs w:val="24"/>
          <w:u w:val="single"/>
        </w:rPr>
        <w:t xml:space="preserve">by the </w:t>
      </w:r>
      <w:r w:rsidRPr="00C000F6">
        <w:rPr>
          <w:rFonts w:asciiTheme="majorBidi" w:hAnsiTheme="majorBidi" w:cstheme="majorBidi"/>
          <w:b/>
          <w:bCs/>
          <w:sz w:val="24"/>
          <w:szCs w:val="24"/>
          <w:u w:val="single"/>
        </w:rPr>
        <w:t>Administration</w:t>
      </w:r>
      <w:r>
        <w:rPr>
          <w:rFonts w:asciiTheme="majorBidi" w:hAnsiTheme="majorBidi" w:cstheme="majorBidi"/>
          <w:b/>
          <w:bCs/>
          <w:sz w:val="24"/>
          <w:szCs w:val="24"/>
          <w:u w:val="single"/>
        </w:rPr>
        <w:t xml:space="preserve"> (2017-2021)</w:t>
      </w:r>
      <w:r w:rsidR="00F37FC8" w:rsidRPr="00C000F6">
        <w:rPr>
          <w:rFonts w:asciiTheme="majorBidi" w:hAnsiTheme="majorBidi" w:cstheme="majorBidi"/>
          <w:b/>
          <w:bCs/>
          <w:sz w:val="24"/>
          <w:szCs w:val="24"/>
          <w:u w:val="single"/>
        </w:rPr>
        <w:t>:</w:t>
      </w:r>
    </w:p>
    <w:tbl>
      <w:tblPr>
        <w:tblStyle w:val="TableGrid"/>
        <w:bidiVisual/>
        <w:tblW w:w="8348" w:type="dxa"/>
        <w:tblLook w:val="04A0" w:firstRow="1" w:lastRow="0" w:firstColumn="1" w:lastColumn="0" w:noHBand="0" w:noVBand="1"/>
      </w:tblPr>
      <w:tblGrid>
        <w:gridCol w:w="806"/>
        <w:gridCol w:w="805"/>
        <w:gridCol w:w="805"/>
        <w:gridCol w:w="805"/>
        <w:gridCol w:w="805"/>
        <w:gridCol w:w="1322"/>
        <w:gridCol w:w="3000"/>
      </w:tblGrid>
      <w:tr w:rsidR="00C000F6" w:rsidRPr="00C376CD" w14:paraId="558F023F" w14:textId="77777777" w:rsidTr="00C000F6">
        <w:tc>
          <w:tcPr>
            <w:tcW w:w="806" w:type="dxa"/>
            <w:shd w:val="clear" w:color="auto" w:fill="D9D9D9" w:themeFill="background1" w:themeFillShade="D9"/>
            <w:vAlign w:val="center"/>
          </w:tcPr>
          <w:p w14:paraId="6E5C9D59" w14:textId="77777777" w:rsidR="00C000F6" w:rsidRPr="00C000F6" w:rsidRDefault="00C000F6" w:rsidP="00C000F6">
            <w:pPr>
              <w:bidi w:val="0"/>
              <w:jc w:val="center"/>
              <w:rPr>
                <w:rFonts w:asciiTheme="majorBidi" w:hAnsiTheme="majorBidi" w:cstheme="majorBidi"/>
                <w:b/>
                <w:bCs/>
                <w:sz w:val="20"/>
                <w:szCs w:val="20"/>
                <w:rtl/>
                <w:lang w:eastAsia="zh-CN"/>
              </w:rPr>
            </w:pPr>
            <w:r w:rsidRPr="00C000F6">
              <w:rPr>
                <w:rFonts w:asciiTheme="majorBidi" w:hAnsiTheme="majorBidi" w:cstheme="majorBidi"/>
                <w:b/>
                <w:bCs/>
                <w:sz w:val="20"/>
                <w:szCs w:val="20"/>
                <w:rtl/>
                <w:lang w:eastAsia="zh-CN"/>
              </w:rPr>
              <w:t>2017</w:t>
            </w:r>
          </w:p>
        </w:tc>
        <w:tc>
          <w:tcPr>
            <w:tcW w:w="805" w:type="dxa"/>
            <w:shd w:val="clear" w:color="auto" w:fill="D9D9D9" w:themeFill="background1" w:themeFillShade="D9"/>
            <w:vAlign w:val="center"/>
          </w:tcPr>
          <w:p w14:paraId="720D5245" w14:textId="77777777" w:rsidR="00C000F6" w:rsidRPr="00C000F6" w:rsidRDefault="00C000F6" w:rsidP="00C000F6">
            <w:pPr>
              <w:bidi w:val="0"/>
              <w:jc w:val="center"/>
              <w:rPr>
                <w:rFonts w:asciiTheme="majorBidi" w:hAnsiTheme="majorBidi" w:cstheme="majorBidi"/>
                <w:b/>
                <w:bCs/>
                <w:sz w:val="20"/>
                <w:szCs w:val="20"/>
                <w:rtl/>
                <w:lang w:eastAsia="zh-CN"/>
              </w:rPr>
            </w:pPr>
            <w:r w:rsidRPr="00C000F6">
              <w:rPr>
                <w:rFonts w:asciiTheme="majorBidi" w:hAnsiTheme="majorBidi" w:cstheme="majorBidi"/>
                <w:b/>
                <w:bCs/>
                <w:sz w:val="20"/>
                <w:szCs w:val="20"/>
                <w:rtl/>
                <w:lang w:eastAsia="zh-CN"/>
              </w:rPr>
              <w:t>2018</w:t>
            </w:r>
          </w:p>
        </w:tc>
        <w:tc>
          <w:tcPr>
            <w:tcW w:w="805" w:type="dxa"/>
            <w:shd w:val="clear" w:color="auto" w:fill="D9D9D9" w:themeFill="background1" w:themeFillShade="D9"/>
            <w:vAlign w:val="center"/>
          </w:tcPr>
          <w:p w14:paraId="041A137C" w14:textId="77777777" w:rsidR="00C000F6" w:rsidRPr="00C000F6" w:rsidRDefault="00C000F6" w:rsidP="00C000F6">
            <w:pPr>
              <w:bidi w:val="0"/>
              <w:jc w:val="center"/>
              <w:rPr>
                <w:rFonts w:asciiTheme="majorBidi" w:hAnsiTheme="majorBidi" w:cstheme="majorBidi"/>
                <w:b/>
                <w:bCs/>
                <w:sz w:val="20"/>
                <w:szCs w:val="20"/>
                <w:rtl/>
                <w:lang w:eastAsia="zh-CN"/>
              </w:rPr>
            </w:pPr>
            <w:r w:rsidRPr="00C000F6">
              <w:rPr>
                <w:rFonts w:asciiTheme="majorBidi" w:hAnsiTheme="majorBidi" w:cstheme="majorBidi"/>
                <w:b/>
                <w:bCs/>
                <w:sz w:val="20"/>
                <w:szCs w:val="20"/>
                <w:rtl/>
                <w:lang w:eastAsia="zh-CN"/>
              </w:rPr>
              <w:t>2019</w:t>
            </w:r>
          </w:p>
        </w:tc>
        <w:tc>
          <w:tcPr>
            <w:tcW w:w="805" w:type="dxa"/>
            <w:shd w:val="clear" w:color="auto" w:fill="D9D9D9" w:themeFill="background1" w:themeFillShade="D9"/>
            <w:vAlign w:val="center"/>
          </w:tcPr>
          <w:p w14:paraId="776A3D9B" w14:textId="77777777" w:rsidR="00C000F6" w:rsidRPr="00C000F6" w:rsidRDefault="00C000F6" w:rsidP="00C000F6">
            <w:pPr>
              <w:bidi w:val="0"/>
              <w:jc w:val="center"/>
              <w:rPr>
                <w:rFonts w:asciiTheme="majorBidi" w:hAnsiTheme="majorBidi" w:cstheme="majorBidi"/>
                <w:b/>
                <w:bCs/>
                <w:sz w:val="20"/>
                <w:szCs w:val="20"/>
                <w:rtl/>
                <w:lang w:eastAsia="zh-CN"/>
              </w:rPr>
            </w:pPr>
            <w:r w:rsidRPr="00C000F6">
              <w:rPr>
                <w:rFonts w:asciiTheme="majorBidi" w:hAnsiTheme="majorBidi" w:cstheme="majorBidi"/>
                <w:b/>
                <w:bCs/>
                <w:sz w:val="20"/>
                <w:szCs w:val="20"/>
                <w:rtl/>
                <w:lang w:eastAsia="zh-CN"/>
              </w:rPr>
              <w:t>2020</w:t>
            </w:r>
          </w:p>
        </w:tc>
        <w:tc>
          <w:tcPr>
            <w:tcW w:w="805" w:type="dxa"/>
            <w:shd w:val="clear" w:color="auto" w:fill="D9D9D9" w:themeFill="background1" w:themeFillShade="D9"/>
            <w:vAlign w:val="center"/>
          </w:tcPr>
          <w:p w14:paraId="41CA610A" w14:textId="77777777" w:rsidR="00C000F6" w:rsidRPr="00C000F6" w:rsidRDefault="00C000F6" w:rsidP="00C000F6">
            <w:pPr>
              <w:bidi w:val="0"/>
              <w:jc w:val="center"/>
              <w:rPr>
                <w:rFonts w:asciiTheme="majorBidi" w:hAnsiTheme="majorBidi" w:cstheme="majorBidi"/>
                <w:b/>
                <w:bCs/>
                <w:sz w:val="20"/>
                <w:szCs w:val="20"/>
                <w:rtl/>
                <w:lang w:eastAsia="zh-CN"/>
              </w:rPr>
            </w:pPr>
            <w:r w:rsidRPr="00C000F6">
              <w:rPr>
                <w:rFonts w:asciiTheme="majorBidi" w:hAnsiTheme="majorBidi" w:cstheme="majorBidi"/>
                <w:b/>
                <w:bCs/>
                <w:sz w:val="20"/>
                <w:szCs w:val="20"/>
                <w:rtl/>
                <w:lang w:eastAsia="zh-CN"/>
              </w:rPr>
              <w:t>2021</w:t>
            </w:r>
          </w:p>
        </w:tc>
        <w:tc>
          <w:tcPr>
            <w:tcW w:w="1322" w:type="dxa"/>
            <w:shd w:val="clear" w:color="auto" w:fill="D9D9D9" w:themeFill="background1" w:themeFillShade="D9"/>
            <w:vAlign w:val="center"/>
          </w:tcPr>
          <w:p w14:paraId="0BF98EAF" w14:textId="77777777" w:rsidR="00C000F6" w:rsidRPr="00C000F6" w:rsidRDefault="00C000F6" w:rsidP="00C000F6">
            <w:pPr>
              <w:bidi w:val="0"/>
              <w:jc w:val="center"/>
              <w:rPr>
                <w:rFonts w:asciiTheme="majorBidi" w:hAnsiTheme="majorBidi" w:cstheme="majorBidi"/>
                <w:b/>
                <w:bCs/>
                <w:sz w:val="20"/>
                <w:szCs w:val="20"/>
                <w:rtl/>
                <w:lang w:eastAsia="zh-CN"/>
              </w:rPr>
            </w:pPr>
            <w:r w:rsidRPr="00C000F6">
              <w:rPr>
                <w:rFonts w:asciiTheme="majorBidi" w:hAnsiTheme="majorBidi" w:cstheme="majorBidi"/>
                <w:b/>
                <w:bCs/>
                <w:sz w:val="20"/>
                <w:szCs w:val="20"/>
                <w:lang w:eastAsia="zh-CN"/>
              </w:rPr>
              <w:t>Type of Employment</w:t>
            </w:r>
          </w:p>
        </w:tc>
        <w:tc>
          <w:tcPr>
            <w:tcW w:w="3000" w:type="dxa"/>
            <w:shd w:val="clear" w:color="auto" w:fill="D9D9D9" w:themeFill="background1" w:themeFillShade="D9"/>
            <w:vAlign w:val="center"/>
          </w:tcPr>
          <w:p w14:paraId="7FE37F13" w14:textId="77777777" w:rsidR="00C000F6" w:rsidRPr="00C000F6" w:rsidRDefault="00C000F6" w:rsidP="00C000F6">
            <w:pPr>
              <w:bidi w:val="0"/>
              <w:jc w:val="center"/>
              <w:rPr>
                <w:rFonts w:asciiTheme="majorBidi" w:hAnsiTheme="majorBidi" w:cstheme="majorBidi"/>
                <w:b/>
                <w:bCs/>
                <w:sz w:val="20"/>
                <w:szCs w:val="20"/>
                <w:lang w:eastAsia="zh-CN"/>
              </w:rPr>
            </w:pPr>
            <w:r w:rsidRPr="00C000F6">
              <w:rPr>
                <w:rFonts w:asciiTheme="majorBidi" w:hAnsiTheme="majorBidi" w:cstheme="majorBidi"/>
                <w:b/>
                <w:bCs/>
                <w:sz w:val="20"/>
                <w:szCs w:val="20"/>
                <w:lang w:eastAsia="zh-CN"/>
              </w:rPr>
              <w:t>Type of Disability</w:t>
            </w:r>
          </w:p>
        </w:tc>
      </w:tr>
      <w:tr w:rsidR="00C000F6" w:rsidRPr="00C376CD" w14:paraId="64E26D36" w14:textId="77777777" w:rsidTr="00C000F6">
        <w:tc>
          <w:tcPr>
            <w:tcW w:w="806" w:type="dxa"/>
            <w:vAlign w:val="center"/>
          </w:tcPr>
          <w:p w14:paraId="6A561EF3"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5,375</w:t>
            </w:r>
          </w:p>
        </w:tc>
        <w:tc>
          <w:tcPr>
            <w:tcW w:w="805" w:type="dxa"/>
            <w:vAlign w:val="center"/>
          </w:tcPr>
          <w:p w14:paraId="04EE37FB"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5,385</w:t>
            </w:r>
          </w:p>
        </w:tc>
        <w:tc>
          <w:tcPr>
            <w:tcW w:w="805" w:type="dxa"/>
            <w:vAlign w:val="center"/>
          </w:tcPr>
          <w:p w14:paraId="41E65AA5"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5,319</w:t>
            </w:r>
          </w:p>
        </w:tc>
        <w:tc>
          <w:tcPr>
            <w:tcW w:w="805" w:type="dxa"/>
            <w:vAlign w:val="center"/>
          </w:tcPr>
          <w:p w14:paraId="3D304A34"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5,179</w:t>
            </w:r>
          </w:p>
        </w:tc>
        <w:tc>
          <w:tcPr>
            <w:tcW w:w="805" w:type="dxa"/>
            <w:vAlign w:val="center"/>
          </w:tcPr>
          <w:p w14:paraId="009B73B4"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5,144</w:t>
            </w:r>
          </w:p>
        </w:tc>
        <w:tc>
          <w:tcPr>
            <w:tcW w:w="1322" w:type="dxa"/>
            <w:vAlign w:val="center"/>
          </w:tcPr>
          <w:p w14:paraId="66B26674" w14:textId="77777777" w:rsidR="00C000F6" w:rsidRPr="00C376CD" w:rsidRDefault="00C000F6" w:rsidP="00C000F6">
            <w:pPr>
              <w:bidi w:val="0"/>
              <w:rPr>
                <w:rFonts w:asciiTheme="majorBidi" w:hAnsiTheme="majorBidi" w:cstheme="majorBidi"/>
                <w:sz w:val="20"/>
                <w:szCs w:val="20"/>
                <w:lang w:eastAsia="zh-CN"/>
              </w:rPr>
            </w:pPr>
            <w:r w:rsidRPr="00C376CD">
              <w:rPr>
                <w:rFonts w:asciiTheme="majorBidi" w:hAnsiTheme="majorBidi" w:cstheme="majorBidi"/>
                <w:sz w:val="20"/>
                <w:szCs w:val="20"/>
                <w:lang w:eastAsia="zh-CN"/>
              </w:rPr>
              <w:t>Sheltered employment</w:t>
            </w:r>
          </w:p>
        </w:tc>
        <w:tc>
          <w:tcPr>
            <w:tcW w:w="3000" w:type="dxa"/>
            <w:vAlign w:val="center"/>
          </w:tcPr>
          <w:p w14:paraId="65115478" w14:textId="77777777" w:rsidR="00C000F6" w:rsidRPr="00C376CD" w:rsidRDefault="00C000F6" w:rsidP="00C000F6">
            <w:pPr>
              <w:bidi w:val="0"/>
              <w:rPr>
                <w:rFonts w:asciiTheme="majorBidi" w:hAnsiTheme="majorBidi" w:cstheme="majorBidi"/>
                <w:sz w:val="20"/>
                <w:szCs w:val="20"/>
                <w:lang w:eastAsia="zh-CN"/>
              </w:rPr>
            </w:pPr>
            <w:r w:rsidRPr="00C376CD">
              <w:rPr>
                <w:rFonts w:asciiTheme="majorBidi" w:hAnsiTheme="majorBidi" w:cstheme="majorBidi"/>
                <w:sz w:val="20"/>
                <w:szCs w:val="20"/>
                <w:lang w:eastAsia="zh-CN"/>
              </w:rPr>
              <w:t>Intellectual-Developmental Disability</w:t>
            </w:r>
          </w:p>
        </w:tc>
      </w:tr>
      <w:tr w:rsidR="00C000F6" w:rsidRPr="00C376CD" w14:paraId="078AF611" w14:textId="77777777" w:rsidTr="00C000F6">
        <w:tc>
          <w:tcPr>
            <w:tcW w:w="806" w:type="dxa"/>
            <w:vAlign w:val="center"/>
          </w:tcPr>
          <w:p w14:paraId="5D84A6DA"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191</w:t>
            </w:r>
          </w:p>
        </w:tc>
        <w:tc>
          <w:tcPr>
            <w:tcW w:w="805" w:type="dxa"/>
            <w:vAlign w:val="center"/>
          </w:tcPr>
          <w:p w14:paraId="4501EB29"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252</w:t>
            </w:r>
          </w:p>
        </w:tc>
        <w:tc>
          <w:tcPr>
            <w:tcW w:w="805" w:type="dxa"/>
            <w:vAlign w:val="center"/>
          </w:tcPr>
          <w:p w14:paraId="75A7684C"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316</w:t>
            </w:r>
          </w:p>
        </w:tc>
        <w:tc>
          <w:tcPr>
            <w:tcW w:w="805" w:type="dxa"/>
            <w:vAlign w:val="center"/>
          </w:tcPr>
          <w:p w14:paraId="325914BC"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392</w:t>
            </w:r>
          </w:p>
        </w:tc>
        <w:tc>
          <w:tcPr>
            <w:tcW w:w="805" w:type="dxa"/>
            <w:vAlign w:val="center"/>
          </w:tcPr>
          <w:p w14:paraId="1E7D4425"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464</w:t>
            </w:r>
          </w:p>
        </w:tc>
        <w:tc>
          <w:tcPr>
            <w:tcW w:w="1322" w:type="dxa"/>
            <w:vAlign w:val="center"/>
          </w:tcPr>
          <w:p w14:paraId="46ABFCBC" w14:textId="77777777" w:rsidR="00C000F6" w:rsidRPr="00C376CD" w:rsidRDefault="00C000F6" w:rsidP="00C000F6">
            <w:pPr>
              <w:bidi w:val="0"/>
              <w:rPr>
                <w:rFonts w:asciiTheme="majorBidi" w:hAnsiTheme="majorBidi" w:cstheme="majorBidi"/>
                <w:sz w:val="20"/>
                <w:szCs w:val="20"/>
                <w:rtl/>
                <w:lang w:eastAsia="zh-CN"/>
              </w:rPr>
            </w:pPr>
            <w:r w:rsidRPr="00C376CD">
              <w:rPr>
                <w:rFonts w:asciiTheme="majorBidi" w:hAnsiTheme="majorBidi" w:cstheme="majorBidi"/>
                <w:sz w:val="20"/>
                <w:szCs w:val="20"/>
                <w:lang w:eastAsia="zh-CN"/>
              </w:rPr>
              <w:t>Sheltered employment</w:t>
            </w:r>
          </w:p>
        </w:tc>
        <w:tc>
          <w:tcPr>
            <w:tcW w:w="3000" w:type="dxa"/>
            <w:vAlign w:val="center"/>
          </w:tcPr>
          <w:p w14:paraId="4F0B821A" w14:textId="77777777" w:rsidR="00C000F6" w:rsidRPr="00C376CD" w:rsidRDefault="00C000F6" w:rsidP="00C000F6">
            <w:pPr>
              <w:bidi w:val="0"/>
              <w:rPr>
                <w:rFonts w:asciiTheme="majorBidi" w:hAnsiTheme="majorBidi" w:cstheme="majorBidi"/>
                <w:sz w:val="20"/>
                <w:szCs w:val="20"/>
                <w:lang w:eastAsia="zh-CN"/>
              </w:rPr>
            </w:pPr>
            <w:r w:rsidRPr="00C376CD">
              <w:rPr>
                <w:rFonts w:asciiTheme="majorBidi" w:hAnsiTheme="majorBidi" w:cstheme="majorBidi"/>
                <w:sz w:val="20"/>
                <w:szCs w:val="20"/>
                <w:lang w:eastAsia="zh-CN"/>
              </w:rPr>
              <w:t>Autism</w:t>
            </w:r>
          </w:p>
        </w:tc>
      </w:tr>
      <w:tr w:rsidR="00C000F6" w:rsidRPr="00C376CD" w14:paraId="695A0FD7" w14:textId="77777777" w:rsidTr="00C000F6">
        <w:tc>
          <w:tcPr>
            <w:tcW w:w="806" w:type="dxa"/>
            <w:vAlign w:val="center"/>
          </w:tcPr>
          <w:p w14:paraId="790E9CC0"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671</w:t>
            </w:r>
          </w:p>
        </w:tc>
        <w:tc>
          <w:tcPr>
            <w:tcW w:w="805" w:type="dxa"/>
            <w:vAlign w:val="center"/>
          </w:tcPr>
          <w:p w14:paraId="40A062E4"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688</w:t>
            </w:r>
          </w:p>
        </w:tc>
        <w:tc>
          <w:tcPr>
            <w:tcW w:w="805" w:type="dxa"/>
            <w:vAlign w:val="center"/>
          </w:tcPr>
          <w:p w14:paraId="63FEA974"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673</w:t>
            </w:r>
          </w:p>
        </w:tc>
        <w:tc>
          <w:tcPr>
            <w:tcW w:w="805" w:type="dxa"/>
            <w:vAlign w:val="center"/>
          </w:tcPr>
          <w:p w14:paraId="3BB7C52C"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662</w:t>
            </w:r>
          </w:p>
        </w:tc>
        <w:tc>
          <w:tcPr>
            <w:tcW w:w="805" w:type="dxa"/>
            <w:vAlign w:val="center"/>
          </w:tcPr>
          <w:p w14:paraId="1413F065"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609</w:t>
            </w:r>
          </w:p>
        </w:tc>
        <w:tc>
          <w:tcPr>
            <w:tcW w:w="1322" w:type="dxa"/>
            <w:vAlign w:val="center"/>
          </w:tcPr>
          <w:p w14:paraId="5BFA0A23" w14:textId="77777777" w:rsidR="00C000F6" w:rsidRPr="00C376CD" w:rsidRDefault="00C000F6" w:rsidP="00C000F6">
            <w:pPr>
              <w:bidi w:val="0"/>
              <w:rPr>
                <w:rFonts w:asciiTheme="majorBidi" w:hAnsiTheme="majorBidi" w:cstheme="majorBidi"/>
                <w:sz w:val="20"/>
                <w:szCs w:val="20"/>
                <w:rtl/>
                <w:lang w:eastAsia="zh-CN"/>
              </w:rPr>
            </w:pPr>
            <w:r w:rsidRPr="00C376CD">
              <w:rPr>
                <w:rFonts w:asciiTheme="majorBidi" w:hAnsiTheme="majorBidi" w:cstheme="majorBidi"/>
                <w:sz w:val="20"/>
                <w:szCs w:val="20"/>
                <w:lang w:eastAsia="zh-CN"/>
              </w:rPr>
              <w:t>Sheltered employment</w:t>
            </w:r>
          </w:p>
        </w:tc>
        <w:tc>
          <w:tcPr>
            <w:tcW w:w="3000" w:type="dxa"/>
            <w:vAlign w:val="center"/>
          </w:tcPr>
          <w:p w14:paraId="2263CA71" w14:textId="77777777" w:rsidR="00C000F6" w:rsidRPr="00C376CD" w:rsidRDefault="00C000F6" w:rsidP="00C000F6">
            <w:pPr>
              <w:bidi w:val="0"/>
              <w:rPr>
                <w:rFonts w:asciiTheme="majorBidi" w:hAnsiTheme="majorBidi" w:cstheme="majorBidi"/>
                <w:sz w:val="20"/>
                <w:szCs w:val="20"/>
                <w:lang w:eastAsia="zh-CN"/>
              </w:rPr>
            </w:pPr>
            <w:r w:rsidRPr="00C376CD">
              <w:rPr>
                <w:rFonts w:asciiTheme="majorBidi" w:hAnsiTheme="majorBidi" w:cstheme="majorBidi"/>
                <w:sz w:val="20"/>
                <w:szCs w:val="20"/>
              </w:rPr>
              <w:t>Visually impaired</w:t>
            </w:r>
          </w:p>
        </w:tc>
      </w:tr>
      <w:tr w:rsidR="00C000F6" w:rsidRPr="00C376CD" w14:paraId="6E3410CC" w14:textId="77777777" w:rsidTr="00C000F6">
        <w:tc>
          <w:tcPr>
            <w:tcW w:w="806" w:type="dxa"/>
            <w:vAlign w:val="center"/>
          </w:tcPr>
          <w:p w14:paraId="3F1E8D30" w14:textId="77777777" w:rsidR="00C000F6" w:rsidRPr="00C376CD" w:rsidRDefault="00C000F6" w:rsidP="00C000F6">
            <w:pPr>
              <w:bidi w:val="0"/>
              <w:jc w:val="center"/>
              <w:rPr>
                <w:rFonts w:asciiTheme="majorBidi" w:hAnsiTheme="majorBidi" w:cstheme="majorBidi"/>
                <w:sz w:val="20"/>
                <w:szCs w:val="20"/>
                <w:lang w:eastAsia="zh-CN"/>
              </w:rPr>
            </w:pPr>
            <w:r w:rsidRPr="00C376CD">
              <w:rPr>
                <w:rFonts w:asciiTheme="majorBidi" w:hAnsiTheme="majorBidi" w:cstheme="majorBidi"/>
                <w:sz w:val="20"/>
                <w:szCs w:val="20"/>
              </w:rPr>
              <w:t>2,719</w:t>
            </w:r>
          </w:p>
        </w:tc>
        <w:tc>
          <w:tcPr>
            <w:tcW w:w="805" w:type="dxa"/>
            <w:vAlign w:val="center"/>
          </w:tcPr>
          <w:p w14:paraId="121B3B5D"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2,870</w:t>
            </w:r>
          </w:p>
        </w:tc>
        <w:tc>
          <w:tcPr>
            <w:tcW w:w="805" w:type="dxa"/>
            <w:vAlign w:val="center"/>
          </w:tcPr>
          <w:p w14:paraId="39C118DB"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3,003</w:t>
            </w:r>
          </w:p>
        </w:tc>
        <w:tc>
          <w:tcPr>
            <w:tcW w:w="805" w:type="dxa"/>
            <w:vAlign w:val="center"/>
          </w:tcPr>
          <w:p w14:paraId="3FE35AA2"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3,103</w:t>
            </w:r>
          </w:p>
        </w:tc>
        <w:tc>
          <w:tcPr>
            <w:tcW w:w="805" w:type="dxa"/>
            <w:vAlign w:val="center"/>
          </w:tcPr>
          <w:p w14:paraId="1018C0DC"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3,301</w:t>
            </w:r>
          </w:p>
        </w:tc>
        <w:tc>
          <w:tcPr>
            <w:tcW w:w="1322" w:type="dxa"/>
            <w:vAlign w:val="center"/>
          </w:tcPr>
          <w:p w14:paraId="20AB80C1" w14:textId="77777777" w:rsidR="00C000F6" w:rsidRPr="00C376CD" w:rsidRDefault="00C000F6" w:rsidP="00C000F6">
            <w:pPr>
              <w:bidi w:val="0"/>
              <w:rPr>
                <w:rFonts w:asciiTheme="majorBidi" w:hAnsiTheme="majorBidi" w:cstheme="majorBidi"/>
                <w:sz w:val="20"/>
                <w:szCs w:val="20"/>
                <w:rtl/>
                <w:lang w:eastAsia="zh-CN"/>
              </w:rPr>
            </w:pPr>
            <w:r w:rsidRPr="00C376CD">
              <w:rPr>
                <w:rFonts w:asciiTheme="majorBidi" w:hAnsiTheme="majorBidi" w:cstheme="majorBidi"/>
                <w:sz w:val="20"/>
                <w:szCs w:val="20"/>
                <w:lang w:eastAsia="zh-CN"/>
              </w:rPr>
              <w:t>Sheltered employment</w:t>
            </w:r>
          </w:p>
        </w:tc>
        <w:tc>
          <w:tcPr>
            <w:tcW w:w="3000" w:type="dxa"/>
            <w:vAlign w:val="center"/>
          </w:tcPr>
          <w:p w14:paraId="6E7734DE" w14:textId="77777777" w:rsidR="00C000F6" w:rsidRPr="00C376CD" w:rsidRDefault="00C000F6" w:rsidP="00C000F6">
            <w:pPr>
              <w:bidi w:val="0"/>
              <w:rPr>
                <w:rFonts w:asciiTheme="majorBidi" w:hAnsiTheme="majorBidi" w:cstheme="majorBidi"/>
                <w:sz w:val="20"/>
                <w:szCs w:val="20"/>
                <w:lang w:eastAsia="zh-CN"/>
              </w:rPr>
            </w:pPr>
            <w:r w:rsidRPr="00C376CD">
              <w:rPr>
                <w:rFonts w:asciiTheme="majorBidi" w:hAnsiTheme="majorBidi" w:cstheme="majorBidi"/>
                <w:sz w:val="20"/>
                <w:szCs w:val="20"/>
                <w:lang w:eastAsia="zh-CN"/>
              </w:rPr>
              <w:t xml:space="preserve">Rehabilitation and physical disability </w:t>
            </w:r>
          </w:p>
        </w:tc>
      </w:tr>
      <w:tr w:rsidR="00C000F6" w:rsidRPr="00C376CD" w14:paraId="5DD25A6C" w14:textId="77777777" w:rsidTr="00C000F6">
        <w:tc>
          <w:tcPr>
            <w:tcW w:w="806" w:type="dxa"/>
            <w:vAlign w:val="center"/>
          </w:tcPr>
          <w:p w14:paraId="5E754E87"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8,956</w:t>
            </w:r>
          </w:p>
        </w:tc>
        <w:tc>
          <w:tcPr>
            <w:tcW w:w="805" w:type="dxa"/>
            <w:vAlign w:val="center"/>
          </w:tcPr>
          <w:p w14:paraId="55528AF3"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9,195</w:t>
            </w:r>
          </w:p>
        </w:tc>
        <w:tc>
          <w:tcPr>
            <w:tcW w:w="805" w:type="dxa"/>
            <w:vAlign w:val="center"/>
          </w:tcPr>
          <w:p w14:paraId="5AA97A6C"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9,311</w:t>
            </w:r>
          </w:p>
        </w:tc>
        <w:tc>
          <w:tcPr>
            <w:tcW w:w="805" w:type="dxa"/>
            <w:vAlign w:val="center"/>
          </w:tcPr>
          <w:p w14:paraId="32CA5B86"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9,336</w:t>
            </w:r>
          </w:p>
        </w:tc>
        <w:tc>
          <w:tcPr>
            <w:tcW w:w="805" w:type="dxa"/>
            <w:vAlign w:val="center"/>
          </w:tcPr>
          <w:p w14:paraId="1825F8CD" w14:textId="77777777" w:rsidR="00C000F6" w:rsidRPr="00C376CD" w:rsidRDefault="00C000F6" w:rsidP="00C000F6">
            <w:pPr>
              <w:bidi w:val="0"/>
              <w:jc w:val="center"/>
              <w:rPr>
                <w:rFonts w:asciiTheme="majorBidi" w:hAnsiTheme="majorBidi" w:cstheme="majorBidi"/>
                <w:sz w:val="20"/>
                <w:szCs w:val="20"/>
                <w:rtl/>
                <w:lang w:eastAsia="zh-CN"/>
              </w:rPr>
            </w:pPr>
            <w:r w:rsidRPr="00C376CD">
              <w:rPr>
                <w:rFonts w:asciiTheme="majorBidi" w:hAnsiTheme="majorBidi" w:cstheme="majorBidi"/>
                <w:sz w:val="20"/>
                <w:szCs w:val="20"/>
              </w:rPr>
              <w:t>9,518</w:t>
            </w:r>
          </w:p>
        </w:tc>
        <w:tc>
          <w:tcPr>
            <w:tcW w:w="1322" w:type="dxa"/>
            <w:vAlign w:val="center"/>
          </w:tcPr>
          <w:p w14:paraId="03C69124" w14:textId="77777777" w:rsidR="00C000F6" w:rsidRPr="00C376CD" w:rsidRDefault="00C000F6" w:rsidP="00C000F6">
            <w:pPr>
              <w:bidi w:val="0"/>
              <w:rPr>
                <w:rFonts w:asciiTheme="majorBidi" w:hAnsiTheme="majorBidi" w:cstheme="majorBidi"/>
                <w:sz w:val="20"/>
                <w:szCs w:val="20"/>
                <w:rtl/>
                <w:lang w:eastAsia="zh-CN"/>
              </w:rPr>
            </w:pPr>
          </w:p>
        </w:tc>
        <w:tc>
          <w:tcPr>
            <w:tcW w:w="3000" w:type="dxa"/>
            <w:vAlign w:val="center"/>
          </w:tcPr>
          <w:p w14:paraId="73BABC2F" w14:textId="77777777" w:rsidR="00C000F6" w:rsidRPr="00C376CD" w:rsidRDefault="00C000F6" w:rsidP="00C000F6">
            <w:pPr>
              <w:bidi w:val="0"/>
              <w:jc w:val="center"/>
              <w:rPr>
                <w:rFonts w:asciiTheme="majorBidi" w:hAnsiTheme="majorBidi" w:cstheme="majorBidi"/>
                <w:sz w:val="20"/>
                <w:szCs w:val="20"/>
                <w:lang w:eastAsia="zh-CN"/>
              </w:rPr>
            </w:pPr>
            <w:r w:rsidRPr="00C376CD">
              <w:rPr>
                <w:rFonts w:asciiTheme="majorBidi" w:hAnsiTheme="majorBidi" w:cstheme="majorBidi"/>
                <w:sz w:val="20"/>
                <w:szCs w:val="20"/>
                <w:lang w:eastAsia="zh-CN"/>
              </w:rPr>
              <w:t>Total</w:t>
            </w:r>
          </w:p>
        </w:tc>
      </w:tr>
    </w:tbl>
    <w:p w14:paraId="69E3CB1B" w14:textId="77777777" w:rsidR="00C000F6" w:rsidRPr="00C438F1" w:rsidRDefault="00C000F6" w:rsidP="00C000F6">
      <w:pPr>
        <w:pStyle w:val="SingleTxtG"/>
        <w:numPr>
          <w:ilvl w:val="0"/>
          <w:numId w:val="9"/>
        </w:numPr>
        <w:spacing w:line="240" w:lineRule="auto"/>
        <w:ind w:left="284" w:firstLine="0"/>
        <w:rPr>
          <w:rFonts w:asciiTheme="majorBidi" w:hAnsiTheme="majorBidi" w:cstheme="majorBidi"/>
          <w:i/>
          <w:iCs/>
        </w:rPr>
      </w:pPr>
      <w:r w:rsidRPr="00C438F1">
        <w:rPr>
          <w:rFonts w:asciiTheme="majorBidi" w:hAnsiTheme="majorBidi" w:cstheme="majorBidi"/>
          <w:i/>
          <w:iCs/>
        </w:rPr>
        <w:t>Source: MO</w:t>
      </w:r>
      <w:r>
        <w:rPr>
          <w:rFonts w:asciiTheme="majorBidi" w:hAnsiTheme="majorBidi" w:cstheme="majorBidi"/>
          <w:i/>
          <w:iCs/>
        </w:rPr>
        <w:t>WSA</w:t>
      </w:r>
      <w:r w:rsidRPr="00C438F1">
        <w:rPr>
          <w:rFonts w:asciiTheme="majorBidi" w:hAnsiTheme="majorBidi" w:cstheme="majorBidi"/>
          <w:i/>
          <w:iCs/>
        </w:rPr>
        <w:t xml:space="preserve"> (</w:t>
      </w:r>
      <w:r>
        <w:rPr>
          <w:rFonts w:asciiTheme="majorBidi" w:hAnsiTheme="majorBidi" w:cstheme="majorBidi"/>
          <w:i/>
          <w:iCs/>
        </w:rPr>
        <w:t>January</w:t>
      </w:r>
      <w:r w:rsidRPr="00C438F1">
        <w:rPr>
          <w:rFonts w:asciiTheme="majorBidi" w:hAnsiTheme="majorBidi" w:cstheme="majorBidi"/>
          <w:i/>
          <w:iCs/>
        </w:rPr>
        <w:t xml:space="preserve"> 202</w:t>
      </w:r>
      <w:r>
        <w:rPr>
          <w:rFonts w:asciiTheme="majorBidi" w:hAnsiTheme="majorBidi" w:cstheme="majorBidi"/>
          <w:i/>
          <w:iCs/>
        </w:rPr>
        <w:t>2</w:t>
      </w:r>
      <w:r w:rsidRPr="00C438F1">
        <w:rPr>
          <w:rFonts w:asciiTheme="majorBidi" w:hAnsiTheme="majorBidi" w:cstheme="majorBidi"/>
          <w:i/>
          <w:iCs/>
        </w:rPr>
        <w:t>)</w:t>
      </w:r>
    </w:p>
    <w:p w14:paraId="62F3BDE6" w14:textId="77777777" w:rsidR="00F37FC8" w:rsidRPr="00976C66" w:rsidRDefault="00F37FC8" w:rsidP="0050316B">
      <w:pPr>
        <w:pStyle w:val="Heading2"/>
        <w:spacing w:before="0" w:after="0"/>
      </w:pPr>
      <w:r w:rsidRPr="00976C66">
        <w:t>Adequate standard of living and social protection (Article 28)</w:t>
      </w:r>
    </w:p>
    <w:p w14:paraId="3BC8FA65" w14:textId="77777777" w:rsidR="00F37FC8" w:rsidRPr="0050316B"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56" w:name="_Toc100224062"/>
      <w:r w:rsidRPr="0050316B">
        <w:rPr>
          <w:rFonts w:asciiTheme="majorBidi" w:hAnsiTheme="majorBidi"/>
          <w:b/>
          <w:bCs/>
          <w:color w:val="auto"/>
          <w:sz w:val="24"/>
          <w:szCs w:val="24"/>
          <w:u w:val="single"/>
        </w:rPr>
        <w:t>Question 29</w:t>
      </w:r>
      <w:bookmarkEnd w:id="56"/>
    </w:p>
    <w:p w14:paraId="283AC65D" w14:textId="77777777" w:rsidR="00F37FC8" w:rsidRPr="008427F3" w:rsidRDefault="00F37FC8" w:rsidP="008427F3">
      <w:pPr>
        <w:pStyle w:val="Heading3"/>
      </w:pPr>
      <w:bookmarkStart w:id="57" w:name="_Hlk78053941"/>
      <w:r w:rsidRPr="008427F3">
        <w:t>Social Benefits</w:t>
      </w:r>
    </w:p>
    <w:p w14:paraId="71D8B72C" w14:textId="77777777" w:rsidR="00F37FC8" w:rsidRPr="00C000F6" w:rsidRDefault="00C000F6" w:rsidP="00C000F6">
      <w:pPr>
        <w:bidi w:val="0"/>
        <w:spacing w:after="120" w:line="360" w:lineRule="auto"/>
        <w:jc w:val="center"/>
        <w:rPr>
          <w:rFonts w:asciiTheme="majorBidi" w:hAnsiTheme="majorBidi" w:cstheme="majorBidi"/>
          <w:b/>
          <w:bCs/>
          <w:sz w:val="24"/>
          <w:szCs w:val="24"/>
          <w:u w:val="single"/>
        </w:rPr>
      </w:pPr>
      <w:r w:rsidRPr="00C000F6">
        <w:rPr>
          <w:rFonts w:asciiTheme="majorBidi" w:hAnsiTheme="majorBidi" w:cstheme="majorBidi"/>
          <w:b/>
          <w:bCs/>
          <w:sz w:val="24"/>
          <w:szCs w:val="24"/>
          <w:u w:val="single"/>
        </w:rPr>
        <w:t xml:space="preserve">Table No. 9 - </w:t>
      </w:r>
      <w:r w:rsidR="00F37FC8" w:rsidRPr="00C000F6">
        <w:rPr>
          <w:rFonts w:asciiTheme="majorBidi" w:hAnsiTheme="majorBidi" w:cstheme="majorBidi"/>
          <w:b/>
          <w:bCs/>
          <w:sz w:val="24"/>
          <w:szCs w:val="24"/>
          <w:u w:val="single"/>
        </w:rPr>
        <w:t xml:space="preserve">PWD </w:t>
      </w:r>
      <w:r w:rsidRPr="00C000F6">
        <w:rPr>
          <w:rFonts w:asciiTheme="majorBidi" w:hAnsiTheme="majorBidi" w:cstheme="majorBidi"/>
          <w:b/>
          <w:bCs/>
          <w:sz w:val="24"/>
          <w:szCs w:val="24"/>
          <w:u w:val="single"/>
        </w:rPr>
        <w:t>R</w:t>
      </w:r>
      <w:r w:rsidR="00F37FC8" w:rsidRPr="00C000F6">
        <w:rPr>
          <w:rFonts w:asciiTheme="majorBidi" w:hAnsiTheme="majorBidi" w:cstheme="majorBidi"/>
          <w:b/>
          <w:bCs/>
          <w:sz w:val="24"/>
          <w:szCs w:val="24"/>
          <w:u w:val="single"/>
        </w:rPr>
        <w:t xml:space="preserve">eceiving </w:t>
      </w:r>
      <w:r w:rsidRPr="00C000F6">
        <w:rPr>
          <w:rFonts w:asciiTheme="majorBidi" w:hAnsiTheme="majorBidi" w:cstheme="majorBidi"/>
          <w:b/>
          <w:bCs/>
          <w:sz w:val="24"/>
          <w:szCs w:val="24"/>
          <w:u w:val="single"/>
        </w:rPr>
        <w:t>D</w:t>
      </w:r>
      <w:r w:rsidR="00F37FC8" w:rsidRPr="00C000F6">
        <w:rPr>
          <w:rFonts w:asciiTheme="majorBidi" w:hAnsiTheme="majorBidi" w:cstheme="majorBidi"/>
          <w:b/>
          <w:bCs/>
          <w:sz w:val="24"/>
          <w:szCs w:val="24"/>
          <w:u w:val="single"/>
        </w:rPr>
        <w:t xml:space="preserve">isability </w:t>
      </w:r>
      <w:r w:rsidRPr="00C000F6">
        <w:rPr>
          <w:rFonts w:asciiTheme="majorBidi" w:hAnsiTheme="majorBidi" w:cstheme="majorBidi"/>
          <w:b/>
          <w:bCs/>
          <w:sz w:val="24"/>
          <w:szCs w:val="24"/>
          <w:u w:val="single"/>
        </w:rPr>
        <w:t>G</w:t>
      </w:r>
      <w:r w:rsidR="00F37FC8" w:rsidRPr="00C000F6">
        <w:rPr>
          <w:rFonts w:asciiTheme="majorBidi" w:hAnsiTheme="majorBidi" w:cstheme="majorBidi"/>
          <w:b/>
          <w:bCs/>
          <w:sz w:val="24"/>
          <w:szCs w:val="24"/>
          <w:u w:val="single"/>
        </w:rPr>
        <w:t>rants from the NII.</w:t>
      </w:r>
    </w:p>
    <w:tbl>
      <w:tblPr>
        <w:tblStyle w:val="TableGrid"/>
        <w:tblW w:w="0" w:type="auto"/>
        <w:tblLook w:val="04A0" w:firstRow="1" w:lastRow="0" w:firstColumn="1" w:lastColumn="0" w:noHBand="0" w:noVBand="1"/>
      </w:tblPr>
      <w:tblGrid>
        <w:gridCol w:w="1104"/>
        <w:gridCol w:w="1206"/>
        <w:gridCol w:w="1087"/>
        <w:gridCol w:w="1327"/>
        <w:gridCol w:w="1190"/>
        <w:gridCol w:w="1027"/>
        <w:gridCol w:w="1355"/>
      </w:tblGrid>
      <w:tr w:rsidR="00F37FC8" w:rsidRPr="00C376CD" w14:paraId="605E8C1B" w14:textId="77777777" w:rsidTr="00C000F6">
        <w:tc>
          <w:tcPr>
            <w:tcW w:w="1104" w:type="dxa"/>
            <w:vMerge w:val="restart"/>
            <w:shd w:val="clear" w:color="auto" w:fill="D9D9D9" w:themeFill="background1" w:themeFillShade="D9"/>
            <w:vAlign w:val="center"/>
          </w:tcPr>
          <w:p w14:paraId="21F80793"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Gender</w:t>
            </w:r>
          </w:p>
        </w:tc>
        <w:tc>
          <w:tcPr>
            <w:tcW w:w="3620" w:type="dxa"/>
            <w:gridSpan w:val="3"/>
            <w:shd w:val="clear" w:color="auto" w:fill="D9D9D9" w:themeFill="background1" w:themeFillShade="D9"/>
            <w:vAlign w:val="center"/>
          </w:tcPr>
          <w:p w14:paraId="43475E28"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Adults with disabilities</w:t>
            </w:r>
          </w:p>
        </w:tc>
        <w:tc>
          <w:tcPr>
            <w:tcW w:w="3572" w:type="dxa"/>
            <w:gridSpan w:val="3"/>
            <w:shd w:val="clear" w:color="auto" w:fill="D9D9D9" w:themeFill="background1" w:themeFillShade="D9"/>
            <w:vAlign w:val="center"/>
          </w:tcPr>
          <w:p w14:paraId="23F3F083"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Eligibility for a child with disabilities</w:t>
            </w:r>
          </w:p>
        </w:tc>
      </w:tr>
      <w:tr w:rsidR="00F37FC8" w:rsidRPr="00C376CD" w14:paraId="0DC82D1D" w14:textId="77777777" w:rsidTr="00C000F6">
        <w:tc>
          <w:tcPr>
            <w:tcW w:w="1104" w:type="dxa"/>
            <w:vMerge/>
            <w:shd w:val="clear" w:color="auto" w:fill="D9D9D9" w:themeFill="background1" w:themeFillShade="D9"/>
            <w:vAlign w:val="center"/>
          </w:tcPr>
          <w:p w14:paraId="2631E2B1"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p>
        </w:tc>
        <w:tc>
          <w:tcPr>
            <w:tcW w:w="1206" w:type="dxa"/>
            <w:shd w:val="clear" w:color="auto" w:fill="D9D9D9" w:themeFill="background1" w:themeFillShade="D9"/>
            <w:vAlign w:val="center"/>
          </w:tcPr>
          <w:p w14:paraId="62D275F1"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Total</w:t>
            </w:r>
          </w:p>
        </w:tc>
        <w:tc>
          <w:tcPr>
            <w:tcW w:w="1087" w:type="dxa"/>
            <w:shd w:val="clear" w:color="auto" w:fill="D9D9D9" w:themeFill="background1" w:themeFillShade="D9"/>
            <w:vAlign w:val="center"/>
          </w:tcPr>
          <w:p w14:paraId="3F038FFE"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Jewish</w:t>
            </w:r>
          </w:p>
        </w:tc>
        <w:tc>
          <w:tcPr>
            <w:tcW w:w="1327" w:type="dxa"/>
            <w:shd w:val="clear" w:color="auto" w:fill="D9D9D9" w:themeFill="background1" w:themeFillShade="D9"/>
            <w:vAlign w:val="center"/>
          </w:tcPr>
          <w:p w14:paraId="06B7DD44"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Non-Jewish</w:t>
            </w:r>
          </w:p>
        </w:tc>
        <w:tc>
          <w:tcPr>
            <w:tcW w:w="1190" w:type="dxa"/>
            <w:shd w:val="clear" w:color="auto" w:fill="D9D9D9" w:themeFill="background1" w:themeFillShade="D9"/>
            <w:vAlign w:val="center"/>
          </w:tcPr>
          <w:p w14:paraId="56B032F3"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Total</w:t>
            </w:r>
          </w:p>
        </w:tc>
        <w:tc>
          <w:tcPr>
            <w:tcW w:w="1027" w:type="dxa"/>
            <w:shd w:val="clear" w:color="auto" w:fill="D9D9D9" w:themeFill="background1" w:themeFillShade="D9"/>
            <w:vAlign w:val="center"/>
          </w:tcPr>
          <w:p w14:paraId="409F656D"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Jewish</w:t>
            </w:r>
          </w:p>
        </w:tc>
        <w:tc>
          <w:tcPr>
            <w:tcW w:w="1355" w:type="dxa"/>
            <w:shd w:val="clear" w:color="auto" w:fill="D9D9D9" w:themeFill="background1" w:themeFillShade="D9"/>
            <w:vAlign w:val="center"/>
          </w:tcPr>
          <w:p w14:paraId="3E02D593" w14:textId="77777777" w:rsidR="00F37FC8" w:rsidRPr="008F5248" w:rsidRDefault="00F37FC8" w:rsidP="0098008B">
            <w:pPr>
              <w:widowControl w:val="0"/>
              <w:autoSpaceDE w:val="0"/>
              <w:autoSpaceDN w:val="0"/>
              <w:bidi w:val="0"/>
              <w:adjustRightInd w:val="0"/>
              <w:jc w:val="center"/>
              <w:rPr>
                <w:rFonts w:asciiTheme="majorBidi" w:hAnsiTheme="majorBidi" w:cstheme="majorBidi"/>
                <w:b/>
                <w:bCs/>
                <w:sz w:val="20"/>
                <w:szCs w:val="20"/>
              </w:rPr>
            </w:pPr>
            <w:r w:rsidRPr="008F5248">
              <w:rPr>
                <w:rFonts w:asciiTheme="majorBidi" w:hAnsiTheme="majorBidi" w:cstheme="majorBidi"/>
                <w:b/>
                <w:bCs/>
                <w:sz w:val="20"/>
                <w:szCs w:val="20"/>
              </w:rPr>
              <w:t>Non-Jewish</w:t>
            </w:r>
          </w:p>
        </w:tc>
      </w:tr>
      <w:tr w:rsidR="00F37FC8" w:rsidRPr="00C376CD" w14:paraId="4765EAB5" w14:textId="77777777" w:rsidTr="00C000F6">
        <w:tc>
          <w:tcPr>
            <w:tcW w:w="1104" w:type="dxa"/>
            <w:vAlign w:val="center"/>
          </w:tcPr>
          <w:p w14:paraId="53777AAA" w14:textId="77777777" w:rsidR="00F37FC8" w:rsidRPr="008F5248" w:rsidRDefault="00F37FC8" w:rsidP="0098008B">
            <w:pPr>
              <w:widowControl w:val="0"/>
              <w:autoSpaceDE w:val="0"/>
              <w:autoSpaceDN w:val="0"/>
              <w:bidi w:val="0"/>
              <w:adjustRightInd w:val="0"/>
              <w:rPr>
                <w:rFonts w:asciiTheme="majorBidi" w:hAnsiTheme="majorBidi" w:cstheme="majorBidi"/>
                <w:sz w:val="20"/>
                <w:szCs w:val="20"/>
              </w:rPr>
            </w:pPr>
            <w:r w:rsidRPr="008F5248">
              <w:rPr>
                <w:rFonts w:asciiTheme="majorBidi" w:hAnsiTheme="majorBidi" w:cstheme="majorBidi"/>
                <w:sz w:val="20"/>
                <w:szCs w:val="20"/>
              </w:rPr>
              <w:t>Men</w:t>
            </w:r>
          </w:p>
        </w:tc>
        <w:tc>
          <w:tcPr>
            <w:tcW w:w="1206" w:type="dxa"/>
            <w:vAlign w:val="center"/>
          </w:tcPr>
          <w:p w14:paraId="29A9B063"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sz w:val="20"/>
                <w:szCs w:val="20"/>
              </w:rPr>
              <w:t>271,700</w:t>
            </w:r>
          </w:p>
        </w:tc>
        <w:tc>
          <w:tcPr>
            <w:tcW w:w="1087" w:type="dxa"/>
            <w:vAlign w:val="center"/>
          </w:tcPr>
          <w:p w14:paraId="6DE09DA1"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221,500</w:t>
            </w:r>
          </w:p>
        </w:tc>
        <w:tc>
          <w:tcPr>
            <w:tcW w:w="1327" w:type="dxa"/>
            <w:vAlign w:val="center"/>
          </w:tcPr>
          <w:p w14:paraId="5D0C1742"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50,200</w:t>
            </w:r>
          </w:p>
        </w:tc>
        <w:tc>
          <w:tcPr>
            <w:tcW w:w="1190" w:type="dxa"/>
            <w:vAlign w:val="center"/>
          </w:tcPr>
          <w:p w14:paraId="33E51CDD"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59,800</w:t>
            </w:r>
          </w:p>
        </w:tc>
        <w:tc>
          <w:tcPr>
            <w:tcW w:w="1027" w:type="dxa"/>
            <w:vAlign w:val="center"/>
          </w:tcPr>
          <w:p w14:paraId="7791149C"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51,300</w:t>
            </w:r>
          </w:p>
        </w:tc>
        <w:tc>
          <w:tcPr>
            <w:tcW w:w="1355" w:type="dxa"/>
            <w:vAlign w:val="center"/>
          </w:tcPr>
          <w:p w14:paraId="13D0AC12"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8,500</w:t>
            </w:r>
          </w:p>
        </w:tc>
      </w:tr>
      <w:tr w:rsidR="00F37FC8" w:rsidRPr="00C376CD" w14:paraId="654D697C" w14:textId="77777777" w:rsidTr="00C000F6">
        <w:tc>
          <w:tcPr>
            <w:tcW w:w="1104" w:type="dxa"/>
            <w:vAlign w:val="center"/>
          </w:tcPr>
          <w:p w14:paraId="2BE9F620" w14:textId="77777777" w:rsidR="00F37FC8" w:rsidRPr="008F5248" w:rsidRDefault="00F37FC8" w:rsidP="0098008B">
            <w:pPr>
              <w:widowControl w:val="0"/>
              <w:autoSpaceDE w:val="0"/>
              <w:autoSpaceDN w:val="0"/>
              <w:bidi w:val="0"/>
              <w:adjustRightInd w:val="0"/>
              <w:rPr>
                <w:rFonts w:asciiTheme="majorBidi" w:hAnsiTheme="majorBidi" w:cstheme="majorBidi"/>
                <w:sz w:val="20"/>
                <w:szCs w:val="20"/>
              </w:rPr>
            </w:pPr>
            <w:r w:rsidRPr="008F5248">
              <w:rPr>
                <w:rFonts w:asciiTheme="majorBidi" w:hAnsiTheme="majorBidi" w:cstheme="majorBidi"/>
                <w:sz w:val="20"/>
                <w:szCs w:val="20"/>
              </w:rPr>
              <w:t>Women</w:t>
            </w:r>
          </w:p>
        </w:tc>
        <w:tc>
          <w:tcPr>
            <w:tcW w:w="1206" w:type="dxa"/>
            <w:vAlign w:val="center"/>
          </w:tcPr>
          <w:p w14:paraId="4993F155"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sz w:val="20"/>
                <w:szCs w:val="20"/>
              </w:rPr>
              <w:t>186,200</w:t>
            </w:r>
          </w:p>
        </w:tc>
        <w:tc>
          <w:tcPr>
            <w:tcW w:w="1087" w:type="dxa"/>
            <w:vAlign w:val="center"/>
          </w:tcPr>
          <w:p w14:paraId="4B9E1D33"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156,200</w:t>
            </w:r>
          </w:p>
        </w:tc>
        <w:tc>
          <w:tcPr>
            <w:tcW w:w="1327" w:type="dxa"/>
            <w:vAlign w:val="center"/>
          </w:tcPr>
          <w:p w14:paraId="0BD306C5"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30,000</w:t>
            </w:r>
          </w:p>
        </w:tc>
        <w:tc>
          <w:tcPr>
            <w:tcW w:w="1190" w:type="dxa"/>
            <w:vAlign w:val="center"/>
          </w:tcPr>
          <w:p w14:paraId="39B773DB"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28,500</w:t>
            </w:r>
          </w:p>
        </w:tc>
        <w:tc>
          <w:tcPr>
            <w:tcW w:w="1027" w:type="dxa"/>
            <w:vAlign w:val="center"/>
          </w:tcPr>
          <w:p w14:paraId="4DE46C8D"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23,500</w:t>
            </w:r>
          </w:p>
        </w:tc>
        <w:tc>
          <w:tcPr>
            <w:tcW w:w="1355" w:type="dxa"/>
            <w:vAlign w:val="center"/>
          </w:tcPr>
          <w:p w14:paraId="4F254ED0"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5,000</w:t>
            </w:r>
          </w:p>
        </w:tc>
      </w:tr>
      <w:tr w:rsidR="00F37FC8" w:rsidRPr="00C376CD" w14:paraId="0CD7EA32" w14:textId="77777777" w:rsidTr="00C000F6">
        <w:tc>
          <w:tcPr>
            <w:tcW w:w="1104" w:type="dxa"/>
            <w:vAlign w:val="center"/>
          </w:tcPr>
          <w:p w14:paraId="65D4B7C6" w14:textId="77777777" w:rsidR="00F37FC8" w:rsidRPr="008F5248" w:rsidRDefault="00F37FC8" w:rsidP="0098008B">
            <w:pPr>
              <w:widowControl w:val="0"/>
              <w:autoSpaceDE w:val="0"/>
              <w:autoSpaceDN w:val="0"/>
              <w:bidi w:val="0"/>
              <w:adjustRightInd w:val="0"/>
              <w:rPr>
                <w:rFonts w:asciiTheme="majorBidi" w:hAnsiTheme="majorBidi" w:cstheme="majorBidi"/>
                <w:sz w:val="20"/>
                <w:szCs w:val="20"/>
              </w:rPr>
            </w:pPr>
            <w:r w:rsidRPr="008F5248">
              <w:rPr>
                <w:rFonts w:asciiTheme="majorBidi" w:hAnsiTheme="majorBidi" w:cstheme="majorBidi"/>
                <w:sz w:val="20"/>
                <w:szCs w:val="20"/>
              </w:rPr>
              <w:t>Total</w:t>
            </w:r>
          </w:p>
        </w:tc>
        <w:tc>
          <w:tcPr>
            <w:tcW w:w="1206" w:type="dxa"/>
            <w:vAlign w:val="center"/>
          </w:tcPr>
          <w:p w14:paraId="2C9B1F31"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sz w:val="20"/>
                <w:szCs w:val="20"/>
              </w:rPr>
              <w:t>457,900</w:t>
            </w:r>
          </w:p>
        </w:tc>
        <w:tc>
          <w:tcPr>
            <w:tcW w:w="1087" w:type="dxa"/>
            <w:vAlign w:val="center"/>
          </w:tcPr>
          <w:p w14:paraId="560862BB"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377,700</w:t>
            </w:r>
          </w:p>
        </w:tc>
        <w:tc>
          <w:tcPr>
            <w:tcW w:w="1327" w:type="dxa"/>
            <w:vAlign w:val="center"/>
          </w:tcPr>
          <w:p w14:paraId="1AC08829"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80,200</w:t>
            </w:r>
          </w:p>
        </w:tc>
        <w:tc>
          <w:tcPr>
            <w:tcW w:w="1190" w:type="dxa"/>
            <w:vAlign w:val="center"/>
          </w:tcPr>
          <w:p w14:paraId="673459C5"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88,300</w:t>
            </w:r>
          </w:p>
        </w:tc>
        <w:tc>
          <w:tcPr>
            <w:tcW w:w="1027" w:type="dxa"/>
            <w:vAlign w:val="center"/>
          </w:tcPr>
          <w:p w14:paraId="5E64C257"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74,800</w:t>
            </w:r>
          </w:p>
        </w:tc>
        <w:tc>
          <w:tcPr>
            <w:tcW w:w="1355" w:type="dxa"/>
            <w:vAlign w:val="center"/>
          </w:tcPr>
          <w:p w14:paraId="5A807366" w14:textId="77777777" w:rsidR="00F37FC8" w:rsidRPr="008F5248" w:rsidRDefault="00F37FC8" w:rsidP="00C000F6">
            <w:pPr>
              <w:widowControl w:val="0"/>
              <w:autoSpaceDE w:val="0"/>
              <w:autoSpaceDN w:val="0"/>
              <w:bidi w:val="0"/>
              <w:adjustRightInd w:val="0"/>
              <w:jc w:val="center"/>
              <w:rPr>
                <w:rFonts w:asciiTheme="majorBidi" w:hAnsiTheme="majorBidi" w:cstheme="majorBidi"/>
                <w:sz w:val="20"/>
                <w:szCs w:val="20"/>
              </w:rPr>
            </w:pPr>
            <w:r w:rsidRPr="008F5248">
              <w:rPr>
                <w:rFonts w:asciiTheme="majorBidi" w:hAnsiTheme="majorBidi" w:cstheme="majorBidi"/>
                <w:color w:val="000000"/>
                <w:sz w:val="20"/>
                <w:szCs w:val="20"/>
              </w:rPr>
              <w:t>13,500</w:t>
            </w:r>
          </w:p>
        </w:tc>
      </w:tr>
    </w:tbl>
    <w:p w14:paraId="52404758" w14:textId="77777777" w:rsidR="00F37FC8" w:rsidRPr="008F5248" w:rsidRDefault="00F37FC8" w:rsidP="00C000F6">
      <w:pPr>
        <w:pStyle w:val="ListParagraph"/>
        <w:widowControl w:val="0"/>
        <w:numPr>
          <w:ilvl w:val="0"/>
          <w:numId w:val="12"/>
        </w:numPr>
        <w:autoSpaceDE w:val="0"/>
        <w:autoSpaceDN w:val="0"/>
        <w:adjustRightInd w:val="0"/>
        <w:spacing w:after="120" w:line="360" w:lineRule="auto"/>
        <w:jc w:val="both"/>
        <w:rPr>
          <w:rFonts w:asciiTheme="majorBidi" w:hAnsiTheme="majorBidi" w:cstheme="majorBidi"/>
          <w:i/>
          <w:iCs/>
          <w:sz w:val="20"/>
          <w:szCs w:val="20"/>
        </w:rPr>
      </w:pPr>
      <w:r w:rsidRPr="008F5248">
        <w:rPr>
          <w:rFonts w:asciiTheme="majorBidi" w:hAnsiTheme="majorBidi" w:cstheme="majorBidi"/>
          <w:i/>
          <w:iCs/>
          <w:sz w:val="20"/>
          <w:szCs w:val="20"/>
        </w:rPr>
        <w:t>Source: NII, February 2022</w:t>
      </w:r>
    </w:p>
    <w:p w14:paraId="06FDEA3E"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social benefits during COVID-19, see the reply to Question 11. </w:t>
      </w:r>
    </w:p>
    <w:p w14:paraId="560FF5E2"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Legislation on Social Benefits for PWD</w:t>
      </w:r>
    </w:p>
    <w:p w14:paraId="3D58C32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March 1, 2018, Amendment No. 200 to the </w:t>
      </w:r>
      <w:r w:rsidRPr="005C149A">
        <w:rPr>
          <w:rFonts w:asciiTheme="majorBidi" w:hAnsiTheme="majorBidi" w:cstheme="majorBidi"/>
          <w:i/>
          <w:iCs/>
          <w:sz w:val="24"/>
          <w:szCs w:val="24"/>
        </w:rPr>
        <w:t xml:space="preserve">National Insurance Law </w:t>
      </w:r>
      <w:r w:rsidRPr="005C149A">
        <w:rPr>
          <w:rFonts w:asciiTheme="majorBidi" w:hAnsiTheme="majorBidi" w:cstheme="majorBidi"/>
          <w:sz w:val="24"/>
          <w:szCs w:val="24"/>
        </w:rPr>
        <w:t xml:space="preserve">entered into force, raising the disability allowance significantly from 2,873 NIS (904 USD) (in 2018) to a maximum of 3,700 NIS (1,157 USD). The Amendment was legislated following the activism and demonstrations of PWD and addresses sub-groups that were yet addressed by the </w:t>
      </w:r>
      <w:r w:rsidRPr="005C149A">
        <w:rPr>
          <w:rFonts w:asciiTheme="majorBidi" w:hAnsiTheme="majorBidi" w:cstheme="majorBidi"/>
          <w:i/>
          <w:iCs/>
          <w:sz w:val="24"/>
          <w:szCs w:val="24"/>
        </w:rPr>
        <w:t>National Insurance Law</w:t>
      </w:r>
      <w:r w:rsidRPr="005C149A">
        <w:rPr>
          <w:rFonts w:asciiTheme="majorBidi" w:hAnsiTheme="majorBidi" w:cstheme="majorBidi"/>
          <w:sz w:val="24"/>
          <w:szCs w:val="24"/>
        </w:rPr>
        <w:t>, such as persons with mental disabilities, PWD and parents of children with disabilities. On social benefits during COVID-19, see the reply to Question 11.</w:t>
      </w:r>
    </w:p>
    <w:p w14:paraId="1142B5A3" w14:textId="75386FEF" w:rsidR="00F37FC8" w:rsidRPr="005C149A" w:rsidRDefault="00F37FC8" w:rsidP="00753DF8">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 On November 4, 2021, Amendments made to the </w:t>
      </w:r>
      <w:r w:rsidRPr="005C149A">
        <w:rPr>
          <w:rFonts w:asciiTheme="majorBidi" w:hAnsiTheme="majorBidi" w:cstheme="majorBidi"/>
          <w:i/>
          <w:iCs/>
          <w:sz w:val="24"/>
          <w:szCs w:val="24"/>
        </w:rPr>
        <w:t>Arrangements Law</w:t>
      </w:r>
      <w:r w:rsidR="00753DF8" w:rsidRPr="000C3BD3">
        <w:rPr>
          <w:rFonts w:asciiTheme="majorBidi" w:hAnsiTheme="majorBidi" w:cstheme="majorBidi"/>
          <w:sz w:val="24"/>
          <w:szCs w:val="24"/>
        </w:rPr>
        <w:t xml:space="preserve">, </w:t>
      </w:r>
      <w:r w:rsidR="00753DF8">
        <w:rPr>
          <w:rFonts w:asciiTheme="majorBidi" w:hAnsiTheme="majorBidi" w:cstheme="majorBidi"/>
          <w:sz w:val="24"/>
          <w:szCs w:val="24"/>
        </w:rPr>
        <w:t xml:space="preserve">which </w:t>
      </w:r>
      <w:r w:rsidRPr="005C149A">
        <w:rPr>
          <w:rFonts w:asciiTheme="majorBidi" w:hAnsiTheme="majorBidi" w:cstheme="majorBidi"/>
          <w:sz w:val="24"/>
          <w:szCs w:val="24"/>
        </w:rPr>
        <w:t>determined</w:t>
      </w:r>
      <w:r w:rsidRPr="005C149A">
        <w:rPr>
          <w:rFonts w:asciiTheme="majorBidi" w:hAnsiTheme="majorBidi" w:cstheme="majorBidi"/>
          <w:i/>
          <w:iCs/>
          <w:sz w:val="24"/>
          <w:szCs w:val="24"/>
        </w:rPr>
        <w:t xml:space="preserve">  </w:t>
      </w:r>
      <w:r w:rsidRPr="005C149A">
        <w:rPr>
          <w:rFonts w:asciiTheme="majorBidi" w:hAnsiTheme="majorBidi" w:cstheme="majorBidi"/>
          <w:sz w:val="24"/>
          <w:szCs w:val="24"/>
        </w:rPr>
        <w:t xml:space="preserve">allowance for eligible PWD to hire two (2) foreign caregivers. The medical thresholds by which a PWD receives a permit to employ a foreign worker was lowered, in order to enable greater fulfilment of the right. Additionally, the amount of the tax benefits for PWD which are exempt from income tax was lowered from 600,000 NIS (187,947 USD) to 400,000 NIS (125,298 USD). </w:t>
      </w:r>
    </w:p>
    <w:p w14:paraId="473EF03A"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Caregiver </w:t>
      </w:r>
      <w:r w:rsidR="00D80630" w:rsidRPr="005C149A">
        <w:rPr>
          <w:rFonts w:asciiTheme="majorBidi" w:hAnsiTheme="majorBidi" w:cstheme="majorBidi"/>
          <w:sz w:val="24"/>
          <w:szCs w:val="24"/>
          <w:u w:val="single"/>
        </w:rPr>
        <w:t>B</w:t>
      </w:r>
      <w:r w:rsidRPr="005C149A">
        <w:rPr>
          <w:rFonts w:asciiTheme="majorBidi" w:hAnsiTheme="majorBidi" w:cstheme="majorBidi"/>
          <w:sz w:val="24"/>
          <w:szCs w:val="24"/>
          <w:u w:val="single"/>
        </w:rPr>
        <w:t>enefits</w:t>
      </w:r>
    </w:p>
    <w:p w14:paraId="5492BBE2"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Several amendments have been made regarding the nursing and care benefits provided to persons after the age of retirement, which are generally dependent on their day-to-day activities and an income test.</w:t>
      </w:r>
    </w:p>
    <w:p w14:paraId="1C3EACA3"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Benefits for a Child with Disabilities </w:t>
      </w:r>
    </w:p>
    <w:p w14:paraId="2B71B365"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On Disabled Children's Allowance see Para. 295 to Israel's Initial Report. In May 2018, an Amendment </w:t>
      </w:r>
      <w:r w:rsidRPr="005C149A">
        <w:rPr>
          <w:rFonts w:asciiTheme="majorBidi" w:hAnsiTheme="majorBidi" w:cstheme="majorBidi"/>
          <w:sz w:val="24"/>
          <w:szCs w:val="24"/>
          <w:shd w:val="clear" w:color="auto" w:fill="FFFFFF"/>
        </w:rPr>
        <w:t>made</w:t>
      </w:r>
      <w:r w:rsidRPr="005C149A">
        <w:rPr>
          <w:rFonts w:asciiTheme="majorBidi" w:hAnsiTheme="majorBidi" w:cstheme="majorBidi"/>
          <w:sz w:val="24"/>
          <w:szCs w:val="24"/>
        </w:rPr>
        <w:t xml:space="preserve"> to the </w:t>
      </w:r>
      <w:r w:rsidRPr="005C149A">
        <w:rPr>
          <w:rFonts w:asciiTheme="majorBidi" w:hAnsiTheme="majorBidi" w:cstheme="majorBidi"/>
          <w:i/>
          <w:iCs/>
          <w:sz w:val="24"/>
          <w:szCs w:val="24"/>
        </w:rPr>
        <w:t xml:space="preserve">Arrangements Law </w:t>
      </w:r>
      <w:r w:rsidRPr="005C149A">
        <w:rPr>
          <w:rFonts w:asciiTheme="majorBidi" w:hAnsiTheme="majorBidi" w:cstheme="majorBidi"/>
          <w:sz w:val="24"/>
          <w:szCs w:val="24"/>
        </w:rPr>
        <w:t xml:space="preserve">determined that an additional 26% of the General Disability Allowance will be paid to a child entitled to 188% of that allowance, and an additional 6.88% of the General Disability Allowance will be paid to a child entitled to 50% of that allowance.  </w:t>
      </w:r>
    </w:p>
    <w:p w14:paraId="43FBFCC9"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r w:rsidRPr="005C149A">
        <w:rPr>
          <w:rFonts w:asciiTheme="majorBidi" w:hAnsiTheme="majorBidi" w:cstheme="majorBidi"/>
          <w:sz w:val="24"/>
          <w:szCs w:val="24"/>
          <w:u w:val="single"/>
        </w:rPr>
        <w:t xml:space="preserve">Asylum </w:t>
      </w:r>
      <w:r w:rsidR="00D80630" w:rsidRPr="005C149A">
        <w:rPr>
          <w:rFonts w:asciiTheme="majorBidi" w:hAnsiTheme="majorBidi" w:cstheme="majorBidi"/>
          <w:sz w:val="24"/>
          <w:szCs w:val="24"/>
          <w:u w:val="single"/>
        </w:rPr>
        <w:t>S</w:t>
      </w:r>
      <w:r w:rsidRPr="005C149A">
        <w:rPr>
          <w:rFonts w:asciiTheme="majorBidi" w:hAnsiTheme="majorBidi" w:cstheme="majorBidi"/>
          <w:sz w:val="24"/>
          <w:szCs w:val="24"/>
          <w:u w:val="single"/>
        </w:rPr>
        <w:t xml:space="preserve">eekers in </w:t>
      </w:r>
      <w:r w:rsidR="00D80630" w:rsidRPr="005C149A">
        <w:rPr>
          <w:rFonts w:asciiTheme="majorBidi" w:hAnsiTheme="majorBidi" w:cstheme="majorBidi"/>
          <w:sz w:val="24"/>
          <w:szCs w:val="24"/>
          <w:u w:val="single"/>
        </w:rPr>
        <w:t>N</w:t>
      </w:r>
      <w:r w:rsidRPr="005C149A">
        <w:rPr>
          <w:rFonts w:asciiTheme="majorBidi" w:hAnsiTheme="majorBidi" w:cstheme="majorBidi"/>
          <w:sz w:val="24"/>
          <w:szCs w:val="24"/>
          <w:u w:val="single"/>
        </w:rPr>
        <w:t xml:space="preserve">eed of </w:t>
      </w:r>
      <w:r w:rsidR="00D80630" w:rsidRPr="005C149A">
        <w:rPr>
          <w:rFonts w:asciiTheme="majorBidi" w:hAnsiTheme="majorBidi" w:cstheme="majorBidi"/>
          <w:sz w:val="24"/>
          <w:szCs w:val="24"/>
          <w:u w:val="single"/>
        </w:rPr>
        <w:t>W</w:t>
      </w:r>
      <w:r w:rsidRPr="005C149A">
        <w:rPr>
          <w:rFonts w:asciiTheme="majorBidi" w:hAnsiTheme="majorBidi" w:cstheme="majorBidi"/>
          <w:sz w:val="24"/>
          <w:szCs w:val="24"/>
          <w:u w:val="single"/>
        </w:rPr>
        <w:t xml:space="preserve">elfare </w:t>
      </w:r>
      <w:r w:rsidR="00D80630" w:rsidRPr="005C149A">
        <w:rPr>
          <w:rFonts w:asciiTheme="majorBidi" w:hAnsiTheme="majorBidi" w:cstheme="majorBidi"/>
          <w:sz w:val="24"/>
          <w:szCs w:val="24"/>
          <w:u w:val="single"/>
        </w:rPr>
        <w:t>S</w:t>
      </w:r>
      <w:r w:rsidRPr="005C149A">
        <w:rPr>
          <w:rFonts w:asciiTheme="majorBidi" w:hAnsiTheme="majorBidi" w:cstheme="majorBidi"/>
          <w:sz w:val="24"/>
          <w:szCs w:val="24"/>
          <w:u w:val="single"/>
        </w:rPr>
        <w:t>ervices</w:t>
      </w:r>
    </w:p>
    <w:p w14:paraId="351D95B8"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For information on the Inter-Ministerial </w:t>
      </w:r>
      <w:r w:rsidRPr="005C149A">
        <w:rPr>
          <w:rFonts w:asciiTheme="majorBidi" w:hAnsiTheme="majorBidi" w:cstheme="majorBidi"/>
          <w:sz w:val="24"/>
          <w:szCs w:val="24"/>
          <w:shd w:val="clear" w:color="auto" w:fill="FFFFFF"/>
        </w:rPr>
        <w:t>Committee</w:t>
      </w:r>
      <w:r w:rsidRPr="005C149A">
        <w:rPr>
          <w:rFonts w:asciiTheme="majorBidi" w:hAnsiTheme="majorBidi" w:cstheme="majorBidi"/>
          <w:sz w:val="24"/>
          <w:szCs w:val="24"/>
        </w:rPr>
        <w:t xml:space="preserve"> reviewing the social rights granted in Israel to migrants who may not be returned to their countries of origin, see Israel's Fourth Periodic Report to CESCR, paras. 67-69 and Israel's Follow-Up Submission to CESCR, p. 9-11. </w:t>
      </w:r>
    </w:p>
    <w:p w14:paraId="4B05807F" w14:textId="717F7492" w:rsidR="00F37FC8" w:rsidRPr="005C149A" w:rsidRDefault="003D206F" w:rsidP="003D206F">
      <w:pPr>
        <w:pStyle w:val="ListParagraph"/>
        <w:numPr>
          <w:ilvl w:val="0"/>
          <w:numId w:val="22"/>
        </w:numPr>
        <w:spacing w:line="360" w:lineRule="auto"/>
        <w:ind w:left="567" w:hanging="567"/>
        <w:jc w:val="both"/>
        <w:rPr>
          <w:rFonts w:asciiTheme="majorBidi" w:eastAsia="Calibri" w:hAnsiTheme="majorBidi" w:cstheme="majorBidi"/>
          <w:sz w:val="24"/>
          <w:szCs w:val="24"/>
        </w:rPr>
      </w:pPr>
      <w:r>
        <w:rPr>
          <w:rFonts w:asciiTheme="majorBidi" w:hAnsiTheme="majorBidi" w:cstheme="majorBidi"/>
          <w:sz w:val="24"/>
          <w:szCs w:val="24"/>
        </w:rPr>
        <w:t xml:space="preserve">The </w:t>
      </w:r>
      <w:r w:rsidR="00F37FC8" w:rsidRPr="005C149A">
        <w:rPr>
          <w:rFonts w:asciiTheme="majorBidi" w:hAnsiTheme="majorBidi" w:cstheme="majorBidi"/>
          <w:sz w:val="24"/>
          <w:szCs w:val="24"/>
        </w:rPr>
        <w:t xml:space="preserve">MOWSA </w:t>
      </w:r>
      <w:r>
        <w:rPr>
          <w:rFonts w:asciiTheme="majorBidi" w:hAnsiTheme="majorBidi" w:cstheme="majorBidi"/>
          <w:sz w:val="24"/>
          <w:szCs w:val="24"/>
        </w:rPr>
        <w:t>DG</w:t>
      </w:r>
      <w:r w:rsidRPr="005C149A">
        <w:rPr>
          <w:rFonts w:asciiTheme="majorBidi" w:hAnsiTheme="majorBidi" w:cstheme="majorBidi"/>
          <w:sz w:val="24"/>
          <w:szCs w:val="24"/>
        </w:rPr>
        <w:t xml:space="preserve"> </w:t>
      </w:r>
      <w:r w:rsidR="00F37FC8" w:rsidRPr="005C149A">
        <w:rPr>
          <w:rFonts w:asciiTheme="majorBidi" w:hAnsiTheme="majorBidi" w:cstheme="majorBidi"/>
          <w:sz w:val="24"/>
          <w:szCs w:val="24"/>
          <w:shd w:val="clear" w:color="auto" w:fill="FFFFFF"/>
        </w:rPr>
        <w:t>Circulars</w:t>
      </w:r>
      <w:r w:rsidR="00F37FC8" w:rsidRPr="005C149A">
        <w:rPr>
          <w:rFonts w:asciiTheme="majorBidi" w:hAnsiTheme="majorBidi" w:cstheme="majorBidi"/>
          <w:sz w:val="24"/>
          <w:szCs w:val="24"/>
        </w:rPr>
        <w:t xml:space="preserve"> No. 168 and No. 100 relate to the treatment of asylum seekers </w:t>
      </w:r>
      <w:r w:rsidR="00D80630" w:rsidRPr="005C149A">
        <w:rPr>
          <w:rFonts w:asciiTheme="majorBidi" w:hAnsiTheme="majorBidi" w:cstheme="majorBidi"/>
          <w:sz w:val="24"/>
          <w:szCs w:val="24"/>
        </w:rPr>
        <w:t>-</w:t>
      </w:r>
      <w:r w:rsidR="00F37FC8" w:rsidRPr="005C149A">
        <w:rPr>
          <w:rFonts w:asciiTheme="majorBidi" w:hAnsiTheme="majorBidi" w:cstheme="majorBidi"/>
          <w:sz w:val="24"/>
          <w:szCs w:val="24"/>
        </w:rPr>
        <w:t xml:space="preserve"> specifically PWD, and children at risk. Pursuant to these Circulars, the Ministry offers 100% </w:t>
      </w:r>
      <w:r>
        <w:rPr>
          <w:rFonts w:asciiTheme="majorBidi" w:hAnsiTheme="majorBidi" w:cstheme="majorBidi"/>
          <w:sz w:val="24"/>
          <w:szCs w:val="24"/>
        </w:rPr>
        <w:t xml:space="preserve">State </w:t>
      </w:r>
      <w:r w:rsidR="00F37FC8" w:rsidRPr="005C149A">
        <w:rPr>
          <w:rFonts w:asciiTheme="majorBidi" w:hAnsiTheme="majorBidi" w:cstheme="majorBidi"/>
          <w:sz w:val="24"/>
          <w:szCs w:val="24"/>
        </w:rPr>
        <w:t xml:space="preserve">subsidized placement in these frameworks, at the annual cost of over 10 Million NIS (approximately 2.78 Million USD).  </w:t>
      </w:r>
      <w:r w:rsidR="00F37FC8" w:rsidRPr="005C149A">
        <w:rPr>
          <w:rFonts w:asciiTheme="majorBidi" w:eastAsia="Calibri" w:hAnsiTheme="majorBidi" w:cstheme="majorBidi"/>
          <w:sz w:val="24"/>
          <w:szCs w:val="24"/>
        </w:rPr>
        <w:t xml:space="preserve">A sum of Five (5) Million NIS (approximately 1.38 million USD) is allocated annually for community solutions to be provided to those children and their families. </w:t>
      </w:r>
    </w:p>
    <w:p w14:paraId="2D1F5B02" w14:textId="77777777" w:rsidR="00F37FC8" w:rsidRPr="005C149A" w:rsidRDefault="00F37FC8" w:rsidP="00C000F6">
      <w:pPr>
        <w:pStyle w:val="ListParagraph"/>
        <w:numPr>
          <w:ilvl w:val="0"/>
          <w:numId w:val="22"/>
        </w:numPr>
        <w:spacing w:line="360" w:lineRule="auto"/>
        <w:ind w:left="567" w:hanging="567"/>
        <w:jc w:val="both"/>
        <w:rPr>
          <w:rFonts w:asciiTheme="majorBidi" w:eastAsia="Calibri" w:hAnsiTheme="majorBidi" w:cstheme="majorBidi"/>
          <w:sz w:val="24"/>
          <w:szCs w:val="24"/>
        </w:rPr>
      </w:pPr>
      <w:r w:rsidRPr="005C149A">
        <w:rPr>
          <w:rFonts w:asciiTheme="majorBidi" w:eastAsia="Calibri" w:hAnsiTheme="majorBidi" w:cstheme="majorBidi"/>
          <w:sz w:val="24"/>
          <w:szCs w:val="24"/>
        </w:rPr>
        <w:t xml:space="preserve">Additionally, twenty (20) new </w:t>
      </w:r>
      <w:r w:rsidRPr="005C149A">
        <w:rPr>
          <w:rFonts w:asciiTheme="majorBidi" w:hAnsiTheme="majorBidi" w:cstheme="majorBidi"/>
          <w:sz w:val="24"/>
          <w:szCs w:val="24"/>
          <w:shd w:val="clear" w:color="auto" w:fill="FFFFFF"/>
        </w:rPr>
        <w:t>social</w:t>
      </w:r>
      <w:r w:rsidRPr="005C149A">
        <w:rPr>
          <w:rFonts w:asciiTheme="majorBidi" w:eastAsia="Calibri" w:hAnsiTheme="majorBidi" w:cstheme="majorBidi"/>
          <w:sz w:val="24"/>
          <w:szCs w:val="24"/>
        </w:rPr>
        <w:t xml:space="preserve"> </w:t>
      </w:r>
      <w:r w:rsidRPr="005C149A">
        <w:rPr>
          <w:rFonts w:asciiTheme="majorBidi" w:hAnsiTheme="majorBidi" w:cstheme="majorBidi"/>
          <w:sz w:val="24"/>
          <w:szCs w:val="24"/>
        </w:rPr>
        <w:t>worker</w:t>
      </w:r>
      <w:r w:rsidRPr="005C149A">
        <w:rPr>
          <w:rFonts w:asciiTheme="majorBidi" w:eastAsia="Calibri" w:hAnsiTheme="majorBidi" w:cstheme="majorBidi"/>
          <w:sz w:val="24"/>
          <w:szCs w:val="24"/>
        </w:rPr>
        <w:t xml:space="preserve"> positions </w:t>
      </w:r>
      <w:r w:rsidRPr="005C149A">
        <w:rPr>
          <w:rFonts w:asciiTheme="majorBidi" w:hAnsiTheme="majorBidi" w:cstheme="majorBidi"/>
          <w:sz w:val="24"/>
          <w:szCs w:val="24"/>
        </w:rPr>
        <w:t>were</w:t>
      </w:r>
      <w:r w:rsidRPr="005C149A">
        <w:rPr>
          <w:rFonts w:asciiTheme="majorBidi" w:eastAsia="Calibri" w:hAnsiTheme="majorBidi" w:cstheme="majorBidi"/>
          <w:sz w:val="24"/>
          <w:szCs w:val="24"/>
        </w:rPr>
        <w:t xml:space="preserve"> opened in relevant localities in order to provide rehabilitation, support, and assistance to this population.  </w:t>
      </w:r>
    </w:p>
    <w:bookmarkEnd w:id="57"/>
    <w:p w14:paraId="26F33185" w14:textId="77777777" w:rsidR="00F37FC8" w:rsidRPr="005C149A" w:rsidRDefault="00D80630" w:rsidP="0050316B">
      <w:pPr>
        <w:pStyle w:val="Heading2"/>
        <w:spacing w:before="0" w:after="0"/>
      </w:pPr>
      <w:r w:rsidRPr="005C149A">
        <w:t>Article 30</w:t>
      </w:r>
    </w:p>
    <w:p w14:paraId="5ABF9454"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58" w:name="_Toc100224063"/>
      <w:r w:rsidRPr="005C149A">
        <w:rPr>
          <w:rFonts w:asciiTheme="majorBidi" w:hAnsiTheme="majorBidi"/>
          <w:b/>
          <w:bCs/>
          <w:color w:val="auto"/>
          <w:sz w:val="24"/>
          <w:szCs w:val="24"/>
          <w:u w:val="single"/>
        </w:rPr>
        <w:t>Question 31</w:t>
      </w:r>
      <w:bookmarkEnd w:id="58"/>
    </w:p>
    <w:p w14:paraId="02AA52A1" w14:textId="77777777" w:rsidR="00F37FC8" w:rsidRPr="005C149A" w:rsidRDefault="00F37FC8" w:rsidP="008427F3">
      <w:pPr>
        <w:pStyle w:val="Heading3"/>
      </w:pPr>
      <w:r w:rsidRPr="005C149A">
        <w:t>Sporting Activities</w:t>
      </w:r>
    </w:p>
    <w:p w14:paraId="5B30A47B"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following projects aim to encourage participation of PWD in sporting activities: </w:t>
      </w:r>
    </w:p>
    <w:p w14:paraId="7422F327" w14:textId="77777777" w:rsidR="00F37FC8" w:rsidRPr="005C149A" w:rsidRDefault="00F37FC8" w:rsidP="00C000F6">
      <w:pPr>
        <w:pStyle w:val="ListParagraph"/>
        <w:numPr>
          <w:ilvl w:val="0"/>
          <w:numId w:val="14"/>
        </w:numPr>
        <w:spacing w:after="120" w:line="360" w:lineRule="auto"/>
        <w:ind w:left="851" w:right="0" w:hanging="284"/>
        <w:jc w:val="both"/>
        <w:rPr>
          <w:rFonts w:asciiTheme="majorBidi" w:hAnsiTheme="majorBidi" w:cstheme="majorBidi"/>
          <w:sz w:val="24"/>
          <w:szCs w:val="24"/>
        </w:rPr>
      </w:pPr>
      <w:r w:rsidRPr="005C149A">
        <w:rPr>
          <w:rFonts w:asciiTheme="majorBidi" w:hAnsiTheme="majorBidi" w:cstheme="majorBidi"/>
          <w:sz w:val="24"/>
          <w:szCs w:val="24"/>
        </w:rPr>
        <w:t>The '</w:t>
      </w:r>
      <w:r w:rsidRPr="005C149A">
        <w:rPr>
          <w:rFonts w:asciiTheme="majorBidi" w:hAnsiTheme="majorBidi" w:cstheme="majorBidi"/>
          <w:i/>
          <w:iCs/>
          <w:sz w:val="24"/>
          <w:szCs w:val="24"/>
        </w:rPr>
        <w:t xml:space="preserve">Sal-Gal - </w:t>
      </w:r>
      <w:r w:rsidRPr="005C149A">
        <w:rPr>
          <w:rFonts w:asciiTheme="majorBidi" w:hAnsiTheme="majorBidi" w:cstheme="majorBidi"/>
          <w:sz w:val="24"/>
          <w:szCs w:val="24"/>
        </w:rPr>
        <w:t xml:space="preserve">Victory of Attitude' - an initiative funded by the MOCS at approximately 400,000 NIS (approximately 125,554 USD) annually. As part of this initiative, several players of the Israeli national wheelchair basketball team arrive at schools to demonstrate to pupils how PWD conduct routine activities on a wheelchair and play a joint game. </w:t>
      </w:r>
    </w:p>
    <w:p w14:paraId="7BD7024B" w14:textId="77777777" w:rsidR="00F37FC8" w:rsidRPr="005C149A" w:rsidRDefault="00F37FC8" w:rsidP="00C000F6">
      <w:pPr>
        <w:pStyle w:val="ListParagraph"/>
        <w:numPr>
          <w:ilvl w:val="0"/>
          <w:numId w:val="14"/>
        </w:numPr>
        <w:spacing w:after="120" w:line="360" w:lineRule="auto"/>
        <w:ind w:left="851" w:right="0" w:hanging="284"/>
        <w:jc w:val="both"/>
        <w:rPr>
          <w:rFonts w:asciiTheme="majorBidi" w:hAnsiTheme="majorBidi" w:cstheme="majorBidi"/>
          <w:sz w:val="24"/>
          <w:szCs w:val="24"/>
        </w:rPr>
      </w:pPr>
      <w:r w:rsidRPr="005C149A">
        <w:rPr>
          <w:rFonts w:asciiTheme="majorBidi" w:hAnsiTheme="majorBidi" w:cstheme="majorBidi"/>
          <w:sz w:val="24"/>
          <w:szCs w:val="24"/>
        </w:rPr>
        <w:t>Basketball for adults with mental disabilities - in collaboration with the Israel ENOSH Association, the MOCS operates a basketball league for adults with mental disabilities at the cost of approximately 150,000 NIS (approximately 47,082 USD) annually. Currently approximately 14 basketball groups operate, holding tournaments throughout the year.</w:t>
      </w:r>
    </w:p>
    <w:p w14:paraId="02800371" w14:textId="6382486D" w:rsidR="00F37FC8" w:rsidRPr="005C149A" w:rsidRDefault="00F37FC8" w:rsidP="00AB0653">
      <w:pPr>
        <w:pStyle w:val="ListParagraph"/>
        <w:numPr>
          <w:ilvl w:val="0"/>
          <w:numId w:val="14"/>
        </w:numPr>
        <w:spacing w:after="120" w:line="360" w:lineRule="auto"/>
        <w:ind w:left="851" w:right="0" w:hanging="284"/>
        <w:jc w:val="both"/>
        <w:rPr>
          <w:rFonts w:asciiTheme="majorBidi" w:hAnsiTheme="majorBidi" w:cstheme="majorBidi"/>
          <w:sz w:val="24"/>
          <w:szCs w:val="24"/>
        </w:rPr>
      </w:pPr>
      <w:r w:rsidRPr="005C149A">
        <w:rPr>
          <w:rFonts w:asciiTheme="majorBidi" w:hAnsiTheme="majorBidi" w:cstheme="majorBidi"/>
          <w:sz w:val="24"/>
          <w:szCs w:val="24"/>
        </w:rPr>
        <w:t xml:space="preserve">The Child Olympics </w:t>
      </w:r>
      <w:r w:rsidR="00D80630" w:rsidRPr="005C149A">
        <w:rPr>
          <w:rFonts w:asciiTheme="majorBidi" w:hAnsiTheme="majorBidi" w:cstheme="majorBidi"/>
          <w:sz w:val="24"/>
          <w:szCs w:val="24"/>
        </w:rPr>
        <w:t>-</w:t>
      </w:r>
      <w:r w:rsidRPr="005C149A">
        <w:rPr>
          <w:rFonts w:asciiTheme="majorBidi" w:hAnsiTheme="majorBidi" w:cstheme="majorBidi"/>
          <w:sz w:val="24"/>
          <w:szCs w:val="24"/>
        </w:rPr>
        <w:t xml:space="preserve"> This is an annual day of competitions, at which approximately 6,500 competitors participate in 26 fields of sports. This event is accessible for PWD and athletes with disabilities including with intellectual and mental disabilities who take part in it (the cost of the event is approximately 1 Million NIS (approximately 313,885 USD) annually</w:t>
      </w:r>
      <w:r w:rsidR="00AB0653">
        <w:rPr>
          <w:rFonts w:asciiTheme="majorBidi" w:hAnsiTheme="majorBidi" w:cstheme="majorBidi"/>
          <w:sz w:val="24"/>
          <w:szCs w:val="24"/>
        </w:rPr>
        <w:t>)</w:t>
      </w:r>
      <w:r w:rsidRPr="005C149A">
        <w:rPr>
          <w:rFonts w:asciiTheme="majorBidi" w:hAnsiTheme="majorBidi" w:cstheme="majorBidi"/>
          <w:sz w:val="24"/>
          <w:szCs w:val="24"/>
        </w:rPr>
        <w:t xml:space="preserve"> the event has not been held in 2020 due to COVID-19 restrictions. </w:t>
      </w:r>
    </w:p>
    <w:p w14:paraId="0410B3D6" w14:textId="77777777" w:rsidR="00F37FC8" w:rsidRPr="005C149A" w:rsidRDefault="00F37FC8" w:rsidP="00C000F6">
      <w:pPr>
        <w:pStyle w:val="ListParagraph"/>
        <w:numPr>
          <w:ilvl w:val="0"/>
          <w:numId w:val="14"/>
        </w:numPr>
        <w:spacing w:after="120" w:line="360" w:lineRule="auto"/>
        <w:ind w:left="851" w:right="-58" w:hanging="284"/>
        <w:jc w:val="both"/>
        <w:rPr>
          <w:rFonts w:asciiTheme="majorBidi" w:hAnsiTheme="majorBidi" w:cstheme="majorBidi"/>
          <w:sz w:val="24"/>
          <w:szCs w:val="24"/>
        </w:rPr>
      </w:pPr>
      <w:r w:rsidRPr="005C149A">
        <w:rPr>
          <w:rFonts w:asciiTheme="majorBidi" w:hAnsiTheme="majorBidi" w:cstheme="majorBidi"/>
          <w:sz w:val="24"/>
          <w:szCs w:val="24"/>
        </w:rPr>
        <w:t xml:space="preserve">Excellency Centers - over the years the MOCS supports five (5) sports excellency centers that work with children and youth with disabilities, at the cost of approximately 100,000 NIS (approximately 31,388 USD) annually.  </w:t>
      </w:r>
    </w:p>
    <w:p w14:paraId="0FCFCB8D" w14:textId="5654651F" w:rsidR="00F37FC8" w:rsidRPr="005C149A" w:rsidRDefault="0067433A" w:rsidP="00AB0653">
      <w:pPr>
        <w:pStyle w:val="ListParagraph"/>
        <w:numPr>
          <w:ilvl w:val="0"/>
          <w:numId w:val="14"/>
        </w:numPr>
        <w:spacing w:after="120" w:line="360" w:lineRule="auto"/>
        <w:ind w:left="851" w:right="0" w:hanging="284"/>
        <w:jc w:val="both"/>
        <w:rPr>
          <w:rFonts w:asciiTheme="majorBidi" w:hAnsiTheme="majorBidi" w:cstheme="majorBidi"/>
          <w:sz w:val="24"/>
          <w:szCs w:val="24"/>
        </w:rPr>
      </w:pPr>
      <w:r w:rsidRPr="005C149A">
        <w:rPr>
          <w:rFonts w:asciiTheme="majorBidi" w:hAnsiTheme="majorBidi" w:cstheme="majorBidi"/>
          <w:sz w:val="24"/>
          <w:szCs w:val="24"/>
        </w:rPr>
        <w:t>Paralympic</w:t>
      </w:r>
      <w:r w:rsidR="00F37FC8" w:rsidRPr="005C149A">
        <w:rPr>
          <w:rFonts w:asciiTheme="majorBidi" w:hAnsiTheme="majorBidi" w:cstheme="majorBidi"/>
          <w:sz w:val="24"/>
          <w:szCs w:val="24"/>
        </w:rPr>
        <w:t xml:space="preserve"> </w:t>
      </w:r>
      <w:r w:rsidRPr="005C149A">
        <w:rPr>
          <w:rFonts w:asciiTheme="majorBidi" w:hAnsiTheme="majorBidi" w:cstheme="majorBidi"/>
          <w:sz w:val="24"/>
          <w:szCs w:val="24"/>
        </w:rPr>
        <w:t>Games</w:t>
      </w:r>
      <w:r w:rsidR="00F37FC8" w:rsidRPr="005C149A">
        <w:rPr>
          <w:rFonts w:asciiTheme="majorBidi" w:hAnsiTheme="majorBidi" w:cstheme="majorBidi"/>
          <w:sz w:val="24"/>
          <w:szCs w:val="24"/>
        </w:rPr>
        <w:t xml:space="preserve"> - sports activities at local authorities for children with disabilities (intellectual-developmental disabilities, high-functioning autism or mental disabilities), in collaboration with the Special Olympics Union and at the cost of approximately 100,000 NIS (approximately 31,388 USD) annually. </w:t>
      </w:r>
      <w:r w:rsidRPr="005C149A">
        <w:rPr>
          <w:rFonts w:asciiTheme="majorBidi" w:hAnsiTheme="majorBidi" w:cstheme="majorBidi"/>
          <w:sz w:val="24"/>
          <w:szCs w:val="24"/>
        </w:rPr>
        <w:t>In the Paralympic Games held in Tok</w:t>
      </w:r>
      <w:r w:rsidR="006966DC" w:rsidRPr="005C149A">
        <w:rPr>
          <w:rFonts w:asciiTheme="majorBidi" w:hAnsiTheme="majorBidi" w:cstheme="majorBidi"/>
          <w:sz w:val="24"/>
          <w:szCs w:val="24"/>
        </w:rPr>
        <w:t>y</w:t>
      </w:r>
      <w:r w:rsidRPr="005C149A">
        <w:rPr>
          <w:rFonts w:asciiTheme="majorBidi" w:hAnsiTheme="majorBidi" w:cstheme="majorBidi"/>
          <w:sz w:val="24"/>
          <w:szCs w:val="24"/>
        </w:rPr>
        <w:t>o, 2021, Israel won six (6) gold medals, two (2) silver medals and one (1) bronze medal.</w:t>
      </w:r>
    </w:p>
    <w:p w14:paraId="31C08A2D" w14:textId="77777777" w:rsidR="00F37FC8" w:rsidRPr="005C149A" w:rsidRDefault="00D80630" w:rsidP="0050316B">
      <w:pPr>
        <w:pStyle w:val="Heading2"/>
        <w:spacing w:before="0" w:after="0"/>
      </w:pPr>
      <w:r w:rsidRPr="005C149A">
        <w:t>Article 31</w:t>
      </w:r>
      <w:r w:rsidR="00F37FC8" w:rsidRPr="005C149A">
        <w:t xml:space="preserve"> </w:t>
      </w:r>
    </w:p>
    <w:p w14:paraId="4281A026"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59" w:name="_Toc100224064"/>
      <w:r w:rsidRPr="005C149A">
        <w:rPr>
          <w:rFonts w:asciiTheme="majorBidi" w:hAnsiTheme="majorBidi"/>
          <w:b/>
          <w:bCs/>
          <w:color w:val="auto"/>
          <w:sz w:val="24"/>
          <w:szCs w:val="24"/>
          <w:u w:val="single"/>
        </w:rPr>
        <w:t>Question 32</w:t>
      </w:r>
      <w:bookmarkEnd w:id="59"/>
    </w:p>
    <w:p w14:paraId="01E9B20E" w14:textId="77777777" w:rsidR="00F37FC8" w:rsidRPr="005C149A" w:rsidRDefault="00F37FC8" w:rsidP="008427F3">
      <w:pPr>
        <w:pStyle w:val="Heading3"/>
      </w:pPr>
      <w:r w:rsidRPr="005C149A">
        <w:t>Updated Statistical Information</w:t>
      </w:r>
    </w:p>
    <w:p w14:paraId="7D606F97" w14:textId="7EB82D06" w:rsidR="00F37FC8" w:rsidRPr="005C149A" w:rsidRDefault="00F37FC8" w:rsidP="004A5A55">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According to statistical data from 20</w:t>
      </w:r>
      <w:r w:rsidRPr="005C149A">
        <w:rPr>
          <w:rFonts w:asciiTheme="majorBidi" w:hAnsiTheme="majorBidi" w:cstheme="majorBidi" w:hint="cs"/>
          <w:sz w:val="24"/>
          <w:szCs w:val="24"/>
          <w:rtl/>
        </w:rPr>
        <w:t>2</w:t>
      </w:r>
      <w:r w:rsidRPr="005C149A">
        <w:rPr>
          <w:rFonts w:asciiTheme="majorBidi" w:hAnsiTheme="majorBidi" w:cstheme="majorBidi"/>
          <w:sz w:val="24"/>
          <w:szCs w:val="24"/>
        </w:rPr>
        <w:t>0 (pending publication) by the Commission, and Myers-JDC-Brookdale Institute, based on Central Bureau of Statistics data of 2020 and other sources (hereinafter: "2020 Statistical data"), there are 1</w:t>
      </w:r>
      <w:r w:rsidRPr="005C149A">
        <w:rPr>
          <w:rFonts w:asciiTheme="majorBidi" w:hAnsiTheme="majorBidi" w:cstheme="majorBidi" w:hint="cs"/>
          <w:sz w:val="24"/>
          <w:szCs w:val="24"/>
          <w:rtl/>
        </w:rPr>
        <w:t>.</w:t>
      </w:r>
      <w:r w:rsidRPr="005C149A">
        <w:rPr>
          <w:rFonts w:asciiTheme="majorBidi" w:hAnsiTheme="majorBidi" w:cstheme="majorBidi"/>
          <w:sz w:val="24"/>
          <w:szCs w:val="24"/>
        </w:rPr>
        <w:t xml:space="preserve">6 </w:t>
      </w:r>
      <w:r w:rsidR="00AB0653" w:rsidRPr="005C149A">
        <w:rPr>
          <w:rFonts w:asciiTheme="majorBidi" w:hAnsiTheme="majorBidi" w:cstheme="majorBidi"/>
          <w:sz w:val="24"/>
          <w:szCs w:val="24"/>
        </w:rPr>
        <w:t>Million</w:t>
      </w:r>
      <w:r w:rsidRPr="005C149A">
        <w:rPr>
          <w:rFonts w:asciiTheme="majorBidi" w:hAnsiTheme="majorBidi" w:cstheme="majorBidi"/>
          <w:sz w:val="24"/>
          <w:szCs w:val="24"/>
        </w:rPr>
        <w:t xml:space="preserve"> persons with disabilities in Israel, who constitute 17% of the overall population. </w:t>
      </w:r>
      <w:r w:rsidRPr="005C149A">
        <w:rPr>
          <w:rFonts w:asciiTheme="majorBidi" w:hAnsiTheme="majorBidi" w:cstheme="majorBidi"/>
          <w:sz w:val="24"/>
          <w:szCs w:val="24"/>
          <w:rtl/>
        </w:rPr>
        <w:t>2</w:t>
      </w:r>
      <w:r w:rsidRPr="005C149A">
        <w:rPr>
          <w:rFonts w:asciiTheme="majorBidi" w:hAnsiTheme="majorBidi" w:cstheme="majorBidi"/>
          <w:sz w:val="24"/>
          <w:szCs w:val="24"/>
        </w:rPr>
        <w:t xml:space="preserve">0% of the adult population (age 20+) are persons with disabilities, </w:t>
      </w:r>
      <w:r w:rsidRPr="005C149A">
        <w:rPr>
          <w:rFonts w:asciiTheme="majorBidi" w:hAnsiTheme="majorBidi" w:cstheme="majorBidi"/>
          <w:sz w:val="24"/>
          <w:szCs w:val="24"/>
          <w:rtl/>
        </w:rPr>
        <w:t>9</w:t>
      </w:r>
      <w:r w:rsidRPr="005C149A">
        <w:rPr>
          <w:rFonts w:asciiTheme="majorBidi" w:hAnsiTheme="majorBidi" w:cstheme="majorBidi"/>
          <w:sz w:val="24"/>
          <w:szCs w:val="24"/>
        </w:rPr>
        <w:t xml:space="preserve">% of the adult population have severe disabilities. 16% of the working age (18-64) population </w:t>
      </w:r>
      <w:r w:rsidR="004A5A55">
        <w:rPr>
          <w:rFonts w:asciiTheme="majorBidi" w:hAnsiTheme="majorBidi" w:cstheme="majorBidi"/>
          <w:sz w:val="24"/>
          <w:szCs w:val="24"/>
        </w:rPr>
        <w:t>-</w:t>
      </w:r>
      <w:r w:rsidRPr="005C149A">
        <w:rPr>
          <w:rFonts w:asciiTheme="majorBidi" w:hAnsiTheme="majorBidi" w:cstheme="majorBidi"/>
          <w:sz w:val="24"/>
          <w:szCs w:val="24"/>
        </w:rPr>
        <w:t xml:space="preserve"> 751,000 individuals - are persons with disabilities and they account for 47% of all persons with disabilities. </w:t>
      </w:r>
    </w:p>
    <w:p w14:paraId="77A5F003"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According to this data, 11% of the children in Israel (birth to age 18) are persons with disabilities (326,000 </w:t>
      </w:r>
      <w:r w:rsidRPr="005C149A">
        <w:rPr>
          <w:rFonts w:asciiTheme="majorBidi" w:eastAsia="Gisha" w:hAnsiTheme="majorBidi" w:cstheme="majorBidi"/>
          <w:sz w:val="24"/>
          <w:szCs w:val="24"/>
        </w:rPr>
        <w:t>individuals</w:t>
      </w:r>
      <w:r w:rsidRPr="005C149A">
        <w:rPr>
          <w:rFonts w:asciiTheme="majorBidi" w:hAnsiTheme="majorBidi" w:cstheme="majorBidi"/>
          <w:sz w:val="24"/>
          <w:szCs w:val="24"/>
        </w:rPr>
        <w:t xml:space="preserve">) while 47% of the population aged 65+ are persons with disabilities. </w:t>
      </w:r>
    </w:p>
    <w:p w14:paraId="33F5931C"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b/>
          <w:bCs/>
          <w:color w:val="660066"/>
          <w:sz w:val="24"/>
          <w:szCs w:val="24"/>
        </w:rPr>
      </w:pPr>
      <w:r w:rsidRPr="005C149A">
        <w:rPr>
          <w:rFonts w:asciiTheme="majorBidi" w:eastAsia="Gisha" w:hAnsiTheme="majorBidi" w:cstheme="majorBidi"/>
          <w:b/>
          <w:bCs/>
          <w:color w:val="000000"/>
          <w:sz w:val="24"/>
          <w:szCs w:val="24"/>
          <w:u w:val="single"/>
          <w:lang w:bidi="en-US"/>
        </w:rPr>
        <w:t>Disability by Gender</w:t>
      </w:r>
      <w:r w:rsidRPr="005C149A">
        <w:rPr>
          <w:rFonts w:asciiTheme="majorBidi" w:eastAsia="Gisha" w:hAnsiTheme="majorBidi" w:cstheme="majorBidi"/>
          <w:color w:val="000000"/>
          <w:sz w:val="24"/>
          <w:szCs w:val="24"/>
          <w:lang w:bidi="en-US"/>
        </w:rPr>
        <w:t xml:space="preserve">: 21% of women </w:t>
      </w:r>
      <w:r w:rsidRPr="005C149A">
        <w:rPr>
          <w:rFonts w:asciiTheme="majorBidi" w:hAnsiTheme="majorBidi" w:cstheme="majorBidi"/>
          <w:sz w:val="24"/>
          <w:szCs w:val="24"/>
        </w:rPr>
        <w:t>and</w:t>
      </w:r>
      <w:r w:rsidRPr="005C149A">
        <w:rPr>
          <w:rFonts w:asciiTheme="majorBidi" w:eastAsia="Gisha" w:hAnsiTheme="majorBidi" w:cstheme="majorBidi"/>
          <w:color w:val="000000"/>
          <w:sz w:val="24"/>
          <w:szCs w:val="24"/>
          <w:lang w:bidi="en-US"/>
        </w:rPr>
        <w:t xml:space="preserve"> 19% of men (age 20+) are persons with disabilities.</w:t>
      </w:r>
      <w:r w:rsidRPr="005C149A">
        <w:rPr>
          <w:rFonts w:asciiTheme="majorBidi" w:eastAsia="Calibri" w:hAnsiTheme="majorBidi" w:cstheme="majorBidi"/>
          <w:b/>
          <w:bCs/>
          <w:sz w:val="24"/>
          <w:szCs w:val="24"/>
        </w:rPr>
        <w:t xml:space="preserve"> </w:t>
      </w:r>
      <w:r w:rsidRPr="005C149A">
        <w:rPr>
          <w:rFonts w:asciiTheme="majorBidi" w:hAnsiTheme="majorBidi" w:cstheme="majorBidi"/>
          <w:sz w:val="24"/>
          <w:szCs w:val="24"/>
        </w:rPr>
        <w:t>In the working age (20-64), the prevalence of disability among men and women is the same (15%); among those aged 65+ the prevalence of disability among women is higher than among men</w:t>
      </w:r>
      <w:r w:rsidR="00C63568">
        <w:rPr>
          <w:rFonts w:asciiTheme="majorBidi" w:hAnsiTheme="majorBidi" w:cstheme="majorBidi"/>
          <w:sz w:val="24"/>
          <w:szCs w:val="24"/>
        </w:rPr>
        <w:t xml:space="preserve"> (47% vs. 39%)</w:t>
      </w:r>
      <w:r w:rsidRPr="005C149A">
        <w:rPr>
          <w:rFonts w:asciiTheme="majorBidi" w:hAnsiTheme="majorBidi" w:cstheme="majorBidi"/>
          <w:sz w:val="24"/>
          <w:szCs w:val="24"/>
        </w:rPr>
        <w:t>.</w:t>
      </w:r>
    </w:p>
    <w:p w14:paraId="6F1961ED" w14:textId="77777777" w:rsidR="00F37FC8" w:rsidRPr="005C149A" w:rsidRDefault="00F37FC8" w:rsidP="00C000F6">
      <w:pPr>
        <w:pStyle w:val="ListParagraph"/>
        <w:numPr>
          <w:ilvl w:val="0"/>
          <w:numId w:val="22"/>
        </w:numPr>
        <w:spacing w:line="360" w:lineRule="auto"/>
        <w:ind w:left="567" w:hanging="567"/>
        <w:jc w:val="both"/>
        <w:rPr>
          <w:rFonts w:asciiTheme="majorBidi" w:eastAsia="Gisha" w:hAnsiTheme="majorBidi" w:cstheme="majorBidi"/>
          <w:color w:val="000000"/>
          <w:sz w:val="24"/>
          <w:szCs w:val="24"/>
          <w:lang w:bidi="en-US"/>
        </w:rPr>
      </w:pPr>
      <w:r w:rsidRPr="005C149A">
        <w:rPr>
          <w:rFonts w:asciiTheme="majorBidi" w:eastAsia="Gisha" w:hAnsiTheme="majorBidi" w:cstheme="majorBidi"/>
          <w:b/>
          <w:bCs/>
          <w:color w:val="000000"/>
          <w:sz w:val="24"/>
          <w:szCs w:val="24"/>
          <w:u w:val="single"/>
          <w:lang w:bidi="en-US"/>
        </w:rPr>
        <w:t>Disability</w:t>
      </w:r>
      <w:r w:rsidRPr="005C149A">
        <w:rPr>
          <w:rFonts w:asciiTheme="majorBidi" w:hAnsiTheme="majorBidi" w:cstheme="majorBidi"/>
          <w:b/>
          <w:bCs/>
          <w:sz w:val="24"/>
          <w:szCs w:val="24"/>
          <w:u w:val="single"/>
        </w:rPr>
        <w:t xml:space="preserve"> by Population:</w:t>
      </w:r>
      <w:r w:rsidRPr="005C149A">
        <w:rPr>
          <w:rFonts w:asciiTheme="majorBidi" w:hAnsiTheme="majorBidi" w:cstheme="majorBidi"/>
          <w:sz w:val="24"/>
          <w:szCs w:val="24"/>
        </w:rPr>
        <w:t xml:space="preserve"> Amongst the Arab population, the prevalence of disability is slightly higher, with 22% of the population, in relation to 20 % in the Jewish population. </w:t>
      </w:r>
      <w:r w:rsidRPr="005C149A">
        <w:rPr>
          <w:rFonts w:asciiTheme="majorBidi" w:eastAsia="Gisha" w:hAnsiTheme="majorBidi" w:cstheme="majorBidi"/>
          <w:color w:val="000000"/>
          <w:sz w:val="24"/>
          <w:szCs w:val="24"/>
          <w:lang w:bidi="en-US"/>
        </w:rPr>
        <w:t>The gap between the Arab and Jewish populations is larger for persons with a severe disability (11% vs. 8%).</w:t>
      </w:r>
    </w:p>
    <w:p w14:paraId="3BCEA940" w14:textId="77777777" w:rsidR="00F37FC8" w:rsidRPr="005C149A" w:rsidRDefault="00F37FC8" w:rsidP="002D3CE5">
      <w:pPr>
        <w:bidi w:val="0"/>
        <w:spacing w:after="0" w:line="360" w:lineRule="auto"/>
        <w:jc w:val="both"/>
        <w:rPr>
          <w:rFonts w:asciiTheme="majorBidi" w:hAnsiTheme="majorBidi" w:cstheme="majorBidi"/>
          <w:sz w:val="24"/>
          <w:szCs w:val="24"/>
          <w:u w:val="single"/>
        </w:rPr>
      </w:pPr>
      <w:bookmarkStart w:id="60" w:name="_Toc419733761"/>
      <w:r w:rsidRPr="005C149A">
        <w:rPr>
          <w:rFonts w:asciiTheme="majorBidi" w:hAnsiTheme="majorBidi" w:cstheme="majorBidi"/>
          <w:sz w:val="24"/>
          <w:szCs w:val="24"/>
          <w:u w:val="single"/>
        </w:rPr>
        <w:t>Disaggregated Data Regarding Persons with Disabilities among the Adult Population (aged 20+)</w:t>
      </w:r>
      <w:bookmarkEnd w:id="60"/>
    </w:p>
    <w:p w14:paraId="023FC250" w14:textId="77777777" w:rsidR="00F37FC8" w:rsidRPr="005C149A" w:rsidRDefault="00F37FC8" w:rsidP="00C000F6">
      <w:pPr>
        <w:pStyle w:val="ListParagraph"/>
        <w:numPr>
          <w:ilvl w:val="0"/>
          <w:numId w:val="22"/>
        </w:numPr>
        <w:spacing w:line="360" w:lineRule="auto"/>
        <w:ind w:left="567" w:hanging="567"/>
        <w:jc w:val="both"/>
        <w:rPr>
          <w:rFonts w:asciiTheme="majorBidi" w:eastAsia="Calibri" w:hAnsiTheme="majorBidi" w:cstheme="majorBidi"/>
          <w:sz w:val="24"/>
          <w:szCs w:val="24"/>
        </w:rPr>
      </w:pPr>
      <w:r w:rsidRPr="005C149A">
        <w:rPr>
          <w:rFonts w:asciiTheme="majorBidi" w:hAnsiTheme="majorBidi" w:cstheme="majorBidi"/>
          <w:sz w:val="24"/>
          <w:szCs w:val="24"/>
        </w:rPr>
        <w:t>As of</w:t>
      </w:r>
      <w:r w:rsidRPr="005C149A">
        <w:rPr>
          <w:rFonts w:asciiTheme="majorBidi" w:eastAsia="Calibri" w:hAnsiTheme="majorBidi" w:cstheme="majorBidi"/>
          <w:sz w:val="24"/>
          <w:szCs w:val="24"/>
        </w:rPr>
        <w:t xml:space="preserve"> 2010, the </w:t>
      </w:r>
      <w:r w:rsidRPr="005C149A">
        <w:rPr>
          <w:rFonts w:asciiTheme="majorBidi" w:hAnsiTheme="majorBidi" w:cstheme="majorBidi"/>
          <w:sz w:val="24"/>
          <w:szCs w:val="24"/>
        </w:rPr>
        <w:t>Washington</w:t>
      </w:r>
      <w:r w:rsidRPr="005C149A">
        <w:rPr>
          <w:rFonts w:asciiTheme="majorBidi" w:eastAsia="Calibri" w:hAnsiTheme="majorBidi" w:cstheme="majorBidi"/>
          <w:sz w:val="24"/>
          <w:szCs w:val="24"/>
        </w:rPr>
        <w:t xml:space="preserve"> </w:t>
      </w:r>
      <w:r w:rsidRPr="005C149A">
        <w:rPr>
          <w:rFonts w:asciiTheme="majorBidi" w:hAnsiTheme="majorBidi" w:cstheme="majorBidi"/>
          <w:sz w:val="24"/>
          <w:szCs w:val="24"/>
        </w:rPr>
        <w:t>group</w:t>
      </w:r>
      <w:r w:rsidRPr="005C149A">
        <w:rPr>
          <w:rFonts w:asciiTheme="majorBidi" w:eastAsia="Calibri" w:hAnsiTheme="majorBidi" w:cstheme="majorBidi"/>
          <w:sz w:val="24"/>
          <w:szCs w:val="24"/>
        </w:rPr>
        <w:t xml:space="preserve"> short set of questions was included in the social survey, in order to identify </w:t>
      </w:r>
      <w:r w:rsidRPr="005C149A">
        <w:rPr>
          <w:rFonts w:asciiTheme="majorBidi" w:eastAsia="Gisha" w:hAnsiTheme="majorBidi" w:cstheme="majorBidi"/>
          <w:sz w:val="24"/>
          <w:szCs w:val="24"/>
        </w:rPr>
        <w:t>groups</w:t>
      </w:r>
      <w:r w:rsidRPr="005C149A">
        <w:rPr>
          <w:rFonts w:asciiTheme="majorBidi" w:eastAsia="Calibri" w:hAnsiTheme="majorBidi" w:cstheme="majorBidi"/>
          <w:sz w:val="24"/>
          <w:szCs w:val="24"/>
        </w:rPr>
        <w:t xml:space="preserve"> according to activity limitations and disability status. The questions refer to seeing, hearing, walking and climbing steps, remembering and concentrating, self-care, and household management. </w:t>
      </w:r>
    </w:p>
    <w:p w14:paraId="630E242B" w14:textId="77777777" w:rsidR="00F37FC8" w:rsidRPr="005C149A" w:rsidRDefault="00F37FC8" w:rsidP="00C000F6">
      <w:pPr>
        <w:pStyle w:val="ListParagraph"/>
        <w:numPr>
          <w:ilvl w:val="0"/>
          <w:numId w:val="22"/>
        </w:numPr>
        <w:spacing w:line="360" w:lineRule="auto"/>
        <w:ind w:left="567" w:hanging="567"/>
        <w:jc w:val="both"/>
        <w:rPr>
          <w:rFonts w:asciiTheme="majorBidi" w:eastAsia="Calibri" w:hAnsiTheme="majorBidi" w:cstheme="majorBidi"/>
          <w:sz w:val="24"/>
          <w:szCs w:val="24"/>
        </w:rPr>
      </w:pPr>
      <w:r w:rsidRPr="005C149A">
        <w:rPr>
          <w:rFonts w:asciiTheme="majorBidi" w:hAnsiTheme="majorBidi" w:cstheme="majorBidi"/>
          <w:sz w:val="24"/>
          <w:szCs w:val="24"/>
        </w:rPr>
        <w:t>According</w:t>
      </w:r>
      <w:r w:rsidRPr="005C149A">
        <w:rPr>
          <w:rFonts w:asciiTheme="majorBidi" w:eastAsia="Calibri" w:hAnsiTheme="majorBidi" w:cstheme="majorBidi"/>
          <w:sz w:val="24"/>
          <w:szCs w:val="24"/>
        </w:rPr>
        <w:t xml:space="preserve"> to </w:t>
      </w:r>
      <w:r w:rsidRPr="005C149A">
        <w:rPr>
          <w:rFonts w:asciiTheme="majorBidi" w:eastAsia="Gisha" w:hAnsiTheme="majorBidi" w:cstheme="majorBidi"/>
          <w:sz w:val="24"/>
          <w:szCs w:val="24"/>
        </w:rPr>
        <w:t>this</w:t>
      </w:r>
      <w:r w:rsidRPr="005C149A">
        <w:rPr>
          <w:rFonts w:asciiTheme="majorBidi" w:eastAsia="Calibri" w:hAnsiTheme="majorBidi" w:cstheme="majorBidi"/>
          <w:sz w:val="24"/>
          <w:szCs w:val="24"/>
        </w:rPr>
        <w:t xml:space="preserve"> </w:t>
      </w:r>
      <w:r w:rsidRPr="005C149A">
        <w:rPr>
          <w:rFonts w:asciiTheme="majorBidi" w:hAnsiTheme="majorBidi" w:cstheme="majorBidi"/>
          <w:sz w:val="24"/>
          <w:szCs w:val="24"/>
        </w:rPr>
        <w:t>survey</w:t>
      </w:r>
      <w:r w:rsidRPr="005C149A">
        <w:rPr>
          <w:rFonts w:asciiTheme="majorBidi" w:eastAsia="Calibri" w:hAnsiTheme="majorBidi" w:cstheme="majorBidi"/>
          <w:sz w:val="24"/>
          <w:szCs w:val="24"/>
        </w:rPr>
        <w:t>:</w:t>
      </w:r>
    </w:p>
    <w:p w14:paraId="308E6CCD" w14:textId="77777777" w:rsidR="00F37FC8" w:rsidRPr="005C149A" w:rsidRDefault="00F37FC8" w:rsidP="00C000F6">
      <w:pPr>
        <w:pStyle w:val="ListParagraph"/>
        <w:widowControl w:val="0"/>
        <w:numPr>
          <w:ilvl w:val="0"/>
          <w:numId w:val="20"/>
        </w:numPr>
        <w:spacing w:before="120" w:line="360" w:lineRule="auto"/>
        <w:ind w:left="851" w:hanging="283"/>
        <w:contextualSpacing/>
        <w:jc w:val="both"/>
        <w:rPr>
          <w:rFonts w:asciiTheme="majorBidi" w:eastAsia="Calibri" w:hAnsiTheme="majorBidi" w:cstheme="majorBidi"/>
          <w:sz w:val="24"/>
          <w:szCs w:val="24"/>
        </w:rPr>
      </w:pPr>
      <w:r w:rsidRPr="005C149A">
        <w:rPr>
          <w:rFonts w:asciiTheme="majorBidi" w:eastAsia="Calibri" w:hAnsiTheme="majorBidi" w:cstheme="majorBidi"/>
          <w:sz w:val="24"/>
          <w:szCs w:val="24"/>
        </w:rPr>
        <w:t>40 % of all PWD reported significant difficulty in walking or inability to walk</w:t>
      </w:r>
    </w:p>
    <w:p w14:paraId="62F0C385" w14:textId="77777777" w:rsidR="00F37FC8" w:rsidRPr="005C149A" w:rsidRDefault="00F37FC8" w:rsidP="00C000F6">
      <w:pPr>
        <w:pStyle w:val="ListParagraph"/>
        <w:widowControl w:val="0"/>
        <w:numPr>
          <w:ilvl w:val="0"/>
          <w:numId w:val="20"/>
        </w:numPr>
        <w:spacing w:before="120" w:line="360" w:lineRule="auto"/>
        <w:ind w:left="851" w:hanging="283"/>
        <w:contextualSpacing/>
        <w:jc w:val="both"/>
        <w:rPr>
          <w:rFonts w:asciiTheme="majorBidi" w:eastAsia="Calibri" w:hAnsiTheme="majorBidi" w:cstheme="majorBidi"/>
          <w:sz w:val="24"/>
          <w:szCs w:val="24"/>
        </w:rPr>
      </w:pPr>
      <w:r w:rsidRPr="005C149A">
        <w:rPr>
          <w:rFonts w:asciiTheme="majorBidi" w:eastAsia="Calibri" w:hAnsiTheme="majorBidi" w:cstheme="majorBidi"/>
          <w:sz w:val="24"/>
          <w:szCs w:val="24"/>
        </w:rPr>
        <w:t>10% of all PWD reported significant difficulty in remembering or concentrating.</w:t>
      </w:r>
    </w:p>
    <w:p w14:paraId="4989B75B" w14:textId="77777777" w:rsidR="00F37FC8" w:rsidRPr="005C149A" w:rsidRDefault="00F37FC8" w:rsidP="00C000F6">
      <w:pPr>
        <w:pStyle w:val="ListParagraph"/>
        <w:widowControl w:val="0"/>
        <w:numPr>
          <w:ilvl w:val="0"/>
          <w:numId w:val="20"/>
        </w:numPr>
        <w:spacing w:before="120" w:line="360" w:lineRule="auto"/>
        <w:ind w:left="851" w:hanging="283"/>
        <w:contextualSpacing/>
        <w:jc w:val="both"/>
        <w:rPr>
          <w:rFonts w:asciiTheme="majorBidi" w:eastAsia="Calibri" w:hAnsiTheme="majorBidi" w:cstheme="majorBidi"/>
          <w:sz w:val="24"/>
          <w:szCs w:val="24"/>
        </w:rPr>
      </w:pPr>
      <w:r w:rsidRPr="005C149A">
        <w:rPr>
          <w:rFonts w:asciiTheme="majorBidi" w:eastAsia="Calibri" w:hAnsiTheme="majorBidi" w:cstheme="majorBidi"/>
          <w:sz w:val="24"/>
          <w:szCs w:val="24"/>
        </w:rPr>
        <w:t xml:space="preserve">8% of PWD reported significant difficulty in seeing or inability to do so. </w:t>
      </w:r>
    </w:p>
    <w:p w14:paraId="434C096E" w14:textId="77777777" w:rsidR="00F37FC8" w:rsidRPr="005C149A" w:rsidRDefault="00F37FC8" w:rsidP="00C000F6">
      <w:pPr>
        <w:pStyle w:val="ListParagraph"/>
        <w:widowControl w:val="0"/>
        <w:numPr>
          <w:ilvl w:val="0"/>
          <w:numId w:val="20"/>
        </w:numPr>
        <w:spacing w:before="120" w:line="360" w:lineRule="auto"/>
        <w:ind w:left="851" w:hanging="283"/>
        <w:contextualSpacing/>
        <w:jc w:val="both"/>
        <w:rPr>
          <w:rFonts w:asciiTheme="majorBidi" w:eastAsia="Calibri" w:hAnsiTheme="majorBidi" w:cstheme="majorBidi"/>
          <w:sz w:val="24"/>
          <w:szCs w:val="24"/>
        </w:rPr>
      </w:pPr>
      <w:r w:rsidRPr="005C149A">
        <w:rPr>
          <w:rFonts w:asciiTheme="majorBidi" w:eastAsia="Calibri" w:hAnsiTheme="majorBidi" w:cstheme="majorBidi"/>
          <w:sz w:val="24"/>
          <w:szCs w:val="24"/>
        </w:rPr>
        <w:t xml:space="preserve">7% among all PWD reported significant difficulty in hearing or inability to hear. </w:t>
      </w:r>
    </w:p>
    <w:p w14:paraId="5712A5F7" w14:textId="77777777" w:rsidR="00F37FC8" w:rsidRPr="005C149A" w:rsidRDefault="00F37FC8" w:rsidP="00C000F6">
      <w:pPr>
        <w:pStyle w:val="ListParagraph"/>
        <w:widowControl w:val="0"/>
        <w:numPr>
          <w:ilvl w:val="0"/>
          <w:numId w:val="20"/>
        </w:numPr>
        <w:spacing w:before="120" w:line="360" w:lineRule="auto"/>
        <w:ind w:left="851" w:hanging="283"/>
        <w:contextualSpacing/>
        <w:jc w:val="both"/>
        <w:rPr>
          <w:rFonts w:asciiTheme="majorBidi" w:eastAsia="Calibri" w:hAnsiTheme="majorBidi" w:cstheme="majorBidi"/>
          <w:sz w:val="24"/>
          <w:szCs w:val="24"/>
        </w:rPr>
      </w:pPr>
      <w:r w:rsidRPr="005C149A">
        <w:rPr>
          <w:rFonts w:asciiTheme="majorBidi" w:eastAsia="Calibri" w:hAnsiTheme="majorBidi" w:cstheme="majorBidi"/>
          <w:sz w:val="24"/>
          <w:szCs w:val="24"/>
        </w:rPr>
        <w:t xml:space="preserve">12% of PWD reported a significant difficulty in more than one area.  </w:t>
      </w:r>
    </w:p>
    <w:p w14:paraId="0175C8E1" w14:textId="77777777" w:rsidR="00F37FC8" w:rsidRPr="005C149A" w:rsidRDefault="00F37FC8" w:rsidP="00C000F6">
      <w:pPr>
        <w:pStyle w:val="ListParagraph"/>
        <w:widowControl w:val="0"/>
        <w:numPr>
          <w:ilvl w:val="0"/>
          <w:numId w:val="20"/>
        </w:numPr>
        <w:spacing w:before="120" w:line="360" w:lineRule="auto"/>
        <w:ind w:left="851" w:hanging="283"/>
        <w:contextualSpacing/>
        <w:jc w:val="both"/>
        <w:rPr>
          <w:rFonts w:asciiTheme="majorBidi" w:eastAsia="Calibri" w:hAnsiTheme="majorBidi" w:cstheme="majorBidi"/>
          <w:sz w:val="24"/>
          <w:szCs w:val="24"/>
        </w:rPr>
      </w:pPr>
      <w:r w:rsidRPr="005C149A">
        <w:rPr>
          <w:rFonts w:asciiTheme="majorBidi" w:eastAsia="Calibri" w:hAnsiTheme="majorBidi" w:cstheme="majorBidi"/>
          <w:sz w:val="24"/>
          <w:szCs w:val="24"/>
        </w:rPr>
        <w:t xml:space="preserve">51% of all PWD did not mention a difficulty in one of these areas, therefore their disability is in a different field. </w:t>
      </w:r>
    </w:p>
    <w:p w14:paraId="1EA8128B" w14:textId="77777777" w:rsidR="00F37FC8" w:rsidRPr="005C149A" w:rsidRDefault="00D80630" w:rsidP="0050316B">
      <w:pPr>
        <w:pStyle w:val="Heading2"/>
        <w:spacing w:before="0" w:after="0"/>
      </w:pPr>
      <w:r w:rsidRPr="005C149A">
        <w:t>Article 33</w:t>
      </w:r>
      <w:r w:rsidR="00F37FC8" w:rsidRPr="005C149A">
        <w:t xml:space="preserve"> </w:t>
      </w:r>
    </w:p>
    <w:p w14:paraId="30DC17D2" w14:textId="77777777" w:rsidR="00F37FC8" w:rsidRPr="005C149A" w:rsidRDefault="00F37FC8" w:rsidP="0050316B">
      <w:pPr>
        <w:pStyle w:val="Heading1"/>
        <w:shd w:val="clear" w:color="auto" w:fill="D9D9D9" w:themeFill="background1" w:themeFillShade="D9"/>
        <w:bidi w:val="0"/>
        <w:spacing w:before="0" w:after="120"/>
        <w:rPr>
          <w:rFonts w:asciiTheme="majorBidi" w:hAnsiTheme="majorBidi"/>
          <w:b/>
          <w:bCs/>
          <w:color w:val="auto"/>
          <w:sz w:val="24"/>
          <w:szCs w:val="24"/>
          <w:u w:val="single"/>
        </w:rPr>
      </w:pPr>
      <w:bookmarkStart w:id="61" w:name="_Toc100224065"/>
      <w:r w:rsidRPr="005C149A">
        <w:rPr>
          <w:rFonts w:asciiTheme="majorBidi" w:hAnsiTheme="majorBidi"/>
          <w:b/>
          <w:bCs/>
          <w:color w:val="auto"/>
          <w:sz w:val="24"/>
          <w:szCs w:val="24"/>
          <w:u w:val="single"/>
        </w:rPr>
        <w:t>Question 33</w:t>
      </w:r>
      <w:bookmarkEnd w:id="61"/>
    </w:p>
    <w:p w14:paraId="068A908C" w14:textId="77777777" w:rsidR="00F37FC8" w:rsidRPr="005C149A" w:rsidRDefault="00F37FC8" w:rsidP="00F37FC8">
      <w:pPr>
        <w:pStyle w:val="Heading3"/>
      </w:pPr>
      <w:r w:rsidRPr="005C149A">
        <w:t>B. Participation of PWD and DPOs in Monitoring</w:t>
      </w:r>
    </w:p>
    <w:p w14:paraId="0CD7FE00" w14:textId="77777777" w:rsidR="00F37FC8" w:rsidRPr="005C149A" w:rsidRDefault="00F37FC8" w:rsidP="00C000F6">
      <w:pPr>
        <w:pStyle w:val="ListParagraph"/>
        <w:numPr>
          <w:ilvl w:val="0"/>
          <w:numId w:val="22"/>
        </w:numPr>
        <w:spacing w:line="360" w:lineRule="auto"/>
        <w:ind w:left="567" w:hanging="567"/>
        <w:jc w:val="both"/>
        <w:rPr>
          <w:rFonts w:asciiTheme="majorBidi" w:hAnsiTheme="majorBidi" w:cstheme="majorBidi"/>
          <w:sz w:val="24"/>
          <w:szCs w:val="24"/>
        </w:rPr>
      </w:pPr>
      <w:r w:rsidRPr="005C149A">
        <w:rPr>
          <w:rFonts w:asciiTheme="majorBidi" w:hAnsiTheme="majorBidi" w:cstheme="majorBidi"/>
          <w:sz w:val="24"/>
          <w:szCs w:val="24"/>
        </w:rPr>
        <w:t xml:space="preserve">The Commission's advisory board participates in and discusses all Commission's activities, including monitoring the implementation of the Convention. During 2017-2021, the following topics were also discussed: inclusion in education, the right to parenthood, the right to adequate standard of living and social protection, participation in decision-making, the rights of PWD in the COVID-19 pandemic, PWD in the social periphery, especially the Bedouin population and accessibility of voting procedures. </w:t>
      </w:r>
    </w:p>
    <w:p w14:paraId="55380B7F" w14:textId="77777777" w:rsidR="00306CAD" w:rsidRPr="005C149A" w:rsidRDefault="00F37FC8" w:rsidP="00684C37">
      <w:pPr>
        <w:pStyle w:val="ListParagraph"/>
        <w:numPr>
          <w:ilvl w:val="0"/>
          <w:numId w:val="22"/>
        </w:numPr>
        <w:spacing w:line="360" w:lineRule="auto"/>
        <w:ind w:left="567" w:hanging="567"/>
        <w:jc w:val="both"/>
        <w:rPr>
          <w:sz w:val="24"/>
          <w:szCs w:val="24"/>
        </w:rPr>
      </w:pPr>
      <w:r w:rsidRPr="00A3012C">
        <w:rPr>
          <w:rFonts w:asciiTheme="majorBidi" w:hAnsiTheme="majorBidi" w:cstheme="majorBidi"/>
          <w:sz w:val="24"/>
          <w:szCs w:val="24"/>
        </w:rPr>
        <w:t xml:space="preserve">In 2017, the Commission held a large conference regarding implementation of the CPRD, presenting best practices and challenges on the right to education, accessibility of cities, living in the community, family and parenting, employment, health and culture. </w:t>
      </w:r>
      <w:bookmarkEnd w:id="31"/>
    </w:p>
    <w:sectPr w:rsidR="00306CAD" w:rsidRPr="005C149A" w:rsidSect="008F3245">
      <w:footerReference w:type="default" r:id="rId1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6913E" w14:textId="77777777" w:rsidR="00567228" w:rsidRDefault="00567228" w:rsidP="00F37FC8">
      <w:pPr>
        <w:spacing w:after="0" w:line="240" w:lineRule="auto"/>
      </w:pPr>
      <w:r>
        <w:separator/>
      </w:r>
    </w:p>
  </w:endnote>
  <w:endnote w:type="continuationSeparator" w:id="0">
    <w:p w14:paraId="0E036611" w14:textId="77777777" w:rsidR="00567228" w:rsidRDefault="00567228" w:rsidP="00F37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___WRD_EMBED_SUB_47,Bold">
    <w:altName w:val="Arial"/>
    <w:panose1 w:val="00000000000000000000"/>
    <w:charset w:val="00"/>
    <w:family w:val="swiss"/>
    <w:notTrueType/>
    <w:pitch w:val="default"/>
    <w:sig w:usb0="00000003" w:usb1="00000000" w:usb2="00000000" w:usb3="00000000" w:csb0="00000001" w:csb1="00000000"/>
  </w:font>
  <w:font w:name="___WRD_EMBED_SUB_47">
    <w:altName w:val="Arial"/>
    <w:panose1 w:val="00000000000000000000"/>
    <w:charset w:val="00"/>
    <w:family w:val="swiss"/>
    <w:notTrueType/>
    <w:pitch w:val="default"/>
    <w:sig w:usb0="00000003" w:usb1="00000000" w:usb2="00000000" w:usb3="00000000" w:csb0="00000001" w:csb1="00000000"/>
  </w:font>
  <w:font w:name="Gisha">
    <w:charset w:val="00"/>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rtl/>
      </w:rPr>
      <w:id w:val="1396161290"/>
      <w:docPartObj>
        <w:docPartGallery w:val="Page Numbers (Bottom of Page)"/>
        <w:docPartUnique/>
      </w:docPartObj>
    </w:sdtPr>
    <w:sdtEndPr/>
    <w:sdtContent>
      <w:p w14:paraId="4E4DE4FF" w14:textId="08D4255C" w:rsidR="00567228" w:rsidRPr="008940CA" w:rsidRDefault="00567228">
        <w:pPr>
          <w:pStyle w:val="Footer"/>
          <w:jc w:val="center"/>
          <w:rPr>
            <w:rFonts w:asciiTheme="majorBidi" w:hAnsiTheme="majorBidi" w:cstheme="majorBidi"/>
            <w:rtl/>
            <w:cs/>
          </w:rPr>
        </w:pPr>
        <w:r w:rsidRPr="008940CA">
          <w:rPr>
            <w:rFonts w:asciiTheme="majorBidi" w:hAnsiTheme="majorBidi" w:cstheme="majorBidi"/>
          </w:rPr>
          <w:fldChar w:fldCharType="begin"/>
        </w:r>
        <w:r w:rsidRPr="008940CA">
          <w:rPr>
            <w:rFonts w:asciiTheme="majorBidi" w:hAnsiTheme="majorBidi" w:cstheme="majorBidi"/>
            <w:rtl/>
            <w:cs/>
          </w:rPr>
          <w:instrText>PAGE   \* MERGEFORMAT</w:instrText>
        </w:r>
        <w:r w:rsidRPr="008940CA">
          <w:rPr>
            <w:rFonts w:asciiTheme="majorBidi" w:hAnsiTheme="majorBidi" w:cstheme="majorBidi"/>
          </w:rPr>
          <w:fldChar w:fldCharType="separate"/>
        </w:r>
        <w:r w:rsidR="006059C3">
          <w:rPr>
            <w:rFonts w:asciiTheme="majorBidi" w:hAnsiTheme="majorBidi" w:cstheme="majorBidi"/>
            <w:noProof/>
            <w:rtl/>
          </w:rPr>
          <w:t>1</w:t>
        </w:r>
        <w:r w:rsidRPr="008940CA">
          <w:rPr>
            <w:rFonts w:asciiTheme="majorBidi" w:hAnsiTheme="majorBidi" w:cstheme="majorBidi"/>
          </w:rPr>
          <w:fldChar w:fldCharType="end"/>
        </w:r>
      </w:p>
    </w:sdtContent>
  </w:sdt>
  <w:p w14:paraId="1D56F09E" w14:textId="77777777" w:rsidR="00567228" w:rsidRDefault="00567228">
    <w:pPr>
      <w:pStyle w:val="Footer"/>
    </w:pPr>
  </w:p>
  <w:p w14:paraId="2B59990B" w14:textId="77777777" w:rsidR="00567228" w:rsidRDefault="0056722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468389" w14:textId="77777777" w:rsidR="00567228" w:rsidRDefault="00567228" w:rsidP="00F37FC8">
      <w:pPr>
        <w:spacing w:after="0" w:line="240" w:lineRule="auto"/>
      </w:pPr>
      <w:r>
        <w:separator/>
      </w:r>
    </w:p>
  </w:footnote>
  <w:footnote w:type="continuationSeparator" w:id="0">
    <w:p w14:paraId="413DF539" w14:textId="77777777" w:rsidR="00567228" w:rsidRDefault="00567228" w:rsidP="00F37FC8">
      <w:pPr>
        <w:spacing w:after="0" w:line="240" w:lineRule="auto"/>
      </w:pPr>
      <w:r>
        <w:continuationSeparator/>
      </w:r>
    </w:p>
  </w:footnote>
  <w:footnote w:id="1">
    <w:p w14:paraId="353C841C" w14:textId="77777777" w:rsidR="007E1602" w:rsidRDefault="007E1602" w:rsidP="007E1602">
      <w:pPr>
        <w:bidi w:val="0"/>
      </w:pPr>
      <w:r>
        <w:rPr>
          <w:rStyle w:val="FootnoteReference"/>
        </w:rPr>
        <w:footnoteRef/>
      </w:r>
      <w:r>
        <w:t xml:space="preserve"> </w:t>
      </w:r>
      <w:hyperlink r:id="rId1" w:history="1">
        <w:r w:rsidRPr="00384843">
          <w:rPr>
            <w:rStyle w:val="Hyperlink"/>
            <w:rFonts w:asciiTheme="majorBidi" w:hAnsiTheme="majorBidi" w:cstheme="majorBidi"/>
            <w:sz w:val="20"/>
            <w:szCs w:val="20"/>
          </w:rPr>
          <w:t>https://zeroproject.org/view/project/de6b36c8-ad4a-ec11-8c62-000d3ab5a6d0</w:t>
        </w:r>
      </w:hyperlink>
    </w:p>
    <w:p w14:paraId="6DA4F78B" w14:textId="77777777" w:rsidR="007E1602" w:rsidRDefault="007E1602" w:rsidP="007E1602">
      <w:pPr>
        <w:pStyle w:val="FootnoteText"/>
      </w:pPr>
    </w:p>
  </w:footnote>
  <w:footnote w:id="2">
    <w:p w14:paraId="783A3613" w14:textId="77777777" w:rsidR="00567228" w:rsidRPr="00A6688D" w:rsidRDefault="00567228" w:rsidP="004A5A55">
      <w:pPr>
        <w:pStyle w:val="FootnoteText"/>
        <w:jc w:val="both"/>
        <w:rPr>
          <w:rFonts w:asciiTheme="majorBidi" w:hAnsiTheme="majorBidi" w:cstheme="majorBidi"/>
        </w:rPr>
      </w:pPr>
      <w:r w:rsidRPr="000423C8">
        <w:rPr>
          <w:rStyle w:val="FootnoteReference"/>
          <w:rFonts w:asciiTheme="majorBidi" w:hAnsiTheme="majorBidi" w:cstheme="majorBidi"/>
        </w:rPr>
        <w:footnoteRef/>
      </w:r>
      <w:r w:rsidRPr="000423C8">
        <w:rPr>
          <w:rFonts w:asciiTheme="majorBidi" w:hAnsiTheme="majorBidi" w:cstheme="majorBidi"/>
        </w:rPr>
        <w:t xml:space="preserve"> See: Participation of students in the community centers' activity, participation of members with disabilities in the youth movements, the "For a Change" Program, "Trend for the Future" Program, "Shibolim" Program </w:t>
      </w:r>
      <w:r>
        <w:rPr>
          <w:rFonts w:asciiTheme="majorBidi" w:hAnsiTheme="majorBidi" w:cstheme="majorBidi"/>
        </w:rPr>
        <w:t>-</w:t>
      </w:r>
      <w:r w:rsidRPr="000423C8">
        <w:rPr>
          <w:rFonts w:asciiTheme="majorBidi" w:hAnsiTheme="majorBidi" w:cstheme="majorBidi"/>
        </w:rPr>
        <w:t xml:space="preserve"> participation of young persons with disabilities in pre-military preparatory courses.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546C"/>
    <w:multiLevelType w:val="hybridMultilevel"/>
    <w:tmpl w:val="4D66DAB0"/>
    <w:lvl w:ilvl="0" w:tplc="0500303C">
      <w:start w:val="2"/>
      <w:numFmt w:val="lowerLetter"/>
      <w:lvlText w:val="%1."/>
      <w:lvlJc w:val="left"/>
      <w:pPr>
        <w:ind w:left="1636" w:hanging="360"/>
      </w:pPr>
      <w:rPr>
        <w:rFonts w:hint="default"/>
      </w:rPr>
    </w:lvl>
    <w:lvl w:ilvl="1" w:tplc="E82CA2FA">
      <w:start w:val="1"/>
      <w:numFmt w:val="lowerLetter"/>
      <w:lvlText w:val="%2."/>
      <w:lvlJc w:val="left"/>
      <w:pPr>
        <w:ind w:left="2934" w:hanging="360"/>
      </w:pPr>
    </w:lvl>
    <w:lvl w:ilvl="2" w:tplc="47D081DC">
      <w:start w:val="1"/>
      <w:numFmt w:val="lowerLetter"/>
      <w:lvlText w:val="%3."/>
      <w:lvlJc w:val="left"/>
      <w:pPr>
        <w:ind w:left="3834" w:hanging="360"/>
      </w:pPr>
      <w:rPr>
        <w:rFonts w:ascii="Times New Roman" w:eastAsiaTheme="minorHAnsi" w:hAnsi="Times New Roman" w:cs="Times New Roman"/>
      </w:rPr>
    </w:lvl>
    <w:lvl w:ilvl="3" w:tplc="69A2CFB0" w:tentative="1">
      <w:start w:val="1"/>
      <w:numFmt w:val="decimal"/>
      <w:lvlText w:val="%4."/>
      <w:lvlJc w:val="left"/>
      <w:pPr>
        <w:ind w:left="4374" w:hanging="360"/>
      </w:pPr>
    </w:lvl>
    <w:lvl w:ilvl="4" w:tplc="14D49026" w:tentative="1">
      <w:start w:val="1"/>
      <w:numFmt w:val="lowerLetter"/>
      <w:lvlText w:val="%5."/>
      <w:lvlJc w:val="left"/>
      <w:pPr>
        <w:ind w:left="5094" w:hanging="360"/>
      </w:pPr>
    </w:lvl>
    <w:lvl w:ilvl="5" w:tplc="90D854DC" w:tentative="1">
      <w:start w:val="1"/>
      <w:numFmt w:val="lowerRoman"/>
      <w:lvlText w:val="%6."/>
      <w:lvlJc w:val="right"/>
      <w:pPr>
        <w:ind w:left="5814" w:hanging="180"/>
      </w:pPr>
    </w:lvl>
    <w:lvl w:ilvl="6" w:tplc="CD58238A" w:tentative="1">
      <w:start w:val="1"/>
      <w:numFmt w:val="decimal"/>
      <w:lvlText w:val="%7."/>
      <w:lvlJc w:val="left"/>
      <w:pPr>
        <w:ind w:left="6534" w:hanging="360"/>
      </w:pPr>
    </w:lvl>
    <w:lvl w:ilvl="7" w:tplc="E93EA122" w:tentative="1">
      <w:start w:val="1"/>
      <w:numFmt w:val="lowerLetter"/>
      <w:lvlText w:val="%8."/>
      <w:lvlJc w:val="left"/>
      <w:pPr>
        <w:ind w:left="7254" w:hanging="360"/>
      </w:pPr>
    </w:lvl>
    <w:lvl w:ilvl="8" w:tplc="2CFABEC0" w:tentative="1">
      <w:start w:val="1"/>
      <w:numFmt w:val="lowerRoman"/>
      <w:lvlText w:val="%9."/>
      <w:lvlJc w:val="right"/>
      <w:pPr>
        <w:ind w:left="7974" w:hanging="180"/>
      </w:pPr>
    </w:lvl>
  </w:abstractNum>
  <w:abstractNum w:abstractNumId="1" w15:restartNumberingAfterBreak="0">
    <w:nsid w:val="04FF4DB1"/>
    <w:multiLevelType w:val="hybridMultilevel"/>
    <w:tmpl w:val="F8DEEDA0"/>
    <w:lvl w:ilvl="0" w:tplc="E7AC5D04">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A31A6"/>
    <w:multiLevelType w:val="hybridMultilevel"/>
    <w:tmpl w:val="D52C6F0E"/>
    <w:lvl w:ilvl="0" w:tplc="70422B52">
      <w:start w:val="1"/>
      <w:numFmt w:val="bullet"/>
      <w:lvlText w:val=""/>
      <w:lvlJc w:val="left"/>
      <w:pPr>
        <w:ind w:left="720" w:hanging="360"/>
      </w:pPr>
      <w:rPr>
        <w:rFonts w:ascii="Symbol" w:hAnsi="Symbol" w:hint="default"/>
      </w:rPr>
    </w:lvl>
    <w:lvl w:ilvl="1" w:tplc="72E65B7E">
      <w:start w:val="1"/>
      <w:numFmt w:val="bullet"/>
      <w:lvlText w:val=""/>
      <w:lvlJc w:val="left"/>
      <w:pPr>
        <w:ind w:left="1440" w:hanging="360"/>
      </w:pPr>
      <w:rPr>
        <w:rFonts w:ascii="Symbol" w:hAnsi="Symbol" w:hint="default"/>
      </w:rPr>
    </w:lvl>
    <w:lvl w:ilvl="2" w:tplc="83A2671A" w:tentative="1">
      <w:start w:val="1"/>
      <w:numFmt w:val="bullet"/>
      <w:lvlText w:val=""/>
      <w:lvlJc w:val="left"/>
      <w:pPr>
        <w:ind w:left="2160" w:hanging="360"/>
      </w:pPr>
      <w:rPr>
        <w:rFonts w:ascii="Wingdings" w:hAnsi="Wingdings" w:hint="default"/>
      </w:rPr>
    </w:lvl>
    <w:lvl w:ilvl="3" w:tplc="ACE67E92" w:tentative="1">
      <w:start w:val="1"/>
      <w:numFmt w:val="bullet"/>
      <w:lvlText w:val=""/>
      <w:lvlJc w:val="left"/>
      <w:pPr>
        <w:ind w:left="2880" w:hanging="360"/>
      </w:pPr>
      <w:rPr>
        <w:rFonts w:ascii="Symbol" w:hAnsi="Symbol" w:hint="default"/>
      </w:rPr>
    </w:lvl>
    <w:lvl w:ilvl="4" w:tplc="2D0C9C74" w:tentative="1">
      <w:start w:val="1"/>
      <w:numFmt w:val="bullet"/>
      <w:lvlText w:val="o"/>
      <w:lvlJc w:val="left"/>
      <w:pPr>
        <w:ind w:left="3600" w:hanging="360"/>
      </w:pPr>
      <w:rPr>
        <w:rFonts w:ascii="Courier New" w:hAnsi="Courier New" w:cs="Courier New" w:hint="default"/>
      </w:rPr>
    </w:lvl>
    <w:lvl w:ilvl="5" w:tplc="77B24610" w:tentative="1">
      <w:start w:val="1"/>
      <w:numFmt w:val="bullet"/>
      <w:lvlText w:val=""/>
      <w:lvlJc w:val="left"/>
      <w:pPr>
        <w:ind w:left="4320" w:hanging="360"/>
      </w:pPr>
      <w:rPr>
        <w:rFonts w:ascii="Wingdings" w:hAnsi="Wingdings" w:hint="default"/>
      </w:rPr>
    </w:lvl>
    <w:lvl w:ilvl="6" w:tplc="5A8E5546" w:tentative="1">
      <w:start w:val="1"/>
      <w:numFmt w:val="bullet"/>
      <w:lvlText w:val=""/>
      <w:lvlJc w:val="left"/>
      <w:pPr>
        <w:ind w:left="5040" w:hanging="360"/>
      </w:pPr>
      <w:rPr>
        <w:rFonts w:ascii="Symbol" w:hAnsi="Symbol" w:hint="default"/>
      </w:rPr>
    </w:lvl>
    <w:lvl w:ilvl="7" w:tplc="BE3C8964" w:tentative="1">
      <w:start w:val="1"/>
      <w:numFmt w:val="bullet"/>
      <w:lvlText w:val="o"/>
      <w:lvlJc w:val="left"/>
      <w:pPr>
        <w:ind w:left="5760" w:hanging="360"/>
      </w:pPr>
      <w:rPr>
        <w:rFonts w:ascii="Courier New" w:hAnsi="Courier New" w:cs="Courier New" w:hint="default"/>
      </w:rPr>
    </w:lvl>
    <w:lvl w:ilvl="8" w:tplc="2E06E606" w:tentative="1">
      <w:start w:val="1"/>
      <w:numFmt w:val="bullet"/>
      <w:lvlText w:val=""/>
      <w:lvlJc w:val="left"/>
      <w:pPr>
        <w:ind w:left="6480" w:hanging="360"/>
      </w:pPr>
      <w:rPr>
        <w:rFonts w:ascii="Wingdings" w:hAnsi="Wingdings" w:hint="default"/>
      </w:rPr>
    </w:lvl>
  </w:abstractNum>
  <w:abstractNum w:abstractNumId="3" w15:restartNumberingAfterBreak="0">
    <w:nsid w:val="0A6872DA"/>
    <w:multiLevelType w:val="hybridMultilevel"/>
    <w:tmpl w:val="E012CF98"/>
    <w:lvl w:ilvl="0" w:tplc="B12C87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3D4310"/>
    <w:multiLevelType w:val="hybridMultilevel"/>
    <w:tmpl w:val="26CCCE50"/>
    <w:lvl w:ilvl="0" w:tplc="8AECF834">
      <w:start w:val="1"/>
      <w:numFmt w:val="lowerLetter"/>
      <w:lvlText w:val="%1."/>
      <w:lvlJc w:val="left"/>
      <w:pPr>
        <w:ind w:left="1080" w:hanging="360"/>
      </w:pPr>
      <w:rPr>
        <w:rFonts w:hint="default"/>
      </w:rPr>
    </w:lvl>
    <w:lvl w:ilvl="1" w:tplc="9BC44192" w:tentative="1">
      <w:start w:val="1"/>
      <w:numFmt w:val="lowerLetter"/>
      <w:lvlText w:val="%2."/>
      <w:lvlJc w:val="left"/>
      <w:pPr>
        <w:ind w:left="1800" w:hanging="360"/>
      </w:pPr>
    </w:lvl>
    <w:lvl w:ilvl="2" w:tplc="06F40D20" w:tentative="1">
      <w:start w:val="1"/>
      <w:numFmt w:val="lowerRoman"/>
      <w:lvlText w:val="%3."/>
      <w:lvlJc w:val="right"/>
      <w:pPr>
        <w:ind w:left="2520" w:hanging="180"/>
      </w:pPr>
    </w:lvl>
    <w:lvl w:ilvl="3" w:tplc="EBBE5560" w:tentative="1">
      <w:start w:val="1"/>
      <w:numFmt w:val="decimal"/>
      <w:lvlText w:val="%4."/>
      <w:lvlJc w:val="left"/>
      <w:pPr>
        <w:ind w:left="3240" w:hanging="360"/>
      </w:pPr>
    </w:lvl>
    <w:lvl w:ilvl="4" w:tplc="C5F49728" w:tentative="1">
      <w:start w:val="1"/>
      <w:numFmt w:val="lowerLetter"/>
      <w:lvlText w:val="%5."/>
      <w:lvlJc w:val="left"/>
      <w:pPr>
        <w:ind w:left="3960" w:hanging="360"/>
      </w:pPr>
    </w:lvl>
    <w:lvl w:ilvl="5" w:tplc="79A2E122" w:tentative="1">
      <w:start w:val="1"/>
      <w:numFmt w:val="lowerRoman"/>
      <w:lvlText w:val="%6."/>
      <w:lvlJc w:val="right"/>
      <w:pPr>
        <w:ind w:left="4680" w:hanging="180"/>
      </w:pPr>
    </w:lvl>
    <w:lvl w:ilvl="6" w:tplc="5C9084F6" w:tentative="1">
      <w:start w:val="1"/>
      <w:numFmt w:val="decimal"/>
      <w:lvlText w:val="%7."/>
      <w:lvlJc w:val="left"/>
      <w:pPr>
        <w:ind w:left="5400" w:hanging="360"/>
      </w:pPr>
    </w:lvl>
    <w:lvl w:ilvl="7" w:tplc="32A43F38" w:tentative="1">
      <w:start w:val="1"/>
      <w:numFmt w:val="lowerLetter"/>
      <w:lvlText w:val="%8."/>
      <w:lvlJc w:val="left"/>
      <w:pPr>
        <w:ind w:left="6120" w:hanging="360"/>
      </w:pPr>
    </w:lvl>
    <w:lvl w:ilvl="8" w:tplc="D89C6804" w:tentative="1">
      <w:start w:val="1"/>
      <w:numFmt w:val="lowerRoman"/>
      <w:lvlText w:val="%9."/>
      <w:lvlJc w:val="right"/>
      <w:pPr>
        <w:ind w:left="6840" w:hanging="180"/>
      </w:pPr>
    </w:lvl>
  </w:abstractNum>
  <w:abstractNum w:abstractNumId="5" w15:restartNumberingAfterBreak="0">
    <w:nsid w:val="117856A1"/>
    <w:multiLevelType w:val="hybridMultilevel"/>
    <w:tmpl w:val="7A42CC9C"/>
    <w:lvl w:ilvl="0" w:tplc="0AA47DF2">
      <w:start w:val="1"/>
      <w:numFmt w:val="decimal"/>
      <w:lvlText w:val="%1."/>
      <w:lvlJc w:val="left"/>
      <w:pPr>
        <w:ind w:left="360" w:hanging="360"/>
      </w:pPr>
      <w:rPr>
        <w:rFonts w:asciiTheme="majorBidi" w:hAnsiTheme="majorBidi" w:cstheme="majorBidi" w:hint="default"/>
        <w:b w:val="0"/>
        <w:bCs w:val="0"/>
        <w:sz w:val="24"/>
        <w:szCs w:val="24"/>
      </w:rPr>
    </w:lvl>
    <w:lvl w:ilvl="1" w:tplc="04090019" w:tentative="1">
      <w:start w:val="1"/>
      <w:numFmt w:val="lowerLetter"/>
      <w:lvlText w:val="%2."/>
      <w:lvlJc w:val="left"/>
      <w:pPr>
        <w:ind w:left="-1854" w:hanging="360"/>
      </w:pPr>
    </w:lvl>
    <w:lvl w:ilvl="2" w:tplc="0409001B" w:tentative="1">
      <w:start w:val="1"/>
      <w:numFmt w:val="lowerRoman"/>
      <w:lvlText w:val="%3."/>
      <w:lvlJc w:val="right"/>
      <w:pPr>
        <w:ind w:left="-1134" w:hanging="180"/>
      </w:pPr>
    </w:lvl>
    <w:lvl w:ilvl="3" w:tplc="0409000F" w:tentative="1">
      <w:start w:val="1"/>
      <w:numFmt w:val="decimal"/>
      <w:lvlText w:val="%4."/>
      <w:lvlJc w:val="left"/>
      <w:pPr>
        <w:ind w:left="-414" w:hanging="360"/>
      </w:pPr>
    </w:lvl>
    <w:lvl w:ilvl="4" w:tplc="04090019" w:tentative="1">
      <w:start w:val="1"/>
      <w:numFmt w:val="lowerLetter"/>
      <w:lvlText w:val="%5."/>
      <w:lvlJc w:val="left"/>
      <w:pPr>
        <w:ind w:left="306" w:hanging="360"/>
      </w:pPr>
    </w:lvl>
    <w:lvl w:ilvl="5" w:tplc="0409001B" w:tentative="1">
      <w:start w:val="1"/>
      <w:numFmt w:val="lowerRoman"/>
      <w:lvlText w:val="%6."/>
      <w:lvlJc w:val="right"/>
      <w:pPr>
        <w:ind w:left="1026" w:hanging="180"/>
      </w:pPr>
    </w:lvl>
    <w:lvl w:ilvl="6" w:tplc="0409000F" w:tentative="1">
      <w:start w:val="1"/>
      <w:numFmt w:val="decimal"/>
      <w:lvlText w:val="%7."/>
      <w:lvlJc w:val="left"/>
      <w:pPr>
        <w:ind w:left="1746" w:hanging="360"/>
      </w:pPr>
    </w:lvl>
    <w:lvl w:ilvl="7" w:tplc="04090019" w:tentative="1">
      <w:start w:val="1"/>
      <w:numFmt w:val="lowerLetter"/>
      <w:lvlText w:val="%8."/>
      <w:lvlJc w:val="left"/>
      <w:pPr>
        <w:ind w:left="2466" w:hanging="360"/>
      </w:pPr>
    </w:lvl>
    <w:lvl w:ilvl="8" w:tplc="0409001B" w:tentative="1">
      <w:start w:val="1"/>
      <w:numFmt w:val="lowerRoman"/>
      <w:lvlText w:val="%9."/>
      <w:lvlJc w:val="right"/>
      <w:pPr>
        <w:ind w:left="3186" w:hanging="180"/>
      </w:pPr>
    </w:lvl>
  </w:abstractNum>
  <w:abstractNum w:abstractNumId="6" w15:restartNumberingAfterBreak="0">
    <w:nsid w:val="17D8755D"/>
    <w:multiLevelType w:val="hybridMultilevel"/>
    <w:tmpl w:val="6F488A04"/>
    <w:lvl w:ilvl="0" w:tplc="3C2CBB4E">
      <w:start w:val="1"/>
      <w:numFmt w:val="decimal"/>
      <w:lvlText w:val="%1."/>
      <w:lvlJc w:val="left"/>
      <w:pPr>
        <w:ind w:left="3654" w:hanging="360"/>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D150FB"/>
    <w:multiLevelType w:val="hybridMultilevel"/>
    <w:tmpl w:val="EA58F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32144D"/>
    <w:multiLevelType w:val="hybridMultilevel"/>
    <w:tmpl w:val="47BA2A7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014FD8"/>
    <w:multiLevelType w:val="hybridMultilevel"/>
    <w:tmpl w:val="5470DB64"/>
    <w:lvl w:ilvl="0" w:tplc="27623B64">
      <w:start w:val="1"/>
      <w:numFmt w:val="lowerLetter"/>
      <w:lvlText w:val="%1."/>
      <w:lvlJc w:val="left"/>
      <w:pPr>
        <w:ind w:left="720" w:hanging="360"/>
      </w:pPr>
      <w:rPr>
        <w:rFonts w:asciiTheme="majorBidi" w:eastAsiaTheme="minorHAnsi" w:hAnsiTheme="majorBidi" w:cstheme="majorBidi"/>
      </w:rPr>
    </w:lvl>
    <w:lvl w:ilvl="1" w:tplc="15084E4A" w:tentative="1">
      <w:start w:val="1"/>
      <w:numFmt w:val="lowerLetter"/>
      <w:lvlText w:val="%2."/>
      <w:lvlJc w:val="left"/>
      <w:pPr>
        <w:ind w:left="1440" w:hanging="360"/>
      </w:pPr>
    </w:lvl>
    <w:lvl w:ilvl="2" w:tplc="E5F46D4A" w:tentative="1">
      <w:start w:val="1"/>
      <w:numFmt w:val="lowerRoman"/>
      <w:lvlText w:val="%3."/>
      <w:lvlJc w:val="right"/>
      <w:pPr>
        <w:ind w:left="2160" w:hanging="180"/>
      </w:pPr>
    </w:lvl>
    <w:lvl w:ilvl="3" w:tplc="0B52BDFA" w:tentative="1">
      <w:start w:val="1"/>
      <w:numFmt w:val="decimal"/>
      <w:lvlText w:val="%4."/>
      <w:lvlJc w:val="left"/>
      <w:pPr>
        <w:ind w:left="2880" w:hanging="360"/>
      </w:pPr>
    </w:lvl>
    <w:lvl w:ilvl="4" w:tplc="AF109434" w:tentative="1">
      <w:start w:val="1"/>
      <w:numFmt w:val="lowerLetter"/>
      <w:lvlText w:val="%5."/>
      <w:lvlJc w:val="left"/>
      <w:pPr>
        <w:ind w:left="3600" w:hanging="360"/>
      </w:pPr>
    </w:lvl>
    <w:lvl w:ilvl="5" w:tplc="10001AE8" w:tentative="1">
      <w:start w:val="1"/>
      <w:numFmt w:val="lowerRoman"/>
      <w:lvlText w:val="%6."/>
      <w:lvlJc w:val="right"/>
      <w:pPr>
        <w:ind w:left="4320" w:hanging="180"/>
      </w:pPr>
    </w:lvl>
    <w:lvl w:ilvl="6" w:tplc="AEA46CC0" w:tentative="1">
      <w:start w:val="1"/>
      <w:numFmt w:val="decimal"/>
      <w:lvlText w:val="%7."/>
      <w:lvlJc w:val="left"/>
      <w:pPr>
        <w:ind w:left="5040" w:hanging="360"/>
      </w:pPr>
    </w:lvl>
    <w:lvl w:ilvl="7" w:tplc="70D897D0" w:tentative="1">
      <w:start w:val="1"/>
      <w:numFmt w:val="lowerLetter"/>
      <w:lvlText w:val="%8."/>
      <w:lvlJc w:val="left"/>
      <w:pPr>
        <w:ind w:left="5760" w:hanging="360"/>
      </w:pPr>
    </w:lvl>
    <w:lvl w:ilvl="8" w:tplc="9162FA68" w:tentative="1">
      <w:start w:val="1"/>
      <w:numFmt w:val="lowerRoman"/>
      <w:lvlText w:val="%9."/>
      <w:lvlJc w:val="right"/>
      <w:pPr>
        <w:ind w:left="6480" w:hanging="180"/>
      </w:pPr>
    </w:lvl>
  </w:abstractNum>
  <w:abstractNum w:abstractNumId="10" w15:restartNumberingAfterBreak="0">
    <w:nsid w:val="1F0670C0"/>
    <w:multiLevelType w:val="hybridMultilevel"/>
    <w:tmpl w:val="0EE84A7A"/>
    <w:lvl w:ilvl="0" w:tplc="9276276E">
      <w:start w:val="1"/>
      <w:numFmt w:val="lowerLetter"/>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89081E"/>
    <w:multiLevelType w:val="hybridMultilevel"/>
    <w:tmpl w:val="F8DEEDA0"/>
    <w:lvl w:ilvl="0" w:tplc="E7AC5D04">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FA6C02"/>
    <w:multiLevelType w:val="hybridMultilevel"/>
    <w:tmpl w:val="ABFA1CC2"/>
    <w:lvl w:ilvl="0" w:tplc="B12C87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C921502"/>
    <w:multiLevelType w:val="hybridMultilevel"/>
    <w:tmpl w:val="37F4D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26A529A"/>
    <w:multiLevelType w:val="hybridMultilevel"/>
    <w:tmpl w:val="37F4D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9787B9C"/>
    <w:multiLevelType w:val="hybridMultilevel"/>
    <w:tmpl w:val="C5D64A1E"/>
    <w:lvl w:ilvl="0" w:tplc="F68C0C30">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BA5113"/>
    <w:multiLevelType w:val="hybridMultilevel"/>
    <w:tmpl w:val="C5D64A1E"/>
    <w:lvl w:ilvl="0" w:tplc="F68C0C30">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2B3446"/>
    <w:multiLevelType w:val="hybridMultilevel"/>
    <w:tmpl w:val="47BA2A7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BBB28A3"/>
    <w:multiLevelType w:val="hybridMultilevel"/>
    <w:tmpl w:val="8B8AC180"/>
    <w:lvl w:ilvl="0" w:tplc="667861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C0545E2"/>
    <w:multiLevelType w:val="hybridMultilevel"/>
    <w:tmpl w:val="F8DEEDA0"/>
    <w:lvl w:ilvl="0" w:tplc="E7AC5D04">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1B5343"/>
    <w:multiLevelType w:val="hybridMultilevel"/>
    <w:tmpl w:val="14C0917C"/>
    <w:lvl w:ilvl="0" w:tplc="0409001B">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E3F4342"/>
    <w:multiLevelType w:val="hybridMultilevel"/>
    <w:tmpl w:val="0B54F604"/>
    <w:lvl w:ilvl="0" w:tplc="E82CA2FA">
      <w:start w:val="1"/>
      <w:numFmt w:val="lowerLetter"/>
      <w:lvlText w:val="%1."/>
      <w:lvlJc w:val="left"/>
      <w:pPr>
        <w:ind w:left="293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3C08C3"/>
    <w:multiLevelType w:val="hybridMultilevel"/>
    <w:tmpl w:val="C5D64A1E"/>
    <w:lvl w:ilvl="0" w:tplc="F68C0C30">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425202"/>
    <w:multiLevelType w:val="hybridMultilevel"/>
    <w:tmpl w:val="DDEC28E2"/>
    <w:lvl w:ilvl="0" w:tplc="422E389E">
      <w:start w:val="1"/>
      <w:numFmt w:val="lowerLetter"/>
      <w:lvlText w:val="%1."/>
      <w:lvlJc w:val="left"/>
      <w:pPr>
        <w:ind w:left="720" w:hanging="360"/>
      </w:pPr>
      <w:rPr>
        <w:rFonts w:asciiTheme="majorBidi" w:eastAsia="Times New Roman"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B">
      <w:start w:val="1"/>
      <w:numFmt w:val="lowerRoman"/>
      <w:lvlText w:val="%5."/>
      <w:lvlJc w:val="righ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045C54"/>
    <w:multiLevelType w:val="hybridMultilevel"/>
    <w:tmpl w:val="B3E61EFE"/>
    <w:lvl w:ilvl="0" w:tplc="76DE8BC0">
      <w:start w:val="1"/>
      <w:numFmt w:val="lowerLetter"/>
      <w:lvlText w:val="%1."/>
      <w:lvlJc w:val="left"/>
      <w:pPr>
        <w:ind w:left="1080" w:hanging="360"/>
      </w:pPr>
      <w:rPr>
        <w:rFonts w:asciiTheme="majorBidi" w:eastAsiaTheme="minorHAnsi" w:hAnsiTheme="majorBidi" w:cstheme="maj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737B5D"/>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470602E4"/>
    <w:multiLevelType w:val="hybridMultilevel"/>
    <w:tmpl w:val="E78803F4"/>
    <w:lvl w:ilvl="0" w:tplc="B12C87A8">
      <w:start w:val="1"/>
      <w:numFmt w:val="decimal"/>
      <w:lvlText w:val="%1."/>
      <w:lvlJc w:val="left"/>
      <w:pPr>
        <w:ind w:left="720" w:hanging="360"/>
      </w:pPr>
      <w:rPr>
        <w:rFonts w:hint="default"/>
      </w:rPr>
    </w:lvl>
    <w:lvl w:ilvl="1" w:tplc="9C668E20">
      <w:start w:val="1"/>
      <w:numFmt w:val="upperLetter"/>
      <w:lvlText w:val="%2."/>
      <w:lvlJc w:val="left"/>
      <w:pPr>
        <w:ind w:left="1440" w:hanging="360"/>
      </w:pPr>
      <w:rPr>
        <w:rFonts w:hint="default"/>
      </w:rPr>
    </w:lvl>
    <w:lvl w:ilvl="2" w:tplc="E7AC5D04">
      <w:start w:val="1"/>
      <w:numFmt w:val="lowerRoman"/>
      <w:lvlText w:val="%3."/>
      <w:lvlJc w:val="right"/>
      <w:pPr>
        <w:ind w:left="2160" w:hanging="180"/>
      </w:pPr>
    </w:lvl>
    <w:lvl w:ilvl="3" w:tplc="C76E6FF6">
      <w:start w:val="1"/>
      <w:numFmt w:val="decimal"/>
      <w:lvlText w:val="%4."/>
      <w:lvlJc w:val="left"/>
      <w:pPr>
        <w:ind w:left="2880" w:hanging="360"/>
      </w:pPr>
    </w:lvl>
    <w:lvl w:ilvl="4" w:tplc="91227382">
      <w:start w:val="1"/>
      <w:numFmt w:val="lowerLetter"/>
      <w:lvlText w:val="%5."/>
      <w:lvlJc w:val="left"/>
      <w:pPr>
        <w:ind w:left="3600" w:hanging="360"/>
      </w:pPr>
    </w:lvl>
    <w:lvl w:ilvl="5" w:tplc="9ED027B8">
      <w:start w:val="1"/>
      <w:numFmt w:val="lowerRoman"/>
      <w:lvlText w:val="%6."/>
      <w:lvlJc w:val="right"/>
      <w:pPr>
        <w:ind w:left="4320" w:hanging="180"/>
      </w:pPr>
    </w:lvl>
    <w:lvl w:ilvl="6" w:tplc="0338ED6A">
      <w:start w:val="1"/>
      <w:numFmt w:val="decimal"/>
      <w:lvlText w:val="%7."/>
      <w:lvlJc w:val="left"/>
      <w:pPr>
        <w:ind w:left="5040" w:hanging="360"/>
      </w:pPr>
    </w:lvl>
    <w:lvl w:ilvl="7" w:tplc="B37AEB2A">
      <w:start w:val="1"/>
      <w:numFmt w:val="lowerLetter"/>
      <w:lvlText w:val="%8."/>
      <w:lvlJc w:val="left"/>
      <w:pPr>
        <w:ind w:left="5760" w:hanging="360"/>
      </w:pPr>
    </w:lvl>
    <w:lvl w:ilvl="8" w:tplc="5EE27DAE">
      <w:start w:val="1"/>
      <w:numFmt w:val="lowerRoman"/>
      <w:lvlText w:val="%9."/>
      <w:lvlJc w:val="right"/>
      <w:pPr>
        <w:ind w:left="6480" w:hanging="180"/>
      </w:pPr>
    </w:lvl>
  </w:abstractNum>
  <w:abstractNum w:abstractNumId="27" w15:restartNumberingAfterBreak="0">
    <w:nsid w:val="4B0010C7"/>
    <w:multiLevelType w:val="hybridMultilevel"/>
    <w:tmpl w:val="C5C4AAFA"/>
    <w:lvl w:ilvl="0" w:tplc="AC2E076C">
      <w:start w:val="1"/>
      <w:numFmt w:val="lowerLetter"/>
      <w:lvlText w:val="%1."/>
      <w:lvlJc w:val="left"/>
      <w:pPr>
        <w:ind w:left="360" w:hanging="360"/>
      </w:pPr>
      <w:rPr>
        <w:rFonts w:asciiTheme="majorBidi" w:eastAsiaTheme="minorHAnsi" w:hAnsiTheme="majorBidi" w:cstheme="majorBidi"/>
        <w:b w:val="0"/>
        <w:bCs w:val="0"/>
        <w:sz w:val="24"/>
        <w:szCs w:val="24"/>
      </w:rPr>
    </w:lvl>
    <w:lvl w:ilvl="1" w:tplc="04090019" w:tentative="1">
      <w:start w:val="1"/>
      <w:numFmt w:val="lowerLetter"/>
      <w:lvlText w:val="%2."/>
      <w:lvlJc w:val="left"/>
      <w:pPr>
        <w:ind w:left="-1854" w:hanging="360"/>
      </w:pPr>
    </w:lvl>
    <w:lvl w:ilvl="2" w:tplc="0409001B" w:tentative="1">
      <w:start w:val="1"/>
      <w:numFmt w:val="lowerRoman"/>
      <w:lvlText w:val="%3."/>
      <w:lvlJc w:val="right"/>
      <w:pPr>
        <w:ind w:left="-1134" w:hanging="180"/>
      </w:pPr>
    </w:lvl>
    <w:lvl w:ilvl="3" w:tplc="0409000F" w:tentative="1">
      <w:start w:val="1"/>
      <w:numFmt w:val="decimal"/>
      <w:lvlText w:val="%4."/>
      <w:lvlJc w:val="left"/>
      <w:pPr>
        <w:ind w:left="-414" w:hanging="360"/>
      </w:pPr>
    </w:lvl>
    <w:lvl w:ilvl="4" w:tplc="04090019" w:tentative="1">
      <w:start w:val="1"/>
      <w:numFmt w:val="lowerLetter"/>
      <w:lvlText w:val="%5."/>
      <w:lvlJc w:val="left"/>
      <w:pPr>
        <w:ind w:left="306" w:hanging="360"/>
      </w:pPr>
    </w:lvl>
    <w:lvl w:ilvl="5" w:tplc="0409001B" w:tentative="1">
      <w:start w:val="1"/>
      <w:numFmt w:val="lowerRoman"/>
      <w:lvlText w:val="%6."/>
      <w:lvlJc w:val="right"/>
      <w:pPr>
        <w:ind w:left="1026" w:hanging="180"/>
      </w:pPr>
    </w:lvl>
    <w:lvl w:ilvl="6" w:tplc="0409000F" w:tentative="1">
      <w:start w:val="1"/>
      <w:numFmt w:val="decimal"/>
      <w:lvlText w:val="%7."/>
      <w:lvlJc w:val="left"/>
      <w:pPr>
        <w:ind w:left="1746" w:hanging="360"/>
      </w:pPr>
    </w:lvl>
    <w:lvl w:ilvl="7" w:tplc="04090019" w:tentative="1">
      <w:start w:val="1"/>
      <w:numFmt w:val="lowerLetter"/>
      <w:lvlText w:val="%8."/>
      <w:lvlJc w:val="left"/>
      <w:pPr>
        <w:ind w:left="2466" w:hanging="360"/>
      </w:pPr>
    </w:lvl>
    <w:lvl w:ilvl="8" w:tplc="0409001B" w:tentative="1">
      <w:start w:val="1"/>
      <w:numFmt w:val="lowerRoman"/>
      <w:lvlText w:val="%9."/>
      <w:lvlJc w:val="right"/>
      <w:pPr>
        <w:ind w:left="3186" w:hanging="180"/>
      </w:pPr>
    </w:lvl>
  </w:abstractNum>
  <w:abstractNum w:abstractNumId="28" w15:restartNumberingAfterBreak="0">
    <w:nsid w:val="4CAE6AEA"/>
    <w:multiLevelType w:val="hybridMultilevel"/>
    <w:tmpl w:val="25F473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DAA49B4"/>
    <w:multiLevelType w:val="hybridMultilevel"/>
    <w:tmpl w:val="26CCCE50"/>
    <w:lvl w:ilvl="0" w:tplc="8AECF834">
      <w:start w:val="1"/>
      <w:numFmt w:val="lowerLetter"/>
      <w:lvlText w:val="%1."/>
      <w:lvlJc w:val="left"/>
      <w:pPr>
        <w:ind w:left="1080" w:hanging="360"/>
      </w:pPr>
      <w:rPr>
        <w:rFonts w:hint="default"/>
      </w:rPr>
    </w:lvl>
    <w:lvl w:ilvl="1" w:tplc="9BC44192" w:tentative="1">
      <w:start w:val="1"/>
      <w:numFmt w:val="lowerLetter"/>
      <w:lvlText w:val="%2."/>
      <w:lvlJc w:val="left"/>
      <w:pPr>
        <w:ind w:left="1800" w:hanging="360"/>
      </w:pPr>
    </w:lvl>
    <w:lvl w:ilvl="2" w:tplc="06F40D20" w:tentative="1">
      <w:start w:val="1"/>
      <w:numFmt w:val="lowerRoman"/>
      <w:lvlText w:val="%3."/>
      <w:lvlJc w:val="right"/>
      <w:pPr>
        <w:ind w:left="2520" w:hanging="180"/>
      </w:pPr>
    </w:lvl>
    <w:lvl w:ilvl="3" w:tplc="EBBE5560" w:tentative="1">
      <w:start w:val="1"/>
      <w:numFmt w:val="decimal"/>
      <w:lvlText w:val="%4."/>
      <w:lvlJc w:val="left"/>
      <w:pPr>
        <w:ind w:left="3240" w:hanging="360"/>
      </w:pPr>
    </w:lvl>
    <w:lvl w:ilvl="4" w:tplc="C5F49728" w:tentative="1">
      <w:start w:val="1"/>
      <w:numFmt w:val="lowerLetter"/>
      <w:lvlText w:val="%5."/>
      <w:lvlJc w:val="left"/>
      <w:pPr>
        <w:ind w:left="3960" w:hanging="360"/>
      </w:pPr>
    </w:lvl>
    <w:lvl w:ilvl="5" w:tplc="79A2E122" w:tentative="1">
      <w:start w:val="1"/>
      <w:numFmt w:val="lowerRoman"/>
      <w:lvlText w:val="%6."/>
      <w:lvlJc w:val="right"/>
      <w:pPr>
        <w:ind w:left="4680" w:hanging="180"/>
      </w:pPr>
    </w:lvl>
    <w:lvl w:ilvl="6" w:tplc="5C9084F6" w:tentative="1">
      <w:start w:val="1"/>
      <w:numFmt w:val="decimal"/>
      <w:lvlText w:val="%7."/>
      <w:lvlJc w:val="left"/>
      <w:pPr>
        <w:ind w:left="5400" w:hanging="360"/>
      </w:pPr>
    </w:lvl>
    <w:lvl w:ilvl="7" w:tplc="32A43F38" w:tentative="1">
      <w:start w:val="1"/>
      <w:numFmt w:val="lowerLetter"/>
      <w:lvlText w:val="%8."/>
      <w:lvlJc w:val="left"/>
      <w:pPr>
        <w:ind w:left="6120" w:hanging="360"/>
      </w:pPr>
    </w:lvl>
    <w:lvl w:ilvl="8" w:tplc="D89C6804" w:tentative="1">
      <w:start w:val="1"/>
      <w:numFmt w:val="lowerRoman"/>
      <w:lvlText w:val="%9."/>
      <w:lvlJc w:val="right"/>
      <w:pPr>
        <w:ind w:left="6840" w:hanging="180"/>
      </w:pPr>
    </w:lvl>
  </w:abstractNum>
  <w:abstractNum w:abstractNumId="30" w15:restartNumberingAfterBreak="0">
    <w:nsid w:val="58E3366B"/>
    <w:multiLevelType w:val="hybridMultilevel"/>
    <w:tmpl w:val="A244A3F4"/>
    <w:lvl w:ilvl="0" w:tplc="422E389E">
      <w:start w:val="1"/>
      <w:numFmt w:val="lowerLetter"/>
      <w:lvlText w:val="%1."/>
      <w:lvlJc w:val="left"/>
      <w:pPr>
        <w:ind w:left="720" w:hanging="360"/>
      </w:pPr>
      <w:rPr>
        <w:rFonts w:asciiTheme="majorBidi" w:eastAsia="Times New Roman"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620813"/>
    <w:multiLevelType w:val="hybridMultilevel"/>
    <w:tmpl w:val="C91A8042"/>
    <w:lvl w:ilvl="0" w:tplc="F68C0C30">
      <w:start w:val="1"/>
      <w:numFmt w:val="lowerLetter"/>
      <w:lvlText w:val="%1."/>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D6714F"/>
    <w:multiLevelType w:val="hybridMultilevel"/>
    <w:tmpl w:val="570CC05C"/>
    <w:lvl w:ilvl="0" w:tplc="F68C0C30">
      <w:start w:val="1"/>
      <w:numFmt w:val="lowerLetter"/>
      <w:lvlText w:val="%1."/>
      <w:lvlJc w:val="left"/>
      <w:pPr>
        <w:ind w:left="792" w:hanging="360"/>
      </w:pPr>
      <w:rPr>
        <w:rFonts w:ascii="Times New Roman" w:eastAsiaTheme="minorHAnsi" w:hAnsi="Times New Roman" w:cs="Times New Roman" w:hint="default"/>
        <w:sz w:val="24"/>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3" w15:restartNumberingAfterBreak="0">
    <w:nsid w:val="61194A69"/>
    <w:multiLevelType w:val="hybridMultilevel"/>
    <w:tmpl w:val="69FEBD74"/>
    <w:lvl w:ilvl="0" w:tplc="7D96625C">
      <w:start w:val="1"/>
      <w:numFmt w:val="decimal"/>
      <w:lvlText w:val="%1."/>
      <w:lvlJc w:val="left"/>
      <w:pPr>
        <w:ind w:left="720" w:hanging="360"/>
      </w:pPr>
      <w:rPr>
        <w:rFonts w:hint="default"/>
        <w:b w:val="0"/>
        <w:bCs/>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A07C02"/>
    <w:multiLevelType w:val="hybridMultilevel"/>
    <w:tmpl w:val="26CCCE50"/>
    <w:lvl w:ilvl="0" w:tplc="8AECF834">
      <w:start w:val="1"/>
      <w:numFmt w:val="lowerLetter"/>
      <w:lvlText w:val="%1."/>
      <w:lvlJc w:val="left"/>
      <w:pPr>
        <w:ind w:left="1080" w:hanging="360"/>
      </w:pPr>
      <w:rPr>
        <w:rFonts w:hint="default"/>
      </w:rPr>
    </w:lvl>
    <w:lvl w:ilvl="1" w:tplc="9BC44192" w:tentative="1">
      <w:start w:val="1"/>
      <w:numFmt w:val="lowerLetter"/>
      <w:lvlText w:val="%2."/>
      <w:lvlJc w:val="left"/>
      <w:pPr>
        <w:ind w:left="1800" w:hanging="360"/>
      </w:pPr>
    </w:lvl>
    <w:lvl w:ilvl="2" w:tplc="06F40D20" w:tentative="1">
      <w:start w:val="1"/>
      <w:numFmt w:val="lowerRoman"/>
      <w:lvlText w:val="%3."/>
      <w:lvlJc w:val="right"/>
      <w:pPr>
        <w:ind w:left="2520" w:hanging="180"/>
      </w:pPr>
    </w:lvl>
    <w:lvl w:ilvl="3" w:tplc="EBBE5560" w:tentative="1">
      <w:start w:val="1"/>
      <w:numFmt w:val="decimal"/>
      <w:lvlText w:val="%4."/>
      <w:lvlJc w:val="left"/>
      <w:pPr>
        <w:ind w:left="3240" w:hanging="360"/>
      </w:pPr>
    </w:lvl>
    <w:lvl w:ilvl="4" w:tplc="C5F49728" w:tentative="1">
      <w:start w:val="1"/>
      <w:numFmt w:val="lowerLetter"/>
      <w:lvlText w:val="%5."/>
      <w:lvlJc w:val="left"/>
      <w:pPr>
        <w:ind w:left="3960" w:hanging="360"/>
      </w:pPr>
    </w:lvl>
    <w:lvl w:ilvl="5" w:tplc="79A2E122" w:tentative="1">
      <w:start w:val="1"/>
      <w:numFmt w:val="lowerRoman"/>
      <w:lvlText w:val="%6."/>
      <w:lvlJc w:val="right"/>
      <w:pPr>
        <w:ind w:left="4680" w:hanging="180"/>
      </w:pPr>
    </w:lvl>
    <w:lvl w:ilvl="6" w:tplc="5C9084F6" w:tentative="1">
      <w:start w:val="1"/>
      <w:numFmt w:val="decimal"/>
      <w:lvlText w:val="%7."/>
      <w:lvlJc w:val="left"/>
      <w:pPr>
        <w:ind w:left="5400" w:hanging="360"/>
      </w:pPr>
    </w:lvl>
    <w:lvl w:ilvl="7" w:tplc="32A43F38" w:tentative="1">
      <w:start w:val="1"/>
      <w:numFmt w:val="lowerLetter"/>
      <w:lvlText w:val="%8."/>
      <w:lvlJc w:val="left"/>
      <w:pPr>
        <w:ind w:left="6120" w:hanging="360"/>
      </w:pPr>
    </w:lvl>
    <w:lvl w:ilvl="8" w:tplc="D89C6804" w:tentative="1">
      <w:start w:val="1"/>
      <w:numFmt w:val="lowerRoman"/>
      <w:lvlText w:val="%9."/>
      <w:lvlJc w:val="right"/>
      <w:pPr>
        <w:ind w:left="6840" w:hanging="180"/>
      </w:pPr>
    </w:lvl>
  </w:abstractNum>
  <w:abstractNum w:abstractNumId="35" w15:restartNumberingAfterBreak="0">
    <w:nsid w:val="662A353A"/>
    <w:multiLevelType w:val="hybridMultilevel"/>
    <w:tmpl w:val="5BAAFE24"/>
    <w:lvl w:ilvl="0" w:tplc="9CA2946E">
      <w:start w:val="1"/>
      <w:numFmt w:val="lowerRoman"/>
      <w:lvlText w:val="%1."/>
      <w:lvlJc w:val="right"/>
      <w:pPr>
        <w:ind w:left="2214" w:hanging="360"/>
      </w:pPr>
      <w:rPr>
        <w:rFonts w:hint="default"/>
      </w:rPr>
    </w:lvl>
    <w:lvl w:ilvl="1" w:tplc="AADE825C">
      <w:start w:val="1"/>
      <w:numFmt w:val="lowerLetter"/>
      <w:lvlText w:val="%2."/>
      <w:lvlJc w:val="left"/>
      <w:pPr>
        <w:ind w:left="2934" w:hanging="360"/>
      </w:pPr>
    </w:lvl>
    <w:lvl w:ilvl="2" w:tplc="6CE4CA1C">
      <w:start w:val="1"/>
      <w:numFmt w:val="decimal"/>
      <w:lvlText w:val="%3."/>
      <w:lvlJc w:val="left"/>
      <w:pPr>
        <w:ind w:left="3834" w:hanging="360"/>
      </w:pPr>
      <w:rPr>
        <w:rFonts w:hint="default"/>
      </w:rPr>
    </w:lvl>
    <w:lvl w:ilvl="3" w:tplc="415A9CC0" w:tentative="1">
      <w:start w:val="1"/>
      <w:numFmt w:val="decimal"/>
      <w:lvlText w:val="%4."/>
      <w:lvlJc w:val="left"/>
      <w:pPr>
        <w:ind w:left="4374" w:hanging="360"/>
      </w:pPr>
    </w:lvl>
    <w:lvl w:ilvl="4" w:tplc="12301186" w:tentative="1">
      <w:start w:val="1"/>
      <w:numFmt w:val="lowerLetter"/>
      <w:lvlText w:val="%5."/>
      <w:lvlJc w:val="left"/>
      <w:pPr>
        <w:ind w:left="5094" w:hanging="360"/>
      </w:pPr>
    </w:lvl>
    <w:lvl w:ilvl="5" w:tplc="8AA8CF08" w:tentative="1">
      <w:start w:val="1"/>
      <w:numFmt w:val="lowerRoman"/>
      <w:lvlText w:val="%6."/>
      <w:lvlJc w:val="right"/>
      <w:pPr>
        <w:ind w:left="5814" w:hanging="180"/>
      </w:pPr>
    </w:lvl>
    <w:lvl w:ilvl="6" w:tplc="148218CE" w:tentative="1">
      <w:start w:val="1"/>
      <w:numFmt w:val="decimal"/>
      <w:lvlText w:val="%7."/>
      <w:lvlJc w:val="left"/>
      <w:pPr>
        <w:ind w:left="6534" w:hanging="360"/>
      </w:pPr>
    </w:lvl>
    <w:lvl w:ilvl="7" w:tplc="EE888932" w:tentative="1">
      <w:start w:val="1"/>
      <w:numFmt w:val="lowerLetter"/>
      <w:lvlText w:val="%8."/>
      <w:lvlJc w:val="left"/>
      <w:pPr>
        <w:ind w:left="7254" w:hanging="360"/>
      </w:pPr>
    </w:lvl>
    <w:lvl w:ilvl="8" w:tplc="D37235C4" w:tentative="1">
      <w:start w:val="1"/>
      <w:numFmt w:val="lowerRoman"/>
      <w:lvlText w:val="%9."/>
      <w:lvlJc w:val="right"/>
      <w:pPr>
        <w:ind w:left="7974" w:hanging="180"/>
      </w:pPr>
    </w:lvl>
  </w:abstractNum>
  <w:abstractNum w:abstractNumId="36" w15:restartNumberingAfterBreak="0">
    <w:nsid w:val="681C5A50"/>
    <w:multiLevelType w:val="hybridMultilevel"/>
    <w:tmpl w:val="C1A2EFCC"/>
    <w:lvl w:ilvl="0" w:tplc="0B0C09F0">
      <w:start w:val="1"/>
      <w:numFmt w:val="decimal"/>
      <w:lvlText w:val="%1."/>
      <w:lvlJc w:val="left"/>
      <w:pPr>
        <w:ind w:left="360" w:hanging="360"/>
      </w:pPr>
      <w:rPr>
        <w:rFonts w:asciiTheme="majorBidi" w:hAnsiTheme="majorBidi" w:cstheme="majorBidi" w:hint="default"/>
        <w:b w:val="0"/>
        <w:b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997214E"/>
    <w:multiLevelType w:val="hybridMultilevel"/>
    <w:tmpl w:val="8B8AC180"/>
    <w:lvl w:ilvl="0" w:tplc="667861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DFE03A9"/>
    <w:multiLevelType w:val="hybridMultilevel"/>
    <w:tmpl w:val="498CDA48"/>
    <w:lvl w:ilvl="0" w:tplc="B4DCE5D8">
      <w:start w:val="1"/>
      <w:numFmt w:val="decimal"/>
      <w:lvlText w:val="%1."/>
      <w:lvlJc w:val="left"/>
      <w:pPr>
        <w:ind w:left="360" w:hanging="360"/>
      </w:pPr>
      <w:rPr>
        <w:rFonts w:hint="default"/>
      </w:rPr>
    </w:lvl>
    <w:lvl w:ilvl="1" w:tplc="AC2E076C">
      <w:start w:val="1"/>
      <w:numFmt w:val="lowerLetter"/>
      <w:lvlText w:val="%2."/>
      <w:lvlJc w:val="left"/>
      <w:pPr>
        <w:ind w:left="1080" w:hanging="360"/>
      </w:pPr>
      <w:rPr>
        <w:rFonts w:asciiTheme="majorBidi" w:eastAsiaTheme="minorHAnsi" w:hAnsiTheme="majorBidi" w:cstheme="majorBidi"/>
      </w:rPr>
    </w:lvl>
    <w:lvl w:ilvl="2" w:tplc="1AA449E4" w:tentative="1">
      <w:start w:val="1"/>
      <w:numFmt w:val="lowerRoman"/>
      <w:lvlText w:val="%3."/>
      <w:lvlJc w:val="right"/>
      <w:pPr>
        <w:ind w:left="1800" w:hanging="180"/>
      </w:pPr>
    </w:lvl>
    <w:lvl w:ilvl="3" w:tplc="1CC87144" w:tentative="1">
      <w:start w:val="1"/>
      <w:numFmt w:val="decimal"/>
      <w:lvlText w:val="%4."/>
      <w:lvlJc w:val="left"/>
      <w:pPr>
        <w:ind w:left="2520" w:hanging="360"/>
      </w:pPr>
    </w:lvl>
    <w:lvl w:ilvl="4" w:tplc="C1EC24E8" w:tentative="1">
      <w:start w:val="1"/>
      <w:numFmt w:val="lowerLetter"/>
      <w:lvlText w:val="%5."/>
      <w:lvlJc w:val="left"/>
      <w:pPr>
        <w:ind w:left="3240" w:hanging="360"/>
      </w:pPr>
    </w:lvl>
    <w:lvl w:ilvl="5" w:tplc="4038F78A" w:tentative="1">
      <w:start w:val="1"/>
      <w:numFmt w:val="lowerRoman"/>
      <w:lvlText w:val="%6."/>
      <w:lvlJc w:val="right"/>
      <w:pPr>
        <w:ind w:left="3960" w:hanging="180"/>
      </w:pPr>
    </w:lvl>
    <w:lvl w:ilvl="6" w:tplc="0F2EA012" w:tentative="1">
      <w:start w:val="1"/>
      <w:numFmt w:val="decimal"/>
      <w:lvlText w:val="%7."/>
      <w:lvlJc w:val="left"/>
      <w:pPr>
        <w:ind w:left="4680" w:hanging="360"/>
      </w:pPr>
    </w:lvl>
    <w:lvl w:ilvl="7" w:tplc="45427F52" w:tentative="1">
      <w:start w:val="1"/>
      <w:numFmt w:val="lowerLetter"/>
      <w:lvlText w:val="%8."/>
      <w:lvlJc w:val="left"/>
      <w:pPr>
        <w:ind w:left="5400" w:hanging="360"/>
      </w:pPr>
    </w:lvl>
    <w:lvl w:ilvl="8" w:tplc="E3B88C6C" w:tentative="1">
      <w:start w:val="1"/>
      <w:numFmt w:val="lowerRoman"/>
      <w:lvlText w:val="%9."/>
      <w:lvlJc w:val="right"/>
      <w:pPr>
        <w:ind w:left="6120" w:hanging="180"/>
      </w:pPr>
    </w:lvl>
  </w:abstractNum>
  <w:abstractNum w:abstractNumId="39" w15:restartNumberingAfterBreak="0">
    <w:nsid w:val="701C3964"/>
    <w:multiLevelType w:val="hybridMultilevel"/>
    <w:tmpl w:val="5816BA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0" w15:restartNumberingAfterBreak="0">
    <w:nsid w:val="706515D9"/>
    <w:multiLevelType w:val="hybridMultilevel"/>
    <w:tmpl w:val="0EE84A7A"/>
    <w:lvl w:ilvl="0" w:tplc="9276276E">
      <w:start w:val="1"/>
      <w:numFmt w:val="lowerLetter"/>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873697"/>
    <w:multiLevelType w:val="hybridMultilevel"/>
    <w:tmpl w:val="37F4D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11C1B7D"/>
    <w:multiLevelType w:val="hybridMultilevel"/>
    <w:tmpl w:val="72EC469A"/>
    <w:lvl w:ilvl="0" w:tplc="7C86AA8A">
      <w:start w:val="1"/>
      <w:numFmt w:val="decimal"/>
      <w:lvlText w:val="%1."/>
      <w:lvlJc w:val="left"/>
      <w:pPr>
        <w:ind w:left="3654" w:hanging="360"/>
      </w:pPr>
      <w:rPr>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6E51CA"/>
    <w:multiLevelType w:val="hybridMultilevel"/>
    <w:tmpl w:val="F8DEEDA0"/>
    <w:lvl w:ilvl="0" w:tplc="E7AC5D04">
      <w:start w:val="1"/>
      <w:numFmt w:val="lowerRoman"/>
      <w:lvlText w:val="%1."/>
      <w:lvlJc w:val="right"/>
      <w:pPr>
        <w:ind w:left="216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3E0D25"/>
    <w:multiLevelType w:val="hybridMultilevel"/>
    <w:tmpl w:val="52E0C3D8"/>
    <w:lvl w:ilvl="0" w:tplc="AE6CE772">
      <w:start w:val="1"/>
      <w:numFmt w:val="lowerLetter"/>
      <w:lvlText w:val="%1."/>
      <w:lvlJc w:val="left"/>
      <w:pPr>
        <w:ind w:left="720" w:right="1077" w:hanging="360"/>
      </w:pPr>
      <w:rPr>
        <w:rFonts w:asciiTheme="majorBidi" w:eastAsiaTheme="minorHAnsi" w:hAnsiTheme="majorBidi" w:cstheme="majorBidi"/>
      </w:rPr>
    </w:lvl>
    <w:lvl w:ilvl="1" w:tplc="F36C1466">
      <w:start w:val="1"/>
      <w:numFmt w:val="lowerLetter"/>
      <w:lvlText w:val="%2."/>
      <w:lvlJc w:val="left"/>
      <w:pPr>
        <w:ind w:left="1440" w:right="1797" w:hanging="360"/>
      </w:pPr>
    </w:lvl>
    <w:lvl w:ilvl="2" w:tplc="06424F72">
      <w:start w:val="1"/>
      <w:numFmt w:val="lowerRoman"/>
      <w:lvlText w:val="%3."/>
      <w:lvlJc w:val="right"/>
      <w:pPr>
        <w:ind w:left="2160" w:right="2517" w:hanging="180"/>
      </w:pPr>
    </w:lvl>
    <w:lvl w:ilvl="3" w:tplc="2E56E63C">
      <w:start w:val="1"/>
      <w:numFmt w:val="decimal"/>
      <w:lvlText w:val="%4."/>
      <w:lvlJc w:val="left"/>
      <w:pPr>
        <w:ind w:left="2880" w:right="3237" w:hanging="360"/>
      </w:pPr>
    </w:lvl>
    <w:lvl w:ilvl="4" w:tplc="51629D06">
      <w:start w:val="1"/>
      <w:numFmt w:val="lowerLetter"/>
      <w:lvlText w:val="%5."/>
      <w:lvlJc w:val="left"/>
      <w:pPr>
        <w:ind w:left="3600" w:right="3957" w:hanging="360"/>
      </w:pPr>
    </w:lvl>
    <w:lvl w:ilvl="5" w:tplc="59E87878">
      <w:start w:val="1"/>
      <w:numFmt w:val="lowerRoman"/>
      <w:lvlText w:val="%6."/>
      <w:lvlJc w:val="right"/>
      <w:pPr>
        <w:ind w:left="4320" w:right="4677" w:hanging="180"/>
      </w:pPr>
    </w:lvl>
    <w:lvl w:ilvl="6" w:tplc="F0C076A4">
      <w:start w:val="1"/>
      <w:numFmt w:val="decimal"/>
      <w:lvlText w:val="%7."/>
      <w:lvlJc w:val="left"/>
      <w:pPr>
        <w:ind w:left="5040" w:right="5397" w:hanging="360"/>
      </w:pPr>
    </w:lvl>
    <w:lvl w:ilvl="7" w:tplc="D23C0084">
      <w:start w:val="1"/>
      <w:numFmt w:val="lowerLetter"/>
      <w:lvlText w:val="%8."/>
      <w:lvlJc w:val="left"/>
      <w:pPr>
        <w:ind w:left="5760" w:right="6117" w:hanging="360"/>
      </w:pPr>
    </w:lvl>
    <w:lvl w:ilvl="8" w:tplc="321244A8">
      <w:start w:val="1"/>
      <w:numFmt w:val="lowerRoman"/>
      <w:lvlText w:val="%9."/>
      <w:lvlJc w:val="right"/>
      <w:pPr>
        <w:ind w:left="6480" w:right="6837" w:hanging="180"/>
      </w:pPr>
    </w:lvl>
  </w:abstractNum>
  <w:abstractNum w:abstractNumId="45" w15:restartNumberingAfterBreak="0">
    <w:nsid w:val="746C2405"/>
    <w:multiLevelType w:val="hybridMultilevel"/>
    <w:tmpl w:val="9CC260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873132"/>
    <w:multiLevelType w:val="hybridMultilevel"/>
    <w:tmpl w:val="0EE84A7A"/>
    <w:lvl w:ilvl="0" w:tplc="9276276E">
      <w:start w:val="1"/>
      <w:numFmt w:val="lowerLetter"/>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7"/>
  </w:num>
  <w:num w:numId="3">
    <w:abstractNumId w:val="15"/>
  </w:num>
  <w:num w:numId="4">
    <w:abstractNumId w:val="0"/>
  </w:num>
  <w:num w:numId="5">
    <w:abstractNumId w:val="35"/>
  </w:num>
  <w:num w:numId="6">
    <w:abstractNumId w:val="38"/>
  </w:num>
  <w:num w:numId="7">
    <w:abstractNumId w:val="40"/>
  </w:num>
  <w:num w:numId="8">
    <w:abstractNumId w:val="26"/>
  </w:num>
  <w:num w:numId="9">
    <w:abstractNumId w:val="2"/>
  </w:num>
  <w:num w:numId="10">
    <w:abstractNumId w:val="30"/>
  </w:num>
  <w:num w:numId="11">
    <w:abstractNumId w:val="36"/>
  </w:num>
  <w:num w:numId="12">
    <w:abstractNumId w:val="39"/>
  </w:num>
  <w:num w:numId="13">
    <w:abstractNumId w:val="4"/>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45"/>
  </w:num>
  <w:num w:numId="17">
    <w:abstractNumId w:val="24"/>
  </w:num>
  <w:num w:numId="18">
    <w:abstractNumId w:val="37"/>
  </w:num>
  <w:num w:numId="19">
    <w:abstractNumId w:val="42"/>
  </w:num>
  <w:num w:numId="20">
    <w:abstractNumId w:val="25"/>
  </w:num>
  <w:num w:numId="21">
    <w:abstractNumId w:val="6"/>
  </w:num>
  <w:num w:numId="22">
    <w:abstractNumId w:val="5"/>
  </w:num>
  <w:num w:numId="23">
    <w:abstractNumId w:val="46"/>
  </w:num>
  <w:num w:numId="24">
    <w:abstractNumId w:val="10"/>
  </w:num>
  <w:num w:numId="25">
    <w:abstractNumId w:val="14"/>
  </w:num>
  <w:num w:numId="26">
    <w:abstractNumId w:val="41"/>
  </w:num>
  <w:num w:numId="27">
    <w:abstractNumId w:val="43"/>
  </w:num>
  <w:num w:numId="28">
    <w:abstractNumId w:val="1"/>
  </w:num>
  <w:num w:numId="29">
    <w:abstractNumId w:val="11"/>
  </w:num>
  <w:num w:numId="30">
    <w:abstractNumId w:val="19"/>
  </w:num>
  <w:num w:numId="31">
    <w:abstractNumId w:val="13"/>
  </w:num>
  <w:num w:numId="32">
    <w:abstractNumId w:val="20"/>
  </w:num>
  <w:num w:numId="33">
    <w:abstractNumId w:val="18"/>
  </w:num>
  <w:num w:numId="34">
    <w:abstractNumId w:val="32"/>
  </w:num>
  <w:num w:numId="35">
    <w:abstractNumId w:val="34"/>
  </w:num>
  <w:num w:numId="36">
    <w:abstractNumId w:val="29"/>
  </w:num>
  <w:num w:numId="37">
    <w:abstractNumId w:val="31"/>
  </w:num>
  <w:num w:numId="38">
    <w:abstractNumId w:val="21"/>
  </w:num>
  <w:num w:numId="39">
    <w:abstractNumId w:val="17"/>
  </w:num>
  <w:num w:numId="40">
    <w:abstractNumId w:val="8"/>
  </w:num>
  <w:num w:numId="41">
    <w:abstractNumId w:val="28"/>
  </w:num>
  <w:num w:numId="42">
    <w:abstractNumId w:val="3"/>
  </w:num>
  <w:num w:numId="43">
    <w:abstractNumId w:val="12"/>
  </w:num>
  <w:num w:numId="44">
    <w:abstractNumId w:val="23"/>
  </w:num>
  <w:num w:numId="45">
    <w:abstractNumId w:val="27"/>
  </w:num>
  <w:num w:numId="46">
    <w:abstractNumId w:val="16"/>
  </w:num>
  <w:num w:numId="47">
    <w:abstractNumId w:val="2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FC8"/>
    <w:rsid w:val="00006DDA"/>
    <w:rsid w:val="000423C8"/>
    <w:rsid w:val="00050EF3"/>
    <w:rsid w:val="000C2AE5"/>
    <w:rsid w:val="000C3BD3"/>
    <w:rsid w:val="00111368"/>
    <w:rsid w:val="00133315"/>
    <w:rsid w:val="00175633"/>
    <w:rsid w:val="001910FC"/>
    <w:rsid w:val="00244225"/>
    <w:rsid w:val="00256215"/>
    <w:rsid w:val="002D3CE5"/>
    <w:rsid w:val="002D66D3"/>
    <w:rsid w:val="00306CAD"/>
    <w:rsid w:val="00327130"/>
    <w:rsid w:val="00336800"/>
    <w:rsid w:val="00362CD0"/>
    <w:rsid w:val="00391B56"/>
    <w:rsid w:val="003C0B92"/>
    <w:rsid w:val="003D206F"/>
    <w:rsid w:val="0042315E"/>
    <w:rsid w:val="0043162D"/>
    <w:rsid w:val="00496FC0"/>
    <w:rsid w:val="004A00B7"/>
    <w:rsid w:val="004A0AA8"/>
    <w:rsid w:val="004A5A55"/>
    <w:rsid w:val="004F7E70"/>
    <w:rsid w:val="0050316B"/>
    <w:rsid w:val="00512329"/>
    <w:rsid w:val="00567228"/>
    <w:rsid w:val="005C149A"/>
    <w:rsid w:val="005D012B"/>
    <w:rsid w:val="006059C3"/>
    <w:rsid w:val="0067433A"/>
    <w:rsid w:val="006966DC"/>
    <w:rsid w:val="00753DF8"/>
    <w:rsid w:val="00757568"/>
    <w:rsid w:val="007A0192"/>
    <w:rsid w:val="007A519F"/>
    <w:rsid w:val="007D56C0"/>
    <w:rsid w:val="007E1602"/>
    <w:rsid w:val="008427F3"/>
    <w:rsid w:val="00894C84"/>
    <w:rsid w:val="008E7E7A"/>
    <w:rsid w:val="008F3245"/>
    <w:rsid w:val="00965A51"/>
    <w:rsid w:val="00965AFD"/>
    <w:rsid w:val="0098008B"/>
    <w:rsid w:val="00991544"/>
    <w:rsid w:val="00A3012C"/>
    <w:rsid w:val="00A6688D"/>
    <w:rsid w:val="00AB0653"/>
    <w:rsid w:val="00AE36C0"/>
    <w:rsid w:val="00B105DF"/>
    <w:rsid w:val="00B44BE2"/>
    <w:rsid w:val="00B82196"/>
    <w:rsid w:val="00C000F6"/>
    <w:rsid w:val="00C269F9"/>
    <w:rsid w:val="00C438F1"/>
    <w:rsid w:val="00C63568"/>
    <w:rsid w:val="00C8799D"/>
    <w:rsid w:val="00D11EFA"/>
    <w:rsid w:val="00D77095"/>
    <w:rsid w:val="00D80630"/>
    <w:rsid w:val="00D94BEB"/>
    <w:rsid w:val="00D97F93"/>
    <w:rsid w:val="00DF23AB"/>
    <w:rsid w:val="00E828B8"/>
    <w:rsid w:val="00F0401E"/>
    <w:rsid w:val="00F37FC8"/>
    <w:rsid w:val="00F721EB"/>
    <w:rsid w:val="00F83C66"/>
    <w:rsid w:val="00F917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7DFF08"/>
  <w15:chartTrackingRefBased/>
  <w15:docId w15:val="{D441A98D-29D0-4EF4-B9D6-75D256110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FC8"/>
    <w:pPr>
      <w:bidi/>
    </w:pPr>
  </w:style>
  <w:style w:type="paragraph" w:styleId="Heading1">
    <w:name w:val="heading 1"/>
    <w:basedOn w:val="Normal"/>
    <w:next w:val="Normal"/>
    <w:link w:val="Heading1Char"/>
    <w:uiPriority w:val="9"/>
    <w:qFormat/>
    <w:rsid w:val="00F37F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Default"/>
    <w:next w:val="Normal"/>
    <w:link w:val="Heading2Char"/>
    <w:unhideWhenUsed/>
    <w:qFormat/>
    <w:rsid w:val="00F37FC8"/>
    <w:pPr>
      <w:shd w:val="clear" w:color="auto" w:fill="D9D9D9"/>
      <w:tabs>
        <w:tab w:val="left" w:pos="1650"/>
      </w:tabs>
      <w:spacing w:before="120" w:after="120" w:line="360" w:lineRule="auto"/>
      <w:outlineLvl w:val="1"/>
    </w:pPr>
    <w:rPr>
      <w:rFonts w:asciiTheme="majorBidi" w:hAnsiTheme="majorBidi"/>
      <w:b/>
      <w:bCs/>
      <w:u w:val="single"/>
    </w:rPr>
  </w:style>
  <w:style w:type="paragraph" w:styleId="Heading3">
    <w:name w:val="heading 3"/>
    <w:basedOn w:val="Normal"/>
    <w:next w:val="Normal"/>
    <w:link w:val="Heading3Char"/>
    <w:uiPriority w:val="9"/>
    <w:unhideWhenUsed/>
    <w:qFormat/>
    <w:rsid w:val="00F37FC8"/>
    <w:pPr>
      <w:keepNext/>
      <w:keepLines/>
      <w:bidi w:val="0"/>
      <w:spacing w:before="40" w:after="0" w:line="360" w:lineRule="auto"/>
      <w:jc w:val="both"/>
      <w:outlineLvl w:val="2"/>
    </w:pPr>
    <w:rPr>
      <w:rFonts w:asciiTheme="majorBidi" w:eastAsiaTheme="majorEastAsia" w:hAnsiTheme="majorBidi" w:cstheme="majorBidi"/>
      <w:b/>
      <w:bCs/>
      <w:sz w:val="24"/>
      <w:szCs w:val="24"/>
      <w:u w:val="single"/>
    </w:rPr>
  </w:style>
  <w:style w:type="paragraph" w:styleId="Heading4">
    <w:name w:val="heading 4"/>
    <w:basedOn w:val="Normal"/>
    <w:next w:val="Normal"/>
    <w:link w:val="Heading4Char"/>
    <w:uiPriority w:val="9"/>
    <w:unhideWhenUsed/>
    <w:qFormat/>
    <w:rsid w:val="00F37F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link w:val="Heading7Char"/>
    <w:uiPriority w:val="9"/>
    <w:semiHidden/>
    <w:unhideWhenUsed/>
    <w:qFormat/>
    <w:rsid w:val="00F37FC8"/>
    <w:pPr>
      <w:widowControl w:val="0"/>
      <w:adjustRightInd w:val="0"/>
      <w:spacing w:before="240" w:after="60" w:line="276" w:lineRule="auto"/>
      <w:jc w:val="both"/>
      <w:textAlignment w:val="baseline"/>
      <w:outlineLvl w:val="6"/>
    </w:pPr>
    <w:rPr>
      <w:rFonts w:ascii="Calibri" w:eastAsia="Times New Roman" w:hAnsi="Calibri" w:cs="Arial"/>
      <w:sz w:val="24"/>
      <w:szCs w:val="24"/>
    </w:rPr>
  </w:style>
  <w:style w:type="paragraph" w:styleId="Heading8">
    <w:name w:val="heading 8"/>
    <w:basedOn w:val="Normal"/>
    <w:next w:val="Normal"/>
    <w:link w:val="Heading8Char"/>
    <w:uiPriority w:val="9"/>
    <w:semiHidden/>
    <w:unhideWhenUsed/>
    <w:qFormat/>
    <w:rsid w:val="00F37FC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7FC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F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F37FC8"/>
    <w:rPr>
      <w:rFonts w:asciiTheme="majorBidi" w:hAnsiTheme="majorBidi" w:cs="Times New Roman"/>
      <w:b/>
      <w:bCs/>
      <w:color w:val="000000"/>
      <w:sz w:val="24"/>
      <w:szCs w:val="24"/>
      <w:u w:val="single"/>
      <w:shd w:val="clear" w:color="auto" w:fill="D9D9D9"/>
    </w:rPr>
  </w:style>
  <w:style w:type="character" w:customStyle="1" w:styleId="Heading3Char">
    <w:name w:val="Heading 3 Char"/>
    <w:basedOn w:val="DefaultParagraphFont"/>
    <w:link w:val="Heading3"/>
    <w:uiPriority w:val="9"/>
    <w:rsid w:val="00F37FC8"/>
    <w:rPr>
      <w:rFonts w:asciiTheme="majorBidi" w:eastAsiaTheme="majorEastAsia" w:hAnsiTheme="majorBidi" w:cstheme="majorBidi"/>
      <w:b/>
      <w:bCs/>
      <w:sz w:val="24"/>
      <w:szCs w:val="24"/>
      <w:u w:val="single"/>
    </w:rPr>
  </w:style>
  <w:style w:type="character" w:customStyle="1" w:styleId="Heading4Char">
    <w:name w:val="Heading 4 Char"/>
    <w:basedOn w:val="DefaultParagraphFont"/>
    <w:link w:val="Heading4"/>
    <w:uiPriority w:val="9"/>
    <w:rsid w:val="00F37FC8"/>
    <w:rPr>
      <w:rFonts w:asciiTheme="majorHAnsi" w:eastAsiaTheme="majorEastAsia" w:hAnsiTheme="majorHAnsi" w:cstheme="majorBidi"/>
      <w:i/>
      <w:iCs/>
      <w:color w:val="2E74B5" w:themeColor="accent1" w:themeShade="BF"/>
    </w:rPr>
  </w:style>
  <w:style w:type="character" w:customStyle="1" w:styleId="Heading7Char">
    <w:name w:val="Heading 7 Char"/>
    <w:basedOn w:val="DefaultParagraphFont"/>
    <w:link w:val="Heading7"/>
    <w:uiPriority w:val="9"/>
    <w:semiHidden/>
    <w:rsid w:val="00F37FC8"/>
    <w:rPr>
      <w:rFonts w:ascii="Calibri" w:eastAsia="Times New Roman" w:hAnsi="Calibri" w:cs="Arial"/>
      <w:sz w:val="24"/>
      <w:szCs w:val="24"/>
    </w:rPr>
  </w:style>
  <w:style w:type="character" w:customStyle="1" w:styleId="Heading8Char">
    <w:name w:val="Heading 8 Char"/>
    <w:basedOn w:val="DefaultParagraphFont"/>
    <w:link w:val="Heading8"/>
    <w:uiPriority w:val="9"/>
    <w:semiHidden/>
    <w:rsid w:val="00F37FC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7FC8"/>
    <w:rPr>
      <w:rFonts w:asciiTheme="majorHAnsi" w:eastAsiaTheme="majorEastAsia" w:hAnsiTheme="majorHAnsi" w:cstheme="majorBidi"/>
      <w:i/>
      <w:iCs/>
      <w:color w:val="272727" w:themeColor="text1" w:themeTint="D8"/>
      <w:sz w:val="21"/>
      <w:szCs w:val="21"/>
    </w:rPr>
  </w:style>
  <w:style w:type="paragraph" w:styleId="FootnoteText">
    <w:name w:val="footnote text"/>
    <w:aliases w:val="5_G,Footnote,Footnote Text Char Char,Footnote Text Char Char Char Char,Footnote Text Char Char Char Char Char Char Char Char Char Char Char Char,Footnote Text Char Char1,Footnote Text Char1,Footnote Text Char1 Char Char,Text"/>
    <w:basedOn w:val="Normal"/>
    <w:link w:val="FootnoteTextChar"/>
    <w:uiPriority w:val="99"/>
    <w:unhideWhenUsed/>
    <w:qFormat/>
    <w:rsid w:val="00F37FC8"/>
    <w:pPr>
      <w:bidi w:val="0"/>
      <w:spacing w:after="0" w:line="240" w:lineRule="auto"/>
    </w:pPr>
    <w:rPr>
      <w:rFonts w:ascii="Calibri" w:hAnsi="Calibri" w:cs="Calibri"/>
      <w:sz w:val="20"/>
      <w:szCs w:val="20"/>
    </w:rPr>
  </w:style>
  <w:style w:type="character" w:customStyle="1" w:styleId="FootnoteTextChar">
    <w:name w:val="Footnote Text Char"/>
    <w:aliases w:val="5_G Char,Footnote Char,Footnote Text Char Char Char,Footnote Text Char Char Char Char Char,Footnote Text Char Char Char Char Char Char Char Char Char Char Char Char Char,Footnote Text Char Char1 Char,Footnote Text Char1 Char,Text Char"/>
    <w:basedOn w:val="DefaultParagraphFont"/>
    <w:link w:val="FootnoteText"/>
    <w:uiPriority w:val="99"/>
    <w:rsid w:val="00F37FC8"/>
    <w:rPr>
      <w:rFonts w:ascii="Calibri" w:hAnsi="Calibri" w:cs="Calibri"/>
      <w:sz w:val="20"/>
      <w:szCs w:val="20"/>
    </w:rPr>
  </w:style>
  <w:style w:type="character" w:styleId="FootnoteReference">
    <w:name w:val="footnote reference"/>
    <w:aliases w:val="16 Point,4_G,Appel note de bas de page,BVI fnr,Footnote Reference Char3,Footnote Reference/,Footnote Refernece,Footnote number,Footnotes refss,Superscript 6 Point,Texto de nota al pie,Texto nota al pie,f,ftref,referencia nota al pie"/>
    <w:basedOn w:val="DefaultParagraphFont"/>
    <w:link w:val="4GCharChar"/>
    <w:uiPriority w:val="99"/>
    <w:unhideWhenUsed/>
    <w:qFormat/>
    <w:rsid w:val="00F37FC8"/>
    <w:rPr>
      <w:vertAlign w:val="superscript"/>
    </w:rPr>
  </w:style>
  <w:style w:type="paragraph" w:customStyle="1" w:styleId="4GCharChar">
    <w:name w:val="4_G Char Char"/>
    <w:aliases w:val="BVI fnr Car Car Car Car Char Char1,BVI fnr Car Car Char Char,BVI fnr Car Char Char,BVI fnr Char Car Car Car Char Char,BVI fnr Char Char,Footnote Reference1 Char Char,Footnotes refss Char Char,ftref Char Char"/>
    <w:basedOn w:val="Normal"/>
    <w:link w:val="FootnoteReference"/>
    <w:uiPriority w:val="99"/>
    <w:rsid w:val="00F37FC8"/>
    <w:pPr>
      <w:bidi w:val="0"/>
      <w:spacing w:line="240" w:lineRule="exact"/>
      <w:jc w:val="both"/>
    </w:pPr>
    <w:rPr>
      <w:vertAlign w:val="superscript"/>
    </w:rPr>
  </w:style>
  <w:style w:type="paragraph" w:styleId="Header">
    <w:name w:val="header"/>
    <w:basedOn w:val="Normal"/>
    <w:link w:val="HeaderChar"/>
    <w:unhideWhenUsed/>
    <w:rsid w:val="00F37FC8"/>
    <w:pPr>
      <w:tabs>
        <w:tab w:val="center" w:pos="4153"/>
        <w:tab w:val="right" w:pos="8306"/>
      </w:tabs>
      <w:bidi w:val="0"/>
      <w:spacing w:after="0" w:line="240" w:lineRule="auto"/>
    </w:pPr>
    <w:rPr>
      <w:rFonts w:ascii="Calibri" w:hAnsi="Calibri" w:cs="Calibri"/>
    </w:rPr>
  </w:style>
  <w:style w:type="character" w:customStyle="1" w:styleId="HeaderChar">
    <w:name w:val="Header Char"/>
    <w:basedOn w:val="DefaultParagraphFont"/>
    <w:link w:val="Header"/>
    <w:rsid w:val="00F37FC8"/>
    <w:rPr>
      <w:rFonts w:ascii="Calibri" w:hAnsi="Calibri" w:cs="Calibri"/>
    </w:rPr>
  </w:style>
  <w:style w:type="paragraph" w:customStyle="1" w:styleId="H23G">
    <w:name w:val="_ H_2/3_G"/>
    <w:basedOn w:val="Heading2"/>
    <w:next w:val="Normal"/>
    <w:qFormat/>
    <w:rsid w:val="00F37FC8"/>
    <w:pPr>
      <w:tabs>
        <w:tab w:val="right" w:pos="851"/>
      </w:tabs>
      <w:spacing w:before="240" w:line="240" w:lineRule="exact"/>
      <w:ind w:left="1134" w:right="1134" w:hanging="1134"/>
    </w:pPr>
    <w:rPr>
      <w:rFonts w:ascii="Times New Roman" w:eastAsia="SimSun" w:hAnsi="Times New Roman"/>
      <w:b w:val="0"/>
      <w:color w:val="auto"/>
      <w:sz w:val="20"/>
      <w:szCs w:val="20"/>
      <w:lang w:eastAsia="zh-CN" w:bidi="ar-SA"/>
    </w:rPr>
  </w:style>
  <w:style w:type="paragraph" w:customStyle="1" w:styleId="SingleTxtG">
    <w:name w:val="_ Single Txt_G"/>
    <w:basedOn w:val="Normal"/>
    <w:link w:val="SingleTxtGChar"/>
    <w:qFormat/>
    <w:rsid w:val="00F37FC8"/>
    <w:pPr>
      <w:bidi w:val="0"/>
      <w:spacing w:after="120" w:line="240" w:lineRule="atLeast"/>
      <w:ind w:left="1134" w:right="1134"/>
      <w:jc w:val="both"/>
    </w:pPr>
    <w:rPr>
      <w:rFonts w:ascii="Times New Roman" w:eastAsia="SimSun" w:hAnsi="Times New Roman" w:cs="Times New Roman"/>
      <w:sz w:val="20"/>
      <w:szCs w:val="20"/>
      <w:lang w:eastAsia="zh-CN" w:bidi="ar-SA"/>
    </w:rPr>
  </w:style>
  <w:style w:type="character" w:customStyle="1" w:styleId="SingleTxtGChar">
    <w:name w:val="_ Single Txt_G Char"/>
    <w:basedOn w:val="DefaultParagraphFont"/>
    <w:link w:val="SingleTxtG"/>
    <w:rsid w:val="00F37FC8"/>
    <w:rPr>
      <w:rFonts w:ascii="Times New Roman" w:eastAsia="SimSun" w:hAnsi="Times New Roman" w:cs="Times New Roman"/>
      <w:sz w:val="20"/>
      <w:szCs w:val="20"/>
      <w:lang w:eastAsia="zh-CN" w:bidi="ar-SA"/>
    </w:rPr>
  </w:style>
  <w:style w:type="character" w:styleId="CommentReference">
    <w:name w:val="annotation reference"/>
    <w:basedOn w:val="DefaultParagraphFont"/>
    <w:uiPriority w:val="99"/>
    <w:unhideWhenUsed/>
    <w:rsid w:val="00F37FC8"/>
    <w:rPr>
      <w:sz w:val="16"/>
      <w:szCs w:val="16"/>
    </w:rPr>
  </w:style>
  <w:style w:type="paragraph" w:styleId="CommentText">
    <w:name w:val="annotation text"/>
    <w:basedOn w:val="Normal"/>
    <w:link w:val="CommentTextChar"/>
    <w:uiPriority w:val="99"/>
    <w:unhideWhenUsed/>
    <w:rsid w:val="00F37FC8"/>
    <w:pPr>
      <w:spacing w:line="240" w:lineRule="auto"/>
    </w:pPr>
    <w:rPr>
      <w:sz w:val="20"/>
      <w:szCs w:val="20"/>
    </w:rPr>
  </w:style>
  <w:style w:type="character" w:customStyle="1" w:styleId="CommentTextChar">
    <w:name w:val="Comment Text Char"/>
    <w:basedOn w:val="DefaultParagraphFont"/>
    <w:link w:val="CommentText"/>
    <w:uiPriority w:val="99"/>
    <w:rsid w:val="00F37FC8"/>
    <w:rPr>
      <w:sz w:val="20"/>
      <w:szCs w:val="20"/>
    </w:rPr>
  </w:style>
  <w:style w:type="paragraph" w:customStyle="1" w:styleId="Default">
    <w:name w:val="Default"/>
    <w:link w:val="Default0"/>
    <w:rsid w:val="00F37FC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F37FC8"/>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F37FC8"/>
    <w:rPr>
      <w:rFonts w:ascii="Tahoma" w:hAnsi="Tahoma" w:cs="Tahoma"/>
      <w:sz w:val="18"/>
      <w:szCs w:val="18"/>
    </w:rPr>
  </w:style>
  <w:style w:type="paragraph" w:styleId="ListParagraph">
    <w:name w:val="List Paragraph"/>
    <w:aliases w:val="LP1,פיסקת רשימה1,List Paragraph_0,List Paragraph_1,lp1,Bullet List,FooterText,numbered,Paragraphe de liste1,פיסקת bullets"/>
    <w:basedOn w:val="Normal"/>
    <w:link w:val="ListParagraphChar"/>
    <w:uiPriority w:val="34"/>
    <w:qFormat/>
    <w:rsid w:val="00F37FC8"/>
    <w:pPr>
      <w:bidi w:val="0"/>
      <w:spacing w:after="0" w:line="240" w:lineRule="auto"/>
      <w:ind w:left="720"/>
    </w:pPr>
    <w:rPr>
      <w:rFonts w:ascii="Calibri" w:hAnsi="Calibri" w:cs="Calibri"/>
    </w:rPr>
  </w:style>
  <w:style w:type="character" w:customStyle="1" w:styleId="ListParagraphChar">
    <w:name w:val="List Paragraph Char"/>
    <w:aliases w:val="LP1 Char,פיסקת רשימה1 Char,List Paragraph_0 Char,List Paragraph_1 Char,lp1 Char,Bullet List Char,FooterText Char,numbered Char,Paragraphe de liste1 Char,פיסקת bullets Char"/>
    <w:basedOn w:val="DefaultParagraphFont"/>
    <w:link w:val="ListParagraph"/>
    <w:uiPriority w:val="34"/>
    <w:locked/>
    <w:rsid w:val="00F37FC8"/>
    <w:rPr>
      <w:rFonts w:ascii="Calibri" w:hAnsi="Calibri" w:cs="Calibri"/>
    </w:rPr>
  </w:style>
  <w:style w:type="paragraph" w:customStyle="1" w:styleId="ParaNo">
    <w:name w:val="ParaNo."/>
    <w:basedOn w:val="Normal"/>
    <w:rsid w:val="00F37FC8"/>
    <w:pPr>
      <w:tabs>
        <w:tab w:val="left" w:pos="737"/>
      </w:tabs>
      <w:bidi w:val="0"/>
      <w:spacing w:after="0" w:line="240" w:lineRule="auto"/>
    </w:pPr>
    <w:rPr>
      <w:rFonts w:ascii="Times New Roman" w:eastAsia="Times New Roman" w:hAnsi="Times New Roman" w:cs="Times New Roman"/>
      <w:sz w:val="24"/>
      <w:szCs w:val="20"/>
      <w:lang w:val="en-GB" w:bidi="ar-SA"/>
    </w:rPr>
  </w:style>
  <w:style w:type="paragraph" w:styleId="PlainText">
    <w:name w:val="Plain Text"/>
    <w:basedOn w:val="Normal"/>
    <w:link w:val="PlainTextChar"/>
    <w:uiPriority w:val="99"/>
    <w:semiHidden/>
    <w:unhideWhenUsed/>
    <w:rsid w:val="00F37FC8"/>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F37FC8"/>
    <w:rPr>
      <w:rFonts w:ascii="Calibri" w:hAnsi="Calibri"/>
      <w:szCs w:val="21"/>
    </w:rPr>
  </w:style>
  <w:style w:type="character" w:customStyle="1" w:styleId="Default0">
    <w:name w:val="Default תו"/>
    <w:link w:val="Default"/>
    <w:rsid w:val="00F37FC8"/>
    <w:rPr>
      <w:rFonts w:ascii="Times New Roman" w:hAnsi="Times New Roman" w:cs="Times New Roman"/>
      <w:color w:val="000000"/>
      <w:sz w:val="24"/>
      <w:szCs w:val="24"/>
    </w:rPr>
  </w:style>
  <w:style w:type="character" w:customStyle="1" w:styleId="y2iqfc">
    <w:name w:val="y2iqfc"/>
    <w:basedOn w:val="DefaultParagraphFont"/>
    <w:rsid w:val="00F37FC8"/>
  </w:style>
  <w:style w:type="paragraph" w:customStyle="1" w:styleId="PC">
    <w:name w:val="PC"/>
    <w:basedOn w:val="Normal"/>
    <w:next w:val="PS"/>
    <w:rsid w:val="00F37FC8"/>
    <w:pPr>
      <w:bidi w:val="0"/>
      <w:spacing w:after="0" w:line="240" w:lineRule="auto"/>
    </w:pPr>
    <w:rPr>
      <w:rFonts w:ascii="Times New Roman" w:eastAsia="Times New Roman" w:hAnsi="Times New Roman" w:cs="Times New Roman"/>
      <w:sz w:val="24"/>
      <w:szCs w:val="20"/>
      <w:lang w:bidi="ar-SA"/>
    </w:rPr>
  </w:style>
  <w:style w:type="paragraph" w:customStyle="1" w:styleId="PS">
    <w:name w:val="PS"/>
    <w:basedOn w:val="Normal"/>
    <w:link w:val="PSChar"/>
    <w:rsid w:val="00F37FC8"/>
    <w:pPr>
      <w:bidi w:val="0"/>
      <w:spacing w:after="0" w:line="240" w:lineRule="auto"/>
      <w:ind w:firstLine="432"/>
    </w:pPr>
    <w:rPr>
      <w:rFonts w:ascii="Times New Roman" w:eastAsia="Times New Roman" w:hAnsi="Times New Roman" w:cs="Times New Roman"/>
      <w:sz w:val="24"/>
      <w:szCs w:val="20"/>
      <w:lang w:bidi="ar-SA"/>
    </w:rPr>
  </w:style>
  <w:style w:type="character" w:customStyle="1" w:styleId="PSChar">
    <w:name w:val="PS Char"/>
    <w:link w:val="PS"/>
    <w:rsid w:val="00F37FC8"/>
    <w:rPr>
      <w:rFonts w:ascii="Times New Roman" w:eastAsia="Times New Roman" w:hAnsi="Times New Roman" w:cs="Times New Roman"/>
      <w:sz w:val="24"/>
      <w:szCs w:val="20"/>
      <w:lang w:bidi="ar-SA"/>
    </w:rPr>
  </w:style>
  <w:style w:type="paragraph" w:styleId="CommentSubject">
    <w:name w:val="annotation subject"/>
    <w:basedOn w:val="CommentText"/>
    <w:next w:val="CommentText"/>
    <w:link w:val="CommentSubjectChar"/>
    <w:uiPriority w:val="99"/>
    <w:semiHidden/>
    <w:unhideWhenUsed/>
    <w:rsid w:val="00F37FC8"/>
    <w:rPr>
      <w:b/>
      <w:bCs/>
    </w:rPr>
  </w:style>
  <w:style w:type="character" w:customStyle="1" w:styleId="CommentSubjectChar">
    <w:name w:val="Comment Subject Char"/>
    <w:basedOn w:val="CommentTextChar"/>
    <w:link w:val="CommentSubject"/>
    <w:uiPriority w:val="99"/>
    <w:semiHidden/>
    <w:rsid w:val="00F37FC8"/>
    <w:rPr>
      <w:b/>
      <w:bCs/>
      <w:sz w:val="20"/>
      <w:szCs w:val="20"/>
    </w:rPr>
  </w:style>
  <w:style w:type="paragraph" w:styleId="BodyText">
    <w:name w:val="Body Text"/>
    <w:basedOn w:val="Normal"/>
    <w:next w:val="Normal"/>
    <w:link w:val="BodyTextChar"/>
    <w:rsid w:val="00F37FC8"/>
    <w:pPr>
      <w:bidi w:val="0"/>
      <w:spacing w:after="0" w:line="240" w:lineRule="auto"/>
    </w:pPr>
    <w:rPr>
      <w:rFonts w:ascii="Times New Roman" w:eastAsia="Times New Roman" w:hAnsi="Times New Roman" w:cs="Times New Roman"/>
      <w:sz w:val="24"/>
      <w:szCs w:val="20"/>
      <w:lang w:val="en-GB" w:bidi="ar-SA"/>
    </w:rPr>
  </w:style>
  <w:style w:type="character" w:customStyle="1" w:styleId="BodyTextChar">
    <w:name w:val="Body Text Char"/>
    <w:basedOn w:val="DefaultParagraphFont"/>
    <w:link w:val="BodyText"/>
    <w:rsid w:val="00F37FC8"/>
    <w:rPr>
      <w:rFonts w:ascii="Times New Roman" w:eastAsia="Times New Roman" w:hAnsi="Times New Roman" w:cs="Times New Roman"/>
      <w:sz w:val="24"/>
      <w:szCs w:val="20"/>
      <w:lang w:val="en-GB" w:bidi="ar-SA"/>
    </w:rPr>
  </w:style>
  <w:style w:type="character" w:styleId="Strong">
    <w:name w:val="Strong"/>
    <w:uiPriority w:val="22"/>
    <w:qFormat/>
    <w:rsid w:val="00F37FC8"/>
    <w:rPr>
      <w:b/>
      <w:bCs/>
    </w:rPr>
  </w:style>
  <w:style w:type="character" w:styleId="Hyperlink">
    <w:name w:val="Hyperlink"/>
    <w:basedOn w:val="DefaultParagraphFont"/>
    <w:uiPriority w:val="99"/>
    <w:unhideWhenUsed/>
    <w:rsid w:val="00F37FC8"/>
    <w:rPr>
      <w:color w:val="0563C1"/>
      <w:u w:val="single"/>
    </w:rPr>
  </w:style>
  <w:style w:type="paragraph" w:styleId="Footer">
    <w:name w:val="footer"/>
    <w:basedOn w:val="Normal"/>
    <w:link w:val="FooterChar"/>
    <w:uiPriority w:val="99"/>
    <w:unhideWhenUsed/>
    <w:rsid w:val="00F37FC8"/>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7FC8"/>
  </w:style>
  <w:style w:type="paragraph" w:customStyle="1" w:styleId="H1G">
    <w:name w:val="_ H_1_G"/>
    <w:basedOn w:val="Heading1"/>
    <w:next w:val="Normal"/>
    <w:qFormat/>
    <w:rsid w:val="00F37FC8"/>
    <w:pPr>
      <w:tabs>
        <w:tab w:val="right" w:pos="851"/>
      </w:tabs>
      <w:bidi w:val="0"/>
      <w:spacing w:before="360" w:after="240" w:line="270" w:lineRule="exact"/>
      <w:ind w:left="1134" w:right="1134" w:hanging="1134"/>
    </w:pPr>
    <w:rPr>
      <w:rFonts w:ascii="Times New Roman" w:eastAsia="SimSun" w:hAnsi="Times New Roman" w:cs="Times New Roman"/>
      <w:b/>
      <w:color w:val="auto"/>
      <w:sz w:val="24"/>
      <w:szCs w:val="20"/>
      <w:lang w:eastAsia="zh-CN" w:bidi="ar-SA"/>
    </w:rPr>
  </w:style>
  <w:style w:type="paragraph" w:customStyle="1" w:styleId="a">
    <w:name w:val="תשובה"/>
    <w:basedOn w:val="Normal"/>
    <w:link w:val="a0"/>
    <w:qFormat/>
    <w:rsid w:val="00F37FC8"/>
    <w:pPr>
      <w:bidi w:val="0"/>
      <w:spacing w:before="240" w:after="200" w:line="360" w:lineRule="auto"/>
      <w:ind w:left="709" w:right="-4"/>
      <w:jc w:val="both"/>
    </w:pPr>
    <w:rPr>
      <w:rFonts w:ascii="Garamond" w:eastAsia="Times New Roman" w:hAnsi="Garamond" w:cs="Times New Roman"/>
      <w:sz w:val="24"/>
      <w:szCs w:val="24"/>
      <w:lang w:eastAsia="he-IL"/>
    </w:rPr>
  </w:style>
  <w:style w:type="character" w:customStyle="1" w:styleId="a0">
    <w:name w:val="תשובה תו"/>
    <w:link w:val="a"/>
    <w:rsid w:val="00F37FC8"/>
    <w:rPr>
      <w:rFonts w:ascii="Garamond" w:eastAsia="Times New Roman" w:hAnsi="Garamond" w:cs="Times New Roman"/>
      <w:sz w:val="24"/>
      <w:szCs w:val="24"/>
      <w:lang w:eastAsia="he-IL"/>
    </w:rPr>
  </w:style>
  <w:style w:type="paragraph" w:styleId="NoSpacing">
    <w:name w:val="No Spacing"/>
    <w:basedOn w:val="Normal"/>
    <w:uiPriority w:val="1"/>
    <w:qFormat/>
    <w:rsid w:val="00F37FC8"/>
    <w:pPr>
      <w:spacing w:line="360" w:lineRule="auto"/>
      <w:jc w:val="both"/>
    </w:pPr>
    <w:rPr>
      <w:rFonts w:asciiTheme="minorBidi" w:hAnsiTheme="minorBidi"/>
      <w:color w:val="808080" w:themeColor="background1" w:themeShade="80"/>
    </w:rPr>
  </w:style>
  <w:style w:type="table" w:styleId="TableGrid">
    <w:name w:val="Table Grid"/>
    <w:basedOn w:val="TableNormal"/>
    <w:uiPriority w:val="39"/>
    <w:rsid w:val="00F37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F37FC8"/>
    <w:rPr>
      <w:i/>
      <w:iCs/>
    </w:rPr>
  </w:style>
  <w:style w:type="character" w:styleId="FollowedHyperlink">
    <w:name w:val="FollowedHyperlink"/>
    <w:basedOn w:val="DefaultParagraphFont"/>
    <w:uiPriority w:val="99"/>
    <w:semiHidden/>
    <w:unhideWhenUsed/>
    <w:rsid w:val="00F37FC8"/>
    <w:rPr>
      <w:color w:val="954F72" w:themeColor="followedHyperlink"/>
      <w:u w:val="single"/>
    </w:rPr>
  </w:style>
  <w:style w:type="paragraph" w:styleId="Revision">
    <w:name w:val="Revision"/>
    <w:hidden/>
    <w:uiPriority w:val="99"/>
    <w:semiHidden/>
    <w:rsid w:val="00F37FC8"/>
    <w:pPr>
      <w:spacing w:after="0" w:line="240" w:lineRule="auto"/>
    </w:pPr>
  </w:style>
  <w:style w:type="paragraph" w:styleId="TOC1">
    <w:name w:val="toc 1"/>
    <w:basedOn w:val="Normal"/>
    <w:next w:val="Normal"/>
    <w:autoRedefine/>
    <w:uiPriority w:val="39"/>
    <w:unhideWhenUsed/>
    <w:rsid w:val="004F7E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extra.gov.il/labor/bizlabor/handi/"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govextra.gov.il/labor/bizlabor/handi/"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zeroproject.org/view/project/de6b36c8-ad4a-ec11-8c62-000d3ab5a6d0"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F6C552-26D1-4B0E-8317-4BDC5490D286}">
  <ds:schemaRefs>
    <ds:schemaRef ds:uri="http://schemas.openxmlformats.org/officeDocument/2006/bibliography"/>
  </ds:schemaRefs>
</ds:datastoreItem>
</file>

<file path=customXml/itemProps2.xml><?xml version="1.0" encoding="utf-8"?>
<ds:datastoreItem xmlns:ds="http://schemas.openxmlformats.org/officeDocument/2006/customXml" ds:itemID="{6EB1B817-B309-40BE-B0BE-D98AE3A01D55}"/>
</file>

<file path=customXml/itemProps3.xml><?xml version="1.0" encoding="utf-8"?>
<ds:datastoreItem xmlns:ds="http://schemas.openxmlformats.org/officeDocument/2006/customXml" ds:itemID="{2FA27BAB-A0FA-4DAF-A75E-147BAB251F4D}"/>
</file>

<file path=customXml/itemProps4.xml><?xml version="1.0" encoding="utf-8"?>
<ds:datastoreItem xmlns:ds="http://schemas.openxmlformats.org/officeDocument/2006/customXml" ds:itemID="{E28E4A4D-63CC-435F-B79F-897500F86A7E}"/>
</file>

<file path=docProps/app.xml><?xml version="1.0" encoding="utf-8"?>
<Properties xmlns="http://schemas.openxmlformats.org/officeDocument/2006/extended-properties" xmlns:vt="http://schemas.openxmlformats.org/officeDocument/2006/docPropsVTypes">
  <Template>Normal.dotm</Template>
  <TotalTime>0</TotalTime>
  <Pages>25</Pages>
  <Words>22797</Words>
  <Characters>129949</Characters>
  <Application>Microsoft Office Word</Application>
  <DocSecurity>4</DocSecurity>
  <Lines>1082</Lines>
  <Paragraphs>304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MOJ</Company>
  <LinksUpToDate>false</LinksUpToDate>
  <CharactersWithSpaces>152442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Ayelet Levin</dc:creator>
  <cp:keywords/>
  <dc:description/>
  <cp:lastModifiedBy>OUKO Robert</cp:lastModifiedBy>
  <cp:revision>2</cp:revision>
  <dcterms:created xsi:type="dcterms:W3CDTF">2022-05-03T07:03:00Z</dcterms:created>
  <dcterms:modified xsi:type="dcterms:W3CDTF">2022-05-03T07:03:00Z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