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A60392" w:rsidRPr="006E6CDF" w:rsidRDefault="00A60392">
      <w:pPr>
        <w:widowControl w:val="0"/>
        <w:pBdr>
          <w:top w:val="nil"/>
          <w:left w:val="nil"/>
          <w:bottom w:val="nil"/>
          <w:right w:val="nil"/>
          <w:between w:val="nil"/>
        </w:pBdr>
        <w:spacing w:after="0"/>
        <w:rPr>
          <w:rFonts w:ascii="Times New Roman" w:hAnsi="Times New Roman" w:cs="Times New Roman"/>
          <w:sz w:val="24"/>
          <w:szCs w:val="24"/>
        </w:rPr>
      </w:pPr>
    </w:p>
    <w:p w14:paraId="00000002" w14:textId="77777777" w:rsidR="00A60392" w:rsidRPr="006E6CDF" w:rsidRDefault="00A60392">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p w14:paraId="00000003" w14:textId="77777777" w:rsidR="00A60392" w:rsidRPr="006E6CDF" w:rsidRDefault="00000000">
      <w:pPr>
        <w:spacing w:line="240" w:lineRule="auto"/>
        <w:jc w:val="center"/>
        <w:rPr>
          <w:rFonts w:ascii="Times New Roman" w:eastAsia="Times New Roman" w:hAnsi="Times New Roman" w:cs="Times New Roman"/>
          <w:b/>
          <w:sz w:val="24"/>
          <w:szCs w:val="24"/>
        </w:rPr>
      </w:pPr>
      <w:bookmarkStart w:id="0" w:name="_heading=h.gjdgxs" w:colFirst="0" w:colLast="0"/>
      <w:bookmarkEnd w:id="0"/>
      <w:r w:rsidRPr="006E6CDF">
        <w:rPr>
          <w:rFonts w:ascii="Times New Roman" w:eastAsia="Times New Roman" w:hAnsi="Times New Roman" w:cs="Times New Roman"/>
          <w:b/>
          <w:sz w:val="24"/>
          <w:szCs w:val="24"/>
        </w:rPr>
        <w:t xml:space="preserve">Report for </w:t>
      </w:r>
    </w:p>
    <w:p w14:paraId="00000004" w14:textId="77777777" w:rsidR="00A60392" w:rsidRPr="006E6CDF" w:rsidRDefault="00000000">
      <w:pPr>
        <w:spacing w:line="240" w:lineRule="auto"/>
        <w:jc w:val="center"/>
        <w:rPr>
          <w:rFonts w:ascii="Times New Roman" w:eastAsia="Times New Roman" w:hAnsi="Times New Roman" w:cs="Times New Roman"/>
          <w:b/>
          <w:sz w:val="24"/>
          <w:szCs w:val="24"/>
        </w:rPr>
      </w:pPr>
      <w:bookmarkStart w:id="1" w:name="_heading=h.g2dblc9qv1ka" w:colFirst="0" w:colLast="0"/>
      <w:bookmarkEnd w:id="1"/>
      <w:r w:rsidRPr="006E6CDF">
        <w:rPr>
          <w:rFonts w:ascii="Times New Roman" w:eastAsia="Times New Roman" w:hAnsi="Times New Roman" w:cs="Times New Roman"/>
          <w:b/>
          <w:sz w:val="24"/>
          <w:szCs w:val="24"/>
        </w:rPr>
        <w:t xml:space="preserve">the International Covenant on Economic, Social and Cultural Rights (CESCR) </w:t>
      </w:r>
    </w:p>
    <w:p w14:paraId="00000005" w14:textId="77777777" w:rsidR="00A60392" w:rsidRPr="006E6CDF" w:rsidRDefault="00000000">
      <w:pPr>
        <w:spacing w:line="240" w:lineRule="auto"/>
        <w:jc w:val="center"/>
        <w:rPr>
          <w:rFonts w:ascii="Times New Roman" w:eastAsia="Times New Roman" w:hAnsi="Times New Roman" w:cs="Times New Roman"/>
          <w:b/>
          <w:sz w:val="24"/>
          <w:szCs w:val="24"/>
        </w:rPr>
      </w:pPr>
      <w:bookmarkStart w:id="2" w:name="_heading=h.jz6f9dv5yo40" w:colFirst="0" w:colLast="0"/>
      <w:bookmarkEnd w:id="2"/>
      <w:r w:rsidRPr="006E6CDF">
        <w:rPr>
          <w:rFonts w:ascii="Times New Roman" w:eastAsia="Times New Roman" w:hAnsi="Times New Roman" w:cs="Times New Roman"/>
          <w:b/>
          <w:sz w:val="24"/>
          <w:szCs w:val="24"/>
        </w:rPr>
        <w:t>76 Session on Cyprus</w:t>
      </w:r>
    </w:p>
    <w:p w14:paraId="00000006" w14:textId="77777777" w:rsidR="00A60392" w:rsidRPr="006E6CDF" w:rsidRDefault="00A60392">
      <w:pPr>
        <w:spacing w:line="240" w:lineRule="auto"/>
        <w:rPr>
          <w:rFonts w:ascii="Times New Roman" w:eastAsia="Times New Roman" w:hAnsi="Times New Roman" w:cs="Times New Roman"/>
          <w:b/>
          <w:sz w:val="24"/>
          <w:szCs w:val="24"/>
        </w:rPr>
      </w:pPr>
    </w:p>
    <w:p w14:paraId="00000007" w14:textId="77777777" w:rsidR="00A60392" w:rsidRPr="006E6CDF" w:rsidRDefault="00000000">
      <w:pPr>
        <w:spacing w:after="0" w:line="240" w:lineRule="auto"/>
        <w:jc w:val="center"/>
        <w:rPr>
          <w:rFonts w:ascii="Times New Roman" w:eastAsia="Times New Roman" w:hAnsi="Times New Roman" w:cs="Times New Roman"/>
          <w:b/>
          <w:sz w:val="24"/>
          <w:szCs w:val="24"/>
        </w:rPr>
      </w:pPr>
      <w:r w:rsidRPr="006E6CDF">
        <w:rPr>
          <w:rFonts w:ascii="Times New Roman" w:eastAsia="Times New Roman" w:hAnsi="Times New Roman" w:cs="Times New Roman"/>
          <w:b/>
          <w:sz w:val="24"/>
          <w:szCs w:val="24"/>
        </w:rPr>
        <w:t>submitted</w:t>
      </w:r>
    </w:p>
    <w:p w14:paraId="00000008" w14:textId="77777777" w:rsidR="00A60392" w:rsidRPr="006E6CDF" w:rsidRDefault="00000000">
      <w:pPr>
        <w:spacing w:after="0" w:line="240" w:lineRule="auto"/>
        <w:jc w:val="center"/>
        <w:rPr>
          <w:rFonts w:ascii="Times New Roman" w:eastAsia="Times New Roman" w:hAnsi="Times New Roman" w:cs="Times New Roman"/>
          <w:b/>
          <w:sz w:val="24"/>
          <w:szCs w:val="24"/>
        </w:rPr>
      </w:pPr>
      <w:r w:rsidRPr="006E6CDF">
        <w:rPr>
          <w:rFonts w:ascii="Times New Roman" w:eastAsia="Times New Roman" w:hAnsi="Times New Roman" w:cs="Times New Roman"/>
          <w:b/>
          <w:sz w:val="24"/>
          <w:szCs w:val="24"/>
        </w:rPr>
        <w:t xml:space="preserve">by </w:t>
      </w:r>
    </w:p>
    <w:p w14:paraId="00000009" w14:textId="77777777" w:rsidR="00A60392" w:rsidRPr="006E6CDF" w:rsidRDefault="00000000">
      <w:pPr>
        <w:spacing w:after="0" w:line="240" w:lineRule="auto"/>
        <w:jc w:val="center"/>
        <w:rPr>
          <w:rFonts w:ascii="Times New Roman" w:eastAsia="Times New Roman" w:hAnsi="Times New Roman" w:cs="Times New Roman"/>
          <w:b/>
          <w:sz w:val="24"/>
          <w:szCs w:val="24"/>
        </w:rPr>
      </w:pPr>
      <w:r w:rsidRPr="006E6CDF">
        <w:rPr>
          <w:rFonts w:ascii="Times New Roman" w:eastAsia="Times New Roman" w:hAnsi="Times New Roman" w:cs="Times New Roman"/>
          <w:b/>
          <w:sz w:val="24"/>
          <w:szCs w:val="24"/>
        </w:rPr>
        <w:t xml:space="preserve">Human Rights Platform </w:t>
      </w:r>
    </w:p>
    <w:p w14:paraId="0000000A" w14:textId="77777777" w:rsidR="00A60392" w:rsidRPr="006E6CDF" w:rsidRDefault="00000000">
      <w:pPr>
        <w:spacing w:after="0" w:line="240" w:lineRule="auto"/>
        <w:jc w:val="center"/>
        <w:rPr>
          <w:rFonts w:ascii="Times New Roman" w:eastAsia="Times New Roman" w:hAnsi="Times New Roman" w:cs="Times New Roman"/>
          <w:b/>
          <w:sz w:val="24"/>
          <w:szCs w:val="24"/>
        </w:rPr>
      </w:pPr>
      <w:r w:rsidRPr="006E6CDF">
        <w:rPr>
          <w:rFonts w:ascii="Times New Roman" w:eastAsia="Times New Roman" w:hAnsi="Times New Roman" w:cs="Times New Roman"/>
          <w:b/>
          <w:sz w:val="24"/>
          <w:szCs w:val="24"/>
        </w:rPr>
        <w:t>(</w:t>
      </w:r>
      <w:r w:rsidRPr="006E6CDF">
        <w:rPr>
          <w:rFonts w:ascii="Times New Roman" w:eastAsia="Times New Roman" w:hAnsi="Times New Roman" w:cs="Times New Roman"/>
          <w:b/>
          <w:sz w:val="24"/>
          <w:szCs w:val="24"/>
          <w:lang w:val="tr-TR"/>
        </w:rPr>
        <w:t>İnsan Hakları Platformu</w:t>
      </w:r>
      <w:r w:rsidRPr="006E6CDF">
        <w:rPr>
          <w:rFonts w:ascii="Times New Roman" w:eastAsia="Times New Roman" w:hAnsi="Times New Roman" w:cs="Times New Roman"/>
          <w:b/>
          <w:sz w:val="24"/>
          <w:szCs w:val="24"/>
        </w:rPr>
        <w:t>)</w:t>
      </w:r>
    </w:p>
    <w:p w14:paraId="0000000B" w14:textId="77777777" w:rsidR="00A60392" w:rsidRPr="006E6CDF" w:rsidRDefault="00A60392">
      <w:pPr>
        <w:spacing w:after="0" w:line="240" w:lineRule="auto"/>
        <w:jc w:val="center"/>
        <w:rPr>
          <w:rFonts w:ascii="Times New Roman" w:eastAsia="Times New Roman" w:hAnsi="Times New Roman" w:cs="Times New Roman"/>
          <w:b/>
          <w:sz w:val="24"/>
          <w:szCs w:val="24"/>
        </w:rPr>
      </w:pPr>
    </w:p>
    <w:p w14:paraId="0000000C" w14:textId="77777777" w:rsidR="00A60392" w:rsidRPr="006E6CDF" w:rsidRDefault="00A60392">
      <w:pPr>
        <w:spacing w:after="400" w:line="240" w:lineRule="auto"/>
        <w:rPr>
          <w:rFonts w:ascii="Times New Roman" w:eastAsia="Times New Roman" w:hAnsi="Times New Roman" w:cs="Times New Roman"/>
          <w:b/>
          <w:sz w:val="24"/>
          <w:szCs w:val="24"/>
        </w:rPr>
      </w:pPr>
    </w:p>
    <w:p w14:paraId="0000000D" w14:textId="77777777" w:rsidR="00A60392" w:rsidRPr="006E6CDF" w:rsidRDefault="00A60392">
      <w:pPr>
        <w:spacing w:after="400" w:line="240" w:lineRule="auto"/>
        <w:rPr>
          <w:rFonts w:ascii="Times New Roman" w:eastAsia="Times New Roman" w:hAnsi="Times New Roman" w:cs="Times New Roman"/>
          <w:b/>
          <w:sz w:val="24"/>
          <w:szCs w:val="24"/>
        </w:rPr>
      </w:pPr>
    </w:p>
    <w:p w14:paraId="0000000E" w14:textId="77777777" w:rsidR="00A60392" w:rsidRPr="006E6CDF" w:rsidRDefault="00A60392">
      <w:pPr>
        <w:spacing w:after="400" w:line="240" w:lineRule="auto"/>
        <w:rPr>
          <w:rFonts w:ascii="Times New Roman" w:eastAsia="Times New Roman" w:hAnsi="Times New Roman" w:cs="Times New Roman"/>
          <w:b/>
          <w:sz w:val="24"/>
          <w:szCs w:val="24"/>
        </w:rPr>
      </w:pPr>
    </w:p>
    <w:p w14:paraId="0000000F" w14:textId="77777777" w:rsidR="00A60392" w:rsidRPr="006E6CDF" w:rsidRDefault="00A60392">
      <w:pPr>
        <w:spacing w:after="400" w:line="240" w:lineRule="auto"/>
        <w:rPr>
          <w:rFonts w:ascii="Times New Roman" w:eastAsia="Times New Roman" w:hAnsi="Times New Roman" w:cs="Times New Roman"/>
          <w:b/>
          <w:sz w:val="24"/>
          <w:szCs w:val="24"/>
        </w:rPr>
      </w:pPr>
    </w:p>
    <w:p w14:paraId="00000010" w14:textId="77777777" w:rsidR="00A60392" w:rsidRPr="006E6CDF" w:rsidRDefault="00A60392">
      <w:pPr>
        <w:spacing w:after="400" w:line="240" w:lineRule="auto"/>
        <w:rPr>
          <w:rFonts w:ascii="Times New Roman" w:eastAsia="Times New Roman" w:hAnsi="Times New Roman" w:cs="Times New Roman"/>
          <w:b/>
          <w:sz w:val="24"/>
          <w:szCs w:val="24"/>
        </w:rPr>
      </w:pPr>
    </w:p>
    <w:p w14:paraId="00000011" w14:textId="77777777" w:rsidR="00A60392" w:rsidRPr="006E6CDF" w:rsidRDefault="00A60392">
      <w:pPr>
        <w:spacing w:after="400" w:line="240" w:lineRule="auto"/>
        <w:rPr>
          <w:rFonts w:ascii="Times New Roman" w:eastAsia="Times New Roman" w:hAnsi="Times New Roman" w:cs="Times New Roman"/>
          <w:b/>
          <w:sz w:val="24"/>
          <w:szCs w:val="24"/>
        </w:rPr>
      </w:pPr>
    </w:p>
    <w:p w14:paraId="00000012" w14:textId="77777777" w:rsidR="00A60392" w:rsidRPr="006E6CDF" w:rsidRDefault="00A60392">
      <w:pPr>
        <w:spacing w:after="400" w:line="240" w:lineRule="auto"/>
        <w:rPr>
          <w:rFonts w:ascii="Times New Roman" w:eastAsia="Times New Roman" w:hAnsi="Times New Roman" w:cs="Times New Roman"/>
          <w:b/>
          <w:sz w:val="24"/>
          <w:szCs w:val="24"/>
        </w:rPr>
      </w:pPr>
    </w:p>
    <w:p w14:paraId="00000013" w14:textId="77777777" w:rsidR="00A60392" w:rsidRPr="006E6CDF" w:rsidRDefault="00A60392">
      <w:pPr>
        <w:spacing w:after="400" w:line="240" w:lineRule="auto"/>
        <w:rPr>
          <w:rFonts w:ascii="Times New Roman" w:eastAsia="Times New Roman" w:hAnsi="Times New Roman" w:cs="Times New Roman"/>
          <w:b/>
          <w:sz w:val="24"/>
          <w:szCs w:val="24"/>
        </w:rPr>
      </w:pPr>
    </w:p>
    <w:p w14:paraId="00000014" w14:textId="77777777" w:rsidR="00A60392" w:rsidRPr="006E6CDF" w:rsidRDefault="00000000">
      <w:pPr>
        <w:spacing w:before="400" w:line="240" w:lineRule="auto"/>
        <w:jc w:val="center"/>
        <w:rPr>
          <w:rFonts w:ascii="Times New Roman" w:eastAsia="Times New Roman" w:hAnsi="Times New Roman" w:cs="Times New Roman"/>
          <w:b/>
          <w:sz w:val="24"/>
          <w:szCs w:val="24"/>
        </w:rPr>
      </w:pPr>
      <w:r w:rsidRPr="006E6CDF">
        <w:rPr>
          <w:rFonts w:ascii="Times New Roman" w:eastAsia="Times New Roman" w:hAnsi="Times New Roman" w:cs="Times New Roman"/>
          <w:b/>
          <w:sz w:val="24"/>
          <w:szCs w:val="24"/>
        </w:rPr>
        <w:t>Nicosia, Cyprus, August 2024</w:t>
      </w:r>
      <w:r w:rsidRPr="006E6CDF">
        <w:rPr>
          <w:rFonts w:ascii="Times New Roman" w:hAnsi="Times New Roman" w:cs="Times New Roman"/>
          <w:sz w:val="24"/>
          <w:szCs w:val="24"/>
        </w:rPr>
        <w:br w:type="page"/>
      </w:r>
    </w:p>
    <w:p w14:paraId="00000015" w14:textId="77777777" w:rsidR="00A60392" w:rsidRPr="006E6CDF" w:rsidRDefault="00000000">
      <w:pPr>
        <w:keepNext/>
        <w:keepLines/>
        <w:pBdr>
          <w:top w:val="nil"/>
          <w:left w:val="nil"/>
          <w:bottom w:val="nil"/>
          <w:right w:val="nil"/>
          <w:between w:val="nil"/>
        </w:pBdr>
        <w:spacing w:before="240" w:after="0" w:line="240" w:lineRule="auto"/>
        <w:jc w:val="center"/>
        <w:rPr>
          <w:rFonts w:ascii="Times New Roman" w:eastAsia="Times New Roman" w:hAnsi="Times New Roman" w:cs="Times New Roman"/>
          <w:b/>
          <w:color w:val="000000"/>
          <w:sz w:val="24"/>
          <w:szCs w:val="24"/>
        </w:rPr>
      </w:pPr>
      <w:r w:rsidRPr="006E6CDF">
        <w:rPr>
          <w:rFonts w:ascii="Times New Roman" w:eastAsia="Times New Roman" w:hAnsi="Times New Roman" w:cs="Times New Roman"/>
          <w:b/>
          <w:color w:val="000000"/>
          <w:sz w:val="24"/>
          <w:szCs w:val="24"/>
        </w:rPr>
        <w:lastRenderedPageBreak/>
        <w:t>Table of contents</w:t>
      </w:r>
    </w:p>
    <w:sdt>
      <w:sdtPr>
        <w:rPr>
          <w:rFonts w:ascii="Times New Roman" w:hAnsi="Times New Roman" w:cs="Times New Roman"/>
          <w:sz w:val="24"/>
          <w:szCs w:val="24"/>
          <w:lang w:val="en-GB"/>
        </w:rPr>
        <w:id w:val="-1573418247"/>
        <w:docPartObj>
          <w:docPartGallery w:val="Table of Contents"/>
          <w:docPartUnique/>
        </w:docPartObj>
      </w:sdtPr>
      <w:sdtContent>
        <w:p w14:paraId="2EA3EB98" w14:textId="08B5E92C" w:rsidR="00FA209E" w:rsidRDefault="00000000">
          <w:pPr>
            <w:pStyle w:val="TOC1"/>
            <w:tabs>
              <w:tab w:val="right" w:pos="9016"/>
            </w:tabs>
            <w:rPr>
              <w:rFonts w:asciiTheme="minorHAnsi" w:eastAsiaTheme="minorEastAsia" w:hAnsiTheme="minorHAnsi" w:cstheme="minorBidi"/>
              <w:noProof/>
              <w:kern w:val="2"/>
              <w:sz w:val="24"/>
              <w:szCs w:val="24"/>
              <w:lang w:val="en-CY"/>
              <w14:ligatures w14:val="standardContextual"/>
            </w:rPr>
          </w:pPr>
          <w:r w:rsidRPr="006E6CDF">
            <w:rPr>
              <w:rFonts w:ascii="Times New Roman" w:hAnsi="Times New Roman" w:cs="Times New Roman"/>
              <w:sz w:val="24"/>
              <w:szCs w:val="24"/>
              <w:lang w:val="en-GB"/>
            </w:rPr>
            <w:fldChar w:fldCharType="begin"/>
          </w:r>
          <w:r w:rsidRPr="006E6CDF">
            <w:rPr>
              <w:rFonts w:ascii="Times New Roman" w:hAnsi="Times New Roman" w:cs="Times New Roman"/>
              <w:sz w:val="24"/>
              <w:szCs w:val="24"/>
              <w:lang w:val="en-GB"/>
            </w:rPr>
            <w:instrText xml:space="preserve"> TOC \h \u \z \t "Heading 1,1,Heading 2,2,Heading 3,3,Heading 4,4,Heading 5,5,Heading 6,6,"</w:instrText>
          </w:r>
          <w:r w:rsidRPr="006E6CDF">
            <w:rPr>
              <w:rFonts w:ascii="Times New Roman" w:hAnsi="Times New Roman" w:cs="Times New Roman"/>
              <w:sz w:val="24"/>
              <w:szCs w:val="24"/>
              <w:lang w:val="en-GB"/>
            </w:rPr>
            <w:fldChar w:fldCharType="separate"/>
          </w:r>
          <w:hyperlink w:anchor="_Toc174367813" w:history="1">
            <w:r w:rsidR="00FA209E" w:rsidRPr="00401F6A">
              <w:rPr>
                <w:rStyle w:val="Hyperlink"/>
                <w:rFonts w:ascii="Times New Roman" w:eastAsia="Times New Roman" w:hAnsi="Times New Roman" w:cs="Times New Roman"/>
                <w:b/>
                <w:bCs/>
                <w:noProof/>
                <w:lang w:val="en-GB"/>
              </w:rPr>
              <w:t>1. Introduction</w:t>
            </w:r>
            <w:r w:rsidR="00FA209E">
              <w:rPr>
                <w:noProof/>
                <w:webHidden/>
              </w:rPr>
              <w:tab/>
            </w:r>
            <w:r w:rsidR="00FA209E">
              <w:rPr>
                <w:noProof/>
                <w:webHidden/>
              </w:rPr>
              <w:fldChar w:fldCharType="begin"/>
            </w:r>
            <w:r w:rsidR="00FA209E">
              <w:rPr>
                <w:noProof/>
                <w:webHidden/>
              </w:rPr>
              <w:instrText xml:space="preserve"> PAGEREF _Toc174367813 \h </w:instrText>
            </w:r>
            <w:r w:rsidR="00FA209E">
              <w:rPr>
                <w:noProof/>
                <w:webHidden/>
              </w:rPr>
            </w:r>
            <w:r w:rsidR="00FA209E">
              <w:rPr>
                <w:noProof/>
                <w:webHidden/>
              </w:rPr>
              <w:fldChar w:fldCharType="separate"/>
            </w:r>
            <w:r w:rsidR="00FA209E">
              <w:rPr>
                <w:noProof/>
                <w:webHidden/>
              </w:rPr>
              <w:t>3</w:t>
            </w:r>
            <w:r w:rsidR="00FA209E">
              <w:rPr>
                <w:noProof/>
                <w:webHidden/>
              </w:rPr>
              <w:fldChar w:fldCharType="end"/>
            </w:r>
          </w:hyperlink>
        </w:p>
        <w:p w14:paraId="6191FA83" w14:textId="543C4581" w:rsidR="00FA209E" w:rsidRDefault="00FA209E">
          <w:pPr>
            <w:pStyle w:val="TOC1"/>
            <w:tabs>
              <w:tab w:val="right" w:pos="9016"/>
            </w:tabs>
            <w:rPr>
              <w:rFonts w:asciiTheme="minorHAnsi" w:eastAsiaTheme="minorEastAsia" w:hAnsiTheme="minorHAnsi" w:cstheme="minorBidi"/>
              <w:noProof/>
              <w:kern w:val="2"/>
              <w:sz w:val="24"/>
              <w:szCs w:val="24"/>
              <w:lang w:val="en-CY"/>
              <w14:ligatures w14:val="standardContextual"/>
            </w:rPr>
          </w:pPr>
          <w:hyperlink w:anchor="_Toc174367814" w:history="1">
            <w:r w:rsidRPr="00401F6A">
              <w:rPr>
                <w:rStyle w:val="Hyperlink"/>
                <w:rFonts w:ascii="Times New Roman" w:eastAsia="Times New Roman" w:hAnsi="Times New Roman" w:cs="Times New Roman"/>
                <w:b/>
                <w:bCs/>
                <w:noProof/>
                <w:lang w:val="en-GB"/>
              </w:rPr>
              <w:t>2. Issues Relating to the General Provisions of the Covenant</w:t>
            </w:r>
            <w:r>
              <w:rPr>
                <w:noProof/>
                <w:webHidden/>
              </w:rPr>
              <w:tab/>
            </w:r>
            <w:r>
              <w:rPr>
                <w:noProof/>
                <w:webHidden/>
              </w:rPr>
              <w:fldChar w:fldCharType="begin"/>
            </w:r>
            <w:r>
              <w:rPr>
                <w:noProof/>
                <w:webHidden/>
              </w:rPr>
              <w:instrText xml:space="preserve"> PAGEREF _Toc174367814 \h </w:instrText>
            </w:r>
            <w:r>
              <w:rPr>
                <w:noProof/>
                <w:webHidden/>
              </w:rPr>
            </w:r>
            <w:r>
              <w:rPr>
                <w:noProof/>
                <w:webHidden/>
              </w:rPr>
              <w:fldChar w:fldCharType="separate"/>
            </w:r>
            <w:r>
              <w:rPr>
                <w:noProof/>
                <w:webHidden/>
              </w:rPr>
              <w:t>4</w:t>
            </w:r>
            <w:r>
              <w:rPr>
                <w:noProof/>
                <w:webHidden/>
              </w:rPr>
              <w:fldChar w:fldCharType="end"/>
            </w:r>
          </w:hyperlink>
        </w:p>
        <w:p w14:paraId="38445AB1" w14:textId="68C22613" w:rsidR="00FA209E" w:rsidRDefault="00FA209E">
          <w:pPr>
            <w:pStyle w:val="TOC2"/>
            <w:tabs>
              <w:tab w:val="left" w:pos="660"/>
              <w:tab w:val="right" w:pos="9016"/>
            </w:tabs>
            <w:rPr>
              <w:rFonts w:asciiTheme="minorHAnsi" w:eastAsiaTheme="minorEastAsia" w:hAnsiTheme="minorHAnsi" w:cstheme="minorBidi"/>
              <w:noProof/>
              <w:kern w:val="2"/>
              <w:sz w:val="24"/>
              <w:szCs w:val="24"/>
              <w:lang w:val="en-CY"/>
              <w14:ligatures w14:val="standardContextual"/>
            </w:rPr>
          </w:pPr>
          <w:hyperlink w:anchor="_Toc174367815" w:history="1">
            <w:r w:rsidRPr="00401F6A">
              <w:rPr>
                <w:rStyle w:val="Hyperlink"/>
                <w:rFonts w:ascii="Times New Roman" w:eastAsia="Times New Roman" w:hAnsi="Times New Roman" w:cs="Times New Roman"/>
                <w:noProof/>
                <w:lang w:val="en-GB"/>
              </w:rPr>
              <w:t>a.</w:t>
            </w:r>
            <w:r>
              <w:rPr>
                <w:rFonts w:asciiTheme="minorHAnsi" w:eastAsiaTheme="minorEastAsia" w:hAnsiTheme="minorHAnsi" w:cstheme="minorBidi"/>
                <w:noProof/>
                <w:kern w:val="2"/>
                <w:sz w:val="24"/>
                <w:szCs w:val="24"/>
                <w:lang w:val="en-CY"/>
                <w14:ligatures w14:val="standardContextual"/>
              </w:rPr>
              <w:tab/>
            </w:r>
            <w:r w:rsidRPr="00401F6A">
              <w:rPr>
                <w:rStyle w:val="Hyperlink"/>
                <w:rFonts w:ascii="Times New Roman" w:eastAsia="Times New Roman" w:hAnsi="Times New Roman" w:cs="Times New Roman"/>
                <w:noProof/>
                <w:lang w:val="en-GB"/>
              </w:rPr>
              <w:t>Maximum Available Resources (Art. 2 (1)):</w:t>
            </w:r>
            <w:r>
              <w:rPr>
                <w:noProof/>
                <w:webHidden/>
              </w:rPr>
              <w:tab/>
            </w:r>
            <w:r>
              <w:rPr>
                <w:noProof/>
                <w:webHidden/>
              </w:rPr>
              <w:fldChar w:fldCharType="begin"/>
            </w:r>
            <w:r>
              <w:rPr>
                <w:noProof/>
                <w:webHidden/>
              </w:rPr>
              <w:instrText xml:space="preserve"> PAGEREF _Toc174367815 \h </w:instrText>
            </w:r>
            <w:r>
              <w:rPr>
                <w:noProof/>
                <w:webHidden/>
              </w:rPr>
            </w:r>
            <w:r>
              <w:rPr>
                <w:noProof/>
                <w:webHidden/>
              </w:rPr>
              <w:fldChar w:fldCharType="separate"/>
            </w:r>
            <w:r>
              <w:rPr>
                <w:noProof/>
                <w:webHidden/>
              </w:rPr>
              <w:t>4</w:t>
            </w:r>
            <w:r>
              <w:rPr>
                <w:noProof/>
                <w:webHidden/>
              </w:rPr>
              <w:fldChar w:fldCharType="end"/>
            </w:r>
          </w:hyperlink>
        </w:p>
        <w:p w14:paraId="31580FBE" w14:textId="568C0778" w:rsidR="00FA209E" w:rsidRDefault="00FA209E">
          <w:pPr>
            <w:pStyle w:val="TOC2"/>
            <w:tabs>
              <w:tab w:val="left" w:pos="660"/>
              <w:tab w:val="right" w:pos="9016"/>
            </w:tabs>
            <w:rPr>
              <w:rFonts w:asciiTheme="minorHAnsi" w:eastAsiaTheme="minorEastAsia" w:hAnsiTheme="minorHAnsi" w:cstheme="minorBidi"/>
              <w:noProof/>
              <w:kern w:val="2"/>
              <w:sz w:val="24"/>
              <w:szCs w:val="24"/>
              <w:lang w:val="en-CY"/>
              <w14:ligatures w14:val="standardContextual"/>
            </w:rPr>
          </w:pPr>
          <w:hyperlink w:anchor="_Toc174367816" w:history="1">
            <w:r w:rsidRPr="00401F6A">
              <w:rPr>
                <w:rStyle w:val="Hyperlink"/>
                <w:rFonts w:ascii="Times New Roman" w:eastAsia="Times New Roman" w:hAnsi="Times New Roman" w:cs="Times New Roman"/>
                <w:noProof/>
                <w:lang w:val="en-GB"/>
              </w:rPr>
              <w:t>b.</w:t>
            </w:r>
            <w:r>
              <w:rPr>
                <w:rFonts w:asciiTheme="minorHAnsi" w:eastAsiaTheme="minorEastAsia" w:hAnsiTheme="minorHAnsi" w:cstheme="minorBidi"/>
                <w:noProof/>
                <w:kern w:val="2"/>
                <w:sz w:val="24"/>
                <w:szCs w:val="24"/>
                <w:lang w:val="en-CY"/>
                <w14:ligatures w14:val="standardContextual"/>
              </w:rPr>
              <w:tab/>
            </w:r>
            <w:r w:rsidRPr="00401F6A">
              <w:rPr>
                <w:rStyle w:val="Hyperlink"/>
                <w:rFonts w:ascii="Times New Roman" w:eastAsia="Times New Roman" w:hAnsi="Times New Roman" w:cs="Times New Roman"/>
                <w:noProof/>
                <w:lang w:val="en-GB"/>
              </w:rPr>
              <w:t>Non-Discrimination (Art. 2 (2)):</w:t>
            </w:r>
            <w:r>
              <w:rPr>
                <w:noProof/>
                <w:webHidden/>
              </w:rPr>
              <w:tab/>
            </w:r>
            <w:r>
              <w:rPr>
                <w:noProof/>
                <w:webHidden/>
              </w:rPr>
              <w:fldChar w:fldCharType="begin"/>
            </w:r>
            <w:r>
              <w:rPr>
                <w:noProof/>
                <w:webHidden/>
              </w:rPr>
              <w:instrText xml:space="preserve"> PAGEREF _Toc174367816 \h </w:instrText>
            </w:r>
            <w:r>
              <w:rPr>
                <w:noProof/>
                <w:webHidden/>
              </w:rPr>
            </w:r>
            <w:r>
              <w:rPr>
                <w:noProof/>
                <w:webHidden/>
              </w:rPr>
              <w:fldChar w:fldCharType="separate"/>
            </w:r>
            <w:r>
              <w:rPr>
                <w:noProof/>
                <w:webHidden/>
              </w:rPr>
              <w:t>4</w:t>
            </w:r>
            <w:r>
              <w:rPr>
                <w:noProof/>
                <w:webHidden/>
              </w:rPr>
              <w:fldChar w:fldCharType="end"/>
            </w:r>
          </w:hyperlink>
        </w:p>
        <w:p w14:paraId="1A60C4E4" w14:textId="0F0ED673" w:rsidR="00FA209E" w:rsidRDefault="00FA209E">
          <w:pPr>
            <w:pStyle w:val="TOC2"/>
            <w:tabs>
              <w:tab w:val="left" w:pos="660"/>
              <w:tab w:val="right" w:pos="9016"/>
            </w:tabs>
            <w:rPr>
              <w:rFonts w:asciiTheme="minorHAnsi" w:eastAsiaTheme="minorEastAsia" w:hAnsiTheme="minorHAnsi" w:cstheme="minorBidi"/>
              <w:noProof/>
              <w:kern w:val="2"/>
              <w:sz w:val="24"/>
              <w:szCs w:val="24"/>
              <w:lang w:val="en-CY"/>
              <w14:ligatures w14:val="standardContextual"/>
            </w:rPr>
          </w:pPr>
          <w:hyperlink w:anchor="_Toc174367817" w:history="1">
            <w:r w:rsidRPr="00401F6A">
              <w:rPr>
                <w:rStyle w:val="Hyperlink"/>
                <w:rFonts w:ascii="Times New Roman" w:eastAsia="Times New Roman" w:hAnsi="Times New Roman" w:cs="Times New Roman"/>
                <w:noProof/>
                <w:lang w:val="en-GB"/>
              </w:rPr>
              <w:t>c.</w:t>
            </w:r>
            <w:r>
              <w:rPr>
                <w:rFonts w:asciiTheme="minorHAnsi" w:eastAsiaTheme="minorEastAsia" w:hAnsiTheme="minorHAnsi" w:cstheme="minorBidi"/>
                <w:noProof/>
                <w:kern w:val="2"/>
                <w:sz w:val="24"/>
                <w:szCs w:val="24"/>
                <w:lang w:val="en-CY"/>
                <w14:ligatures w14:val="standardContextual"/>
              </w:rPr>
              <w:tab/>
            </w:r>
            <w:r w:rsidRPr="00401F6A">
              <w:rPr>
                <w:rStyle w:val="Hyperlink"/>
                <w:rFonts w:ascii="Times New Roman" w:eastAsia="Times New Roman" w:hAnsi="Times New Roman" w:cs="Times New Roman"/>
                <w:noProof/>
                <w:lang w:val="en-GB"/>
              </w:rPr>
              <w:t>Equal Rights of Men and Women (Art. 3):</w:t>
            </w:r>
            <w:r>
              <w:rPr>
                <w:noProof/>
                <w:webHidden/>
              </w:rPr>
              <w:tab/>
            </w:r>
            <w:r>
              <w:rPr>
                <w:noProof/>
                <w:webHidden/>
              </w:rPr>
              <w:fldChar w:fldCharType="begin"/>
            </w:r>
            <w:r>
              <w:rPr>
                <w:noProof/>
                <w:webHidden/>
              </w:rPr>
              <w:instrText xml:space="preserve"> PAGEREF _Toc174367817 \h </w:instrText>
            </w:r>
            <w:r>
              <w:rPr>
                <w:noProof/>
                <w:webHidden/>
              </w:rPr>
            </w:r>
            <w:r>
              <w:rPr>
                <w:noProof/>
                <w:webHidden/>
              </w:rPr>
              <w:fldChar w:fldCharType="separate"/>
            </w:r>
            <w:r>
              <w:rPr>
                <w:noProof/>
                <w:webHidden/>
              </w:rPr>
              <w:t>6</w:t>
            </w:r>
            <w:r>
              <w:rPr>
                <w:noProof/>
                <w:webHidden/>
              </w:rPr>
              <w:fldChar w:fldCharType="end"/>
            </w:r>
          </w:hyperlink>
        </w:p>
        <w:p w14:paraId="0D6E22A4" w14:textId="0D4259FC" w:rsidR="00FA209E" w:rsidRDefault="00FA209E">
          <w:pPr>
            <w:pStyle w:val="TOC2"/>
            <w:tabs>
              <w:tab w:val="left" w:pos="660"/>
              <w:tab w:val="right" w:pos="9016"/>
            </w:tabs>
            <w:rPr>
              <w:rFonts w:asciiTheme="minorHAnsi" w:eastAsiaTheme="minorEastAsia" w:hAnsiTheme="minorHAnsi" w:cstheme="minorBidi"/>
              <w:noProof/>
              <w:kern w:val="2"/>
              <w:sz w:val="24"/>
              <w:szCs w:val="24"/>
              <w:lang w:val="en-CY"/>
              <w14:ligatures w14:val="standardContextual"/>
            </w:rPr>
          </w:pPr>
          <w:hyperlink w:anchor="_Toc174367818" w:history="1">
            <w:r w:rsidRPr="00401F6A">
              <w:rPr>
                <w:rStyle w:val="Hyperlink"/>
                <w:rFonts w:ascii="Times New Roman" w:eastAsia="Times New Roman" w:hAnsi="Times New Roman" w:cs="Times New Roman"/>
                <w:noProof/>
                <w:lang w:val="en-GB"/>
              </w:rPr>
              <w:t>d.</w:t>
            </w:r>
            <w:r>
              <w:rPr>
                <w:rFonts w:asciiTheme="minorHAnsi" w:eastAsiaTheme="minorEastAsia" w:hAnsiTheme="minorHAnsi" w:cstheme="minorBidi"/>
                <w:noProof/>
                <w:kern w:val="2"/>
                <w:sz w:val="24"/>
                <w:szCs w:val="24"/>
                <w:lang w:val="en-CY"/>
                <w14:ligatures w14:val="standardContextual"/>
              </w:rPr>
              <w:tab/>
            </w:r>
            <w:r w:rsidRPr="00401F6A">
              <w:rPr>
                <w:rStyle w:val="Hyperlink"/>
                <w:rFonts w:ascii="Times New Roman" w:eastAsia="Times New Roman" w:hAnsi="Times New Roman" w:cs="Times New Roman"/>
                <w:noProof/>
                <w:lang w:val="en-GB"/>
              </w:rPr>
              <w:t>Right to Work (Art. 6):</w:t>
            </w:r>
            <w:r>
              <w:rPr>
                <w:noProof/>
                <w:webHidden/>
              </w:rPr>
              <w:tab/>
            </w:r>
            <w:r>
              <w:rPr>
                <w:noProof/>
                <w:webHidden/>
              </w:rPr>
              <w:fldChar w:fldCharType="begin"/>
            </w:r>
            <w:r>
              <w:rPr>
                <w:noProof/>
                <w:webHidden/>
              </w:rPr>
              <w:instrText xml:space="preserve"> PAGEREF _Toc174367818 \h </w:instrText>
            </w:r>
            <w:r>
              <w:rPr>
                <w:noProof/>
                <w:webHidden/>
              </w:rPr>
            </w:r>
            <w:r>
              <w:rPr>
                <w:noProof/>
                <w:webHidden/>
              </w:rPr>
              <w:fldChar w:fldCharType="separate"/>
            </w:r>
            <w:r>
              <w:rPr>
                <w:noProof/>
                <w:webHidden/>
              </w:rPr>
              <w:t>6</w:t>
            </w:r>
            <w:r>
              <w:rPr>
                <w:noProof/>
                <w:webHidden/>
              </w:rPr>
              <w:fldChar w:fldCharType="end"/>
            </w:r>
          </w:hyperlink>
        </w:p>
        <w:p w14:paraId="5533AFD0" w14:textId="5BEB66DC" w:rsidR="00FA209E" w:rsidRDefault="00FA209E">
          <w:pPr>
            <w:pStyle w:val="TOC2"/>
            <w:tabs>
              <w:tab w:val="left" w:pos="660"/>
              <w:tab w:val="right" w:pos="9016"/>
            </w:tabs>
            <w:rPr>
              <w:rFonts w:asciiTheme="minorHAnsi" w:eastAsiaTheme="minorEastAsia" w:hAnsiTheme="minorHAnsi" w:cstheme="minorBidi"/>
              <w:noProof/>
              <w:kern w:val="2"/>
              <w:sz w:val="24"/>
              <w:szCs w:val="24"/>
              <w:lang w:val="en-CY"/>
              <w14:ligatures w14:val="standardContextual"/>
            </w:rPr>
          </w:pPr>
          <w:hyperlink w:anchor="_Toc174367819" w:history="1">
            <w:r w:rsidRPr="00401F6A">
              <w:rPr>
                <w:rStyle w:val="Hyperlink"/>
                <w:rFonts w:ascii="Times New Roman" w:eastAsia="Times New Roman" w:hAnsi="Times New Roman" w:cs="Times New Roman"/>
                <w:noProof/>
                <w:lang w:val="en-GB"/>
              </w:rPr>
              <w:t>e.</w:t>
            </w:r>
            <w:r>
              <w:rPr>
                <w:rFonts w:asciiTheme="minorHAnsi" w:eastAsiaTheme="minorEastAsia" w:hAnsiTheme="minorHAnsi" w:cstheme="minorBidi"/>
                <w:noProof/>
                <w:kern w:val="2"/>
                <w:sz w:val="24"/>
                <w:szCs w:val="24"/>
                <w:lang w:val="en-CY"/>
                <w14:ligatures w14:val="standardContextual"/>
              </w:rPr>
              <w:tab/>
            </w:r>
            <w:r w:rsidRPr="00401F6A">
              <w:rPr>
                <w:rStyle w:val="Hyperlink"/>
                <w:rFonts w:ascii="Times New Roman" w:eastAsia="Times New Roman" w:hAnsi="Times New Roman" w:cs="Times New Roman"/>
                <w:noProof/>
                <w:lang w:val="en-GB"/>
              </w:rPr>
              <w:t>Protection of the Family and Children (Art. 10):</w:t>
            </w:r>
            <w:r>
              <w:rPr>
                <w:noProof/>
                <w:webHidden/>
              </w:rPr>
              <w:tab/>
            </w:r>
            <w:r>
              <w:rPr>
                <w:noProof/>
                <w:webHidden/>
              </w:rPr>
              <w:fldChar w:fldCharType="begin"/>
            </w:r>
            <w:r>
              <w:rPr>
                <w:noProof/>
                <w:webHidden/>
              </w:rPr>
              <w:instrText xml:space="preserve"> PAGEREF _Toc174367819 \h </w:instrText>
            </w:r>
            <w:r>
              <w:rPr>
                <w:noProof/>
                <w:webHidden/>
              </w:rPr>
            </w:r>
            <w:r>
              <w:rPr>
                <w:noProof/>
                <w:webHidden/>
              </w:rPr>
              <w:fldChar w:fldCharType="separate"/>
            </w:r>
            <w:r>
              <w:rPr>
                <w:noProof/>
                <w:webHidden/>
              </w:rPr>
              <w:t>6</w:t>
            </w:r>
            <w:r>
              <w:rPr>
                <w:noProof/>
                <w:webHidden/>
              </w:rPr>
              <w:fldChar w:fldCharType="end"/>
            </w:r>
          </w:hyperlink>
        </w:p>
        <w:p w14:paraId="3AECAE48" w14:textId="6F9AAF44" w:rsidR="00FA209E" w:rsidRDefault="00FA209E">
          <w:pPr>
            <w:pStyle w:val="TOC2"/>
            <w:tabs>
              <w:tab w:val="left" w:pos="660"/>
              <w:tab w:val="right" w:pos="9016"/>
            </w:tabs>
            <w:rPr>
              <w:rFonts w:asciiTheme="minorHAnsi" w:eastAsiaTheme="minorEastAsia" w:hAnsiTheme="minorHAnsi" w:cstheme="minorBidi"/>
              <w:noProof/>
              <w:kern w:val="2"/>
              <w:sz w:val="24"/>
              <w:szCs w:val="24"/>
              <w:lang w:val="en-CY"/>
              <w14:ligatures w14:val="standardContextual"/>
            </w:rPr>
          </w:pPr>
          <w:hyperlink w:anchor="_Toc174367820" w:history="1">
            <w:r w:rsidRPr="00401F6A">
              <w:rPr>
                <w:rStyle w:val="Hyperlink"/>
                <w:rFonts w:ascii="Times New Roman" w:eastAsia="Times New Roman" w:hAnsi="Times New Roman" w:cs="Times New Roman"/>
                <w:noProof/>
                <w:lang w:val="en-GB"/>
              </w:rPr>
              <w:t>f.</w:t>
            </w:r>
            <w:r>
              <w:rPr>
                <w:rFonts w:asciiTheme="minorHAnsi" w:eastAsiaTheme="minorEastAsia" w:hAnsiTheme="minorHAnsi" w:cstheme="minorBidi"/>
                <w:noProof/>
                <w:kern w:val="2"/>
                <w:sz w:val="24"/>
                <w:szCs w:val="24"/>
                <w:lang w:val="en-CY"/>
                <w14:ligatures w14:val="standardContextual"/>
              </w:rPr>
              <w:tab/>
            </w:r>
            <w:r w:rsidRPr="00401F6A">
              <w:rPr>
                <w:rStyle w:val="Hyperlink"/>
                <w:rFonts w:ascii="Times New Roman" w:eastAsia="Times New Roman" w:hAnsi="Times New Roman" w:cs="Times New Roman"/>
                <w:noProof/>
                <w:lang w:val="en-GB"/>
              </w:rPr>
              <w:t>Right to Physical and Mental Health (Art. 12):</w:t>
            </w:r>
            <w:r>
              <w:rPr>
                <w:noProof/>
                <w:webHidden/>
              </w:rPr>
              <w:tab/>
            </w:r>
            <w:r>
              <w:rPr>
                <w:noProof/>
                <w:webHidden/>
              </w:rPr>
              <w:fldChar w:fldCharType="begin"/>
            </w:r>
            <w:r>
              <w:rPr>
                <w:noProof/>
                <w:webHidden/>
              </w:rPr>
              <w:instrText xml:space="preserve"> PAGEREF _Toc174367820 \h </w:instrText>
            </w:r>
            <w:r>
              <w:rPr>
                <w:noProof/>
                <w:webHidden/>
              </w:rPr>
            </w:r>
            <w:r>
              <w:rPr>
                <w:noProof/>
                <w:webHidden/>
              </w:rPr>
              <w:fldChar w:fldCharType="separate"/>
            </w:r>
            <w:r>
              <w:rPr>
                <w:noProof/>
                <w:webHidden/>
              </w:rPr>
              <w:t>6</w:t>
            </w:r>
            <w:r>
              <w:rPr>
                <w:noProof/>
                <w:webHidden/>
              </w:rPr>
              <w:fldChar w:fldCharType="end"/>
            </w:r>
          </w:hyperlink>
        </w:p>
        <w:p w14:paraId="24E6D354" w14:textId="67806163" w:rsidR="00FA209E" w:rsidRDefault="00FA209E">
          <w:pPr>
            <w:pStyle w:val="TOC2"/>
            <w:tabs>
              <w:tab w:val="left" w:pos="660"/>
              <w:tab w:val="right" w:pos="9016"/>
            </w:tabs>
            <w:rPr>
              <w:rFonts w:asciiTheme="minorHAnsi" w:eastAsiaTheme="minorEastAsia" w:hAnsiTheme="minorHAnsi" w:cstheme="minorBidi"/>
              <w:noProof/>
              <w:kern w:val="2"/>
              <w:sz w:val="24"/>
              <w:szCs w:val="24"/>
              <w:lang w:val="en-CY"/>
              <w14:ligatures w14:val="standardContextual"/>
            </w:rPr>
          </w:pPr>
          <w:hyperlink w:anchor="_Toc174367821" w:history="1">
            <w:r w:rsidRPr="00401F6A">
              <w:rPr>
                <w:rStyle w:val="Hyperlink"/>
                <w:rFonts w:ascii="Times New Roman" w:eastAsia="Times New Roman" w:hAnsi="Times New Roman" w:cs="Times New Roman"/>
                <w:noProof/>
                <w:lang w:val="en-GB"/>
              </w:rPr>
              <w:t>g.</w:t>
            </w:r>
            <w:r>
              <w:rPr>
                <w:rFonts w:asciiTheme="minorHAnsi" w:eastAsiaTheme="minorEastAsia" w:hAnsiTheme="minorHAnsi" w:cstheme="minorBidi"/>
                <w:noProof/>
                <w:kern w:val="2"/>
                <w:sz w:val="24"/>
                <w:szCs w:val="24"/>
                <w:lang w:val="en-CY"/>
                <w14:ligatures w14:val="standardContextual"/>
              </w:rPr>
              <w:tab/>
            </w:r>
            <w:r w:rsidRPr="00401F6A">
              <w:rPr>
                <w:rStyle w:val="Hyperlink"/>
                <w:rFonts w:ascii="Times New Roman" w:eastAsia="Times New Roman" w:hAnsi="Times New Roman" w:cs="Times New Roman"/>
                <w:noProof/>
                <w:lang w:val="en-GB"/>
              </w:rPr>
              <w:t>Right to Education (Arts. 13–14):</w:t>
            </w:r>
            <w:r>
              <w:rPr>
                <w:noProof/>
                <w:webHidden/>
              </w:rPr>
              <w:tab/>
            </w:r>
            <w:r>
              <w:rPr>
                <w:noProof/>
                <w:webHidden/>
              </w:rPr>
              <w:fldChar w:fldCharType="begin"/>
            </w:r>
            <w:r>
              <w:rPr>
                <w:noProof/>
                <w:webHidden/>
              </w:rPr>
              <w:instrText xml:space="preserve"> PAGEREF _Toc174367821 \h </w:instrText>
            </w:r>
            <w:r>
              <w:rPr>
                <w:noProof/>
                <w:webHidden/>
              </w:rPr>
            </w:r>
            <w:r>
              <w:rPr>
                <w:noProof/>
                <w:webHidden/>
              </w:rPr>
              <w:fldChar w:fldCharType="separate"/>
            </w:r>
            <w:r>
              <w:rPr>
                <w:noProof/>
                <w:webHidden/>
              </w:rPr>
              <w:t>8</w:t>
            </w:r>
            <w:r>
              <w:rPr>
                <w:noProof/>
                <w:webHidden/>
              </w:rPr>
              <w:fldChar w:fldCharType="end"/>
            </w:r>
          </w:hyperlink>
        </w:p>
        <w:p w14:paraId="464608D2" w14:textId="4326E45F" w:rsidR="00FA209E" w:rsidRDefault="00FA209E">
          <w:pPr>
            <w:pStyle w:val="TOC1"/>
            <w:tabs>
              <w:tab w:val="right" w:pos="9016"/>
            </w:tabs>
            <w:rPr>
              <w:rFonts w:asciiTheme="minorHAnsi" w:eastAsiaTheme="minorEastAsia" w:hAnsiTheme="minorHAnsi" w:cstheme="minorBidi"/>
              <w:noProof/>
              <w:kern w:val="2"/>
              <w:sz w:val="24"/>
              <w:szCs w:val="24"/>
              <w:lang w:val="en-CY"/>
              <w14:ligatures w14:val="standardContextual"/>
            </w:rPr>
          </w:pPr>
          <w:hyperlink w:anchor="_Toc174367822" w:history="1">
            <w:r w:rsidRPr="00401F6A">
              <w:rPr>
                <w:rStyle w:val="Hyperlink"/>
                <w:rFonts w:ascii="Times New Roman" w:eastAsia="Times New Roman" w:hAnsi="Times New Roman" w:cs="Times New Roman"/>
                <w:b/>
                <w:bCs/>
                <w:noProof/>
                <w:lang w:val="en-GB"/>
              </w:rPr>
              <w:t>3. Conclusion</w:t>
            </w:r>
            <w:r>
              <w:rPr>
                <w:noProof/>
                <w:webHidden/>
              </w:rPr>
              <w:tab/>
            </w:r>
            <w:r>
              <w:rPr>
                <w:noProof/>
                <w:webHidden/>
              </w:rPr>
              <w:fldChar w:fldCharType="begin"/>
            </w:r>
            <w:r>
              <w:rPr>
                <w:noProof/>
                <w:webHidden/>
              </w:rPr>
              <w:instrText xml:space="preserve"> PAGEREF _Toc174367822 \h </w:instrText>
            </w:r>
            <w:r>
              <w:rPr>
                <w:noProof/>
                <w:webHidden/>
              </w:rPr>
            </w:r>
            <w:r>
              <w:rPr>
                <w:noProof/>
                <w:webHidden/>
              </w:rPr>
              <w:fldChar w:fldCharType="separate"/>
            </w:r>
            <w:r>
              <w:rPr>
                <w:noProof/>
                <w:webHidden/>
              </w:rPr>
              <w:t>8</w:t>
            </w:r>
            <w:r>
              <w:rPr>
                <w:noProof/>
                <w:webHidden/>
              </w:rPr>
              <w:fldChar w:fldCharType="end"/>
            </w:r>
          </w:hyperlink>
        </w:p>
        <w:p w14:paraId="0000001F" w14:textId="07CD28D3" w:rsidR="00A60392" w:rsidRPr="006E6CDF" w:rsidRDefault="00000000">
          <w:pPr>
            <w:widowControl w:val="0"/>
            <w:tabs>
              <w:tab w:val="right" w:pos="12000"/>
            </w:tabs>
            <w:spacing w:before="60" w:after="0" w:line="240" w:lineRule="auto"/>
            <w:rPr>
              <w:rFonts w:ascii="Times New Roman" w:eastAsia="Arial" w:hAnsi="Times New Roman" w:cs="Times New Roman"/>
              <w:b/>
              <w:color w:val="000000"/>
              <w:sz w:val="24"/>
              <w:szCs w:val="24"/>
            </w:rPr>
          </w:pPr>
          <w:r w:rsidRPr="006E6CDF">
            <w:rPr>
              <w:rFonts w:ascii="Times New Roman" w:hAnsi="Times New Roman" w:cs="Times New Roman"/>
              <w:sz w:val="24"/>
              <w:szCs w:val="24"/>
            </w:rPr>
            <w:fldChar w:fldCharType="end"/>
          </w:r>
        </w:p>
      </w:sdtContent>
    </w:sdt>
    <w:p w14:paraId="00000020" w14:textId="77777777" w:rsidR="00A60392" w:rsidRPr="006E6CDF" w:rsidRDefault="00A60392">
      <w:pPr>
        <w:pStyle w:val="Heading1"/>
        <w:spacing w:line="240" w:lineRule="auto"/>
        <w:rPr>
          <w:rFonts w:ascii="Times New Roman" w:eastAsia="Times New Roman" w:hAnsi="Times New Roman" w:cs="Times New Roman"/>
          <w:color w:val="000000"/>
          <w:sz w:val="24"/>
          <w:szCs w:val="24"/>
          <w:lang w:val="en-GB"/>
        </w:rPr>
      </w:pPr>
      <w:bookmarkStart w:id="3" w:name="_heading=h.plyqfi4ry54z" w:colFirst="0" w:colLast="0"/>
      <w:bookmarkEnd w:id="3"/>
    </w:p>
    <w:p w14:paraId="00000021" w14:textId="77777777" w:rsidR="00A60392" w:rsidRPr="006E6CDF" w:rsidRDefault="00000000">
      <w:pPr>
        <w:pStyle w:val="Heading1"/>
        <w:spacing w:line="240" w:lineRule="auto"/>
        <w:rPr>
          <w:rFonts w:ascii="Times New Roman" w:eastAsia="Times New Roman" w:hAnsi="Times New Roman" w:cs="Times New Roman"/>
          <w:sz w:val="24"/>
          <w:szCs w:val="24"/>
          <w:lang w:val="en-GB"/>
        </w:rPr>
      </w:pPr>
      <w:bookmarkStart w:id="4" w:name="_heading=h.tf2toxnbhind" w:colFirst="0" w:colLast="0"/>
      <w:bookmarkEnd w:id="4"/>
      <w:r w:rsidRPr="006E6CDF">
        <w:rPr>
          <w:rFonts w:ascii="Times New Roman" w:hAnsi="Times New Roman" w:cs="Times New Roman"/>
          <w:sz w:val="24"/>
          <w:szCs w:val="24"/>
          <w:lang w:val="en-GB"/>
        </w:rPr>
        <w:br w:type="page"/>
      </w:r>
    </w:p>
    <w:p w14:paraId="00000022" w14:textId="77777777" w:rsidR="00A60392" w:rsidRPr="006E6CDF" w:rsidRDefault="00000000">
      <w:pPr>
        <w:pStyle w:val="Heading1"/>
        <w:spacing w:line="240" w:lineRule="auto"/>
        <w:rPr>
          <w:rFonts w:ascii="Times New Roman" w:eastAsia="Times New Roman" w:hAnsi="Times New Roman" w:cs="Times New Roman"/>
          <w:b/>
          <w:bCs/>
          <w:sz w:val="24"/>
          <w:szCs w:val="24"/>
          <w:lang w:val="en-GB"/>
        </w:rPr>
      </w:pPr>
      <w:bookmarkStart w:id="5" w:name="_Toc174367813"/>
      <w:r w:rsidRPr="006E6CDF">
        <w:rPr>
          <w:rFonts w:ascii="Times New Roman" w:eastAsia="Times New Roman" w:hAnsi="Times New Roman" w:cs="Times New Roman"/>
          <w:b/>
          <w:bCs/>
          <w:color w:val="000000"/>
          <w:sz w:val="24"/>
          <w:szCs w:val="24"/>
          <w:lang w:val="en-GB"/>
        </w:rPr>
        <w:lastRenderedPageBreak/>
        <w:t>1. Introduction</w:t>
      </w:r>
      <w:bookmarkEnd w:id="5"/>
      <w:r w:rsidRPr="006E6CDF">
        <w:rPr>
          <w:rFonts w:ascii="Times New Roman" w:eastAsia="Times New Roman" w:hAnsi="Times New Roman" w:cs="Times New Roman"/>
          <w:b/>
          <w:bCs/>
          <w:color w:val="000000"/>
          <w:sz w:val="24"/>
          <w:szCs w:val="24"/>
          <w:lang w:val="en-GB"/>
        </w:rPr>
        <w:t xml:space="preserve"> </w:t>
      </w:r>
    </w:p>
    <w:p w14:paraId="00000023" w14:textId="77777777" w:rsidR="00A60392" w:rsidRPr="006E6CDF" w:rsidRDefault="00000000">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4"/>
          <w:szCs w:val="24"/>
        </w:rPr>
      </w:pPr>
      <w:r w:rsidRPr="006E6CDF">
        <w:rPr>
          <w:rFonts w:ascii="Times New Roman" w:eastAsia="Times New Roman" w:hAnsi="Times New Roman" w:cs="Times New Roman"/>
          <w:sz w:val="24"/>
          <w:szCs w:val="24"/>
        </w:rPr>
        <w:t xml:space="preserve">The Human Rights Platform (HRP), established in 2021 in Nicosia, Cyprus, comprises leading rights-based civil society organisations (CSOs), including the Queer Cyprus Association, Refugee Rights Association, Civil Society Initiative, Turkish Cypriot Human Rights Foundation, and Universal Patient Rights Association, Third Community Forum and the Think Positive Initiative. The Platform aims to foster a more just, equitable, democratic, and inclusive society in Cyprus, where human rights are respected and cherished. HRP </w:t>
      </w:r>
      <w:r w:rsidRPr="006E6CDF">
        <w:rPr>
          <w:rFonts w:ascii="Times New Roman" w:eastAsia="Times New Roman" w:hAnsi="Times New Roman" w:cs="Times New Roman"/>
          <w:color w:val="000000"/>
          <w:sz w:val="24"/>
          <w:szCs w:val="24"/>
        </w:rPr>
        <w:t>carries out a joint struggle under the titles of "Monitoring, Reporting and Advocacy", "Empowering Subjects", "Information, Awareness and Capacity Building" and "Developing Collaborations and Partnerships".</w:t>
      </w:r>
    </w:p>
    <w:p w14:paraId="00000024" w14:textId="77777777" w:rsidR="00A60392" w:rsidRPr="006E6CDF"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6E6CDF">
        <w:rPr>
          <w:rFonts w:ascii="Times New Roman" w:eastAsia="Times New Roman" w:hAnsi="Times New Roman" w:cs="Times New Roman"/>
          <w:color w:val="000000"/>
          <w:sz w:val="24"/>
          <w:szCs w:val="24"/>
        </w:rPr>
        <w:t xml:space="preserve">The missions of the platform can be explained in detail as follows: </w:t>
      </w:r>
    </w:p>
    <w:p w14:paraId="00000025" w14:textId="77777777" w:rsidR="00A60392" w:rsidRPr="006E6CDF" w:rsidRDefault="00000000">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6E6CDF">
        <w:rPr>
          <w:rFonts w:ascii="Times New Roman" w:eastAsia="Times New Roman" w:hAnsi="Times New Roman" w:cs="Times New Roman"/>
          <w:b/>
          <w:color w:val="000000"/>
          <w:sz w:val="24"/>
          <w:szCs w:val="24"/>
        </w:rPr>
        <w:t>Monitoring, Reporting, and Advocacy:</w:t>
      </w:r>
      <w:r w:rsidRPr="006E6CDF">
        <w:rPr>
          <w:rFonts w:ascii="Times New Roman" w:eastAsia="Times New Roman" w:hAnsi="Times New Roman" w:cs="Times New Roman"/>
          <w:color w:val="000000"/>
          <w:sz w:val="24"/>
          <w:szCs w:val="24"/>
        </w:rPr>
        <w:t xml:space="preserve"> It monitors, reports, and makes visible the implementation of human rights and freedoms, violations of rights, and advocates at local, regional, and international levels for the fulfilment of obligations.</w:t>
      </w:r>
    </w:p>
    <w:p w14:paraId="00000026" w14:textId="77777777" w:rsidR="00A60392" w:rsidRPr="006E6CDF" w:rsidRDefault="00000000">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6E6CDF">
        <w:rPr>
          <w:rFonts w:ascii="Times New Roman" w:eastAsia="Times New Roman" w:hAnsi="Times New Roman" w:cs="Times New Roman"/>
          <w:b/>
          <w:color w:val="000000"/>
          <w:sz w:val="24"/>
          <w:szCs w:val="24"/>
        </w:rPr>
        <w:t>Empowering Subjects:</w:t>
      </w:r>
      <w:r w:rsidRPr="006E6CDF">
        <w:rPr>
          <w:rFonts w:ascii="Times New Roman" w:eastAsia="Times New Roman" w:hAnsi="Times New Roman" w:cs="Times New Roman"/>
          <w:color w:val="000000"/>
          <w:sz w:val="24"/>
          <w:szCs w:val="24"/>
        </w:rPr>
        <w:t xml:space="preserve"> Supports individuals and groups whose rights and freedoms are violated, who are or have the potential to be discriminated against; encourages and supports their self-advocacy.</w:t>
      </w:r>
    </w:p>
    <w:p w14:paraId="00000027" w14:textId="77777777" w:rsidR="00A60392" w:rsidRPr="006E6CDF" w:rsidRDefault="00000000">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6E6CDF">
        <w:rPr>
          <w:rFonts w:ascii="Times New Roman" w:eastAsia="Times New Roman" w:hAnsi="Times New Roman" w:cs="Times New Roman"/>
          <w:b/>
          <w:color w:val="000000"/>
          <w:sz w:val="24"/>
          <w:szCs w:val="24"/>
        </w:rPr>
        <w:t>Increasing Knowledge, Awareness, and Capacity</w:t>
      </w:r>
      <w:r w:rsidRPr="006E6CDF">
        <w:rPr>
          <w:rFonts w:ascii="Times New Roman" w:eastAsia="Times New Roman" w:hAnsi="Times New Roman" w:cs="Times New Roman"/>
          <w:color w:val="000000"/>
          <w:sz w:val="24"/>
          <w:szCs w:val="24"/>
        </w:rPr>
        <w:t xml:space="preserve">: Follows human rights standards, developments, and discussions in the field, makes them visible, </w:t>
      </w:r>
      <w:r w:rsidRPr="006E6CDF">
        <w:rPr>
          <w:rFonts w:ascii="Times New Roman" w:eastAsia="Times New Roman" w:hAnsi="Times New Roman" w:cs="Times New Roman"/>
          <w:sz w:val="24"/>
          <w:szCs w:val="24"/>
        </w:rPr>
        <w:t xml:space="preserve">and </w:t>
      </w:r>
      <w:r w:rsidRPr="006E6CDF">
        <w:rPr>
          <w:rFonts w:ascii="Times New Roman" w:eastAsia="Times New Roman" w:hAnsi="Times New Roman" w:cs="Times New Roman"/>
          <w:color w:val="000000"/>
          <w:sz w:val="24"/>
          <w:szCs w:val="24"/>
        </w:rPr>
        <w:t xml:space="preserve">increases knowledge and awareness; It strengthens the capacities of key actors such as </w:t>
      </w:r>
      <w:r w:rsidRPr="006E6CDF">
        <w:rPr>
          <w:rFonts w:ascii="Times New Roman" w:eastAsia="Times New Roman" w:hAnsi="Times New Roman" w:cs="Times New Roman"/>
          <w:sz w:val="24"/>
          <w:szCs w:val="24"/>
        </w:rPr>
        <w:t>decision-makers</w:t>
      </w:r>
      <w:r w:rsidRPr="006E6CDF">
        <w:rPr>
          <w:rFonts w:ascii="Times New Roman" w:eastAsia="Times New Roman" w:hAnsi="Times New Roman" w:cs="Times New Roman"/>
          <w:color w:val="000000"/>
          <w:sz w:val="24"/>
          <w:szCs w:val="24"/>
        </w:rPr>
        <w:t>, public institutions, civil society, media, and academia on human rights, democracy, and rights-based issues.</w:t>
      </w:r>
    </w:p>
    <w:p w14:paraId="00000028" w14:textId="77777777" w:rsidR="00A60392" w:rsidRPr="006E6CDF" w:rsidRDefault="00000000">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6E6CDF">
        <w:rPr>
          <w:rFonts w:ascii="Times New Roman" w:eastAsia="Times New Roman" w:hAnsi="Times New Roman" w:cs="Times New Roman"/>
          <w:b/>
          <w:color w:val="000000"/>
          <w:sz w:val="24"/>
          <w:szCs w:val="24"/>
        </w:rPr>
        <w:t>Developing Collaborations and Partnerships:</w:t>
      </w:r>
      <w:r w:rsidRPr="006E6CDF">
        <w:rPr>
          <w:rFonts w:ascii="Times New Roman" w:eastAsia="Times New Roman" w:hAnsi="Times New Roman" w:cs="Times New Roman"/>
          <w:color w:val="000000"/>
          <w:sz w:val="24"/>
          <w:szCs w:val="24"/>
        </w:rPr>
        <w:t xml:space="preserve"> Establishes, facilitates, and supports a common agenda, learning from each other and solidarity with rights-based organizations working in different areas of human rights and freedoms; establishes and encourages collaborations and partnerships at international, regional, and local levels.</w:t>
      </w:r>
    </w:p>
    <w:p w14:paraId="00000029" w14:textId="77777777" w:rsidR="00A60392" w:rsidRPr="006E6CDF" w:rsidRDefault="00000000">
      <w:pPr>
        <w:pBdr>
          <w:top w:val="nil"/>
          <w:left w:val="nil"/>
          <w:bottom w:val="nil"/>
          <w:right w:val="nil"/>
          <w:between w:val="nil"/>
        </w:pBdr>
        <w:spacing w:after="0" w:line="240" w:lineRule="auto"/>
        <w:ind w:firstLine="360"/>
        <w:jc w:val="both"/>
        <w:rPr>
          <w:rFonts w:ascii="Times New Roman" w:eastAsia="Times New Roman" w:hAnsi="Times New Roman" w:cs="Times New Roman"/>
          <w:sz w:val="24"/>
          <w:szCs w:val="24"/>
        </w:rPr>
      </w:pPr>
      <w:r w:rsidRPr="006E6CDF">
        <w:rPr>
          <w:rFonts w:ascii="Times New Roman" w:eastAsia="Times New Roman" w:hAnsi="Times New Roman" w:cs="Times New Roman"/>
          <w:color w:val="000000"/>
          <w:sz w:val="24"/>
          <w:szCs w:val="24"/>
        </w:rPr>
        <w:t xml:space="preserve">Mission definitions detailed by the joint work of the organizations in the platform are supported by the values ​​and principles agreed upon by the members of the platform, and all work is carried out by considering these principles. Our Principles are “Peaceful”, “Anti-militarist”, “Anti-capitalist”, “Anti-hierarchical”, “Feminist”, “Transparent and Accountable”, “Intersectional”, “Democracy and Polyphony”, “Multidisciplinary”, “Do No Harm”, “Autonomy – Independence”, “Anti-Discrimination”, “Anti-Racism and Xenophobia”, “Ethics”, “Ecologist”, “Non-Cis-heterosexist”, “Inclusive”, “Commitment to Universal Human Rights Principles”, “Accessible”, “Rights-Based Approach”.  </w:t>
      </w:r>
    </w:p>
    <w:p w14:paraId="0000002A" w14:textId="77777777" w:rsidR="00A60392" w:rsidRPr="006E6CDF" w:rsidRDefault="00000000">
      <w:pPr>
        <w:pBdr>
          <w:top w:val="nil"/>
          <w:left w:val="nil"/>
          <w:bottom w:val="nil"/>
          <w:right w:val="nil"/>
          <w:between w:val="nil"/>
        </w:pBdr>
        <w:spacing w:before="200" w:after="0" w:line="240" w:lineRule="auto"/>
        <w:ind w:firstLine="360"/>
        <w:jc w:val="both"/>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This report is prepared by the LGBTI+ Rights Programme Coordinator Erman Dolmacı and the Lawyer of HRP Yağmur İzcan for the CESCR review of the Republic of Cyprus (RoC) and highlights concerns and recommendations regarding economic, social, and cultural rights with a particular focus on gender, sexuality and citizenship rights of the Turkish Cypriot community (TCc) who are equal citizens of RoC.</w:t>
      </w:r>
      <w:r w:rsidRPr="006E6CDF">
        <w:rPr>
          <w:rFonts w:ascii="Times New Roman" w:eastAsia="Times New Roman" w:hAnsi="Times New Roman" w:cs="Times New Roman"/>
          <w:color w:val="000000"/>
          <w:sz w:val="24"/>
          <w:szCs w:val="24"/>
        </w:rPr>
        <w:t xml:space="preserve"> </w:t>
      </w:r>
      <w:r w:rsidRPr="006E6CDF">
        <w:rPr>
          <w:rFonts w:ascii="Times New Roman" w:eastAsia="Times New Roman" w:hAnsi="Times New Roman" w:cs="Times New Roman"/>
          <w:sz w:val="24"/>
          <w:szCs w:val="24"/>
        </w:rPr>
        <w:t>HRP acknowledges the fact that RoC has no effective control in northern part of Cyprus therefore all the analysis and recommendations concerning this report cover the controlled areas of the RoC.</w:t>
      </w:r>
      <w:r w:rsidRPr="006E6CDF">
        <w:rPr>
          <w:rFonts w:ascii="Times New Roman" w:eastAsia="Times New Roman" w:hAnsi="Times New Roman" w:cs="Times New Roman"/>
          <w:color w:val="000000"/>
          <w:sz w:val="24"/>
          <w:szCs w:val="24"/>
        </w:rPr>
        <w:t xml:space="preserve"> </w:t>
      </w:r>
    </w:p>
    <w:p w14:paraId="0000002B" w14:textId="77777777" w:rsidR="00A60392" w:rsidRPr="006E6CDF" w:rsidRDefault="00000000" w:rsidP="006E6CDF">
      <w:pPr>
        <w:pStyle w:val="Heading1"/>
        <w:spacing w:line="240" w:lineRule="auto"/>
        <w:rPr>
          <w:rFonts w:ascii="Times New Roman" w:eastAsia="Times New Roman" w:hAnsi="Times New Roman" w:cs="Times New Roman"/>
          <w:b/>
          <w:bCs/>
          <w:color w:val="000000"/>
          <w:sz w:val="24"/>
          <w:szCs w:val="24"/>
          <w:lang w:val="en-GB"/>
        </w:rPr>
      </w:pPr>
      <w:bookmarkStart w:id="6" w:name="_Toc174367814"/>
      <w:r w:rsidRPr="006E6CDF">
        <w:rPr>
          <w:rFonts w:ascii="Times New Roman" w:eastAsia="Times New Roman" w:hAnsi="Times New Roman" w:cs="Times New Roman"/>
          <w:b/>
          <w:bCs/>
          <w:color w:val="000000"/>
          <w:sz w:val="24"/>
          <w:szCs w:val="24"/>
          <w:lang w:val="en-GB"/>
        </w:rPr>
        <w:lastRenderedPageBreak/>
        <w:t>2. Issues Relating to the General Provisions of the Covenant</w:t>
      </w:r>
      <w:bookmarkEnd w:id="6"/>
    </w:p>
    <w:p w14:paraId="0000002C" w14:textId="77777777" w:rsidR="00A60392" w:rsidRPr="006E6CDF" w:rsidRDefault="00000000">
      <w:pPr>
        <w:pStyle w:val="Heading2"/>
        <w:numPr>
          <w:ilvl w:val="0"/>
          <w:numId w:val="6"/>
        </w:numPr>
        <w:spacing w:line="240" w:lineRule="auto"/>
        <w:rPr>
          <w:rFonts w:ascii="Times New Roman" w:eastAsia="Times New Roman" w:hAnsi="Times New Roman" w:cs="Times New Roman"/>
          <w:sz w:val="24"/>
          <w:szCs w:val="24"/>
          <w:lang w:val="en-GB"/>
        </w:rPr>
      </w:pPr>
      <w:bookmarkStart w:id="7" w:name="_Toc174367815"/>
      <w:r w:rsidRPr="006E6CDF">
        <w:rPr>
          <w:rFonts w:ascii="Times New Roman" w:eastAsia="Times New Roman" w:hAnsi="Times New Roman" w:cs="Times New Roman"/>
          <w:sz w:val="24"/>
          <w:szCs w:val="24"/>
          <w:lang w:val="en-GB"/>
        </w:rPr>
        <w:t>Maximum Available Resources (Art. 2 (1)):</w:t>
      </w:r>
      <w:bookmarkEnd w:id="7"/>
    </w:p>
    <w:p w14:paraId="0000002D" w14:textId="77777777" w:rsidR="00A60392" w:rsidRPr="006E6CDF" w:rsidRDefault="00000000">
      <w:pPr>
        <w:spacing w:line="240" w:lineRule="auto"/>
        <w:ind w:firstLine="720"/>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Due to language barriers and a lack of inclusion by the RoC for Turkish-speaking citizens, significant challenges are being experienced in accessing resources and justice. For example, announcements of the available services and resources of RoC are in the Greek language which is not understandable by most of the TCc members. This situation has led to less access to services and rights as well as impunity in cases of violence and discrimination against Turkish Cypriots.</w:t>
      </w:r>
      <w:r w:rsidRPr="006E6CDF">
        <w:rPr>
          <w:rFonts w:ascii="Times New Roman" w:eastAsia="Times New Roman" w:hAnsi="Times New Roman" w:cs="Times New Roman"/>
          <w:sz w:val="24"/>
          <w:szCs w:val="24"/>
          <w:vertAlign w:val="superscript"/>
        </w:rPr>
        <w:footnoteReference w:id="1"/>
      </w:r>
      <w:r w:rsidRPr="006E6CDF">
        <w:rPr>
          <w:rFonts w:ascii="Times New Roman" w:eastAsia="Times New Roman" w:hAnsi="Times New Roman" w:cs="Times New Roman"/>
          <w:sz w:val="24"/>
          <w:szCs w:val="24"/>
        </w:rPr>
        <w:t xml:space="preserve"> </w:t>
      </w:r>
    </w:p>
    <w:p w14:paraId="0000002E" w14:textId="77777777" w:rsidR="00A60392" w:rsidRPr="006E6CDF" w:rsidRDefault="00000000">
      <w:pPr>
        <w:spacing w:after="0" w:line="240" w:lineRule="auto"/>
        <w:ind w:firstLine="720"/>
        <w:rPr>
          <w:rFonts w:ascii="Times New Roman" w:eastAsia="Times New Roman" w:hAnsi="Times New Roman" w:cs="Times New Roman"/>
          <w:sz w:val="24"/>
          <w:szCs w:val="24"/>
        </w:rPr>
      </w:pPr>
      <w:r w:rsidRPr="006E6CDF">
        <w:rPr>
          <w:rFonts w:ascii="Times New Roman" w:eastAsia="Times New Roman" w:hAnsi="Times New Roman" w:cs="Times New Roman"/>
          <w:i/>
          <w:sz w:val="24"/>
          <w:szCs w:val="24"/>
        </w:rPr>
        <w:t>Recommendations:</w:t>
      </w:r>
    </w:p>
    <w:p w14:paraId="0000002F" w14:textId="77777777" w:rsidR="00A60392" w:rsidRPr="006E6CDF" w:rsidRDefault="00000000">
      <w:pPr>
        <w:numPr>
          <w:ilvl w:val="0"/>
          <w:numId w:val="5"/>
        </w:numPr>
        <w:spacing w:after="0" w:line="240" w:lineRule="auto"/>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Translate RoC laws and regulations into Turkish which is one of the official languages of the RoC and launch campaigns to inform TCc, especially women, minorities, the LGBTI+ community and all other marginalised groups of their rights.</w:t>
      </w:r>
    </w:p>
    <w:p w14:paraId="00000030" w14:textId="77777777" w:rsidR="00A60392" w:rsidRPr="006E6CDF" w:rsidRDefault="00000000">
      <w:pPr>
        <w:numPr>
          <w:ilvl w:val="0"/>
          <w:numId w:val="5"/>
        </w:numPr>
        <w:spacing w:line="240" w:lineRule="auto"/>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Ensure access to free legal aid and other legal complaint mechanisms for TCc based on their citizenship rights, regardless of their residence in RoC.</w:t>
      </w:r>
    </w:p>
    <w:p w14:paraId="00000031" w14:textId="77777777" w:rsidR="00A60392" w:rsidRPr="006E6CDF" w:rsidRDefault="00000000">
      <w:pPr>
        <w:pStyle w:val="Heading2"/>
        <w:numPr>
          <w:ilvl w:val="0"/>
          <w:numId w:val="6"/>
        </w:numPr>
        <w:spacing w:before="200" w:line="240" w:lineRule="auto"/>
        <w:rPr>
          <w:rFonts w:ascii="Times New Roman" w:eastAsia="Times New Roman" w:hAnsi="Times New Roman" w:cs="Times New Roman"/>
          <w:sz w:val="24"/>
          <w:szCs w:val="24"/>
          <w:lang w:val="en-GB"/>
        </w:rPr>
      </w:pPr>
      <w:bookmarkStart w:id="8" w:name="_Toc174367816"/>
      <w:r w:rsidRPr="006E6CDF">
        <w:rPr>
          <w:rFonts w:ascii="Times New Roman" w:eastAsia="Times New Roman" w:hAnsi="Times New Roman" w:cs="Times New Roman"/>
          <w:sz w:val="24"/>
          <w:szCs w:val="24"/>
          <w:lang w:val="en-GB"/>
        </w:rPr>
        <w:t>Non-Discrimination (Art. 2 (2)):</w:t>
      </w:r>
      <w:bookmarkEnd w:id="8"/>
    </w:p>
    <w:p w14:paraId="00000032" w14:textId="77777777" w:rsidR="00A60392" w:rsidRPr="006E6CDF" w:rsidRDefault="00000000">
      <w:pPr>
        <w:spacing w:after="240" w:line="240" w:lineRule="auto"/>
        <w:ind w:firstLine="720"/>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 xml:space="preserve">Under this article, States that are party to the treaty must repeal or amend laws that discriminate based on sexual orientation or gender identity, and they also must take measures against de facto discrimination of LGBT+ people. According to </w:t>
      </w:r>
      <w:r w:rsidRPr="006E6CDF">
        <w:rPr>
          <w:rFonts w:ascii="Times New Roman" w:eastAsia="Times New Roman" w:hAnsi="Times New Roman" w:cs="Times New Roman"/>
          <w:b/>
          <w:sz w:val="24"/>
          <w:szCs w:val="24"/>
        </w:rPr>
        <w:t>General Comment 20</w:t>
      </w:r>
      <w:r w:rsidRPr="006E6CDF">
        <w:rPr>
          <w:rFonts w:ascii="Times New Roman" w:eastAsia="Times New Roman" w:hAnsi="Times New Roman" w:cs="Times New Roman"/>
          <w:sz w:val="24"/>
          <w:szCs w:val="24"/>
        </w:rPr>
        <w:t xml:space="preserve"> dealing with the right to non-discrimination made clear that both sexual orientation and gender identity are covered by it.</w:t>
      </w:r>
      <w:r w:rsidRPr="006E6CDF">
        <w:rPr>
          <w:rFonts w:ascii="Times New Roman" w:eastAsia="Times New Roman" w:hAnsi="Times New Roman" w:cs="Times New Roman"/>
          <w:sz w:val="24"/>
          <w:szCs w:val="24"/>
          <w:vertAlign w:val="superscript"/>
        </w:rPr>
        <w:footnoteReference w:id="2"/>
      </w:r>
      <w:r w:rsidRPr="006E6CDF">
        <w:rPr>
          <w:rFonts w:ascii="Times New Roman" w:eastAsia="Times New Roman" w:hAnsi="Times New Roman" w:cs="Times New Roman"/>
          <w:sz w:val="24"/>
          <w:szCs w:val="24"/>
        </w:rPr>
        <w:t xml:space="preserve"> CESCR has also on numerous occasions recommended awareness-raising campaigns to address the stigmatisation and discrimination of LGBT+ persons.</w:t>
      </w:r>
      <w:r w:rsidRPr="006E6CDF">
        <w:rPr>
          <w:rFonts w:ascii="Times New Roman" w:eastAsia="Times New Roman" w:hAnsi="Times New Roman" w:cs="Times New Roman"/>
          <w:sz w:val="24"/>
          <w:szCs w:val="24"/>
          <w:vertAlign w:val="superscript"/>
        </w:rPr>
        <w:footnoteReference w:id="3"/>
      </w:r>
      <w:r w:rsidRPr="006E6CDF">
        <w:rPr>
          <w:rFonts w:ascii="Times New Roman" w:eastAsia="Times New Roman" w:hAnsi="Times New Roman" w:cs="Times New Roman"/>
          <w:sz w:val="24"/>
          <w:szCs w:val="24"/>
        </w:rPr>
        <w:t xml:space="preserve"> On the other hand, the RoC's legal and policy framework does not adequately protect against intersecting forms of discrimination based on gender, sexual orientation, ethnicity, and other factors. According to the annual report published by ILGA Europe, in 2023 Cyprus is ranked 29th among 49 European countries regarding legislation and policies related to LGBTI+’s human rights, with an overall score of 31%.</w:t>
      </w:r>
      <w:r w:rsidRPr="006E6CDF">
        <w:rPr>
          <w:rFonts w:ascii="Times New Roman" w:eastAsia="Times New Roman" w:hAnsi="Times New Roman" w:cs="Times New Roman"/>
          <w:sz w:val="24"/>
          <w:szCs w:val="24"/>
          <w:vertAlign w:val="superscript"/>
        </w:rPr>
        <w:footnoteReference w:id="4"/>
      </w:r>
      <w:r w:rsidRPr="006E6CDF">
        <w:rPr>
          <w:rFonts w:ascii="Times New Roman" w:eastAsia="Times New Roman" w:hAnsi="Times New Roman" w:cs="Times New Roman"/>
          <w:sz w:val="24"/>
          <w:szCs w:val="24"/>
        </w:rPr>
        <w:t xml:space="preserve"> </w:t>
      </w:r>
    </w:p>
    <w:p w14:paraId="00000033" w14:textId="77777777" w:rsidR="00A60392" w:rsidRPr="006E6CDF" w:rsidRDefault="00000000">
      <w:pPr>
        <w:spacing w:after="240" w:line="240" w:lineRule="auto"/>
        <w:ind w:firstLine="720"/>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 xml:space="preserve">In September 2022, the Minister of Justice announced that the legal gender recognition bill was approved by the Council of Ministers and submitted to the House of Representatives for discussion and voting. The Parliamentary Committee held the first reading of the bill in November 2022 and was presented by the Minister of Justice. The bill is remaining in the parliament to pass. </w:t>
      </w:r>
    </w:p>
    <w:p w14:paraId="00000034" w14:textId="77777777" w:rsidR="00A60392" w:rsidRPr="006E6CDF" w:rsidRDefault="00000000">
      <w:pPr>
        <w:spacing w:before="240" w:after="240" w:line="240" w:lineRule="auto"/>
        <w:ind w:firstLine="720"/>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 xml:space="preserve">The RoC exhibits discriminatory practices in granting citizenship to children born to Turkish Cypriot and Turkish parents. The exceptional rule requiring a Council of Ministers' decision for citizenship has disproportionately affected children of mixed marriages, often </w:t>
      </w:r>
      <w:r w:rsidRPr="006E6CDF">
        <w:rPr>
          <w:rFonts w:ascii="Times New Roman" w:eastAsia="Times New Roman" w:hAnsi="Times New Roman" w:cs="Times New Roman"/>
          <w:sz w:val="24"/>
          <w:szCs w:val="24"/>
        </w:rPr>
        <w:lastRenderedPageBreak/>
        <w:t>resulting in denial of their rights and freedom of movement.</w:t>
      </w:r>
      <w:r w:rsidRPr="006E6CDF">
        <w:rPr>
          <w:rFonts w:ascii="Times New Roman" w:eastAsia="Times New Roman" w:hAnsi="Times New Roman" w:cs="Times New Roman"/>
          <w:sz w:val="24"/>
          <w:szCs w:val="24"/>
          <w:vertAlign w:val="superscript"/>
        </w:rPr>
        <w:footnoteReference w:id="5"/>
      </w:r>
      <w:r w:rsidRPr="006E6CDF">
        <w:rPr>
          <w:rFonts w:ascii="Times New Roman" w:eastAsia="Times New Roman" w:hAnsi="Times New Roman" w:cs="Times New Roman"/>
          <w:sz w:val="24"/>
          <w:szCs w:val="24"/>
        </w:rPr>
        <w:t xml:space="preserve"> Also as mentioned previously the translation of the documents, and services not being provided in Turkish which is one of the official languages of RoC leads to discrimination against the TCc.</w:t>
      </w:r>
      <w:r w:rsidRPr="006E6CDF">
        <w:rPr>
          <w:rFonts w:ascii="Times New Roman" w:eastAsia="Times New Roman" w:hAnsi="Times New Roman" w:cs="Times New Roman"/>
          <w:sz w:val="24"/>
          <w:szCs w:val="24"/>
          <w:vertAlign w:val="superscript"/>
        </w:rPr>
        <w:footnoteReference w:id="6"/>
      </w:r>
    </w:p>
    <w:p w14:paraId="00000035" w14:textId="77777777" w:rsidR="00A60392" w:rsidRPr="006E6CDF" w:rsidRDefault="00000000">
      <w:pPr>
        <w:shd w:val="clear" w:color="auto" w:fill="FFFFFF"/>
        <w:spacing w:after="0"/>
        <w:ind w:firstLine="720"/>
        <w:jc w:val="both"/>
        <w:rPr>
          <w:rFonts w:ascii="Times New Roman" w:eastAsia="Arial" w:hAnsi="Times New Roman" w:cs="Times New Roman"/>
          <w:sz w:val="24"/>
          <w:szCs w:val="24"/>
        </w:rPr>
      </w:pPr>
      <w:r w:rsidRPr="006E6CDF">
        <w:rPr>
          <w:rFonts w:ascii="Times New Roman" w:eastAsia="Arial" w:hAnsi="Times New Roman" w:cs="Times New Roman"/>
          <w:sz w:val="24"/>
          <w:szCs w:val="24"/>
        </w:rPr>
        <w:t>While the Cyprus Constitution guarantees freedom of association for all and the national law amendment in 2020, challenges reported by CSOs include: the complex legal framework, difficulties at accessing funds, inconsistencies in the interpretation of laws by district offices, access to information, and banks categorising all CSOs as "high risk".</w:t>
      </w:r>
    </w:p>
    <w:p w14:paraId="00000036" w14:textId="77777777" w:rsidR="00A60392" w:rsidRPr="006E6CDF" w:rsidRDefault="00000000">
      <w:pPr>
        <w:shd w:val="clear" w:color="auto" w:fill="FFFFFF"/>
        <w:spacing w:after="0"/>
        <w:jc w:val="both"/>
        <w:rPr>
          <w:rFonts w:ascii="Times New Roman" w:eastAsia="Times New Roman" w:hAnsi="Times New Roman" w:cs="Times New Roman"/>
          <w:sz w:val="24"/>
          <w:szCs w:val="24"/>
        </w:rPr>
      </w:pPr>
      <w:r w:rsidRPr="006E6CDF">
        <w:rPr>
          <w:rFonts w:ascii="Times New Roman" w:eastAsia="Arial" w:hAnsi="Times New Roman" w:cs="Times New Roman"/>
          <w:sz w:val="24"/>
          <w:szCs w:val="24"/>
        </w:rPr>
        <w:t>Turkish Cypriots face additional hurdles in forming CSOs or taking management positions due to residency requirements in the Republic of Cyprus and difficulties in opening bank accounts. Accessibility issues, such as the Ministry of Interior's website being unavailable in Turkish or English, further compound challenges. Turkish Cypriots encounter obstacles in opening bank accounts in the Republic of Cyprus, with banks often requiring residency or proof of employment, criteria that most Turkish Cypriots cannot meet. Despite the Central Bank of Cyprus disseminating a circular letter to banks, Turkish Cypriots seeking to open bank accounts have been rejected without proper justification.</w:t>
      </w:r>
    </w:p>
    <w:p w14:paraId="00000037" w14:textId="77777777" w:rsidR="00A60392" w:rsidRPr="006E6CDF" w:rsidRDefault="00000000">
      <w:pPr>
        <w:spacing w:after="0" w:line="240" w:lineRule="auto"/>
        <w:ind w:firstLine="720"/>
        <w:rPr>
          <w:rFonts w:ascii="Times New Roman" w:eastAsia="Times New Roman" w:hAnsi="Times New Roman" w:cs="Times New Roman"/>
          <w:sz w:val="24"/>
          <w:szCs w:val="24"/>
        </w:rPr>
      </w:pPr>
      <w:r w:rsidRPr="006E6CDF">
        <w:rPr>
          <w:rFonts w:ascii="Times New Roman" w:eastAsia="Times New Roman" w:hAnsi="Times New Roman" w:cs="Times New Roman"/>
          <w:i/>
          <w:sz w:val="24"/>
          <w:szCs w:val="24"/>
        </w:rPr>
        <w:t>Recommendations:</w:t>
      </w:r>
    </w:p>
    <w:p w14:paraId="00000038" w14:textId="77777777" w:rsidR="00A60392" w:rsidRPr="006E6CDF" w:rsidRDefault="00000000">
      <w:pPr>
        <w:numPr>
          <w:ilvl w:val="0"/>
          <w:numId w:val="1"/>
        </w:numPr>
        <w:spacing w:after="0" w:line="240" w:lineRule="auto"/>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Adopt the legal gender recognition law based on self-determination.</w:t>
      </w:r>
    </w:p>
    <w:p w14:paraId="00000039" w14:textId="77777777" w:rsidR="00A60392" w:rsidRPr="006E6CDF" w:rsidRDefault="00000000">
      <w:pPr>
        <w:numPr>
          <w:ilvl w:val="0"/>
          <w:numId w:val="1"/>
        </w:numPr>
        <w:spacing w:after="0" w:line="240" w:lineRule="auto"/>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Translate and disseminate the civil partnership law in Turkish and ensure its public availability.</w:t>
      </w:r>
    </w:p>
    <w:p w14:paraId="0000003A" w14:textId="77777777" w:rsidR="00A60392" w:rsidRPr="006E6CDF" w:rsidRDefault="00000000">
      <w:pPr>
        <w:numPr>
          <w:ilvl w:val="0"/>
          <w:numId w:val="1"/>
        </w:numPr>
        <w:spacing w:after="0" w:line="240" w:lineRule="auto"/>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Protect the rights of women and girls to freely choose their partners and safeguard against coercion and violence, including for same-sex partners.</w:t>
      </w:r>
    </w:p>
    <w:p w14:paraId="0000003B" w14:textId="77777777" w:rsidR="00A60392" w:rsidRPr="006E6CDF" w:rsidRDefault="00000000">
      <w:pPr>
        <w:numPr>
          <w:ilvl w:val="0"/>
          <w:numId w:val="1"/>
        </w:numPr>
        <w:spacing w:after="0" w:line="240" w:lineRule="auto"/>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Amend the exceptional rule to ensure equal citizenship rights for all children born to a Cypriot parent, regardless of mixed marriage status.</w:t>
      </w:r>
    </w:p>
    <w:p w14:paraId="0000003C" w14:textId="77777777" w:rsidR="00A60392" w:rsidRPr="006E6CDF" w:rsidRDefault="00000000">
      <w:pPr>
        <w:numPr>
          <w:ilvl w:val="0"/>
          <w:numId w:val="1"/>
        </w:numPr>
        <w:spacing w:after="0" w:line="240" w:lineRule="auto"/>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Address discriminatory practices at checkpoints and ensure respect for the rights of mixed-marriage children.</w:t>
      </w:r>
    </w:p>
    <w:p w14:paraId="0000003D" w14:textId="77777777" w:rsidR="00A60392" w:rsidRPr="006E6CDF" w:rsidRDefault="00000000">
      <w:pPr>
        <w:numPr>
          <w:ilvl w:val="0"/>
          <w:numId w:val="1"/>
        </w:numPr>
        <w:spacing w:after="0" w:line="240" w:lineRule="auto"/>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Strengthen legislative and policy measures to enforce equality and non-discrimination, with a focus on intersecting forms of discrimination.</w:t>
      </w:r>
    </w:p>
    <w:p w14:paraId="0000003E" w14:textId="77777777" w:rsidR="00A60392" w:rsidRPr="006E6CDF" w:rsidRDefault="00000000">
      <w:pPr>
        <w:numPr>
          <w:ilvl w:val="0"/>
          <w:numId w:val="1"/>
        </w:numPr>
        <w:spacing w:after="0" w:line="240" w:lineRule="auto"/>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Ensure that the legal framework addresses the needs and rights of women from all ethnic backgrounds, including TCc, and protects women and LGBTI+ persons from discrimination and violence.</w:t>
      </w:r>
    </w:p>
    <w:p w14:paraId="0000003F" w14:textId="77777777" w:rsidR="00A60392" w:rsidRPr="006E6CDF" w:rsidRDefault="00000000">
      <w:pPr>
        <w:numPr>
          <w:ilvl w:val="0"/>
          <w:numId w:val="1"/>
        </w:numPr>
        <w:shd w:val="clear" w:color="auto" w:fill="FFFFFF"/>
        <w:spacing w:after="0"/>
        <w:jc w:val="both"/>
        <w:rPr>
          <w:rFonts w:ascii="Times New Roman" w:eastAsia="Arial" w:hAnsi="Times New Roman" w:cs="Times New Roman"/>
          <w:sz w:val="24"/>
          <w:szCs w:val="24"/>
        </w:rPr>
      </w:pPr>
      <w:r w:rsidRPr="006E6CDF">
        <w:rPr>
          <w:rFonts w:ascii="Times New Roman" w:eastAsia="Arial" w:hAnsi="Times New Roman" w:cs="Times New Roman"/>
          <w:sz w:val="24"/>
          <w:szCs w:val="24"/>
        </w:rPr>
        <w:t xml:space="preserve">Simplification and streamlining of the legal framework in a manner that extends freedom of association. The legal framework and practice should be amended to facilitate Turkish Cypriots' access to this right. </w:t>
      </w:r>
    </w:p>
    <w:p w14:paraId="00000040" w14:textId="77777777" w:rsidR="00A60392" w:rsidRPr="006E6CDF" w:rsidRDefault="00000000">
      <w:pPr>
        <w:numPr>
          <w:ilvl w:val="0"/>
          <w:numId w:val="1"/>
        </w:numPr>
        <w:shd w:val="clear" w:color="auto" w:fill="FFFFFF"/>
        <w:spacing w:after="0"/>
        <w:jc w:val="both"/>
        <w:rPr>
          <w:rFonts w:ascii="Times New Roman" w:eastAsia="Arial" w:hAnsi="Times New Roman" w:cs="Times New Roman"/>
          <w:sz w:val="24"/>
          <w:szCs w:val="24"/>
        </w:rPr>
      </w:pPr>
      <w:r w:rsidRPr="006E6CDF">
        <w:rPr>
          <w:rFonts w:ascii="Times New Roman" w:eastAsia="Arial" w:hAnsi="Times New Roman" w:cs="Times New Roman"/>
          <w:sz w:val="24"/>
          <w:szCs w:val="24"/>
        </w:rPr>
        <w:t xml:space="preserve">Prepare Turkish guidelines for CSOs on their administrative and financial obligations. Make it available on the Ministry website along with all relevant legislation. </w:t>
      </w:r>
    </w:p>
    <w:p w14:paraId="00000041" w14:textId="77777777" w:rsidR="00A60392" w:rsidRPr="006E6CDF" w:rsidRDefault="00000000">
      <w:pPr>
        <w:numPr>
          <w:ilvl w:val="0"/>
          <w:numId w:val="1"/>
        </w:numPr>
        <w:shd w:val="clear" w:color="auto" w:fill="FFFFFF"/>
        <w:spacing w:after="0"/>
        <w:jc w:val="both"/>
        <w:rPr>
          <w:rFonts w:ascii="Times New Roman" w:eastAsia="Arial" w:hAnsi="Times New Roman" w:cs="Times New Roman"/>
          <w:sz w:val="24"/>
          <w:szCs w:val="24"/>
        </w:rPr>
      </w:pPr>
      <w:r w:rsidRPr="006E6CDF">
        <w:rPr>
          <w:rFonts w:ascii="Times New Roman" w:eastAsia="Arial" w:hAnsi="Times New Roman" w:cs="Times New Roman"/>
          <w:sz w:val="24"/>
          <w:szCs w:val="24"/>
        </w:rPr>
        <w:t xml:space="preserve">Ensure banks stop treating all CSOs and Turkish Cypriots as ‘high risk' causing systematic discrimination and instead evaluate each case by its potential. </w:t>
      </w:r>
    </w:p>
    <w:p w14:paraId="00000042" w14:textId="77777777" w:rsidR="00A60392" w:rsidRPr="006E6CDF" w:rsidRDefault="00A60392">
      <w:pPr>
        <w:spacing w:after="0" w:line="240" w:lineRule="auto"/>
        <w:rPr>
          <w:rFonts w:ascii="Times New Roman" w:eastAsia="Times New Roman" w:hAnsi="Times New Roman" w:cs="Times New Roman"/>
          <w:sz w:val="24"/>
          <w:szCs w:val="24"/>
        </w:rPr>
      </w:pPr>
    </w:p>
    <w:p w14:paraId="00000043" w14:textId="77777777" w:rsidR="00A60392" w:rsidRPr="006E6CDF" w:rsidRDefault="00000000">
      <w:pPr>
        <w:pStyle w:val="Heading2"/>
        <w:numPr>
          <w:ilvl w:val="0"/>
          <w:numId w:val="6"/>
        </w:numPr>
        <w:spacing w:before="200" w:line="240" w:lineRule="auto"/>
        <w:rPr>
          <w:rFonts w:ascii="Times New Roman" w:eastAsia="Times New Roman" w:hAnsi="Times New Roman" w:cs="Times New Roman"/>
          <w:sz w:val="24"/>
          <w:szCs w:val="24"/>
          <w:lang w:val="en-GB"/>
        </w:rPr>
      </w:pPr>
      <w:bookmarkStart w:id="9" w:name="_Toc174367817"/>
      <w:r w:rsidRPr="006E6CDF">
        <w:rPr>
          <w:rFonts w:ascii="Times New Roman" w:eastAsia="Times New Roman" w:hAnsi="Times New Roman" w:cs="Times New Roman"/>
          <w:sz w:val="24"/>
          <w:szCs w:val="24"/>
          <w:lang w:val="en-GB"/>
        </w:rPr>
        <w:lastRenderedPageBreak/>
        <w:t>Equal Rights of Men and Women (Art. 3):</w:t>
      </w:r>
      <w:bookmarkEnd w:id="9"/>
    </w:p>
    <w:p w14:paraId="00000044" w14:textId="77777777" w:rsidR="00A60392" w:rsidRPr="006E6CDF" w:rsidRDefault="00000000">
      <w:pPr>
        <w:spacing w:after="240" w:line="240" w:lineRule="auto"/>
        <w:ind w:firstLine="720"/>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 xml:space="preserve">The Republic of Cyprus adopted the National Action Plan on Women, Peace and Security (2021-2025) under United Nations Security Council Resolution 1325. The plan emphasizes Participation and Empowerment, Protection, Prevention, and Promotion/Information dissemination. However, the LGBTI+ community were excluded from the drafting process. Consequently, the LGBTI+ community and their CSOs remain unaware and uninvolved in this crucial initiative. </w:t>
      </w:r>
    </w:p>
    <w:p w14:paraId="00000045" w14:textId="77777777" w:rsidR="00A60392" w:rsidRPr="006E6CDF" w:rsidRDefault="00000000">
      <w:pPr>
        <w:spacing w:after="0" w:line="240" w:lineRule="auto"/>
        <w:ind w:firstLine="720"/>
        <w:rPr>
          <w:rFonts w:ascii="Times New Roman" w:eastAsia="Times New Roman" w:hAnsi="Times New Roman" w:cs="Times New Roman"/>
          <w:sz w:val="24"/>
          <w:szCs w:val="24"/>
        </w:rPr>
      </w:pPr>
      <w:r w:rsidRPr="006E6CDF">
        <w:rPr>
          <w:rFonts w:ascii="Times New Roman" w:eastAsia="Times New Roman" w:hAnsi="Times New Roman" w:cs="Times New Roman"/>
          <w:i/>
          <w:sz w:val="24"/>
          <w:szCs w:val="24"/>
        </w:rPr>
        <w:t>Recommendations:</w:t>
      </w:r>
    </w:p>
    <w:p w14:paraId="00000046" w14:textId="77777777" w:rsidR="00A60392" w:rsidRPr="006E6CDF" w:rsidRDefault="00000000">
      <w:pPr>
        <w:numPr>
          <w:ilvl w:val="0"/>
          <w:numId w:val="3"/>
        </w:numPr>
        <w:spacing w:after="0" w:line="240" w:lineRule="auto"/>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Ensure the inclusion of LGBTI+ community representatives in peace processes, particularly in the Bi-Communal Technical Committee on Gender Equality.</w:t>
      </w:r>
    </w:p>
    <w:p w14:paraId="00000047" w14:textId="77777777" w:rsidR="00A60392" w:rsidRPr="006E6CDF" w:rsidRDefault="00000000">
      <w:pPr>
        <w:pStyle w:val="Heading2"/>
        <w:numPr>
          <w:ilvl w:val="0"/>
          <w:numId w:val="6"/>
        </w:numPr>
        <w:spacing w:before="200" w:line="240" w:lineRule="auto"/>
        <w:rPr>
          <w:rFonts w:ascii="Times New Roman" w:eastAsia="Times New Roman" w:hAnsi="Times New Roman" w:cs="Times New Roman"/>
          <w:sz w:val="24"/>
          <w:szCs w:val="24"/>
          <w:lang w:val="en-GB"/>
        </w:rPr>
      </w:pPr>
      <w:bookmarkStart w:id="10" w:name="_Toc174367818"/>
      <w:r w:rsidRPr="006E6CDF">
        <w:rPr>
          <w:rFonts w:ascii="Times New Roman" w:eastAsia="Times New Roman" w:hAnsi="Times New Roman" w:cs="Times New Roman"/>
          <w:sz w:val="24"/>
          <w:szCs w:val="24"/>
          <w:lang w:val="en-GB"/>
        </w:rPr>
        <w:t>Right to Work (Art. 6):</w:t>
      </w:r>
      <w:bookmarkEnd w:id="10"/>
    </w:p>
    <w:p w14:paraId="00000048" w14:textId="58C5CD72" w:rsidR="00A60392" w:rsidRPr="006E6CDF" w:rsidRDefault="00000000">
      <w:pPr>
        <w:spacing w:line="240" w:lineRule="auto"/>
        <w:ind w:firstLine="720"/>
        <w:rPr>
          <w:rFonts w:ascii="Times New Roman" w:eastAsia="Times New Roman" w:hAnsi="Times New Roman" w:cs="Times New Roman"/>
          <w:i/>
          <w:sz w:val="24"/>
          <w:szCs w:val="24"/>
        </w:rPr>
      </w:pPr>
      <w:r w:rsidRPr="006E6CDF">
        <w:rPr>
          <w:rFonts w:ascii="Times New Roman" w:eastAsia="Times New Roman" w:hAnsi="Times New Roman" w:cs="Times New Roman"/>
          <w:sz w:val="24"/>
          <w:szCs w:val="24"/>
        </w:rPr>
        <w:t xml:space="preserve">As provided in the </w:t>
      </w:r>
      <w:r w:rsidRPr="006E6CDF">
        <w:rPr>
          <w:rFonts w:ascii="Times New Roman" w:eastAsia="Times New Roman" w:hAnsi="Times New Roman" w:cs="Times New Roman"/>
          <w:b/>
          <w:sz w:val="24"/>
          <w:szCs w:val="24"/>
        </w:rPr>
        <w:t xml:space="preserve">Appendices to the Replies to the List of Issues for the Seventh Periodic Report of The Republic of Cyprus - Table 3: Insured persons by category of insurance </w:t>
      </w:r>
      <w:r w:rsidRPr="006E6CDF">
        <w:rPr>
          <w:rFonts w:ascii="Times New Roman" w:eastAsia="Times New Roman" w:hAnsi="Times New Roman" w:cs="Times New Roman"/>
          <w:sz w:val="24"/>
          <w:szCs w:val="24"/>
        </w:rPr>
        <w:t>the rates for TCc (17 Turkish Cypriots being insured in Employed Public Sector) is far behind the quota</w:t>
      </w:r>
      <w:r w:rsidR="00FA209E">
        <w:rPr>
          <w:rStyle w:val="FootnoteReference"/>
          <w:rFonts w:ascii="Times New Roman" w:eastAsia="Times New Roman" w:hAnsi="Times New Roman" w:cs="Times New Roman"/>
          <w:sz w:val="24"/>
          <w:szCs w:val="24"/>
        </w:rPr>
        <w:footnoteReference w:id="7"/>
      </w:r>
      <w:r w:rsidRPr="006E6CDF">
        <w:rPr>
          <w:rFonts w:ascii="Times New Roman" w:eastAsia="Times New Roman" w:hAnsi="Times New Roman" w:cs="Times New Roman"/>
          <w:sz w:val="24"/>
          <w:szCs w:val="24"/>
        </w:rPr>
        <w:t xml:space="preserve"> ensured for TCc also considering that the rates for Greek Cypriot community are 53.716.</w:t>
      </w:r>
      <w:r w:rsidRPr="006E6CDF">
        <w:rPr>
          <w:rFonts w:ascii="Times New Roman" w:eastAsia="Times New Roman" w:hAnsi="Times New Roman" w:cs="Times New Roman"/>
          <w:sz w:val="24"/>
          <w:szCs w:val="24"/>
          <w:vertAlign w:val="superscript"/>
        </w:rPr>
        <w:footnoteReference w:id="8"/>
      </w:r>
    </w:p>
    <w:p w14:paraId="00000049" w14:textId="77777777" w:rsidR="00A60392" w:rsidRPr="006E6CDF" w:rsidRDefault="00000000">
      <w:pPr>
        <w:spacing w:after="0" w:line="240" w:lineRule="auto"/>
        <w:ind w:firstLine="720"/>
        <w:rPr>
          <w:rFonts w:ascii="Times New Roman" w:eastAsia="Times New Roman" w:hAnsi="Times New Roman" w:cs="Times New Roman"/>
          <w:sz w:val="24"/>
          <w:szCs w:val="24"/>
        </w:rPr>
      </w:pPr>
      <w:r w:rsidRPr="006E6CDF">
        <w:rPr>
          <w:rFonts w:ascii="Times New Roman" w:eastAsia="Times New Roman" w:hAnsi="Times New Roman" w:cs="Times New Roman"/>
          <w:i/>
          <w:sz w:val="24"/>
          <w:szCs w:val="24"/>
        </w:rPr>
        <w:t>Recommendations:</w:t>
      </w:r>
    </w:p>
    <w:p w14:paraId="0000004A" w14:textId="77777777" w:rsidR="00A60392" w:rsidRPr="006E6CDF" w:rsidRDefault="00000000">
      <w:pPr>
        <w:numPr>
          <w:ilvl w:val="0"/>
          <w:numId w:val="2"/>
        </w:numPr>
        <w:spacing w:line="240" w:lineRule="auto"/>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Ensure that the TCc have equal access to work opportunities and are not subjected to discrimination when seeking a job or after securing employment.</w:t>
      </w:r>
    </w:p>
    <w:p w14:paraId="0000004B" w14:textId="77777777" w:rsidR="00A60392" w:rsidRPr="006E6CDF" w:rsidRDefault="00000000">
      <w:pPr>
        <w:pStyle w:val="Heading2"/>
        <w:numPr>
          <w:ilvl w:val="0"/>
          <w:numId w:val="6"/>
        </w:numPr>
        <w:spacing w:before="200" w:line="240" w:lineRule="auto"/>
        <w:rPr>
          <w:rFonts w:ascii="Times New Roman" w:eastAsia="Times New Roman" w:hAnsi="Times New Roman" w:cs="Times New Roman"/>
          <w:sz w:val="24"/>
          <w:szCs w:val="24"/>
          <w:lang w:val="en-GB"/>
        </w:rPr>
      </w:pPr>
      <w:bookmarkStart w:id="11" w:name="_Toc174367819"/>
      <w:r w:rsidRPr="006E6CDF">
        <w:rPr>
          <w:rFonts w:ascii="Times New Roman" w:eastAsia="Times New Roman" w:hAnsi="Times New Roman" w:cs="Times New Roman"/>
          <w:sz w:val="24"/>
          <w:szCs w:val="24"/>
          <w:lang w:val="en-GB"/>
        </w:rPr>
        <w:t>Protection of the Family and Children (Art. 10):</w:t>
      </w:r>
      <w:bookmarkEnd w:id="11"/>
    </w:p>
    <w:p w14:paraId="0000004C" w14:textId="77777777" w:rsidR="00A60392" w:rsidRPr="006E6CDF" w:rsidRDefault="00000000">
      <w:pPr>
        <w:spacing w:line="240" w:lineRule="auto"/>
        <w:ind w:firstLine="720"/>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Even though the Civil Partnership Law was passed in 2015, same-sex couples are excluded from their right to adoption. Marriage equality is not also provided for same-sex couples.</w:t>
      </w:r>
    </w:p>
    <w:p w14:paraId="0000004D" w14:textId="77777777" w:rsidR="00A60392" w:rsidRPr="006E6CDF" w:rsidRDefault="00000000">
      <w:pPr>
        <w:spacing w:after="0" w:line="240" w:lineRule="auto"/>
        <w:ind w:firstLine="720"/>
        <w:rPr>
          <w:rFonts w:ascii="Times New Roman" w:eastAsia="Times New Roman" w:hAnsi="Times New Roman" w:cs="Times New Roman"/>
          <w:sz w:val="24"/>
          <w:szCs w:val="24"/>
        </w:rPr>
      </w:pPr>
      <w:r w:rsidRPr="006E6CDF">
        <w:rPr>
          <w:rFonts w:ascii="Times New Roman" w:eastAsia="Times New Roman" w:hAnsi="Times New Roman" w:cs="Times New Roman"/>
          <w:i/>
          <w:sz w:val="24"/>
          <w:szCs w:val="24"/>
        </w:rPr>
        <w:t>Recommendations:</w:t>
      </w:r>
    </w:p>
    <w:p w14:paraId="0000004E" w14:textId="77777777" w:rsidR="00A60392" w:rsidRPr="006E6CDF" w:rsidRDefault="00000000">
      <w:pPr>
        <w:numPr>
          <w:ilvl w:val="0"/>
          <w:numId w:val="9"/>
        </w:numPr>
        <w:spacing w:after="0" w:line="240" w:lineRule="auto"/>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 xml:space="preserve">Remove the statutory restriction on adoption, surrogacy and IVF rights for same-sex couples. </w:t>
      </w:r>
    </w:p>
    <w:p w14:paraId="0000004F" w14:textId="77777777" w:rsidR="00A60392" w:rsidRPr="006E6CDF" w:rsidRDefault="00000000">
      <w:pPr>
        <w:numPr>
          <w:ilvl w:val="0"/>
          <w:numId w:val="9"/>
        </w:numPr>
        <w:spacing w:after="0" w:line="240" w:lineRule="auto"/>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Ensure the right to marriage for all couples regardless of their gender.</w:t>
      </w:r>
    </w:p>
    <w:p w14:paraId="00000050" w14:textId="77777777" w:rsidR="00A60392" w:rsidRPr="006E6CDF" w:rsidRDefault="00000000">
      <w:pPr>
        <w:pStyle w:val="Heading2"/>
        <w:numPr>
          <w:ilvl w:val="0"/>
          <w:numId w:val="6"/>
        </w:numPr>
        <w:spacing w:before="200" w:line="240" w:lineRule="auto"/>
        <w:rPr>
          <w:rFonts w:ascii="Times New Roman" w:eastAsia="Times New Roman" w:hAnsi="Times New Roman" w:cs="Times New Roman"/>
          <w:sz w:val="24"/>
          <w:szCs w:val="24"/>
          <w:lang w:val="en-GB"/>
        </w:rPr>
      </w:pPr>
      <w:bookmarkStart w:id="12" w:name="_Toc174367820"/>
      <w:r w:rsidRPr="006E6CDF">
        <w:rPr>
          <w:rFonts w:ascii="Times New Roman" w:eastAsia="Times New Roman" w:hAnsi="Times New Roman" w:cs="Times New Roman"/>
          <w:sz w:val="24"/>
          <w:szCs w:val="24"/>
          <w:lang w:val="en-GB"/>
        </w:rPr>
        <w:t>Right to Physical and Mental Health (Art. 12):</w:t>
      </w:r>
      <w:bookmarkEnd w:id="12"/>
    </w:p>
    <w:p w14:paraId="00000051" w14:textId="77777777" w:rsidR="00A60392" w:rsidRPr="006E6CDF" w:rsidRDefault="00000000">
      <w:pPr>
        <w:spacing w:line="240" w:lineRule="auto"/>
        <w:ind w:firstLine="720"/>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The law banning ‘conversion therapy’ was enacted in 2023 (Law 39(I)/2023)</w:t>
      </w:r>
      <w:r w:rsidRPr="006E6CDF">
        <w:rPr>
          <w:rFonts w:ascii="Times New Roman" w:eastAsia="Times New Roman" w:hAnsi="Times New Roman" w:cs="Times New Roman"/>
          <w:sz w:val="24"/>
          <w:szCs w:val="24"/>
          <w:vertAlign w:val="superscript"/>
        </w:rPr>
        <w:footnoteReference w:id="9"/>
      </w:r>
      <w:r w:rsidRPr="006E6CDF">
        <w:rPr>
          <w:rFonts w:ascii="Times New Roman" w:eastAsia="Times New Roman" w:hAnsi="Times New Roman" w:cs="Times New Roman"/>
          <w:sz w:val="24"/>
          <w:szCs w:val="24"/>
        </w:rPr>
        <w:t xml:space="preserve"> on grounds of sexual orientation and gender identity albeit with some exemption on medical professional practices.</w:t>
      </w:r>
      <w:r w:rsidRPr="006E6CDF">
        <w:rPr>
          <w:rFonts w:ascii="Times New Roman" w:eastAsia="Times New Roman" w:hAnsi="Times New Roman" w:cs="Times New Roman"/>
          <w:sz w:val="24"/>
          <w:szCs w:val="24"/>
          <w:vertAlign w:val="superscript"/>
        </w:rPr>
        <w:footnoteReference w:id="10"/>
      </w:r>
      <w:r w:rsidRPr="006E6CDF">
        <w:rPr>
          <w:rFonts w:ascii="Times New Roman" w:eastAsia="Times New Roman" w:hAnsi="Times New Roman" w:cs="Times New Roman"/>
          <w:sz w:val="24"/>
          <w:szCs w:val="24"/>
        </w:rPr>
        <w:t xml:space="preserve"> The Penal Code, in which the ban has been included is made without </w:t>
      </w:r>
      <w:r w:rsidRPr="006E6CDF">
        <w:rPr>
          <w:rFonts w:ascii="Times New Roman" w:eastAsia="Times New Roman" w:hAnsi="Times New Roman" w:cs="Times New Roman"/>
          <w:sz w:val="24"/>
          <w:szCs w:val="24"/>
        </w:rPr>
        <w:lastRenderedPageBreak/>
        <w:t xml:space="preserve">prejudice and in respect of the freedom of religion. Consequently, it is not entirely clear how the application of the law works concerning the Church. </w:t>
      </w:r>
    </w:p>
    <w:p w14:paraId="00000052" w14:textId="582B5E4A" w:rsidR="00A60392" w:rsidRPr="006E6CDF" w:rsidRDefault="00000000">
      <w:pPr>
        <w:spacing w:line="240" w:lineRule="auto"/>
        <w:ind w:firstLine="720"/>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In the development of national health plans, the specific needs of the LGBTI+ community are not fully considered.</w:t>
      </w:r>
      <w:r w:rsidRPr="006E6CDF">
        <w:rPr>
          <w:rFonts w:ascii="Times New Roman" w:eastAsia="Times New Roman" w:hAnsi="Times New Roman" w:cs="Times New Roman"/>
          <w:sz w:val="24"/>
          <w:szCs w:val="24"/>
          <w:vertAlign w:val="superscript"/>
        </w:rPr>
        <w:footnoteReference w:id="11"/>
      </w:r>
      <w:r w:rsidRPr="006E6CDF">
        <w:rPr>
          <w:rFonts w:ascii="Times New Roman" w:eastAsia="Times New Roman" w:hAnsi="Times New Roman" w:cs="Times New Roman"/>
          <w:sz w:val="24"/>
          <w:szCs w:val="24"/>
        </w:rPr>
        <w:t xml:space="preserve"> In regards to Sexual health, Sexually Transmitted Infections (STI) mapping is absent from the RoC, except for HIV monitoring, which suggests the principal route of HIV transmission is sexual intercourse.</w:t>
      </w:r>
      <w:r w:rsidRPr="006E6CDF">
        <w:rPr>
          <w:rFonts w:ascii="Times New Roman" w:eastAsia="Times New Roman" w:hAnsi="Times New Roman" w:cs="Times New Roman"/>
          <w:sz w:val="24"/>
          <w:szCs w:val="24"/>
          <w:vertAlign w:val="superscript"/>
        </w:rPr>
        <w:footnoteReference w:id="12"/>
      </w:r>
      <w:r w:rsidRPr="006E6CDF">
        <w:rPr>
          <w:rFonts w:ascii="Times New Roman" w:eastAsia="Times New Roman" w:hAnsi="Times New Roman" w:cs="Times New Roman"/>
          <w:sz w:val="24"/>
          <w:szCs w:val="24"/>
        </w:rPr>
        <w:t xml:space="preserve"> No Sexual Clinic is operating in the RoC, and the newly established General Health System (GHS) is based on personal doctors’ referrals for STI testing, under specific criteria mainly related to the declaration of multiple sexual partners and previous STI diagnosis. Furthermore, there is only one clinic that administers PEP (PostExposure Prophylaxis), which is the HIV Reference Clinic in Larnaca General Hospital. PEP is not available in pharmacies, hospitals or medical centres of any other city apart from Larnaca. This demonstrates limited access to this HIV antiretroviral (ARV) treatment that can prevent an HIV infection, only if taken within 72 hours of possible exposure. A 2021 study related to the HIV Reference Clinic stated significant findings regarding stigma and discrimination, suggesting that there should be a “provision of education and training, regularly (frequently and repetitively) to the health professionals of the clinic, on issues related to HIV and current scientific findings, sexual orientation, gender identity/expression”.</w:t>
      </w:r>
      <w:r w:rsidRPr="006E6CDF">
        <w:rPr>
          <w:rFonts w:ascii="Times New Roman" w:eastAsia="Times New Roman" w:hAnsi="Times New Roman" w:cs="Times New Roman"/>
          <w:sz w:val="24"/>
          <w:szCs w:val="24"/>
          <w:vertAlign w:val="superscript"/>
        </w:rPr>
        <w:footnoteReference w:id="13"/>
      </w:r>
      <w:r w:rsidRPr="006E6CDF">
        <w:rPr>
          <w:rFonts w:ascii="Times New Roman" w:eastAsia="Times New Roman" w:hAnsi="Times New Roman" w:cs="Times New Roman"/>
          <w:sz w:val="24"/>
          <w:szCs w:val="24"/>
        </w:rPr>
        <w:t xml:space="preserve"> PrEP (Pre-Exposure Prophylaxis), a prevention strategy using ARV treatment that can effectively prevent an HIV infection if taken before sex, is not officially available in the RoC yet. Based on the ECDC HIV/AIDS Surveillance Report in Europe for 2023 (2022 data), Cyprus</w:t>
      </w:r>
      <w:r w:rsidR="006E6CDF">
        <w:rPr>
          <w:rFonts w:ascii="Times New Roman" w:eastAsia="Times New Roman" w:hAnsi="Times New Roman" w:cs="Times New Roman"/>
          <w:sz w:val="24"/>
          <w:szCs w:val="24"/>
        </w:rPr>
        <w:t>’</w:t>
      </w:r>
      <w:r w:rsidRPr="006E6CDF">
        <w:rPr>
          <w:rFonts w:ascii="Times New Roman" w:eastAsia="Times New Roman" w:hAnsi="Times New Roman" w:cs="Times New Roman"/>
          <w:sz w:val="24"/>
          <w:szCs w:val="24"/>
        </w:rPr>
        <w:t xml:space="preserve"> HIV diagnoses have been continually increasing in the last decade.</w:t>
      </w:r>
      <w:r w:rsidRPr="006E6CDF">
        <w:rPr>
          <w:rFonts w:ascii="Times New Roman" w:eastAsia="Times New Roman" w:hAnsi="Times New Roman" w:cs="Times New Roman"/>
          <w:sz w:val="24"/>
          <w:szCs w:val="24"/>
          <w:vertAlign w:val="superscript"/>
        </w:rPr>
        <w:footnoteReference w:id="14"/>
      </w:r>
      <w:r w:rsidRPr="006E6CDF">
        <w:rPr>
          <w:rFonts w:ascii="Times New Roman" w:eastAsia="Times New Roman" w:hAnsi="Times New Roman" w:cs="Times New Roman"/>
          <w:sz w:val="24"/>
          <w:szCs w:val="24"/>
        </w:rPr>
        <w:t xml:space="preserve"> Furthermore, in 2022 it had the highest number of HIV diagnoses since 1986.</w:t>
      </w:r>
      <w:r w:rsidRPr="006E6CDF">
        <w:rPr>
          <w:rFonts w:ascii="Times New Roman" w:eastAsia="Times New Roman" w:hAnsi="Times New Roman" w:cs="Times New Roman"/>
          <w:sz w:val="24"/>
          <w:szCs w:val="24"/>
          <w:vertAlign w:val="superscript"/>
        </w:rPr>
        <w:footnoteReference w:id="15"/>
      </w:r>
      <w:r w:rsidRPr="006E6CDF">
        <w:rPr>
          <w:rFonts w:ascii="Times New Roman" w:eastAsia="Times New Roman" w:hAnsi="Times New Roman" w:cs="Times New Roman"/>
          <w:sz w:val="24"/>
          <w:szCs w:val="24"/>
        </w:rPr>
        <w:t xml:space="preserve"> The rise in HIV cases on the island alone illustrates that current policies fail to address the needs of key populations at greater risk of contracting HIV, highlighting the lack of specific interventions targeted towards the needs of the LGBTI+ population.</w:t>
      </w:r>
    </w:p>
    <w:p w14:paraId="00000053" w14:textId="77777777" w:rsidR="00A60392" w:rsidRPr="006E6CDF" w:rsidRDefault="00000000">
      <w:pPr>
        <w:spacing w:after="0" w:line="240" w:lineRule="auto"/>
        <w:ind w:firstLine="720"/>
        <w:rPr>
          <w:rFonts w:ascii="Times New Roman" w:eastAsia="Times New Roman" w:hAnsi="Times New Roman" w:cs="Times New Roman"/>
          <w:i/>
          <w:sz w:val="24"/>
          <w:szCs w:val="24"/>
        </w:rPr>
      </w:pPr>
      <w:r w:rsidRPr="006E6CDF">
        <w:rPr>
          <w:rFonts w:ascii="Times New Roman" w:eastAsia="Times New Roman" w:hAnsi="Times New Roman" w:cs="Times New Roman"/>
          <w:i/>
          <w:sz w:val="24"/>
          <w:szCs w:val="24"/>
        </w:rPr>
        <w:t>Recommendations:</w:t>
      </w:r>
    </w:p>
    <w:p w14:paraId="00000054" w14:textId="77777777" w:rsidR="00A60392" w:rsidRPr="006E6CDF" w:rsidRDefault="00000000">
      <w:pPr>
        <w:numPr>
          <w:ilvl w:val="0"/>
          <w:numId w:val="7"/>
        </w:numPr>
        <w:spacing w:after="0" w:line="240" w:lineRule="auto"/>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 xml:space="preserve">Ensure that the law banning ‘conversion therapy’ nonetheless prohibits to practise of conversion therapy from the counsellor’s (e.g. Church priest) side, rendering the legislation as treading on a fine line, e.g. in the case of a confession. </w:t>
      </w:r>
    </w:p>
    <w:p w14:paraId="00000055" w14:textId="77777777" w:rsidR="00A60392" w:rsidRPr="006E6CDF" w:rsidRDefault="00000000">
      <w:pPr>
        <w:numPr>
          <w:ilvl w:val="0"/>
          <w:numId w:val="7"/>
        </w:numPr>
        <w:spacing w:after="0" w:line="240" w:lineRule="auto"/>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Ensure access to PrEP, without criteria that are based on the declaration of sexual orientation or belonging to a specific key population, which would further stigmatise LGBTI+ persons in an already hostile healthcare system.</w:t>
      </w:r>
    </w:p>
    <w:p w14:paraId="00000056" w14:textId="77777777" w:rsidR="00A60392" w:rsidRPr="006E6CDF" w:rsidRDefault="00000000">
      <w:pPr>
        <w:numPr>
          <w:ilvl w:val="0"/>
          <w:numId w:val="7"/>
        </w:numPr>
        <w:spacing w:line="240" w:lineRule="auto"/>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lastRenderedPageBreak/>
        <w:t>Increase accessibility to STI screening testing, by making STI self-tests available from local pharmacies, as well as through the state support of community organisations that offer testing as prevention, to expand the tests offered and perform community testing more frequently.</w:t>
      </w:r>
    </w:p>
    <w:p w14:paraId="00000057" w14:textId="77777777" w:rsidR="00A60392" w:rsidRPr="006E6CDF" w:rsidRDefault="00000000">
      <w:pPr>
        <w:pStyle w:val="Heading2"/>
        <w:numPr>
          <w:ilvl w:val="0"/>
          <w:numId w:val="6"/>
        </w:numPr>
        <w:spacing w:before="200" w:line="240" w:lineRule="auto"/>
        <w:rPr>
          <w:rFonts w:ascii="Times New Roman" w:eastAsia="Times New Roman" w:hAnsi="Times New Roman" w:cs="Times New Roman"/>
          <w:sz w:val="24"/>
          <w:szCs w:val="24"/>
          <w:lang w:val="en-GB"/>
        </w:rPr>
      </w:pPr>
      <w:bookmarkStart w:id="13" w:name="_Toc174367821"/>
      <w:r w:rsidRPr="006E6CDF">
        <w:rPr>
          <w:rFonts w:ascii="Times New Roman" w:eastAsia="Times New Roman" w:hAnsi="Times New Roman" w:cs="Times New Roman"/>
          <w:sz w:val="24"/>
          <w:szCs w:val="24"/>
          <w:lang w:val="en-GB"/>
        </w:rPr>
        <w:t>Right to Education (Arts. 13–14):</w:t>
      </w:r>
      <w:bookmarkEnd w:id="13"/>
    </w:p>
    <w:p w14:paraId="00000058" w14:textId="77777777" w:rsidR="00A60392" w:rsidRPr="006E6CDF" w:rsidRDefault="00000000">
      <w:pPr>
        <w:spacing w:line="240" w:lineRule="auto"/>
        <w:ind w:firstLine="720"/>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 xml:space="preserve">States Parties must ensure that no one suffers discrimination in their access to education based on sexual orientation or gender identity. States, for instance, have to provide effective protection for victims of bullying on LGBT+ grounds and their families. In RoC LGBTI+ students face discrimination and lack safe spaces within educational settings. Furthermore, there are significant barriers for TCc to access education. The lack of Turkish as a language of instruction in the RoC’s educational institutions further exacerbates this issue. </w:t>
      </w:r>
    </w:p>
    <w:p w14:paraId="00000059" w14:textId="77777777" w:rsidR="00A60392" w:rsidRPr="006E6CDF" w:rsidRDefault="00000000">
      <w:pPr>
        <w:spacing w:line="240" w:lineRule="auto"/>
        <w:ind w:firstLine="720"/>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The university diplomas of Turkish Cypriots who graduated from any of the universities located in the areas not effectively controlled by the RoC are not recognized by any public institutions or educational institutions. This results in Turkish Cypriots receiving lower salaries compared to their counterparts, since they are accepted as high school graduates, rather than university graduates. Moreover, Turkish Cypriots wishing to continue their education in the RoC are simply not able to do so, since their diplomas are unrecognised.</w:t>
      </w:r>
    </w:p>
    <w:p w14:paraId="0000005A" w14:textId="77777777" w:rsidR="00A60392" w:rsidRPr="006E6CDF" w:rsidRDefault="00000000">
      <w:pPr>
        <w:spacing w:after="0" w:line="240" w:lineRule="auto"/>
        <w:ind w:firstLine="720"/>
        <w:rPr>
          <w:rFonts w:ascii="Times New Roman" w:eastAsia="Times New Roman" w:hAnsi="Times New Roman" w:cs="Times New Roman"/>
          <w:i/>
          <w:sz w:val="24"/>
          <w:szCs w:val="24"/>
        </w:rPr>
      </w:pPr>
      <w:r w:rsidRPr="006E6CDF">
        <w:rPr>
          <w:rFonts w:ascii="Times New Roman" w:eastAsia="Times New Roman" w:hAnsi="Times New Roman" w:cs="Times New Roman"/>
          <w:i/>
          <w:sz w:val="24"/>
          <w:szCs w:val="24"/>
        </w:rPr>
        <w:t>Recommendations:</w:t>
      </w:r>
    </w:p>
    <w:p w14:paraId="0000005B" w14:textId="77777777" w:rsidR="00A60392" w:rsidRPr="006E6CDF" w:rsidRDefault="00000000">
      <w:pPr>
        <w:numPr>
          <w:ilvl w:val="0"/>
          <w:numId w:val="8"/>
        </w:numPr>
        <w:spacing w:after="0" w:line="240" w:lineRule="auto"/>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Integrate Turkish as an official language in educational institutions and provide educational opportunities in the mother tongue.</w:t>
      </w:r>
    </w:p>
    <w:p w14:paraId="0000005C" w14:textId="77777777" w:rsidR="00A60392" w:rsidRPr="006E6CDF" w:rsidRDefault="00000000">
      <w:pPr>
        <w:numPr>
          <w:ilvl w:val="0"/>
          <w:numId w:val="8"/>
        </w:numPr>
        <w:spacing w:after="0" w:line="240" w:lineRule="auto"/>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Implement measures to ensure safe and inclusive environments for LGBTI+ students and staff in schools.</w:t>
      </w:r>
    </w:p>
    <w:p w14:paraId="0000005D" w14:textId="77777777" w:rsidR="00A60392" w:rsidRPr="006E6CDF" w:rsidRDefault="00000000">
      <w:pPr>
        <w:numPr>
          <w:ilvl w:val="0"/>
          <w:numId w:val="8"/>
        </w:numPr>
        <w:spacing w:line="240" w:lineRule="auto"/>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 xml:space="preserve">Implement measures to recognise educational diplomas of Turkish Cypriots and ensure they have access to higher academic education in the RoC controlled areas. </w:t>
      </w:r>
    </w:p>
    <w:p w14:paraId="0000005E" w14:textId="77777777" w:rsidR="00A60392" w:rsidRPr="006E6CDF" w:rsidRDefault="00000000">
      <w:pPr>
        <w:pStyle w:val="Heading1"/>
        <w:spacing w:line="240" w:lineRule="auto"/>
        <w:rPr>
          <w:rFonts w:ascii="Times New Roman" w:eastAsia="Times New Roman" w:hAnsi="Times New Roman" w:cs="Times New Roman"/>
          <w:b/>
          <w:bCs/>
          <w:color w:val="000000"/>
          <w:sz w:val="24"/>
          <w:szCs w:val="24"/>
          <w:lang w:val="en-GB"/>
        </w:rPr>
      </w:pPr>
      <w:bookmarkStart w:id="14" w:name="_Toc174367822"/>
      <w:r w:rsidRPr="006E6CDF">
        <w:rPr>
          <w:rFonts w:ascii="Times New Roman" w:eastAsia="Times New Roman" w:hAnsi="Times New Roman" w:cs="Times New Roman"/>
          <w:b/>
          <w:bCs/>
          <w:color w:val="000000"/>
          <w:sz w:val="24"/>
          <w:szCs w:val="24"/>
          <w:lang w:val="en-GB"/>
        </w:rPr>
        <w:t>3. Conclusion</w:t>
      </w:r>
      <w:bookmarkEnd w:id="14"/>
      <w:r w:rsidRPr="006E6CDF">
        <w:rPr>
          <w:rFonts w:ascii="Times New Roman" w:eastAsia="Times New Roman" w:hAnsi="Times New Roman" w:cs="Times New Roman"/>
          <w:b/>
          <w:bCs/>
          <w:color w:val="000000"/>
          <w:sz w:val="24"/>
          <w:szCs w:val="24"/>
          <w:lang w:val="en-GB"/>
        </w:rPr>
        <w:t xml:space="preserve"> </w:t>
      </w:r>
    </w:p>
    <w:p w14:paraId="0000005F" w14:textId="77777777" w:rsidR="00A60392" w:rsidRPr="006E6CDF" w:rsidRDefault="00000000">
      <w:pPr>
        <w:spacing w:after="240" w:line="240" w:lineRule="auto"/>
        <w:ind w:firstLine="720"/>
        <w:rPr>
          <w:rFonts w:ascii="Times New Roman" w:eastAsia="Times New Roman" w:hAnsi="Times New Roman" w:cs="Times New Roman"/>
          <w:sz w:val="24"/>
          <w:szCs w:val="24"/>
        </w:rPr>
      </w:pPr>
      <w:r w:rsidRPr="006E6CDF">
        <w:rPr>
          <w:rFonts w:ascii="Times New Roman" w:eastAsia="Times New Roman" w:hAnsi="Times New Roman" w:cs="Times New Roman"/>
          <w:sz w:val="24"/>
          <w:szCs w:val="24"/>
        </w:rPr>
        <w:t>The HRP calls on the RoC to take immediate and effective measures to address the issues highlighted in this report. We urge the CESCR to consider these concerns and recommendations in its review process to ensure the protection and promotion of economic, social, and cultural rights for all individuals in Cyprus, without discrimination. In case of any need for clarifications or questions, HRP is dedicated to supporting the process by all means.</w:t>
      </w:r>
    </w:p>
    <w:sectPr w:rsidR="00A60392" w:rsidRPr="006E6CDF">
      <w:headerReference w:type="even" r:id="rId9"/>
      <w:headerReference w:type="default" r:id="rId10"/>
      <w:footerReference w:type="even" r:id="rId11"/>
      <w:footerReference w:type="default" r:id="rId12"/>
      <w:headerReference w:type="first" r:id="rId13"/>
      <w:footerReference w:type="first" r:id="rId14"/>
      <w:pgSz w:w="11906" w:h="16838"/>
      <w:pgMar w:top="2834" w:right="1440" w:bottom="1440" w:left="1440" w:header="283" w:footer="28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25A9F4" w14:textId="77777777" w:rsidR="000E5022" w:rsidRDefault="000E5022">
      <w:pPr>
        <w:spacing w:after="0" w:line="240" w:lineRule="auto"/>
      </w:pPr>
      <w:r>
        <w:separator/>
      </w:r>
    </w:p>
  </w:endnote>
  <w:endnote w:type="continuationSeparator" w:id="0">
    <w:p w14:paraId="2851967A" w14:textId="77777777" w:rsidR="000E5022" w:rsidRDefault="000E5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66" w14:textId="77777777" w:rsidR="00A60392" w:rsidRDefault="00A60392">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63" w14:textId="3C04EEC3" w:rsidR="00A60392" w:rsidRDefault="0000000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6E6CDF">
      <w:rPr>
        <w:noProof/>
        <w:color w:val="000000"/>
      </w:rPr>
      <w:t>1</w:t>
    </w:r>
    <w:r>
      <w:rPr>
        <w:color w:val="000000"/>
      </w:rPr>
      <w:fldChar w:fldCharType="end"/>
    </w:r>
  </w:p>
  <w:p w14:paraId="00000064" w14:textId="77777777" w:rsidR="00A60392" w:rsidRDefault="00A60392">
    <w:pPr>
      <w:pBdr>
        <w:top w:val="nil"/>
        <w:left w:val="nil"/>
        <w:bottom w:val="nil"/>
        <w:right w:val="nil"/>
        <w:between w:val="nil"/>
      </w:pBdr>
      <w:tabs>
        <w:tab w:val="center" w:pos="4513"/>
        <w:tab w:val="right" w:pos="9026"/>
      </w:tabs>
      <w:spacing w:after="0" w:line="240" w:lineRule="auto"/>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65" w14:textId="77777777" w:rsidR="00A60392" w:rsidRDefault="00A60392">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23D603" w14:textId="77777777" w:rsidR="000E5022" w:rsidRDefault="000E5022">
      <w:pPr>
        <w:spacing w:after="0" w:line="240" w:lineRule="auto"/>
      </w:pPr>
      <w:r>
        <w:separator/>
      </w:r>
    </w:p>
  </w:footnote>
  <w:footnote w:type="continuationSeparator" w:id="0">
    <w:p w14:paraId="53A00A56" w14:textId="77777777" w:rsidR="000E5022" w:rsidRDefault="000E5022">
      <w:pPr>
        <w:spacing w:after="0" w:line="240" w:lineRule="auto"/>
      </w:pPr>
      <w:r>
        <w:continuationSeparator/>
      </w:r>
    </w:p>
  </w:footnote>
  <w:footnote w:id="1">
    <w:p w14:paraId="0000006E" w14:textId="77777777" w:rsidR="00A60392" w:rsidRDefault="00000000">
      <w:pPr>
        <w:spacing w:after="0" w:line="240" w:lineRule="auto"/>
        <w:rPr>
          <w:sz w:val="20"/>
          <w:szCs w:val="20"/>
        </w:rPr>
      </w:pPr>
      <w:r>
        <w:rPr>
          <w:rStyle w:val="FootnoteReference"/>
        </w:rPr>
        <w:footnoteRef/>
      </w:r>
      <w:r>
        <w:rPr>
          <w:sz w:val="20"/>
          <w:szCs w:val="20"/>
        </w:rPr>
        <w:t xml:space="preserve"> </w:t>
      </w:r>
      <w:hyperlink r:id="rId1">
        <w:r>
          <w:rPr>
            <w:color w:val="1155CC"/>
            <w:sz w:val="20"/>
            <w:szCs w:val="20"/>
            <w:u w:val="single"/>
          </w:rPr>
          <w:t>https://knews.kathimerini.com.cy/en/news/turkish-cypriot-youths-attacked-during-troodos-trip</w:t>
        </w:r>
      </w:hyperlink>
      <w:r>
        <w:rPr>
          <w:sz w:val="20"/>
          <w:szCs w:val="20"/>
        </w:rPr>
        <w:t xml:space="preserve"> </w:t>
      </w:r>
    </w:p>
  </w:footnote>
  <w:footnote w:id="2">
    <w:p w14:paraId="0000006B" w14:textId="77777777" w:rsidR="00A60392" w:rsidRDefault="00000000">
      <w:pPr>
        <w:spacing w:after="0" w:line="240" w:lineRule="auto"/>
        <w:rPr>
          <w:sz w:val="20"/>
          <w:szCs w:val="20"/>
        </w:rPr>
      </w:pPr>
      <w:r>
        <w:rPr>
          <w:rStyle w:val="FootnoteReference"/>
        </w:rPr>
        <w:footnoteRef/>
      </w:r>
      <w:r>
        <w:rPr>
          <w:sz w:val="20"/>
          <w:szCs w:val="20"/>
        </w:rPr>
        <w:t xml:space="preserve"> CESCR, General Comment No. 20. Non-discrimination in economic, social and cultural rights (art. 2, para. </w:t>
      </w:r>
      <w:proofErr w:type="gramStart"/>
      <w:r>
        <w:rPr>
          <w:sz w:val="20"/>
          <w:szCs w:val="20"/>
        </w:rPr>
        <w:t>2,</w:t>
      </w:r>
      <w:proofErr w:type="gramEnd"/>
      <w:r>
        <w:rPr>
          <w:sz w:val="20"/>
          <w:szCs w:val="20"/>
        </w:rPr>
        <w:t xml:space="preserve"> of the International Covenant on Economic, Social and Cultural Rights), E/C.12/G.20 (2 July 2009), para 32.</w:t>
      </w:r>
    </w:p>
  </w:footnote>
  <w:footnote w:id="3">
    <w:p w14:paraId="0000006C" w14:textId="77777777" w:rsidR="00A60392" w:rsidRDefault="00000000">
      <w:pPr>
        <w:spacing w:after="0" w:line="240" w:lineRule="auto"/>
        <w:rPr>
          <w:sz w:val="20"/>
          <w:szCs w:val="20"/>
        </w:rPr>
      </w:pPr>
      <w:r>
        <w:rPr>
          <w:rStyle w:val="FootnoteReference"/>
        </w:rPr>
        <w:footnoteRef/>
      </w:r>
      <w:r>
        <w:rPr>
          <w:sz w:val="20"/>
          <w:szCs w:val="20"/>
        </w:rPr>
        <w:t xml:space="preserve"> Concluding Observations Lithuania (2023), E/C.12/LTU/CO/3, para 15(b); Concluding Observations China (n 24), para 104(b); Concluding Observations Bahrain (2022), E/C.12/BHR/1, para 15(e</w:t>
      </w:r>
      <w:proofErr w:type="gramStart"/>
      <w:r>
        <w:rPr>
          <w:sz w:val="20"/>
          <w:szCs w:val="20"/>
        </w:rPr>
        <w:t>);.</w:t>
      </w:r>
      <w:proofErr w:type="gramEnd"/>
    </w:p>
  </w:footnote>
  <w:footnote w:id="4">
    <w:p w14:paraId="0000006D" w14:textId="77777777" w:rsidR="00A60392" w:rsidRDefault="00000000">
      <w:pPr>
        <w:spacing w:after="0" w:line="240" w:lineRule="auto"/>
        <w:rPr>
          <w:sz w:val="20"/>
          <w:szCs w:val="20"/>
        </w:rPr>
      </w:pPr>
      <w:r>
        <w:rPr>
          <w:rStyle w:val="FootnoteReference"/>
        </w:rPr>
        <w:footnoteRef/>
      </w:r>
      <w:r>
        <w:rPr>
          <w:sz w:val="20"/>
          <w:szCs w:val="20"/>
        </w:rPr>
        <w:t xml:space="preserve"> </w:t>
      </w:r>
      <w:hyperlink r:id="rId2" w:anchor="8628/0/0">
        <w:r>
          <w:rPr>
            <w:color w:val="1155CC"/>
            <w:sz w:val="20"/>
            <w:szCs w:val="20"/>
            <w:u w:val="single"/>
          </w:rPr>
          <w:t>https://www.rainbow-europe.org/#8628/0/0</w:t>
        </w:r>
      </w:hyperlink>
      <w:r>
        <w:rPr>
          <w:sz w:val="20"/>
          <w:szCs w:val="20"/>
        </w:rPr>
        <w:t xml:space="preserve"> </w:t>
      </w:r>
    </w:p>
  </w:footnote>
  <w:footnote w:id="5">
    <w:p w14:paraId="00000068" w14:textId="77777777" w:rsidR="00A60392" w:rsidRDefault="00000000">
      <w:pPr>
        <w:spacing w:after="0" w:line="240" w:lineRule="auto"/>
        <w:rPr>
          <w:sz w:val="20"/>
          <w:szCs w:val="20"/>
        </w:rPr>
      </w:pPr>
      <w:r>
        <w:rPr>
          <w:rStyle w:val="FootnoteReference"/>
        </w:rPr>
        <w:footnoteRef/>
      </w:r>
      <w:r>
        <w:rPr>
          <w:sz w:val="20"/>
          <w:szCs w:val="20"/>
        </w:rPr>
        <w:t xml:space="preserve"> </w:t>
      </w:r>
      <w:hyperlink r:id="rId3">
        <w:r>
          <w:rPr>
            <w:color w:val="1155CC"/>
            <w:sz w:val="20"/>
            <w:szCs w:val="20"/>
            <w:u w:val="single"/>
          </w:rPr>
          <w:t>https://upr-info.org/sites/default/files/country-document/2024-02/FactSheet_Mixed_Marriages.pdf</w:t>
        </w:r>
      </w:hyperlink>
      <w:r>
        <w:rPr>
          <w:sz w:val="20"/>
          <w:szCs w:val="20"/>
        </w:rPr>
        <w:t xml:space="preserve"> </w:t>
      </w:r>
    </w:p>
  </w:footnote>
  <w:footnote w:id="6">
    <w:p w14:paraId="00000067" w14:textId="77777777" w:rsidR="00A60392" w:rsidRDefault="00000000">
      <w:pPr>
        <w:spacing w:after="0" w:line="240" w:lineRule="auto"/>
        <w:rPr>
          <w:sz w:val="20"/>
          <w:szCs w:val="20"/>
        </w:rPr>
      </w:pPr>
      <w:r>
        <w:rPr>
          <w:rStyle w:val="FootnoteReference"/>
        </w:rPr>
        <w:footnoteRef/>
      </w:r>
      <w:r>
        <w:rPr>
          <w:sz w:val="20"/>
          <w:szCs w:val="20"/>
        </w:rPr>
        <w:t xml:space="preserve"> </w:t>
      </w:r>
      <w:hyperlink r:id="rId4">
        <w:r>
          <w:rPr>
            <w:color w:val="1155CC"/>
            <w:sz w:val="20"/>
            <w:szCs w:val="20"/>
            <w:u w:val="single"/>
          </w:rPr>
          <w:t>https://in-cyprus.philenews.com/local/ombudswoman-publishing-scholarship-announcements-in-greek-discriminates-against-non-native-speakers/</w:t>
        </w:r>
      </w:hyperlink>
      <w:r>
        <w:rPr>
          <w:sz w:val="20"/>
          <w:szCs w:val="20"/>
        </w:rPr>
        <w:t xml:space="preserve"> </w:t>
      </w:r>
    </w:p>
  </w:footnote>
  <w:footnote w:id="7">
    <w:p w14:paraId="37676196" w14:textId="11911059" w:rsidR="00FA209E" w:rsidRPr="00FA209E" w:rsidRDefault="00FA209E">
      <w:pPr>
        <w:pStyle w:val="FootnoteText"/>
      </w:pPr>
      <w:r>
        <w:rPr>
          <w:rStyle w:val="FootnoteReference"/>
        </w:rPr>
        <w:footnoteRef/>
      </w:r>
      <w:r>
        <w:t xml:space="preserve"> </w:t>
      </w:r>
      <w:proofErr w:type="gramStart"/>
      <w:r w:rsidRPr="00FA209E">
        <w:rPr>
          <w:lang w:val="en-GB"/>
        </w:rPr>
        <w:t>The Constitution of the Republic of Cyprus,</w:t>
      </w:r>
      <w:proofErr w:type="gramEnd"/>
      <w:r w:rsidRPr="00FA209E">
        <w:rPr>
          <w:lang w:val="en-GB"/>
        </w:rPr>
        <w:t xml:space="preserve"> specifically Articles 123 mandated that Turkish Cypriots were to hold 30% of public service positions reflecting the bi-communal nature of the state.</w:t>
      </w:r>
    </w:p>
  </w:footnote>
  <w:footnote w:id="8">
    <w:p w14:paraId="0000006F" w14:textId="77777777" w:rsidR="00A60392" w:rsidRDefault="00000000">
      <w:pPr>
        <w:spacing w:after="0" w:line="240" w:lineRule="auto"/>
        <w:rPr>
          <w:sz w:val="20"/>
          <w:szCs w:val="20"/>
        </w:rPr>
      </w:pPr>
      <w:r>
        <w:rPr>
          <w:rStyle w:val="FootnoteReference"/>
        </w:rPr>
        <w:footnoteRef/>
      </w:r>
      <w:r>
        <w:rPr>
          <w:sz w:val="20"/>
          <w:szCs w:val="20"/>
        </w:rPr>
        <w:t xml:space="preserve"> </w:t>
      </w:r>
      <w:hyperlink r:id="rId5">
        <w:r>
          <w:rPr>
            <w:color w:val="1155CC"/>
            <w:sz w:val="20"/>
            <w:szCs w:val="20"/>
            <w:u w:val="single"/>
          </w:rPr>
          <w:t>https://tbinternet.ohchr.org/_layouts/15/treatybodyexternal/Download.aspx?symbolno=INT%2FCESCR%2FARL%2FCYP%2F56467&amp;Lang=en</w:t>
        </w:r>
      </w:hyperlink>
    </w:p>
  </w:footnote>
  <w:footnote w:id="9">
    <w:p w14:paraId="00000069" w14:textId="77777777" w:rsidR="00A60392" w:rsidRDefault="00000000">
      <w:pPr>
        <w:spacing w:after="0" w:line="240" w:lineRule="auto"/>
        <w:rPr>
          <w:sz w:val="20"/>
          <w:szCs w:val="20"/>
        </w:rPr>
      </w:pPr>
      <w:r>
        <w:rPr>
          <w:rStyle w:val="FootnoteReference"/>
        </w:rPr>
        <w:footnoteRef/>
      </w:r>
      <w:r>
        <w:rPr>
          <w:sz w:val="20"/>
          <w:szCs w:val="20"/>
        </w:rPr>
        <w:t xml:space="preserve"> </w:t>
      </w:r>
      <w:hyperlink r:id="rId6">
        <w:r>
          <w:rPr>
            <w:color w:val="1155CC"/>
            <w:sz w:val="20"/>
            <w:szCs w:val="20"/>
            <w:u w:val="single"/>
          </w:rPr>
          <w:t>http://www.cylaw.org/nomoi/enop/ind/0_154/section-sc4db3754e-cae5-70a3-acd6-c77ffe490bea.html</w:t>
        </w:r>
      </w:hyperlink>
      <w:r>
        <w:rPr>
          <w:sz w:val="20"/>
          <w:szCs w:val="20"/>
        </w:rPr>
        <w:t xml:space="preserve"> </w:t>
      </w:r>
    </w:p>
  </w:footnote>
  <w:footnote w:id="10">
    <w:p w14:paraId="0000006A" w14:textId="77777777" w:rsidR="00A60392" w:rsidRDefault="00000000">
      <w:pPr>
        <w:spacing w:after="0" w:line="240" w:lineRule="auto"/>
        <w:rPr>
          <w:sz w:val="20"/>
          <w:szCs w:val="20"/>
        </w:rPr>
      </w:pPr>
      <w:r>
        <w:rPr>
          <w:rStyle w:val="FootnoteReference"/>
        </w:rPr>
        <w:footnoteRef/>
      </w:r>
      <w:r>
        <w:rPr>
          <w:sz w:val="20"/>
          <w:szCs w:val="20"/>
        </w:rPr>
        <w:t xml:space="preserve"> </w:t>
      </w:r>
      <w:hyperlink r:id="rId7">
        <w:r>
          <w:rPr>
            <w:color w:val="1155CC"/>
            <w:sz w:val="20"/>
            <w:szCs w:val="20"/>
            <w:u w:val="single"/>
          </w:rPr>
          <w:t>https://cyprus-mail.com/2023/05/25/parliament-passes-bill-criminalising-conversion-therapy/</w:t>
        </w:r>
      </w:hyperlink>
      <w:r>
        <w:rPr>
          <w:sz w:val="20"/>
          <w:szCs w:val="20"/>
        </w:rPr>
        <w:t xml:space="preserve"> </w:t>
      </w:r>
    </w:p>
  </w:footnote>
  <w:footnote w:id="11">
    <w:p w14:paraId="00000074" w14:textId="77777777" w:rsidR="00A60392" w:rsidRDefault="00000000">
      <w:pPr>
        <w:spacing w:after="0" w:line="240" w:lineRule="auto"/>
        <w:rPr>
          <w:sz w:val="20"/>
          <w:szCs w:val="20"/>
        </w:rPr>
      </w:pPr>
      <w:r>
        <w:rPr>
          <w:rStyle w:val="FootnoteReference"/>
        </w:rPr>
        <w:footnoteRef/>
      </w:r>
      <w:r>
        <w:rPr>
          <w:sz w:val="20"/>
          <w:szCs w:val="20"/>
        </w:rPr>
        <w:t xml:space="preserve"> The following paragraph is written in collaboration with Christos </w:t>
      </w:r>
      <w:proofErr w:type="spellStart"/>
      <w:r>
        <w:rPr>
          <w:sz w:val="20"/>
          <w:szCs w:val="20"/>
        </w:rPr>
        <w:t>Krasidis</w:t>
      </w:r>
      <w:proofErr w:type="spellEnd"/>
      <w:r>
        <w:rPr>
          <w:sz w:val="20"/>
          <w:szCs w:val="20"/>
        </w:rPr>
        <w:t xml:space="preserve">, the Community Expert on sexual health issues and Chair of the AIDS Solidarity Movement. </w:t>
      </w:r>
    </w:p>
  </w:footnote>
  <w:footnote w:id="12">
    <w:p w14:paraId="00000070" w14:textId="77777777" w:rsidR="00A60392" w:rsidRDefault="00000000">
      <w:pPr>
        <w:spacing w:after="0" w:line="240" w:lineRule="auto"/>
        <w:rPr>
          <w:sz w:val="20"/>
          <w:szCs w:val="20"/>
        </w:rPr>
      </w:pPr>
      <w:r>
        <w:rPr>
          <w:rStyle w:val="FootnoteReference"/>
        </w:rPr>
        <w:footnoteRef/>
      </w:r>
      <w:r>
        <w:rPr>
          <w:sz w:val="20"/>
          <w:szCs w:val="20"/>
        </w:rPr>
        <w:t xml:space="preserve"> National and Community Data, AIDS Solidarity Movement (2024), presented in the Cyprus National Addictions Authority Conference on "Vaccinations and testing for infectious diseases among vulnerable populations, </w:t>
      </w:r>
      <w:hyperlink r:id="rId8">
        <w:r>
          <w:rPr>
            <w:color w:val="1155CC"/>
            <w:sz w:val="20"/>
            <w:szCs w:val="20"/>
            <w:u w:val="single"/>
          </w:rPr>
          <w:t>https://www.naac.org.cy/uploads/56eaa14141.pdf</w:t>
        </w:r>
      </w:hyperlink>
      <w:r>
        <w:rPr>
          <w:sz w:val="20"/>
          <w:szCs w:val="20"/>
        </w:rPr>
        <w:t xml:space="preserve"> </w:t>
      </w:r>
    </w:p>
  </w:footnote>
  <w:footnote w:id="13">
    <w:p w14:paraId="00000072" w14:textId="77777777" w:rsidR="00A60392" w:rsidRDefault="00000000">
      <w:pPr>
        <w:spacing w:after="0" w:line="240" w:lineRule="auto"/>
        <w:rPr>
          <w:sz w:val="20"/>
          <w:szCs w:val="20"/>
        </w:rPr>
      </w:pPr>
      <w:r>
        <w:rPr>
          <w:rStyle w:val="FootnoteReference"/>
        </w:rPr>
        <w:footnoteRef/>
      </w:r>
      <w:r>
        <w:rPr>
          <w:sz w:val="20"/>
          <w:szCs w:val="20"/>
        </w:rPr>
        <w:t xml:space="preserve"> Psychological and Social Needs of People Living with HIV and/or AIDS Patients, University of Nicosia, AIDS Solidarity Movement, Gregorios Clinic, </w:t>
      </w:r>
      <w:hyperlink r:id="rId9">
        <w:r>
          <w:rPr>
            <w:color w:val="1155CC"/>
            <w:sz w:val="20"/>
            <w:szCs w:val="20"/>
            <w:u w:val="single"/>
          </w:rPr>
          <w:t>http://asmcyprus.org/download/2021-HIV-survey-english.pdf</w:t>
        </w:r>
      </w:hyperlink>
      <w:r>
        <w:rPr>
          <w:sz w:val="20"/>
          <w:szCs w:val="20"/>
        </w:rPr>
        <w:t xml:space="preserve"> </w:t>
      </w:r>
    </w:p>
  </w:footnote>
  <w:footnote w:id="14">
    <w:p w14:paraId="00000073" w14:textId="77777777" w:rsidR="00A60392" w:rsidRDefault="00000000">
      <w:pPr>
        <w:spacing w:after="0" w:line="240" w:lineRule="auto"/>
        <w:rPr>
          <w:sz w:val="20"/>
          <w:szCs w:val="20"/>
        </w:rPr>
      </w:pPr>
      <w:r>
        <w:rPr>
          <w:rStyle w:val="FootnoteReference"/>
        </w:rPr>
        <w:footnoteRef/>
      </w:r>
      <w:r>
        <w:rPr>
          <w:sz w:val="20"/>
          <w:szCs w:val="20"/>
        </w:rPr>
        <w:t xml:space="preserve"> HIV/AIDS surveillance in Europe 2023 (2022 data), ECDC / WHO, </w:t>
      </w:r>
      <w:hyperlink r:id="rId10">
        <w:r>
          <w:rPr>
            <w:color w:val="1155CC"/>
            <w:sz w:val="20"/>
            <w:szCs w:val="20"/>
            <w:u w:val="single"/>
          </w:rPr>
          <w:t>https://www.ecdc.europa.eu/en/publicationsdata/hivaids-surveillance-europe-2023-2022-data</w:t>
        </w:r>
      </w:hyperlink>
      <w:r>
        <w:rPr>
          <w:sz w:val="20"/>
          <w:szCs w:val="20"/>
        </w:rPr>
        <w:t xml:space="preserve"> </w:t>
      </w:r>
    </w:p>
  </w:footnote>
  <w:footnote w:id="15">
    <w:p w14:paraId="00000071" w14:textId="77777777" w:rsidR="00A60392" w:rsidRDefault="00000000">
      <w:pPr>
        <w:spacing w:after="0" w:line="240" w:lineRule="auto"/>
        <w:rPr>
          <w:sz w:val="20"/>
          <w:szCs w:val="20"/>
        </w:rPr>
      </w:pPr>
      <w:r>
        <w:rPr>
          <w:rStyle w:val="FootnoteReference"/>
        </w:rPr>
        <w:footnoteRef/>
      </w:r>
      <w:r>
        <w:rPr>
          <w:sz w:val="20"/>
          <w:szCs w:val="20"/>
        </w:rPr>
        <w:t xml:space="preserve"> National and Community Data, AIDS Solidarity Movement (2024), presented in the Cyprus National Addictions Authority Conference on "Vaccinations and testing for infectious diseases among vulnerable populations, </w:t>
      </w:r>
      <w:hyperlink r:id="rId11">
        <w:r>
          <w:rPr>
            <w:color w:val="1155CC"/>
            <w:sz w:val="20"/>
            <w:szCs w:val="20"/>
            <w:u w:val="single"/>
          </w:rPr>
          <w:t>https://www.naac.org.cy/uploads/56eaa14141.pdf</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62" w14:textId="77777777" w:rsidR="00A60392" w:rsidRDefault="000E5022">
    <w:pPr>
      <w:pBdr>
        <w:top w:val="nil"/>
        <w:left w:val="nil"/>
        <w:bottom w:val="nil"/>
        <w:right w:val="nil"/>
        <w:between w:val="nil"/>
      </w:pBdr>
      <w:tabs>
        <w:tab w:val="center" w:pos="4513"/>
        <w:tab w:val="right" w:pos="9026"/>
      </w:tabs>
      <w:spacing w:after="0" w:line="240" w:lineRule="auto"/>
      <w:rPr>
        <w:color w:val="000000"/>
      </w:rPr>
    </w:pPr>
    <w:r>
      <w:rPr>
        <w:color w:val="000000"/>
      </w:rPr>
      <w:pict w14:anchorId="675267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margin-left:0;margin-top:0;width:620.25pt;height:877pt;z-index:-251657728;mso-wrap-edited:f;mso-width-percent:0;mso-height-percent:0;mso-position-horizontal:center;mso-position-horizontal-relative:margin;mso-position-vertical:center;mso-position-vertical-relative:margin;mso-width-percent:0;mso-height-percent:0" o:allowincell="f">
          <v:imagedata r:id="rId1" o:title="insan_haklari_platformu_antetli"/>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60" w14:textId="77777777" w:rsidR="00A60392" w:rsidRDefault="000E5022">
    <w:pPr>
      <w:pBdr>
        <w:top w:val="nil"/>
        <w:left w:val="nil"/>
        <w:bottom w:val="nil"/>
        <w:right w:val="nil"/>
        <w:between w:val="nil"/>
      </w:pBdr>
      <w:tabs>
        <w:tab w:val="center" w:pos="4513"/>
        <w:tab w:val="right" w:pos="9026"/>
      </w:tabs>
      <w:spacing w:after="0" w:line="240" w:lineRule="auto"/>
      <w:rPr>
        <w:color w:val="000000"/>
      </w:rPr>
    </w:pPr>
    <w:r>
      <w:pict w14:anchorId="6138A1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72.5pt;margin-top:-141.7pt;width:596.25pt;height:842.65pt;z-index:-251659776;mso-wrap-edited:f;mso-width-percent:0;mso-height-percent:0;mso-position-horizontal:absolute;mso-position-horizontal-relative:margin;mso-position-vertical:absolute;mso-position-vertical-relative:margin;mso-width-percent:0;mso-height-percent:0">
          <v:imagedata r:id="rId1" o:title="image2" croptop="439f" cropbottom="-439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61" w14:textId="77777777" w:rsidR="00A60392" w:rsidRDefault="000E5022">
    <w:pPr>
      <w:pBdr>
        <w:top w:val="nil"/>
        <w:left w:val="nil"/>
        <w:bottom w:val="nil"/>
        <w:right w:val="nil"/>
        <w:between w:val="nil"/>
      </w:pBdr>
      <w:tabs>
        <w:tab w:val="center" w:pos="4513"/>
        <w:tab w:val="right" w:pos="9026"/>
      </w:tabs>
      <w:spacing w:after="0" w:line="240" w:lineRule="auto"/>
      <w:rPr>
        <w:color w:val="000000"/>
      </w:rPr>
    </w:pPr>
    <w:r>
      <w:pict w14:anchorId="69C253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72.75pt;margin-top:-143.2pt;width:596.55pt;height:843.15pt;z-index:-251658752;mso-wrap-edited:f;mso-width-percent:0;mso-height-percent:0;mso-position-horizontal:absolute;mso-position-horizontal-relative:margin;mso-position-vertical:absolute;mso-position-vertical-relative:margin;mso-width-percent:0;mso-height-percent:0">
          <v:imagedata r:id="rId1" o:title="image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003FD"/>
    <w:multiLevelType w:val="multilevel"/>
    <w:tmpl w:val="40F8FB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3E22E7"/>
    <w:multiLevelType w:val="multilevel"/>
    <w:tmpl w:val="56DC8E78"/>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31216AD7"/>
    <w:multiLevelType w:val="multilevel"/>
    <w:tmpl w:val="22EAD2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4D34695"/>
    <w:multiLevelType w:val="multilevel"/>
    <w:tmpl w:val="2BC825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AA63331"/>
    <w:multiLevelType w:val="multilevel"/>
    <w:tmpl w:val="4F0023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16335C5"/>
    <w:multiLevelType w:val="multilevel"/>
    <w:tmpl w:val="F9583C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63769A8"/>
    <w:multiLevelType w:val="multilevel"/>
    <w:tmpl w:val="335CCF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9CC6BEC"/>
    <w:multiLevelType w:val="multilevel"/>
    <w:tmpl w:val="06F41F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CAA506B"/>
    <w:multiLevelType w:val="multilevel"/>
    <w:tmpl w:val="B5DE79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52766404">
    <w:abstractNumId w:val="2"/>
  </w:num>
  <w:num w:numId="2" w16cid:durableId="918247635">
    <w:abstractNumId w:val="0"/>
  </w:num>
  <w:num w:numId="3" w16cid:durableId="1331056733">
    <w:abstractNumId w:val="8"/>
  </w:num>
  <w:num w:numId="4" w16cid:durableId="1021588368">
    <w:abstractNumId w:val="3"/>
  </w:num>
  <w:num w:numId="5" w16cid:durableId="113327050">
    <w:abstractNumId w:val="7"/>
  </w:num>
  <w:num w:numId="6" w16cid:durableId="1135298109">
    <w:abstractNumId w:val="1"/>
  </w:num>
  <w:num w:numId="7" w16cid:durableId="1855801398">
    <w:abstractNumId w:val="6"/>
  </w:num>
  <w:num w:numId="8" w16cid:durableId="727457966">
    <w:abstractNumId w:val="4"/>
  </w:num>
  <w:num w:numId="9" w16cid:durableId="2099247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392"/>
    <w:rsid w:val="000E5022"/>
    <w:rsid w:val="0011656D"/>
    <w:rsid w:val="006E6CDF"/>
    <w:rsid w:val="00910602"/>
    <w:rsid w:val="00A60392"/>
    <w:rsid w:val="00CB05D7"/>
    <w:rsid w:val="00FA209E"/>
  </w:rsids>
  <m:mathPr>
    <m:mathFont m:val="Cambria Math"/>
    <m:brkBin m:val="before"/>
    <m:brkBinSub m:val="--"/>
    <m:smallFrac m:val="0"/>
    <m:dispDef/>
    <m:lMargin m:val="0"/>
    <m:rMargin m:val="0"/>
    <m:defJc m:val="centerGroup"/>
    <m:wrapIndent m:val="1440"/>
    <m:intLim m:val="subSup"/>
    <m:naryLim m:val="undOvr"/>
  </m:mathPr>
  <w:themeFontLang w:val="en-C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EA350"/>
  <w15:docId w15:val="{CB051B0E-0469-5C47-9792-0572F1A9E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51B"/>
  </w:style>
  <w:style w:type="paragraph" w:styleId="Heading1">
    <w:name w:val="heading 1"/>
    <w:basedOn w:val="Normal"/>
    <w:next w:val="Normal"/>
    <w:link w:val="Heading1Char"/>
    <w:uiPriority w:val="9"/>
    <w:qFormat/>
    <w:rsid w:val="00F57334"/>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hu-HU"/>
    </w:rPr>
  </w:style>
  <w:style w:type="paragraph" w:styleId="Heading2">
    <w:name w:val="heading 2"/>
    <w:basedOn w:val="Normal"/>
    <w:next w:val="Normal"/>
    <w:link w:val="Heading2Char"/>
    <w:uiPriority w:val="9"/>
    <w:unhideWhenUsed/>
    <w:qFormat/>
    <w:rsid w:val="00F57334"/>
    <w:pPr>
      <w:keepNext/>
      <w:keepLines/>
      <w:spacing w:before="40" w:after="0" w:line="259" w:lineRule="auto"/>
      <w:outlineLvl w:val="1"/>
    </w:pPr>
    <w:rPr>
      <w:rFonts w:asciiTheme="majorHAnsi" w:eastAsiaTheme="majorEastAsia" w:hAnsiTheme="majorHAnsi" w:cstheme="majorBidi"/>
      <w:color w:val="365F91" w:themeColor="accent1" w:themeShade="BF"/>
      <w:sz w:val="26"/>
      <w:szCs w:val="26"/>
      <w:lang w:val="hu-HU"/>
    </w:rPr>
  </w:style>
  <w:style w:type="paragraph" w:styleId="Heading3">
    <w:name w:val="heading 3"/>
    <w:basedOn w:val="Normal"/>
    <w:next w:val="Normal"/>
    <w:link w:val="Heading3Char"/>
    <w:uiPriority w:val="9"/>
    <w:semiHidden/>
    <w:unhideWhenUsed/>
    <w:qFormat/>
    <w:rsid w:val="00F57334"/>
    <w:pPr>
      <w:keepNext/>
      <w:keepLines/>
      <w:spacing w:before="40" w:after="0" w:line="259" w:lineRule="auto"/>
      <w:outlineLvl w:val="2"/>
    </w:pPr>
    <w:rPr>
      <w:rFonts w:asciiTheme="majorHAnsi" w:eastAsiaTheme="majorEastAsia" w:hAnsiTheme="majorHAnsi" w:cstheme="majorBidi"/>
      <w:color w:val="243F60" w:themeColor="accent1" w:themeShade="7F"/>
      <w:sz w:val="24"/>
      <w:szCs w:val="24"/>
      <w:lang w:val="hu-HU"/>
    </w:rPr>
  </w:style>
  <w:style w:type="paragraph" w:styleId="Heading4">
    <w:name w:val="heading 4"/>
    <w:basedOn w:val="Normal"/>
    <w:next w:val="Normal"/>
    <w:link w:val="Heading4Char"/>
    <w:uiPriority w:val="9"/>
    <w:semiHidden/>
    <w:unhideWhenUsed/>
    <w:qFormat/>
    <w:rsid w:val="00F57334"/>
    <w:pPr>
      <w:keepNext/>
      <w:keepLines/>
      <w:spacing w:before="40" w:after="0" w:line="259" w:lineRule="auto"/>
      <w:outlineLvl w:val="3"/>
    </w:pPr>
    <w:rPr>
      <w:rFonts w:asciiTheme="majorHAnsi" w:eastAsiaTheme="majorEastAsia" w:hAnsiTheme="majorHAnsi" w:cstheme="majorBidi"/>
      <w:i/>
      <w:iCs/>
      <w:color w:val="365F91" w:themeColor="accent1" w:themeShade="BF"/>
      <w:lang w:val="hu-HU"/>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E66C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CEF"/>
  </w:style>
  <w:style w:type="paragraph" w:styleId="Footer">
    <w:name w:val="footer"/>
    <w:basedOn w:val="Normal"/>
    <w:link w:val="FooterChar"/>
    <w:uiPriority w:val="99"/>
    <w:unhideWhenUsed/>
    <w:rsid w:val="00E66C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CEF"/>
  </w:style>
  <w:style w:type="paragraph" w:styleId="BalloonText">
    <w:name w:val="Balloon Text"/>
    <w:basedOn w:val="Normal"/>
    <w:link w:val="BalloonTextChar"/>
    <w:uiPriority w:val="99"/>
    <w:semiHidden/>
    <w:unhideWhenUsed/>
    <w:rsid w:val="00E66C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6CEF"/>
    <w:rPr>
      <w:rFonts w:ascii="Tahoma" w:hAnsi="Tahoma" w:cs="Tahoma"/>
      <w:sz w:val="16"/>
      <w:szCs w:val="16"/>
    </w:rPr>
  </w:style>
  <w:style w:type="character" w:customStyle="1" w:styleId="Heading1Char">
    <w:name w:val="Heading 1 Char"/>
    <w:basedOn w:val="DefaultParagraphFont"/>
    <w:link w:val="Heading1"/>
    <w:uiPriority w:val="9"/>
    <w:rsid w:val="00F57334"/>
    <w:rPr>
      <w:rFonts w:asciiTheme="majorHAnsi" w:eastAsiaTheme="majorEastAsia" w:hAnsiTheme="majorHAnsi" w:cstheme="majorBidi"/>
      <w:color w:val="365F91" w:themeColor="accent1" w:themeShade="BF"/>
      <w:sz w:val="32"/>
      <w:szCs w:val="32"/>
      <w:lang w:val="hu-HU"/>
    </w:rPr>
  </w:style>
  <w:style w:type="character" w:customStyle="1" w:styleId="Heading2Char">
    <w:name w:val="Heading 2 Char"/>
    <w:basedOn w:val="DefaultParagraphFont"/>
    <w:link w:val="Heading2"/>
    <w:uiPriority w:val="9"/>
    <w:rsid w:val="00F57334"/>
    <w:rPr>
      <w:rFonts w:asciiTheme="majorHAnsi" w:eastAsiaTheme="majorEastAsia" w:hAnsiTheme="majorHAnsi" w:cstheme="majorBidi"/>
      <w:color w:val="365F91" w:themeColor="accent1" w:themeShade="BF"/>
      <w:sz w:val="26"/>
      <w:szCs w:val="26"/>
      <w:lang w:val="hu-HU"/>
    </w:rPr>
  </w:style>
  <w:style w:type="character" w:customStyle="1" w:styleId="Heading3Char">
    <w:name w:val="Heading 3 Char"/>
    <w:basedOn w:val="DefaultParagraphFont"/>
    <w:link w:val="Heading3"/>
    <w:uiPriority w:val="9"/>
    <w:semiHidden/>
    <w:rsid w:val="00F57334"/>
    <w:rPr>
      <w:rFonts w:asciiTheme="majorHAnsi" w:eastAsiaTheme="majorEastAsia" w:hAnsiTheme="majorHAnsi" w:cstheme="majorBidi"/>
      <w:color w:val="243F60" w:themeColor="accent1" w:themeShade="7F"/>
      <w:sz w:val="24"/>
      <w:szCs w:val="24"/>
      <w:lang w:val="hu-HU"/>
    </w:rPr>
  </w:style>
  <w:style w:type="character" w:customStyle="1" w:styleId="Heading4Char">
    <w:name w:val="Heading 4 Char"/>
    <w:basedOn w:val="DefaultParagraphFont"/>
    <w:link w:val="Heading4"/>
    <w:uiPriority w:val="9"/>
    <w:semiHidden/>
    <w:rsid w:val="00F57334"/>
    <w:rPr>
      <w:rFonts w:asciiTheme="majorHAnsi" w:eastAsiaTheme="majorEastAsia" w:hAnsiTheme="majorHAnsi" w:cstheme="majorBidi"/>
      <w:i/>
      <w:iCs/>
      <w:color w:val="365F91" w:themeColor="accent1" w:themeShade="BF"/>
      <w:lang w:val="hu-HU"/>
    </w:rPr>
  </w:style>
  <w:style w:type="paragraph" w:styleId="ListParagraph">
    <w:name w:val="List Paragraph"/>
    <w:basedOn w:val="Normal"/>
    <w:uiPriority w:val="34"/>
    <w:qFormat/>
    <w:rsid w:val="00F57334"/>
    <w:pPr>
      <w:spacing w:after="160" w:line="259" w:lineRule="auto"/>
      <w:ind w:left="720"/>
      <w:contextualSpacing/>
    </w:pPr>
    <w:rPr>
      <w:lang w:val="hu-HU"/>
    </w:rPr>
  </w:style>
  <w:style w:type="character" w:styleId="Hyperlink">
    <w:name w:val="Hyperlink"/>
    <w:basedOn w:val="DefaultParagraphFont"/>
    <w:uiPriority w:val="99"/>
    <w:unhideWhenUsed/>
    <w:rsid w:val="00F57334"/>
    <w:rPr>
      <w:color w:val="0000FF" w:themeColor="hyperlink"/>
      <w:u w:val="single"/>
    </w:rPr>
  </w:style>
  <w:style w:type="paragraph" w:styleId="FootnoteText">
    <w:name w:val="footnote text"/>
    <w:aliases w:val="5_G,Car Car,Fago Fußnotentext Char Char,Fago Fußnotentext Char Car Car,Fago Fußnotentext Char Car,Fago Footnotes Char Car Car,Fago Footnotes Char Car Car Car Car,Fago Footnotes Char Car Car Car Car Car Car Ca Car,Fago Fußnotentext,Fußnote"/>
    <w:basedOn w:val="Normal"/>
    <w:link w:val="FootnoteTextChar"/>
    <w:unhideWhenUsed/>
    <w:qFormat/>
    <w:rsid w:val="00F57334"/>
    <w:pPr>
      <w:spacing w:after="0" w:line="240" w:lineRule="auto"/>
    </w:pPr>
    <w:rPr>
      <w:sz w:val="20"/>
      <w:szCs w:val="20"/>
      <w:lang w:val="hu-HU"/>
    </w:rPr>
  </w:style>
  <w:style w:type="character" w:customStyle="1" w:styleId="FootnoteTextChar">
    <w:name w:val="Footnote Text Char"/>
    <w:aliases w:val="5_G Char,Car Car Char,Fago Fußnotentext Char Char Char,Fago Fußnotentext Char Car Car Char,Fago Fußnotentext Char Car Char,Fago Footnotes Char Car Car Char,Fago Footnotes Char Car Car Car Car Char,Fago Fußnotentext Char,Fußnote Char"/>
    <w:basedOn w:val="DefaultParagraphFont"/>
    <w:link w:val="FootnoteText"/>
    <w:rsid w:val="00F57334"/>
    <w:rPr>
      <w:sz w:val="20"/>
      <w:szCs w:val="20"/>
      <w:lang w:val="hu-HU"/>
    </w:rPr>
  </w:style>
  <w:style w:type="character" w:styleId="FootnoteReference">
    <w:name w:val="footnote reference"/>
    <w:aliases w:val="4_G,callout,Footnote Refernece,Footnote Reference Number,Fußnotenzeichen_Raxen,BVI fnr,Fago Fußnotenzeichen,Footnotes refss,Footnote Ref,16 Point,Superscript 6 Point,Ref,de nota al pie,Footnote,ftref,Footnote symbol,Footnote text,снос"/>
    <w:basedOn w:val="DefaultParagraphFont"/>
    <w:link w:val="4GCharCharCharCharCharChar"/>
    <w:uiPriority w:val="99"/>
    <w:unhideWhenUsed/>
    <w:qFormat/>
    <w:rsid w:val="00F57334"/>
    <w:rPr>
      <w:vertAlign w:val="superscript"/>
    </w:rPr>
  </w:style>
  <w:style w:type="paragraph" w:styleId="TOCHeading">
    <w:name w:val="TOC Heading"/>
    <w:basedOn w:val="Heading1"/>
    <w:next w:val="Normal"/>
    <w:uiPriority w:val="39"/>
    <w:unhideWhenUsed/>
    <w:qFormat/>
    <w:rsid w:val="00F57334"/>
    <w:pPr>
      <w:outlineLvl w:val="9"/>
    </w:pPr>
    <w:rPr>
      <w:lang w:eastAsia="hu-HU"/>
    </w:rPr>
  </w:style>
  <w:style w:type="paragraph" w:styleId="TOC1">
    <w:name w:val="toc 1"/>
    <w:basedOn w:val="Normal"/>
    <w:next w:val="Normal"/>
    <w:autoRedefine/>
    <w:uiPriority w:val="39"/>
    <w:unhideWhenUsed/>
    <w:rsid w:val="00F57334"/>
    <w:pPr>
      <w:spacing w:after="100" w:line="259" w:lineRule="auto"/>
    </w:pPr>
    <w:rPr>
      <w:lang w:val="hu-HU"/>
    </w:rPr>
  </w:style>
  <w:style w:type="paragraph" w:styleId="TOC2">
    <w:name w:val="toc 2"/>
    <w:basedOn w:val="Normal"/>
    <w:next w:val="Normal"/>
    <w:autoRedefine/>
    <w:uiPriority w:val="39"/>
    <w:unhideWhenUsed/>
    <w:rsid w:val="00F57334"/>
    <w:pPr>
      <w:spacing w:after="100" w:line="259" w:lineRule="auto"/>
      <w:ind w:left="220"/>
    </w:pPr>
    <w:rPr>
      <w:lang w:val="hu-HU"/>
    </w:rPr>
  </w:style>
  <w:style w:type="paragraph" w:styleId="TOC3">
    <w:name w:val="toc 3"/>
    <w:basedOn w:val="Normal"/>
    <w:next w:val="Normal"/>
    <w:autoRedefine/>
    <w:uiPriority w:val="39"/>
    <w:unhideWhenUsed/>
    <w:rsid w:val="00F57334"/>
    <w:pPr>
      <w:spacing w:after="100" w:line="259" w:lineRule="auto"/>
      <w:ind w:left="440"/>
    </w:pPr>
    <w:rPr>
      <w:lang w:val="hu-HU"/>
    </w:rPr>
  </w:style>
  <w:style w:type="table" w:styleId="TableGrid">
    <w:name w:val="Table Grid"/>
    <w:basedOn w:val="TableNormal"/>
    <w:uiPriority w:val="39"/>
    <w:rsid w:val="00F57334"/>
    <w:pPr>
      <w:spacing w:after="0" w:line="240" w:lineRule="auto"/>
    </w:pPr>
    <w:rPr>
      <w:lang w:val="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F57334"/>
    <w:pPr>
      <w:spacing w:after="100" w:line="259" w:lineRule="auto"/>
      <w:ind w:left="660"/>
    </w:pPr>
    <w:rPr>
      <w:lang w:val="hu-HU"/>
    </w:rPr>
  </w:style>
  <w:style w:type="paragraph" w:customStyle="1" w:styleId="SingleTxtG">
    <w:name w:val="_ Single Txt_G"/>
    <w:basedOn w:val="Normal"/>
    <w:link w:val="SingleTxtGChar"/>
    <w:rsid w:val="00F31ACB"/>
    <w:pPr>
      <w:suppressAutoHyphens/>
      <w:spacing w:after="120" w:line="240" w:lineRule="atLeast"/>
      <w:ind w:left="1134" w:right="1134"/>
      <w:jc w:val="both"/>
    </w:pPr>
    <w:rPr>
      <w:rFonts w:ascii="Times New Roman" w:eastAsia="Times New Roman" w:hAnsi="Times New Roman" w:cs="Times New Roman"/>
      <w:sz w:val="20"/>
      <w:szCs w:val="20"/>
    </w:rPr>
  </w:style>
  <w:style w:type="paragraph" w:customStyle="1" w:styleId="HChG">
    <w:name w:val="_ H _Ch_G"/>
    <w:basedOn w:val="Normal"/>
    <w:next w:val="Normal"/>
    <w:link w:val="HChGChar"/>
    <w:rsid w:val="00F31ACB"/>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rPr>
  </w:style>
  <w:style w:type="paragraph" w:customStyle="1" w:styleId="H23G">
    <w:name w:val="_ H_2/3_G"/>
    <w:basedOn w:val="Normal"/>
    <w:next w:val="Normal"/>
    <w:rsid w:val="00F31ACB"/>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character" w:customStyle="1" w:styleId="SingleTxtGChar">
    <w:name w:val="_ Single Txt_G Char"/>
    <w:link w:val="SingleTxtG"/>
    <w:locked/>
    <w:rsid w:val="00F31ACB"/>
    <w:rPr>
      <w:rFonts w:ascii="Times New Roman" w:eastAsia="Times New Roman" w:hAnsi="Times New Roman" w:cs="Times New Roman"/>
      <w:sz w:val="20"/>
      <w:szCs w:val="20"/>
    </w:rPr>
  </w:style>
  <w:style w:type="character" w:customStyle="1" w:styleId="HChGChar">
    <w:name w:val="_ H _Ch_G Char"/>
    <w:link w:val="HChG"/>
    <w:rsid w:val="00F31ACB"/>
    <w:rPr>
      <w:rFonts w:ascii="Times New Roman" w:eastAsia="Times New Roman" w:hAnsi="Times New Roman" w:cs="Times New Roman"/>
      <w:b/>
      <w:sz w:val="28"/>
      <w:szCs w:val="20"/>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uiPriority w:val="99"/>
    <w:rsid w:val="00F31ACB"/>
    <w:pPr>
      <w:spacing w:after="160" w:line="240" w:lineRule="exact"/>
      <w:jc w:val="both"/>
    </w:pPr>
    <w:rPr>
      <w:vertAlign w:val="superscript"/>
    </w:rPr>
  </w:style>
  <w:style w:type="character" w:styleId="CommentReference">
    <w:name w:val="annotation reference"/>
    <w:rsid w:val="00F31ACB"/>
    <w:rPr>
      <w:sz w:val="16"/>
      <w:szCs w:val="16"/>
    </w:rPr>
  </w:style>
  <w:style w:type="paragraph" w:styleId="CommentText">
    <w:name w:val="annotation text"/>
    <w:basedOn w:val="Normal"/>
    <w:link w:val="CommentTextChar"/>
    <w:rsid w:val="00F31ACB"/>
    <w:pPr>
      <w:suppressAutoHyphens/>
      <w:spacing w:after="0" w:line="240" w:lineRule="atLeast"/>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F31ACB"/>
    <w:rPr>
      <w:rFonts w:ascii="Times New Roman" w:eastAsia="Times New Roman" w:hAnsi="Times New Roman" w:cs="Times New Roman"/>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www.naac.org.cy/uploads/56eaa14141.pdf" TargetMode="External"/><Relationship Id="rId3" Type="http://schemas.openxmlformats.org/officeDocument/2006/relationships/hyperlink" Target="https://upr-info.org/sites/default/files/country-document/2024-02/FactSheet_Mixed_Marriages.pdf" TargetMode="External"/><Relationship Id="rId7" Type="http://schemas.openxmlformats.org/officeDocument/2006/relationships/hyperlink" Target="https://cyprus-mail.com/2023/05/25/parliament-passes-bill-criminalising-conversion-therapy/" TargetMode="External"/><Relationship Id="rId2" Type="http://schemas.openxmlformats.org/officeDocument/2006/relationships/hyperlink" Target="https://www.rainbow-europe.org/" TargetMode="External"/><Relationship Id="rId1" Type="http://schemas.openxmlformats.org/officeDocument/2006/relationships/hyperlink" Target="https://knews.kathimerini.com.cy/en/news/turkish-cypriot-youths-attacked-during-troodos-trip" TargetMode="External"/><Relationship Id="rId6" Type="http://schemas.openxmlformats.org/officeDocument/2006/relationships/hyperlink" Target="http://www.cylaw.org/nomoi/enop/ind/0_154/section-sc4db3754e-cae5-70a3-acd6-c77ffe490bea.html" TargetMode="External"/><Relationship Id="rId11" Type="http://schemas.openxmlformats.org/officeDocument/2006/relationships/hyperlink" Target="https://www.naac.org.cy/uploads/56eaa14141.pdf" TargetMode="External"/><Relationship Id="rId5" Type="http://schemas.openxmlformats.org/officeDocument/2006/relationships/hyperlink" Target="https://tbinternet.ohchr.org/_layouts/15/treatybodyexternal/Download.aspx?symbolno=INT%2FCESCR%2FARL%2FCYP%2F56467&amp;Lang=en" TargetMode="External"/><Relationship Id="rId10" Type="http://schemas.openxmlformats.org/officeDocument/2006/relationships/hyperlink" Target="https://www.ecdc.europa.eu/en/publicationsdata/hivaids-surveillance-europe-2023-2022-data" TargetMode="External"/><Relationship Id="rId4" Type="http://schemas.openxmlformats.org/officeDocument/2006/relationships/hyperlink" Target="https://in-cyprus.philenews.com/local/ombudswoman-publishing-scholarship-announcements-in-greek-discriminates-against-non-native-speakers/" TargetMode="External"/><Relationship Id="rId9" Type="http://schemas.openxmlformats.org/officeDocument/2006/relationships/hyperlink" Target="http://asmcyprus.org/download/2021-HIV-survey-english.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WOyN5oiat/BxkLB+I9XPD87m2A==">CgMxLjAyCGguZ2pkZ3hzMg5oLmcyZGJsYzlxdjFrYTIOaC5qejZmOWR2NXlvNDAyDmgucGx5cWZpNHJ5NTR6Mg5oLnRmMnRveG5iaGluZDIJaC4zMGowemxsMg5oLnNxd2w0eGI5MG93cjIOaC50YWZ6aTN2djBtdHoyDmgucnlqY3oybzlkeTh6Mg5oLmZsZ3dqdmp0cDBwYjIOaC5tMWVhZXdsOTUxc2cyDmguNjRxOXh5cHlldXdqMg1oLmMxNXJxdGhub2JjMg5oLjhkd2hiM2hxeXA2ZjIOaC5jbnFhOGp5cTh4cjM4AGoeChRzdWdnZXN0LjE0c3c0Yzc4cXk4bhIGRXJtIEFuah4KFHN1Z2dlc3QuaXI0NmQzM3ZkYXF6EgZFcm0gQW5yITFvNWdueENBaHh4N0F4N0FvM1hLUTJJOC04Y0tPQ0xYY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EAB1FC0-AAF4-D54B-ADBF-3B7FF9FED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2515</Words>
  <Characters>14337</Characters>
  <Application>Microsoft Office Word</Application>
  <DocSecurity>0</DocSecurity>
  <Lines>119</Lines>
  <Paragraphs>33</Paragraphs>
  <ScaleCrop>false</ScaleCrop>
  <Company/>
  <LinksUpToDate>false</LinksUpToDate>
  <CharactersWithSpaces>16819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UNCRCPC</dc:creator>
  <cp:lastModifiedBy>Erman Dolmaci</cp:lastModifiedBy>
  <cp:revision>3</cp:revision>
  <dcterms:created xsi:type="dcterms:W3CDTF">2022-08-09T08:39:00Z</dcterms:created>
  <dcterms:modified xsi:type="dcterms:W3CDTF">2024-08-12T12:10:00Z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