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2872"/>
        <w:gridCol w:w="3214"/>
      </w:tblGrid>
      <w:tr w:rsidR="002D5AAC" w:rsidRPr="00084A28" w:rsidTr="00B7582D">
        <w:trPr>
          <w:trHeight w:hRule="exact" w:val="851"/>
        </w:trPr>
        <w:tc>
          <w:tcPr>
            <w:tcW w:w="1280" w:type="dxa"/>
            <w:tcBorders>
              <w:bottom w:val="single" w:sz="4" w:space="0" w:color="auto"/>
            </w:tcBorders>
          </w:tcPr>
          <w:p w:rsidR="002D5AAC" w:rsidRPr="003067C5" w:rsidRDefault="002D5AAC" w:rsidP="00B7582D">
            <w:pPr>
              <w:kinsoku w:val="0"/>
              <w:overflowPunct w:val="0"/>
              <w:autoSpaceDE w:val="0"/>
              <w:autoSpaceDN w:val="0"/>
              <w:adjustRightInd w:val="0"/>
              <w:snapToGrid w:val="0"/>
              <w:rPr>
                <w:rStyle w:val="Emph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B7582D" w:rsidRDefault="00B7582D" w:rsidP="00B7582D">
            <w:pPr>
              <w:jc w:val="right"/>
              <w:rPr>
                <w:lang w:val="en-US"/>
              </w:rPr>
            </w:pPr>
            <w:r w:rsidRPr="00B7582D">
              <w:rPr>
                <w:sz w:val="40"/>
                <w:lang w:val="en-US"/>
              </w:rPr>
              <w:t>CAT</w:t>
            </w:r>
            <w:r w:rsidRPr="00B7582D">
              <w:rPr>
                <w:lang w:val="en-US"/>
              </w:rPr>
              <w:t>/C/FRA/Q/7/Add.1</w:t>
            </w:r>
          </w:p>
        </w:tc>
      </w:tr>
      <w:tr w:rsidR="002D5AAC" w:rsidTr="00B7582D">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lang w:val="en-GB" w:eastAsia="en-GB"/>
              </w:rPr>
              <w:drawing>
                <wp:inline distT="0" distB="0" distL="0" distR="0" wp14:anchorId="039D9EE0" wp14:editId="50E4A5C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145"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3214" w:type="dxa"/>
            <w:tcBorders>
              <w:top w:val="single" w:sz="4" w:space="0" w:color="auto"/>
              <w:bottom w:val="single" w:sz="12" w:space="0" w:color="auto"/>
            </w:tcBorders>
          </w:tcPr>
          <w:p w:rsidR="002D5AAC" w:rsidRDefault="00B7582D" w:rsidP="00712895">
            <w:pPr>
              <w:spacing w:before="240"/>
            </w:pPr>
            <w:proofErr w:type="spellStart"/>
            <w:r>
              <w:t>Distr</w:t>
            </w:r>
            <w:proofErr w:type="spellEnd"/>
            <w:r>
              <w:t>. general</w:t>
            </w:r>
          </w:p>
          <w:p w:rsidR="00B7582D" w:rsidRDefault="00B7582D" w:rsidP="00B7582D">
            <w:pPr>
              <w:spacing w:line="240" w:lineRule="exact"/>
            </w:pPr>
            <w:r>
              <w:t>18 de febrero de 2016</w:t>
            </w:r>
          </w:p>
          <w:p w:rsidR="00B7582D" w:rsidRDefault="00B7582D" w:rsidP="00B7582D">
            <w:pPr>
              <w:spacing w:line="240" w:lineRule="exact"/>
            </w:pPr>
            <w:r>
              <w:t>Español</w:t>
            </w:r>
          </w:p>
          <w:p w:rsidR="00B7582D" w:rsidRDefault="00B7582D" w:rsidP="00B7582D">
            <w:pPr>
              <w:spacing w:line="240" w:lineRule="exact"/>
            </w:pPr>
            <w:r>
              <w:t>Original: francés</w:t>
            </w:r>
            <w:r>
              <w:br/>
              <w:t>Español, francés e inglés únicamente</w:t>
            </w:r>
          </w:p>
        </w:tc>
      </w:tr>
    </w:tbl>
    <w:p w:rsidR="00AC611E" w:rsidRDefault="00505971" w:rsidP="00BC6C8F">
      <w:pPr>
        <w:rPr>
          <w:b/>
          <w:sz w:val="24"/>
          <w:szCs w:val="24"/>
        </w:rPr>
      </w:pPr>
      <w:r w:rsidRPr="00505971">
        <w:rPr>
          <w:b/>
          <w:sz w:val="24"/>
          <w:szCs w:val="24"/>
        </w:rPr>
        <w:t>Comité contra la Tortura</w:t>
      </w:r>
    </w:p>
    <w:p w:rsidR="00B7582D" w:rsidRPr="008975E7" w:rsidRDefault="00C968C6" w:rsidP="00B7582D">
      <w:pPr>
        <w:rPr>
          <w:b/>
          <w:bCs/>
        </w:rPr>
      </w:pPr>
      <w:r>
        <w:rPr>
          <w:b/>
          <w:bCs/>
        </w:rPr>
        <w:t>57º</w:t>
      </w:r>
      <w:r w:rsidR="00B7582D" w:rsidRPr="008975E7">
        <w:rPr>
          <w:b/>
          <w:bCs/>
        </w:rPr>
        <w:t xml:space="preserve"> período de sesiones </w:t>
      </w:r>
    </w:p>
    <w:p w:rsidR="00B7582D" w:rsidRPr="008975E7" w:rsidRDefault="00B7582D" w:rsidP="00B7582D">
      <w:r w:rsidRPr="008975E7">
        <w:t>18 de abril a 13 de mayo de 2016</w:t>
      </w:r>
    </w:p>
    <w:p w:rsidR="00B7582D" w:rsidRPr="008975E7" w:rsidRDefault="00B7582D" w:rsidP="00B7582D">
      <w:r w:rsidRPr="008975E7">
        <w:t xml:space="preserve">Tema 7 del programa provisional </w:t>
      </w:r>
    </w:p>
    <w:p w:rsidR="00B7582D" w:rsidRDefault="00B7582D" w:rsidP="00B7582D">
      <w:pPr>
        <w:rPr>
          <w:b/>
          <w:bCs/>
        </w:rPr>
      </w:pPr>
      <w:r w:rsidRPr="008975E7">
        <w:rPr>
          <w:b/>
          <w:bCs/>
        </w:rPr>
        <w:t>Examen de los informes presentados por los Estados partes</w:t>
      </w:r>
      <w:r>
        <w:rPr>
          <w:b/>
          <w:bCs/>
        </w:rPr>
        <w:br/>
      </w:r>
      <w:r w:rsidRPr="008975E7">
        <w:rPr>
          <w:b/>
          <w:bCs/>
        </w:rPr>
        <w:t>en virtud del artículo 19 de la Convención</w:t>
      </w:r>
    </w:p>
    <w:p w:rsidR="00B7582D" w:rsidRPr="00B7582D" w:rsidRDefault="00B7582D" w:rsidP="00B7582D">
      <w:pPr>
        <w:pStyle w:val="HChG"/>
      </w:pPr>
      <w:r>
        <w:tab/>
      </w:r>
      <w:r>
        <w:tab/>
      </w:r>
      <w:r w:rsidRPr="00B7582D">
        <w:t>Lista de cuestiones relativas al séptimo informe</w:t>
      </w:r>
      <w:r>
        <w:br/>
      </w:r>
      <w:r w:rsidRPr="00B7582D">
        <w:t xml:space="preserve">periódico de Francia </w:t>
      </w:r>
    </w:p>
    <w:p w:rsidR="00B7582D" w:rsidRPr="00B7582D" w:rsidRDefault="00B7582D" w:rsidP="00B7582D">
      <w:pPr>
        <w:pStyle w:val="H23G"/>
      </w:pPr>
      <w:r>
        <w:tab/>
      </w:r>
      <w:r w:rsidRPr="00B7582D">
        <w:tab/>
        <w:t xml:space="preserve">Adición </w:t>
      </w:r>
    </w:p>
    <w:p w:rsidR="00B7582D" w:rsidRPr="00B7582D" w:rsidRDefault="00B7582D" w:rsidP="00B7582D">
      <w:pPr>
        <w:pStyle w:val="HChG"/>
      </w:pPr>
      <w:r>
        <w:tab/>
      </w:r>
      <w:r w:rsidRPr="00B7582D">
        <w:tab/>
        <w:t>Respuestas de Francia a la lista de cuestiones</w:t>
      </w:r>
      <w:r w:rsidRPr="00B7582D">
        <w:rPr>
          <w:b w:val="0"/>
          <w:bCs/>
          <w:sz w:val="20"/>
        </w:rPr>
        <w:footnoteReference w:customMarkFollows="1" w:id="1"/>
        <w:t>*</w:t>
      </w:r>
      <w:r>
        <w:rPr>
          <w:b w:val="0"/>
          <w:bCs/>
          <w:sz w:val="20"/>
        </w:rPr>
        <w:t xml:space="preserve"> </w:t>
      </w:r>
      <w:r w:rsidRPr="00B7582D">
        <w:rPr>
          <w:b w:val="0"/>
          <w:bCs/>
          <w:sz w:val="20"/>
        </w:rPr>
        <w:footnoteReference w:customMarkFollows="1" w:id="2"/>
        <w:t>**</w:t>
      </w:r>
    </w:p>
    <w:p w:rsidR="00B7582D" w:rsidRPr="00B7582D" w:rsidRDefault="00B7582D" w:rsidP="00B7582D">
      <w:pPr>
        <w:pStyle w:val="SingleTxtG"/>
        <w:jc w:val="right"/>
      </w:pPr>
      <w:r w:rsidRPr="00B7582D">
        <w:t>[Fecha de recepción: 3 de febrero de 2016]</w:t>
      </w:r>
    </w:p>
    <w:p w:rsidR="00B7582D" w:rsidRPr="00B7582D" w:rsidRDefault="00B7582D" w:rsidP="00B7582D">
      <w:pPr>
        <w:pStyle w:val="H1G"/>
      </w:pPr>
      <w:r w:rsidRPr="00B7582D">
        <w:br w:type="page"/>
      </w:r>
      <w:r>
        <w:lastRenderedPageBreak/>
        <w:tab/>
      </w:r>
      <w:r w:rsidRPr="00B7582D">
        <w:tab/>
        <w:t>Cuestión 1</w:t>
      </w:r>
    </w:p>
    <w:p w:rsidR="00B7582D" w:rsidRPr="00B7582D" w:rsidRDefault="00B7582D" w:rsidP="00B7582D">
      <w:pPr>
        <w:pStyle w:val="SingleTxtG"/>
      </w:pPr>
      <w:r w:rsidRPr="00B7582D">
        <w:t>1.</w:t>
      </w:r>
      <w:r w:rsidRPr="00B7582D">
        <w:tab/>
        <w:t>El artículo 222, párrafo 1, del Código Penal sanciona con una pena de 15 años de reclusión a quien someta a alguien, cualquiera que sea su sexo, a torturas o malos tratos.</w:t>
      </w:r>
    </w:p>
    <w:p w:rsidR="00B7582D" w:rsidRPr="00B7582D" w:rsidRDefault="00B7582D" w:rsidP="00B7582D">
      <w:pPr>
        <w:pStyle w:val="SingleTxtG"/>
      </w:pPr>
      <w:r w:rsidRPr="00B7582D">
        <w:t>2.</w:t>
      </w:r>
      <w:r w:rsidRPr="00B7582D">
        <w:tab/>
        <w:t>Según el párrafo 3 del mismo artículo, la pena será de 20 años en ciertas situaciones que pueden concernir específicamente a la mujer:</w:t>
      </w:r>
    </w:p>
    <w:p w:rsidR="00B7582D" w:rsidRPr="00B7582D" w:rsidRDefault="00B7582D" w:rsidP="00B7582D">
      <w:pPr>
        <w:pStyle w:val="SingleTxtG"/>
      </w:pPr>
      <w:r>
        <w:tab/>
      </w:r>
      <w:r w:rsidR="004E2BB7">
        <w:t>“</w:t>
      </w:r>
      <w:r>
        <w:t>2º</w:t>
      </w:r>
      <w:r>
        <w:tab/>
      </w:r>
      <w:r w:rsidRPr="00B7582D">
        <w:t>Cuando una persona se encuentra en situación vulnerable en razón de […] un embarazo evidente o del que el autor esté en conocimiento […]</w:t>
      </w:r>
    </w:p>
    <w:p w:rsidR="00B7582D" w:rsidRPr="00B7582D" w:rsidRDefault="00B7582D" w:rsidP="00B7582D">
      <w:pPr>
        <w:pStyle w:val="SingleTxtG"/>
      </w:pPr>
      <w:r>
        <w:tab/>
        <w:t>5º</w:t>
      </w:r>
      <w:r w:rsidRPr="00B7582D">
        <w:t xml:space="preserve"> </w:t>
      </w:r>
      <w:r w:rsidRPr="00B7582D">
        <w:rPr>
          <w:i/>
        </w:rPr>
        <w:t>ter</w:t>
      </w:r>
      <w:r>
        <w:tab/>
      </w:r>
      <w:r w:rsidRPr="00B7582D">
        <w:t xml:space="preserve">En razón de la orientación o identidad sexual de la víctima </w:t>
      </w:r>
    </w:p>
    <w:p w:rsidR="00B7582D" w:rsidRPr="00B7582D" w:rsidRDefault="00B7582D" w:rsidP="00B7582D">
      <w:pPr>
        <w:pStyle w:val="SingleTxtG"/>
      </w:pPr>
      <w:r>
        <w:tab/>
        <w:t>6º</w:t>
      </w:r>
      <w:r>
        <w:tab/>
      </w:r>
      <w:r w:rsidRPr="00B7582D">
        <w:t xml:space="preserve">Cuando el acto es cometido por el cónyuge o concubino de la víctima o por quien </w:t>
      </w:r>
      <w:r>
        <w:tab/>
      </w:r>
      <w:r w:rsidRPr="00B7582D">
        <w:t xml:space="preserve">esté vinculado con ella en razón de un pacto de unión civil </w:t>
      </w:r>
    </w:p>
    <w:p w:rsidR="00B7582D" w:rsidRPr="00B7582D" w:rsidRDefault="00B7582D" w:rsidP="00B7582D">
      <w:pPr>
        <w:pStyle w:val="SingleTxtG"/>
      </w:pPr>
      <w:r>
        <w:tab/>
        <w:t>6º</w:t>
      </w:r>
      <w:r w:rsidRPr="00B7582D">
        <w:t xml:space="preserve"> </w:t>
      </w:r>
      <w:r w:rsidRPr="00B7582D">
        <w:rPr>
          <w:i/>
        </w:rPr>
        <w:t>bis</w:t>
      </w:r>
      <w:r>
        <w:rPr>
          <w:i/>
        </w:rPr>
        <w:tab/>
      </w:r>
      <w:r w:rsidRPr="00B7582D">
        <w:t xml:space="preserve">Cuando el acto es cometido contra alguien a fin de obligarlo a contraer matrimonio o una unión civil o por su negativa a contraer uno u otro </w:t>
      </w:r>
      <w:r>
        <w:t>[…].</w:t>
      </w:r>
      <w:r w:rsidR="004E2BB7">
        <w:t>”</w:t>
      </w:r>
    </w:p>
    <w:p w:rsidR="00B7582D" w:rsidRPr="00B7582D" w:rsidRDefault="00B7582D" w:rsidP="00B7582D">
      <w:pPr>
        <w:pStyle w:val="H1G"/>
      </w:pPr>
      <w:r>
        <w:tab/>
      </w:r>
      <w:r w:rsidRPr="00B7582D">
        <w:tab/>
        <w:t>Cuestión 2</w:t>
      </w:r>
    </w:p>
    <w:p w:rsidR="00B7582D" w:rsidRPr="00B7582D" w:rsidRDefault="00B7582D" w:rsidP="00B7582D">
      <w:pPr>
        <w:pStyle w:val="SingleTxtG"/>
      </w:pPr>
      <w:r w:rsidRPr="00B7582D">
        <w:t>3.</w:t>
      </w:r>
      <w:r w:rsidRPr="00B7582D">
        <w:tab/>
        <w:t>En el derecho francés se considera que una disposición de una convención internacional surte efecto directo cuando, teniendo en cuenta la intención expresada por las partes y su contexto general, así como su contenido y los términos empleados, no tiene por objeto exclusivo regir las relaciones entre Estados ni requiere la realización de un acto complementario para surtir efectos respecto de los particulares.</w:t>
      </w:r>
    </w:p>
    <w:p w:rsidR="00B7582D" w:rsidRPr="00B7582D" w:rsidRDefault="00B7582D" w:rsidP="00B7582D">
      <w:pPr>
        <w:pStyle w:val="SingleTxtG"/>
      </w:pPr>
      <w:r w:rsidRPr="00B7582D">
        <w:t>4.</w:t>
      </w:r>
      <w:r w:rsidRPr="00B7582D">
        <w:tab/>
        <w:t>Los particulares únicamente pueden hacer valer eficazmente ante la jurisdicción nacional las disposiciones cuyo efecto directo se haya reconocido.</w:t>
      </w:r>
    </w:p>
    <w:p w:rsidR="00B7582D" w:rsidRPr="00B7582D" w:rsidRDefault="00B7582D" w:rsidP="00B7582D">
      <w:pPr>
        <w:pStyle w:val="SingleTxtG"/>
      </w:pPr>
      <w:r w:rsidRPr="00B7582D">
        <w:t>5.</w:t>
      </w:r>
      <w:r w:rsidRPr="00B7582D">
        <w:tab/>
        <w:t>Con respecto a la Convención contra la Tortura, en el estado actual de la jurisprudencia los tribunales administrativos y judiciales han reconocido el efecto directo del artículo 3 que, por lo tanto, puede hacerse valer para impugnar la legalidad de una orden de extradición o una pena de prohibición definitiva de estancia en territorio francés.</w:t>
      </w:r>
    </w:p>
    <w:p w:rsidR="00B7582D" w:rsidRPr="00B7582D" w:rsidRDefault="00B7582D" w:rsidP="00B7582D">
      <w:pPr>
        <w:pStyle w:val="SingleTxtG"/>
      </w:pPr>
      <w:r w:rsidRPr="00B7582D">
        <w:t>6.</w:t>
      </w:r>
      <w:r w:rsidRPr="00B7582D">
        <w:tab/>
        <w:t>Las instancias judiciales han examinado también una decisión</w:t>
      </w:r>
      <w:r w:rsidRPr="00B7582D">
        <w:rPr>
          <w:vertAlign w:val="superscript"/>
          <w:lang w:val="fr-FR"/>
        </w:rPr>
        <w:footnoteReference w:id="3"/>
      </w:r>
      <w:r w:rsidRPr="00B7582D">
        <w:t xml:space="preserve"> según la cual, por remisión a los artículos 1, 4, 5 y 14 de la Convención, los tribunales franceses eran incompetentes para conocer de una serie de hechos.</w:t>
      </w:r>
    </w:p>
    <w:p w:rsidR="00B7582D" w:rsidRPr="00B7582D" w:rsidRDefault="00B7582D" w:rsidP="00B7582D">
      <w:pPr>
        <w:pStyle w:val="SingleTxtG"/>
      </w:pPr>
      <w:r w:rsidRPr="00B7582D">
        <w:t>7.</w:t>
      </w:r>
      <w:r w:rsidRPr="00B7582D">
        <w:tab/>
        <w:t>Por último, las instancias judiciales y administrativas han reconocido también que el artículo 15 de la Convención surte efecto directo, con lo que se han asegurado de que los cargos no se hayan formulado en condiciones que hagan caso omiso de lo dispuesto en ese artículo.</w:t>
      </w:r>
    </w:p>
    <w:p w:rsidR="00B7582D" w:rsidRPr="00B7582D" w:rsidRDefault="00B7582D" w:rsidP="00B7582D">
      <w:pPr>
        <w:pStyle w:val="H1G"/>
        <w:rPr>
          <w:i/>
        </w:rPr>
      </w:pPr>
      <w:r>
        <w:tab/>
      </w:r>
      <w:r w:rsidRPr="00B7582D">
        <w:tab/>
        <w:t>Cuestión 3</w:t>
      </w:r>
    </w:p>
    <w:p w:rsidR="00B7582D" w:rsidRPr="00B7582D" w:rsidRDefault="00B7582D" w:rsidP="00B7582D">
      <w:pPr>
        <w:pStyle w:val="H23G"/>
      </w:pPr>
      <w:r>
        <w:tab/>
      </w:r>
      <w:r w:rsidRPr="00B7582D">
        <w:tab/>
        <w:t xml:space="preserve">Seguimiento de las recomendaciones del Contralor General de los </w:t>
      </w:r>
      <w:r>
        <w:br/>
      </w:r>
      <w:r w:rsidRPr="00B7582D">
        <w:t>Centros de Privación de Libertad (CGLPL)</w:t>
      </w:r>
      <w:r w:rsidRPr="00D570D0">
        <w:rPr>
          <w:b w:val="0"/>
          <w:vertAlign w:val="superscript"/>
          <w:lang w:val="fr-FR"/>
        </w:rPr>
        <w:footnoteReference w:id="4"/>
      </w:r>
    </w:p>
    <w:p w:rsidR="00B7582D" w:rsidRPr="00B7582D" w:rsidRDefault="00B7582D" w:rsidP="00B7582D">
      <w:pPr>
        <w:pStyle w:val="SingleTxtG"/>
      </w:pPr>
      <w:r w:rsidRPr="00B7582D">
        <w:t>8.</w:t>
      </w:r>
      <w:r w:rsidRPr="00B7582D">
        <w:tab/>
        <w:t>La información relativa al seguimiento por el Estado parte de las principales opiniones y recomendaciones del CGLPL figura en un anexo</w:t>
      </w:r>
      <w:r w:rsidRPr="00B7582D">
        <w:rPr>
          <w:vertAlign w:val="superscript"/>
          <w:lang w:val="fr-FR"/>
        </w:rPr>
        <w:footnoteReference w:id="5"/>
      </w:r>
      <w:r w:rsidRPr="00B7582D">
        <w:t>.</w:t>
      </w:r>
    </w:p>
    <w:p w:rsidR="00B7582D" w:rsidRPr="00B7582D" w:rsidRDefault="00B7582D" w:rsidP="00B7582D">
      <w:pPr>
        <w:pStyle w:val="SingleTxtG"/>
        <w:rPr>
          <w:b/>
        </w:rPr>
      </w:pPr>
      <w:r w:rsidRPr="00B7582D">
        <w:rPr>
          <w:b/>
        </w:rPr>
        <w:lastRenderedPageBreak/>
        <w:t xml:space="preserve">El Defensor de los Derechos Humanos </w:t>
      </w:r>
    </w:p>
    <w:p w:rsidR="00B7582D" w:rsidRPr="00B7582D" w:rsidRDefault="00B7582D" w:rsidP="00B7582D">
      <w:pPr>
        <w:pStyle w:val="SingleTxtG"/>
      </w:pPr>
      <w:r w:rsidRPr="00B7582D">
        <w:t>9.</w:t>
      </w:r>
      <w:r w:rsidRPr="00B7582D">
        <w:tab/>
        <w:t>El Defensor de los Derechos Humanos está encargado en particular de velar por que los agentes de seguridad en el territorio nacional respeten los principios deontológicos de su profesión</w:t>
      </w:r>
      <w:r w:rsidRPr="00B7582D">
        <w:rPr>
          <w:vertAlign w:val="superscript"/>
          <w:lang w:val="fr-FR"/>
        </w:rPr>
        <w:footnoteReference w:id="6"/>
      </w:r>
      <w:r w:rsidRPr="00B7582D">
        <w:t>.</w:t>
      </w:r>
    </w:p>
    <w:p w:rsidR="00B7582D" w:rsidRPr="00B7582D" w:rsidRDefault="00B7582D" w:rsidP="00B7582D">
      <w:pPr>
        <w:pStyle w:val="SingleTxtG"/>
      </w:pPr>
      <w:r w:rsidRPr="00B7582D">
        <w:t>10.</w:t>
      </w:r>
      <w:r w:rsidRPr="00B7582D">
        <w:tab/>
        <w:t xml:space="preserve">Con el objeto de prevenir que se superpongan las gestiones del Defensor de los Derechos Humanos con las del </w:t>
      </w:r>
      <w:r w:rsidRPr="00B7582D">
        <w:rPr>
          <w:bCs/>
        </w:rPr>
        <w:t>CGLPL y de evitar que los dos dieran respuestas distintas, el 8 de noviembre de 2011 se firmó un acuerdo con el objetivo de distribuir, en aras del interés de las personas privadas de la libertad, sus respectivos ámbitos de competencia.</w:t>
      </w:r>
    </w:p>
    <w:p w:rsidR="00B7582D" w:rsidRPr="00B7582D" w:rsidRDefault="00B7582D" w:rsidP="00B7582D">
      <w:pPr>
        <w:pStyle w:val="SingleTxtG"/>
      </w:pPr>
      <w:r w:rsidRPr="00B7582D">
        <w:t>11.</w:t>
      </w:r>
      <w:r w:rsidRPr="00B7582D">
        <w:tab/>
        <w:t>La tramitación de las reclamaciones relativas a la observancia de las normas de buena conducta por parte de los agentes de seguridad está a cargo de sus respectivos servicios. Los representantes de la oficina del Defensor del Pueblo que desempeñen funciones en establecimientos penitenciarios pueden ayudar a los reclamantes a preparar el caso a fin de trasmitirlo a la sede correspondiente, pero no son competentes para presentar reclamaciones en la materia.</w:t>
      </w:r>
    </w:p>
    <w:p w:rsidR="00B7582D" w:rsidRPr="00B7582D" w:rsidRDefault="00B7582D" w:rsidP="00B7582D">
      <w:pPr>
        <w:pStyle w:val="SingleTxtG"/>
      </w:pPr>
      <w:r w:rsidRPr="00B7582D">
        <w:t>12.</w:t>
      </w:r>
      <w:r w:rsidRPr="00B7582D">
        <w:tab/>
        <w:t>Las reclamaciones contra la administración penitenciaria son objeto de un primer examen</w:t>
      </w:r>
      <w:r w:rsidRPr="00B7582D">
        <w:rPr>
          <w:vertAlign w:val="superscript"/>
          <w:lang w:val="fr-FR"/>
        </w:rPr>
        <w:footnoteReference w:id="7"/>
      </w:r>
      <w:r w:rsidRPr="00B7582D">
        <w:t xml:space="preserve"> para verificar su admisibilidad y si comportan elementos que permitan abrir una instrucción. Se puede pedir al reclamante que haga aclaraciones. El expediente, una vez constituido, es objeto de un examen minucioso teniendo en cuenta los principios del contencioso-administrativo. El Defensor de los Derechos Humanos puede pedir a la institución de que se trate la información que crea necesaria y </w:t>
      </w:r>
      <w:r w:rsidR="0075465C">
        <w:t>e</w:t>
      </w:r>
      <w:r w:rsidRPr="00B7582D">
        <w:t>sta no puede aducir que tiene carácter secreto o confidencial</w:t>
      </w:r>
      <w:r w:rsidRPr="00B7582D">
        <w:rPr>
          <w:vertAlign w:val="superscript"/>
          <w:lang w:val="fr-FR"/>
        </w:rPr>
        <w:footnoteReference w:id="8"/>
      </w:r>
      <w:r w:rsidRPr="00B7582D">
        <w:t xml:space="preserve">. De ser necesario, representantes del Defensor de los Derechos Humanos pueden proceder a una verificación </w:t>
      </w:r>
      <w:r w:rsidRPr="00B7582D">
        <w:rPr>
          <w:i/>
        </w:rPr>
        <w:t>in situ</w:t>
      </w:r>
      <w:r w:rsidRPr="00B7582D">
        <w:t>, sin que la autoridad administrativa pueda oponerse</w:t>
      </w:r>
      <w:r w:rsidRPr="00B7582D">
        <w:rPr>
          <w:vertAlign w:val="superscript"/>
          <w:lang w:val="fr-FR"/>
        </w:rPr>
        <w:footnoteReference w:id="9"/>
      </w:r>
      <w:r w:rsidRPr="00B7582D">
        <w:t>. En la mayoría de los casos, se procede a una audiencia de los reclamantes y de los inculpados (en el caso de los detenidos, por funcionarios de la oficina del Defensor de los Derechos Humanos, que visitan el lugar de detención) y se redacta un acta de la audiencia, que es firmada por todos los presentes. Se envía copia a las partes y a sus abogados.</w:t>
      </w:r>
    </w:p>
    <w:p w:rsidR="00B7582D" w:rsidRPr="00B7582D" w:rsidRDefault="00B7582D" w:rsidP="00B7582D">
      <w:pPr>
        <w:pStyle w:val="SingleTxtG"/>
      </w:pPr>
      <w:r w:rsidRPr="00B7582D">
        <w:t>13.</w:t>
      </w:r>
      <w:r w:rsidRPr="00B7582D">
        <w:tab/>
        <w:t>La instrucción termina con una decisión del Defensor de los Derechos Humanos que, de considerar que se ha cometido una falta de conducta, puede pedir a la autoridad competente que imponga sanciones disciplinarias contra el agente de seguridad</w:t>
      </w:r>
      <w:r w:rsidRPr="00B7582D">
        <w:rPr>
          <w:vertAlign w:val="superscript"/>
          <w:lang w:val="fr-FR"/>
        </w:rPr>
        <w:footnoteReference w:id="10"/>
      </w:r>
      <w:r w:rsidRPr="00B7582D">
        <w:t>. En estas decisiones muchas veces se hacen valer las recomendaciones del Consejo de Europa y del Comité Europeo de Prevención de la Tortura. El Defensor de los Derechos Humanos comunica las decisiones a los reclamantes y a los establecimientos penitenciarios de que se trate, los cuales tienen que rendir cuenta del seguimiento que hayan hecho de ellas cuando incluyan recomendaciones individuales o generales.</w:t>
      </w:r>
    </w:p>
    <w:p w:rsidR="00B7582D" w:rsidRPr="00B7582D" w:rsidRDefault="00B7582D" w:rsidP="00B7582D">
      <w:pPr>
        <w:pStyle w:val="SingleTxtG"/>
        <w:rPr>
          <w:bCs/>
        </w:rPr>
      </w:pPr>
      <w:r w:rsidRPr="00B7582D">
        <w:rPr>
          <w:bCs/>
        </w:rPr>
        <w:t>14.</w:t>
      </w:r>
      <w:r w:rsidRPr="00B7582D">
        <w:rPr>
          <w:bCs/>
        </w:rPr>
        <w:tab/>
        <w:t>Entre 2011 y el 1 de enero de 2016</w:t>
      </w:r>
      <w:r w:rsidRPr="00B7582D">
        <w:t>, el Defensor de los Derechos Humanos dictó 25 decisiones</w:t>
      </w:r>
      <w:r w:rsidR="00FD2367">
        <w:rPr>
          <w:rStyle w:val="FootnoteReference"/>
        </w:rPr>
        <w:footnoteReference w:id="11"/>
      </w:r>
      <w:r w:rsidRPr="00B7582D">
        <w:rPr>
          <w:bCs/>
        </w:rPr>
        <w:t>,</w:t>
      </w:r>
      <w:r w:rsidRPr="00B7582D">
        <w:t xml:space="preserve"> en las que dictaminó que agentes de las fuerzas de seguridad habían cometido </w:t>
      </w:r>
      <w:r w:rsidRPr="00B7582D">
        <w:lastRenderedPageBreak/>
        <w:t>actos que podían calificarse de tratos crueles, inhumanos o degradantes</w:t>
      </w:r>
      <w:r w:rsidRPr="00B7582D">
        <w:rPr>
          <w:vertAlign w:val="superscript"/>
          <w:lang w:val="fr-FR"/>
        </w:rPr>
        <w:footnoteReference w:id="12"/>
      </w:r>
      <w:r w:rsidRPr="00B7582D">
        <w:t>. Ninguna decisión se refiere a actos de tortura.</w:t>
      </w:r>
    </w:p>
    <w:p w:rsidR="00B7582D" w:rsidRPr="00B7582D" w:rsidRDefault="00D570D0" w:rsidP="00D570D0">
      <w:pPr>
        <w:pStyle w:val="H1G"/>
        <w:rPr>
          <w:i/>
          <w:u w:val="single"/>
        </w:rPr>
      </w:pPr>
      <w:r>
        <w:tab/>
      </w:r>
      <w:r w:rsidR="00B7582D" w:rsidRPr="00B7582D">
        <w:tab/>
        <w:t>Cuestión 4</w:t>
      </w:r>
    </w:p>
    <w:p w:rsidR="00B7582D" w:rsidRPr="00B7582D" w:rsidRDefault="00B7582D" w:rsidP="00B7582D">
      <w:pPr>
        <w:pStyle w:val="SingleTxtG"/>
      </w:pPr>
      <w:r w:rsidRPr="00B7582D">
        <w:t>15.</w:t>
      </w:r>
      <w:r w:rsidRPr="00B7582D">
        <w:tab/>
        <w:t xml:space="preserve">El apartado 1 del artículo 62-2 del Código de Procedimiento Penal señala que la detención policial es una medida coercitiva dictada por un </w:t>
      </w:r>
      <w:r w:rsidRPr="00B7582D">
        <w:rPr>
          <w:iCs/>
        </w:rPr>
        <w:t>agente de la policía judicial, bajo la supervisión de la autoridad judicial, por la que se mantiene a disposición de los investigadores a una persona respecto de la cual haya una o varias razones plausibles para sospechar que ha cometido o intentado cometer un crimen o un delito castigado con pena de prisión. Según la ley de 14 de abril de 2011</w:t>
      </w:r>
      <w:r w:rsidRPr="00B7582D">
        <w:rPr>
          <w:vertAlign w:val="superscript"/>
          <w:lang w:val="fr-FR"/>
        </w:rPr>
        <w:footnoteReference w:id="13"/>
      </w:r>
      <w:r w:rsidRPr="00B7582D">
        <w:t xml:space="preserve">, al decidir si un sospechoso debe quedar sometido a detención policial, es necesario indicar por qué </w:t>
      </w:r>
      <w:r w:rsidR="002A15CE">
        <w:t>e</w:t>
      </w:r>
      <w:r w:rsidRPr="00B7582D">
        <w:t>sta constituye el único medio de alcanzar uno o más objetivos definidos con precisión y enumerados en esa ley.</w:t>
      </w:r>
    </w:p>
    <w:p w:rsidR="00B7582D" w:rsidRPr="00B7582D" w:rsidRDefault="00B7582D" w:rsidP="00B7582D">
      <w:pPr>
        <w:pStyle w:val="SingleTxtG"/>
      </w:pPr>
      <w:r w:rsidRPr="00B7582D">
        <w:t>16.</w:t>
      </w:r>
      <w:r w:rsidRPr="00B7582D">
        <w:tab/>
        <w:t>Al inicio mismo de la detención policial del imputado por cargos de terrorismo o delincuencia organizada, se procede a informarle, al igual que en todos los casos de detención policial, de los derechos que le incumben</w:t>
      </w:r>
      <w:r w:rsidRPr="00B7582D">
        <w:rPr>
          <w:vertAlign w:val="superscript"/>
          <w:lang w:val="fr-FR"/>
        </w:rPr>
        <w:footnoteReference w:id="14"/>
      </w:r>
      <w:r w:rsidRPr="00B7582D">
        <w:t>, a saber, el derecho a que se notifique a un familiar, a recibir asistencia médica, a guardar silencio y a consultar a un abogado. En algunos casos, la intervención del abogado puede diferirse por un máximo de 72 horas</w:t>
      </w:r>
      <w:r w:rsidRPr="00B7582D">
        <w:rPr>
          <w:vertAlign w:val="superscript"/>
          <w:lang w:val="fr-FR"/>
        </w:rPr>
        <w:footnoteReference w:id="15"/>
      </w:r>
      <w:r w:rsidRPr="00B7582D">
        <w:t>.</w:t>
      </w:r>
    </w:p>
    <w:p w:rsidR="00B7582D" w:rsidRPr="00B7582D" w:rsidRDefault="00B7582D" w:rsidP="00B7582D">
      <w:pPr>
        <w:pStyle w:val="SingleTxtG"/>
      </w:pPr>
      <w:r w:rsidRPr="00B7582D">
        <w:t>17.</w:t>
      </w:r>
      <w:r w:rsidRPr="00B7582D">
        <w:tab/>
        <w:t xml:space="preserve">De todas maneras, este aplazamiento está sujeto a estrictos requisitos. Tiene que obedecer a razones imperiosas relacionadas con circunstancias especiales de la investigación o la instrucción, sea para permitir la reunión o conservación de pruebas o para impedir que se cometa un delito contra la persona. Cuando la detención policial tiene lugar en el marco de una instrucción judicial, el juez de instrucción es el competente para decretarla. Si tiene lugar en el marco de una investigación preliminar o de la investigación de un delito flagrante, la medida es adoptada por el </w:t>
      </w:r>
      <w:r w:rsidR="00084A28" w:rsidRPr="00B7582D">
        <w:t>Fiscal</w:t>
      </w:r>
      <w:r w:rsidRPr="00B7582D">
        <w:t xml:space="preserve"> de la República por un máximo de 24 horas y, posteriormente, incumbe al juez encargado de las medidas cautelares.  En todos los casos, la decisión del juez, que debe constar por escrito y estar motivada, indica el plazo por el cual se difiere la intervención del abogado.</w:t>
      </w:r>
    </w:p>
    <w:p w:rsidR="00B7582D" w:rsidRPr="00B7582D" w:rsidRDefault="00B7582D" w:rsidP="00B7582D">
      <w:pPr>
        <w:pStyle w:val="SingleTxtG"/>
      </w:pPr>
      <w:r w:rsidRPr="00B7582D">
        <w:t>18.</w:t>
      </w:r>
      <w:r w:rsidRPr="00B7582D">
        <w:tab/>
        <w:t>La ley de 14 de abril de 2011, al exigir requisitos tan estrictos para aplazar la intervención del abogado en un caso de detención policial, incluidos los casos de terrorismo o delincuencia organizada, ha contribuido a propiciar que se cuente con la asistencia efectiva de un abogado.</w:t>
      </w:r>
    </w:p>
    <w:p w:rsidR="00B7582D" w:rsidRPr="00B7582D" w:rsidRDefault="00B7582D" w:rsidP="00B7582D">
      <w:pPr>
        <w:pStyle w:val="SingleTxtG"/>
      </w:pPr>
      <w:r w:rsidRPr="00B7582D">
        <w:t>19.</w:t>
      </w:r>
      <w:r w:rsidRPr="00B7582D">
        <w:tab/>
        <w:t>En prácticamente todos los casos de detención policial, el detenido recibe la asistencia de un abogado desde el primer momento y el aplazamiento se pone en práctica únicamente de manera muy excepcional.</w:t>
      </w:r>
    </w:p>
    <w:p w:rsidR="00B7582D" w:rsidRPr="00B7582D" w:rsidRDefault="00B7582D" w:rsidP="00B7582D">
      <w:pPr>
        <w:pStyle w:val="SingleTxtG"/>
      </w:pPr>
      <w:r w:rsidRPr="00B7582D">
        <w:t>20.</w:t>
      </w:r>
      <w:r w:rsidRPr="00B7582D">
        <w:tab/>
        <w:t>Por último, y por más que la decisión de prorrogar el plazo por el que se difiere la intervención del abogado no admite recurso, éste puede en todo momento hacer llegar sus observaciones al juez competente para pedir que se levante la detención policial. Por otra parte, se debe informar al sospechoso, en el momento de comenzar la detención policial, de que tiene derecho a formular observaciones al juez encargado de decidir si se ha de prorrogar o no la detención policial para que se ponga término a esta medida.</w:t>
      </w:r>
    </w:p>
    <w:p w:rsidR="00B7582D" w:rsidRPr="00B7582D" w:rsidRDefault="00D570D0" w:rsidP="00D570D0">
      <w:pPr>
        <w:pStyle w:val="H23G"/>
      </w:pPr>
      <w:r>
        <w:lastRenderedPageBreak/>
        <w:tab/>
      </w:r>
      <w:r w:rsidR="00B7582D" w:rsidRPr="00B7582D">
        <w:tab/>
        <w:t>Asistencia a los menores sometidos a detención policial</w:t>
      </w:r>
    </w:p>
    <w:p w:rsidR="00B7582D" w:rsidRPr="00B7582D" w:rsidRDefault="00B7582D" w:rsidP="00B7582D">
      <w:pPr>
        <w:pStyle w:val="SingleTxtG"/>
        <w:rPr>
          <w:bCs/>
        </w:rPr>
      </w:pPr>
      <w:r w:rsidRPr="00B7582D">
        <w:rPr>
          <w:bCs/>
        </w:rPr>
        <w:t>21.</w:t>
      </w:r>
      <w:r w:rsidRPr="00B7582D">
        <w:rPr>
          <w:bCs/>
        </w:rPr>
        <w:tab/>
        <w:t>En una ordenanza de 2 de febrero de 1945</w:t>
      </w:r>
      <w:r w:rsidRPr="00B7582D">
        <w:rPr>
          <w:vertAlign w:val="superscript"/>
          <w:lang w:val="fr-FR"/>
        </w:rPr>
        <w:footnoteReference w:id="16"/>
      </w:r>
      <w:r w:rsidRPr="00B7582D">
        <w:rPr>
          <w:bCs/>
        </w:rPr>
        <w:t xml:space="preserve"> se establece que el menor sometido a detención policial debe ser informado de inmediato de su derecho a pedir la asistencia de un abogado de su elección o asignado de oficio en las mismas condiciones establecidas para los mayores de edad</w:t>
      </w:r>
      <w:r w:rsidRPr="00B7582D">
        <w:rPr>
          <w:vertAlign w:val="superscript"/>
          <w:lang w:val="fr-FR"/>
        </w:rPr>
        <w:footnoteReference w:id="17"/>
      </w:r>
      <w:r w:rsidRPr="00B7582D">
        <w:rPr>
          <w:bCs/>
        </w:rPr>
        <w:t xml:space="preserve"> </w:t>
      </w:r>
      <w:r w:rsidRPr="00B7582D">
        <w:t>(audiencia confidencial de 30 minutos de duración; asistencia a los interrogatorios y careos; consulta</w:t>
      </w:r>
      <w:r w:rsidR="0075465C">
        <w:t xml:space="preserve"> de ciertos elementos de prueba</w:t>
      </w:r>
      <w:r w:rsidRPr="00B7582D">
        <w:t xml:space="preserve">; plazo de gracia de dos horas en caso de que el abogado no pueda estar presente, salvo decisión en contrario, que debe constar por escrito y estar motivada, del </w:t>
      </w:r>
      <w:r w:rsidR="00084A28" w:rsidRPr="00B7582D">
        <w:t>Fiscal</w:t>
      </w:r>
      <w:r w:rsidRPr="00B7582D">
        <w:t xml:space="preserve"> de la República en razón de las necesidades de la instrucción; derecho a hacer preguntas y a formular observaciones)</w:t>
      </w:r>
      <w:r w:rsidRPr="00B7582D">
        <w:rPr>
          <w:bCs/>
        </w:rPr>
        <w:t>.</w:t>
      </w:r>
    </w:p>
    <w:p w:rsidR="00B7582D" w:rsidRPr="00B7582D" w:rsidRDefault="00B7582D" w:rsidP="00B7582D">
      <w:pPr>
        <w:pStyle w:val="SingleTxtG"/>
      </w:pPr>
      <w:r w:rsidRPr="00B7582D">
        <w:t>22.</w:t>
      </w:r>
      <w:r w:rsidRPr="00B7582D">
        <w:tab/>
        <w:t>Los padres, el tutor y la persona o el servicio al que haya sido confiado el menor deberán ser igualmente informados, en el momento en que se ponga su conocimiento la detención policial, del derecho a pedir la asistencia de un abogado, si el menor no lo hubiese hecho ya.</w:t>
      </w:r>
    </w:p>
    <w:p w:rsidR="00B7582D" w:rsidRPr="00B7582D" w:rsidRDefault="00B7582D" w:rsidP="00B7582D">
      <w:pPr>
        <w:pStyle w:val="SingleTxtG"/>
      </w:pPr>
      <w:r w:rsidRPr="00B7582D">
        <w:t>23.</w:t>
      </w:r>
      <w:r w:rsidRPr="00B7582D">
        <w:tab/>
        <w:t xml:space="preserve">La presencia del abogado en las audiencias y los careos y la posibilidad de que </w:t>
      </w:r>
      <w:r w:rsidR="0075465C">
        <w:t>e</w:t>
      </w:r>
      <w:r w:rsidRPr="00B7582D">
        <w:t xml:space="preserve">ste consulte las actas de la audiencia del menor pueden aplazarse por 12 horas, por decisión del </w:t>
      </w:r>
      <w:r w:rsidR="00084A28" w:rsidRPr="00B7582D">
        <w:t>Fiscal</w:t>
      </w:r>
      <w:r w:rsidRPr="00B7582D">
        <w:t xml:space="preserve"> de la República que debe constar por escrito y ser motivada, si esta medida parece indispensable por razones imperiosas que tengan que ver con las circunstancias especiales de la investigación</w:t>
      </w:r>
      <w:r w:rsidRPr="00B7582D">
        <w:rPr>
          <w:vertAlign w:val="superscript"/>
          <w:lang w:val="fr-FR"/>
        </w:rPr>
        <w:footnoteReference w:id="18"/>
      </w:r>
      <w:r w:rsidRPr="00B7582D">
        <w:t>. El juez encargado de las medidas cautelares puede autorizar una postergación adicional por 12 horas si el crimen o delito del cual es sospechoso el menor está sancionado con pena de presidio de por lo menos cinco años. En cambio, no procede en el caso de los menores aplazar la intervención del abogado por un máximo de 72 horas cuando se trate de un caso de delincuencia organizada</w:t>
      </w:r>
      <w:r w:rsidRPr="00B7582D">
        <w:rPr>
          <w:vertAlign w:val="superscript"/>
          <w:lang w:val="fr-FR"/>
        </w:rPr>
        <w:footnoteReference w:id="19"/>
      </w:r>
      <w:r w:rsidRPr="00B7582D">
        <w:t>.</w:t>
      </w:r>
    </w:p>
    <w:p w:rsidR="00B7582D" w:rsidRPr="00B7582D" w:rsidRDefault="00B7582D" w:rsidP="00B7582D">
      <w:pPr>
        <w:pStyle w:val="SingleTxtG"/>
      </w:pPr>
      <w:r w:rsidRPr="00B7582D">
        <w:t>24.</w:t>
      </w:r>
      <w:r w:rsidRPr="00B7582D">
        <w:tab/>
        <w:t xml:space="preserve">El menor de 10 a 13 años de edad no puede ser sometido a detención policial, sino únicamente retenido por un máximo de 12 horas (plazo que se puede prorrogar una vez) si es sospechoso de un crimen o delito sancionado con una pena de por lo menos cinco años de presidio. El menor debe contar con la asistencia de un abogado y, en caso de que ni él ni sus representantes legales hayan designado uno, el </w:t>
      </w:r>
      <w:r w:rsidR="00084A28" w:rsidRPr="00B7582D">
        <w:t>Fiscal</w:t>
      </w:r>
      <w:r w:rsidRPr="00B7582D">
        <w:t xml:space="preserve"> de la República, el juez de instrucción o el agente de la policía judicial deben comunicarlo por todos los medios y sin demora al Presidente del Colegio de Abogados para que nombre un abogado de oficio </w:t>
      </w:r>
    </w:p>
    <w:p w:rsidR="00B7582D" w:rsidRPr="00B7582D" w:rsidRDefault="00B7582D" w:rsidP="00D570D0">
      <w:pPr>
        <w:pStyle w:val="H1G"/>
      </w:pPr>
      <w:r w:rsidRPr="00B7582D">
        <w:tab/>
      </w:r>
      <w:r w:rsidR="00D570D0">
        <w:tab/>
      </w:r>
      <w:r w:rsidRPr="00B7582D">
        <w:t>Cuestión 5</w:t>
      </w:r>
    </w:p>
    <w:p w:rsidR="00B7582D" w:rsidRPr="00B7582D" w:rsidRDefault="00B7582D" w:rsidP="00B7582D">
      <w:pPr>
        <w:pStyle w:val="SingleTxtG"/>
      </w:pPr>
      <w:r w:rsidRPr="00B7582D">
        <w:t>25.</w:t>
      </w:r>
      <w:r w:rsidRPr="00B7582D">
        <w:tab/>
        <w:t xml:space="preserve">La </w:t>
      </w:r>
      <w:r w:rsidR="00D570D0" w:rsidRPr="00B7582D">
        <w:t xml:space="preserve">Ley </w:t>
      </w:r>
      <w:r w:rsidRPr="00B7582D">
        <w:t>de 24 de noviembre de 2009</w:t>
      </w:r>
      <w:r w:rsidRPr="00B7582D">
        <w:rPr>
          <w:vertAlign w:val="superscript"/>
          <w:lang w:val="fr-FR"/>
        </w:rPr>
        <w:footnoteReference w:id="20"/>
      </w:r>
      <w:r w:rsidRPr="00B7582D">
        <w:t xml:space="preserve"> se rige por el principio de que la reclusión es una sanción necesaria, pero también un último recurso y establece una alternativa a la detención provisional, la detención domiciliaria con vigilancia electrónica</w:t>
      </w:r>
      <w:r w:rsidRPr="00B7582D">
        <w:rPr>
          <w:vertAlign w:val="superscript"/>
          <w:lang w:val="fr-FR"/>
        </w:rPr>
        <w:footnoteReference w:id="21"/>
      </w:r>
      <w:r w:rsidRPr="00B7582D">
        <w:t>.</w:t>
      </w:r>
    </w:p>
    <w:p w:rsidR="00B7582D" w:rsidRPr="00B7582D" w:rsidRDefault="00B7582D" w:rsidP="00B7582D">
      <w:pPr>
        <w:pStyle w:val="SingleTxtG"/>
      </w:pPr>
      <w:r w:rsidRPr="00B7582D">
        <w:t>26.</w:t>
      </w:r>
      <w:r w:rsidRPr="00B7582D">
        <w:tab/>
        <w:t>Esta medida reemplaza el control judicial con vigilancia electrónica estab</w:t>
      </w:r>
      <w:r w:rsidR="00D570D0">
        <w:t>lecido en </w:t>
      </w:r>
      <w:r w:rsidRPr="00B7582D">
        <w:t>2002. Es una medida previa a la sentencia y distinta de la detención provisional y del control judicial. Quienes son objeto de ella tienen la obligación de permanecer en la dirección fijada en la decisión y de no ausentarse de ella salvo en las condiciones y por las razones indicadas por el juez. Esta obligación se cumple mediante un régimen de vigilancia electrónica, con un dispositivo similar al que se utiliza en el caso de las penas alternativas</w:t>
      </w:r>
      <w:r w:rsidRPr="00B7582D">
        <w:rPr>
          <w:vertAlign w:val="superscript"/>
          <w:lang w:val="fr-FR"/>
        </w:rPr>
        <w:footnoteReference w:id="22"/>
      </w:r>
      <w:r w:rsidRPr="00B7582D">
        <w:t>.</w:t>
      </w:r>
    </w:p>
    <w:p w:rsidR="00B7582D" w:rsidRPr="00B7582D" w:rsidRDefault="00B7582D" w:rsidP="00B7582D">
      <w:pPr>
        <w:pStyle w:val="SingleTxtG"/>
      </w:pPr>
      <w:r w:rsidRPr="00B7582D">
        <w:lastRenderedPageBreak/>
        <w:t>27.</w:t>
      </w:r>
      <w:r w:rsidRPr="00B7582D">
        <w:tab/>
        <w:t>La ley prevé asimismo la posibilidad de que el penado quede sujeto a detención domiciliaria con vigilancia móvil</w:t>
      </w:r>
      <w:r w:rsidRPr="00B7582D">
        <w:rPr>
          <w:vertAlign w:val="superscript"/>
          <w:lang w:val="fr-FR"/>
        </w:rPr>
        <w:footnoteReference w:id="23"/>
      </w:r>
      <w:r w:rsidRPr="00B7582D">
        <w:t>, para la que se utiliza un dispositivo similar al de la vigilancia electrónica móvil</w:t>
      </w:r>
      <w:r w:rsidRPr="00B7582D">
        <w:rPr>
          <w:vertAlign w:val="superscript"/>
          <w:lang w:val="fr-FR"/>
        </w:rPr>
        <w:footnoteReference w:id="24"/>
      </w:r>
      <w:r w:rsidRPr="00B7582D">
        <w:t>, impuesta básicamente como medida de seguridad</w:t>
      </w:r>
      <w:r w:rsidRPr="00B7582D">
        <w:rPr>
          <w:vertAlign w:val="superscript"/>
          <w:lang w:val="fr-FR"/>
        </w:rPr>
        <w:footnoteReference w:id="25"/>
      </w:r>
      <w:r w:rsidRPr="00B7582D">
        <w:t>.</w:t>
      </w:r>
    </w:p>
    <w:p w:rsidR="00B7582D" w:rsidRPr="00B7582D" w:rsidRDefault="00B7582D" w:rsidP="00B7582D">
      <w:pPr>
        <w:pStyle w:val="SingleTxtG"/>
      </w:pPr>
      <w:r w:rsidRPr="00B7582D">
        <w:t>28.</w:t>
      </w:r>
      <w:r w:rsidRPr="00B7582D">
        <w:tab/>
        <w:t>Francia no tiene estadísticas actualizadas respecto de las alternativas a la detención provisional. Cabe observar, en cambio, que el número de personas sometidas a vigilancia electrónica aumentó en un 3% en 2014</w:t>
      </w:r>
      <w:r w:rsidRPr="00B7582D">
        <w:rPr>
          <w:vertAlign w:val="superscript"/>
          <w:lang w:val="fr-FR"/>
        </w:rPr>
        <w:footnoteReference w:id="26"/>
      </w:r>
      <w:r w:rsidRPr="00B7582D">
        <w:t>, año en que había 284 personas sometidas al régimen de detención domiciliaria con vigilancia electrónica (un aumento del 23%); el número de personas sometidas a detención domiciliaria con vigilancia móvil sigue siendo mínimo</w:t>
      </w:r>
      <w:r w:rsidRPr="00B7582D">
        <w:rPr>
          <w:vertAlign w:val="superscript"/>
          <w:lang w:val="fr-FR"/>
        </w:rPr>
        <w:footnoteReference w:id="27"/>
      </w:r>
      <w:r w:rsidRPr="00B7582D">
        <w:t>. Los datos disponibles no permiten determinar las infracciones respecto de las cuales se han decretado estas medidas.</w:t>
      </w:r>
    </w:p>
    <w:p w:rsidR="00B7582D" w:rsidRPr="00B7582D" w:rsidRDefault="00B7582D" w:rsidP="00B7582D">
      <w:pPr>
        <w:pStyle w:val="SingleTxtG"/>
      </w:pPr>
      <w:r w:rsidRPr="00B7582D">
        <w:t>29.</w:t>
      </w:r>
      <w:r w:rsidRPr="00B7582D">
        <w:tab/>
        <w:t>Por otra parte, el informe más reciente de la Comisión de Seguimiento de la Detención Provisional (CSDP)</w:t>
      </w:r>
      <w:r w:rsidRPr="00B7582D">
        <w:rPr>
          <w:vertAlign w:val="superscript"/>
          <w:lang w:val="fr-FR"/>
        </w:rPr>
        <w:footnoteReference w:id="28"/>
      </w:r>
      <w:r w:rsidRPr="00B7582D">
        <w:t>, de marzo de 2014, indica una reducción significativa del número de personas no sometidas a detención antes de la sentencia definitiva, número que ha bajado a la mitad en los 30 últimos años y guarda una proporción equilibrada entre las personas recluidas en el marco de un procedimiento sumario y en el de una instrucción. Asimismo, pone de relieve una importante reducción del número de sentencias penales condenatorias precedidas de detención provisional.</w:t>
      </w:r>
    </w:p>
    <w:p w:rsidR="00B7582D" w:rsidRPr="00B7582D" w:rsidRDefault="00B7582D" w:rsidP="00B7582D">
      <w:pPr>
        <w:pStyle w:val="SingleTxtG"/>
      </w:pPr>
      <w:r w:rsidRPr="00B7582D">
        <w:t>30.</w:t>
      </w:r>
      <w:r w:rsidRPr="00B7582D">
        <w:tab/>
        <w:t xml:space="preserve">Además, si bien no se ha introducido en Francia una modificación legislativa para reducir la duración legal de la detención provisional, cabe señalar que la duración media observada está estabilizada desde hace unos años en torno a los cuatro meses. Asimismo, las salas de instrucción mantienen una actitud de vigilancia, examinan minuciosamente el cumplimiento de que </w:t>
      </w:r>
      <w:r w:rsidR="002E302C">
        <w:t xml:space="preserve">la detención sea por un plazo </w:t>
      </w:r>
      <w:r w:rsidR="004E2BB7">
        <w:t>“</w:t>
      </w:r>
      <w:r w:rsidR="002E302C">
        <w:t>razonable</w:t>
      </w:r>
      <w:r w:rsidR="004E2BB7">
        <w:t>”</w:t>
      </w:r>
      <w:r w:rsidRPr="00B7582D">
        <w:rPr>
          <w:vertAlign w:val="superscript"/>
          <w:lang w:val="fr-FR"/>
        </w:rPr>
        <w:footnoteReference w:id="29"/>
      </w:r>
      <w:r w:rsidRPr="00B7582D">
        <w:t>, y, llegado el caso, ordenan la puesta en libertad.</w:t>
      </w:r>
    </w:p>
    <w:p w:rsidR="00B7582D" w:rsidRPr="00B7582D" w:rsidRDefault="00B7582D" w:rsidP="00B7582D">
      <w:pPr>
        <w:pStyle w:val="SingleTxtG"/>
      </w:pPr>
      <w:r w:rsidRPr="00B7582D">
        <w:t>31.</w:t>
      </w:r>
      <w:r w:rsidRPr="00B7582D">
        <w:tab/>
        <w:t>Por último, los ministerios competentes tienen en cuenta las recomendaciones del CGLPL, especialmente en el marco de la preparación de una circular que apunta a recordar la función que incumbe a la autoridad judicial en el control de los recintos de privación de la libertad</w:t>
      </w:r>
      <w:r w:rsidRPr="00B7582D">
        <w:rPr>
          <w:vertAlign w:val="superscript"/>
          <w:lang w:val="fr-FR"/>
        </w:rPr>
        <w:footnoteReference w:id="30"/>
      </w:r>
      <w:r w:rsidRPr="00B7582D">
        <w:t xml:space="preserve">. Ya se han organizado reuniones sobre distintos temas entre las divisiones correspondientes del Ministerio de Justicia y del CGLPL a fin de precisar las decisiones de este último respecto de cada una de las categorías de privación de la libertad. El proyecto de circular podría estar terminado para el primer trimestre de 2016. </w:t>
      </w:r>
    </w:p>
    <w:p w:rsidR="00B7582D" w:rsidRPr="00B7582D" w:rsidRDefault="00B7582D" w:rsidP="00B7582D">
      <w:pPr>
        <w:pStyle w:val="SingleTxtG"/>
      </w:pPr>
      <w:r w:rsidRPr="00B7582D">
        <w:t>32.</w:t>
      </w:r>
      <w:r w:rsidRPr="00B7582D">
        <w:tab/>
        <w:t>Véanse en el anexo núm. 3 datos estadísticos sobre las medidas alternativas a la detención provisional.</w:t>
      </w:r>
    </w:p>
    <w:p w:rsidR="00B7582D" w:rsidRPr="00B7582D" w:rsidRDefault="00D570D0" w:rsidP="00D570D0">
      <w:pPr>
        <w:pStyle w:val="H1G"/>
      </w:pPr>
      <w:r>
        <w:tab/>
      </w:r>
      <w:r w:rsidR="00B7582D" w:rsidRPr="00B7582D">
        <w:tab/>
        <w:t>Cuestión 6</w:t>
      </w:r>
    </w:p>
    <w:p w:rsidR="00B7582D" w:rsidRPr="00B7582D" w:rsidRDefault="00B7582D" w:rsidP="00B7582D">
      <w:pPr>
        <w:pStyle w:val="SingleTxtG"/>
      </w:pPr>
      <w:r w:rsidRPr="00B7582D">
        <w:t>33.</w:t>
      </w:r>
      <w:r w:rsidRPr="00B7582D">
        <w:tab/>
        <w:t>La legislación francesa en materia de trata de seres humanos fue profundamente modificada en virtud de la ley de 5 de agosto de 2013</w:t>
      </w:r>
      <w:r w:rsidRPr="00B7582D">
        <w:rPr>
          <w:vertAlign w:val="superscript"/>
          <w:lang w:val="fr-FR"/>
        </w:rPr>
        <w:footnoteReference w:id="31"/>
      </w:r>
      <w:r w:rsidRPr="00B7582D">
        <w:t xml:space="preserve"> que, entre otras cosas, estableció </w:t>
      </w:r>
      <w:r w:rsidRPr="00B7582D">
        <w:lastRenderedPageBreak/>
        <w:t>con precisión la definición y las circunstancias agravantes de este delito, además de fijar penas más graves por su comisión</w:t>
      </w:r>
      <w:r w:rsidRPr="00B7582D">
        <w:rPr>
          <w:vertAlign w:val="superscript"/>
          <w:lang w:val="fr-FR"/>
        </w:rPr>
        <w:footnoteReference w:id="32"/>
      </w:r>
      <w:r w:rsidRPr="00B7582D">
        <w:t>.</w:t>
      </w:r>
    </w:p>
    <w:p w:rsidR="00B7582D" w:rsidRPr="00B7582D" w:rsidRDefault="00B7582D" w:rsidP="00B7582D">
      <w:pPr>
        <w:pStyle w:val="SingleTxtG"/>
      </w:pPr>
      <w:r w:rsidRPr="00B7582D">
        <w:t>34.</w:t>
      </w:r>
      <w:r w:rsidRPr="00B7582D">
        <w:tab/>
        <w:t>La circular de 22 de enero de 2015</w:t>
      </w:r>
      <w:r w:rsidRPr="00B7582D">
        <w:rPr>
          <w:vertAlign w:val="superscript"/>
          <w:lang w:val="fr-FR"/>
        </w:rPr>
        <w:footnoteReference w:id="33"/>
      </w:r>
      <w:r w:rsidRPr="00B7582D">
        <w:t xml:space="preserve"> alienta a utilizar más la calificación de delito de trata de seres humanos y apunta a que la legislación se aplique en todos sus aspectos de prevención y represión.</w:t>
      </w:r>
    </w:p>
    <w:p w:rsidR="00B7582D" w:rsidRPr="00B7582D" w:rsidRDefault="00D570D0" w:rsidP="00B7582D">
      <w:pPr>
        <w:pStyle w:val="SingleTxtG"/>
      </w:pPr>
      <w:r>
        <w:t>35.</w:t>
      </w:r>
      <w:r>
        <w:tab/>
        <w:t>Se han registrado en 2014</w:t>
      </w:r>
      <w:r w:rsidR="00B7582D" w:rsidRPr="00B7582D">
        <w:t>:</w:t>
      </w:r>
    </w:p>
    <w:p w:rsidR="00B7582D" w:rsidRPr="00B7582D" w:rsidRDefault="00B7582D" w:rsidP="00D570D0">
      <w:pPr>
        <w:pStyle w:val="Bullet1G"/>
      </w:pPr>
      <w:r w:rsidRPr="00B7582D">
        <w:t>246 delitos de trata de seres humanos</w:t>
      </w:r>
      <w:r w:rsidRPr="00B7582D">
        <w:rPr>
          <w:vertAlign w:val="superscript"/>
          <w:lang w:val="fr-FR"/>
        </w:rPr>
        <w:footnoteReference w:id="34"/>
      </w:r>
      <w:r w:rsidRPr="00B7582D">
        <w:t xml:space="preserve"> que culminaron con una sentencia</w:t>
      </w:r>
      <w:r w:rsidR="00D570D0">
        <w:t xml:space="preserve"> condenatoria (60 % más que en </w:t>
      </w:r>
      <w:r w:rsidRPr="00B7582D">
        <w:t>2013 y la cifra se ha decuplicado en cuatro años);</w:t>
      </w:r>
    </w:p>
    <w:p w:rsidR="00B7582D" w:rsidRPr="00B7582D" w:rsidRDefault="00D570D0" w:rsidP="00D570D0">
      <w:pPr>
        <w:pStyle w:val="Bullet1G"/>
      </w:pPr>
      <w:r>
        <w:t>9</w:t>
      </w:r>
      <w:r w:rsidR="00B7582D" w:rsidRPr="00B7582D">
        <w:t>1 sentencias condenatorias (en comparación con 64 en 2013) en 31 causas vinculadas con la trata de seres humanos (en comparación con 21 en 2013);</w:t>
      </w:r>
    </w:p>
    <w:p w:rsidR="00B7582D" w:rsidRPr="00B7582D" w:rsidRDefault="00B7582D" w:rsidP="00D570D0">
      <w:pPr>
        <w:pStyle w:val="Bullet1G"/>
      </w:pPr>
      <w:r w:rsidRPr="00B7582D">
        <w:t>Desde 2008 un solo delito de trata de seres humanos culminó con una sentencia condenatoria por los tribunales de ultramar en 2012 (Tribunal de Apelación de Saint-Denis de la isla Reunión).</w:t>
      </w:r>
    </w:p>
    <w:p w:rsidR="00B7582D" w:rsidRPr="00B7582D" w:rsidRDefault="00B7582D" w:rsidP="00B7582D">
      <w:pPr>
        <w:pStyle w:val="SingleTxtG"/>
      </w:pPr>
      <w:r w:rsidRPr="00B7582D">
        <w:t>36.</w:t>
      </w:r>
      <w:r w:rsidRPr="00B7582D">
        <w:tab/>
        <w:t>Entre 2010 y 2013, en más del 60 % de los casos, los delitos de trata de seres humanos dieron lugar a una pena de presidio sin remisión o con remisión parcial (entre tres años y cuatro años y ocho meses), proporción que llegó al 100% en 2014. Además, algunas sentencias imponían una pena de multa por una cuantía que</w:t>
      </w:r>
      <w:r w:rsidR="002E302C">
        <w:t xml:space="preserve"> iba de 100.000 euros en 2010 a </w:t>
      </w:r>
      <w:r w:rsidRPr="00B7582D">
        <w:t>50.000 euros en 2013</w:t>
      </w:r>
      <w:r w:rsidRPr="00B7582D">
        <w:rPr>
          <w:vertAlign w:val="superscript"/>
          <w:lang w:val="fr-FR"/>
        </w:rPr>
        <w:footnoteReference w:id="35"/>
      </w:r>
      <w:r w:rsidRPr="00B7582D">
        <w:t>.</w:t>
      </w:r>
    </w:p>
    <w:p w:rsidR="00B7582D" w:rsidRPr="00B7582D" w:rsidRDefault="00B7582D" w:rsidP="00B7582D">
      <w:pPr>
        <w:pStyle w:val="SingleTxtG"/>
      </w:pPr>
      <w:r w:rsidRPr="00B7582D">
        <w:t>37.</w:t>
      </w:r>
      <w:r w:rsidRPr="00B7582D">
        <w:tab/>
        <w:t xml:space="preserve">Se ha establecido un dispositivo específico de protección y atención de las víctimas de trata de seres humanas, cuya aplicación se ha encomendado principalmente a asociaciones especializadas en la materia. </w:t>
      </w:r>
    </w:p>
    <w:p w:rsidR="00B7582D" w:rsidRPr="00B7582D" w:rsidRDefault="00B7582D" w:rsidP="00B7582D">
      <w:pPr>
        <w:pStyle w:val="SingleTxtG"/>
      </w:pPr>
      <w:r w:rsidRPr="00B7582D">
        <w:t>38.</w:t>
      </w:r>
      <w:r w:rsidRPr="00B7582D">
        <w:tab/>
        <w:t xml:space="preserve">El programa </w:t>
      </w:r>
      <w:r w:rsidR="004E2BB7">
        <w:rPr>
          <w:i/>
        </w:rPr>
        <w:t>“</w:t>
      </w:r>
      <w:proofErr w:type="spellStart"/>
      <w:r w:rsidRPr="00B7582D">
        <w:rPr>
          <w:i/>
        </w:rPr>
        <w:t>Accueil</w:t>
      </w:r>
      <w:proofErr w:type="spellEnd"/>
      <w:r w:rsidRPr="00B7582D">
        <w:rPr>
          <w:i/>
        </w:rPr>
        <w:t xml:space="preserve"> </w:t>
      </w:r>
      <w:proofErr w:type="spellStart"/>
      <w:r w:rsidRPr="00B7582D">
        <w:rPr>
          <w:i/>
        </w:rPr>
        <w:t>sécurisant</w:t>
      </w:r>
      <w:proofErr w:type="spellEnd"/>
      <w:r w:rsidR="004E2BB7">
        <w:rPr>
          <w:i/>
        </w:rPr>
        <w:t>”</w:t>
      </w:r>
      <w:r w:rsidRPr="00B7582D">
        <w:rPr>
          <w:vertAlign w:val="superscript"/>
          <w:lang w:val="fr-FR"/>
        </w:rPr>
        <w:footnoteReference w:id="36"/>
      </w:r>
      <w:r w:rsidRPr="00B7582D">
        <w:t>, coordinado por la asociación ALC y creado en virtud de un decreto y una circular, forma hoy parte integrante de las medidas de protección de las víctimas de la trata de seres humanos en Francia</w:t>
      </w:r>
      <w:r w:rsidRPr="00B7582D">
        <w:rPr>
          <w:vertAlign w:val="superscript"/>
          <w:lang w:val="fr-FR"/>
        </w:rPr>
        <w:footnoteReference w:id="37"/>
      </w:r>
      <w:r w:rsidRPr="00B7582D">
        <w:t>.</w:t>
      </w:r>
    </w:p>
    <w:p w:rsidR="00B7582D" w:rsidRPr="00B7582D" w:rsidRDefault="00B7582D" w:rsidP="00B7582D">
      <w:pPr>
        <w:pStyle w:val="SingleTxtG"/>
      </w:pPr>
      <w:r w:rsidRPr="00B7582D">
        <w:t>39.</w:t>
      </w:r>
      <w:r w:rsidRPr="00B7582D">
        <w:tab/>
        <w:t>El programa, financiado principalmente por el Ministerio de los Derechos de la Mujer y por la Municipalidad de París, propone la prestación de asistencia en condiciones de seguridad a l</w:t>
      </w:r>
      <w:r w:rsidR="004E2BB7">
        <w:t>a</w:t>
      </w:r>
      <w:r w:rsidRPr="00B7582D">
        <w:t xml:space="preserve">s víctimas de trata de seres humanos con fines de explotación que corran peligro en la ciudad y necesiten alejarse de ella, cualesquiera que sean su nacionalidad, </w:t>
      </w:r>
      <w:r w:rsidRPr="00B7582D">
        <w:lastRenderedPageBreak/>
        <w:t>sexo o situación administrativa. Este programa no depende de que la víctima esté dispuesta a cooperar con las fuerzas de policía e incluye todos los servicios necesarios.</w:t>
      </w:r>
    </w:p>
    <w:p w:rsidR="00B7582D" w:rsidRPr="00B7582D" w:rsidRDefault="00B7582D" w:rsidP="00B7582D">
      <w:pPr>
        <w:pStyle w:val="SingleTxtG"/>
      </w:pPr>
      <w:r w:rsidRPr="00B7582D">
        <w:t>40.</w:t>
      </w:r>
      <w:r w:rsidRPr="00B7582D">
        <w:tab/>
        <w:t>Al mismo tiempo, existe un mecanismo especial que permite expedir un permiso de estancia temporal de seis meses prorrogables al extranjero que se encuentre en situación irregular y que interponga una demanda o preste testimonio en un procedimiento penal por un delito de trata de seres humanos o proxenetismo.</w:t>
      </w:r>
    </w:p>
    <w:p w:rsidR="00B7582D" w:rsidRPr="00B7582D" w:rsidRDefault="00B7582D" w:rsidP="00B7582D">
      <w:pPr>
        <w:pStyle w:val="SingleTxtG"/>
      </w:pPr>
      <w:r w:rsidRPr="00B7582D">
        <w:t>41.</w:t>
      </w:r>
      <w:r w:rsidRPr="00B7582D">
        <w:tab/>
        <w:t xml:space="preserve">En 2014 se </w:t>
      </w:r>
      <w:r w:rsidR="00D570D0" w:rsidRPr="00B7582D">
        <w:t>utilizó</w:t>
      </w:r>
      <w:r w:rsidRPr="00B7582D">
        <w:t xml:space="preserve"> este mecanismo para 79 personas de 12 nacionalidades distintas, de las cuales el 70% eran nigerianas, y se propusieron soluciones para 70 de ellas.</w:t>
      </w:r>
    </w:p>
    <w:p w:rsidR="00B7582D" w:rsidRPr="00B7582D" w:rsidRDefault="00B7582D" w:rsidP="00B7582D">
      <w:pPr>
        <w:pStyle w:val="SingleTxtG"/>
      </w:pPr>
      <w:r w:rsidRPr="00B7582D">
        <w:t>42.</w:t>
      </w:r>
      <w:r w:rsidRPr="00B7582D">
        <w:tab/>
        <w:t>A partir de 2012 el Ministerio de Justicia financia cursos de formación para profesionales sobre detección de las víctimas de trata de seres humanos</w:t>
      </w:r>
      <w:r w:rsidRPr="00B7582D">
        <w:rPr>
          <w:vertAlign w:val="superscript"/>
          <w:lang w:val="fr-FR"/>
        </w:rPr>
        <w:footnoteReference w:id="38"/>
      </w:r>
      <w:r w:rsidRPr="00B7582D">
        <w:t>.</w:t>
      </w:r>
    </w:p>
    <w:p w:rsidR="00B7582D" w:rsidRPr="00B7582D" w:rsidRDefault="00B7582D" w:rsidP="00B7582D">
      <w:pPr>
        <w:pStyle w:val="SingleTxtG"/>
      </w:pPr>
      <w:r w:rsidRPr="00B7582D">
        <w:t>43.</w:t>
      </w:r>
      <w:r w:rsidRPr="00B7582D">
        <w:tab/>
        <w:t xml:space="preserve">El Ministerio de Justicia aportó también en 2015 13.000 euros al Comité contra la Esclavitud Contemporánea para que se hiciera cargo de víctimas de la trata de seres humanos con fines de explotación y les encontrase trabajo doméstico o en empresas muy pequeñas. En 2014 recibió 252 casos (en comparación con 258 en 2013), 110 de los cuales fueron objetos de un análisis y estudio individualizado. </w:t>
      </w:r>
      <w:r w:rsidR="00D570D0">
        <w:t>El Comité tomó a su cargo a 180 </w:t>
      </w:r>
      <w:r w:rsidRPr="00B7582D">
        <w:t>perso</w:t>
      </w:r>
      <w:r w:rsidR="00D570D0">
        <w:t xml:space="preserve">nas (en comparación con 139 en </w:t>
      </w:r>
      <w:r w:rsidRPr="00B7582D">
        <w:t xml:space="preserve">2013), 27 de las cuales eran nuevas, en comparación con 33 en 2013 (un 29.5% más de nuevos casos) y les proporcionó asistencia </w:t>
      </w:r>
      <w:proofErr w:type="spellStart"/>
      <w:r w:rsidRPr="00B7582D">
        <w:t>socioeducacional</w:t>
      </w:r>
      <w:proofErr w:type="spellEnd"/>
      <w:r w:rsidRPr="00B7582D">
        <w:t>, jurídica</w:t>
      </w:r>
      <w:r w:rsidRPr="00B7582D">
        <w:rPr>
          <w:vertAlign w:val="superscript"/>
          <w:lang w:val="fr-FR"/>
        </w:rPr>
        <w:footnoteReference w:id="39"/>
      </w:r>
      <w:r w:rsidRPr="00B7582D">
        <w:t>, administrativa y psicológica. El 85% de las personas acogidas en 2014 eran mujeres o muchachas en situación de servidumbre doméstica. Además de los malos tratos psicológicos que se observan siempre, una tercera parte de las víctimas habían sido objeto de malos tratos físicos y abusos sexuales.</w:t>
      </w:r>
    </w:p>
    <w:p w:rsidR="00B7582D" w:rsidRPr="00B7582D" w:rsidRDefault="00D570D0" w:rsidP="00D570D0">
      <w:pPr>
        <w:pStyle w:val="H23G"/>
      </w:pPr>
      <w:r>
        <w:tab/>
      </w:r>
      <w:r w:rsidR="00B7582D" w:rsidRPr="00B7582D">
        <w:tab/>
        <w:t xml:space="preserve">Asistencia a menores víctimas de la trata de seres humanos </w:t>
      </w:r>
    </w:p>
    <w:p w:rsidR="00B7582D" w:rsidRPr="00B7582D" w:rsidRDefault="00B7582D" w:rsidP="00B7582D">
      <w:pPr>
        <w:pStyle w:val="SingleTxtG"/>
        <w:rPr>
          <w:i/>
        </w:rPr>
      </w:pPr>
      <w:r w:rsidRPr="00B7582D">
        <w:t>44.</w:t>
      </w:r>
      <w:r w:rsidRPr="00B7582D">
        <w:tab/>
        <w:t xml:space="preserve">La asociación </w:t>
      </w:r>
      <w:proofErr w:type="spellStart"/>
      <w:r w:rsidRPr="00B7582D">
        <w:rPr>
          <w:i/>
        </w:rPr>
        <w:t>Hors</w:t>
      </w:r>
      <w:proofErr w:type="spellEnd"/>
      <w:r w:rsidRPr="00B7582D">
        <w:rPr>
          <w:i/>
        </w:rPr>
        <w:t xml:space="preserve"> la rue</w:t>
      </w:r>
      <w:r w:rsidRPr="00B7582D">
        <w:t xml:space="preserve"> lleva a cabo, en colaboración con el Ministerio de Justicia, actividades, especialmente en París y en Seine-Saint-Denis, en beneficio de las menores víctimas de la trata, (menos del 25% de las jóvenes que se encontraron en 2014).</w:t>
      </w:r>
    </w:p>
    <w:p w:rsidR="00B7582D" w:rsidRPr="00B7582D" w:rsidRDefault="00B7582D" w:rsidP="00B7582D">
      <w:pPr>
        <w:pStyle w:val="SingleTxtG"/>
        <w:rPr>
          <w:i/>
        </w:rPr>
      </w:pPr>
      <w:r w:rsidRPr="00B7582D">
        <w:t>45.</w:t>
      </w:r>
      <w:r w:rsidRPr="00B7582D">
        <w:tab/>
        <w:t xml:space="preserve">Por otra parte, y habida cuenta del número cada vez mayor de víctimas menores de edad y de conformidad con las medidas 10 y 11 del plan de acción nacional contra la trata de seres humanos </w:t>
      </w:r>
      <w:r w:rsidRPr="00B7582D">
        <w:rPr>
          <w:bCs/>
        </w:rPr>
        <w:t xml:space="preserve">2014-2016, un grupo de trabajo, dirigido por la </w:t>
      </w:r>
      <w:r w:rsidRPr="00B7582D">
        <w:t>MIPROF</w:t>
      </w:r>
      <w:r w:rsidRPr="00B7582D">
        <w:rPr>
          <w:vertAlign w:val="superscript"/>
          <w:lang w:val="fr-FR"/>
        </w:rPr>
        <w:footnoteReference w:id="40"/>
      </w:r>
      <w:r w:rsidRPr="00B7582D">
        <w:t xml:space="preserve"> y bajo la autoridad del Ministerio de Asuntos Sociales e integrado por instituciones y asociaciones encargadas de la protección del menor, preparó un acuerdo cuyo objeto es la creación de un mecanismo concreto de protección consistente en la colocación de menores en condiciones de seguridad sobre la base del alejamiento geográfico, a fin de sustraerlos de quienes los explotan y con la asistencia de educadores especialmente formados a tal efecto</w:t>
      </w:r>
      <w:r w:rsidRPr="00B7582D">
        <w:rPr>
          <w:vertAlign w:val="superscript"/>
          <w:lang w:val="fr-FR"/>
        </w:rPr>
        <w:footnoteReference w:id="41"/>
      </w:r>
      <w:r w:rsidRPr="00B7582D">
        <w:t>. Se trata de intercambiar información sobre la situación de estos menores, teniendo presente la necesidad de confidencialidad, de cr</w:t>
      </w:r>
      <w:r w:rsidR="002E302C">
        <w:t xml:space="preserve">ear un circuito de ayuda entre </w:t>
      </w:r>
      <w:r w:rsidRPr="00B7582D">
        <w:t xml:space="preserve">los distintos integrantes, de asegurar la participación de educadores con formación especializada y de hacer que los menores cuenten con la asistencia de un abogado especializado y estén representados por un administrador </w:t>
      </w:r>
      <w:r w:rsidRPr="00B7582D">
        <w:rPr>
          <w:bCs/>
          <w:i/>
        </w:rPr>
        <w:t>ad hoc</w:t>
      </w:r>
      <w:r w:rsidRPr="00B7582D">
        <w:rPr>
          <w:bCs/>
        </w:rPr>
        <w:t>.</w:t>
      </w:r>
    </w:p>
    <w:p w:rsidR="00B7582D" w:rsidRPr="00B7582D" w:rsidRDefault="00B7582D" w:rsidP="00B7582D">
      <w:pPr>
        <w:pStyle w:val="SingleTxtG"/>
        <w:rPr>
          <w:i/>
        </w:rPr>
      </w:pPr>
      <w:r w:rsidRPr="00B7582D">
        <w:t>46.</w:t>
      </w:r>
      <w:r w:rsidRPr="00B7582D">
        <w:tab/>
      </w:r>
      <w:r w:rsidRPr="00B7582D">
        <w:rPr>
          <w:bCs/>
        </w:rPr>
        <w:t xml:space="preserve">Por último, la MIPROF trabaja en un proyecto de plataforma europea para un mejor intercambio de información entre los servicios competentes de cada Estado miembro con el </w:t>
      </w:r>
      <w:r w:rsidRPr="00B7582D">
        <w:rPr>
          <w:bCs/>
        </w:rPr>
        <w:lastRenderedPageBreak/>
        <w:t>objetivo, en particular, de identificar mejor a las víctimas menores de edad y estar al corriente de su itinerario y de las medidas educacionales dictadas por otro Estado miembro.</w:t>
      </w:r>
    </w:p>
    <w:p w:rsidR="00B7582D" w:rsidRPr="00B7582D" w:rsidRDefault="002E302C" w:rsidP="002E302C">
      <w:pPr>
        <w:pStyle w:val="H1G"/>
        <w:rPr>
          <w:i/>
        </w:rPr>
      </w:pPr>
      <w:r>
        <w:tab/>
      </w:r>
      <w:r w:rsidR="00B7582D" w:rsidRPr="00B7582D">
        <w:tab/>
        <w:t>Cuestión 7</w:t>
      </w:r>
    </w:p>
    <w:p w:rsidR="00B7582D" w:rsidRPr="00B7582D" w:rsidRDefault="00B7582D" w:rsidP="00B7582D">
      <w:pPr>
        <w:pStyle w:val="SingleTxtG"/>
      </w:pPr>
      <w:r w:rsidRPr="00B7582D">
        <w:t>47.</w:t>
      </w:r>
      <w:r w:rsidRPr="00B7582D">
        <w:tab/>
        <w:t>En los anexos 4, 5 y 6 figuran estadísticas sobre la evolución de las solicitudes de asilo, el número y la naturaleza de las decisiones adoptadas, la distribución por continente de origen a partir de 2010 y la distribución entre hombres y mujeres.</w:t>
      </w:r>
    </w:p>
    <w:p w:rsidR="00B7582D" w:rsidRPr="00B7582D" w:rsidRDefault="00B7582D" w:rsidP="00B7582D">
      <w:pPr>
        <w:pStyle w:val="SingleTxtG"/>
      </w:pPr>
      <w:r w:rsidRPr="00B7582D">
        <w:t>48.</w:t>
      </w:r>
      <w:r w:rsidRPr="00B7582D">
        <w:tab/>
        <w:t>En cuanto a la evolució</w:t>
      </w:r>
      <w:r w:rsidR="004E2BB7">
        <w:t>n de las solicitudes de asilo, e</w:t>
      </w:r>
      <w:r w:rsidRPr="00B7582D">
        <w:t>stas han aumentado de manera constante entre 2010 y 2013 y han pasado de 52.762 à 66.</w:t>
      </w:r>
      <w:r w:rsidR="002E302C">
        <w:t xml:space="preserve">251. Tras una leve disminución </w:t>
      </w:r>
      <w:r w:rsidRPr="00B7582D">
        <w:t>en 2014 (64.811 solicitudes), aumentaron de nuevo en un 22% en 2015 (79.130 solicitudes).</w:t>
      </w:r>
    </w:p>
    <w:p w:rsidR="00B7582D" w:rsidRPr="00B7582D" w:rsidRDefault="002E302C" w:rsidP="00B7582D">
      <w:pPr>
        <w:pStyle w:val="SingleTxtG"/>
      </w:pPr>
      <w:r>
        <w:t>49.</w:t>
      </w:r>
      <w:r>
        <w:tab/>
        <w:t>Se decidió conceder asilo</w:t>
      </w:r>
      <w:r w:rsidR="00B7582D" w:rsidRPr="00B7582D">
        <w:rPr>
          <w:vertAlign w:val="superscript"/>
          <w:lang w:val="fr-FR"/>
        </w:rPr>
        <w:footnoteReference w:id="42"/>
      </w:r>
      <w:r w:rsidR="00B7582D" w:rsidRPr="00B7582D">
        <w:t xml:space="preserve"> en un 27,5 % de los casos en 2010, un 25,2 % en 2011, un 21,6 % en 2012, un 24,4 % en 2013, un 28 % en 2014 y</w:t>
      </w:r>
      <w:r>
        <w:t xml:space="preserve"> un 31,5 % en 2015. A partir de </w:t>
      </w:r>
      <w:r w:rsidR="00B7582D" w:rsidRPr="00B7582D">
        <w:t>2010, entre el 25 y el 30% de todas las solicitudes por año son tramitadas en un procedimiento prioritario</w:t>
      </w:r>
      <w:r w:rsidR="00B7582D" w:rsidRPr="00B7582D">
        <w:rPr>
          <w:vertAlign w:val="superscript"/>
          <w:lang w:val="fr-FR"/>
        </w:rPr>
        <w:footnoteReference w:id="43"/>
      </w:r>
      <w:r w:rsidR="00B7582D" w:rsidRPr="00B7582D">
        <w:t>.</w:t>
      </w:r>
    </w:p>
    <w:p w:rsidR="00B7582D" w:rsidRPr="00B7582D" w:rsidRDefault="00B7582D" w:rsidP="00B7582D">
      <w:pPr>
        <w:pStyle w:val="SingleTxtG"/>
      </w:pPr>
      <w:r w:rsidRPr="00B7582D">
        <w:t>50.</w:t>
      </w:r>
      <w:r w:rsidRPr="00B7582D">
        <w:tab/>
        <w:t>La OFPRA puede de oficio asignar solicitudes al procedimiento acelerado</w:t>
      </w:r>
      <w:r w:rsidRPr="00B7582D">
        <w:rPr>
          <w:vertAlign w:val="superscript"/>
          <w:lang w:val="fr-FR"/>
        </w:rPr>
        <w:footnoteReference w:id="44"/>
      </w:r>
      <w:r w:rsidRPr="00B7582D">
        <w:t xml:space="preserve"> cuando el solicitante ha planteado únicamente cuestiones que no guardan relación con la solicitud de asilo, ha hecho declaraciones manifiestamente incoherentes y contradictorias o manifiestamente falsas o poco plausibles y que contradicen los datos verificados con respecto al país de origen.</w:t>
      </w:r>
    </w:p>
    <w:p w:rsidR="00B7582D" w:rsidRPr="00B7582D" w:rsidRDefault="00B7582D" w:rsidP="00B7582D">
      <w:pPr>
        <w:pStyle w:val="SingleTxtG"/>
      </w:pPr>
      <w:r w:rsidRPr="00B7582D">
        <w:t>51.</w:t>
      </w:r>
      <w:r w:rsidRPr="00B7582D">
        <w:tab/>
        <w:t>La solicitud de asignación a procedimiento prioritario es objeto de un minucioso examen individual por parte de la OFPRA y del CNDA. De hacerse valer un riesgo de tortura en caso de devolución al país de origen, las dos instancias analizan y deciden la cuestión con cuidado, basándose tanto en los elementos del expediente como en los datos de que disponen acerca del país de origen del solicitante</w:t>
      </w:r>
      <w:r w:rsidRPr="00B7582D">
        <w:rPr>
          <w:vertAlign w:val="superscript"/>
          <w:lang w:val="fr-FR"/>
        </w:rPr>
        <w:footnoteReference w:id="45"/>
      </w:r>
      <w:r w:rsidRPr="00B7582D">
        <w:t>.</w:t>
      </w:r>
    </w:p>
    <w:p w:rsidR="00B7582D" w:rsidRPr="00B7582D" w:rsidRDefault="00B7582D" w:rsidP="00B7582D">
      <w:pPr>
        <w:pStyle w:val="SingleTxtG"/>
      </w:pPr>
      <w:r w:rsidRPr="00B7582D">
        <w:t>52.</w:t>
      </w:r>
      <w:r w:rsidRPr="00B7582D">
        <w:tab/>
        <w:t>En el Anexo 8 figura un cuadro de los asuntos contencioso-administrativos relativos a refugiados y apátridas que comenzaron y terminaron en el período 2011-2015. Con estos pocos datos disponibles no es posible conocer el número de casos en que un juez dejó sin efecto una orden de deportación en razón del peligro de tortura.</w:t>
      </w:r>
    </w:p>
    <w:p w:rsidR="00B7582D" w:rsidRPr="00B7582D" w:rsidRDefault="002E302C" w:rsidP="002E302C">
      <w:pPr>
        <w:pStyle w:val="H1G"/>
      </w:pPr>
      <w:r>
        <w:lastRenderedPageBreak/>
        <w:tab/>
      </w:r>
      <w:r w:rsidR="00B7582D" w:rsidRPr="00B7582D">
        <w:tab/>
        <w:t>Cuestión 8</w:t>
      </w:r>
    </w:p>
    <w:p w:rsidR="00B7582D" w:rsidRPr="00B7582D" w:rsidRDefault="00B7582D" w:rsidP="00B7582D">
      <w:pPr>
        <w:pStyle w:val="SingleTxtG"/>
      </w:pPr>
      <w:r w:rsidRPr="00B7582D">
        <w:t>53.</w:t>
      </w:r>
      <w:r w:rsidRPr="00B7582D">
        <w:tab/>
        <w:t>La ley de 29 de julio de 2015</w:t>
      </w:r>
      <w:r w:rsidRPr="00B7582D">
        <w:rPr>
          <w:vertAlign w:val="superscript"/>
          <w:lang w:val="fr-FR"/>
        </w:rPr>
        <w:footnoteReference w:id="46"/>
      </w:r>
      <w:r w:rsidRPr="00B7582D">
        <w:t xml:space="preserve"> ha reforzado las garantías procesales aplicables a los solicitantes de asilo en zonas de espera.</w:t>
      </w:r>
    </w:p>
    <w:p w:rsidR="00B7582D" w:rsidRPr="00B7582D" w:rsidRDefault="00B7582D" w:rsidP="00B7582D">
      <w:pPr>
        <w:pStyle w:val="SingleTxtG"/>
      </w:pPr>
      <w:r w:rsidRPr="00B7582D">
        <w:t>54.</w:t>
      </w:r>
      <w:r w:rsidRPr="00B7582D">
        <w:tab/>
        <w:t>Se informa al extranjero asignado a una zona de espera, en los plazos más breves posibles</w:t>
      </w:r>
      <w:r w:rsidRPr="00B7582D">
        <w:rPr>
          <w:vertAlign w:val="superscript"/>
          <w:lang w:val="fr-FR"/>
        </w:rPr>
        <w:footnoteReference w:id="47"/>
      </w:r>
      <w:r w:rsidRPr="00B7582D">
        <w:t xml:space="preserve"> y en un idioma que entienda, de su derecho a solicitar asilo y sus demás derechos (consultar a un abogado, un médico o una persona de su elección).</w:t>
      </w:r>
    </w:p>
    <w:p w:rsidR="00B7582D" w:rsidRPr="00B7582D" w:rsidRDefault="00B7582D" w:rsidP="00B7582D">
      <w:pPr>
        <w:pStyle w:val="SingleTxtG"/>
      </w:pPr>
      <w:r w:rsidRPr="00B7582D">
        <w:t>55.</w:t>
      </w:r>
      <w:r w:rsidRPr="00B7582D">
        <w:tab/>
        <w:t>El dictamen de la OFPRA, de ser favorable, es obligatorio para el Ministro del Interior, salvo en caso excepcional de amenaza grave al orden público.</w:t>
      </w:r>
    </w:p>
    <w:p w:rsidR="00B7582D" w:rsidRPr="00B7582D" w:rsidRDefault="00B7582D" w:rsidP="00B7582D">
      <w:pPr>
        <w:pStyle w:val="SingleTxtG"/>
      </w:pPr>
      <w:r w:rsidRPr="00B7582D">
        <w:t>56.</w:t>
      </w:r>
      <w:r w:rsidRPr="00B7582D">
        <w:tab/>
        <w:t xml:space="preserve">Únicamente se puede dictar una decisión por la cual se niegue la entrada al país para solicitar asilo en casos estrictamente limitados, como cuando la solicitud es </w:t>
      </w:r>
      <w:r w:rsidR="004E2BB7">
        <w:t>“</w:t>
      </w:r>
      <w:r w:rsidR="002E302C">
        <w:t>manifiestamente infundada</w:t>
      </w:r>
      <w:r w:rsidR="004E2BB7">
        <w:t>”</w:t>
      </w:r>
      <w:r w:rsidRPr="00B7582D">
        <w:t xml:space="preserve">, a saber, </w:t>
      </w:r>
      <w:r w:rsidR="004E2BB7">
        <w:t>“</w:t>
      </w:r>
      <w:r w:rsidRPr="00B7582D">
        <w:t>manifiestamente carente de pertinencia con respecto a las condiciones para la concesión del asilo o manifiestamente carente de verosimilitud en cuanto al peligro de persecución o amenaza</w:t>
      </w:r>
      <w:r w:rsidR="004E2BB7">
        <w:t>”</w:t>
      </w:r>
      <w:r w:rsidRPr="00B7582D">
        <w:rPr>
          <w:vertAlign w:val="superscript"/>
          <w:lang w:val="fr-FR"/>
        </w:rPr>
        <w:footnoteReference w:id="48"/>
      </w:r>
      <w:r w:rsidRPr="00B7582D">
        <w:rPr>
          <w:iCs/>
        </w:rPr>
        <w:t>.</w:t>
      </w:r>
    </w:p>
    <w:p w:rsidR="00B7582D" w:rsidRPr="00B7582D" w:rsidRDefault="00B7582D" w:rsidP="00B7582D">
      <w:pPr>
        <w:pStyle w:val="SingleTxtG"/>
      </w:pPr>
      <w:r w:rsidRPr="00B7582D">
        <w:t>57.</w:t>
      </w:r>
      <w:r w:rsidRPr="00B7582D">
        <w:tab/>
        <w:t>El solicitante de asilo tiene todas las garantías en el curso del examen por la OFPRA y, en particular, puede presentar su caso en presencia de un abogado o de un representante de una asociación de ayuda.</w:t>
      </w:r>
    </w:p>
    <w:p w:rsidR="00B7582D" w:rsidRPr="00B7582D" w:rsidRDefault="00B7582D" w:rsidP="00B7582D">
      <w:pPr>
        <w:pStyle w:val="SingleTxtG"/>
      </w:pPr>
      <w:r w:rsidRPr="00B7582D">
        <w:t>58.</w:t>
      </w:r>
      <w:r w:rsidRPr="00B7582D">
        <w:tab/>
        <w:t>La OFPRA puede decidir que no se aplique el procedimiento acelerado que tiene lugar cuando alguien está retenido en zona de espera si ello le parece necesario para asegurar que el examen sea adecuado o si considera que el solicitante, por ser miembro de una minoría o haber sido objeto de actos de violencia grave, necesita garantías procesales especiales que no son compatibles con su retención en zona de espera. En estos casos se pone fin a la retención y se autoriza al extranjero a ingresar al territorio para presentar una solicitud de asilo.</w:t>
      </w:r>
    </w:p>
    <w:p w:rsidR="00B7582D" w:rsidRPr="00B7582D" w:rsidRDefault="00B7582D" w:rsidP="00B7582D">
      <w:pPr>
        <w:pStyle w:val="SingleTxtG"/>
      </w:pPr>
      <w:r w:rsidRPr="00B7582D">
        <w:t>59.</w:t>
      </w:r>
      <w:r w:rsidRPr="00B7582D">
        <w:tab/>
        <w:t>La decisión de no autorizar el ingreso para presentar una solicitud de asilo puede ser objeto de un recurso de anulación, con efecto suspensivo, ante un juez administrativo y debe presentarse dentro de las 48 horas siguientes a la notificación de la decisión</w:t>
      </w:r>
      <w:r w:rsidRPr="00B7582D">
        <w:rPr>
          <w:vertAlign w:val="superscript"/>
          <w:lang w:val="fr-FR"/>
        </w:rPr>
        <w:footnoteReference w:id="49"/>
      </w:r>
      <w:r w:rsidRPr="00B7582D">
        <w:t>. La prórroga de este plazo no sería compatible con la duración máxima de la retención en zona de espera.</w:t>
      </w:r>
    </w:p>
    <w:p w:rsidR="00B7582D" w:rsidRPr="00B7582D" w:rsidRDefault="002E302C" w:rsidP="002E302C">
      <w:pPr>
        <w:pStyle w:val="H1G"/>
        <w:rPr>
          <w:i/>
        </w:rPr>
      </w:pPr>
      <w:r>
        <w:tab/>
      </w:r>
      <w:r w:rsidR="00B7582D" w:rsidRPr="00B7582D">
        <w:tab/>
        <w:t>Cuestión 9</w:t>
      </w:r>
    </w:p>
    <w:p w:rsidR="00B7582D" w:rsidRPr="00B7582D" w:rsidRDefault="00B7582D" w:rsidP="00B7582D">
      <w:pPr>
        <w:pStyle w:val="SingleTxtG"/>
      </w:pPr>
      <w:r w:rsidRPr="00B7582D">
        <w:t>60.</w:t>
      </w:r>
      <w:r w:rsidRPr="00B7582D">
        <w:tab/>
        <w:t>La ley de 29 de julio de 2015 refuerza los derechos del solicitante de asilo que esté retenido y dispone que el plazo de cinco días se puede prorrogar en caso de producirse nuevas circunstancias, que la prórroga de la retención no es automática y que se puede interponer contra ella un recurso judicial con efecto suspensivo.</w:t>
      </w:r>
    </w:p>
    <w:p w:rsidR="00B7582D" w:rsidRPr="00B7582D" w:rsidRDefault="00B7582D" w:rsidP="00B7582D">
      <w:pPr>
        <w:pStyle w:val="SingleTxtG"/>
      </w:pPr>
      <w:r w:rsidRPr="00B7582D">
        <w:t>61.</w:t>
      </w:r>
      <w:r w:rsidRPr="00B7582D">
        <w:tab/>
        <w:t>En el curso de 2014 se presentaron 1.252 solicitudes de asilo de personas retenidas y en los siete primeros meses de 2015 se presentaron 738 solicitudes.</w:t>
      </w:r>
    </w:p>
    <w:p w:rsidR="00B7582D" w:rsidRPr="00B7582D" w:rsidRDefault="00B7582D" w:rsidP="00B7582D">
      <w:pPr>
        <w:pStyle w:val="SingleTxtG"/>
      </w:pPr>
      <w:r w:rsidRPr="00B7582D">
        <w:t>62.</w:t>
      </w:r>
      <w:r w:rsidRPr="00B7582D">
        <w:tab/>
        <w:t>La ley de 29 de julio de 2015 mantiene el sistema de los países de origen seguros, pero l</w:t>
      </w:r>
      <w:r w:rsidR="002E302C">
        <w:t>o modifica profundamente ya que</w:t>
      </w:r>
      <w:r w:rsidRPr="00B7582D">
        <w:t>:</w:t>
      </w:r>
    </w:p>
    <w:p w:rsidR="00B7582D" w:rsidRPr="00B7582D" w:rsidRDefault="002E302C" w:rsidP="002E302C">
      <w:pPr>
        <w:pStyle w:val="Bullet1G"/>
      </w:pPr>
      <w:r w:rsidRPr="00B7582D">
        <w:lastRenderedPageBreak/>
        <w:t xml:space="preserve">Adopta </w:t>
      </w:r>
      <w:r w:rsidR="00B7582D" w:rsidRPr="00B7582D">
        <w:t>una definición más estricta de país de origen seguro de conformidad con la directiva que se refiere a los procedimientos de asilo;</w:t>
      </w:r>
    </w:p>
    <w:p w:rsidR="00B7582D" w:rsidRPr="00B7582D" w:rsidRDefault="002E302C" w:rsidP="002E302C">
      <w:pPr>
        <w:pStyle w:val="Bullet1G"/>
      </w:pPr>
      <w:r w:rsidRPr="00B7582D">
        <w:t xml:space="preserve">Garantiza </w:t>
      </w:r>
      <w:r w:rsidR="00B7582D" w:rsidRPr="00B7582D">
        <w:t>que la lista esté actualizada y su contenido sea correcto;</w:t>
      </w:r>
    </w:p>
    <w:p w:rsidR="00B7582D" w:rsidRPr="00B7582D" w:rsidRDefault="002E302C" w:rsidP="002E302C">
      <w:pPr>
        <w:pStyle w:val="Bullet1G"/>
      </w:pPr>
      <w:r w:rsidRPr="00B7582D">
        <w:t xml:space="preserve">Da </w:t>
      </w:r>
      <w:r w:rsidR="00B7582D" w:rsidRPr="00B7582D">
        <w:t>carácter más independiente al proceso de inscripción y verificación de los países incluidos en la lista;</w:t>
      </w:r>
    </w:p>
    <w:p w:rsidR="00B7582D" w:rsidRPr="00B7582D" w:rsidRDefault="002E302C" w:rsidP="002E302C">
      <w:pPr>
        <w:pStyle w:val="Bullet1G"/>
      </w:pPr>
      <w:r w:rsidRPr="00B7582D">
        <w:t xml:space="preserve">Garantiza </w:t>
      </w:r>
      <w:r w:rsidR="00B7582D" w:rsidRPr="00B7582D">
        <w:t xml:space="preserve">un examen individual a cargo de la OFPRA y un recurso con efecto plenamente suspensivo ante </w:t>
      </w:r>
      <w:r w:rsidR="009B3466" w:rsidRPr="00B7582D">
        <w:t>el CNDA</w:t>
      </w:r>
      <w:r w:rsidR="00B7582D" w:rsidRPr="00B7582D">
        <w:t>.</w:t>
      </w:r>
    </w:p>
    <w:p w:rsidR="00B7582D" w:rsidRPr="00B7582D" w:rsidRDefault="002E302C" w:rsidP="002E302C">
      <w:pPr>
        <w:pStyle w:val="H1G"/>
      </w:pPr>
      <w:r>
        <w:tab/>
      </w:r>
      <w:r w:rsidR="00B7582D" w:rsidRPr="00B7582D">
        <w:tab/>
        <w:t>Cuestión 10</w:t>
      </w:r>
    </w:p>
    <w:p w:rsidR="00B7582D" w:rsidRPr="00B7582D" w:rsidRDefault="00B7582D" w:rsidP="00B7582D">
      <w:pPr>
        <w:pStyle w:val="SingleTxtG"/>
      </w:pPr>
      <w:r w:rsidRPr="00B7582D">
        <w:t>63.</w:t>
      </w:r>
      <w:r w:rsidRPr="00B7582D">
        <w:tab/>
        <w:t>El proyecto de ley</w:t>
      </w:r>
      <w:r w:rsidRPr="00B7582D">
        <w:rPr>
          <w:vertAlign w:val="superscript"/>
          <w:lang w:val="fr-FR"/>
        </w:rPr>
        <w:footnoteReference w:id="50"/>
      </w:r>
      <w:r w:rsidRPr="00B7582D">
        <w:t xml:space="preserve"> aprobado el 26 de febrero de 2013 por el </w:t>
      </w:r>
      <w:r w:rsidR="004E2BB7" w:rsidRPr="00B7582D">
        <w:t xml:space="preserve">senado </w:t>
      </w:r>
      <w:r w:rsidRPr="00B7582D">
        <w:t xml:space="preserve">suprime los requisitos de doble tipicidad y residencia habitual en territorio francés en los casos de crímenes de lesa humanidad, genocidio o crimen de guerra. En cambio, mantiene el requisito de que se verifique que se esté substanciando un proceso en la Corte Penal Internacional o en otro Estado y reafirma que el ministerio público es el único autorizado para entablar una acción, si bien permite a quien ha denunciado los hechos interponer ante el Fiscal General un recurso en caso de que se decida archivar la causa sin más trámite. No se sabe </w:t>
      </w:r>
      <w:r w:rsidR="002E302C" w:rsidRPr="00B7582D">
        <w:t>cuándo</w:t>
      </w:r>
      <w:r w:rsidRPr="00B7582D">
        <w:t xml:space="preserve"> examinará la Asamblea Nacional este proyecto de ley. El objetivo que persigue Francia consiste en mantener un equilibrio entre la lucha contra la impunidad y el deseo de que la política penal y la actuación de las autoridades judiciales sigan siendo coherentes y eficaces.</w:t>
      </w:r>
    </w:p>
    <w:p w:rsidR="00B7582D" w:rsidRPr="00B7582D" w:rsidRDefault="00B7582D" w:rsidP="00B7582D">
      <w:pPr>
        <w:pStyle w:val="SingleTxtG"/>
      </w:pPr>
      <w:r w:rsidRPr="00B7582D">
        <w:t>64.</w:t>
      </w:r>
      <w:r w:rsidRPr="00B7582D">
        <w:tab/>
        <w:t xml:space="preserve">A este respecto, existen en Francia numerosos mecanismos de competencia extraterritorial: la competencia </w:t>
      </w:r>
      <w:r w:rsidR="004E2BB7">
        <w:t>“</w:t>
      </w:r>
      <w:r w:rsidRPr="00B7582D">
        <w:t>activa</w:t>
      </w:r>
      <w:r w:rsidR="004E2BB7">
        <w:t>”</w:t>
      </w:r>
      <w:r w:rsidRPr="00B7582D">
        <w:t>, que depende de la nacionalidad del autor</w:t>
      </w:r>
      <w:r w:rsidRPr="00B7582D">
        <w:rPr>
          <w:vertAlign w:val="superscript"/>
          <w:lang w:val="fr-FR"/>
        </w:rPr>
        <w:footnoteReference w:id="51"/>
      </w:r>
      <w:r w:rsidRPr="00B7582D">
        <w:t xml:space="preserve">, la competencia </w:t>
      </w:r>
      <w:r w:rsidR="004E2BB7">
        <w:t>“</w:t>
      </w:r>
      <w:r w:rsidRPr="00B7582D">
        <w:t>pasiva</w:t>
      </w:r>
      <w:r w:rsidR="004E2BB7">
        <w:t>”</w:t>
      </w:r>
      <w:r w:rsidRPr="00B7582D">
        <w:t>, que depende de la nacionalidad de la víctima</w:t>
      </w:r>
      <w:r w:rsidRPr="00B7582D">
        <w:rPr>
          <w:vertAlign w:val="superscript"/>
          <w:lang w:val="fr-FR"/>
        </w:rPr>
        <w:footnoteReference w:id="52"/>
      </w:r>
      <w:r w:rsidRPr="00B7582D">
        <w:t>, la competencia en razón de una negativa de extradición</w:t>
      </w:r>
      <w:r w:rsidRPr="00B7582D">
        <w:rPr>
          <w:vertAlign w:val="superscript"/>
          <w:lang w:val="fr-FR"/>
        </w:rPr>
        <w:footnoteReference w:id="53"/>
      </w:r>
      <w:r w:rsidRPr="00B7582D">
        <w:t xml:space="preserve"> y la competencia en razón de una denuncia oficial, pero también la competencia </w:t>
      </w:r>
      <w:proofErr w:type="spellStart"/>
      <w:r w:rsidRPr="00B7582D">
        <w:t>cuasiuniversal</w:t>
      </w:r>
      <w:proofErr w:type="spellEnd"/>
      <w:r w:rsidRPr="00B7582D">
        <w:t xml:space="preserve"> en razón de una convención internacional</w:t>
      </w:r>
      <w:r w:rsidRPr="00B7582D">
        <w:rPr>
          <w:vertAlign w:val="superscript"/>
          <w:lang w:val="fr-FR"/>
        </w:rPr>
        <w:footnoteReference w:id="54"/>
      </w:r>
      <w:r w:rsidRPr="00B7582D">
        <w:t>.</w:t>
      </w:r>
    </w:p>
    <w:p w:rsidR="00B7582D" w:rsidRPr="00B7582D" w:rsidRDefault="00B7582D" w:rsidP="00B7582D">
      <w:pPr>
        <w:pStyle w:val="SingleTxtG"/>
        <w:rPr>
          <w:b/>
          <w:u w:val="single"/>
        </w:rPr>
      </w:pPr>
      <w:r w:rsidRPr="00B7582D">
        <w:t>65.</w:t>
      </w:r>
      <w:r w:rsidRPr="00B7582D">
        <w:tab/>
        <w:t xml:space="preserve">Así, pues, las restricciones legales a la puesta en marcha de la acción pública se justifican en razón del alcance limitado del artículo 689-11 del Código de Procedimiento Penal y se refieren únicamente a los actos cometidos en el extranjero por un extranjero en perjuicio de víctimas que no son francesas cuando no hay una solicitud de extradición, una denuncia oficial o un proceso sustanciado por la Corte Penal Internacional ni son aplicables otros casos de competencia </w:t>
      </w:r>
      <w:proofErr w:type="spellStart"/>
      <w:r w:rsidRPr="00B7582D">
        <w:t>cuasiuniversal</w:t>
      </w:r>
      <w:proofErr w:type="spellEnd"/>
      <w:r w:rsidRPr="00B7582D">
        <w:t xml:space="preserve"> tales como los relativos a la tortura o a otras penas o tratos crueles, inhumanos o degradantes.</w:t>
      </w:r>
    </w:p>
    <w:p w:rsidR="00B7582D" w:rsidRPr="00B7582D" w:rsidRDefault="002E302C" w:rsidP="002E302C">
      <w:pPr>
        <w:pStyle w:val="H1G"/>
        <w:rPr>
          <w:i/>
        </w:rPr>
      </w:pPr>
      <w:r>
        <w:tab/>
      </w:r>
      <w:r w:rsidR="00B7582D" w:rsidRPr="00B7582D">
        <w:tab/>
        <w:t>Cuestión 11</w:t>
      </w:r>
    </w:p>
    <w:p w:rsidR="00B7582D" w:rsidRPr="00B7582D" w:rsidRDefault="00B7582D" w:rsidP="00B7582D">
      <w:pPr>
        <w:pStyle w:val="SingleTxtG"/>
      </w:pPr>
      <w:r w:rsidRPr="00B7582D">
        <w:t>66.</w:t>
      </w:r>
      <w:r w:rsidRPr="00B7582D">
        <w:tab/>
        <w:t xml:space="preserve">Los tribunales de Francia conocen principalmente de la cuestión de la inmunidad de los representantes del Estado respecto de la jurisdicción penal extranjera como aplicación </w:t>
      </w:r>
      <w:r w:rsidRPr="00B7582D">
        <w:lastRenderedPageBreak/>
        <w:t>del derecho internacional consuetudinario</w:t>
      </w:r>
      <w:r w:rsidRPr="00B7582D">
        <w:rPr>
          <w:vertAlign w:val="superscript"/>
          <w:lang w:val="fr-FR"/>
        </w:rPr>
        <w:footnoteReference w:id="55"/>
      </w:r>
      <w:r w:rsidRPr="00B7582D">
        <w:t>. En términos generales, hay que distinguir entre la inmunidad personal y la inmunidad funcional.</w:t>
      </w:r>
    </w:p>
    <w:p w:rsidR="00B7582D" w:rsidRPr="00B7582D" w:rsidRDefault="00B7582D" w:rsidP="00B7582D">
      <w:pPr>
        <w:pStyle w:val="SingleTxtG"/>
      </w:pPr>
      <w:r w:rsidRPr="00B7582D">
        <w:t>67.</w:t>
      </w:r>
      <w:r w:rsidRPr="00B7582D">
        <w:tab/>
        <w:t>La inmunidad personal</w:t>
      </w:r>
      <w:r w:rsidRPr="00B7582D">
        <w:rPr>
          <w:vertAlign w:val="superscript"/>
          <w:lang w:val="fr-FR"/>
        </w:rPr>
        <w:footnoteReference w:id="56"/>
      </w:r>
      <w:r w:rsidRPr="00B7582D">
        <w:t xml:space="preserve"> de que se benefician en territorio francés ciertos altos representantes</w:t>
      </w:r>
      <w:r w:rsidRPr="00B7582D">
        <w:rPr>
          <w:vertAlign w:val="superscript"/>
          <w:lang w:val="fr-FR"/>
        </w:rPr>
        <w:footnoteReference w:id="57"/>
      </w:r>
      <w:r w:rsidRPr="00B7582D">
        <w:t xml:space="preserve"> de un Estado extranjero que se encuentren en funciones se caracteriza por ser general y absoluta</w:t>
      </w:r>
      <w:r w:rsidRPr="00B7582D">
        <w:rPr>
          <w:vertAlign w:val="superscript"/>
          <w:lang w:val="fr-FR"/>
        </w:rPr>
        <w:footnoteReference w:id="58"/>
      </w:r>
      <w:r w:rsidRPr="00B7582D">
        <w:t>. Mientras dure su mandato, esas personas tienen inmunidad de jurisdicción penal e inviolabilidad absoluta en territorio francés, de no haber disposiciones de carácter internacional que sean obligatorias para las partes</w:t>
      </w:r>
      <w:r w:rsidRPr="00B7582D">
        <w:rPr>
          <w:vertAlign w:val="superscript"/>
          <w:lang w:val="fr-FR"/>
        </w:rPr>
        <w:footnoteReference w:id="59"/>
      </w:r>
      <w:r w:rsidRPr="00B7582D">
        <w:t>. Así, Francia podría entre otras cosas atender favorablemente una solicitud de detención formulada por la Corte Penal Internacional con respecto a un nacional de un Estado parte en el Estatuto de Roma o de un Estado respecto del cual el Consejo de Seguridad de las Naciones Unidas haya dictado una resolución en que remite una situación a la Corte Penal Internacional y que impone la obligación de cooperar.</w:t>
      </w:r>
    </w:p>
    <w:p w:rsidR="00B7582D" w:rsidRPr="00B7582D" w:rsidRDefault="00B7582D" w:rsidP="00B7582D">
      <w:pPr>
        <w:pStyle w:val="SingleTxtG"/>
      </w:pPr>
      <w:r w:rsidRPr="00B7582D">
        <w:t>68.</w:t>
      </w:r>
      <w:r w:rsidRPr="00B7582D">
        <w:tab/>
        <w:t>La inmunidad funcional</w:t>
      </w:r>
      <w:r w:rsidRPr="00B7582D">
        <w:rPr>
          <w:vertAlign w:val="superscript"/>
          <w:lang w:val="fr-FR"/>
        </w:rPr>
        <w:footnoteReference w:id="60"/>
      </w:r>
      <w:r w:rsidRPr="00B7582D">
        <w:t xml:space="preserve"> que pueden hacer valer los demás agentes del Estado extranjero se limita a los actos realizados en ejercicio de sus funciones</w:t>
      </w:r>
      <w:r w:rsidRPr="00B7582D">
        <w:rPr>
          <w:vertAlign w:val="superscript"/>
          <w:lang w:val="fr-FR"/>
        </w:rPr>
        <w:footnoteReference w:id="61"/>
      </w:r>
      <w:r w:rsidRPr="00B7582D">
        <w:t>.</w:t>
      </w:r>
    </w:p>
    <w:p w:rsidR="00B7582D" w:rsidRPr="00B7582D" w:rsidRDefault="00B7582D" w:rsidP="00B7582D">
      <w:pPr>
        <w:pStyle w:val="SingleTxtG"/>
      </w:pPr>
      <w:r w:rsidRPr="00B7582D">
        <w:lastRenderedPageBreak/>
        <w:t>69.</w:t>
      </w:r>
      <w:r w:rsidRPr="00B7582D">
        <w:tab/>
        <w:t>La forma de conciliar la aplicación de las inmunidades y los artículos 5 y 6 de la Convención plantea la cuestión de la prevalencia de una norma internacional respecto de otra y debe ser objeto de una decisión judicial. Hasta hoy las autoridades judiciales no han tenido que pronunciarse y la Corte de Casación únicamente ha dejado sin efecto una decisión de no abrir una instrucción por actos de tortura en razón de la inmunidad del imputado</w:t>
      </w:r>
      <w:r w:rsidRPr="00B7582D">
        <w:rPr>
          <w:vertAlign w:val="superscript"/>
          <w:lang w:val="fr-FR"/>
        </w:rPr>
        <w:footnoteReference w:id="62"/>
      </w:r>
      <w:r w:rsidRPr="00B7582D">
        <w:t>.</w:t>
      </w:r>
    </w:p>
    <w:p w:rsidR="00B7582D" w:rsidRPr="00B7582D" w:rsidRDefault="002E302C" w:rsidP="002E302C">
      <w:pPr>
        <w:pStyle w:val="H23G"/>
      </w:pPr>
      <w:r>
        <w:tab/>
      </w:r>
      <w:r w:rsidR="00B7582D" w:rsidRPr="00B7582D">
        <w:tab/>
        <w:t xml:space="preserve">Efectos en la aplicación de las disposiciones del artículo 5 de la Convención </w:t>
      </w:r>
      <w:r>
        <w:br/>
      </w:r>
      <w:r w:rsidR="00B7582D" w:rsidRPr="00B7582D">
        <w:t xml:space="preserve">del Protocolo Adicional del Convenio de Cooperación Judicial en Materia </w:t>
      </w:r>
      <w:r>
        <w:br/>
      </w:r>
      <w:r w:rsidR="00B7582D" w:rsidRPr="00B7582D">
        <w:t xml:space="preserve">Penal entre Francia y Marruecos </w:t>
      </w:r>
    </w:p>
    <w:p w:rsidR="00B7582D" w:rsidRPr="00B7582D" w:rsidRDefault="00B7582D" w:rsidP="00B7582D">
      <w:pPr>
        <w:pStyle w:val="SingleTxtG"/>
      </w:pPr>
      <w:r w:rsidRPr="00B7582D">
        <w:t>70.</w:t>
      </w:r>
      <w:r w:rsidRPr="00B7582D">
        <w:tab/>
        <w:t>Este protocolo adicional se ajusta a nuestros compromisos internacionales.</w:t>
      </w:r>
    </w:p>
    <w:p w:rsidR="00B7582D" w:rsidRPr="00B7582D" w:rsidRDefault="00B7582D" w:rsidP="00B7582D">
      <w:pPr>
        <w:pStyle w:val="SingleTxtG"/>
      </w:pPr>
      <w:r w:rsidRPr="00B7582D">
        <w:t>71.</w:t>
      </w:r>
      <w:r w:rsidRPr="00B7582D">
        <w:tab/>
        <w:t xml:space="preserve">En efecto, en su artículo 23 </w:t>
      </w:r>
      <w:r w:rsidRPr="00B7582D">
        <w:rPr>
          <w:i/>
          <w:iCs/>
        </w:rPr>
        <w:t>bis</w:t>
      </w:r>
      <w:r w:rsidRPr="00B7582D">
        <w:t xml:space="preserve"> se recuerda que el mecanismo de cooperación e intercambio está comprendido en el marco de los respectivos compromisos de Francia y Marruecos de contribuir al debido cumplimiento de las convenciones internacionales que les imponen obligaciones. Así ocurre en particular con la Convención contra la Tortura y Otras Penas o Tratos Crueles, Inhumanos o Degradantes, en la cual son partes los dos países.</w:t>
      </w:r>
    </w:p>
    <w:p w:rsidR="00B7582D" w:rsidRPr="00B7582D" w:rsidRDefault="00B7582D" w:rsidP="00B7582D">
      <w:pPr>
        <w:pStyle w:val="SingleTxtG"/>
      </w:pPr>
      <w:r w:rsidRPr="00B7582D">
        <w:t>72.</w:t>
      </w:r>
      <w:r w:rsidRPr="00B7582D">
        <w:tab/>
        <w:t>El mecanismo previsto en este nuevo artículo no significa en modo alguno que un juez francés se haya de inhibir en favor de un juez marroquí y un juez marroquí haya de hacerlo en favor de un juez francés. El juez que conoce inicialmente de la causa recaba observaciones e informaciones del juez del otro país y, habida cuenta de los elementos que se comuniquen, determina el curso que se le ha de dar.</w:t>
      </w:r>
    </w:p>
    <w:p w:rsidR="00B7582D" w:rsidRPr="00B7582D" w:rsidRDefault="00B7582D" w:rsidP="00B7582D">
      <w:pPr>
        <w:pStyle w:val="SingleTxtG"/>
      </w:pPr>
      <w:r w:rsidRPr="00B7582D">
        <w:t>73.</w:t>
      </w:r>
      <w:r w:rsidRPr="00B7582D">
        <w:tab/>
        <w:t>La autoridad judicial examina en un primer momento la posibilidad de dar traslado de los autos o de poner término al procedimiento, pero ello no excluye la posibilidad de sustanciarlo en aras de una buena administración de justicia, la celeridad y eficacia de las investigaciones que se han de llevar a cabo o para evitar cualquier tipo de impunidad. Por otra parte, hay que destacar que el traslado de los autos, que revestirá la forma de una comunicación oficial</w:t>
      </w:r>
      <w:r w:rsidR="004E2BB7">
        <w:t xml:space="preserve"> de los hechos, so</w:t>
      </w:r>
      <w:r w:rsidRPr="00B7582D">
        <w:t>lo significa que la autoridad judicial delega actuaciones judiciales y no que decline conocer de la causa.</w:t>
      </w:r>
    </w:p>
    <w:p w:rsidR="00B7582D" w:rsidRPr="00B7582D" w:rsidRDefault="00B7582D" w:rsidP="00B7582D">
      <w:pPr>
        <w:pStyle w:val="SingleTxtG"/>
      </w:pPr>
      <w:r w:rsidRPr="00B7582D">
        <w:t>74.</w:t>
      </w:r>
      <w:r w:rsidRPr="00B7582D">
        <w:tab/>
        <w:t xml:space="preserve">Un mecanismo de esta índole obedece al propósito de asegurar una mejor administración de justicia y de sustanciar los procedimientos en forma eficaz y diligente, teniendo en cuenta en particular el principio de territorialidad y sin perjuicio de las normas aplicables en materia de competencia </w:t>
      </w:r>
      <w:proofErr w:type="spellStart"/>
      <w:r w:rsidRPr="00B7582D">
        <w:t>cuasiuniversal</w:t>
      </w:r>
      <w:proofErr w:type="spellEnd"/>
      <w:r w:rsidRPr="00B7582D">
        <w:rPr>
          <w:vertAlign w:val="superscript"/>
          <w:lang w:val="fr-FR"/>
        </w:rPr>
        <w:footnoteReference w:id="63"/>
      </w:r>
      <w:r w:rsidRPr="00B7582D">
        <w:t>.</w:t>
      </w:r>
    </w:p>
    <w:p w:rsidR="00B7582D" w:rsidRPr="00B7582D" w:rsidRDefault="007E4706" w:rsidP="007E4706">
      <w:pPr>
        <w:pStyle w:val="H1G"/>
      </w:pPr>
      <w:r>
        <w:tab/>
      </w:r>
      <w:r w:rsidR="00B7582D" w:rsidRPr="00B7582D">
        <w:tab/>
        <w:t>Cuestión 12</w:t>
      </w:r>
    </w:p>
    <w:p w:rsidR="00B7582D" w:rsidRPr="00B7582D" w:rsidRDefault="00B7582D" w:rsidP="00B7582D">
      <w:pPr>
        <w:pStyle w:val="SingleTxtG"/>
      </w:pPr>
      <w:r w:rsidRPr="00B7582D">
        <w:t>75.</w:t>
      </w:r>
      <w:r w:rsidRPr="00B7582D">
        <w:tab/>
        <w:t>No se han recibido de otro Estado solicitudes de extradición de personas sospechosas de haber cometido torturas y, por consiguiente, no se ha ejercido la acción penal en Francia en alguno de esos casos. Desde 2014 Francia no ha tenido que conceder, en virtud del artículo 5 de la Convención, la extradición de personas sospechosas de haber cometido torturas.</w:t>
      </w:r>
    </w:p>
    <w:p w:rsidR="00B7582D" w:rsidRPr="00B7582D" w:rsidRDefault="00B7582D" w:rsidP="00B7582D">
      <w:pPr>
        <w:pStyle w:val="SingleTxtG"/>
      </w:pPr>
      <w:r w:rsidRPr="00B7582D">
        <w:lastRenderedPageBreak/>
        <w:t>76.</w:t>
      </w:r>
      <w:r w:rsidRPr="00B7582D">
        <w:tab/>
        <w:t>Francia está vinculada a 90 Estados en virtud de acuerdos de extradición, consistentes en textos bilaterales o en convenios multilaterales entre los que ocupa un lugar preponderante el Convenio Europeo de Extradición de 13 de diciembre de 1957</w:t>
      </w:r>
      <w:r w:rsidRPr="00B7582D">
        <w:rPr>
          <w:vertAlign w:val="superscript"/>
          <w:lang w:val="fr-FR"/>
        </w:rPr>
        <w:footnoteReference w:id="64"/>
      </w:r>
      <w:r w:rsidRPr="00B7582D">
        <w:t>.</w:t>
      </w:r>
    </w:p>
    <w:p w:rsidR="00B7582D" w:rsidRPr="00B7582D" w:rsidRDefault="00B7582D" w:rsidP="00B7582D">
      <w:pPr>
        <w:pStyle w:val="SingleTxtG"/>
      </w:pPr>
      <w:r w:rsidRPr="00B7582D">
        <w:t>77.</w:t>
      </w:r>
      <w:r w:rsidRPr="00B7582D">
        <w:tab/>
        <w:t>Con excepción de algunos instrumentos antiguos que están aún en vigor, los actos que pueden dar lugar a extradición en aplicación de los acuerdos concertados por Francia no se definen por referencia a una lista de infracciones sino en función de las penas impuestas o que se puedan imponer. Hay que destacar, por otra parte, que, con arreglo al artículo 8, párrafo 1, de la Convención, los actos de tortura están incluidos de pleno derecho en los convenios de extradición que imponen obligaciones a Francia con respecto a otros Estados partes en este instrumento multilateral.</w:t>
      </w:r>
    </w:p>
    <w:p w:rsidR="00B7582D" w:rsidRPr="00B7582D" w:rsidRDefault="007E4706" w:rsidP="007E4706">
      <w:pPr>
        <w:pStyle w:val="H1G"/>
      </w:pPr>
      <w:r>
        <w:tab/>
      </w:r>
      <w:r w:rsidR="00B7582D" w:rsidRPr="00B7582D">
        <w:tab/>
        <w:t>Cuestión 13</w:t>
      </w:r>
    </w:p>
    <w:p w:rsidR="00B7582D" w:rsidRPr="00B7582D" w:rsidRDefault="00B7582D" w:rsidP="00B7582D">
      <w:pPr>
        <w:pStyle w:val="SingleTxtG"/>
      </w:pPr>
      <w:r w:rsidRPr="00B7582D">
        <w:t>78.</w:t>
      </w:r>
      <w:r w:rsidRPr="00B7582D">
        <w:tab/>
        <w:t>En la formación inicial de los policías y gendarmes se dedican varios módulos a la deontología, que constituye una disciplina prioritaria en el plan nacional de formación de la Policía Nacional para 2015.</w:t>
      </w:r>
    </w:p>
    <w:p w:rsidR="00B7582D" w:rsidRPr="00B7582D" w:rsidRDefault="00B7582D" w:rsidP="00B7582D">
      <w:pPr>
        <w:pStyle w:val="SingleTxtG"/>
      </w:pPr>
      <w:r w:rsidRPr="00B7582D">
        <w:t>79.</w:t>
      </w:r>
      <w:r w:rsidRPr="00B7582D">
        <w:tab/>
        <w:t>Se hace particular hincapié en la dignidad de todas las personas y en la prohibición de infligir malos tratos.</w:t>
      </w:r>
    </w:p>
    <w:p w:rsidR="00B7582D" w:rsidRPr="00B7582D" w:rsidRDefault="00B7582D" w:rsidP="00B7582D">
      <w:pPr>
        <w:pStyle w:val="SingleTxtG"/>
      </w:pPr>
      <w:r w:rsidRPr="00B7582D">
        <w:t>80.</w:t>
      </w:r>
      <w:r w:rsidRPr="00B7582D">
        <w:tab/>
        <w:t>Junto con estos cursos se imparte formación práctica consistente en técnicas profesionales de actuación en situaciones simuladas.</w:t>
      </w:r>
    </w:p>
    <w:p w:rsidR="00B7582D" w:rsidRPr="00B7582D" w:rsidRDefault="00B7582D" w:rsidP="00B7582D">
      <w:pPr>
        <w:pStyle w:val="SingleTxtG"/>
      </w:pPr>
      <w:r w:rsidRPr="00B7582D">
        <w:t>81.</w:t>
      </w:r>
      <w:r w:rsidRPr="00B7582D">
        <w:tab/>
        <w:t>Se organizan asimismo cursos de formación continua durante toda la carrera de los policías y gendarmes a fin de recordar los principios deontológicos, con inclusión de la lucha contra la discriminación.</w:t>
      </w:r>
    </w:p>
    <w:p w:rsidR="00B7582D" w:rsidRPr="00B7582D" w:rsidRDefault="00B7582D" w:rsidP="00B7582D">
      <w:pPr>
        <w:pStyle w:val="SingleTxtG"/>
      </w:pPr>
      <w:r w:rsidRPr="00B7582D">
        <w:t>82.</w:t>
      </w:r>
      <w:r w:rsidRPr="00B7582D">
        <w:tab/>
        <w:t>Se imparten además cursos de formación tanto inicial como continua en asociación con las autoridades administrativas independientes.</w:t>
      </w:r>
    </w:p>
    <w:p w:rsidR="00B7582D" w:rsidRPr="00B7582D" w:rsidRDefault="00B7582D" w:rsidP="00B7582D">
      <w:pPr>
        <w:pStyle w:val="SingleTxtG"/>
      </w:pPr>
      <w:r w:rsidRPr="00B7582D">
        <w:t>83.</w:t>
      </w:r>
      <w:r w:rsidRPr="00B7582D">
        <w:tab/>
        <w:t>Se encontrarán mayores detalles a este respecto en el informe presentado por las autoridades de Francia en enero de 2015</w:t>
      </w:r>
      <w:r w:rsidRPr="00B7582D">
        <w:rPr>
          <w:vertAlign w:val="superscript"/>
          <w:lang w:val="fr-FR"/>
        </w:rPr>
        <w:footnoteReference w:id="65"/>
      </w:r>
      <w:r w:rsidRPr="00B7582D">
        <w:t>.</w:t>
      </w:r>
    </w:p>
    <w:p w:rsidR="00B7582D" w:rsidRPr="00B7582D" w:rsidRDefault="00B7582D" w:rsidP="00B7582D">
      <w:pPr>
        <w:pStyle w:val="SingleTxtG"/>
      </w:pPr>
      <w:r w:rsidRPr="00B7582D">
        <w:t>84.</w:t>
      </w:r>
      <w:r w:rsidRPr="00B7582D">
        <w:tab/>
        <w:t xml:space="preserve">Un nuevo código deontológico, en vigor desde el 1 de enero de 2014, ha permitido unificar las normas y obligaciones impuestas a policías y gendarmes, que tienen origen en la Constitución, en tratados internacionales, en particular el Convenio Europeo de Derechos Humanos, en los principios generales del derecho y en las leyes y reglamentos de la República. Este texto dispone que </w:t>
      </w:r>
      <w:r w:rsidR="004E2BB7">
        <w:t>“</w:t>
      </w:r>
      <w:r w:rsidRPr="00B7582D">
        <w:t>toda persona detenida queda bajo la protección de policías o gendarmes y debe ser salvaguardada de cualquier forma de violenci</w:t>
      </w:r>
      <w:r w:rsidR="007E4706">
        <w:t>a o trato inhumano y degradante</w:t>
      </w:r>
      <w:r w:rsidR="004E2BB7">
        <w:t>”</w:t>
      </w:r>
      <w:r w:rsidR="007E4706">
        <w:t xml:space="preserve"> y que </w:t>
      </w:r>
      <w:r w:rsidR="004E2BB7">
        <w:t>“</w:t>
      </w:r>
      <w:r w:rsidRPr="00B7582D">
        <w:t>el policía o gendarme hará uso de la fuerza en las circunstancias fijadas por la ley, únicamente cuando sea necesario y de manera proporcional al objetivo que se haya de alcanzar o a la gravedad del peligro, según el caso. No se hará uso de las armas salvo en caso de absoluta necesidad</w:t>
      </w:r>
      <w:r w:rsidR="004E2BB7">
        <w:t>”</w:t>
      </w:r>
      <w:r w:rsidRPr="00B7582D">
        <w:t>.</w:t>
      </w:r>
    </w:p>
    <w:p w:rsidR="00B7582D" w:rsidRPr="00B7582D" w:rsidRDefault="00B7582D" w:rsidP="00B7582D">
      <w:pPr>
        <w:pStyle w:val="SingleTxtG"/>
      </w:pPr>
      <w:r w:rsidRPr="00B7582D">
        <w:t>85.</w:t>
      </w:r>
      <w:r w:rsidRPr="00B7582D">
        <w:tab/>
        <w:t>La infracción de estos principios puede ser objeto de sanciones disciplinarias o incluso de un procedimiento penal en caso de ser constatada.</w:t>
      </w:r>
    </w:p>
    <w:p w:rsidR="00B7582D" w:rsidRPr="00B7582D" w:rsidRDefault="00B7582D" w:rsidP="00B7582D">
      <w:pPr>
        <w:pStyle w:val="SingleTxtG"/>
      </w:pPr>
      <w:r w:rsidRPr="00B7582D">
        <w:t>86.</w:t>
      </w:r>
      <w:r w:rsidRPr="00B7582D">
        <w:tab/>
        <w:t xml:space="preserve">Se distribuyó el código en los cursos de formación inicial y en el servicio. Se han puesto a disposición del personal un código comentado y módulos de instrucción en que se presta especial atención al estudio de casos concretos a fin de que todos conozcan el código y puedan aplicarlo regularmente. Por último, se ha distribuido a los instructores internos de la Policía Nacional un </w:t>
      </w:r>
      <w:r w:rsidR="004E2BB7">
        <w:t>“</w:t>
      </w:r>
      <w:r w:rsidRPr="00B7582D">
        <w:t>vademécum deontológico</w:t>
      </w:r>
      <w:r w:rsidR="004E2BB7">
        <w:t>”</w:t>
      </w:r>
      <w:r w:rsidRPr="00B7582D">
        <w:t>.</w:t>
      </w:r>
    </w:p>
    <w:p w:rsidR="00B7582D" w:rsidRPr="00B7582D" w:rsidRDefault="00B7582D" w:rsidP="00B7582D">
      <w:pPr>
        <w:pStyle w:val="SingleTxtG"/>
      </w:pPr>
      <w:r w:rsidRPr="00B7582D">
        <w:lastRenderedPageBreak/>
        <w:t>87.</w:t>
      </w:r>
      <w:r w:rsidRPr="00B7582D">
        <w:tab/>
        <w:t xml:space="preserve">Se ha seguido deliberando a </w:t>
      </w:r>
      <w:r w:rsidR="00140D4F" w:rsidRPr="00B7582D">
        <w:t>fin</w:t>
      </w:r>
      <w:r w:rsidRPr="00B7582D">
        <w:t xml:space="preserve"> de determinar la técnica más adecuada para las situaciones en que pueden encontrarse los agentes de manera de disminuir el peligro físico. Se han tomado como base situaciones en que se registraron dificultades y su correspondiente análisis por los servicios de investigación, la autoridad judicial y órganos de control externo. El Consejo Nacional de Formación de la Policía Nacional procede periódicamente a una evaluación de los cursos de formación</w:t>
      </w:r>
      <w:r w:rsidRPr="00B7582D">
        <w:rPr>
          <w:vertAlign w:val="superscript"/>
          <w:lang w:val="fr-FR"/>
        </w:rPr>
        <w:footnoteReference w:id="66"/>
      </w:r>
      <w:r w:rsidRPr="00B7582D">
        <w:t>.</w:t>
      </w:r>
    </w:p>
    <w:p w:rsidR="00B7582D" w:rsidRPr="00B7582D" w:rsidRDefault="00B7582D" w:rsidP="00B7582D">
      <w:pPr>
        <w:pStyle w:val="SingleTxtG"/>
      </w:pPr>
      <w:r w:rsidRPr="00B7582D">
        <w:t>88.</w:t>
      </w:r>
      <w:r w:rsidRPr="00B7582D">
        <w:tab/>
        <w:t>Los agentes de seguridad privada, por su parte, deben obtener autorización previa para el ejercicio de su actividad y ser titulares de un certificado profesional de que se haya verificado su competencia con respecto, entre otras cosas, al marco jurídico del uso de la fuerza. Los agentes de seguridad privada no debe jamás recurrir a la violencia, siquiera leve, salvo en caso de legítima defensa</w:t>
      </w:r>
      <w:r w:rsidRPr="00B7582D">
        <w:rPr>
          <w:vertAlign w:val="superscript"/>
          <w:lang w:val="fr-FR"/>
        </w:rPr>
        <w:footnoteReference w:id="67"/>
      </w:r>
      <w:r w:rsidRPr="00B7582D">
        <w:t>. Antes de su entrega a los servicios de policía o de gendarmería, el detenido por un agente de seguridad privada, que sigue sujeto a</w:t>
      </w:r>
      <w:r w:rsidR="004E2BB7">
        <w:t xml:space="preserve"> la vigilancia y protección de e</w:t>
      </w:r>
      <w:r w:rsidRPr="00B7582D">
        <w:t>ste, no debe ser objeto de violencia, humillación o trato incompatible con la dignidad humana.</w:t>
      </w:r>
    </w:p>
    <w:p w:rsidR="00B7582D" w:rsidRPr="00B7582D" w:rsidRDefault="00B7582D" w:rsidP="00B7582D">
      <w:pPr>
        <w:pStyle w:val="SingleTxtG"/>
      </w:pPr>
      <w:r w:rsidRPr="00B7582D">
        <w:t>89.</w:t>
      </w:r>
      <w:r w:rsidRPr="00B7582D">
        <w:tab/>
        <w:t>La infracción de las leyes o reglamentos por los agentes de seguridad privada pueden dar lugar a sanciones disciplinarias y a un proceso judicial.</w:t>
      </w:r>
    </w:p>
    <w:p w:rsidR="00B7582D" w:rsidRPr="00B7582D" w:rsidRDefault="00140D4F" w:rsidP="00140D4F">
      <w:pPr>
        <w:pStyle w:val="H1G"/>
      </w:pPr>
      <w:r>
        <w:tab/>
      </w:r>
      <w:r w:rsidR="00B7582D" w:rsidRPr="00B7582D">
        <w:tab/>
        <w:t>Cuestión 14</w:t>
      </w:r>
    </w:p>
    <w:p w:rsidR="00B7582D" w:rsidRPr="00B7582D" w:rsidRDefault="00B7582D" w:rsidP="00B7582D">
      <w:pPr>
        <w:pStyle w:val="SingleTxtG"/>
      </w:pPr>
      <w:r w:rsidRPr="00B7582D">
        <w:t>90.</w:t>
      </w:r>
      <w:r w:rsidRPr="00B7582D">
        <w:tab/>
        <w:t>Al 1 de diciembre de 2014, los 14 centros penitenc</w:t>
      </w:r>
      <w:r w:rsidR="00140D4F">
        <w:t>iarios de ultramar tenían 3.896 </w:t>
      </w:r>
      <w:r w:rsidRPr="00B7582D">
        <w:t>plazas y había 3.836 personas recluidas.</w:t>
      </w:r>
    </w:p>
    <w:p w:rsidR="00B7582D" w:rsidRPr="00B7582D" w:rsidRDefault="00B7582D" w:rsidP="00B7582D">
      <w:pPr>
        <w:pStyle w:val="SingleTxtG"/>
      </w:pPr>
      <w:r w:rsidRPr="00B7582D">
        <w:t>91.</w:t>
      </w:r>
      <w:r w:rsidRPr="00B7582D">
        <w:tab/>
        <w:t>Existe una política de inversiones destinada a mejorar y modernizar los recintos penitenciarios en todos los departamentos y territorios de ultramar. En el anexo 9 se describen las principales operaciones de construcción realizadas o en curso, los nuevos programas de construcción puestos en marcha para 2015-2017 y las inversiones realizadas a efectos de mantenimiento y renovación de los recintos penitenciarios.</w:t>
      </w:r>
    </w:p>
    <w:p w:rsidR="00B7582D" w:rsidRPr="00B7582D" w:rsidRDefault="00B7582D" w:rsidP="00B7582D">
      <w:pPr>
        <w:pStyle w:val="SingleTxtG"/>
      </w:pPr>
      <w:r w:rsidRPr="00B7582D">
        <w:t>92.</w:t>
      </w:r>
      <w:r w:rsidRPr="00B7582D">
        <w:tab/>
        <w:t>La lucha contra el hacinamiento en las cárceles no debe limitarse a la construcción de recintos adicionales, sino que es también una cuestión de política penal.</w:t>
      </w:r>
    </w:p>
    <w:p w:rsidR="00B7582D" w:rsidRPr="00B7582D" w:rsidRDefault="00B7582D" w:rsidP="00B7582D">
      <w:pPr>
        <w:pStyle w:val="SingleTxtG"/>
      </w:pPr>
      <w:r w:rsidRPr="00B7582D">
        <w:t>93.</w:t>
      </w:r>
      <w:r w:rsidRPr="00B7582D">
        <w:tab/>
        <w:t>En primer lugar, para mejorar las condiciones de detención y trabajo de quienes están recluidos en centros penitenciarios, el Ministerio de Justicia puso en marcha para el primer trienio presupuestario un ambicioso programa de construcción para el que se ha fijado un objetivo de 63.500 plazas, incluido el cierre de recintos antiguos con una capacidad de 4.276 plazas.</w:t>
      </w:r>
    </w:p>
    <w:p w:rsidR="00B7582D" w:rsidRPr="00B7582D" w:rsidRDefault="00B7582D" w:rsidP="00B7582D">
      <w:pPr>
        <w:pStyle w:val="SingleTxtG"/>
      </w:pPr>
      <w:r w:rsidRPr="00B7582D">
        <w:t>94.</w:t>
      </w:r>
      <w:r w:rsidRPr="00B7582D">
        <w:tab/>
        <w:t>En virtud de los dos programas de construcción iniciados en 20</w:t>
      </w:r>
      <w:r w:rsidR="004E2BB7">
        <w:t>1</w:t>
      </w:r>
      <w:r w:rsidRPr="00B7582D">
        <w:t>2, los recintos penitenciarios tendrán una capacidad superior a 67.000 plazas y, según las proyecciones, habrá un 90% de celdas individuales.</w:t>
      </w:r>
    </w:p>
    <w:p w:rsidR="00B7582D" w:rsidRPr="00B7582D" w:rsidRDefault="00B7582D" w:rsidP="00B7582D">
      <w:pPr>
        <w:pStyle w:val="SingleTxtG"/>
      </w:pPr>
      <w:r w:rsidRPr="00B7582D">
        <w:t>95.</w:t>
      </w:r>
      <w:r w:rsidRPr="00B7582D">
        <w:tab/>
        <w:t xml:space="preserve">En segundo lugar, la </w:t>
      </w:r>
      <w:r w:rsidR="004E2BB7" w:rsidRPr="00B7582D">
        <w:t xml:space="preserve">Ley </w:t>
      </w:r>
      <w:r w:rsidRPr="00B7582D">
        <w:t>de 15 de agosto de 2014</w:t>
      </w:r>
      <w:r w:rsidRPr="00B7582D">
        <w:rPr>
          <w:vertAlign w:val="superscript"/>
          <w:lang w:val="fr-FR"/>
        </w:rPr>
        <w:footnoteReference w:id="68"/>
      </w:r>
      <w:r w:rsidRPr="00B7582D">
        <w:t xml:space="preserve"> suprime las disposiciones que fijan penas mínimas en caso de reincidencia, así como el carácter automático de la revocación de la remisión simple de la pena. En virtud de ellas se crea una nueva pena alternativa a la reclusión y se propicia que los detenidos condenados a penas menores de cinco años y que no hayan podido obtener una pena alternativa sean puestos en libertad sujeta a restricciones.</w:t>
      </w:r>
    </w:p>
    <w:p w:rsidR="00B7582D" w:rsidRPr="00B7582D" w:rsidRDefault="00B7582D" w:rsidP="00B7582D">
      <w:pPr>
        <w:pStyle w:val="SingleTxtG"/>
      </w:pPr>
      <w:r w:rsidRPr="00B7582D">
        <w:t>96.</w:t>
      </w:r>
      <w:r w:rsidRPr="00B7582D">
        <w:tab/>
        <w:t>Los proyectos en los recintos penitenciarios de ultramar son los siguientes:</w:t>
      </w:r>
    </w:p>
    <w:p w:rsidR="00B7582D" w:rsidRPr="00B7582D" w:rsidRDefault="00140D4F" w:rsidP="00140D4F">
      <w:pPr>
        <w:pStyle w:val="Bullet1G"/>
      </w:pPr>
      <w:r w:rsidRPr="00B7582D">
        <w:lastRenderedPageBreak/>
        <w:t xml:space="preserve">Centro </w:t>
      </w:r>
      <w:r w:rsidR="00B7582D" w:rsidRPr="00B7582D">
        <w:t>penitenciario de Ducos: 160 plazas adicionales;</w:t>
      </w:r>
    </w:p>
    <w:p w:rsidR="00B7582D" w:rsidRPr="00B7582D" w:rsidRDefault="00140D4F" w:rsidP="00140D4F">
      <w:pPr>
        <w:pStyle w:val="Bullet1G"/>
      </w:pPr>
      <w:r w:rsidRPr="00B7582D">
        <w:t xml:space="preserve">Centro </w:t>
      </w:r>
      <w:r w:rsidR="00B7582D" w:rsidRPr="00B7582D">
        <w:t xml:space="preserve">penitenciario de </w:t>
      </w:r>
      <w:proofErr w:type="spellStart"/>
      <w:r w:rsidR="00B7582D" w:rsidRPr="00B7582D">
        <w:t>Majicavo</w:t>
      </w:r>
      <w:proofErr w:type="spellEnd"/>
      <w:r w:rsidR="00B7582D" w:rsidRPr="00B7582D">
        <w:t>: reconstrucción de los pabellones de detención para hombres y mujeres y construcción de un cuarto pabellón de detención de hombres (152 plazas), de un pabellón para menores (30 plazas), de un pabellón de acogida, de salones familiares y unidades de vida familiar</w:t>
      </w:r>
      <w:r w:rsidR="00B7582D" w:rsidRPr="00B7582D">
        <w:rPr>
          <w:vertAlign w:val="superscript"/>
          <w:lang w:val="fr-FR"/>
        </w:rPr>
        <w:footnoteReference w:id="69"/>
      </w:r>
      <w:r w:rsidR="00B7582D" w:rsidRPr="00B7582D">
        <w:t>, de locales de actividad socioeducativa, locales de formación y trabajo, locales dedicados a la salud, espacio para actividades deporti</w:t>
      </w:r>
      <w:r>
        <w:t>vas, cocinas y locales de apoyo</w:t>
      </w:r>
      <w:r w:rsidR="00B7582D" w:rsidRPr="00B7582D">
        <w:t>;</w:t>
      </w:r>
    </w:p>
    <w:p w:rsidR="00B7582D" w:rsidRPr="00B7582D" w:rsidRDefault="00B7582D" w:rsidP="00140D4F">
      <w:pPr>
        <w:pStyle w:val="Bullet1G"/>
      </w:pPr>
      <w:r w:rsidRPr="00B7582D">
        <w:t xml:space="preserve">Polinesia Francesa: nuevo establecimiento con 410 plazas en </w:t>
      </w:r>
      <w:proofErr w:type="spellStart"/>
      <w:r w:rsidRPr="00B7582D">
        <w:t>Papeari</w:t>
      </w:r>
      <w:proofErr w:type="spellEnd"/>
      <w:r w:rsidRPr="00B7582D">
        <w:t xml:space="preserve"> (quedará habilitado a fines de 2016);</w:t>
      </w:r>
    </w:p>
    <w:p w:rsidR="00B7582D" w:rsidRPr="00B7582D" w:rsidRDefault="00B7582D" w:rsidP="00140D4F">
      <w:pPr>
        <w:pStyle w:val="Bullet1G"/>
      </w:pPr>
      <w:r w:rsidRPr="00B7582D">
        <w:t>Nueva Caledonia: mejoramiento de las condiciones materiales de detención;</w:t>
      </w:r>
    </w:p>
    <w:p w:rsidR="00B7582D" w:rsidRPr="00B7582D" w:rsidRDefault="004E2BB7" w:rsidP="00140D4F">
      <w:pPr>
        <w:pStyle w:val="Bullet1G"/>
      </w:pPr>
      <w:r w:rsidRPr="00B7582D">
        <w:t xml:space="preserve">Centro </w:t>
      </w:r>
      <w:r w:rsidR="00B7582D" w:rsidRPr="00B7582D">
        <w:t>penitenciario de Remire-</w:t>
      </w:r>
      <w:proofErr w:type="spellStart"/>
      <w:r w:rsidR="00B7582D" w:rsidRPr="00B7582D">
        <w:t>Montjoly</w:t>
      </w:r>
      <w:proofErr w:type="spellEnd"/>
      <w:r w:rsidR="00B7582D" w:rsidRPr="00B7582D">
        <w:t>: construcción de 78 plazas adicionales (entregadas en 2012).</w:t>
      </w:r>
    </w:p>
    <w:p w:rsidR="00B7582D" w:rsidRPr="00B7582D" w:rsidRDefault="00B7582D" w:rsidP="00140D4F">
      <w:pPr>
        <w:pStyle w:val="H23G"/>
      </w:pPr>
      <w:r w:rsidRPr="00B7582D">
        <w:tab/>
      </w:r>
      <w:r w:rsidR="00140D4F">
        <w:tab/>
      </w:r>
      <w:r w:rsidRPr="00B7582D">
        <w:t>Utilización de penas alternativas a la privación de la libertad</w:t>
      </w:r>
      <w:r w:rsidRPr="00140D4F">
        <w:rPr>
          <w:b w:val="0"/>
          <w:vertAlign w:val="superscript"/>
          <w:lang w:val="fr-FR"/>
        </w:rPr>
        <w:footnoteReference w:id="70"/>
      </w:r>
    </w:p>
    <w:p w:rsidR="00B7582D" w:rsidRPr="00B7582D" w:rsidRDefault="00B7582D" w:rsidP="00B7582D">
      <w:pPr>
        <w:pStyle w:val="SingleTxtG"/>
      </w:pPr>
      <w:r w:rsidRPr="00B7582D">
        <w:t>97.</w:t>
      </w:r>
      <w:r w:rsidRPr="00B7582D">
        <w:tab/>
        <w:t xml:space="preserve">La </w:t>
      </w:r>
      <w:r w:rsidR="004E2BB7" w:rsidRPr="00B7582D">
        <w:t xml:space="preserve">Ley </w:t>
      </w:r>
      <w:r w:rsidRPr="00B7582D">
        <w:t xml:space="preserve">sobre los </w:t>
      </w:r>
      <w:r w:rsidR="004E2BB7" w:rsidRPr="00B7582D">
        <w:t>Centros Penitenciarios</w:t>
      </w:r>
      <w:r w:rsidRPr="00B7582D">
        <w:t>, de 24 de noviembre de 2009</w:t>
      </w:r>
      <w:r w:rsidRPr="00B7582D">
        <w:rPr>
          <w:vertAlign w:val="superscript"/>
          <w:lang w:val="fr-FR"/>
        </w:rPr>
        <w:footnoteReference w:id="71"/>
      </w:r>
      <w:r w:rsidRPr="00B7582D">
        <w:t xml:space="preserve">, propicia </w:t>
      </w:r>
      <w:r w:rsidR="004E2BB7">
        <w:t xml:space="preserve">en </w:t>
      </w:r>
      <w:r w:rsidRPr="00B7582D">
        <w:t>principio las penas distintas de la reclusión, pero la polít</w:t>
      </w:r>
      <w:r w:rsidR="00140D4F">
        <w:t>ica penal formulada a partir de </w:t>
      </w:r>
      <w:r w:rsidRPr="00B7582D">
        <w:t>2012 ha dado lugar a una verdadera renovación en el debate acerca de las penas.</w:t>
      </w:r>
    </w:p>
    <w:p w:rsidR="00B7582D" w:rsidRPr="00B7582D" w:rsidRDefault="00B7582D" w:rsidP="00B7582D">
      <w:pPr>
        <w:pStyle w:val="SingleTxtG"/>
      </w:pPr>
      <w:r w:rsidRPr="00B7582D">
        <w:t>98.</w:t>
      </w:r>
      <w:r w:rsidRPr="00B7582D">
        <w:tab/>
        <w:t>Se han multiplicado las medidas alternativas a la reclusión para poder dar carácter individual a la pena y confiar al condenado a los servicios de reintegración y libertad condicional de manera de evitar la reincidencia. El establecimiento del sistema de libertad sujeta a restricciones</w:t>
      </w:r>
      <w:r w:rsidRPr="00B7582D">
        <w:rPr>
          <w:vertAlign w:val="superscript"/>
          <w:lang w:val="fr-FR"/>
        </w:rPr>
        <w:footnoteReference w:id="72"/>
      </w:r>
      <w:r w:rsidRPr="00B7582D">
        <w:t xml:space="preserve"> consolida el conjunto de penas que se pueden aplicar.</w:t>
      </w:r>
    </w:p>
    <w:p w:rsidR="00B7582D" w:rsidRPr="00B7582D" w:rsidRDefault="00B7582D" w:rsidP="00B7582D">
      <w:pPr>
        <w:pStyle w:val="SingleTxtG"/>
      </w:pPr>
      <w:r w:rsidRPr="00B7582D">
        <w:t>99.</w:t>
      </w:r>
      <w:r w:rsidRPr="00B7582D">
        <w:tab/>
        <w:t>Existen numerosas medidas alternativas, lo que permite diversificar la pena y adaptarla a la situación y la personalidad del condenado. Así, se puede dictar una pena de trabajos comunitarios, la remisión de la pena con sujeción a la obligación de efectuar trabajo comunitario, multas, reparaciones, aplazamiento condicional de la pena, libertad condicional e incluso penas privativas o restrictivas de derechos</w:t>
      </w:r>
      <w:r w:rsidRPr="00B7582D">
        <w:rPr>
          <w:vertAlign w:val="superscript"/>
          <w:lang w:val="fr-FR"/>
        </w:rPr>
        <w:footnoteReference w:id="73"/>
      </w:r>
      <w:r w:rsidRPr="00B7582D">
        <w:t>.</w:t>
      </w:r>
    </w:p>
    <w:p w:rsidR="00B7582D" w:rsidRPr="00B7582D" w:rsidRDefault="00B7582D" w:rsidP="00B7582D">
      <w:pPr>
        <w:pStyle w:val="SingleTxtG"/>
      </w:pPr>
      <w:r w:rsidRPr="00B7582D">
        <w:t>100.</w:t>
      </w:r>
      <w:r w:rsidRPr="00B7582D">
        <w:tab/>
        <w:t>Por otra parte, la libertad sujeta a restricciones, vigente desde el 1 de octubre de 2014, se suma a las demás penas y medidas distintas de la reclusión y obedece al propósito de constituir una alternativa, particularmente bien establecida y digna de crédito, a la reclusión para quienes necesitan un seguimiento continuo y modalidades especiales de tratamiento que sean específicas, muy individualizadas y adaptables.</w:t>
      </w:r>
    </w:p>
    <w:p w:rsidR="00B7582D" w:rsidRPr="00B7582D" w:rsidRDefault="00B7582D" w:rsidP="00B7582D">
      <w:pPr>
        <w:pStyle w:val="SingleTxtG"/>
      </w:pPr>
      <w:r w:rsidRPr="00B7582D">
        <w:t>101.</w:t>
      </w:r>
      <w:r w:rsidRPr="00B7582D">
        <w:tab/>
        <w:t>Con respecto a las medidas alternativas a la detención provisional, sírvanse remitirse a las respuestas relativas a la cuestión 5.</w:t>
      </w:r>
    </w:p>
    <w:p w:rsidR="00B7582D" w:rsidRPr="00B7582D" w:rsidRDefault="00140D4F" w:rsidP="00140D4F">
      <w:pPr>
        <w:pStyle w:val="H1G"/>
      </w:pPr>
      <w:r>
        <w:tab/>
      </w:r>
      <w:r w:rsidR="00B7582D" w:rsidRPr="00B7582D">
        <w:tab/>
        <w:t>Cuestión 15</w:t>
      </w:r>
    </w:p>
    <w:p w:rsidR="00B7582D" w:rsidRPr="00B7582D" w:rsidRDefault="00B7582D" w:rsidP="00B7582D">
      <w:pPr>
        <w:pStyle w:val="SingleTxtG"/>
      </w:pPr>
      <w:r w:rsidRPr="00B7582D">
        <w:t>102.</w:t>
      </w:r>
      <w:r w:rsidRPr="00B7582D">
        <w:tab/>
        <w:t>Como complemento de la información proporcionada en el séptimo informe periódico</w:t>
      </w:r>
      <w:r w:rsidRPr="00B7582D">
        <w:rPr>
          <w:vertAlign w:val="superscript"/>
          <w:lang w:val="fr-FR"/>
        </w:rPr>
        <w:footnoteReference w:id="74"/>
      </w:r>
      <w:r w:rsidRPr="00B7582D">
        <w:t xml:space="preserve"> cabe señalar que, tras la ordenanza de 7 de mayo de 2014 y el decreto de 23 de </w:t>
      </w:r>
      <w:r w:rsidRPr="00B7582D">
        <w:lastRenderedPageBreak/>
        <w:t>mayo del mismo año</w:t>
      </w:r>
      <w:r w:rsidRPr="00B7582D">
        <w:rPr>
          <w:vertAlign w:val="superscript"/>
          <w:lang w:val="fr-FR"/>
        </w:rPr>
        <w:footnoteReference w:id="75"/>
      </w:r>
      <w:r w:rsidRPr="00B7582D">
        <w:t>, la legislación aplicable en Mayotte con respecto a los requisitos para el mantenimiento en zona de espera y la retención y a las garantías existentes se ajusta al derecho común, a reserva de algunas disposiciones para adaptarla a las circunstancias locales. Así, por ejemplo, se prevé la existencia de asociaciones encargadas de prestar asistencia a los extranjeros en el ejercicio de sus derechos. A partir de septiembre de 2015, un nuevo centro de retención administrativa ofrece condiciones más satisfactorias y, en particular, espacio dedicado a las familias.</w:t>
      </w:r>
    </w:p>
    <w:p w:rsidR="00B7582D" w:rsidRPr="00B7582D" w:rsidRDefault="00140D4F" w:rsidP="00140D4F">
      <w:pPr>
        <w:pStyle w:val="H1G"/>
      </w:pPr>
      <w:r>
        <w:tab/>
      </w:r>
      <w:r w:rsidR="00B7582D" w:rsidRPr="00B7582D">
        <w:tab/>
        <w:t>Cuestión 16</w:t>
      </w:r>
    </w:p>
    <w:p w:rsidR="00B7582D" w:rsidRPr="00B7582D" w:rsidRDefault="00B7582D" w:rsidP="00B7582D">
      <w:pPr>
        <w:pStyle w:val="SingleTxtG"/>
      </w:pPr>
      <w:r w:rsidRPr="00B7582D">
        <w:t>103.</w:t>
      </w:r>
      <w:r w:rsidRPr="00B7582D">
        <w:tab/>
        <w:t>Con fecha 6 de marzo de 2014 se estableció un plan de acción nacional para la lucha contra el fenómeno de la violencia en las cárceles y para restablecer la autoridad del personal penitenciario. El objetivo consiste en poder conocer y evaluar mejor el fenómeno, analizar incidentes y difundir buenas prácticas, formular un planteamiento adecuado sobre la cuestión de la prevención de la violencia y adaptar los cursos de información para que incluyan la prevención de la violencia. Colaboran en esta iniciativa comités interregionales y locales de dirección.</w:t>
      </w:r>
    </w:p>
    <w:p w:rsidR="00B7582D" w:rsidRPr="00B7582D" w:rsidRDefault="00B7582D" w:rsidP="00B7582D">
      <w:pPr>
        <w:pStyle w:val="SingleTxtG"/>
      </w:pPr>
      <w:r w:rsidRPr="00B7582D">
        <w:t>104.</w:t>
      </w:r>
      <w:r w:rsidRPr="00B7582D">
        <w:tab/>
        <w:t>Posteriormente, en una nota de 11 de agosto de 2015</w:t>
      </w:r>
      <w:r w:rsidRPr="00B7582D">
        <w:rPr>
          <w:vertAlign w:val="superscript"/>
          <w:lang w:val="fr-FR"/>
        </w:rPr>
        <w:footnoteReference w:id="76"/>
      </w:r>
      <w:r w:rsidRPr="00B7582D">
        <w:t xml:space="preserve"> se formuló la hoja de ruta en la lucha contra la violencia.</w:t>
      </w:r>
    </w:p>
    <w:p w:rsidR="00B7582D" w:rsidRPr="00B7582D" w:rsidRDefault="00B7582D" w:rsidP="00B7582D">
      <w:pPr>
        <w:pStyle w:val="SingleTxtG"/>
      </w:pPr>
      <w:r w:rsidRPr="00B7582D">
        <w:t>105.</w:t>
      </w:r>
      <w:r w:rsidRPr="00B7582D">
        <w:tab/>
        <w:t>A título experimental se establecieron dos recintos penitenciarios</w:t>
      </w:r>
      <w:r w:rsidRPr="00B7582D">
        <w:rPr>
          <w:vertAlign w:val="superscript"/>
          <w:lang w:val="fr-FR"/>
        </w:rPr>
        <w:footnoteReference w:id="77"/>
      </w:r>
      <w:r w:rsidRPr="00B7582D">
        <w:t xml:space="preserve"> con un sistema de observancia inspirado en el sistema penitenciario español. El experimento obedece al propósito de reducir el fenómeno de la violencia en los centros de detención y se exige que los detenidos cumplan reglas concretas con obligaciones estrictas (levantarse a las siete de la mañana, ser educados, mantener ordenadas y limpias las celdas, participar obligatoriamente en 25 horas de actividades, etc.) a cambio de ventajas (mayor número de visitas autorizadas, posibilidad de desplazarse libremente en el recinto o una mayor selección de actividades, etc.). Se trata de un estímulo para que haya un entorno de más calma en el recinto, en interés de quienes trabajan y viven en él. El proceso se basa en responsabilizar al recluido, que se convierte en el protagonista principal de la ejecución de su pena. El personal penitenciario procede a una evaluación cotidiana y la inobservancia de las reglas conlleva la exclusión del sistema, vale decir, la vuelta a un régimen de detención ordinaria. Se harán experimentos equivalentes en centros penitenciarios que han entrado recientemente en servicio</w:t>
      </w:r>
      <w:r w:rsidRPr="00B7582D">
        <w:rPr>
          <w:vertAlign w:val="superscript"/>
          <w:lang w:val="fr-FR"/>
        </w:rPr>
        <w:footnoteReference w:id="78"/>
      </w:r>
      <w:r w:rsidRPr="00B7582D">
        <w:t>.</w:t>
      </w:r>
    </w:p>
    <w:p w:rsidR="00B7582D" w:rsidRPr="00B7582D" w:rsidRDefault="00140D4F" w:rsidP="00140D4F">
      <w:pPr>
        <w:pStyle w:val="H23G"/>
      </w:pPr>
      <w:r>
        <w:tab/>
      </w:r>
      <w:r w:rsidR="00B7582D" w:rsidRPr="00B7582D">
        <w:tab/>
        <w:t xml:space="preserve">Prevención de suicidios </w:t>
      </w:r>
    </w:p>
    <w:p w:rsidR="00B7582D" w:rsidRPr="00B7582D" w:rsidRDefault="00B7582D" w:rsidP="00B7582D">
      <w:pPr>
        <w:pStyle w:val="SingleTxtG"/>
      </w:pPr>
      <w:r w:rsidRPr="00B7582D">
        <w:t>106.</w:t>
      </w:r>
      <w:r w:rsidRPr="00B7582D">
        <w:tab/>
        <w:t>Se sigue aplicando en los establecimientos penitenciarios y en los servicios penitenciarios de reinserción y libertad condicional el plan de acción nacional de prevención y lucha contra el suicidio en las prisiones, de 15 de junio de 2009. Se encontrará en un anexo un cuadro relativo a los suicidios durante la detención</w:t>
      </w:r>
      <w:r w:rsidRPr="00B7582D">
        <w:rPr>
          <w:vertAlign w:val="superscript"/>
          <w:lang w:val="fr-FR"/>
        </w:rPr>
        <w:footnoteReference w:id="79"/>
      </w:r>
      <w:r w:rsidRPr="00B7582D">
        <w:t>.</w:t>
      </w:r>
    </w:p>
    <w:p w:rsidR="00B7582D" w:rsidRPr="00B7582D" w:rsidRDefault="00B7582D" w:rsidP="00B7582D">
      <w:pPr>
        <w:pStyle w:val="SingleTxtG"/>
      </w:pPr>
      <w:r w:rsidRPr="00B7582D">
        <w:t>107.</w:t>
      </w:r>
      <w:r w:rsidRPr="00B7582D">
        <w:tab/>
        <w:t xml:space="preserve">Los objetivos consisten en impartir mayor formación al personal penitenciario a fin de que pueda evaluar las posibilidades de suicidio, aplicar medidas especiales de protección </w:t>
      </w:r>
      <w:r w:rsidRPr="00B7582D">
        <w:lastRenderedPageBreak/>
        <w:t xml:space="preserve">para los detenidos en crisis suicidas (celdas de protección de emergencia, material de protección de urgencia, consistente en mantas que no se pueden rasgar y ropa que se puede desgarrar y desechar, intercomunicadores, etc.), fomentar la </w:t>
      </w:r>
      <w:proofErr w:type="spellStart"/>
      <w:r w:rsidRPr="00B7582D">
        <w:t>pluridisciplinariedad</w:t>
      </w:r>
      <w:proofErr w:type="spellEnd"/>
      <w:r w:rsidRPr="00B7582D">
        <w:t xml:space="preserve">, luchar contra la sensación de aislamiento en el pabellón de disciplina y movilizar a toda la </w:t>
      </w:r>
      <w:r w:rsidR="004E2BB7">
        <w:t>“</w:t>
      </w:r>
      <w:r w:rsidRPr="00B7582D">
        <w:t>comunidad correccional</w:t>
      </w:r>
      <w:r w:rsidR="004E2BB7">
        <w:t>”</w:t>
      </w:r>
      <w:r w:rsidRPr="00B7582D">
        <w:t>. La aplicación del plan fue objeto de una inspección en 2015.</w:t>
      </w:r>
    </w:p>
    <w:p w:rsidR="00B7582D" w:rsidRPr="00B7582D" w:rsidRDefault="00B7582D" w:rsidP="00B7582D">
      <w:pPr>
        <w:pStyle w:val="SingleTxtG"/>
      </w:pPr>
      <w:r w:rsidRPr="00B7582D">
        <w:t>108.</w:t>
      </w:r>
      <w:r w:rsidRPr="00B7582D">
        <w:tab/>
        <w:t>Las medidas detalladas se pueden consultar en un anexo</w:t>
      </w:r>
      <w:r w:rsidRPr="00B7582D">
        <w:rPr>
          <w:vertAlign w:val="superscript"/>
          <w:lang w:val="fr-FR"/>
        </w:rPr>
        <w:footnoteReference w:id="80"/>
      </w:r>
      <w:r w:rsidRPr="00B7582D">
        <w:t>.</w:t>
      </w:r>
    </w:p>
    <w:p w:rsidR="00B7582D" w:rsidRPr="00B7582D" w:rsidRDefault="00B7582D" w:rsidP="00B7582D">
      <w:pPr>
        <w:pStyle w:val="SingleTxtG"/>
      </w:pPr>
      <w:r w:rsidRPr="00B7582D">
        <w:t>109.</w:t>
      </w:r>
      <w:r w:rsidRPr="00B7582D">
        <w:tab/>
        <w:t>En 2012</w:t>
      </w:r>
      <w:r w:rsidRPr="00B7582D">
        <w:rPr>
          <w:vertAlign w:val="superscript"/>
          <w:lang w:val="fr-FR"/>
        </w:rPr>
        <w:footnoteReference w:id="81"/>
      </w:r>
      <w:r w:rsidRPr="00B7582D">
        <w:t xml:space="preserve"> se tomaron 2.293 medidas de aislamiento, en un 60% de los casos de oficio y en un 40% por petición del detenido. El 25% de estas medidas tuvieron una duración superior a un año.</w:t>
      </w:r>
    </w:p>
    <w:p w:rsidR="00B7582D" w:rsidRPr="00B7582D" w:rsidRDefault="00B7582D" w:rsidP="00140D4F">
      <w:pPr>
        <w:pStyle w:val="H1G"/>
      </w:pPr>
      <w:r w:rsidRPr="00B7582D">
        <w:tab/>
      </w:r>
      <w:r w:rsidR="00140D4F">
        <w:tab/>
      </w:r>
      <w:r w:rsidRPr="00B7582D">
        <w:t>Cuestión 17</w:t>
      </w:r>
    </w:p>
    <w:p w:rsidR="00B7582D" w:rsidRPr="00B7582D" w:rsidRDefault="00B7582D" w:rsidP="00B7582D">
      <w:pPr>
        <w:pStyle w:val="SingleTxtG"/>
      </w:pPr>
      <w:r w:rsidRPr="00B7582D">
        <w:t>110.</w:t>
      </w:r>
      <w:r w:rsidRPr="00B7582D">
        <w:tab/>
        <w:t>Las fuerzas de seguridad interior, encargadas de aplicar la ley y autorizadas para hacer uso legítimo de la fuerza, se encuentran entre los servicios públicos sujetos a mayor control.</w:t>
      </w:r>
    </w:p>
    <w:p w:rsidR="00B7582D" w:rsidRPr="00B7582D" w:rsidRDefault="00B7582D" w:rsidP="00B7582D">
      <w:pPr>
        <w:pStyle w:val="SingleTxtG"/>
      </w:pPr>
      <w:r w:rsidRPr="00B7582D">
        <w:t>111.</w:t>
      </w:r>
      <w:r w:rsidRPr="00B7582D">
        <w:tab/>
        <w:t>Existen tres medios de control:</w:t>
      </w:r>
    </w:p>
    <w:p w:rsidR="00B7582D" w:rsidRPr="00B7582D" w:rsidRDefault="00140D4F" w:rsidP="00140D4F">
      <w:pPr>
        <w:pStyle w:val="Bullet1G"/>
      </w:pPr>
      <w:r w:rsidRPr="00B7582D">
        <w:t xml:space="preserve">El </w:t>
      </w:r>
      <w:r w:rsidR="00B7582D" w:rsidRPr="00B7582D">
        <w:t>control interno, por vía jerárquica o de inspecciones;</w:t>
      </w:r>
    </w:p>
    <w:p w:rsidR="00B7582D" w:rsidRPr="00B7582D" w:rsidRDefault="00140D4F" w:rsidP="00140D4F">
      <w:pPr>
        <w:pStyle w:val="Bullet1G"/>
      </w:pPr>
      <w:r w:rsidRPr="00B7582D">
        <w:t xml:space="preserve">El </w:t>
      </w:r>
      <w:r w:rsidR="00B7582D" w:rsidRPr="00B7582D">
        <w:t>control judicia</w:t>
      </w:r>
      <w:r w:rsidR="004E2BB7">
        <w:t>l</w:t>
      </w:r>
      <w:r w:rsidR="00B7582D" w:rsidRPr="00B7582D">
        <w:t>;</w:t>
      </w:r>
    </w:p>
    <w:p w:rsidR="00B7582D" w:rsidRPr="00B7582D" w:rsidRDefault="00140D4F" w:rsidP="00140D4F">
      <w:pPr>
        <w:pStyle w:val="Bullet1G"/>
      </w:pPr>
      <w:r w:rsidRPr="00B7582D">
        <w:t xml:space="preserve">El </w:t>
      </w:r>
      <w:r w:rsidR="00B7582D" w:rsidRPr="00B7582D">
        <w:t>control por las autoridades administrativas independientes.</w:t>
      </w:r>
    </w:p>
    <w:p w:rsidR="00B7582D" w:rsidRPr="00B7582D" w:rsidRDefault="00B7582D" w:rsidP="00B7582D">
      <w:pPr>
        <w:pStyle w:val="SingleTxtG"/>
      </w:pPr>
      <w:r w:rsidRPr="00B7582D">
        <w:t>112.</w:t>
      </w:r>
      <w:r w:rsidRPr="00B7582D">
        <w:tab/>
        <w:t>Se inicia una investigación cada vez que se denuncian hechos o se formulan quejas.</w:t>
      </w:r>
    </w:p>
    <w:p w:rsidR="00B7582D" w:rsidRPr="00B7582D" w:rsidRDefault="00B7582D" w:rsidP="00B7582D">
      <w:pPr>
        <w:pStyle w:val="SingleTxtG"/>
        <w:rPr>
          <w:u w:val="single"/>
        </w:rPr>
      </w:pPr>
      <w:r w:rsidRPr="00B7582D">
        <w:t>113.</w:t>
      </w:r>
      <w:r w:rsidRPr="00B7582D">
        <w:tab/>
        <w:t>Las quejas o denuncias de malos tratos cometidos por policías o gendarmes y que puedan llegar a constituir delito dan lugar a una instrucción judicial bajo la dirección del Fiscal de la República, cuya condición de magistrado es garantía de objetividad, y sin perjuicio de que haya una investigación administrativa y disciplinaria.</w:t>
      </w:r>
    </w:p>
    <w:p w:rsidR="00B7582D" w:rsidRPr="00B7582D" w:rsidRDefault="00B7582D" w:rsidP="00B7582D">
      <w:pPr>
        <w:pStyle w:val="SingleTxtG"/>
      </w:pPr>
      <w:r w:rsidRPr="00B7582D">
        <w:t>114.</w:t>
      </w:r>
      <w:r w:rsidRPr="00B7582D">
        <w:tab/>
        <w:t>Por otra parte, quien se considere lesionado por un crimen o un delito cometido por las fuerzas del orden puede constituirse en parte civil ante el juez de instrucción</w:t>
      </w:r>
      <w:r w:rsidRPr="00B7582D">
        <w:rPr>
          <w:vertAlign w:val="superscript"/>
          <w:lang w:val="fr-FR"/>
        </w:rPr>
        <w:footnoteReference w:id="82"/>
      </w:r>
      <w:r w:rsidRPr="00B7582D">
        <w:t>.</w:t>
      </w:r>
    </w:p>
    <w:p w:rsidR="00B7582D" w:rsidRPr="00B7582D" w:rsidRDefault="00B7582D" w:rsidP="00B7582D">
      <w:pPr>
        <w:pStyle w:val="SingleTxtG"/>
      </w:pPr>
      <w:r w:rsidRPr="00B7582D">
        <w:t>115.</w:t>
      </w:r>
      <w:r w:rsidRPr="00B7582D">
        <w:tab/>
        <w:t xml:space="preserve">Cuando se abre una instrucción judicial, el </w:t>
      </w:r>
      <w:r w:rsidR="00084A28" w:rsidRPr="00B7582D">
        <w:t>Fiscal</w:t>
      </w:r>
      <w:r w:rsidRPr="00B7582D">
        <w:t xml:space="preserve"> de la República o el juez de instrucción pueden comunicarlo al servicio o la división de la policía judicial que le parezca más apropiada habida cuenta de la naturaleza y las circunstancias del asunto y de las personas acusadas</w:t>
      </w:r>
      <w:r w:rsidRPr="00B7582D">
        <w:rPr>
          <w:vertAlign w:val="superscript"/>
          <w:lang w:val="fr-FR"/>
        </w:rPr>
        <w:footnoteReference w:id="83"/>
      </w:r>
      <w:r w:rsidRPr="00B7582D">
        <w:t>.</w:t>
      </w:r>
    </w:p>
    <w:p w:rsidR="00B7582D" w:rsidRPr="00B7582D" w:rsidRDefault="00B7582D" w:rsidP="00B7582D">
      <w:pPr>
        <w:pStyle w:val="SingleTxtG"/>
      </w:pPr>
      <w:r w:rsidRPr="00B7582D">
        <w:t>116.</w:t>
      </w:r>
      <w:r w:rsidRPr="00B7582D">
        <w:tab/>
        <w:t>Por otra parte, hay dos servicios de inspección que son específicamente competentes, la Inspección General de la Policía Nacional (IGPN) y la Inspección General de la Gendarmería Nacional (IGGN), en forma independiente de los demás servicios o divisiones de la policía judicial, para sustanciar investigaciones sobre la actuación de las fuerzas del orden.</w:t>
      </w:r>
    </w:p>
    <w:p w:rsidR="00B7582D" w:rsidRPr="00B7582D" w:rsidRDefault="00B7582D" w:rsidP="00B7582D">
      <w:pPr>
        <w:pStyle w:val="SingleTxtG"/>
        <w:rPr>
          <w:b/>
        </w:rPr>
      </w:pPr>
      <w:r w:rsidRPr="00B7582D">
        <w:t>117.</w:t>
      </w:r>
      <w:r w:rsidRPr="00B7582D">
        <w:tab/>
        <w:t>Cada una de esas Inspecciones ha establecido una plataforma de comunicaciones a la que se puede acceder en los sitios en Internet de la policía y de la Gendarmería Nacional.</w:t>
      </w:r>
    </w:p>
    <w:p w:rsidR="00B7582D" w:rsidRPr="00B7582D" w:rsidRDefault="00B7582D" w:rsidP="00B7582D">
      <w:pPr>
        <w:pStyle w:val="SingleTxtG"/>
      </w:pPr>
      <w:r w:rsidRPr="00B7582D">
        <w:t>118.</w:t>
      </w:r>
      <w:r w:rsidRPr="00B7582D">
        <w:tab/>
        <w:t>La Inspección General de la Policía Nacional y la Inspección General de la Gendarmería Nacional proceden a investigaciones:</w:t>
      </w:r>
    </w:p>
    <w:p w:rsidR="00B7582D" w:rsidRPr="00B7582D" w:rsidRDefault="00140D4F" w:rsidP="00140D4F">
      <w:pPr>
        <w:pStyle w:val="Bullet1G"/>
      </w:pPr>
      <w:r w:rsidRPr="00B7582D">
        <w:lastRenderedPageBreak/>
        <w:t>Judiciales</w:t>
      </w:r>
      <w:r w:rsidR="00B7582D" w:rsidRPr="00B7582D">
        <w:t>, por orden de un magistrado</w:t>
      </w:r>
      <w:r w:rsidR="00B7582D" w:rsidRPr="00B7582D">
        <w:rPr>
          <w:vertAlign w:val="superscript"/>
          <w:lang w:val="fr-FR"/>
        </w:rPr>
        <w:footnoteReference w:id="84"/>
      </w:r>
      <w:r w:rsidR="00B7582D" w:rsidRPr="00B7582D">
        <w:t> ;</w:t>
      </w:r>
    </w:p>
    <w:p w:rsidR="00B7582D" w:rsidRPr="00B7582D" w:rsidRDefault="00140D4F" w:rsidP="00140D4F">
      <w:pPr>
        <w:pStyle w:val="Bullet1G"/>
      </w:pPr>
      <w:r w:rsidRPr="00B7582D">
        <w:t>Administrativas</w:t>
      </w:r>
      <w:r w:rsidR="00B7582D" w:rsidRPr="00B7582D">
        <w:t>, por orden del Ministro del Interior, del Director General de la Policía Nacional, del Director General de la Gendarmería Nacional o del Prefecto de Policía de París.</w:t>
      </w:r>
    </w:p>
    <w:p w:rsidR="00B7582D" w:rsidRPr="00B7582D" w:rsidRDefault="00B7582D" w:rsidP="00B7582D">
      <w:pPr>
        <w:pStyle w:val="SingleTxtG"/>
      </w:pPr>
      <w:r w:rsidRPr="00B7582D">
        <w:t>119.</w:t>
      </w:r>
      <w:r w:rsidRPr="00B7582D">
        <w:tab/>
        <w:t>En 2014 la IGPN llevó a cabo 1.035 investigaciones judiciales, de las cuales 440 se referían a actos de violencia intencional.</w:t>
      </w:r>
    </w:p>
    <w:p w:rsidR="00B7582D" w:rsidRPr="00B7582D" w:rsidRDefault="00B7582D" w:rsidP="00B7582D">
      <w:pPr>
        <w:pStyle w:val="SingleTxtG"/>
      </w:pPr>
      <w:r w:rsidRPr="00B7582D">
        <w:t>120.</w:t>
      </w:r>
      <w:r w:rsidRPr="00B7582D">
        <w:tab/>
        <w:t>La Inspección trasmitió 876 investigaciones a la autori</w:t>
      </w:r>
      <w:r w:rsidR="00140D4F">
        <w:t>dad judicial, de las cuales 376 </w:t>
      </w:r>
      <w:r w:rsidRPr="00B7582D">
        <w:t>se referían a actos de violencia intencional. Un poco más del 36% de estas investigaciones fueron archivadas por la autoridad judicial (falta de tipificación clara o inexistencia de delito).</w:t>
      </w:r>
    </w:p>
    <w:p w:rsidR="00B7582D" w:rsidRPr="00B7582D" w:rsidRDefault="00B7582D" w:rsidP="00B7582D">
      <w:pPr>
        <w:pStyle w:val="SingleTxtG"/>
      </w:pPr>
      <w:r w:rsidRPr="00B7582D">
        <w:t>121.</w:t>
      </w:r>
      <w:r w:rsidRPr="00B7582D">
        <w:tab/>
        <w:t>La IGGN, por su parte, llevó a cabo</w:t>
      </w:r>
      <w:r w:rsidR="004E2BB7">
        <w:t>,</w:t>
      </w:r>
      <w:r w:rsidRPr="00B7582D">
        <w:t xml:space="preserve"> en 2014</w:t>
      </w:r>
      <w:r w:rsidR="004E2BB7">
        <w:t>,</w:t>
      </w:r>
      <w:r w:rsidRPr="00B7582D">
        <w:t xml:space="preserve"> 13 investigaciones judiciales por hechos de violencia.</w:t>
      </w:r>
    </w:p>
    <w:p w:rsidR="00B7582D" w:rsidRPr="00B7582D" w:rsidRDefault="00B7582D" w:rsidP="00B7582D">
      <w:pPr>
        <w:pStyle w:val="SingleTxtG"/>
      </w:pPr>
      <w:r w:rsidRPr="00B7582D">
        <w:t>122.</w:t>
      </w:r>
      <w:r w:rsidRPr="00B7582D">
        <w:tab/>
        <w:t>Además, la IGPN inició</w:t>
      </w:r>
      <w:r w:rsidR="004E2BB7">
        <w:t>,</w:t>
      </w:r>
      <w:r w:rsidRPr="00B7582D">
        <w:t xml:space="preserve"> en 2014</w:t>
      </w:r>
      <w:r w:rsidR="004E2BB7">
        <w:t>,</w:t>
      </w:r>
      <w:r w:rsidRPr="00B7582D">
        <w:t xml:space="preserve"> 257 investigaciones administrativas por actos de violencia intencional y puso término a 212.</w:t>
      </w:r>
    </w:p>
    <w:p w:rsidR="00B7582D" w:rsidRPr="00B7582D" w:rsidRDefault="00B7582D" w:rsidP="00B7582D">
      <w:pPr>
        <w:pStyle w:val="SingleTxtG"/>
      </w:pPr>
      <w:r w:rsidRPr="00B7582D">
        <w:t>123.</w:t>
      </w:r>
      <w:r w:rsidRPr="00B7582D">
        <w:tab/>
        <w:t xml:space="preserve">De los 35 funcionarios objeto de una investigación administrativa por violencia ilícita, </w:t>
      </w:r>
      <w:r w:rsidR="004E2BB7">
        <w:t>6</w:t>
      </w:r>
      <w:r w:rsidRPr="00B7582D">
        <w:t xml:space="preserve"> recibieron una amonestación y </w:t>
      </w:r>
      <w:r w:rsidR="004E2BB7">
        <w:t>4</w:t>
      </w:r>
      <w:r w:rsidRPr="00B7582D">
        <w:t xml:space="preserve"> una advertencia. Otros 11 fueron remitidos a la junta de disciplina. En el caso de 14 funcionarios, un 40% del total, se decidió archivar la causa.</w:t>
      </w:r>
    </w:p>
    <w:p w:rsidR="00B7582D" w:rsidRPr="00B7582D" w:rsidRDefault="00B7582D" w:rsidP="00B7582D">
      <w:pPr>
        <w:pStyle w:val="SingleTxtG"/>
      </w:pPr>
      <w:r w:rsidRPr="00B7582D">
        <w:t>124.</w:t>
      </w:r>
      <w:r w:rsidRPr="00B7582D">
        <w:tab/>
        <w:t xml:space="preserve">Estos hechos se han de considerar en el contexto de las </w:t>
      </w:r>
      <w:r w:rsidR="004E2BB7">
        <w:t>4</w:t>
      </w:r>
      <w:r w:rsidR="00140D4F">
        <w:t xml:space="preserve"> millones de situaciones en </w:t>
      </w:r>
      <w:r w:rsidRPr="00B7582D">
        <w:t>que la policía interviene cada año.</w:t>
      </w:r>
    </w:p>
    <w:p w:rsidR="00B7582D" w:rsidRPr="00B7582D" w:rsidRDefault="00B7582D" w:rsidP="00B7582D">
      <w:pPr>
        <w:pStyle w:val="SingleTxtG"/>
      </w:pPr>
      <w:r w:rsidRPr="00B7582D">
        <w:t>125.</w:t>
      </w:r>
      <w:r w:rsidRPr="00B7582D">
        <w:tab/>
        <w:t>En cuanto a los centros de detención, en 2014 se registraron 8.061 agresiones (8.560 en 2013)</w:t>
      </w:r>
      <w:r w:rsidRPr="00B7582D">
        <w:rPr>
          <w:vertAlign w:val="superscript"/>
          <w:lang w:val="fr-FR"/>
        </w:rPr>
        <w:footnoteReference w:id="85"/>
      </w:r>
      <w:r w:rsidRPr="00B7582D">
        <w:t>. En 2014 se cometieron 4.122 agresiones físicas contra el personal de esos centros, 149 de las cuales dieron lugar a invalidez temporal.</w:t>
      </w:r>
    </w:p>
    <w:p w:rsidR="00B7582D" w:rsidRPr="00B7582D" w:rsidRDefault="00B7582D" w:rsidP="00B7582D">
      <w:pPr>
        <w:pStyle w:val="SingleTxtG"/>
      </w:pPr>
      <w:r w:rsidRPr="00B7582D">
        <w:t>126.</w:t>
      </w:r>
      <w:r w:rsidRPr="00B7582D">
        <w:tab/>
        <w:t>Desde principios de la presente década, se han registrado</w:t>
      </w:r>
      <w:r w:rsidR="00140D4F">
        <w:t xml:space="preserve"> cada año entre 10 y 15 </w:t>
      </w:r>
      <w:r w:rsidRPr="00B7582D">
        <w:t>hechos de violencia contra personas detenidas. En 2014 y 2015 esa cifra se ha estabilizado por debajo de los 10 casos al año</w:t>
      </w:r>
      <w:r w:rsidRPr="00B7582D">
        <w:rPr>
          <w:iCs/>
        </w:rPr>
        <w:t>.</w:t>
      </w:r>
    </w:p>
    <w:p w:rsidR="00B7582D" w:rsidRPr="00B7582D" w:rsidRDefault="00B7582D" w:rsidP="00B7582D">
      <w:pPr>
        <w:pStyle w:val="SingleTxtG"/>
        <w:rPr>
          <w:iCs/>
        </w:rPr>
      </w:pPr>
      <w:r w:rsidRPr="00B7582D">
        <w:rPr>
          <w:iCs/>
        </w:rPr>
        <w:t>127.</w:t>
      </w:r>
      <w:r w:rsidRPr="00B7582D">
        <w:rPr>
          <w:iCs/>
        </w:rPr>
        <w:tab/>
        <w:t xml:space="preserve">La administración penitenciaría pone en conocimiento de la </w:t>
      </w:r>
      <w:r w:rsidR="00084A28" w:rsidRPr="00B7582D">
        <w:rPr>
          <w:iCs/>
        </w:rPr>
        <w:t xml:space="preserve">Fiscalía </w:t>
      </w:r>
      <w:r w:rsidR="004E2BB7">
        <w:rPr>
          <w:iCs/>
        </w:rPr>
        <w:t>toda situación en que e</w:t>
      </w:r>
      <w:r w:rsidRPr="00B7582D">
        <w:rPr>
          <w:iCs/>
        </w:rPr>
        <w:t>sta deba intervenir. Para fijar la sanción aplicable, la administración penitenciaría se basa en las decisiones judiciales cuando se ha iniciado un procedimiento paralelo. En la mayoría de las situaciones se aplican sanciones del primer o del segundo grupo (amonestación, advertencia, suspensión temporal o traslado). En algunos casos excepcionales se ha procedido a la remoción del cargo (cinco casos en los 15 últimos años).</w:t>
      </w:r>
    </w:p>
    <w:p w:rsidR="00B7582D" w:rsidRPr="00B7582D" w:rsidRDefault="00B7582D" w:rsidP="00B7582D">
      <w:pPr>
        <w:pStyle w:val="SingleTxtG"/>
      </w:pPr>
      <w:r w:rsidRPr="00B7582D">
        <w:t>128.</w:t>
      </w:r>
      <w:r w:rsidRPr="00B7582D">
        <w:tab/>
        <w:t>El hecho de formar parte del personal correccional constituye una circunstancia agravante en derecho penal, pues el func</w:t>
      </w:r>
      <w:r w:rsidR="00140D4F">
        <w:t xml:space="preserve">ionario acusado es considerado </w:t>
      </w:r>
      <w:r w:rsidR="004E2BB7">
        <w:t>“</w:t>
      </w:r>
      <w:r w:rsidRPr="00B7582D">
        <w:t>d</w:t>
      </w:r>
      <w:r w:rsidR="00140D4F">
        <w:t>epositario de autoridad pública</w:t>
      </w:r>
      <w:r w:rsidR="004E2BB7">
        <w:t>”</w:t>
      </w:r>
      <w:r w:rsidRPr="00B7582D">
        <w:rPr>
          <w:vertAlign w:val="superscript"/>
          <w:lang w:val="fr-FR"/>
        </w:rPr>
        <w:footnoteReference w:id="86"/>
      </w:r>
      <w:r w:rsidRPr="00B7582D">
        <w:t>. Las denuncias de actos de violencia cometidos por el personal correccional son objeto de un examen particularmente minucioso por la autoridad judicial, que recibe numerosas quejas de detenidos, a menudo transmitidas por correo y no circunstanciadas. En los casos de denuncia grave, la investigación es efectuada por un servicio especializado en razón del rango de los acusados. En algunos casos se puede abrir un sumario para, entre otras cosas, pedir la prohibición de ejercer la actividad profesional en el marco de la cual habrían tenido lugar los hechos denunciados. En esos casos, la autoridad judicial se pone en contacto con la institución penitenciaria a fin de asegurarse de que haya un intercambio de información a lo largo de todo el procedimiento.</w:t>
      </w:r>
    </w:p>
    <w:p w:rsidR="00B7582D" w:rsidRPr="00B7582D" w:rsidRDefault="00B7582D" w:rsidP="00B7582D">
      <w:pPr>
        <w:pStyle w:val="SingleTxtG"/>
      </w:pPr>
      <w:r w:rsidRPr="00B7582D">
        <w:lastRenderedPageBreak/>
        <w:t>129.</w:t>
      </w:r>
      <w:r w:rsidRPr="00B7582D">
        <w:tab/>
        <w:t>Los detenidos pueden formular una denuncia en sobre sellado dirigido a las autoridades competentes.</w:t>
      </w:r>
    </w:p>
    <w:p w:rsidR="00B7582D" w:rsidRPr="00B7582D" w:rsidRDefault="00140D4F" w:rsidP="00140D4F">
      <w:pPr>
        <w:pStyle w:val="H1G"/>
      </w:pPr>
      <w:r>
        <w:tab/>
      </w:r>
      <w:r w:rsidR="00B7582D" w:rsidRPr="00B7582D">
        <w:tab/>
        <w:t>Cuestión 18</w:t>
      </w:r>
    </w:p>
    <w:p w:rsidR="00B7582D" w:rsidRPr="00B7582D" w:rsidRDefault="00140D4F" w:rsidP="00140D4F">
      <w:pPr>
        <w:pStyle w:val="H23G"/>
      </w:pPr>
      <w:r>
        <w:tab/>
      </w:r>
      <w:r w:rsidR="00B7582D" w:rsidRPr="00B7582D">
        <w:tab/>
        <w:t xml:space="preserve">Medidas para mejorar la investigación de denuncias de malos tratos </w:t>
      </w:r>
    </w:p>
    <w:p w:rsidR="00B7582D" w:rsidRPr="00B7582D" w:rsidRDefault="00B7582D" w:rsidP="00B7582D">
      <w:pPr>
        <w:pStyle w:val="SingleTxtG"/>
      </w:pPr>
      <w:r w:rsidRPr="00B7582D">
        <w:t>130.</w:t>
      </w:r>
      <w:r w:rsidRPr="00B7582D">
        <w:tab/>
        <w:t xml:space="preserve">Cuando comienza una investigación o un sumario judicial, el </w:t>
      </w:r>
      <w:r w:rsidR="00084A28" w:rsidRPr="00B7582D">
        <w:t>fiscal</w:t>
      </w:r>
      <w:r w:rsidRPr="00B7582D">
        <w:t xml:space="preserve"> o el juez de instrucción puede pedir a los investigadores que hagan todo lo necesario para constatar la verdad y se asegura de que la investigación se lleve debidamente a cabo y de que se observen las disposiciones del Código de Procedimiento Penal.</w:t>
      </w:r>
    </w:p>
    <w:p w:rsidR="00B7582D" w:rsidRPr="00B7582D" w:rsidRDefault="00B7582D" w:rsidP="00B7582D">
      <w:pPr>
        <w:pStyle w:val="SingleTxtG"/>
      </w:pPr>
      <w:r w:rsidRPr="00B7582D">
        <w:t>131.</w:t>
      </w:r>
      <w:r w:rsidRPr="00B7582D">
        <w:tab/>
        <w:t xml:space="preserve">Al terminar una investigación, el </w:t>
      </w:r>
      <w:r w:rsidR="00084A28" w:rsidRPr="00B7582D">
        <w:t>fiscal</w:t>
      </w:r>
      <w:r w:rsidRPr="00B7582D">
        <w:t xml:space="preserve"> decide por sí solo qué curso se le ha de dar</w:t>
      </w:r>
      <w:r w:rsidRPr="00B7582D">
        <w:rPr>
          <w:vertAlign w:val="superscript"/>
          <w:lang w:val="fr-FR"/>
        </w:rPr>
        <w:footnoteReference w:id="87"/>
      </w:r>
      <w:r w:rsidRPr="00B7582D">
        <w:t>, que puede consistir en iniciar un procedimiento, recurrir a un procedimiento alternativo o archivar la causa sin más trámite.</w:t>
      </w:r>
    </w:p>
    <w:p w:rsidR="00B7582D" w:rsidRPr="00B7582D" w:rsidRDefault="00B7582D" w:rsidP="00B7582D">
      <w:pPr>
        <w:pStyle w:val="SingleTxtG"/>
      </w:pPr>
      <w:r w:rsidRPr="00B7582D">
        <w:t>132.</w:t>
      </w:r>
      <w:r w:rsidRPr="00B7582D">
        <w:tab/>
        <w:t>El nuevo artículo 30 del Código de Procedimiento Penal</w:t>
      </w:r>
      <w:r w:rsidRPr="00B7582D">
        <w:rPr>
          <w:vertAlign w:val="superscript"/>
          <w:lang w:val="fr-FR"/>
        </w:rPr>
        <w:footnoteReference w:id="88"/>
      </w:r>
      <w:r w:rsidRPr="00B7582D">
        <w:t xml:space="preserve"> precisa a este respecto que el Ministro de Justicia no puede impartir instrucción alguna en casos individuales.</w:t>
      </w:r>
    </w:p>
    <w:p w:rsidR="00B7582D" w:rsidRPr="00B7582D" w:rsidRDefault="00B7582D" w:rsidP="00B7582D">
      <w:pPr>
        <w:pStyle w:val="SingleTxtG"/>
      </w:pPr>
      <w:r w:rsidRPr="00B7582D">
        <w:t>133.</w:t>
      </w:r>
      <w:r w:rsidRPr="00B7582D">
        <w:tab/>
        <w:t>Cualquiera que sea su decisión, el fiscal la comunica a los denunciantes o las víctimas. Cuando decide proceder al archivo sin más trámite, debe indicar las razones jurídicas o de oportunidad que lo justifican y los denunciantes o las víctimas pueden interponer un recurso ante él</w:t>
      </w:r>
      <w:r w:rsidRPr="00B7582D">
        <w:rPr>
          <w:vertAlign w:val="superscript"/>
          <w:lang w:val="fr-FR"/>
        </w:rPr>
        <w:footnoteReference w:id="89"/>
      </w:r>
      <w:r w:rsidRPr="00B7582D">
        <w:t>. Pueden también recurrir por sí mismos ante los tribunales mediante una citación directa o ante un juez de instrucción mediante la presentación de una demanda y la constitución en parte civil.</w:t>
      </w:r>
    </w:p>
    <w:p w:rsidR="00B7582D" w:rsidRPr="00B7582D" w:rsidRDefault="00B7582D" w:rsidP="00B7582D">
      <w:pPr>
        <w:pStyle w:val="SingleTxtG"/>
      </w:pPr>
      <w:r w:rsidRPr="00B7582D">
        <w:t>134.</w:t>
      </w:r>
      <w:r w:rsidRPr="00B7582D">
        <w:tab/>
        <w:t>En caso de procedimiento judicial, los policías o gendarmes pueden ser sancionados con cualquiera de las penas impuestas por el delito que se haya cometido y la calidad de depositario de la autoridad pública del autor constituye una circunstancia agravante de la pena.</w:t>
      </w:r>
    </w:p>
    <w:p w:rsidR="00B7582D" w:rsidRPr="00B7582D" w:rsidRDefault="00140D4F" w:rsidP="00140D4F">
      <w:pPr>
        <w:pStyle w:val="H23G"/>
      </w:pPr>
      <w:r>
        <w:tab/>
      </w:r>
      <w:r w:rsidR="00B7582D" w:rsidRPr="00B7582D">
        <w:tab/>
        <w:t xml:space="preserve">Investigación relativa a las denuncias de empleo excesivo de la fuerza </w:t>
      </w:r>
      <w:r>
        <w:br/>
      </w:r>
      <w:r w:rsidR="00B7582D" w:rsidRPr="00B7582D">
        <w:t xml:space="preserve">contra los migrantes y los solicitantes de asilo en Calais </w:t>
      </w:r>
    </w:p>
    <w:p w:rsidR="00B7582D" w:rsidRPr="00B7582D" w:rsidRDefault="00B7582D" w:rsidP="00B7582D">
      <w:pPr>
        <w:pStyle w:val="SingleTxtG"/>
      </w:pPr>
      <w:r w:rsidRPr="00B7582D">
        <w:t>135.</w:t>
      </w:r>
      <w:r w:rsidRPr="00B7582D">
        <w:tab/>
        <w:t>La IGPN o la división de deontología de la policía local comenzaron sistemáticamente a efectuar diligencias a raíz de las denuncias de violencia policial contra migrantes (ocho en total). Una de las ocho denuncias culminó el 23 de noviembre de 2015 con la sentencia condenatoria a una pena de tres meses d</w:t>
      </w:r>
      <w:r w:rsidR="00140D4F">
        <w:t>e presidio y una multa de 1.000 </w:t>
      </w:r>
      <w:r w:rsidRPr="00B7582D">
        <w:t>euros dictada por un tribunal correccional contra un agente de policía por violencia con circunstancias agravantes</w:t>
      </w:r>
      <w:r w:rsidRPr="00B7582D">
        <w:rPr>
          <w:vertAlign w:val="superscript"/>
          <w:lang w:val="fr-FR"/>
        </w:rPr>
        <w:footnoteReference w:id="90"/>
      </w:r>
      <w:r w:rsidRPr="00B7582D">
        <w:t>. Como resultado de otra, el mismo tribunal condenó el 24 de junio de 2014 a un inmigrante albanés a una pena de tres meses de presidio con remisión condicional por denuncia calumniosa; otras tres denuncias han sido archivadas sin más trámite, dos están en proceso de examen en la Fiscalía y la última se encuentra aún en la fase de investigación.</w:t>
      </w:r>
    </w:p>
    <w:p w:rsidR="00B7582D" w:rsidRPr="00B7582D" w:rsidRDefault="00B7582D" w:rsidP="00B7582D">
      <w:pPr>
        <w:pStyle w:val="SingleTxtG"/>
      </w:pPr>
      <w:r w:rsidRPr="00B7582D">
        <w:t>136.</w:t>
      </w:r>
      <w:r w:rsidRPr="00B7582D">
        <w:tab/>
        <w:t xml:space="preserve">Paralelamente a este procedimiento judicial, se sigue llevando a cabo </w:t>
      </w:r>
      <w:r w:rsidR="009B3466" w:rsidRPr="00B7582D">
        <w:t>una</w:t>
      </w:r>
      <w:r w:rsidRPr="00B7582D">
        <w:t xml:space="preserve"> investigación administrativa con miras a entablar un procedimiento disciplinario.</w:t>
      </w:r>
    </w:p>
    <w:p w:rsidR="00B7582D" w:rsidRPr="00B7582D" w:rsidRDefault="00B7582D" w:rsidP="00B7582D">
      <w:pPr>
        <w:pStyle w:val="SingleTxtG"/>
      </w:pPr>
      <w:r w:rsidRPr="00B7582D">
        <w:lastRenderedPageBreak/>
        <w:t>137.</w:t>
      </w:r>
      <w:r w:rsidRPr="00B7582D">
        <w:tab/>
        <w:t>Por último, cabe recordar que la sala de instrucción y el Fiscal General tienen atribuciones de fiscalización y control de la policía judicial</w:t>
      </w:r>
      <w:r w:rsidRPr="00B7582D">
        <w:rPr>
          <w:vertAlign w:val="superscript"/>
          <w:lang w:val="fr-FR"/>
        </w:rPr>
        <w:footnoteReference w:id="91"/>
      </w:r>
      <w:r w:rsidRPr="00B7582D">
        <w:t>.</w:t>
      </w:r>
    </w:p>
    <w:p w:rsidR="00B7582D" w:rsidRPr="00B7582D" w:rsidRDefault="00140D4F" w:rsidP="00140D4F">
      <w:pPr>
        <w:pStyle w:val="H1G"/>
      </w:pPr>
      <w:r>
        <w:tab/>
      </w:r>
      <w:r w:rsidR="00B7582D" w:rsidRPr="00B7582D">
        <w:tab/>
        <w:t>Cuestión 19</w:t>
      </w:r>
    </w:p>
    <w:p w:rsidR="00B7582D" w:rsidRPr="00B7582D" w:rsidRDefault="00140D4F" w:rsidP="00140D4F">
      <w:pPr>
        <w:pStyle w:val="H23G"/>
      </w:pPr>
      <w:r>
        <w:tab/>
      </w:r>
      <w:r w:rsidR="00B7582D" w:rsidRPr="00B7582D">
        <w:tab/>
        <w:t xml:space="preserve">Mecanismos judiciales de protección de las víctimas y de reparación </w:t>
      </w:r>
    </w:p>
    <w:p w:rsidR="00B7582D" w:rsidRPr="00B7582D" w:rsidRDefault="00B7582D" w:rsidP="00B7582D">
      <w:pPr>
        <w:pStyle w:val="SingleTxtG"/>
        <w:rPr>
          <w:bCs/>
        </w:rPr>
      </w:pPr>
      <w:r w:rsidRPr="00B7582D">
        <w:rPr>
          <w:bCs/>
        </w:rPr>
        <w:t>138.</w:t>
      </w:r>
      <w:r w:rsidRPr="00B7582D">
        <w:rPr>
          <w:bCs/>
        </w:rPr>
        <w:tab/>
        <w:t>Además de la regularización administrativa de las víctimas y los testigos de actos de trata de seres humanos y de las indemnizaciones concedidas en este contexto, las víctimas en situación especialmente vulnerable pueden acogerse a normas de derecho común</w:t>
      </w:r>
      <w:r w:rsidRPr="00B7582D">
        <w:rPr>
          <w:vertAlign w:val="superscript"/>
          <w:lang w:val="fr-FR"/>
        </w:rPr>
        <w:footnoteReference w:id="92"/>
      </w:r>
      <w:r w:rsidRPr="00B7582D">
        <w:rPr>
          <w:bCs/>
        </w:rPr>
        <w:t>. La MIPROF</w:t>
      </w:r>
      <w:r w:rsidRPr="00B7582D">
        <w:rPr>
          <w:vertAlign w:val="superscript"/>
          <w:lang w:val="fr-FR"/>
        </w:rPr>
        <w:footnoteReference w:id="93"/>
      </w:r>
      <w:r w:rsidRPr="00B7582D">
        <w:rPr>
          <w:bCs/>
        </w:rPr>
        <w:t xml:space="preserve"> tiene a su cargo la coordinación nacional de la lucha contra la trata de seres humanos y la dirección de las actividades realizadas en el marco del plan de acción nacional contra la trata (2014-2016).</w:t>
      </w:r>
    </w:p>
    <w:p w:rsidR="00B7582D" w:rsidRPr="00B7582D" w:rsidRDefault="00B7582D" w:rsidP="00B7582D">
      <w:pPr>
        <w:pStyle w:val="SingleTxtG"/>
        <w:rPr>
          <w:bCs/>
        </w:rPr>
      </w:pPr>
      <w:r w:rsidRPr="00B7582D">
        <w:rPr>
          <w:bCs/>
        </w:rPr>
        <w:t>139.</w:t>
      </w:r>
      <w:r w:rsidRPr="00B7582D">
        <w:rPr>
          <w:bCs/>
        </w:rPr>
        <w:tab/>
        <w:t>El Código de Procedimiento Penal</w:t>
      </w:r>
      <w:r w:rsidRPr="00B7582D">
        <w:rPr>
          <w:vertAlign w:val="superscript"/>
          <w:lang w:val="fr-FR"/>
        </w:rPr>
        <w:footnoteReference w:id="94"/>
      </w:r>
      <w:r w:rsidRPr="00B7582D">
        <w:rPr>
          <w:bCs/>
        </w:rPr>
        <w:t xml:space="preserve"> dispone ahora que se haga una evaluación personalizada de las víctimas a fin de determinar si necesitan medidas especiales de protección en el curso del procedimiento penal. La autoridad que lleva a cabo la audiencia recoge los primeros elementos para esta evaluación que, previo acuerdo de la autoridad judicial, puede ser muy detallada. De ser necesario, el </w:t>
      </w:r>
      <w:r w:rsidR="00084A28" w:rsidRPr="00B7582D">
        <w:rPr>
          <w:bCs/>
        </w:rPr>
        <w:t>Fiscal</w:t>
      </w:r>
      <w:r w:rsidRPr="00B7582D">
        <w:rPr>
          <w:bCs/>
        </w:rPr>
        <w:t xml:space="preserve"> de la República o el juez de instrucción </w:t>
      </w:r>
      <w:proofErr w:type="gramStart"/>
      <w:r w:rsidRPr="00B7582D">
        <w:rPr>
          <w:bCs/>
        </w:rPr>
        <w:t>pide</w:t>
      </w:r>
      <w:proofErr w:type="gramEnd"/>
      <w:r w:rsidRPr="00B7582D">
        <w:rPr>
          <w:bCs/>
        </w:rPr>
        <w:t xml:space="preserve"> que intervenga una asociación de ayuda a las víctimas.</w:t>
      </w:r>
    </w:p>
    <w:p w:rsidR="00B7582D" w:rsidRPr="00B7582D" w:rsidRDefault="00B7582D" w:rsidP="00B7582D">
      <w:pPr>
        <w:pStyle w:val="SingleTxtG"/>
        <w:rPr>
          <w:bCs/>
        </w:rPr>
      </w:pPr>
      <w:r w:rsidRPr="00B7582D">
        <w:rPr>
          <w:bCs/>
        </w:rPr>
        <w:t>140.</w:t>
      </w:r>
      <w:r w:rsidRPr="00B7582D">
        <w:rPr>
          <w:bCs/>
        </w:rPr>
        <w:tab/>
        <w:t>Las víctimas de hechos que hayan causado la muerte; una incapacidad permanente parcial o una incapacidad temporal para trabajar de un mes de duración o más; de agresiones sexuales; de atentados sexuales contra menores; esclavitud ; trata de seres humanos, especialmente cuando incluyen actos de tortura o de barbarie; de trabajos forzados o de esclavitud tienen derecho a un resarcimiento total de los daños y perjuicios causados por estos atentados contra la persona siempre que tengan nacionalidad francesa y los hechos hayan tenido lugar en Francia</w:t>
      </w:r>
      <w:r w:rsidRPr="00B7582D">
        <w:rPr>
          <w:vertAlign w:val="superscript"/>
          <w:lang w:val="fr-FR"/>
        </w:rPr>
        <w:footnoteReference w:id="95"/>
      </w:r>
      <w:r w:rsidRPr="00B7582D">
        <w:t>.</w:t>
      </w:r>
    </w:p>
    <w:p w:rsidR="00B7582D" w:rsidRPr="00B7582D" w:rsidRDefault="00B7582D" w:rsidP="00B7582D">
      <w:pPr>
        <w:pStyle w:val="SingleTxtG"/>
        <w:rPr>
          <w:bCs/>
        </w:rPr>
      </w:pPr>
      <w:r w:rsidRPr="00B7582D">
        <w:rPr>
          <w:bCs/>
        </w:rPr>
        <w:t>141.</w:t>
      </w:r>
      <w:r w:rsidRPr="00B7582D">
        <w:rPr>
          <w:bCs/>
        </w:rPr>
        <w:tab/>
        <w:t>En un proyecto de ley que se ha de presentar próximamente al Parlamento y que obedece al propósito de intensificar la lucha contra la delincuencia organizada y su financiación, así como aumentar la eficacia y las garantías del procedimiento penal, se propone establecer un mecanismo permanente de protección de las víctimas o de los testigos que declaren en el curso de un procedimiento judicial, especialmente por actos de tortura o de barbarie</w:t>
      </w:r>
      <w:r w:rsidRPr="00B7582D">
        <w:t>.</w:t>
      </w:r>
    </w:p>
    <w:p w:rsidR="00B7582D" w:rsidRPr="00B7582D" w:rsidRDefault="00140D4F" w:rsidP="00140D4F">
      <w:pPr>
        <w:pStyle w:val="H23G"/>
      </w:pPr>
      <w:r>
        <w:tab/>
      </w:r>
      <w:r w:rsidR="00B7582D" w:rsidRPr="00B7582D">
        <w:tab/>
        <w:t xml:space="preserve">Mecanismos extrajudiciales de protección y rehabilitación de las víctimas </w:t>
      </w:r>
    </w:p>
    <w:p w:rsidR="00B7582D" w:rsidRPr="00B7582D" w:rsidRDefault="00B7582D" w:rsidP="00B7582D">
      <w:pPr>
        <w:pStyle w:val="SingleTxtG"/>
      </w:pPr>
      <w:r w:rsidRPr="00B7582D">
        <w:t>142.</w:t>
      </w:r>
      <w:r w:rsidRPr="00B7582D">
        <w:tab/>
        <w:t>Las víctimas pueden recibir de juristas y de psicólogos miembros de asociaciones de mandato amplio una asistencia adaptada a su situación. A este respecto, se observa una profesionalización cada vez mayor de la red de asociaciones de ayuda a las víctimas.</w:t>
      </w:r>
    </w:p>
    <w:p w:rsidR="00B7582D" w:rsidRPr="00B7582D" w:rsidRDefault="00B7582D" w:rsidP="00B7582D">
      <w:pPr>
        <w:pStyle w:val="SingleTxtG"/>
      </w:pPr>
      <w:r w:rsidRPr="00B7582D">
        <w:lastRenderedPageBreak/>
        <w:t>143.</w:t>
      </w:r>
      <w:r w:rsidRPr="00B7582D">
        <w:tab/>
        <w:t>Por otra parte, desde hace varios años el Ministerio de Justicia subvenciona a varias asociaciones especializadas que se hacen cargo de víctimas de la trata de seres humanos o de actos de tortura</w:t>
      </w:r>
      <w:r w:rsidRPr="00B7582D">
        <w:rPr>
          <w:vertAlign w:val="superscript"/>
          <w:lang w:val="fr-FR"/>
        </w:rPr>
        <w:footnoteReference w:id="96"/>
      </w:r>
      <w:r w:rsidRPr="00B7582D">
        <w:rPr>
          <w:bCs/>
        </w:rPr>
        <w:t>.</w:t>
      </w:r>
    </w:p>
    <w:p w:rsidR="00B7582D" w:rsidRPr="00B7582D" w:rsidRDefault="00140D4F" w:rsidP="00140D4F">
      <w:pPr>
        <w:pStyle w:val="H23G"/>
      </w:pPr>
      <w:r>
        <w:tab/>
      </w:r>
      <w:r w:rsidR="00B7582D" w:rsidRPr="00B7582D">
        <w:tab/>
        <w:t xml:space="preserve">Solicitudes de reparación, beneficiarios y autoridad competente para concederla </w:t>
      </w:r>
    </w:p>
    <w:p w:rsidR="00B7582D" w:rsidRPr="00B7582D" w:rsidRDefault="00B7582D" w:rsidP="00B7582D">
      <w:pPr>
        <w:pStyle w:val="SingleTxtG"/>
      </w:pPr>
      <w:r w:rsidRPr="00B7582D">
        <w:t>144.</w:t>
      </w:r>
      <w:r w:rsidRPr="00B7582D">
        <w:tab/>
        <w:t>Al 1 de enero de 2016 existen en tribunales correccionales y tribunales de primera instancia 160 oficinas de asistencia a las víctimas y el número de personas que ha recurrido a sus servicios ha aumentado regularmente desde que fueron establecidas en 2009 hasta llegar a 74.980 en 2014. En la próxima ley de hacienda se incluirá un indicador de seguimiento del número de víctimas atendidas por estas oficinas en relación con el número total de víctimas en las causas penales de que conocen los tribunales correccionales. El objetivo consiste en aumentar gradualmente esta proporción.</w:t>
      </w:r>
    </w:p>
    <w:p w:rsidR="00B7582D" w:rsidRPr="00B7582D" w:rsidRDefault="00140D4F" w:rsidP="00140D4F">
      <w:pPr>
        <w:pStyle w:val="H1G"/>
      </w:pPr>
      <w:r>
        <w:tab/>
      </w:r>
      <w:r w:rsidR="00B7582D" w:rsidRPr="00B7582D">
        <w:tab/>
        <w:t>Cuestión 20</w:t>
      </w:r>
    </w:p>
    <w:p w:rsidR="00B7582D" w:rsidRPr="00B7582D" w:rsidRDefault="00B7582D" w:rsidP="00B7582D">
      <w:pPr>
        <w:pStyle w:val="SingleTxtG"/>
      </w:pPr>
      <w:r w:rsidRPr="00B7582D">
        <w:t>145.</w:t>
      </w:r>
      <w:r w:rsidRPr="00B7582D">
        <w:tab/>
        <w:t>En numerosas causas se ha hecho valer el artículo 15 de la Convención para impugnar la entrega de sospechosos de terrorismo a autoridades extranjeras en razón de que los cargos contra la persona requerida se fundan en testimonios obtenidos mediante tortura.</w:t>
      </w:r>
    </w:p>
    <w:p w:rsidR="00B7582D" w:rsidRPr="00B7582D" w:rsidRDefault="00B7582D" w:rsidP="00B7582D">
      <w:pPr>
        <w:pStyle w:val="SingleTxtG"/>
      </w:pPr>
      <w:r w:rsidRPr="00B7582D">
        <w:t>146.</w:t>
      </w:r>
      <w:r w:rsidRPr="00B7582D">
        <w:tab/>
        <w:t>Las instancias judiciales y administrativas se han asegurado de que los cargos contra el requerido no se hayan obtenido en la práctica en condiciones contrarias a las disposiciones de ese artículo.</w:t>
      </w:r>
    </w:p>
    <w:p w:rsidR="00B7582D" w:rsidRPr="00B7582D" w:rsidRDefault="00B7582D" w:rsidP="00B7582D">
      <w:pPr>
        <w:pStyle w:val="SingleTxtG"/>
      </w:pPr>
      <w:r w:rsidRPr="00B7582D">
        <w:t>147.</w:t>
      </w:r>
      <w:r w:rsidRPr="00B7582D">
        <w:tab/>
        <w:t>De esta manera, la jurisprudencia permite conciliar el procedimiento de entrega a un Estado extranjero con las exigencias de los derechos fundamentales.</w:t>
      </w:r>
    </w:p>
    <w:p w:rsidR="00B7582D" w:rsidRPr="00B7582D" w:rsidRDefault="00B7582D" w:rsidP="00B7582D">
      <w:pPr>
        <w:pStyle w:val="SingleTxtG"/>
      </w:pPr>
      <w:r w:rsidRPr="00B7582D">
        <w:t>148.</w:t>
      </w:r>
      <w:r w:rsidRPr="00B7582D">
        <w:tab/>
        <w:t>No obstante, según la jurisprudencia del Tribunal de Casación y del Consejo de Estado no procede negarse a la entrega cuando no hay más que una denuncia, sin indicio alguno de prueba, de que se han utilizado procedimientos proscritos.</w:t>
      </w:r>
    </w:p>
    <w:p w:rsidR="00B7582D" w:rsidRPr="00B7582D" w:rsidRDefault="00B7582D" w:rsidP="00140D4F">
      <w:pPr>
        <w:pStyle w:val="H1G"/>
      </w:pPr>
      <w:r w:rsidRPr="00B7582D">
        <w:tab/>
      </w:r>
      <w:r w:rsidR="00140D4F">
        <w:tab/>
      </w:r>
      <w:r w:rsidRPr="00B7582D">
        <w:t>Cuestión 21</w:t>
      </w:r>
    </w:p>
    <w:p w:rsidR="00B7582D" w:rsidRPr="00B7582D" w:rsidRDefault="00B7582D" w:rsidP="00B7582D">
      <w:pPr>
        <w:pStyle w:val="SingleTxtG"/>
        <w:rPr>
          <w:iCs/>
        </w:rPr>
      </w:pPr>
      <w:r w:rsidRPr="00B7582D">
        <w:rPr>
          <w:iCs/>
        </w:rPr>
        <w:t>149.</w:t>
      </w:r>
      <w:r w:rsidRPr="00B7582D">
        <w:rPr>
          <w:iCs/>
        </w:rPr>
        <w:tab/>
        <w:t>En el informe que presentó en diciembre de 2015, la Comisión sobre la Reforma de las Penas</w:t>
      </w:r>
      <w:r w:rsidRPr="00B7582D">
        <w:rPr>
          <w:vertAlign w:val="superscript"/>
          <w:lang w:val="fr-FR"/>
        </w:rPr>
        <w:footnoteReference w:id="97"/>
      </w:r>
      <w:r w:rsidRPr="00B7582D">
        <w:rPr>
          <w:iCs/>
        </w:rPr>
        <w:t xml:space="preserve"> observaba que el internamiento en un centro de seguridad y el control judicial se aplicaban con muy poca frecuencia y era difícil evaluar su verdadero efecto. Esta Comisión recomendó que se supr</w:t>
      </w:r>
      <w:r w:rsidR="004E2BB7">
        <w:rPr>
          <w:iCs/>
        </w:rPr>
        <w:t xml:space="preserve">imieran, particularmente </w:t>
      </w:r>
      <w:proofErr w:type="spellStart"/>
      <w:r w:rsidR="004E2BB7">
        <w:rPr>
          <w:iCs/>
        </w:rPr>
        <w:t>por que</w:t>
      </w:r>
      <w:proofErr w:type="spellEnd"/>
      <w:r w:rsidRPr="00B7582D">
        <w:rPr>
          <w:iCs/>
        </w:rPr>
        <w:t xml:space="preserve"> su naturaleza jurídica no era clara. A juicio de la Comisión, medidas de característica jurídica más claras, como el seguimiento </w:t>
      </w:r>
      <w:proofErr w:type="spellStart"/>
      <w:r w:rsidRPr="00B7582D">
        <w:rPr>
          <w:iCs/>
        </w:rPr>
        <w:t>sociojudicial</w:t>
      </w:r>
      <w:proofErr w:type="spellEnd"/>
      <w:r w:rsidRPr="00B7582D">
        <w:rPr>
          <w:iCs/>
        </w:rPr>
        <w:t xml:space="preserve">, el registro judicial informatizado de autores de delitos sexuales o de violencia y la vigilancia judicial </w:t>
      </w:r>
      <w:r w:rsidR="00140D4F" w:rsidRPr="00B7582D">
        <w:rPr>
          <w:iCs/>
        </w:rPr>
        <w:t>obedecía</w:t>
      </w:r>
      <w:r w:rsidRPr="00B7582D">
        <w:rPr>
          <w:iCs/>
        </w:rPr>
        <w:t xml:space="preserve"> a los mismos propósitos y podrían volver a definirse para sustituirlas. El objetivo consiste en evitar que la gente salga de la cárcel sin contar con una estructura ni con asistencia y en promover medidas que sirvan para reducir el peligro de reincidencia.</w:t>
      </w:r>
    </w:p>
    <w:p w:rsidR="00B7582D" w:rsidRPr="00B7582D" w:rsidRDefault="00B7582D" w:rsidP="00B7582D">
      <w:pPr>
        <w:pStyle w:val="SingleTxtG"/>
        <w:rPr>
          <w:iCs/>
        </w:rPr>
      </w:pPr>
      <w:r w:rsidRPr="00B7582D">
        <w:rPr>
          <w:iCs/>
        </w:rPr>
        <w:t>150.</w:t>
      </w:r>
      <w:r w:rsidRPr="00B7582D">
        <w:rPr>
          <w:iCs/>
        </w:rPr>
        <w:tab/>
        <w:t xml:space="preserve">Al mismo tiempo, la Comisión propone volver a definir la pena de seguimiento </w:t>
      </w:r>
      <w:proofErr w:type="spellStart"/>
      <w:r w:rsidRPr="00B7582D">
        <w:rPr>
          <w:iCs/>
        </w:rPr>
        <w:t>sociojudicial</w:t>
      </w:r>
      <w:proofErr w:type="spellEnd"/>
      <w:r w:rsidRPr="00B7582D">
        <w:rPr>
          <w:iCs/>
        </w:rPr>
        <w:t xml:space="preserve"> a fin de ampliar su ámbito de aplicación y reemplazar la vigilanc</w:t>
      </w:r>
      <w:r w:rsidR="004E2BB7">
        <w:rPr>
          <w:iCs/>
        </w:rPr>
        <w:t>ia judicial por una medida de “</w:t>
      </w:r>
      <w:r w:rsidRPr="00B7582D">
        <w:rPr>
          <w:iCs/>
        </w:rPr>
        <w:t>puesta en libertad bajo control</w:t>
      </w:r>
      <w:r w:rsidR="004E2BB7">
        <w:rPr>
          <w:iCs/>
        </w:rPr>
        <w:t>”</w:t>
      </w:r>
      <w:r w:rsidRPr="00B7582D">
        <w:rPr>
          <w:iCs/>
        </w:rPr>
        <w:t>.</w:t>
      </w:r>
    </w:p>
    <w:p w:rsidR="00B7582D" w:rsidRPr="00B7582D" w:rsidRDefault="00B7582D" w:rsidP="00B7582D">
      <w:pPr>
        <w:pStyle w:val="SingleTxtG"/>
        <w:rPr>
          <w:iCs/>
        </w:rPr>
      </w:pPr>
      <w:r w:rsidRPr="00B7582D">
        <w:rPr>
          <w:iCs/>
        </w:rPr>
        <w:t>151.</w:t>
      </w:r>
      <w:r w:rsidRPr="00B7582D">
        <w:rPr>
          <w:iCs/>
        </w:rPr>
        <w:tab/>
        <w:t xml:space="preserve">En cada una de las conclusiones del informe se pasa revista minuciosamente al seguimiento de que pueden ser objeto a plazo más o menos largo. El Ministerio de Justicia ha pedido que el informe sea publicado por </w:t>
      </w:r>
      <w:proofErr w:type="spellStart"/>
      <w:r w:rsidRPr="00B7582D">
        <w:rPr>
          <w:i/>
          <w:iCs/>
        </w:rPr>
        <w:t>Documentation</w:t>
      </w:r>
      <w:proofErr w:type="spellEnd"/>
      <w:r w:rsidRPr="00B7582D">
        <w:rPr>
          <w:i/>
          <w:iCs/>
        </w:rPr>
        <w:t xml:space="preserve"> </w:t>
      </w:r>
      <w:proofErr w:type="spellStart"/>
      <w:r w:rsidRPr="00B7582D">
        <w:rPr>
          <w:i/>
          <w:iCs/>
        </w:rPr>
        <w:t>française</w:t>
      </w:r>
      <w:proofErr w:type="spellEnd"/>
      <w:r w:rsidRPr="00B7582D">
        <w:rPr>
          <w:iCs/>
        </w:rPr>
        <w:t>.</w:t>
      </w:r>
    </w:p>
    <w:p w:rsidR="00B7582D" w:rsidRPr="00B7582D" w:rsidRDefault="00140D4F" w:rsidP="00140D4F">
      <w:pPr>
        <w:pStyle w:val="H1G"/>
      </w:pPr>
      <w:r>
        <w:lastRenderedPageBreak/>
        <w:tab/>
      </w:r>
      <w:r w:rsidR="00B7582D" w:rsidRPr="00B7582D">
        <w:tab/>
        <w:t>Cuestión 22</w:t>
      </w:r>
    </w:p>
    <w:p w:rsidR="00B7582D" w:rsidRPr="00B7582D" w:rsidRDefault="00B7582D" w:rsidP="00140D4F">
      <w:pPr>
        <w:pStyle w:val="H23G"/>
      </w:pPr>
      <w:r w:rsidRPr="00B7582D">
        <w:tab/>
      </w:r>
      <w:r w:rsidR="00140D4F">
        <w:tab/>
      </w:r>
      <w:r w:rsidRPr="00B7582D">
        <w:t>Utilización de medios de detección por equipos electrónicos</w:t>
      </w:r>
    </w:p>
    <w:p w:rsidR="00B7582D" w:rsidRPr="00B7582D" w:rsidRDefault="00B7582D" w:rsidP="00B7582D">
      <w:pPr>
        <w:pStyle w:val="SingleTxtG"/>
      </w:pPr>
      <w:r w:rsidRPr="00B7582D">
        <w:t>152</w:t>
      </w:r>
      <w:r w:rsidR="004E2BB7">
        <w:t>.</w:t>
      </w:r>
      <w:r w:rsidR="004E2BB7">
        <w:tab/>
        <w:t>La administración penitenciari</w:t>
      </w:r>
      <w:r w:rsidRPr="00B7582D">
        <w:t xml:space="preserve">a ha debido hacer frente en los últimos años a un considerable aumento del número de objetos introducidos ilícitamente en los establecimientos correccionales (teléfonos móviles, estupefacientes, armas de diverso tipo, productos alimenticios…). Este fenómeno </w:t>
      </w:r>
      <w:proofErr w:type="gramStart"/>
      <w:r w:rsidRPr="00B7582D">
        <w:t>atenta</w:t>
      </w:r>
      <w:proofErr w:type="gramEnd"/>
      <w:r w:rsidRPr="00B7582D">
        <w:t xml:space="preserve"> contra la seguridad tanto de los funcionarios como de los detenidos al generar violencia, mafias o tráfico.</w:t>
      </w:r>
    </w:p>
    <w:p w:rsidR="00B7582D" w:rsidRPr="00B7582D" w:rsidRDefault="00B7582D" w:rsidP="00B7582D">
      <w:pPr>
        <w:pStyle w:val="SingleTxtG"/>
      </w:pPr>
      <w:r w:rsidRPr="00B7582D">
        <w:t>153.</w:t>
      </w:r>
      <w:r w:rsidRPr="00B7582D">
        <w:tab/>
        <w:t>La Ministra de Justicia anunció el 13 de junio de</w:t>
      </w:r>
      <w:r w:rsidR="00140D4F">
        <w:t xml:space="preserve"> 2013 que se habían asignado 33 </w:t>
      </w:r>
      <w:r w:rsidRPr="00B7582D">
        <w:t xml:space="preserve">millones de euros para un plan de acción destinado a reforzar la seguridad en las cárceles mediante dispositivos para prevenir el ingreso de paquetes desde el aire (dispositivos de seguridad perimétrica, </w:t>
      </w:r>
      <w:proofErr w:type="spellStart"/>
      <w:r w:rsidRPr="00B7582D">
        <w:t>videoprotección</w:t>
      </w:r>
      <w:proofErr w:type="spellEnd"/>
      <w:r w:rsidRPr="00B7582D">
        <w:t xml:space="preserve">, etc.), </w:t>
      </w:r>
      <w:r w:rsidR="00140D4F" w:rsidRPr="00B7582D">
        <w:t>escáneres</w:t>
      </w:r>
      <w:r w:rsidRPr="00B7582D">
        <w:t xml:space="preserve"> con ondas milimétricas en 20 establecimientos de alta seguridad, la instalación de 282 detectores de metal en zonas sensibles y de detectores manuales de metal (magnetómetros) en todos los establecimientos y la creación de unidades </w:t>
      </w:r>
      <w:proofErr w:type="spellStart"/>
      <w:r w:rsidRPr="00B7582D">
        <w:t>cinotécnicas</w:t>
      </w:r>
      <w:proofErr w:type="spellEnd"/>
      <w:r w:rsidRPr="00B7582D">
        <w:t>.</w:t>
      </w:r>
    </w:p>
    <w:p w:rsidR="00B7582D" w:rsidRPr="00B7582D" w:rsidRDefault="00B7582D" w:rsidP="00B7582D">
      <w:pPr>
        <w:pStyle w:val="SingleTxtG"/>
      </w:pPr>
      <w:r w:rsidRPr="00B7582D">
        <w:t>154.</w:t>
      </w:r>
      <w:r w:rsidRPr="00B7582D">
        <w:tab/>
        <w:t>En un anexo se encontrarán los detalles relativos a la asignación de fondos y las demás medidas adoptadas para aumentar la seguridad en los establecimientos penitenciarios</w:t>
      </w:r>
      <w:r w:rsidRPr="00B7582D">
        <w:rPr>
          <w:vertAlign w:val="superscript"/>
          <w:lang w:val="fr-FR"/>
        </w:rPr>
        <w:footnoteReference w:id="98"/>
      </w:r>
      <w:r w:rsidRPr="00B7582D">
        <w:t>.</w:t>
      </w:r>
    </w:p>
    <w:p w:rsidR="00B7582D" w:rsidRPr="00B7582D" w:rsidRDefault="00140D4F" w:rsidP="00140D4F">
      <w:pPr>
        <w:pStyle w:val="H23G"/>
      </w:pPr>
      <w:r>
        <w:tab/>
      </w:r>
      <w:r w:rsidR="00B7582D" w:rsidRPr="00B7582D">
        <w:tab/>
        <w:t>Registro corporal integral</w:t>
      </w:r>
    </w:p>
    <w:p w:rsidR="00B7582D" w:rsidRPr="00B7582D" w:rsidRDefault="00B7582D" w:rsidP="00B7582D">
      <w:pPr>
        <w:pStyle w:val="SingleTxtG"/>
      </w:pPr>
      <w:r w:rsidRPr="00B7582D">
        <w:t>155.</w:t>
      </w:r>
      <w:r w:rsidRPr="00B7582D">
        <w:tab/>
        <w:t>Como consecuencia de dos investigaciones que se llevaron a cabo en 2014 y 2015</w:t>
      </w:r>
      <w:r w:rsidRPr="00B7582D">
        <w:rPr>
          <w:vertAlign w:val="superscript"/>
          <w:lang w:val="fr-FR"/>
        </w:rPr>
        <w:footnoteReference w:id="99"/>
      </w:r>
      <w:r w:rsidR="00140D4F">
        <w:t xml:space="preserve">, </w:t>
      </w:r>
      <w:r w:rsidRPr="00B7582D">
        <w:t>se constató que el 38% de los detenidos que habían ido a locutorios en 2015 habían sido objeto de un registro corporal integral, en comparación con un 34% en 2014; por lo tanto, al parecer no se procede sistemáticamente a los registros de esta índole. El leve aumento constatado en 2015 puede explicarse por el hecho de que la investigación tuvo lugar en fechas cercanas a los atentados de principios de año.</w:t>
      </w:r>
    </w:p>
    <w:p w:rsidR="00B7582D" w:rsidRPr="00B7582D" w:rsidRDefault="00B7582D" w:rsidP="00B7582D">
      <w:pPr>
        <w:pStyle w:val="SingleTxtG"/>
      </w:pPr>
      <w:r w:rsidRPr="00B7582D">
        <w:t>156.</w:t>
      </w:r>
      <w:r w:rsidRPr="00B7582D">
        <w:tab/>
        <w:t>En la decisión de proceder al registro corporal también se tiene en cuenta la peligrosidad del detenido. A este respecto, el Min</w:t>
      </w:r>
      <w:r w:rsidR="00140D4F">
        <w:t>isterio de Justicia observa que</w:t>
      </w:r>
      <w:r w:rsidRPr="00B7582D">
        <w:t>:</w:t>
      </w:r>
    </w:p>
    <w:p w:rsidR="00B7582D" w:rsidRPr="00B7582D" w:rsidRDefault="00B7582D" w:rsidP="00140D4F">
      <w:pPr>
        <w:pStyle w:val="Bullet1G"/>
      </w:pPr>
      <w:r w:rsidRPr="00B7582D">
        <w:t>Los establecimientos en que se practican más registros corporales son las prisiones de alta seguridad y las que tienen pabellones de al</w:t>
      </w:r>
      <w:r w:rsidR="00140D4F">
        <w:t>ta seguridad (45% en febrero de </w:t>
      </w:r>
      <w:r w:rsidRPr="00B7582D">
        <w:t>2015) ;</w:t>
      </w:r>
    </w:p>
    <w:p w:rsidR="00B7582D" w:rsidRPr="00B7582D" w:rsidRDefault="00B7582D" w:rsidP="00140D4F">
      <w:pPr>
        <w:pStyle w:val="Bullet1G"/>
      </w:pPr>
      <w:r w:rsidRPr="00B7582D">
        <w:t>Los establecimientos en que se practican menos registros corporales son los centros de detención (32%);</w:t>
      </w:r>
    </w:p>
    <w:p w:rsidR="00B7582D" w:rsidRPr="00B7582D" w:rsidRDefault="00B7582D" w:rsidP="00140D4F">
      <w:pPr>
        <w:pStyle w:val="Bullet1G"/>
      </w:pPr>
      <w:r w:rsidRPr="00B7582D">
        <w:t>En los centros de detención preventiva, el porcentaje es del 37%.</w:t>
      </w:r>
    </w:p>
    <w:p w:rsidR="00B7582D" w:rsidRPr="00B7582D" w:rsidRDefault="00B7582D" w:rsidP="00B7582D">
      <w:pPr>
        <w:pStyle w:val="SingleTxtG"/>
      </w:pPr>
      <w:r w:rsidRPr="00B7582D">
        <w:t>157.</w:t>
      </w:r>
      <w:r w:rsidRPr="00B7582D">
        <w:tab/>
        <w:t>A febrero de 2015, el 76% de los establecimientos penitenciarios había comunicado expresamente a los reclusos las disposiciones relativas al registr</w:t>
      </w:r>
      <w:r w:rsidR="009B3466">
        <w:t>o corporal, además de poner a su</w:t>
      </w:r>
      <w:r w:rsidRPr="00B7582D">
        <w:t xml:space="preserve"> disposición los textos legislativos y reglamentarios; esta proporción había sido del 65% a junio de 2014 y habrá que perseverar en este esfuerzo.</w:t>
      </w:r>
    </w:p>
    <w:p w:rsidR="00B7582D" w:rsidRPr="00B7582D" w:rsidRDefault="00B7582D" w:rsidP="00B7582D">
      <w:pPr>
        <w:pStyle w:val="SingleTxtG"/>
      </w:pPr>
      <w:r w:rsidRPr="00B7582D">
        <w:t>158.</w:t>
      </w:r>
      <w:r w:rsidRPr="00B7582D">
        <w:tab/>
        <w:t xml:space="preserve">El registro corporal tiene lugar en atención a una decisión del director del establecimiento correccional, que puede delegarla. La decisión debe constar por escrito, salvo en casos de urgencia, en que podrá ser oral y se dejará constancia después por escrito. </w:t>
      </w:r>
      <w:r w:rsidRPr="00B7582D">
        <w:lastRenderedPageBreak/>
        <w:t>En ella se indican la fecha o el período en que se efectuará el registro, la identidad del detenido y el sector en que tendrá lugar, las modalidades del registro, la identidad de quien toma la decisión y los fundamentos de hecho y de derecho. Deberá llevarse un registro de ella para poder atender una solicitud de los magistrados o funcionarios encargados de inspeccionar o visitar establecimientos penitenciarios o en caso de que lo soliciten las autoridades de fiscalización (CGLPL, Defensor de los Derechos Humanos, Comité para la Prevención de la Tortura).</w:t>
      </w:r>
    </w:p>
    <w:p w:rsidR="00B7582D" w:rsidRPr="00B7582D" w:rsidRDefault="00B7582D" w:rsidP="00B7582D">
      <w:pPr>
        <w:pStyle w:val="SingleTxtG"/>
      </w:pPr>
      <w:r w:rsidRPr="00B7582D">
        <w:t>159.</w:t>
      </w:r>
      <w:r w:rsidRPr="00B7582D">
        <w:tab/>
        <w:t>El programa informático de gestión de la población penal, diseñado antes de que se introdujeran los cambios legislativos y judiciales más recientes en relación con el registro corporal, requiere una reforma, que está en curso, a fin de:</w:t>
      </w:r>
    </w:p>
    <w:p w:rsidR="00B7582D" w:rsidRPr="00B7582D" w:rsidRDefault="009B3466" w:rsidP="009B3466">
      <w:pPr>
        <w:pStyle w:val="Bullet1G"/>
      </w:pPr>
      <w:r w:rsidRPr="00B7582D">
        <w:t xml:space="preserve">Mejorar </w:t>
      </w:r>
      <w:r w:rsidR="00B7582D" w:rsidRPr="00B7582D">
        <w:t>la búsqueda de los datos;</w:t>
      </w:r>
    </w:p>
    <w:p w:rsidR="00B7582D" w:rsidRPr="00B7582D" w:rsidRDefault="009B3466" w:rsidP="009B3466">
      <w:pPr>
        <w:pStyle w:val="Bullet1G"/>
      </w:pPr>
      <w:r w:rsidRPr="00B7582D">
        <w:t xml:space="preserve">Asegurar </w:t>
      </w:r>
      <w:r w:rsidR="00B7582D" w:rsidRPr="00B7582D">
        <w:t>que el personal tenga mayor conocimiento de los registros que tendrá que efectuar;</w:t>
      </w:r>
    </w:p>
    <w:p w:rsidR="00B7582D" w:rsidRPr="00B7582D" w:rsidRDefault="009B3466" w:rsidP="009B3466">
      <w:pPr>
        <w:pStyle w:val="Bullet1G"/>
      </w:pPr>
      <w:r w:rsidRPr="00B7582D">
        <w:t xml:space="preserve">Asegurar </w:t>
      </w:r>
      <w:r w:rsidR="00B7582D" w:rsidRPr="00B7582D">
        <w:t>que la decisión sea adoptada por las personas autorizadas;</w:t>
      </w:r>
    </w:p>
    <w:p w:rsidR="00B7582D" w:rsidRPr="00B7582D" w:rsidRDefault="009B3466" w:rsidP="009B3466">
      <w:pPr>
        <w:pStyle w:val="Bullet1G"/>
      </w:pPr>
      <w:r w:rsidRPr="00B7582D">
        <w:t xml:space="preserve">Incorporar </w:t>
      </w:r>
      <w:r w:rsidR="00B7582D" w:rsidRPr="00B7582D">
        <w:t>los conceptos del registro de un detenido en una sola ocasión y del registro de un detenido durante un período prefijado;</w:t>
      </w:r>
    </w:p>
    <w:p w:rsidR="00B7582D" w:rsidRPr="00B7582D" w:rsidRDefault="009B3466" w:rsidP="009B3466">
      <w:pPr>
        <w:pStyle w:val="Bullet1G"/>
      </w:pPr>
      <w:r w:rsidRPr="00B7582D">
        <w:t xml:space="preserve">Fijar </w:t>
      </w:r>
      <w:r w:rsidR="00B7582D" w:rsidRPr="00B7582D">
        <w:t xml:space="preserve">fechas a fin de que la decisión sea reevaluada periódicamente (previo dictamen de la comisión pluridisciplinaria). </w:t>
      </w:r>
    </w:p>
    <w:p w:rsidR="00B7582D" w:rsidRPr="00B7582D" w:rsidRDefault="00B7582D" w:rsidP="009B3466">
      <w:pPr>
        <w:pStyle w:val="H23G"/>
      </w:pPr>
      <w:r w:rsidRPr="00B7582D">
        <w:tab/>
      </w:r>
      <w:r w:rsidR="009B3466">
        <w:tab/>
      </w:r>
      <w:r w:rsidRPr="00B7582D">
        <w:t>Efectos de la puesta en práctica de la nota de 15 de noviembre de 2013</w:t>
      </w:r>
      <w:r w:rsidRPr="00B7582D">
        <w:rPr>
          <w:vertAlign w:val="superscript"/>
          <w:lang w:val="fr-FR"/>
        </w:rPr>
        <w:footnoteReference w:id="100"/>
      </w:r>
    </w:p>
    <w:p w:rsidR="00B7582D" w:rsidRPr="00B7582D" w:rsidRDefault="00B7582D" w:rsidP="00B7582D">
      <w:pPr>
        <w:pStyle w:val="SingleTxtG"/>
      </w:pPr>
      <w:r w:rsidRPr="00B7582D">
        <w:t>160.</w:t>
      </w:r>
      <w:r w:rsidRPr="00B7582D">
        <w:tab/>
        <w:t>De no procederse sistemáticamente al registro corporal integral a la salida de los locutorios aumentan las posibilidades de que ingresen objetos del exterior</w:t>
      </w:r>
      <w:r w:rsidRPr="00B7582D">
        <w:rPr>
          <w:vertAlign w:val="superscript"/>
          <w:lang w:val="fr-FR"/>
        </w:rPr>
        <w:footnoteReference w:id="101"/>
      </w:r>
      <w:r w:rsidRPr="00B7582D">
        <w:t>. Las cifras se explican en razón de las dificultades que existen para identificar a quienes introducen estos objetos; los detenidos cuyo grado de peligrosidad justifica proceder a un registro corporal integral ejercen presión sobre otros para que hagan entrar en su lugar los objetos prohibidos.</w:t>
      </w:r>
    </w:p>
    <w:p w:rsidR="00B7582D" w:rsidRPr="00B7582D" w:rsidRDefault="009B3466" w:rsidP="009B3466">
      <w:pPr>
        <w:pStyle w:val="H1G"/>
      </w:pPr>
      <w:r>
        <w:tab/>
      </w:r>
      <w:r w:rsidR="00B7582D" w:rsidRPr="00B7582D">
        <w:tab/>
        <w:t>Cuestión 23</w:t>
      </w:r>
    </w:p>
    <w:p w:rsidR="00B7582D" w:rsidRPr="00B7582D" w:rsidRDefault="00B7582D" w:rsidP="00B7582D">
      <w:pPr>
        <w:pStyle w:val="SingleTxtG"/>
      </w:pPr>
      <w:r w:rsidRPr="00B7582D">
        <w:t>161.</w:t>
      </w:r>
      <w:r w:rsidRPr="00B7582D">
        <w:tab/>
        <w:t xml:space="preserve">Las autoridades francesas están decididas a esclarecer por completo las graves acusaciones formuladas contra soldados de la fuerza </w:t>
      </w:r>
      <w:proofErr w:type="spellStart"/>
      <w:r w:rsidRPr="00B7582D">
        <w:t>Sangaris</w:t>
      </w:r>
      <w:proofErr w:type="spellEnd"/>
      <w:r w:rsidRPr="00B7582D">
        <w:t xml:space="preserve"> que cooperan con las Naciones Unidas y con la República Centroafricana.</w:t>
      </w:r>
    </w:p>
    <w:p w:rsidR="00B7582D" w:rsidRPr="00B7582D" w:rsidRDefault="00B7582D" w:rsidP="00B7582D">
      <w:pPr>
        <w:pStyle w:val="SingleTxtG"/>
      </w:pPr>
      <w:r w:rsidRPr="00B7582D">
        <w:t>162.</w:t>
      </w:r>
      <w:r w:rsidRPr="00B7582D">
        <w:tab/>
        <w:t>Las autoridades francesas, al momento de cobrar conocimiento de la cuestión, procedieron el 29 de julio de 2014 a remitirla al poder judicial y el Fiscal de la República comenzó una investigación preliminar. El 7 de mayo de 2015 comenzó una instrucción judicial contra X por los cargos de violación de menores, abuso de la autoridad que confieren la</w:t>
      </w:r>
      <w:r w:rsidR="009B3466">
        <w:t>s</w:t>
      </w:r>
      <w:r w:rsidRPr="00B7582D">
        <w:t xml:space="preserve"> funcion</w:t>
      </w:r>
      <w:r w:rsidR="000C2B74">
        <w:t>es y complicidad. El magistrado</w:t>
      </w:r>
      <w:r w:rsidRPr="00B7582D">
        <w:t xml:space="preserve"> viajó en julio de 2015 a la República Centroafricana para entrevistar a las víctimas, acompañado de un investigador especializado en entrevi</w:t>
      </w:r>
      <w:r w:rsidR="000C2B74">
        <w:t>star a víctimas menores de edad.</w:t>
      </w:r>
    </w:p>
    <w:p w:rsidR="00B7582D" w:rsidRPr="00B7582D" w:rsidRDefault="00B7582D" w:rsidP="00B7582D">
      <w:pPr>
        <w:pStyle w:val="SingleTxtG"/>
      </w:pPr>
      <w:r w:rsidRPr="00B7582D">
        <w:t>163.</w:t>
      </w:r>
      <w:r w:rsidRPr="00B7582D">
        <w:tab/>
        <w:t>La investigación judicial sigue su curso y está sujeta al secreto de la instrucción. No ha sido necesario tomar medida alguna de protección de las víctimas o testigos porque los militares que podrían estar implicados en este asunto han salido ya del territorio de la República Centroafricana en virtud de un relevo ordinario.</w:t>
      </w:r>
    </w:p>
    <w:p w:rsidR="00B7582D" w:rsidRPr="00B7582D" w:rsidRDefault="00B7582D" w:rsidP="00B7582D">
      <w:pPr>
        <w:pStyle w:val="SingleTxtG"/>
      </w:pPr>
      <w:r w:rsidRPr="00B7582D">
        <w:lastRenderedPageBreak/>
        <w:t>164.</w:t>
      </w:r>
      <w:r w:rsidRPr="00B7582D">
        <w:tab/>
        <w:t xml:space="preserve">El 4 de septiembre de 2015, el Ministro de Defensa puso además en conocimiento del Fiscal de la República que un militar francés integrante de la fuerza </w:t>
      </w:r>
      <w:proofErr w:type="spellStart"/>
      <w:r w:rsidRPr="00B7582D">
        <w:t>Sangaris</w:t>
      </w:r>
      <w:proofErr w:type="spellEnd"/>
      <w:r w:rsidRPr="00B7582D">
        <w:t xml:space="preserve"> habría cometido abusos sexuales contra una joven centroafricana. La investigación sigue su curso. El UNICEF proporciona a la joven apoyo psicosocial y asistencia jurídica.</w:t>
      </w:r>
    </w:p>
    <w:p w:rsidR="00B7582D" w:rsidRPr="00B7582D" w:rsidRDefault="00B7582D" w:rsidP="00B7582D">
      <w:pPr>
        <w:pStyle w:val="SingleTxtG"/>
      </w:pPr>
      <w:r w:rsidRPr="00B7582D">
        <w:t>165.</w:t>
      </w:r>
      <w:r w:rsidRPr="00B7582D">
        <w:tab/>
        <w:t>Periódicamente se organizan cursos de formación especial para los militares franceses destinados a una operación de mantenimiento de la paz sobre el marco jurídico, el código de conducta, las normas para entablar combate, el respeto de los derechos humanos y la responsabilidad penal. Estos cursos forman parte de un módulo específico que pone de relieve las normas de integridad, la responsabilidad de los mandos y la tolerancia cero respecto de la explotación y los abusos sexuales, normas que se recuerdan sistemáticamente a las fuerzas militares y se aplican estrictamente.</w:t>
      </w:r>
    </w:p>
    <w:p w:rsidR="00B7582D" w:rsidRPr="00B7582D" w:rsidRDefault="009B3466" w:rsidP="009B3466">
      <w:pPr>
        <w:pStyle w:val="H1G"/>
      </w:pPr>
      <w:r>
        <w:tab/>
      </w:r>
      <w:r w:rsidR="00B7582D" w:rsidRPr="00B7582D">
        <w:tab/>
        <w:t>Cuestión 24</w:t>
      </w:r>
    </w:p>
    <w:p w:rsidR="00B7582D" w:rsidRPr="00B7582D" w:rsidRDefault="00B7582D" w:rsidP="00B7582D">
      <w:pPr>
        <w:pStyle w:val="SingleTxtG"/>
      </w:pPr>
      <w:r w:rsidRPr="00B7582D">
        <w:t>166.</w:t>
      </w:r>
      <w:r w:rsidRPr="00B7582D">
        <w:tab/>
        <w:t>El CGLPL formuló en 2013 recomendaciones sobre el marco y el seguimiento de las medidas de aislamiento y contención de personas con problemas psiquiátricos.</w:t>
      </w:r>
    </w:p>
    <w:p w:rsidR="00B7582D" w:rsidRPr="00B7582D" w:rsidRDefault="00B7582D" w:rsidP="00B7582D">
      <w:pPr>
        <w:pStyle w:val="SingleTxtG"/>
      </w:pPr>
      <w:r w:rsidRPr="00B7582D">
        <w:t>167.</w:t>
      </w:r>
      <w:r w:rsidRPr="00B7582D">
        <w:tab/>
        <w:t>Esta</w:t>
      </w:r>
      <w:r w:rsidR="009B3466">
        <w:t>s</w:t>
      </w:r>
      <w:r w:rsidRPr="00B7582D">
        <w:t xml:space="preserve"> recomendaciones se recogieron en la ley de 17 de diciembre de 2015</w:t>
      </w:r>
      <w:r w:rsidRPr="00B7582D">
        <w:rPr>
          <w:vertAlign w:val="superscript"/>
          <w:lang w:val="fr-FR"/>
        </w:rPr>
        <w:footnoteReference w:id="102"/>
      </w:r>
      <w:r w:rsidRPr="00B7582D">
        <w:t> :</w:t>
      </w:r>
    </w:p>
    <w:p w:rsidR="00B7582D" w:rsidRPr="00B7582D" w:rsidRDefault="00B7582D" w:rsidP="009B3466">
      <w:pPr>
        <w:pStyle w:val="Bullet1G"/>
      </w:pPr>
      <w:r w:rsidRPr="00B7582D">
        <w:t>El aislamiento y la contención son prácticas de última instancia que deben utilizarse únicamente para prevenir un daño inmediato o inminente para el paciente o para un tercero y deben tener lugar con una estricta supervisión a cargo de profesionales de la salud;</w:t>
      </w:r>
    </w:p>
    <w:p w:rsidR="00B7582D" w:rsidRPr="00B7582D" w:rsidRDefault="00B7582D" w:rsidP="009B3466">
      <w:pPr>
        <w:pStyle w:val="Bullet1G"/>
      </w:pPr>
      <w:r w:rsidRPr="00B7582D">
        <w:t>En cada establecimiento autorizado para impartir cuidados sin necesidad de consentimiento deberá llevarse un registro en que se mencione el nombre del psiquiatra que haya decidido tomar la medida, el día y la hora en que tuvo lugar, su duración y el nombre de los profesionales que la hayan supervisado;</w:t>
      </w:r>
    </w:p>
    <w:p w:rsidR="00B7582D" w:rsidRPr="00B7582D" w:rsidRDefault="00B7582D" w:rsidP="009B3466">
      <w:pPr>
        <w:pStyle w:val="Bullet1G"/>
      </w:pPr>
      <w:r w:rsidRPr="00B7582D">
        <w:t>El establecimiento deberá presentar un informe anual en que se dé cuenta de las prácticas de ingreso en sala de aislamiento y contención a fin de limitar su utilización y evaluar su puesta en práctica.</w:t>
      </w:r>
    </w:p>
    <w:p w:rsidR="00B7582D" w:rsidRPr="00B7582D" w:rsidRDefault="00B7582D" w:rsidP="00B7582D">
      <w:pPr>
        <w:pStyle w:val="SingleTxtG"/>
      </w:pPr>
      <w:r w:rsidRPr="00B7582D">
        <w:t>168.</w:t>
      </w:r>
      <w:r w:rsidRPr="00B7582D">
        <w:tab/>
        <w:t xml:space="preserve">Por otra parte, en el curso de la certificación de las instituciones de salud, los expertos visitantes prestan atención a la administración de las medidas restrictivas de la libertad, que cuenta a los efectos de las </w:t>
      </w:r>
      <w:proofErr w:type="gramStart"/>
      <w:r w:rsidRPr="00B7582D">
        <w:t>practicas</w:t>
      </w:r>
      <w:proofErr w:type="gramEnd"/>
      <w:r w:rsidRPr="00B7582D">
        <w:t xml:space="preserve"> exigibles prioritarias en la psiquiatría</w:t>
      </w:r>
      <w:r w:rsidRPr="00B7582D">
        <w:rPr>
          <w:vertAlign w:val="superscript"/>
          <w:lang w:val="fr-FR"/>
        </w:rPr>
        <w:footnoteReference w:id="103"/>
      </w:r>
      <w:r w:rsidRPr="00B7582D">
        <w:t>. Se está preparando una nueva guía para los expertos visitantes en que se insiste en los elementos que se han de controlar sistemáticamente en caso de aplicación de una medida restrictiva de la libertad.</w:t>
      </w:r>
    </w:p>
    <w:p w:rsidR="00B7582D" w:rsidRPr="00B7582D" w:rsidRDefault="00B7582D" w:rsidP="00B7582D">
      <w:pPr>
        <w:pStyle w:val="SingleTxtG"/>
      </w:pPr>
      <w:r w:rsidRPr="00B7582D">
        <w:t>169.</w:t>
      </w:r>
      <w:r w:rsidRPr="00B7582D">
        <w:tab/>
        <w:t>Así, quienes sean objeto de un tratamiento psiquiátrico involuntario pueden presentar reclamaciones ante la Comisión Departamental de Atención Psiquiátrica</w:t>
      </w:r>
      <w:r w:rsidRPr="00B7582D">
        <w:rPr>
          <w:vertAlign w:val="superscript"/>
          <w:lang w:val="fr-FR"/>
        </w:rPr>
        <w:footnoteReference w:id="104"/>
      </w:r>
      <w:r w:rsidRPr="00B7582D">
        <w:t>.</w:t>
      </w:r>
    </w:p>
    <w:p w:rsidR="00B7582D" w:rsidRPr="00B7582D" w:rsidRDefault="00B7582D" w:rsidP="00B7582D">
      <w:pPr>
        <w:pStyle w:val="SingleTxtG"/>
      </w:pPr>
      <w:r w:rsidRPr="00B7582D">
        <w:t>170.</w:t>
      </w:r>
      <w:r w:rsidRPr="00B7582D">
        <w:tab/>
        <w:t>Por último, la Dirección General de la Salud presta apoyo a la asociación Primo Levi para mejorar el tratamiento de quienes hayan sido víctimas de tortura en su país de origen y se hayan exiliado en Francia.</w:t>
      </w:r>
    </w:p>
    <w:p w:rsidR="00B7582D" w:rsidRPr="00B7582D" w:rsidRDefault="009B3466" w:rsidP="009B3466">
      <w:pPr>
        <w:pStyle w:val="H1G"/>
      </w:pPr>
      <w:r>
        <w:lastRenderedPageBreak/>
        <w:tab/>
      </w:r>
      <w:r w:rsidR="00B7582D" w:rsidRPr="00B7582D">
        <w:tab/>
        <w:t>Cuestión 25</w:t>
      </w:r>
    </w:p>
    <w:p w:rsidR="00B7582D" w:rsidRPr="00B7582D" w:rsidRDefault="00B7582D" w:rsidP="00B7582D">
      <w:pPr>
        <w:pStyle w:val="SingleTxtG"/>
      </w:pPr>
      <w:r w:rsidRPr="00B7582D">
        <w:t>171.</w:t>
      </w:r>
      <w:r w:rsidRPr="00B7582D">
        <w:tab/>
        <w:t>Francia ha sostenido sistemáticamente que los dictámenes de los Comités no constituyen decisiones de órganos judiciales y, de conformidad con los instrumentos ratificados por el país, no tienen valor obligatorio. Se trata de recomendaciones dirigidas al Estado parte, cuya única obligación consiste en indicar el seguimiento que ha de darles.</w:t>
      </w:r>
    </w:p>
    <w:p w:rsidR="00B7582D" w:rsidRPr="00B7582D" w:rsidRDefault="00B7582D" w:rsidP="00B7582D">
      <w:pPr>
        <w:pStyle w:val="SingleTxtG"/>
      </w:pPr>
      <w:r w:rsidRPr="00B7582D">
        <w:t>172.</w:t>
      </w:r>
      <w:r w:rsidRPr="00B7582D">
        <w:tab/>
        <w:t>En consecuencia, ningún Estado parte tiene en derecho la obligación de cumplir los dictámenes del Comité. No obstante en el marco de la colaboración de buena fe con el Comité, procede que el Estado parte responda a una pregunta acerca del seguimiento que se propone hacer del dictamen.</w:t>
      </w:r>
    </w:p>
    <w:p w:rsidR="00B7582D" w:rsidRPr="00B7582D" w:rsidRDefault="00B7582D" w:rsidP="00B7582D">
      <w:pPr>
        <w:pStyle w:val="SingleTxtG"/>
      </w:pPr>
      <w:r w:rsidRPr="00B7582D">
        <w:t>173.</w:t>
      </w:r>
      <w:r w:rsidRPr="00B7582D">
        <w:tab/>
        <w:t>Igualmente, con respecto a las medidas provisionales</w:t>
      </w:r>
      <w:r w:rsidRPr="00B7582D">
        <w:rPr>
          <w:vertAlign w:val="superscript"/>
          <w:lang w:val="fr-FR"/>
        </w:rPr>
        <w:footnoteReference w:id="105"/>
      </w:r>
      <w:r w:rsidRPr="00B7582D">
        <w:t xml:space="preserve">, Francia ha tenido ocasión de explicar su postura con respecto a una de esas medidas dictadas por el Comité y ha indicado que </w:t>
      </w:r>
      <w:r w:rsidR="004E2BB7">
        <w:t>“</w:t>
      </w:r>
      <w:r w:rsidRPr="00B7582D">
        <w:t xml:space="preserve">en el marco de una cooperación de buena fe con el Comité, el Estado parte, al serle presentada una solicitud de medidas provisionales, tiene la obligación solamente de examinarla en forma muy atenta y, en la medida de </w:t>
      </w:r>
      <w:r w:rsidR="009B3466">
        <w:t>lo posible, tratar de aplicarla</w:t>
      </w:r>
      <w:r w:rsidR="004E2BB7">
        <w:t>”</w:t>
      </w:r>
      <w:r w:rsidRPr="00B7582D">
        <w:rPr>
          <w:vertAlign w:val="superscript"/>
          <w:lang w:val="fr-FR"/>
        </w:rPr>
        <w:footnoteReference w:id="106"/>
      </w:r>
      <w:r w:rsidRPr="00B7582D">
        <w:t>.</w:t>
      </w:r>
    </w:p>
    <w:p w:rsidR="00B7582D" w:rsidRPr="00B7582D" w:rsidRDefault="00B7582D" w:rsidP="00B7582D">
      <w:pPr>
        <w:pStyle w:val="SingleTxtG"/>
      </w:pPr>
      <w:r w:rsidRPr="00B7582D">
        <w:t>174.</w:t>
      </w:r>
      <w:r w:rsidRPr="00B7582D">
        <w:tab/>
        <w:t>Así, pues, cuando el Comité ha pedido a Francia que tomara medidas provisionales</w:t>
      </w:r>
      <w:r w:rsidRPr="00B7582D">
        <w:rPr>
          <w:vertAlign w:val="superscript"/>
          <w:lang w:val="fr-FR"/>
        </w:rPr>
        <w:footnoteReference w:id="107"/>
      </w:r>
      <w:r w:rsidRPr="00B7582D">
        <w:t>, la petición se ha examinado con diligencia y celeridad y, en la medida de lo posible, se ha tratado de atenderla. No obstante, Francia considera que, si la solicitud de una medida de este tipo le parece manifiestamente infundada, después de cerciorarse más allá de toda duda razonable de que los interesados no corren riesgos individuales y demostrados, no tiene que darle curso.</w:t>
      </w:r>
    </w:p>
    <w:p w:rsidR="00B7582D" w:rsidRPr="00B7582D" w:rsidRDefault="009B3466" w:rsidP="009B3466">
      <w:pPr>
        <w:pStyle w:val="H1G"/>
      </w:pPr>
      <w:r>
        <w:tab/>
      </w:r>
      <w:r w:rsidR="00B7582D" w:rsidRPr="00B7582D">
        <w:tab/>
        <w:t>Cuestión 26</w:t>
      </w:r>
    </w:p>
    <w:p w:rsidR="00B7582D" w:rsidRPr="00B7582D" w:rsidRDefault="009B3466" w:rsidP="009B3466">
      <w:pPr>
        <w:pStyle w:val="H23G"/>
      </w:pPr>
      <w:r>
        <w:tab/>
      </w:r>
      <w:r w:rsidR="00B7582D" w:rsidRPr="00B7582D">
        <w:tab/>
        <w:t xml:space="preserve">Medidas contra el terrorismo </w:t>
      </w:r>
    </w:p>
    <w:p w:rsidR="00B7582D" w:rsidRPr="00B7582D" w:rsidRDefault="00B7582D" w:rsidP="00B7582D">
      <w:pPr>
        <w:pStyle w:val="SingleTxtG"/>
      </w:pPr>
      <w:r w:rsidRPr="00B7582D">
        <w:t>175.</w:t>
      </w:r>
      <w:r w:rsidRPr="00B7582D">
        <w:tab/>
        <w:t>Francia, frente a la amenaza del terrorismo, ha adoptado en los últimos años medidas permanentes de índole judicial y administrativa que apuntan a reforzar las atribuciones de las autoridades de la policía administrativa y a impedir la comisión de actos de terrorismo en su territorio.</w:t>
      </w:r>
    </w:p>
    <w:p w:rsidR="00B7582D" w:rsidRPr="00B7582D" w:rsidRDefault="00B7582D" w:rsidP="00B7582D">
      <w:pPr>
        <w:pStyle w:val="SingleTxtG"/>
      </w:pPr>
      <w:r w:rsidRPr="00B7582D">
        <w:t>176.</w:t>
      </w:r>
      <w:r w:rsidRPr="00B7582D">
        <w:tab/>
        <w:t>A partir de 2013, se han promulgado tres leyes que permiten adaptar el marco legislativo a las nuevas amenazas. Estas leyes han hecho más estrictas las medidas de represión, han ampliado la aplicación del Código Penal a los delitos de naturaleza terrorista cometidos en el extranjero por nacionales franceses o por extranjeros que residan habitualmente en Francia</w:t>
      </w:r>
      <w:r w:rsidRPr="00B7582D">
        <w:rPr>
          <w:vertAlign w:val="superscript"/>
          <w:lang w:val="fr-FR"/>
        </w:rPr>
        <w:footnoteReference w:id="108"/>
      </w:r>
      <w:r w:rsidRPr="00B7582D">
        <w:t xml:space="preserve"> y han instituido nuevas medidas de policía administrativa en materia de ingreso o salida del territorio</w:t>
      </w:r>
      <w:r w:rsidRPr="00B7582D">
        <w:rPr>
          <w:vertAlign w:val="superscript"/>
          <w:lang w:val="fr-FR"/>
        </w:rPr>
        <w:footnoteReference w:id="109"/>
      </w:r>
      <w:r w:rsidRPr="00B7582D">
        <w:t xml:space="preserve"> o en relación con el contenido ilícito de los sitios en Internet.</w:t>
      </w:r>
    </w:p>
    <w:p w:rsidR="00B7582D" w:rsidRPr="00B7582D" w:rsidRDefault="00B7582D" w:rsidP="00B7582D">
      <w:pPr>
        <w:pStyle w:val="SingleTxtG"/>
      </w:pPr>
      <w:r w:rsidRPr="00B7582D">
        <w:lastRenderedPageBreak/>
        <w:t>177.</w:t>
      </w:r>
      <w:r w:rsidRPr="00B7582D">
        <w:tab/>
        <w:t>También se ha adoptado una ley sobre los servicios de inteligencia</w:t>
      </w:r>
      <w:r w:rsidRPr="00B7582D">
        <w:rPr>
          <w:vertAlign w:val="superscript"/>
          <w:lang w:val="fr-FR"/>
        </w:rPr>
        <w:footnoteReference w:id="110"/>
      </w:r>
      <w:r w:rsidRPr="00B7582D">
        <w:t xml:space="preserve"> a fin de que haya en Francia un marco legal operacional para las actividades de estos servicios.</w:t>
      </w:r>
    </w:p>
    <w:p w:rsidR="00B7582D" w:rsidRPr="00B7582D" w:rsidRDefault="00B7582D" w:rsidP="00B7582D">
      <w:pPr>
        <w:pStyle w:val="SingleTxtG"/>
      </w:pPr>
      <w:r w:rsidRPr="00B7582D">
        <w:t>178.</w:t>
      </w:r>
      <w:r w:rsidRPr="00B7582D">
        <w:tab/>
        <w:t>Por otra parte, al día siguiente a los atentados cometidos en París el 13 de noviembre de 2015, se declaró el estado de excepción durante 12 días, que el Parlamento, por ley de 20 de noviembre de 2015, prorrogó por tres meses a contar del 26 de noviembre de 2015</w:t>
      </w:r>
      <w:r w:rsidRPr="00B7582D">
        <w:rPr>
          <w:vertAlign w:val="superscript"/>
          <w:lang w:val="fr-FR"/>
        </w:rPr>
        <w:footnoteReference w:id="111"/>
      </w:r>
      <w:r w:rsidRPr="00B7582D">
        <w:t>.</w:t>
      </w:r>
    </w:p>
    <w:p w:rsidR="00B7582D" w:rsidRPr="00B7582D" w:rsidRDefault="00B7582D" w:rsidP="00B7582D">
      <w:pPr>
        <w:pStyle w:val="SingleTxtG"/>
      </w:pPr>
      <w:r w:rsidRPr="00B7582D">
        <w:t>179.</w:t>
      </w:r>
      <w:r w:rsidRPr="00B7582D">
        <w:tab/>
        <w:t>Por otra parte, esta ley modificó la ley de 1955</w:t>
      </w:r>
      <w:r w:rsidRPr="00B7582D">
        <w:rPr>
          <w:vertAlign w:val="superscript"/>
          <w:lang w:val="fr-FR"/>
        </w:rPr>
        <w:footnoteReference w:id="112"/>
      </w:r>
      <w:r w:rsidRPr="00B7582D">
        <w:t xml:space="preserve"> sobre el estado de excepción a fin de adaptarla al contexto actual. En ella, entre otras cosas, se precisan el marco jurídico y el control judicial de las medidas que se pueden adoptar en el marco del estado de excepción y se refuerza las facultades de control del Parlamento mientras esté vigente.</w:t>
      </w:r>
    </w:p>
    <w:p w:rsidR="00B7582D" w:rsidRPr="00B7582D" w:rsidRDefault="00B7582D" w:rsidP="00B7582D">
      <w:pPr>
        <w:pStyle w:val="SingleTxtG"/>
      </w:pPr>
      <w:r w:rsidRPr="00B7582D">
        <w:t>180.</w:t>
      </w:r>
      <w:r w:rsidRPr="00B7582D">
        <w:tab/>
        <w:t>Así, se confieren a la Comisión de las Leyes de la Asamblea Nacional las facultades de una comisión de investigación</w:t>
      </w:r>
      <w:r w:rsidRPr="00B7582D">
        <w:rPr>
          <w:vertAlign w:val="superscript"/>
          <w:lang w:val="fr-FR"/>
        </w:rPr>
        <w:footnoteReference w:id="113"/>
      </w:r>
      <w:r w:rsidRPr="00B7582D">
        <w:t>. Se han instituido cinco indicadores por materia, que se actualizan cada semana</w:t>
      </w:r>
      <w:r w:rsidRPr="00B7582D">
        <w:rPr>
          <w:vertAlign w:val="superscript"/>
          <w:lang w:val="fr-FR"/>
        </w:rPr>
        <w:footnoteReference w:id="114"/>
      </w:r>
      <w:r w:rsidRPr="00B7582D">
        <w:t xml:space="preserve"> con información que suministran cada día el Ministerio del Interior y el Ministerio de Justicia.</w:t>
      </w:r>
    </w:p>
    <w:p w:rsidR="00B7582D" w:rsidRPr="00B7582D" w:rsidRDefault="00B7582D" w:rsidP="00B7582D">
      <w:pPr>
        <w:pStyle w:val="SingleTxtG"/>
      </w:pPr>
      <w:r w:rsidRPr="00B7582D">
        <w:t>181.</w:t>
      </w:r>
      <w:r w:rsidRPr="00B7582D">
        <w:tab/>
        <w:t>Habida cuenta de que algunas de las medidas previstas en el estado de excepción pueden exceder los límites que imponen nuestras obligaciones internacionales respecto de los derechos a que se refieren, las autoridades francesas, en el marco del artículo 15 del Convenio Europeo de Derechos Humanos, han comunicado al Secretario General del Consejo de Europa que se ha declarado el estado de excepción y trasmitido la misma información al Secretario General de las Naciones Unidas en relación con el artículo 4 del Pacto Internacional de Derechos Civiles y Políticos.</w:t>
      </w:r>
    </w:p>
    <w:p w:rsidR="00B7582D" w:rsidRPr="00B7582D" w:rsidRDefault="00B7582D" w:rsidP="00B7582D">
      <w:pPr>
        <w:pStyle w:val="SingleTxtG"/>
      </w:pPr>
      <w:r w:rsidRPr="00B7582D">
        <w:t>182.</w:t>
      </w:r>
      <w:r w:rsidRPr="00B7582D">
        <w:tab/>
        <w:t>Estas medidas están sometidas además a un control jurisdiccional efectivo e integral. En este contexto se puede pedir al juez administrativo, en las condiciones de derecho común y especialmente en el marco del procedimiento de urgencia, que se pronuncie sobre su legalidad. Al hacerlo, el juez se asegura en particular de que la medida sea necesaria y proporcional.</w:t>
      </w:r>
    </w:p>
    <w:p w:rsidR="00B7582D" w:rsidRPr="00B7582D" w:rsidRDefault="00B7582D" w:rsidP="00B7582D">
      <w:pPr>
        <w:pStyle w:val="SingleTxtG"/>
      </w:pPr>
      <w:r w:rsidRPr="00B7582D">
        <w:t>183.</w:t>
      </w:r>
      <w:r w:rsidRPr="00B7582D">
        <w:tab/>
        <w:t>Estas medidas se encuentran asimismo sometidas al control del Consejo Constitucional, encargado de conciliar la necesidad de prevenir atentados contra el orden público</w:t>
      </w:r>
      <w:r w:rsidRPr="00B7582D">
        <w:rPr>
          <w:vertAlign w:val="superscript"/>
          <w:lang w:val="fr-FR"/>
        </w:rPr>
        <w:footnoteReference w:id="115"/>
      </w:r>
      <w:r w:rsidRPr="00B7582D">
        <w:t xml:space="preserve"> y aprehender a los autores de delitos, por una parte, y, por la otra, preservar el ejercicio de las libertades que garantiza la Constitución. El Consejo Constitucional, en su decisión de 14 de octubre de 2015</w:t>
      </w:r>
      <w:r w:rsidRPr="00B7582D">
        <w:rPr>
          <w:vertAlign w:val="superscript"/>
          <w:lang w:val="fr-FR"/>
        </w:rPr>
        <w:footnoteReference w:id="116"/>
      </w:r>
      <w:r w:rsidRPr="00B7582D">
        <w:t>, dictaminó que la medida de prohibición de salir del territorio conciliaba, en forma que no era manifiestamente carente de equilibrio, la libertad de circulación y la necesidad de protegerse de atentados contra el orden público. En su decisión de 23 de julio de 2015</w:t>
      </w:r>
      <w:r w:rsidRPr="00B7582D">
        <w:rPr>
          <w:vertAlign w:val="superscript"/>
          <w:lang w:val="fr-FR"/>
        </w:rPr>
        <w:footnoteReference w:id="117"/>
      </w:r>
      <w:r w:rsidRPr="00B7582D">
        <w:t>, dictaminó que las técnicas para recoger información que preveía la ley sobre los servicios de inteligencia, habida cuenta de las condiciones en que se habían de aplicar y de las garantías respecto de su utilización, no constituían un atentado desproporcionado contra el derecho al respeto de la vida privada.</w:t>
      </w:r>
    </w:p>
    <w:p w:rsidR="00B7582D" w:rsidRPr="00B7582D" w:rsidRDefault="00B7582D" w:rsidP="00B7582D">
      <w:pPr>
        <w:pStyle w:val="SingleTxtG"/>
      </w:pPr>
      <w:r w:rsidRPr="00B7582D">
        <w:lastRenderedPageBreak/>
        <w:t>184.</w:t>
      </w:r>
      <w:r w:rsidRPr="00B7582D">
        <w:tab/>
        <w:t>En una decisión de fecha 22 de diciembre de 2015</w:t>
      </w:r>
      <w:r w:rsidRPr="00B7582D">
        <w:rPr>
          <w:vertAlign w:val="superscript"/>
          <w:lang w:val="fr-FR"/>
        </w:rPr>
        <w:footnoteReference w:id="118"/>
      </w:r>
      <w:r w:rsidRPr="00B7582D">
        <w:t>, el Consejo Constitucional dictaminó, con respecto a las garantías que entrañan estas medidas, que el arresto domiciliario en el contexto del estado de excepción no constituía un atentado desproporcionado contra la libertad de circulación.</w:t>
      </w:r>
    </w:p>
    <w:p w:rsidR="00B7582D" w:rsidRPr="00B7582D" w:rsidRDefault="00B7582D" w:rsidP="00B7582D">
      <w:pPr>
        <w:pStyle w:val="SingleTxtG"/>
      </w:pPr>
      <w:r w:rsidRPr="00B7582D">
        <w:t>185.</w:t>
      </w:r>
      <w:r w:rsidRPr="00B7582D">
        <w:tab/>
        <w:t>Las normas sobre deontología que se enseñan en los cursos de formación inicial y permanente que se dictan para policías y gendarmes son igualmente aplicables en el contexto de la lucha contra el terrorismo (véanse el informe presentado en enero de 2015</w:t>
      </w:r>
      <w:r w:rsidRPr="00B7582D">
        <w:rPr>
          <w:vertAlign w:val="superscript"/>
          <w:lang w:val="fr-FR"/>
        </w:rPr>
        <w:footnoteReference w:id="119"/>
      </w:r>
      <w:r w:rsidRPr="00B7582D">
        <w:t xml:space="preserve"> y la respuesta a la cuestión núm. 13).</w:t>
      </w:r>
    </w:p>
    <w:p w:rsidR="00B7582D" w:rsidRPr="00B7582D" w:rsidRDefault="009B3466" w:rsidP="009B3466">
      <w:pPr>
        <w:pStyle w:val="H23G"/>
      </w:pPr>
      <w:r>
        <w:tab/>
      </w:r>
      <w:r w:rsidR="00B7582D" w:rsidRPr="00B7582D">
        <w:tab/>
        <w:t xml:space="preserve">Sentencias condenatorias y recursos contra la aplicación de medidas antiterroristas </w:t>
      </w:r>
    </w:p>
    <w:p w:rsidR="00B7582D" w:rsidRPr="00B7582D" w:rsidRDefault="00B7582D" w:rsidP="00B7582D">
      <w:pPr>
        <w:pStyle w:val="SingleTxtG"/>
      </w:pPr>
      <w:r w:rsidRPr="00B7582D">
        <w:t>186.</w:t>
      </w:r>
      <w:r w:rsidRPr="00B7582D">
        <w:tab/>
        <w:t>En el año 2015 se sustanciaron 21 causas en el contexto de la lucha contra el terrorismo, en comparación con 14 en 2014. En 2013, 81 personas fueron condenadas por actos de terrorismo, en comparación con 78 en 2012 y 56 en 2011 y 2010.</w:t>
      </w:r>
    </w:p>
    <w:p w:rsidR="00B7582D" w:rsidRPr="00B7582D" w:rsidRDefault="00B7582D" w:rsidP="00B7582D">
      <w:pPr>
        <w:pStyle w:val="SingleTxtG"/>
      </w:pPr>
      <w:r w:rsidRPr="00B7582D">
        <w:t>187.</w:t>
      </w:r>
      <w:r w:rsidRPr="00B7582D">
        <w:tab/>
        <w:t>En el 92% de las sentencias condenatorias por participación en una asociación delictiva con vistas a la preparación de un acto de terrorismo, que era el hecho constitutivo del delito en la mayoría de los procesos, se impuso una pena que no admite remisión o la admite parcialmente. Respecto de las penas que no admiten remisión, la duración media era de cuatro años.</w:t>
      </w:r>
    </w:p>
    <w:p w:rsidR="00B7582D" w:rsidRDefault="00B7582D" w:rsidP="00B7582D">
      <w:pPr>
        <w:pStyle w:val="SingleTxtG"/>
      </w:pPr>
      <w:r w:rsidRPr="00B7582D">
        <w:t>188.</w:t>
      </w:r>
      <w:r w:rsidRPr="00B7582D">
        <w:tab/>
        <w:t>Los mismos recursos internos (apelación y casación) aplicables en el derecho común lo son también en casos de terrorismo.</w:t>
      </w:r>
    </w:p>
    <w:p w:rsidR="009B3466" w:rsidRPr="009B3466" w:rsidRDefault="009B3466" w:rsidP="009B3466">
      <w:pPr>
        <w:pStyle w:val="SingleTxtG"/>
        <w:suppressAutoHyphens/>
        <w:spacing w:before="240" w:after="0"/>
        <w:jc w:val="center"/>
        <w:rPr>
          <w:u w:val="single"/>
        </w:rPr>
      </w:pPr>
      <w:r>
        <w:rPr>
          <w:u w:val="single"/>
        </w:rPr>
        <w:tab/>
      </w:r>
      <w:r>
        <w:rPr>
          <w:u w:val="single"/>
        </w:rPr>
        <w:tab/>
      </w:r>
      <w:r>
        <w:rPr>
          <w:u w:val="single"/>
        </w:rPr>
        <w:tab/>
      </w:r>
    </w:p>
    <w:sectPr w:rsidR="009B3466" w:rsidRPr="009B3466" w:rsidSect="00B7582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BB7" w:rsidRPr="00A312BC" w:rsidRDefault="004E2BB7" w:rsidP="00A312BC">
      <w:pPr>
        <w:pStyle w:val="Footer"/>
      </w:pPr>
    </w:p>
  </w:endnote>
  <w:endnote w:type="continuationSeparator" w:id="0">
    <w:p w:rsidR="004E2BB7" w:rsidRPr="00A312BC" w:rsidRDefault="004E2BB7"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B7" w:rsidRPr="00B7582D" w:rsidRDefault="004E2BB7" w:rsidP="00B7582D">
    <w:pPr>
      <w:pStyle w:val="Footer"/>
      <w:tabs>
        <w:tab w:val="right" w:pos="9638"/>
      </w:tabs>
    </w:pPr>
    <w:r w:rsidRPr="00B7582D">
      <w:rPr>
        <w:b/>
        <w:sz w:val="18"/>
      </w:rPr>
      <w:fldChar w:fldCharType="begin"/>
    </w:r>
    <w:r w:rsidRPr="00B7582D">
      <w:rPr>
        <w:b/>
        <w:sz w:val="18"/>
      </w:rPr>
      <w:instrText xml:space="preserve"> PAGE  \* MERGEFORMAT </w:instrText>
    </w:r>
    <w:r w:rsidRPr="00B7582D">
      <w:rPr>
        <w:b/>
        <w:sz w:val="18"/>
      </w:rPr>
      <w:fldChar w:fldCharType="separate"/>
    </w:r>
    <w:r w:rsidR="000754EE">
      <w:rPr>
        <w:b/>
        <w:noProof/>
        <w:sz w:val="18"/>
      </w:rPr>
      <w:t>28</w:t>
    </w:r>
    <w:r w:rsidRPr="00B7582D">
      <w:rPr>
        <w:b/>
        <w:sz w:val="18"/>
      </w:rPr>
      <w:fldChar w:fldCharType="end"/>
    </w:r>
    <w:r>
      <w:rPr>
        <w:b/>
        <w:sz w:val="18"/>
      </w:rPr>
      <w:tab/>
    </w:r>
    <w:r>
      <w:t>GE.16-02305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B7" w:rsidRPr="00B7582D" w:rsidRDefault="004E2BB7" w:rsidP="00B7582D">
    <w:pPr>
      <w:pStyle w:val="Footer"/>
      <w:tabs>
        <w:tab w:val="right" w:pos="9638"/>
      </w:tabs>
      <w:rPr>
        <w:b/>
        <w:sz w:val="18"/>
      </w:rPr>
    </w:pPr>
    <w:r>
      <w:t>GE.16-02305</w:t>
    </w:r>
    <w:r>
      <w:tab/>
    </w:r>
    <w:r w:rsidRPr="00B7582D">
      <w:rPr>
        <w:b/>
        <w:sz w:val="18"/>
      </w:rPr>
      <w:fldChar w:fldCharType="begin"/>
    </w:r>
    <w:r w:rsidRPr="00B7582D">
      <w:rPr>
        <w:b/>
        <w:sz w:val="18"/>
      </w:rPr>
      <w:instrText xml:space="preserve"> PAGE  \* MERGEFORMAT </w:instrText>
    </w:r>
    <w:r w:rsidRPr="00B7582D">
      <w:rPr>
        <w:b/>
        <w:sz w:val="18"/>
      </w:rPr>
      <w:fldChar w:fldCharType="separate"/>
    </w:r>
    <w:r w:rsidR="000754EE">
      <w:rPr>
        <w:b/>
        <w:noProof/>
        <w:sz w:val="18"/>
      </w:rPr>
      <w:t>27</w:t>
    </w:r>
    <w:r w:rsidRPr="00B758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B7" w:rsidRPr="00B7582D" w:rsidRDefault="004E2BB7" w:rsidP="00B7582D">
    <w:pPr>
      <w:pStyle w:val="Footer"/>
      <w:spacing w:before="120" w:line="240" w:lineRule="auto"/>
      <w:rPr>
        <w:sz w:val="20"/>
      </w:rPr>
    </w:pPr>
    <w:r>
      <w:rPr>
        <w:sz w:val="20"/>
      </w:rPr>
      <w:t>GE.</w:t>
    </w:r>
    <w:r>
      <w:rPr>
        <w:noProof/>
        <w:lang w:val="en-GB" w:eastAsia="en-GB"/>
      </w:rPr>
      <w:drawing>
        <wp:anchor distT="0" distB="0" distL="114300" distR="114300" simplePos="0" relativeHeight="251657728" behindDoc="0" locked="1" layoutInCell="1" allowOverlap="1" wp14:anchorId="76D1004F" wp14:editId="4B05DFF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16-02305  (S)    070316    220316</w:t>
    </w:r>
    <w:r>
      <w:rPr>
        <w:sz w:val="20"/>
      </w:rPr>
      <w:br/>
    </w:r>
    <w:r w:rsidRPr="00B7582D">
      <w:rPr>
        <w:rFonts w:ascii="C39T30Lfz" w:hAnsi="C39T30Lfz"/>
        <w:sz w:val="56"/>
      </w:rPr>
      <w:t></w:t>
    </w:r>
    <w:r w:rsidRPr="00B7582D">
      <w:rPr>
        <w:rFonts w:ascii="C39T30Lfz" w:hAnsi="C39T30Lfz"/>
        <w:sz w:val="56"/>
      </w:rPr>
      <w:t></w:t>
    </w:r>
    <w:r w:rsidRPr="00B7582D">
      <w:rPr>
        <w:rFonts w:ascii="C39T30Lfz" w:hAnsi="C39T30Lfz"/>
        <w:sz w:val="56"/>
      </w:rPr>
      <w:t></w:t>
    </w:r>
    <w:r w:rsidRPr="00B7582D">
      <w:rPr>
        <w:rFonts w:ascii="C39T30Lfz" w:hAnsi="C39T30Lfz"/>
        <w:sz w:val="56"/>
      </w:rPr>
      <w:t></w:t>
    </w:r>
    <w:r w:rsidRPr="00B7582D">
      <w:rPr>
        <w:rFonts w:ascii="C39T30Lfz" w:hAnsi="C39T30Lfz"/>
        <w:sz w:val="56"/>
      </w:rPr>
      <w:t></w:t>
    </w:r>
    <w:r w:rsidRPr="00B7582D">
      <w:rPr>
        <w:rFonts w:ascii="C39T30Lfz" w:hAnsi="C39T30Lfz"/>
        <w:sz w:val="56"/>
      </w:rPr>
      <w:t></w:t>
    </w:r>
    <w:r w:rsidRPr="00B7582D">
      <w:rPr>
        <w:rFonts w:ascii="C39T30Lfz" w:hAnsi="C39T30Lfz"/>
        <w:sz w:val="56"/>
      </w:rPr>
      <w:t></w:t>
    </w:r>
    <w:r w:rsidRPr="00B7582D">
      <w:rPr>
        <w:rFonts w:ascii="C39T30Lfz" w:hAnsi="C39T30Lfz"/>
        <w:sz w:val="56"/>
      </w:rPr>
      <w:t></w:t>
    </w:r>
    <w:r w:rsidRPr="00B7582D">
      <w:rPr>
        <w:rFonts w:ascii="C39T30Lfz" w:hAnsi="C39T30Lfz"/>
        <w:sz w:val="56"/>
      </w:rPr>
      <w:t></w:t>
    </w:r>
    <w:r>
      <w:rPr>
        <w:noProof/>
        <w:sz w:val="20"/>
        <w:lang w:val="en-GB" w:eastAsia="en-GB"/>
      </w:rPr>
      <w:drawing>
        <wp:anchor distT="0" distB="0" distL="114300" distR="114300" simplePos="0" relativeHeight="251658752" behindDoc="0" locked="0" layoutInCell="1" allowOverlap="1" wp14:anchorId="3B6DFDF1" wp14:editId="05B3E00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FRA/Q/7/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RA/Q/7/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BB7" w:rsidRPr="001075E9" w:rsidRDefault="004E2BB7" w:rsidP="001075E9">
      <w:pPr>
        <w:tabs>
          <w:tab w:val="right" w:pos="2155"/>
        </w:tabs>
        <w:spacing w:after="80" w:line="240" w:lineRule="auto"/>
        <w:ind w:left="680"/>
        <w:rPr>
          <w:u w:val="single"/>
        </w:rPr>
      </w:pPr>
      <w:r>
        <w:rPr>
          <w:u w:val="single"/>
        </w:rPr>
        <w:tab/>
      </w:r>
    </w:p>
  </w:footnote>
  <w:footnote w:type="continuationSeparator" w:id="0">
    <w:p w:rsidR="004E2BB7" w:rsidRDefault="004E2BB7" w:rsidP="00407B78">
      <w:pPr>
        <w:tabs>
          <w:tab w:val="right" w:pos="2155"/>
        </w:tabs>
        <w:spacing w:after="80"/>
        <w:ind w:left="680"/>
        <w:rPr>
          <w:u w:val="single"/>
        </w:rPr>
      </w:pPr>
      <w:r>
        <w:rPr>
          <w:u w:val="single"/>
        </w:rPr>
        <w:tab/>
      </w:r>
    </w:p>
  </w:footnote>
  <w:footnote w:id="1">
    <w:p w:rsidR="004E2BB7" w:rsidRPr="008975E7" w:rsidRDefault="004E2BB7" w:rsidP="00B7582D">
      <w:pPr>
        <w:pStyle w:val="FootnoteText"/>
        <w:rPr>
          <w:szCs w:val="18"/>
        </w:rPr>
      </w:pPr>
      <w:r w:rsidRPr="008975E7">
        <w:rPr>
          <w:rStyle w:val="FootnoteReference"/>
          <w:vertAlign w:val="baseline"/>
        </w:rPr>
        <w:tab/>
        <w:t>*</w:t>
      </w:r>
      <w:r w:rsidRPr="008975E7">
        <w:rPr>
          <w:rStyle w:val="FootnoteReference"/>
          <w:vertAlign w:val="baseline"/>
        </w:rPr>
        <w:tab/>
      </w:r>
      <w:r w:rsidRPr="008975E7">
        <w:t>El presente documento se publica sin haber sido objeto de revisión editorial oficial</w:t>
      </w:r>
      <w:r w:rsidRPr="008975E7">
        <w:rPr>
          <w:szCs w:val="18"/>
          <w:lang w:eastAsia="en-GB"/>
        </w:rPr>
        <w:t>.</w:t>
      </w:r>
    </w:p>
  </w:footnote>
  <w:footnote w:id="2">
    <w:p w:rsidR="004E2BB7" w:rsidRPr="008975E7" w:rsidRDefault="004E2BB7" w:rsidP="00B7582D">
      <w:pPr>
        <w:pStyle w:val="FootnoteText"/>
        <w:rPr>
          <w:szCs w:val="18"/>
          <w:lang w:eastAsia="en-GB"/>
        </w:rPr>
      </w:pPr>
      <w:r w:rsidRPr="008975E7">
        <w:rPr>
          <w:rStyle w:val="FootnoteReference"/>
          <w:vertAlign w:val="baseline"/>
        </w:rPr>
        <w:tab/>
        <w:t>**</w:t>
      </w:r>
      <w:r w:rsidRPr="008975E7">
        <w:rPr>
          <w:rStyle w:val="FootnoteReference"/>
          <w:szCs w:val="18"/>
          <w:vertAlign w:val="baseline"/>
        </w:rPr>
        <w:tab/>
      </w:r>
      <w:r w:rsidRPr="008975E7">
        <w:rPr>
          <w:szCs w:val="18"/>
        </w:rPr>
        <w:t>Los anexos se pueden consultar en los archivos de la Secretaría</w:t>
      </w:r>
      <w:r w:rsidRPr="008975E7">
        <w:rPr>
          <w:szCs w:val="18"/>
          <w:lang w:eastAsia="en-GB"/>
        </w:rPr>
        <w:t>.</w:t>
      </w:r>
    </w:p>
  </w:footnote>
  <w:footnote w:id="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r>
      <w:proofErr w:type="spellStart"/>
      <w:r w:rsidRPr="008975E7">
        <w:rPr>
          <w:rFonts w:asciiTheme="majorBidi" w:hAnsiTheme="majorBidi" w:cstheme="majorBidi"/>
          <w:szCs w:val="18"/>
        </w:rPr>
        <w:t>Crim</w:t>
      </w:r>
      <w:proofErr w:type="spellEnd"/>
      <w:r w:rsidRPr="008975E7">
        <w:rPr>
          <w:rFonts w:asciiTheme="majorBidi" w:hAnsiTheme="majorBidi" w:cstheme="majorBidi"/>
          <w:szCs w:val="18"/>
        </w:rPr>
        <w:t>. 21 de enero de 2009, núm. 07-88.330.</w:t>
      </w:r>
    </w:p>
  </w:footnote>
  <w:footnote w:id="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CGLPL: Contralor General de los Centros de Privación de la Libertad. Se trata de una autoridad administrativa independiente, encargada de controlar las condiciones de reclusión y traslado de las personas privadas de la libertad.</w:t>
      </w:r>
    </w:p>
  </w:footnote>
  <w:footnote w:id="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Anexo núm.</w:t>
      </w:r>
      <w:r>
        <w:rPr>
          <w:rFonts w:asciiTheme="majorBidi" w:hAnsiTheme="majorBidi" w:cstheme="majorBidi"/>
          <w:szCs w:val="18"/>
        </w:rPr>
        <w:t xml:space="preserve"> </w:t>
      </w:r>
      <w:r w:rsidRPr="008975E7">
        <w:rPr>
          <w:rFonts w:asciiTheme="majorBidi" w:hAnsiTheme="majorBidi" w:cstheme="majorBidi"/>
          <w:szCs w:val="18"/>
        </w:rPr>
        <w:t>1.</w:t>
      </w:r>
    </w:p>
  </w:footnote>
  <w:footnote w:id="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Se trata de una facultad que antes incumbía a la Comisión Nacional de Deontología y Seguridad (CNDS). Una ley ordinaria de 29 de marzo de 2011 derogó los instrumentos legislativos por los que se habían instituido el Mediador de la República (Ley núm.</w:t>
      </w:r>
      <w:r>
        <w:rPr>
          <w:rFonts w:asciiTheme="majorBidi" w:hAnsiTheme="majorBidi" w:cstheme="majorBidi"/>
          <w:szCs w:val="18"/>
        </w:rPr>
        <w:t xml:space="preserve"> </w:t>
      </w:r>
      <w:r w:rsidRPr="008975E7">
        <w:rPr>
          <w:rFonts w:asciiTheme="majorBidi" w:hAnsiTheme="majorBidi" w:cstheme="majorBidi"/>
          <w:szCs w:val="18"/>
        </w:rPr>
        <w:t>73-6 de 3 de enero de 1973),</w:t>
      </w:r>
      <w:r>
        <w:rPr>
          <w:rFonts w:asciiTheme="majorBidi" w:hAnsiTheme="majorBidi" w:cstheme="majorBidi"/>
          <w:szCs w:val="18"/>
        </w:rPr>
        <w:t xml:space="preserve"> el Defensor del Niño (Ley núm. </w:t>
      </w:r>
      <w:r w:rsidRPr="008975E7">
        <w:rPr>
          <w:rFonts w:asciiTheme="majorBidi" w:hAnsiTheme="majorBidi" w:cstheme="majorBidi"/>
          <w:szCs w:val="18"/>
        </w:rPr>
        <w:t>2000-196 de 6 de marzo de 2000), la Comisión Nacional de Deontología y Seguridad (</w:t>
      </w:r>
      <w:hyperlink r:id="rId1" w:tgtFrame="_self" w:history="1">
        <w:r w:rsidRPr="008975E7">
          <w:t>Ley</w:t>
        </w:r>
        <w:r w:rsidRPr="008975E7">
          <w:rPr>
            <w:rStyle w:val="Hyperlink"/>
            <w:rFonts w:asciiTheme="majorBidi" w:hAnsiTheme="majorBidi" w:cstheme="majorBidi"/>
            <w:color w:val="auto"/>
            <w:szCs w:val="18"/>
          </w:rPr>
          <w:t xml:space="preserve"> </w:t>
        </w:r>
        <w:r w:rsidRPr="008975E7">
          <w:rPr>
            <w:rFonts w:asciiTheme="majorBidi" w:hAnsiTheme="majorBidi" w:cstheme="majorBidi"/>
            <w:szCs w:val="18"/>
          </w:rPr>
          <w:t>núm.</w:t>
        </w:r>
        <w:r>
          <w:rPr>
            <w:rFonts w:asciiTheme="majorBidi" w:hAnsiTheme="majorBidi" w:cstheme="majorBidi"/>
            <w:szCs w:val="18"/>
          </w:rPr>
          <w:t xml:space="preserve"> </w:t>
        </w:r>
        <w:r w:rsidRPr="008975E7">
          <w:rPr>
            <w:rStyle w:val="Hyperlink"/>
            <w:rFonts w:asciiTheme="majorBidi" w:hAnsiTheme="majorBidi" w:cstheme="majorBidi"/>
            <w:color w:val="auto"/>
            <w:szCs w:val="18"/>
          </w:rPr>
          <w:t>2000-494 de 6 de junio de 2000</w:t>
        </w:r>
      </w:hyperlink>
      <w:r w:rsidRPr="008975E7">
        <w:rPr>
          <w:rFonts w:asciiTheme="majorBidi" w:hAnsiTheme="majorBidi" w:cstheme="majorBidi"/>
          <w:szCs w:val="18"/>
        </w:rPr>
        <w:t>) y la Alta Autoridad para la Lucha contra la Discriminación y en Pro de la Igualdad (ley de  30 de diciembre de 2004).</w:t>
      </w:r>
    </w:p>
  </w:footnote>
  <w:footnote w:id="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En la División de Admisibilidad, Orientación y Acceso al Derecho.</w:t>
      </w:r>
    </w:p>
  </w:footnote>
  <w:footnote w:id="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 xml:space="preserve">Arts. 18 y 20 de la Ley Orgánica </w:t>
      </w:r>
      <w:r>
        <w:rPr>
          <w:rFonts w:asciiTheme="majorBidi" w:hAnsiTheme="majorBidi" w:cstheme="majorBidi"/>
          <w:szCs w:val="18"/>
        </w:rPr>
        <w:t xml:space="preserve">núm. </w:t>
      </w:r>
      <w:r w:rsidRPr="008975E7">
        <w:rPr>
          <w:rFonts w:asciiTheme="majorBidi" w:hAnsiTheme="majorBidi" w:cstheme="majorBidi"/>
          <w:szCs w:val="18"/>
        </w:rPr>
        <w:t>2011-333 de 29 de marzo de 2011, relativa al Defensor de los Derechos Humanos.</w:t>
      </w:r>
    </w:p>
  </w:footnote>
  <w:footnote w:id="9">
    <w:p w:rsidR="004E2BB7" w:rsidRPr="008975E7" w:rsidRDefault="004E2BB7" w:rsidP="00B7582D">
      <w:pPr>
        <w:pStyle w:val="FootnoteText"/>
        <w:rPr>
          <w:rFonts w:asciiTheme="majorBidi" w:hAnsiTheme="majorBidi" w:cstheme="majorBidi"/>
          <w:szCs w:val="18"/>
          <w:lang w:val="en-US"/>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lang w:val="en-US"/>
        </w:rPr>
        <w:tab/>
      </w:r>
      <w:proofErr w:type="gramStart"/>
      <w:r w:rsidRPr="00D570D0">
        <w:rPr>
          <w:rFonts w:asciiTheme="majorBidi" w:hAnsiTheme="majorBidi" w:cstheme="majorBidi"/>
          <w:i/>
          <w:szCs w:val="18"/>
          <w:lang w:val="en-US"/>
        </w:rPr>
        <w:t>Idem.</w:t>
      </w:r>
      <w:r w:rsidRPr="008975E7">
        <w:rPr>
          <w:rFonts w:asciiTheme="majorBidi" w:hAnsiTheme="majorBidi" w:cstheme="majorBidi"/>
          <w:szCs w:val="18"/>
          <w:lang w:val="en-US"/>
        </w:rPr>
        <w:t>,</w:t>
      </w:r>
      <w:proofErr w:type="gramEnd"/>
      <w:r w:rsidRPr="008975E7">
        <w:rPr>
          <w:rFonts w:asciiTheme="majorBidi" w:hAnsiTheme="majorBidi" w:cstheme="majorBidi"/>
          <w:szCs w:val="18"/>
          <w:lang w:val="en-US"/>
        </w:rPr>
        <w:t xml:space="preserve"> art. 22.</w:t>
      </w:r>
    </w:p>
  </w:footnote>
  <w:footnote w:id="10">
    <w:p w:rsidR="004E2BB7" w:rsidRPr="008975E7" w:rsidRDefault="004E2BB7" w:rsidP="00B7582D">
      <w:pPr>
        <w:pStyle w:val="FootnoteText"/>
        <w:rPr>
          <w:rFonts w:asciiTheme="majorBidi" w:hAnsiTheme="majorBidi" w:cstheme="majorBidi"/>
          <w:szCs w:val="18"/>
          <w:lang w:val="en-US"/>
        </w:rPr>
      </w:pPr>
      <w:r w:rsidRPr="008975E7">
        <w:rPr>
          <w:rFonts w:asciiTheme="majorBidi" w:hAnsiTheme="majorBidi" w:cstheme="majorBidi"/>
          <w:szCs w:val="18"/>
          <w:lang w:val="en-US"/>
        </w:rPr>
        <w:tab/>
      </w:r>
      <w:r w:rsidRPr="00B7582D">
        <w:rPr>
          <w:rStyle w:val="FootnoteReference"/>
        </w:rPr>
        <w:footnoteRef/>
      </w:r>
      <w:r w:rsidRPr="008975E7">
        <w:rPr>
          <w:rStyle w:val="FootnoteReference"/>
          <w:rFonts w:asciiTheme="majorBidi" w:hAnsiTheme="majorBidi" w:cstheme="majorBidi"/>
          <w:szCs w:val="18"/>
          <w:vertAlign w:val="baseline"/>
          <w:lang w:val="en-US"/>
        </w:rPr>
        <w:tab/>
      </w:r>
      <w:proofErr w:type="gramStart"/>
      <w:r w:rsidRPr="00D570D0">
        <w:rPr>
          <w:rFonts w:asciiTheme="majorBidi" w:hAnsiTheme="majorBidi" w:cstheme="majorBidi"/>
          <w:i/>
          <w:szCs w:val="18"/>
          <w:lang w:val="en-US"/>
        </w:rPr>
        <w:t>Ibid</w:t>
      </w:r>
      <w:r w:rsidRPr="008975E7">
        <w:rPr>
          <w:rFonts w:asciiTheme="majorBidi" w:hAnsiTheme="majorBidi" w:cstheme="majorBidi"/>
          <w:szCs w:val="18"/>
          <w:lang w:val="en-US"/>
        </w:rPr>
        <w:t>.,</w:t>
      </w:r>
      <w:proofErr w:type="gramEnd"/>
      <w:r w:rsidRPr="008975E7">
        <w:rPr>
          <w:rFonts w:asciiTheme="majorBidi" w:hAnsiTheme="majorBidi" w:cstheme="majorBidi"/>
          <w:szCs w:val="18"/>
          <w:lang w:val="en-US"/>
        </w:rPr>
        <w:t xml:space="preserve"> art. 29.</w:t>
      </w:r>
    </w:p>
  </w:footnote>
  <w:footnote w:id="11">
    <w:p w:rsidR="004E2BB7" w:rsidRDefault="004E2BB7">
      <w:pPr>
        <w:pStyle w:val="FootnoteText"/>
      </w:pPr>
      <w:r>
        <w:tab/>
      </w:r>
      <w:r>
        <w:rPr>
          <w:rStyle w:val="FootnoteReference"/>
        </w:rPr>
        <w:footnoteRef/>
      </w:r>
      <w:r>
        <w:tab/>
        <w:t>Anexo núm. 2</w:t>
      </w:r>
    </w:p>
  </w:footnote>
  <w:footnote w:id="12">
    <w:p w:rsidR="004E2BB7" w:rsidRPr="008975E7" w:rsidRDefault="004E2BB7" w:rsidP="00B7582D">
      <w:pPr>
        <w:pStyle w:val="FootnoteText"/>
        <w:rPr>
          <w:rFonts w:asciiTheme="majorBidi" w:hAnsiTheme="majorBidi" w:cstheme="majorBidi"/>
          <w:szCs w:val="18"/>
        </w:rPr>
      </w:pPr>
      <w:r w:rsidRPr="00084A28">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Empleo de la fuerza física o de armas, empleo de medios de coerción o de equipo que no corresponda al establecimiento o admisión indebida.</w:t>
      </w:r>
    </w:p>
  </w:footnote>
  <w:footnote w:id="1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Pr>
          <w:rFonts w:asciiTheme="majorBidi" w:hAnsiTheme="majorBidi" w:cstheme="majorBidi"/>
          <w:szCs w:val="18"/>
        </w:rPr>
        <w:t xml:space="preserve">Ley núm. </w:t>
      </w:r>
      <w:r w:rsidRPr="008975E7">
        <w:rPr>
          <w:rFonts w:asciiTheme="majorBidi" w:hAnsiTheme="majorBidi" w:cstheme="majorBidi"/>
          <w:szCs w:val="18"/>
        </w:rPr>
        <w:t>2011-392 de 14 de abril de 2011, relativa a la detención policial.</w:t>
      </w:r>
    </w:p>
  </w:footnote>
  <w:footnote w:id="1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 xml:space="preserve">Artículo 63-3-1 del </w:t>
      </w:r>
      <w:r w:rsidRPr="008975E7">
        <w:t>Código de Procedimiento Penal</w:t>
      </w:r>
      <w:r w:rsidRPr="008975E7">
        <w:rPr>
          <w:rFonts w:asciiTheme="majorBidi" w:hAnsiTheme="majorBidi" w:cstheme="majorBidi"/>
          <w:szCs w:val="18"/>
        </w:rPr>
        <w:t>.</w:t>
      </w:r>
    </w:p>
  </w:footnote>
  <w:footnote w:id="1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 xml:space="preserve">Artículo 706-88 del </w:t>
      </w:r>
      <w:r w:rsidRPr="008975E7">
        <w:t>Código de Procedimiento Penal</w:t>
      </w:r>
      <w:r w:rsidRPr="008975E7">
        <w:rPr>
          <w:rFonts w:asciiTheme="majorBidi" w:hAnsiTheme="majorBidi" w:cstheme="majorBidi"/>
          <w:szCs w:val="18"/>
        </w:rPr>
        <w:t>.</w:t>
      </w:r>
    </w:p>
  </w:footnote>
  <w:footnote w:id="1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4 de la ordenanza núm.</w:t>
      </w:r>
      <w:r>
        <w:rPr>
          <w:rFonts w:asciiTheme="majorBidi" w:hAnsiTheme="majorBidi" w:cstheme="majorBidi"/>
          <w:szCs w:val="18"/>
        </w:rPr>
        <w:t xml:space="preserve"> </w:t>
      </w:r>
      <w:r w:rsidRPr="008975E7">
        <w:rPr>
          <w:rFonts w:asciiTheme="majorBidi" w:hAnsiTheme="majorBidi" w:cstheme="majorBidi"/>
          <w:szCs w:val="18"/>
        </w:rPr>
        <w:t>45-174 de 2 de febrero de 1945, relativa al menor infractor.</w:t>
      </w:r>
    </w:p>
  </w:footnote>
  <w:footnote w:id="1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Véase lo dispuesto en los artículos 63-3-1 a 63-4-3 del </w:t>
      </w:r>
      <w:r w:rsidRPr="008975E7">
        <w:t>Código de Procedimiento Penal</w:t>
      </w:r>
      <w:r w:rsidRPr="008975E7">
        <w:rPr>
          <w:rFonts w:asciiTheme="majorBidi" w:hAnsiTheme="majorBidi" w:cstheme="majorBidi"/>
          <w:szCs w:val="18"/>
        </w:rPr>
        <w:t>.</w:t>
      </w:r>
    </w:p>
  </w:footnote>
  <w:footnote w:id="1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Ya sea para permitir la buena marcha de una investigación urgente que apunte a reunir o conservar pruebas o para prevenir un delito inminente contra la persona. .</w:t>
      </w:r>
    </w:p>
  </w:footnote>
  <w:footnote w:id="1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Artículo 706-88 del </w:t>
      </w:r>
      <w:r w:rsidRPr="008975E7">
        <w:t>Código de Procedimiento Penal</w:t>
      </w:r>
      <w:r w:rsidRPr="008975E7">
        <w:rPr>
          <w:rFonts w:asciiTheme="majorBidi" w:hAnsiTheme="majorBidi" w:cstheme="majorBidi"/>
          <w:szCs w:val="18"/>
        </w:rPr>
        <w:t>.</w:t>
      </w:r>
    </w:p>
  </w:footnote>
  <w:footnote w:id="2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Ley núm.</w:t>
      </w:r>
      <w:r>
        <w:rPr>
          <w:rFonts w:asciiTheme="majorBidi" w:hAnsiTheme="majorBidi" w:cstheme="majorBidi"/>
          <w:szCs w:val="18"/>
        </w:rPr>
        <w:t xml:space="preserve"> </w:t>
      </w:r>
      <w:r w:rsidRPr="008975E7">
        <w:rPr>
          <w:rFonts w:asciiTheme="majorBidi" w:hAnsiTheme="majorBidi" w:cstheme="majorBidi"/>
          <w:szCs w:val="18"/>
        </w:rPr>
        <w:t>2009-1436 de 24 de noviembre de 2009.</w:t>
      </w:r>
    </w:p>
  </w:footnote>
  <w:footnote w:id="2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En este sistema únicamente se controlan los horarios de presencia en el domicilio.</w:t>
      </w:r>
    </w:p>
  </w:footnote>
  <w:footnote w:id="2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Artículos 142-5 y 723-8 del </w:t>
      </w:r>
      <w:r w:rsidRPr="008975E7">
        <w:t>Código de Procedimiento Penal</w:t>
      </w:r>
      <w:r w:rsidRPr="008975E7">
        <w:rPr>
          <w:rFonts w:asciiTheme="majorBidi" w:hAnsiTheme="majorBidi" w:cstheme="majorBidi"/>
          <w:szCs w:val="18"/>
        </w:rPr>
        <w:t>.</w:t>
      </w:r>
    </w:p>
  </w:footnote>
  <w:footnote w:id="2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En la detención domiciliaria con vigilancia móvil (ARSEM) se utiliza un GPS, lo que permite localizar a la persona a toda hora del día o la noche.</w:t>
      </w:r>
    </w:p>
  </w:footnote>
  <w:footnote w:id="24">
    <w:p w:rsidR="004E2BB7" w:rsidRPr="008975E7" w:rsidRDefault="004E2BB7" w:rsidP="00B7582D">
      <w:pPr>
        <w:pStyle w:val="FootnoteText"/>
        <w:rPr>
          <w:rFonts w:asciiTheme="majorBidi" w:hAnsiTheme="majorBidi" w:cstheme="majorBidi"/>
          <w:szCs w:val="18"/>
        </w:rPr>
      </w:pPr>
      <w:r>
        <w:rPr>
          <w:rFonts w:asciiTheme="majorBidi" w:hAnsiTheme="majorBidi" w:cstheme="majorBidi"/>
          <w:szCs w:val="18"/>
        </w:rPr>
        <w:tab/>
      </w:r>
      <w:r w:rsidRPr="00B7582D">
        <w:rPr>
          <w:rStyle w:val="FootnoteReference"/>
        </w:rPr>
        <w:footnoteRef/>
      </w:r>
      <w:r>
        <w:rPr>
          <w:rFonts w:asciiTheme="majorBidi" w:hAnsiTheme="majorBidi" w:cstheme="majorBidi"/>
          <w:szCs w:val="18"/>
        </w:rPr>
        <w:tab/>
      </w:r>
      <w:r w:rsidRPr="008975E7">
        <w:rPr>
          <w:rFonts w:asciiTheme="majorBidi" w:hAnsiTheme="majorBidi" w:cstheme="majorBidi"/>
          <w:szCs w:val="18"/>
        </w:rPr>
        <w:t>En la vigilancia electrónica móvil (PSEM) se utiliza un GPS.</w:t>
      </w:r>
    </w:p>
  </w:footnote>
  <w:footnote w:id="2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t>Artículos 142-5 y</w:t>
      </w:r>
      <w:r w:rsidRPr="008975E7">
        <w:rPr>
          <w:rFonts w:asciiTheme="majorBidi" w:hAnsiTheme="majorBidi" w:cstheme="majorBidi"/>
          <w:szCs w:val="18"/>
        </w:rPr>
        <w:t xml:space="preserve"> 763-12 del Código de Procedimiento Penal.</w:t>
      </w:r>
    </w:p>
  </w:footnote>
  <w:footnote w:id="2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Tanto antes como después de la sentencia.</w:t>
      </w:r>
    </w:p>
  </w:footnote>
  <w:footnote w:id="2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r>
      <w:r>
        <w:rPr>
          <w:rFonts w:asciiTheme="majorBidi" w:hAnsiTheme="majorBidi" w:cstheme="majorBidi"/>
          <w:szCs w:val="18"/>
        </w:rPr>
        <w:t>Treinta y un</w:t>
      </w:r>
      <w:r w:rsidRPr="008975E7">
        <w:rPr>
          <w:rFonts w:asciiTheme="majorBidi" w:hAnsiTheme="majorBidi" w:cstheme="majorBidi"/>
          <w:szCs w:val="18"/>
        </w:rPr>
        <w:t xml:space="preserve"> personas desde que se estableció el sistema en 2008.</w:t>
      </w:r>
    </w:p>
  </w:footnote>
  <w:footnote w:id="2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r>
      <w:r w:rsidRPr="008975E7">
        <w:rPr>
          <w:rFonts w:asciiTheme="majorBidi" w:hAnsiTheme="majorBidi" w:cstheme="majorBidi"/>
          <w:szCs w:val="18"/>
        </w:rPr>
        <w:t>Esta Comisión ha retomado recientemente sus funciones.</w:t>
      </w:r>
    </w:p>
  </w:footnote>
  <w:footnote w:id="2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 xml:space="preserve">En el sentido de las disposiciones del artículo 144-1 del </w:t>
      </w:r>
      <w:r w:rsidRPr="008975E7">
        <w:t>Código de Procedimiento Penal</w:t>
      </w:r>
      <w:r w:rsidRPr="008975E7">
        <w:rPr>
          <w:rFonts w:asciiTheme="majorBidi" w:hAnsiTheme="majorBidi" w:cstheme="majorBidi"/>
          <w:szCs w:val="18"/>
        </w:rPr>
        <w:t xml:space="preserve"> y de los artículos 5 y 6 del Convenio Europeo de Derechos Humanos.</w:t>
      </w:r>
    </w:p>
  </w:footnote>
  <w:footnote w:id="3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Como recintos penitenciarios, hospitales psiquiátricos, recintos de detención policial, celdas en los tribunales, centros de retención administrativa o internados.</w:t>
      </w:r>
    </w:p>
  </w:footnote>
  <w:footnote w:id="3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Ley núm.</w:t>
      </w:r>
      <w:r>
        <w:rPr>
          <w:rFonts w:asciiTheme="majorBidi" w:hAnsiTheme="majorBidi" w:cstheme="majorBidi"/>
          <w:szCs w:val="18"/>
        </w:rPr>
        <w:t xml:space="preserve"> </w:t>
      </w:r>
      <w:r w:rsidRPr="008975E7">
        <w:rPr>
          <w:rFonts w:asciiTheme="majorBidi" w:hAnsiTheme="majorBidi" w:cstheme="majorBidi"/>
          <w:szCs w:val="18"/>
        </w:rPr>
        <w:t>2013-711 de 5 de agosto de 2013, que contiene diversas disposiciones para adaptar el sistema de justicia al derecho de la Unión Europea y a los compromisos internacionales de Francia y que recoge las disposiciones de la directiva europea de 5 de abril de 2011 (Directiva 2011/36/UE relativa a la prevención de la trata de seres humanos y la lucha contra este fenómeno, así como a la protección de sus víctimas).</w:t>
      </w:r>
    </w:p>
  </w:footnote>
  <w:footnote w:id="3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 xml:space="preserve">Artículos 225-4-1 </w:t>
      </w:r>
      <w:r>
        <w:rPr>
          <w:rFonts w:asciiTheme="majorBidi" w:hAnsiTheme="majorBidi" w:cstheme="majorBidi"/>
          <w:szCs w:val="18"/>
        </w:rPr>
        <w:t xml:space="preserve">y </w:t>
      </w:r>
      <w:r w:rsidRPr="008975E7">
        <w:rPr>
          <w:rFonts w:asciiTheme="majorBidi" w:hAnsiTheme="majorBidi" w:cstheme="majorBidi"/>
          <w:szCs w:val="18"/>
        </w:rPr>
        <w:t>225-4-2</w:t>
      </w:r>
      <w:r>
        <w:rPr>
          <w:rFonts w:asciiTheme="majorBidi" w:hAnsiTheme="majorBidi" w:cstheme="majorBidi"/>
          <w:szCs w:val="18"/>
        </w:rPr>
        <w:t xml:space="preserve"> </w:t>
      </w:r>
      <w:r w:rsidRPr="008975E7">
        <w:rPr>
          <w:rFonts w:asciiTheme="majorBidi" w:hAnsiTheme="majorBidi" w:cstheme="majorBidi"/>
          <w:szCs w:val="18"/>
        </w:rPr>
        <w:t>del Código Penal.</w:t>
      </w:r>
    </w:p>
  </w:footnote>
  <w:footnote w:id="3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Circular de 22 de enero de 2015, NOR: JUSD1501974C, relativa a la política penal en materia de lucha contra la trata de seres humanos.</w:t>
      </w:r>
    </w:p>
  </w:footnote>
  <w:footnote w:id="3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En el sentido de los artículos 225-4-1 y siguientes del Código Penal.</w:t>
      </w:r>
    </w:p>
  </w:footnote>
  <w:footnote w:id="3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Las cifras correspondientes a 2015 no estarán disponibles antes de octubre de 2016.</w:t>
      </w:r>
    </w:p>
  </w:footnote>
  <w:footnote w:id="3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r>
      <w:r w:rsidRPr="008975E7">
        <w:rPr>
          <w:rFonts w:asciiTheme="majorBidi" w:hAnsiTheme="majorBidi" w:cstheme="majorBidi"/>
          <w:szCs w:val="18"/>
        </w:rPr>
        <w:t xml:space="preserve">Establecido en 2001 a título experimental por decreto de 13 de septiembre </w:t>
      </w:r>
      <w:r>
        <w:rPr>
          <w:rFonts w:asciiTheme="majorBidi" w:hAnsiTheme="majorBidi" w:cstheme="majorBidi"/>
          <w:szCs w:val="18"/>
        </w:rPr>
        <w:t xml:space="preserve">de 2007* y por la circular núm. </w:t>
      </w:r>
      <w:r w:rsidRPr="008975E7">
        <w:rPr>
          <w:rFonts w:asciiTheme="majorBidi" w:hAnsiTheme="majorBidi" w:cstheme="majorBidi"/>
          <w:szCs w:val="18"/>
        </w:rPr>
        <w:t xml:space="preserve">IMIM0900054C, de 5 de febrero de 2009, relativa a </w:t>
      </w:r>
      <w:r>
        <w:rPr>
          <w:rFonts w:asciiTheme="majorBidi" w:hAnsiTheme="majorBidi" w:cstheme="majorBidi"/>
          <w:szCs w:val="18"/>
        </w:rPr>
        <w:t>“</w:t>
      </w:r>
      <w:r w:rsidRPr="008975E7">
        <w:rPr>
          <w:rFonts w:asciiTheme="majorBidi" w:hAnsiTheme="majorBidi" w:cstheme="majorBidi"/>
          <w:szCs w:val="18"/>
        </w:rPr>
        <w:t>las condiciones que regulan la concesión del permiso de residencia a los extranjeros víctimas de trata de personas o de proxenetismo y que cooperan con las autoridades judiciales</w:t>
      </w:r>
      <w:r>
        <w:rPr>
          <w:rFonts w:asciiTheme="majorBidi" w:hAnsiTheme="majorBidi" w:cstheme="majorBidi"/>
          <w:szCs w:val="18"/>
        </w:rPr>
        <w:t>”</w:t>
      </w:r>
      <w:r w:rsidRPr="008975E7">
        <w:rPr>
          <w:rFonts w:asciiTheme="majorBidi" w:hAnsiTheme="majorBidi" w:cstheme="majorBidi"/>
          <w:szCs w:val="18"/>
        </w:rPr>
        <w:t xml:space="preserve">. </w:t>
      </w:r>
    </w:p>
    <w:p w:rsidR="004E2BB7" w:rsidRPr="008975E7" w:rsidRDefault="004E2BB7" w:rsidP="00B7582D">
      <w:pPr>
        <w:pStyle w:val="FootnoteText"/>
        <w:rPr>
          <w:rFonts w:asciiTheme="majorBidi" w:hAnsiTheme="majorBidi" w:cstheme="majorBidi"/>
          <w:szCs w:val="18"/>
        </w:rPr>
      </w:pPr>
      <w:r>
        <w:rPr>
          <w:rFonts w:asciiTheme="majorBidi" w:hAnsiTheme="majorBidi" w:cstheme="majorBidi"/>
          <w:szCs w:val="18"/>
        </w:rPr>
        <w:tab/>
        <w:t>*</w:t>
      </w:r>
      <w:r>
        <w:rPr>
          <w:rFonts w:asciiTheme="majorBidi" w:hAnsiTheme="majorBidi" w:cstheme="majorBidi"/>
          <w:szCs w:val="18"/>
        </w:rPr>
        <w:tab/>
        <w:t>CASF</w:t>
      </w:r>
      <w:r w:rsidRPr="008975E7">
        <w:rPr>
          <w:rFonts w:asciiTheme="majorBidi" w:hAnsiTheme="majorBidi" w:cstheme="majorBidi"/>
          <w:szCs w:val="18"/>
        </w:rPr>
        <w:t>: Código de Acción Social y de la Familia. Se hace referencia este dispositivo en los artículos R316-1 y R316-8 del Código de Entrada y Estancia de Extranjeros y Derecho de Asilo (CESEDA) y L.345-1 del CASF.</w:t>
      </w:r>
    </w:p>
  </w:footnote>
  <w:footnote w:id="3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Al 31 de diciembre de 2014, el dispositivo nacional </w:t>
      </w:r>
      <w:proofErr w:type="spellStart"/>
      <w:r w:rsidRPr="008975E7">
        <w:rPr>
          <w:rFonts w:asciiTheme="majorBidi" w:hAnsiTheme="majorBidi" w:cstheme="majorBidi"/>
          <w:szCs w:val="18"/>
        </w:rPr>
        <w:t>Ac.Sé</w:t>
      </w:r>
      <w:proofErr w:type="spellEnd"/>
      <w:r w:rsidRPr="008975E7">
        <w:rPr>
          <w:rFonts w:asciiTheme="majorBidi" w:hAnsiTheme="majorBidi" w:cstheme="majorBidi"/>
          <w:szCs w:val="18"/>
        </w:rPr>
        <w:t xml:space="preserve"> agrupaba a una red de </w:t>
      </w:r>
      <w:r>
        <w:rPr>
          <w:rFonts w:asciiTheme="majorBidi" w:hAnsiTheme="majorBidi" w:cstheme="majorBidi"/>
          <w:szCs w:val="18"/>
        </w:rPr>
        <w:t>45</w:t>
      </w:r>
      <w:r w:rsidRPr="008975E7">
        <w:rPr>
          <w:rFonts w:asciiTheme="majorBidi" w:hAnsiTheme="majorBidi" w:cstheme="majorBidi"/>
          <w:szCs w:val="18"/>
        </w:rPr>
        <w:t xml:space="preserve"> centros de alojamiento y de reinserción social y lugares de acogida y a 23 asociaciones especializadas. El dispositivo </w:t>
      </w:r>
      <w:r>
        <w:rPr>
          <w:rFonts w:asciiTheme="majorBidi" w:hAnsiTheme="majorBidi" w:cstheme="majorBidi"/>
          <w:szCs w:val="18"/>
        </w:rPr>
        <w:t xml:space="preserve">ha </w:t>
      </w:r>
      <w:r w:rsidRPr="008975E7">
        <w:rPr>
          <w:rFonts w:asciiTheme="majorBidi" w:hAnsiTheme="majorBidi" w:cstheme="majorBidi"/>
          <w:szCs w:val="18"/>
        </w:rPr>
        <w:t xml:space="preserve">hecho posible proponer soluciones para acoger a 70 personas, de las cuales se ha acogido efectivamente a </w:t>
      </w:r>
      <w:r>
        <w:rPr>
          <w:rFonts w:asciiTheme="majorBidi" w:hAnsiTheme="majorBidi" w:cstheme="majorBidi"/>
          <w:szCs w:val="18"/>
        </w:rPr>
        <w:t>52</w:t>
      </w:r>
      <w:r w:rsidRPr="008975E7">
        <w:rPr>
          <w:rFonts w:asciiTheme="majorBidi" w:hAnsiTheme="majorBidi" w:cstheme="majorBidi"/>
          <w:szCs w:val="18"/>
        </w:rPr>
        <w:t xml:space="preserve"> en los centros de acogida del dispositivo y se ha prestado asistencia a 10 para su retorno.</w:t>
      </w:r>
    </w:p>
  </w:footnote>
  <w:footnote w:id="3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Una subvención de 7.000 euros en 2015.</w:t>
      </w:r>
    </w:p>
  </w:footnote>
  <w:footnote w:id="3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En 2014, 167 personas recibieron asistencia jurídica.</w:t>
      </w:r>
    </w:p>
  </w:footnote>
  <w:footnote w:id="4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Misión interministerial para la protección de la mujer contra la violencia y la lucha contra la trata de personas, establecida en 2013 y subordinada al Ministerio de los Derechos de la Mujer.</w:t>
      </w:r>
    </w:p>
  </w:footnote>
  <w:footnote w:id="4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Firmaron el acuerdo la Fiscalía del Menor, la TPE de París, la PJJ, la ASE, servicios de investigación, abogados, la asociación </w:t>
      </w:r>
      <w:proofErr w:type="spellStart"/>
      <w:r w:rsidRPr="008975E7">
        <w:rPr>
          <w:rFonts w:asciiTheme="majorBidi" w:hAnsiTheme="majorBidi" w:cstheme="majorBidi"/>
          <w:i/>
          <w:szCs w:val="18"/>
        </w:rPr>
        <w:t>Hors</w:t>
      </w:r>
      <w:proofErr w:type="spellEnd"/>
      <w:r w:rsidRPr="008975E7">
        <w:rPr>
          <w:rFonts w:asciiTheme="majorBidi" w:hAnsiTheme="majorBidi" w:cstheme="majorBidi"/>
          <w:i/>
          <w:szCs w:val="18"/>
        </w:rPr>
        <w:t xml:space="preserve"> la rue</w:t>
      </w:r>
      <w:r w:rsidRPr="008975E7">
        <w:rPr>
          <w:rFonts w:asciiTheme="majorBidi" w:hAnsiTheme="majorBidi" w:cstheme="majorBidi"/>
          <w:szCs w:val="18"/>
        </w:rPr>
        <w:t xml:space="preserve"> y el colectivo </w:t>
      </w:r>
      <w:proofErr w:type="spellStart"/>
      <w:r w:rsidRPr="008975E7">
        <w:rPr>
          <w:rFonts w:asciiTheme="majorBidi" w:hAnsiTheme="majorBidi" w:cstheme="majorBidi"/>
          <w:i/>
          <w:szCs w:val="18"/>
        </w:rPr>
        <w:t>Ensemble</w:t>
      </w:r>
      <w:proofErr w:type="spellEnd"/>
      <w:r w:rsidRPr="008975E7">
        <w:rPr>
          <w:rFonts w:asciiTheme="majorBidi" w:hAnsiTheme="majorBidi" w:cstheme="majorBidi"/>
          <w:i/>
          <w:szCs w:val="18"/>
        </w:rPr>
        <w:t xml:space="preserve"> </w:t>
      </w:r>
      <w:proofErr w:type="spellStart"/>
      <w:r w:rsidRPr="008975E7">
        <w:rPr>
          <w:rFonts w:asciiTheme="majorBidi" w:hAnsiTheme="majorBidi" w:cstheme="majorBidi"/>
          <w:i/>
          <w:szCs w:val="18"/>
        </w:rPr>
        <w:t>contre</w:t>
      </w:r>
      <w:proofErr w:type="spellEnd"/>
      <w:r w:rsidRPr="008975E7">
        <w:rPr>
          <w:rFonts w:asciiTheme="majorBidi" w:hAnsiTheme="majorBidi" w:cstheme="majorBidi"/>
          <w:i/>
          <w:szCs w:val="18"/>
        </w:rPr>
        <w:t xml:space="preserve"> la traite</w:t>
      </w:r>
      <w:r w:rsidRPr="008975E7">
        <w:rPr>
          <w:rFonts w:asciiTheme="majorBidi" w:hAnsiTheme="majorBidi" w:cstheme="majorBidi"/>
          <w:szCs w:val="18"/>
        </w:rPr>
        <w:t>, la Municipalidad de Par</w:t>
      </w:r>
      <w:r>
        <w:rPr>
          <w:rFonts w:asciiTheme="majorBidi" w:hAnsiTheme="majorBidi" w:cstheme="majorBidi"/>
          <w:szCs w:val="18"/>
        </w:rPr>
        <w:t xml:space="preserve">ís y la Secretaría General del </w:t>
      </w:r>
      <w:r w:rsidRPr="008975E7">
        <w:rPr>
          <w:rFonts w:asciiTheme="majorBidi" w:hAnsiTheme="majorBidi" w:cstheme="majorBidi"/>
          <w:szCs w:val="18"/>
        </w:rPr>
        <w:t>CIPD.</w:t>
      </w:r>
    </w:p>
  </w:footnote>
  <w:footnote w:id="4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Decisiones de la Oficina Francesa de Protección de los Refugiados y los Apátridas </w:t>
      </w:r>
      <w:r w:rsidRPr="008975E7">
        <w:rPr>
          <w:rFonts w:asciiTheme="majorBidi" w:eastAsia="Calibri" w:hAnsiTheme="majorBidi" w:cstheme="majorBidi"/>
          <w:szCs w:val="18"/>
        </w:rPr>
        <w:t xml:space="preserve">(OFPRA) </w:t>
      </w:r>
      <w:r w:rsidRPr="008975E7">
        <w:rPr>
          <w:rFonts w:asciiTheme="majorBidi" w:hAnsiTheme="majorBidi" w:cstheme="majorBidi"/>
          <w:szCs w:val="18"/>
        </w:rPr>
        <w:t>y el Tribunal Nacional del Derecho de Asilo</w:t>
      </w:r>
      <w:r w:rsidRPr="008975E7">
        <w:rPr>
          <w:rFonts w:asciiTheme="majorBidi" w:eastAsia="Calibri" w:hAnsiTheme="majorBidi" w:cstheme="majorBidi"/>
          <w:szCs w:val="18"/>
        </w:rPr>
        <w:t xml:space="preserve"> (CNDA). El artículo L. 713-1 del Código de Entrada y Estancia de los Extranjeros y Derecho de Asilo dispone que la OFPRA estará encargada de conceder la condición de refugiado y otorgar protección subsidiaria. La OFPRA es un organismo público dotado de personalidad jurídica y autonomía financiera y administrativa (art.</w:t>
      </w:r>
      <w:r>
        <w:rPr>
          <w:rFonts w:asciiTheme="majorBidi" w:eastAsia="Calibri" w:hAnsiTheme="majorBidi" w:cstheme="majorBidi"/>
          <w:szCs w:val="18"/>
        </w:rPr>
        <w:t xml:space="preserve"> </w:t>
      </w:r>
      <w:r w:rsidRPr="008975E7">
        <w:rPr>
          <w:rFonts w:asciiTheme="majorBidi" w:eastAsia="Calibri" w:hAnsiTheme="majorBidi" w:cstheme="majorBidi"/>
          <w:szCs w:val="18"/>
        </w:rPr>
        <w:t>L. 721-1 del mismo código). El CNDA es una instancia administrativa que conoce en apelación de las decisiones de la OFPRA.</w:t>
      </w:r>
    </w:p>
  </w:footnote>
  <w:footnote w:id="4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Anexo núm. 7.</w:t>
      </w:r>
    </w:p>
  </w:footnote>
  <w:footnote w:id="44">
    <w:p w:rsidR="004E2BB7" w:rsidRPr="008975E7" w:rsidRDefault="004E2BB7" w:rsidP="00B7582D">
      <w:pPr>
        <w:pStyle w:val="FootnoteText"/>
        <w:rPr>
          <w:rFonts w:asciiTheme="majorBidi" w:hAnsiTheme="majorBidi" w:cstheme="majorBidi"/>
          <w:bCs/>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t>El “procedimiento acelerado”</w:t>
      </w:r>
      <w:r w:rsidRPr="008975E7">
        <w:rPr>
          <w:rFonts w:asciiTheme="majorBidi" w:hAnsiTheme="majorBidi" w:cstheme="majorBidi"/>
          <w:szCs w:val="18"/>
        </w:rPr>
        <w:t xml:space="preserve"> ha sido objeto de profundos cambios en virtud de la Ley </w:t>
      </w:r>
      <w:r w:rsidRPr="008975E7">
        <w:rPr>
          <w:rFonts w:asciiTheme="majorBidi" w:eastAsia="Calibri" w:hAnsiTheme="majorBidi" w:cstheme="majorBidi"/>
          <w:szCs w:val="18"/>
        </w:rPr>
        <w:t>núm.</w:t>
      </w:r>
      <w:r>
        <w:rPr>
          <w:rFonts w:asciiTheme="majorBidi" w:hAnsiTheme="majorBidi" w:cstheme="majorBidi"/>
          <w:szCs w:val="18"/>
        </w:rPr>
        <w:t> </w:t>
      </w:r>
      <w:r>
        <w:rPr>
          <w:rFonts w:asciiTheme="majorBidi" w:eastAsia="Calibri" w:hAnsiTheme="majorBidi" w:cstheme="majorBidi"/>
          <w:szCs w:val="18"/>
        </w:rPr>
        <w:t>2015</w:t>
      </w:r>
      <w:r>
        <w:rPr>
          <w:rFonts w:asciiTheme="majorBidi" w:eastAsia="Calibri" w:hAnsiTheme="majorBidi" w:cstheme="majorBidi"/>
          <w:szCs w:val="18"/>
        </w:rPr>
        <w:noBreakHyphen/>
      </w:r>
      <w:r w:rsidRPr="008975E7">
        <w:rPr>
          <w:rFonts w:asciiTheme="majorBidi" w:eastAsia="Calibri" w:hAnsiTheme="majorBidi" w:cstheme="majorBidi"/>
          <w:szCs w:val="18"/>
        </w:rPr>
        <w:t>925, de 29 de julio de 2015, relativa a la reforma del derecho de asilo, a fin de consolidar las garantías jurídicas.</w:t>
      </w:r>
    </w:p>
  </w:footnote>
  <w:footnote w:id="4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Proceden al análisis sobre la base del expediente del país, los antecedentes en el lugar de origen, notas de actualidad, artículos de la prensa internacional y reuniones de expertos acerca de la situación geopolítica en el país de origen.</w:t>
      </w:r>
    </w:p>
  </w:footnote>
  <w:footnote w:id="4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 2015-925 de 29 de julio de 2015</w:t>
      </w:r>
      <w:r w:rsidRPr="008975E7">
        <w:rPr>
          <w:rFonts w:asciiTheme="majorBidi" w:eastAsia="Calibri" w:hAnsiTheme="majorBidi" w:cstheme="majorBidi"/>
          <w:szCs w:val="18"/>
        </w:rPr>
        <w:t>, relativa a la reforma del derecho de asilo</w:t>
      </w:r>
      <w:r w:rsidRPr="008975E7">
        <w:rPr>
          <w:rFonts w:asciiTheme="majorBidi" w:hAnsiTheme="majorBidi" w:cstheme="majorBidi"/>
          <w:szCs w:val="18"/>
        </w:rPr>
        <w:t>.</w:t>
      </w:r>
    </w:p>
  </w:footnote>
  <w:footnote w:id="4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La ley de 29 de julio de 2015 dispone que se comunique inmediatamente al extranjero que tiene derecho a solicitar asilo y codifica esta disposición en el artículo L.22</w:t>
      </w:r>
      <w:r>
        <w:rPr>
          <w:rFonts w:asciiTheme="majorBidi" w:hAnsiTheme="majorBidi" w:cstheme="majorBidi"/>
          <w:szCs w:val="18"/>
        </w:rPr>
        <w:t>1-4 del CESEDA. El concepto de “</w:t>
      </w:r>
      <w:r w:rsidRPr="008975E7">
        <w:rPr>
          <w:rFonts w:asciiTheme="majorBidi" w:hAnsiTheme="majorBidi" w:cstheme="majorBidi"/>
          <w:szCs w:val="18"/>
        </w:rPr>
        <w:t>los plazos más breves posibles</w:t>
      </w:r>
      <w:r>
        <w:rPr>
          <w:rFonts w:asciiTheme="majorBidi" w:hAnsiTheme="majorBidi" w:cstheme="majorBidi"/>
          <w:szCs w:val="18"/>
        </w:rPr>
        <w:t>”</w:t>
      </w:r>
      <w:r w:rsidRPr="008975E7">
        <w:rPr>
          <w:rFonts w:asciiTheme="majorBidi" w:hAnsiTheme="majorBidi" w:cstheme="majorBidi"/>
          <w:szCs w:val="18"/>
        </w:rPr>
        <w:t xml:space="preserve"> es el que se define en este artículo.</w:t>
      </w:r>
    </w:p>
  </w:footnote>
  <w:footnote w:id="4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Artículo L.213-8-1 del CESEDA, tomado de la ley de 29 de julio de 2015. Esta definición se ajusta a la jurisprudencia y a la directiva relativa al procedimiento. </w:t>
      </w:r>
    </w:p>
  </w:footnote>
  <w:footnote w:id="4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213-9 del CESEDA.</w:t>
      </w:r>
    </w:p>
  </w:footnote>
  <w:footnote w:id="5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 xml:space="preserve">Proyecto de ley tendiente a modificar el artículo 689-11 del Código de Procedimiento Penal, relativo a la competencia territorial de los tribunales franceses con respecto a los crímenes a que se refiere el Estatuto de la Corte Penal Internacional (el </w:t>
      </w:r>
      <w:r>
        <w:rPr>
          <w:rFonts w:asciiTheme="majorBidi" w:hAnsiTheme="majorBidi" w:cstheme="majorBidi"/>
          <w:szCs w:val="18"/>
        </w:rPr>
        <w:t>“</w:t>
      </w:r>
      <w:r w:rsidRPr="008975E7">
        <w:rPr>
          <w:rFonts w:asciiTheme="majorBidi" w:hAnsiTheme="majorBidi" w:cstheme="majorBidi"/>
          <w:szCs w:val="18"/>
        </w:rPr>
        <w:t xml:space="preserve">proyecto </w:t>
      </w:r>
      <w:proofErr w:type="spellStart"/>
      <w:r w:rsidRPr="008975E7">
        <w:rPr>
          <w:rFonts w:asciiTheme="majorBidi" w:hAnsiTheme="majorBidi" w:cstheme="majorBidi"/>
          <w:szCs w:val="18"/>
        </w:rPr>
        <w:t>Sueur</w:t>
      </w:r>
      <w:proofErr w:type="spellEnd"/>
      <w:r>
        <w:rPr>
          <w:rFonts w:asciiTheme="majorBidi" w:hAnsiTheme="majorBidi" w:cstheme="majorBidi"/>
          <w:szCs w:val="18"/>
        </w:rPr>
        <w:t>”</w:t>
      </w:r>
      <w:r w:rsidRPr="008975E7">
        <w:rPr>
          <w:rFonts w:asciiTheme="majorBidi" w:hAnsiTheme="majorBidi" w:cstheme="majorBidi"/>
          <w:szCs w:val="18"/>
        </w:rPr>
        <w:t xml:space="preserve">). </w:t>
      </w:r>
    </w:p>
  </w:footnote>
  <w:footnote w:id="5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Artículo 113-6 del Código Penal.</w:t>
      </w:r>
    </w:p>
  </w:footnote>
  <w:footnote w:id="5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Style w:val="FootnoteReference"/>
          <w:rFonts w:asciiTheme="majorBidi" w:hAnsiTheme="majorBidi" w:cstheme="majorBidi"/>
          <w:szCs w:val="18"/>
          <w:vertAlign w:val="baseline"/>
        </w:rPr>
        <w:tab/>
      </w:r>
      <w:r w:rsidRPr="008975E7">
        <w:rPr>
          <w:rFonts w:asciiTheme="majorBidi" w:hAnsiTheme="majorBidi" w:cstheme="majorBidi"/>
          <w:szCs w:val="18"/>
        </w:rPr>
        <w:t>Artículo 113-7 del Código Penal.</w:t>
      </w:r>
    </w:p>
  </w:footnote>
  <w:footnote w:id="5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113-8-1 del Código Penal.</w:t>
      </w:r>
    </w:p>
  </w:footnote>
  <w:footnote w:id="5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Como, por ejemplo, la Convención contra la Tortura y Otros Tratos o Penas Crueles, Inhumanos o Degradantes, el Convenio Internacional para la represión de los atentados terroristas, de 12 de enero de 1998, o la Convención Internacional para la Protección de Todas las Personas contra las Desapariciones Forzadas, de 20 de diciembre de 2006. </w:t>
      </w:r>
    </w:p>
  </w:footnote>
  <w:footnote w:id="5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Con excepción de los agentes diplomáticos y consulares, respecto de los cuales Francia aplica las normas de la Convención de Viena de 1961 sobre Relaciones Diplomáticas y la Convención sobre Relaciones Consulares de 1963. En cuanto a la inmunidad del Estado, cabe también señalar que Francia aplica las disposiciones de la Convención sobre las Misiones Especiales, de 1969, y que el estatuto de la fuerzas militares en el extranjero, que dimana en parte del derecho internacional consuetudinario, puede estar precisado en acuerdos sobre la cuestión (como, por ejemplo, el de la OTAN o el de la Unión Europea). </w:t>
      </w:r>
    </w:p>
  </w:footnote>
  <w:footnote w:id="5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O </w:t>
      </w:r>
      <w:proofErr w:type="spellStart"/>
      <w:r w:rsidRPr="008975E7">
        <w:rPr>
          <w:rFonts w:asciiTheme="majorBidi" w:hAnsiTheme="majorBidi" w:cstheme="majorBidi"/>
          <w:i/>
          <w:szCs w:val="18"/>
        </w:rPr>
        <w:t>ratione</w:t>
      </w:r>
      <w:proofErr w:type="spellEnd"/>
      <w:r w:rsidRPr="008975E7">
        <w:rPr>
          <w:rFonts w:asciiTheme="majorBidi" w:hAnsiTheme="majorBidi" w:cstheme="majorBidi"/>
          <w:i/>
          <w:szCs w:val="18"/>
        </w:rPr>
        <w:t xml:space="preserve"> </w:t>
      </w:r>
      <w:proofErr w:type="spellStart"/>
      <w:r w:rsidRPr="008975E7">
        <w:rPr>
          <w:rFonts w:asciiTheme="majorBidi" w:hAnsiTheme="majorBidi" w:cstheme="majorBidi"/>
          <w:i/>
          <w:szCs w:val="18"/>
        </w:rPr>
        <w:t>personae</w:t>
      </w:r>
      <w:proofErr w:type="spellEnd"/>
      <w:r w:rsidRPr="008975E7">
        <w:rPr>
          <w:rFonts w:asciiTheme="majorBidi" w:hAnsiTheme="majorBidi" w:cstheme="majorBidi"/>
          <w:i/>
          <w:szCs w:val="18"/>
        </w:rPr>
        <w:t>.</w:t>
      </w:r>
    </w:p>
  </w:footnote>
  <w:footnote w:id="57">
    <w:p w:rsidR="004E2BB7" w:rsidRPr="008975E7" w:rsidRDefault="004E2BB7" w:rsidP="00B7582D">
      <w:pPr>
        <w:pStyle w:val="FootnoteText"/>
        <w:rPr>
          <w:rStyle w:val="QuoteChar"/>
          <w:rFonts w:asciiTheme="majorBidi" w:hAnsiTheme="majorBidi" w:cstheme="majorBidi"/>
          <w:color w:val="auto"/>
          <w:szCs w:val="18"/>
          <w:lang w:val="es-ES"/>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Subsisten muchos elementos de incertidumbre en cuanto a la determinación de quiénes se benefician de es</w:t>
      </w:r>
      <w:r>
        <w:rPr>
          <w:rFonts w:asciiTheme="majorBidi" w:hAnsiTheme="majorBidi" w:cstheme="majorBidi"/>
          <w:szCs w:val="18"/>
        </w:rPr>
        <w:t>a</w:t>
      </w:r>
      <w:r w:rsidRPr="008975E7">
        <w:rPr>
          <w:rFonts w:asciiTheme="majorBidi" w:hAnsiTheme="majorBidi" w:cstheme="majorBidi"/>
          <w:szCs w:val="18"/>
        </w:rPr>
        <w:t xml:space="preserve"> inmunidad, además de los Jefes de Estado, Jefes de Gobierno o Ministros de Relaciones Exteriores. Hay que indicar entonces que, en un fallo de 15 de diciembre de 2015, la Corte de Casación no concedió el beneficio de inmunidad personal a un vicepresidente segundo. Por otra parte, tal vez se haya considerado que el ministro de defensa o de comercio pueda acogerse a ese régimen. La cuestión de conceder o denegar el régimen de inmunidad personal no está resuelta por el derecho internacional y, por lo tanto, los tribunales nacionales deben dirimirla caso por caso</w:t>
      </w:r>
      <w:r w:rsidRPr="008975E7">
        <w:rPr>
          <w:rStyle w:val="QuoteChar"/>
          <w:rFonts w:asciiTheme="majorBidi" w:hAnsiTheme="majorBidi" w:cstheme="majorBidi"/>
          <w:color w:val="auto"/>
          <w:szCs w:val="18"/>
          <w:lang w:val="es-ES"/>
        </w:rPr>
        <w:t xml:space="preserve">. </w:t>
      </w:r>
    </w:p>
  </w:footnote>
  <w:footnote w:id="5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En este contexto cabe mencionar que, con respecto a la relación entre la inmunidad penal y la facultades del juez de instrucción, la Sala Penal de la Corte de Casación dictaminó, en dos fallos de fechas 19 de marzo de 2013 (núm. 12-81676) y 17 de junio de 2014 (núm. 1380158), que la obligación de abrir un sumario </w:t>
      </w:r>
      <w:r>
        <w:rPr>
          <w:rFonts w:asciiTheme="majorBidi" w:hAnsiTheme="majorBidi" w:cstheme="majorBidi"/>
          <w:szCs w:val="18"/>
        </w:rPr>
        <w:t>“</w:t>
      </w:r>
      <w:r w:rsidRPr="008975E7">
        <w:rPr>
          <w:rFonts w:asciiTheme="majorBidi" w:hAnsiTheme="majorBidi" w:cstheme="majorBidi"/>
          <w:szCs w:val="18"/>
        </w:rPr>
        <w:t>no contraviene en principio la inmunidad de jurisdicción del Estado extranjero</w:t>
      </w:r>
      <w:r>
        <w:rPr>
          <w:rFonts w:asciiTheme="majorBidi" w:hAnsiTheme="majorBidi" w:cstheme="majorBidi"/>
          <w:szCs w:val="18"/>
        </w:rPr>
        <w:t>”</w:t>
      </w:r>
      <w:r w:rsidRPr="008975E7">
        <w:rPr>
          <w:rFonts w:asciiTheme="majorBidi" w:hAnsiTheme="majorBidi" w:cstheme="majorBidi"/>
          <w:szCs w:val="18"/>
        </w:rPr>
        <w:t xml:space="preserve"> y de sus representantes. No queda excluido, entonces, que ciertas diligencias de la instrucción (como una orden de detención o un auto de imputación), habida cuenta de su naturaleza u objeto, puedan atentar contra esta inmunidad. En cambio, la simple invitación a un Jefe de Estado extranjero para que rinda testimonio, que no le impondría obligación alguna, no parecería atentar por sí misma contra su inmunidad ya que la invitación no es obligatoria ni ejecutoria.</w:t>
      </w:r>
    </w:p>
  </w:footnote>
  <w:footnote w:id="59">
    <w:p w:rsidR="004E2BB7" w:rsidRPr="008975E7" w:rsidRDefault="004E2BB7" w:rsidP="00B7582D">
      <w:pPr>
        <w:pStyle w:val="FootnoteText"/>
        <w:rPr>
          <w:rFonts w:asciiTheme="majorBidi" w:hAnsiTheme="majorBidi" w:cstheme="majorBidi"/>
          <w:iCs/>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 este respecto cabe mencionar el fallo de la Sala Penal de la Cort</w:t>
      </w:r>
      <w:r>
        <w:rPr>
          <w:rFonts w:asciiTheme="majorBidi" w:hAnsiTheme="majorBidi" w:cstheme="majorBidi"/>
          <w:szCs w:val="18"/>
        </w:rPr>
        <w:t>e de Casación de 13 de marzo de </w:t>
      </w:r>
      <w:r w:rsidRPr="008975E7">
        <w:rPr>
          <w:rFonts w:asciiTheme="majorBidi" w:hAnsiTheme="majorBidi" w:cstheme="majorBidi"/>
          <w:szCs w:val="18"/>
        </w:rPr>
        <w:t>2001 (núm.</w:t>
      </w:r>
      <w:r>
        <w:rPr>
          <w:rFonts w:asciiTheme="majorBidi" w:hAnsiTheme="majorBidi" w:cstheme="majorBidi"/>
          <w:szCs w:val="18"/>
        </w:rPr>
        <w:t xml:space="preserve"> </w:t>
      </w:r>
      <w:r w:rsidRPr="004E2BB7">
        <w:rPr>
          <w:rStyle w:val="Strong"/>
          <w:rFonts w:asciiTheme="majorBidi" w:hAnsiTheme="majorBidi" w:cstheme="majorBidi"/>
          <w:b w:val="0"/>
          <w:szCs w:val="18"/>
        </w:rPr>
        <w:t>00-87215)</w:t>
      </w:r>
      <w:r w:rsidRPr="004E2BB7">
        <w:rPr>
          <w:rStyle w:val="Strong"/>
          <w:rFonts w:asciiTheme="majorBidi" w:hAnsiTheme="majorBidi" w:cstheme="majorBidi"/>
          <w:b w:val="0"/>
          <w:i/>
          <w:szCs w:val="18"/>
        </w:rPr>
        <w:t xml:space="preserve"> , </w:t>
      </w:r>
      <w:r w:rsidRPr="004E2BB7">
        <w:rPr>
          <w:rStyle w:val="Strong"/>
          <w:rFonts w:asciiTheme="majorBidi" w:hAnsiTheme="majorBidi" w:cstheme="majorBidi"/>
          <w:b w:val="0"/>
          <w:szCs w:val="18"/>
        </w:rPr>
        <w:t>según el cual la costumbre internacional no acepta que los Jefes de Estado en ejercicio puedan, de no haber disposición internacional en contrario que sea obligatoria para las partes, ser objeto de un procedimiento ante la jurisdicción penal del Estado extranjero” y que “en el estado actual del derecho internacional, el crimen denunciado, por grave que sea, no está incluido en las excepciones al principio de la inmunidad de jurisdicción de los Jefes de Estado extranjeros en ejercicio de sus funciones”</w:t>
      </w:r>
      <w:r w:rsidRPr="004E2BB7">
        <w:rPr>
          <w:rFonts w:asciiTheme="majorBidi" w:hAnsiTheme="majorBidi" w:cstheme="majorBidi"/>
          <w:iCs/>
          <w:szCs w:val="18"/>
        </w:rPr>
        <w:t>.</w:t>
      </w:r>
    </w:p>
  </w:footnote>
  <w:footnote w:id="60">
    <w:p w:rsidR="004E2BB7" w:rsidRPr="008975E7" w:rsidRDefault="004E2BB7" w:rsidP="00B7582D">
      <w:pPr>
        <w:pStyle w:val="FootnoteText"/>
        <w:rPr>
          <w:rFonts w:asciiTheme="majorBidi" w:hAnsiTheme="majorBidi" w:cstheme="majorBidi"/>
          <w:iCs/>
          <w:szCs w:val="18"/>
        </w:rPr>
      </w:pPr>
      <w:r w:rsidRPr="008975E7">
        <w:rPr>
          <w:rFonts w:asciiTheme="majorBidi" w:hAnsiTheme="majorBidi" w:cstheme="majorBidi"/>
          <w:iCs/>
          <w:szCs w:val="18"/>
        </w:rPr>
        <w:tab/>
      </w:r>
      <w:r w:rsidRPr="00B7582D">
        <w:rPr>
          <w:rStyle w:val="FootnoteReference"/>
        </w:rPr>
        <w:footnoteRef/>
      </w:r>
      <w:r w:rsidRPr="008975E7">
        <w:rPr>
          <w:rFonts w:asciiTheme="majorBidi" w:hAnsiTheme="majorBidi" w:cstheme="majorBidi"/>
          <w:iCs/>
          <w:szCs w:val="18"/>
        </w:rPr>
        <w:tab/>
        <w:t xml:space="preserve">O </w:t>
      </w:r>
      <w:proofErr w:type="spellStart"/>
      <w:r w:rsidRPr="008975E7">
        <w:rPr>
          <w:rFonts w:asciiTheme="majorBidi" w:hAnsiTheme="majorBidi" w:cstheme="majorBidi"/>
          <w:i/>
          <w:iCs/>
          <w:szCs w:val="18"/>
        </w:rPr>
        <w:t>rationae</w:t>
      </w:r>
      <w:proofErr w:type="spellEnd"/>
      <w:r w:rsidRPr="008975E7">
        <w:rPr>
          <w:rFonts w:asciiTheme="majorBidi" w:hAnsiTheme="majorBidi" w:cstheme="majorBidi"/>
          <w:i/>
          <w:iCs/>
          <w:szCs w:val="18"/>
        </w:rPr>
        <w:t xml:space="preserve"> </w:t>
      </w:r>
      <w:proofErr w:type="spellStart"/>
      <w:r w:rsidRPr="008975E7">
        <w:rPr>
          <w:rFonts w:asciiTheme="majorBidi" w:hAnsiTheme="majorBidi" w:cstheme="majorBidi"/>
          <w:i/>
          <w:iCs/>
          <w:szCs w:val="18"/>
        </w:rPr>
        <w:t>materiae</w:t>
      </w:r>
      <w:proofErr w:type="spellEnd"/>
      <w:r w:rsidRPr="008975E7">
        <w:rPr>
          <w:rFonts w:asciiTheme="majorBidi" w:hAnsiTheme="majorBidi" w:cstheme="majorBidi"/>
          <w:iCs/>
          <w:szCs w:val="18"/>
        </w:rPr>
        <w:t>.</w:t>
      </w:r>
    </w:p>
  </w:footnote>
  <w:footnote w:id="6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iCs/>
          <w:szCs w:val="18"/>
        </w:rPr>
        <w:tab/>
      </w:r>
      <w:r w:rsidRPr="00B7582D">
        <w:rPr>
          <w:rStyle w:val="FootnoteReference"/>
        </w:rPr>
        <w:footnoteRef/>
      </w:r>
      <w:r w:rsidRPr="008975E7">
        <w:rPr>
          <w:rFonts w:asciiTheme="majorBidi" w:hAnsiTheme="majorBidi" w:cstheme="majorBidi"/>
          <w:iCs/>
          <w:szCs w:val="18"/>
        </w:rPr>
        <w:tab/>
        <w:t xml:space="preserve">Los tribunales franceses han precisado así </w:t>
      </w:r>
      <w:r>
        <w:rPr>
          <w:rFonts w:asciiTheme="majorBidi" w:hAnsiTheme="majorBidi" w:cstheme="majorBidi"/>
          <w:iCs/>
          <w:szCs w:val="18"/>
        </w:rPr>
        <w:t>“</w:t>
      </w:r>
      <w:r w:rsidRPr="008975E7">
        <w:rPr>
          <w:rFonts w:asciiTheme="majorBidi" w:hAnsiTheme="majorBidi" w:cstheme="majorBidi"/>
          <w:iCs/>
          <w:szCs w:val="18"/>
        </w:rPr>
        <w:t>que, en la práctica, la costumbre internacional contraria al procesamiento de un Estado ante la jurisdicción penal de un Estado extranjero se extiende a los órganos y las entidades que constituyen una emanación del Estado, así como a sus agentes en razón de los actos que dimanen de la soberanía del Estado</w:t>
      </w:r>
      <w:r>
        <w:rPr>
          <w:rFonts w:asciiTheme="majorBidi" w:hAnsiTheme="majorBidi" w:cstheme="majorBidi"/>
          <w:iCs/>
          <w:szCs w:val="18"/>
        </w:rPr>
        <w:t>”</w:t>
      </w:r>
      <w:r w:rsidRPr="008975E7">
        <w:rPr>
          <w:rFonts w:asciiTheme="majorBidi" w:hAnsiTheme="majorBidi" w:cstheme="majorBidi"/>
          <w:iCs/>
          <w:szCs w:val="18"/>
        </w:rPr>
        <w:t xml:space="preserve"> (</w:t>
      </w:r>
      <w:proofErr w:type="spellStart"/>
      <w:r w:rsidRPr="008975E7">
        <w:rPr>
          <w:rFonts w:asciiTheme="majorBidi" w:hAnsiTheme="majorBidi" w:cstheme="majorBidi"/>
          <w:iCs/>
          <w:szCs w:val="18"/>
        </w:rPr>
        <w:t>Cass</w:t>
      </w:r>
      <w:proofErr w:type="spellEnd"/>
      <w:r w:rsidRPr="008975E7">
        <w:rPr>
          <w:rFonts w:asciiTheme="majorBidi" w:hAnsiTheme="majorBidi" w:cstheme="majorBidi"/>
          <w:iCs/>
          <w:szCs w:val="18"/>
        </w:rPr>
        <w:t xml:space="preserve">. </w:t>
      </w:r>
      <w:proofErr w:type="spellStart"/>
      <w:r w:rsidRPr="008975E7">
        <w:rPr>
          <w:rFonts w:asciiTheme="majorBidi" w:hAnsiTheme="majorBidi" w:cstheme="majorBidi"/>
          <w:iCs/>
          <w:szCs w:val="18"/>
        </w:rPr>
        <w:t>crim</w:t>
      </w:r>
      <w:proofErr w:type="spellEnd"/>
      <w:r w:rsidRPr="008975E7">
        <w:rPr>
          <w:rFonts w:asciiTheme="majorBidi" w:hAnsiTheme="majorBidi" w:cstheme="majorBidi"/>
          <w:iCs/>
          <w:szCs w:val="18"/>
        </w:rPr>
        <w:t xml:space="preserve">., 23 nov. 2004, </w:t>
      </w:r>
      <w:r>
        <w:rPr>
          <w:rFonts w:asciiTheme="majorBidi" w:hAnsiTheme="majorBidi" w:cstheme="majorBidi"/>
          <w:iCs/>
          <w:szCs w:val="18"/>
        </w:rPr>
        <w:t>“</w:t>
      </w:r>
      <w:r w:rsidRPr="008975E7">
        <w:rPr>
          <w:rFonts w:asciiTheme="majorBidi" w:hAnsiTheme="majorBidi" w:cstheme="majorBidi"/>
          <w:iCs/>
          <w:szCs w:val="18"/>
        </w:rPr>
        <w:t xml:space="preserve">Malta </w:t>
      </w:r>
      <w:proofErr w:type="spellStart"/>
      <w:r w:rsidRPr="008975E7">
        <w:rPr>
          <w:rFonts w:asciiTheme="majorBidi" w:hAnsiTheme="majorBidi" w:cstheme="majorBidi"/>
          <w:iCs/>
          <w:szCs w:val="18"/>
        </w:rPr>
        <w:t>Maritime</w:t>
      </w:r>
      <w:proofErr w:type="spellEnd"/>
      <w:r w:rsidRPr="008975E7">
        <w:rPr>
          <w:rFonts w:asciiTheme="majorBidi" w:hAnsiTheme="majorBidi" w:cstheme="majorBidi"/>
          <w:iCs/>
          <w:szCs w:val="18"/>
        </w:rPr>
        <w:t xml:space="preserve"> </w:t>
      </w:r>
      <w:proofErr w:type="spellStart"/>
      <w:r w:rsidRPr="008975E7">
        <w:rPr>
          <w:rFonts w:asciiTheme="majorBidi" w:hAnsiTheme="majorBidi" w:cstheme="majorBidi"/>
          <w:iCs/>
          <w:szCs w:val="18"/>
        </w:rPr>
        <w:t>Authority</w:t>
      </w:r>
      <w:proofErr w:type="spellEnd"/>
      <w:r w:rsidRPr="008975E7">
        <w:rPr>
          <w:rFonts w:asciiTheme="majorBidi" w:hAnsiTheme="majorBidi" w:cstheme="majorBidi"/>
          <w:iCs/>
          <w:szCs w:val="18"/>
        </w:rPr>
        <w:t xml:space="preserve"> à </w:t>
      </w:r>
      <w:proofErr w:type="spellStart"/>
      <w:r w:rsidRPr="008975E7">
        <w:rPr>
          <w:rFonts w:asciiTheme="majorBidi" w:hAnsiTheme="majorBidi" w:cstheme="majorBidi"/>
          <w:iCs/>
          <w:szCs w:val="18"/>
        </w:rPr>
        <w:t>propos</w:t>
      </w:r>
      <w:proofErr w:type="spellEnd"/>
      <w:r w:rsidRPr="008975E7">
        <w:rPr>
          <w:rFonts w:asciiTheme="majorBidi" w:hAnsiTheme="majorBidi" w:cstheme="majorBidi"/>
          <w:iCs/>
          <w:szCs w:val="18"/>
        </w:rPr>
        <w:t xml:space="preserve"> du</w:t>
      </w:r>
      <w:r w:rsidRPr="008975E7">
        <w:rPr>
          <w:rFonts w:asciiTheme="majorBidi" w:hAnsiTheme="majorBidi" w:cstheme="majorBidi"/>
          <w:szCs w:val="18"/>
        </w:rPr>
        <w:t xml:space="preserve"> </w:t>
      </w:r>
      <w:proofErr w:type="spellStart"/>
      <w:r w:rsidRPr="008975E7">
        <w:rPr>
          <w:rFonts w:asciiTheme="majorBidi" w:hAnsiTheme="majorBidi" w:cstheme="majorBidi"/>
          <w:szCs w:val="18"/>
        </w:rPr>
        <w:t>naufrage</w:t>
      </w:r>
      <w:proofErr w:type="spellEnd"/>
      <w:r w:rsidRPr="008975E7">
        <w:rPr>
          <w:rFonts w:asciiTheme="majorBidi" w:hAnsiTheme="majorBidi" w:cstheme="majorBidi"/>
          <w:szCs w:val="18"/>
        </w:rPr>
        <w:t xml:space="preserve"> de </w:t>
      </w:r>
      <w:proofErr w:type="spellStart"/>
      <w:r w:rsidRPr="008975E7">
        <w:rPr>
          <w:rFonts w:asciiTheme="majorBidi" w:hAnsiTheme="majorBidi" w:cstheme="majorBidi"/>
          <w:szCs w:val="18"/>
        </w:rPr>
        <w:t>l’Erika</w:t>
      </w:r>
      <w:proofErr w:type="spellEnd"/>
      <w:r>
        <w:rPr>
          <w:rFonts w:asciiTheme="majorBidi" w:hAnsiTheme="majorBidi" w:cstheme="majorBidi"/>
          <w:szCs w:val="18"/>
        </w:rPr>
        <w:t>”</w:t>
      </w:r>
      <w:r w:rsidRPr="008975E7">
        <w:rPr>
          <w:rFonts w:asciiTheme="majorBidi" w:hAnsiTheme="majorBidi" w:cstheme="majorBidi"/>
          <w:szCs w:val="18"/>
        </w:rPr>
        <w:t xml:space="preserve"> ; </w:t>
      </w:r>
      <w:proofErr w:type="spellStart"/>
      <w:r w:rsidRPr="008975E7">
        <w:rPr>
          <w:rFonts w:asciiTheme="majorBidi" w:hAnsiTheme="majorBidi" w:cstheme="majorBidi"/>
          <w:szCs w:val="18"/>
        </w:rPr>
        <w:t>Cass</w:t>
      </w:r>
      <w:proofErr w:type="spellEnd"/>
      <w:r w:rsidRPr="008975E7">
        <w:rPr>
          <w:rFonts w:asciiTheme="majorBidi" w:hAnsiTheme="majorBidi" w:cstheme="majorBidi"/>
          <w:szCs w:val="18"/>
        </w:rPr>
        <w:t xml:space="preserve">. </w:t>
      </w:r>
      <w:proofErr w:type="spellStart"/>
      <w:r w:rsidRPr="008975E7">
        <w:rPr>
          <w:rFonts w:asciiTheme="majorBidi" w:hAnsiTheme="majorBidi" w:cstheme="majorBidi"/>
          <w:szCs w:val="18"/>
        </w:rPr>
        <w:t>crim</w:t>
      </w:r>
      <w:proofErr w:type="spellEnd"/>
      <w:r w:rsidRPr="008975E7">
        <w:rPr>
          <w:rFonts w:asciiTheme="majorBidi" w:hAnsiTheme="majorBidi" w:cstheme="majorBidi"/>
          <w:szCs w:val="18"/>
        </w:rPr>
        <w:t>., 19 de enero de. 2010</w:t>
      </w:r>
      <w:r>
        <w:rPr>
          <w:rFonts w:asciiTheme="majorBidi" w:hAnsiTheme="majorBidi" w:cstheme="majorBidi"/>
          <w:szCs w:val="18"/>
        </w:rPr>
        <w:t xml:space="preserve">, “A </w:t>
      </w:r>
      <w:proofErr w:type="spellStart"/>
      <w:r>
        <w:rPr>
          <w:rFonts w:asciiTheme="majorBidi" w:hAnsiTheme="majorBidi" w:cstheme="majorBidi"/>
          <w:szCs w:val="18"/>
        </w:rPr>
        <w:t>propos</w:t>
      </w:r>
      <w:proofErr w:type="spellEnd"/>
      <w:r>
        <w:rPr>
          <w:rFonts w:asciiTheme="majorBidi" w:hAnsiTheme="majorBidi" w:cstheme="majorBidi"/>
          <w:szCs w:val="18"/>
        </w:rPr>
        <w:t xml:space="preserve"> du </w:t>
      </w:r>
      <w:proofErr w:type="spellStart"/>
      <w:r>
        <w:rPr>
          <w:rFonts w:asciiTheme="majorBidi" w:hAnsiTheme="majorBidi" w:cstheme="majorBidi"/>
          <w:szCs w:val="18"/>
        </w:rPr>
        <w:t>naufrage</w:t>
      </w:r>
      <w:proofErr w:type="spellEnd"/>
      <w:r>
        <w:rPr>
          <w:rFonts w:asciiTheme="majorBidi" w:hAnsiTheme="majorBidi" w:cstheme="majorBidi"/>
          <w:szCs w:val="18"/>
        </w:rPr>
        <w:t xml:space="preserve"> du </w:t>
      </w:r>
      <w:proofErr w:type="spellStart"/>
      <w:r>
        <w:rPr>
          <w:rFonts w:asciiTheme="majorBidi" w:hAnsiTheme="majorBidi" w:cstheme="majorBidi"/>
          <w:szCs w:val="18"/>
        </w:rPr>
        <w:t>Joola</w:t>
      </w:r>
      <w:proofErr w:type="spellEnd"/>
      <w:r>
        <w:rPr>
          <w:rFonts w:asciiTheme="majorBidi" w:hAnsiTheme="majorBidi" w:cstheme="majorBidi"/>
          <w:szCs w:val="18"/>
        </w:rPr>
        <w:t>”</w:t>
      </w:r>
      <w:r w:rsidRPr="008975E7">
        <w:rPr>
          <w:rFonts w:asciiTheme="majorBidi" w:hAnsiTheme="majorBidi" w:cstheme="majorBidi"/>
          <w:szCs w:val="18"/>
        </w:rPr>
        <w:t>).</w:t>
      </w:r>
    </w:p>
  </w:footnote>
  <w:footnote w:id="6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r>
      <w:proofErr w:type="spellStart"/>
      <w:r w:rsidRPr="008975E7">
        <w:rPr>
          <w:rFonts w:asciiTheme="majorBidi" w:hAnsiTheme="majorBidi" w:cstheme="majorBidi"/>
          <w:szCs w:val="18"/>
        </w:rPr>
        <w:t>Cass</w:t>
      </w:r>
      <w:proofErr w:type="spellEnd"/>
      <w:r w:rsidRPr="008975E7">
        <w:rPr>
          <w:rFonts w:asciiTheme="majorBidi" w:hAnsiTheme="majorBidi" w:cstheme="majorBidi"/>
          <w:szCs w:val="18"/>
        </w:rPr>
        <w:t xml:space="preserve">. </w:t>
      </w:r>
      <w:proofErr w:type="spellStart"/>
      <w:r>
        <w:rPr>
          <w:rFonts w:asciiTheme="majorBidi" w:hAnsiTheme="majorBidi" w:cstheme="majorBidi"/>
          <w:szCs w:val="18"/>
        </w:rPr>
        <w:t>crim</w:t>
      </w:r>
      <w:proofErr w:type="spellEnd"/>
      <w:r>
        <w:rPr>
          <w:rFonts w:asciiTheme="majorBidi" w:hAnsiTheme="majorBidi" w:cstheme="majorBidi"/>
          <w:szCs w:val="18"/>
        </w:rPr>
        <w:t xml:space="preserve">. 19 de marzo de 2013, núm. </w:t>
      </w:r>
      <w:r w:rsidRPr="008975E7">
        <w:rPr>
          <w:rFonts w:asciiTheme="majorBidi" w:hAnsiTheme="majorBidi" w:cstheme="majorBidi"/>
          <w:szCs w:val="18"/>
        </w:rPr>
        <w:t>12-81676.</w:t>
      </w:r>
    </w:p>
  </w:footnote>
  <w:footnote w:id="6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En el derecho interno, los artículos </w:t>
      </w:r>
      <w:r w:rsidRPr="008975E7">
        <w:rPr>
          <w:rFonts w:asciiTheme="majorBidi" w:eastAsia="Calibri" w:hAnsiTheme="majorBidi" w:cstheme="majorBidi"/>
          <w:szCs w:val="18"/>
        </w:rPr>
        <w:t xml:space="preserve">689-1 a 689-13 del Código de Procedimiento Penal constituyen el fundamento de la competencia </w:t>
      </w:r>
      <w:proofErr w:type="spellStart"/>
      <w:r w:rsidRPr="008975E7">
        <w:rPr>
          <w:rFonts w:asciiTheme="majorBidi" w:eastAsia="Calibri" w:hAnsiTheme="majorBidi" w:cstheme="majorBidi"/>
          <w:szCs w:val="18"/>
        </w:rPr>
        <w:t>cuasiuniversal</w:t>
      </w:r>
      <w:proofErr w:type="spellEnd"/>
      <w:r w:rsidRPr="008975E7">
        <w:rPr>
          <w:rFonts w:asciiTheme="majorBidi" w:eastAsia="Calibri" w:hAnsiTheme="majorBidi" w:cstheme="majorBidi"/>
          <w:szCs w:val="18"/>
        </w:rPr>
        <w:t xml:space="preserve"> de las autoridades judiciales francesas respecto de ciertos tipos de infracciones cometidas fuera del territorio de la República, en aplicación de diversas convenciones internacionales como la Convención de Nueva York de 10 de diciembre de 1984 contra la Tortura y Otros Tratos o Penas Crueles, Inhumanos y Degradantes, o la Convención Europea para la Represión del Terrorismo, firmada en Estrasburgo el 27 de enero de 1977.</w:t>
      </w:r>
    </w:p>
  </w:footnote>
  <w:footnote w:id="6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t xml:space="preserve">STCE </w:t>
      </w:r>
      <w:r w:rsidRPr="008975E7">
        <w:rPr>
          <w:rFonts w:asciiTheme="majorBidi" w:hAnsiTheme="majorBidi" w:cstheme="majorBidi"/>
          <w:szCs w:val="18"/>
        </w:rPr>
        <w:t>núm.</w:t>
      </w:r>
      <w:r>
        <w:rPr>
          <w:rFonts w:asciiTheme="majorBidi" w:hAnsiTheme="majorBidi" w:cstheme="majorBidi"/>
          <w:szCs w:val="18"/>
        </w:rPr>
        <w:t xml:space="preserve"> </w:t>
      </w:r>
      <w:r w:rsidRPr="008975E7">
        <w:rPr>
          <w:rFonts w:asciiTheme="majorBidi" w:hAnsiTheme="majorBidi" w:cstheme="majorBidi"/>
          <w:szCs w:val="18"/>
        </w:rPr>
        <w:t>024.</w:t>
      </w:r>
    </w:p>
  </w:footnote>
  <w:footnote w:id="6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CAT/C/FRA/7, </w:t>
      </w:r>
      <w:proofErr w:type="spellStart"/>
      <w:r w:rsidRPr="008975E7">
        <w:rPr>
          <w:rFonts w:asciiTheme="majorBidi" w:hAnsiTheme="majorBidi" w:cstheme="majorBidi"/>
          <w:szCs w:val="18"/>
        </w:rPr>
        <w:t>párrs</w:t>
      </w:r>
      <w:proofErr w:type="spellEnd"/>
      <w:r w:rsidRPr="008975E7">
        <w:rPr>
          <w:rFonts w:asciiTheme="majorBidi" w:hAnsiTheme="majorBidi" w:cstheme="majorBidi"/>
          <w:szCs w:val="18"/>
        </w:rPr>
        <w:t>. 117 a 142.</w:t>
      </w:r>
    </w:p>
  </w:footnote>
  <w:footnote w:id="6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Encargado de formular la política de formación, determinar su orientación y evaluar sus resultados.</w:t>
      </w:r>
    </w:p>
  </w:footnote>
  <w:footnote w:id="6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R631-10 del Código de Seguridad Interior.</w:t>
      </w:r>
    </w:p>
  </w:footnote>
  <w:footnote w:id="6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 2014-896 de 15 de agosto de 2014, relativa al carácter individual de la pena y a la necesidad de hacer más eficaces las sanciones penales.</w:t>
      </w:r>
    </w:p>
  </w:footnote>
  <w:footnote w:id="6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Se trata de departamentos que permiten al detenido recibir a su familia por unas horas e incluso por unos días.</w:t>
      </w:r>
    </w:p>
  </w:footnote>
  <w:footnote w:id="7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En los anexos 10, 11 y 12 figuran estadísticas acerca de la evolución de las medidas alternativas a la reclusión desde 2011, el número de personas que han quedado en libertad condicional en cada uno de los 10 últimos años y las medidas alternativas a la reclusión que se han aplicado en ultramar.</w:t>
      </w:r>
    </w:p>
  </w:footnote>
  <w:footnote w:id="7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 2009-1436 de 24 de noviembre de 2009.</w:t>
      </w:r>
    </w:p>
  </w:footnote>
  <w:footnote w:id="7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 2014-896 de 15 de agosto de 2014, relativa al carácter individual de la pena y a la necesidad de hacer más eficaces las sanciones penales</w:t>
      </w:r>
      <w:r w:rsidRPr="008975E7">
        <w:rPr>
          <w:rFonts w:asciiTheme="majorBidi" w:eastAsia="Arial Unicode MS" w:hAnsiTheme="majorBidi" w:cstheme="majorBidi"/>
          <w:szCs w:val="18"/>
          <w:lang w:eastAsia="fr-FR"/>
        </w:rPr>
        <w:t>.</w:t>
      </w:r>
    </w:p>
  </w:footnote>
  <w:footnote w:id="7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r>
      <w:r w:rsidRPr="008975E7">
        <w:rPr>
          <w:rFonts w:asciiTheme="majorBidi" w:hAnsiTheme="majorBidi" w:cstheme="majorBidi"/>
          <w:szCs w:val="18"/>
          <w:lang w:eastAsia="fr-FR"/>
        </w:rPr>
        <w:t>Artículo 131-6 del Código Penal.</w:t>
      </w:r>
    </w:p>
  </w:footnote>
  <w:footnote w:id="7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C968C6">
        <w:rPr>
          <w:rFonts w:asciiTheme="majorBidi" w:hAnsiTheme="majorBidi" w:cstheme="majorBidi"/>
          <w:szCs w:val="18"/>
        </w:rPr>
        <w:tab/>
        <w:t xml:space="preserve">Véase CAT/C/FRA/7, </w:t>
      </w:r>
      <w:proofErr w:type="spellStart"/>
      <w:r w:rsidRPr="00C968C6">
        <w:rPr>
          <w:rFonts w:asciiTheme="majorBidi" w:hAnsiTheme="majorBidi" w:cstheme="majorBidi"/>
          <w:szCs w:val="18"/>
        </w:rPr>
        <w:t>párrs</w:t>
      </w:r>
      <w:proofErr w:type="spellEnd"/>
      <w:r w:rsidRPr="00C968C6">
        <w:rPr>
          <w:rFonts w:asciiTheme="majorBidi" w:hAnsiTheme="majorBidi" w:cstheme="majorBidi"/>
          <w:szCs w:val="18"/>
        </w:rPr>
        <w:t xml:space="preserve">. </w:t>
      </w:r>
      <w:r w:rsidRPr="008975E7">
        <w:rPr>
          <w:rFonts w:asciiTheme="majorBidi" w:hAnsiTheme="majorBidi" w:cstheme="majorBidi"/>
          <w:szCs w:val="18"/>
        </w:rPr>
        <w:t>212 a 231.</w:t>
      </w:r>
    </w:p>
  </w:footnote>
  <w:footnote w:id="7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r>
      <w:r w:rsidRPr="00140D4F">
        <w:rPr>
          <w:rStyle w:val="Strong"/>
          <w:rFonts w:asciiTheme="majorBidi" w:hAnsiTheme="majorBidi" w:cstheme="majorBidi"/>
          <w:b w:val="0"/>
          <w:szCs w:val="18"/>
        </w:rPr>
        <w:t xml:space="preserve">Ordenanza </w:t>
      </w:r>
      <w:r w:rsidRPr="00140D4F">
        <w:rPr>
          <w:rFonts w:asciiTheme="majorBidi" w:hAnsiTheme="majorBidi" w:cstheme="majorBidi"/>
          <w:szCs w:val="18"/>
        </w:rPr>
        <w:t>núm</w:t>
      </w:r>
      <w:r w:rsidRPr="00140D4F">
        <w:rPr>
          <w:rFonts w:asciiTheme="majorBidi" w:hAnsiTheme="majorBidi" w:cstheme="majorBidi"/>
          <w:b/>
          <w:szCs w:val="18"/>
        </w:rPr>
        <w:t>.</w:t>
      </w:r>
      <w:r>
        <w:rPr>
          <w:rFonts w:asciiTheme="majorBidi" w:hAnsiTheme="majorBidi" w:cstheme="majorBidi"/>
          <w:b/>
          <w:szCs w:val="18"/>
        </w:rPr>
        <w:t xml:space="preserve"> </w:t>
      </w:r>
      <w:r w:rsidRPr="00140D4F">
        <w:rPr>
          <w:rStyle w:val="Strong"/>
          <w:rFonts w:asciiTheme="majorBidi" w:hAnsiTheme="majorBidi" w:cstheme="majorBidi"/>
          <w:b w:val="0"/>
          <w:szCs w:val="18"/>
        </w:rPr>
        <w:t>2014-464 de 7 de mayo de 2014 relativa a la aplicación en Mayotte del Código de Entrada y Estancia de Extranjeros y del Derecho de Asilo y adaptación del código y Decreto núm.</w:t>
      </w:r>
      <w:r w:rsidRPr="00140D4F">
        <w:rPr>
          <w:rFonts w:asciiTheme="majorBidi" w:hAnsiTheme="majorBidi" w:cstheme="majorBidi"/>
          <w:b/>
          <w:szCs w:val="18"/>
        </w:rPr>
        <w:t xml:space="preserve"> </w:t>
      </w:r>
      <w:r w:rsidRPr="00140D4F">
        <w:rPr>
          <w:rStyle w:val="Strong"/>
          <w:rFonts w:asciiTheme="majorBidi" w:hAnsiTheme="majorBidi" w:cstheme="majorBidi"/>
          <w:b w:val="0"/>
          <w:szCs w:val="18"/>
        </w:rPr>
        <w:t>2014-527 de 23 de mayo de 2014 relativo a la modificación del Código de Entrada y Estancia de Extranjeros y del Derecho de Asilo (disposiciones reglamentarias) en lo que respecta a Mayotte, Wallis y Futuna, la Polinesia francesa y Nueva Caledonia.</w:t>
      </w:r>
    </w:p>
  </w:footnote>
  <w:footnote w:id="7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t xml:space="preserve">Anexo núm. </w:t>
      </w:r>
      <w:r w:rsidRPr="008975E7">
        <w:rPr>
          <w:rFonts w:asciiTheme="majorBidi" w:hAnsiTheme="majorBidi" w:cstheme="majorBidi"/>
          <w:szCs w:val="18"/>
        </w:rPr>
        <w:t>13.</w:t>
      </w:r>
    </w:p>
  </w:footnote>
  <w:footnote w:id="7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El centro penitenciario de </w:t>
      </w:r>
      <w:proofErr w:type="spellStart"/>
      <w:r w:rsidRPr="008975E7">
        <w:rPr>
          <w:rFonts w:asciiTheme="majorBidi" w:hAnsiTheme="majorBidi" w:cstheme="majorBidi"/>
          <w:szCs w:val="18"/>
        </w:rPr>
        <w:t>Mont</w:t>
      </w:r>
      <w:proofErr w:type="spellEnd"/>
      <w:r w:rsidRPr="008975E7">
        <w:rPr>
          <w:rFonts w:asciiTheme="majorBidi" w:hAnsiTheme="majorBidi" w:cstheme="majorBidi"/>
          <w:szCs w:val="18"/>
        </w:rPr>
        <w:t>-de-</w:t>
      </w:r>
      <w:proofErr w:type="spellStart"/>
      <w:r w:rsidRPr="008975E7">
        <w:rPr>
          <w:rFonts w:asciiTheme="majorBidi" w:hAnsiTheme="majorBidi" w:cstheme="majorBidi"/>
          <w:szCs w:val="18"/>
        </w:rPr>
        <w:t>Marsan</w:t>
      </w:r>
      <w:proofErr w:type="spellEnd"/>
      <w:r w:rsidRPr="008975E7">
        <w:rPr>
          <w:rFonts w:asciiTheme="majorBidi" w:hAnsiTheme="majorBidi" w:cstheme="majorBidi"/>
          <w:szCs w:val="18"/>
        </w:rPr>
        <w:t xml:space="preserve"> y el centro de detención de </w:t>
      </w:r>
      <w:proofErr w:type="spellStart"/>
      <w:r w:rsidRPr="008975E7">
        <w:rPr>
          <w:rFonts w:asciiTheme="majorBidi" w:hAnsiTheme="majorBidi" w:cstheme="majorBidi"/>
          <w:szCs w:val="18"/>
        </w:rPr>
        <w:t>Neuvic</w:t>
      </w:r>
      <w:proofErr w:type="spellEnd"/>
      <w:r w:rsidRPr="008975E7">
        <w:rPr>
          <w:rFonts w:asciiTheme="majorBidi" w:hAnsiTheme="majorBidi" w:cstheme="majorBidi"/>
          <w:szCs w:val="18"/>
        </w:rPr>
        <w:t>.</w:t>
      </w:r>
    </w:p>
  </w:footnote>
  <w:footnote w:id="7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El centro penitenciario de </w:t>
      </w:r>
      <w:proofErr w:type="spellStart"/>
      <w:r w:rsidRPr="008975E7">
        <w:rPr>
          <w:rFonts w:asciiTheme="majorBidi" w:hAnsiTheme="majorBidi" w:cstheme="majorBidi"/>
          <w:szCs w:val="18"/>
        </w:rPr>
        <w:t>Beauvais</w:t>
      </w:r>
      <w:proofErr w:type="spellEnd"/>
      <w:r w:rsidRPr="008975E7">
        <w:rPr>
          <w:rFonts w:asciiTheme="majorBidi" w:hAnsiTheme="majorBidi" w:cstheme="majorBidi"/>
          <w:szCs w:val="18"/>
        </w:rPr>
        <w:t xml:space="preserve"> y el centro penitenciario de </w:t>
      </w:r>
      <w:proofErr w:type="spellStart"/>
      <w:r w:rsidRPr="008975E7">
        <w:rPr>
          <w:rFonts w:asciiTheme="majorBidi" w:hAnsiTheme="majorBidi" w:cstheme="majorBidi"/>
          <w:szCs w:val="18"/>
        </w:rPr>
        <w:t>Riom</w:t>
      </w:r>
      <w:proofErr w:type="spellEnd"/>
      <w:r w:rsidRPr="008975E7">
        <w:rPr>
          <w:rFonts w:asciiTheme="majorBidi" w:hAnsiTheme="majorBidi" w:cstheme="majorBidi"/>
          <w:szCs w:val="18"/>
        </w:rPr>
        <w:t>.</w:t>
      </w:r>
    </w:p>
  </w:footnote>
  <w:footnote w:id="7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Anexo núm. 14.</w:t>
      </w:r>
    </w:p>
  </w:footnote>
  <w:footnote w:id="8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Anexo núm.  15.</w:t>
      </w:r>
    </w:p>
  </w:footnote>
  <w:footnote w:id="8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Estadísticas más recientes disponibles.</w:t>
      </w:r>
    </w:p>
  </w:footnote>
  <w:footnote w:id="8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85 del Código de Procedimiento Penal</w:t>
      </w:r>
    </w:p>
  </w:footnote>
  <w:footnote w:id="8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12-1 del Código de Procedimiento Penal.</w:t>
      </w:r>
    </w:p>
  </w:footnote>
  <w:footnote w:id="8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El Fiscal de la República, un juez de instrucción o el presidente de una sala.</w:t>
      </w:r>
    </w:p>
  </w:footnote>
  <w:footnote w:id="8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Datos proporcionados por la administración penitenciaría.</w:t>
      </w:r>
    </w:p>
  </w:footnote>
  <w:footnote w:id="8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Artículos 222-8 y siguientes del Código Penal.</w:t>
      </w:r>
    </w:p>
  </w:footnote>
  <w:footnote w:id="8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40 del Código de Procedimiento Penal.</w:t>
      </w:r>
    </w:p>
  </w:footnote>
  <w:footnote w:id="8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t xml:space="preserve">Parte de la Ley </w:t>
      </w:r>
      <w:r w:rsidRPr="008975E7">
        <w:rPr>
          <w:rFonts w:asciiTheme="majorBidi" w:hAnsiTheme="majorBidi" w:cstheme="majorBidi"/>
          <w:szCs w:val="18"/>
        </w:rPr>
        <w:t>núm.</w:t>
      </w:r>
      <w:r>
        <w:rPr>
          <w:rFonts w:asciiTheme="majorBidi" w:hAnsiTheme="majorBidi" w:cstheme="majorBidi"/>
          <w:szCs w:val="18"/>
        </w:rPr>
        <w:t xml:space="preserve"> </w:t>
      </w:r>
      <w:r w:rsidRPr="008975E7">
        <w:rPr>
          <w:rFonts w:asciiTheme="majorBidi" w:hAnsiTheme="majorBidi" w:cstheme="majorBidi"/>
          <w:szCs w:val="18"/>
        </w:rPr>
        <w:t>2013-669 de 25 de julio de 2013, relativa a las atribuciones del Ministro de Justicia y los miembros del ministerio público en materia de política penal y la interposición de la acción pública.</w:t>
      </w:r>
    </w:p>
  </w:footnote>
  <w:footnote w:id="8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40-3 del Código de Procedimiento Penal.</w:t>
      </w:r>
    </w:p>
  </w:footnote>
  <w:footnote w:id="9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La sentencia no es definitiva porque se ha apelado de ella.</w:t>
      </w:r>
    </w:p>
  </w:footnote>
  <w:footnote w:id="9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13 del Código de Procedimiento Penal.</w:t>
      </w:r>
    </w:p>
  </w:footnote>
  <w:footnote w:id="9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Constitución en parte civil, juez que vela por los intereses de las víctimas, comisión de indemnización de las víctimas, oficina de ayuda a las víctimas y servicios especiales delegados a asociaciones especializadas designadas por los tribunales</w:t>
      </w:r>
      <w:r w:rsidRPr="008975E7">
        <w:rPr>
          <w:rFonts w:asciiTheme="majorBidi" w:hAnsiTheme="majorBidi" w:cstheme="majorBidi"/>
          <w:bCs/>
          <w:szCs w:val="18"/>
        </w:rPr>
        <w:t>.</w:t>
      </w:r>
    </w:p>
  </w:footnote>
  <w:footnote w:id="9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MIPROF: misión interministerial para la protección de las mujeres víctimas de la violencia, establecida en 2013 y subordinada al Ministerio de los Derechos de la Mujer.</w:t>
      </w:r>
    </w:p>
  </w:footnote>
  <w:footnote w:id="9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A partir de la ley de 17 de agosto de 2015 por la cual se incorporó un nuevo artículo </w:t>
      </w:r>
      <w:r w:rsidRPr="008975E7">
        <w:rPr>
          <w:rFonts w:asciiTheme="majorBidi" w:hAnsiTheme="majorBidi" w:cstheme="majorBidi"/>
          <w:bCs/>
          <w:szCs w:val="18"/>
        </w:rPr>
        <w:t>10-5 en el Código de Procedimiento Penal. Se está redactando un decreto de ejecución y se prevé también publicar una circular.</w:t>
      </w:r>
    </w:p>
  </w:footnote>
  <w:footnote w:id="9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Artículo 706-3 del Código de Procedimiento Penal.</w:t>
      </w:r>
    </w:p>
  </w:footnote>
  <w:footnote w:id="9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Anexo </w:t>
      </w:r>
      <w:r>
        <w:rPr>
          <w:rFonts w:asciiTheme="majorBidi" w:hAnsiTheme="majorBidi" w:cstheme="majorBidi"/>
          <w:szCs w:val="18"/>
        </w:rPr>
        <w:t xml:space="preserve">núm. </w:t>
      </w:r>
      <w:r w:rsidRPr="008975E7">
        <w:rPr>
          <w:rFonts w:asciiTheme="majorBidi" w:hAnsiTheme="majorBidi" w:cstheme="majorBidi"/>
          <w:szCs w:val="18"/>
        </w:rPr>
        <w:t xml:space="preserve">16. </w:t>
      </w:r>
    </w:p>
  </w:footnote>
  <w:footnote w:id="9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r>
      <w:r w:rsidRPr="008975E7">
        <w:rPr>
          <w:rFonts w:asciiTheme="majorBidi" w:hAnsiTheme="majorBidi" w:cstheme="majorBidi"/>
          <w:iCs/>
          <w:szCs w:val="18"/>
        </w:rPr>
        <w:t>Establecida en marzo de 2014.</w:t>
      </w:r>
    </w:p>
  </w:footnote>
  <w:footnote w:id="9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Pr>
          <w:rFonts w:asciiTheme="majorBidi" w:hAnsiTheme="majorBidi" w:cstheme="majorBidi"/>
          <w:szCs w:val="18"/>
        </w:rPr>
        <w:tab/>
        <w:t xml:space="preserve">Anexo núm. </w:t>
      </w:r>
      <w:r w:rsidRPr="008975E7">
        <w:rPr>
          <w:rFonts w:asciiTheme="majorBidi" w:hAnsiTheme="majorBidi" w:cstheme="majorBidi"/>
          <w:szCs w:val="18"/>
        </w:rPr>
        <w:t xml:space="preserve">17. </w:t>
      </w:r>
    </w:p>
  </w:footnote>
  <w:footnote w:id="9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Las dos investigaciones se llevaron a cabo a fin de constatar cómo se estaba llevando a la práctica la nota de 15 de diciembre de 2013 d</w:t>
      </w:r>
      <w:r>
        <w:rPr>
          <w:rFonts w:asciiTheme="majorBidi" w:hAnsiTheme="majorBidi" w:cstheme="majorBidi"/>
          <w:szCs w:val="18"/>
        </w:rPr>
        <w:t>e la administración penitenciari</w:t>
      </w:r>
      <w:r w:rsidRPr="008975E7">
        <w:rPr>
          <w:rFonts w:asciiTheme="majorBidi" w:hAnsiTheme="majorBidi" w:cstheme="majorBidi"/>
          <w:szCs w:val="18"/>
        </w:rPr>
        <w:t>a relativa a los medios de control de los detenidos, por la que se derogaba la circular de 14 de abril de 2011. En esta nota se indican los distintos medios de control que tienen los funcionarios penitenciarios y la práctica profesional correspondiente.</w:t>
      </w:r>
    </w:p>
  </w:footnote>
  <w:footnote w:id="10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Acerca del número de objetos prohibidos que se han encontrado.</w:t>
      </w:r>
    </w:p>
  </w:footnote>
  <w:footnote w:id="10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43.123 encontrados en 2013, 49.308 en 2014 y 46.738 en 2015 hasta el 31 de octubre (según las proyecci</w:t>
      </w:r>
      <w:r w:rsidR="000C2B74">
        <w:rPr>
          <w:rFonts w:asciiTheme="majorBidi" w:hAnsiTheme="majorBidi" w:cstheme="majorBidi"/>
          <w:szCs w:val="18"/>
        </w:rPr>
        <w:t>ones el número llegaría a 51.</w:t>
      </w:r>
      <w:r w:rsidRPr="008975E7">
        <w:rPr>
          <w:rFonts w:asciiTheme="majorBidi" w:hAnsiTheme="majorBidi" w:cstheme="majorBidi"/>
          <w:szCs w:val="18"/>
        </w:rPr>
        <w:t>000 en el año completo, lo que significaría un aumento del 18% en tres años).</w:t>
      </w:r>
    </w:p>
  </w:footnote>
  <w:footnote w:id="10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de modernización del sistema de salud, aprobada por el Parlamento el 17 de diciembre de 2015.</w:t>
      </w:r>
    </w:p>
  </w:footnote>
  <w:footnote w:id="10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 fin de que surtan mayor efecto en la calidad y seguridad del tratamiento, en el manual de certificación se incluyen prácticas prioritarias exigibles, que constituyen criterios a los que hay que prestar particular atención. El estudio que efectúa el equipo de expertos visitantes acerca de la postura del establecimiento con respecto</w:t>
      </w:r>
      <w:r w:rsidR="000C2B74">
        <w:rPr>
          <w:rFonts w:asciiTheme="majorBidi" w:hAnsiTheme="majorBidi" w:cstheme="majorBidi"/>
          <w:szCs w:val="18"/>
        </w:rPr>
        <w:t xml:space="preserve"> a</w:t>
      </w:r>
      <w:r w:rsidRPr="008975E7">
        <w:rPr>
          <w:rFonts w:asciiTheme="majorBidi" w:hAnsiTheme="majorBidi" w:cstheme="majorBidi"/>
          <w:szCs w:val="18"/>
        </w:rPr>
        <w:t xml:space="preserve"> estas exigencias es sistemático y el equipo aplica un planteamiento normalizado</w:t>
      </w:r>
      <w:r w:rsidRPr="008975E7">
        <w:rPr>
          <w:rFonts w:asciiTheme="majorBidi" w:hAnsiTheme="majorBidi" w:cstheme="majorBidi"/>
          <w:bCs/>
          <w:iCs/>
          <w:szCs w:val="18"/>
        </w:rPr>
        <w:t>.</w:t>
      </w:r>
      <w:r w:rsidRPr="008975E7">
        <w:rPr>
          <w:rFonts w:asciiTheme="majorBidi" w:hAnsiTheme="majorBidi" w:cstheme="majorBidi"/>
          <w:b/>
          <w:bCs/>
          <w:i/>
          <w:iCs/>
          <w:szCs w:val="18"/>
        </w:rPr>
        <w:t> </w:t>
      </w:r>
    </w:p>
  </w:footnote>
  <w:footnote w:id="10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A petición de un tercero, previa decisión del representante del Estado y de los detenidos aquejados de problemas psiquiátricos.</w:t>
      </w:r>
    </w:p>
  </w:footnote>
  <w:footnote w:id="10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Las medidas provisionales a que se refiere el artículo 108 del reglamento del Comité</w:t>
      </w:r>
      <w:r w:rsidRPr="008975E7">
        <w:rPr>
          <w:rFonts w:asciiTheme="majorBidi" w:hAnsiTheme="majorBidi" w:cstheme="majorBidi"/>
          <w:szCs w:val="18"/>
          <w:lang w:eastAsia="fr-FR"/>
        </w:rPr>
        <w:t>.</w:t>
      </w:r>
    </w:p>
  </w:footnote>
  <w:footnote w:id="10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Asunto </w:t>
      </w:r>
      <w:proofErr w:type="spellStart"/>
      <w:r w:rsidRPr="008975E7">
        <w:rPr>
          <w:rFonts w:asciiTheme="majorBidi" w:hAnsiTheme="majorBidi" w:cstheme="majorBidi"/>
          <w:i/>
          <w:iCs/>
          <w:szCs w:val="18"/>
          <w:lang w:eastAsia="fr-FR"/>
        </w:rPr>
        <w:t>Brada</w:t>
      </w:r>
      <w:proofErr w:type="spellEnd"/>
      <w:r w:rsidRPr="008975E7">
        <w:rPr>
          <w:rFonts w:asciiTheme="majorBidi" w:hAnsiTheme="majorBidi" w:cstheme="majorBidi"/>
          <w:szCs w:val="18"/>
          <w:lang w:eastAsia="fr-FR"/>
        </w:rPr>
        <w:t xml:space="preserve"> </w:t>
      </w:r>
      <w:r w:rsidRPr="009B3466">
        <w:rPr>
          <w:rFonts w:asciiTheme="majorBidi" w:hAnsiTheme="majorBidi" w:cstheme="majorBidi"/>
          <w:i/>
          <w:szCs w:val="18"/>
          <w:lang w:eastAsia="fr-FR"/>
        </w:rPr>
        <w:t>c.</w:t>
      </w:r>
      <w:r w:rsidRPr="008975E7">
        <w:rPr>
          <w:rFonts w:asciiTheme="majorBidi" w:hAnsiTheme="majorBidi" w:cstheme="majorBidi"/>
          <w:szCs w:val="18"/>
          <w:lang w:eastAsia="fr-FR"/>
        </w:rPr>
        <w:t xml:space="preserve"> </w:t>
      </w:r>
      <w:r w:rsidRPr="008975E7">
        <w:rPr>
          <w:rFonts w:asciiTheme="majorBidi" w:hAnsiTheme="majorBidi" w:cstheme="majorBidi"/>
          <w:i/>
          <w:iCs/>
          <w:szCs w:val="18"/>
          <w:lang w:eastAsia="fr-FR"/>
        </w:rPr>
        <w:t>France</w:t>
      </w:r>
      <w:r w:rsidRPr="008975E7">
        <w:rPr>
          <w:rFonts w:asciiTheme="majorBidi" w:hAnsiTheme="majorBidi" w:cstheme="majorBidi"/>
          <w:szCs w:val="18"/>
          <w:lang w:eastAsia="fr-FR"/>
        </w:rPr>
        <w:t>, CAT/C/34/195/2002 [2005].</w:t>
      </w:r>
    </w:p>
  </w:footnote>
  <w:footnote w:id="10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Hasta la fecha el Comité ha formulado a Francia seis solicitudes de medidas provisionales, de las cuales dos se presentaron tardíamente, una vez que ya había tenido lugar la expulsión del interesado, dos fueron cumplimentadas y, en el caso de las otras dos, Francia decidió no darles curso.</w:t>
      </w:r>
    </w:p>
  </w:footnote>
  <w:footnote w:id="10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w:t>
      </w:r>
      <w:r w:rsidRPr="008975E7">
        <w:t> </w:t>
      </w:r>
      <w:r w:rsidRPr="008975E7">
        <w:rPr>
          <w:rFonts w:asciiTheme="majorBidi" w:hAnsiTheme="majorBidi" w:cstheme="majorBidi"/>
          <w:szCs w:val="18"/>
        </w:rPr>
        <w:t>2012-1432 de 21 de diciembre de 2012, relativa a la seguridad y la lucha contra el terrorismo.</w:t>
      </w:r>
    </w:p>
  </w:footnote>
  <w:footnote w:id="109">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w:t>
      </w:r>
      <w:r w:rsidRPr="008975E7">
        <w:t> </w:t>
      </w:r>
      <w:r w:rsidRPr="008975E7">
        <w:rPr>
          <w:rFonts w:asciiTheme="majorBidi" w:hAnsiTheme="majorBidi" w:cstheme="majorBidi"/>
          <w:szCs w:val="18"/>
        </w:rPr>
        <w:t>2014-1353 de 13 de noviembre de 2014, por la que se dictan disposiciones más estrictas acerca de la lucha contra el terrorismo y, en particular, se establece e</w:t>
      </w:r>
      <w:r>
        <w:rPr>
          <w:rFonts w:asciiTheme="majorBidi" w:hAnsiTheme="majorBidi" w:cstheme="majorBidi"/>
          <w:szCs w:val="18"/>
        </w:rPr>
        <w:t xml:space="preserve">l delito de empresa terrorista </w:t>
      </w:r>
      <w:r w:rsidRPr="008975E7">
        <w:rPr>
          <w:rFonts w:asciiTheme="majorBidi" w:hAnsiTheme="majorBidi" w:cstheme="majorBidi"/>
          <w:szCs w:val="18"/>
        </w:rPr>
        <w:t xml:space="preserve">individual para tener en cuenta la situación hipotética en que alguien comete actos de violencia en relación con un grupo, un movimiento o una ideología, pero lo hace por sí solo sin que haya estructura de mando alguna (a veces se emplea el término </w:t>
      </w:r>
      <w:r>
        <w:rPr>
          <w:rFonts w:asciiTheme="majorBidi" w:hAnsiTheme="majorBidi" w:cstheme="majorBidi"/>
          <w:szCs w:val="18"/>
        </w:rPr>
        <w:t>“</w:t>
      </w:r>
      <w:r w:rsidRPr="008975E7">
        <w:rPr>
          <w:rFonts w:asciiTheme="majorBidi" w:hAnsiTheme="majorBidi" w:cstheme="majorBidi"/>
          <w:szCs w:val="18"/>
        </w:rPr>
        <w:t>lobo solitario</w:t>
      </w:r>
      <w:r>
        <w:rPr>
          <w:rFonts w:asciiTheme="majorBidi" w:hAnsiTheme="majorBidi" w:cstheme="majorBidi"/>
          <w:szCs w:val="18"/>
        </w:rPr>
        <w:t>”</w:t>
      </w:r>
      <w:r w:rsidRPr="008975E7">
        <w:rPr>
          <w:rFonts w:asciiTheme="majorBidi" w:hAnsiTheme="majorBidi" w:cstheme="majorBidi"/>
          <w:szCs w:val="18"/>
        </w:rPr>
        <w:t>).</w:t>
      </w:r>
    </w:p>
  </w:footnote>
  <w:footnote w:id="110">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r>
      <w:r w:rsidRPr="009B3466">
        <w:rPr>
          <w:rStyle w:val="Strong"/>
          <w:rFonts w:asciiTheme="majorBidi" w:hAnsiTheme="majorBidi" w:cstheme="majorBidi"/>
          <w:b w:val="0"/>
          <w:szCs w:val="18"/>
        </w:rPr>
        <w:t>Ley núm.</w:t>
      </w:r>
      <w:r>
        <w:rPr>
          <w:b/>
        </w:rPr>
        <w:t xml:space="preserve"> </w:t>
      </w:r>
      <w:r w:rsidRPr="009B3466">
        <w:rPr>
          <w:rStyle w:val="Strong"/>
          <w:rFonts w:asciiTheme="majorBidi" w:hAnsiTheme="majorBidi" w:cstheme="majorBidi"/>
          <w:b w:val="0"/>
          <w:szCs w:val="18"/>
        </w:rPr>
        <w:t>2015-912 de 24 de julio de 2015</w:t>
      </w:r>
      <w:r w:rsidRPr="008975E7">
        <w:rPr>
          <w:rStyle w:val="Strong"/>
          <w:rFonts w:asciiTheme="majorBidi" w:hAnsiTheme="majorBidi" w:cstheme="majorBidi"/>
          <w:szCs w:val="18"/>
        </w:rPr>
        <w:t>,</w:t>
      </w:r>
      <w:r w:rsidRPr="008975E7">
        <w:rPr>
          <w:rFonts w:asciiTheme="majorBidi" w:hAnsiTheme="majorBidi" w:cstheme="majorBidi"/>
          <w:szCs w:val="18"/>
        </w:rPr>
        <w:t xml:space="preserve"> relativa a los servicios de inteligencia.</w:t>
      </w:r>
    </w:p>
  </w:footnote>
  <w:footnote w:id="111">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w:t>
      </w:r>
      <w:r>
        <w:t xml:space="preserve"> </w:t>
      </w:r>
      <w:r w:rsidRPr="008975E7">
        <w:rPr>
          <w:rFonts w:asciiTheme="majorBidi" w:hAnsiTheme="majorBidi" w:cstheme="majorBidi"/>
          <w:szCs w:val="18"/>
        </w:rPr>
        <w:t>2015-1501 de 20 de noviembre de 2015, por la que se modifica la ley núm. 55-385 de 3 de abril de 1955, relativa al estado de excepción.</w:t>
      </w:r>
    </w:p>
  </w:footnote>
  <w:footnote w:id="112">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Ley núm. 55-385 de 3 de abril de 1955, relativa al estado de excepción.</w:t>
      </w:r>
    </w:p>
  </w:footnote>
  <w:footnote w:id="113">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En aplicación del artículo 5 </w:t>
      </w:r>
      <w:r w:rsidRPr="008975E7">
        <w:rPr>
          <w:rFonts w:asciiTheme="majorBidi" w:hAnsiTheme="majorBidi" w:cstheme="majorBidi"/>
          <w:i/>
          <w:iCs/>
          <w:szCs w:val="18"/>
        </w:rPr>
        <w:t>ter</w:t>
      </w:r>
      <w:r w:rsidRPr="008975E7">
        <w:rPr>
          <w:rFonts w:asciiTheme="majorBidi" w:hAnsiTheme="majorBidi" w:cstheme="majorBidi"/>
          <w:szCs w:val="18"/>
        </w:rPr>
        <w:t xml:space="preserve"> de la ordenanza de noviembre de 1958.</w:t>
      </w:r>
    </w:p>
  </w:footnote>
  <w:footnote w:id="114">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Las cinco materias son el seguimiento de los procedimientos excepcionales, su curso judicial, su curso administrativo, los recursos presentado contra ellos o contra sus efectos y el seguimiento por la prensa del estado de excepción.</w:t>
      </w:r>
    </w:p>
  </w:footnote>
  <w:footnote w:id="115">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Especialmente contra la seguridad de las personas y los bienes.</w:t>
      </w:r>
    </w:p>
  </w:footnote>
  <w:footnote w:id="116">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 xml:space="preserve">Decisión </w:t>
      </w:r>
      <w:r w:rsidRPr="008975E7">
        <w:t>núm. </w:t>
      </w:r>
      <w:r w:rsidRPr="008975E7">
        <w:rPr>
          <w:rFonts w:asciiTheme="majorBidi" w:hAnsiTheme="majorBidi" w:cstheme="majorBidi"/>
          <w:szCs w:val="18"/>
        </w:rPr>
        <w:t>2015-490 QPC de 14 de octubre de 2015 sobre la ley núm.</w:t>
      </w:r>
      <w:hyperlink r:id="rId2" w:anchor="LEGIARTI000029755237" w:history="1">
        <w:r w:rsidRPr="008975E7">
          <w:t> </w:t>
        </w:r>
        <w:r w:rsidRPr="008975E7">
          <w:rPr>
            <w:rStyle w:val="Hyperlink"/>
            <w:rFonts w:asciiTheme="majorBidi" w:hAnsiTheme="majorBidi" w:cstheme="majorBidi"/>
            <w:color w:val="auto"/>
            <w:szCs w:val="18"/>
          </w:rPr>
          <w:t>2014-1353 de 13 noviembre de 2014</w:t>
        </w:r>
      </w:hyperlink>
      <w:r w:rsidRPr="008975E7">
        <w:rPr>
          <w:rStyle w:val="Hyperlink"/>
          <w:rFonts w:asciiTheme="majorBidi" w:hAnsiTheme="majorBidi" w:cstheme="majorBidi"/>
          <w:color w:val="auto"/>
          <w:szCs w:val="18"/>
        </w:rPr>
        <w:t>,</w:t>
      </w:r>
      <w:r w:rsidRPr="008975E7">
        <w:rPr>
          <w:rFonts w:asciiTheme="majorBidi" w:hAnsiTheme="majorBidi" w:cstheme="majorBidi"/>
          <w:szCs w:val="18"/>
        </w:rPr>
        <w:t xml:space="preserve"> relativa a la prohibición de salida del territorio.</w:t>
      </w:r>
    </w:p>
  </w:footnote>
  <w:footnote w:id="117">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Decisión núm.</w:t>
      </w:r>
      <w:r w:rsidRPr="008975E7">
        <w:t> </w:t>
      </w:r>
      <w:r w:rsidRPr="008975E7">
        <w:rPr>
          <w:rFonts w:asciiTheme="majorBidi" w:hAnsiTheme="majorBidi" w:cstheme="majorBidi"/>
          <w:szCs w:val="18"/>
        </w:rPr>
        <w:t>2015-713 DC de 23 de julio de 2015 sobre la ley relativa a los servicios de inteligencia.</w:t>
      </w:r>
    </w:p>
  </w:footnote>
  <w:footnote w:id="118">
    <w:p w:rsidR="004E2BB7" w:rsidRPr="008975E7" w:rsidRDefault="004E2BB7" w:rsidP="00B7582D">
      <w:pPr>
        <w:pStyle w:val="FootnoteText"/>
        <w:rPr>
          <w:rFonts w:asciiTheme="majorBidi" w:hAnsiTheme="majorBidi" w:cstheme="majorBidi"/>
          <w:szCs w:val="18"/>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rPr>
        <w:tab/>
        <w:t>Decisión núm.</w:t>
      </w:r>
      <w:r w:rsidRPr="008975E7">
        <w:t> </w:t>
      </w:r>
      <w:r w:rsidRPr="008975E7">
        <w:rPr>
          <w:rFonts w:asciiTheme="majorBidi" w:hAnsiTheme="majorBidi" w:cstheme="majorBidi"/>
          <w:szCs w:val="18"/>
        </w:rPr>
        <w:t>2015-527 QPC de 22 de diciembre de 2015, sobre las medidas de arresto domiciliario que se pueden adoptar en el contexto del estado de excepción.</w:t>
      </w:r>
    </w:p>
  </w:footnote>
  <w:footnote w:id="119">
    <w:p w:rsidR="004E2BB7" w:rsidRPr="008975E7" w:rsidRDefault="004E2BB7" w:rsidP="00B7582D">
      <w:pPr>
        <w:pStyle w:val="FootnoteText"/>
        <w:rPr>
          <w:rFonts w:asciiTheme="majorBidi" w:hAnsiTheme="majorBidi" w:cstheme="majorBidi"/>
          <w:szCs w:val="18"/>
          <w:lang w:val="fr-FR"/>
        </w:rPr>
      </w:pPr>
      <w:r w:rsidRPr="008975E7">
        <w:rPr>
          <w:rFonts w:asciiTheme="majorBidi" w:hAnsiTheme="majorBidi" w:cstheme="majorBidi"/>
          <w:szCs w:val="18"/>
        </w:rPr>
        <w:tab/>
      </w:r>
      <w:r w:rsidRPr="00B7582D">
        <w:rPr>
          <w:rStyle w:val="FootnoteReference"/>
        </w:rPr>
        <w:footnoteRef/>
      </w:r>
      <w:r w:rsidRPr="008975E7">
        <w:rPr>
          <w:rFonts w:asciiTheme="majorBidi" w:hAnsiTheme="majorBidi" w:cstheme="majorBidi"/>
          <w:szCs w:val="18"/>
          <w:lang w:val="fr-FR"/>
        </w:rPr>
        <w:tab/>
        <w:t xml:space="preserve">CAT/C/FRA/7, </w:t>
      </w:r>
      <w:proofErr w:type="spellStart"/>
      <w:r w:rsidRPr="008975E7">
        <w:rPr>
          <w:rFonts w:asciiTheme="majorBidi" w:hAnsiTheme="majorBidi" w:cstheme="majorBidi"/>
          <w:szCs w:val="18"/>
          <w:lang w:val="fr-FR"/>
        </w:rPr>
        <w:t>párrs</w:t>
      </w:r>
      <w:proofErr w:type="spellEnd"/>
      <w:r w:rsidRPr="008975E7">
        <w:rPr>
          <w:rFonts w:asciiTheme="majorBidi" w:hAnsiTheme="majorBidi" w:cstheme="majorBidi"/>
          <w:szCs w:val="18"/>
          <w:lang w:val="fr-FR"/>
        </w:rPr>
        <w:t xml:space="preserve">. 78 </w:t>
      </w:r>
      <w:proofErr w:type="gramStart"/>
      <w:r w:rsidRPr="008975E7">
        <w:rPr>
          <w:rFonts w:asciiTheme="majorBidi" w:hAnsiTheme="majorBidi" w:cstheme="majorBidi"/>
          <w:szCs w:val="18"/>
          <w:lang w:val="fr-FR"/>
        </w:rPr>
        <w:t>a</w:t>
      </w:r>
      <w:proofErr w:type="gramEnd"/>
      <w:r w:rsidRPr="008975E7">
        <w:rPr>
          <w:rFonts w:asciiTheme="majorBidi" w:hAnsiTheme="majorBidi" w:cstheme="majorBidi"/>
          <w:szCs w:val="18"/>
          <w:lang w:val="fr-FR"/>
        </w:rPr>
        <w:t xml:space="preserve"> 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B7" w:rsidRPr="00B7582D" w:rsidRDefault="004E2BB7">
    <w:pPr>
      <w:pStyle w:val="Header"/>
      <w:rPr>
        <w:lang w:val="en-US"/>
      </w:rPr>
    </w:pPr>
    <w:r w:rsidRPr="00B7582D">
      <w:rPr>
        <w:lang w:val="en-US"/>
      </w:rPr>
      <w:t>CAT/C/FRA/Q/7/Add.1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B7" w:rsidRPr="00B7582D" w:rsidRDefault="004E2BB7" w:rsidP="00B7582D">
    <w:pPr>
      <w:pStyle w:val="Header"/>
      <w:jc w:val="right"/>
      <w:rPr>
        <w:lang w:val="en-US"/>
      </w:rPr>
    </w:pPr>
    <w:r w:rsidRPr="00B7582D">
      <w:rPr>
        <w:lang w:val="en-US"/>
      </w:rPr>
      <w:t>CAT/C/FRA/Q/7/Add.1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D340156"/>
    <w:multiLevelType w:val="hybridMultilevel"/>
    <w:tmpl w:val="4D948BD2"/>
    <w:lvl w:ilvl="0" w:tplc="7DDCDF92">
      <w:start w:val="1"/>
      <w:numFmt w:val="decimal"/>
      <w:lvlText w:val="%1."/>
      <w:lvlJc w:val="left"/>
      <w:pPr>
        <w:ind w:left="928" w:hanging="360"/>
      </w:pPr>
      <w:rPr>
        <w:rFonts w:ascii="Times New Roman" w:hAnsi="Times New Roman" w:cs="Times New Roman" w:hint="default"/>
        <w:b w:val="0"/>
        <w:i w:val="0"/>
        <w:sz w:val="20"/>
        <w:szCs w:val="20"/>
        <w:lang w:val="fr-CH"/>
      </w:rPr>
    </w:lvl>
    <w:lvl w:ilvl="1" w:tplc="040C0019" w:tentative="1">
      <w:start w:val="1"/>
      <w:numFmt w:val="lowerLetter"/>
      <w:lvlText w:val="%2."/>
      <w:lvlJc w:val="left"/>
      <w:pPr>
        <w:ind w:left="1094" w:hanging="360"/>
      </w:pPr>
    </w:lvl>
    <w:lvl w:ilvl="2" w:tplc="040C001B" w:tentative="1">
      <w:start w:val="1"/>
      <w:numFmt w:val="lowerRoman"/>
      <w:lvlText w:val="%3."/>
      <w:lvlJc w:val="right"/>
      <w:pPr>
        <w:ind w:left="1814" w:hanging="180"/>
      </w:pPr>
    </w:lvl>
    <w:lvl w:ilvl="3" w:tplc="040C000F" w:tentative="1">
      <w:start w:val="1"/>
      <w:numFmt w:val="decimal"/>
      <w:lvlText w:val="%4."/>
      <w:lvlJc w:val="left"/>
      <w:pPr>
        <w:ind w:left="2534" w:hanging="360"/>
      </w:pPr>
    </w:lvl>
    <w:lvl w:ilvl="4" w:tplc="040C0019" w:tentative="1">
      <w:start w:val="1"/>
      <w:numFmt w:val="lowerLetter"/>
      <w:lvlText w:val="%5."/>
      <w:lvlJc w:val="left"/>
      <w:pPr>
        <w:ind w:left="3254" w:hanging="360"/>
      </w:pPr>
    </w:lvl>
    <w:lvl w:ilvl="5" w:tplc="040C001B" w:tentative="1">
      <w:start w:val="1"/>
      <w:numFmt w:val="lowerRoman"/>
      <w:lvlText w:val="%6."/>
      <w:lvlJc w:val="right"/>
      <w:pPr>
        <w:ind w:left="3974" w:hanging="180"/>
      </w:pPr>
    </w:lvl>
    <w:lvl w:ilvl="6" w:tplc="040C000F" w:tentative="1">
      <w:start w:val="1"/>
      <w:numFmt w:val="decimal"/>
      <w:lvlText w:val="%7."/>
      <w:lvlJc w:val="left"/>
      <w:pPr>
        <w:ind w:left="4694" w:hanging="360"/>
      </w:pPr>
    </w:lvl>
    <w:lvl w:ilvl="7" w:tplc="040C0019" w:tentative="1">
      <w:start w:val="1"/>
      <w:numFmt w:val="lowerLetter"/>
      <w:lvlText w:val="%8."/>
      <w:lvlJc w:val="left"/>
      <w:pPr>
        <w:ind w:left="5414" w:hanging="360"/>
      </w:pPr>
    </w:lvl>
    <w:lvl w:ilvl="8" w:tplc="040C001B" w:tentative="1">
      <w:start w:val="1"/>
      <w:numFmt w:val="lowerRoman"/>
      <w:lvlText w:val="%9."/>
      <w:lvlJc w:val="right"/>
      <w:pPr>
        <w:ind w:left="6134" w:hanging="180"/>
      </w:pPr>
    </w:lvl>
  </w:abstractNum>
  <w:abstractNum w:abstractNumId="17">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3"/>
  </w:num>
  <w:num w:numId="3">
    <w:abstractNumId w:val="24"/>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4"/>
  </w:num>
  <w:num w:numId="18">
    <w:abstractNumId w:val="11"/>
  </w:num>
  <w:num w:numId="19">
    <w:abstractNumId w:val="16"/>
  </w:num>
  <w:num w:numId="20">
    <w:abstractNumId w:val="17"/>
  </w:num>
  <w:num w:numId="21">
    <w:abstractNumId w:val="15"/>
  </w:num>
  <w:num w:numId="22">
    <w:abstractNumId w:val="19"/>
  </w:num>
  <w:num w:numId="23">
    <w:abstractNumId w:val="12"/>
  </w:num>
  <w:num w:numId="24">
    <w:abstractNumId w:val="20"/>
  </w:num>
  <w:num w:numId="25">
    <w:abstractNumId w:val="10"/>
  </w:num>
  <w:num w:numId="26">
    <w:abstractNumId w:val="22"/>
  </w:num>
  <w:num w:numId="27">
    <w:abstractNumId w:val="22"/>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5EE"/>
    <w:rsid w:val="00033EE1"/>
    <w:rsid w:val="00042B72"/>
    <w:rsid w:val="000558BD"/>
    <w:rsid w:val="000754EE"/>
    <w:rsid w:val="00084A28"/>
    <w:rsid w:val="000B57E7"/>
    <w:rsid w:val="000B6373"/>
    <w:rsid w:val="000C2B74"/>
    <w:rsid w:val="000F09DF"/>
    <w:rsid w:val="000F61B2"/>
    <w:rsid w:val="001075E9"/>
    <w:rsid w:val="00140D4F"/>
    <w:rsid w:val="00180183"/>
    <w:rsid w:val="0018024D"/>
    <w:rsid w:val="0018649F"/>
    <w:rsid w:val="00196389"/>
    <w:rsid w:val="001B3EF6"/>
    <w:rsid w:val="001C7A89"/>
    <w:rsid w:val="00217D36"/>
    <w:rsid w:val="002248C0"/>
    <w:rsid w:val="002A15CE"/>
    <w:rsid w:val="002A2EFC"/>
    <w:rsid w:val="002C0E18"/>
    <w:rsid w:val="002D5AAC"/>
    <w:rsid w:val="002E302C"/>
    <w:rsid w:val="002F405F"/>
    <w:rsid w:val="00301299"/>
    <w:rsid w:val="003067C5"/>
    <w:rsid w:val="00307FB6"/>
    <w:rsid w:val="00317339"/>
    <w:rsid w:val="00322004"/>
    <w:rsid w:val="003402C2"/>
    <w:rsid w:val="00381C24"/>
    <w:rsid w:val="003958D0"/>
    <w:rsid w:val="003B00E5"/>
    <w:rsid w:val="003F2939"/>
    <w:rsid w:val="00407B78"/>
    <w:rsid w:val="00424203"/>
    <w:rsid w:val="00452493"/>
    <w:rsid w:val="00454E07"/>
    <w:rsid w:val="004E2BB7"/>
    <w:rsid w:val="0050108D"/>
    <w:rsid w:val="00505971"/>
    <w:rsid w:val="00513081"/>
    <w:rsid w:val="00517901"/>
    <w:rsid w:val="00526683"/>
    <w:rsid w:val="005530A3"/>
    <w:rsid w:val="005709E0"/>
    <w:rsid w:val="00572E19"/>
    <w:rsid w:val="005961C8"/>
    <w:rsid w:val="005D7914"/>
    <w:rsid w:val="005F0B42"/>
    <w:rsid w:val="00681A10"/>
    <w:rsid w:val="006C2031"/>
    <w:rsid w:val="006D461A"/>
    <w:rsid w:val="006E356E"/>
    <w:rsid w:val="006E7495"/>
    <w:rsid w:val="006F35EE"/>
    <w:rsid w:val="007021FF"/>
    <w:rsid w:val="00712895"/>
    <w:rsid w:val="0075465C"/>
    <w:rsid w:val="00757357"/>
    <w:rsid w:val="007E4706"/>
    <w:rsid w:val="007F2618"/>
    <w:rsid w:val="00825F8D"/>
    <w:rsid w:val="00834B71"/>
    <w:rsid w:val="00844557"/>
    <w:rsid w:val="0086445C"/>
    <w:rsid w:val="00894693"/>
    <w:rsid w:val="008A08D7"/>
    <w:rsid w:val="008B6909"/>
    <w:rsid w:val="00906890"/>
    <w:rsid w:val="00911BE4"/>
    <w:rsid w:val="00951972"/>
    <w:rsid w:val="009608F3"/>
    <w:rsid w:val="009745C7"/>
    <w:rsid w:val="0098364D"/>
    <w:rsid w:val="009B3466"/>
    <w:rsid w:val="009E07B2"/>
    <w:rsid w:val="00A245EE"/>
    <w:rsid w:val="00A312BC"/>
    <w:rsid w:val="00A84021"/>
    <w:rsid w:val="00A917B3"/>
    <w:rsid w:val="00AB4B51"/>
    <w:rsid w:val="00AC611E"/>
    <w:rsid w:val="00B10CC7"/>
    <w:rsid w:val="00B4174A"/>
    <w:rsid w:val="00B539E7"/>
    <w:rsid w:val="00B62458"/>
    <w:rsid w:val="00B7582D"/>
    <w:rsid w:val="00BC6C8F"/>
    <w:rsid w:val="00BD33EE"/>
    <w:rsid w:val="00C106D6"/>
    <w:rsid w:val="00C60F0C"/>
    <w:rsid w:val="00C805C9"/>
    <w:rsid w:val="00C92939"/>
    <w:rsid w:val="00C968C6"/>
    <w:rsid w:val="00CA1679"/>
    <w:rsid w:val="00CB151C"/>
    <w:rsid w:val="00CE4F02"/>
    <w:rsid w:val="00CE5A1A"/>
    <w:rsid w:val="00CF55F6"/>
    <w:rsid w:val="00D33D63"/>
    <w:rsid w:val="00D570D0"/>
    <w:rsid w:val="00D8412A"/>
    <w:rsid w:val="00D90138"/>
    <w:rsid w:val="00E73F76"/>
    <w:rsid w:val="00EA2C9F"/>
    <w:rsid w:val="00ED0BDA"/>
    <w:rsid w:val="00EE7EDE"/>
    <w:rsid w:val="00EF1360"/>
    <w:rsid w:val="00EF3220"/>
    <w:rsid w:val="00F4145E"/>
    <w:rsid w:val="00F94155"/>
    <w:rsid w:val="00FD2367"/>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Heading1">
    <w:name w:val="heading 1"/>
    <w:aliases w:val="Table_G,Cuadro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rsid w:val="00681A10"/>
    <w:pPr>
      <w:keepNext/>
      <w:outlineLvl w:val="1"/>
    </w:pPr>
    <w:rPr>
      <w:rFonts w:cs="Arial"/>
      <w:bCs/>
      <w:iCs/>
      <w:szCs w:val="28"/>
    </w:rPr>
  </w:style>
  <w:style w:type="paragraph" w:styleId="Heading3">
    <w:name w:val="heading 3"/>
    <w:basedOn w:val="Normal"/>
    <w:next w:val="Normal"/>
    <w:rsid w:val="00681A10"/>
    <w:pPr>
      <w:keepNext/>
      <w:spacing w:before="240" w:after="60"/>
      <w:outlineLvl w:val="2"/>
    </w:pPr>
    <w:rPr>
      <w:rFonts w:ascii="Arial" w:hAnsi="Arial" w:cs="Arial"/>
      <w:b/>
      <w:bCs/>
      <w:sz w:val="26"/>
      <w:szCs w:val="26"/>
    </w:rPr>
  </w:style>
  <w:style w:type="paragraph" w:styleId="Heading4">
    <w:name w:val="heading 4"/>
    <w:basedOn w:val="Normal"/>
    <w:next w:val="Normal"/>
    <w:rsid w:val="00681A10"/>
    <w:pPr>
      <w:keepNext/>
      <w:spacing w:before="240" w:after="60"/>
      <w:outlineLvl w:val="3"/>
    </w:pPr>
    <w:rPr>
      <w:b/>
      <w:bCs/>
      <w:sz w:val="28"/>
      <w:szCs w:val="28"/>
    </w:rPr>
  </w:style>
  <w:style w:type="paragraph" w:styleId="Heading5">
    <w:name w:val="heading 5"/>
    <w:basedOn w:val="Normal"/>
    <w:next w:val="Normal"/>
    <w:rsid w:val="00681A10"/>
    <w:pPr>
      <w:spacing w:before="240" w:after="60"/>
      <w:outlineLvl w:val="4"/>
    </w:pPr>
    <w:rPr>
      <w:b/>
      <w:bCs/>
      <w:i/>
      <w:iCs/>
      <w:sz w:val="26"/>
      <w:szCs w:val="26"/>
    </w:rPr>
  </w:style>
  <w:style w:type="paragraph" w:styleId="Heading6">
    <w:name w:val="heading 6"/>
    <w:basedOn w:val="Normal"/>
    <w:next w:val="Normal"/>
    <w:rsid w:val="00681A10"/>
    <w:pPr>
      <w:spacing w:before="240" w:after="60"/>
      <w:outlineLvl w:val="5"/>
    </w:pPr>
    <w:rPr>
      <w:b/>
      <w:bCs/>
      <w:sz w:val="22"/>
      <w:szCs w:val="22"/>
    </w:rPr>
  </w:style>
  <w:style w:type="paragraph" w:styleId="Heading7">
    <w:name w:val="heading 7"/>
    <w:basedOn w:val="Normal"/>
    <w:next w:val="Normal"/>
    <w:rsid w:val="00681A10"/>
    <w:pPr>
      <w:spacing w:before="240" w:after="60"/>
      <w:outlineLvl w:val="6"/>
    </w:pPr>
    <w:rPr>
      <w:sz w:val="24"/>
      <w:szCs w:val="24"/>
    </w:rPr>
  </w:style>
  <w:style w:type="paragraph" w:styleId="Heading8">
    <w:name w:val="heading 8"/>
    <w:basedOn w:val="Normal"/>
    <w:next w:val="Normal"/>
    <w:rsid w:val="00681A10"/>
    <w:pPr>
      <w:spacing w:before="240" w:after="60"/>
      <w:outlineLvl w:val="7"/>
    </w:pPr>
    <w:rPr>
      <w:i/>
      <w:iCs/>
      <w:sz w:val="24"/>
      <w:szCs w:val="24"/>
    </w:rPr>
  </w:style>
  <w:style w:type="paragraph" w:styleId="Heading9">
    <w:name w:val="heading 9"/>
    <w:basedOn w:val="Normal"/>
    <w:next w:val="Normal"/>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81A10"/>
    <w:pPr>
      <w:numPr>
        <w:numId w:val="3"/>
      </w:numPr>
    </w:pPr>
  </w:style>
  <w:style w:type="numbering" w:styleId="1ai">
    <w:name w:val="Outline List 1"/>
    <w:basedOn w:val="NoList"/>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qForma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semiHidden/>
    <w:rsid w:val="00681A10"/>
    <w:pPr>
      <w:spacing w:after="60"/>
      <w:jc w:val="center"/>
      <w:outlineLvl w:val="1"/>
    </w:pPr>
    <w:rPr>
      <w:rFonts w:ascii="Arial" w:hAnsi="Arial" w:cs="Arial"/>
      <w:sz w:val="24"/>
      <w:szCs w:val="24"/>
    </w:rPr>
  </w:style>
  <w:style w:type="table" w:styleId="TableSimple1">
    <w:name w:val="Table Simple 1"/>
    <w:basedOn w:val="Table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
    <w:basedOn w:val="FootnoteText"/>
    <w:link w:val="EndnoteTextChar"/>
    <w:qFormat/>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D6905"/>
    <w:rPr>
      <w:rFonts w:ascii="Tahoma" w:hAnsi="Tahoma" w:cs="Tahoma"/>
      <w:sz w:val="16"/>
      <w:szCs w:val="16"/>
      <w:lang w:val="es-ES" w:eastAsia="es-ES"/>
    </w:rPr>
  </w:style>
  <w:style w:type="character" w:styleId="IntenseEmphasis">
    <w:name w:val="Intense Emphasis"/>
    <w:uiPriority w:val="21"/>
    <w:semiHidden/>
    <w:rsid w:val="00B7582D"/>
    <w:rPr>
      <w:b/>
      <w:bCs/>
      <w:i/>
      <w:iCs/>
      <w:color w:val="4F81BD"/>
    </w:rPr>
  </w:style>
  <w:style w:type="paragraph" w:styleId="IntenseQuote">
    <w:name w:val="Intense Quote"/>
    <w:basedOn w:val="Normal"/>
    <w:next w:val="Normal"/>
    <w:link w:val="IntenseQuoteChar"/>
    <w:uiPriority w:val="30"/>
    <w:semiHidden/>
    <w:rsid w:val="00B7582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B7582D"/>
    <w:rPr>
      <w:b/>
      <w:bCs/>
      <w:i/>
      <w:iCs/>
      <w:color w:val="4F81BD"/>
      <w:lang w:val="es-ES" w:eastAsia="es-ES"/>
    </w:rPr>
  </w:style>
  <w:style w:type="character" w:customStyle="1" w:styleId="Heading1Char">
    <w:name w:val="Heading 1 Char"/>
    <w:aliases w:val="Table_G Char,Cuadro_G Char"/>
    <w:basedOn w:val="DefaultParagraphFont"/>
    <w:link w:val="Heading1"/>
    <w:rsid w:val="00B7582D"/>
    <w:rPr>
      <w:rFonts w:cs="Arial"/>
      <w:bCs/>
      <w:szCs w:val="32"/>
      <w:lang w:val="es-ES" w:eastAsia="es-ES"/>
    </w:rPr>
  </w:style>
  <w:style w:type="character" w:customStyle="1" w:styleId="FootnoteTextChar">
    <w:name w:val="Footnote Text Char"/>
    <w:aliases w:val="5_G Char"/>
    <w:basedOn w:val="DefaultParagraphFont"/>
    <w:link w:val="FootnoteText"/>
    <w:locked/>
    <w:rsid w:val="00B7582D"/>
    <w:rPr>
      <w:sz w:val="18"/>
      <w:lang w:val="es-ES" w:eastAsia="es-ES"/>
    </w:rPr>
  </w:style>
  <w:style w:type="character" w:customStyle="1" w:styleId="ClosingChar">
    <w:name w:val="Closing Char"/>
    <w:basedOn w:val="DefaultParagraphFont"/>
    <w:link w:val="Closing"/>
    <w:semiHidden/>
    <w:rsid w:val="00B7582D"/>
    <w:rPr>
      <w:lang w:val="es-ES" w:eastAsia="es-ES"/>
    </w:rPr>
  </w:style>
  <w:style w:type="character" w:customStyle="1" w:styleId="HTMLAddressChar">
    <w:name w:val="HTML Address Char"/>
    <w:basedOn w:val="DefaultParagraphFont"/>
    <w:link w:val="HTMLAddress"/>
    <w:semiHidden/>
    <w:rsid w:val="00B7582D"/>
    <w:rPr>
      <w:i/>
      <w:iCs/>
      <w:lang w:val="es-ES" w:eastAsia="es-ES"/>
    </w:rPr>
  </w:style>
  <w:style w:type="character" w:styleId="CommentReference">
    <w:name w:val="annotation reference"/>
    <w:uiPriority w:val="99"/>
    <w:rsid w:val="00B7582D"/>
    <w:rPr>
      <w:sz w:val="16"/>
      <w:szCs w:val="16"/>
    </w:rPr>
  </w:style>
  <w:style w:type="paragraph" w:styleId="CommentText">
    <w:name w:val="annotation text"/>
    <w:basedOn w:val="Normal"/>
    <w:link w:val="CommentTextChar"/>
    <w:uiPriority w:val="99"/>
    <w:rsid w:val="00B7582D"/>
    <w:pPr>
      <w:suppressAutoHyphens/>
      <w:spacing w:line="240" w:lineRule="auto"/>
    </w:pPr>
    <w:rPr>
      <w:lang w:val="fr-CH" w:eastAsia="en-US"/>
    </w:rPr>
  </w:style>
  <w:style w:type="character" w:customStyle="1" w:styleId="CommentTextChar">
    <w:name w:val="Comment Text Char"/>
    <w:basedOn w:val="DefaultParagraphFont"/>
    <w:link w:val="CommentText"/>
    <w:uiPriority w:val="99"/>
    <w:rsid w:val="00B7582D"/>
    <w:rPr>
      <w:lang w:val="fr-CH" w:eastAsia="en-US"/>
    </w:rPr>
  </w:style>
  <w:style w:type="paragraph" w:styleId="CommentSubject">
    <w:name w:val="annotation subject"/>
    <w:basedOn w:val="CommentText"/>
    <w:next w:val="CommentText"/>
    <w:link w:val="CommentSubjectChar"/>
    <w:rsid w:val="00B7582D"/>
    <w:rPr>
      <w:b/>
      <w:bCs/>
    </w:rPr>
  </w:style>
  <w:style w:type="character" w:customStyle="1" w:styleId="CommentSubjectChar">
    <w:name w:val="Comment Subject Char"/>
    <w:basedOn w:val="CommentTextChar"/>
    <w:link w:val="CommentSubject"/>
    <w:rsid w:val="00B7582D"/>
    <w:rPr>
      <w:b/>
      <w:bCs/>
      <w:lang w:val="fr-CH" w:eastAsia="en-US"/>
    </w:rPr>
  </w:style>
  <w:style w:type="paragraph" w:styleId="ListParagraph">
    <w:name w:val="List Paragraph"/>
    <w:basedOn w:val="Normal"/>
    <w:link w:val="ListParagraphChar"/>
    <w:uiPriority w:val="34"/>
    <w:qFormat/>
    <w:rsid w:val="00B7582D"/>
    <w:pPr>
      <w:spacing w:after="200" w:line="276" w:lineRule="auto"/>
      <w:ind w:left="720"/>
      <w:contextualSpacing/>
    </w:pPr>
    <w:rPr>
      <w:rFonts w:ascii="Calibri" w:hAnsi="Calibri"/>
      <w:sz w:val="22"/>
      <w:szCs w:val="22"/>
      <w:lang w:val="fr-FR" w:eastAsia="en-US"/>
    </w:rPr>
  </w:style>
  <w:style w:type="character" w:customStyle="1" w:styleId="ListParagraphChar">
    <w:name w:val="List Paragraph Char"/>
    <w:link w:val="ListParagraph"/>
    <w:uiPriority w:val="34"/>
    <w:rsid w:val="00B7582D"/>
    <w:rPr>
      <w:rFonts w:ascii="Calibri" w:hAnsi="Calibri"/>
      <w:sz w:val="22"/>
      <w:szCs w:val="22"/>
      <w:lang w:val="fr-FR" w:eastAsia="en-US"/>
    </w:rPr>
  </w:style>
  <w:style w:type="character" w:customStyle="1" w:styleId="MessageHeaderChar">
    <w:name w:val="Message Header Char"/>
    <w:basedOn w:val="DefaultParagraphFont"/>
    <w:link w:val="MessageHeader"/>
    <w:semiHidden/>
    <w:rsid w:val="00B7582D"/>
    <w:rPr>
      <w:rFonts w:ascii="Arial" w:hAnsi="Arial" w:cs="Arial"/>
      <w:sz w:val="24"/>
      <w:szCs w:val="24"/>
      <w:shd w:val="pct20" w:color="auto" w:fill="auto"/>
      <w:lang w:val="es-ES" w:eastAsia="es-ES"/>
    </w:rPr>
  </w:style>
  <w:style w:type="character" w:customStyle="1" w:styleId="BodyText2Char">
    <w:name w:val="Body Text 2 Char"/>
    <w:basedOn w:val="DefaultParagraphFont"/>
    <w:link w:val="BodyText2"/>
    <w:rsid w:val="00B7582D"/>
    <w:rPr>
      <w:lang w:val="es-ES" w:eastAsia="es-ES"/>
    </w:rPr>
  </w:style>
  <w:style w:type="character" w:customStyle="1" w:styleId="NoteHeadingChar">
    <w:name w:val="Note Heading Char"/>
    <w:basedOn w:val="DefaultParagraphFont"/>
    <w:link w:val="NoteHeading"/>
    <w:semiHidden/>
    <w:rsid w:val="00B7582D"/>
    <w:rPr>
      <w:lang w:val="es-ES" w:eastAsia="es-ES"/>
    </w:rPr>
  </w:style>
  <w:style w:type="character" w:customStyle="1" w:styleId="BodyTextIndent3Char">
    <w:name w:val="Body Text Indent 3 Char"/>
    <w:basedOn w:val="DefaultParagraphFont"/>
    <w:link w:val="BodyTextIndent3"/>
    <w:rsid w:val="00B7582D"/>
    <w:rPr>
      <w:sz w:val="16"/>
      <w:szCs w:val="16"/>
      <w:lang w:val="es-ES" w:eastAsia="es-ES"/>
    </w:rPr>
  </w:style>
  <w:style w:type="character" w:customStyle="1" w:styleId="HeaderChar">
    <w:name w:val="Header Char"/>
    <w:aliases w:val="6_G Char"/>
    <w:basedOn w:val="DefaultParagraphFont"/>
    <w:link w:val="Header"/>
    <w:rsid w:val="00B7582D"/>
    <w:rPr>
      <w:b/>
      <w:sz w:val="18"/>
      <w:lang w:val="es-ES" w:eastAsia="es-ES"/>
    </w:rPr>
  </w:style>
  <w:style w:type="character" w:customStyle="1" w:styleId="DateChar">
    <w:name w:val="Date Char"/>
    <w:basedOn w:val="DefaultParagraphFont"/>
    <w:link w:val="Date"/>
    <w:semiHidden/>
    <w:rsid w:val="00B7582D"/>
    <w:rPr>
      <w:lang w:val="es-ES" w:eastAsia="es-ES"/>
    </w:rPr>
  </w:style>
  <w:style w:type="character" w:customStyle="1" w:styleId="SignatureChar">
    <w:name w:val="Signature Char"/>
    <w:basedOn w:val="DefaultParagraphFont"/>
    <w:link w:val="Signature"/>
    <w:semiHidden/>
    <w:rsid w:val="00B7582D"/>
    <w:rPr>
      <w:lang w:val="es-ES" w:eastAsia="es-ES"/>
    </w:rPr>
  </w:style>
  <w:style w:type="character" w:customStyle="1" w:styleId="E-mailSignatureChar">
    <w:name w:val="E-mail Signature Char"/>
    <w:basedOn w:val="DefaultParagraphFont"/>
    <w:link w:val="E-mailSignature"/>
    <w:semiHidden/>
    <w:rsid w:val="00B7582D"/>
    <w:rPr>
      <w:lang w:val="es-ES" w:eastAsia="es-ES"/>
    </w:rPr>
  </w:style>
  <w:style w:type="character" w:customStyle="1" w:styleId="HTMLPreformattedChar">
    <w:name w:val="HTML Preformatted Char"/>
    <w:basedOn w:val="DefaultParagraphFont"/>
    <w:link w:val="HTMLPreformatted"/>
    <w:semiHidden/>
    <w:rsid w:val="00B7582D"/>
    <w:rPr>
      <w:rFonts w:ascii="Courier New" w:hAnsi="Courier New" w:cs="Courier New"/>
      <w:lang w:val="es-ES" w:eastAsia="es-ES"/>
    </w:rPr>
  </w:style>
  <w:style w:type="paragraph" w:styleId="Quote">
    <w:name w:val="Quote"/>
    <w:basedOn w:val="Normal"/>
    <w:next w:val="Normal"/>
    <w:link w:val="QuoteChar"/>
    <w:uiPriority w:val="29"/>
    <w:qFormat/>
    <w:rsid w:val="00B7582D"/>
    <w:rPr>
      <w:rFonts w:eastAsia="Calibri"/>
      <w:i/>
      <w:iCs/>
      <w:color w:val="000000"/>
      <w:lang w:val="fr-FR" w:eastAsia="en-US"/>
    </w:rPr>
  </w:style>
  <w:style w:type="character" w:customStyle="1" w:styleId="QuoteChar">
    <w:name w:val="Quote Char"/>
    <w:basedOn w:val="DefaultParagraphFont"/>
    <w:link w:val="Quote"/>
    <w:uiPriority w:val="29"/>
    <w:rsid w:val="00B7582D"/>
    <w:rPr>
      <w:rFonts w:eastAsia="Calibri"/>
      <w:i/>
      <w:iCs/>
      <w:color w:val="000000"/>
      <w:lang w:val="fr-FR" w:eastAsia="en-US"/>
    </w:rPr>
  </w:style>
  <w:style w:type="character" w:customStyle="1" w:styleId="FooterChar">
    <w:name w:val="Footer Char"/>
    <w:aliases w:val="3_G Char"/>
    <w:basedOn w:val="DefaultParagraphFont"/>
    <w:link w:val="Footer"/>
    <w:rsid w:val="00B7582D"/>
    <w:rPr>
      <w:sz w:val="16"/>
      <w:lang w:val="es-ES" w:eastAsia="es-ES"/>
    </w:rPr>
  </w:style>
  <w:style w:type="character" w:customStyle="1" w:styleId="SalutationChar">
    <w:name w:val="Salutation Char"/>
    <w:basedOn w:val="DefaultParagraphFont"/>
    <w:link w:val="Salutation"/>
    <w:semiHidden/>
    <w:rsid w:val="00B7582D"/>
    <w:rPr>
      <w:lang w:val="es-ES" w:eastAsia="es-ES"/>
    </w:rPr>
  </w:style>
  <w:style w:type="character" w:customStyle="1" w:styleId="BodyTextIndent2Char">
    <w:name w:val="Body Text Indent 2 Char"/>
    <w:basedOn w:val="DefaultParagraphFont"/>
    <w:link w:val="BodyTextIndent2"/>
    <w:semiHidden/>
    <w:rsid w:val="00B7582D"/>
    <w:rPr>
      <w:lang w:val="es-ES" w:eastAsia="es-ES"/>
    </w:rPr>
  </w:style>
  <w:style w:type="character" w:customStyle="1" w:styleId="BodyTextIndentChar">
    <w:name w:val="Body Text Indent Char"/>
    <w:basedOn w:val="DefaultParagraphFont"/>
    <w:link w:val="BodyTextIndent"/>
    <w:semiHidden/>
    <w:rsid w:val="00B7582D"/>
    <w:rPr>
      <w:lang w:val="es-ES" w:eastAsia="es-ES"/>
    </w:rPr>
  </w:style>
  <w:style w:type="character" w:customStyle="1" w:styleId="SubtitleChar">
    <w:name w:val="Subtitle Char"/>
    <w:basedOn w:val="DefaultParagraphFont"/>
    <w:link w:val="Subtitle"/>
    <w:semiHidden/>
    <w:rsid w:val="00B7582D"/>
    <w:rPr>
      <w:rFonts w:ascii="Arial" w:hAnsi="Arial" w:cs="Arial"/>
      <w:sz w:val="24"/>
      <w:szCs w:val="24"/>
      <w:lang w:val="es-ES" w:eastAsia="es-ES"/>
    </w:rPr>
  </w:style>
  <w:style w:type="character" w:customStyle="1" w:styleId="BodyTextChar">
    <w:name w:val="Body Text Char"/>
    <w:basedOn w:val="DefaultParagraphFont"/>
    <w:link w:val="BodyText"/>
    <w:semiHidden/>
    <w:rsid w:val="00B7582D"/>
    <w:rPr>
      <w:lang w:val="es-ES" w:eastAsia="es-ES"/>
    </w:rPr>
  </w:style>
  <w:style w:type="character" w:customStyle="1" w:styleId="BodyText3Char">
    <w:name w:val="Body Text 3 Char"/>
    <w:basedOn w:val="DefaultParagraphFont"/>
    <w:link w:val="BodyText3"/>
    <w:semiHidden/>
    <w:rsid w:val="00B7582D"/>
    <w:rPr>
      <w:sz w:val="16"/>
      <w:szCs w:val="16"/>
      <w:lang w:val="es-ES" w:eastAsia="es-ES"/>
    </w:rPr>
  </w:style>
  <w:style w:type="character" w:customStyle="1" w:styleId="BodyTextFirstIndentChar">
    <w:name w:val="Body Text First Indent Char"/>
    <w:basedOn w:val="BodyTextChar"/>
    <w:link w:val="BodyTextFirstIndent"/>
    <w:semiHidden/>
    <w:rsid w:val="00B7582D"/>
    <w:rPr>
      <w:lang w:val="es-ES" w:eastAsia="es-ES"/>
    </w:rPr>
  </w:style>
  <w:style w:type="character" w:customStyle="1" w:styleId="BodyTextFirstIndent2Char">
    <w:name w:val="Body Text First Indent 2 Char"/>
    <w:basedOn w:val="BodyTextIndentChar"/>
    <w:link w:val="BodyTextFirstIndent2"/>
    <w:semiHidden/>
    <w:rsid w:val="00B7582D"/>
    <w:rPr>
      <w:lang w:val="es-ES" w:eastAsia="es-ES"/>
    </w:rPr>
  </w:style>
  <w:style w:type="character" w:customStyle="1" w:styleId="EndnoteTextChar">
    <w:name w:val="Endnote Text Char"/>
    <w:aliases w:val="2_G Char"/>
    <w:basedOn w:val="DefaultParagraphFont"/>
    <w:link w:val="EndnoteText"/>
    <w:rsid w:val="00B7582D"/>
    <w:rPr>
      <w:sz w:val="18"/>
      <w:lang w:val="es-ES" w:eastAsia="es-ES"/>
    </w:rPr>
  </w:style>
  <w:style w:type="character" w:customStyle="1" w:styleId="PlainTextChar">
    <w:name w:val="Plain Text Char"/>
    <w:basedOn w:val="DefaultParagraphFont"/>
    <w:link w:val="PlainText"/>
    <w:semiHidden/>
    <w:rsid w:val="00B7582D"/>
    <w:rPr>
      <w:rFonts w:ascii="Courier New" w:hAnsi="Courier New" w:cs="Courier New"/>
      <w:lang w:val="es-ES" w:eastAsia="es-ES"/>
    </w:rPr>
  </w:style>
  <w:style w:type="character" w:customStyle="1" w:styleId="TitleChar">
    <w:name w:val="Title Char"/>
    <w:basedOn w:val="DefaultParagraphFont"/>
    <w:link w:val="Title"/>
    <w:semiHidden/>
    <w:rsid w:val="00B7582D"/>
    <w:rPr>
      <w:rFonts w:ascii="Arial" w:hAnsi="Arial" w:cs="Arial"/>
      <w:b/>
      <w:bCs/>
      <w:kern w:val="28"/>
      <w:sz w:val="32"/>
      <w:szCs w:val="32"/>
      <w:lang w:val="es-ES" w:eastAsia="es-ES"/>
    </w:rPr>
  </w:style>
  <w:style w:type="character" w:customStyle="1" w:styleId="SingleTxtGChar">
    <w:name w:val="_ Single Txt_G Char"/>
    <w:link w:val="SingleTxtG"/>
    <w:rsid w:val="00B7582D"/>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Heading1">
    <w:name w:val="heading 1"/>
    <w:aliases w:val="Table_G,Cuadro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rsid w:val="00681A10"/>
    <w:pPr>
      <w:keepNext/>
      <w:outlineLvl w:val="1"/>
    </w:pPr>
    <w:rPr>
      <w:rFonts w:cs="Arial"/>
      <w:bCs/>
      <w:iCs/>
      <w:szCs w:val="28"/>
    </w:rPr>
  </w:style>
  <w:style w:type="paragraph" w:styleId="Heading3">
    <w:name w:val="heading 3"/>
    <w:basedOn w:val="Normal"/>
    <w:next w:val="Normal"/>
    <w:rsid w:val="00681A10"/>
    <w:pPr>
      <w:keepNext/>
      <w:spacing w:before="240" w:after="60"/>
      <w:outlineLvl w:val="2"/>
    </w:pPr>
    <w:rPr>
      <w:rFonts w:ascii="Arial" w:hAnsi="Arial" w:cs="Arial"/>
      <w:b/>
      <w:bCs/>
      <w:sz w:val="26"/>
      <w:szCs w:val="26"/>
    </w:rPr>
  </w:style>
  <w:style w:type="paragraph" w:styleId="Heading4">
    <w:name w:val="heading 4"/>
    <w:basedOn w:val="Normal"/>
    <w:next w:val="Normal"/>
    <w:rsid w:val="00681A10"/>
    <w:pPr>
      <w:keepNext/>
      <w:spacing w:before="240" w:after="60"/>
      <w:outlineLvl w:val="3"/>
    </w:pPr>
    <w:rPr>
      <w:b/>
      <w:bCs/>
      <w:sz w:val="28"/>
      <w:szCs w:val="28"/>
    </w:rPr>
  </w:style>
  <w:style w:type="paragraph" w:styleId="Heading5">
    <w:name w:val="heading 5"/>
    <w:basedOn w:val="Normal"/>
    <w:next w:val="Normal"/>
    <w:rsid w:val="00681A10"/>
    <w:pPr>
      <w:spacing w:before="240" w:after="60"/>
      <w:outlineLvl w:val="4"/>
    </w:pPr>
    <w:rPr>
      <w:b/>
      <w:bCs/>
      <w:i/>
      <w:iCs/>
      <w:sz w:val="26"/>
      <w:szCs w:val="26"/>
    </w:rPr>
  </w:style>
  <w:style w:type="paragraph" w:styleId="Heading6">
    <w:name w:val="heading 6"/>
    <w:basedOn w:val="Normal"/>
    <w:next w:val="Normal"/>
    <w:rsid w:val="00681A10"/>
    <w:pPr>
      <w:spacing w:before="240" w:after="60"/>
      <w:outlineLvl w:val="5"/>
    </w:pPr>
    <w:rPr>
      <w:b/>
      <w:bCs/>
      <w:sz w:val="22"/>
      <w:szCs w:val="22"/>
    </w:rPr>
  </w:style>
  <w:style w:type="paragraph" w:styleId="Heading7">
    <w:name w:val="heading 7"/>
    <w:basedOn w:val="Normal"/>
    <w:next w:val="Normal"/>
    <w:rsid w:val="00681A10"/>
    <w:pPr>
      <w:spacing w:before="240" w:after="60"/>
      <w:outlineLvl w:val="6"/>
    </w:pPr>
    <w:rPr>
      <w:sz w:val="24"/>
      <w:szCs w:val="24"/>
    </w:rPr>
  </w:style>
  <w:style w:type="paragraph" w:styleId="Heading8">
    <w:name w:val="heading 8"/>
    <w:basedOn w:val="Normal"/>
    <w:next w:val="Normal"/>
    <w:rsid w:val="00681A10"/>
    <w:pPr>
      <w:spacing w:before="240" w:after="60"/>
      <w:outlineLvl w:val="7"/>
    </w:pPr>
    <w:rPr>
      <w:i/>
      <w:iCs/>
      <w:sz w:val="24"/>
      <w:szCs w:val="24"/>
    </w:rPr>
  </w:style>
  <w:style w:type="paragraph" w:styleId="Heading9">
    <w:name w:val="heading 9"/>
    <w:basedOn w:val="Normal"/>
    <w:next w:val="Normal"/>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81A10"/>
    <w:pPr>
      <w:numPr>
        <w:numId w:val="3"/>
      </w:numPr>
    </w:pPr>
  </w:style>
  <w:style w:type="numbering" w:styleId="1ai">
    <w:name w:val="Outline List 1"/>
    <w:basedOn w:val="NoList"/>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qForma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semiHidden/>
    <w:rsid w:val="00681A10"/>
    <w:pPr>
      <w:spacing w:after="60"/>
      <w:jc w:val="center"/>
      <w:outlineLvl w:val="1"/>
    </w:pPr>
    <w:rPr>
      <w:rFonts w:ascii="Arial" w:hAnsi="Arial" w:cs="Arial"/>
      <w:sz w:val="24"/>
      <w:szCs w:val="24"/>
    </w:rPr>
  </w:style>
  <w:style w:type="table" w:styleId="TableSimple1">
    <w:name w:val="Table Simple 1"/>
    <w:basedOn w:val="Table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
    <w:basedOn w:val="FootnoteText"/>
    <w:link w:val="EndnoteTextChar"/>
    <w:qFormat/>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D6905"/>
    <w:rPr>
      <w:rFonts w:ascii="Tahoma" w:hAnsi="Tahoma" w:cs="Tahoma"/>
      <w:sz w:val="16"/>
      <w:szCs w:val="16"/>
      <w:lang w:val="es-ES" w:eastAsia="es-ES"/>
    </w:rPr>
  </w:style>
  <w:style w:type="character" w:styleId="IntenseEmphasis">
    <w:name w:val="Intense Emphasis"/>
    <w:uiPriority w:val="21"/>
    <w:semiHidden/>
    <w:rsid w:val="00B7582D"/>
    <w:rPr>
      <w:b/>
      <w:bCs/>
      <w:i/>
      <w:iCs/>
      <w:color w:val="4F81BD"/>
    </w:rPr>
  </w:style>
  <w:style w:type="paragraph" w:styleId="IntenseQuote">
    <w:name w:val="Intense Quote"/>
    <w:basedOn w:val="Normal"/>
    <w:next w:val="Normal"/>
    <w:link w:val="IntenseQuoteChar"/>
    <w:uiPriority w:val="30"/>
    <w:semiHidden/>
    <w:rsid w:val="00B7582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B7582D"/>
    <w:rPr>
      <w:b/>
      <w:bCs/>
      <w:i/>
      <w:iCs/>
      <w:color w:val="4F81BD"/>
      <w:lang w:val="es-ES" w:eastAsia="es-ES"/>
    </w:rPr>
  </w:style>
  <w:style w:type="character" w:customStyle="1" w:styleId="Heading1Char">
    <w:name w:val="Heading 1 Char"/>
    <w:aliases w:val="Table_G Char,Cuadro_G Char"/>
    <w:basedOn w:val="DefaultParagraphFont"/>
    <w:link w:val="Heading1"/>
    <w:rsid w:val="00B7582D"/>
    <w:rPr>
      <w:rFonts w:cs="Arial"/>
      <w:bCs/>
      <w:szCs w:val="32"/>
      <w:lang w:val="es-ES" w:eastAsia="es-ES"/>
    </w:rPr>
  </w:style>
  <w:style w:type="character" w:customStyle="1" w:styleId="FootnoteTextChar">
    <w:name w:val="Footnote Text Char"/>
    <w:aliases w:val="5_G Char"/>
    <w:basedOn w:val="DefaultParagraphFont"/>
    <w:link w:val="FootnoteText"/>
    <w:locked/>
    <w:rsid w:val="00B7582D"/>
    <w:rPr>
      <w:sz w:val="18"/>
      <w:lang w:val="es-ES" w:eastAsia="es-ES"/>
    </w:rPr>
  </w:style>
  <w:style w:type="character" w:customStyle="1" w:styleId="ClosingChar">
    <w:name w:val="Closing Char"/>
    <w:basedOn w:val="DefaultParagraphFont"/>
    <w:link w:val="Closing"/>
    <w:semiHidden/>
    <w:rsid w:val="00B7582D"/>
    <w:rPr>
      <w:lang w:val="es-ES" w:eastAsia="es-ES"/>
    </w:rPr>
  </w:style>
  <w:style w:type="character" w:customStyle="1" w:styleId="HTMLAddressChar">
    <w:name w:val="HTML Address Char"/>
    <w:basedOn w:val="DefaultParagraphFont"/>
    <w:link w:val="HTMLAddress"/>
    <w:semiHidden/>
    <w:rsid w:val="00B7582D"/>
    <w:rPr>
      <w:i/>
      <w:iCs/>
      <w:lang w:val="es-ES" w:eastAsia="es-ES"/>
    </w:rPr>
  </w:style>
  <w:style w:type="character" w:styleId="CommentReference">
    <w:name w:val="annotation reference"/>
    <w:uiPriority w:val="99"/>
    <w:rsid w:val="00B7582D"/>
    <w:rPr>
      <w:sz w:val="16"/>
      <w:szCs w:val="16"/>
    </w:rPr>
  </w:style>
  <w:style w:type="paragraph" w:styleId="CommentText">
    <w:name w:val="annotation text"/>
    <w:basedOn w:val="Normal"/>
    <w:link w:val="CommentTextChar"/>
    <w:uiPriority w:val="99"/>
    <w:rsid w:val="00B7582D"/>
    <w:pPr>
      <w:suppressAutoHyphens/>
      <w:spacing w:line="240" w:lineRule="auto"/>
    </w:pPr>
    <w:rPr>
      <w:lang w:val="fr-CH" w:eastAsia="en-US"/>
    </w:rPr>
  </w:style>
  <w:style w:type="character" w:customStyle="1" w:styleId="CommentTextChar">
    <w:name w:val="Comment Text Char"/>
    <w:basedOn w:val="DefaultParagraphFont"/>
    <w:link w:val="CommentText"/>
    <w:uiPriority w:val="99"/>
    <w:rsid w:val="00B7582D"/>
    <w:rPr>
      <w:lang w:val="fr-CH" w:eastAsia="en-US"/>
    </w:rPr>
  </w:style>
  <w:style w:type="paragraph" w:styleId="CommentSubject">
    <w:name w:val="annotation subject"/>
    <w:basedOn w:val="CommentText"/>
    <w:next w:val="CommentText"/>
    <w:link w:val="CommentSubjectChar"/>
    <w:rsid w:val="00B7582D"/>
    <w:rPr>
      <w:b/>
      <w:bCs/>
    </w:rPr>
  </w:style>
  <w:style w:type="character" w:customStyle="1" w:styleId="CommentSubjectChar">
    <w:name w:val="Comment Subject Char"/>
    <w:basedOn w:val="CommentTextChar"/>
    <w:link w:val="CommentSubject"/>
    <w:rsid w:val="00B7582D"/>
    <w:rPr>
      <w:b/>
      <w:bCs/>
      <w:lang w:val="fr-CH" w:eastAsia="en-US"/>
    </w:rPr>
  </w:style>
  <w:style w:type="paragraph" w:styleId="ListParagraph">
    <w:name w:val="List Paragraph"/>
    <w:basedOn w:val="Normal"/>
    <w:link w:val="ListParagraphChar"/>
    <w:uiPriority w:val="34"/>
    <w:qFormat/>
    <w:rsid w:val="00B7582D"/>
    <w:pPr>
      <w:spacing w:after="200" w:line="276" w:lineRule="auto"/>
      <w:ind w:left="720"/>
      <w:contextualSpacing/>
    </w:pPr>
    <w:rPr>
      <w:rFonts w:ascii="Calibri" w:hAnsi="Calibri"/>
      <w:sz w:val="22"/>
      <w:szCs w:val="22"/>
      <w:lang w:val="fr-FR" w:eastAsia="en-US"/>
    </w:rPr>
  </w:style>
  <w:style w:type="character" w:customStyle="1" w:styleId="ListParagraphChar">
    <w:name w:val="List Paragraph Char"/>
    <w:link w:val="ListParagraph"/>
    <w:uiPriority w:val="34"/>
    <w:rsid w:val="00B7582D"/>
    <w:rPr>
      <w:rFonts w:ascii="Calibri" w:hAnsi="Calibri"/>
      <w:sz w:val="22"/>
      <w:szCs w:val="22"/>
      <w:lang w:val="fr-FR" w:eastAsia="en-US"/>
    </w:rPr>
  </w:style>
  <w:style w:type="character" w:customStyle="1" w:styleId="MessageHeaderChar">
    <w:name w:val="Message Header Char"/>
    <w:basedOn w:val="DefaultParagraphFont"/>
    <w:link w:val="MessageHeader"/>
    <w:semiHidden/>
    <w:rsid w:val="00B7582D"/>
    <w:rPr>
      <w:rFonts w:ascii="Arial" w:hAnsi="Arial" w:cs="Arial"/>
      <w:sz w:val="24"/>
      <w:szCs w:val="24"/>
      <w:shd w:val="pct20" w:color="auto" w:fill="auto"/>
      <w:lang w:val="es-ES" w:eastAsia="es-ES"/>
    </w:rPr>
  </w:style>
  <w:style w:type="character" w:customStyle="1" w:styleId="BodyText2Char">
    <w:name w:val="Body Text 2 Char"/>
    <w:basedOn w:val="DefaultParagraphFont"/>
    <w:link w:val="BodyText2"/>
    <w:rsid w:val="00B7582D"/>
    <w:rPr>
      <w:lang w:val="es-ES" w:eastAsia="es-ES"/>
    </w:rPr>
  </w:style>
  <w:style w:type="character" w:customStyle="1" w:styleId="NoteHeadingChar">
    <w:name w:val="Note Heading Char"/>
    <w:basedOn w:val="DefaultParagraphFont"/>
    <w:link w:val="NoteHeading"/>
    <w:semiHidden/>
    <w:rsid w:val="00B7582D"/>
    <w:rPr>
      <w:lang w:val="es-ES" w:eastAsia="es-ES"/>
    </w:rPr>
  </w:style>
  <w:style w:type="character" w:customStyle="1" w:styleId="BodyTextIndent3Char">
    <w:name w:val="Body Text Indent 3 Char"/>
    <w:basedOn w:val="DefaultParagraphFont"/>
    <w:link w:val="BodyTextIndent3"/>
    <w:rsid w:val="00B7582D"/>
    <w:rPr>
      <w:sz w:val="16"/>
      <w:szCs w:val="16"/>
      <w:lang w:val="es-ES" w:eastAsia="es-ES"/>
    </w:rPr>
  </w:style>
  <w:style w:type="character" w:customStyle="1" w:styleId="HeaderChar">
    <w:name w:val="Header Char"/>
    <w:aliases w:val="6_G Char"/>
    <w:basedOn w:val="DefaultParagraphFont"/>
    <w:link w:val="Header"/>
    <w:rsid w:val="00B7582D"/>
    <w:rPr>
      <w:b/>
      <w:sz w:val="18"/>
      <w:lang w:val="es-ES" w:eastAsia="es-ES"/>
    </w:rPr>
  </w:style>
  <w:style w:type="character" w:customStyle="1" w:styleId="DateChar">
    <w:name w:val="Date Char"/>
    <w:basedOn w:val="DefaultParagraphFont"/>
    <w:link w:val="Date"/>
    <w:semiHidden/>
    <w:rsid w:val="00B7582D"/>
    <w:rPr>
      <w:lang w:val="es-ES" w:eastAsia="es-ES"/>
    </w:rPr>
  </w:style>
  <w:style w:type="character" w:customStyle="1" w:styleId="SignatureChar">
    <w:name w:val="Signature Char"/>
    <w:basedOn w:val="DefaultParagraphFont"/>
    <w:link w:val="Signature"/>
    <w:semiHidden/>
    <w:rsid w:val="00B7582D"/>
    <w:rPr>
      <w:lang w:val="es-ES" w:eastAsia="es-ES"/>
    </w:rPr>
  </w:style>
  <w:style w:type="character" w:customStyle="1" w:styleId="E-mailSignatureChar">
    <w:name w:val="E-mail Signature Char"/>
    <w:basedOn w:val="DefaultParagraphFont"/>
    <w:link w:val="E-mailSignature"/>
    <w:semiHidden/>
    <w:rsid w:val="00B7582D"/>
    <w:rPr>
      <w:lang w:val="es-ES" w:eastAsia="es-ES"/>
    </w:rPr>
  </w:style>
  <w:style w:type="character" w:customStyle="1" w:styleId="HTMLPreformattedChar">
    <w:name w:val="HTML Preformatted Char"/>
    <w:basedOn w:val="DefaultParagraphFont"/>
    <w:link w:val="HTMLPreformatted"/>
    <w:semiHidden/>
    <w:rsid w:val="00B7582D"/>
    <w:rPr>
      <w:rFonts w:ascii="Courier New" w:hAnsi="Courier New" w:cs="Courier New"/>
      <w:lang w:val="es-ES" w:eastAsia="es-ES"/>
    </w:rPr>
  </w:style>
  <w:style w:type="paragraph" w:styleId="Quote">
    <w:name w:val="Quote"/>
    <w:basedOn w:val="Normal"/>
    <w:next w:val="Normal"/>
    <w:link w:val="QuoteChar"/>
    <w:uiPriority w:val="29"/>
    <w:qFormat/>
    <w:rsid w:val="00B7582D"/>
    <w:rPr>
      <w:rFonts w:eastAsia="Calibri"/>
      <w:i/>
      <w:iCs/>
      <w:color w:val="000000"/>
      <w:lang w:val="fr-FR" w:eastAsia="en-US"/>
    </w:rPr>
  </w:style>
  <w:style w:type="character" w:customStyle="1" w:styleId="QuoteChar">
    <w:name w:val="Quote Char"/>
    <w:basedOn w:val="DefaultParagraphFont"/>
    <w:link w:val="Quote"/>
    <w:uiPriority w:val="29"/>
    <w:rsid w:val="00B7582D"/>
    <w:rPr>
      <w:rFonts w:eastAsia="Calibri"/>
      <w:i/>
      <w:iCs/>
      <w:color w:val="000000"/>
      <w:lang w:val="fr-FR" w:eastAsia="en-US"/>
    </w:rPr>
  </w:style>
  <w:style w:type="character" w:customStyle="1" w:styleId="FooterChar">
    <w:name w:val="Footer Char"/>
    <w:aliases w:val="3_G Char"/>
    <w:basedOn w:val="DefaultParagraphFont"/>
    <w:link w:val="Footer"/>
    <w:rsid w:val="00B7582D"/>
    <w:rPr>
      <w:sz w:val="16"/>
      <w:lang w:val="es-ES" w:eastAsia="es-ES"/>
    </w:rPr>
  </w:style>
  <w:style w:type="character" w:customStyle="1" w:styleId="SalutationChar">
    <w:name w:val="Salutation Char"/>
    <w:basedOn w:val="DefaultParagraphFont"/>
    <w:link w:val="Salutation"/>
    <w:semiHidden/>
    <w:rsid w:val="00B7582D"/>
    <w:rPr>
      <w:lang w:val="es-ES" w:eastAsia="es-ES"/>
    </w:rPr>
  </w:style>
  <w:style w:type="character" w:customStyle="1" w:styleId="BodyTextIndent2Char">
    <w:name w:val="Body Text Indent 2 Char"/>
    <w:basedOn w:val="DefaultParagraphFont"/>
    <w:link w:val="BodyTextIndent2"/>
    <w:semiHidden/>
    <w:rsid w:val="00B7582D"/>
    <w:rPr>
      <w:lang w:val="es-ES" w:eastAsia="es-ES"/>
    </w:rPr>
  </w:style>
  <w:style w:type="character" w:customStyle="1" w:styleId="BodyTextIndentChar">
    <w:name w:val="Body Text Indent Char"/>
    <w:basedOn w:val="DefaultParagraphFont"/>
    <w:link w:val="BodyTextIndent"/>
    <w:semiHidden/>
    <w:rsid w:val="00B7582D"/>
    <w:rPr>
      <w:lang w:val="es-ES" w:eastAsia="es-ES"/>
    </w:rPr>
  </w:style>
  <w:style w:type="character" w:customStyle="1" w:styleId="SubtitleChar">
    <w:name w:val="Subtitle Char"/>
    <w:basedOn w:val="DefaultParagraphFont"/>
    <w:link w:val="Subtitle"/>
    <w:semiHidden/>
    <w:rsid w:val="00B7582D"/>
    <w:rPr>
      <w:rFonts w:ascii="Arial" w:hAnsi="Arial" w:cs="Arial"/>
      <w:sz w:val="24"/>
      <w:szCs w:val="24"/>
      <w:lang w:val="es-ES" w:eastAsia="es-ES"/>
    </w:rPr>
  </w:style>
  <w:style w:type="character" w:customStyle="1" w:styleId="BodyTextChar">
    <w:name w:val="Body Text Char"/>
    <w:basedOn w:val="DefaultParagraphFont"/>
    <w:link w:val="BodyText"/>
    <w:semiHidden/>
    <w:rsid w:val="00B7582D"/>
    <w:rPr>
      <w:lang w:val="es-ES" w:eastAsia="es-ES"/>
    </w:rPr>
  </w:style>
  <w:style w:type="character" w:customStyle="1" w:styleId="BodyText3Char">
    <w:name w:val="Body Text 3 Char"/>
    <w:basedOn w:val="DefaultParagraphFont"/>
    <w:link w:val="BodyText3"/>
    <w:semiHidden/>
    <w:rsid w:val="00B7582D"/>
    <w:rPr>
      <w:sz w:val="16"/>
      <w:szCs w:val="16"/>
      <w:lang w:val="es-ES" w:eastAsia="es-ES"/>
    </w:rPr>
  </w:style>
  <w:style w:type="character" w:customStyle="1" w:styleId="BodyTextFirstIndentChar">
    <w:name w:val="Body Text First Indent Char"/>
    <w:basedOn w:val="BodyTextChar"/>
    <w:link w:val="BodyTextFirstIndent"/>
    <w:semiHidden/>
    <w:rsid w:val="00B7582D"/>
    <w:rPr>
      <w:lang w:val="es-ES" w:eastAsia="es-ES"/>
    </w:rPr>
  </w:style>
  <w:style w:type="character" w:customStyle="1" w:styleId="BodyTextFirstIndent2Char">
    <w:name w:val="Body Text First Indent 2 Char"/>
    <w:basedOn w:val="BodyTextIndentChar"/>
    <w:link w:val="BodyTextFirstIndent2"/>
    <w:semiHidden/>
    <w:rsid w:val="00B7582D"/>
    <w:rPr>
      <w:lang w:val="es-ES" w:eastAsia="es-ES"/>
    </w:rPr>
  </w:style>
  <w:style w:type="character" w:customStyle="1" w:styleId="EndnoteTextChar">
    <w:name w:val="Endnote Text Char"/>
    <w:aliases w:val="2_G Char"/>
    <w:basedOn w:val="DefaultParagraphFont"/>
    <w:link w:val="EndnoteText"/>
    <w:rsid w:val="00B7582D"/>
    <w:rPr>
      <w:sz w:val="18"/>
      <w:lang w:val="es-ES" w:eastAsia="es-ES"/>
    </w:rPr>
  </w:style>
  <w:style w:type="character" w:customStyle="1" w:styleId="PlainTextChar">
    <w:name w:val="Plain Text Char"/>
    <w:basedOn w:val="DefaultParagraphFont"/>
    <w:link w:val="PlainText"/>
    <w:semiHidden/>
    <w:rsid w:val="00B7582D"/>
    <w:rPr>
      <w:rFonts w:ascii="Courier New" w:hAnsi="Courier New" w:cs="Courier New"/>
      <w:lang w:val="es-ES" w:eastAsia="es-ES"/>
    </w:rPr>
  </w:style>
  <w:style w:type="character" w:customStyle="1" w:styleId="TitleChar">
    <w:name w:val="Title Char"/>
    <w:basedOn w:val="DefaultParagraphFont"/>
    <w:link w:val="Title"/>
    <w:semiHidden/>
    <w:rsid w:val="00B7582D"/>
    <w:rPr>
      <w:rFonts w:ascii="Arial" w:hAnsi="Arial" w:cs="Arial"/>
      <w:b/>
      <w:bCs/>
      <w:kern w:val="28"/>
      <w:sz w:val="32"/>
      <w:szCs w:val="32"/>
      <w:lang w:val="es-ES" w:eastAsia="es-ES"/>
    </w:rPr>
  </w:style>
  <w:style w:type="character" w:customStyle="1" w:styleId="SingleTxtGChar">
    <w:name w:val="_ Single Txt_G Char"/>
    <w:link w:val="SingleTxtG"/>
    <w:rsid w:val="00B7582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legifrance.gouv.fr/affichTexteArticle.do;jsessionid=1CBDB4F305AB7EC48ABD729E7A899B72.tpdila16v_3?cidTexte=JORFTEXT000029754374&amp;idArticle=LEGIARTI000029755237&amp;dateTexte=20160114&amp;categorieLien=id" TargetMode="External"/><Relationship Id="rId1" Type="http://schemas.openxmlformats.org/officeDocument/2006/relationships/hyperlink" Target="http://www.legifrance.gouv.fr/affichTexte.do;jsessionid=2EAAEDC3E120091EA4BA83F7EA5BE563.tpdjo14v_2?cidTexte=JORFTEXT000000400186&amp;dateTexte=201104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800FB7-6EA8-4D14-A2B7-A5CD42B3EBB8}"/>
</file>

<file path=customXml/itemProps2.xml><?xml version="1.0" encoding="utf-8"?>
<ds:datastoreItem xmlns:ds="http://schemas.openxmlformats.org/officeDocument/2006/customXml" ds:itemID="{10DBB54B-E95C-4384-90AF-26F3327FEFC2}"/>
</file>

<file path=customXml/itemProps3.xml><?xml version="1.0" encoding="utf-8"?>
<ds:datastoreItem xmlns:ds="http://schemas.openxmlformats.org/officeDocument/2006/customXml" ds:itemID="{93AA6F81-A29D-4A0A-AF55-4A18324E3BCF}"/>
</file>

<file path=customXml/itemProps4.xml><?xml version="1.0" encoding="utf-8"?>
<ds:datastoreItem xmlns:ds="http://schemas.openxmlformats.org/officeDocument/2006/customXml" ds:itemID="{46857889-38AC-4397-8220-622E8AB4AE90}"/>
</file>

<file path=docProps/app.xml><?xml version="1.0" encoding="utf-8"?>
<Properties xmlns="http://schemas.openxmlformats.org/officeDocument/2006/extended-properties" xmlns:vt="http://schemas.openxmlformats.org/officeDocument/2006/docPropsVTypes">
  <Template>CAT.dotm</Template>
  <TotalTime>0</TotalTime>
  <Pages>28</Pages>
  <Words>11987</Words>
  <Characters>61542</Characters>
  <Application>Microsoft Office Word</Application>
  <DocSecurity>0</DocSecurity>
  <Lines>512</Lines>
  <Paragraphs>146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CAT/C/FRA/Q/7/Add.1</vt:lpstr>
      <vt:lpstr>CAT/C/FRA/Q/7/Add.1</vt:lpstr>
    </vt:vector>
  </TitlesOfParts>
  <Company>OHCHR</Company>
  <LinksUpToDate>false</LinksUpToDate>
  <CharactersWithSpaces>73383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CAT/C/FRA/Q/7/Add.1</dc:title>
  <dc:creator>Parada Mabel</dc:creator>
  <cp:lastModifiedBy>Helen Brown</cp:lastModifiedBy>
  <cp:revision>2</cp:revision>
  <cp:lastPrinted>2016-03-22T15:29:00Z</cp:lastPrinted>
  <dcterms:created xsi:type="dcterms:W3CDTF">2016-04-06T07:09:00Z</dcterms:created>
  <dcterms:modified xsi:type="dcterms:W3CDTF">2016-04-06T07:09:00Z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