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C2284" w:rsidRPr="004B40C3" w:rsidRDefault="000F5642">
      <w:pPr>
        <w:tabs>
          <w:tab w:val="left" w:pos="6413"/>
        </w:tabs>
        <w:spacing w:before="180" w:line="240" w:lineRule="auto"/>
        <w:rPr>
          <w:rFonts w:ascii="Alegreya Sans" w:eastAsia="Alegreya Sans" w:hAnsi="Alegreya Sans" w:cs="Alegreya Sans"/>
          <w:sz w:val="24"/>
          <w:szCs w:val="24"/>
          <w:lang w:val="en-GB"/>
        </w:rPr>
      </w:pPr>
      <w:r w:rsidRPr="004B40C3">
        <w:rPr>
          <w:rFonts w:ascii="Alegreya Sans" w:eastAsia="Alegreya Sans" w:hAnsi="Alegreya Sans" w:cs="Alegreya Sans"/>
          <w:noProof/>
          <w:sz w:val="24"/>
          <w:szCs w:val="24"/>
          <w:lang w:val="en-GB"/>
        </w:rPr>
        <w:drawing>
          <wp:inline distT="0" distB="0" distL="0" distR="0">
            <wp:extent cx="1845469" cy="44291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45469" cy="442913"/>
                    </a:xfrm>
                    <a:prstGeom prst="rect">
                      <a:avLst/>
                    </a:prstGeom>
                    <a:ln/>
                  </pic:spPr>
                </pic:pic>
              </a:graphicData>
            </a:graphic>
          </wp:inline>
        </w:drawing>
      </w:r>
    </w:p>
    <w:p w:rsidR="00CC2284" w:rsidRPr="004B40C3" w:rsidRDefault="00CC2284">
      <w:pPr>
        <w:tabs>
          <w:tab w:val="left" w:pos="6413"/>
        </w:tabs>
        <w:rPr>
          <w:rFonts w:ascii="Alegreya Sans" w:eastAsia="Alegreya Sans" w:hAnsi="Alegreya Sans" w:cs="Alegreya Sans"/>
          <w:sz w:val="24"/>
          <w:szCs w:val="24"/>
          <w:lang w:val="en-GB"/>
        </w:rPr>
      </w:pPr>
    </w:p>
    <w:p w:rsidR="00CC2284" w:rsidRPr="004B40C3" w:rsidRDefault="000F5642">
      <w:pPr>
        <w:tabs>
          <w:tab w:val="left" w:pos="6413"/>
        </w:tabs>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 xml:space="preserve">Committee on the Elimination of Discrimination against Women </w:t>
      </w:r>
    </w:p>
    <w:p w:rsidR="00CC2284" w:rsidRPr="004B40C3" w:rsidRDefault="000F5642">
      <w:pPr>
        <w:tabs>
          <w:tab w:val="left" w:pos="6413"/>
        </w:tabs>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Human Rights Treaties Division (HRTD)</w:t>
      </w:r>
    </w:p>
    <w:p w:rsidR="00CC2284" w:rsidRPr="004B40C3" w:rsidRDefault="000F5642">
      <w:pPr>
        <w:tabs>
          <w:tab w:val="left" w:pos="6413"/>
        </w:tabs>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Office of the United Nations High Commissioner for Human Rights (OHCHR)</w:t>
      </w:r>
    </w:p>
    <w:p w:rsidR="00CC2284" w:rsidRPr="004B40C3" w:rsidRDefault="000F5642">
      <w:pPr>
        <w:tabs>
          <w:tab w:val="left" w:pos="6413"/>
        </w:tabs>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 xml:space="preserve">Palais Wilson - 52, rue des </w:t>
      </w:r>
      <w:proofErr w:type="spellStart"/>
      <w:r w:rsidRPr="004B40C3">
        <w:rPr>
          <w:rFonts w:ascii="Alegreya Sans" w:eastAsia="Alegreya Sans" w:hAnsi="Alegreya Sans" w:cs="Alegreya Sans"/>
          <w:sz w:val="24"/>
          <w:szCs w:val="24"/>
          <w:lang w:val="en-GB"/>
        </w:rPr>
        <w:t>Pâquis</w:t>
      </w:r>
      <w:proofErr w:type="spellEnd"/>
    </w:p>
    <w:p w:rsidR="00CC2284" w:rsidRPr="004B40C3" w:rsidRDefault="000F5642">
      <w:pPr>
        <w:tabs>
          <w:tab w:val="left" w:pos="6413"/>
        </w:tabs>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 xml:space="preserve">CH-1201 Geneva </w:t>
      </w:r>
    </w:p>
    <w:p w:rsidR="00CC2284" w:rsidRPr="004B40C3" w:rsidRDefault="000F5642">
      <w:pPr>
        <w:tabs>
          <w:tab w:val="left" w:pos="6413"/>
        </w:tabs>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Switzerland</w:t>
      </w:r>
    </w:p>
    <w:p w:rsidR="00CC2284" w:rsidRPr="004B40C3" w:rsidRDefault="000F5642">
      <w:pPr>
        <w:tabs>
          <w:tab w:val="left" w:pos="6413"/>
        </w:tabs>
        <w:jc w:val="both"/>
        <w:rPr>
          <w:rFonts w:ascii="Alegreya Sans" w:eastAsia="Alegreya Sans" w:hAnsi="Alegreya Sans" w:cs="Alegreya Sans"/>
          <w:color w:val="0000FF"/>
          <w:sz w:val="24"/>
          <w:szCs w:val="24"/>
          <w:lang w:val="en-GB"/>
        </w:rPr>
      </w:pPr>
      <w:r w:rsidRPr="004B40C3">
        <w:rPr>
          <w:rFonts w:ascii="Alegreya Sans" w:eastAsia="Alegreya Sans" w:hAnsi="Alegreya Sans" w:cs="Alegreya Sans"/>
          <w:sz w:val="24"/>
          <w:szCs w:val="24"/>
          <w:lang w:val="en-GB"/>
        </w:rPr>
        <w:t xml:space="preserve">By E-mail: </w:t>
      </w:r>
      <w:r w:rsidRPr="004B40C3">
        <w:rPr>
          <w:rFonts w:ascii="Alegreya Sans" w:eastAsia="Alegreya Sans" w:hAnsi="Alegreya Sans" w:cs="Alegreya Sans"/>
          <w:color w:val="0000FF"/>
          <w:sz w:val="24"/>
          <w:szCs w:val="24"/>
          <w:lang w:val="en-GB"/>
        </w:rPr>
        <w:t>cedaw@ohchr.org</w:t>
      </w:r>
    </w:p>
    <w:p w:rsidR="00CC2284" w:rsidRPr="004B40C3" w:rsidRDefault="000F5642">
      <w:pPr>
        <w:tabs>
          <w:tab w:val="left" w:pos="6413"/>
        </w:tabs>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ab/>
      </w:r>
      <w:r w:rsidRPr="004B40C3">
        <w:rPr>
          <w:rFonts w:ascii="Alegreya Sans" w:eastAsia="Alegreya Sans" w:hAnsi="Alegreya Sans" w:cs="Alegreya Sans"/>
          <w:sz w:val="24"/>
          <w:szCs w:val="24"/>
          <w:lang w:val="en-GB"/>
        </w:rPr>
        <w:tab/>
      </w:r>
      <w:r w:rsidRPr="004B40C3">
        <w:rPr>
          <w:rFonts w:ascii="Alegreya Sans" w:eastAsia="Alegreya Sans" w:hAnsi="Alegreya Sans" w:cs="Alegreya Sans"/>
          <w:sz w:val="24"/>
          <w:szCs w:val="24"/>
          <w:lang w:val="en-GB"/>
        </w:rPr>
        <w:tab/>
      </w:r>
      <w:r w:rsidRPr="004B40C3">
        <w:rPr>
          <w:rFonts w:ascii="Alegreya Sans" w:eastAsia="Alegreya Sans" w:hAnsi="Alegreya Sans" w:cs="Alegreya Sans"/>
          <w:sz w:val="24"/>
          <w:szCs w:val="24"/>
          <w:lang w:val="en-GB"/>
        </w:rPr>
        <w:tab/>
        <w:t>15 June 2020</w:t>
      </w:r>
    </w:p>
    <w:p w:rsidR="00CC2284" w:rsidRPr="004B40C3" w:rsidRDefault="00CC2284">
      <w:pPr>
        <w:tabs>
          <w:tab w:val="left" w:pos="6413"/>
        </w:tabs>
        <w:rPr>
          <w:rFonts w:ascii="Alegreya Sans" w:eastAsia="Alegreya Sans" w:hAnsi="Alegreya Sans" w:cs="Alegreya Sans"/>
          <w:sz w:val="24"/>
          <w:szCs w:val="24"/>
          <w:lang w:val="en-GB"/>
        </w:rPr>
      </w:pPr>
    </w:p>
    <w:p w:rsidR="00CC2284" w:rsidRPr="004B40C3" w:rsidRDefault="000F5642">
      <w:pPr>
        <w:tabs>
          <w:tab w:val="left" w:pos="6413"/>
        </w:tabs>
        <w:rPr>
          <w:rFonts w:ascii="Alegreya Sans" w:eastAsia="Alegreya Sans" w:hAnsi="Alegreya Sans" w:cs="Alegreya Sans"/>
          <w:b/>
          <w:sz w:val="24"/>
          <w:szCs w:val="24"/>
          <w:lang w:val="en-GB"/>
        </w:rPr>
      </w:pPr>
      <w:r w:rsidRPr="004B40C3">
        <w:rPr>
          <w:rFonts w:ascii="Alegreya Sans" w:eastAsia="Alegreya Sans" w:hAnsi="Alegreya Sans" w:cs="Alegreya Sans"/>
          <w:b/>
          <w:sz w:val="24"/>
          <w:szCs w:val="24"/>
          <w:lang w:val="en-GB"/>
        </w:rPr>
        <w:t xml:space="preserve">Information on List of Issues for Uzbekistan for Consideration by the Committee on the Elimination of Discrimination against Women at its </w:t>
      </w:r>
      <w:r w:rsidRPr="004B40C3">
        <w:rPr>
          <w:rFonts w:ascii="Alegreya Sans" w:eastAsia="Alegreya Sans" w:hAnsi="Alegreya Sans" w:cs="Alegreya Sans"/>
          <w:b/>
          <w:sz w:val="24"/>
          <w:szCs w:val="24"/>
          <w:highlight w:val="white"/>
          <w:lang w:val="en-GB"/>
        </w:rPr>
        <w:t>Pre-sessional Working Group for the 78th session (13-17 July 2020)</w:t>
      </w:r>
    </w:p>
    <w:p w:rsidR="00CC2284" w:rsidRPr="004B40C3" w:rsidRDefault="000F5642">
      <w:pPr>
        <w:tabs>
          <w:tab w:val="left" w:pos="6413"/>
        </w:tabs>
        <w:rPr>
          <w:rFonts w:ascii="Alegreya Sans" w:eastAsia="Alegreya Sans" w:hAnsi="Alegreya Sans" w:cs="Alegreya Sans"/>
          <w:b/>
          <w:sz w:val="24"/>
          <w:szCs w:val="24"/>
          <w:lang w:val="en-GB"/>
        </w:rPr>
      </w:pPr>
      <w:r w:rsidRPr="004B40C3">
        <w:rPr>
          <w:rFonts w:ascii="Alegreya Sans" w:eastAsia="Alegreya Sans" w:hAnsi="Alegreya Sans" w:cs="Alegreya Sans"/>
          <w:b/>
          <w:sz w:val="24"/>
          <w:szCs w:val="24"/>
          <w:lang w:val="en-GB"/>
        </w:rPr>
        <w:t xml:space="preserve"> </w:t>
      </w:r>
    </w:p>
    <w:p w:rsidR="00CC2284" w:rsidRPr="004B40C3" w:rsidRDefault="000F5642">
      <w:pPr>
        <w:tabs>
          <w:tab w:val="left" w:pos="6413"/>
        </w:tabs>
        <w:rPr>
          <w:rFonts w:ascii="Alegreya Sans" w:eastAsia="Alegreya Sans" w:hAnsi="Alegreya Sans" w:cs="Alegreya Sans"/>
          <w:b/>
          <w:sz w:val="24"/>
          <w:szCs w:val="24"/>
          <w:lang w:val="en-GB"/>
        </w:rPr>
      </w:pPr>
      <w:r w:rsidRPr="004B40C3">
        <w:rPr>
          <w:rFonts w:ascii="Alegreya Sans" w:eastAsia="Alegreya Sans" w:hAnsi="Alegreya Sans" w:cs="Alegreya Sans"/>
          <w:b/>
          <w:sz w:val="24"/>
          <w:szCs w:val="24"/>
          <w:lang w:val="en-GB"/>
        </w:rPr>
        <w:t>Intr</w:t>
      </w:r>
      <w:r w:rsidRPr="004B40C3">
        <w:rPr>
          <w:rFonts w:ascii="Alegreya Sans" w:eastAsia="Alegreya Sans" w:hAnsi="Alegreya Sans" w:cs="Alegreya Sans"/>
          <w:b/>
          <w:sz w:val="24"/>
          <w:szCs w:val="24"/>
          <w:lang w:val="en-GB"/>
        </w:rPr>
        <w:t>oduction:</w:t>
      </w:r>
    </w:p>
    <w:p w:rsidR="00CC2284" w:rsidRPr="004B40C3" w:rsidRDefault="000F5642">
      <w:pPr>
        <w:tabs>
          <w:tab w:val="left" w:pos="6413"/>
        </w:tabs>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 xml:space="preserve"> </w:t>
      </w:r>
    </w:p>
    <w:p w:rsidR="00CC2284" w:rsidRPr="004B40C3" w:rsidRDefault="000F5642">
      <w:pPr>
        <w:numPr>
          <w:ilvl w:val="0"/>
          <w:numId w:val="6"/>
        </w:numPr>
        <w:tabs>
          <w:tab w:val="left" w:pos="6413"/>
        </w:tabs>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 xml:space="preserve">Equality Now respectfully submits this letter in advance to the 78th </w:t>
      </w:r>
      <w:r w:rsidRPr="004B40C3">
        <w:rPr>
          <w:rFonts w:ascii="Alegreya Sans" w:eastAsia="Alegreya Sans" w:hAnsi="Alegreya Sans" w:cs="Alegreya Sans"/>
          <w:sz w:val="24"/>
          <w:szCs w:val="24"/>
          <w:highlight w:val="white"/>
          <w:lang w:val="en-GB"/>
        </w:rPr>
        <w:t xml:space="preserve">Pre-sessional Working Group of the </w:t>
      </w:r>
      <w:r w:rsidRPr="004B40C3">
        <w:rPr>
          <w:rFonts w:ascii="Alegreya Sans" w:eastAsia="Alegreya Sans" w:hAnsi="Alegreya Sans" w:cs="Alegreya Sans"/>
          <w:sz w:val="24"/>
          <w:szCs w:val="24"/>
          <w:lang w:val="en-GB"/>
        </w:rPr>
        <w:t>Committee on the Elimination of Discrimination against Women (‘the Committee’) for consideration of the List of Issues in relation to Uzbeki</w:t>
      </w:r>
      <w:r w:rsidRPr="004B40C3">
        <w:rPr>
          <w:rFonts w:ascii="Alegreya Sans" w:eastAsia="Alegreya Sans" w:hAnsi="Alegreya Sans" w:cs="Alegreya Sans"/>
          <w:sz w:val="24"/>
          <w:szCs w:val="24"/>
          <w:lang w:val="en-GB"/>
        </w:rPr>
        <w:t xml:space="preserve">stan’s sixth periodic review. Our submission details our concerns with regard to laws related to rape and other forms of sexual violence and procedures and practices which effectively deny access to justice for survivors of sexual violence. </w:t>
      </w:r>
    </w:p>
    <w:p w:rsidR="00CC2284" w:rsidRPr="004B40C3" w:rsidRDefault="00CC2284">
      <w:pPr>
        <w:tabs>
          <w:tab w:val="left" w:pos="6413"/>
        </w:tabs>
        <w:ind w:left="720"/>
        <w:rPr>
          <w:rFonts w:ascii="Alegreya Sans" w:eastAsia="Alegreya Sans" w:hAnsi="Alegreya Sans" w:cs="Alegreya Sans"/>
          <w:sz w:val="24"/>
          <w:szCs w:val="24"/>
          <w:lang w:val="en-GB"/>
        </w:rPr>
      </w:pPr>
    </w:p>
    <w:p w:rsidR="00CC2284" w:rsidRPr="004B40C3" w:rsidRDefault="000F5642">
      <w:pPr>
        <w:numPr>
          <w:ilvl w:val="0"/>
          <w:numId w:val="6"/>
        </w:numPr>
        <w:tabs>
          <w:tab w:val="left" w:pos="6413"/>
        </w:tabs>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Despite recen</w:t>
      </w:r>
      <w:r w:rsidRPr="004B40C3">
        <w:rPr>
          <w:rFonts w:ascii="Alegreya Sans" w:eastAsia="Alegreya Sans" w:hAnsi="Alegreya Sans" w:cs="Alegreya Sans"/>
          <w:sz w:val="24"/>
          <w:szCs w:val="24"/>
          <w:lang w:val="en-GB"/>
        </w:rPr>
        <w:t>t developments to put in place a framework for the protection of women’s rights and combating gender-based violence, Uzbekistan’s legal system continues to provide a number of opportunities for perpetrators to escape criminal liability or punishment, namel</w:t>
      </w:r>
      <w:r w:rsidRPr="004B40C3">
        <w:rPr>
          <w:rFonts w:ascii="Alegreya Sans" w:eastAsia="Alegreya Sans" w:hAnsi="Alegreya Sans" w:cs="Alegreya Sans"/>
          <w:sz w:val="24"/>
          <w:szCs w:val="24"/>
          <w:lang w:val="en-GB"/>
        </w:rPr>
        <w:t>y through the way sexual violence crimes are defined; allowing for the direct release of a perpetrator from liability or punishment in certain circumstances; and through the way sexual violence crimes are investigated and prosecuted, including with respect</w:t>
      </w:r>
      <w:r w:rsidRPr="004B40C3">
        <w:rPr>
          <w:rFonts w:ascii="Alegreya Sans" w:eastAsia="Alegreya Sans" w:hAnsi="Alegreya Sans" w:cs="Alegreya Sans"/>
          <w:sz w:val="24"/>
          <w:szCs w:val="24"/>
          <w:lang w:val="en-GB"/>
        </w:rPr>
        <w:t xml:space="preserve"> to adolescent girls.</w:t>
      </w:r>
    </w:p>
    <w:p w:rsidR="00CC2284" w:rsidRPr="004B40C3" w:rsidRDefault="000F5642">
      <w:pPr>
        <w:tabs>
          <w:tab w:val="left" w:pos="6413"/>
        </w:tabs>
        <w:ind w:left="720"/>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 xml:space="preserve"> </w:t>
      </w:r>
    </w:p>
    <w:p w:rsidR="00CC2284" w:rsidRPr="004B40C3" w:rsidRDefault="000F5642">
      <w:pPr>
        <w:tabs>
          <w:tab w:val="left" w:pos="6413"/>
        </w:tabs>
        <w:rPr>
          <w:rFonts w:ascii="Alegreya Sans" w:eastAsia="Alegreya Sans" w:hAnsi="Alegreya Sans" w:cs="Alegreya Sans"/>
          <w:b/>
          <w:sz w:val="24"/>
          <w:szCs w:val="24"/>
          <w:lang w:val="en-GB"/>
        </w:rPr>
      </w:pPr>
      <w:r w:rsidRPr="004B40C3">
        <w:rPr>
          <w:rFonts w:ascii="Alegreya Sans" w:eastAsia="Alegreya Sans" w:hAnsi="Alegreya Sans" w:cs="Alegreya Sans"/>
          <w:b/>
          <w:sz w:val="24"/>
          <w:szCs w:val="24"/>
          <w:lang w:val="en-GB"/>
        </w:rPr>
        <w:t>Information about the author of the submission</w:t>
      </w:r>
    </w:p>
    <w:p w:rsidR="00CC2284" w:rsidRPr="004B40C3" w:rsidRDefault="000F5642">
      <w:pPr>
        <w:tabs>
          <w:tab w:val="left" w:pos="6413"/>
        </w:tabs>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 xml:space="preserve"> </w:t>
      </w:r>
    </w:p>
    <w:p w:rsidR="00CC2284" w:rsidRPr="004B40C3" w:rsidRDefault="000F5642">
      <w:pPr>
        <w:numPr>
          <w:ilvl w:val="0"/>
          <w:numId w:val="6"/>
        </w:numPr>
        <w:tabs>
          <w:tab w:val="left" w:pos="6413"/>
        </w:tabs>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highlight w:val="white"/>
          <w:lang w:val="en-GB"/>
        </w:rPr>
        <w:t>Equality Now is an international human rights NGO with the mission to achieve legal and systemic change that addresses violence and discrimination against women and girls around the world. Founded in 1992, Equality Now has offices in London, New York, Nair</w:t>
      </w:r>
      <w:r w:rsidRPr="004B40C3">
        <w:rPr>
          <w:rFonts w:ascii="Alegreya Sans" w:eastAsia="Alegreya Sans" w:hAnsi="Alegreya Sans" w:cs="Alegreya Sans"/>
          <w:sz w:val="24"/>
          <w:szCs w:val="24"/>
          <w:highlight w:val="white"/>
          <w:lang w:val="en-GB"/>
        </w:rPr>
        <w:t xml:space="preserve">obi and </w:t>
      </w:r>
      <w:r w:rsidRPr="004B40C3">
        <w:rPr>
          <w:rFonts w:ascii="Alegreya Sans" w:eastAsia="Alegreya Sans" w:hAnsi="Alegreya Sans" w:cs="Alegreya Sans"/>
          <w:sz w:val="24"/>
          <w:szCs w:val="24"/>
          <w:highlight w:val="white"/>
          <w:lang w:val="en-GB"/>
        </w:rPr>
        <w:lastRenderedPageBreak/>
        <w:t>Beirut, as well as consultants based in various parts of the world. Ending sexual violence, ending sex trafficking, ending harmful practices and achieving legal equality are the main areas of Equality Now’s work.</w:t>
      </w:r>
      <w:r w:rsidRPr="004B40C3">
        <w:rPr>
          <w:rFonts w:ascii="Alegreya Sans" w:eastAsia="Alegreya Sans" w:hAnsi="Alegreya Sans" w:cs="Alegreya Sans"/>
          <w:sz w:val="24"/>
          <w:szCs w:val="24"/>
          <w:lang w:val="en-GB"/>
        </w:rPr>
        <w:t xml:space="preserve"> This submission is in reference to </w:t>
      </w:r>
      <w:r w:rsidRPr="004B40C3">
        <w:rPr>
          <w:rFonts w:ascii="Alegreya Sans" w:eastAsia="Alegreya Sans" w:hAnsi="Alegreya Sans" w:cs="Alegreya Sans"/>
          <w:sz w:val="24"/>
          <w:szCs w:val="24"/>
          <w:lang w:val="en-GB"/>
        </w:rPr>
        <w:t>Equality Now’s 2019 report, “Roadblocks to Justice: How the Law is Failing Survivors of Sexual Violence in Eurasia”</w:t>
      </w:r>
      <w:r w:rsidRPr="004B40C3">
        <w:rPr>
          <w:rFonts w:ascii="Alegreya Sans" w:eastAsia="Alegreya Sans" w:hAnsi="Alegreya Sans" w:cs="Alegreya Sans"/>
          <w:sz w:val="24"/>
          <w:szCs w:val="24"/>
          <w:vertAlign w:val="superscript"/>
          <w:lang w:val="en-GB"/>
        </w:rPr>
        <w:footnoteReference w:id="1"/>
      </w:r>
      <w:r w:rsidRPr="004B40C3">
        <w:rPr>
          <w:rFonts w:ascii="Alegreya Sans" w:eastAsia="Alegreya Sans" w:hAnsi="Alegreya Sans" w:cs="Alegreya Sans"/>
          <w:sz w:val="24"/>
          <w:szCs w:val="24"/>
          <w:lang w:val="en-GB"/>
        </w:rPr>
        <w:t xml:space="preserve"> which identified gaps in the law, thereby allowing for actual and potential impunity for perpetrators of sexual violence crimes.</w:t>
      </w:r>
    </w:p>
    <w:p w:rsidR="00CC2284" w:rsidRPr="004B40C3" w:rsidRDefault="000F5642">
      <w:pPr>
        <w:widowControl w:val="0"/>
        <w:numPr>
          <w:ilvl w:val="0"/>
          <w:numId w:val="6"/>
        </w:numPr>
        <w:spacing w:before="273" w:line="240" w:lineRule="auto"/>
        <w:ind w:right="19"/>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We reiterate the Concluding Observations on the fifth periodic report of Uzbekistan</w:t>
      </w:r>
      <w:r w:rsidRPr="004B40C3">
        <w:rPr>
          <w:rFonts w:ascii="Alegreya Sans" w:eastAsia="Alegreya Sans" w:hAnsi="Alegreya Sans" w:cs="Alegreya Sans"/>
          <w:sz w:val="24"/>
          <w:szCs w:val="24"/>
          <w:vertAlign w:val="superscript"/>
          <w:lang w:val="en-GB"/>
        </w:rPr>
        <w:footnoteReference w:id="2"/>
      </w:r>
      <w:r w:rsidRPr="004B40C3">
        <w:rPr>
          <w:rFonts w:ascii="Alegreya Sans" w:eastAsia="Alegreya Sans" w:hAnsi="Alegreya Sans" w:cs="Alegreya Sans"/>
          <w:sz w:val="24"/>
          <w:szCs w:val="24"/>
          <w:lang w:val="en-GB"/>
        </w:rPr>
        <w:t xml:space="preserve"> </w:t>
      </w:r>
      <w:r w:rsidRPr="004B40C3">
        <w:rPr>
          <w:rFonts w:ascii="Alegreya Sans" w:eastAsia="Alegreya Sans" w:hAnsi="Alegreya Sans" w:cs="Alegreya Sans"/>
          <w:sz w:val="24"/>
          <w:szCs w:val="24"/>
          <w:vertAlign w:val="superscript"/>
          <w:lang w:val="en-GB"/>
        </w:rPr>
        <w:t xml:space="preserve"> </w:t>
      </w:r>
      <w:r w:rsidRPr="004B40C3">
        <w:rPr>
          <w:rFonts w:ascii="Alegreya Sans" w:eastAsia="Alegreya Sans" w:hAnsi="Alegreya Sans" w:cs="Alegreya Sans"/>
          <w:sz w:val="24"/>
          <w:szCs w:val="24"/>
          <w:lang w:val="en-GB"/>
        </w:rPr>
        <w:t>and underscore, in particular, the recommendations urging the government to:</w:t>
      </w:r>
    </w:p>
    <w:p w:rsidR="00CC2284" w:rsidRPr="004B40C3" w:rsidRDefault="000F5642">
      <w:pPr>
        <w:widowControl w:val="0"/>
        <w:numPr>
          <w:ilvl w:val="0"/>
          <w:numId w:val="5"/>
        </w:numPr>
        <w:spacing w:line="240" w:lineRule="auto"/>
        <w:ind w:right="19"/>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put in place a comprehensive strategy to eliminate discriminatory stereotypes and patriarcha</w:t>
      </w:r>
      <w:r w:rsidRPr="004B40C3">
        <w:rPr>
          <w:rFonts w:ascii="Alegreya Sans" w:eastAsia="Alegreya Sans" w:hAnsi="Alegreya Sans" w:cs="Alegreya Sans"/>
          <w:sz w:val="24"/>
          <w:szCs w:val="24"/>
          <w:lang w:val="en-GB"/>
        </w:rPr>
        <w:t>l attitudes, as well as raise awareness of the criminal nature of harmful practices, including child and forced marriage;</w:t>
      </w:r>
      <w:r w:rsidRPr="004B40C3">
        <w:rPr>
          <w:rFonts w:ascii="Alegreya Sans" w:eastAsia="Alegreya Sans" w:hAnsi="Alegreya Sans" w:cs="Alegreya Sans"/>
          <w:sz w:val="24"/>
          <w:szCs w:val="24"/>
          <w:vertAlign w:val="superscript"/>
          <w:lang w:val="en-GB"/>
        </w:rPr>
        <w:footnoteReference w:id="3"/>
      </w:r>
      <w:r w:rsidRPr="004B40C3">
        <w:rPr>
          <w:rFonts w:ascii="Alegreya Sans" w:eastAsia="Alegreya Sans" w:hAnsi="Alegreya Sans" w:cs="Alegreya Sans"/>
          <w:sz w:val="24"/>
          <w:szCs w:val="24"/>
          <w:lang w:val="en-GB"/>
        </w:rPr>
        <w:t xml:space="preserve"> </w:t>
      </w:r>
    </w:p>
    <w:p w:rsidR="00CC2284" w:rsidRPr="004B40C3" w:rsidRDefault="000F5642">
      <w:pPr>
        <w:widowControl w:val="0"/>
        <w:numPr>
          <w:ilvl w:val="0"/>
          <w:numId w:val="5"/>
        </w:numPr>
        <w:spacing w:line="240" w:lineRule="auto"/>
        <w:ind w:right="19"/>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ensure that women and girls who are victims of violence have access to immediate means of redress, including compensation, and prot</w:t>
      </w:r>
      <w:r w:rsidRPr="004B40C3">
        <w:rPr>
          <w:rFonts w:ascii="Alegreya Sans" w:eastAsia="Alegreya Sans" w:hAnsi="Alegreya Sans" w:cs="Alegreya Sans"/>
          <w:sz w:val="24"/>
          <w:szCs w:val="24"/>
          <w:lang w:val="en-GB"/>
        </w:rPr>
        <w:t>ection, and that perpetrators are prosecuted and adequately punished;</w:t>
      </w:r>
      <w:r w:rsidRPr="004B40C3">
        <w:rPr>
          <w:rFonts w:ascii="Alegreya Sans" w:eastAsia="Alegreya Sans" w:hAnsi="Alegreya Sans" w:cs="Alegreya Sans"/>
          <w:sz w:val="24"/>
          <w:szCs w:val="24"/>
          <w:vertAlign w:val="superscript"/>
          <w:lang w:val="en-GB"/>
        </w:rPr>
        <w:footnoteReference w:id="4"/>
      </w:r>
      <w:r w:rsidRPr="004B40C3">
        <w:rPr>
          <w:rFonts w:ascii="Alegreya Sans" w:eastAsia="Alegreya Sans" w:hAnsi="Alegreya Sans" w:cs="Alegreya Sans"/>
          <w:sz w:val="24"/>
          <w:szCs w:val="24"/>
          <w:lang w:val="en-GB"/>
        </w:rPr>
        <w:t xml:space="preserve"> </w:t>
      </w:r>
    </w:p>
    <w:p w:rsidR="00CC2284" w:rsidRPr="004B40C3" w:rsidRDefault="000F5642">
      <w:pPr>
        <w:numPr>
          <w:ilvl w:val="0"/>
          <w:numId w:val="5"/>
        </w:numPr>
        <w:tabs>
          <w:tab w:val="left" w:pos="6413"/>
        </w:tabs>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 xml:space="preserve">encourage women to report incidents of domestic, sexual and other forms of violence to the police and limit the use of mediation by officials in mahalla by </w:t>
      </w:r>
      <w:r w:rsidR="004B40C3" w:rsidRPr="004B40C3">
        <w:rPr>
          <w:rFonts w:ascii="Alegreya Sans" w:eastAsia="Alegreya Sans" w:hAnsi="Alegreya Sans" w:cs="Alegreya Sans"/>
          <w:sz w:val="24"/>
          <w:szCs w:val="24"/>
          <w:lang w:val="en-GB"/>
        </w:rPr>
        <w:t>destigmatizing</w:t>
      </w:r>
      <w:r w:rsidRPr="004B40C3">
        <w:rPr>
          <w:rFonts w:ascii="Alegreya Sans" w:eastAsia="Alegreya Sans" w:hAnsi="Alegreya Sans" w:cs="Alegreya Sans"/>
          <w:sz w:val="24"/>
          <w:szCs w:val="24"/>
          <w:lang w:val="en-GB"/>
        </w:rPr>
        <w:t xml:space="preserve"> victims and </w:t>
      </w:r>
      <w:r w:rsidRPr="004B40C3">
        <w:rPr>
          <w:rFonts w:ascii="Alegreya Sans" w:eastAsia="Alegreya Sans" w:hAnsi="Alegreya Sans" w:cs="Alegreya Sans"/>
          <w:sz w:val="24"/>
          <w:szCs w:val="24"/>
          <w:lang w:val="en-GB"/>
        </w:rPr>
        <w:t xml:space="preserve">raising the awareness of the police and the general public to the criminal nature of such acts; </w:t>
      </w:r>
    </w:p>
    <w:p w:rsidR="00CC2284" w:rsidRPr="004B40C3" w:rsidRDefault="000F5642">
      <w:pPr>
        <w:numPr>
          <w:ilvl w:val="0"/>
          <w:numId w:val="5"/>
        </w:numPr>
        <w:tabs>
          <w:tab w:val="left" w:pos="6413"/>
        </w:tabs>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provide adequate assistance and protection to women who are victims of violence by establishing shelters, including in rural areas, and enhancing cooperation w</w:t>
      </w:r>
      <w:r w:rsidRPr="004B40C3">
        <w:rPr>
          <w:rFonts w:ascii="Alegreya Sans" w:eastAsia="Alegreya Sans" w:hAnsi="Alegreya Sans" w:cs="Alegreya Sans"/>
          <w:sz w:val="24"/>
          <w:szCs w:val="24"/>
          <w:lang w:val="en-GB"/>
        </w:rPr>
        <w:t xml:space="preserve">ith non-governmental organisations providing shelter and rehabilitation to victims; </w:t>
      </w:r>
    </w:p>
    <w:p w:rsidR="00CC2284" w:rsidRPr="004B40C3" w:rsidRDefault="000F5642">
      <w:pPr>
        <w:numPr>
          <w:ilvl w:val="0"/>
          <w:numId w:val="5"/>
        </w:numPr>
        <w:tabs>
          <w:tab w:val="left" w:pos="6413"/>
        </w:tabs>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collect statistical data on domestic, sexual and other forms of violence against women, disaggregated by age and relationship between the victim and the perpetrator.</w:t>
      </w:r>
    </w:p>
    <w:p w:rsidR="00CC2284" w:rsidRPr="004B40C3" w:rsidRDefault="000F5642">
      <w:pPr>
        <w:widowControl w:val="0"/>
        <w:numPr>
          <w:ilvl w:val="0"/>
          <w:numId w:val="6"/>
        </w:numPr>
        <w:spacing w:before="283" w:line="240" w:lineRule="auto"/>
        <w:ind w:right="67"/>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 xml:space="preserve">The </w:t>
      </w:r>
      <w:r w:rsidRPr="004B40C3">
        <w:rPr>
          <w:rFonts w:ascii="Alegreya Sans" w:eastAsia="Alegreya Sans" w:hAnsi="Alegreya Sans" w:cs="Alegreya Sans"/>
          <w:sz w:val="24"/>
          <w:szCs w:val="24"/>
          <w:lang w:val="en-GB"/>
        </w:rPr>
        <w:t>legal provisions and practices detailed in our submission highlight the failure of the State to comply with its duty to provide equal protection under the law to survivors of sexual violence (Article 2(c) of CEDAW); failure of law enforcement to protect wo</w:t>
      </w:r>
      <w:r w:rsidRPr="004B40C3">
        <w:rPr>
          <w:rFonts w:ascii="Alegreya Sans" w:eastAsia="Alegreya Sans" w:hAnsi="Alegreya Sans" w:cs="Alegreya Sans"/>
          <w:sz w:val="24"/>
          <w:szCs w:val="24"/>
          <w:lang w:val="en-GB"/>
        </w:rPr>
        <w:t>men from sexual violence (Article 2(c) and (e)); and that the decisions and failings of the authorities and their agents constitute demonstrable direct and indirect discrimination against women (Article 2(d)); as well as failing to recognise and identify t</w:t>
      </w:r>
      <w:r w:rsidRPr="004B40C3">
        <w:rPr>
          <w:rFonts w:ascii="Alegreya Sans" w:eastAsia="Alegreya Sans" w:hAnsi="Alegreya Sans" w:cs="Alegreya Sans"/>
          <w:sz w:val="24"/>
          <w:szCs w:val="24"/>
          <w:lang w:val="en-GB"/>
        </w:rPr>
        <w:t>he gender dimension of sexual violence during the prosecution of the accused and in the punishment of this crime (Article 2 (e)). In violation of the Convention, Uzbekistan has also failed to enact criminal law provisions to effectively prosecute sexual vi</w:t>
      </w:r>
      <w:r w:rsidRPr="004B40C3">
        <w:rPr>
          <w:rFonts w:ascii="Alegreya Sans" w:eastAsia="Alegreya Sans" w:hAnsi="Alegreya Sans" w:cs="Alegreya Sans"/>
          <w:sz w:val="24"/>
          <w:szCs w:val="24"/>
          <w:lang w:val="en-GB"/>
        </w:rPr>
        <w:t>olence and gross manifestations of violence against women (Article 2 (b)). We submit that the root causes of the failures of the State are its non-</w:t>
      </w:r>
      <w:r w:rsidRPr="004B40C3">
        <w:rPr>
          <w:rFonts w:ascii="Alegreya Sans" w:eastAsia="Alegreya Sans" w:hAnsi="Alegreya Sans" w:cs="Alegreya Sans"/>
          <w:sz w:val="24"/>
          <w:szCs w:val="24"/>
          <w:lang w:val="en-GB"/>
        </w:rPr>
        <w:lastRenderedPageBreak/>
        <w:t>compliance with the obligation to transform gender hierarchies and stereotypical attitudes towards women, con</w:t>
      </w:r>
      <w:r w:rsidRPr="004B40C3">
        <w:rPr>
          <w:rFonts w:ascii="Alegreya Sans" w:eastAsia="Alegreya Sans" w:hAnsi="Alegreya Sans" w:cs="Alegreya Sans"/>
          <w:sz w:val="24"/>
          <w:szCs w:val="24"/>
          <w:lang w:val="en-GB"/>
        </w:rPr>
        <w:t xml:space="preserve">trary to Articles 2 (f) and 5 (a) of the Convention and the obligation to combat violence against women and provide access to justice to survivors, as described in General Recommendations 19, 33 and 35 of the CEDAW Committee. </w:t>
      </w:r>
    </w:p>
    <w:p w:rsidR="00CC2284" w:rsidRPr="004B40C3" w:rsidRDefault="00CC2284">
      <w:pPr>
        <w:tabs>
          <w:tab w:val="left" w:pos="6413"/>
        </w:tabs>
        <w:rPr>
          <w:rFonts w:ascii="Alegreya Sans" w:eastAsia="Alegreya Sans" w:hAnsi="Alegreya Sans" w:cs="Alegreya Sans"/>
          <w:sz w:val="24"/>
          <w:szCs w:val="24"/>
          <w:lang w:val="en-GB"/>
        </w:rPr>
      </w:pPr>
    </w:p>
    <w:p w:rsidR="00CC2284" w:rsidRPr="004B40C3" w:rsidRDefault="000F5642">
      <w:pPr>
        <w:tabs>
          <w:tab w:val="left" w:pos="6413"/>
        </w:tabs>
        <w:ind w:right="100"/>
        <w:rPr>
          <w:rFonts w:ascii="Alegreya Sans" w:eastAsia="Alegreya Sans" w:hAnsi="Alegreya Sans" w:cs="Alegreya Sans"/>
          <w:b/>
          <w:sz w:val="24"/>
          <w:szCs w:val="24"/>
          <w:lang w:val="en-GB"/>
        </w:rPr>
      </w:pPr>
      <w:r w:rsidRPr="004B40C3">
        <w:rPr>
          <w:rFonts w:ascii="Alegreya Sans" w:eastAsia="Alegreya Sans" w:hAnsi="Alegreya Sans" w:cs="Alegreya Sans"/>
          <w:b/>
          <w:sz w:val="24"/>
          <w:szCs w:val="24"/>
          <w:lang w:val="en-GB"/>
        </w:rPr>
        <w:t>Definitions of sexual viole</w:t>
      </w:r>
      <w:r w:rsidRPr="004B40C3">
        <w:rPr>
          <w:rFonts w:ascii="Alegreya Sans" w:eastAsia="Alegreya Sans" w:hAnsi="Alegreya Sans" w:cs="Alegreya Sans"/>
          <w:b/>
          <w:sz w:val="24"/>
          <w:szCs w:val="24"/>
          <w:lang w:val="en-GB"/>
        </w:rPr>
        <w:t>nce crimes enabling impunity for perpetrators</w:t>
      </w:r>
    </w:p>
    <w:p w:rsidR="00CC2284" w:rsidRPr="004B40C3" w:rsidRDefault="000F5642">
      <w:pPr>
        <w:numPr>
          <w:ilvl w:val="0"/>
          <w:numId w:val="6"/>
        </w:numPr>
        <w:spacing w:before="280" w:after="280" w:line="240" w:lineRule="auto"/>
        <w:jc w:val="both"/>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The requirement to introduce a consent-based definition of rape and other forms of sexual violence which ensures that all coerced and non-consensual acts of a sexual character are criminalised is a well-establi</w:t>
      </w:r>
      <w:r w:rsidRPr="004B40C3">
        <w:rPr>
          <w:rFonts w:ascii="Alegreya Sans" w:eastAsia="Alegreya Sans" w:hAnsi="Alegreya Sans" w:cs="Alegreya Sans"/>
          <w:sz w:val="24"/>
          <w:szCs w:val="24"/>
          <w:lang w:val="en-GB"/>
        </w:rPr>
        <w:t>shed principle under international human rights and criminal law, including by this Committee.</w:t>
      </w:r>
      <w:r w:rsidRPr="004B40C3">
        <w:rPr>
          <w:rFonts w:ascii="Alegreya Sans" w:eastAsia="Alegreya Sans" w:hAnsi="Alegreya Sans" w:cs="Alegreya Sans"/>
          <w:sz w:val="24"/>
          <w:szCs w:val="24"/>
          <w:vertAlign w:val="superscript"/>
          <w:lang w:val="en-GB"/>
        </w:rPr>
        <w:footnoteReference w:id="5"/>
      </w:r>
      <w:r w:rsidRPr="004B40C3">
        <w:rPr>
          <w:rFonts w:ascii="Alegreya Sans" w:eastAsia="Alegreya Sans" w:hAnsi="Alegreya Sans" w:cs="Alegreya Sans"/>
          <w:sz w:val="24"/>
          <w:szCs w:val="24"/>
          <w:lang w:val="en-GB"/>
        </w:rPr>
        <w:t xml:space="preserve"> Currently, the definition of rape in Uzbekistan’s Criminal Code focuses on the requirement of force, threat of force or helplessness (Article 118).</w:t>
      </w:r>
      <w:r w:rsidRPr="004B40C3">
        <w:rPr>
          <w:rFonts w:ascii="Alegreya Sans" w:eastAsia="Alegreya Sans" w:hAnsi="Alegreya Sans" w:cs="Alegreya Sans"/>
          <w:sz w:val="24"/>
          <w:szCs w:val="24"/>
          <w:vertAlign w:val="superscript"/>
          <w:lang w:val="en-GB"/>
        </w:rPr>
        <w:footnoteReference w:id="6"/>
      </w:r>
      <w:r w:rsidRPr="004B40C3">
        <w:rPr>
          <w:rFonts w:ascii="Alegreya Sans" w:eastAsia="Alegreya Sans" w:hAnsi="Alegreya Sans" w:cs="Alegreya Sans"/>
          <w:sz w:val="24"/>
          <w:szCs w:val="24"/>
          <w:lang w:val="en-GB"/>
        </w:rPr>
        <w:t xml:space="preserve"> Additiona</w:t>
      </w:r>
      <w:r w:rsidRPr="004B40C3">
        <w:rPr>
          <w:rFonts w:ascii="Alegreya Sans" w:eastAsia="Alegreya Sans" w:hAnsi="Alegreya Sans" w:cs="Alegreya Sans"/>
          <w:sz w:val="24"/>
          <w:szCs w:val="24"/>
          <w:lang w:val="en-GB"/>
        </w:rPr>
        <w:t>l definitions of other forms of sexual violence foreseen in the law, including the offences of ‘Violent Satisfaction of Sexual Need in Unnatural Form’ (Article 119) and Compulsion of Woman to Sexual Intercourse (Article 121), do not comply with recommendat</w:t>
      </w:r>
      <w:r w:rsidRPr="004B40C3">
        <w:rPr>
          <w:rFonts w:ascii="Alegreya Sans" w:eastAsia="Alegreya Sans" w:hAnsi="Alegreya Sans" w:cs="Alegreya Sans"/>
          <w:sz w:val="24"/>
          <w:szCs w:val="24"/>
          <w:lang w:val="en-GB"/>
        </w:rPr>
        <w:t>ions by this Committee</w:t>
      </w:r>
      <w:r w:rsidRPr="004B40C3">
        <w:rPr>
          <w:rFonts w:ascii="Alegreya Sans" w:eastAsia="Alegreya Sans" w:hAnsi="Alegreya Sans" w:cs="Alegreya Sans"/>
          <w:sz w:val="24"/>
          <w:szCs w:val="24"/>
          <w:vertAlign w:val="superscript"/>
          <w:lang w:val="en-GB"/>
        </w:rPr>
        <w:footnoteReference w:id="7"/>
      </w:r>
      <w:r w:rsidRPr="004B40C3">
        <w:rPr>
          <w:rFonts w:ascii="Alegreya Sans" w:eastAsia="Alegreya Sans" w:hAnsi="Alegreya Sans" w:cs="Alegreya Sans"/>
          <w:sz w:val="24"/>
          <w:szCs w:val="24"/>
          <w:lang w:val="en-GB"/>
        </w:rPr>
        <w:t xml:space="preserve"> as they do not envisage a broad range of coercive circumstances and have disproportionately low penalties attached to them. Any kind of violence or threat of violence should also be considered as an aggravating circumstance rather than constituting elemen</w:t>
      </w:r>
      <w:r w:rsidRPr="004B40C3">
        <w:rPr>
          <w:rFonts w:ascii="Alegreya Sans" w:eastAsia="Alegreya Sans" w:hAnsi="Alegreya Sans" w:cs="Alegreya Sans"/>
          <w:sz w:val="24"/>
          <w:szCs w:val="24"/>
          <w:lang w:val="en-GB"/>
        </w:rPr>
        <w:t xml:space="preserve">ts of rape. </w:t>
      </w:r>
    </w:p>
    <w:p w:rsidR="00CC2284" w:rsidRPr="004B40C3" w:rsidRDefault="000F5642">
      <w:pPr>
        <w:spacing w:before="280" w:after="280" w:line="240" w:lineRule="auto"/>
        <w:jc w:val="both"/>
        <w:rPr>
          <w:rFonts w:ascii="Alegreya Sans" w:eastAsia="Alegreya Sans" w:hAnsi="Alegreya Sans" w:cs="Alegreya Sans"/>
          <w:sz w:val="24"/>
          <w:szCs w:val="24"/>
          <w:u w:val="single"/>
          <w:lang w:val="en-GB"/>
        </w:rPr>
      </w:pPr>
      <w:r w:rsidRPr="004B40C3">
        <w:rPr>
          <w:rFonts w:ascii="Alegreya Sans" w:eastAsia="Alegreya Sans" w:hAnsi="Alegreya Sans" w:cs="Alegreya Sans"/>
          <w:sz w:val="24"/>
          <w:szCs w:val="24"/>
          <w:u w:val="single"/>
          <w:lang w:val="en-GB"/>
        </w:rPr>
        <w:t>Recommendations:</w:t>
      </w:r>
    </w:p>
    <w:p w:rsidR="00CC2284" w:rsidRPr="004B40C3" w:rsidRDefault="000F5642">
      <w:pPr>
        <w:numPr>
          <w:ilvl w:val="0"/>
          <w:numId w:val="8"/>
        </w:numPr>
        <w:spacing w:line="240" w:lineRule="auto"/>
        <w:jc w:val="both"/>
        <w:rPr>
          <w:rFonts w:ascii="Times New Roman" w:eastAsia="Times New Roman" w:hAnsi="Times New Roman" w:cs="Times New Roman"/>
          <w:sz w:val="24"/>
          <w:szCs w:val="24"/>
          <w:lang w:val="en-GB"/>
        </w:rPr>
      </w:pPr>
      <w:r w:rsidRPr="004B40C3">
        <w:rPr>
          <w:rFonts w:ascii="Alegreya Sans" w:eastAsia="Alegreya Sans" w:hAnsi="Alegreya Sans" w:cs="Alegreya Sans"/>
          <w:sz w:val="24"/>
          <w:szCs w:val="24"/>
          <w:lang w:val="en-GB"/>
        </w:rPr>
        <w:t xml:space="preserve">Amend the </w:t>
      </w:r>
      <w:r w:rsidRPr="004B40C3">
        <w:rPr>
          <w:rFonts w:ascii="Alegreya Sans" w:eastAsia="Alegreya Sans" w:hAnsi="Alegreya Sans" w:cs="Alegreya Sans"/>
          <w:b/>
          <w:sz w:val="24"/>
          <w:szCs w:val="24"/>
          <w:lang w:val="en-GB"/>
        </w:rPr>
        <w:t>definition of rape</w:t>
      </w:r>
      <w:r w:rsidRPr="004B40C3">
        <w:rPr>
          <w:rFonts w:ascii="Alegreya Sans" w:eastAsia="Alegreya Sans" w:hAnsi="Alegreya Sans" w:cs="Alegreya Sans"/>
          <w:sz w:val="24"/>
          <w:szCs w:val="24"/>
          <w:lang w:val="en-GB"/>
        </w:rPr>
        <w:t xml:space="preserve"> and other forms of sexual violence to</w:t>
      </w:r>
      <w:r w:rsidRPr="004B40C3">
        <w:rPr>
          <w:rFonts w:ascii="Alegreya Sans" w:eastAsia="Alegreya Sans" w:hAnsi="Alegreya Sans" w:cs="Alegreya Sans"/>
          <w:b/>
          <w:sz w:val="24"/>
          <w:szCs w:val="24"/>
          <w:lang w:val="en-GB"/>
        </w:rPr>
        <w:t xml:space="preserve"> focus solely on the absence of voluntary consent</w:t>
      </w:r>
      <w:r w:rsidRPr="004B40C3">
        <w:rPr>
          <w:rFonts w:ascii="Alegreya Sans" w:eastAsia="Alegreya Sans" w:hAnsi="Alegreya Sans" w:cs="Alegreya Sans"/>
          <w:sz w:val="24"/>
          <w:szCs w:val="24"/>
          <w:lang w:val="en-GB"/>
        </w:rPr>
        <w:t>, given as the result of the person’s free will assessed in the context of the surrounding circumstances;</w:t>
      </w:r>
    </w:p>
    <w:p w:rsidR="00CC2284" w:rsidRPr="004B40C3" w:rsidRDefault="00CC2284">
      <w:pPr>
        <w:spacing w:line="240" w:lineRule="auto"/>
        <w:ind w:left="1440"/>
        <w:jc w:val="both"/>
        <w:rPr>
          <w:rFonts w:ascii="Alegreya Sans" w:eastAsia="Alegreya Sans" w:hAnsi="Alegreya Sans" w:cs="Alegreya Sans"/>
          <w:sz w:val="24"/>
          <w:szCs w:val="24"/>
          <w:lang w:val="en-GB"/>
        </w:rPr>
      </w:pPr>
    </w:p>
    <w:p w:rsidR="00CC2284" w:rsidRPr="004B40C3" w:rsidRDefault="000F5642">
      <w:pPr>
        <w:numPr>
          <w:ilvl w:val="0"/>
          <w:numId w:val="8"/>
        </w:numPr>
        <w:spacing w:line="240" w:lineRule="auto"/>
        <w:jc w:val="both"/>
        <w:rPr>
          <w:rFonts w:ascii="Alegreya Sans" w:eastAsia="Alegreya Sans" w:hAnsi="Alegreya Sans" w:cs="Alegreya Sans"/>
          <w:sz w:val="24"/>
          <w:szCs w:val="24"/>
          <w:lang w:val="en-GB"/>
        </w:rPr>
      </w:pPr>
      <w:bookmarkStart w:id="0" w:name="_gjdgxs" w:colFirst="0" w:colLast="0"/>
      <w:bookmarkEnd w:id="0"/>
      <w:r w:rsidRPr="004B40C3">
        <w:rPr>
          <w:rFonts w:ascii="Alegreya Sans" w:eastAsia="Alegreya Sans" w:hAnsi="Alegreya Sans" w:cs="Alegreya Sans"/>
          <w:sz w:val="24"/>
          <w:szCs w:val="24"/>
          <w:lang w:val="en-GB"/>
        </w:rPr>
        <w:t xml:space="preserve">Ensure that </w:t>
      </w:r>
      <w:r w:rsidRPr="004B40C3">
        <w:rPr>
          <w:rFonts w:ascii="Alegreya Sans" w:eastAsia="Alegreya Sans" w:hAnsi="Alegreya Sans" w:cs="Alegreya Sans"/>
          <w:b/>
          <w:sz w:val="24"/>
          <w:szCs w:val="24"/>
          <w:lang w:val="en-GB"/>
        </w:rPr>
        <w:t>all crimes of sexual violence provide penalties</w:t>
      </w:r>
      <w:r w:rsidRPr="004B40C3">
        <w:rPr>
          <w:rFonts w:ascii="Alegreya Sans" w:eastAsia="Alegreya Sans" w:hAnsi="Alegreya Sans" w:cs="Alegreya Sans"/>
          <w:sz w:val="24"/>
          <w:szCs w:val="24"/>
          <w:lang w:val="en-GB"/>
        </w:rPr>
        <w:t xml:space="preserve"> that are commensurate with their gravity. Remove “community service”, “correctional labou</w:t>
      </w:r>
      <w:r w:rsidRPr="004B40C3">
        <w:rPr>
          <w:rFonts w:ascii="Alegreya Sans" w:eastAsia="Alegreya Sans" w:hAnsi="Alegreya Sans" w:cs="Alegreya Sans"/>
          <w:sz w:val="24"/>
          <w:szCs w:val="24"/>
          <w:lang w:val="en-GB"/>
        </w:rPr>
        <w:t>r” and conditional sentences as forms of punishment for sexual violence and put in place deterrent prison sentences.</w:t>
      </w:r>
    </w:p>
    <w:p w:rsidR="00CC2284" w:rsidRPr="004B40C3" w:rsidRDefault="00CC2284">
      <w:pPr>
        <w:spacing w:line="240" w:lineRule="auto"/>
        <w:ind w:left="1440"/>
        <w:jc w:val="both"/>
        <w:rPr>
          <w:rFonts w:ascii="Alegreya Sans" w:eastAsia="Alegreya Sans" w:hAnsi="Alegreya Sans" w:cs="Alegreya Sans"/>
          <w:sz w:val="24"/>
          <w:szCs w:val="24"/>
          <w:lang w:val="en-GB"/>
        </w:rPr>
      </w:pPr>
      <w:bookmarkStart w:id="1" w:name="_jk45l24rt2em" w:colFirst="0" w:colLast="0"/>
      <w:bookmarkEnd w:id="1"/>
    </w:p>
    <w:p w:rsidR="00CC2284" w:rsidRPr="004B40C3" w:rsidRDefault="000F5642">
      <w:pPr>
        <w:spacing w:before="280" w:after="280" w:line="240" w:lineRule="auto"/>
        <w:jc w:val="both"/>
        <w:rPr>
          <w:rFonts w:ascii="Alegreya Sans" w:eastAsia="Alegreya Sans" w:hAnsi="Alegreya Sans" w:cs="Alegreya Sans"/>
          <w:sz w:val="24"/>
          <w:szCs w:val="24"/>
          <w:u w:val="single"/>
          <w:lang w:val="en-GB"/>
        </w:rPr>
      </w:pPr>
      <w:r w:rsidRPr="004B40C3">
        <w:rPr>
          <w:rFonts w:ascii="Alegreya Sans" w:eastAsia="Alegreya Sans" w:hAnsi="Alegreya Sans" w:cs="Alegreya Sans"/>
          <w:sz w:val="24"/>
          <w:szCs w:val="24"/>
          <w:u w:val="single"/>
          <w:lang w:val="en-GB"/>
        </w:rPr>
        <w:t>We respectfully ask the Committee to request of the government of Uzbekistan the following:</w:t>
      </w:r>
    </w:p>
    <w:p w:rsidR="00CC2284" w:rsidRPr="004B40C3" w:rsidRDefault="000F5642">
      <w:pPr>
        <w:numPr>
          <w:ilvl w:val="0"/>
          <w:numId w:val="7"/>
        </w:numPr>
        <w:spacing w:before="280" w:line="240" w:lineRule="auto"/>
        <w:jc w:val="both"/>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Will the government commit to proposing and ad</w:t>
      </w:r>
      <w:r w:rsidRPr="004B40C3">
        <w:rPr>
          <w:rFonts w:ascii="Alegreya Sans" w:eastAsia="Alegreya Sans" w:hAnsi="Alegreya Sans" w:cs="Alegreya Sans"/>
          <w:sz w:val="24"/>
          <w:szCs w:val="24"/>
          <w:lang w:val="en-GB"/>
        </w:rPr>
        <w:t xml:space="preserve">opting amendments to Articles 118, 119 and 121 of the Criminal Code to ensure that the definitions of sexual violence crimes are in compliance with standards developed by the CEDAW Committee and cover all forms of sexual </w:t>
      </w:r>
      <w:r w:rsidRPr="004B40C3">
        <w:rPr>
          <w:rFonts w:ascii="Alegreya Sans" w:eastAsia="Alegreya Sans" w:hAnsi="Alegreya Sans" w:cs="Alegreya Sans"/>
          <w:sz w:val="24"/>
          <w:szCs w:val="24"/>
          <w:lang w:val="en-GB"/>
        </w:rPr>
        <w:lastRenderedPageBreak/>
        <w:t>violence acts committed without the</w:t>
      </w:r>
      <w:r w:rsidRPr="004B40C3">
        <w:rPr>
          <w:rFonts w:ascii="Alegreya Sans" w:eastAsia="Alegreya Sans" w:hAnsi="Alegreya Sans" w:cs="Alegreya Sans"/>
          <w:sz w:val="24"/>
          <w:szCs w:val="24"/>
          <w:lang w:val="en-GB"/>
        </w:rPr>
        <w:t xml:space="preserve"> victim’s voluntary consent given as the result of a person’s free will?</w:t>
      </w:r>
    </w:p>
    <w:p w:rsidR="00CC2284" w:rsidRPr="004B40C3" w:rsidRDefault="000F5642">
      <w:pPr>
        <w:numPr>
          <w:ilvl w:val="0"/>
          <w:numId w:val="7"/>
        </w:numPr>
        <w:spacing w:line="240" w:lineRule="auto"/>
        <w:jc w:val="both"/>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 xml:space="preserve">Will the government commit to amend penalties for Articles 118, 119 and 121 to make sure that they commensurate to the gravity of the crimes? </w:t>
      </w:r>
    </w:p>
    <w:p w:rsidR="00CC2284" w:rsidRPr="004B40C3" w:rsidRDefault="000F5642">
      <w:pPr>
        <w:numPr>
          <w:ilvl w:val="0"/>
          <w:numId w:val="7"/>
        </w:numPr>
        <w:spacing w:after="280" w:line="240" w:lineRule="auto"/>
        <w:jc w:val="both"/>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To provide disaggregated information and</w:t>
      </w:r>
      <w:r w:rsidRPr="004B40C3">
        <w:rPr>
          <w:rFonts w:ascii="Alegreya Sans" w:eastAsia="Alegreya Sans" w:hAnsi="Alegreya Sans" w:cs="Alegreya Sans"/>
          <w:sz w:val="24"/>
          <w:szCs w:val="24"/>
          <w:lang w:val="en-GB"/>
        </w:rPr>
        <w:t xml:space="preserve"> statistics regarding to what extent community labour, conditional sentences and correctional labour are applied as punishment for sexual violence.</w:t>
      </w:r>
    </w:p>
    <w:p w:rsidR="00CC2284" w:rsidRPr="004B40C3" w:rsidRDefault="000F5642">
      <w:pPr>
        <w:spacing w:before="280" w:after="280" w:line="240" w:lineRule="auto"/>
        <w:jc w:val="both"/>
        <w:rPr>
          <w:rFonts w:ascii="Alegreya Sans" w:eastAsia="Alegreya Sans" w:hAnsi="Alegreya Sans" w:cs="Alegreya Sans"/>
          <w:b/>
          <w:sz w:val="24"/>
          <w:szCs w:val="24"/>
          <w:lang w:val="en-GB"/>
        </w:rPr>
      </w:pPr>
      <w:r w:rsidRPr="004B40C3">
        <w:rPr>
          <w:rFonts w:ascii="Alegreya Sans" w:eastAsia="Alegreya Sans" w:hAnsi="Alegreya Sans" w:cs="Alegreya Sans"/>
          <w:b/>
          <w:sz w:val="24"/>
          <w:szCs w:val="24"/>
          <w:lang w:val="en-GB"/>
        </w:rPr>
        <w:t>Marital rape</w:t>
      </w:r>
    </w:p>
    <w:p w:rsidR="00CC2284" w:rsidRPr="004B40C3" w:rsidRDefault="000F5642">
      <w:pPr>
        <w:numPr>
          <w:ilvl w:val="0"/>
          <w:numId w:val="6"/>
        </w:numPr>
        <w:spacing w:before="280" w:after="280" w:line="240" w:lineRule="auto"/>
        <w:jc w:val="both"/>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CEDAW’s General Recommendation 35 provides that States should ensure that a “definition of sexu</w:t>
      </w:r>
      <w:r w:rsidRPr="004B40C3">
        <w:rPr>
          <w:rFonts w:ascii="Alegreya Sans" w:eastAsia="Alegreya Sans" w:hAnsi="Alegreya Sans" w:cs="Alegreya Sans"/>
          <w:sz w:val="24"/>
          <w:szCs w:val="24"/>
          <w:lang w:val="en-GB"/>
        </w:rPr>
        <w:t>al crimes, including marital and acquaintance or date rape, is based on the lack of freely given consent and takes into account coercive circumstances.”</w:t>
      </w:r>
      <w:r w:rsidRPr="004B40C3">
        <w:rPr>
          <w:rFonts w:ascii="Alegreya Sans" w:eastAsia="Alegreya Sans" w:hAnsi="Alegreya Sans" w:cs="Alegreya Sans"/>
          <w:sz w:val="24"/>
          <w:szCs w:val="24"/>
          <w:vertAlign w:val="superscript"/>
          <w:lang w:val="en-GB"/>
        </w:rPr>
        <w:footnoteReference w:id="8"/>
      </w:r>
      <w:r w:rsidRPr="004B40C3">
        <w:rPr>
          <w:rFonts w:ascii="Alegreya Sans" w:eastAsia="Alegreya Sans" w:hAnsi="Alegreya Sans" w:cs="Alegreya Sans"/>
          <w:sz w:val="24"/>
          <w:szCs w:val="24"/>
          <w:lang w:val="en-GB"/>
        </w:rPr>
        <w:t xml:space="preserve"> CEDAW and the Human Rights Committee have to date recommended that the States of the former Soviet Un</w:t>
      </w:r>
      <w:r w:rsidRPr="004B40C3">
        <w:rPr>
          <w:rFonts w:ascii="Alegreya Sans" w:eastAsia="Alegreya Sans" w:hAnsi="Alegreya Sans" w:cs="Alegreya Sans"/>
          <w:sz w:val="24"/>
          <w:szCs w:val="24"/>
          <w:lang w:val="en-GB"/>
        </w:rPr>
        <w:t>ion specifically criminalise marital rape, including Kyrgyzstan (2018),</w:t>
      </w:r>
      <w:r w:rsidRPr="004B40C3">
        <w:rPr>
          <w:rFonts w:ascii="Alegreya Sans" w:eastAsia="Alegreya Sans" w:hAnsi="Alegreya Sans" w:cs="Alegreya Sans"/>
          <w:sz w:val="24"/>
          <w:szCs w:val="24"/>
          <w:vertAlign w:val="superscript"/>
          <w:lang w:val="en-GB"/>
        </w:rPr>
        <w:footnoteReference w:id="9"/>
      </w:r>
      <w:r w:rsidRPr="004B40C3">
        <w:rPr>
          <w:rFonts w:ascii="Alegreya Sans" w:eastAsia="Alegreya Sans" w:hAnsi="Alegreya Sans" w:cs="Alegreya Sans"/>
          <w:sz w:val="24"/>
          <w:szCs w:val="24"/>
          <w:lang w:val="en-GB"/>
        </w:rPr>
        <w:t xml:space="preserve"> Tajikistan (2018),</w:t>
      </w:r>
      <w:r w:rsidRPr="004B40C3">
        <w:rPr>
          <w:rFonts w:ascii="Alegreya Sans" w:eastAsia="Alegreya Sans" w:hAnsi="Alegreya Sans" w:cs="Alegreya Sans"/>
          <w:sz w:val="24"/>
          <w:szCs w:val="24"/>
          <w:vertAlign w:val="superscript"/>
          <w:lang w:val="en-GB"/>
        </w:rPr>
        <w:footnoteReference w:id="10"/>
      </w:r>
      <w:r w:rsidRPr="004B40C3">
        <w:rPr>
          <w:rFonts w:ascii="Alegreya Sans" w:eastAsia="Alegreya Sans" w:hAnsi="Alegreya Sans" w:cs="Alegreya Sans"/>
          <w:sz w:val="24"/>
          <w:szCs w:val="24"/>
          <w:lang w:val="en-GB"/>
        </w:rPr>
        <w:t xml:space="preserve"> Belarus (2016),</w:t>
      </w:r>
      <w:r w:rsidRPr="004B40C3">
        <w:rPr>
          <w:rFonts w:ascii="Alegreya Sans" w:eastAsia="Alegreya Sans" w:hAnsi="Alegreya Sans" w:cs="Alegreya Sans"/>
          <w:sz w:val="24"/>
          <w:szCs w:val="24"/>
          <w:vertAlign w:val="superscript"/>
          <w:lang w:val="en-GB"/>
        </w:rPr>
        <w:footnoteReference w:id="11"/>
      </w:r>
      <w:r w:rsidRPr="004B40C3">
        <w:rPr>
          <w:rFonts w:ascii="Alegreya Sans" w:eastAsia="Alegreya Sans" w:hAnsi="Alegreya Sans" w:cs="Alegreya Sans"/>
          <w:sz w:val="24"/>
          <w:szCs w:val="24"/>
          <w:lang w:val="en-GB"/>
        </w:rPr>
        <w:t xml:space="preserve"> Latvia (2014)</w:t>
      </w:r>
      <w:r w:rsidRPr="004B40C3">
        <w:rPr>
          <w:rFonts w:ascii="Alegreya Sans" w:eastAsia="Alegreya Sans" w:hAnsi="Alegreya Sans" w:cs="Alegreya Sans"/>
          <w:sz w:val="24"/>
          <w:szCs w:val="24"/>
          <w:vertAlign w:val="superscript"/>
          <w:lang w:val="en-GB"/>
        </w:rPr>
        <w:footnoteReference w:id="12"/>
      </w:r>
      <w:r w:rsidRPr="004B40C3">
        <w:rPr>
          <w:rFonts w:ascii="Alegreya Sans" w:eastAsia="Alegreya Sans" w:hAnsi="Alegreya Sans" w:cs="Alegreya Sans"/>
          <w:sz w:val="24"/>
          <w:szCs w:val="24"/>
          <w:lang w:val="en-GB"/>
        </w:rPr>
        <w:t xml:space="preserve"> and Lithuania (2014).</w:t>
      </w:r>
      <w:r w:rsidRPr="004B40C3">
        <w:rPr>
          <w:rFonts w:ascii="Alegreya Sans" w:eastAsia="Alegreya Sans" w:hAnsi="Alegreya Sans" w:cs="Alegreya Sans"/>
          <w:sz w:val="24"/>
          <w:szCs w:val="24"/>
          <w:vertAlign w:val="superscript"/>
          <w:lang w:val="en-GB"/>
        </w:rPr>
        <w:footnoteReference w:id="13"/>
      </w:r>
      <w:r w:rsidRPr="004B40C3">
        <w:rPr>
          <w:rFonts w:ascii="Alegreya Sans" w:eastAsia="Alegreya Sans" w:hAnsi="Alegreya Sans" w:cs="Alegreya Sans"/>
          <w:sz w:val="24"/>
          <w:szCs w:val="24"/>
          <w:lang w:val="en-GB"/>
        </w:rPr>
        <w:t xml:space="preserve"> As countries of the former Soviet Union, they continue to share similar definitions of sexual violence </w:t>
      </w:r>
      <w:r w:rsidRPr="004B40C3">
        <w:rPr>
          <w:rFonts w:ascii="Alegreya Sans" w:eastAsia="Alegreya Sans" w:hAnsi="Alegreya Sans" w:cs="Alegreya Sans"/>
          <w:sz w:val="24"/>
          <w:szCs w:val="24"/>
          <w:lang w:val="en-GB"/>
        </w:rPr>
        <w:t>crimes, as well as similar criminal justice systems. Therefore, recommendations given to these countries are relevant to all countries that retain the similar legal context, including Uzbekistan.</w:t>
      </w:r>
    </w:p>
    <w:p w:rsidR="00CC2284" w:rsidRPr="004B40C3" w:rsidRDefault="000F5642">
      <w:pPr>
        <w:numPr>
          <w:ilvl w:val="0"/>
          <w:numId w:val="6"/>
        </w:numPr>
        <w:spacing w:before="280" w:after="280" w:line="240" w:lineRule="auto"/>
        <w:jc w:val="both"/>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 xml:space="preserve">Despite the introduction of a Domestic Violence Law in 2019, there are still no legal provisions for rape committed in marriage and intimate relationships as either a separate crime or as an aggravating circumstance of existing sexual violence provisions. </w:t>
      </w:r>
      <w:r w:rsidRPr="004B40C3">
        <w:rPr>
          <w:rFonts w:ascii="Alegreya Sans" w:eastAsia="Alegreya Sans" w:hAnsi="Alegreya Sans" w:cs="Alegreya Sans"/>
          <w:sz w:val="24"/>
          <w:szCs w:val="24"/>
          <w:lang w:val="en-GB"/>
        </w:rPr>
        <w:t>According to Article 3 of the Law, sexual violence is recognised as a “</w:t>
      </w:r>
      <w:r w:rsidRPr="004B40C3">
        <w:rPr>
          <w:rFonts w:ascii="Alegreya Sans" w:eastAsia="Alegreya Sans" w:hAnsi="Alegreya Sans" w:cs="Alegreya Sans"/>
          <w:sz w:val="24"/>
          <w:szCs w:val="24"/>
          <w:highlight w:val="white"/>
          <w:lang w:val="en-GB"/>
        </w:rPr>
        <w:t>a form of violence against women that infringes on sexual integrity and sexual freedom by committing acts of a sexual nature, without their consent” but there is no recognition in eithe</w:t>
      </w:r>
      <w:r w:rsidRPr="004B40C3">
        <w:rPr>
          <w:rFonts w:ascii="Alegreya Sans" w:eastAsia="Alegreya Sans" w:hAnsi="Alegreya Sans" w:cs="Alegreya Sans"/>
          <w:sz w:val="24"/>
          <w:szCs w:val="24"/>
          <w:highlight w:val="white"/>
          <w:lang w:val="en-GB"/>
        </w:rPr>
        <w:t xml:space="preserve">r this Law or the Criminal Code that such acts can be perpetrated within marriage or an intimate relationship. Moreover, </w:t>
      </w:r>
      <w:r w:rsidRPr="004B40C3">
        <w:rPr>
          <w:rFonts w:ascii="Alegreya Sans" w:eastAsia="Alegreya Sans" w:hAnsi="Alegreya Sans" w:cs="Alegreya Sans"/>
          <w:sz w:val="24"/>
          <w:szCs w:val="24"/>
          <w:lang w:val="en-GB"/>
        </w:rPr>
        <w:t>e</w:t>
      </w:r>
      <w:r w:rsidRPr="004B40C3">
        <w:rPr>
          <w:rFonts w:ascii="Alegreya Sans" w:eastAsia="Alegreya Sans" w:hAnsi="Alegreya Sans" w:cs="Alegreya Sans"/>
          <w:sz w:val="24"/>
          <w:szCs w:val="24"/>
          <w:lang w:val="en-GB"/>
        </w:rPr>
        <w:t>ven though Articles 118 (Rape) and 119 (Violent Satisfaction of Sexual Need in Unnatural Form) provide that the crime is aggravated if committed knowingly against a close relative, this could effectively be interpreted as a blood relative, rather than also</w:t>
      </w:r>
      <w:r w:rsidRPr="004B40C3">
        <w:rPr>
          <w:rFonts w:ascii="Alegreya Sans" w:eastAsia="Alegreya Sans" w:hAnsi="Alegreya Sans" w:cs="Alegreya Sans"/>
          <w:sz w:val="24"/>
          <w:szCs w:val="24"/>
          <w:lang w:val="en-GB"/>
        </w:rPr>
        <w:t xml:space="preserve"> including a wife or an intimate partner.</w:t>
      </w:r>
    </w:p>
    <w:p w:rsidR="00CC2284" w:rsidRPr="004B40C3" w:rsidRDefault="00CC2284">
      <w:pPr>
        <w:spacing w:before="280" w:after="280" w:line="240" w:lineRule="auto"/>
        <w:ind w:left="720"/>
        <w:jc w:val="both"/>
        <w:rPr>
          <w:rFonts w:ascii="Alegreya Sans" w:eastAsia="Alegreya Sans" w:hAnsi="Alegreya Sans" w:cs="Alegreya Sans"/>
          <w:sz w:val="24"/>
          <w:szCs w:val="24"/>
          <w:lang w:val="en-GB"/>
        </w:rPr>
      </w:pPr>
    </w:p>
    <w:p w:rsidR="00CC2284" w:rsidRPr="004B40C3" w:rsidRDefault="000F5642">
      <w:pPr>
        <w:numPr>
          <w:ilvl w:val="0"/>
          <w:numId w:val="6"/>
        </w:numPr>
        <w:spacing w:before="280" w:after="280" w:line="240" w:lineRule="auto"/>
        <w:jc w:val="both"/>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lastRenderedPageBreak/>
        <w:t>Failure to explicitly criminalise marital rape, or classify it as an aggravating circumstance, together with failure to provide ex officio/public prosecution of the crime by the authorities (see below on public pr</w:t>
      </w:r>
      <w:r w:rsidRPr="004B40C3">
        <w:rPr>
          <w:rFonts w:ascii="Alegreya Sans" w:eastAsia="Alegreya Sans" w:hAnsi="Alegreya Sans" w:cs="Alegreya Sans"/>
          <w:sz w:val="24"/>
          <w:szCs w:val="24"/>
          <w:lang w:val="en-GB"/>
        </w:rPr>
        <w:t xml:space="preserve">osecutions), leads </w:t>
      </w:r>
      <w:proofErr w:type="gramStart"/>
      <w:r w:rsidRPr="004B40C3">
        <w:rPr>
          <w:rFonts w:ascii="Alegreya Sans" w:eastAsia="Alegreya Sans" w:hAnsi="Alegreya Sans" w:cs="Alegreya Sans"/>
          <w:sz w:val="24"/>
          <w:szCs w:val="24"/>
          <w:lang w:val="en-GB"/>
        </w:rPr>
        <w:t>to  the</w:t>
      </w:r>
      <w:proofErr w:type="gramEnd"/>
      <w:r w:rsidRPr="004B40C3">
        <w:rPr>
          <w:rFonts w:ascii="Alegreya Sans" w:eastAsia="Alegreya Sans" w:hAnsi="Alegreya Sans" w:cs="Alegreya Sans"/>
          <w:sz w:val="24"/>
          <w:szCs w:val="24"/>
          <w:lang w:val="en-GB"/>
        </w:rPr>
        <w:t xml:space="preserve"> authorities being reluctant to investigate and prosecute it. It is also one of the critical factors leading to the crime being overlooked and unrecognised by the law enforcement system, even to the extent of promoting “reconcilia</w:t>
      </w:r>
      <w:r w:rsidRPr="004B40C3">
        <w:rPr>
          <w:rFonts w:ascii="Alegreya Sans" w:eastAsia="Alegreya Sans" w:hAnsi="Alegreya Sans" w:cs="Alegreya Sans"/>
          <w:sz w:val="24"/>
          <w:szCs w:val="24"/>
          <w:lang w:val="en-GB"/>
        </w:rPr>
        <w:t xml:space="preserve">tion” over justice and the ongoing safety of the woman concerned. </w:t>
      </w:r>
    </w:p>
    <w:p w:rsidR="00CC2284" w:rsidRPr="004B40C3" w:rsidRDefault="000F5642">
      <w:pPr>
        <w:spacing w:before="280" w:after="280" w:line="240" w:lineRule="auto"/>
        <w:jc w:val="both"/>
        <w:rPr>
          <w:rFonts w:ascii="Alegreya Sans" w:eastAsia="Alegreya Sans" w:hAnsi="Alegreya Sans" w:cs="Alegreya Sans"/>
          <w:sz w:val="24"/>
          <w:szCs w:val="24"/>
          <w:u w:val="single"/>
          <w:lang w:val="en-GB"/>
        </w:rPr>
      </w:pPr>
      <w:r w:rsidRPr="004B40C3">
        <w:rPr>
          <w:rFonts w:ascii="Alegreya Sans" w:eastAsia="Alegreya Sans" w:hAnsi="Alegreya Sans" w:cs="Alegreya Sans"/>
          <w:sz w:val="24"/>
          <w:szCs w:val="24"/>
          <w:u w:val="single"/>
          <w:lang w:val="en-GB"/>
        </w:rPr>
        <w:t>Recommendation:</w:t>
      </w:r>
    </w:p>
    <w:p w:rsidR="00CC2284" w:rsidRPr="004B40C3" w:rsidRDefault="000F5642">
      <w:pPr>
        <w:numPr>
          <w:ilvl w:val="0"/>
          <w:numId w:val="1"/>
        </w:numPr>
        <w:spacing w:line="240" w:lineRule="auto"/>
        <w:jc w:val="both"/>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 xml:space="preserve">Explicitly </w:t>
      </w:r>
      <w:r w:rsidRPr="004B40C3">
        <w:rPr>
          <w:rFonts w:ascii="Alegreya Sans" w:eastAsia="Alegreya Sans" w:hAnsi="Alegreya Sans" w:cs="Alegreya Sans"/>
          <w:b/>
          <w:sz w:val="24"/>
          <w:szCs w:val="24"/>
          <w:lang w:val="en-GB"/>
        </w:rPr>
        <w:t>criminalise rape in marriage</w:t>
      </w:r>
      <w:r w:rsidRPr="004B40C3">
        <w:rPr>
          <w:rFonts w:ascii="Alegreya Sans" w:eastAsia="Alegreya Sans" w:hAnsi="Alegreya Sans" w:cs="Alegreya Sans"/>
          <w:sz w:val="24"/>
          <w:szCs w:val="24"/>
          <w:lang w:val="en-GB"/>
        </w:rPr>
        <w:t xml:space="preserve"> and intimate partner relationships as a separate article in the Criminal Code of Uzbekistan, or as an aggravating circumstance within</w:t>
      </w:r>
      <w:r w:rsidRPr="004B40C3">
        <w:rPr>
          <w:rFonts w:ascii="Alegreya Sans" w:eastAsia="Alegreya Sans" w:hAnsi="Alegreya Sans" w:cs="Alegreya Sans"/>
          <w:sz w:val="24"/>
          <w:szCs w:val="24"/>
          <w:lang w:val="en-GB"/>
        </w:rPr>
        <w:t xml:space="preserve"> the existing sexual violence articles.</w:t>
      </w:r>
    </w:p>
    <w:p w:rsidR="00CC2284" w:rsidRPr="004B40C3" w:rsidRDefault="00CC2284">
      <w:pPr>
        <w:spacing w:line="240" w:lineRule="auto"/>
        <w:jc w:val="both"/>
        <w:rPr>
          <w:rFonts w:ascii="Alegreya Sans" w:eastAsia="Alegreya Sans" w:hAnsi="Alegreya Sans" w:cs="Alegreya Sans"/>
          <w:sz w:val="24"/>
          <w:szCs w:val="24"/>
          <w:lang w:val="en-GB"/>
        </w:rPr>
      </w:pPr>
    </w:p>
    <w:p w:rsidR="00CC2284" w:rsidRPr="004B40C3" w:rsidRDefault="000F5642">
      <w:pPr>
        <w:spacing w:before="280" w:after="280" w:line="240" w:lineRule="auto"/>
        <w:jc w:val="both"/>
        <w:rPr>
          <w:rFonts w:ascii="Alegreya Sans" w:eastAsia="Alegreya Sans" w:hAnsi="Alegreya Sans" w:cs="Alegreya Sans"/>
          <w:sz w:val="24"/>
          <w:szCs w:val="24"/>
          <w:u w:val="single"/>
          <w:lang w:val="en-GB"/>
        </w:rPr>
      </w:pPr>
      <w:r w:rsidRPr="004B40C3">
        <w:rPr>
          <w:rFonts w:ascii="Alegreya Sans" w:eastAsia="Alegreya Sans" w:hAnsi="Alegreya Sans" w:cs="Alegreya Sans"/>
          <w:sz w:val="24"/>
          <w:szCs w:val="24"/>
          <w:u w:val="single"/>
          <w:lang w:val="en-GB"/>
        </w:rPr>
        <w:t>We respectfully ask the Committee to request further information from Uzbekistan on the following issues</w:t>
      </w:r>
      <w:r w:rsidRPr="004B40C3">
        <w:rPr>
          <w:rFonts w:ascii="Alegreya Sans" w:eastAsia="Alegreya Sans" w:hAnsi="Alegreya Sans" w:cs="Alegreya Sans"/>
          <w:sz w:val="24"/>
          <w:szCs w:val="24"/>
          <w:u w:val="single"/>
          <w:lang w:val="en-GB"/>
        </w:rPr>
        <w:t xml:space="preserve">: </w:t>
      </w:r>
    </w:p>
    <w:p w:rsidR="00CC2284" w:rsidRPr="004B40C3" w:rsidRDefault="000F5642">
      <w:pPr>
        <w:numPr>
          <w:ilvl w:val="0"/>
          <w:numId w:val="3"/>
        </w:numPr>
        <w:spacing w:before="280" w:after="280" w:line="240" w:lineRule="auto"/>
        <w:jc w:val="both"/>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What steps is the government undertaking to reform the Criminal Code to expressly criminalise rape in marri</w:t>
      </w:r>
      <w:r w:rsidRPr="004B40C3">
        <w:rPr>
          <w:rFonts w:ascii="Alegreya Sans" w:eastAsia="Alegreya Sans" w:hAnsi="Alegreya Sans" w:cs="Alegreya Sans"/>
          <w:sz w:val="24"/>
          <w:szCs w:val="24"/>
          <w:lang w:val="en-GB"/>
        </w:rPr>
        <w:t xml:space="preserve">age and intimate partner relationships or treat it as an aggravating circumstance within the existing sexual violence articles? </w:t>
      </w:r>
    </w:p>
    <w:p w:rsidR="00CC2284" w:rsidRPr="004B40C3" w:rsidRDefault="000F5642">
      <w:pPr>
        <w:spacing w:before="280" w:after="280" w:line="240" w:lineRule="auto"/>
        <w:jc w:val="both"/>
        <w:rPr>
          <w:rFonts w:ascii="Alegreya Sans" w:eastAsia="Alegreya Sans" w:hAnsi="Alegreya Sans" w:cs="Alegreya Sans"/>
          <w:sz w:val="24"/>
          <w:szCs w:val="24"/>
          <w:lang w:val="en-GB"/>
        </w:rPr>
      </w:pPr>
      <w:r w:rsidRPr="004B40C3">
        <w:rPr>
          <w:rFonts w:ascii="Alegreya Sans" w:eastAsia="Alegreya Sans" w:hAnsi="Alegreya Sans" w:cs="Alegreya Sans"/>
          <w:b/>
          <w:sz w:val="24"/>
          <w:szCs w:val="24"/>
          <w:lang w:val="en-GB"/>
        </w:rPr>
        <w:t>Ex officio investigation/prosecution by the State for all sexual violence crimes</w:t>
      </w:r>
    </w:p>
    <w:p w:rsidR="00CC2284" w:rsidRPr="004B40C3" w:rsidRDefault="000F5642">
      <w:pPr>
        <w:numPr>
          <w:ilvl w:val="0"/>
          <w:numId w:val="6"/>
        </w:numPr>
        <w:spacing w:before="280" w:after="280" w:line="240" w:lineRule="auto"/>
        <w:jc w:val="both"/>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International human rights standards are clear</w:t>
      </w:r>
      <w:r w:rsidRPr="004B40C3">
        <w:rPr>
          <w:rFonts w:ascii="Alegreya Sans" w:eastAsia="Alegreya Sans" w:hAnsi="Alegreya Sans" w:cs="Alegreya Sans"/>
          <w:sz w:val="24"/>
          <w:szCs w:val="24"/>
          <w:lang w:val="en-GB"/>
        </w:rPr>
        <w:t xml:space="preserve"> in requiring authorities to respond seriously to all cases of gender-based violence, including through prosecution led by the State, to ensure access to justice. In its General Recommendation 35, the Committee provides that States should “Ensure effective</w:t>
      </w:r>
      <w:r w:rsidRPr="004B40C3">
        <w:rPr>
          <w:rFonts w:ascii="Alegreya Sans" w:eastAsia="Alegreya Sans" w:hAnsi="Alegreya Sans" w:cs="Alegreya Sans"/>
          <w:sz w:val="24"/>
          <w:szCs w:val="24"/>
          <w:lang w:val="en-GB"/>
        </w:rPr>
        <w:t xml:space="preserve"> access of victims to courts and tribunals; ensure authorities adequately respond to all cases of gender-based violence against women, including by applying criminal law and as appropriate ex officio prosecution to bring the alleged perpetrators to trial i</w:t>
      </w:r>
      <w:r w:rsidRPr="004B40C3">
        <w:rPr>
          <w:rFonts w:ascii="Alegreya Sans" w:eastAsia="Alegreya Sans" w:hAnsi="Alegreya Sans" w:cs="Alegreya Sans"/>
          <w:sz w:val="24"/>
          <w:szCs w:val="24"/>
          <w:lang w:val="en-GB"/>
        </w:rPr>
        <w:t>n a fair, impartial, timely and expeditious manner and imposing adequate penalties.”</w:t>
      </w:r>
      <w:r w:rsidRPr="004B40C3">
        <w:rPr>
          <w:rFonts w:ascii="Alegreya Sans" w:eastAsia="Alegreya Sans" w:hAnsi="Alegreya Sans" w:cs="Alegreya Sans"/>
          <w:sz w:val="24"/>
          <w:szCs w:val="24"/>
          <w:vertAlign w:val="superscript"/>
          <w:lang w:val="en-GB"/>
        </w:rPr>
        <w:footnoteReference w:id="14"/>
      </w:r>
      <w:r w:rsidRPr="004B40C3">
        <w:rPr>
          <w:rFonts w:ascii="Alegreya Sans" w:eastAsia="Alegreya Sans" w:hAnsi="Alegreya Sans" w:cs="Alegreya Sans"/>
          <w:sz w:val="24"/>
          <w:szCs w:val="24"/>
          <w:vertAlign w:val="superscript"/>
          <w:lang w:val="en-GB"/>
        </w:rPr>
        <w:t xml:space="preserve"> </w:t>
      </w:r>
    </w:p>
    <w:p w:rsidR="00CC2284" w:rsidRPr="004B40C3" w:rsidRDefault="000F5642">
      <w:pPr>
        <w:numPr>
          <w:ilvl w:val="0"/>
          <w:numId w:val="6"/>
        </w:numPr>
        <w:spacing w:line="240" w:lineRule="auto"/>
        <w:jc w:val="both"/>
        <w:rPr>
          <w:rFonts w:ascii="Alegreya Sans" w:eastAsia="Alegreya Sans" w:hAnsi="Alegreya Sans" w:cs="Alegreya Sans"/>
          <w:sz w:val="24"/>
          <w:szCs w:val="24"/>
          <w:vertAlign w:val="superscript"/>
          <w:lang w:val="en-GB"/>
        </w:rPr>
      </w:pPr>
      <w:r w:rsidRPr="004B40C3">
        <w:rPr>
          <w:rFonts w:ascii="Alegreya Sans" w:eastAsia="Alegreya Sans" w:hAnsi="Alegreya Sans" w:cs="Alegreya Sans"/>
          <w:sz w:val="24"/>
          <w:szCs w:val="24"/>
          <w:lang w:val="en-GB"/>
        </w:rPr>
        <w:t>In the case of O.G. v. the Russian Federation,</w:t>
      </w:r>
      <w:r w:rsidRPr="004B40C3">
        <w:rPr>
          <w:rFonts w:ascii="Alegreya Sans" w:eastAsia="Alegreya Sans" w:hAnsi="Alegreya Sans" w:cs="Alegreya Sans"/>
          <w:sz w:val="24"/>
          <w:szCs w:val="24"/>
          <w:vertAlign w:val="superscript"/>
          <w:lang w:val="en-GB"/>
        </w:rPr>
        <w:footnoteReference w:id="15"/>
      </w:r>
      <w:r w:rsidRPr="004B40C3">
        <w:rPr>
          <w:rFonts w:ascii="Alegreya Sans" w:eastAsia="Alegreya Sans" w:hAnsi="Alegreya Sans" w:cs="Alegreya Sans"/>
          <w:sz w:val="24"/>
          <w:szCs w:val="24"/>
          <w:lang w:val="en-GB"/>
        </w:rPr>
        <w:t xml:space="preserve"> the CEDAW Committee commented that “the fact that a victim of domestic violence has to resort to private prosecution, </w:t>
      </w:r>
      <w:r w:rsidRPr="004B40C3">
        <w:rPr>
          <w:rFonts w:ascii="Alegreya Sans" w:eastAsia="Alegreya Sans" w:hAnsi="Alegreya Sans" w:cs="Alegreya Sans"/>
          <w:sz w:val="24"/>
          <w:szCs w:val="24"/>
          <w:lang w:val="en-GB"/>
        </w:rPr>
        <w:t>where the burden of proof is placed entirely on her, denies the victim access to justice”</w:t>
      </w:r>
      <w:r w:rsidRPr="004B40C3">
        <w:rPr>
          <w:rFonts w:ascii="Alegreya Sans" w:eastAsia="Alegreya Sans" w:hAnsi="Alegreya Sans" w:cs="Alegreya Sans"/>
          <w:sz w:val="24"/>
          <w:szCs w:val="24"/>
          <w:vertAlign w:val="superscript"/>
          <w:lang w:val="en-GB"/>
        </w:rPr>
        <w:footnoteReference w:id="16"/>
      </w:r>
      <w:r w:rsidRPr="004B40C3">
        <w:rPr>
          <w:rFonts w:ascii="Alegreya Sans" w:eastAsia="Alegreya Sans" w:hAnsi="Alegreya Sans" w:cs="Alegreya Sans"/>
          <w:sz w:val="24"/>
          <w:szCs w:val="24"/>
          <w:lang w:val="en-GB"/>
        </w:rPr>
        <w:t xml:space="preserve"> and recommended that Russia “[a]</w:t>
      </w:r>
      <w:proofErr w:type="spellStart"/>
      <w:r w:rsidRPr="004B40C3">
        <w:rPr>
          <w:rFonts w:ascii="Alegreya Sans" w:eastAsia="Alegreya Sans" w:hAnsi="Alegreya Sans" w:cs="Alegreya Sans"/>
          <w:sz w:val="24"/>
          <w:szCs w:val="24"/>
          <w:lang w:val="en-GB"/>
        </w:rPr>
        <w:t>dopt</w:t>
      </w:r>
      <w:proofErr w:type="spellEnd"/>
      <w:r w:rsidRPr="004B40C3">
        <w:rPr>
          <w:rFonts w:ascii="Alegreya Sans" w:eastAsia="Alegreya Sans" w:hAnsi="Alegreya Sans" w:cs="Alegreya Sans"/>
          <w:sz w:val="24"/>
          <w:szCs w:val="24"/>
          <w:lang w:val="en-GB"/>
        </w:rPr>
        <w:t xml:space="preserve"> comprehensive legislation to prevent and address violence against women, including domestic violence, [and] introduce ex offici</w:t>
      </w:r>
      <w:r w:rsidRPr="004B40C3">
        <w:rPr>
          <w:rFonts w:ascii="Alegreya Sans" w:eastAsia="Alegreya Sans" w:hAnsi="Alegreya Sans" w:cs="Alegreya Sans"/>
          <w:sz w:val="24"/>
          <w:szCs w:val="24"/>
          <w:lang w:val="en-GB"/>
        </w:rPr>
        <w:t xml:space="preserve">o prosecution of domestic and </w:t>
      </w:r>
      <w:r w:rsidRPr="004B40C3">
        <w:rPr>
          <w:rFonts w:ascii="Alegreya Sans" w:eastAsia="Alegreya Sans" w:hAnsi="Alegreya Sans" w:cs="Alegreya Sans"/>
          <w:b/>
          <w:sz w:val="24"/>
          <w:szCs w:val="24"/>
          <w:lang w:val="en-GB"/>
        </w:rPr>
        <w:t>sexual violence”</w:t>
      </w:r>
      <w:r w:rsidRPr="004B40C3">
        <w:rPr>
          <w:rFonts w:ascii="Alegreya Sans" w:eastAsia="Alegreya Sans" w:hAnsi="Alegreya Sans" w:cs="Alegreya Sans"/>
          <w:sz w:val="24"/>
          <w:szCs w:val="24"/>
          <w:lang w:val="en-GB"/>
        </w:rPr>
        <w:t xml:space="preserve">. These remarks with respect to the Russian Federation are very pertinent to Uzbekistan which has a similar legal framework. </w:t>
      </w:r>
    </w:p>
    <w:p w:rsidR="00CC2284" w:rsidRPr="004B40C3" w:rsidRDefault="00CC2284">
      <w:pPr>
        <w:spacing w:line="240" w:lineRule="auto"/>
        <w:ind w:left="720"/>
        <w:jc w:val="both"/>
        <w:rPr>
          <w:rFonts w:ascii="Alegreya Sans" w:eastAsia="Alegreya Sans" w:hAnsi="Alegreya Sans" w:cs="Alegreya Sans"/>
          <w:b/>
          <w:sz w:val="24"/>
          <w:szCs w:val="24"/>
          <w:lang w:val="en-GB"/>
        </w:rPr>
      </w:pPr>
    </w:p>
    <w:p w:rsidR="00CC2284" w:rsidRPr="004B40C3" w:rsidRDefault="000F5642">
      <w:pPr>
        <w:numPr>
          <w:ilvl w:val="0"/>
          <w:numId w:val="6"/>
        </w:numPr>
        <w:spacing w:before="280" w:after="280" w:line="240" w:lineRule="auto"/>
        <w:jc w:val="both"/>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lastRenderedPageBreak/>
        <w:t>The criminal code of Uzbekistan classifies sexual violence crimes as ones prosecuted under private-public prosecution procedures and does not therefore ensure ex officio/public prosecution. Further, reconciliation is allowed as the basis of releasing a per</w:t>
      </w:r>
      <w:r w:rsidRPr="004B40C3">
        <w:rPr>
          <w:rFonts w:ascii="Alegreya Sans" w:eastAsia="Alegreya Sans" w:hAnsi="Alegreya Sans" w:cs="Alegreya Sans"/>
          <w:sz w:val="24"/>
          <w:szCs w:val="24"/>
          <w:lang w:val="en-GB"/>
        </w:rPr>
        <w:t>petrator from liability for some sexual violence crimes.</w:t>
      </w:r>
    </w:p>
    <w:p w:rsidR="00CC2284" w:rsidRPr="004B40C3" w:rsidRDefault="000F5642">
      <w:pPr>
        <w:numPr>
          <w:ilvl w:val="0"/>
          <w:numId w:val="6"/>
        </w:numPr>
        <w:spacing w:before="280" w:after="280" w:line="240" w:lineRule="auto"/>
        <w:jc w:val="both"/>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 xml:space="preserve">Article 325 of the Criminal Code of Uzbekistan provides which criminal cases are initiated upon a victim’s claim.  The Article states that </w:t>
      </w:r>
      <w:r w:rsidRPr="004B40C3">
        <w:rPr>
          <w:rFonts w:ascii="Alegreya Sans" w:eastAsia="Alegreya Sans" w:hAnsi="Alegreya Sans" w:cs="Alegreya Sans"/>
          <w:i/>
          <w:sz w:val="24"/>
          <w:szCs w:val="24"/>
          <w:lang w:val="en-GB"/>
        </w:rPr>
        <w:t>criminal cases on crimes provided for by … part one of Arti</w:t>
      </w:r>
      <w:r w:rsidRPr="004B40C3">
        <w:rPr>
          <w:rFonts w:ascii="Alegreya Sans" w:eastAsia="Alegreya Sans" w:hAnsi="Alegreya Sans" w:cs="Alegreya Sans"/>
          <w:i/>
          <w:sz w:val="24"/>
          <w:szCs w:val="24"/>
          <w:lang w:val="en-GB"/>
        </w:rPr>
        <w:t>cle 118 [Rape], part one of Article 119 [Sexual assault], part one of Article 121 [Compulsion] … of the Criminal Code shall be initiated only upon a victim’s claim with a request for prosecution of the perpetrator. In exceptional cases, when the victim due</w:t>
      </w:r>
      <w:r w:rsidRPr="004B40C3">
        <w:rPr>
          <w:rFonts w:ascii="Alegreya Sans" w:eastAsia="Alegreya Sans" w:hAnsi="Alegreya Sans" w:cs="Alegreya Sans"/>
          <w:i/>
          <w:sz w:val="24"/>
          <w:szCs w:val="24"/>
          <w:lang w:val="en-GB"/>
        </w:rPr>
        <w:t xml:space="preserve"> to helpless state, dependence on the defendant or other reasons is unable to defend their right and legal interest, the prosecutor shall initiate the criminal case without the victim’s claim.</w:t>
      </w:r>
    </w:p>
    <w:p w:rsidR="00CC2284" w:rsidRPr="004B40C3" w:rsidRDefault="000F5642">
      <w:pPr>
        <w:numPr>
          <w:ilvl w:val="0"/>
          <w:numId w:val="6"/>
        </w:numPr>
        <w:spacing w:before="280" w:after="280" w:line="240" w:lineRule="auto"/>
        <w:jc w:val="both"/>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In addition, the law provides the possibility of releasing a perpetrator of certain sexual violence crimes from liability as a result of reconciliation with the victim. Article 66(1) of the Criminal Code provides that</w:t>
      </w:r>
      <w:r w:rsidRPr="004B40C3">
        <w:rPr>
          <w:rFonts w:ascii="Alegreya Sans" w:eastAsia="Alegreya Sans" w:hAnsi="Alegreya Sans" w:cs="Alegreya Sans"/>
          <w:i/>
          <w:sz w:val="24"/>
          <w:szCs w:val="24"/>
          <w:lang w:val="en-GB"/>
        </w:rPr>
        <w:t xml:space="preserve"> A person, who committed a crime provid</w:t>
      </w:r>
      <w:r w:rsidRPr="004B40C3">
        <w:rPr>
          <w:rFonts w:ascii="Alegreya Sans" w:eastAsia="Alegreya Sans" w:hAnsi="Alegreya Sans" w:cs="Alegreya Sans"/>
          <w:i/>
          <w:sz w:val="24"/>
          <w:szCs w:val="24"/>
          <w:lang w:val="en-GB"/>
        </w:rPr>
        <w:t>ed by Articles … 121 (Compulsion of a Woman to Sexual Intercourse)… of this Code, may be released from criminal liability, if they have admitted their guilt, reconciled with the victim and remedied the damage caused…</w:t>
      </w:r>
    </w:p>
    <w:p w:rsidR="00CC2284" w:rsidRPr="004B40C3" w:rsidRDefault="000F5642">
      <w:pPr>
        <w:numPr>
          <w:ilvl w:val="0"/>
          <w:numId w:val="6"/>
        </w:numPr>
        <w:spacing w:before="280" w:after="280" w:line="240" w:lineRule="auto"/>
        <w:jc w:val="both"/>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Reconciliation is often used and abuse</w:t>
      </w:r>
      <w:r w:rsidRPr="004B40C3">
        <w:rPr>
          <w:rFonts w:ascii="Alegreya Sans" w:eastAsia="Alegreya Sans" w:hAnsi="Alegreya Sans" w:cs="Alegreya Sans"/>
          <w:sz w:val="24"/>
          <w:szCs w:val="24"/>
          <w:lang w:val="en-GB"/>
        </w:rPr>
        <w:t>d with the result that perpetrators of sexual violence escape any form of criminal punishment or repercussions for their criminal behaviour, including avoiding a criminal record. In practice, lawyers and relatives of the accused make various attempts to ob</w:t>
      </w:r>
      <w:r w:rsidRPr="004B40C3">
        <w:rPr>
          <w:rFonts w:ascii="Alegreya Sans" w:eastAsia="Alegreya Sans" w:hAnsi="Alegreya Sans" w:cs="Alegreya Sans"/>
          <w:sz w:val="24"/>
          <w:szCs w:val="24"/>
          <w:lang w:val="en-GB"/>
        </w:rPr>
        <w:t>struct the victim’s access to justice and force the victim and her relatives to reconcile.</w:t>
      </w:r>
    </w:p>
    <w:p w:rsidR="00CC2284" w:rsidRPr="004B40C3" w:rsidRDefault="000F5642">
      <w:pPr>
        <w:numPr>
          <w:ilvl w:val="0"/>
          <w:numId w:val="6"/>
        </w:numPr>
        <w:spacing w:before="280" w:after="280" w:line="240" w:lineRule="auto"/>
        <w:jc w:val="both"/>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The above provisions suggest, and are effectively interpreted as meaning, that the victim has to file a specific complaint for rape and other acts of sexual violenc</w:t>
      </w:r>
      <w:r w:rsidRPr="004B40C3">
        <w:rPr>
          <w:rFonts w:ascii="Alegreya Sans" w:eastAsia="Alegreya Sans" w:hAnsi="Alegreya Sans" w:cs="Alegreya Sans"/>
          <w:sz w:val="24"/>
          <w:szCs w:val="24"/>
          <w:lang w:val="en-GB"/>
        </w:rPr>
        <w:t>e for the crimes to be prosecuted. Even if medical professionals report evidence of rape of their patients to the police, charges will not be filed unless the patient is proactively willing to do so. Frequently when domestic violence is reported, any alleg</w:t>
      </w:r>
      <w:r w:rsidRPr="004B40C3">
        <w:rPr>
          <w:rFonts w:ascii="Alegreya Sans" w:eastAsia="Alegreya Sans" w:hAnsi="Alegreya Sans" w:cs="Alegreya Sans"/>
          <w:sz w:val="24"/>
          <w:szCs w:val="24"/>
          <w:lang w:val="en-GB"/>
        </w:rPr>
        <w:t>ation of sexual violence within those charges will be ignored and not recorded. Consequently, rape is not prosecuted in many situations, including where women are not able or willing to file a complaint because they fear the perpetrator or when they are pr</w:t>
      </w:r>
      <w:r w:rsidRPr="004B40C3">
        <w:rPr>
          <w:rFonts w:ascii="Alegreya Sans" w:eastAsia="Alegreya Sans" w:hAnsi="Alegreya Sans" w:cs="Alegreya Sans"/>
          <w:sz w:val="24"/>
          <w:szCs w:val="24"/>
          <w:lang w:val="en-GB"/>
        </w:rPr>
        <w:t>essured by the perpetrator, the perpetrator’s family or their own family to reconcile.</w:t>
      </w:r>
    </w:p>
    <w:p w:rsidR="00CC2284" w:rsidRPr="004B40C3" w:rsidRDefault="000F5642">
      <w:pPr>
        <w:spacing w:before="280" w:after="280" w:line="240" w:lineRule="auto"/>
        <w:jc w:val="both"/>
        <w:rPr>
          <w:rFonts w:ascii="Alegreya Sans" w:eastAsia="Alegreya Sans" w:hAnsi="Alegreya Sans" w:cs="Alegreya Sans"/>
          <w:sz w:val="24"/>
          <w:szCs w:val="24"/>
          <w:u w:val="single"/>
          <w:lang w:val="en-GB"/>
        </w:rPr>
      </w:pPr>
      <w:r w:rsidRPr="004B40C3">
        <w:rPr>
          <w:rFonts w:ascii="Alegreya Sans" w:eastAsia="Alegreya Sans" w:hAnsi="Alegreya Sans" w:cs="Alegreya Sans"/>
          <w:sz w:val="24"/>
          <w:szCs w:val="24"/>
          <w:u w:val="single"/>
          <w:lang w:val="en-GB"/>
        </w:rPr>
        <w:t xml:space="preserve">Recommendations: </w:t>
      </w:r>
    </w:p>
    <w:p w:rsidR="00CC2284" w:rsidRPr="004B40C3" w:rsidRDefault="000F5642">
      <w:pPr>
        <w:numPr>
          <w:ilvl w:val="0"/>
          <w:numId w:val="4"/>
        </w:numPr>
        <w:spacing w:line="240" w:lineRule="auto"/>
        <w:jc w:val="both"/>
        <w:rPr>
          <w:rFonts w:ascii="Noto Sans Symbols" w:eastAsia="Noto Sans Symbols" w:hAnsi="Noto Sans Symbols" w:cs="Noto Sans Symbols"/>
          <w:sz w:val="24"/>
          <w:szCs w:val="24"/>
          <w:lang w:val="en-GB"/>
        </w:rPr>
      </w:pPr>
      <w:r w:rsidRPr="004B40C3">
        <w:rPr>
          <w:rFonts w:ascii="Alegreya Sans" w:eastAsia="Alegreya Sans" w:hAnsi="Alegreya Sans" w:cs="Alegreya Sans"/>
          <w:sz w:val="24"/>
          <w:szCs w:val="24"/>
          <w:lang w:val="en-GB"/>
        </w:rPr>
        <w:t xml:space="preserve">Ensure that the Criminal Procedure Code of Uzbekistan provides that </w:t>
      </w:r>
      <w:r w:rsidRPr="004B40C3">
        <w:rPr>
          <w:rFonts w:ascii="Alegreya Sans" w:eastAsia="Alegreya Sans" w:hAnsi="Alegreya Sans" w:cs="Alegreya Sans"/>
          <w:b/>
          <w:sz w:val="24"/>
          <w:szCs w:val="24"/>
          <w:lang w:val="en-GB"/>
        </w:rPr>
        <w:t>all sexual violence crimes are investigated/prosecuted ex officio</w:t>
      </w:r>
      <w:r w:rsidRPr="004B40C3">
        <w:rPr>
          <w:rFonts w:ascii="Alegreya Sans" w:eastAsia="Alegreya Sans" w:hAnsi="Alegreya Sans" w:cs="Alegreya Sans"/>
          <w:sz w:val="24"/>
          <w:szCs w:val="24"/>
          <w:lang w:val="en-GB"/>
        </w:rPr>
        <w:t xml:space="preserve"> by the State and </w:t>
      </w:r>
      <w:r w:rsidRPr="004B40C3">
        <w:rPr>
          <w:rFonts w:ascii="Alegreya Sans" w:eastAsia="Alegreya Sans" w:hAnsi="Alegreya Sans" w:cs="Alegreya Sans"/>
          <w:sz w:val="24"/>
          <w:szCs w:val="24"/>
          <w:lang w:val="en-GB"/>
        </w:rPr>
        <w:t>that the investigation/prosecution does not depend on the complaint of the victim or their legal representative.</w:t>
      </w:r>
    </w:p>
    <w:p w:rsidR="00CC2284" w:rsidRPr="004B40C3" w:rsidRDefault="00CC2284">
      <w:pPr>
        <w:spacing w:line="240" w:lineRule="auto"/>
        <w:ind w:left="720"/>
        <w:jc w:val="both"/>
        <w:rPr>
          <w:rFonts w:ascii="Alegreya Sans" w:eastAsia="Alegreya Sans" w:hAnsi="Alegreya Sans" w:cs="Alegreya Sans"/>
          <w:sz w:val="24"/>
          <w:szCs w:val="24"/>
          <w:lang w:val="en-GB"/>
        </w:rPr>
      </w:pPr>
    </w:p>
    <w:p w:rsidR="00CC2284" w:rsidRPr="004B40C3" w:rsidRDefault="000F5642">
      <w:pPr>
        <w:numPr>
          <w:ilvl w:val="0"/>
          <w:numId w:val="4"/>
        </w:numPr>
        <w:spacing w:line="240" w:lineRule="auto"/>
        <w:jc w:val="both"/>
        <w:rPr>
          <w:rFonts w:ascii="Noto Sans Symbols" w:eastAsia="Noto Sans Symbols" w:hAnsi="Noto Sans Symbols" w:cs="Noto Sans Symbols"/>
          <w:sz w:val="24"/>
          <w:szCs w:val="24"/>
          <w:lang w:val="en-GB"/>
        </w:rPr>
      </w:pPr>
      <w:r w:rsidRPr="004B40C3">
        <w:rPr>
          <w:rFonts w:ascii="Alegreya Sans" w:eastAsia="Alegreya Sans" w:hAnsi="Alegreya Sans" w:cs="Alegreya Sans"/>
          <w:sz w:val="24"/>
          <w:szCs w:val="24"/>
          <w:lang w:val="en-GB"/>
        </w:rPr>
        <w:t xml:space="preserve">Ensure that the </w:t>
      </w:r>
      <w:r w:rsidRPr="004B40C3">
        <w:rPr>
          <w:rFonts w:ascii="Alegreya Sans" w:eastAsia="Alegreya Sans" w:hAnsi="Alegreya Sans" w:cs="Alegreya Sans"/>
          <w:b/>
          <w:sz w:val="24"/>
          <w:szCs w:val="24"/>
          <w:lang w:val="en-GB"/>
        </w:rPr>
        <w:t>reconciliation</w:t>
      </w:r>
      <w:r w:rsidRPr="004B40C3">
        <w:rPr>
          <w:rFonts w:ascii="Alegreya Sans" w:eastAsia="Alegreya Sans" w:hAnsi="Alegreya Sans" w:cs="Alegreya Sans"/>
          <w:sz w:val="24"/>
          <w:szCs w:val="24"/>
          <w:lang w:val="en-GB"/>
        </w:rPr>
        <w:t xml:space="preserve"> procedures are not applied, either formally or informally, to leave perpetrators of sexual violence unpunished.</w:t>
      </w:r>
    </w:p>
    <w:p w:rsidR="00CC2284" w:rsidRPr="004B40C3" w:rsidRDefault="000F5642">
      <w:pPr>
        <w:spacing w:before="280" w:after="280" w:line="240" w:lineRule="auto"/>
        <w:jc w:val="both"/>
        <w:rPr>
          <w:rFonts w:ascii="Alegreya Sans" w:eastAsia="Alegreya Sans" w:hAnsi="Alegreya Sans" w:cs="Alegreya Sans"/>
          <w:sz w:val="24"/>
          <w:szCs w:val="24"/>
          <w:u w:val="single"/>
          <w:lang w:val="en-GB"/>
        </w:rPr>
      </w:pPr>
      <w:r w:rsidRPr="004B40C3">
        <w:rPr>
          <w:rFonts w:ascii="Alegreya Sans" w:eastAsia="Alegreya Sans" w:hAnsi="Alegreya Sans" w:cs="Alegreya Sans"/>
          <w:sz w:val="24"/>
          <w:szCs w:val="24"/>
          <w:u w:val="single"/>
          <w:lang w:val="en-GB"/>
        </w:rPr>
        <w:lastRenderedPageBreak/>
        <w:t>We respectfully ask the Committee to request further information from Uzbekistan on the following issues:</w:t>
      </w:r>
    </w:p>
    <w:p w:rsidR="00CC2284" w:rsidRPr="004B40C3" w:rsidRDefault="000F5642">
      <w:pPr>
        <w:numPr>
          <w:ilvl w:val="0"/>
          <w:numId w:val="2"/>
        </w:numPr>
        <w:spacing w:before="280" w:after="280" w:line="240" w:lineRule="auto"/>
        <w:jc w:val="both"/>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 xml:space="preserve">What steps is the government undertaking to ensure that all sexual violence crimes are investigated and prosecuted ex officio? </w:t>
      </w:r>
    </w:p>
    <w:p w:rsidR="00CC2284" w:rsidRPr="004B40C3" w:rsidRDefault="000F5642">
      <w:pPr>
        <w:numPr>
          <w:ilvl w:val="0"/>
          <w:numId w:val="2"/>
        </w:numPr>
        <w:spacing w:before="280" w:after="280" w:line="240" w:lineRule="auto"/>
        <w:jc w:val="both"/>
        <w:rPr>
          <w:rFonts w:ascii="Alegreya Sans" w:eastAsia="Alegreya Sans" w:hAnsi="Alegreya Sans" w:cs="Alegreya Sans"/>
          <w:sz w:val="24"/>
          <w:szCs w:val="24"/>
          <w:lang w:val="en-GB"/>
        </w:rPr>
      </w:pPr>
      <w:r w:rsidRPr="004B40C3">
        <w:rPr>
          <w:rFonts w:ascii="Alegreya Sans" w:eastAsia="Alegreya Sans" w:hAnsi="Alegreya Sans" w:cs="Alegreya Sans"/>
          <w:sz w:val="24"/>
          <w:szCs w:val="24"/>
          <w:lang w:val="en-GB"/>
        </w:rPr>
        <w:t>What steps is the go</w:t>
      </w:r>
      <w:r w:rsidRPr="004B40C3">
        <w:rPr>
          <w:rFonts w:ascii="Alegreya Sans" w:eastAsia="Alegreya Sans" w:hAnsi="Alegreya Sans" w:cs="Alegreya Sans"/>
          <w:sz w:val="24"/>
          <w:szCs w:val="24"/>
          <w:lang w:val="en-GB"/>
        </w:rPr>
        <w:t xml:space="preserve">vernment undertaking to ban all forms of reconciliation, including formal and informal procedures, and ensure that perpetrators of sexual violence are punished even when they reconcile with the victim? </w:t>
      </w:r>
    </w:p>
    <w:p w:rsidR="00CC2284" w:rsidRPr="004B40C3" w:rsidRDefault="00CC2284">
      <w:pPr>
        <w:spacing w:before="280" w:after="280" w:line="240" w:lineRule="auto"/>
        <w:jc w:val="both"/>
        <w:rPr>
          <w:rFonts w:ascii="Alegreya Sans" w:eastAsia="Alegreya Sans" w:hAnsi="Alegreya Sans" w:cs="Alegreya Sans"/>
          <w:sz w:val="24"/>
          <w:szCs w:val="24"/>
          <w:lang w:val="en-GB"/>
        </w:rPr>
      </w:pPr>
    </w:p>
    <w:p w:rsidR="00CC2284" w:rsidRPr="004B40C3" w:rsidRDefault="00CC2284">
      <w:pPr>
        <w:spacing w:before="280" w:line="240" w:lineRule="auto"/>
        <w:jc w:val="both"/>
        <w:rPr>
          <w:rFonts w:ascii="Alegreya Sans" w:eastAsia="Alegreya Sans" w:hAnsi="Alegreya Sans" w:cs="Alegreya Sans"/>
          <w:sz w:val="24"/>
          <w:szCs w:val="24"/>
          <w:lang w:val="en-GB"/>
        </w:rPr>
      </w:pPr>
    </w:p>
    <w:p w:rsidR="00CC2284" w:rsidRPr="004B40C3" w:rsidRDefault="00CC2284">
      <w:pPr>
        <w:spacing w:line="240" w:lineRule="auto"/>
        <w:jc w:val="both"/>
        <w:rPr>
          <w:rFonts w:ascii="Alegreya Sans" w:eastAsia="Alegreya Sans" w:hAnsi="Alegreya Sans" w:cs="Alegreya Sans"/>
          <w:b/>
          <w:sz w:val="24"/>
          <w:szCs w:val="24"/>
          <w:u w:val="single"/>
          <w:lang w:val="en-GB"/>
        </w:rPr>
      </w:pPr>
    </w:p>
    <w:p w:rsidR="00CC2284" w:rsidRPr="004B40C3" w:rsidRDefault="00CC2284">
      <w:pPr>
        <w:tabs>
          <w:tab w:val="left" w:pos="6413"/>
        </w:tabs>
        <w:rPr>
          <w:rFonts w:ascii="Alegreya Sans" w:eastAsia="Alegreya Sans" w:hAnsi="Alegreya Sans" w:cs="Alegreya Sans"/>
          <w:sz w:val="24"/>
          <w:szCs w:val="24"/>
          <w:lang w:val="en-GB"/>
        </w:rPr>
      </w:pPr>
    </w:p>
    <w:p w:rsidR="00CC2284" w:rsidRPr="004B40C3" w:rsidRDefault="00CC2284">
      <w:pPr>
        <w:tabs>
          <w:tab w:val="left" w:pos="6413"/>
        </w:tabs>
        <w:rPr>
          <w:rFonts w:ascii="Alegreya Sans" w:eastAsia="Alegreya Sans" w:hAnsi="Alegreya Sans" w:cs="Alegreya Sans"/>
          <w:sz w:val="24"/>
          <w:szCs w:val="24"/>
          <w:lang w:val="en-GB"/>
        </w:rPr>
      </w:pPr>
    </w:p>
    <w:p w:rsidR="00CC2284" w:rsidRPr="004B40C3" w:rsidRDefault="00CC2284">
      <w:pPr>
        <w:tabs>
          <w:tab w:val="left" w:pos="6413"/>
        </w:tabs>
        <w:rPr>
          <w:rFonts w:ascii="Alegreya Sans" w:eastAsia="Alegreya Sans" w:hAnsi="Alegreya Sans" w:cs="Alegreya Sans"/>
          <w:sz w:val="24"/>
          <w:szCs w:val="24"/>
          <w:lang w:val="en-GB"/>
        </w:rPr>
      </w:pPr>
    </w:p>
    <w:p w:rsidR="00CC2284" w:rsidRPr="004B40C3" w:rsidRDefault="00CC2284">
      <w:pPr>
        <w:tabs>
          <w:tab w:val="left" w:pos="6413"/>
        </w:tabs>
        <w:rPr>
          <w:rFonts w:ascii="Alegreya Sans" w:eastAsia="Alegreya Sans" w:hAnsi="Alegreya Sans" w:cs="Alegreya Sans"/>
          <w:sz w:val="24"/>
          <w:szCs w:val="24"/>
          <w:lang w:val="en-GB"/>
        </w:rPr>
      </w:pPr>
    </w:p>
    <w:p w:rsidR="00CC2284" w:rsidRPr="004B40C3" w:rsidRDefault="00CC2284">
      <w:pPr>
        <w:tabs>
          <w:tab w:val="left" w:pos="6413"/>
        </w:tabs>
        <w:rPr>
          <w:rFonts w:ascii="Alegreya Sans" w:eastAsia="Alegreya Sans" w:hAnsi="Alegreya Sans" w:cs="Alegreya Sans"/>
          <w:sz w:val="24"/>
          <w:szCs w:val="24"/>
          <w:lang w:val="en-GB"/>
        </w:rPr>
      </w:pPr>
    </w:p>
    <w:p w:rsidR="00CC2284" w:rsidRPr="004B40C3" w:rsidRDefault="00CC2284">
      <w:pPr>
        <w:tabs>
          <w:tab w:val="left" w:pos="6413"/>
        </w:tabs>
        <w:rPr>
          <w:rFonts w:ascii="Alegreya Sans" w:eastAsia="Alegreya Sans" w:hAnsi="Alegreya Sans" w:cs="Alegreya Sans"/>
          <w:sz w:val="24"/>
          <w:szCs w:val="24"/>
          <w:lang w:val="en-GB"/>
        </w:rPr>
      </w:pPr>
    </w:p>
    <w:p w:rsidR="00CC2284" w:rsidRPr="004B40C3" w:rsidRDefault="00CC2284">
      <w:pPr>
        <w:tabs>
          <w:tab w:val="left" w:pos="6413"/>
        </w:tabs>
        <w:rPr>
          <w:rFonts w:ascii="Alegreya Sans" w:eastAsia="Alegreya Sans" w:hAnsi="Alegreya Sans" w:cs="Alegreya Sans"/>
          <w:sz w:val="24"/>
          <w:szCs w:val="24"/>
          <w:lang w:val="en-GB"/>
        </w:rPr>
      </w:pPr>
    </w:p>
    <w:p w:rsidR="00CC2284" w:rsidRPr="004B40C3" w:rsidRDefault="00CC2284">
      <w:pPr>
        <w:tabs>
          <w:tab w:val="left" w:pos="6413"/>
        </w:tabs>
        <w:rPr>
          <w:rFonts w:ascii="Alegreya Sans" w:eastAsia="Alegreya Sans" w:hAnsi="Alegreya Sans" w:cs="Alegreya Sans"/>
          <w:sz w:val="24"/>
          <w:szCs w:val="24"/>
          <w:lang w:val="en-GB"/>
        </w:rPr>
      </w:pPr>
    </w:p>
    <w:sectPr w:rsidR="00CC2284" w:rsidRPr="004B40C3">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F5642" w:rsidRDefault="000F5642">
      <w:pPr>
        <w:spacing w:line="240" w:lineRule="auto"/>
      </w:pPr>
      <w:r>
        <w:separator/>
      </w:r>
    </w:p>
  </w:endnote>
  <w:endnote w:type="continuationSeparator" w:id="0">
    <w:p w:rsidR="000F5642" w:rsidRDefault="000F56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legreya Sans">
    <w:charset w:val="00"/>
    <w:family w:val="auto"/>
    <w:pitch w:val="default"/>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C2284" w:rsidRDefault="000F5642">
    <w:pPr>
      <w:jc w:val="right"/>
    </w:pPr>
    <w:r>
      <w:fldChar w:fldCharType="begin"/>
    </w:r>
    <w:r>
      <w:instrText>PAGE</w:instrText>
    </w:r>
    <w:r w:rsidR="004B40C3">
      <w:fldChar w:fldCharType="separate"/>
    </w:r>
    <w:r w:rsidR="004B40C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F5642" w:rsidRDefault="000F5642">
      <w:pPr>
        <w:spacing w:line="240" w:lineRule="auto"/>
      </w:pPr>
      <w:r>
        <w:separator/>
      </w:r>
    </w:p>
  </w:footnote>
  <w:footnote w:type="continuationSeparator" w:id="0">
    <w:p w:rsidR="000F5642" w:rsidRDefault="000F5642">
      <w:pPr>
        <w:spacing w:line="240" w:lineRule="auto"/>
      </w:pPr>
      <w:r>
        <w:continuationSeparator/>
      </w:r>
    </w:p>
  </w:footnote>
  <w:footnote w:id="1">
    <w:p w:rsidR="00CC2284" w:rsidRPr="004B40C3" w:rsidRDefault="000F5642">
      <w:pPr>
        <w:spacing w:line="240" w:lineRule="auto"/>
        <w:rPr>
          <w:sz w:val="20"/>
          <w:szCs w:val="20"/>
        </w:rPr>
      </w:pPr>
      <w:r w:rsidRPr="004B40C3">
        <w:rPr>
          <w:sz w:val="20"/>
          <w:szCs w:val="20"/>
          <w:vertAlign w:val="superscript"/>
        </w:rPr>
        <w:footnoteRef/>
      </w:r>
      <w:r w:rsidRPr="004B40C3">
        <w:rPr>
          <w:sz w:val="20"/>
          <w:szCs w:val="20"/>
        </w:rPr>
        <w:t xml:space="preserve"> </w:t>
      </w:r>
      <w:hyperlink r:id="rId1">
        <w:r w:rsidRPr="004B40C3">
          <w:rPr>
            <w:rFonts w:ascii="Times New Roman" w:eastAsia="Times New Roman" w:hAnsi="Times New Roman" w:cs="Times New Roman"/>
            <w:color w:val="1155CC"/>
            <w:sz w:val="20"/>
            <w:szCs w:val="20"/>
            <w:u w:val="single"/>
          </w:rPr>
          <w:t>https://www.equalitynow.org/roadblocks_to_justice</w:t>
        </w:r>
      </w:hyperlink>
    </w:p>
  </w:footnote>
  <w:footnote w:id="2">
    <w:p w:rsidR="00CC2284" w:rsidRPr="004B40C3" w:rsidRDefault="000F5642">
      <w:pPr>
        <w:spacing w:line="240" w:lineRule="auto"/>
        <w:rPr>
          <w:rFonts w:ascii="Alegreya Sans" w:eastAsia="Alegreya Sans" w:hAnsi="Alegreya Sans" w:cs="Alegreya Sans"/>
          <w:sz w:val="20"/>
          <w:szCs w:val="20"/>
        </w:rPr>
      </w:pPr>
      <w:r w:rsidRPr="004B40C3">
        <w:rPr>
          <w:sz w:val="20"/>
          <w:szCs w:val="20"/>
          <w:vertAlign w:val="superscript"/>
        </w:rPr>
        <w:footnoteRef/>
      </w:r>
      <w:r w:rsidRPr="004B40C3">
        <w:rPr>
          <w:rFonts w:ascii="Alegreya Sans" w:eastAsia="Alegreya Sans" w:hAnsi="Alegreya Sans" w:cs="Alegreya Sans"/>
          <w:sz w:val="20"/>
          <w:szCs w:val="20"/>
        </w:rPr>
        <w:t xml:space="preserve"> </w:t>
      </w:r>
      <w:hyperlink r:id="rId2">
        <w:r w:rsidRPr="004B40C3">
          <w:rPr>
            <w:rFonts w:ascii="Alegreya Sans" w:eastAsia="Alegreya Sans" w:hAnsi="Alegreya Sans" w:cs="Alegreya Sans"/>
            <w:color w:val="1155CC"/>
            <w:sz w:val="20"/>
            <w:szCs w:val="20"/>
            <w:u w:val="single"/>
          </w:rPr>
          <w:t>https://tbinternet.ohchr.org/_layouts/15/treatybodyexternal/Download.aspx?symbolno=CEDAW%2fC%2fUZB%2fCO%2f5&amp;Lang=en</w:t>
        </w:r>
      </w:hyperlink>
    </w:p>
  </w:footnote>
  <w:footnote w:id="3">
    <w:p w:rsidR="00CC2284" w:rsidRPr="004B40C3" w:rsidRDefault="000F5642">
      <w:pPr>
        <w:spacing w:line="240" w:lineRule="auto"/>
        <w:rPr>
          <w:rFonts w:ascii="Alegreya Sans" w:eastAsia="Alegreya Sans" w:hAnsi="Alegreya Sans" w:cs="Alegreya Sans"/>
          <w:sz w:val="20"/>
          <w:szCs w:val="20"/>
        </w:rPr>
      </w:pPr>
      <w:r w:rsidRPr="004B40C3">
        <w:rPr>
          <w:sz w:val="20"/>
          <w:szCs w:val="20"/>
          <w:vertAlign w:val="superscript"/>
        </w:rPr>
        <w:footnoteRef/>
      </w:r>
      <w:r w:rsidRPr="004B40C3">
        <w:rPr>
          <w:rFonts w:ascii="Alegreya Sans" w:eastAsia="Alegreya Sans" w:hAnsi="Alegreya Sans" w:cs="Alegreya Sans"/>
          <w:sz w:val="20"/>
          <w:szCs w:val="20"/>
        </w:rPr>
        <w:t xml:space="preserve"> Para 16</w:t>
      </w:r>
    </w:p>
  </w:footnote>
  <w:footnote w:id="4">
    <w:p w:rsidR="00CC2284" w:rsidRDefault="000F5642">
      <w:pPr>
        <w:spacing w:line="240" w:lineRule="auto"/>
        <w:rPr>
          <w:rFonts w:ascii="Alegreya Sans" w:eastAsia="Alegreya Sans" w:hAnsi="Alegreya Sans" w:cs="Alegreya Sans"/>
          <w:sz w:val="20"/>
          <w:szCs w:val="20"/>
        </w:rPr>
      </w:pPr>
      <w:r w:rsidRPr="004B40C3">
        <w:rPr>
          <w:sz w:val="20"/>
          <w:szCs w:val="20"/>
          <w:vertAlign w:val="superscript"/>
        </w:rPr>
        <w:footnoteRef/>
      </w:r>
      <w:r w:rsidRPr="004B40C3">
        <w:rPr>
          <w:sz w:val="20"/>
          <w:szCs w:val="20"/>
        </w:rPr>
        <w:t xml:space="preserve"> </w:t>
      </w:r>
      <w:r w:rsidRPr="004B40C3">
        <w:rPr>
          <w:rFonts w:ascii="Alegreya Sans" w:eastAsia="Alegreya Sans" w:hAnsi="Alegreya Sans" w:cs="Alegreya Sans"/>
          <w:sz w:val="20"/>
          <w:szCs w:val="20"/>
        </w:rPr>
        <w:t>Para 18(a)</w:t>
      </w:r>
    </w:p>
  </w:footnote>
  <w:footnote w:id="5">
    <w:p w:rsidR="00CC2284" w:rsidRPr="004B40C3" w:rsidRDefault="000F5642">
      <w:pPr>
        <w:spacing w:line="240" w:lineRule="auto"/>
        <w:rPr>
          <w:rFonts w:ascii="Alegreya Sans" w:eastAsia="Alegreya Sans" w:hAnsi="Alegreya Sans" w:cs="Alegreya Sans"/>
          <w:sz w:val="20"/>
          <w:szCs w:val="20"/>
        </w:rPr>
      </w:pPr>
      <w:r w:rsidRPr="004B40C3">
        <w:rPr>
          <w:sz w:val="20"/>
          <w:szCs w:val="20"/>
          <w:vertAlign w:val="superscript"/>
        </w:rPr>
        <w:footnoteRef/>
      </w:r>
      <w:r w:rsidRPr="004B40C3">
        <w:rPr>
          <w:sz w:val="20"/>
          <w:szCs w:val="20"/>
        </w:rPr>
        <w:t xml:space="preserve"> </w:t>
      </w:r>
      <w:r w:rsidRPr="004B40C3">
        <w:rPr>
          <w:rFonts w:ascii="Alegreya Sans" w:eastAsia="Alegreya Sans" w:hAnsi="Alegreya Sans" w:cs="Alegreya Sans"/>
          <w:sz w:val="20"/>
          <w:szCs w:val="20"/>
        </w:rPr>
        <w:t xml:space="preserve">CEDAW Committee, </w:t>
      </w:r>
      <w:r w:rsidRPr="004B40C3">
        <w:rPr>
          <w:rFonts w:ascii="Alegreya Sans" w:eastAsia="Alegreya Sans" w:hAnsi="Alegreya Sans" w:cs="Alegreya Sans"/>
          <w:i/>
          <w:sz w:val="20"/>
          <w:szCs w:val="20"/>
        </w:rPr>
        <w:t>General recommendation No. 35 on gender-based violence against women, updating general recommendation No. 19</w:t>
      </w:r>
      <w:r w:rsidRPr="004B40C3">
        <w:rPr>
          <w:rFonts w:ascii="Alegreya Sans" w:eastAsia="Alegreya Sans" w:hAnsi="Alegreya Sans" w:cs="Alegreya Sans"/>
          <w:sz w:val="20"/>
          <w:szCs w:val="20"/>
        </w:rPr>
        <w:t>, UN Doc. CE</w:t>
      </w:r>
      <w:r w:rsidRPr="004B40C3">
        <w:rPr>
          <w:rFonts w:ascii="Alegreya Sans" w:eastAsia="Alegreya Sans" w:hAnsi="Alegreya Sans" w:cs="Alegreya Sans"/>
          <w:sz w:val="20"/>
          <w:szCs w:val="20"/>
        </w:rPr>
        <w:t xml:space="preserve">DAW/C/GC/35 (“CEDAW Committee General Recommendation No. 35”); CEDAW Committee, </w:t>
      </w:r>
      <w:proofErr w:type="spellStart"/>
      <w:r w:rsidRPr="004B40C3">
        <w:rPr>
          <w:rFonts w:ascii="Alegreya Sans" w:eastAsia="Alegreya Sans" w:hAnsi="Alegreya Sans" w:cs="Alegreya Sans"/>
          <w:i/>
          <w:sz w:val="20"/>
          <w:szCs w:val="20"/>
        </w:rPr>
        <w:t>Vertido</w:t>
      </w:r>
      <w:proofErr w:type="spellEnd"/>
      <w:r w:rsidRPr="004B40C3">
        <w:rPr>
          <w:rFonts w:ascii="Alegreya Sans" w:eastAsia="Alegreya Sans" w:hAnsi="Alegreya Sans" w:cs="Alegreya Sans"/>
          <w:i/>
          <w:sz w:val="20"/>
          <w:szCs w:val="20"/>
        </w:rPr>
        <w:t xml:space="preserve"> v Philippines</w:t>
      </w:r>
      <w:r w:rsidRPr="004B40C3">
        <w:rPr>
          <w:rFonts w:ascii="Alegreya Sans" w:eastAsia="Alegreya Sans" w:hAnsi="Alegreya Sans" w:cs="Alegreya Sans"/>
          <w:sz w:val="20"/>
          <w:szCs w:val="20"/>
        </w:rPr>
        <w:t xml:space="preserve">, Merits, Communication No. 18/2008, UN Doc CEDAW/C/46/D/18/2008 (2010); </w:t>
      </w:r>
      <w:r w:rsidRPr="004B40C3">
        <w:rPr>
          <w:rFonts w:ascii="Alegreya Sans" w:eastAsia="Alegreya Sans" w:hAnsi="Alegreya Sans" w:cs="Alegreya Sans"/>
          <w:i/>
          <w:sz w:val="20"/>
          <w:szCs w:val="20"/>
        </w:rPr>
        <w:t>R.P.B. v Philippines</w:t>
      </w:r>
      <w:r w:rsidRPr="004B40C3">
        <w:rPr>
          <w:rFonts w:ascii="Alegreya Sans" w:eastAsia="Alegreya Sans" w:hAnsi="Alegreya Sans" w:cs="Alegreya Sans"/>
          <w:sz w:val="20"/>
          <w:szCs w:val="20"/>
        </w:rPr>
        <w:t>, Communication No. 34/2011, UN Doc. CEDAW/C/57/D/34/2011 (201</w:t>
      </w:r>
      <w:r w:rsidRPr="004B40C3">
        <w:rPr>
          <w:rFonts w:ascii="Alegreya Sans" w:eastAsia="Alegreya Sans" w:hAnsi="Alegreya Sans" w:cs="Alegreya Sans"/>
          <w:sz w:val="20"/>
          <w:szCs w:val="20"/>
        </w:rPr>
        <w:t xml:space="preserve">4). </w:t>
      </w:r>
    </w:p>
  </w:footnote>
  <w:footnote w:id="6">
    <w:p w:rsidR="00CC2284" w:rsidRPr="004B40C3" w:rsidRDefault="000F5642">
      <w:pPr>
        <w:spacing w:line="240" w:lineRule="auto"/>
        <w:rPr>
          <w:rFonts w:ascii="Alegreya Sans" w:eastAsia="Alegreya Sans" w:hAnsi="Alegreya Sans" w:cs="Alegreya Sans"/>
          <w:sz w:val="20"/>
          <w:szCs w:val="20"/>
        </w:rPr>
      </w:pPr>
      <w:r w:rsidRPr="004B40C3">
        <w:rPr>
          <w:sz w:val="20"/>
          <w:szCs w:val="20"/>
          <w:vertAlign w:val="superscript"/>
        </w:rPr>
        <w:footnoteRef/>
      </w:r>
      <w:r w:rsidRPr="004B40C3">
        <w:rPr>
          <w:sz w:val="20"/>
          <w:szCs w:val="20"/>
        </w:rPr>
        <w:t xml:space="preserve"> </w:t>
      </w:r>
      <w:r w:rsidRPr="004B40C3">
        <w:rPr>
          <w:rFonts w:ascii="Alegreya Sans" w:eastAsia="Alegreya Sans" w:hAnsi="Alegreya Sans" w:cs="Alegreya Sans"/>
          <w:sz w:val="20"/>
          <w:szCs w:val="20"/>
        </w:rPr>
        <w:t xml:space="preserve">Article 118. Rape that is, a sexual intercourse committed with use of violence, threats, or abuse of helpless state of the victim… shall be punishable by imprisonment for a term of three to seven years. </w:t>
      </w:r>
    </w:p>
  </w:footnote>
  <w:footnote w:id="7">
    <w:p w:rsidR="00CC2284" w:rsidRDefault="000F5642">
      <w:pPr>
        <w:spacing w:line="240" w:lineRule="auto"/>
        <w:rPr>
          <w:sz w:val="20"/>
          <w:szCs w:val="20"/>
        </w:rPr>
      </w:pPr>
      <w:r w:rsidRPr="004B40C3">
        <w:rPr>
          <w:sz w:val="20"/>
          <w:szCs w:val="20"/>
          <w:vertAlign w:val="superscript"/>
        </w:rPr>
        <w:footnoteRef/>
      </w:r>
      <w:r w:rsidRPr="004B40C3">
        <w:rPr>
          <w:sz w:val="20"/>
          <w:szCs w:val="20"/>
        </w:rPr>
        <w:t xml:space="preserve"> </w:t>
      </w:r>
      <w:r w:rsidRPr="004B40C3">
        <w:rPr>
          <w:rFonts w:ascii="Times New Roman" w:eastAsia="Times New Roman" w:hAnsi="Times New Roman" w:cs="Times New Roman"/>
          <w:sz w:val="20"/>
          <w:szCs w:val="20"/>
        </w:rPr>
        <w:t xml:space="preserve">CEDAW Committee, </w:t>
      </w:r>
      <w:proofErr w:type="spellStart"/>
      <w:r w:rsidRPr="004B40C3">
        <w:rPr>
          <w:rFonts w:ascii="Times New Roman" w:eastAsia="Times New Roman" w:hAnsi="Times New Roman" w:cs="Times New Roman"/>
          <w:i/>
          <w:sz w:val="20"/>
          <w:szCs w:val="20"/>
        </w:rPr>
        <w:t>Vertido</w:t>
      </w:r>
      <w:proofErr w:type="spellEnd"/>
      <w:r w:rsidRPr="004B40C3">
        <w:rPr>
          <w:rFonts w:ascii="Times New Roman" w:eastAsia="Times New Roman" w:hAnsi="Times New Roman" w:cs="Times New Roman"/>
          <w:i/>
          <w:sz w:val="20"/>
          <w:szCs w:val="20"/>
        </w:rPr>
        <w:t xml:space="preserve"> v Philippines</w:t>
      </w:r>
      <w:r w:rsidRPr="004B40C3">
        <w:rPr>
          <w:rFonts w:ascii="Times New Roman" w:eastAsia="Times New Roman" w:hAnsi="Times New Roman" w:cs="Times New Roman"/>
          <w:sz w:val="20"/>
          <w:szCs w:val="20"/>
        </w:rPr>
        <w:t>, Communication No. 18/2008, § 8.9 (b) and CEDAW Committee General Recommendation No. 35, § 33.</w:t>
      </w:r>
      <w:r>
        <w:rPr>
          <w:rFonts w:ascii="Times New Roman" w:eastAsia="Times New Roman" w:hAnsi="Times New Roman" w:cs="Times New Roman"/>
          <w:sz w:val="18"/>
          <w:szCs w:val="18"/>
        </w:rPr>
        <w:t xml:space="preserve"> </w:t>
      </w:r>
    </w:p>
  </w:footnote>
  <w:footnote w:id="8">
    <w:p w:rsidR="00CC2284" w:rsidRDefault="000F5642">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CEDAW, CEDAW/C/GC/35, General Recommendation No. 35 on gender-based violence against women, updating general recommendation No. 19.</w:t>
      </w:r>
    </w:p>
  </w:footnote>
  <w:footnote w:id="9">
    <w:p w:rsidR="00CC2284" w:rsidRDefault="000F5642">
      <w:pPr>
        <w:jc w:val="both"/>
        <w:rPr>
          <w:rFonts w:ascii="Times New Roman" w:eastAsia="Times New Roman" w:hAnsi="Times New Roman" w:cs="Times New Roman"/>
          <w:sz w:val="18"/>
          <w:szCs w:val="18"/>
        </w:rPr>
      </w:pPr>
      <w:r>
        <w:rPr>
          <w:vertAlign w:val="superscript"/>
        </w:rPr>
        <w:footnoteRef/>
      </w:r>
      <w:r>
        <w:rPr>
          <w:sz w:val="18"/>
          <w:szCs w:val="18"/>
        </w:rPr>
        <w:t xml:space="preserve"> </w:t>
      </w:r>
      <w:r>
        <w:rPr>
          <w:rFonts w:ascii="Times New Roman" w:eastAsia="Times New Roman" w:hAnsi="Times New Roman" w:cs="Times New Roman"/>
          <w:sz w:val="18"/>
          <w:szCs w:val="18"/>
        </w:rPr>
        <w:t>CE</w:t>
      </w:r>
      <w:r>
        <w:rPr>
          <w:rFonts w:ascii="Times New Roman" w:eastAsia="Times New Roman" w:hAnsi="Times New Roman" w:cs="Times New Roman"/>
          <w:sz w:val="18"/>
          <w:szCs w:val="18"/>
        </w:rPr>
        <w:t xml:space="preserve">DAW Committee, </w:t>
      </w:r>
      <w:r>
        <w:rPr>
          <w:rFonts w:ascii="Times New Roman" w:eastAsia="Times New Roman" w:hAnsi="Times New Roman" w:cs="Times New Roman"/>
          <w:i/>
          <w:sz w:val="18"/>
          <w:szCs w:val="18"/>
          <w:u w:val="single"/>
        </w:rPr>
        <w:t>Inquiry concerning Kyrgyzstan under article 8 of the Optional Protocol to the Convention on the Elimination of All Forms of Discrimination against Women</w:t>
      </w:r>
      <w:r>
        <w:rPr>
          <w:rFonts w:ascii="Times New Roman" w:eastAsia="Times New Roman" w:hAnsi="Times New Roman" w:cs="Times New Roman"/>
          <w:sz w:val="18"/>
          <w:szCs w:val="18"/>
        </w:rPr>
        <w:t>, 21 September 2018, CEDAW/C/OP.8/KGZ/1, § 92.b.</w:t>
      </w:r>
    </w:p>
  </w:footnote>
  <w:footnote w:id="10">
    <w:p w:rsidR="00CC2284" w:rsidRDefault="000F5642">
      <w:pPr>
        <w:jc w:val="both"/>
        <w:rPr>
          <w:rFonts w:ascii="Times New Roman" w:eastAsia="Times New Roman" w:hAnsi="Times New Roman" w:cs="Times New Roman"/>
          <w:sz w:val="18"/>
          <w:szCs w:val="18"/>
        </w:rPr>
      </w:pPr>
      <w:r>
        <w:rPr>
          <w:vertAlign w:val="superscript"/>
        </w:rPr>
        <w:footnoteRef/>
      </w:r>
      <w:r>
        <w:rPr>
          <w:sz w:val="18"/>
          <w:szCs w:val="18"/>
        </w:rPr>
        <w:t xml:space="preserve"> </w:t>
      </w:r>
      <w:r>
        <w:rPr>
          <w:rFonts w:ascii="Times New Roman" w:eastAsia="Times New Roman" w:hAnsi="Times New Roman" w:cs="Times New Roman"/>
          <w:sz w:val="18"/>
          <w:szCs w:val="18"/>
        </w:rPr>
        <w:t xml:space="preserve">CEDAW Committee, </w:t>
      </w:r>
      <w:r>
        <w:rPr>
          <w:rFonts w:ascii="Times New Roman" w:eastAsia="Times New Roman" w:hAnsi="Times New Roman" w:cs="Times New Roman"/>
          <w:i/>
          <w:sz w:val="18"/>
          <w:szCs w:val="18"/>
        </w:rPr>
        <w:t>Concluding Observations on the sixth periodic report of Tajikistan,</w:t>
      </w:r>
      <w:r>
        <w:rPr>
          <w:rFonts w:ascii="Times New Roman" w:eastAsia="Times New Roman" w:hAnsi="Times New Roman" w:cs="Times New Roman"/>
          <w:sz w:val="18"/>
          <w:szCs w:val="18"/>
        </w:rPr>
        <w:t xml:space="preserve"> 9 November </w:t>
      </w:r>
      <w:proofErr w:type="gramStart"/>
      <w:r>
        <w:rPr>
          <w:rFonts w:ascii="Times New Roman" w:eastAsia="Times New Roman" w:hAnsi="Times New Roman" w:cs="Times New Roman"/>
          <w:sz w:val="18"/>
          <w:szCs w:val="18"/>
        </w:rPr>
        <w:t>2018,  CEDAW</w:t>
      </w:r>
      <w:proofErr w:type="gramEnd"/>
      <w:r>
        <w:rPr>
          <w:rFonts w:ascii="Times New Roman" w:eastAsia="Times New Roman" w:hAnsi="Times New Roman" w:cs="Times New Roman"/>
          <w:sz w:val="18"/>
          <w:szCs w:val="18"/>
        </w:rPr>
        <w:t>/C/TJK/CO/6, § 26.</w:t>
      </w:r>
    </w:p>
  </w:footnote>
  <w:footnote w:id="11">
    <w:p w:rsidR="00CC2284" w:rsidRDefault="000F5642">
      <w:pPr>
        <w:jc w:val="both"/>
        <w:rPr>
          <w:rFonts w:ascii="Times New Roman" w:eastAsia="Times New Roman" w:hAnsi="Times New Roman" w:cs="Times New Roman"/>
          <w:sz w:val="18"/>
          <w:szCs w:val="18"/>
        </w:rPr>
      </w:pPr>
      <w:r>
        <w:rPr>
          <w:vertAlign w:val="superscript"/>
        </w:rPr>
        <w:footnoteRef/>
      </w:r>
      <w:r>
        <w:rPr>
          <w:sz w:val="18"/>
          <w:szCs w:val="18"/>
        </w:rPr>
        <w:t xml:space="preserve"> </w:t>
      </w:r>
      <w:r>
        <w:rPr>
          <w:rFonts w:ascii="Times New Roman" w:eastAsia="Times New Roman" w:hAnsi="Times New Roman" w:cs="Times New Roman"/>
          <w:sz w:val="18"/>
          <w:szCs w:val="18"/>
        </w:rPr>
        <w:t xml:space="preserve">CEDAW Committee, </w:t>
      </w:r>
      <w:r>
        <w:rPr>
          <w:rFonts w:ascii="Times New Roman" w:eastAsia="Times New Roman" w:hAnsi="Times New Roman" w:cs="Times New Roman"/>
          <w:i/>
          <w:sz w:val="18"/>
          <w:szCs w:val="18"/>
        </w:rPr>
        <w:t>Concluding Observations on the eighth periodic report of Belarus</w:t>
      </w:r>
      <w:r>
        <w:rPr>
          <w:rFonts w:ascii="Times New Roman" w:eastAsia="Times New Roman" w:hAnsi="Times New Roman" w:cs="Times New Roman"/>
          <w:sz w:val="18"/>
          <w:szCs w:val="18"/>
        </w:rPr>
        <w:t xml:space="preserve">, 18 November 2016, CEDAW/C/BLR/CO/8, § 23.a. </w:t>
      </w:r>
    </w:p>
  </w:footnote>
  <w:footnote w:id="12">
    <w:p w:rsidR="00CC2284" w:rsidRDefault="000F5642">
      <w:pPr>
        <w:jc w:val="both"/>
        <w:rPr>
          <w:rFonts w:ascii="Times New Roman" w:eastAsia="Times New Roman" w:hAnsi="Times New Roman" w:cs="Times New Roman"/>
          <w:sz w:val="18"/>
          <w:szCs w:val="18"/>
        </w:rPr>
      </w:pPr>
      <w:r>
        <w:rPr>
          <w:vertAlign w:val="superscript"/>
        </w:rPr>
        <w:footnoteRef/>
      </w:r>
      <w:r>
        <w:rPr>
          <w:sz w:val="18"/>
          <w:szCs w:val="18"/>
        </w:rPr>
        <w:t xml:space="preserve"> </w:t>
      </w:r>
      <w:r>
        <w:rPr>
          <w:rFonts w:ascii="Times New Roman" w:eastAsia="Times New Roman" w:hAnsi="Times New Roman" w:cs="Times New Roman"/>
          <w:sz w:val="18"/>
          <w:szCs w:val="18"/>
        </w:rPr>
        <w:t>UN Human Right</w:t>
      </w:r>
      <w:r>
        <w:rPr>
          <w:rFonts w:ascii="Times New Roman" w:eastAsia="Times New Roman" w:hAnsi="Times New Roman" w:cs="Times New Roman"/>
          <w:sz w:val="18"/>
          <w:szCs w:val="18"/>
        </w:rPr>
        <w:t xml:space="preserve">s Committee, </w:t>
      </w:r>
      <w:r>
        <w:rPr>
          <w:rFonts w:ascii="Times New Roman" w:eastAsia="Times New Roman" w:hAnsi="Times New Roman" w:cs="Times New Roman"/>
          <w:i/>
          <w:sz w:val="18"/>
          <w:szCs w:val="18"/>
        </w:rPr>
        <w:t>Concluding Observations on the third periodic report of Latvia</w:t>
      </w:r>
      <w:r>
        <w:rPr>
          <w:rFonts w:ascii="Times New Roman" w:eastAsia="Times New Roman" w:hAnsi="Times New Roman" w:cs="Times New Roman"/>
          <w:sz w:val="18"/>
          <w:szCs w:val="18"/>
        </w:rPr>
        <w:t>, 11 April 2014, CCPR/C/LVA/ CO/3, § 9.a.</w:t>
      </w:r>
    </w:p>
  </w:footnote>
  <w:footnote w:id="13">
    <w:p w:rsidR="00CC2284" w:rsidRDefault="000F5642">
      <w:pPr>
        <w:jc w:val="both"/>
        <w:rPr>
          <w:rFonts w:ascii="Times New Roman" w:eastAsia="Times New Roman" w:hAnsi="Times New Roman" w:cs="Times New Roman"/>
          <w:sz w:val="18"/>
          <w:szCs w:val="18"/>
        </w:rPr>
      </w:pPr>
      <w:r>
        <w:rPr>
          <w:vertAlign w:val="superscript"/>
        </w:rPr>
        <w:footnoteRef/>
      </w:r>
      <w:r>
        <w:rPr>
          <w:sz w:val="18"/>
          <w:szCs w:val="18"/>
        </w:rPr>
        <w:t xml:space="preserve"> </w:t>
      </w:r>
      <w:r>
        <w:rPr>
          <w:rFonts w:ascii="Times New Roman" w:eastAsia="Times New Roman" w:hAnsi="Times New Roman" w:cs="Times New Roman"/>
          <w:sz w:val="18"/>
          <w:szCs w:val="18"/>
        </w:rPr>
        <w:t xml:space="preserve">CEDAW Committee, </w:t>
      </w:r>
      <w:r>
        <w:rPr>
          <w:rFonts w:ascii="Times New Roman" w:eastAsia="Times New Roman" w:hAnsi="Times New Roman" w:cs="Times New Roman"/>
          <w:i/>
          <w:sz w:val="18"/>
          <w:szCs w:val="18"/>
        </w:rPr>
        <w:t>Concluding Observations on the fifth periodic report of Lithuania</w:t>
      </w:r>
      <w:r>
        <w:rPr>
          <w:rFonts w:ascii="Times New Roman" w:eastAsia="Times New Roman" w:hAnsi="Times New Roman" w:cs="Times New Roman"/>
          <w:sz w:val="18"/>
          <w:szCs w:val="18"/>
        </w:rPr>
        <w:t xml:space="preserve">, 24 July 2014, CEDAW/C/LTU/CO/5, § 25.e. </w:t>
      </w:r>
    </w:p>
  </w:footnote>
  <w:footnote w:id="14">
    <w:p w:rsidR="00CC2284" w:rsidRDefault="000F5642">
      <w:pPr>
        <w:jc w:val="both"/>
        <w:rPr>
          <w:rFonts w:ascii="Alegreya Sans" w:eastAsia="Alegreya Sans" w:hAnsi="Alegreya Sans" w:cs="Alegreya Sans"/>
          <w:sz w:val="20"/>
          <w:szCs w:val="20"/>
        </w:rPr>
      </w:pPr>
      <w:r>
        <w:rPr>
          <w:vertAlign w:val="superscript"/>
        </w:rPr>
        <w:footnoteRef/>
      </w:r>
      <w:r>
        <w:rPr>
          <w:rFonts w:ascii="Times New Roman" w:eastAsia="Times New Roman" w:hAnsi="Times New Roman" w:cs="Times New Roman"/>
          <w:sz w:val="18"/>
          <w:szCs w:val="18"/>
        </w:rPr>
        <w:t xml:space="preserve"> </w:t>
      </w:r>
      <w:r>
        <w:rPr>
          <w:rFonts w:ascii="Alegreya Sans" w:eastAsia="Alegreya Sans" w:hAnsi="Alegreya Sans" w:cs="Alegreya Sans"/>
          <w:sz w:val="20"/>
          <w:szCs w:val="20"/>
        </w:rPr>
        <w:t>CEDAW Comm</w:t>
      </w:r>
      <w:r>
        <w:rPr>
          <w:rFonts w:ascii="Alegreya Sans" w:eastAsia="Alegreya Sans" w:hAnsi="Alegreya Sans" w:cs="Alegreya Sans"/>
          <w:sz w:val="20"/>
          <w:szCs w:val="20"/>
        </w:rPr>
        <w:t>ittee General Recommendation No. 35, § 44.</w:t>
      </w:r>
    </w:p>
  </w:footnote>
  <w:footnote w:id="15">
    <w:p w:rsidR="00CC2284" w:rsidRDefault="000F5642">
      <w:pPr>
        <w:spacing w:line="240" w:lineRule="auto"/>
        <w:rPr>
          <w:sz w:val="20"/>
          <w:szCs w:val="20"/>
        </w:rPr>
      </w:pPr>
      <w:r>
        <w:rPr>
          <w:vertAlign w:val="superscript"/>
        </w:rPr>
        <w:footnoteRef/>
      </w:r>
      <w:r>
        <w:rPr>
          <w:sz w:val="20"/>
          <w:szCs w:val="20"/>
        </w:rPr>
        <w:t xml:space="preserve"> </w:t>
      </w:r>
      <w:r>
        <w:rPr>
          <w:rFonts w:ascii="Alegreya Sans" w:eastAsia="Alegreya Sans" w:hAnsi="Alegreya Sans" w:cs="Alegreya Sans"/>
          <w:sz w:val="20"/>
          <w:szCs w:val="20"/>
        </w:rPr>
        <w:t>O.G v Russia ibid § 9</w:t>
      </w:r>
    </w:p>
  </w:footnote>
  <w:footnote w:id="16">
    <w:p w:rsidR="00CC2284" w:rsidRDefault="000F5642">
      <w:pPr>
        <w:jc w:val="both"/>
        <w:rPr>
          <w:rFonts w:ascii="Alegreya Sans" w:eastAsia="Alegreya Sans" w:hAnsi="Alegreya Sans" w:cs="Alegreya Sans"/>
          <w:sz w:val="20"/>
          <w:szCs w:val="20"/>
        </w:rPr>
      </w:pPr>
      <w:r>
        <w:rPr>
          <w:vertAlign w:val="superscript"/>
        </w:rPr>
        <w:footnoteRef/>
      </w:r>
      <w:r>
        <w:rPr>
          <w:sz w:val="18"/>
          <w:szCs w:val="18"/>
        </w:rPr>
        <w:t xml:space="preserve"> </w:t>
      </w:r>
      <w:r>
        <w:rPr>
          <w:rFonts w:ascii="Alegreya Sans" w:eastAsia="Alegreya Sans" w:hAnsi="Alegreya Sans" w:cs="Alegreya Sans"/>
          <w:sz w:val="20"/>
          <w:szCs w:val="20"/>
        </w:rPr>
        <w:t xml:space="preserve">Communication No. 91/2015 (2017) § 7.7; See also </w:t>
      </w:r>
      <w:r>
        <w:rPr>
          <w:rFonts w:ascii="Alegreya Sans" w:eastAsia="Alegreya Sans" w:hAnsi="Alegreya Sans" w:cs="Alegreya Sans"/>
          <w:i/>
          <w:sz w:val="20"/>
          <w:szCs w:val="20"/>
        </w:rPr>
        <w:t>X and Y v Russia</w:t>
      </w:r>
      <w:r>
        <w:rPr>
          <w:rFonts w:ascii="Alegreya Sans" w:eastAsia="Alegreya Sans" w:hAnsi="Alegreya Sans" w:cs="Alegreya Sans"/>
          <w:sz w:val="20"/>
          <w:szCs w:val="20"/>
        </w:rPr>
        <w:t>, No. 100/2016, (2019), CEDAW/C/73/D/100/2016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1265B"/>
    <w:multiLevelType w:val="multilevel"/>
    <w:tmpl w:val="4ADEBF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D14AAB"/>
    <w:multiLevelType w:val="multilevel"/>
    <w:tmpl w:val="6A8C0A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9070C6"/>
    <w:multiLevelType w:val="multilevel"/>
    <w:tmpl w:val="50C402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3B20C3"/>
    <w:multiLevelType w:val="multilevel"/>
    <w:tmpl w:val="44D27F1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2B7E2F4F"/>
    <w:multiLevelType w:val="multilevel"/>
    <w:tmpl w:val="2B9C6BE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40FA04A6"/>
    <w:multiLevelType w:val="multilevel"/>
    <w:tmpl w:val="09F436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A3525CD"/>
    <w:multiLevelType w:val="multilevel"/>
    <w:tmpl w:val="AB86B0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DD32827"/>
    <w:multiLevelType w:val="multilevel"/>
    <w:tmpl w:val="286C39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2"/>
  </w:num>
  <w:num w:numId="2">
    <w:abstractNumId w:val="6"/>
  </w:num>
  <w:num w:numId="3">
    <w:abstractNumId w:val="0"/>
  </w:num>
  <w:num w:numId="4">
    <w:abstractNumId w:val="1"/>
  </w:num>
  <w:num w:numId="5">
    <w:abstractNumId w:val="4"/>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284"/>
    <w:rsid w:val="000F5642"/>
    <w:rsid w:val="004B40C3"/>
    <w:rsid w:val="00CC2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651628"/>
  <w15:docId w15:val="{3F60ADA6-73D6-8446-9E6E-0A1EA5D18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CEDAW%2fC%2fUZB%2fCO%2f5&amp;Lang=en" TargetMode="External"/><Relationship Id="rId1" Type="http://schemas.openxmlformats.org/officeDocument/2006/relationships/hyperlink" Target="https://www.equalitynow.org/roadblocks_to_jus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E24C03-D46A-4C79-8041-47F8F37E7CBB}"/>
</file>

<file path=customXml/itemProps2.xml><?xml version="1.0" encoding="utf-8"?>
<ds:datastoreItem xmlns:ds="http://schemas.openxmlformats.org/officeDocument/2006/customXml" ds:itemID="{FC6E5E22-DA63-4D1A-A8CF-8665C8F00F94}"/>
</file>

<file path=customXml/itemProps3.xml><?xml version="1.0" encoding="utf-8"?>
<ds:datastoreItem xmlns:ds="http://schemas.openxmlformats.org/officeDocument/2006/customXml" ds:itemID="{02E42143-E5ED-40C5-AB61-7251CCAEA13D}"/>
</file>

<file path=docProps/app.xml><?xml version="1.0" encoding="utf-8"?>
<Properties xmlns="http://schemas.openxmlformats.org/officeDocument/2006/extended-properties" xmlns:vt="http://schemas.openxmlformats.org/officeDocument/2006/docPropsVTypes">
  <Template>Normal.dotm</Template>
  <TotalTime>3</TotalTime>
  <Pages>7</Pages>
  <Words>2225</Words>
  <Characters>12688</Characters>
  <Application>Microsoft Office Word</Application>
  <DocSecurity>0</DocSecurity>
  <Lines>105</Lines>
  <Paragraphs>29</Paragraphs>
  <ScaleCrop>false</ScaleCrop>
  <Company/>
  <LinksUpToDate>false</LinksUpToDate>
  <CharactersWithSpaces>14884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Patsalides</cp:lastModifiedBy>
  <cp:revision>2</cp:revision>
  <dcterms:created xsi:type="dcterms:W3CDTF">2020-06-15T09:13:00Z</dcterms:created>
  <dcterms:modified xsi:type="dcterms:W3CDTF">2020-06-15T09:18:00Z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