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6D2" w:rsidRDefault="007666D2" w:rsidP="001E3A2D">
      <w:pPr>
        <w:pStyle w:val="Title"/>
      </w:pPr>
      <w:bookmarkStart w:id="0" w:name="_GoBack"/>
      <w:bookmarkEnd w:id="0"/>
    </w:p>
    <w:p w:rsidR="007666D2" w:rsidRDefault="007666D2" w:rsidP="001E3A2D">
      <w:pPr>
        <w:pStyle w:val="Title"/>
      </w:pPr>
    </w:p>
    <w:p w:rsidR="007666D2" w:rsidRDefault="007666D2" w:rsidP="001E3A2D">
      <w:pPr>
        <w:pStyle w:val="Title"/>
      </w:pPr>
    </w:p>
    <w:p w:rsidR="001E3A2D" w:rsidRPr="00B273FE" w:rsidRDefault="00B36991" w:rsidP="001E3A2D">
      <w:pPr>
        <w:pStyle w:val="Title"/>
        <w:rPr>
          <w:b/>
        </w:rPr>
      </w:pPr>
      <w:r w:rsidRPr="00B273FE">
        <w:rPr>
          <w:b/>
        </w:rPr>
        <w:t xml:space="preserve">Towards Inclusive Equality: </w:t>
      </w:r>
    </w:p>
    <w:p w:rsidR="00B36991" w:rsidRDefault="00B36991" w:rsidP="001E3A2D">
      <w:pPr>
        <w:pStyle w:val="Title"/>
      </w:pPr>
      <w:r>
        <w:t>10 Years Committee on the Rights of Persons with Disabilities</w:t>
      </w:r>
    </w:p>
    <w:p w:rsidR="00B36991" w:rsidRDefault="00B36991">
      <w:pPr>
        <w:rPr>
          <w:rFonts w:cs="Arial"/>
          <w:b/>
          <w:bCs/>
          <w:sz w:val="28"/>
          <w:szCs w:val="28"/>
        </w:rPr>
      </w:pPr>
    </w:p>
    <w:p w:rsidR="007666D2" w:rsidRDefault="007666D2">
      <w:pPr>
        <w:rPr>
          <w:rFonts w:cs="Arial"/>
          <w:b/>
          <w:bCs/>
          <w:sz w:val="28"/>
          <w:szCs w:val="28"/>
        </w:rPr>
      </w:pPr>
    </w:p>
    <w:p w:rsidR="00B36991" w:rsidRDefault="00B36991" w:rsidP="001E3A2D">
      <w:pPr>
        <w:jc w:val="center"/>
        <w:rPr>
          <w:rFonts w:cs="Arial"/>
          <w:b/>
          <w:bCs/>
          <w:sz w:val="28"/>
          <w:szCs w:val="28"/>
        </w:rPr>
      </w:pPr>
      <w:r>
        <w:rPr>
          <w:rFonts w:cs="Arial"/>
          <w:b/>
          <w:bCs/>
          <w:noProof/>
          <w:sz w:val="28"/>
          <w:szCs w:val="28"/>
          <w:lang w:val="en-GB" w:eastAsia="en-GB"/>
        </w:rPr>
        <w:drawing>
          <wp:inline distT="0" distB="0" distL="0" distR="0">
            <wp:extent cx="3489960" cy="2761488"/>
            <wp:effectExtent l="0" t="0" r="0" b="1270"/>
            <wp:docPr id="1" name="Grafik 1" descr="logo says: CRPD 10 years. disability rights are human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PD-10YR-logo.jpg"/>
                    <pic:cNvPicPr/>
                  </pic:nvPicPr>
                  <pic:blipFill>
                    <a:blip r:embed="rId8">
                      <a:extLst>
                        <a:ext uri="{28A0092B-C50C-407E-A947-70E740481C1C}">
                          <a14:useLocalDpi xmlns:a14="http://schemas.microsoft.com/office/drawing/2010/main" val="0"/>
                        </a:ext>
                      </a:extLst>
                    </a:blip>
                    <a:stretch>
                      <a:fillRect/>
                    </a:stretch>
                  </pic:blipFill>
                  <pic:spPr>
                    <a:xfrm>
                      <a:off x="0" y="0"/>
                      <a:ext cx="3489960" cy="2761488"/>
                    </a:xfrm>
                    <a:prstGeom prst="rect">
                      <a:avLst/>
                    </a:prstGeom>
                  </pic:spPr>
                </pic:pic>
              </a:graphicData>
            </a:graphic>
          </wp:inline>
        </w:drawing>
      </w:r>
    </w:p>
    <w:p w:rsidR="001E3A2D" w:rsidRDefault="00B36991" w:rsidP="001E3A2D">
      <w:r>
        <w:br w:type="page"/>
      </w:r>
      <w:r w:rsidR="001E3A2D">
        <w:lastRenderedPageBreak/>
        <w:t>© Theresia Degener, 2018</w:t>
      </w:r>
    </w:p>
    <w:p w:rsidR="001E3A2D" w:rsidRDefault="001E3A2D" w:rsidP="001E3A2D">
      <w:r>
        <w:t>Written by: Marine Uldry and Theresia Degener</w:t>
      </w:r>
    </w:p>
    <w:p w:rsidR="001E3A2D" w:rsidRDefault="001E3A2D" w:rsidP="001E3A2D">
      <w:r>
        <w:t>Contact:</w:t>
      </w:r>
    </w:p>
    <w:p w:rsidR="001E3A2D" w:rsidRDefault="001E3A2D" w:rsidP="007666D2">
      <w:pPr>
        <w:spacing w:after="0" w:line="240" w:lineRule="auto"/>
      </w:pPr>
      <w:r>
        <w:t>Prof. Dr. Theresia Degener</w:t>
      </w:r>
    </w:p>
    <w:p w:rsidR="001E3A2D" w:rsidRDefault="001E3A2D" w:rsidP="007666D2">
      <w:pPr>
        <w:spacing w:after="0" w:line="240" w:lineRule="auto"/>
      </w:pPr>
      <w:r>
        <w:t>Protestant University of Applied Sciences Rhineland-Westphalia-Lippe</w:t>
      </w:r>
    </w:p>
    <w:p w:rsidR="001E3A2D" w:rsidRPr="001E3A2D" w:rsidRDefault="001E3A2D" w:rsidP="007666D2">
      <w:pPr>
        <w:spacing w:after="0" w:line="240" w:lineRule="auto"/>
        <w:rPr>
          <w:lang w:val="de-DE"/>
        </w:rPr>
      </w:pPr>
      <w:r w:rsidRPr="001E3A2D">
        <w:rPr>
          <w:lang w:val="de-DE"/>
        </w:rPr>
        <w:t>Immanuel-Kant-Strasse 18-20</w:t>
      </w:r>
    </w:p>
    <w:p w:rsidR="001E3A2D" w:rsidRPr="001E3A2D" w:rsidRDefault="001E3A2D" w:rsidP="007666D2">
      <w:pPr>
        <w:spacing w:after="0" w:line="240" w:lineRule="auto"/>
        <w:rPr>
          <w:lang w:val="de-DE"/>
        </w:rPr>
      </w:pPr>
      <w:r w:rsidRPr="001E3A2D">
        <w:rPr>
          <w:lang w:val="de-DE"/>
        </w:rPr>
        <w:t>44803 Bochum</w:t>
      </w:r>
    </w:p>
    <w:p w:rsidR="00B273FE" w:rsidRDefault="001E3A2D" w:rsidP="001E3A2D">
      <w:pPr>
        <w:rPr>
          <w:lang w:val="de-DE"/>
        </w:rPr>
      </w:pPr>
      <w:r w:rsidRPr="001E3A2D">
        <w:rPr>
          <w:lang w:val="de-DE"/>
        </w:rPr>
        <w:t>Germany</w:t>
      </w:r>
    </w:p>
    <w:p w:rsidR="001E3A2D" w:rsidRPr="00A7326F" w:rsidRDefault="00A7326F" w:rsidP="00A7326F">
      <w:pPr>
        <w:rPr>
          <w:lang w:val="de-DE"/>
        </w:rPr>
      </w:pPr>
      <w:r w:rsidRPr="00A7326F">
        <w:rPr>
          <w:lang w:val="de-DE"/>
        </w:rPr>
        <w:t>E-Mail: Theresia.</w:t>
      </w:r>
      <w:hyperlink r:id="rId9" w:history="1">
        <w:r w:rsidRPr="00A7326F">
          <w:rPr>
            <w:lang w:val="de-DE"/>
          </w:rPr>
          <w:t>degener@gmx.de</w:t>
        </w:r>
      </w:hyperlink>
      <w:r w:rsidRPr="00A7326F">
        <w:rPr>
          <w:lang w:val="de-DE"/>
        </w:rPr>
        <w:t xml:space="preserve"> </w:t>
      </w:r>
      <w:r w:rsidR="00B273FE" w:rsidRPr="00A7326F">
        <w:rPr>
          <w:lang w:val="de-DE"/>
        </w:rPr>
        <w:t xml:space="preserve"> </w:t>
      </w:r>
      <w:r w:rsidR="001E3A2D" w:rsidRPr="00A7326F">
        <w:rPr>
          <w:lang w:val="de-DE"/>
        </w:rPr>
        <w:br w:type="page"/>
      </w:r>
    </w:p>
    <w:sdt>
      <w:sdtPr>
        <w:rPr>
          <w:rFonts w:ascii="Arial" w:eastAsiaTheme="minorEastAsia" w:hAnsi="Arial" w:cstheme="minorBidi"/>
          <w:b w:val="0"/>
          <w:bCs w:val="0"/>
          <w:color w:val="auto"/>
          <w:sz w:val="22"/>
          <w:szCs w:val="24"/>
          <w:lang w:val="en-US" w:eastAsia="en-US"/>
        </w:rPr>
        <w:id w:val="-1280338248"/>
        <w:docPartObj>
          <w:docPartGallery w:val="Table of Contents"/>
          <w:docPartUnique/>
        </w:docPartObj>
      </w:sdtPr>
      <w:sdtEndPr/>
      <w:sdtContent>
        <w:p w:rsidR="007666D2" w:rsidRPr="00A7326F" w:rsidRDefault="007666D2">
          <w:pPr>
            <w:pStyle w:val="TOCHeading"/>
            <w:rPr>
              <w:lang w:val="en-GB"/>
            </w:rPr>
          </w:pPr>
          <w:r w:rsidRPr="00A7326F">
            <w:rPr>
              <w:lang w:val="en-GB"/>
            </w:rPr>
            <w:t>Table of Content</w:t>
          </w:r>
          <w:r w:rsidR="004B5A6E" w:rsidRPr="00A7326F">
            <w:rPr>
              <w:lang w:val="en-GB"/>
            </w:rPr>
            <w:t>s</w:t>
          </w:r>
        </w:p>
        <w:p w:rsidR="007666D2" w:rsidRDefault="008B1796">
          <w:pPr>
            <w:pStyle w:val="TOC1"/>
            <w:tabs>
              <w:tab w:val="right" w:leader="dot" w:pos="8290"/>
            </w:tabs>
            <w:rPr>
              <w:rFonts w:asciiTheme="minorHAnsi" w:hAnsiTheme="minorHAnsi"/>
              <w:noProof/>
              <w:szCs w:val="22"/>
              <w:lang w:val="de-DE" w:eastAsia="de-DE"/>
            </w:rPr>
          </w:pPr>
          <w:r>
            <w:fldChar w:fldCharType="begin"/>
          </w:r>
          <w:r w:rsidR="007666D2">
            <w:instrText xml:space="preserve"> TOC \o "1-3" \h \z \u </w:instrText>
          </w:r>
          <w:r>
            <w:fldChar w:fldCharType="separate"/>
          </w:r>
          <w:hyperlink w:anchor="_Toc522542382" w:history="1">
            <w:r w:rsidR="007666D2" w:rsidRPr="002B5844">
              <w:rPr>
                <w:rStyle w:val="Hyperlink"/>
                <w:noProof/>
              </w:rPr>
              <w:t>I. Introduction</w:t>
            </w:r>
            <w:r w:rsidR="007666D2">
              <w:rPr>
                <w:noProof/>
                <w:webHidden/>
              </w:rPr>
              <w:tab/>
            </w:r>
            <w:r>
              <w:rPr>
                <w:noProof/>
                <w:webHidden/>
              </w:rPr>
              <w:fldChar w:fldCharType="begin"/>
            </w:r>
            <w:r w:rsidR="007666D2">
              <w:rPr>
                <w:noProof/>
                <w:webHidden/>
              </w:rPr>
              <w:instrText xml:space="preserve"> PAGEREF _Toc522542382 \h </w:instrText>
            </w:r>
            <w:r>
              <w:rPr>
                <w:noProof/>
                <w:webHidden/>
              </w:rPr>
            </w:r>
            <w:r>
              <w:rPr>
                <w:noProof/>
                <w:webHidden/>
              </w:rPr>
              <w:fldChar w:fldCharType="separate"/>
            </w:r>
            <w:r w:rsidR="0037339D">
              <w:rPr>
                <w:noProof/>
                <w:webHidden/>
              </w:rPr>
              <w:t>5</w:t>
            </w:r>
            <w:r>
              <w:rPr>
                <w:noProof/>
                <w:webHidden/>
              </w:rPr>
              <w:fldChar w:fldCharType="end"/>
            </w:r>
          </w:hyperlink>
        </w:p>
        <w:p w:rsidR="007666D2" w:rsidRDefault="003410F5">
          <w:pPr>
            <w:pStyle w:val="TOC1"/>
            <w:tabs>
              <w:tab w:val="right" w:leader="dot" w:pos="8290"/>
            </w:tabs>
            <w:rPr>
              <w:rFonts w:asciiTheme="minorHAnsi" w:hAnsiTheme="minorHAnsi"/>
              <w:noProof/>
              <w:szCs w:val="22"/>
              <w:lang w:val="de-DE" w:eastAsia="de-DE"/>
            </w:rPr>
          </w:pPr>
          <w:hyperlink w:anchor="_Toc522542383" w:history="1">
            <w:r w:rsidR="007666D2" w:rsidRPr="002B5844">
              <w:rPr>
                <w:rStyle w:val="Hyperlink"/>
                <w:noProof/>
              </w:rPr>
              <w:t>II. Activities carried out by the CRPD Committee under the Convention</w:t>
            </w:r>
            <w:r w:rsidR="007666D2">
              <w:rPr>
                <w:noProof/>
                <w:webHidden/>
              </w:rPr>
              <w:tab/>
            </w:r>
            <w:r w:rsidR="008B1796">
              <w:rPr>
                <w:noProof/>
                <w:webHidden/>
              </w:rPr>
              <w:fldChar w:fldCharType="begin"/>
            </w:r>
            <w:r w:rsidR="007666D2">
              <w:rPr>
                <w:noProof/>
                <w:webHidden/>
              </w:rPr>
              <w:instrText xml:space="preserve"> PAGEREF _Toc522542383 \h </w:instrText>
            </w:r>
            <w:r w:rsidR="008B1796">
              <w:rPr>
                <w:noProof/>
                <w:webHidden/>
              </w:rPr>
            </w:r>
            <w:r w:rsidR="008B1796">
              <w:rPr>
                <w:noProof/>
                <w:webHidden/>
              </w:rPr>
              <w:fldChar w:fldCharType="separate"/>
            </w:r>
            <w:r w:rsidR="0037339D">
              <w:rPr>
                <w:noProof/>
                <w:webHidden/>
              </w:rPr>
              <w:t>5</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384" w:history="1">
            <w:r w:rsidR="007666D2" w:rsidRPr="002B5844">
              <w:rPr>
                <w:rStyle w:val="Hyperlink"/>
                <w:noProof/>
              </w:rPr>
              <w:t>A. General Comments and guidelines</w:t>
            </w:r>
            <w:r w:rsidR="007666D2">
              <w:rPr>
                <w:noProof/>
                <w:webHidden/>
              </w:rPr>
              <w:tab/>
            </w:r>
            <w:r w:rsidR="008B1796">
              <w:rPr>
                <w:noProof/>
                <w:webHidden/>
              </w:rPr>
              <w:fldChar w:fldCharType="begin"/>
            </w:r>
            <w:r w:rsidR="007666D2">
              <w:rPr>
                <w:noProof/>
                <w:webHidden/>
              </w:rPr>
              <w:instrText xml:space="preserve"> PAGEREF _Toc522542384 \h </w:instrText>
            </w:r>
            <w:r w:rsidR="008B1796">
              <w:rPr>
                <w:noProof/>
                <w:webHidden/>
              </w:rPr>
            </w:r>
            <w:r w:rsidR="008B1796">
              <w:rPr>
                <w:noProof/>
                <w:webHidden/>
              </w:rPr>
              <w:fldChar w:fldCharType="separate"/>
            </w:r>
            <w:r w:rsidR="0037339D">
              <w:rPr>
                <w:noProof/>
                <w:webHidden/>
              </w:rPr>
              <w:t>5</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385" w:history="1">
            <w:r w:rsidR="007666D2" w:rsidRPr="002B5844">
              <w:rPr>
                <w:rStyle w:val="Hyperlink"/>
                <w:noProof/>
              </w:rPr>
              <w:t>B. Consideration of reports submitted by State</w:t>
            </w:r>
            <w:r w:rsidR="00A7326F">
              <w:rPr>
                <w:rStyle w:val="Hyperlink"/>
                <w:noProof/>
              </w:rPr>
              <w:t>s</w:t>
            </w:r>
            <w:r w:rsidR="007666D2" w:rsidRPr="002B5844">
              <w:rPr>
                <w:rStyle w:val="Hyperlink"/>
                <w:noProof/>
              </w:rPr>
              <w:t xml:space="preserve"> Parties</w:t>
            </w:r>
            <w:r w:rsidR="007666D2">
              <w:rPr>
                <w:noProof/>
                <w:webHidden/>
              </w:rPr>
              <w:tab/>
            </w:r>
            <w:r w:rsidR="008B1796">
              <w:rPr>
                <w:noProof/>
                <w:webHidden/>
              </w:rPr>
              <w:fldChar w:fldCharType="begin"/>
            </w:r>
            <w:r w:rsidR="007666D2">
              <w:rPr>
                <w:noProof/>
                <w:webHidden/>
              </w:rPr>
              <w:instrText xml:space="preserve"> PAGEREF _Toc522542385 \h </w:instrText>
            </w:r>
            <w:r w:rsidR="008B1796">
              <w:rPr>
                <w:noProof/>
                <w:webHidden/>
              </w:rPr>
            </w:r>
            <w:r w:rsidR="008B1796">
              <w:rPr>
                <w:noProof/>
                <w:webHidden/>
              </w:rPr>
              <w:fldChar w:fldCharType="separate"/>
            </w:r>
            <w:r w:rsidR="0037339D">
              <w:rPr>
                <w:noProof/>
                <w:webHidden/>
              </w:rPr>
              <w:t>6</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386" w:history="1">
            <w:r w:rsidR="007666D2" w:rsidRPr="002B5844">
              <w:rPr>
                <w:rStyle w:val="Hyperlink"/>
                <w:noProof/>
              </w:rPr>
              <w:t>C. Follow up to concluding observations</w:t>
            </w:r>
            <w:r w:rsidR="007666D2">
              <w:rPr>
                <w:noProof/>
                <w:webHidden/>
              </w:rPr>
              <w:tab/>
            </w:r>
            <w:r w:rsidR="008B1796">
              <w:rPr>
                <w:noProof/>
                <w:webHidden/>
              </w:rPr>
              <w:fldChar w:fldCharType="begin"/>
            </w:r>
            <w:r w:rsidR="007666D2">
              <w:rPr>
                <w:noProof/>
                <w:webHidden/>
              </w:rPr>
              <w:instrText xml:space="preserve"> PAGEREF _Toc522542386 \h </w:instrText>
            </w:r>
            <w:r w:rsidR="008B1796">
              <w:rPr>
                <w:noProof/>
                <w:webHidden/>
              </w:rPr>
            </w:r>
            <w:r w:rsidR="008B1796">
              <w:rPr>
                <w:noProof/>
                <w:webHidden/>
              </w:rPr>
              <w:fldChar w:fldCharType="separate"/>
            </w:r>
            <w:r w:rsidR="0037339D">
              <w:rPr>
                <w:noProof/>
                <w:webHidden/>
              </w:rPr>
              <w:t>7</w:t>
            </w:r>
            <w:r w:rsidR="008B1796">
              <w:rPr>
                <w:noProof/>
                <w:webHidden/>
              </w:rPr>
              <w:fldChar w:fldCharType="end"/>
            </w:r>
          </w:hyperlink>
        </w:p>
        <w:p w:rsidR="007666D2" w:rsidRDefault="003410F5">
          <w:pPr>
            <w:pStyle w:val="TOC1"/>
            <w:tabs>
              <w:tab w:val="right" w:leader="dot" w:pos="8290"/>
            </w:tabs>
            <w:rPr>
              <w:rFonts w:asciiTheme="minorHAnsi" w:hAnsiTheme="minorHAnsi"/>
              <w:noProof/>
              <w:szCs w:val="22"/>
              <w:lang w:val="de-DE" w:eastAsia="de-DE"/>
            </w:rPr>
          </w:pPr>
          <w:hyperlink w:anchor="_Toc522542387" w:history="1">
            <w:r w:rsidR="007666D2" w:rsidRPr="002B5844">
              <w:rPr>
                <w:rStyle w:val="Hyperlink"/>
                <w:noProof/>
              </w:rPr>
              <w:t>III. Activities carried out by the CRPD Committee under the Optional Protocol</w:t>
            </w:r>
            <w:r w:rsidR="007666D2">
              <w:rPr>
                <w:noProof/>
                <w:webHidden/>
              </w:rPr>
              <w:tab/>
            </w:r>
            <w:r w:rsidR="008B1796">
              <w:rPr>
                <w:noProof/>
                <w:webHidden/>
              </w:rPr>
              <w:fldChar w:fldCharType="begin"/>
            </w:r>
            <w:r w:rsidR="007666D2">
              <w:rPr>
                <w:noProof/>
                <w:webHidden/>
              </w:rPr>
              <w:instrText xml:space="preserve"> PAGEREF _Toc522542387 \h </w:instrText>
            </w:r>
            <w:r w:rsidR="008B1796">
              <w:rPr>
                <w:noProof/>
                <w:webHidden/>
              </w:rPr>
            </w:r>
            <w:r w:rsidR="008B1796">
              <w:rPr>
                <w:noProof/>
                <w:webHidden/>
              </w:rPr>
              <w:fldChar w:fldCharType="separate"/>
            </w:r>
            <w:r w:rsidR="0037339D">
              <w:rPr>
                <w:noProof/>
                <w:webHidden/>
              </w:rPr>
              <w:t>7</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388" w:history="1">
            <w:r w:rsidR="007666D2" w:rsidRPr="002B5844">
              <w:rPr>
                <w:rStyle w:val="Hyperlink"/>
                <w:noProof/>
              </w:rPr>
              <w:t>A. Views on communications</w:t>
            </w:r>
            <w:r w:rsidR="007666D2">
              <w:rPr>
                <w:noProof/>
                <w:webHidden/>
              </w:rPr>
              <w:tab/>
            </w:r>
            <w:r w:rsidR="008B1796">
              <w:rPr>
                <w:noProof/>
                <w:webHidden/>
              </w:rPr>
              <w:fldChar w:fldCharType="begin"/>
            </w:r>
            <w:r w:rsidR="007666D2">
              <w:rPr>
                <w:noProof/>
                <w:webHidden/>
              </w:rPr>
              <w:instrText xml:space="preserve"> PAGEREF _Toc522542388 \h </w:instrText>
            </w:r>
            <w:r w:rsidR="008B1796">
              <w:rPr>
                <w:noProof/>
                <w:webHidden/>
              </w:rPr>
            </w:r>
            <w:r w:rsidR="008B1796">
              <w:rPr>
                <w:noProof/>
                <w:webHidden/>
              </w:rPr>
              <w:fldChar w:fldCharType="separate"/>
            </w:r>
            <w:r w:rsidR="0037339D">
              <w:rPr>
                <w:noProof/>
                <w:webHidden/>
              </w:rPr>
              <w:t>7</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389" w:history="1">
            <w:r w:rsidR="007666D2" w:rsidRPr="002B5844">
              <w:rPr>
                <w:rStyle w:val="Hyperlink"/>
                <w:noProof/>
              </w:rPr>
              <w:t>B. Follow-up procedure for implementation of the views</w:t>
            </w:r>
            <w:r w:rsidR="007666D2">
              <w:rPr>
                <w:noProof/>
                <w:webHidden/>
              </w:rPr>
              <w:tab/>
            </w:r>
            <w:r w:rsidR="008B1796">
              <w:rPr>
                <w:noProof/>
                <w:webHidden/>
              </w:rPr>
              <w:fldChar w:fldCharType="begin"/>
            </w:r>
            <w:r w:rsidR="007666D2">
              <w:rPr>
                <w:noProof/>
                <w:webHidden/>
              </w:rPr>
              <w:instrText xml:space="preserve"> PAGEREF _Toc522542389 \h </w:instrText>
            </w:r>
            <w:r w:rsidR="008B1796">
              <w:rPr>
                <w:noProof/>
                <w:webHidden/>
              </w:rPr>
            </w:r>
            <w:r w:rsidR="008B1796">
              <w:rPr>
                <w:noProof/>
                <w:webHidden/>
              </w:rPr>
              <w:fldChar w:fldCharType="separate"/>
            </w:r>
            <w:r w:rsidR="0037339D">
              <w:rPr>
                <w:noProof/>
                <w:webHidden/>
              </w:rPr>
              <w:t>8</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390" w:history="1">
            <w:r w:rsidR="007666D2" w:rsidRPr="002B5844">
              <w:rPr>
                <w:rStyle w:val="Hyperlink"/>
                <w:noProof/>
              </w:rPr>
              <w:t>C. Inquiry procedure</w:t>
            </w:r>
            <w:r w:rsidR="007666D2">
              <w:rPr>
                <w:noProof/>
                <w:webHidden/>
              </w:rPr>
              <w:tab/>
            </w:r>
            <w:r w:rsidR="008B1796">
              <w:rPr>
                <w:noProof/>
                <w:webHidden/>
              </w:rPr>
              <w:fldChar w:fldCharType="begin"/>
            </w:r>
            <w:r w:rsidR="007666D2">
              <w:rPr>
                <w:noProof/>
                <w:webHidden/>
              </w:rPr>
              <w:instrText xml:space="preserve"> PAGEREF _Toc522542390 \h </w:instrText>
            </w:r>
            <w:r w:rsidR="008B1796">
              <w:rPr>
                <w:noProof/>
                <w:webHidden/>
              </w:rPr>
            </w:r>
            <w:r w:rsidR="008B1796">
              <w:rPr>
                <w:noProof/>
                <w:webHidden/>
              </w:rPr>
              <w:fldChar w:fldCharType="separate"/>
            </w:r>
            <w:r w:rsidR="0037339D">
              <w:rPr>
                <w:noProof/>
                <w:webHidden/>
              </w:rPr>
              <w:t>9</w:t>
            </w:r>
            <w:r w:rsidR="008B1796">
              <w:rPr>
                <w:noProof/>
                <w:webHidden/>
              </w:rPr>
              <w:fldChar w:fldCharType="end"/>
            </w:r>
          </w:hyperlink>
        </w:p>
        <w:p w:rsidR="007666D2" w:rsidRDefault="003410F5">
          <w:pPr>
            <w:pStyle w:val="TOC1"/>
            <w:tabs>
              <w:tab w:val="right" w:leader="dot" w:pos="8290"/>
            </w:tabs>
            <w:rPr>
              <w:rFonts w:asciiTheme="minorHAnsi" w:hAnsiTheme="minorHAnsi"/>
              <w:noProof/>
              <w:szCs w:val="22"/>
              <w:lang w:val="de-DE" w:eastAsia="de-DE"/>
            </w:rPr>
          </w:pPr>
          <w:hyperlink w:anchor="_Toc522542391" w:history="1">
            <w:r w:rsidR="007666D2" w:rsidRPr="002B5844">
              <w:rPr>
                <w:rStyle w:val="Hyperlink"/>
                <w:noProof/>
              </w:rPr>
              <w:t>IV. Overviews of the Committee’s opinions, recommendations and views</w:t>
            </w:r>
            <w:r w:rsidR="007666D2">
              <w:rPr>
                <w:noProof/>
                <w:webHidden/>
              </w:rPr>
              <w:tab/>
            </w:r>
            <w:r w:rsidR="008B1796">
              <w:rPr>
                <w:noProof/>
                <w:webHidden/>
              </w:rPr>
              <w:fldChar w:fldCharType="begin"/>
            </w:r>
            <w:r w:rsidR="007666D2">
              <w:rPr>
                <w:noProof/>
                <w:webHidden/>
              </w:rPr>
              <w:instrText xml:space="preserve"> PAGEREF _Toc522542391 \h </w:instrText>
            </w:r>
            <w:r w:rsidR="008B1796">
              <w:rPr>
                <w:noProof/>
                <w:webHidden/>
              </w:rPr>
            </w:r>
            <w:r w:rsidR="008B1796">
              <w:rPr>
                <w:noProof/>
                <w:webHidden/>
              </w:rPr>
              <w:fldChar w:fldCharType="separate"/>
            </w:r>
            <w:r w:rsidR="0037339D">
              <w:rPr>
                <w:noProof/>
                <w:webHidden/>
              </w:rPr>
              <w:t>9</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392" w:history="1">
            <w:r w:rsidR="007666D2" w:rsidRPr="002B5844">
              <w:rPr>
                <w:rStyle w:val="Hyperlink"/>
                <w:noProof/>
              </w:rPr>
              <w:t>A. Understanding the rights of persons with disabilities</w:t>
            </w:r>
            <w:r w:rsidR="007666D2">
              <w:rPr>
                <w:noProof/>
                <w:webHidden/>
              </w:rPr>
              <w:tab/>
            </w:r>
            <w:r w:rsidR="008B1796">
              <w:rPr>
                <w:noProof/>
                <w:webHidden/>
              </w:rPr>
              <w:fldChar w:fldCharType="begin"/>
            </w:r>
            <w:r w:rsidR="007666D2">
              <w:rPr>
                <w:noProof/>
                <w:webHidden/>
              </w:rPr>
              <w:instrText xml:space="preserve"> PAGEREF _Toc522542392 \h </w:instrText>
            </w:r>
            <w:r w:rsidR="008B1796">
              <w:rPr>
                <w:noProof/>
                <w:webHidden/>
              </w:rPr>
            </w:r>
            <w:r w:rsidR="008B1796">
              <w:rPr>
                <w:noProof/>
                <w:webHidden/>
              </w:rPr>
              <w:fldChar w:fldCharType="separate"/>
            </w:r>
            <w:r w:rsidR="0037339D">
              <w:rPr>
                <w:noProof/>
                <w:webHidden/>
              </w:rPr>
              <w:t>9</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393" w:history="1">
            <w:r w:rsidR="007666D2" w:rsidRPr="002B5844">
              <w:rPr>
                <w:rStyle w:val="Hyperlink"/>
                <w:noProof/>
              </w:rPr>
              <w:t>i. New understanding of disability: the human rights model of disability</w:t>
            </w:r>
            <w:r w:rsidR="007666D2">
              <w:rPr>
                <w:noProof/>
                <w:webHidden/>
              </w:rPr>
              <w:tab/>
            </w:r>
            <w:r w:rsidR="008B1796">
              <w:rPr>
                <w:noProof/>
                <w:webHidden/>
              </w:rPr>
              <w:fldChar w:fldCharType="begin"/>
            </w:r>
            <w:r w:rsidR="007666D2">
              <w:rPr>
                <w:noProof/>
                <w:webHidden/>
              </w:rPr>
              <w:instrText xml:space="preserve"> PAGEREF _Toc522542393 \h </w:instrText>
            </w:r>
            <w:r w:rsidR="008B1796">
              <w:rPr>
                <w:noProof/>
                <w:webHidden/>
              </w:rPr>
            </w:r>
            <w:r w:rsidR="008B1796">
              <w:rPr>
                <w:noProof/>
                <w:webHidden/>
              </w:rPr>
              <w:fldChar w:fldCharType="separate"/>
            </w:r>
            <w:r w:rsidR="0037339D">
              <w:rPr>
                <w:noProof/>
                <w:webHidden/>
              </w:rPr>
              <w:t>9</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394" w:history="1">
            <w:r w:rsidR="007666D2" w:rsidRPr="002B5844">
              <w:rPr>
                <w:rStyle w:val="Hyperlink"/>
                <w:noProof/>
              </w:rPr>
              <w:t>ii. Application of a human rights based approach to disability</w:t>
            </w:r>
            <w:r w:rsidR="007666D2">
              <w:rPr>
                <w:noProof/>
                <w:webHidden/>
              </w:rPr>
              <w:tab/>
            </w:r>
            <w:r w:rsidR="008B1796">
              <w:rPr>
                <w:noProof/>
                <w:webHidden/>
              </w:rPr>
              <w:fldChar w:fldCharType="begin"/>
            </w:r>
            <w:r w:rsidR="007666D2">
              <w:rPr>
                <w:noProof/>
                <w:webHidden/>
              </w:rPr>
              <w:instrText xml:space="preserve"> PAGEREF _Toc522542394 \h </w:instrText>
            </w:r>
            <w:r w:rsidR="008B1796">
              <w:rPr>
                <w:noProof/>
                <w:webHidden/>
              </w:rPr>
            </w:r>
            <w:r w:rsidR="008B1796">
              <w:rPr>
                <w:noProof/>
                <w:webHidden/>
              </w:rPr>
              <w:fldChar w:fldCharType="separate"/>
            </w:r>
            <w:r w:rsidR="0037339D">
              <w:rPr>
                <w:noProof/>
                <w:webHidden/>
              </w:rPr>
              <w:t>10</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395" w:history="1">
            <w:r w:rsidR="007666D2" w:rsidRPr="002B5844">
              <w:rPr>
                <w:rStyle w:val="Hyperlink"/>
                <w:noProof/>
              </w:rPr>
              <w:t>B. P</w:t>
            </w:r>
            <w:r w:rsidR="00A7326F">
              <w:rPr>
                <w:rStyle w:val="Hyperlink"/>
                <w:noProof/>
              </w:rPr>
              <w:t>rincipal obligations of States P</w:t>
            </w:r>
            <w:r w:rsidR="007666D2" w:rsidRPr="002B5844">
              <w:rPr>
                <w:rStyle w:val="Hyperlink"/>
                <w:noProof/>
              </w:rPr>
              <w:t>arties</w:t>
            </w:r>
            <w:r w:rsidR="007666D2">
              <w:rPr>
                <w:noProof/>
                <w:webHidden/>
              </w:rPr>
              <w:tab/>
            </w:r>
            <w:r w:rsidR="008B1796">
              <w:rPr>
                <w:noProof/>
                <w:webHidden/>
              </w:rPr>
              <w:fldChar w:fldCharType="begin"/>
            </w:r>
            <w:r w:rsidR="007666D2">
              <w:rPr>
                <w:noProof/>
                <w:webHidden/>
              </w:rPr>
              <w:instrText xml:space="preserve"> PAGEREF _Toc522542395 \h </w:instrText>
            </w:r>
            <w:r w:rsidR="008B1796">
              <w:rPr>
                <w:noProof/>
                <w:webHidden/>
              </w:rPr>
            </w:r>
            <w:r w:rsidR="008B1796">
              <w:rPr>
                <w:noProof/>
                <w:webHidden/>
              </w:rPr>
              <w:fldChar w:fldCharType="separate"/>
            </w:r>
            <w:r w:rsidR="0037339D">
              <w:rPr>
                <w:noProof/>
                <w:webHidden/>
              </w:rPr>
              <w:t>11</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396" w:history="1">
            <w:r w:rsidR="007666D2" w:rsidRPr="002B5844">
              <w:rPr>
                <w:rStyle w:val="Hyperlink"/>
                <w:noProof/>
              </w:rPr>
              <w:t>i. General obligations (art</w:t>
            </w:r>
            <w:r w:rsidR="008C131A">
              <w:rPr>
                <w:rStyle w:val="Hyperlink"/>
                <w:noProof/>
              </w:rPr>
              <w:t>.</w:t>
            </w:r>
            <w:r w:rsidR="007666D2" w:rsidRPr="002B5844">
              <w:rPr>
                <w:rStyle w:val="Hyperlink"/>
                <w:noProof/>
              </w:rPr>
              <w:t xml:space="preserve"> 4)</w:t>
            </w:r>
            <w:r w:rsidR="007666D2">
              <w:rPr>
                <w:noProof/>
                <w:webHidden/>
              </w:rPr>
              <w:tab/>
            </w:r>
            <w:r w:rsidR="008B1796">
              <w:rPr>
                <w:noProof/>
                <w:webHidden/>
              </w:rPr>
              <w:fldChar w:fldCharType="begin"/>
            </w:r>
            <w:r w:rsidR="007666D2">
              <w:rPr>
                <w:noProof/>
                <w:webHidden/>
              </w:rPr>
              <w:instrText xml:space="preserve"> PAGEREF _Toc522542396 \h </w:instrText>
            </w:r>
            <w:r w:rsidR="008B1796">
              <w:rPr>
                <w:noProof/>
                <w:webHidden/>
              </w:rPr>
            </w:r>
            <w:r w:rsidR="008B1796">
              <w:rPr>
                <w:noProof/>
                <w:webHidden/>
              </w:rPr>
              <w:fldChar w:fldCharType="separate"/>
            </w:r>
            <w:r w:rsidR="0037339D">
              <w:rPr>
                <w:noProof/>
                <w:webHidden/>
              </w:rPr>
              <w:t>11</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397" w:history="1">
            <w:r w:rsidR="007666D2" w:rsidRPr="002B5844">
              <w:rPr>
                <w:rStyle w:val="Hyperlink"/>
                <w:noProof/>
                <w:lang w:val="en-GB"/>
              </w:rPr>
              <w:t>ii. Progressive realisation of economic, social and cultural rights (art</w:t>
            </w:r>
            <w:r w:rsidR="008C131A">
              <w:rPr>
                <w:rStyle w:val="Hyperlink"/>
                <w:noProof/>
                <w:lang w:val="en-GB"/>
              </w:rPr>
              <w:t>.</w:t>
            </w:r>
            <w:r w:rsidR="007666D2" w:rsidRPr="002B5844">
              <w:rPr>
                <w:rStyle w:val="Hyperlink"/>
                <w:noProof/>
                <w:lang w:val="en-GB"/>
              </w:rPr>
              <w:t xml:space="preserve"> 4.2)</w:t>
            </w:r>
            <w:r w:rsidR="007666D2">
              <w:rPr>
                <w:noProof/>
                <w:webHidden/>
              </w:rPr>
              <w:tab/>
            </w:r>
            <w:r w:rsidR="008B1796">
              <w:rPr>
                <w:noProof/>
                <w:webHidden/>
              </w:rPr>
              <w:fldChar w:fldCharType="begin"/>
            </w:r>
            <w:r w:rsidR="007666D2">
              <w:rPr>
                <w:noProof/>
                <w:webHidden/>
              </w:rPr>
              <w:instrText xml:space="preserve"> PAGEREF _Toc522542397 \h </w:instrText>
            </w:r>
            <w:r w:rsidR="008B1796">
              <w:rPr>
                <w:noProof/>
                <w:webHidden/>
              </w:rPr>
            </w:r>
            <w:r w:rsidR="008B1796">
              <w:rPr>
                <w:noProof/>
                <w:webHidden/>
              </w:rPr>
              <w:fldChar w:fldCharType="separate"/>
            </w:r>
            <w:r w:rsidR="0037339D">
              <w:rPr>
                <w:noProof/>
                <w:webHidden/>
              </w:rPr>
              <w:t>12</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398" w:history="1">
            <w:r w:rsidR="007666D2" w:rsidRPr="002B5844">
              <w:rPr>
                <w:rStyle w:val="Hyperlink"/>
                <w:noProof/>
              </w:rPr>
              <w:t>iii. National implementation and monitoring (art</w:t>
            </w:r>
            <w:r w:rsidR="008C131A">
              <w:rPr>
                <w:rStyle w:val="Hyperlink"/>
                <w:noProof/>
              </w:rPr>
              <w:t>.</w:t>
            </w:r>
            <w:r w:rsidR="007666D2" w:rsidRPr="002B5844">
              <w:rPr>
                <w:rStyle w:val="Hyperlink"/>
                <w:noProof/>
              </w:rPr>
              <w:t xml:space="preserve"> 33)</w:t>
            </w:r>
            <w:r w:rsidR="007666D2">
              <w:rPr>
                <w:noProof/>
                <w:webHidden/>
              </w:rPr>
              <w:tab/>
            </w:r>
            <w:r w:rsidR="008B1796">
              <w:rPr>
                <w:noProof/>
                <w:webHidden/>
              </w:rPr>
              <w:fldChar w:fldCharType="begin"/>
            </w:r>
            <w:r w:rsidR="007666D2">
              <w:rPr>
                <w:noProof/>
                <w:webHidden/>
              </w:rPr>
              <w:instrText xml:space="preserve"> PAGEREF _Toc522542398 \h </w:instrText>
            </w:r>
            <w:r w:rsidR="008B1796">
              <w:rPr>
                <w:noProof/>
                <w:webHidden/>
              </w:rPr>
            </w:r>
            <w:r w:rsidR="008B1796">
              <w:rPr>
                <w:noProof/>
                <w:webHidden/>
              </w:rPr>
              <w:fldChar w:fldCharType="separate"/>
            </w:r>
            <w:r w:rsidR="0037339D">
              <w:rPr>
                <w:noProof/>
                <w:webHidden/>
              </w:rPr>
              <w:t>13</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399" w:history="1">
            <w:r w:rsidR="007666D2" w:rsidRPr="002B5844">
              <w:rPr>
                <w:rStyle w:val="Hyperlink"/>
                <w:noProof/>
              </w:rPr>
              <w:t>iv. Awareness-raising (art</w:t>
            </w:r>
            <w:r w:rsidR="008C131A">
              <w:rPr>
                <w:rStyle w:val="Hyperlink"/>
                <w:noProof/>
              </w:rPr>
              <w:t>.</w:t>
            </w:r>
            <w:r w:rsidR="007666D2" w:rsidRPr="002B5844">
              <w:rPr>
                <w:rStyle w:val="Hyperlink"/>
                <w:noProof/>
              </w:rPr>
              <w:t xml:space="preserve"> 8)</w:t>
            </w:r>
            <w:r w:rsidR="007666D2">
              <w:rPr>
                <w:noProof/>
                <w:webHidden/>
              </w:rPr>
              <w:tab/>
            </w:r>
            <w:r w:rsidR="008B1796">
              <w:rPr>
                <w:noProof/>
                <w:webHidden/>
              </w:rPr>
              <w:fldChar w:fldCharType="begin"/>
            </w:r>
            <w:r w:rsidR="007666D2">
              <w:rPr>
                <w:noProof/>
                <w:webHidden/>
              </w:rPr>
              <w:instrText xml:space="preserve"> PAGEREF _Toc522542399 \h </w:instrText>
            </w:r>
            <w:r w:rsidR="008B1796">
              <w:rPr>
                <w:noProof/>
                <w:webHidden/>
              </w:rPr>
            </w:r>
            <w:r w:rsidR="008B1796">
              <w:rPr>
                <w:noProof/>
                <w:webHidden/>
              </w:rPr>
              <w:fldChar w:fldCharType="separate"/>
            </w:r>
            <w:r w:rsidR="0037339D">
              <w:rPr>
                <w:noProof/>
                <w:webHidden/>
              </w:rPr>
              <w:t>13</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00" w:history="1">
            <w:r w:rsidR="007666D2" w:rsidRPr="002B5844">
              <w:rPr>
                <w:rStyle w:val="Hyperlink"/>
                <w:noProof/>
              </w:rPr>
              <w:t>v. Data collection (art</w:t>
            </w:r>
            <w:r w:rsidR="008C131A">
              <w:rPr>
                <w:rStyle w:val="Hyperlink"/>
                <w:noProof/>
              </w:rPr>
              <w:t>.</w:t>
            </w:r>
            <w:r w:rsidR="007666D2" w:rsidRPr="002B5844">
              <w:rPr>
                <w:rStyle w:val="Hyperlink"/>
                <w:noProof/>
              </w:rPr>
              <w:t xml:space="preserve"> 31)</w:t>
            </w:r>
            <w:r w:rsidR="007666D2">
              <w:rPr>
                <w:noProof/>
                <w:webHidden/>
              </w:rPr>
              <w:tab/>
            </w:r>
            <w:r w:rsidR="008B1796">
              <w:rPr>
                <w:noProof/>
                <w:webHidden/>
              </w:rPr>
              <w:fldChar w:fldCharType="begin"/>
            </w:r>
            <w:r w:rsidR="007666D2">
              <w:rPr>
                <w:noProof/>
                <w:webHidden/>
              </w:rPr>
              <w:instrText xml:space="preserve"> PAGEREF _Toc522542400 \h </w:instrText>
            </w:r>
            <w:r w:rsidR="008B1796">
              <w:rPr>
                <w:noProof/>
                <w:webHidden/>
              </w:rPr>
            </w:r>
            <w:r w:rsidR="008B1796">
              <w:rPr>
                <w:noProof/>
                <w:webHidden/>
              </w:rPr>
              <w:fldChar w:fldCharType="separate"/>
            </w:r>
            <w:r w:rsidR="0037339D">
              <w:rPr>
                <w:noProof/>
                <w:webHidden/>
              </w:rPr>
              <w:t>14</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01" w:history="1">
            <w:r w:rsidR="007666D2" w:rsidRPr="002B5844">
              <w:rPr>
                <w:rStyle w:val="Hyperlink"/>
                <w:noProof/>
              </w:rPr>
              <w:t>vi. International cooperation (art</w:t>
            </w:r>
            <w:r w:rsidR="008C131A">
              <w:rPr>
                <w:rStyle w:val="Hyperlink"/>
                <w:noProof/>
              </w:rPr>
              <w:t>.</w:t>
            </w:r>
            <w:r w:rsidR="007666D2" w:rsidRPr="002B5844">
              <w:rPr>
                <w:rStyle w:val="Hyperlink"/>
                <w:noProof/>
              </w:rPr>
              <w:t xml:space="preserve"> 32)</w:t>
            </w:r>
            <w:r w:rsidR="007666D2">
              <w:rPr>
                <w:noProof/>
                <w:webHidden/>
              </w:rPr>
              <w:tab/>
            </w:r>
            <w:r w:rsidR="008B1796">
              <w:rPr>
                <w:noProof/>
                <w:webHidden/>
              </w:rPr>
              <w:fldChar w:fldCharType="begin"/>
            </w:r>
            <w:r w:rsidR="007666D2">
              <w:rPr>
                <w:noProof/>
                <w:webHidden/>
              </w:rPr>
              <w:instrText xml:space="preserve"> PAGEREF _Toc522542401 \h </w:instrText>
            </w:r>
            <w:r w:rsidR="008B1796">
              <w:rPr>
                <w:noProof/>
                <w:webHidden/>
              </w:rPr>
            </w:r>
            <w:r w:rsidR="008B1796">
              <w:rPr>
                <w:noProof/>
                <w:webHidden/>
              </w:rPr>
              <w:fldChar w:fldCharType="separate"/>
            </w:r>
            <w:r w:rsidR="0037339D">
              <w:rPr>
                <w:noProof/>
                <w:webHidden/>
              </w:rPr>
              <w:t>15</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402" w:history="1">
            <w:r w:rsidR="007666D2" w:rsidRPr="002B5844">
              <w:rPr>
                <w:rStyle w:val="Hyperlink"/>
                <w:noProof/>
              </w:rPr>
              <w:t>C. Role of persons with disabilities and their representative organizations</w:t>
            </w:r>
            <w:r w:rsidR="007666D2">
              <w:rPr>
                <w:noProof/>
                <w:webHidden/>
              </w:rPr>
              <w:tab/>
            </w:r>
            <w:r w:rsidR="008B1796">
              <w:rPr>
                <w:noProof/>
                <w:webHidden/>
              </w:rPr>
              <w:fldChar w:fldCharType="begin"/>
            </w:r>
            <w:r w:rsidR="007666D2">
              <w:rPr>
                <w:noProof/>
                <w:webHidden/>
              </w:rPr>
              <w:instrText xml:space="preserve"> PAGEREF _Toc522542402 \h </w:instrText>
            </w:r>
            <w:r w:rsidR="008B1796">
              <w:rPr>
                <w:noProof/>
                <w:webHidden/>
              </w:rPr>
            </w:r>
            <w:r w:rsidR="008B1796">
              <w:rPr>
                <w:noProof/>
                <w:webHidden/>
              </w:rPr>
              <w:fldChar w:fldCharType="separate"/>
            </w:r>
            <w:r w:rsidR="0037339D">
              <w:rPr>
                <w:noProof/>
                <w:webHidden/>
              </w:rPr>
              <w:t>16</w:t>
            </w:r>
            <w:r w:rsidR="008B1796">
              <w:rPr>
                <w:noProof/>
                <w:webHidden/>
              </w:rPr>
              <w:fldChar w:fldCharType="end"/>
            </w:r>
          </w:hyperlink>
        </w:p>
        <w:p w:rsidR="007666D2" w:rsidRDefault="003410F5" w:rsidP="008C131A">
          <w:pPr>
            <w:pStyle w:val="TOC3"/>
            <w:ind w:left="652" w:hanging="170"/>
            <w:rPr>
              <w:rFonts w:asciiTheme="minorHAnsi" w:hAnsiTheme="minorHAnsi"/>
              <w:noProof/>
              <w:szCs w:val="22"/>
              <w:lang w:val="de-DE" w:eastAsia="de-DE"/>
            </w:rPr>
          </w:pPr>
          <w:hyperlink w:anchor="_Toc522542403" w:history="1">
            <w:r w:rsidR="007666D2" w:rsidRPr="002B5844">
              <w:rPr>
                <w:rStyle w:val="Hyperlink"/>
                <w:noProof/>
              </w:rPr>
              <w:t>i. Participation of persons with disabilities in implementation and monitoring of the Convention at national level (art</w:t>
            </w:r>
            <w:r w:rsidR="008C131A">
              <w:rPr>
                <w:rStyle w:val="Hyperlink"/>
                <w:noProof/>
              </w:rPr>
              <w:t>.</w:t>
            </w:r>
            <w:r w:rsidR="007666D2" w:rsidRPr="002B5844">
              <w:rPr>
                <w:rStyle w:val="Hyperlink"/>
                <w:noProof/>
              </w:rPr>
              <w:t xml:space="preserve"> 4.3 and 33.3)</w:t>
            </w:r>
            <w:r w:rsidR="007666D2">
              <w:rPr>
                <w:noProof/>
                <w:webHidden/>
              </w:rPr>
              <w:tab/>
            </w:r>
            <w:r w:rsidR="008B1796">
              <w:rPr>
                <w:noProof/>
                <w:webHidden/>
              </w:rPr>
              <w:fldChar w:fldCharType="begin"/>
            </w:r>
            <w:r w:rsidR="007666D2">
              <w:rPr>
                <w:noProof/>
                <w:webHidden/>
              </w:rPr>
              <w:instrText xml:space="preserve"> PAGEREF _Toc522542403 \h </w:instrText>
            </w:r>
            <w:r w:rsidR="008B1796">
              <w:rPr>
                <w:noProof/>
                <w:webHidden/>
              </w:rPr>
            </w:r>
            <w:r w:rsidR="008B1796">
              <w:rPr>
                <w:noProof/>
                <w:webHidden/>
              </w:rPr>
              <w:fldChar w:fldCharType="separate"/>
            </w:r>
            <w:r w:rsidR="0037339D">
              <w:rPr>
                <w:noProof/>
                <w:webHidden/>
              </w:rPr>
              <w:t>16</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04" w:history="1">
            <w:r w:rsidR="007666D2" w:rsidRPr="002B5844">
              <w:rPr>
                <w:rStyle w:val="Hyperlink"/>
                <w:noProof/>
              </w:rPr>
              <w:t>ii. Participation of persons with disabilities in the work of the Committee</w:t>
            </w:r>
            <w:r w:rsidR="007666D2">
              <w:rPr>
                <w:noProof/>
                <w:webHidden/>
              </w:rPr>
              <w:tab/>
            </w:r>
            <w:r w:rsidR="008B1796">
              <w:rPr>
                <w:noProof/>
                <w:webHidden/>
              </w:rPr>
              <w:fldChar w:fldCharType="begin"/>
            </w:r>
            <w:r w:rsidR="007666D2">
              <w:rPr>
                <w:noProof/>
                <w:webHidden/>
              </w:rPr>
              <w:instrText xml:space="preserve"> PAGEREF _Toc522542404 \h </w:instrText>
            </w:r>
            <w:r w:rsidR="008B1796">
              <w:rPr>
                <w:noProof/>
                <w:webHidden/>
              </w:rPr>
            </w:r>
            <w:r w:rsidR="008B1796">
              <w:rPr>
                <w:noProof/>
                <w:webHidden/>
              </w:rPr>
              <w:fldChar w:fldCharType="separate"/>
            </w:r>
            <w:r w:rsidR="0037339D">
              <w:rPr>
                <w:noProof/>
                <w:webHidden/>
              </w:rPr>
              <w:t>18</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405" w:history="1">
            <w:r w:rsidR="007666D2" w:rsidRPr="002B5844">
              <w:rPr>
                <w:rStyle w:val="Hyperlink"/>
                <w:noProof/>
              </w:rPr>
              <w:t>D. Main crosscutting issues</w:t>
            </w:r>
            <w:r w:rsidR="007666D2">
              <w:rPr>
                <w:noProof/>
                <w:webHidden/>
              </w:rPr>
              <w:tab/>
            </w:r>
            <w:r w:rsidR="008B1796">
              <w:rPr>
                <w:noProof/>
                <w:webHidden/>
              </w:rPr>
              <w:fldChar w:fldCharType="begin"/>
            </w:r>
            <w:r w:rsidR="007666D2">
              <w:rPr>
                <w:noProof/>
                <w:webHidden/>
              </w:rPr>
              <w:instrText xml:space="preserve"> PAGEREF _Toc522542405 \h </w:instrText>
            </w:r>
            <w:r w:rsidR="008B1796">
              <w:rPr>
                <w:noProof/>
                <w:webHidden/>
              </w:rPr>
            </w:r>
            <w:r w:rsidR="008B1796">
              <w:rPr>
                <w:noProof/>
                <w:webHidden/>
              </w:rPr>
              <w:fldChar w:fldCharType="separate"/>
            </w:r>
            <w:r w:rsidR="0037339D">
              <w:rPr>
                <w:noProof/>
                <w:webHidden/>
              </w:rPr>
              <w:t>19</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06" w:history="1">
            <w:r w:rsidR="007666D2" w:rsidRPr="002B5844">
              <w:rPr>
                <w:rStyle w:val="Hyperlink"/>
                <w:noProof/>
              </w:rPr>
              <w:t>i. Equality, non-discrimination and reasonable accommodation (art</w:t>
            </w:r>
            <w:r w:rsidR="008C131A">
              <w:rPr>
                <w:rStyle w:val="Hyperlink"/>
                <w:noProof/>
              </w:rPr>
              <w:t>.</w:t>
            </w:r>
            <w:r w:rsidR="007666D2" w:rsidRPr="002B5844">
              <w:rPr>
                <w:rStyle w:val="Hyperlink"/>
                <w:noProof/>
              </w:rPr>
              <w:t xml:space="preserve"> 5)</w:t>
            </w:r>
            <w:r w:rsidR="007666D2">
              <w:rPr>
                <w:noProof/>
                <w:webHidden/>
              </w:rPr>
              <w:tab/>
            </w:r>
            <w:r w:rsidR="008B1796">
              <w:rPr>
                <w:noProof/>
                <w:webHidden/>
              </w:rPr>
              <w:fldChar w:fldCharType="begin"/>
            </w:r>
            <w:r w:rsidR="007666D2">
              <w:rPr>
                <w:noProof/>
                <w:webHidden/>
              </w:rPr>
              <w:instrText xml:space="preserve"> PAGEREF _Toc522542406 \h </w:instrText>
            </w:r>
            <w:r w:rsidR="008B1796">
              <w:rPr>
                <w:noProof/>
                <w:webHidden/>
              </w:rPr>
            </w:r>
            <w:r w:rsidR="008B1796">
              <w:rPr>
                <w:noProof/>
                <w:webHidden/>
              </w:rPr>
              <w:fldChar w:fldCharType="separate"/>
            </w:r>
            <w:r w:rsidR="0037339D">
              <w:rPr>
                <w:noProof/>
                <w:webHidden/>
              </w:rPr>
              <w:t>19</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07" w:history="1">
            <w:r w:rsidR="007666D2" w:rsidRPr="002B5844">
              <w:rPr>
                <w:rStyle w:val="Hyperlink"/>
                <w:noProof/>
              </w:rPr>
              <w:t>ii. Accessibility (art</w:t>
            </w:r>
            <w:r w:rsidR="008C131A">
              <w:rPr>
                <w:rStyle w:val="Hyperlink"/>
                <w:noProof/>
              </w:rPr>
              <w:t>.</w:t>
            </w:r>
            <w:r w:rsidR="007666D2" w:rsidRPr="002B5844">
              <w:rPr>
                <w:rStyle w:val="Hyperlink"/>
                <w:noProof/>
              </w:rPr>
              <w:t xml:space="preserve"> 9)</w:t>
            </w:r>
            <w:r w:rsidR="007666D2">
              <w:rPr>
                <w:noProof/>
                <w:webHidden/>
              </w:rPr>
              <w:tab/>
            </w:r>
            <w:r w:rsidR="008B1796">
              <w:rPr>
                <w:noProof/>
                <w:webHidden/>
              </w:rPr>
              <w:fldChar w:fldCharType="begin"/>
            </w:r>
            <w:r w:rsidR="007666D2">
              <w:rPr>
                <w:noProof/>
                <w:webHidden/>
              </w:rPr>
              <w:instrText xml:space="preserve"> PAGEREF _Toc522542407 \h </w:instrText>
            </w:r>
            <w:r w:rsidR="008B1796">
              <w:rPr>
                <w:noProof/>
                <w:webHidden/>
              </w:rPr>
            </w:r>
            <w:r w:rsidR="008B1796">
              <w:rPr>
                <w:noProof/>
                <w:webHidden/>
              </w:rPr>
              <w:fldChar w:fldCharType="separate"/>
            </w:r>
            <w:r w:rsidR="0037339D">
              <w:rPr>
                <w:noProof/>
                <w:webHidden/>
              </w:rPr>
              <w:t>21</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08" w:history="1">
            <w:r w:rsidR="007666D2" w:rsidRPr="002B5844">
              <w:rPr>
                <w:rStyle w:val="Hyperlink"/>
                <w:noProof/>
              </w:rPr>
              <w:t>iii. Diversity of persons with disabilities</w:t>
            </w:r>
            <w:r w:rsidR="007666D2">
              <w:rPr>
                <w:noProof/>
                <w:webHidden/>
              </w:rPr>
              <w:tab/>
            </w:r>
            <w:r w:rsidR="008B1796">
              <w:rPr>
                <w:noProof/>
                <w:webHidden/>
              </w:rPr>
              <w:fldChar w:fldCharType="begin"/>
            </w:r>
            <w:r w:rsidR="007666D2">
              <w:rPr>
                <w:noProof/>
                <w:webHidden/>
              </w:rPr>
              <w:instrText xml:space="preserve"> PAGEREF _Toc522542408 \h </w:instrText>
            </w:r>
            <w:r w:rsidR="008B1796">
              <w:rPr>
                <w:noProof/>
                <w:webHidden/>
              </w:rPr>
            </w:r>
            <w:r w:rsidR="008B1796">
              <w:rPr>
                <w:noProof/>
                <w:webHidden/>
              </w:rPr>
              <w:fldChar w:fldCharType="separate"/>
            </w:r>
            <w:r w:rsidR="0037339D">
              <w:rPr>
                <w:noProof/>
                <w:webHidden/>
              </w:rPr>
              <w:t>23</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09" w:history="1">
            <w:r w:rsidR="007666D2" w:rsidRPr="002B5844">
              <w:rPr>
                <w:rStyle w:val="Hyperlink"/>
                <w:noProof/>
              </w:rPr>
              <w:t>iv. Gender</w:t>
            </w:r>
            <w:r w:rsidR="007666D2">
              <w:rPr>
                <w:noProof/>
                <w:webHidden/>
              </w:rPr>
              <w:tab/>
            </w:r>
            <w:r w:rsidR="008B1796">
              <w:rPr>
                <w:noProof/>
                <w:webHidden/>
              </w:rPr>
              <w:fldChar w:fldCharType="begin"/>
            </w:r>
            <w:r w:rsidR="007666D2">
              <w:rPr>
                <w:noProof/>
                <w:webHidden/>
              </w:rPr>
              <w:instrText xml:space="preserve"> PAGEREF _Toc522542409 \h </w:instrText>
            </w:r>
            <w:r w:rsidR="008B1796">
              <w:rPr>
                <w:noProof/>
                <w:webHidden/>
              </w:rPr>
            </w:r>
            <w:r w:rsidR="008B1796">
              <w:rPr>
                <w:noProof/>
                <w:webHidden/>
              </w:rPr>
              <w:fldChar w:fldCharType="separate"/>
            </w:r>
            <w:r w:rsidR="0037339D">
              <w:rPr>
                <w:noProof/>
                <w:webHidden/>
              </w:rPr>
              <w:t>25</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410" w:history="1">
            <w:r w:rsidR="007666D2" w:rsidRPr="002B5844">
              <w:rPr>
                <w:rStyle w:val="Hyperlink"/>
                <w:noProof/>
              </w:rPr>
              <w:t>E. Topics addressed by the Committee</w:t>
            </w:r>
            <w:r w:rsidR="007666D2">
              <w:rPr>
                <w:noProof/>
                <w:webHidden/>
              </w:rPr>
              <w:tab/>
            </w:r>
            <w:r w:rsidR="008B1796">
              <w:rPr>
                <w:noProof/>
                <w:webHidden/>
              </w:rPr>
              <w:fldChar w:fldCharType="begin"/>
            </w:r>
            <w:r w:rsidR="007666D2">
              <w:rPr>
                <w:noProof/>
                <w:webHidden/>
              </w:rPr>
              <w:instrText xml:space="preserve"> PAGEREF _Toc522542410 \h </w:instrText>
            </w:r>
            <w:r w:rsidR="008B1796">
              <w:rPr>
                <w:noProof/>
                <w:webHidden/>
              </w:rPr>
            </w:r>
            <w:r w:rsidR="008B1796">
              <w:rPr>
                <w:noProof/>
                <w:webHidden/>
              </w:rPr>
              <w:fldChar w:fldCharType="separate"/>
            </w:r>
            <w:r w:rsidR="0037339D">
              <w:rPr>
                <w:noProof/>
                <w:webHidden/>
              </w:rPr>
              <w:t>26</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11" w:history="1">
            <w:r w:rsidR="007666D2" w:rsidRPr="002B5844">
              <w:rPr>
                <w:rStyle w:val="Hyperlink"/>
                <w:noProof/>
              </w:rPr>
              <w:t>i. Adequate standard of living and social protection (art</w:t>
            </w:r>
            <w:r w:rsidR="008C131A">
              <w:rPr>
                <w:rStyle w:val="Hyperlink"/>
                <w:noProof/>
              </w:rPr>
              <w:t xml:space="preserve">. </w:t>
            </w:r>
            <w:r w:rsidR="007666D2" w:rsidRPr="002B5844">
              <w:rPr>
                <w:rStyle w:val="Hyperlink"/>
                <w:noProof/>
              </w:rPr>
              <w:t>28)</w:t>
            </w:r>
            <w:r w:rsidR="007666D2">
              <w:rPr>
                <w:noProof/>
                <w:webHidden/>
              </w:rPr>
              <w:tab/>
            </w:r>
            <w:r w:rsidR="008B1796">
              <w:rPr>
                <w:noProof/>
                <w:webHidden/>
              </w:rPr>
              <w:fldChar w:fldCharType="begin"/>
            </w:r>
            <w:r w:rsidR="007666D2">
              <w:rPr>
                <w:noProof/>
                <w:webHidden/>
              </w:rPr>
              <w:instrText xml:space="preserve"> PAGEREF _Toc522542411 \h </w:instrText>
            </w:r>
            <w:r w:rsidR="008B1796">
              <w:rPr>
                <w:noProof/>
                <w:webHidden/>
              </w:rPr>
            </w:r>
            <w:r w:rsidR="008B1796">
              <w:rPr>
                <w:noProof/>
                <w:webHidden/>
              </w:rPr>
              <w:fldChar w:fldCharType="separate"/>
            </w:r>
            <w:r w:rsidR="0037339D">
              <w:rPr>
                <w:noProof/>
                <w:webHidden/>
              </w:rPr>
              <w:t>26</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12" w:history="1">
            <w:r w:rsidR="007666D2" w:rsidRPr="002B5844">
              <w:rPr>
                <w:rStyle w:val="Hyperlink"/>
                <w:noProof/>
              </w:rPr>
              <w:t>ii. Access to justice and procedural accommodation (art</w:t>
            </w:r>
            <w:r w:rsidR="008C131A">
              <w:rPr>
                <w:rStyle w:val="Hyperlink"/>
                <w:noProof/>
              </w:rPr>
              <w:t>.</w:t>
            </w:r>
            <w:r w:rsidR="007666D2" w:rsidRPr="002B5844">
              <w:rPr>
                <w:rStyle w:val="Hyperlink"/>
                <w:noProof/>
              </w:rPr>
              <w:t xml:space="preserve"> 13)</w:t>
            </w:r>
            <w:r w:rsidR="007666D2">
              <w:rPr>
                <w:noProof/>
                <w:webHidden/>
              </w:rPr>
              <w:tab/>
            </w:r>
            <w:r w:rsidR="008B1796">
              <w:rPr>
                <w:noProof/>
                <w:webHidden/>
              </w:rPr>
              <w:fldChar w:fldCharType="begin"/>
            </w:r>
            <w:r w:rsidR="007666D2">
              <w:rPr>
                <w:noProof/>
                <w:webHidden/>
              </w:rPr>
              <w:instrText xml:space="preserve"> PAGEREF _Toc522542412 \h </w:instrText>
            </w:r>
            <w:r w:rsidR="008B1796">
              <w:rPr>
                <w:noProof/>
                <w:webHidden/>
              </w:rPr>
            </w:r>
            <w:r w:rsidR="008B1796">
              <w:rPr>
                <w:noProof/>
                <w:webHidden/>
              </w:rPr>
              <w:fldChar w:fldCharType="separate"/>
            </w:r>
            <w:r w:rsidR="0037339D">
              <w:rPr>
                <w:noProof/>
                <w:webHidden/>
              </w:rPr>
              <w:t>27</w:t>
            </w:r>
            <w:r w:rsidR="008B1796">
              <w:rPr>
                <w:noProof/>
                <w:webHidden/>
              </w:rPr>
              <w:fldChar w:fldCharType="end"/>
            </w:r>
          </w:hyperlink>
        </w:p>
        <w:p w:rsidR="007666D2" w:rsidRDefault="003410F5" w:rsidP="008C131A">
          <w:pPr>
            <w:pStyle w:val="TOC3"/>
            <w:ind w:left="766" w:hanging="284"/>
            <w:rPr>
              <w:rFonts w:asciiTheme="minorHAnsi" w:hAnsiTheme="minorHAnsi"/>
              <w:noProof/>
              <w:szCs w:val="22"/>
              <w:lang w:val="de-DE" w:eastAsia="de-DE"/>
            </w:rPr>
          </w:pPr>
          <w:hyperlink w:anchor="_Toc522542413" w:history="1">
            <w:r w:rsidR="007666D2" w:rsidRPr="002B5844">
              <w:rPr>
                <w:rStyle w:val="Hyperlink"/>
                <w:noProof/>
              </w:rPr>
              <w:t>iii. Rights to liberty and security (art</w:t>
            </w:r>
            <w:r w:rsidR="008C131A">
              <w:rPr>
                <w:rStyle w:val="Hyperlink"/>
                <w:noProof/>
              </w:rPr>
              <w:t>.</w:t>
            </w:r>
            <w:r w:rsidR="007666D2" w:rsidRPr="002B5844">
              <w:rPr>
                <w:rStyle w:val="Hyperlink"/>
                <w:noProof/>
              </w:rPr>
              <w:t xml:space="preserve"> 14) and living independently and being included in the community (art</w:t>
            </w:r>
            <w:r w:rsidR="008C131A">
              <w:rPr>
                <w:rStyle w:val="Hyperlink"/>
                <w:noProof/>
              </w:rPr>
              <w:t>.</w:t>
            </w:r>
            <w:r w:rsidR="007666D2" w:rsidRPr="002B5844">
              <w:rPr>
                <w:rStyle w:val="Hyperlink"/>
                <w:noProof/>
              </w:rPr>
              <w:t xml:space="preserve"> 19): the road to deinstitutionalization</w:t>
            </w:r>
            <w:r w:rsidR="007666D2">
              <w:rPr>
                <w:noProof/>
                <w:webHidden/>
              </w:rPr>
              <w:tab/>
            </w:r>
            <w:r w:rsidR="008B1796">
              <w:rPr>
                <w:noProof/>
                <w:webHidden/>
              </w:rPr>
              <w:fldChar w:fldCharType="begin"/>
            </w:r>
            <w:r w:rsidR="007666D2">
              <w:rPr>
                <w:noProof/>
                <w:webHidden/>
              </w:rPr>
              <w:instrText xml:space="preserve"> PAGEREF _Toc522542413 \h </w:instrText>
            </w:r>
            <w:r w:rsidR="008B1796">
              <w:rPr>
                <w:noProof/>
                <w:webHidden/>
              </w:rPr>
            </w:r>
            <w:r w:rsidR="008B1796">
              <w:rPr>
                <w:noProof/>
                <w:webHidden/>
              </w:rPr>
              <w:fldChar w:fldCharType="separate"/>
            </w:r>
            <w:r w:rsidR="0037339D">
              <w:rPr>
                <w:noProof/>
                <w:webHidden/>
              </w:rPr>
              <w:t>29</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14" w:history="1">
            <w:r w:rsidR="007666D2" w:rsidRPr="002B5844">
              <w:rPr>
                <w:rStyle w:val="Hyperlink"/>
                <w:noProof/>
              </w:rPr>
              <w:t>iv. Equal recognition before the law and supported decision-making (art</w:t>
            </w:r>
            <w:r w:rsidR="008C131A">
              <w:rPr>
                <w:rStyle w:val="Hyperlink"/>
                <w:noProof/>
              </w:rPr>
              <w:t>.</w:t>
            </w:r>
            <w:r w:rsidR="007666D2" w:rsidRPr="002B5844">
              <w:rPr>
                <w:rStyle w:val="Hyperlink"/>
                <w:noProof/>
              </w:rPr>
              <w:t xml:space="preserve"> 12)</w:t>
            </w:r>
            <w:r w:rsidR="007666D2">
              <w:rPr>
                <w:noProof/>
                <w:webHidden/>
              </w:rPr>
              <w:tab/>
            </w:r>
            <w:r w:rsidR="008B1796">
              <w:rPr>
                <w:noProof/>
                <w:webHidden/>
              </w:rPr>
              <w:fldChar w:fldCharType="begin"/>
            </w:r>
            <w:r w:rsidR="007666D2">
              <w:rPr>
                <w:noProof/>
                <w:webHidden/>
              </w:rPr>
              <w:instrText xml:space="preserve"> PAGEREF _Toc522542414 \h </w:instrText>
            </w:r>
            <w:r w:rsidR="008B1796">
              <w:rPr>
                <w:noProof/>
                <w:webHidden/>
              </w:rPr>
            </w:r>
            <w:r w:rsidR="008B1796">
              <w:rPr>
                <w:noProof/>
                <w:webHidden/>
              </w:rPr>
              <w:fldChar w:fldCharType="separate"/>
            </w:r>
            <w:r w:rsidR="0037339D">
              <w:rPr>
                <w:noProof/>
                <w:webHidden/>
              </w:rPr>
              <w:t>29</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15" w:history="1">
            <w:r w:rsidR="007666D2" w:rsidRPr="002B5844">
              <w:rPr>
                <w:rStyle w:val="Hyperlink"/>
                <w:noProof/>
              </w:rPr>
              <w:t>v. Right to life and freedom from abuses, violence and harmful practices in all settings (art</w:t>
            </w:r>
            <w:r w:rsidR="008C131A">
              <w:rPr>
                <w:rStyle w:val="Hyperlink"/>
                <w:noProof/>
              </w:rPr>
              <w:t>.</w:t>
            </w:r>
            <w:r w:rsidR="007666D2" w:rsidRPr="002B5844">
              <w:rPr>
                <w:rStyle w:val="Hyperlink"/>
                <w:noProof/>
              </w:rPr>
              <w:t xml:space="preserve"> 10, 16, 17)</w:t>
            </w:r>
            <w:r w:rsidR="007666D2">
              <w:rPr>
                <w:noProof/>
                <w:webHidden/>
              </w:rPr>
              <w:tab/>
            </w:r>
            <w:r w:rsidR="008B1796">
              <w:rPr>
                <w:noProof/>
                <w:webHidden/>
              </w:rPr>
              <w:fldChar w:fldCharType="begin"/>
            </w:r>
            <w:r w:rsidR="007666D2">
              <w:rPr>
                <w:noProof/>
                <w:webHidden/>
              </w:rPr>
              <w:instrText xml:space="preserve"> PAGEREF _Toc522542415 \h </w:instrText>
            </w:r>
            <w:r w:rsidR="008B1796">
              <w:rPr>
                <w:noProof/>
                <w:webHidden/>
              </w:rPr>
            </w:r>
            <w:r w:rsidR="008B1796">
              <w:rPr>
                <w:noProof/>
                <w:webHidden/>
              </w:rPr>
              <w:fldChar w:fldCharType="separate"/>
            </w:r>
            <w:r w:rsidR="0037339D">
              <w:rPr>
                <w:noProof/>
                <w:webHidden/>
              </w:rPr>
              <w:t>31</w:t>
            </w:r>
            <w:r w:rsidR="008B1796">
              <w:rPr>
                <w:noProof/>
                <w:webHidden/>
              </w:rPr>
              <w:fldChar w:fldCharType="end"/>
            </w:r>
          </w:hyperlink>
        </w:p>
        <w:p w:rsidR="007666D2" w:rsidRDefault="003410F5" w:rsidP="008C131A">
          <w:pPr>
            <w:pStyle w:val="TOC3"/>
            <w:ind w:left="766" w:hanging="284"/>
            <w:rPr>
              <w:rFonts w:asciiTheme="minorHAnsi" w:hAnsiTheme="minorHAnsi"/>
              <w:noProof/>
              <w:szCs w:val="22"/>
              <w:lang w:val="de-DE" w:eastAsia="de-DE"/>
            </w:rPr>
          </w:pPr>
          <w:hyperlink w:anchor="_Toc522542416" w:history="1">
            <w:r w:rsidR="007666D2" w:rsidRPr="002B5844">
              <w:rPr>
                <w:rStyle w:val="Hyperlink"/>
                <w:noProof/>
              </w:rPr>
              <w:t>vi. Health (art</w:t>
            </w:r>
            <w:r w:rsidR="008C131A">
              <w:rPr>
                <w:rStyle w:val="Hyperlink"/>
                <w:noProof/>
              </w:rPr>
              <w:t>.</w:t>
            </w:r>
            <w:r w:rsidR="007666D2" w:rsidRPr="002B5844">
              <w:rPr>
                <w:rStyle w:val="Hyperlink"/>
                <w:noProof/>
              </w:rPr>
              <w:t xml:space="preserve"> 25), habilitation and rehabilitation (art</w:t>
            </w:r>
            <w:r w:rsidR="008C131A">
              <w:rPr>
                <w:rStyle w:val="Hyperlink"/>
                <w:noProof/>
              </w:rPr>
              <w:t>.</w:t>
            </w:r>
            <w:r w:rsidR="007666D2" w:rsidRPr="002B5844">
              <w:rPr>
                <w:rStyle w:val="Hyperlink"/>
                <w:noProof/>
              </w:rPr>
              <w:t xml:space="preserve"> 26) and prohibition of forced placement and treatment (art</w:t>
            </w:r>
            <w:r w:rsidR="008C131A">
              <w:rPr>
                <w:rStyle w:val="Hyperlink"/>
                <w:noProof/>
              </w:rPr>
              <w:t>.</w:t>
            </w:r>
            <w:r w:rsidR="007666D2" w:rsidRPr="002B5844">
              <w:rPr>
                <w:rStyle w:val="Hyperlink"/>
                <w:noProof/>
              </w:rPr>
              <w:t xml:space="preserve"> 12, 14, 15, 16 and 17)</w:t>
            </w:r>
            <w:r w:rsidR="007666D2">
              <w:rPr>
                <w:noProof/>
                <w:webHidden/>
              </w:rPr>
              <w:tab/>
            </w:r>
            <w:r w:rsidR="008B1796">
              <w:rPr>
                <w:noProof/>
                <w:webHidden/>
              </w:rPr>
              <w:fldChar w:fldCharType="begin"/>
            </w:r>
            <w:r w:rsidR="007666D2">
              <w:rPr>
                <w:noProof/>
                <w:webHidden/>
              </w:rPr>
              <w:instrText xml:space="preserve"> PAGEREF _Toc522542416 \h </w:instrText>
            </w:r>
            <w:r w:rsidR="008B1796">
              <w:rPr>
                <w:noProof/>
                <w:webHidden/>
              </w:rPr>
            </w:r>
            <w:r w:rsidR="008B1796">
              <w:rPr>
                <w:noProof/>
                <w:webHidden/>
              </w:rPr>
              <w:fldChar w:fldCharType="separate"/>
            </w:r>
            <w:r w:rsidR="0037339D">
              <w:rPr>
                <w:noProof/>
                <w:webHidden/>
              </w:rPr>
              <w:t>32</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17" w:history="1">
            <w:r w:rsidR="007666D2" w:rsidRPr="002B5844">
              <w:rPr>
                <w:rStyle w:val="Hyperlink"/>
                <w:noProof/>
              </w:rPr>
              <w:t>vii. Inclusive education (art</w:t>
            </w:r>
            <w:r w:rsidR="008C131A">
              <w:rPr>
                <w:rStyle w:val="Hyperlink"/>
                <w:noProof/>
              </w:rPr>
              <w:t>.</w:t>
            </w:r>
            <w:r w:rsidR="007666D2" w:rsidRPr="002B5844">
              <w:rPr>
                <w:rStyle w:val="Hyperlink"/>
                <w:noProof/>
              </w:rPr>
              <w:t xml:space="preserve"> 24)</w:t>
            </w:r>
            <w:r w:rsidR="007666D2">
              <w:rPr>
                <w:noProof/>
                <w:webHidden/>
              </w:rPr>
              <w:tab/>
            </w:r>
            <w:r w:rsidR="008B1796">
              <w:rPr>
                <w:noProof/>
                <w:webHidden/>
              </w:rPr>
              <w:fldChar w:fldCharType="begin"/>
            </w:r>
            <w:r w:rsidR="007666D2">
              <w:rPr>
                <w:noProof/>
                <w:webHidden/>
              </w:rPr>
              <w:instrText xml:space="preserve"> PAGEREF _Toc522542417 \h </w:instrText>
            </w:r>
            <w:r w:rsidR="008B1796">
              <w:rPr>
                <w:noProof/>
                <w:webHidden/>
              </w:rPr>
            </w:r>
            <w:r w:rsidR="008B1796">
              <w:rPr>
                <w:noProof/>
                <w:webHidden/>
              </w:rPr>
              <w:fldChar w:fldCharType="separate"/>
            </w:r>
            <w:r w:rsidR="0037339D">
              <w:rPr>
                <w:noProof/>
                <w:webHidden/>
              </w:rPr>
              <w:t>34</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18" w:history="1">
            <w:r w:rsidR="007666D2" w:rsidRPr="002B5844">
              <w:rPr>
                <w:rStyle w:val="Hyperlink"/>
                <w:noProof/>
              </w:rPr>
              <w:t>viii. Situation of risks and emergencies (art</w:t>
            </w:r>
            <w:r w:rsidR="008C131A">
              <w:rPr>
                <w:rStyle w:val="Hyperlink"/>
                <w:noProof/>
              </w:rPr>
              <w:t xml:space="preserve">. </w:t>
            </w:r>
            <w:r w:rsidR="007666D2" w:rsidRPr="002B5844">
              <w:rPr>
                <w:rStyle w:val="Hyperlink"/>
                <w:noProof/>
              </w:rPr>
              <w:t>11)</w:t>
            </w:r>
            <w:r w:rsidR="007666D2">
              <w:rPr>
                <w:noProof/>
                <w:webHidden/>
              </w:rPr>
              <w:tab/>
            </w:r>
            <w:r w:rsidR="008B1796">
              <w:rPr>
                <w:noProof/>
                <w:webHidden/>
              </w:rPr>
              <w:fldChar w:fldCharType="begin"/>
            </w:r>
            <w:r w:rsidR="007666D2">
              <w:rPr>
                <w:noProof/>
                <w:webHidden/>
              </w:rPr>
              <w:instrText xml:space="preserve"> PAGEREF _Toc522542418 \h </w:instrText>
            </w:r>
            <w:r w:rsidR="008B1796">
              <w:rPr>
                <w:noProof/>
                <w:webHidden/>
              </w:rPr>
            </w:r>
            <w:r w:rsidR="008B1796">
              <w:rPr>
                <w:noProof/>
                <w:webHidden/>
              </w:rPr>
              <w:fldChar w:fldCharType="separate"/>
            </w:r>
            <w:r w:rsidR="0037339D">
              <w:rPr>
                <w:noProof/>
                <w:webHidden/>
              </w:rPr>
              <w:t>35</w:t>
            </w:r>
            <w:r w:rsidR="008B1796">
              <w:rPr>
                <w:noProof/>
                <w:webHidden/>
              </w:rPr>
              <w:fldChar w:fldCharType="end"/>
            </w:r>
          </w:hyperlink>
        </w:p>
        <w:p w:rsidR="007666D2" w:rsidRDefault="003410F5" w:rsidP="008C131A">
          <w:pPr>
            <w:pStyle w:val="TOC3"/>
            <w:rPr>
              <w:rFonts w:asciiTheme="minorHAnsi" w:hAnsiTheme="minorHAnsi"/>
              <w:noProof/>
              <w:szCs w:val="22"/>
              <w:lang w:val="de-DE" w:eastAsia="de-DE"/>
            </w:rPr>
          </w:pPr>
          <w:hyperlink w:anchor="_Toc522542419" w:history="1">
            <w:r w:rsidR="007666D2" w:rsidRPr="002B5844">
              <w:rPr>
                <w:rStyle w:val="Hyperlink"/>
                <w:noProof/>
              </w:rPr>
              <w:t>ix. Work and employment (art</w:t>
            </w:r>
            <w:r w:rsidR="008C131A">
              <w:rPr>
                <w:rStyle w:val="Hyperlink"/>
                <w:noProof/>
              </w:rPr>
              <w:t>.</w:t>
            </w:r>
            <w:r w:rsidR="007666D2" w:rsidRPr="002B5844">
              <w:rPr>
                <w:rStyle w:val="Hyperlink"/>
                <w:noProof/>
              </w:rPr>
              <w:t xml:space="preserve"> 27)</w:t>
            </w:r>
            <w:r w:rsidR="007666D2">
              <w:rPr>
                <w:noProof/>
                <w:webHidden/>
              </w:rPr>
              <w:tab/>
            </w:r>
            <w:r w:rsidR="008B1796">
              <w:rPr>
                <w:noProof/>
                <w:webHidden/>
              </w:rPr>
              <w:fldChar w:fldCharType="begin"/>
            </w:r>
            <w:r w:rsidR="007666D2">
              <w:rPr>
                <w:noProof/>
                <w:webHidden/>
              </w:rPr>
              <w:instrText xml:space="preserve"> PAGEREF _Toc522542419 \h </w:instrText>
            </w:r>
            <w:r w:rsidR="008B1796">
              <w:rPr>
                <w:noProof/>
                <w:webHidden/>
              </w:rPr>
            </w:r>
            <w:r w:rsidR="008B1796">
              <w:rPr>
                <w:noProof/>
                <w:webHidden/>
              </w:rPr>
              <w:fldChar w:fldCharType="separate"/>
            </w:r>
            <w:r w:rsidR="0037339D">
              <w:rPr>
                <w:noProof/>
                <w:webHidden/>
              </w:rPr>
              <w:t>36</w:t>
            </w:r>
            <w:r w:rsidR="008B1796">
              <w:rPr>
                <w:noProof/>
                <w:webHidden/>
              </w:rPr>
              <w:fldChar w:fldCharType="end"/>
            </w:r>
          </w:hyperlink>
        </w:p>
        <w:p w:rsidR="007666D2" w:rsidRDefault="003410F5" w:rsidP="008C131A">
          <w:pPr>
            <w:pStyle w:val="TOC2"/>
            <w:rPr>
              <w:rFonts w:asciiTheme="minorHAnsi" w:hAnsiTheme="minorHAnsi"/>
              <w:noProof/>
              <w:szCs w:val="22"/>
              <w:lang w:val="de-DE" w:eastAsia="de-DE"/>
            </w:rPr>
          </w:pPr>
          <w:hyperlink w:anchor="_Toc522542420" w:history="1">
            <w:r w:rsidR="007666D2" w:rsidRPr="002B5844">
              <w:rPr>
                <w:rStyle w:val="Hyperlink"/>
                <w:noProof/>
              </w:rPr>
              <w:t>F. Leaving no one behind: the rights of persons with disabilities in the international development agenda</w:t>
            </w:r>
            <w:r w:rsidR="007666D2">
              <w:rPr>
                <w:noProof/>
                <w:webHidden/>
              </w:rPr>
              <w:tab/>
            </w:r>
            <w:r w:rsidR="008B1796">
              <w:rPr>
                <w:noProof/>
                <w:webHidden/>
              </w:rPr>
              <w:fldChar w:fldCharType="begin"/>
            </w:r>
            <w:r w:rsidR="007666D2">
              <w:rPr>
                <w:noProof/>
                <w:webHidden/>
              </w:rPr>
              <w:instrText xml:space="preserve"> PAGEREF _Toc522542420 \h </w:instrText>
            </w:r>
            <w:r w:rsidR="008B1796">
              <w:rPr>
                <w:noProof/>
                <w:webHidden/>
              </w:rPr>
            </w:r>
            <w:r w:rsidR="008B1796">
              <w:rPr>
                <w:noProof/>
                <w:webHidden/>
              </w:rPr>
              <w:fldChar w:fldCharType="separate"/>
            </w:r>
            <w:r w:rsidR="0037339D">
              <w:rPr>
                <w:noProof/>
                <w:webHidden/>
              </w:rPr>
              <w:t>37</w:t>
            </w:r>
            <w:r w:rsidR="008B1796">
              <w:rPr>
                <w:noProof/>
                <w:webHidden/>
              </w:rPr>
              <w:fldChar w:fldCharType="end"/>
            </w:r>
          </w:hyperlink>
        </w:p>
        <w:p w:rsidR="007666D2" w:rsidRDefault="008B1796">
          <w:r>
            <w:rPr>
              <w:b/>
              <w:bCs/>
            </w:rPr>
            <w:fldChar w:fldCharType="end"/>
          </w:r>
        </w:p>
      </w:sdtContent>
    </w:sdt>
    <w:p w:rsidR="001E3A2D" w:rsidRDefault="001E3A2D">
      <w:pPr>
        <w:rPr>
          <w:rFonts w:cs="Arial"/>
          <w:b/>
          <w:bCs/>
          <w:sz w:val="28"/>
          <w:szCs w:val="28"/>
        </w:rPr>
      </w:pPr>
      <w:r>
        <w:rPr>
          <w:rFonts w:cs="Arial"/>
          <w:b/>
          <w:bCs/>
          <w:sz w:val="28"/>
          <w:szCs w:val="28"/>
        </w:rPr>
        <w:br w:type="page"/>
      </w:r>
    </w:p>
    <w:p w:rsidR="009A2929" w:rsidRPr="00995477" w:rsidRDefault="009A2929" w:rsidP="001E3A2D">
      <w:pPr>
        <w:pStyle w:val="Heading1"/>
      </w:pPr>
      <w:bookmarkStart w:id="1" w:name="_Toc522542382"/>
      <w:r w:rsidRPr="009933EB">
        <w:t>I. Introduction</w:t>
      </w:r>
      <w:bookmarkEnd w:id="1"/>
      <w:r w:rsidRPr="00995477">
        <w:rPr>
          <w:sz w:val="22"/>
          <w:szCs w:val="22"/>
        </w:rPr>
        <w:t xml:space="preserve"> </w:t>
      </w:r>
    </w:p>
    <w:p w:rsidR="001E3A2D" w:rsidRDefault="00676354" w:rsidP="001E3A2D">
      <w:r>
        <w:t xml:space="preserve">1. </w:t>
      </w:r>
      <w:r w:rsidR="000555C2" w:rsidRPr="00A57187">
        <w:t>October 2018 mark</w:t>
      </w:r>
      <w:r w:rsidR="00A4001D" w:rsidRPr="00A57187">
        <w:t>s</w:t>
      </w:r>
      <w:r w:rsidR="000555C2" w:rsidRPr="00A57187">
        <w:t xml:space="preserve"> the 10</w:t>
      </w:r>
      <w:r w:rsidR="000555C2" w:rsidRPr="00A57187">
        <w:rPr>
          <w:vertAlign w:val="superscript"/>
        </w:rPr>
        <w:t>th</w:t>
      </w:r>
      <w:r w:rsidR="000555C2" w:rsidRPr="00A57187">
        <w:t xml:space="preserve"> anniversary of the Committee on the Rights of Persons wit</w:t>
      </w:r>
      <w:r w:rsidR="009933EB" w:rsidRPr="00A57187">
        <w:t>h Disabilities (the “CRPD Committee”).</w:t>
      </w:r>
      <w:r w:rsidR="000555C2" w:rsidRPr="00A57187">
        <w:t xml:space="preserve"> </w:t>
      </w:r>
      <w:r w:rsidR="009933EB" w:rsidRPr="00A57187">
        <w:t>This Committee composed of 18</w:t>
      </w:r>
      <w:r w:rsidR="00766D57" w:rsidRPr="00A57187">
        <w:t xml:space="preserve"> elected</w:t>
      </w:r>
      <w:r w:rsidR="001E58B0" w:rsidRPr="00A57187">
        <w:t xml:space="preserve"> </w:t>
      </w:r>
      <w:r w:rsidR="00766D57" w:rsidRPr="00A57187">
        <w:t xml:space="preserve">and independent </w:t>
      </w:r>
      <w:r w:rsidR="001E58B0" w:rsidRPr="00A57187">
        <w:t>disability rights</w:t>
      </w:r>
      <w:r w:rsidR="009933EB" w:rsidRPr="00A57187">
        <w:t xml:space="preserve"> experts </w:t>
      </w:r>
      <w:r w:rsidR="000555C2" w:rsidRPr="00A57187">
        <w:t>was established</w:t>
      </w:r>
      <w:r w:rsidR="000555C2" w:rsidRPr="000555C2">
        <w:t xml:space="preserve"> in October 2008 to monitor the implementation of the Convention on the Rights of Persons with Disabilities (</w:t>
      </w:r>
      <w:r w:rsidR="00766D57">
        <w:t>the “</w:t>
      </w:r>
      <w:r w:rsidR="000555C2" w:rsidRPr="000555C2">
        <w:t>CRPD</w:t>
      </w:r>
      <w:r w:rsidR="00766D57">
        <w:t>”</w:t>
      </w:r>
      <w:r w:rsidR="000555C2" w:rsidRPr="000555C2">
        <w:t>)</w:t>
      </w:r>
      <w:r w:rsidR="000555C2">
        <w:t xml:space="preserve"> and its Optional Protocol</w:t>
      </w:r>
      <w:r w:rsidR="000555C2" w:rsidRPr="000555C2">
        <w:t xml:space="preserve"> </w:t>
      </w:r>
      <w:r w:rsidR="001E58B0">
        <w:t xml:space="preserve">both </w:t>
      </w:r>
      <w:r w:rsidR="000555C2" w:rsidRPr="000555C2">
        <w:t>adopted on 13 December 2006 and in force since 3 May 2008</w:t>
      </w:r>
      <w:r w:rsidR="00766D57">
        <w:t xml:space="preserve">. </w:t>
      </w:r>
    </w:p>
    <w:p w:rsidR="001E3A2D" w:rsidRDefault="00676354" w:rsidP="001E3A2D">
      <w:r>
        <w:t xml:space="preserve">2. </w:t>
      </w:r>
      <w:r w:rsidR="003259A1">
        <w:t>The CRPD is</w:t>
      </w:r>
      <w:r w:rsidR="003259A1" w:rsidRPr="003259A1">
        <w:t xml:space="preserve"> the most swiftly ratified international human rights treaty with</w:t>
      </w:r>
      <w:r w:rsidR="00372E27">
        <w:t>,</w:t>
      </w:r>
      <w:r w:rsidR="003259A1" w:rsidRPr="003259A1">
        <w:t xml:space="preserve"> as of May 2018</w:t>
      </w:r>
      <w:r w:rsidR="00372E27">
        <w:t>,</w:t>
      </w:r>
      <w:r w:rsidR="003259A1" w:rsidRPr="003259A1">
        <w:t xml:space="preserve"> 161 signatories and 177 ratifications/accessions</w:t>
      </w:r>
      <w:r w:rsidR="003259A1">
        <w:t xml:space="preserve">. </w:t>
      </w:r>
      <w:r w:rsidR="006969E2">
        <w:t>Its</w:t>
      </w:r>
      <w:r w:rsidR="000555C2" w:rsidRPr="000555C2">
        <w:t xml:space="preserve"> Committee holds two regular sessions per year</w:t>
      </w:r>
      <w:r w:rsidR="006969E2">
        <w:t xml:space="preserve"> in Geneva during which it considers and reviews periodical reports of States </w:t>
      </w:r>
      <w:r w:rsidR="00596BA2">
        <w:t>Parties</w:t>
      </w:r>
      <w:r w:rsidR="006969E2" w:rsidRPr="000555C2">
        <w:t>, produce</w:t>
      </w:r>
      <w:r w:rsidR="006969E2">
        <w:t>s</w:t>
      </w:r>
      <w:r w:rsidR="006969E2" w:rsidRPr="000555C2">
        <w:t xml:space="preserve"> guidelines and gene</w:t>
      </w:r>
      <w:r w:rsidR="006969E2">
        <w:t>ral comments, and considers</w:t>
      </w:r>
      <w:r w:rsidR="006969E2" w:rsidRPr="000555C2">
        <w:t xml:space="preserve"> individual communications and inquiries related to violations of provisions of the Convention. </w:t>
      </w:r>
      <w:r w:rsidR="006969E2">
        <w:t>Between</w:t>
      </w:r>
      <w:r w:rsidR="000555C2" w:rsidRPr="000555C2">
        <w:t xml:space="preserve"> February 2009</w:t>
      </w:r>
      <w:r w:rsidR="006969E2">
        <w:t xml:space="preserve"> and March 2018</w:t>
      </w:r>
      <w:r w:rsidR="000555C2" w:rsidRPr="000555C2">
        <w:t xml:space="preserve">, it </w:t>
      </w:r>
      <w:r w:rsidR="006969E2">
        <w:t>has held nineteen</w:t>
      </w:r>
      <w:r w:rsidR="000555C2" w:rsidRPr="000555C2">
        <w:t xml:space="preserve"> sessions </w:t>
      </w:r>
      <w:r w:rsidR="006969E2">
        <w:t xml:space="preserve">and reviewed </w:t>
      </w:r>
      <w:r w:rsidR="00ED59FB">
        <w:t>the implementations of the CRPD by sixty-eight</w:t>
      </w:r>
      <w:r w:rsidR="006969E2">
        <w:t xml:space="preserve"> States </w:t>
      </w:r>
      <w:r w:rsidR="00596BA2">
        <w:t>Parties</w:t>
      </w:r>
      <w:r w:rsidR="006969E2">
        <w:t xml:space="preserve">. </w:t>
      </w:r>
      <w:r w:rsidR="00A65FCE">
        <w:t xml:space="preserve">Once a year in New York, the Conference of States </w:t>
      </w:r>
      <w:r w:rsidR="00596BA2">
        <w:t>Parties</w:t>
      </w:r>
      <w:r w:rsidR="00A65FCE">
        <w:t xml:space="preserve"> to the Convention</w:t>
      </w:r>
      <w:r w:rsidR="00285D1D">
        <w:t xml:space="preserve"> convenes</w:t>
      </w:r>
      <w:r w:rsidR="00A65FCE">
        <w:t xml:space="preserve">, where States </w:t>
      </w:r>
      <w:r w:rsidR="00A3727F">
        <w:t xml:space="preserve">who ratified the Convention </w:t>
      </w:r>
      <w:r w:rsidR="004B11AC">
        <w:t>meet to consider matters related to the implementation of the Convention.</w:t>
      </w:r>
      <w:r w:rsidR="00285D1D">
        <w:t xml:space="preserve"> It is the most vivid and active Conference of State</w:t>
      </w:r>
      <w:r w:rsidR="004B3946">
        <w:t>s</w:t>
      </w:r>
      <w:r w:rsidR="00285D1D">
        <w:t xml:space="preserve"> Parties with more than 800 participants each year taking up many substantive issues in relation to the rights enshrined in the CRPD</w:t>
      </w:r>
      <w:r w:rsidR="000177A7">
        <w:t>. Until 2017 the Chair of the CRPD Committee</w:t>
      </w:r>
      <w:r w:rsidR="00C2650B">
        <w:t xml:space="preserve"> has participated in the Conference of State</w:t>
      </w:r>
      <w:r w:rsidR="004B3946">
        <w:t>s</w:t>
      </w:r>
      <w:r w:rsidR="00C2650B">
        <w:t xml:space="preserve"> Parties.</w:t>
      </w:r>
    </w:p>
    <w:p w:rsidR="00333038" w:rsidRPr="000555C2" w:rsidRDefault="00676354" w:rsidP="001E3A2D">
      <w:r>
        <w:t xml:space="preserve">3. </w:t>
      </w:r>
      <w:r w:rsidR="00830A74">
        <w:t xml:space="preserve">The work of the Committee is thus dense and diverse. </w:t>
      </w:r>
      <w:r w:rsidR="00333038">
        <w:t>T</w:t>
      </w:r>
      <w:r w:rsidR="00333038" w:rsidRPr="00333038">
        <w:t xml:space="preserve">his report </w:t>
      </w:r>
      <w:r w:rsidR="00A3727F">
        <w:t xml:space="preserve">gives an overview of </w:t>
      </w:r>
      <w:r w:rsidR="00DA0F76">
        <w:t>the last ten years of</w:t>
      </w:r>
      <w:r w:rsidR="008501EA">
        <w:t xml:space="preserve"> work </w:t>
      </w:r>
      <w:r w:rsidR="00DA0F76">
        <w:t xml:space="preserve">of </w:t>
      </w:r>
      <w:r w:rsidR="00FB1840">
        <w:t>the Committee and how the provisions of the CRPD must be understood</w:t>
      </w:r>
      <w:r w:rsidR="002F271F">
        <w:t>.</w:t>
      </w:r>
      <w:r w:rsidR="00DA0F76">
        <w:t xml:space="preserve"> </w:t>
      </w:r>
    </w:p>
    <w:p w:rsidR="009A2929" w:rsidRPr="00995477" w:rsidRDefault="009A2929" w:rsidP="001E3A2D">
      <w:pPr>
        <w:pStyle w:val="Heading1"/>
      </w:pPr>
      <w:bookmarkStart w:id="2" w:name="_Toc522542383"/>
      <w:r w:rsidRPr="00995477">
        <w:t>II. Activities carried out by the CRPD Committee under the Convention</w:t>
      </w:r>
      <w:bookmarkEnd w:id="2"/>
      <w:r w:rsidRPr="00995477">
        <w:t xml:space="preserve"> </w:t>
      </w:r>
    </w:p>
    <w:p w:rsidR="009A2929" w:rsidRPr="00995477" w:rsidRDefault="009A2929" w:rsidP="001E3A2D">
      <w:pPr>
        <w:pStyle w:val="Heading2"/>
      </w:pPr>
      <w:bookmarkStart w:id="3" w:name="_Toc522542384"/>
      <w:r w:rsidRPr="00995477">
        <w:t xml:space="preserve">A. General Comments </w:t>
      </w:r>
      <w:r w:rsidR="001164CB">
        <w:t>and guidelines</w:t>
      </w:r>
      <w:bookmarkEnd w:id="3"/>
    </w:p>
    <w:p w:rsidR="009A2929" w:rsidRDefault="00676354" w:rsidP="001E3A2D">
      <w:r>
        <w:t xml:space="preserve">4. </w:t>
      </w:r>
      <w:r w:rsidR="00654933">
        <w:t>In or</w:t>
      </w:r>
      <w:r w:rsidR="00C17C1E">
        <w:t>der to give guidance to States P</w:t>
      </w:r>
      <w:r w:rsidR="00654933">
        <w:t>arties on how specific provisions of the C</w:t>
      </w:r>
      <w:r w:rsidR="00511EE2">
        <w:t>onvention of the Rights of Persons with Disabilities</w:t>
      </w:r>
      <w:r w:rsidR="00654933">
        <w:t xml:space="preserve"> </w:t>
      </w:r>
      <w:r w:rsidR="00C2650B">
        <w:t xml:space="preserve">should </w:t>
      </w:r>
      <w:r w:rsidR="00654933">
        <w:t>be interpreted, the Committee on the Rights of Persons with Disabilities has adopted document</w:t>
      </w:r>
      <w:r w:rsidR="00C5229C">
        <w:t>s</w:t>
      </w:r>
      <w:r w:rsidR="00654933">
        <w:t xml:space="preserve"> called</w:t>
      </w:r>
      <w:r w:rsidR="00C5229C">
        <w:t xml:space="preserve"> </w:t>
      </w:r>
      <w:r w:rsidR="00A61ABC">
        <w:t>“</w:t>
      </w:r>
      <w:r w:rsidR="00C5229C">
        <w:t>general c</w:t>
      </w:r>
      <w:r w:rsidR="009A2929" w:rsidRPr="00995477">
        <w:t>omments.</w:t>
      </w:r>
      <w:r w:rsidR="00A61ABC">
        <w:t>”</w:t>
      </w:r>
      <w:r w:rsidR="009A2929" w:rsidRPr="00995477">
        <w:t xml:space="preserve"> </w:t>
      </w:r>
      <w:r w:rsidR="00654933" w:rsidRPr="00995477">
        <w:t>The first general comments we</w:t>
      </w:r>
      <w:r w:rsidR="00253D70">
        <w:t>re adopted in April 2014, at the</w:t>
      </w:r>
      <w:r w:rsidR="00654933" w:rsidRPr="00995477">
        <w:t xml:space="preserve"> eleventh session</w:t>
      </w:r>
      <w:r w:rsidR="00654933">
        <w:t xml:space="preserve"> of the Committee</w:t>
      </w:r>
      <w:r w:rsidR="00654933" w:rsidRPr="00995477">
        <w:t xml:space="preserve">. </w:t>
      </w:r>
      <w:r w:rsidR="00654933">
        <w:t>As of July 2018,</w:t>
      </w:r>
      <w:r w:rsidR="00654933" w:rsidRPr="00995477">
        <w:t xml:space="preserve"> </w:t>
      </w:r>
      <w:r w:rsidR="00654933" w:rsidRPr="00253D70">
        <w:t>six general comments</w:t>
      </w:r>
      <w:r w:rsidR="00C5229C">
        <w:t xml:space="preserve"> have been adopted</w:t>
      </w:r>
      <w:r w:rsidR="00654933" w:rsidRPr="00253D70">
        <w:t xml:space="preserve">. </w:t>
      </w:r>
      <w:r w:rsidR="00253D70" w:rsidRPr="00253D70">
        <w:t>The</w:t>
      </w:r>
      <w:r w:rsidR="00B7297A">
        <w:t>se</w:t>
      </w:r>
      <w:r w:rsidR="00253D70" w:rsidRPr="00253D70">
        <w:t xml:space="preserve"> general comments focus on the following provisions of the Convention:</w:t>
      </w:r>
      <w:r w:rsidR="009A2929" w:rsidRPr="00253D70">
        <w:t xml:space="preserve"> article 5 on equality and non-discrimination (CRPD/C/GC/6), article 6 on women and girls with disabilities (CRPD/C/GC/3), article 9 on accessibility (CRPD/C/GC/2), article 12 on equal recognition before the l</w:t>
      </w:r>
      <w:r w:rsidR="00011C64">
        <w:t>aw (CRPD/C/GC/1), article 19 on</w:t>
      </w:r>
      <w:r w:rsidR="00011C64" w:rsidRPr="00011C64">
        <w:rPr>
          <w:b/>
          <w:bCs/>
        </w:rPr>
        <w:t xml:space="preserve"> </w:t>
      </w:r>
      <w:r w:rsidR="00011C64" w:rsidRPr="00011C64">
        <w:rPr>
          <w:bCs/>
        </w:rPr>
        <w:t>living independently and being included in the community,</w:t>
      </w:r>
      <w:r w:rsidR="00011C64" w:rsidRPr="00011C64">
        <w:t xml:space="preserve"> </w:t>
      </w:r>
      <w:r w:rsidR="009A2929" w:rsidRPr="00253D70">
        <w:t>(CRPD/C/GC/5) and article 24 on the right to inclusive education (CRPD/C/GC/4). A draft general comment on articles 4 (3) and 33 (3) of the Convention was endorsed in April 2018, at the n</w:t>
      </w:r>
      <w:r w:rsidR="00E932A6">
        <w:t xml:space="preserve">ineteenth session of Committee, and should be adopted in September 2018. </w:t>
      </w:r>
    </w:p>
    <w:p w:rsidR="001E3A2D" w:rsidRPr="00D50518" w:rsidRDefault="00676354" w:rsidP="001E3A2D">
      <w:pPr>
        <w:rPr>
          <w:rFonts w:cs="Arial"/>
          <w:szCs w:val="22"/>
        </w:rPr>
      </w:pPr>
      <w:r>
        <w:rPr>
          <w:rFonts w:cs="Arial"/>
          <w:szCs w:val="22"/>
        </w:rPr>
        <w:t xml:space="preserve">5. </w:t>
      </w:r>
      <w:r w:rsidR="009A2929" w:rsidRPr="001E3A2D">
        <w:t>In parallel, the Committee adopted</w:t>
      </w:r>
      <w:r w:rsidR="00E441A7" w:rsidRPr="001E3A2D">
        <w:t xml:space="preserve"> </w:t>
      </w:r>
      <w:r w:rsidR="00D50518" w:rsidRPr="001E3A2D">
        <w:t>documents called “</w:t>
      </w:r>
      <w:r w:rsidR="00230C21" w:rsidRPr="001E3A2D">
        <w:t>guidelines</w:t>
      </w:r>
      <w:r w:rsidR="00D50518" w:rsidRPr="001E3A2D">
        <w:t>”</w:t>
      </w:r>
      <w:r w:rsidR="00372E27">
        <w:t>,</w:t>
      </w:r>
      <w:r w:rsidR="00230C21" w:rsidRPr="001E3A2D">
        <w:t xml:space="preserve"> which are also useful tools for States </w:t>
      </w:r>
      <w:r w:rsidR="00C17C1E">
        <w:t>Parties</w:t>
      </w:r>
      <w:r w:rsidR="00230C21" w:rsidRPr="001E3A2D">
        <w:t xml:space="preserve">, persons with disabilities and their representative organizations </w:t>
      </w:r>
      <w:r w:rsidR="00124785" w:rsidRPr="001E3A2D">
        <w:t xml:space="preserve">to understand the Convention and their own engagements in the work of the Committee. </w:t>
      </w:r>
      <w:r w:rsidR="00D50518" w:rsidRPr="001E3A2D">
        <w:t>As of July 2018 the following seven guidelines are available:</w:t>
      </w:r>
      <w:r w:rsidR="00A8251F" w:rsidRPr="001E3A2D">
        <w:t xml:space="preserve"> reporting guidelines (CRPD/C/2/3; A/66/55, annex V)</w:t>
      </w:r>
      <w:r w:rsidR="002C57DC" w:rsidRPr="001E3A2D">
        <w:t xml:space="preserve"> and revised guidelines of periodic reporting </w:t>
      </w:r>
      <w:r w:rsidR="00EF4FE1" w:rsidRPr="001E3A2D">
        <w:t>(CRPD/C/3)</w:t>
      </w:r>
      <w:r w:rsidR="00A8251F" w:rsidRPr="001E3A2D">
        <w:t>, guidelines on communication (CRPD/C/5/3/Rev.1), guidelines</w:t>
      </w:r>
      <w:r w:rsidR="00A8251F" w:rsidRPr="00A8251F">
        <w:rPr>
          <w:rFonts w:cs="Arial"/>
          <w:szCs w:val="22"/>
          <w:lang w:val="en-GB"/>
        </w:rPr>
        <w:t xml:space="preserve"> on the participation of disabled persons’ organizations and civil society organizations in the work of the Committee (CRPD/C/11/2, annex II), guidelines on follow-up to concluding </w:t>
      </w:r>
      <w:r w:rsidR="00A8251F" w:rsidRPr="00A8251F">
        <w:rPr>
          <w:rFonts w:cs="Arial"/>
          <w:lang w:val="en-GB"/>
        </w:rPr>
        <w:t>observations (</w:t>
      </w:r>
      <w:r w:rsidR="00A8251F" w:rsidRPr="00A8251F">
        <w:t>CRPD/C/12/2, annex II)</w:t>
      </w:r>
      <w:r w:rsidR="00D50518">
        <w:t>,</w:t>
      </w:r>
      <w:r w:rsidR="00124785">
        <w:rPr>
          <w:rFonts w:cs="Arial"/>
          <w:szCs w:val="22"/>
        </w:rPr>
        <w:t xml:space="preserve"> </w:t>
      </w:r>
      <w:r w:rsidR="00230C21">
        <w:rPr>
          <w:rFonts w:cs="Arial"/>
          <w:szCs w:val="22"/>
        </w:rPr>
        <w:t xml:space="preserve">guidelines on </w:t>
      </w:r>
      <w:r w:rsidR="009A2929" w:rsidRPr="00230C21">
        <w:rPr>
          <w:rFonts w:cs="Arial"/>
          <w:szCs w:val="22"/>
        </w:rPr>
        <w:t>article 14 of the Convention on the right to liberty and security of persons with disabilities</w:t>
      </w:r>
      <w:r w:rsidR="006544F9">
        <w:rPr>
          <w:rFonts w:cs="Arial"/>
          <w:szCs w:val="22"/>
        </w:rPr>
        <w:t xml:space="preserve"> (A/7255, a</w:t>
      </w:r>
      <w:r w:rsidR="009A2929" w:rsidRPr="00803EEB">
        <w:rPr>
          <w:rFonts w:cs="Arial"/>
          <w:szCs w:val="22"/>
        </w:rPr>
        <w:t>nnex)</w:t>
      </w:r>
      <w:r w:rsidR="00124785">
        <w:rPr>
          <w:rFonts w:cs="Arial"/>
          <w:szCs w:val="22"/>
        </w:rPr>
        <w:t>,</w:t>
      </w:r>
      <w:r w:rsidR="00EF4FE1">
        <w:rPr>
          <w:rFonts w:cs="Arial"/>
          <w:szCs w:val="22"/>
        </w:rPr>
        <w:t xml:space="preserve"> and</w:t>
      </w:r>
      <w:r w:rsidR="00124785">
        <w:rPr>
          <w:rFonts w:cs="Arial"/>
          <w:szCs w:val="22"/>
        </w:rPr>
        <w:t xml:space="preserve"> </w:t>
      </w:r>
      <w:r w:rsidR="00D50518">
        <w:rPr>
          <w:rFonts w:cs="Arial"/>
          <w:szCs w:val="22"/>
        </w:rPr>
        <w:t>g</w:t>
      </w:r>
      <w:r w:rsidR="00D50518" w:rsidRPr="00D50518">
        <w:rPr>
          <w:rFonts w:cs="Arial"/>
          <w:szCs w:val="22"/>
        </w:rPr>
        <w:t>uidelines on independent monitoring frameworks (CRPD/C/1/Rev.1, annex)</w:t>
      </w:r>
      <w:r w:rsidR="00D50518">
        <w:rPr>
          <w:rFonts w:cs="Arial"/>
          <w:szCs w:val="22"/>
        </w:rPr>
        <w:t xml:space="preserve">. </w:t>
      </w:r>
    </w:p>
    <w:p w:rsidR="009A2929" w:rsidRPr="00995477" w:rsidRDefault="009A2929" w:rsidP="001E3A2D">
      <w:pPr>
        <w:pStyle w:val="Heading2"/>
      </w:pPr>
      <w:bookmarkStart w:id="4" w:name="_Toc522542385"/>
      <w:r w:rsidRPr="00995477">
        <w:t>B. Consideration of reports submitted by State</w:t>
      </w:r>
      <w:r w:rsidR="004B3946">
        <w:t>s</w:t>
      </w:r>
      <w:r w:rsidRPr="00995477">
        <w:t xml:space="preserve"> Parties</w:t>
      </w:r>
      <w:bookmarkEnd w:id="4"/>
      <w:r w:rsidRPr="00995477">
        <w:t xml:space="preserve"> </w:t>
      </w:r>
    </w:p>
    <w:p w:rsidR="009A2929" w:rsidRPr="00A06D52" w:rsidRDefault="00676354" w:rsidP="001E3A2D">
      <w:r>
        <w:t xml:space="preserve">6. </w:t>
      </w:r>
      <w:r w:rsidR="00AA1885">
        <w:t xml:space="preserve">One of the major and most consuming </w:t>
      </w:r>
      <w:r w:rsidR="0057737C">
        <w:t>tasks</w:t>
      </w:r>
      <w:r w:rsidR="00AA1885">
        <w:t xml:space="preserve"> of the Committee is to monitor the implementation of the </w:t>
      </w:r>
      <w:r w:rsidR="0057737C">
        <w:t xml:space="preserve">Convention by States </w:t>
      </w:r>
      <w:r w:rsidR="00DE6A80">
        <w:t>that</w:t>
      </w:r>
      <w:r w:rsidR="0057737C">
        <w:t xml:space="preserve"> ratified it. To do so, the Committee examines reports submitted by States </w:t>
      </w:r>
      <w:r w:rsidR="00596BA2">
        <w:t>P</w:t>
      </w:r>
      <w:r w:rsidR="0057737C">
        <w:t>arties</w:t>
      </w:r>
      <w:r w:rsidR="00CA5640">
        <w:t>,</w:t>
      </w:r>
      <w:r w:rsidR="0057737C">
        <w:t xml:space="preserve"> </w:t>
      </w:r>
      <w:r w:rsidR="00CA5640">
        <w:t>as required by</w:t>
      </w:r>
      <w:r w:rsidR="0057737C">
        <w:t xml:space="preserve"> article 35 of the CRPD</w:t>
      </w:r>
      <w:r w:rsidR="00CA5640">
        <w:t>, and adopts</w:t>
      </w:r>
      <w:r w:rsidR="00102E1E">
        <w:t xml:space="preserve"> concluding observations </w:t>
      </w:r>
      <w:r w:rsidR="00CA5640">
        <w:t>that include</w:t>
      </w:r>
      <w:r w:rsidR="00102E1E">
        <w:t xml:space="preserve"> recommendat</w:t>
      </w:r>
      <w:r w:rsidR="00CA5640">
        <w:t xml:space="preserve">ions for better implementation of the Convention. </w:t>
      </w:r>
      <w:r w:rsidR="009A2929" w:rsidRPr="00995477">
        <w:t>As of 9 March 2018, date on which the nineteenth session of the CRPD Committee closed, the Commi</w:t>
      </w:r>
      <w:r w:rsidR="008514C6">
        <w:t>ttee had considered sixty-eight</w:t>
      </w:r>
      <w:r w:rsidR="009A2929" w:rsidRPr="00995477">
        <w:t xml:space="preserve"> reports </w:t>
      </w:r>
      <w:r w:rsidR="008514C6">
        <w:t>of</w:t>
      </w:r>
      <w:r w:rsidR="00712C4C">
        <w:t xml:space="preserve"> State</w:t>
      </w:r>
      <w:r w:rsidR="004B3946">
        <w:t>s</w:t>
      </w:r>
      <w:r w:rsidR="00712C4C">
        <w:t xml:space="preserve"> Parties, includ</w:t>
      </w:r>
      <w:r w:rsidR="008514C6">
        <w:t xml:space="preserve">ing one </w:t>
      </w:r>
      <w:r w:rsidR="009A2929" w:rsidRPr="00995477">
        <w:t>report of a regional integration organization</w:t>
      </w:r>
      <w:r w:rsidR="008514C6">
        <w:t>, the European Union</w:t>
      </w:r>
      <w:r w:rsidR="009A2929" w:rsidRPr="00995477">
        <w:t>.</w:t>
      </w:r>
      <w:r w:rsidR="008C0404" w:rsidRPr="00995477">
        <w:rPr>
          <w:rStyle w:val="FootnoteReference"/>
          <w:rFonts w:cs="Arial"/>
          <w:szCs w:val="22"/>
        </w:rPr>
        <w:footnoteReference w:id="1"/>
      </w:r>
      <w:r w:rsidR="009A2929" w:rsidRPr="00995477">
        <w:rPr>
          <w:position w:val="8"/>
          <w:sz w:val="14"/>
          <w:szCs w:val="14"/>
        </w:rPr>
        <w:t xml:space="preserve"> </w:t>
      </w:r>
      <w:r w:rsidR="009A2929" w:rsidRPr="00995477">
        <w:t xml:space="preserve">It produced an equal amount </w:t>
      </w:r>
      <w:r w:rsidR="009A2929" w:rsidRPr="006337E1">
        <w:t>of list</w:t>
      </w:r>
      <w:r w:rsidR="006337E1" w:rsidRPr="006337E1">
        <w:t>s</w:t>
      </w:r>
      <w:r w:rsidR="009A2929" w:rsidRPr="006337E1">
        <w:t xml:space="preserve"> of issues</w:t>
      </w:r>
      <w:r w:rsidR="006337E1">
        <w:t xml:space="preserve"> containing questions on substantive issues arising from report</w:t>
      </w:r>
      <w:r w:rsidR="00596BA2">
        <w:t xml:space="preserve"> submitted by States P</w:t>
      </w:r>
      <w:r w:rsidR="006337E1">
        <w:t xml:space="preserve">arties, </w:t>
      </w:r>
      <w:r w:rsidR="009A2929" w:rsidRPr="00995477">
        <w:t xml:space="preserve">and </w:t>
      </w:r>
      <w:r w:rsidR="009A2929" w:rsidRPr="006337E1">
        <w:t>concluding observations</w:t>
      </w:r>
      <w:r w:rsidR="006337E1">
        <w:t xml:space="preserve"> containing suggestions and general recommendations on the report.</w:t>
      </w:r>
      <w:r w:rsidR="007C5170">
        <w:rPr>
          <w:rStyle w:val="FootnoteReference"/>
          <w:rFonts w:cs="Arial"/>
          <w:szCs w:val="22"/>
        </w:rPr>
        <w:footnoteReference w:id="2"/>
      </w:r>
      <w:r w:rsidR="006337E1">
        <w:t xml:space="preserve"> </w:t>
      </w:r>
    </w:p>
    <w:p w:rsidR="002E30A7" w:rsidRDefault="00676354" w:rsidP="001E3A2D">
      <w:r>
        <w:t xml:space="preserve">7. </w:t>
      </w:r>
      <w:r w:rsidR="009A2929" w:rsidRPr="00995477">
        <w:t xml:space="preserve">The </w:t>
      </w:r>
      <w:r w:rsidR="00596BA2">
        <w:t>first review of all States P</w:t>
      </w:r>
      <w:r w:rsidR="0030109D">
        <w:t xml:space="preserve">arties </w:t>
      </w:r>
      <w:r w:rsidR="007505D9">
        <w:t>by the Committee, called “first cycle of review</w:t>
      </w:r>
      <w:r w:rsidR="002E30A7">
        <w:t>,</w:t>
      </w:r>
      <w:r w:rsidR="007505D9">
        <w:t>”</w:t>
      </w:r>
      <w:r w:rsidR="009A2929" w:rsidRPr="00995477">
        <w:t xml:space="preserve"> is still on going</w:t>
      </w:r>
      <w:r w:rsidR="00261C43">
        <w:t>. It is</w:t>
      </w:r>
      <w:r w:rsidR="009A2929" w:rsidRPr="00995477">
        <w:t xml:space="preserve"> due to</w:t>
      </w:r>
      <w:r w:rsidR="002E30A7">
        <w:t xml:space="preserve"> the growing number of States who ratified the Convention as well as late submission of </w:t>
      </w:r>
      <w:r w:rsidR="00596BA2">
        <w:t>reports by some States P</w:t>
      </w:r>
      <w:r w:rsidR="00A06D52">
        <w:t xml:space="preserve">arties. </w:t>
      </w:r>
      <w:r w:rsidR="00C22546">
        <w:t xml:space="preserve">The periodic review following the initial review of States </w:t>
      </w:r>
      <w:r w:rsidR="00596BA2">
        <w:t>Parties</w:t>
      </w:r>
      <w:r w:rsidR="00C52693">
        <w:t xml:space="preserve"> </w:t>
      </w:r>
      <w:r w:rsidR="00C22546">
        <w:t xml:space="preserve">may </w:t>
      </w:r>
      <w:r w:rsidR="00C52693">
        <w:t xml:space="preserve">follow a </w:t>
      </w:r>
      <w:r w:rsidR="00C52693" w:rsidRPr="00771FC6">
        <w:t>“simplified reporting procedure”</w:t>
      </w:r>
      <w:r w:rsidR="00B65687">
        <w:t xml:space="preserve"> </w:t>
      </w:r>
      <w:r w:rsidR="00B65687" w:rsidRPr="000004B0">
        <w:t>established by the Committee in 2013</w:t>
      </w:r>
      <w:r w:rsidR="00230971">
        <w:t>.</w:t>
      </w:r>
      <w:r w:rsidR="00C52693">
        <w:t xml:space="preserve"> In April </w:t>
      </w:r>
      <w:r w:rsidR="00FF4468" w:rsidRPr="00FF4468">
        <w:t>2017</w:t>
      </w:r>
      <w:r w:rsidR="00C52693" w:rsidRPr="00FF4468">
        <w:t>, at</w:t>
      </w:r>
      <w:r w:rsidR="00C52693" w:rsidRPr="00995477">
        <w:t xml:space="preserve"> its seventeenth session</w:t>
      </w:r>
      <w:r w:rsidR="00C52693">
        <w:t xml:space="preserve">, the Committee adopted the first list of issues prior to reporting in accordance to this procedure. </w:t>
      </w:r>
      <w:r w:rsidR="00C22546">
        <w:t>During the periodic reporting, States report on the implementation of the recommendations issued in the Committee’s concluding observations and new development that have occurred. Further information can be found in the Committee’s</w:t>
      </w:r>
      <w:r w:rsidR="0005593F">
        <w:t xml:space="preserve"> 2009</w:t>
      </w:r>
      <w:r w:rsidR="00C22546">
        <w:t xml:space="preserve"> reporting guidelines </w:t>
      </w:r>
      <w:r w:rsidR="00C22546" w:rsidRPr="00A8251F">
        <w:t>(CRPD/C/2/3; A/66/55, annex V)</w:t>
      </w:r>
      <w:r w:rsidR="00C22546">
        <w:t xml:space="preserve"> and </w:t>
      </w:r>
      <w:r w:rsidR="0005593F">
        <w:t xml:space="preserve">2016 </w:t>
      </w:r>
      <w:r w:rsidR="00C22546">
        <w:t xml:space="preserve">revised guidelines of periodic reporting </w:t>
      </w:r>
      <w:r w:rsidR="00C22546" w:rsidRPr="00D50518">
        <w:t>(CRPD/C/3)</w:t>
      </w:r>
      <w:r w:rsidR="00C22546">
        <w:t xml:space="preserve">. </w:t>
      </w:r>
    </w:p>
    <w:p w:rsidR="009A2929" w:rsidRPr="00995477" w:rsidRDefault="009A2929" w:rsidP="001E3A2D">
      <w:pPr>
        <w:pStyle w:val="Heading2"/>
      </w:pPr>
      <w:bookmarkStart w:id="5" w:name="_Toc522542386"/>
      <w:r w:rsidRPr="00995477">
        <w:t>C. Follow up to concluding observations</w:t>
      </w:r>
      <w:bookmarkEnd w:id="5"/>
      <w:r w:rsidRPr="00995477">
        <w:t xml:space="preserve"> </w:t>
      </w:r>
    </w:p>
    <w:p w:rsidR="009A2929" w:rsidRPr="00250A47" w:rsidRDefault="00676354" w:rsidP="001E3A2D">
      <w:pPr>
        <w:rPr>
          <w:b/>
          <w:lang w:val="en-GB"/>
        </w:rPr>
      </w:pPr>
      <w:r>
        <w:t xml:space="preserve">8. </w:t>
      </w:r>
      <w:r w:rsidR="003C66B0">
        <w:t xml:space="preserve">In its concluding observations, the Committee identifies specific </w:t>
      </w:r>
      <w:r w:rsidR="003C66B0" w:rsidRPr="00460CA5">
        <w:rPr>
          <w:lang w:val="en-GB"/>
        </w:rPr>
        <w:t>topics of concern</w:t>
      </w:r>
      <w:r w:rsidR="003C66B0">
        <w:rPr>
          <w:lang w:val="en-GB"/>
        </w:rPr>
        <w:t xml:space="preserve"> on which States </w:t>
      </w:r>
      <w:r w:rsidR="00596BA2">
        <w:rPr>
          <w:lang w:val="en-GB"/>
        </w:rPr>
        <w:t>Parties</w:t>
      </w:r>
      <w:r w:rsidR="003C66B0">
        <w:rPr>
          <w:lang w:val="en-GB"/>
        </w:rPr>
        <w:t xml:space="preserve"> are requested to focus. </w:t>
      </w:r>
      <w:r w:rsidR="00460CA5">
        <w:rPr>
          <w:lang w:val="en-GB"/>
        </w:rPr>
        <w:t xml:space="preserve">To ensure adequate implementation, </w:t>
      </w:r>
      <w:r w:rsidR="003C66B0">
        <w:rPr>
          <w:lang w:val="en-GB"/>
        </w:rPr>
        <w:t>it</w:t>
      </w:r>
      <w:r w:rsidR="00460CA5" w:rsidRPr="00460CA5">
        <w:rPr>
          <w:lang w:val="en-GB"/>
        </w:rPr>
        <w:t xml:space="preserve"> may request </w:t>
      </w:r>
      <w:r w:rsidR="003C66B0">
        <w:rPr>
          <w:lang w:val="en-GB"/>
        </w:rPr>
        <w:t xml:space="preserve">the reviewed </w:t>
      </w:r>
      <w:r w:rsidR="00460CA5" w:rsidRPr="00460CA5">
        <w:rPr>
          <w:lang w:val="en-GB"/>
        </w:rPr>
        <w:t xml:space="preserve">States </w:t>
      </w:r>
      <w:r w:rsidR="00596BA2">
        <w:rPr>
          <w:lang w:val="en-GB"/>
        </w:rPr>
        <w:t>Parties</w:t>
      </w:r>
      <w:r w:rsidR="00460CA5" w:rsidRPr="00460CA5">
        <w:rPr>
          <w:lang w:val="en-GB"/>
        </w:rPr>
        <w:t xml:space="preserve"> to provide written information on the implementation of </w:t>
      </w:r>
      <w:r w:rsidR="003C66B0">
        <w:rPr>
          <w:lang w:val="en-GB"/>
        </w:rPr>
        <w:t xml:space="preserve">these </w:t>
      </w:r>
      <w:r w:rsidR="00460CA5" w:rsidRPr="00460CA5">
        <w:rPr>
          <w:lang w:val="en-GB"/>
        </w:rPr>
        <w:t>recommendations</w:t>
      </w:r>
      <w:r w:rsidR="003C66B0">
        <w:rPr>
          <w:lang w:val="en-GB"/>
        </w:rPr>
        <w:t xml:space="preserve"> as part of a follow-up procedure</w:t>
      </w:r>
      <w:r w:rsidR="00460CA5">
        <w:rPr>
          <w:lang w:val="en-GB"/>
        </w:rPr>
        <w:t xml:space="preserve">. </w:t>
      </w:r>
      <w:r w:rsidR="00F52A03">
        <w:rPr>
          <w:lang w:val="en-GB"/>
        </w:rPr>
        <w:t xml:space="preserve">This procedure is described in paragraphs 19-22 of the </w:t>
      </w:r>
      <w:r w:rsidR="00262A8A">
        <w:rPr>
          <w:lang w:val="en-GB"/>
        </w:rPr>
        <w:t>Working m</w:t>
      </w:r>
      <w:r w:rsidR="00F52A03" w:rsidRPr="00F52A03">
        <w:rPr>
          <w:lang w:val="en-GB"/>
        </w:rPr>
        <w:t>ethods of the Committee</w:t>
      </w:r>
      <w:r w:rsidR="00F52A03">
        <w:rPr>
          <w:lang w:val="en-GB"/>
        </w:rPr>
        <w:t xml:space="preserve"> (</w:t>
      </w:r>
      <w:r w:rsidR="00F52A03" w:rsidRPr="00F52A03">
        <w:rPr>
          <w:lang w:val="en-GB"/>
        </w:rPr>
        <w:t>CRPD/C/5/4</w:t>
      </w:r>
      <w:r w:rsidR="00F52A03">
        <w:rPr>
          <w:lang w:val="en-GB"/>
        </w:rPr>
        <w:t>)</w:t>
      </w:r>
      <w:r w:rsidR="00250A47">
        <w:rPr>
          <w:lang w:val="en-GB"/>
        </w:rPr>
        <w:t xml:space="preserve"> and </w:t>
      </w:r>
      <w:r w:rsidR="00F52A03">
        <w:rPr>
          <w:lang w:val="en-GB"/>
        </w:rPr>
        <w:t>in the</w:t>
      </w:r>
      <w:r w:rsidR="00250A47">
        <w:rPr>
          <w:lang w:val="en-GB"/>
        </w:rPr>
        <w:t xml:space="preserve"> 2014</w:t>
      </w:r>
      <w:r w:rsidR="00F52A03">
        <w:rPr>
          <w:lang w:val="en-GB"/>
        </w:rPr>
        <w:t xml:space="preserve"> g</w:t>
      </w:r>
      <w:r w:rsidR="00F52A03" w:rsidRPr="00F52A03">
        <w:rPr>
          <w:lang w:val="en-GB"/>
        </w:rPr>
        <w:t>uidelines on the procedure for follow-up to concluding observations</w:t>
      </w:r>
      <w:r w:rsidR="00F52A03">
        <w:rPr>
          <w:lang w:val="en-GB"/>
        </w:rPr>
        <w:t xml:space="preserve"> (CRPD/C/12/2,</w:t>
      </w:r>
      <w:r w:rsidR="00F52A03" w:rsidRPr="00F52A03">
        <w:rPr>
          <w:lang w:val="en-GB"/>
        </w:rPr>
        <w:t xml:space="preserve"> Annex II</w:t>
      </w:r>
      <w:r w:rsidR="00F52A03">
        <w:rPr>
          <w:lang w:val="en-GB"/>
        </w:rPr>
        <w:t>)</w:t>
      </w:r>
      <w:r w:rsidR="00250A47">
        <w:rPr>
          <w:lang w:val="en-GB"/>
        </w:rPr>
        <w:t xml:space="preserve">. </w:t>
      </w:r>
      <w:r w:rsidR="009A2929" w:rsidRPr="00995477">
        <w:t>The</w:t>
      </w:r>
      <w:r w:rsidR="00250A47">
        <w:t>se</w:t>
      </w:r>
      <w:r w:rsidR="009A2929" w:rsidRPr="00995477">
        <w:t xml:space="preserve"> guidelines address the role of the country rapporteur vis-à-vis the rapporteur on follow-up, the criteria for identifying recommendations for follow-up and the criteri</w:t>
      </w:r>
      <w:r w:rsidR="00596BA2">
        <w:t>a for assessing the replies of States P</w:t>
      </w:r>
      <w:r w:rsidR="009A2929" w:rsidRPr="00995477">
        <w:t>arties. The Committee may consider the replies “satisfactory”, “partially s</w:t>
      </w:r>
      <w:r w:rsidR="00262A8A">
        <w:t>atisfactory” or “unsatisfactory</w:t>
      </w:r>
      <w:r w:rsidR="009A2929" w:rsidRPr="00995477">
        <w:t>”</w:t>
      </w:r>
      <w:r w:rsidR="00262A8A">
        <w:t>.</w:t>
      </w:r>
      <w:r w:rsidR="009A2929" w:rsidRPr="00995477">
        <w:t xml:space="preserve"> </w:t>
      </w:r>
    </w:p>
    <w:p w:rsidR="009A2929" w:rsidRPr="00995477" w:rsidRDefault="00676354" w:rsidP="001E3A2D">
      <w:r>
        <w:t xml:space="preserve">9. </w:t>
      </w:r>
      <w:r w:rsidR="009A2929" w:rsidRPr="00995477">
        <w:t>The Committee has only dealt with follow-u</w:t>
      </w:r>
      <w:r w:rsidR="00D02DEA">
        <w:t xml:space="preserve">p activities on two occasions: in a private </w:t>
      </w:r>
      <w:r w:rsidR="00D02DEA" w:rsidRPr="00D02DEA">
        <w:t>meeting in</w:t>
      </w:r>
      <w:r w:rsidR="00D02DEA">
        <w:t xml:space="preserve"> April 2015 at its thirteenth session, </w:t>
      </w:r>
      <w:r w:rsidR="009A2929" w:rsidRPr="00D02DEA">
        <w:t>a</w:t>
      </w:r>
      <w:r w:rsidR="00D02DEA">
        <w:t>nd in February 2018</w:t>
      </w:r>
      <w:r w:rsidR="009A2929" w:rsidRPr="00995477">
        <w:t xml:space="preserve"> at its nineteenth session.</w:t>
      </w:r>
      <w:r w:rsidR="000B6B93">
        <w:rPr>
          <w:rStyle w:val="FootnoteReference"/>
          <w:rFonts w:cs="Arial"/>
          <w:szCs w:val="22"/>
        </w:rPr>
        <w:footnoteReference w:id="3"/>
      </w:r>
      <w:r w:rsidR="009A2929" w:rsidRPr="00995477">
        <w:t xml:space="preserve"> In the report of the nineteenth session, the Committee noted that in the future, it foresees</w:t>
      </w:r>
      <w:r w:rsidR="00D02DEA">
        <w:t xml:space="preserve"> that</w:t>
      </w:r>
      <w:r w:rsidR="009A2929" w:rsidRPr="00995477">
        <w:t xml:space="preserve"> </w:t>
      </w:r>
      <w:r w:rsidR="00D02DEA">
        <w:t>the time allocated to consider follow-up</w:t>
      </w:r>
      <w:r w:rsidR="009A2929" w:rsidRPr="00995477">
        <w:t xml:space="preserve"> activities to concluding observations</w:t>
      </w:r>
      <w:r w:rsidR="00D02DEA">
        <w:t xml:space="preserve"> of States </w:t>
      </w:r>
      <w:r w:rsidR="00596BA2">
        <w:t>Parties</w:t>
      </w:r>
      <w:r w:rsidR="009A2929" w:rsidRPr="00995477">
        <w:t xml:space="preserve"> will continue to be scarce, and reports on follow-up will be considered only once a year or every two years. </w:t>
      </w:r>
    </w:p>
    <w:p w:rsidR="001E3A2D" w:rsidRDefault="009A2929" w:rsidP="00917320">
      <w:pPr>
        <w:pStyle w:val="Heading1"/>
      </w:pPr>
      <w:bookmarkStart w:id="6" w:name="_Toc522542387"/>
      <w:r w:rsidRPr="00995477">
        <w:t>III. Activities carried out by the CRPD Committee under the Optional Protocol</w:t>
      </w:r>
      <w:bookmarkEnd w:id="6"/>
    </w:p>
    <w:p w:rsidR="009A2929" w:rsidRPr="00995477" w:rsidRDefault="00E834AC" w:rsidP="001E3A2D">
      <w:pPr>
        <w:pStyle w:val="Heading2"/>
      </w:pPr>
      <w:bookmarkStart w:id="7" w:name="_Toc522542388"/>
      <w:r>
        <w:t xml:space="preserve">A. </w:t>
      </w:r>
      <w:r w:rsidR="009A2929" w:rsidRPr="00995477">
        <w:t>Views on communications</w:t>
      </w:r>
      <w:bookmarkEnd w:id="7"/>
      <w:r w:rsidR="009A2929" w:rsidRPr="00995477">
        <w:t xml:space="preserve"> </w:t>
      </w:r>
    </w:p>
    <w:p w:rsidR="001E3A2D" w:rsidRDefault="00676354" w:rsidP="001E3A2D">
      <w:r>
        <w:t xml:space="preserve">10. </w:t>
      </w:r>
      <w:r w:rsidR="00D4319D">
        <w:t>Under the Optional Protocol of the CRPD, the Committee may receive and consider communication</w:t>
      </w:r>
      <w:r w:rsidR="00230971">
        <w:t>s</w:t>
      </w:r>
      <w:r w:rsidR="00D4319D">
        <w:t xml:space="preserve"> </w:t>
      </w:r>
      <w:r w:rsidR="00230971" w:rsidRPr="00230971">
        <w:t>from or on behalf of individuals or groups of individuals</w:t>
      </w:r>
      <w:r w:rsidR="00230971">
        <w:t xml:space="preserve"> who are under the jurisdiction of States that ratified the Convention and its Optional Protocol.</w:t>
      </w:r>
      <w:r w:rsidR="00230971">
        <w:rPr>
          <w:rStyle w:val="FootnoteReference"/>
          <w:rFonts w:cs="Arial"/>
          <w:szCs w:val="22"/>
        </w:rPr>
        <w:footnoteReference w:id="4"/>
      </w:r>
      <w:r w:rsidR="00230971">
        <w:t xml:space="preserve"> </w:t>
      </w:r>
      <w:r w:rsidR="008E1C6F">
        <w:t>As of July 2018, the</w:t>
      </w:r>
      <w:r w:rsidR="009A2929" w:rsidRPr="00995477">
        <w:t xml:space="preserve"> Committee </w:t>
      </w:r>
      <w:r w:rsidR="008E1C6F">
        <w:t xml:space="preserve">had </w:t>
      </w:r>
      <w:r w:rsidR="009A2929" w:rsidRPr="00995477">
        <w:t>co</w:t>
      </w:r>
      <w:r w:rsidR="007C5CCD">
        <w:t>nsidered twenty-four</w:t>
      </w:r>
      <w:r w:rsidR="009A2929" w:rsidRPr="00995477">
        <w:t xml:space="preserve"> communications under Article 5 of the Optional Protocol after submission by individuals or groups of persons alleging that a State Party violated their rights under the Convention. Among these </w:t>
      </w:r>
      <w:r w:rsidR="00785D9C">
        <w:t>twenty-</w:t>
      </w:r>
      <w:r w:rsidR="007C5CCD">
        <w:t>four</w:t>
      </w:r>
      <w:r w:rsidR="009A2929" w:rsidRPr="00995477">
        <w:t xml:space="preserve"> </w:t>
      </w:r>
      <w:r w:rsidR="007C5CCD">
        <w:t>communications, two were discontinued and eights</w:t>
      </w:r>
      <w:r w:rsidR="009A2929" w:rsidRPr="00995477">
        <w:t xml:space="preserve"> were deemed inadmissib</w:t>
      </w:r>
      <w:r w:rsidR="008E1C6F">
        <w:t>le. Another twenty-two</w:t>
      </w:r>
      <w:r w:rsidR="00B1756B">
        <w:t xml:space="preserve"> cases are still waiting to be examined by the Committee</w:t>
      </w:r>
      <w:r w:rsidR="009A2929" w:rsidRPr="00995477">
        <w:t>.</w:t>
      </w:r>
      <w:r w:rsidR="00E94CB9" w:rsidRPr="00995477">
        <w:rPr>
          <w:rStyle w:val="FootnoteReference"/>
          <w:rFonts w:cs="Arial"/>
          <w:szCs w:val="22"/>
        </w:rPr>
        <w:footnoteReference w:id="5"/>
      </w:r>
    </w:p>
    <w:p w:rsidR="009A2929" w:rsidRPr="00995477" w:rsidRDefault="00676354" w:rsidP="001E3A2D">
      <w:r>
        <w:t xml:space="preserve">11. </w:t>
      </w:r>
      <w:r w:rsidR="00E448C1">
        <w:t>The</w:t>
      </w:r>
      <w:r w:rsidR="009A2929" w:rsidRPr="00995477">
        <w:t xml:space="preserve"> majority of </w:t>
      </w:r>
      <w:r w:rsidR="00E448C1">
        <w:t>communications examined by the Committee</w:t>
      </w:r>
      <w:r w:rsidR="009A2929" w:rsidRPr="00995477">
        <w:t xml:space="preserve"> </w:t>
      </w:r>
      <w:r w:rsidR="00E448C1">
        <w:t>concerned issues of</w:t>
      </w:r>
      <w:r w:rsidR="009A2929" w:rsidRPr="00995477">
        <w:t xml:space="preserve"> discr</w:t>
      </w:r>
      <w:r w:rsidR="00E448C1">
        <w:t xml:space="preserve">imination </w:t>
      </w:r>
      <w:r w:rsidR="00777DC8">
        <w:t>(seven</w:t>
      </w:r>
      <w:r w:rsidR="009A2929" w:rsidRPr="00995477">
        <w:t xml:space="preserve"> communications),</w:t>
      </w:r>
      <w:r w:rsidR="00F769ED">
        <w:rPr>
          <w:rStyle w:val="FootnoteReference"/>
          <w:rFonts w:cs="Arial"/>
          <w:szCs w:val="22"/>
        </w:rPr>
        <w:footnoteReference w:id="6"/>
      </w:r>
      <w:r w:rsidR="00777DC8">
        <w:t xml:space="preserve"> accessibility (six</w:t>
      </w:r>
      <w:r w:rsidR="009A2929" w:rsidRPr="00995477">
        <w:t xml:space="preserve"> communica</w:t>
      </w:r>
      <w:r w:rsidR="00EF54CF">
        <w:softHyphen/>
      </w:r>
      <w:r w:rsidR="009A2929" w:rsidRPr="00995477">
        <w:t>tions)</w:t>
      </w:r>
      <w:r w:rsidR="00F769ED">
        <w:rPr>
          <w:rStyle w:val="FootnoteReference"/>
          <w:rFonts w:cs="Arial"/>
          <w:szCs w:val="22"/>
        </w:rPr>
        <w:footnoteReference w:id="7"/>
      </w:r>
      <w:r w:rsidR="00BF521A">
        <w:t>,</w:t>
      </w:r>
      <w:r w:rsidR="00777DC8">
        <w:t xml:space="preserve"> access to justice (five</w:t>
      </w:r>
      <w:r w:rsidR="009A2929" w:rsidRPr="00995477">
        <w:t xml:space="preserve"> communications)</w:t>
      </w:r>
      <w:r w:rsidR="00F769ED">
        <w:rPr>
          <w:rStyle w:val="FootnoteReference"/>
          <w:rFonts w:cs="Arial"/>
          <w:szCs w:val="22"/>
        </w:rPr>
        <w:footnoteReference w:id="8"/>
      </w:r>
      <w:r w:rsidR="009A2929" w:rsidRPr="00995477">
        <w:t xml:space="preserve"> and participation</w:t>
      </w:r>
      <w:r w:rsidR="00777DC8">
        <w:t xml:space="preserve"> in political and public life (five</w:t>
      </w:r>
      <w:r w:rsidR="009A2929" w:rsidRPr="00995477">
        <w:t xml:space="preserve"> communications)</w:t>
      </w:r>
      <w:r w:rsidR="00F769ED">
        <w:rPr>
          <w:rStyle w:val="FootnoteReference"/>
          <w:rFonts w:cs="Arial"/>
          <w:szCs w:val="22"/>
        </w:rPr>
        <w:footnoteReference w:id="9"/>
      </w:r>
      <w:r w:rsidR="00BF521A">
        <w:t>.</w:t>
      </w:r>
      <w:r w:rsidR="009A2929" w:rsidRPr="00995477">
        <w:t xml:space="preserve"> Other violations </w:t>
      </w:r>
      <w:r w:rsidR="00E448C1">
        <w:t>concerned</w:t>
      </w:r>
      <w:r w:rsidR="009A2929" w:rsidRPr="00995477">
        <w:t xml:space="preserve"> the rights to equal recognition before the law, liberty and security, prohibition of torture/cruel, inhuman or degrading treatment or punishment, integrity of the person, living independently and being included in the community, freedom of expression and opinion and access to information, health, habilitation and rehabilitation, and work and employment. </w:t>
      </w:r>
    </w:p>
    <w:p w:rsidR="009A2929" w:rsidRPr="00995477" w:rsidRDefault="009A2929" w:rsidP="00917320">
      <w:pPr>
        <w:pStyle w:val="Heading2"/>
      </w:pPr>
      <w:bookmarkStart w:id="8" w:name="_Toc522542389"/>
      <w:r w:rsidRPr="00995477">
        <w:t>B. Follow-up procedure for implementation of the views</w:t>
      </w:r>
      <w:bookmarkEnd w:id="8"/>
      <w:r w:rsidRPr="00995477">
        <w:t xml:space="preserve"> </w:t>
      </w:r>
    </w:p>
    <w:p w:rsidR="009A2929" w:rsidRPr="00E6692D" w:rsidRDefault="00676354" w:rsidP="00917320">
      <w:r>
        <w:t xml:space="preserve">12. </w:t>
      </w:r>
      <w:r w:rsidR="009D0C8C">
        <w:t xml:space="preserve">In the same way the Committee follows-up concluding observations, it adopted a procedure to follow-up the implementation of its views on individual communications. </w:t>
      </w:r>
      <w:r w:rsidR="008332BE">
        <w:t>Between</w:t>
      </w:r>
      <w:r w:rsidR="009A2929" w:rsidRPr="00995477">
        <w:t xml:space="preserve"> September 2013</w:t>
      </w:r>
      <w:r w:rsidR="008332BE">
        <w:t xml:space="preserve"> and March 2018</w:t>
      </w:r>
      <w:r w:rsidR="009A2929" w:rsidRPr="00995477">
        <w:t xml:space="preserve">, </w:t>
      </w:r>
      <w:r w:rsidR="009D0C8C">
        <w:t xml:space="preserve">it </w:t>
      </w:r>
      <w:r w:rsidR="009A2929" w:rsidRPr="00995477">
        <w:t>adopted</w:t>
      </w:r>
      <w:r w:rsidR="005D59E2">
        <w:t xml:space="preserve"> nine interim reports </w:t>
      </w:r>
      <w:r w:rsidR="009A2929" w:rsidRPr="005D59E2">
        <w:t>on follow-up to views on individual communications</w:t>
      </w:r>
      <w:r w:rsidR="007F1E68" w:rsidRPr="005D59E2">
        <w:rPr>
          <w:rStyle w:val="FootnoteReference"/>
          <w:rFonts w:cs="Arial"/>
          <w:szCs w:val="22"/>
        </w:rPr>
        <w:footnoteReference w:id="10"/>
      </w:r>
      <w:r w:rsidR="009A2929" w:rsidRPr="005D59E2">
        <w:t xml:space="preserve"> in which it </w:t>
      </w:r>
      <w:r w:rsidR="009D0C8C" w:rsidRPr="005D59E2">
        <w:t>establish</w:t>
      </w:r>
      <w:r w:rsidR="008332BE" w:rsidRPr="005D59E2">
        <w:t>ed</w:t>
      </w:r>
      <w:r w:rsidR="009A2929" w:rsidRPr="005D59E2">
        <w:t xml:space="preserve"> the measures to be taken by States </w:t>
      </w:r>
      <w:r w:rsidR="00596BA2">
        <w:t>Parties</w:t>
      </w:r>
      <w:r w:rsidR="009A2929" w:rsidRPr="005D59E2">
        <w:t xml:space="preserve"> to give effect to </w:t>
      </w:r>
      <w:r w:rsidR="009616C6" w:rsidRPr="005D59E2">
        <w:t>its</w:t>
      </w:r>
      <w:r w:rsidR="009A2929" w:rsidRPr="005D59E2">
        <w:t xml:space="preserve"> views.</w:t>
      </w:r>
      <w:r w:rsidR="009A2929" w:rsidRPr="00995477">
        <w:t xml:space="preserve"> </w:t>
      </w:r>
      <w:r w:rsidR="009616C6">
        <w:t xml:space="preserve">The reports </w:t>
      </w:r>
      <w:r w:rsidR="009A2929" w:rsidRPr="00995477">
        <w:t>descri</w:t>
      </w:r>
      <w:r w:rsidR="009616C6">
        <w:t>be</w:t>
      </w:r>
      <w:r w:rsidR="009D0C8C">
        <w:t xml:space="preserve"> measures taken by the State and</w:t>
      </w:r>
      <w:r w:rsidR="009616C6">
        <w:t xml:space="preserve"> include</w:t>
      </w:r>
      <w:r w:rsidR="009A2929" w:rsidRPr="00995477">
        <w:t xml:space="preserve"> authors’ comments and recommendations </w:t>
      </w:r>
      <w:r w:rsidR="009D0C8C">
        <w:t>from</w:t>
      </w:r>
      <w:r w:rsidR="009A2929" w:rsidRPr="00995477">
        <w:t xml:space="preserve"> the Special Rapporteur for follow-up on views. It uses an assessment system to d</w:t>
      </w:r>
      <w:r w:rsidR="00AF37AF">
        <w:t>etermine the effectiveness of</w:t>
      </w:r>
      <w:r w:rsidR="009A2929" w:rsidRPr="00995477">
        <w:t xml:space="preserve"> the measures taken</w:t>
      </w:r>
      <w:r w:rsidR="00AF37AF">
        <w:t xml:space="preserve"> by the States concerned,</w:t>
      </w:r>
      <w:r w:rsidR="009A2929" w:rsidRPr="00995477">
        <w:t xml:space="preserve"> from satisfactory (A), partially satisfactory (B1, B2), not satisfactory (C1, C2), no cooperation with the Committee (D1, D2), to contrary to the recommendations of the Committee (E). </w:t>
      </w:r>
    </w:p>
    <w:p w:rsidR="009A2929" w:rsidRPr="00995477" w:rsidRDefault="00676354" w:rsidP="00917320">
      <w:r>
        <w:t xml:space="preserve">13. </w:t>
      </w:r>
      <w:r w:rsidR="009A2929" w:rsidRPr="00995477">
        <w:t xml:space="preserve">As of the end of </w:t>
      </w:r>
      <w:r w:rsidR="000F0D0C">
        <w:t>its</w:t>
      </w:r>
      <w:r w:rsidR="009A2929" w:rsidRPr="00995477">
        <w:t xml:space="preserve"> nineteenth session, the Committee had fol</w:t>
      </w:r>
      <w:r w:rsidR="000F0D0C">
        <w:t>lowed-up the implementation of nine</w:t>
      </w:r>
      <w:r w:rsidR="009A2929" w:rsidRPr="00995477">
        <w:t xml:space="preserve"> views on individual communicatio</w:t>
      </w:r>
      <w:r w:rsidR="000F0D0C">
        <w:t>ns. It discontinued the follow-up procedure of</w:t>
      </w:r>
      <w:r w:rsidR="009A2929" w:rsidRPr="00995477">
        <w:t xml:space="preserve"> two views on</w:t>
      </w:r>
      <w:r w:rsidR="000F0D0C">
        <w:t xml:space="preserve"> individual communications with in</w:t>
      </w:r>
      <w:r w:rsidR="009A2929" w:rsidRPr="00995477">
        <w:t xml:space="preserve"> one case </w:t>
      </w:r>
      <w:r w:rsidR="000F0D0C">
        <w:t xml:space="preserve">satisfactory </w:t>
      </w:r>
      <w:r w:rsidR="000F0D0C" w:rsidRPr="00995477">
        <w:t>measure</w:t>
      </w:r>
      <w:r w:rsidR="000F0D0C">
        <w:t>s</w:t>
      </w:r>
      <w:r w:rsidR="009A2929" w:rsidRPr="00995477">
        <w:t xml:space="preserve"> taken by the State </w:t>
      </w:r>
      <w:r w:rsidR="000F0D0C">
        <w:t>(Communication 08.2012)</w:t>
      </w:r>
      <w:r w:rsidR="009A2929" w:rsidRPr="00995477">
        <w:t xml:space="preserve"> and in the other </w:t>
      </w:r>
      <w:r w:rsidR="000F0D0C">
        <w:t>un</w:t>
      </w:r>
      <w:r w:rsidR="009A2929" w:rsidRPr="00995477">
        <w:t>satisfactory</w:t>
      </w:r>
      <w:r w:rsidR="000F0D0C">
        <w:t xml:space="preserve"> measures</w:t>
      </w:r>
      <w:r w:rsidR="009A2929" w:rsidRPr="00995477">
        <w:t xml:space="preserve"> (Communication 03.2011). In another case, the Committee discontinued the follow-up procedure regarding individual recommen</w:t>
      </w:r>
      <w:r w:rsidR="00EF54CF">
        <w:softHyphen/>
      </w:r>
      <w:r w:rsidR="009A2929" w:rsidRPr="00995477">
        <w:t xml:space="preserve">dation but not on implementation of general recommendations (Communication 02.2010). </w:t>
      </w:r>
    </w:p>
    <w:p w:rsidR="009A2929" w:rsidRPr="00995477" w:rsidRDefault="009A2929" w:rsidP="00917320">
      <w:pPr>
        <w:pStyle w:val="Heading2"/>
      </w:pPr>
      <w:bookmarkStart w:id="9" w:name="_Toc522542390"/>
      <w:r w:rsidRPr="00995477">
        <w:t>C. Inquiry procedure</w:t>
      </w:r>
      <w:bookmarkEnd w:id="9"/>
      <w:r w:rsidRPr="00995477">
        <w:t xml:space="preserve"> </w:t>
      </w:r>
    </w:p>
    <w:p w:rsidR="00A676EE" w:rsidRDefault="00676354" w:rsidP="00917320">
      <w:r>
        <w:t xml:space="preserve">14. </w:t>
      </w:r>
      <w:r w:rsidR="007403ED">
        <w:t>Under the Optional Protocol, the Committee may also conduct</w:t>
      </w:r>
      <w:r w:rsidR="004702B7" w:rsidRPr="007403ED">
        <w:t xml:space="preserve"> </w:t>
      </w:r>
      <w:r w:rsidR="007403ED">
        <w:t>inquiries</w:t>
      </w:r>
      <w:r w:rsidR="00C1137D" w:rsidRPr="007403ED">
        <w:t xml:space="preserve"> with respect to States </w:t>
      </w:r>
      <w:r w:rsidR="00596BA2">
        <w:t>Parties</w:t>
      </w:r>
      <w:r w:rsidR="00C1137D" w:rsidRPr="007403ED">
        <w:t xml:space="preserve"> that have r</w:t>
      </w:r>
      <w:r w:rsidR="00A676EE">
        <w:t>atified</w:t>
      </w:r>
      <w:r w:rsidR="00C1137D" w:rsidRPr="007403ED">
        <w:t xml:space="preserve"> the Opt</w:t>
      </w:r>
      <w:r w:rsidR="00A676EE">
        <w:t xml:space="preserve">ional Protocol, if it is </w:t>
      </w:r>
      <w:r w:rsidR="00C1137D" w:rsidRPr="007403ED">
        <w:t>provided with “reliable information indicating that the rights contained in the Convention it monitors are being systematically violated by the State party</w:t>
      </w:r>
      <w:r w:rsidR="007403ED">
        <w:t>.</w:t>
      </w:r>
      <w:r w:rsidR="00C1137D" w:rsidRPr="007403ED">
        <w:t>”</w:t>
      </w:r>
      <w:r w:rsidR="007403ED">
        <w:rPr>
          <w:rStyle w:val="FootnoteReference"/>
          <w:rFonts w:cs="Arial"/>
          <w:szCs w:val="22"/>
        </w:rPr>
        <w:footnoteReference w:id="11"/>
      </w:r>
      <w:r w:rsidR="00C1137D">
        <w:t xml:space="preserve"> </w:t>
      </w:r>
    </w:p>
    <w:p w:rsidR="009A2929" w:rsidRPr="00A676EE" w:rsidRDefault="00676354" w:rsidP="00917320">
      <w:r>
        <w:t xml:space="preserve">15. </w:t>
      </w:r>
      <w:r w:rsidR="00C1137D">
        <w:t>As of July 2018, t</w:t>
      </w:r>
      <w:r w:rsidR="009A2929" w:rsidRPr="00995477">
        <w:t>he Committee</w:t>
      </w:r>
      <w:r w:rsidR="00C1137D">
        <w:t xml:space="preserve"> had</w:t>
      </w:r>
      <w:r w:rsidR="009A2929" w:rsidRPr="00995477">
        <w:t xml:space="preserve"> examined two inquiries. In September 2016, at is sixteenth session, the Committee adopted a report on the inquiry against the United-Kingdom (CRPD/C/15/4) on alleged viol</w:t>
      </w:r>
      <w:r w:rsidR="00CE366D">
        <w:t>ation of articl</w:t>
      </w:r>
      <w:r w:rsidR="00722248">
        <w:t>es 19, 27 and 28 of the CRPD. It</w:t>
      </w:r>
      <w:r w:rsidR="00CE366D">
        <w:t xml:space="preserve"> concerned</w:t>
      </w:r>
      <w:r w:rsidR="009A2929" w:rsidRPr="00995477">
        <w:t xml:space="preserve"> the alleged negative impact of social welfare reform</w:t>
      </w:r>
      <w:r w:rsidR="00CE366D">
        <w:t>s</w:t>
      </w:r>
      <w:r w:rsidR="009A2929" w:rsidRPr="00995477">
        <w:t xml:space="preserve"> on the rights of persons with disabilities to live independently and be included in the society, to an adequate standard of living and social protection, and to work and employment. In March 2018, at its nineteenth session, it adopted a report on the inquiry against Spain (CRPD/C/18/R.2) on alleged violation o</w:t>
      </w:r>
      <w:r w:rsidR="00722248">
        <w:t xml:space="preserve">f article 24 of the Convention regarding </w:t>
      </w:r>
      <w:r w:rsidR="009A2929" w:rsidRPr="00995477">
        <w:t xml:space="preserve">the alleged structural exclusion and segregation of persons with disabilities from the mainstream education system on the basis of disability. </w:t>
      </w:r>
      <w:r w:rsidR="00CF6FC4">
        <w:t>In both reports the Committee</w:t>
      </w:r>
      <w:r w:rsidR="00A30844">
        <w:t xml:space="preserve"> </w:t>
      </w:r>
      <w:r w:rsidR="00C2650B">
        <w:t xml:space="preserve">found </w:t>
      </w:r>
      <w:r w:rsidR="00A30844">
        <w:t xml:space="preserve">violations </w:t>
      </w:r>
      <w:r w:rsidR="00CF6FC4">
        <w:t xml:space="preserve">of the Convention </w:t>
      </w:r>
      <w:r w:rsidR="00C2650B">
        <w:t xml:space="preserve">with both </w:t>
      </w:r>
      <w:r w:rsidR="00CF6FC4">
        <w:t xml:space="preserve">States </w:t>
      </w:r>
      <w:r w:rsidR="00596BA2">
        <w:t>Parties</w:t>
      </w:r>
      <w:r w:rsidR="00A30844">
        <w:t xml:space="preserve">. </w:t>
      </w:r>
    </w:p>
    <w:p w:rsidR="009A2929" w:rsidRPr="00F000F1" w:rsidRDefault="009A2929" w:rsidP="00917320">
      <w:pPr>
        <w:pStyle w:val="Heading1"/>
      </w:pPr>
      <w:bookmarkStart w:id="10" w:name="_Toc522542391"/>
      <w:r w:rsidRPr="00F000F1">
        <w:t>IV. Overviews of the Committee’s opinions, recommenda</w:t>
      </w:r>
      <w:r w:rsidR="00EF54CF">
        <w:softHyphen/>
      </w:r>
      <w:r w:rsidRPr="00F000F1">
        <w:t>tions and views</w:t>
      </w:r>
      <w:bookmarkEnd w:id="10"/>
    </w:p>
    <w:p w:rsidR="009A2929" w:rsidRPr="00F000F1" w:rsidRDefault="009A2929" w:rsidP="00917320">
      <w:pPr>
        <w:pStyle w:val="Heading2"/>
      </w:pPr>
      <w:bookmarkStart w:id="11" w:name="_Toc522542392"/>
      <w:r w:rsidRPr="00763246">
        <w:t xml:space="preserve">A. </w:t>
      </w:r>
      <w:r w:rsidR="006C00F5">
        <w:t>Understanding the rights of persons with disabilities</w:t>
      </w:r>
      <w:bookmarkEnd w:id="11"/>
      <w:r w:rsidR="005F60A3">
        <w:t xml:space="preserve"> </w:t>
      </w:r>
    </w:p>
    <w:p w:rsidR="009A2929" w:rsidRPr="00F000F1" w:rsidRDefault="00456D21" w:rsidP="00917320">
      <w:pPr>
        <w:pStyle w:val="Heading3"/>
      </w:pPr>
      <w:bookmarkStart w:id="12" w:name="_Toc522542393"/>
      <w:r w:rsidRPr="00F000F1">
        <w:t xml:space="preserve">i. </w:t>
      </w:r>
      <w:r w:rsidR="009A2929" w:rsidRPr="00F000F1">
        <w:t>New understanding of disability: the human rights model of disability</w:t>
      </w:r>
      <w:bookmarkEnd w:id="12"/>
    </w:p>
    <w:p w:rsidR="005541B9" w:rsidRDefault="00676354" w:rsidP="00917320">
      <w:r>
        <w:t xml:space="preserve">16. </w:t>
      </w:r>
      <w:r w:rsidR="00E62B6B">
        <w:t xml:space="preserve">The Convention on the Rights of Persons with Disabilities </w:t>
      </w:r>
      <w:r w:rsidR="009D0163">
        <w:t>reflects</w:t>
      </w:r>
      <w:r w:rsidR="00E62B6B">
        <w:t xml:space="preserve"> the shift of understanding of disability from </w:t>
      </w:r>
      <w:r w:rsidR="000B1580">
        <w:t>medical and charity</w:t>
      </w:r>
      <w:r w:rsidR="00E62B6B">
        <w:t xml:space="preserve"> model</w:t>
      </w:r>
      <w:r w:rsidR="000B1580">
        <w:t>s of disability</w:t>
      </w:r>
      <w:r w:rsidR="00644880">
        <w:t xml:space="preserve"> </w:t>
      </w:r>
      <w:r w:rsidR="00644880" w:rsidRPr="00F000F1">
        <w:t>that used to focus on personal impairments as</w:t>
      </w:r>
      <w:r w:rsidR="00644880">
        <w:t xml:space="preserve"> the cause of social exclusion and persons with disabilities as objects to be “protected”,</w:t>
      </w:r>
      <w:r w:rsidR="00E62B6B">
        <w:t xml:space="preserve"> to the human rights model</w:t>
      </w:r>
      <w:r w:rsidR="000B1580">
        <w:t xml:space="preserve"> of disability</w:t>
      </w:r>
      <w:r w:rsidR="00E62B6B">
        <w:t xml:space="preserve">. </w:t>
      </w:r>
      <w:r w:rsidR="009A13FD">
        <w:t>The preamble</w:t>
      </w:r>
      <w:r w:rsidR="009A13FD">
        <w:rPr>
          <w:rStyle w:val="FootnoteReference"/>
          <w:rFonts w:cs="Arial"/>
          <w:szCs w:val="22"/>
        </w:rPr>
        <w:footnoteReference w:id="12"/>
      </w:r>
      <w:r w:rsidR="009A13FD">
        <w:t xml:space="preserve"> and the </w:t>
      </w:r>
      <w:r w:rsidR="009A2929" w:rsidRPr="00F000F1">
        <w:t>definition</w:t>
      </w:r>
      <w:r w:rsidR="00E62B6B">
        <w:t xml:space="preserve"> </w:t>
      </w:r>
      <w:r w:rsidR="00CC7352">
        <w:t>of persons with disabilities in</w:t>
      </w:r>
      <w:r w:rsidR="000B1580">
        <w:t xml:space="preserve"> </w:t>
      </w:r>
      <w:r w:rsidR="00E62B6B">
        <w:t>article 1</w:t>
      </w:r>
      <w:r w:rsidR="00CC7352">
        <w:t xml:space="preserve"> of the Convention</w:t>
      </w:r>
      <w:r w:rsidR="00E62B6B">
        <w:rPr>
          <w:rStyle w:val="FootnoteReference"/>
          <w:rFonts w:cs="Arial"/>
          <w:szCs w:val="22"/>
        </w:rPr>
        <w:footnoteReference w:id="13"/>
      </w:r>
      <w:r w:rsidR="009A13FD">
        <w:t xml:space="preserve"> reflect</w:t>
      </w:r>
      <w:r w:rsidR="004565E0">
        <w:t xml:space="preserve"> this</w:t>
      </w:r>
      <w:r w:rsidR="009A2929" w:rsidRPr="00F000F1">
        <w:t xml:space="preserve"> n</w:t>
      </w:r>
      <w:r w:rsidR="00C34922" w:rsidRPr="00F000F1">
        <w:t xml:space="preserve">ew understanding </w:t>
      </w:r>
      <w:r w:rsidR="009A2929" w:rsidRPr="00F000F1">
        <w:t xml:space="preserve">according to which disability is a social construct and that it is the barriers within society, rather than personal impairments, that exclude persons with disabilities. </w:t>
      </w:r>
    </w:p>
    <w:p w:rsidR="009A2929" w:rsidRPr="005541B9" w:rsidRDefault="00676354" w:rsidP="00917320">
      <w:r>
        <w:t xml:space="preserve">17. </w:t>
      </w:r>
      <w:r w:rsidR="008734FB">
        <w:t>The</w:t>
      </w:r>
      <w:r w:rsidR="009A2929" w:rsidRPr="00F000F1">
        <w:t xml:space="preserve"> Committee on the Rights of Persons w</w:t>
      </w:r>
      <w:r w:rsidR="00C34922" w:rsidRPr="00F000F1">
        <w:t>ith Disabilities</w:t>
      </w:r>
      <w:r w:rsidR="009A2929" w:rsidRPr="00F000F1">
        <w:t xml:space="preserve"> endorsed and stressed the importance of </w:t>
      </w:r>
      <w:r w:rsidR="00B615BA">
        <w:t>this new understanding</w:t>
      </w:r>
      <w:r w:rsidR="00C34922" w:rsidRPr="00F000F1">
        <w:t>. In its</w:t>
      </w:r>
      <w:r w:rsidR="009A2929" w:rsidRPr="00F000F1">
        <w:t xml:space="preserve"> first statement</w:t>
      </w:r>
      <w:r w:rsidR="00EF54CF">
        <w:t>,</w:t>
      </w:r>
      <w:r w:rsidR="009A2929" w:rsidRPr="00F000F1">
        <w:t xml:space="preserve"> the Committee highlighted the importance of immediate transition from the medical model</w:t>
      </w:r>
      <w:r w:rsidR="00644880">
        <w:t xml:space="preserve"> </w:t>
      </w:r>
      <w:r w:rsidR="009A2929" w:rsidRPr="00F000F1">
        <w:t>to the human rights model of disability.</w:t>
      </w:r>
      <w:r w:rsidR="00E77A5A" w:rsidRPr="00F000F1">
        <w:rPr>
          <w:rStyle w:val="FootnoteReference"/>
          <w:rFonts w:cs="Arial"/>
          <w:szCs w:val="22"/>
        </w:rPr>
        <w:footnoteReference w:id="14"/>
      </w:r>
      <w:r w:rsidR="005541B9">
        <w:t xml:space="preserve"> </w:t>
      </w:r>
      <w:r w:rsidR="009A2929" w:rsidRPr="00F000F1">
        <w:t xml:space="preserve">At several occasions, the Committee noted that the failure to understand and implement the human rights model of disability </w:t>
      </w:r>
      <w:r w:rsidR="005541B9">
        <w:t>is the major cause of exclusion of</w:t>
      </w:r>
      <w:r w:rsidR="009A2929" w:rsidRPr="00F000F1">
        <w:t xml:space="preserve"> persons with disa</w:t>
      </w:r>
      <w:r w:rsidR="00FD5CD3" w:rsidRPr="00F000F1">
        <w:t>bilities</w:t>
      </w:r>
      <w:r w:rsidR="007E5702">
        <w:t xml:space="preserve"> in society</w:t>
      </w:r>
      <w:r w:rsidR="00FD5CD3" w:rsidRPr="00F000F1">
        <w:t>.</w:t>
      </w:r>
      <w:r w:rsidR="00566DFA">
        <w:t xml:space="preserve"> For instance, this is reflected in the difficulties States </w:t>
      </w:r>
      <w:r w:rsidR="00596BA2">
        <w:t>Parties</w:t>
      </w:r>
      <w:r w:rsidR="00566DFA">
        <w:t xml:space="preserve"> have to ensure access to inclusive education for persons with disabilitie</w:t>
      </w:r>
      <w:r w:rsidR="00566DFA" w:rsidRPr="00566DFA">
        <w:t>s.</w:t>
      </w:r>
      <w:r w:rsidR="00E77A5A" w:rsidRPr="00566DFA">
        <w:rPr>
          <w:rStyle w:val="FootnoteReference"/>
          <w:rFonts w:cs="Arial"/>
          <w:szCs w:val="22"/>
        </w:rPr>
        <w:footnoteReference w:id="15"/>
      </w:r>
      <w:r w:rsidR="00C81B31" w:rsidRPr="00F000F1">
        <w:rPr>
          <w:position w:val="8"/>
          <w:sz w:val="14"/>
          <w:szCs w:val="14"/>
        </w:rPr>
        <w:t xml:space="preserve"> </w:t>
      </w:r>
      <w:r w:rsidR="00C81B31" w:rsidRPr="00F000F1">
        <w:t xml:space="preserve">In </w:t>
      </w:r>
      <w:r w:rsidR="009A2929" w:rsidRPr="00F000F1">
        <w:t xml:space="preserve">General Comment No. 4 </w:t>
      </w:r>
      <w:r w:rsidR="00D97937">
        <w:t>(2016) on the right to</w:t>
      </w:r>
      <w:r w:rsidR="009A2929" w:rsidRPr="00F000F1">
        <w:t xml:space="preserve"> inclusive education</w:t>
      </w:r>
      <w:r w:rsidR="00D97937">
        <w:t xml:space="preserve"> (</w:t>
      </w:r>
      <w:r w:rsidR="00D97937" w:rsidRPr="00D97937">
        <w:t>CRPD/C/GC/4</w:t>
      </w:r>
      <w:r w:rsidR="00D97937">
        <w:t>)</w:t>
      </w:r>
      <w:r w:rsidR="009A2929" w:rsidRPr="00F000F1">
        <w:t xml:space="preserve">, the Committee </w:t>
      </w:r>
      <w:r w:rsidR="00E06D00">
        <w:t xml:space="preserve">stressed that States </w:t>
      </w:r>
      <w:r w:rsidR="00596BA2">
        <w:t>Parties</w:t>
      </w:r>
      <w:r w:rsidR="00E06D00">
        <w:t xml:space="preserve"> should adopt</w:t>
      </w:r>
      <w:r w:rsidR="009A2929" w:rsidRPr="00F000F1">
        <w:t xml:space="preserve"> the human rights model of disability,</w:t>
      </w:r>
      <w:r w:rsidR="00E77A5A" w:rsidRPr="00F000F1">
        <w:rPr>
          <w:rStyle w:val="FootnoteReference"/>
          <w:rFonts w:cs="Arial"/>
          <w:szCs w:val="22"/>
        </w:rPr>
        <w:footnoteReference w:id="16"/>
      </w:r>
      <w:r w:rsidR="00AE30DF" w:rsidRPr="00F000F1">
        <w:t xml:space="preserve"> </w:t>
      </w:r>
      <w:r w:rsidR="009A2929" w:rsidRPr="00F000F1">
        <w:t>introduc</w:t>
      </w:r>
      <w:r w:rsidR="0002386D">
        <w:t>e</w:t>
      </w:r>
      <w:r w:rsidR="009A2929" w:rsidRPr="00F000F1">
        <w:t xml:space="preserve"> or implement of legislation based on the human rights model of disability,</w:t>
      </w:r>
      <w:r w:rsidR="00E77A5A" w:rsidRPr="00F000F1">
        <w:rPr>
          <w:rStyle w:val="FootnoteReference"/>
          <w:rFonts w:cs="Arial"/>
          <w:szCs w:val="22"/>
        </w:rPr>
        <w:footnoteReference w:id="17"/>
      </w:r>
      <w:r w:rsidR="00E77A5A" w:rsidRPr="00F000F1">
        <w:t xml:space="preserve"> </w:t>
      </w:r>
      <w:r w:rsidR="009A2929" w:rsidRPr="00F000F1">
        <w:t xml:space="preserve">and </w:t>
      </w:r>
      <w:r w:rsidR="00107274">
        <w:t xml:space="preserve">organize </w:t>
      </w:r>
      <w:r w:rsidR="009A2929" w:rsidRPr="00F000F1">
        <w:t>trainings based on the human rights model of disability.</w:t>
      </w:r>
      <w:r w:rsidR="00E77A5A" w:rsidRPr="00F000F1">
        <w:rPr>
          <w:rStyle w:val="FootnoteReference"/>
          <w:rFonts w:cs="Arial"/>
          <w:szCs w:val="22"/>
        </w:rPr>
        <w:footnoteReference w:id="18"/>
      </w:r>
      <w:r w:rsidR="006B6B47">
        <w:t xml:space="preserve"> </w:t>
      </w:r>
    </w:p>
    <w:p w:rsidR="00702A6D" w:rsidRDefault="00676354" w:rsidP="00917320">
      <w:r>
        <w:t xml:space="preserve">18. </w:t>
      </w:r>
      <w:r w:rsidR="009A2929" w:rsidRPr="00F000F1">
        <w:t>Over</w:t>
      </w:r>
      <w:r w:rsidR="00B05514">
        <w:t xml:space="preserve"> </w:t>
      </w:r>
      <w:r w:rsidR="009A2929" w:rsidRPr="00F000F1">
        <w:t xml:space="preserve">time the </w:t>
      </w:r>
      <w:r w:rsidR="002573BC" w:rsidRPr="00F000F1">
        <w:t xml:space="preserve">Committee brought </w:t>
      </w:r>
      <w:r w:rsidR="0073335B">
        <w:t xml:space="preserve">specific </w:t>
      </w:r>
      <w:r w:rsidR="002573BC" w:rsidRPr="00F000F1">
        <w:t>clarification</w:t>
      </w:r>
      <w:r w:rsidR="009A2929" w:rsidRPr="00F000F1">
        <w:t xml:space="preserve"> on </w:t>
      </w:r>
      <w:r w:rsidR="0073335B">
        <w:t xml:space="preserve">how States </w:t>
      </w:r>
      <w:r w:rsidR="00596BA2">
        <w:t>Parties</w:t>
      </w:r>
      <w:r w:rsidR="0073335B">
        <w:t xml:space="preserve"> must understand and implement the</w:t>
      </w:r>
      <w:r w:rsidR="009A2929" w:rsidRPr="00F000F1">
        <w:t xml:space="preserve"> human rights model</w:t>
      </w:r>
      <w:r w:rsidR="0073335B">
        <w:t xml:space="preserve"> of disability</w:t>
      </w:r>
      <w:r w:rsidR="009A2929" w:rsidRPr="00F000F1">
        <w:t xml:space="preserve">. In General Comment No. 5 on </w:t>
      </w:r>
      <w:r w:rsidR="005920C0">
        <w:t>living independently</w:t>
      </w:r>
      <w:r w:rsidR="009A2929" w:rsidRPr="00F000F1">
        <w:t xml:space="preserve"> and </w:t>
      </w:r>
      <w:r w:rsidR="005920C0">
        <w:t>being included in the community</w:t>
      </w:r>
      <w:r w:rsidR="00B05514">
        <w:t xml:space="preserve"> </w:t>
      </w:r>
      <w:r w:rsidR="0073335B">
        <w:t>(</w:t>
      </w:r>
      <w:r w:rsidR="00B05514">
        <w:t>CRPD/C/GC/5)</w:t>
      </w:r>
      <w:r w:rsidR="009A2929" w:rsidRPr="00F000F1">
        <w:t>, it stressed that the human rights model of disability “does not allow the exclusion of persons with disabilities</w:t>
      </w:r>
      <w:r w:rsidR="0073335B">
        <w:t xml:space="preserve"> [from society]</w:t>
      </w:r>
      <w:r w:rsidR="009A2929" w:rsidRPr="00F000F1">
        <w:t xml:space="preserve"> for any reason, including the kind and amount of support services required.”</w:t>
      </w:r>
      <w:r w:rsidR="00E77A5A" w:rsidRPr="00F000F1">
        <w:rPr>
          <w:rStyle w:val="FootnoteReference"/>
          <w:rFonts w:cs="Arial"/>
          <w:szCs w:val="22"/>
        </w:rPr>
        <w:footnoteReference w:id="19"/>
      </w:r>
      <w:r w:rsidR="00E77A5A" w:rsidRPr="00F000F1">
        <w:t xml:space="preserve"> </w:t>
      </w:r>
      <w:r w:rsidR="009A2929" w:rsidRPr="00F000F1">
        <w:t>In General Comment No. 6 on equality and non-discrimination</w:t>
      </w:r>
      <w:r w:rsidR="0073335B">
        <w:t xml:space="preserve"> (</w:t>
      </w:r>
      <w:r w:rsidR="0073335B" w:rsidRPr="0073335B">
        <w:t>CRPD</w:t>
      </w:r>
      <w:r w:rsidR="0073335B">
        <w:t>/C/GC/6)</w:t>
      </w:r>
      <w:r w:rsidR="009A2929" w:rsidRPr="00F000F1">
        <w:t xml:space="preserve">, the Committee reiterates its position from its 2014 views on communication </w:t>
      </w:r>
      <w:r w:rsidR="009A2929" w:rsidRPr="00F000F1">
        <w:rPr>
          <w:i/>
        </w:rPr>
        <w:t>S.C. v. Brazil</w:t>
      </w:r>
      <w:r w:rsidR="009A2929" w:rsidRPr="00F000F1">
        <w:t xml:space="preserve"> </w:t>
      </w:r>
      <w:r w:rsidR="004525D3" w:rsidRPr="004525D3">
        <w:rPr>
          <w:lang w:val="en-GB"/>
        </w:rPr>
        <w:t>(CRPD/C/12/D/10/2013)</w:t>
      </w:r>
      <w:r w:rsidR="004525D3">
        <w:rPr>
          <w:lang w:val="en-GB"/>
        </w:rPr>
        <w:t xml:space="preserve"> </w:t>
      </w:r>
      <w:r w:rsidR="009A2929" w:rsidRPr="00F000F1">
        <w:t>according to which the human rights based model of disability requires taking into account the diversit</w:t>
      </w:r>
      <w:r w:rsidR="00CB3399">
        <w:t>y of persons with disabilities</w:t>
      </w:r>
      <w:r w:rsidR="00702A6D">
        <w:t xml:space="preserve"> as “</w:t>
      </w:r>
      <w:r w:rsidR="009A2929" w:rsidRPr="00F000F1">
        <w:t>disability is one of several layers of identity</w:t>
      </w:r>
      <w:r w:rsidR="00702A6D">
        <w:t>.”</w:t>
      </w:r>
      <w:r w:rsidR="00E77A5A" w:rsidRPr="00F000F1">
        <w:rPr>
          <w:rStyle w:val="FootnoteReference"/>
          <w:rFonts w:cs="Arial"/>
          <w:szCs w:val="22"/>
        </w:rPr>
        <w:footnoteReference w:id="20"/>
      </w:r>
      <w:r w:rsidR="00375197">
        <w:t xml:space="preserve"> </w:t>
      </w:r>
    </w:p>
    <w:p w:rsidR="00DB42C3" w:rsidRDefault="00676354" w:rsidP="00917320">
      <w:r>
        <w:t xml:space="preserve">19. </w:t>
      </w:r>
      <w:r w:rsidR="00DB42C3">
        <w:t xml:space="preserve">The human rights model of disability is consistently mentioned in the concluding observations of the Committee under articles 1-4 of the Convention, and more infrequently under article 8 </w:t>
      </w:r>
      <w:r w:rsidR="00DB42C3" w:rsidRPr="00F000F1">
        <w:t>on awareness raising, article 14 on liberty and security of the person</w:t>
      </w:r>
      <w:r w:rsidR="00DB42C3">
        <w:t xml:space="preserve"> (in particular in relation to deinstitutionalization),</w:t>
      </w:r>
      <w:r w:rsidR="00DB42C3" w:rsidRPr="00F000F1">
        <w:t xml:space="preserve"> article 25 on health and article 28 on adequate standard of living and social protection.</w:t>
      </w:r>
      <w:r w:rsidR="00DB42C3" w:rsidRPr="00F000F1">
        <w:rPr>
          <w:rStyle w:val="FootnoteReference"/>
          <w:rFonts w:cs="Arial"/>
          <w:szCs w:val="22"/>
        </w:rPr>
        <w:footnoteReference w:id="21"/>
      </w:r>
    </w:p>
    <w:p w:rsidR="009A2929" w:rsidRPr="00F000F1" w:rsidRDefault="00456D21" w:rsidP="00917320">
      <w:pPr>
        <w:pStyle w:val="Heading3"/>
      </w:pPr>
      <w:bookmarkStart w:id="13" w:name="_Toc522542394"/>
      <w:r w:rsidRPr="00F000F1">
        <w:t xml:space="preserve">ii. </w:t>
      </w:r>
      <w:r w:rsidR="00F51086" w:rsidRPr="00F000F1">
        <w:t>Application of a</w:t>
      </w:r>
      <w:r w:rsidR="009A2929" w:rsidRPr="00F000F1">
        <w:t xml:space="preserve"> human rights based approach to disability</w:t>
      </w:r>
      <w:bookmarkEnd w:id="13"/>
      <w:r w:rsidR="009A2929" w:rsidRPr="00F000F1">
        <w:t xml:space="preserve"> </w:t>
      </w:r>
    </w:p>
    <w:p w:rsidR="009D1DDD" w:rsidRDefault="00676354" w:rsidP="00917320">
      <w:r>
        <w:t xml:space="preserve">20. </w:t>
      </w:r>
      <w:r w:rsidR="00A30D3F" w:rsidRPr="00F000F1">
        <w:t xml:space="preserve">In parallel to </w:t>
      </w:r>
      <w:r w:rsidR="00773D85" w:rsidRPr="00F000F1">
        <w:t>the</w:t>
      </w:r>
      <w:r w:rsidR="00A30D3F" w:rsidRPr="00F000F1">
        <w:t xml:space="preserve"> </w:t>
      </w:r>
      <w:r w:rsidR="00EA6545" w:rsidRPr="00F000F1">
        <w:t>human rights model of</w:t>
      </w:r>
      <w:r w:rsidR="00A30D3F" w:rsidRPr="00F000F1">
        <w:t xml:space="preserve"> disability, the Committee </w:t>
      </w:r>
      <w:r w:rsidR="00EA6545" w:rsidRPr="00F000F1">
        <w:t>applies a</w:t>
      </w:r>
      <w:r w:rsidR="003A3E57" w:rsidRPr="00F000F1">
        <w:t xml:space="preserve"> human rights based approach</w:t>
      </w:r>
      <w:r w:rsidR="00DB6787" w:rsidRPr="00F000F1">
        <w:t xml:space="preserve"> to disability</w:t>
      </w:r>
      <w:r w:rsidR="003A3E57" w:rsidRPr="00F000F1">
        <w:t xml:space="preserve">. </w:t>
      </w:r>
      <w:r w:rsidR="008E0E7B" w:rsidRPr="00F000F1">
        <w:t>W</w:t>
      </w:r>
      <w:r w:rsidR="00143D76" w:rsidRPr="00F000F1">
        <w:t xml:space="preserve">hile </w:t>
      </w:r>
      <w:r w:rsidR="003A3E57" w:rsidRPr="00F000F1">
        <w:t xml:space="preserve">the human rights model focuses on </w:t>
      </w:r>
      <w:r w:rsidR="00534FA1">
        <w:t>the concept of</w:t>
      </w:r>
      <w:r w:rsidR="00AD607A">
        <w:t xml:space="preserve"> </w:t>
      </w:r>
      <w:r w:rsidR="00287BD4" w:rsidRPr="00F000F1">
        <w:t>disability, the</w:t>
      </w:r>
      <w:r w:rsidR="003A3E57" w:rsidRPr="00F000F1">
        <w:t xml:space="preserve"> human rights based approach </w:t>
      </w:r>
      <w:r w:rsidR="00791CED">
        <w:t>focuses</w:t>
      </w:r>
      <w:r w:rsidR="007B24F5" w:rsidRPr="00F000F1">
        <w:t xml:space="preserve"> on </w:t>
      </w:r>
      <w:r w:rsidR="00534FA1">
        <w:t>persons with disabilities</w:t>
      </w:r>
      <w:r w:rsidR="00791CED">
        <w:t>,</w:t>
      </w:r>
      <w:r w:rsidR="00456E11">
        <w:t xml:space="preserve"> acknowledging</w:t>
      </w:r>
      <w:r w:rsidR="00397BD3" w:rsidRPr="00F000F1">
        <w:t xml:space="preserve"> </w:t>
      </w:r>
      <w:r w:rsidR="00534FA1">
        <w:t>them as</w:t>
      </w:r>
      <w:r w:rsidR="00397BD3" w:rsidRPr="00F000F1">
        <w:t xml:space="preserve"> </w:t>
      </w:r>
      <w:r w:rsidR="00E91F25" w:rsidRPr="00F000F1">
        <w:t xml:space="preserve">full </w:t>
      </w:r>
      <w:r w:rsidR="00397BD3" w:rsidRPr="00F000F1">
        <w:t>rights-holders.</w:t>
      </w:r>
      <w:r w:rsidR="00E91F25" w:rsidRPr="00F000F1">
        <w:rPr>
          <w:rStyle w:val="FootnoteReference"/>
          <w:rFonts w:cs="Arial"/>
        </w:rPr>
        <w:footnoteReference w:id="22"/>
      </w:r>
      <w:r w:rsidR="0007227F">
        <w:t xml:space="preserve"> </w:t>
      </w:r>
      <w:r w:rsidR="00877FB1" w:rsidRPr="00F000F1">
        <w:t>Although there has been some confusion between the</w:t>
      </w:r>
      <w:r w:rsidR="00355FA7">
        <w:t>se</w:t>
      </w:r>
      <w:r w:rsidR="00877FB1" w:rsidRPr="00F000F1">
        <w:t xml:space="preserve"> two concepts</w:t>
      </w:r>
      <w:r w:rsidR="001773D3" w:rsidRPr="00F000F1">
        <w:t>,</w:t>
      </w:r>
      <w:r w:rsidR="00877FB1" w:rsidRPr="00F000F1">
        <w:t xml:space="preserve"> as they both impacts each other (i.e. because of the f</w:t>
      </w:r>
      <w:r w:rsidR="00696052" w:rsidRPr="00F000F1">
        <w:t>ailure to adopt a human rights model of disability, persons wi</w:t>
      </w:r>
      <w:r w:rsidR="00035843">
        <w:t>th disabilities are not recogniz</w:t>
      </w:r>
      <w:r w:rsidR="00696052" w:rsidRPr="00F000F1">
        <w:t xml:space="preserve">ed as full rights-holders), the Committee </w:t>
      </w:r>
      <w:r w:rsidR="006377B5" w:rsidRPr="00F000F1">
        <w:t xml:space="preserve">continuously stressed the importance </w:t>
      </w:r>
      <w:r w:rsidR="00E05B0E" w:rsidRPr="00F000F1">
        <w:t>of applying</w:t>
      </w:r>
      <w:r w:rsidR="006377B5" w:rsidRPr="00F000F1">
        <w:t xml:space="preserve"> </w:t>
      </w:r>
      <w:r w:rsidR="004E38A3">
        <w:t>a</w:t>
      </w:r>
      <w:r w:rsidR="006377B5" w:rsidRPr="00F000F1">
        <w:t xml:space="preserve"> human rights approach to disability. </w:t>
      </w:r>
    </w:p>
    <w:p w:rsidR="009D1DDD" w:rsidRDefault="00676354" w:rsidP="00917320">
      <w:pPr>
        <w:rPr>
          <w:szCs w:val="22"/>
        </w:rPr>
      </w:pPr>
      <w:r>
        <w:t xml:space="preserve">21. </w:t>
      </w:r>
      <w:r w:rsidR="00355FA7">
        <w:t>T</w:t>
      </w:r>
      <w:r w:rsidR="00DC5C33" w:rsidRPr="00F000F1">
        <w:t xml:space="preserve">he Committee stressed that </w:t>
      </w:r>
      <w:r w:rsidR="00355FA7">
        <w:t>S</w:t>
      </w:r>
      <w:r w:rsidR="00DC1CBD" w:rsidRPr="00F000F1">
        <w:t xml:space="preserve">tates </w:t>
      </w:r>
      <w:r w:rsidR="00596BA2">
        <w:t>Parties</w:t>
      </w:r>
      <w:r w:rsidR="00DC1CBD" w:rsidRPr="00F000F1">
        <w:t xml:space="preserve"> must apply the provisions of the Convention </w:t>
      </w:r>
      <w:r w:rsidR="004B2C86" w:rsidRPr="00F000F1">
        <w:t>in line with</w:t>
      </w:r>
      <w:r w:rsidR="00DC1CBD" w:rsidRPr="00F000F1">
        <w:t xml:space="preserve"> t</w:t>
      </w:r>
      <w:r w:rsidR="00762284" w:rsidRPr="00F000F1">
        <w:t xml:space="preserve">he </w:t>
      </w:r>
      <w:r w:rsidR="00F71B3D" w:rsidRPr="00F000F1">
        <w:t xml:space="preserve">human rights based </w:t>
      </w:r>
      <w:r w:rsidR="00055736" w:rsidRPr="00F000F1">
        <w:t>approach.</w:t>
      </w:r>
      <w:r w:rsidR="009D1DDD">
        <w:t xml:space="preserve"> </w:t>
      </w:r>
      <w:r w:rsidR="009D1DDD" w:rsidRPr="00F000F1">
        <w:t>In General Comment No</w:t>
      </w:r>
      <w:r w:rsidR="00035843">
        <w:t>.</w:t>
      </w:r>
      <w:r w:rsidR="009D1DDD" w:rsidRPr="00F000F1">
        <w:t xml:space="preserve"> 3 on women and girls with disabilities</w:t>
      </w:r>
      <w:r w:rsidR="009D1DDD">
        <w:t xml:space="preserve"> (</w:t>
      </w:r>
      <w:r w:rsidR="009D1DDD" w:rsidRPr="007F4654">
        <w:t>CRPD</w:t>
      </w:r>
      <w:r w:rsidR="009D1DDD">
        <w:t>/C/GC/3)</w:t>
      </w:r>
      <w:r w:rsidR="009D1DDD" w:rsidRPr="00F000F1">
        <w:t>, the Committee recalled the duty</w:t>
      </w:r>
      <w:r w:rsidR="009D1DDD">
        <w:t xml:space="preserve"> of S</w:t>
      </w:r>
      <w:r w:rsidR="009D1DDD" w:rsidRPr="00F000F1">
        <w:t xml:space="preserve">tates </w:t>
      </w:r>
      <w:r w:rsidR="00596BA2">
        <w:t>Parties</w:t>
      </w:r>
      <w:r w:rsidR="009D1DDD" w:rsidRPr="00F000F1">
        <w:t xml:space="preserve"> to promote, protect and fulfill the human rights of women and girls with disabilities from a human rights-ba</w:t>
      </w:r>
      <w:r w:rsidR="009D1DDD">
        <w:t>sed approach and to recogniz</w:t>
      </w:r>
      <w:r w:rsidR="009D1DDD" w:rsidRPr="00F000F1">
        <w:t>e them as distinct rights holders.</w:t>
      </w:r>
      <w:r w:rsidR="009D1DDD" w:rsidRPr="00F000F1">
        <w:rPr>
          <w:rStyle w:val="FootnoteReference"/>
          <w:rFonts w:cs="Arial"/>
        </w:rPr>
        <w:footnoteReference w:id="23"/>
      </w:r>
      <w:r w:rsidR="009D1DDD" w:rsidRPr="00F000F1">
        <w:t xml:space="preserve"> </w:t>
      </w:r>
      <w:r w:rsidR="009D1DDD">
        <w:t>It</w:t>
      </w:r>
      <w:r w:rsidR="009D1DDD" w:rsidRPr="00F000F1">
        <w:t xml:space="preserve"> entails </w:t>
      </w:r>
      <w:r w:rsidR="009D1DDD">
        <w:t xml:space="preserve">for instance </w:t>
      </w:r>
      <w:r w:rsidR="009D1DDD" w:rsidRPr="00F000F1">
        <w:t>promoting the participation of women with disabilities in public decision-making.</w:t>
      </w:r>
      <w:r w:rsidR="009D1DDD" w:rsidRPr="00F000F1">
        <w:rPr>
          <w:rStyle w:val="FootnoteReference"/>
          <w:rFonts w:cs="Arial"/>
        </w:rPr>
        <w:footnoteReference w:id="24"/>
      </w:r>
      <w:r w:rsidR="00055736" w:rsidRPr="00F000F1">
        <w:t xml:space="preserve"> In both General Comments No</w:t>
      </w:r>
      <w:r w:rsidR="00B47609">
        <w:t>.</w:t>
      </w:r>
      <w:r w:rsidR="00055736" w:rsidRPr="00F000F1">
        <w:t xml:space="preserve"> 5 and No</w:t>
      </w:r>
      <w:r w:rsidR="00B47609">
        <w:t>.</w:t>
      </w:r>
      <w:r w:rsidR="00055736" w:rsidRPr="00F000F1">
        <w:t xml:space="preserve"> 6</w:t>
      </w:r>
      <w:r w:rsidR="00785277">
        <w:t>,</w:t>
      </w:r>
      <w:r w:rsidR="00055736" w:rsidRPr="00F000F1">
        <w:t xml:space="preserve"> the Committee refers </w:t>
      </w:r>
      <w:r w:rsidR="00F71B3D" w:rsidRPr="00F000F1">
        <w:t>to the application of the human righ</w:t>
      </w:r>
      <w:r w:rsidR="00055736" w:rsidRPr="00F000F1">
        <w:t>ts based approach</w:t>
      </w:r>
      <w:r w:rsidR="00F71B3D" w:rsidRPr="00F000F1">
        <w:t xml:space="preserve"> when</w:t>
      </w:r>
      <w:r w:rsidR="00B47609">
        <w:t xml:space="preserve"> S</w:t>
      </w:r>
      <w:r w:rsidR="00336B70" w:rsidRPr="00F000F1">
        <w:t xml:space="preserve">tates </w:t>
      </w:r>
      <w:r w:rsidR="00596BA2">
        <w:t>Parties</w:t>
      </w:r>
      <w:r w:rsidR="00DC5C33" w:rsidRPr="00F000F1">
        <w:t xml:space="preserve"> </w:t>
      </w:r>
      <w:r w:rsidR="00DC5C33" w:rsidRPr="00F000F1">
        <w:rPr>
          <w:szCs w:val="22"/>
        </w:rPr>
        <w:t>define eligibility criteria and procedures for accessing support services in a non-discriminatory way</w:t>
      </w:r>
      <w:r w:rsidR="00336B70" w:rsidRPr="00F000F1">
        <w:rPr>
          <w:szCs w:val="22"/>
        </w:rPr>
        <w:t>.</w:t>
      </w:r>
      <w:r w:rsidR="00DC5C33" w:rsidRPr="00F000F1">
        <w:rPr>
          <w:rStyle w:val="FootnoteReference"/>
          <w:rFonts w:cs="Arial"/>
          <w:szCs w:val="22"/>
        </w:rPr>
        <w:footnoteReference w:id="25"/>
      </w:r>
      <w:r w:rsidR="00336B70" w:rsidRPr="00F000F1">
        <w:rPr>
          <w:szCs w:val="22"/>
        </w:rPr>
        <w:t xml:space="preserve"> </w:t>
      </w:r>
    </w:p>
    <w:p w:rsidR="00877FB1" w:rsidRPr="009D1DDD" w:rsidRDefault="00676354" w:rsidP="00917320">
      <w:r>
        <w:t xml:space="preserve">22. </w:t>
      </w:r>
      <w:r w:rsidR="00554747">
        <w:t xml:space="preserve">In the </w:t>
      </w:r>
      <w:r w:rsidR="001009E3" w:rsidRPr="00F000F1">
        <w:t>concluding o</w:t>
      </w:r>
      <w:r w:rsidR="00313512" w:rsidRPr="00F000F1">
        <w:t>bservations</w:t>
      </w:r>
      <w:r w:rsidR="00554747">
        <w:t xml:space="preserve"> of the Committee</w:t>
      </w:r>
      <w:r w:rsidR="00313512" w:rsidRPr="00F000F1">
        <w:t xml:space="preserve">, the </w:t>
      </w:r>
      <w:r w:rsidR="004B2C86" w:rsidRPr="00F000F1">
        <w:t xml:space="preserve">human rights based </w:t>
      </w:r>
      <w:r w:rsidR="00313512" w:rsidRPr="00F000F1">
        <w:t>approach was mainly mentioned under articles 1-4, article 5</w:t>
      </w:r>
      <w:r w:rsidR="004B2C86" w:rsidRPr="00F000F1">
        <w:t xml:space="preserve"> on equality and non-discrimination</w:t>
      </w:r>
      <w:r w:rsidR="00313512" w:rsidRPr="00F000F1">
        <w:t xml:space="preserve">, article 8 on </w:t>
      </w:r>
      <w:r w:rsidR="00D54EB1" w:rsidRPr="00F000F1">
        <w:t xml:space="preserve">awareness-raising </w:t>
      </w:r>
      <w:r w:rsidR="00313512" w:rsidRPr="00F000F1">
        <w:t>and article 31 on</w:t>
      </w:r>
      <w:r w:rsidR="009E3265" w:rsidRPr="00F000F1">
        <w:t xml:space="preserve"> statistics and data collection</w:t>
      </w:r>
      <w:r w:rsidR="00313512" w:rsidRPr="00F000F1">
        <w:t xml:space="preserve">. It </w:t>
      </w:r>
      <w:r w:rsidR="004B2C86" w:rsidRPr="00F000F1">
        <w:t xml:space="preserve">is </w:t>
      </w:r>
      <w:r w:rsidR="00313512" w:rsidRPr="00F000F1">
        <w:t>also mentioned more sporadically under article</w:t>
      </w:r>
      <w:r w:rsidR="004B2C86" w:rsidRPr="00F000F1">
        <w:t>s</w:t>
      </w:r>
      <w:r w:rsidR="00313512" w:rsidRPr="00F000F1">
        <w:t xml:space="preserve"> 13</w:t>
      </w:r>
      <w:r w:rsidR="004B2C86" w:rsidRPr="00F000F1">
        <w:t xml:space="preserve"> on access to justice</w:t>
      </w:r>
      <w:r w:rsidR="00313512" w:rsidRPr="00F000F1">
        <w:t xml:space="preserve">, </w:t>
      </w:r>
      <w:r w:rsidR="004B2C86" w:rsidRPr="00F000F1">
        <w:t xml:space="preserve">article </w:t>
      </w:r>
      <w:r w:rsidR="00313512" w:rsidRPr="00F000F1">
        <w:t>15</w:t>
      </w:r>
      <w:r w:rsidR="004B2C86" w:rsidRPr="00F000F1">
        <w:t xml:space="preserve"> on freedom of torture or cruel, inhuman or degrading treatment or punishment</w:t>
      </w:r>
      <w:r w:rsidR="00313512" w:rsidRPr="00F000F1">
        <w:t xml:space="preserve">, </w:t>
      </w:r>
      <w:r w:rsidR="004B2C86" w:rsidRPr="00F000F1">
        <w:t xml:space="preserve">article </w:t>
      </w:r>
      <w:r w:rsidR="00313512" w:rsidRPr="00F000F1">
        <w:t>19</w:t>
      </w:r>
      <w:r w:rsidR="004B2C86" w:rsidRPr="00F000F1">
        <w:t xml:space="preserve"> on living independently and being included in the community</w:t>
      </w:r>
      <w:r w:rsidR="00313512" w:rsidRPr="00F000F1">
        <w:t xml:space="preserve">, </w:t>
      </w:r>
      <w:r w:rsidR="004B2C86" w:rsidRPr="00F000F1">
        <w:t xml:space="preserve">article </w:t>
      </w:r>
      <w:r w:rsidR="00313512" w:rsidRPr="00F000F1">
        <w:t>22</w:t>
      </w:r>
      <w:r w:rsidR="004B2C86" w:rsidRPr="00F000F1">
        <w:t xml:space="preserve"> on respect for privacy</w:t>
      </w:r>
      <w:r w:rsidR="00313512" w:rsidRPr="00F000F1">
        <w:t xml:space="preserve">, </w:t>
      </w:r>
      <w:r w:rsidR="004B2C86" w:rsidRPr="00F000F1">
        <w:t xml:space="preserve">article </w:t>
      </w:r>
      <w:r w:rsidR="00313512" w:rsidRPr="00F000F1">
        <w:t xml:space="preserve">25 </w:t>
      </w:r>
      <w:r w:rsidR="004B2C86" w:rsidRPr="00F000F1">
        <w:t xml:space="preserve">on health </w:t>
      </w:r>
      <w:r w:rsidR="00313512" w:rsidRPr="00F000F1">
        <w:t xml:space="preserve">and </w:t>
      </w:r>
      <w:r w:rsidR="004B2C86" w:rsidRPr="00F000F1">
        <w:t xml:space="preserve">article </w:t>
      </w:r>
      <w:r w:rsidR="00313512" w:rsidRPr="00F000F1">
        <w:t>29</w:t>
      </w:r>
      <w:r w:rsidR="004B2C86" w:rsidRPr="00F000F1">
        <w:t xml:space="preserve"> on participation in political and public life</w:t>
      </w:r>
      <w:r w:rsidR="00313512" w:rsidRPr="00F000F1">
        <w:t xml:space="preserve">. </w:t>
      </w:r>
      <w:r w:rsidR="00554747">
        <w:t>The 2016 revised g</w:t>
      </w:r>
      <w:r w:rsidR="006C64B4" w:rsidRPr="00F000F1">
        <w:t xml:space="preserve">uidelines on periodic reporting </w:t>
      </w:r>
      <w:r w:rsidR="00554747">
        <w:t>refer</w:t>
      </w:r>
      <w:r w:rsidR="006C64B4" w:rsidRPr="00F000F1">
        <w:t xml:space="preserve"> to the human rights based approach </w:t>
      </w:r>
      <w:r w:rsidR="00DC29C0">
        <w:t>under</w:t>
      </w:r>
      <w:r w:rsidR="006C64B4" w:rsidRPr="00F000F1">
        <w:t xml:space="preserve"> articles </w:t>
      </w:r>
      <w:r w:rsidR="00511E55" w:rsidRPr="00F000F1">
        <w:t xml:space="preserve">1, 8 and 19, and regarding </w:t>
      </w:r>
      <w:r w:rsidR="006C64B4" w:rsidRPr="00F000F1">
        <w:t>the implementation of the SDGs (para. 1 (d)</w:t>
      </w:r>
      <w:r w:rsidR="00511E55" w:rsidRPr="00F000F1">
        <w:t xml:space="preserve">). </w:t>
      </w:r>
    </w:p>
    <w:p w:rsidR="009A2929" w:rsidRPr="00F000F1" w:rsidRDefault="009A2929" w:rsidP="00917320">
      <w:pPr>
        <w:pStyle w:val="Heading2"/>
      </w:pPr>
      <w:bookmarkStart w:id="14" w:name="_Toc522542395"/>
      <w:r w:rsidRPr="00F000F1">
        <w:t>B. Principal obligations</w:t>
      </w:r>
      <w:r w:rsidR="006C00F5">
        <w:t xml:space="preserve"> of States </w:t>
      </w:r>
      <w:r w:rsidR="00596BA2">
        <w:t>Parties</w:t>
      </w:r>
      <w:bookmarkEnd w:id="14"/>
      <w:r w:rsidRPr="00F000F1">
        <w:rPr>
          <w:sz w:val="22"/>
          <w:szCs w:val="22"/>
        </w:rPr>
        <w:t xml:space="preserve"> </w:t>
      </w:r>
    </w:p>
    <w:p w:rsidR="00CB0F66" w:rsidRPr="00F000F1" w:rsidRDefault="00B92A0C" w:rsidP="00917320">
      <w:pPr>
        <w:pStyle w:val="Heading3"/>
      </w:pPr>
      <w:bookmarkStart w:id="15" w:name="_Toc522542396"/>
      <w:r w:rsidRPr="00F000F1">
        <w:t xml:space="preserve">i. </w:t>
      </w:r>
      <w:r w:rsidR="009A2929" w:rsidRPr="00F000F1">
        <w:t>General obligations (article 4)</w:t>
      </w:r>
      <w:bookmarkEnd w:id="15"/>
      <w:r w:rsidR="009A2929" w:rsidRPr="00F000F1">
        <w:t xml:space="preserve"> </w:t>
      </w:r>
    </w:p>
    <w:p w:rsidR="004264DC" w:rsidRPr="00F000F1" w:rsidRDefault="00676354" w:rsidP="00917320">
      <w:r>
        <w:t xml:space="preserve">23. </w:t>
      </w:r>
      <w:r w:rsidR="000E2A14" w:rsidRPr="00F000F1">
        <w:t>Article 4 of the CRPD address</w:t>
      </w:r>
      <w:r w:rsidR="004264DC" w:rsidRPr="00F000F1">
        <w:t>es</w:t>
      </w:r>
      <w:r w:rsidR="000E2A14" w:rsidRPr="00F000F1">
        <w:t xml:space="preserve"> </w:t>
      </w:r>
      <w:r w:rsidR="004264DC" w:rsidRPr="00F000F1">
        <w:t>the general obligations of Stat</w:t>
      </w:r>
      <w:r w:rsidR="00926856" w:rsidRPr="00F000F1">
        <w:t xml:space="preserve">es </w:t>
      </w:r>
      <w:r w:rsidR="00596BA2">
        <w:t>Parties</w:t>
      </w:r>
      <w:r w:rsidR="00926856" w:rsidRPr="00F000F1">
        <w:t xml:space="preserve"> under the Convention.</w:t>
      </w:r>
      <w:r w:rsidR="004264DC" w:rsidRPr="00F000F1">
        <w:t xml:space="preserve"> </w:t>
      </w:r>
      <w:r w:rsidR="00926856" w:rsidRPr="00F000F1">
        <w:t xml:space="preserve">These obligations can be </w:t>
      </w:r>
      <w:r w:rsidR="004264DC" w:rsidRPr="00F000F1">
        <w:t xml:space="preserve">divided in </w:t>
      </w:r>
      <w:r w:rsidR="00071E55">
        <w:t>a</w:t>
      </w:r>
      <w:r w:rsidR="00926856" w:rsidRPr="00F000F1">
        <w:t xml:space="preserve"> </w:t>
      </w:r>
      <w:r w:rsidR="004264DC" w:rsidRPr="00F000F1">
        <w:t xml:space="preserve">duty to respect (i.e. modify or abolish existing laws, regulations, customs and practices that constitute discrimination against persons with disabilities and refrain from engaging in act or practice inconsistent with the Convention), </w:t>
      </w:r>
      <w:r w:rsidR="00926856" w:rsidRPr="00F000F1">
        <w:t xml:space="preserve">a duty to </w:t>
      </w:r>
      <w:r w:rsidR="004264DC" w:rsidRPr="00F000F1">
        <w:t>protect (i.e. take appropriate measures to eliminate discrimination on the basis of disability by any person, organization or private enterprise) and</w:t>
      </w:r>
      <w:r w:rsidR="00926856" w:rsidRPr="00F000F1">
        <w:t xml:space="preserve"> a duty to</w:t>
      </w:r>
      <w:r w:rsidR="004264DC" w:rsidRPr="00F000F1">
        <w:t xml:space="preserve"> fulfill (e.g. adopt all appropriate legislative, administrative and other measures for the implementation of the rights recognized in the Convention, provide accessible information, promote training etc.). </w:t>
      </w:r>
    </w:p>
    <w:p w:rsidR="002070F2" w:rsidRPr="00F000F1" w:rsidRDefault="00676354" w:rsidP="00917320">
      <w:pPr>
        <w:rPr>
          <w:lang w:val="en-GB"/>
        </w:rPr>
      </w:pPr>
      <w:r>
        <w:t xml:space="preserve">24. </w:t>
      </w:r>
      <w:r w:rsidR="004264DC" w:rsidRPr="00F000F1">
        <w:t xml:space="preserve">The Committee </w:t>
      </w:r>
      <w:r w:rsidR="00402DFB">
        <w:t>has made</w:t>
      </w:r>
      <w:r w:rsidR="004264DC" w:rsidRPr="00F000F1">
        <w:t xml:space="preserve"> </w:t>
      </w:r>
      <w:r w:rsidR="007F7528">
        <w:t>various</w:t>
      </w:r>
      <w:r w:rsidR="004264DC" w:rsidRPr="00F000F1">
        <w:t xml:space="preserve"> re</w:t>
      </w:r>
      <w:r w:rsidR="007F7528">
        <w:t>commendations in relation to the general obligations of</w:t>
      </w:r>
      <w:r w:rsidR="00926856" w:rsidRPr="00F000F1">
        <w:t xml:space="preserve"> States </w:t>
      </w:r>
      <w:r w:rsidR="00596BA2">
        <w:t>Parties</w:t>
      </w:r>
      <w:r w:rsidR="00402DFB">
        <w:t xml:space="preserve"> in </w:t>
      </w:r>
      <w:r w:rsidR="00402DFB" w:rsidRPr="00402DFB">
        <w:t>its concluding observations</w:t>
      </w:r>
      <w:r w:rsidR="00926856" w:rsidRPr="00F000F1">
        <w:t xml:space="preserve">. While in some cases recommendations might be </w:t>
      </w:r>
      <w:r w:rsidR="007F7528">
        <w:t>of a</w:t>
      </w:r>
      <w:r w:rsidR="00926856" w:rsidRPr="00F000F1">
        <w:t xml:space="preserve"> general</w:t>
      </w:r>
      <w:r w:rsidR="007F7528">
        <w:t xml:space="preserve"> nature</w:t>
      </w:r>
      <w:r w:rsidR="00926856" w:rsidRPr="00F000F1">
        <w:t>, for instance to “</w:t>
      </w:r>
      <w:r w:rsidR="00926856" w:rsidRPr="00F000F1">
        <w:rPr>
          <w:lang w:val="en-GB"/>
        </w:rPr>
        <w:t>initiate a comprehensive cross-cutting review of its legislation and policies to bring them into line with the Convention,”</w:t>
      </w:r>
      <w:r w:rsidR="00926856" w:rsidRPr="006862C0">
        <w:rPr>
          <w:rStyle w:val="FootnoteReference"/>
          <w:rFonts w:cs="Arial"/>
          <w:szCs w:val="22"/>
          <w:lang w:val="en-GB"/>
        </w:rPr>
        <w:footnoteReference w:id="26"/>
      </w:r>
      <w:r w:rsidR="00926856" w:rsidRPr="00F000F1">
        <w:rPr>
          <w:lang w:val="en-GB"/>
        </w:rPr>
        <w:t xml:space="preserve"> in many other</w:t>
      </w:r>
      <w:r w:rsidR="007F7528">
        <w:rPr>
          <w:lang w:val="en-GB"/>
        </w:rPr>
        <w:t xml:space="preserve"> cases</w:t>
      </w:r>
      <w:r w:rsidR="00926856" w:rsidRPr="00F000F1">
        <w:rPr>
          <w:lang w:val="en-GB"/>
        </w:rPr>
        <w:t xml:space="preserve"> </w:t>
      </w:r>
      <w:r w:rsidR="005D4715">
        <w:rPr>
          <w:lang w:val="en-GB"/>
        </w:rPr>
        <w:t>the Committee suggests</w:t>
      </w:r>
      <w:r w:rsidR="00343FF1" w:rsidRPr="00F000F1">
        <w:rPr>
          <w:lang w:val="en-GB"/>
        </w:rPr>
        <w:t xml:space="preserve"> </w:t>
      </w:r>
      <w:r w:rsidR="007F7528" w:rsidRPr="00F000F1">
        <w:rPr>
          <w:lang w:val="en-GB"/>
        </w:rPr>
        <w:t>precise</w:t>
      </w:r>
      <w:r w:rsidR="00343FF1" w:rsidRPr="00F000F1">
        <w:rPr>
          <w:lang w:val="en-GB"/>
        </w:rPr>
        <w:t xml:space="preserve"> measures such as</w:t>
      </w:r>
      <w:r w:rsidR="00435702" w:rsidRPr="00F000F1">
        <w:rPr>
          <w:lang w:val="en-GB"/>
        </w:rPr>
        <w:t xml:space="preserve"> the abolishment or amendment of </w:t>
      </w:r>
      <w:r w:rsidR="007F7528" w:rsidRPr="00F000F1">
        <w:rPr>
          <w:lang w:val="en-GB"/>
        </w:rPr>
        <w:t>particular</w:t>
      </w:r>
      <w:r w:rsidR="00435702" w:rsidRPr="00F000F1">
        <w:rPr>
          <w:lang w:val="en-GB"/>
        </w:rPr>
        <w:t xml:space="preserve"> </w:t>
      </w:r>
      <w:r w:rsidR="007F7528">
        <w:rPr>
          <w:lang w:val="en-GB"/>
        </w:rPr>
        <w:t>laws</w:t>
      </w:r>
      <w:r w:rsidR="00343FF1" w:rsidRPr="00F000F1">
        <w:rPr>
          <w:lang w:val="en-GB"/>
        </w:rPr>
        <w:t>.</w:t>
      </w:r>
      <w:r w:rsidR="00435702" w:rsidRPr="00F000F1">
        <w:rPr>
          <w:rStyle w:val="FootnoteReference"/>
          <w:rFonts w:cs="Arial"/>
          <w:szCs w:val="22"/>
          <w:lang w:val="en-GB"/>
        </w:rPr>
        <w:footnoteReference w:id="27"/>
      </w:r>
      <w:r w:rsidR="00343FF1" w:rsidRPr="00F000F1">
        <w:rPr>
          <w:lang w:val="en-GB"/>
        </w:rPr>
        <w:t xml:space="preserve"> </w:t>
      </w:r>
    </w:p>
    <w:p w:rsidR="00573326" w:rsidRPr="00F000F1" w:rsidRDefault="00B92A0C" w:rsidP="00917320">
      <w:pPr>
        <w:pStyle w:val="Heading3"/>
        <w:rPr>
          <w:lang w:val="en-GB"/>
        </w:rPr>
      </w:pPr>
      <w:bookmarkStart w:id="16" w:name="_Toc522542397"/>
      <w:r w:rsidRPr="00F000F1">
        <w:rPr>
          <w:lang w:val="en-GB"/>
        </w:rPr>
        <w:t xml:space="preserve">ii. </w:t>
      </w:r>
      <w:r w:rsidR="00C250F6" w:rsidRPr="00F000F1">
        <w:rPr>
          <w:lang w:val="en-GB"/>
        </w:rPr>
        <w:t>P</w:t>
      </w:r>
      <w:r w:rsidR="00573326" w:rsidRPr="00F000F1">
        <w:rPr>
          <w:lang w:val="en-GB"/>
        </w:rPr>
        <w:t>rogressive realisation</w:t>
      </w:r>
      <w:r w:rsidR="00C250F6" w:rsidRPr="00F000F1">
        <w:rPr>
          <w:lang w:val="en-GB"/>
        </w:rPr>
        <w:t xml:space="preserve"> of economic, social and cultural rights</w:t>
      </w:r>
      <w:r w:rsidR="00573326" w:rsidRPr="00F000F1">
        <w:rPr>
          <w:lang w:val="en-GB"/>
        </w:rPr>
        <w:t xml:space="preserve"> </w:t>
      </w:r>
      <w:r w:rsidR="00333E70">
        <w:rPr>
          <w:lang w:val="en-GB"/>
        </w:rPr>
        <w:t>(a</w:t>
      </w:r>
      <w:r w:rsidR="00286582" w:rsidRPr="00F000F1">
        <w:rPr>
          <w:lang w:val="en-GB"/>
        </w:rPr>
        <w:t>rticle 4.2)</w:t>
      </w:r>
      <w:bookmarkEnd w:id="16"/>
      <w:r w:rsidR="00286582" w:rsidRPr="00F000F1">
        <w:rPr>
          <w:lang w:val="en-GB"/>
        </w:rPr>
        <w:t xml:space="preserve"> </w:t>
      </w:r>
    </w:p>
    <w:p w:rsidR="0012782F" w:rsidRDefault="00676354" w:rsidP="00917320">
      <w:r>
        <w:rPr>
          <w:lang w:val="en-GB"/>
        </w:rPr>
        <w:t xml:space="preserve">25. </w:t>
      </w:r>
      <w:r w:rsidR="009D6EEC" w:rsidRPr="00F000F1">
        <w:rPr>
          <w:lang w:val="en-GB"/>
        </w:rPr>
        <w:t>Under Article 4</w:t>
      </w:r>
      <w:r w:rsidR="00436847">
        <w:rPr>
          <w:lang w:val="en-GB"/>
        </w:rPr>
        <w:t xml:space="preserve"> paragraph 2 of the Convention</w:t>
      </w:r>
      <w:r w:rsidR="006862C0">
        <w:rPr>
          <w:lang w:val="en-GB"/>
        </w:rPr>
        <w:t>,</w:t>
      </w:r>
      <w:r w:rsidR="00436847">
        <w:rPr>
          <w:lang w:val="en-GB"/>
        </w:rPr>
        <w:t xml:space="preserve"> </w:t>
      </w:r>
      <w:r w:rsidR="009D6EEC" w:rsidRPr="00F000F1">
        <w:rPr>
          <w:lang w:val="en-GB"/>
        </w:rPr>
        <w:t xml:space="preserve">States </w:t>
      </w:r>
      <w:r w:rsidR="00596BA2">
        <w:rPr>
          <w:lang w:val="en-GB"/>
        </w:rPr>
        <w:t>Parties</w:t>
      </w:r>
      <w:r w:rsidR="009D6EEC" w:rsidRPr="00F000F1">
        <w:rPr>
          <w:lang w:val="en-GB"/>
        </w:rPr>
        <w:t xml:space="preserve"> must take measures to the maximum of their available resources </w:t>
      </w:r>
      <w:r w:rsidR="00D6421B">
        <w:rPr>
          <w:lang w:val="en-GB"/>
        </w:rPr>
        <w:t xml:space="preserve">to </w:t>
      </w:r>
      <w:r w:rsidR="009D6EEC" w:rsidRPr="00F000F1">
        <w:rPr>
          <w:lang w:val="en-GB"/>
        </w:rPr>
        <w:t>achiev</w:t>
      </w:r>
      <w:r w:rsidR="00D6421B">
        <w:rPr>
          <w:lang w:val="en-GB"/>
        </w:rPr>
        <w:t>e</w:t>
      </w:r>
      <w:r w:rsidR="009D6EEC" w:rsidRPr="00F000F1">
        <w:rPr>
          <w:lang w:val="en-GB"/>
        </w:rPr>
        <w:t xml:space="preserve"> progressively the full realization of</w:t>
      </w:r>
      <w:r w:rsidR="00D6421B" w:rsidRPr="00F000F1">
        <w:rPr>
          <w:lang w:val="en-GB"/>
        </w:rPr>
        <w:t xml:space="preserve"> economic, social and cultural rights</w:t>
      </w:r>
      <w:r w:rsidR="00D1775C">
        <w:rPr>
          <w:lang w:val="en-GB"/>
        </w:rPr>
        <w:t xml:space="preserve"> (</w:t>
      </w:r>
      <w:r w:rsidR="00D6421B">
        <w:rPr>
          <w:lang w:val="en-GB"/>
        </w:rPr>
        <w:t xml:space="preserve">such as the right to work, right to education, right to </w:t>
      </w:r>
      <w:r w:rsidR="00761B7D">
        <w:rPr>
          <w:lang w:val="en-GB"/>
        </w:rPr>
        <w:t>take part in cultural life, etc</w:t>
      </w:r>
      <w:r w:rsidR="00D1775C">
        <w:rPr>
          <w:lang w:val="en-GB"/>
        </w:rPr>
        <w:t>.)</w:t>
      </w:r>
      <w:r w:rsidR="00D6421B">
        <w:rPr>
          <w:lang w:val="en-GB"/>
        </w:rPr>
        <w:t xml:space="preserve"> </w:t>
      </w:r>
      <w:r w:rsidR="00436847">
        <w:rPr>
          <w:lang w:val="en-GB"/>
        </w:rPr>
        <w:t xml:space="preserve">Over time the Committee </w:t>
      </w:r>
      <w:r w:rsidR="00761B7D">
        <w:rPr>
          <w:lang w:val="en-GB"/>
        </w:rPr>
        <w:t>explained how “</w:t>
      </w:r>
      <w:r w:rsidR="001329A4">
        <w:rPr>
          <w:lang w:val="en-GB"/>
        </w:rPr>
        <w:t>progressive realisation</w:t>
      </w:r>
      <w:r w:rsidR="00761B7D">
        <w:rPr>
          <w:lang w:val="en-GB"/>
        </w:rPr>
        <w:t>” should be understood</w:t>
      </w:r>
      <w:r w:rsidR="001329A4">
        <w:rPr>
          <w:lang w:val="en-GB"/>
        </w:rPr>
        <w:t>.</w:t>
      </w:r>
      <w:r w:rsidR="00436847">
        <w:rPr>
          <w:lang w:val="en-GB"/>
        </w:rPr>
        <w:t xml:space="preserve"> </w:t>
      </w:r>
      <w:r w:rsidR="00C76CC8">
        <w:t>In its 2009 guidelines on periodic reporting, the</w:t>
      </w:r>
      <w:r w:rsidR="00C76CC8" w:rsidRPr="00F000F1">
        <w:t xml:space="preserve"> Committee request</w:t>
      </w:r>
      <w:r w:rsidR="00C76CC8">
        <w:t>ed</w:t>
      </w:r>
      <w:r w:rsidR="00C76CC8" w:rsidRPr="00F000F1">
        <w:t xml:space="preserve"> States </w:t>
      </w:r>
      <w:r w:rsidR="00596BA2">
        <w:t>Parties</w:t>
      </w:r>
      <w:r w:rsidR="00C76CC8" w:rsidRPr="00F000F1">
        <w:t xml:space="preserve"> to mention</w:t>
      </w:r>
      <w:r w:rsidR="00C76CC8">
        <w:t xml:space="preserve"> in their initial report </w:t>
      </w:r>
      <w:r w:rsidR="00C76CC8" w:rsidRPr="00F000F1">
        <w:rPr>
          <w:lang w:val="en-GB"/>
        </w:rPr>
        <w:t xml:space="preserve">which </w:t>
      </w:r>
      <w:r w:rsidR="00C76CC8">
        <w:rPr>
          <w:lang w:val="en-GB"/>
        </w:rPr>
        <w:t>rights they</w:t>
      </w:r>
      <w:r w:rsidR="00C76CC8" w:rsidRPr="00F000F1">
        <w:rPr>
          <w:lang w:val="en-GB"/>
        </w:rPr>
        <w:t xml:space="preserve"> </w:t>
      </w:r>
      <w:r w:rsidR="00C76CC8">
        <w:rPr>
          <w:lang w:val="en-GB"/>
        </w:rPr>
        <w:t>undertake</w:t>
      </w:r>
      <w:r w:rsidR="00C76CC8" w:rsidRPr="00F000F1">
        <w:rPr>
          <w:lang w:val="en-GB"/>
        </w:rPr>
        <w:t xml:space="preserve"> to implement progressively</w:t>
      </w:r>
      <w:r w:rsidR="00D4507F">
        <w:rPr>
          <w:lang w:val="en-GB"/>
        </w:rPr>
        <w:t>,</w:t>
      </w:r>
      <w:r w:rsidR="00C76CC8" w:rsidRPr="00F000F1">
        <w:rPr>
          <w:lang w:val="en-GB"/>
        </w:rPr>
        <w:t xml:space="preserve"> and which </w:t>
      </w:r>
      <w:r w:rsidR="00C76CC8">
        <w:rPr>
          <w:lang w:val="en-GB"/>
        </w:rPr>
        <w:t>they commit</w:t>
      </w:r>
      <w:r w:rsidR="00C76CC8" w:rsidRPr="00F000F1">
        <w:rPr>
          <w:lang w:val="en-GB"/>
        </w:rPr>
        <w:t xml:space="preserve"> to implement immediately</w:t>
      </w:r>
      <w:r w:rsidR="003901C4">
        <w:rPr>
          <w:lang w:val="en-GB"/>
        </w:rPr>
        <w:t>. I</w:t>
      </w:r>
      <w:r w:rsidR="007C253E">
        <w:rPr>
          <w:lang w:val="en-GB"/>
        </w:rPr>
        <w:t>n</w:t>
      </w:r>
      <w:r w:rsidR="006254F0" w:rsidRPr="00F000F1">
        <w:t xml:space="preserve"> its very first declaration</w:t>
      </w:r>
      <w:r w:rsidR="00E51C8A">
        <w:t>,</w:t>
      </w:r>
      <w:r w:rsidR="006254F0" w:rsidRPr="00F000F1">
        <w:t xml:space="preserve"> </w:t>
      </w:r>
      <w:r w:rsidR="00D1775C">
        <w:t>it</w:t>
      </w:r>
      <w:r w:rsidR="006254F0" w:rsidRPr="00F000F1">
        <w:t xml:space="preserve"> </w:t>
      </w:r>
      <w:r w:rsidR="001329A4">
        <w:t>stressed</w:t>
      </w:r>
      <w:r w:rsidR="006254F0" w:rsidRPr="00F000F1">
        <w:t xml:space="preserve"> that States </w:t>
      </w:r>
      <w:r w:rsidR="00596BA2">
        <w:t>Parties</w:t>
      </w:r>
      <w:r w:rsidR="006254F0" w:rsidRPr="00F000F1">
        <w:t xml:space="preserve"> should refrain from letting economic and financial instabilities affect the full enjoyment of the rights of persons with disabilities.</w:t>
      </w:r>
      <w:r w:rsidR="006254F0" w:rsidRPr="00F000F1">
        <w:rPr>
          <w:rStyle w:val="FootnoteReference"/>
          <w:rFonts w:cs="Arial"/>
          <w:szCs w:val="22"/>
        </w:rPr>
        <w:footnoteReference w:id="28"/>
      </w:r>
      <w:r w:rsidR="0015756D" w:rsidRPr="00F000F1">
        <w:t xml:space="preserve"> </w:t>
      </w:r>
    </w:p>
    <w:p w:rsidR="003E1BF3" w:rsidRDefault="00676354" w:rsidP="00917320">
      <w:r>
        <w:t xml:space="preserve">26. </w:t>
      </w:r>
      <w:r w:rsidR="007C253E">
        <w:t>In General Comment No. 4 on inclusi</w:t>
      </w:r>
      <w:r w:rsidR="00257E37">
        <w:t>ve education</w:t>
      </w:r>
      <w:r w:rsidR="004470D5">
        <w:t>, the Committee</w:t>
      </w:r>
      <w:r w:rsidR="00257E37">
        <w:t xml:space="preserve"> specified that </w:t>
      </w:r>
      <w:r w:rsidR="007C253E">
        <w:t xml:space="preserve">progressive realization means that States </w:t>
      </w:r>
      <w:r w:rsidR="00596BA2">
        <w:t>Parties</w:t>
      </w:r>
      <w:r w:rsidR="007C253E">
        <w:t xml:space="preserve"> have a specific and continuing obligation to move as expeditiously and effectively as possible </w:t>
      </w:r>
      <w:r w:rsidR="00257E37">
        <w:t>towards the full realization of the rights in question.</w:t>
      </w:r>
      <w:r w:rsidR="0012782F">
        <w:t xml:space="preserve"> It must be read in conjunction with the overall objective of the Convention to establish clear obligations for States </w:t>
      </w:r>
      <w:r w:rsidR="00596BA2">
        <w:t>Parties</w:t>
      </w:r>
      <w:r w:rsidR="0012782F">
        <w:t xml:space="preserve"> in respect of the full realization of the rights in question.</w:t>
      </w:r>
      <w:r w:rsidR="00257E37">
        <w:rPr>
          <w:rStyle w:val="FootnoteReference"/>
          <w:rFonts w:cs="Arial"/>
          <w:szCs w:val="22"/>
        </w:rPr>
        <w:footnoteReference w:id="29"/>
      </w:r>
      <w:r w:rsidR="0012782F">
        <w:t xml:space="preserve"> Moreover progressive realization does not prejudice obligations that are immediately applicable, noting that </w:t>
      </w:r>
      <w:r w:rsidR="0012782F" w:rsidRPr="0012782F">
        <w:t xml:space="preserve">States </w:t>
      </w:r>
      <w:r w:rsidR="00596BA2">
        <w:t>Parties</w:t>
      </w:r>
      <w:r w:rsidR="0012782F" w:rsidRPr="0012782F">
        <w:t xml:space="preserve"> have a minimum core obligation to ensure the satisfaction of, at the very least, minimum essential levels of each aspect of the right </w:t>
      </w:r>
      <w:r w:rsidR="0012782F">
        <w:t>in question</w:t>
      </w:r>
      <w:r w:rsidR="0012782F" w:rsidRPr="0012782F">
        <w:t>.</w:t>
      </w:r>
      <w:r w:rsidR="0012782F">
        <w:rPr>
          <w:rStyle w:val="FootnoteReference"/>
          <w:rFonts w:cs="Arial"/>
          <w:szCs w:val="22"/>
        </w:rPr>
        <w:footnoteReference w:id="30"/>
      </w:r>
      <w:r w:rsidR="0012782F" w:rsidRPr="0012782F">
        <w:t xml:space="preserve"> </w:t>
      </w:r>
    </w:p>
    <w:p w:rsidR="00EE6964" w:rsidRPr="003E1BF3" w:rsidRDefault="00676354" w:rsidP="00917320">
      <w:r>
        <w:t xml:space="preserve">27. </w:t>
      </w:r>
      <w:r w:rsidR="003E1BF3">
        <w:t>In addition</w:t>
      </w:r>
      <w:r w:rsidR="00480108">
        <w:t>,</w:t>
      </w:r>
      <w:r w:rsidR="003E1BF3">
        <w:t xml:space="preserve"> the Committee later indicated that </w:t>
      </w:r>
      <w:r w:rsidR="00C76CC8">
        <w:t>the duty of progressive realization</w:t>
      </w:r>
      <w:r w:rsidR="0034563A" w:rsidRPr="00F000F1">
        <w:t xml:space="preserve"> entails a presumption </w:t>
      </w:r>
      <w:r w:rsidR="0034563A" w:rsidRPr="001658B6">
        <w:t>against retrogressive measures</w:t>
      </w:r>
      <w:r w:rsidR="001658B6" w:rsidRPr="001658B6">
        <w:t>, meaning</w:t>
      </w:r>
      <w:r w:rsidR="001658B6">
        <w:t xml:space="preserve"> measures that lower the level of existing rights</w:t>
      </w:r>
      <w:r w:rsidR="0034563A" w:rsidRPr="00F000F1">
        <w:t>.</w:t>
      </w:r>
      <w:r w:rsidR="003E1BF3">
        <w:rPr>
          <w:rStyle w:val="FootnoteReference"/>
          <w:rFonts w:cs="Arial"/>
          <w:szCs w:val="22"/>
        </w:rPr>
        <w:footnoteReference w:id="31"/>
      </w:r>
      <w:r w:rsidR="0034563A" w:rsidRPr="00F000F1">
        <w:t xml:space="preserve"> When retrogressive measures are adopted, States </w:t>
      </w:r>
      <w:r w:rsidR="00596BA2">
        <w:t>Parties</w:t>
      </w:r>
      <w:r w:rsidR="0034563A" w:rsidRPr="00F000F1">
        <w:t xml:space="preserve"> should demonstrate that they have been introduced after careful consideration of all alternatives a</w:t>
      </w:r>
      <w:r w:rsidR="000E60CC">
        <w:t>nd that they are duly justified</w:t>
      </w:r>
      <w:r w:rsidR="0034563A" w:rsidRPr="00F000F1">
        <w:t xml:space="preserve"> in the context of the use of the</w:t>
      </w:r>
      <w:r w:rsidR="000E60CC">
        <w:t>ir</w:t>
      </w:r>
      <w:r w:rsidR="0034563A" w:rsidRPr="00F000F1">
        <w:t xml:space="preserve"> maximum available resources</w:t>
      </w:r>
      <w:r w:rsidR="00726B74">
        <w:t>.</w:t>
      </w:r>
      <w:r w:rsidR="00963097" w:rsidRPr="00F000F1">
        <w:rPr>
          <w:rStyle w:val="FootnoteReference"/>
          <w:rFonts w:cs="Arial"/>
          <w:szCs w:val="22"/>
        </w:rPr>
        <w:footnoteReference w:id="32"/>
      </w:r>
      <w:r w:rsidR="0034563A" w:rsidRPr="00F000F1">
        <w:t xml:space="preserve"> </w:t>
      </w:r>
      <w:r w:rsidR="00BA1160">
        <w:t>The Committee</w:t>
      </w:r>
      <w:r w:rsidR="00ED099D">
        <w:t xml:space="preserve"> also clarified</w:t>
      </w:r>
      <w:r w:rsidR="00480108">
        <w:t xml:space="preserve"> that</w:t>
      </w:r>
      <w:r w:rsidR="00ED099D">
        <w:t xml:space="preserve"> progressive realization does not apply to the provisions of article 12 on equal recognition before the law</w:t>
      </w:r>
      <w:r w:rsidR="00ED099D">
        <w:rPr>
          <w:rStyle w:val="FootnoteReference"/>
          <w:rFonts w:cs="Arial"/>
          <w:szCs w:val="22"/>
        </w:rPr>
        <w:footnoteReference w:id="33"/>
      </w:r>
      <w:r w:rsidR="00480108">
        <w:t xml:space="preserve"> and to</w:t>
      </w:r>
      <w:r w:rsidR="00ED099D">
        <w:t xml:space="preserve"> the</w:t>
      </w:r>
      <w:r w:rsidR="00EE438F">
        <w:t xml:space="preserve"> States </w:t>
      </w:r>
      <w:r w:rsidR="00596BA2">
        <w:t>Parties</w:t>
      </w:r>
      <w:r w:rsidR="00DC26C0">
        <w:t>’</w:t>
      </w:r>
      <w:r w:rsidR="00ED099D">
        <w:t xml:space="preserve"> </w:t>
      </w:r>
      <w:r w:rsidR="00F3409E" w:rsidRPr="00F3409E">
        <w:t>duty to provide reasonable accommodation</w:t>
      </w:r>
      <w:r w:rsidR="00ED099D">
        <w:t>.</w:t>
      </w:r>
      <w:r w:rsidR="00F3409E">
        <w:rPr>
          <w:rStyle w:val="FootnoteReference"/>
          <w:rFonts w:cs="Arial"/>
          <w:szCs w:val="22"/>
        </w:rPr>
        <w:footnoteReference w:id="34"/>
      </w:r>
      <w:r w:rsidR="00365ABE">
        <w:t xml:space="preserve"> </w:t>
      </w:r>
    </w:p>
    <w:p w:rsidR="00CB0F66" w:rsidRPr="00F000F1" w:rsidRDefault="00B92A0C" w:rsidP="00917320">
      <w:pPr>
        <w:pStyle w:val="Heading3"/>
      </w:pPr>
      <w:bookmarkStart w:id="17" w:name="_Toc522542398"/>
      <w:r w:rsidRPr="00F000F1">
        <w:t xml:space="preserve">iii. </w:t>
      </w:r>
      <w:r w:rsidR="00CB0F66" w:rsidRPr="00F000F1">
        <w:t>National implementation and monitoring (article 33)</w:t>
      </w:r>
      <w:bookmarkEnd w:id="17"/>
      <w:r w:rsidR="00CB0F66" w:rsidRPr="00F000F1">
        <w:t xml:space="preserve"> </w:t>
      </w:r>
    </w:p>
    <w:p w:rsidR="005E10BD" w:rsidRPr="00F000F1" w:rsidRDefault="00676354" w:rsidP="00917320">
      <w:r>
        <w:t xml:space="preserve">28. </w:t>
      </w:r>
      <w:r w:rsidR="005E10BD" w:rsidRPr="00F000F1">
        <w:t xml:space="preserve">In order to ensure </w:t>
      </w:r>
      <w:r w:rsidR="00F6792E" w:rsidRPr="00F000F1">
        <w:t>the full and adequate</w:t>
      </w:r>
      <w:r w:rsidR="005E10BD" w:rsidRPr="00F000F1">
        <w:t xml:space="preserve"> implement</w:t>
      </w:r>
      <w:r w:rsidR="00F6792E" w:rsidRPr="00F000F1">
        <w:t>ation of</w:t>
      </w:r>
      <w:r w:rsidR="005E10BD" w:rsidRPr="00F000F1">
        <w:t xml:space="preserve"> the Convention, article 33 requires </w:t>
      </w:r>
      <w:r w:rsidR="00F6792E" w:rsidRPr="00F000F1">
        <w:t xml:space="preserve">States </w:t>
      </w:r>
      <w:r w:rsidR="00596BA2">
        <w:t>Parties</w:t>
      </w:r>
      <w:r w:rsidR="00F6792E" w:rsidRPr="00F000F1">
        <w:t xml:space="preserve"> to</w:t>
      </w:r>
      <w:r w:rsidR="005E10BD" w:rsidRPr="00F000F1">
        <w:t xml:space="preserve"> designate focal points within government for matters related to the implementation</w:t>
      </w:r>
      <w:r w:rsidR="00200E3A">
        <w:t xml:space="preserve"> of the Convention</w:t>
      </w:r>
      <w:r w:rsidR="005E10BD" w:rsidRPr="00F000F1">
        <w:t xml:space="preserve"> and</w:t>
      </w:r>
      <w:r w:rsidR="00200E3A">
        <w:t xml:space="preserve"> to</w:t>
      </w:r>
      <w:r w:rsidR="005E10BD" w:rsidRPr="00F000F1">
        <w:t xml:space="preserve"> establish coordination mechanism to facilitate action in different sectors and at different levels</w:t>
      </w:r>
      <w:r w:rsidR="00FD375C">
        <w:t xml:space="preserve"> (article 33(</w:t>
      </w:r>
      <w:r w:rsidR="0082671E" w:rsidRPr="00F000F1">
        <w:t>1</w:t>
      </w:r>
      <w:r w:rsidR="00FD375C">
        <w:t>)</w:t>
      </w:r>
      <w:r w:rsidR="0082671E" w:rsidRPr="00F000F1">
        <w:t>)</w:t>
      </w:r>
      <w:r w:rsidR="005E10BD" w:rsidRPr="00F000F1">
        <w:t xml:space="preserve">. </w:t>
      </w:r>
      <w:r w:rsidR="00E2654E" w:rsidRPr="00F000F1">
        <w:t>Moreover, t</w:t>
      </w:r>
      <w:r w:rsidR="0082671E" w:rsidRPr="00F000F1">
        <w:t>hey have to establish a framework, including one or more independent mechanisms, to promote, protect and monitor the implementation of</w:t>
      </w:r>
      <w:r w:rsidR="00FD375C">
        <w:t xml:space="preserve"> the Convention (article 33(</w:t>
      </w:r>
      <w:r w:rsidR="00405564" w:rsidRPr="00F000F1">
        <w:t>2</w:t>
      </w:r>
      <w:r w:rsidR="00FD375C">
        <w:t>)</w:t>
      </w:r>
      <w:r w:rsidR="00405564" w:rsidRPr="00F000F1">
        <w:t>), with the full involvement and participation of civil society, in particular persons with disabilities a</w:t>
      </w:r>
      <w:r w:rsidR="00726B74">
        <w:t>nd their representatives organiz</w:t>
      </w:r>
      <w:r w:rsidR="00FD375C">
        <w:t>ations (article 33(</w:t>
      </w:r>
      <w:r w:rsidR="00405564" w:rsidRPr="00F000F1">
        <w:t>3</w:t>
      </w:r>
      <w:r w:rsidR="00FD375C">
        <w:t>)</w:t>
      </w:r>
      <w:r w:rsidR="00405564" w:rsidRPr="00F000F1">
        <w:t>).</w:t>
      </w:r>
    </w:p>
    <w:p w:rsidR="002925AA" w:rsidRPr="00F000F1" w:rsidRDefault="00676354" w:rsidP="00917320">
      <w:r>
        <w:t xml:space="preserve">29. </w:t>
      </w:r>
      <w:r w:rsidR="008A201B" w:rsidRPr="00F000F1">
        <w:t>The Committee</w:t>
      </w:r>
      <w:r w:rsidR="008F48DD" w:rsidRPr="00F000F1">
        <w:t xml:space="preserve"> </w:t>
      </w:r>
      <w:r w:rsidR="00B410B1" w:rsidRPr="00F000F1">
        <w:t xml:space="preserve">provided </w:t>
      </w:r>
      <w:r w:rsidR="00A44729">
        <w:t>information</w:t>
      </w:r>
      <w:r w:rsidR="00B410B1" w:rsidRPr="00F000F1">
        <w:t xml:space="preserve"> </w:t>
      </w:r>
      <w:r w:rsidR="008A201B" w:rsidRPr="00F000F1">
        <w:t>on</w:t>
      </w:r>
      <w:r w:rsidR="00B410B1" w:rsidRPr="00F000F1">
        <w:t xml:space="preserve"> </w:t>
      </w:r>
      <w:r w:rsidR="00A44729">
        <w:t>how to monitor</w:t>
      </w:r>
      <w:r w:rsidR="00B410B1" w:rsidRPr="00F000F1">
        <w:t xml:space="preserve"> specific articles</w:t>
      </w:r>
      <w:r w:rsidR="008A201B" w:rsidRPr="00F000F1">
        <w:t xml:space="preserve"> of the Convention</w:t>
      </w:r>
      <w:r w:rsidR="00B410B1" w:rsidRPr="00F000F1">
        <w:t xml:space="preserve">, </w:t>
      </w:r>
      <w:r w:rsidR="00A44729">
        <w:t>such as</w:t>
      </w:r>
      <w:r w:rsidR="00B410B1" w:rsidRPr="00F000F1">
        <w:t xml:space="preserve"> article 9 on accessibility,</w:t>
      </w:r>
      <w:r w:rsidR="000C6340" w:rsidRPr="00F000F1">
        <w:rPr>
          <w:rStyle w:val="FootnoteReference"/>
          <w:rFonts w:cs="Arial"/>
          <w:szCs w:val="22"/>
        </w:rPr>
        <w:footnoteReference w:id="35"/>
      </w:r>
      <w:r w:rsidR="00B410B1" w:rsidRPr="00F000F1">
        <w:t xml:space="preserve"> article 19 on living independently and being included </w:t>
      </w:r>
      <w:r w:rsidR="008A201B" w:rsidRPr="00F000F1">
        <w:t>in society,</w:t>
      </w:r>
      <w:r w:rsidR="008A201B" w:rsidRPr="00F000F1">
        <w:rPr>
          <w:rStyle w:val="FootnoteReference"/>
          <w:rFonts w:cs="Arial"/>
          <w:szCs w:val="22"/>
        </w:rPr>
        <w:footnoteReference w:id="36"/>
      </w:r>
      <w:r w:rsidR="008A201B" w:rsidRPr="00F000F1">
        <w:t xml:space="preserve"> </w:t>
      </w:r>
      <w:r w:rsidR="00A776D7" w:rsidRPr="00F000F1">
        <w:t xml:space="preserve">and </w:t>
      </w:r>
      <w:r w:rsidR="008A201B" w:rsidRPr="00F000F1">
        <w:t>article 24 on inclusive education.</w:t>
      </w:r>
      <w:r w:rsidR="008A201B" w:rsidRPr="00F000F1">
        <w:rPr>
          <w:rStyle w:val="FootnoteReference"/>
          <w:rFonts w:cs="Arial"/>
          <w:szCs w:val="22"/>
        </w:rPr>
        <w:footnoteReference w:id="37"/>
      </w:r>
      <w:r w:rsidR="008A201B" w:rsidRPr="00F000F1">
        <w:t xml:space="preserve"> </w:t>
      </w:r>
      <w:r w:rsidR="008E104A" w:rsidRPr="00F000F1">
        <w:t>In 2016</w:t>
      </w:r>
      <w:r w:rsidR="00CE53C6">
        <w:t>,</w:t>
      </w:r>
      <w:r w:rsidR="008E104A" w:rsidRPr="00F000F1">
        <w:t xml:space="preserve"> the Committee published guidelines on independent monitoring framework and their participation in the work of the Committee</w:t>
      </w:r>
      <w:r w:rsidR="00A44729">
        <w:t xml:space="preserve"> (</w:t>
      </w:r>
      <w:r w:rsidR="00A44729">
        <w:rPr>
          <w:lang w:val="en-GB"/>
        </w:rPr>
        <w:t xml:space="preserve">CRPD/C/1/Rev.1, </w:t>
      </w:r>
      <w:r w:rsidR="00631A95">
        <w:rPr>
          <w:lang w:val="en-GB"/>
        </w:rPr>
        <w:t>A</w:t>
      </w:r>
      <w:r w:rsidR="00A44729">
        <w:rPr>
          <w:lang w:val="en-GB"/>
        </w:rPr>
        <w:t>nnex</w:t>
      </w:r>
      <w:r w:rsidR="00A44729">
        <w:t>).</w:t>
      </w:r>
      <w:r w:rsidR="00B07EC0" w:rsidRPr="00F000F1">
        <w:t xml:space="preserve"> </w:t>
      </w:r>
      <w:r w:rsidR="00A5103B">
        <w:t>Because</w:t>
      </w:r>
      <w:r w:rsidR="008D3E63" w:rsidRPr="00F000F1">
        <w:t xml:space="preserve"> monitoring framework</w:t>
      </w:r>
      <w:r w:rsidR="00A5103B">
        <w:t>s</w:t>
      </w:r>
      <w:r w:rsidR="008D3E63" w:rsidRPr="00F000F1">
        <w:t xml:space="preserve"> must be fully independent, </w:t>
      </w:r>
      <w:r w:rsidR="0022653F">
        <w:t>national human rights i</w:t>
      </w:r>
      <w:r w:rsidR="0022653F" w:rsidRPr="00F000F1">
        <w:t xml:space="preserve">nstitutions </w:t>
      </w:r>
      <w:r w:rsidR="00B07EC0" w:rsidRPr="00F000F1">
        <w:t>have a crucial role</w:t>
      </w:r>
      <w:r w:rsidR="000C29B1" w:rsidRPr="00F000F1">
        <w:t xml:space="preserve"> in</w:t>
      </w:r>
      <w:r w:rsidR="00A5103B">
        <w:t xml:space="preserve"> practice in</w:t>
      </w:r>
      <w:r w:rsidR="000C29B1" w:rsidRPr="00F000F1">
        <w:t xml:space="preserve"> the implementation and monitoring of the Convention.</w:t>
      </w:r>
      <w:r w:rsidR="000C29B1" w:rsidRPr="00F000F1">
        <w:rPr>
          <w:rStyle w:val="FootnoteReference"/>
          <w:rFonts w:cs="Arial"/>
          <w:szCs w:val="22"/>
        </w:rPr>
        <w:footnoteReference w:id="38"/>
      </w:r>
      <w:r w:rsidR="00AA18D6" w:rsidRPr="00F000F1">
        <w:t xml:space="preserve"> </w:t>
      </w:r>
      <w:r w:rsidR="002925AA" w:rsidRPr="00F000F1">
        <w:t xml:space="preserve">The Committee held meeting with </w:t>
      </w:r>
      <w:r w:rsidR="0022653F">
        <w:t>national human rights i</w:t>
      </w:r>
      <w:r w:rsidR="0022653F" w:rsidRPr="00F000F1">
        <w:t>nstitutions</w:t>
      </w:r>
      <w:r w:rsidR="002925AA" w:rsidRPr="00F000F1">
        <w:t xml:space="preserve"> and </w:t>
      </w:r>
      <w:r w:rsidR="002925AA" w:rsidRPr="00F000F1">
        <w:rPr>
          <w:lang w:val="en-GB"/>
        </w:rPr>
        <w:t>national independent monitoring mechanisms,</w:t>
      </w:r>
      <w:r w:rsidR="002925AA" w:rsidRPr="00F000F1">
        <w:rPr>
          <w:rStyle w:val="FootnoteReference"/>
          <w:rFonts w:cs="Arial"/>
          <w:szCs w:val="22"/>
          <w:lang w:val="en-GB"/>
        </w:rPr>
        <w:footnoteReference w:id="39"/>
      </w:r>
      <w:r w:rsidR="002925AA" w:rsidRPr="00F000F1">
        <w:rPr>
          <w:lang w:val="en-GB"/>
        </w:rPr>
        <w:t xml:space="preserve"> and they have been encouraged </w:t>
      </w:r>
      <w:r w:rsidR="002925AA" w:rsidRPr="00F000F1">
        <w:t>to engage in the work of the Committee including in all stages of the reporting procedure, days of general discussion and general comments, communication and inquiry procedures under the Optional Protocol, and capacity-building activities.</w:t>
      </w:r>
      <w:r w:rsidR="002925AA" w:rsidRPr="00F000F1">
        <w:rPr>
          <w:rStyle w:val="FootnoteReference"/>
          <w:rFonts w:cs="Arial"/>
          <w:szCs w:val="22"/>
        </w:rPr>
        <w:footnoteReference w:id="40"/>
      </w:r>
      <w:r w:rsidR="00C2650B">
        <w:t xml:space="preserve"> As of the </w:t>
      </w:r>
      <w:r w:rsidR="00CE53C6">
        <w:t>nineteenth</w:t>
      </w:r>
      <w:r w:rsidR="00C2650B">
        <w:t xml:space="preserve"> session of the Committee an annual interactive debate </w:t>
      </w:r>
      <w:r w:rsidR="00CE53C6">
        <w:t>was</w:t>
      </w:r>
      <w:r w:rsidR="00C2650B">
        <w:t xml:space="preserve"> undertaken in collaboration with GANHRI, the General Alliance of National Human Rights Institutions.</w:t>
      </w:r>
    </w:p>
    <w:p w:rsidR="009A2929" w:rsidRPr="00F000F1" w:rsidRDefault="00B92A0C" w:rsidP="00917320">
      <w:pPr>
        <w:pStyle w:val="Heading3"/>
      </w:pPr>
      <w:bookmarkStart w:id="18" w:name="_Toc522542399"/>
      <w:r w:rsidRPr="00F000F1">
        <w:t xml:space="preserve">iv. </w:t>
      </w:r>
      <w:r w:rsidR="009A2929" w:rsidRPr="00F000F1">
        <w:t>Awareness-raising (article 8)</w:t>
      </w:r>
      <w:bookmarkEnd w:id="18"/>
      <w:r w:rsidR="009A2929" w:rsidRPr="00F000F1">
        <w:t xml:space="preserve"> </w:t>
      </w:r>
    </w:p>
    <w:p w:rsidR="00FD7B99" w:rsidRPr="00F000F1" w:rsidRDefault="00676354" w:rsidP="00917320">
      <w:r>
        <w:t xml:space="preserve">30. </w:t>
      </w:r>
      <w:r w:rsidR="006562DD">
        <w:t>T</w:t>
      </w:r>
      <w:r w:rsidR="008C0677" w:rsidRPr="00F000F1">
        <w:t>he Committee</w:t>
      </w:r>
      <w:r w:rsidR="006562DD">
        <w:t xml:space="preserve"> noted that</w:t>
      </w:r>
      <w:r w:rsidR="00ED7694" w:rsidRPr="00F000F1">
        <w:t xml:space="preserve"> awareness-</w:t>
      </w:r>
      <w:r w:rsidR="00BD4FF5" w:rsidRPr="00F000F1">
        <w:t>raising is</w:t>
      </w:r>
      <w:r w:rsidR="008C0677" w:rsidRPr="00F000F1">
        <w:t xml:space="preserve"> one of the preconditions for the effective implementation of the Convention</w:t>
      </w:r>
      <w:r w:rsidR="00D75857" w:rsidRPr="00F000F1">
        <w:t>.</w:t>
      </w:r>
      <w:r w:rsidR="008C0677" w:rsidRPr="00F000F1">
        <w:rPr>
          <w:rStyle w:val="FootnoteReference"/>
          <w:rFonts w:cs="Arial"/>
          <w:szCs w:val="22"/>
        </w:rPr>
        <w:footnoteReference w:id="41"/>
      </w:r>
      <w:r w:rsidR="00ED7694" w:rsidRPr="00F000F1">
        <w:t xml:space="preserve"> As such, </w:t>
      </w:r>
      <w:r w:rsidR="000D5AA1">
        <w:t>it</w:t>
      </w:r>
      <w:r w:rsidR="00ED7694" w:rsidRPr="00F000F1">
        <w:t xml:space="preserve"> was addressed</w:t>
      </w:r>
      <w:r w:rsidR="000D5AA1">
        <w:t xml:space="preserve"> by the Committee</w:t>
      </w:r>
      <w:r w:rsidR="00ED7694" w:rsidRPr="00F000F1">
        <w:t xml:space="preserve"> countless time</w:t>
      </w:r>
      <w:r w:rsidR="00787B54">
        <w:t>s</w:t>
      </w:r>
      <w:r w:rsidR="00ED7694" w:rsidRPr="00F000F1">
        <w:t xml:space="preserve"> over the </w:t>
      </w:r>
      <w:r w:rsidR="00E62B69" w:rsidRPr="00F000F1">
        <w:t xml:space="preserve">last ten </w:t>
      </w:r>
      <w:r w:rsidR="00ED7694" w:rsidRPr="00F000F1">
        <w:t>years.</w:t>
      </w:r>
      <w:r w:rsidR="00D75857" w:rsidRPr="00F000F1">
        <w:t xml:space="preserve"> </w:t>
      </w:r>
      <w:r w:rsidR="00ED7694" w:rsidRPr="00F000F1">
        <w:t>In practice, it</w:t>
      </w:r>
      <w:r w:rsidR="00FD7B99" w:rsidRPr="00F000F1">
        <w:t xml:space="preserve"> entails a variety of obligations</w:t>
      </w:r>
      <w:r w:rsidR="00ED7694" w:rsidRPr="00F000F1">
        <w:t xml:space="preserve"> for States </w:t>
      </w:r>
      <w:r w:rsidR="00596BA2">
        <w:t>Parties</w:t>
      </w:r>
      <w:r w:rsidR="00ED7694" w:rsidRPr="00F000F1">
        <w:t>,</w:t>
      </w:r>
      <w:r w:rsidR="00FD7B99" w:rsidRPr="00F000F1">
        <w:t xml:space="preserve"> as it relates to </w:t>
      </w:r>
      <w:r w:rsidR="00CA7B43" w:rsidRPr="00F000F1">
        <w:t>rais</w:t>
      </w:r>
      <w:r w:rsidR="00E62B69" w:rsidRPr="00F000F1">
        <w:t>ing</w:t>
      </w:r>
      <w:r w:rsidR="00FD7B99" w:rsidRPr="00F000F1">
        <w:t xml:space="preserve"> </w:t>
      </w:r>
      <w:r w:rsidR="00CA7B43" w:rsidRPr="00F000F1">
        <w:t xml:space="preserve">awareness </w:t>
      </w:r>
      <w:r w:rsidR="00ED7694" w:rsidRPr="00F000F1">
        <w:t xml:space="preserve">not only </w:t>
      </w:r>
      <w:r w:rsidR="00CA7B43" w:rsidRPr="00F000F1">
        <w:t xml:space="preserve">of </w:t>
      </w:r>
      <w:r w:rsidR="00FD7B99" w:rsidRPr="00F000F1">
        <w:t>persons with disabilities</w:t>
      </w:r>
      <w:r w:rsidR="00CA7B43" w:rsidRPr="00F000F1">
        <w:t xml:space="preserve"> about their rights under the Convention,</w:t>
      </w:r>
      <w:r w:rsidR="00FD7B99" w:rsidRPr="00F000F1">
        <w:t xml:space="preserve"> </w:t>
      </w:r>
      <w:r w:rsidR="00ED7694" w:rsidRPr="00F000F1">
        <w:t>but also</w:t>
      </w:r>
      <w:r w:rsidR="00CA7B43" w:rsidRPr="00F000F1">
        <w:t xml:space="preserve"> </w:t>
      </w:r>
      <w:r w:rsidR="00ED7694" w:rsidRPr="00F000F1">
        <w:t>of</w:t>
      </w:r>
      <w:r w:rsidR="00CA7B43" w:rsidRPr="00F000F1">
        <w:t xml:space="preserve"> </w:t>
      </w:r>
      <w:r w:rsidR="00ED7694" w:rsidRPr="00F000F1">
        <w:t>professional and the general public</w:t>
      </w:r>
      <w:r w:rsidR="00CA7B43" w:rsidRPr="00F000F1">
        <w:t xml:space="preserve"> to prevent and eliminate discrimination, </w:t>
      </w:r>
      <w:r w:rsidR="003C7892" w:rsidRPr="00F000F1">
        <w:t xml:space="preserve">and more generally </w:t>
      </w:r>
      <w:r w:rsidR="00FD7B99" w:rsidRPr="00F000F1">
        <w:t>to combat stereotypes, prejudices and harmful practices</w:t>
      </w:r>
      <w:r w:rsidR="00965F33" w:rsidRPr="00F000F1">
        <w:t>, including deep-rooted cultural beliefs, negative attitudes, bullying, cyber-bullying, hate crimes and discriminatory language.</w:t>
      </w:r>
      <w:r w:rsidR="00965F33" w:rsidRPr="00F000F1">
        <w:rPr>
          <w:rStyle w:val="FootnoteReference"/>
          <w:rFonts w:cs="Arial"/>
          <w:szCs w:val="22"/>
        </w:rPr>
        <w:footnoteReference w:id="42"/>
      </w:r>
    </w:p>
    <w:p w:rsidR="0085575F" w:rsidRPr="00F000F1" w:rsidRDefault="00676354" w:rsidP="00917320">
      <w:r>
        <w:t xml:space="preserve">31. </w:t>
      </w:r>
      <w:r w:rsidR="0085575F" w:rsidRPr="00F000F1">
        <w:t>Awareness-raising is mentioned in all</w:t>
      </w:r>
      <w:r w:rsidR="00CA5CFD" w:rsidRPr="00F000F1">
        <w:t xml:space="preserve"> general c</w:t>
      </w:r>
      <w:r w:rsidR="0085575F" w:rsidRPr="00F000F1">
        <w:t xml:space="preserve">omments adopted by the Committee. For instance, </w:t>
      </w:r>
      <w:r w:rsidR="003A54CC" w:rsidRPr="00F000F1">
        <w:t xml:space="preserve">the Committee stressed that the </w:t>
      </w:r>
      <w:r w:rsidR="0085575F" w:rsidRPr="00F000F1">
        <w:t xml:space="preserve">insufficient or lack of awareness </w:t>
      </w:r>
      <w:r w:rsidR="003A54CC" w:rsidRPr="00F000F1">
        <w:t>is</w:t>
      </w:r>
      <w:r w:rsidR="0085575F" w:rsidRPr="00F000F1">
        <w:t xml:space="preserve"> one of the causes of </w:t>
      </w:r>
      <w:r w:rsidR="00CA5CFD" w:rsidRPr="00F000F1">
        <w:t>lack of accessibility</w:t>
      </w:r>
      <w:r w:rsidR="003A54CC" w:rsidRPr="00F000F1">
        <w:rPr>
          <w:rStyle w:val="FootnoteReference"/>
          <w:rFonts w:cs="Arial"/>
          <w:szCs w:val="22"/>
        </w:rPr>
        <w:footnoteReference w:id="43"/>
      </w:r>
      <w:r w:rsidR="00D04C31" w:rsidRPr="00F000F1">
        <w:t xml:space="preserve"> </w:t>
      </w:r>
      <w:r w:rsidR="000D3556" w:rsidRPr="00F000F1">
        <w:t xml:space="preserve">and </w:t>
      </w:r>
      <w:r w:rsidR="00084F87" w:rsidRPr="00F000F1">
        <w:t xml:space="preserve">of </w:t>
      </w:r>
      <w:r w:rsidR="00D04C31" w:rsidRPr="00F000F1">
        <w:t>structural or system</w:t>
      </w:r>
      <w:r w:rsidR="003A54CC" w:rsidRPr="00F000F1">
        <w:t>ic discriminatio</w:t>
      </w:r>
      <w:r w:rsidR="00D04C31" w:rsidRPr="00F000F1">
        <w:t>n</w:t>
      </w:r>
      <w:r w:rsidR="003A54CC" w:rsidRPr="00F000F1">
        <w:rPr>
          <w:rStyle w:val="FootnoteReference"/>
          <w:rFonts w:cs="Arial"/>
          <w:szCs w:val="22"/>
        </w:rPr>
        <w:footnoteReference w:id="44"/>
      </w:r>
      <w:r w:rsidR="00CA5CFD" w:rsidRPr="00F000F1">
        <w:t xml:space="preserve"> </w:t>
      </w:r>
      <w:r w:rsidR="00D04C31" w:rsidRPr="00F000F1">
        <w:t>linked to stereotypes, misconceptions, prejudices and harmful practices relating to persons with disabilities.</w:t>
      </w:r>
      <w:r w:rsidR="00D04C31" w:rsidRPr="00F000F1">
        <w:rPr>
          <w:rStyle w:val="FootnoteReference"/>
          <w:rFonts w:cs="Arial"/>
          <w:szCs w:val="22"/>
        </w:rPr>
        <w:footnoteReference w:id="45"/>
      </w:r>
      <w:r w:rsidR="00A72D26" w:rsidRPr="00F000F1">
        <w:t xml:space="preserve"> Training of</w:t>
      </w:r>
      <w:r w:rsidR="00D04C31" w:rsidRPr="00F000F1">
        <w:t xml:space="preserve"> all relevant stakeholders on</w:t>
      </w:r>
      <w:r w:rsidR="000D3556" w:rsidRPr="00F000F1">
        <w:t xml:space="preserve"> the</w:t>
      </w:r>
      <w:r w:rsidR="00D04C31" w:rsidRPr="00F000F1">
        <w:t xml:space="preserve"> rights of persons with disabilities</w:t>
      </w:r>
      <w:r w:rsidR="000D3556" w:rsidRPr="00F000F1">
        <w:t xml:space="preserve"> and </w:t>
      </w:r>
      <w:r w:rsidR="00D04C31" w:rsidRPr="00F000F1">
        <w:t>various aspect</w:t>
      </w:r>
      <w:r w:rsidR="000D3556" w:rsidRPr="00F000F1">
        <w:t>s</w:t>
      </w:r>
      <w:r w:rsidR="00D04C31" w:rsidRPr="00F000F1">
        <w:t xml:space="preserve"> of the Convention</w:t>
      </w:r>
      <w:r w:rsidR="000D3556" w:rsidRPr="00F000F1">
        <w:t>,</w:t>
      </w:r>
      <w:r w:rsidR="00D04C31" w:rsidRPr="00F000F1">
        <w:t xml:space="preserve"> such as accessibility</w:t>
      </w:r>
      <w:r w:rsidR="00D04C31" w:rsidRPr="00F000F1">
        <w:rPr>
          <w:rStyle w:val="FootnoteReference"/>
          <w:rFonts w:cs="Arial"/>
          <w:szCs w:val="22"/>
        </w:rPr>
        <w:footnoteReference w:id="46"/>
      </w:r>
      <w:r w:rsidR="00D04C31" w:rsidRPr="00F000F1">
        <w:t xml:space="preserve"> or reasonable accommodation</w:t>
      </w:r>
      <w:r w:rsidR="00A72D26" w:rsidRPr="00F000F1">
        <w:t>,</w:t>
      </w:r>
      <w:r w:rsidR="001E2EB8" w:rsidRPr="00F000F1">
        <w:t xml:space="preserve"> is thus essential.</w:t>
      </w:r>
      <w:r w:rsidR="00612C76">
        <w:t xml:space="preserve"> T</w:t>
      </w:r>
      <w:r w:rsidR="00D04C31" w:rsidRPr="00F000F1">
        <w:t>he</w:t>
      </w:r>
      <w:r w:rsidR="00CA5CFD" w:rsidRPr="00F000F1">
        <w:t xml:space="preserve"> Committee</w:t>
      </w:r>
      <w:r w:rsidR="00D04C31" w:rsidRPr="00F000F1">
        <w:t xml:space="preserve"> </w:t>
      </w:r>
      <w:r w:rsidR="006A7C54" w:rsidRPr="00F000F1">
        <w:t xml:space="preserve">repeatedly </w:t>
      </w:r>
      <w:r w:rsidR="00612C76">
        <w:t>indicated</w:t>
      </w:r>
      <w:r w:rsidR="0024279D">
        <w:t xml:space="preserve"> that awareness-</w:t>
      </w:r>
      <w:r w:rsidR="008127A4" w:rsidRPr="00F000F1">
        <w:t xml:space="preserve">raising activities should be carried out in cooperation with persons with disabilities </w:t>
      </w:r>
      <w:r w:rsidR="000A5281">
        <w:t>and their representative organiz</w:t>
      </w:r>
      <w:r w:rsidR="008127A4" w:rsidRPr="00F000F1">
        <w:t>ations.</w:t>
      </w:r>
      <w:r w:rsidR="008127A4" w:rsidRPr="00F000F1">
        <w:rPr>
          <w:rStyle w:val="FootnoteReference"/>
          <w:rFonts w:cs="Arial"/>
          <w:szCs w:val="22"/>
        </w:rPr>
        <w:footnoteReference w:id="47"/>
      </w:r>
      <w:r w:rsidR="00D04C31" w:rsidRPr="00F000F1">
        <w:t xml:space="preserve"> </w:t>
      </w:r>
      <w:r w:rsidR="0024279D">
        <w:t>The Committee also encouraged the media</w:t>
      </w:r>
      <w:r w:rsidR="006A7C54" w:rsidRPr="00F000F1">
        <w:t xml:space="preserve"> to portray persons with disabilities in a manner consistent with the purpose of the Convention and </w:t>
      </w:r>
      <w:r w:rsidR="00957282" w:rsidRPr="00F000F1">
        <w:t xml:space="preserve">to </w:t>
      </w:r>
      <w:r w:rsidR="006A7C54" w:rsidRPr="00F000F1">
        <w:t>modify harmful views of persons with disabilities.</w:t>
      </w:r>
      <w:r w:rsidR="006A7C54" w:rsidRPr="00F000F1">
        <w:rPr>
          <w:rStyle w:val="FootnoteReference"/>
          <w:rFonts w:cs="Arial"/>
          <w:szCs w:val="22"/>
        </w:rPr>
        <w:footnoteReference w:id="48"/>
      </w:r>
    </w:p>
    <w:p w:rsidR="00CB0F66" w:rsidRPr="00F000F1" w:rsidRDefault="00B92A0C" w:rsidP="00917320">
      <w:pPr>
        <w:pStyle w:val="Heading3"/>
      </w:pPr>
      <w:bookmarkStart w:id="19" w:name="_Toc522542400"/>
      <w:r w:rsidRPr="00F000F1">
        <w:t xml:space="preserve">v. </w:t>
      </w:r>
      <w:r w:rsidR="00CB0F66" w:rsidRPr="00F000F1">
        <w:t>Data collection (article 31)</w:t>
      </w:r>
      <w:bookmarkEnd w:id="19"/>
      <w:r w:rsidR="00CB0F66" w:rsidRPr="00F000F1">
        <w:t xml:space="preserve"> </w:t>
      </w:r>
    </w:p>
    <w:p w:rsidR="00CB0F66" w:rsidRPr="00F000F1" w:rsidRDefault="00676354" w:rsidP="00917320">
      <w:r>
        <w:t xml:space="preserve">32. </w:t>
      </w:r>
      <w:r w:rsidR="00CB0F66" w:rsidRPr="00F000F1">
        <w:t xml:space="preserve">The collection and analysis of disaggregated data and statistics by States </w:t>
      </w:r>
      <w:r w:rsidR="00596BA2">
        <w:t>Parties</w:t>
      </w:r>
      <w:r w:rsidR="00CB0F66" w:rsidRPr="00F000F1">
        <w:t xml:space="preserve"> is essential for the effective implementation and monitoring of the Convention.</w:t>
      </w:r>
      <w:r w:rsidR="00CB0F66" w:rsidRPr="00F000F1">
        <w:rPr>
          <w:rStyle w:val="FootnoteReference"/>
          <w:rFonts w:cs="Arial"/>
          <w:szCs w:val="22"/>
        </w:rPr>
        <w:footnoteReference w:id="49"/>
      </w:r>
      <w:r w:rsidR="00CB0F66" w:rsidRPr="00F000F1">
        <w:t xml:space="preserve"> The Committee requested States </w:t>
      </w:r>
      <w:r w:rsidR="00596BA2">
        <w:t>Parties</w:t>
      </w:r>
      <w:r w:rsidR="00CB0F66" w:rsidRPr="00F000F1">
        <w:t xml:space="preserve"> to</w:t>
      </w:r>
      <w:r w:rsidR="00AF660E">
        <w:t xml:space="preserve"> collect disaggregated data on</w:t>
      </w:r>
      <w:r w:rsidR="00CB0F66" w:rsidRPr="00F000F1">
        <w:t xml:space="preserve"> various issues and under different articles of the Convention. </w:t>
      </w:r>
      <w:r w:rsidR="0026210A">
        <w:t xml:space="preserve">In its concluding observations, </w:t>
      </w:r>
      <w:r w:rsidR="00CB0F66" w:rsidRPr="00F000F1">
        <w:t xml:space="preserve">the Committee recommended </w:t>
      </w:r>
      <w:r w:rsidR="0026210A">
        <w:t xml:space="preserve">States </w:t>
      </w:r>
      <w:r w:rsidR="00596BA2">
        <w:t>Parties</w:t>
      </w:r>
      <w:r w:rsidR="0026210A">
        <w:t xml:space="preserve"> to collect </w:t>
      </w:r>
      <w:r w:rsidR="00CB0F66" w:rsidRPr="00F000F1">
        <w:t>data under articles 1-4, 5, 6, 7, 11, 12, 13, 14, 16, 17, 19, 23, 24, 25, 27, 28, 29, 31 and 32 of the Convention.</w:t>
      </w:r>
    </w:p>
    <w:p w:rsidR="00CB0F66" w:rsidRPr="00F000F1" w:rsidRDefault="00676354" w:rsidP="00917320">
      <w:r>
        <w:t xml:space="preserve">33. </w:t>
      </w:r>
      <w:r w:rsidR="00FD4C3F">
        <w:t>The Committee noted that data</w:t>
      </w:r>
      <w:r w:rsidR="00CB0F66" w:rsidRPr="00F000F1">
        <w:t xml:space="preserve"> </w:t>
      </w:r>
      <w:r w:rsidR="00F53DE9" w:rsidRPr="00F000F1">
        <w:t>might</w:t>
      </w:r>
      <w:r w:rsidR="00CB0F66" w:rsidRPr="00F000F1">
        <w:t xml:space="preserve"> be collected using surveys and “other forms of analysis”</w:t>
      </w:r>
      <w:r w:rsidR="001F1344">
        <w:t>,</w:t>
      </w:r>
      <w:r w:rsidR="00CB0F66" w:rsidRPr="00F000F1">
        <w:rPr>
          <w:rStyle w:val="FootnoteReference"/>
          <w:rFonts w:cs="Arial"/>
          <w:szCs w:val="22"/>
        </w:rPr>
        <w:footnoteReference w:id="50"/>
      </w:r>
      <w:r w:rsidR="00CB0F66" w:rsidRPr="00F000F1">
        <w:t xml:space="preserve"> and should be broad and cover statistics, narratives and other forms of data, such as indicators.</w:t>
      </w:r>
      <w:r w:rsidR="00CB0F66" w:rsidRPr="00F000F1">
        <w:rPr>
          <w:rStyle w:val="FootnoteReference"/>
          <w:rFonts w:cs="Arial"/>
          <w:szCs w:val="22"/>
        </w:rPr>
        <w:footnoteReference w:id="51"/>
      </w:r>
      <w:r w:rsidR="00F53DE9">
        <w:t xml:space="preserve"> Data</w:t>
      </w:r>
      <w:r w:rsidR="00CB0F66" w:rsidRPr="00F000F1">
        <w:t xml:space="preserve"> should be disaggregated systematically on the basis of disability and of intersectional categories,</w:t>
      </w:r>
      <w:r w:rsidR="00CB0F66" w:rsidRPr="00F000F1">
        <w:rPr>
          <w:rStyle w:val="FootnoteReference"/>
          <w:rFonts w:cs="Arial"/>
          <w:szCs w:val="22"/>
        </w:rPr>
        <w:footnoteReference w:id="52"/>
      </w:r>
      <w:r w:rsidR="00CB0F66" w:rsidRPr="00F000F1">
        <w:t xml:space="preserve"> including age, sex and other relevant factors.</w:t>
      </w:r>
      <w:r w:rsidR="00CB0F66" w:rsidRPr="00F000F1">
        <w:rPr>
          <w:rStyle w:val="FootnoteReference"/>
          <w:rFonts w:cs="Arial"/>
          <w:szCs w:val="22"/>
        </w:rPr>
        <w:footnoteReference w:id="53"/>
      </w:r>
      <w:r w:rsidR="00CB0F66" w:rsidRPr="00F000F1">
        <w:t xml:space="preserve"> In practice the Committee included race, ethnicity, religion, migratory status, geographic location, socio-economic status, employment status, income, place of residence, ind</w:t>
      </w:r>
      <w:r w:rsidR="00F53DE9">
        <w:t>igenous communities and</w:t>
      </w:r>
      <w:r w:rsidR="00CB0F66" w:rsidRPr="00F000F1">
        <w:t xml:space="preserve"> sexual orientation. In General Comment No. 6</w:t>
      </w:r>
      <w:r w:rsidR="001F1344">
        <w:t>,</w:t>
      </w:r>
      <w:r w:rsidR="00CB0F66" w:rsidRPr="00F000F1">
        <w:t xml:space="preserve"> the Committee noted that differentiation should be made according to “impairment, gender, sex, gender identity, ethnicity, religion, age or other layers of identity”.</w:t>
      </w:r>
      <w:r w:rsidR="00CB0F66" w:rsidRPr="00F000F1">
        <w:rPr>
          <w:rStyle w:val="FootnoteReference"/>
          <w:rFonts w:cs="Arial"/>
          <w:szCs w:val="22"/>
        </w:rPr>
        <w:footnoteReference w:id="54"/>
      </w:r>
      <w:r w:rsidR="00CB0F66" w:rsidRPr="00F000F1">
        <w:t xml:space="preserve"> Representative organizations of persons with disabilities should be involved in the design, collection and analysis</w:t>
      </w:r>
      <w:r w:rsidR="00CB0F66" w:rsidRPr="00F000F1">
        <w:rPr>
          <w:rStyle w:val="FootnoteReference"/>
          <w:rFonts w:cs="Arial"/>
          <w:szCs w:val="22"/>
        </w:rPr>
        <w:footnoteReference w:id="55"/>
      </w:r>
      <w:r w:rsidR="00CB0F66" w:rsidRPr="00F000F1">
        <w:t xml:space="preserve"> and dissemination of data.</w:t>
      </w:r>
      <w:r w:rsidR="00CB0F66" w:rsidRPr="00F000F1">
        <w:rPr>
          <w:rStyle w:val="FootnoteReference"/>
          <w:rFonts w:cs="Arial"/>
          <w:szCs w:val="22"/>
        </w:rPr>
        <w:footnoteReference w:id="56"/>
      </w:r>
      <w:r w:rsidR="00CB0F66" w:rsidRPr="00F000F1">
        <w:t xml:space="preserve"> In 2017</w:t>
      </w:r>
      <w:r w:rsidR="00F53DE9">
        <w:t>,</w:t>
      </w:r>
      <w:r w:rsidR="00CB0F66" w:rsidRPr="00F000F1">
        <w:rPr>
          <w:rStyle w:val="FootnoteReference"/>
          <w:rFonts w:cs="Arial"/>
          <w:szCs w:val="22"/>
        </w:rPr>
        <w:footnoteReference w:id="57"/>
      </w:r>
      <w:r w:rsidR="00CB0F66" w:rsidRPr="00F000F1">
        <w:t xml:space="preserve"> the Committee </w:t>
      </w:r>
      <w:r w:rsidR="00F53DE9" w:rsidRPr="00F000F1">
        <w:t>began</w:t>
      </w:r>
      <w:r w:rsidR="00CB0F66" w:rsidRPr="00F000F1">
        <w:t xml:space="preserve"> </w:t>
      </w:r>
      <w:r w:rsidR="00F53DE9">
        <w:t>recommending</w:t>
      </w:r>
      <w:r w:rsidR="00CB0F66" w:rsidRPr="00F000F1">
        <w:t xml:space="preserve"> States </w:t>
      </w:r>
      <w:r w:rsidR="00596BA2">
        <w:t>Parties</w:t>
      </w:r>
      <w:r w:rsidR="00CB0F66" w:rsidRPr="00F000F1">
        <w:t xml:space="preserve"> </w:t>
      </w:r>
      <w:r w:rsidR="00F53DE9">
        <w:t xml:space="preserve">to </w:t>
      </w:r>
      <w:r w:rsidR="00CB0F66" w:rsidRPr="00F000F1">
        <w:t xml:space="preserve">use the set of questions and tools </w:t>
      </w:r>
      <w:r w:rsidR="00CB0F66" w:rsidRPr="00F000F1">
        <w:rPr>
          <w:bCs/>
          <w:lang w:val="en-GB"/>
        </w:rPr>
        <w:t>developed by the Washington Group on Disability Statistics for the collection of comparable disability statistics</w:t>
      </w:r>
      <w:r w:rsidR="00CB0F66" w:rsidRPr="00F000F1">
        <w:t>.</w:t>
      </w:r>
      <w:r w:rsidR="00CB0F66" w:rsidRPr="00F000F1">
        <w:rPr>
          <w:rStyle w:val="FootnoteReference"/>
          <w:rFonts w:cs="Arial"/>
          <w:szCs w:val="22"/>
        </w:rPr>
        <w:footnoteReference w:id="58"/>
      </w:r>
    </w:p>
    <w:p w:rsidR="009A2929" w:rsidRPr="00F000F1" w:rsidRDefault="00B92A0C" w:rsidP="00917320">
      <w:pPr>
        <w:pStyle w:val="Heading3"/>
      </w:pPr>
      <w:bookmarkStart w:id="20" w:name="_Toc522542401"/>
      <w:r w:rsidRPr="00F000F1">
        <w:t xml:space="preserve">vi. </w:t>
      </w:r>
      <w:r w:rsidR="009A2929" w:rsidRPr="00F000F1">
        <w:t>International cooperation (article 32)</w:t>
      </w:r>
      <w:bookmarkEnd w:id="20"/>
      <w:r w:rsidR="009A2929" w:rsidRPr="00F000F1">
        <w:t xml:space="preserve"> </w:t>
      </w:r>
    </w:p>
    <w:p w:rsidR="0071271F" w:rsidRPr="00F000F1" w:rsidRDefault="00676354" w:rsidP="00917320">
      <w:pPr>
        <w:rPr>
          <w:b/>
          <w:bCs/>
        </w:rPr>
      </w:pPr>
      <w:r>
        <w:t xml:space="preserve">34. </w:t>
      </w:r>
      <w:r w:rsidR="0071271F" w:rsidRPr="00F000F1">
        <w:t xml:space="preserve">Under article 32 of the CRPD “States </w:t>
      </w:r>
      <w:r w:rsidR="00596BA2">
        <w:t>Parties</w:t>
      </w:r>
      <w:r w:rsidR="0071271F" w:rsidRPr="00F000F1">
        <w:t xml:space="preserve"> recognize the importance of international cooperation and its promotion, in support of national efforts for the realization of the purpose and objectives of the […] Convention.” </w:t>
      </w:r>
      <w:r w:rsidR="001D3214" w:rsidRPr="00F000F1">
        <w:t xml:space="preserve">International cooperation </w:t>
      </w:r>
      <w:r w:rsidR="003A2AF6" w:rsidRPr="00F000F1">
        <w:t>should be used as a</w:t>
      </w:r>
      <w:r w:rsidR="001D3214" w:rsidRPr="00F000F1">
        <w:t xml:space="preserve"> tool to advance the rights of persons with disabilities </w:t>
      </w:r>
      <w:r w:rsidR="00A561DB" w:rsidRPr="00F000F1">
        <w:t>and implement the</w:t>
      </w:r>
      <w:r w:rsidR="001D3214" w:rsidRPr="00F000F1">
        <w:t xml:space="preserve"> Convention. </w:t>
      </w:r>
      <w:r w:rsidR="00402AF0" w:rsidRPr="00F000F1">
        <w:t>In General Comment No. 2 on accessibility</w:t>
      </w:r>
      <w:r w:rsidR="001F1344">
        <w:t>,</w:t>
      </w:r>
      <w:r w:rsidR="00402AF0" w:rsidRPr="00F000F1">
        <w:t xml:space="preserve"> the Committee </w:t>
      </w:r>
      <w:r w:rsidR="00B1397B">
        <w:t>indicated</w:t>
      </w:r>
      <w:r w:rsidR="00402AF0" w:rsidRPr="00F000F1">
        <w:t xml:space="preserve"> that international cooperation </w:t>
      </w:r>
      <w:r w:rsidR="00B1397B">
        <w:t>might</w:t>
      </w:r>
      <w:r w:rsidR="00402AF0" w:rsidRPr="00F000F1">
        <w:t xml:space="preserve"> be used </w:t>
      </w:r>
      <w:r w:rsidR="00B1397B" w:rsidRPr="00F000F1">
        <w:t>as a tool in the promotion of acc</w:t>
      </w:r>
      <w:r w:rsidR="00B1397B">
        <w:t>essibility and universal design.</w:t>
      </w:r>
      <w:r w:rsidR="00402AF0" w:rsidRPr="00F000F1">
        <w:rPr>
          <w:rStyle w:val="FootnoteReference"/>
          <w:rFonts w:cs="Arial"/>
          <w:szCs w:val="22"/>
        </w:rPr>
        <w:footnoteReference w:id="59"/>
      </w:r>
      <w:r w:rsidR="00B1397B">
        <w:t xml:space="preserve"> </w:t>
      </w:r>
      <w:r w:rsidR="00402AF0" w:rsidRPr="00F000F1">
        <w:t xml:space="preserve">For instance, </w:t>
      </w:r>
      <w:r w:rsidR="0054563F" w:rsidRPr="00F000F1">
        <w:t>international cooperation can be use</w:t>
      </w:r>
      <w:r w:rsidR="00C2650B">
        <w:t>d</w:t>
      </w:r>
      <w:r w:rsidR="0054563F" w:rsidRPr="00F000F1">
        <w:t xml:space="preserve"> to develop </w:t>
      </w:r>
      <w:r w:rsidR="00402AF0" w:rsidRPr="00F000F1">
        <w:t>accessibility standards in collabor</w:t>
      </w:r>
      <w:r w:rsidR="008D1EF9">
        <w:t xml:space="preserve">ation with other States </w:t>
      </w:r>
      <w:r w:rsidR="00596BA2">
        <w:t>Parties</w:t>
      </w:r>
      <w:r w:rsidR="008D1EF9">
        <w:t xml:space="preserve">, </w:t>
      </w:r>
      <w:r w:rsidR="00402AF0" w:rsidRPr="00F000F1">
        <w:t>international organizations and agencies.</w:t>
      </w:r>
      <w:r w:rsidR="00402AF0" w:rsidRPr="00F000F1">
        <w:rPr>
          <w:rStyle w:val="FootnoteReference"/>
          <w:rFonts w:cs="Arial"/>
          <w:szCs w:val="22"/>
        </w:rPr>
        <w:footnoteReference w:id="60"/>
      </w:r>
      <w:r w:rsidR="00B2070D" w:rsidRPr="00F000F1">
        <w:t xml:space="preserve"> It is also a way to exchange information and “know-how”, and to share good practices.</w:t>
      </w:r>
      <w:r w:rsidR="00B2070D" w:rsidRPr="00F000F1">
        <w:rPr>
          <w:rStyle w:val="FootnoteReference"/>
          <w:rFonts w:cs="Arial"/>
          <w:szCs w:val="22"/>
        </w:rPr>
        <w:footnoteReference w:id="61"/>
      </w:r>
      <w:r w:rsidR="008373C5" w:rsidRPr="00F000F1">
        <w:t xml:space="preserve"> The Committee </w:t>
      </w:r>
      <w:r w:rsidR="003A2AF6" w:rsidRPr="00F000F1">
        <w:t>mentioned</w:t>
      </w:r>
      <w:r w:rsidR="008373C5" w:rsidRPr="00F000F1">
        <w:t xml:space="preserve"> the same point</w:t>
      </w:r>
      <w:r w:rsidR="00EB22CA" w:rsidRPr="00F000F1">
        <w:t>s</w:t>
      </w:r>
      <w:r w:rsidR="008373C5" w:rsidRPr="00F000F1">
        <w:t xml:space="preserve"> in General </w:t>
      </w:r>
      <w:r w:rsidR="00D75BFB" w:rsidRPr="00F000F1">
        <w:t>Comment</w:t>
      </w:r>
      <w:r w:rsidR="008373C5" w:rsidRPr="00F000F1">
        <w:t xml:space="preserve"> No. 4 on</w:t>
      </w:r>
      <w:r w:rsidR="00EB22CA" w:rsidRPr="00F000F1">
        <w:t xml:space="preserve"> inclusive</w:t>
      </w:r>
      <w:r w:rsidR="008373C5" w:rsidRPr="00F000F1">
        <w:t xml:space="preserve"> education</w:t>
      </w:r>
      <w:r w:rsidR="00D75BFB" w:rsidRPr="00F000F1">
        <w:rPr>
          <w:rStyle w:val="FootnoteReference"/>
          <w:rFonts w:cs="Arial"/>
          <w:szCs w:val="22"/>
        </w:rPr>
        <w:footnoteReference w:id="62"/>
      </w:r>
      <w:r w:rsidR="00D75BFB" w:rsidRPr="00F000F1">
        <w:t xml:space="preserve"> </w:t>
      </w:r>
      <w:r w:rsidR="00D75BFB" w:rsidRPr="00F000F1">
        <w:rPr>
          <w:bCs/>
        </w:rPr>
        <w:t xml:space="preserve">while General Comment No. 6 </w:t>
      </w:r>
      <w:r w:rsidR="003A2AF6" w:rsidRPr="00F000F1">
        <w:rPr>
          <w:bCs/>
        </w:rPr>
        <w:t>on equality and non-discrimination stresses</w:t>
      </w:r>
      <w:r w:rsidR="00D75BFB" w:rsidRPr="00F000F1">
        <w:rPr>
          <w:bCs/>
        </w:rPr>
        <w:t xml:space="preserve"> that all international cooperation efforts must be inclusive of and accessible to persons with disabilities and be guided by the Convention</w:t>
      </w:r>
      <w:r w:rsidR="008373C5" w:rsidRPr="00F000F1">
        <w:t>.</w:t>
      </w:r>
      <w:r w:rsidR="00D75BFB" w:rsidRPr="00F000F1">
        <w:rPr>
          <w:rStyle w:val="FootnoteReference"/>
          <w:rFonts w:cs="Arial"/>
          <w:szCs w:val="22"/>
        </w:rPr>
        <w:footnoteReference w:id="63"/>
      </w:r>
      <w:r w:rsidR="008373C5" w:rsidRPr="00F000F1">
        <w:t xml:space="preserve"> </w:t>
      </w:r>
    </w:p>
    <w:p w:rsidR="00D75BFB" w:rsidRPr="00F000F1" w:rsidRDefault="00676354" w:rsidP="00917320">
      <w:r>
        <w:t xml:space="preserve">35. </w:t>
      </w:r>
      <w:r w:rsidR="00126463">
        <w:t>T</w:t>
      </w:r>
      <w:r w:rsidR="00B2070D" w:rsidRPr="00F000F1">
        <w:t xml:space="preserve">he Committee stressed that international cooperation measures developed by States </w:t>
      </w:r>
      <w:r w:rsidR="00596BA2">
        <w:t>Parties</w:t>
      </w:r>
      <w:r w:rsidR="00B2070D" w:rsidRPr="00F000F1">
        <w:t xml:space="preserve"> must</w:t>
      </w:r>
      <w:r w:rsidR="00105076" w:rsidRPr="00F000F1">
        <w:t xml:space="preserve"> fully</w:t>
      </w:r>
      <w:r w:rsidR="00B2070D" w:rsidRPr="00F000F1">
        <w:t xml:space="preserve"> comply with the Convention</w:t>
      </w:r>
      <w:r w:rsidR="001D3214" w:rsidRPr="00F000F1">
        <w:t>.</w:t>
      </w:r>
      <w:r w:rsidR="00B2070D" w:rsidRPr="00F000F1">
        <w:t xml:space="preserve"> Public funds cannot be used to perpetuate inequalities.</w:t>
      </w:r>
      <w:r w:rsidR="00B2070D" w:rsidRPr="00F000F1">
        <w:rPr>
          <w:rStyle w:val="FootnoteReference"/>
          <w:rFonts w:cs="Arial"/>
          <w:szCs w:val="22"/>
        </w:rPr>
        <w:footnoteReference w:id="64"/>
      </w:r>
      <w:r w:rsidR="00B2070D" w:rsidRPr="00F000F1">
        <w:t xml:space="preserve"> </w:t>
      </w:r>
      <w:r w:rsidR="002E4EBC">
        <w:t>S</w:t>
      </w:r>
      <w:r w:rsidR="00EE64DB" w:rsidRPr="00F000F1">
        <w:t xml:space="preserve">tates </w:t>
      </w:r>
      <w:r w:rsidR="00596BA2">
        <w:t>Parties</w:t>
      </w:r>
      <w:r w:rsidR="00EE64DB" w:rsidRPr="00F000F1">
        <w:t xml:space="preserve"> must ensure that investments and projects undertaken as part of international cooperation do not contribute to the perpetuation of barriers.</w:t>
      </w:r>
      <w:r w:rsidR="00EE64DB" w:rsidRPr="00F000F1">
        <w:rPr>
          <w:rStyle w:val="FootnoteReference"/>
          <w:rFonts w:cs="Arial"/>
          <w:szCs w:val="22"/>
        </w:rPr>
        <w:footnoteReference w:id="65"/>
      </w:r>
      <w:r w:rsidR="00EE64DB" w:rsidRPr="00F000F1">
        <w:t xml:space="preserve"> </w:t>
      </w:r>
      <w:r w:rsidR="00004740" w:rsidRPr="00F000F1">
        <w:t xml:space="preserve">For instance, in case of international cooperation following </w:t>
      </w:r>
      <w:r w:rsidR="00BC116D" w:rsidRPr="00F000F1">
        <w:t>situations of</w:t>
      </w:r>
      <w:r w:rsidR="00004740" w:rsidRPr="00F000F1">
        <w:t xml:space="preserve"> disasters, States must ensure that investments are not used to rebuild barriers</w:t>
      </w:r>
      <w:r w:rsidR="00D75BFB" w:rsidRPr="00F000F1">
        <w:t>,</w:t>
      </w:r>
      <w:r w:rsidR="00004740" w:rsidRPr="00F000F1">
        <w:rPr>
          <w:rStyle w:val="FootnoteReference"/>
          <w:rFonts w:cs="Arial"/>
          <w:szCs w:val="22"/>
        </w:rPr>
        <w:footnoteReference w:id="66"/>
      </w:r>
      <w:r w:rsidR="00D75BFB" w:rsidRPr="00F000F1">
        <w:t xml:space="preserve"> such as institutional settings for persons with disabilities.</w:t>
      </w:r>
      <w:r w:rsidR="00D75BFB" w:rsidRPr="00F000F1">
        <w:rPr>
          <w:rStyle w:val="FootnoteReference"/>
          <w:rFonts w:cs="Arial"/>
          <w:szCs w:val="22"/>
        </w:rPr>
        <w:footnoteReference w:id="67"/>
      </w:r>
      <w:r w:rsidR="00D75BFB" w:rsidRPr="00F000F1">
        <w:t xml:space="preserve"> </w:t>
      </w:r>
    </w:p>
    <w:p w:rsidR="009A2929" w:rsidRPr="00F000F1" w:rsidRDefault="006167F9" w:rsidP="00917320">
      <w:pPr>
        <w:pStyle w:val="Heading2"/>
        <w:rPr>
          <w:sz w:val="22"/>
        </w:rPr>
      </w:pPr>
      <w:bookmarkStart w:id="21" w:name="_Toc522542402"/>
      <w:r w:rsidRPr="00F000F1">
        <w:t xml:space="preserve">C. </w:t>
      </w:r>
      <w:r w:rsidR="009A2929" w:rsidRPr="00F000F1">
        <w:t>Role of</w:t>
      </w:r>
      <w:r w:rsidR="00F10669" w:rsidRPr="00F000F1">
        <w:t xml:space="preserve"> </w:t>
      </w:r>
      <w:r w:rsidR="009A2929" w:rsidRPr="00F000F1">
        <w:t>persons with disabilities and their representative organizations</w:t>
      </w:r>
      <w:bookmarkEnd w:id="21"/>
    </w:p>
    <w:p w:rsidR="00A20AB9" w:rsidRPr="00F000F1" w:rsidRDefault="00251126" w:rsidP="00917320">
      <w:pPr>
        <w:pStyle w:val="Heading3"/>
      </w:pPr>
      <w:bookmarkStart w:id="22" w:name="_Toc522542403"/>
      <w:r w:rsidRPr="00F000F1">
        <w:t xml:space="preserve">i. </w:t>
      </w:r>
      <w:r w:rsidR="00A20AB9" w:rsidRPr="00F000F1">
        <w:t xml:space="preserve">Participation of persons with disabilities in implementation and monitoring of the Convention at national level </w:t>
      </w:r>
      <w:r w:rsidR="00F35FC8" w:rsidRPr="00F000F1">
        <w:t>(articles 4.3 and 33.3)</w:t>
      </w:r>
      <w:bookmarkEnd w:id="22"/>
    </w:p>
    <w:p w:rsidR="00D12894" w:rsidRPr="00D12894" w:rsidRDefault="00676354" w:rsidP="00917320">
      <w:r>
        <w:t xml:space="preserve">36. </w:t>
      </w:r>
      <w:r w:rsidR="00573439" w:rsidRPr="00F000F1">
        <w:t xml:space="preserve">Since its establishment, </w:t>
      </w:r>
      <w:r w:rsidR="00B06B11" w:rsidRPr="00F000F1">
        <w:t>the Committee</w:t>
      </w:r>
      <w:r w:rsidR="00573439" w:rsidRPr="00F000F1">
        <w:t xml:space="preserve"> repeatedly </w:t>
      </w:r>
      <w:r w:rsidR="00B06B11" w:rsidRPr="00F000F1">
        <w:t>stressed</w:t>
      </w:r>
      <w:r w:rsidR="00573439" w:rsidRPr="00F000F1">
        <w:t xml:space="preserve"> the fundamental role of persons with disabilities in the implementation and monitoring of the Convention, and advancement of the rights of persons with disabilities.</w:t>
      </w:r>
      <w:r w:rsidR="00573439" w:rsidRPr="00F000F1">
        <w:rPr>
          <w:rStyle w:val="FootnoteReference"/>
          <w:rFonts w:cs="Arial"/>
          <w:szCs w:val="22"/>
        </w:rPr>
        <w:footnoteReference w:id="68"/>
      </w:r>
      <w:r w:rsidR="00EE6597">
        <w:t xml:space="preserve"> Referring to article 4(</w:t>
      </w:r>
      <w:r w:rsidR="00573439" w:rsidRPr="00F000F1">
        <w:t>3</w:t>
      </w:r>
      <w:r w:rsidR="00EE6597">
        <w:t>)</w:t>
      </w:r>
      <w:r w:rsidR="00573439" w:rsidRPr="00F000F1">
        <w:t xml:space="preserve"> on implementation o</w:t>
      </w:r>
      <w:r w:rsidR="00EE6597">
        <w:t>f the Convention and article 33(</w:t>
      </w:r>
      <w:r w:rsidR="00573439" w:rsidRPr="00F000F1">
        <w:t>3</w:t>
      </w:r>
      <w:r w:rsidR="00EE6597">
        <w:t>)</w:t>
      </w:r>
      <w:r w:rsidR="00573439" w:rsidRPr="00F000F1">
        <w:t xml:space="preserve"> on its monitoring, the Committee </w:t>
      </w:r>
      <w:r w:rsidR="00EB41BE" w:rsidRPr="00F000F1">
        <w:t xml:space="preserve">clarified </w:t>
      </w:r>
      <w:r w:rsidR="00573439" w:rsidRPr="00F000F1">
        <w:t xml:space="preserve">States </w:t>
      </w:r>
      <w:r w:rsidR="00596BA2">
        <w:t>Parties</w:t>
      </w:r>
      <w:r w:rsidR="00573439" w:rsidRPr="00F000F1">
        <w:t>’ duty to systematically consult and involve organization</w:t>
      </w:r>
      <w:r w:rsidR="00EB41BE" w:rsidRPr="00F000F1">
        <w:t xml:space="preserve">s of persons with disabilities </w:t>
      </w:r>
      <w:r w:rsidR="00573439" w:rsidRPr="00F000F1">
        <w:t>in all decision-making processes on issues concerning them</w:t>
      </w:r>
      <w:r w:rsidR="00EB41BE" w:rsidRPr="00F000F1">
        <w:t xml:space="preserve"> and in the monitoring of the Convention</w:t>
      </w:r>
      <w:r w:rsidR="00573439" w:rsidRPr="00F000F1">
        <w:t xml:space="preserve">. </w:t>
      </w:r>
      <w:r w:rsidR="00D12894">
        <w:t>By o</w:t>
      </w:r>
      <w:r w:rsidR="001A7444">
        <w:t>rganizations of persons with disabilities</w:t>
      </w:r>
      <w:r w:rsidR="00D12894">
        <w:t>, the Committee understands</w:t>
      </w:r>
      <w:r w:rsidR="001A7444">
        <w:t xml:space="preserve"> </w:t>
      </w:r>
      <w:r w:rsidR="00D12894">
        <w:rPr>
          <w:bCs/>
        </w:rPr>
        <w:t>organizations</w:t>
      </w:r>
      <w:r w:rsidR="0011586A" w:rsidRPr="00F000F1">
        <w:rPr>
          <w:bCs/>
        </w:rPr>
        <w:t xml:space="preserve"> comprising a majorit</w:t>
      </w:r>
      <w:r w:rsidR="00E56401">
        <w:rPr>
          <w:bCs/>
        </w:rPr>
        <w:t>y of persons with disabilities</w:t>
      </w:r>
      <w:r w:rsidR="0011586A" w:rsidRPr="00F000F1">
        <w:rPr>
          <w:bCs/>
        </w:rPr>
        <w:t> </w:t>
      </w:r>
      <w:r w:rsidR="00E56401">
        <w:rPr>
          <w:bCs/>
        </w:rPr>
        <w:t>(at least half their membership)</w:t>
      </w:r>
      <w:r w:rsidR="0011586A" w:rsidRPr="00F000F1">
        <w:rPr>
          <w:bCs/>
        </w:rPr>
        <w:t xml:space="preserve"> and governed, led and directed by persons with disabilities.</w:t>
      </w:r>
      <w:r w:rsidR="0011586A" w:rsidRPr="00F000F1">
        <w:rPr>
          <w:rStyle w:val="FootnoteReference"/>
          <w:rFonts w:cs="Arial"/>
          <w:bCs/>
          <w:szCs w:val="22"/>
        </w:rPr>
        <w:footnoteReference w:id="69"/>
      </w:r>
      <w:r w:rsidR="0011586A">
        <w:rPr>
          <w:bCs/>
        </w:rPr>
        <w:t xml:space="preserve"> </w:t>
      </w:r>
    </w:p>
    <w:p w:rsidR="004253E3" w:rsidRPr="001A7444" w:rsidRDefault="00676354" w:rsidP="00917320">
      <w:r>
        <w:rPr>
          <w:lang w:val="en-GB"/>
        </w:rPr>
        <w:t xml:space="preserve">37. </w:t>
      </w:r>
      <w:r w:rsidR="00573439" w:rsidRPr="00F000F1">
        <w:rPr>
          <w:lang w:val="en-GB"/>
        </w:rPr>
        <w:t>In March 2018</w:t>
      </w:r>
      <w:r w:rsidR="00EE6597">
        <w:rPr>
          <w:lang w:val="en-GB"/>
        </w:rPr>
        <w:t>,</w:t>
      </w:r>
      <w:r w:rsidR="00D12894">
        <w:rPr>
          <w:lang w:val="en-GB"/>
        </w:rPr>
        <w:t xml:space="preserve"> the Committee </w:t>
      </w:r>
      <w:r w:rsidR="00573439" w:rsidRPr="00F000F1">
        <w:rPr>
          <w:lang w:val="en-GB"/>
        </w:rPr>
        <w:t xml:space="preserve">started </w:t>
      </w:r>
      <w:r w:rsidR="00CC0E5E" w:rsidRPr="00F000F1">
        <w:rPr>
          <w:lang w:val="en-GB"/>
        </w:rPr>
        <w:t>drafting</w:t>
      </w:r>
      <w:r w:rsidR="00573439" w:rsidRPr="00F000F1">
        <w:rPr>
          <w:lang w:val="en-GB"/>
        </w:rPr>
        <w:t xml:space="preserve"> </w:t>
      </w:r>
      <w:r w:rsidR="00EE6597">
        <w:rPr>
          <w:lang w:val="en-GB"/>
        </w:rPr>
        <w:t xml:space="preserve">a </w:t>
      </w:r>
      <w:r w:rsidR="00573439" w:rsidRPr="00F000F1">
        <w:rPr>
          <w:lang w:val="en-GB"/>
        </w:rPr>
        <w:t xml:space="preserve">General Comment No. 7 </w:t>
      </w:r>
      <w:r w:rsidR="00573439" w:rsidRPr="00F000F1">
        <w:t xml:space="preserve">on </w:t>
      </w:r>
      <w:r w:rsidR="00EE6597">
        <w:t xml:space="preserve">the </w:t>
      </w:r>
      <w:r w:rsidR="00573439" w:rsidRPr="00F000F1">
        <w:t>participation of persons with disabilities in the implementation and monitoring of the Convention</w:t>
      </w:r>
      <w:r w:rsidR="00AD1797" w:rsidRPr="00F000F1">
        <w:t xml:space="preserve"> </w:t>
      </w:r>
      <w:r w:rsidR="00BE0BDE" w:rsidRPr="00F000F1">
        <w:t>that</w:t>
      </w:r>
      <w:r w:rsidR="00AD1797" w:rsidRPr="00F000F1">
        <w:t xml:space="preserve"> </w:t>
      </w:r>
      <w:r w:rsidR="00C2650B">
        <w:t>is scheduled to</w:t>
      </w:r>
      <w:r w:rsidR="00C2650B" w:rsidRPr="00F000F1">
        <w:t xml:space="preserve"> </w:t>
      </w:r>
      <w:r w:rsidR="00573439" w:rsidRPr="00F000F1">
        <w:t>be adopted</w:t>
      </w:r>
      <w:r w:rsidR="00ED22A8" w:rsidRPr="00F000F1">
        <w:t xml:space="preserve"> in September 2018,</w:t>
      </w:r>
      <w:r w:rsidR="00573439" w:rsidRPr="00F000F1">
        <w:t xml:space="preserve"> at the twen</w:t>
      </w:r>
      <w:r w:rsidR="00EE6597">
        <w:t>tieth session of the Committee.</w:t>
      </w:r>
    </w:p>
    <w:p w:rsidR="00812A42" w:rsidRPr="00917320" w:rsidRDefault="00812A42" w:rsidP="00917320">
      <w:pPr>
        <w:rPr>
          <w:u w:val="single"/>
        </w:rPr>
      </w:pPr>
      <w:r w:rsidRPr="00917320">
        <w:rPr>
          <w:u w:val="single"/>
        </w:rPr>
        <w:t>Diverse range of persons with disabilities</w:t>
      </w:r>
    </w:p>
    <w:p w:rsidR="00812A42" w:rsidRPr="00F000F1" w:rsidRDefault="00676354" w:rsidP="00917320">
      <w:r>
        <w:t xml:space="preserve">38. </w:t>
      </w:r>
      <w:r w:rsidR="00647E34">
        <w:t xml:space="preserve">The Committee requests </w:t>
      </w:r>
      <w:r w:rsidR="00812A42" w:rsidRPr="00F000F1">
        <w:t xml:space="preserve">States </w:t>
      </w:r>
      <w:r w:rsidR="00596BA2">
        <w:t>Parties</w:t>
      </w:r>
      <w:r w:rsidR="00812A42" w:rsidRPr="00F000F1">
        <w:t xml:space="preserve"> </w:t>
      </w:r>
      <w:r w:rsidR="00647E34">
        <w:t>to</w:t>
      </w:r>
      <w:r w:rsidR="00812A42" w:rsidRPr="00F000F1">
        <w:t xml:space="preserve"> ensure</w:t>
      </w:r>
      <w:r w:rsidR="00647E34">
        <w:t xml:space="preserve"> that</w:t>
      </w:r>
      <w:r w:rsidR="00812A42" w:rsidRPr="00F000F1">
        <w:t xml:space="preserve"> diverse range</w:t>
      </w:r>
      <w:r w:rsidR="00647E34">
        <w:t>s</w:t>
      </w:r>
      <w:r w:rsidR="00812A42" w:rsidRPr="00F000F1">
        <w:t xml:space="preserve"> of persons with disabilities </w:t>
      </w:r>
      <w:r w:rsidR="00647E34" w:rsidRPr="00767152">
        <w:t>are</w:t>
      </w:r>
      <w:r w:rsidR="00812A42" w:rsidRPr="00767152">
        <w:t xml:space="preserve"> involved</w:t>
      </w:r>
      <w:r w:rsidR="00767152" w:rsidRPr="00767152">
        <w:t xml:space="preserve"> in the</w:t>
      </w:r>
      <w:r w:rsidR="00767152">
        <w:t xml:space="preserve"> implementation and monitoring of the Convention</w:t>
      </w:r>
      <w:r w:rsidR="00812A42" w:rsidRPr="00F000F1">
        <w:t>.</w:t>
      </w:r>
      <w:r w:rsidR="00812A42" w:rsidRPr="00F000F1">
        <w:rPr>
          <w:rStyle w:val="FootnoteReference"/>
          <w:rFonts w:cs="Arial"/>
          <w:szCs w:val="22"/>
        </w:rPr>
        <w:footnoteReference w:id="70"/>
      </w:r>
      <w:r w:rsidR="00812A42" w:rsidRPr="00F000F1">
        <w:t xml:space="preserve"> </w:t>
      </w:r>
      <w:r w:rsidR="00EF3102">
        <w:t>I</w:t>
      </w:r>
      <w:r w:rsidR="00A1636D">
        <w:t>n</w:t>
      </w:r>
      <w:r w:rsidR="00812A42" w:rsidRPr="00F000F1">
        <w:t xml:space="preserve"> General Comment No. 3 the Committee noted that </w:t>
      </w:r>
      <w:r w:rsidR="00812A42" w:rsidRPr="00F000F1">
        <w:rPr>
          <w:bCs/>
        </w:rPr>
        <w:t>States must particularly promote the participation of organizations of women with disabilities</w:t>
      </w:r>
      <w:r w:rsidR="001215B7">
        <w:rPr>
          <w:bCs/>
        </w:rPr>
        <w:t>,</w:t>
      </w:r>
      <w:r w:rsidR="00812A42" w:rsidRPr="00F000F1">
        <w:rPr>
          <w:bCs/>
        </w:rPr>
        <w:t xml:space="preserve"> for instance “beyond disability-specific consultative bodies and mechanisms”,</w:t>
      </w:r>
      <w:r w:rsidR="00812A42" w:rsidRPr="00F000F1">
        <w:rPr>
          <w:rStyle w:val="FootnoteReference"/>
          <w:rFonts w:cs="Arial"/>
          <w:bCs/>
          <w:szCs w:val="22"/>
        </w:rPr>
        <w:footnoteReference w:id="71"/>
      </w:r>
      <w:r w:rsidR="00812A42" w:rsidRPr="00F000F1">
        <w:rPr>
          <w:bCs/>
        </w:rPr>
        <w:t xml:space="preserve"> as they have been historically under-represented in the disability movement and encountered many barriers to participation in public decision-making.</w:t>
      </w:r>
      <w:r w:rsidR="00812A42" w:rsidRPr="00F000F1">
        <w:t xml:space="preserve"> </w:t>
      </w:r>
    </w:p>
    <w:p w:rsidR="00812A42" w:rsidRPr="00F000F1" w:rsidRDefault="00676354" w:rsidP="00917320">
      <w:r>
        <w:t xml:space="preserve">39. </w:t>
      </w:r>
      <w:r w:rsidR="00812A42" w:rsidRPr="00F000F1">
        <w:t xml:space="preserve">The Committee has increased </w:t>
      </w:r>
      <w:r w:rsidR="00910E93">
        <w:t>its</w:t>
      </w:r>
      <w:r w:rsidR="00812A42" w:rsidRPr="00F000F1">
        <w:t xml:space="preserve"> reference</w:t>
      </w:r>
      <w:r w:rsidR="00910E93">
        <w:t>s</w:t>
      </w:r>
      <w:r w:rsidR="00812A42" w:rsidRPr="00F000F1">
        <w:t xml:space="preserve"> to </w:t>
      </w:r>
      <w:r w:rsidR="00910E93" w:rsidRPr="00F000F1">
        <w:t>diverse</w:t>
      </w:r>
      <w:r w:rsidR="00812A42" w:rsidRPr="00F000F1">
        <w:t xml:space="preserve"> groups of persons with disability. In General Comme</w:t>
      </w:r>
      <w:r w:rsidR="00F76657">
        <w:t>nt No. 5 the Committee noted that decision-</w:t>
      </w:r>
      <w:r w:rsidR="00812A42" w:rsidRPr="00F000F1">
        <w:t>makers at all levels must actively involve and consult the full range of persons with disabilities including organizations of women with disabilities, older persons with disabilities, children with disabilities, persons with psychosocial disabilities and persons with intellectual disabilities.</w:t>
      </w:r>
      <w:r w:rsidR="00812A42" w:rsidRPr="00F000F1">
        <w:rPr>
          <w:rStyle w:val="FootnoteReference"/>
          <w:rFonts w:cs="Arial"/>
          <w:szCs w:val="22"/>
        </w:rPr>
        <w:footnoteReference w:id="72"/>
      </w:r>
      <w:r w:rsidR="00375197">
        <w:t xml:space="preserve"> </w:t>
      </w:r>
      <w:r w:rsidR="00812A42" w:rsidRPr="00F000F1">
        <w:t xml:space="preserve">In </w:t>
      </w:r>
      <w:r w:rsidR="00350A29">
        <w:t>General Comments No. 6 it refer</w:t>
      </w:r>
      <w:r w:rsidR="002F640E">
        <w:t>r</w:t>
      </w:r>
      <w:r w:rsidR="00350A29">
        <w:t>ed</w:t>
      </w:r>
      <w:r w:rsidR="00812A42" w:rsidRPr="00F000F1">
        <w:t xml:space="preserve"> to a wider variety </w:t>
      </w:r>
      <w:r w:rsidR="00D87131">
        <w:t xml:space="preserve">of </w:t>
      </w:r>
      <w:r w:rsidR="00812A42" w:rsidRPr="00F000F1">
        <w:t>organizations</w:t>
      </w:r>
      <w:r w:rsidR="00D87131">
        <w:t xml:space="preserve"> of persons</w:t>
      </w:r>
      <w:r w:rsidR="00812A42" w:rsidRPr="00F000F1">
        <w:t xml:space="preserve"> with disabilities</w:t>
      </w:r>
      <w:r w:rsidR="00D8492B">
        <w:t>,</w:t>
      </w:r>
      <w:r w:rsidR="00812A42" w:rsidRPr="00F000F1">
        <w:t xml:space="preserve"> under articles 4(3) and 33(3), including children, autistic persons, persons with a genetic or neurological condition, persons with rare and chronic diseases, persons with albinism, lesbian, gay, bisexual, transgender or intersex persons, indigenous peoples, rural communities, older persons, women, victims of armed conflicts and persons with an ethnic minority or migrant background.</w:t>
      </w:r>
      <w:r w:rsidR="00812A42" w:rsidRPr="00F000F1">
        <w:rPr>
          <w:rStyle w:val="FootnoteReference"/>
          <w:rFonts w:cs="Arial"/>
          <w:szCs w:val="22"/>
        </w:rPr>
        <w:footnoteReference w:id="73"/>
      </w:r>
    </w:p>
    <w:p w:rsidR="00812A42" w:rsidRPr="00917320" w:rsidRDefault="00AB2266" w:rsidP="00917320">
      <w:pPr>
        <w:rPr>
          <w:u w:val="single"/>
        </w:rPr>
      </w:pPr>
      <w:r w:rsidRPr="00917320">
        <w:rPr>
          <w:u w:val="single"/>
        </w:rPr>
        <w:t xml:space="preserve">All matters concerning them </w:t>
      </w:r>
    </w:p>
    <w:p w:rsidR="00824B38" w:rsidRPr="00F000F1" w:rsidRDefault="00676354" w:rsidP="00917320">
      <w:r>
        <w:t xml:space="preserve">40. </w:t>
      </w:r>
      <w:r w:rsidR="001F0927" w:rsidRPr="00F000F1">
        <w:t>Active involvement of persons with disabilities is essential for the implemen</w:t>
      </w:r>
      <w:r w:rsidR="00F23536">
        <w:softHyphen/>
      </w:r>
      <w:r w:rsidR="001F0927" w:rsidRPr="00F000F1">
        <w:t xml:space="preserve">tation of the Convention. The Committee extensively mentioned participation </w:t>
      </w:r>
      <w:r w:rsidR="006251BD" w:rsidRPr="00F000F1">
        <w:t xml:space="preserve">of organizations of persons with disabilities in </w:t>
      </w:r>
      <w:r w:rsidR="001F0927" w:rsidRPr="00F000F1">
        <w:t xml:space="preserve">its general comments. </w:t>
      </w:r>
      <w:r w:rsidR="00BC1E59" w:rsidRPr="00F000F1">
        <w:t xml:space="preserve">Besides the fact that States </w:t>
      </w:r>
      <w:r w:rsidR="00596BA2">
        <w:t>Parties</w:t>
      </w:r>
      <w:r w:rsidR="00BC1E59" w:rsidRPr="00F000F1">
        <w:t xml:space="preserve"> should systematically involve and consult</w:t>
      </w:r>
      <w:r w:rsidR="001E72A1">
        <w:t xml:space="preserve"> persons with disabilities in</w:t>
      </w:r>
      <w:r w:rsidR="00BC1E59" w:rsidRPr="00F000F1">
        <w:t xml:space="preserve"> the design, implementation and monitoring of all </w:t>
      </w:r>
      <w:r w:rsidR="00171085" w:rsidRPr="00F000F1">
        <w:t>programs</w:t>
      </w:r>
      <w:r w:rsidR="00BC1E59" w:rsidRPr="00F000F1">
        <w:t xml:space="preserve"> that have an impact on their lives, the Committee explicitly states that they must be consulted and involved in </w:t>
      </w:r>
      <w:r w:rsidR="006251BD" w:rsidRPr="00F000F1">
        <w:t xml:space="preserve">development and implementation of legislation, policies and other decision-making related to specific </w:t>
      </w:r>
      <w:r w:rsidR="00BC1E59" w:rsidRPr="00F000F1">
        <w:t>areas</w:t>
      </w:r>
      <w:r w:rsidR="00DC0260" w:rsidRPr="00F000F1">
        <w:t>.</w:t>
      </w:r>
      <w:r w:rsidR="00B9424E">
        <w:rPr>
          <w:rStyle w:val="FootnoteReference"/>
          <w:rFonts w:cs="Arial"/>
          <w:szCs w:val="22"/>
        </w:rPr>
        <w:footnoteReference w:id="74"/>
      </w:r>
    </w:p>
    <w:p w:rsidR="006251BD" w:rsidRPr="00F000F1" w:rsidRDefault="00676354" w:rsidP="00917320">
      <w:r>
        <w:t xml:space="preserve">41. </w:t>
      </w:r>
      <w:r w:rsidR="001C7A92" w:rsidRPr="00F000F1">
        <w:t>In its</w:t>
      </w:r>
      <w:r w:rsidR="00682050">
        <w:t xml:space="preserve"> general comments and</w:t>
      </w:r>
      <w:r w:rsidR="001C7A92" w:rsidRPr="00F000F1">
        <w:t xml:space="preserve"> concluding observations</w:t>
      </w:r>
      <w:r w:rsidR="00865BCA">
        <w:t xml:space="preserve"> </w:t>
      </w:r>
      <w:r w:rsidR="001C7A92" w:rsidRPr="00F000F1">
        <w:t xml:space="preserve">the Committee </w:t>
      </w:r>
      <w:r w:rsidR="00865BCA">
        <w:t>indicated</w:t>
      </w:r>
      <w:r w:rsidR="001C7A92" w:rsidRPr="00F000F1">
        <w:t xml:space="preserve"> </w:t>
      </w:r>
      <w:r w:rsidR="00865BCA" w:rsidRPr="004F7EFA">
        <w:t xml:space="preserve">numerous </w:t>
      </w:r>
      <w:r w:rsidR="006D5F52">
        <w:t>matters</w:t>
      </w:r>
      <w:r w:rsidR="001C7A92" w:rsidRPr="004F7EFA">
        <w:t xml:space="preserve"> in</w:t>
      </w:r>
      <w:r w:rsidR="001C7A92" w:rsidRPr="00F000F1">
        <w:t xml:space="preserve"> which organizations of persons with disabilities should be involved. Th</w:t>
      </w:r>
      <w:r w:rsidR="00CD54DF">
        <w:t>ese include</w:t>
      </w:r>
      <w:r w:rsidR="006251BD" w:rsidRPr="00F000F1">
        <w:t xml:space="preserve"> the dev</w:t>
      </w:r>
      <w:r w:rsidR="00BC1E59" w:rsidRPr="00F000F1">
        <w:t>elopment,</w:t>
      </w:r>
      <w:r w:rsidR="006251BD" w:rsidRPr="00F000F1">
        <w:t xml:space="preserve"> implementation and monitoring of accessibility standards</w:t>
      </w:r>
      <w:r w:rsidR="006251BD" w:rsidRPr="00F000F1">
        <w:rPr>
          <w:rStyle w:val="FootnoteReference"/>
          <w:rFonts w:cs="Arial"/>
          <w:szCs w:val="22"/>
        </w:rPr>
        <w:footnoteReference w:id="75"/>
      </w:r>
      <w:r w:rsidR="006251BD" w:rsidRPr="00F000F1">
        <w:t xml:space="preserve"> at national and international level</w:t>
      </w:r>
      <w:r w:rsidR="00BC1E59" w:rsidRPr="00F000F1">
        <w:t>;</w:t>
      </w:r>
      <w:r w:rsidR="006251BD" w:rsidRPr="00F000F1">
        <w:rPr>
          <w:rStyle w:val="FootnoteReference"/>
          <w:rFonts w:cs="Arial"/>
          <w:szCs w:val="22"/>
        </w:rPr>
        <w:footnoteReference w:id="76"/>
      </w:r>
      <w:r w:rsidR="006251BD" w:rsidRPr="00F000F1">
        <w:t xml:space="preserve"> equality policy and strategy</w:t>
      </w:r>
      <w:r w:rsidR="00BC1E59" w:rsidRPr="00F000F1">
        <w:t>;</w:t>
      </w:r>
      <w:r w:rsidR="006251BD" w:rsidRPr="00F000F1">
        <w:rPr>
          <w:rStyle w:val="FootnoteReference"/>
          <w:rFonts w:cs="Arial"/>
          <w:szCs w:val="22"/>
        </w:rPr>
        <w:footnoteReference w:id="77"/>
      </w:r>
      <w:r w:rsidR="004176EE" w:rsidRPr="00F000F1">
        <w:t xml:space="preserve"> </w:t>
      </w:r>
      <w:r w:rsidR="001C7A92" w:rsidRPr="00F000F1">
        <w:t>affirmative action measures;</w:t>
      </w:r>
      <w:r w:rsidR="001C7A92" w:rsidRPr="00F000F1">
        <w:rPr>
          <w:rStyle w:val="FootnoteReference"/>
          <w:rFonts w:cs="Arial"/>
          <w:szCs w:val="22"/>
        </w:rPr>
        <w:footnoteReference w:id="78"/>
      </w:r>
      <w:r w:rsidR="001C7A92" w:rsidRPr="00F000F1">
        <w:t xml:space="preserve"> </w:t>
      </w:r>
      <w:r w:rsidR="004176EE" w:rsidRPr="00F000F1">
        <w:t>deinstitutionalization strategies</w:t>
      </w:r>
      <w:r w:rsidR="001C7A92" w:rsidRPr="00F000F1">
        <w:t>,</w:t>
      </w:r>
      <w:r w:rsidR="004176EE" w:rsidRPr="00F000F1">
        <w:rPr>
          <w:rStyle w:val="FootnoteReference"/>
          <w:rFonts w:cs="Arial"/>
          <w:szCs w:val="22"/>
        </w:rPr>
        <w:footnoteReference w:id="79"/>
      </w:r>
      <w:r w:rsidR="004176EE" w:rsidRPr="00F000F1">
        <w:t xml:space="preserve"> including in the development of transitional plans</w:t>
      </w:r>
      <w:r w:rsidR="001C7A92" w:rsidRPr="00F000F1">
        <w:t>;</w:t>
      </w:r>
      <w:r w:rsidR="004176EE" w:rsidRPr="00F000F1">
        <w:rPr>
          <w:rStyle w:val="FootnoteReference"/>
          <w:rFonts w:cs="Arial"/>
          <w:szCs w:val="22"/>
        </w:rPr>
        <w:footnoteReference w:id="80"/>
      </w:r>
      <w:r w:rsidR="004176EE" w:rsidRPr="00F000F1">
        <w:t xml:space="preserve"> support services and investing resources in support services within the community;</w:t>
      </w:r>
      <w:r w:rsidR="004176EE" w:rsidRPr="00F000F1">
        <w:rPr>
          <w:rStyle w:val="FootnoteReference"/>
          <w:rFonts w:cs="Arial"/>
          <w:szCs w:val="22"/>
        </w:rPr>
        <w:footnoteReference w:id="81"/>
      </w:r>
      <w:r w:rsidR="00704EAB" w:rsidRPr="00F000F1">
        <w:t xml:space="preserve"> legislation and policies related to all the stages of emergencies</w:t>
      </w:r>
      <w:r w:rsidR="001C7A92" w:rsidRPr="00F000F1">
        <w:t>;</w:t>
      </w:r>
      <w:r w:rsidR="00704EAB" w:rsidRPr="00F000F1">
        <w:rPr>
          <w:rStyle w:val="FootnoteReference"/>
          <w:rFonts w:cs="Arial"/>
          <w:szCs w:val="22"/>
        </w:rPr>
        <w:footnoteReference w:id="82"/>
      </w:r>
      <w:r w:rsidR="00704EAB" w:rsidRPr="00F000F1">
        <w:t xml:space="preserve"> </w:t>
      </w:r>
      <w:r w:rsidR="006251BD" w:rsidRPr="00F000F1">
        <w:t>awareness-raising</w:t>
      </w:r>
      <w:r w:rsidR="00BC1E59" w:rsidRPr="00F000F1">
        <w:t xml:space="preserve"> programs and</w:t>
      </w:r>
      <w:r w:rsidR="006251BD" w:rsidRPr="00F000F1">
        <w:t xml:space="preserve"> activities</w:t>
      </w:r>
      <w:r w:rsidR="004176EE" w:rsidRPr="00F000F1">
        <w:t>;</w:t>
      </w:r>
      <w:r w:rsidR="006251BD" w:rsidRPr="00F000F1">
        <w:rPr>
          <w:rStyle w:val="FootnoteReference"/>
          <w:rFonts w:cs="Arial"/>
          <w:szCs w:val="22"/>
        </w:rPr>
        <w:footnoteReference w:id="83"/>
      </w:r>
      <w:r w:rsidR="006251BD" w:rsidRPr="00F000F1">
        <w:t xml:space="preserve"> capacity building programs</w:t>
      </w:r>
      <w:r w:rsidR="004176EE" w:rsidRPr="00F000F1">
        <w:t>;</w:t>
      </w:r>
      <w:r w:rsidR="006251BD" w:rsidRPr="00F000F1">
        <w:rPr>
          <w:rStyle w:val="FootnoteReference"/>
          <w:rFonts w:cs="Arial"/>
          <w:szCs w:val="22"/>
        </w:rPr>
        <w:footnoteReference w:id="84"/>
      </w:r>
      <w:r w:rsidR="006251BD" w:rsidRPr="00F000F1">
        <w:t xml:space="preserve"> collection and analysis of data</w:t>
      </w:r>
      <w:r w:rsidR="004176EE" w:rsidRPr="00F000F1">
        <w:t>;</w:t>
      </w:r>
      <w:r w:rsidR="006251BD" w:rsidRPr="00F000F1">
        <w:rPr>
          <w:rStyle w:val="FootnoteReference"/>
          <w:rFonts w:cs="Arial"/>
          <w:szCs w:val="22"/>
        </w:rPr>
        <w:footnoteReference w:id="85"/>
      </w:r>
      <w:r w:rsidR="006251BD" w:rsidRPr="00F000F1">
        <w:t xml:space="preserve"> monitoring of inclusive education</w:t>
      </w:r>
      <w:r w:rsidR="004176EE" w:rsidRPr="00F000F1">
        <w:t>;</w:t>
      </w:r>
      <w:r w:rsidR="006251BD" w:rsidRPr="00F000F1">
        <w:rPr>
          <w:rStyle w:val="FootnoteReference"/>
          <w:rFonts w:cs="Arial"/>
          <w:szCs w:val="22"/>
        </w:rPr>
        <w:footnoteReference w:id="86"/>
      </w:r>
      <w:r w:rsidR="006251BD" w:rsidRPr="00F000F1">
        <w:t xml:space="preserve"> political participation process at the national, regional and international levels</w:t>
      </w:r>
      <w:r w:rsidR="00A23DBC" w:rsidRPr="00F000F1">
        <w:t>.</w:t>
      </w:r>
      <w:r w:rsidR="006251BD" w:rsidRPr="00F000F1">
        <w:rPr>
          <w:rStyle w:val="FootnoteReference"/>
          <w:rFonts w:cs="Arial"/>
          <w:szCs w:val="22"/>
        </w:rPr>
        <w:footnoteReference w:id="87"/>
      </w:r>
      <w:r w:rsidR="00DA2CC0">
        <w:t xml:space="preserve"> </w:t>
      </w:r>
    </w:p>
    <w:p w:rsidR="00EF6DC3" w:rsidRPr="00917320" w:rsidRDefault="005727C9" w:rsidP="00917320">
      <w:pPr>
        <w:rPr>
          <w:u w:val="single"/>
        </w:rPr>
      </w:pPr>
      <w:r w:rsidRPr="00917320">
        <w:rPr>
          <w:u w:val="single"/>
        </w:rPr>
        <w:t>Adequate funding</w:t>
      </w:r>
      <w:r w:rsidR="00113832" w:rsidRPr="00917320">
        <w:rPr>
          <w:u w:val="single"/>
        </w:rPr>
        <w:t xml:space="preserve"> and capacity building</w:t>
      </w:r>
    </w:p>
    <w:p w:rsidR="00113832" w:rsidRDefault="00676354" w:rsidP="00917320">
      <w:r>
        <w:t xml:space="preserve">42. </w:t>
      </w:r>
      <w:r w:rsidR="003B4902" w:rsidRPr="00F000F1">
        <w:t xml:space="preserve">More recently the Committee noted that States </w:t>
      </w:r>
      <w:r w:rsidR="00596BA2">
        <w:t>Parties</w:t>
      </w:r>
      <w:r w:rsidR="003B4902" w:rsidRPr="00F000F1">
        <w:t xml:space="preserve"> should ensure the impartiality, autonomy and sustainable funding of organizations of persons with disabilities.</w:t>
      </w:r>
      <w:r w:rsidR="007273ED" w:rsidRPr="00F000F1">
        <w:rPr>
          <w:rStyle w:val="FootnoteReference"/>
          <w:rFonts w:cs="Arial"/>
          <w:szCs w:val="22"/>
        </w:rPr>
        <w:footnoteReference w:id="88"/>
      </w:r>
      <w:r w:rsidR="003B4902" w:rsidRPr="00F000F1">
        <w:t xml:space="preserve"> The </w:t>
      </w:r>
      <w:r w:rsidR="000D3CE6" w:rsidRPr="00F000F1">
        <w:t>funding should be adequate in order to enable them to fulfill their role under article 4(3)</w:t>
      </w:r>
      <w:r w:rsidR="000D3CE6" w:rsidRPr="00F000F1">
        <w:rPr>
          <w:rStyle w:val="FootnoteReference"/>
          <w:rFonts w:cs="Arial"/>
          <w:szCs w:val="22"/>
        </w:rPr>
        <w:footnoteReference w:id="89"/>
      </w:r>
      <w:r w:rsidR="000D3CE6" w:rsidRPr="00F000F1">
        <w:t xml:space="preserve"> and article 33(3)</w:t>
      </w:r>
      <w:r w:rsidR="00AB7FD4" w:rsidRPr="00F000F1">
        <w:t xml:space="preserve"> </w:t>
      </w:r>
      <w:r w:rsidR="000D3CE6" w:rsidRPr="00F000F1">
        <w:t>of the Convention</w:t>
      </w:r>
      <w:r w:rsidR="00AB7FD4" w:rsidRPr="00F000F1">
        <w:rPr>
          <w:rStyle w:val="FootnoteReference"/>
          <w:rFonts w:cs="Arial"/>
          <w:szCs w:val="22"/>
        </w:rPr>
        <w:footnoteReference w:id="90"/>
      </w:r>
      <w:r w:rsidR="000D3CE6" w:rsidRPr="00F000F1">
        <w:t xml:space="preserve"> and the </w:t>
      </w:r>
      <w:r w:rsidR="003B4902" w:rsidRPr="00F000F1">
        <w:t xml:space="preserve">funding framework should not </w:t>
      </w:r>
      <w:r w:rsidR="00B759CD" w:rsidRPr="00F000F1">
        <w:t>impact</w:t>
      </w:r>
      <w:r w:rsidR="003B4902" w:rsidRPr="00F000F1">
        <w:t xml:space="preserve"> the</w:t>
      </w:r>
      <w:r w:rsidR="000D3CE6" w:rsidRPr="00F000F1">
        <w:t>ir</w:t>
      </w:r>
      <w:r w:rsidR="003B4902" w:rsidRPr="00F000F1">
        <w:t xml:space="preserve"> independence.</w:t>
      </w:r>
      <w:r w:rsidR="003B4902" w:rsidRPr="00F000F1">
        <w:rPr>
          <w:rStyle w:val="FootnoteReference"/>
          <w:rFonts w:cs="Arial"/>
          <w:szCs w:val="22"/>
        </w:rPr>
        <w:footnoteReference w:id="91"/>
      </w:r>
      <w:r w:rsidR="003B4902" w:rsidRPr="00F000F1">
        <w:t xml:space="preserve"> </w:t>
      </w:r>
      <w:r w:rsidR="00370953">
        <w:t xml:space="preserve">In addition, States </w:t>
      </w:r>
      <w:r w:rsidR="00596BA2">
        <w:t>Parties</w:t>
      </w:r>
      <w:r w:rsidR="00B759CD" w:rsidRPr="00F000F1">
        <w:t xml:space="preserve"> should provide adequate funding for activities, projects and </w:t>
      </w:r>
      <w:r w:rsidR="00370953" w:rsidRPr="00F000F1">
        <w:t>programs</w:t>
      </w:r>
      <w:r w:rsidR="00B759CD" w:rsidRPr="00F000F1">
        <w:t xml:space="preserve"> that are designed and implemented by representative organizations of persons with disabilities for the enhancement of their rights.</w:t>
      </w:r>
      <w:r w:rsidR="00B759CD" w:rsidRPr="00F000F1">
        <w:rPr>
          <w:rStyle w:val="FootnoteReference"/>
          <w:rFonts w:cs="Arial"/>
          <w:szCs w:val="22"/>
        </w:rPr>
        <w:footnoteReference w:id="92"/>
      </w:r>
      <w:r w:rsidR="00370953">
        <w:t xml:space="preserve"> </w:t>
      </w:r>
      <w:r w:rsidR="00CA6544" w:rsidRPr="00F000F1">
        <w:t>In few</w:t>
      </w:r>
      <w:r w:rsidR="008235F4" w:rsidRPr="00F000F1">
        <w:t xml:space="preserve"> </w:t>
      </w:r>
      <w:r w:rsidR="00113832" w:rsidRPr="00F000F1">
        <w:t>instances</w:t>
      </w:r>
      <w:r w:rsidR="008235F4" w:rsidRPr="00F000F1">
        <w:t xml:space="preserve"> the Committee</w:t>
      </w:r>
      <w:r w:rsidR="00370953">
        <w:t xml:space="preserve"> </w:t>
      </w:r>
      <w:r w:rsidR="008235F4" w:rsidRPr="00F000F1">
        <w:t xml:space="preserve">specifically mentioned </w:t>
      </w:r>
      <w:r w:rsidR="00370953" w:rsidRPr="00F000F1">
        <w:t>organizations</w:t>
      </w:r>
      <w:r w:rsidR="008235F4" w:rsidRPr="00F000F1">
        <w:t xml:space="preserve"> to which States</w:t>
      </w:r>
      <w:r w:rsidR="00370953">
        <w:t xml:space="preserve"> </w:t>
      </w:r>
      <w:r w:rsidR="00596BA2">
        <w:t>Parties</w:t>
      </w:r>
      <w:r w:rsidR="008235F4" w:rsidRPr="00F000F1">
        <w:t xml:space="preserve"> should </w:t>
      </w:r>
      <w:r w:rsidR="00370953">
        <w:t>provide</w:t>
      </w:r>
      <w:r w:rsidR="008235F4" w:rsidRPr="00F000F1">
        <w:t xml:space="preserve"> funding.</w:t>
      </w:r>
      <w:r w:rsidR="008235F4" w:rsidRPr="00F000F1">
        <w:rPr>
          <w:rStyle w:val="FootnoteReference"/>
          <w:rFonts w:cs="Arial"/>
          <w:szCs w:val="22"/>
        </w:rPr>
        <w:footnoteReference w:id="93"/>
      </w:r>
      <w:r w:rsidR="004F74A1">
        <w:t xml:space="preserve"> It also recently </w:t>
      </w:r>
      <w:r w:rsidR="009266EE" w:rsidRPr="00F000F1">
        <w:t>started</w:t>
      </w:r>
      <w:r w:rsidR="0090178B" w:rsidRPr="00F000F1">
        <w:t xml:space="preserve"> </w:t>
      </w:r>
      <w:r w:rsidR="009266EE" w:rsidRPr="00F000F1">
        <w:t xml:space="preserve">to recommend States </w:t>
      </w:r>
      <w:r w:rsidR="00596BA2">
        <w:t>Parties</w:t>
      </w:r>
      <w:r w:rsidR="009266EE" w:rsidRPr="00F000F1">
        <w:t xml:space="preserve"> to support capacity building of </w:t>
      </w:r>
      <w:r w:rsidR="004F74A1" w:rsidRPr="00F000F1">
        <w:t>organizations</w:t>
      </w:r>
      <w:r w:rsidR="009266EE" w:rsidRPr="00F000F1">
        <w:t xml:space="preserve"> of persons with disabilities</w:t>
      </w:r>
      <w:r w:rsidR="009878AD" w:rsidRPr="00F000F1">
        <w:t>.</w:t>
      </w:r>
      <w:r w:rsidR="009266EE" w:rsidRPr="00F000F1">
        <w:rPr>
          <w:rStyle w:val="FootnoteReference"/>
          <w:rFonts w:cs="Arial"/>
          <w:szCs w:val="22"/>
        </w:rPr>
        <w:footnoteReference w:id="94"/>
      </w:r>
    </w:p>
    <w:p w:rsidR="00DA2CC0" w:rsidRPr="00917320" w:rsidRDefault="00DA2CC0" w:rsidP="00917320">
      <w:pPr>
        <w:rPr>
          <w:u w:val="single"/>
        </w:rPr>
      </w:pPr>
      <w:r w:rsidRPr="00917320">
        <w:rPr>
          <w:u w:val="single"/>
        </w:rPr>
        <w:t xml:space="preserve">New General Comment on the participation of persons with disabilities </w:t>
      </w:r>
      <w:r w:rsidR="009F791F">
        <w:rPr>
          <w:u w:val="single"/>
        </w:rPr>
        <w:t>and their representative organiz</w:t>
      </w:r>
      <w:r w:rsidRPr="00917320">
        <w:rPr>
          <w:u w:val="single"/>
        </w:rPr>
        <w:t>ations</w:t>
      </w:r>
    </w:p>
    <w:p w:rsidR="00DA2CC0" w:rsidRPr="00917320" w:rsidRDefault="00DA2CC0" w:rsidP="009F791F">
      <w:r>
        <w:t xml:space="preserve">At the </w:t>
      </w:r>
      <w:r w:rsidR="009F791F">
        <w:t>nineteenth</w:t>
      </w:r>
      <w:r>
        <w:t xml:space="preserve"> session</w:t>
      </w:r>
      <w:r w:rsidR="009F791F">
        <w:t>,</w:t>
      </w:r>
      <w:r>
        <w:t xml:space="preserve"> the Committee started the process of preparing a General Comment on </w:t>
      </w:r>
      <w:r w:rsidR="009F791F">
        <w:t>a</w:t>
      </w:r>
      <w:r>
        <w:t>rt</w:t>
      </w:r>
      <w:r w:rsidR="009F791F">
        <w:t xml:space="preserve">icles </w:t>
      </w:r>
      <w:r>
        <w:t>4</w:t>
      </w:r>
      <w:r w:rsidR="009F791F">
        <w:t>(</w:t>
      </w:r>
      <w:r>
        <w:t>3) and 33(3) of the Convention which is expected to be adopted as General Comment No</w:t>
      </w:r>
      <w:r w:rsidR="00375197">
        <w:t>.</w:t>
      </w:r>
      <w:r>
        <w:t xml:space="preserve"> 7.</w:t>
      </w:r>
    </w:p>
    <w:p w:rsidR="00A20AB9" w:rsidRPr="00F000F1" w:rsidRDefault="00251126" w:rsidP="00917320">
      <w:pPr>
        <w:pStyle w:val="Heading3"/>
      </w:pPr>
      <w:bookmarkStart w:id="23" w:name="_Toc522542404"/>
      <w:r w:rsidRPr="00F000F1">
        <w:t xml:space="preserve">ii. </w:t>
      </w:r>
      <w:r w:rsidR="00A20AB9" w:rsidRPr="00F000F1">
        <w:t>Participation of persons with disabilities in the work of the Committee</w:t>
      </w:r>
      <w:bookmarkEnd w:id="23"/>
      <w:r w:rsidR="00A20AB9" w:rsidRPr="00F000F1">
        <w:t xml:space="preserve"> </w:t>
      </w:r>
    </w:p>
    <w:p w:rsidR="002527E3" w:rsidRPr="00563091" w:rsidRDefault="00676354" w:rsidP="00917320">
      <w:r>
        <w:t xml:space="preserve">43. </w:t>
      </w:r>
      <w:r w:rsidR="00573439" w:rsidRPr="00F000F1">
        <w:t>In 2014</w:t>
      </w:r>
      <w:r w:rsidR="00B87971">
        <w:t>,</w:t>
      </w:r>
      <w:r w:rsidR="00573439" w:rsidRPr="00F000F1">
        <w:t xml:space="preserve"> the Committee published </w:t>
      </w:r>
      <w:r w:rsidR="00573439" w:rsidRPr="00F000F1">
        <w:rPr>
          <w:lang w:val="en-GB"/>
        </w:rPr>
        <w:t>guidelines on the participation of disabled persons’ organizations and civil society organizations in the work of the Committee</w:t>
      </w:r>
      <w:r w:rsidR="0053572D">
        <w:rPr>
          <w:lang w:val="en-GB"/>
        </w:rPr>
        <w:t xml:space="preserve"> (CRPD/C/11/2, annex II)</w:t>
      </w:r>
      <w:r w:rsidR="00296DB8">
        <w:rPr>
          <w:lang w:val="en-GB"/>
        </w:rPr>
        <w:t>.</w:t>
      </w:r>
      <w:r w:rsidR="007121B0" w:rsidRPr="00F000F1">
        <w:rPr>
          <w:lang w:val="en-GB"/>
        </w:rPr>
        <w:t xml:space="preserve"> </w:t>
      </w:r>
      <w:r w:rsidR="00C11F35" w:rsidRPr="00F000F1">
        <w:rPr>
          <w:lang w:val="en-GB"/>
        </w:rPr>
        <w:t>T</w:t>
      </w:r>
      <w:r w:rsidR="009E60BD">
        <w:rPr>
          <w:lang w:val="en-GB"/>
        </w:rPr>
        <w:t>hese guidelines</w:t>
      </w:r>
      <w:r w:rsidR="00C11F35" w:rsidRPr="00F000F1">
        <w:rPr>
          <w:lang w:val="en-GB"/>
        </w:rPr>
        <w:t xml:space="preserve"> </w:t>
      </w:r>
      <w:r w:rsidR="007121B0" w:rsidRPr="00F000F1">
        <w:rPr>
          <w:lang w:val="en-GB"/>
        </w:rPr>
        <w:t>provide</w:t>
      </w:r>
      <w:r w:rsidR="002D4789" w:rsidRPr="00F000F1">
        <w:rPr>
          <w:lang w:val="en-GB"/>
        </w:rPr>
        <w:t xml:space="preserve"> </w:t>
      </w:r>
      <w:r w:rsidR="009E60BD">
        <w:rPr>
          <w:lang w:val="en-GB"/>
        </w:rPr>
        <w:t>detailed information</w:t>
      </w:r>
      <w:r w:rsidR="002D4789" w:rsidRPr="00F000F1">
        <w:rPr>
          <w:lang w:val="en-GB"/>
        </w:rPr>
        <w:t xml:space="preserve"> on </w:t>
      </w:r>
      <w:r w:rsidR="00563091">
        <w:rPr>
          <w:lang w:val="en-GB"/>
        </w:rPr>
        <w:t>how</w:t>
      </w:r>
      <w:r w:rsidR="00594FD9" w:rsidRPr="00F000F1">
        <w:rPr>
          <w:lang w:val="en-GB"/>
        </w:rPr>
        <w:t xml:space="preserve"> </w:t>
      </w:r>
      <w:r w:rsidR="00594FD9" w:rsidRPr="00F000F1">
        <w:t>organizations of persons with disabilities and</w:t>
      </w:r>
      <w:r w:rsidR="00594FD9" w:rsidRPr="00F000F1">
        <w:rPr>
          <w:lang w:val="en-GB"/>
        </w:rPr>
        <w:t xml:space="preserve"> </w:t>
      </w:r>
      <w:r w:rsidR="00594FD9" w:rsidRPr="00F000F1">
        <w:t>civil society organizations</w:t>
      </w:r>
      <w:r w:rsidR="00563091">
        <w:t xml:space="preserve"> can participate</w:t>
      </w:r>
      <w:r w:rsidR="00594FD9" w:rsidRPr="00F000F1">
        <w:t xml:space="preserve"> </w:t>
      </w:r>
      <w:r w:rsidR="00563091">
        <w:t xml:space="preserve">in the reporting </w:t>
      </w:r>
      <w:r w:rsidR="00563091" w:rsidRPr="00563091">
        <w:rPr>
          <w:lang w:val="en-GB"/>
        </w:rPr>
        <w:t>procedu</w:t>
      </w:r>
      <w:r w:rsidR="009E60BD">
        <w:rPr>
          <w:lang w:val="en-GB"/>
        </w:rPr>
        <w:t xml:space="preserve">re for the review of State </w:t>
      </w:r>
      <w:r w:rsidR="00596BA2">
        <w:rPr>
          <w:lang w:val="en-GB"/>
        </w:rPr>
        <w:t>Parties</w:t>
      </w:r>
      <w:r w:rsidR="009E60BD">
        <w:rPr>
          <w:lang w:val="en-GB"/>
        </w:rPr>
        <w:t>’</w:t>
      </w:r>
      <w:r w:rsidR="00563091" w:rsidRPr="00563091">
        <w:rPr>
          <w:lang w:val="en-GB"/>
        </w:rPr>
        <w:t xml:space="preserve"> reports</w:t>
      </w:r>
      <w:r w:rsidR="00563091">
        <w:rPr>
          <w:lang w:val="en-GB"/>
        </w:rPr>
        <w:t>,</w:t>
      </w:r>
      <w:r w:rsidR="00563091" w:rsidRPr="00563091">
        <w:rPr>
          <w:lang w:val="en-GB"/>
        </w:rPr>
        <w:t xml:space="preserve"> </w:t>
      </w:r>
      <w:r w:rsidR="00563091" w:rsidRPr="00563091">
        <w:t>in</w:t>
      </w:r>
      <w:r w:rsidR="00563091" w:rsidRPr="00F000F1">
        <w:t xml:space="preserve"> </w:t>
      </w:r>
      <w:r w:rsidR="004B3B32">
        <w:t>drafting of general comments, in</w:t>
      </w:r>
      <w:r w:rsidR="00563091">
        <w:t xml:space="preserve"> </w:t>
      </w:r>
      <w:r w:rsidR="00563091" w:rsidRPr="00F000F1">
        <w:t>days of general discussion</w:t>
      </w:r>
      <w:r w:rsidR="00563091">
        <w:t xml:space="preserve">, and in </w:t>
      </w:r>
      <w:r w:rsidR="00563091" w:rsidRPr="00563091">
        <w:t xml:space="preserve">the procedures concerning communications and inquiries. </w:t>
      </w:r>
    </w:p>
    <w:p w:rsidR="00E653BC" w:rsidRPr="00F000F1" w:rsidRDefault="00676354" w:rsidP="00917320">
      <w:r>
        <w:t xml:space="preserve">44. </w:t>
      </w:r>
      <w:r w:rsidR="008F5C76">
        <w:t>The</w:t>
      </w:r>
      <w:r w:rsidR="00D464B1" w:rsidRPr="00F000F1">
        <w:t xml:space="preserve"> Committee </w:t>
      </w:r>
      <w:r w:rsidR="0006277E" w:rsidRPr="00F000F1">
        <w:t>condemned</w:t>
      </w:r>
      <w:r w:rsidR="00D464B1" w:rsidRPr="00F000F1">
        <w:t xml:space="preserve"> all acts of intimidation and reprisals towards individuals and organizations for their contribution to the work of the Committee. </w:t>
      </w:r>
      <w:r w:rsidR="008F5C76">
        <w:t>It</w:t>
      </w:r>
      <w:r w:rsidR="00D464B1" w:rsidRPr="00952A83">
        <w:t xml:space="preserve"> appoint</w:t>
      </w:r>
      <w:r w:rsidR="000F2A5B" w:rsidRPr="00952A83">
        <w:t>ed</w:t>
      </w:r>
      <w:r w:rsidR="00D464B1" w:rsidRPr="00952A83">
        <w:t xml:space="preserve">, </w:t>
      </w:r>
      <w:r w:rsidR="00746903">
        <w:t>from among its members, a focal point on reprisals</w:t>
      </w:r>
      <w:r w:rsidR="00D464B1" w:rsidRPr="00952A83">
        <w:t xml:space="preserve"> </w:t>
      </w:r>
      <w:r w:rsidR="00952A83" w:rsidRPr="00952A83">
        <w:t>with the mandate to</w:t>
      </w:r>
      <w:r w:rsidR="00B87971">
        <w:t xml:space="preserve"> follow-</w:t>
      </w:r>
      <w:r w:rsidR="00D464B1" w:rsidRPr="00952A83">
        <w:t>up and provide advice on situations involving such cases.</w:t>
      </w:r>
      <w:r w:rsidR="00D464B1" w:rsidRPr="00F000F1">
        <w:t xml:space="preserve"> </w:t>
      </w:r>
      <w:r w:rsidR="00E653BC" w:rsidRPr="00F000F1">
        <w:t xml:space="preserve">In order to ensure </w:t>
      </w:r>
      <w:r w:rsidR="000A6F70" w:rsidRPr="00F000F1">
        <w:t xml:space="preserve">the </w:t>
      </w:r>
      <w:r w:rsidR="00D464B1" w:rsidRPr="00F000F1">
        <w:t>safety</w:t>
      </w:r>
      <w:r w:rsidR="00581672" w:rsidRPr="00F000F1">
        <w:t xml:space="preserve"> of human rights defenders, organizations may request their written submissions or participation in briefings </w:t>
      </w:r>
      <w:r w:rsidR="003044AE" w:rsidRPr="00F000F1">
        <w:t>to be</w:t>
      </w:r>
      <w:r w:rsidR="00581672" w:rsidRPr="00F000F1">
        <w:t xml:space="preserve"> confidential.</w:t>
      </w:r>
      <w:r w:rsidR="00902F9E" w:rsidRPr="00F000F1">
        <w:rPr>
          <w:rStyle w:val="FootnoteReference"/>
          <w:rFonts w:cs="Arial"/>
          <w:szCs w:val="22"/>
        </w:rPr>
        <w:footnoteReference w:id="95"/>
      </w:r>
      <w:r w:rsidR="00375197">
        <w:t xml:space="preserve"> </w:t>
      </w:r>
    </w:p>
    <w:p w:rsidR="009A2929" w:rsidRPr="00F000F1" w:rsidRDefault="006167F9" w:rsidP="00917320">
      <w:pPr>
        <w:pStyle w:val="Heading2"/>
      </w:pPr>
      <w:bookmarkStart w:id="24" w:name="_Toc522542405"/>
      <w:r w:rsidRPr="00F000F1">
        <w:t xml:space="preserve">D. </w:t>
      </w:r>
      <w:r w:rsidR="0026293A" w:rsidRPr="00F000F1">
        <w:t>Main cross</w:t>
      </w:r>
      <w:r w:rsidR="009A2929" w:rsidRPr="00F000F1">
        <w:t>cutting issues</w:t>
      </w:r>
      <w:bookmarkEnd w:id="24"/>
    </w:p>
    <w:p w:rsidR="003E512E" w:rsidRPr="00F000F1" w:rsidRDefault="003E512E" w:rsidP="00917320">
      <w:pPr>
        <w:pStyle w:val="Heading3"/>
      </w:pPr>
      <w:bookmarkStart w:id="25" w:name="_Toc522542406"/>
      <w:r w:rsidRPr="00F000F1">
        <w:t>i. Equality, non-discrimination and reasonable accommodation (article 5)</w:t>
      </w:r>
      <w:bookmarkEnd w:id="25"/>
    </w:p>
    <w:p w:rsidR="003E512E" w:rsidRPr="00917320" w:rsidRDefault="003E512E" w:rsidP="00917320">
      <w:pPr>
        <w:rPr>
          <w:u w:val="single"/>
        </w:rPr>
      </w:pPr>
      <w:r w:rsidRPr="00917320">
        <w:rPr>
          <w:u w:val="single"/>
        </w:rPr>
        <w:t>Inclusive equality and non-discrimination</w:t>
      </w:r>
    </w:p>
    <w:p w:rsidR="00097008" w:rsidRDefault="00676354" w:rsidP="006605B8">
      <w:r>
        <w:t xml:space="preserve">45. </w:t>
      </w:r>
      <w:r w:rsidR="003E512E" w:rsidRPr="00F000F1">
        <w:t>Equality and non-discrimination are the basis and one of the main principles of the Convention.</w:t>
      </w:r>
      <w:r w:rsidR="003E512E" w:rsidRPr="00F000F1">
        <w:rPr>
          <w:rStyle w:val="FootnoteReference"/>
          <w:rFonts w:cs="Arial"/>
          <w:szCs w:val="22"/>
        </w:rPr>
        <w:footnoteReference w:id="96"/>
      </w:r>
      <w:r w:rsidR="003E512E" w:rsidRPr="00F000F1">
        <w:t xml:space="preserve"> According to the Committee</w:t>
      </w:r>
      <w:r w:rsidR="005C07CB">
        <w:t>,</w:t>
      </w:r>
      <w:r w:rsidR="003E512E" w:rsidRPr="00F000F1">
        <w:t xml:space="preserve"> equality and non-discrimination constitute principles and rights, cornerstone of international protection guaranteed by the Convention and “interpretative tool for all other principle</w:t>
      </w:r>
      <w:r w:rsidR="00AE06AB">
        <w:t>s</w:t>
      </w:r>
      <w:r w:rsidR="003E512E" w:rsidRPr="00F000F1">
        <w:t xml:space="preserve"> and rights enshrined” therein.</w:t>
      </w:r>
      <w:r w:rsidR="003E512E" w:rsidRPr="00F000F1">
        <w:rPr>
          <w:rStyle w:val="FootnoteReference"/>
          <w:rFonts w:cs="Arial"/>
          <w:szCs w:val="22"/>
        </w:rPr>
        <w:footnoteReference w:id="97"/>
      </w:r>
      <w:r w:rsidR="003E512E" w:rsidRPr="00F000F1">
        <w:t xml:space="preserve"> They constitute obligations of immediate application in both the public and the private sectors.</w:t>
      </w:r>
      <w:r w:rsidR="003E512E" w:rsidRPr="00F000F1">
        <w:rPr>
          <w:rStyle w:val="FootnoteReference"/>
          <w:rFonts w:cs="Arial"/>
          <w:szCs w:val="22"/>
        </w:rPr>
        <w:footnoteReference w:id="98"/>
      </w:r>
      <w:r w:rsidR="003E512E" w:rsidRPr="00F000F1">
        <w:t xml:space="preserve"> </w:t>
      </w:r>
    </w:p>
    <w:p w:rsidR="003E512E" w:rsidRPr="00AE06AB" w:rsidRDefault="00676354" w:rsidP="006605B8">
      <w:r>
        <w:t xml:space="preserve">46. </w:t>
      </w:r>
      <w:r w:rsidR="003E512E" w:rsidRPr="00F000F1">
        <w:t>In March 2018</w:t>
      </w:r>
      <w:r w:rsidR="005C07CB">
        <w:t>,</w:t>
      </w:r>
      <w:r w:rsidR="003E512E" w:rsidRPr="00F000F1">
        <w:t xml:space="preserve"> the Committee adopted General Comment No</w:t>
      </w:r>
      <w:r w:rsidR="00AE06AB">
        <w:t>.</w:t>
      </w:r>
      <w:r w:rsidR="003E512E" w:rsidRPr="00F000F1">
        <w:t xml:space="preserve"> 6 on equality and non-discrimination that is now the main interpretative document </w:t>
      </w:r>
      <w:r w:rsidR="00FB029D">
        <w:t xml:space="preserve">on article 5 of the Convention and that </w:t>
      </w:r>
      <w:r w:rsidR="003E512E" w:rsidRPr="00F000F1">
        <w:t xml:space="preserve">advances </w:t>
      </w:r>
      <w:r w:rsidR="00FB029D">
        <w:t>a</w:t>
      </w:r>
      <w:r w:rsidR="003E512E" w:rsidRPr="00F000F1">
        <w:t xml:space="preserve"> concept </w:t>
      </w:r>
      <w:r w:rsidR="003E512E" w:rsidRPr="00A2672B">
        <w:t>of inclusive equality</w:t>
      </w:r>
      <w:r w:rsidR="00097008" w:rsidRPr="00A2672B">
        <w:t xml:space="preserve"> which</w:t>
      </w:r>
      <w:r w:rsidR="00097008">
        <w:t xml:space="preserve"> “</w:t>
      </w:r>
      <w:r w:rsidR="00097008" w:rsidRPr="00097008">
        <w:t>embraces a substantive model of equality and extends and elaborates on the content of equality in: (a) a fair redistributive dimension to address socioeconomic disadvantages; (b) a recognition dimension to combat stigma, stereotyping, prejudice and violence and to recognize the dignity of human beings and their intersectionality; (c) a participative dimension to reaffirm the social nature of people as members of social groups and the full recognition of humanity through inclusion in society; and (d) an accommodating dimension to make space for difference as a matter of human dignity.</w:t>
      </w:r>
      <w:r w:rsidR="00097008">
        <w:t>”</w:t>
      </w:r>
      <w:r w:rsidR="003E512E" w:rsidRPr="00F000F1">
        <w:rPr>
          <w:rStyle w:val="FootnoteReference"/>
          <w:rFonts w:cs="Arial"/>
          <w:szCs w:val="22"/>
        </w:rPr>
        <w:footnoteReference w:id="99"/>
      </w:r>
      <w:r w:rsidR="003E512E" w:rsidRPr="00F000F1">
        <w:t xml:space="preserve"> </w:t>
      </w:r>
    </w:p>
    <w:p w:rsidR="003E512E" w:rsidRPr="006605B8" w:rsidRDefault="003E512E" w:rsidP="006605B8">
      <w:pPr>
        <w:rPr>
          <w:u w:val="single"/>
        </w:rPr>
      </w:pPr>
      <w:r w:rsidRPr="006605B8">
        <w:rPr>
          <w:u w:val="single"/>
        </w:rPr>
        <w:t>Prohibition of “all forms discrimination on the basis of disability”</w:t>
      </w:r>
    </w:p>
    <w:p w:rsidR="003E512E" w:rsidRPr="00F000F1" w:rsidRDefault="00676354" w:rsidP="006605B8">
      <w:r>
        <w:t xml:space="preserve">47. </w:t>
      </w:r>
      <w:r w:rsidR="003E512E" w:rsidRPr="00F000F1">
        <w:t>Discrimination on the basis of disability is defined in article 2 of the Convention, which explicitly refers to “all forms of discrimination, including denial of reasonable accommodation.” The Committee elaborated on the various forms of discrimination on the basis of disability in</w:t>
      </w:r>
      <w:r w:rsidR="002E7A3E">
        <w:t xml:space="preserve"> its</w:t>
      </w:r>
      <w:r w:rsidR="003E512E" w:rsidRPr="00F000F1">
        <w:t xml:space="preserve"> General Comment No</w:t>
      </w:r>
      <w:r w:rsidR="00D37EA0">
        <w:t>.</w:t>
      </w:r>
      <w:r w:rsidR="003E512E" w:rsidRPr="00F000F1">
        <w:t xml:space="preserve"> 3 on women with disabilities</w:t>
      </w:r>
      <w:r w:rsidR="00D37EA0">
        <w:t>,</w:t>
      </w:r>
      <w:r w:rsidR="003E512E" w:rsidRPr="00F000F1">
        <w:rPr>
          <w:rStyle w:val="FootnoteReference"/>
          <w:rFonts w:cs="Arial"/>
          <w:szCs w:val="22"/>
        </w:rPr>
        <w:footnoteReference w:id="100"/>
      </w:r>
      <w:r w:rsidR="003E512E" w:rsidRPr="00F000F1">
        <w:t xml:space="preserve"> and General Comment No</w:t>
      </w:r>
      <w:r w:rsidR="00D37EA0">
        <w:t>.</w:t>
      </w:r>
      <w:r w:rsidR="003E512E" w:rsidRPr="00F000F1">
        <w:t xml:space="preserve"> 6 on equalit</w:t>
      </w:r>
      <w:r w:rsidR="00D37EA0">
        <w:t>y and non-discrimination</w:t>
      </w:r>
      <w:r w:rsidR="003E512E" w:rsidRPr="00F000F1">
        <w:t>.</w:t>
      </w:r>
      <w:r w:rsidR="003E512E" w:rsidRPr="00F000F1">
        <w:rPr>
          <w:rStyle w:val="FootnoteReference"/>
          <w:rFonts w:cs="Arial"/>
          <w:szCs w:val="22"/>
        </w:rPr>
        <w:footnoteReference w:id="101"/>
      </w:r>
      <w:r w:rsidR="003E512E" w:rsidRPr="00F000F1">
        <w:t xml:space="preserve"> </w:t>
      </w:r>
      <w:r w:rsidR="002E7A3E">
        <w:t>As such a</w:t>
      </w:r>
      <w:r w:rsidR="003E512E" w:rsidRPr="00F000F1">
        <w:t>re prohibited</w:t>
      </w:r>
      <w:r w:rsidR="00232C05">
        <w:t xml:space="preserve"> as forms of discrimination</w:t>
      </w:r>
      <w:r w:rsidR="003E512E" w:rsidRPr="00F000F1">
        <w:t>: direct discrimination, indirect discrimination</w:t>
      </w:r>
      <w:r w:rsidR="00232C05">
        <w:t>, discrimination by association,</w:t>
      </w:r>
      <w:r w:rsidR="00080428">
        <w:rPr>
          <w:rStyle w:val="FootnoteReference"/>
          <w:rFonts w:cs="Arial"/>
          <w:szCs w:val="22"/>
        </w:rPr>
        <w:footnoteReference w:id="102"/>
      </w:r>
      <w:r w:rsidR="00232C05">
        <w:t xml:space="preserve"> </w:t>
      </w:r>
      <w:r w:rsidR="003E512E" w:rsidRPr="00F000F1">
        <w:t>den</w:t>
      </w:r>
      <w:r w:rsidR="00A61E41">
        <w:t>ial of reasonable accommodation,</w:t>
      </w:r>
      <w:r w:rsidR="00232C05">
        <w:rPr>
          <w:rStyle w:val="FootnoteReference"/>
          <w:rFonts w:cs="Arial"/>
          <w:szCs w:val="22"/>
        </w:rPr>
        <w:footnoteReference w:id="103"/>
      </w:r>
      <w:r w:rsidR="003E512E" w:rsidRPr="00F000F1">
        <w:t xml:space="preserve"> struc</w:t>
      </w:r>
      <w:r w:rsidR="00232C05">
        <w:t>tural or systemic discrimination,</w:t>
      </w:r>
      <w:r w:rsidR="00A61E41">
        <w:rPr>
          <w:rStyle w:val="FootnoteReference"/>
          <w:rFonts w:cs="Arial"/>
          <w:szCs w:val="22"/>
        </w:rPr>
        <w:footnoteReference w:id="104"/>
      </w:r>
      <w:r w:rsidR="0077127B">
        <w:t xml:space="preserve"> </w:t>
      </w:r>
      <w:r w:rsidR="003E512E" w:rsidRPr="00F000F1">
        <w:t>harass</w:t>
      </w:r>
      <w:r w:rsidR="0077127B">
        <w:softHyphen/>
      </w:r>
      <w:r w:rsidR="003E512E" w:rsidRPr="00F000F1">
        <w:t>ment</w:t>
      </w:r>
      <w:r w:rsidR="00232C05">
        <w:t>,</w:t>
      </w:r>
      <w:r w:rsidR="003E512E" w:rsidRPr="00F000F1">
        <w:rPr>
          <w:rStyle w:val="FootnoteReference"/>
          <w:rFonts w:cs="Arial"/>
          <w:szCs w:val="22"/>
        </w:rPr>
        <w:footnoteReference w:id="105"/>
      </w:r>
      <w:r w:rsidR="0077127B">
        <w:t xml:space="preserve"> </w:t>
      </w:r>
      <w:r w:rsidR="003E512E" w:rsidRPr="00F000F1">
        <w:t>multiple discrimination and intersectional discrimination.</w:t>
      </w:r>
      <w:r w:rsidR="003E512E" w:rsidRPr="00F000F1">
        <w:rPr>
          <w:rStyle w:val="FootnoteReference"/>
          <w:rFonts w:cs="Arial"/>
          <w:szCs w:val="22"/>
        </w:rPr>
        <w:footnoteReference w:id="106"/>
      </w:r>
      <w:r w:rsidR="003E512E" w:rsidRPr="00F000F1">
        <w:t xml:space="preserve"> </w:t>
      </w:r>
    </w:p>
    <w:p w:rsidR="003E512E" w:rsidRPr="00F000F1" w:rsidRDefault="00676354" w:rsidP="00917320">
      <w:r>
        <w:t xml:space="preserve">48. </w:t>
      </w:r>
      <w:r w:rsidR="00742B6C">
        <w:t>As of July</w:t>
      </w:r>
      <w:r w:rsidR="003E512E" w:rsidRPr="00F000F1">
        <w:t xml:space="preserve"> 2018, among the twenty four individual communication</w:t>
      </w:r>
      <w:r w:rsidR="004F75C3">
        <w:t>s</w:t>
      </w:r>
      <w:r w:rsidR="003E512E" w:rsidRPr="00F000F1">
        <w:t xml:space="preserve"> examined by the Committee, seven constituted discrimination based on disability. The violations of article 5 concerned failures to provide reasonable accommo</w:t>
      </w:r>
      <w:r w:rsidR="004F75C3">
        <w:softHyphen/>
      </w:r>
      <w:r w:rsidR="003E512E" w:rsidRPr="00F000F1">
        <w:t>da</w:t>
      </w:r>
      <w:r w:rsidR="004F75C3">
        <w:softHyphen/>
      </w:r>
      <w:r w:rsidR="003E512E" w:rsidRPr="00F000F1">
        <w:t>tion,</w:t>
      </w:r>
      <w:r w:rsidR="003E512E" w:rsidRPr="00F000F1">
        <w:rPr>
          <w:rStyle w:val="FootnoteReference"/>
          <w:rFonts w:cs="Arial"/>
          <w:szCs w:val="22"/>
        </w:rPr>
        <w:footnoteReference w:id="107"/>
      </w:r>
      <w:r w:rsidR="003E512E" w:rsidRPr="00F000F1">
        <w:rPr>
          <w:color w:val="000000"/>
        </w:rPr>
        <w:t xml:space="preserve"> denial of access to information and communication technologies and facilities and services open to the public on an equal basis with others,</w:t>
      </w:r>
      <w:r w:rsidR="003E512E" w:rsidRPr="00F000F1">
        <w:rPr>
          <w:rStyle w:val="FootnoteReference"/>
          <w:rFonts w:cs="Arial"/>
          <w:color w:val="000000"/>
          <w:szCs w:val="22"/>
        </w:rPr>
        <w:footnoteReference w:id="108"/>
      </w:r>
      <w:r w:rsidR="003E512E" w:rsidRPr="00F000F1">
        <w:rPr>
          <w:color w:val="000000"/>
        </w:rPr>
        <w:t xml:space="preserve"> arbitrary detention based on disability,</w:t>
      </w:r>
      <w:r w:rsidR="003E512E" w:rsidRPr="00F000F1">
        <w:rPr>
          <w:rStyle w:val="FootnoteReference"/>
          <w:rFonts w:cs="Arial"/>
          <w:color w:val="000000"/>
          <w:szCs w:val="22"/>
        </w:rPr>
        <w:footnoteReference w:id="109"/>
      </w:r>
      <w:r w:rsidR="003E512E" w:rsidRPr="00F000F1">
        <w:rPr>
          <w:color w:val="000000"/>
        </w:rPr>
        <w:t xml:space="preserve"> and failure to take all necessary measures to prevent, efficiently investigate and punish acts of violence.</w:t>
      </w:r>
      <w:r w:rsidR="003E512E" w:rsidRPr="00F000F1">
        <w:rPr>
          <w:rStyle w:val="FootnoteReference"/>
          <w:rFonts w:cs="Arial"/>
          <w:color w:val="000000"/>
          <w:szCs w:val="22"/>
        </w:rPr>
        <w:footnoteReference w:id="110"/>
      </w:r>
      <w:r w:rsidR="003E512E" w:rsidRPr="00F000F1">
        <w:rPr>
          <w:color w:val="000000"/>
        </w:rPr>
        <w:t xml:space="preserve"> </w:t>
      </w:r>
    </w:p>
    <w:p w:rsidR="003E512E" w:rsidRPr="00917320" w:rsidRDefault="003E512E" w:rsidP="00917320">
      <w:pPr>
        <w:rPr>
          <w:u w:val="single"/>
        </w:rPr>
      </w:pPr>
      <w:r w:rsidRPr="00917320">
        <w:rPr>
          <w:u w:val="single"/>
        </w:rPr>
        <w:t>Reasonable accommodation</w:t>
      </w:r>
    </w:p>
    <w:p w:rsidR="003E512E" w:rsidRPr="00F000F1" w:rsidRDefault="00676354" w:rsidP="00917320">
      <w:pPr>
        <w:rPr>
          <w:szCs w:val="18"/>
        </w:rPr>
      </w:pPr>
      <w:r>
        <w:t xml:space="preserve">49. </w:t>
      </w:r>
      <w:r w:rsidR="003E512E" w:rsidRPr="00542659">
        <w:t>The Committee made important clarifications regarding the duty to provide reasonable accommodation. Reasonable accommodation is defined in article 2 of the CRPD</w:t>
      </w:r>
      <w:r w:rsidR="00CF257E" w:rsidRPr="00542659">
        <w:rPr>
          <w:rStyle w:val="FootnoteReference"/>
          <w:rFonts w:cs="Arial"/>
          <w:szCs w:val="22"/>
        </w:rPr>
        <w:footnoteReference w:id="111"/>
      </w:r>
      <w:r w:rsidR="003E512E" w:rsidRPr="00542659">
        <w:t xml:space="preserve"> and mentioned under articles</w:t>
      </w:r>
      <w:r w:rsidR="003E512E" w:rsidRPr="00F000F1">
        <w:t xml:space="preserve"> 5, 14, 24 and 27 of the Convention. T</w:t>
      </w:r>
      <w:r w:rsidR="009D470F">
        <w:rPr>
          <w:szCs w:val="18"/>
        </w:rPr>
        <w:t xml:space="preserve">he Committee </w:t>
      </w:r>
      <w:r w:rsidR="003E512E" w:rsidRPr="00F000F1">
        <w:rPr>
          <w:szCs w:val="18"/>
        </w:rPr>
        <w:t xml:space="preserve">also mentioned </w:t>
      </w:r>
      <w:r w:rsidR="009D470F" w:rsidRPr="00F000F1">
        <w:rPr>
          <w:szCs w:val="18"/>
        </w:rPr>
        <w:t xml:space="preserve">sporadically </w:t>
      </w:r>
      <w:r w:rsidR="003E512E" w:rsidRPr="00F000F1">
        <w:rPr>
          <w:szCs w:val="18"/>
        </w:rPr>
        <w:t xml:space="preserve">reasonable accommodation in its concluding observations under articles 6, 8, 9, 11, 12, 15, 16, 18, 19, 21, 25, 28 and 29. </w:t>
      </w:r>
    </w:p>
    <w:p w:rsidR="003E512E" w:rsidRPr="00F000F1" w:rsidRDefault="00676354" w:rsidP="00917320">
      <w:r>
        <w:t xml:space="preserve">50. </w:t>
      </w:r>
      <w:r w:rsidR="00BC3F4D">
        <w:t xml:space="preserve">The Committee stressed the distinction between reasonable accommodation and </w:t>
      </w:r>
      <w:r w:rsidR="003E512E" w:rsidRPr="00F000F1">
        <w:t>accessibility,</w:t>
      </w:r>
      <w:r w:rsidR="003E512E" w:rsidRPr="00F000F1">
        <w:rPr>
          <w:rStyle w:val="FootnoteReference"/>
          <w:rFonts w:cs="Arial"/>
          <w:szCs w:val="18"/>
        </w:rPr>
        <w:footnoteReference w:id="112"/>
      </w:r>
      <w:r w:rsidR="003E512E" w:rsidRPr="00F000F1">
        <w:t xml:space="preserve"> procedural accommodation,</w:t>
      </w:r>
      <w:r w:rsidR="003E512E" w:rsidRPr="00F000F1">
        <w:rPr>
          <w:rStyle w:val="FootnoteReference"/>
          <w:rFonts w:cs="Arial"/>
          <w:szCs w:val="18"/>
        </w:rPr>
        <w:footnoteReference w:id="113"/>
      </w:r>
      <w:r w:rsidR="003E512E" w:rsidRPr="00F000F1">
        <w:t xml:space="preserve"> “specific measures”, including “affirmative action measures,”</w:t>
      </w:r>
      <w:r w:rsidR="003E512E" w:rsidRPr="00F000F1">
        <w:rPr>
          <w:rStyle w:val="FootnoteReference"/>
          <w:rFonts w:cs="Arial"/>
          <w:szCs w:val="18"/>
        </w:rPr>
        <w:footnoteReference w:id="114"/>
      </w:r>
      <w:r w:rsidR="003E512E" w:rsidRPr="00F000F1">
        <w:t xml:space="preserve"> and support measures, </w:t>
      </w:r>
      <w:r w:rsidR="003E512E" w:rsidRPr="00F000F1">
        <w:rPr>
          <w:color w:val="000000"/>
        </w:rPr>
        <w:t>such a</w:t>
      </w:r>
      <w:r w:rsidR="00301562">
        <w:rPr>
          <w:color w:val="000000"/>
        </w:rPr>
        <w:t>s personal assistants</w:t>
      </w:r>
      <w:r w:rsidR="003E512E" w:rsidRPr="00F000F1">
        <w:rPr>
          <w:color w:val="000000"/>
        </w:rPr>
        <w:t>,</w:t>
      </w:r>
      <w:r w:rsidR="003E512E" w:rsidRPr="00F000F1">
        <w:rPr>
          <w:rStyle w:val="FootnoteReference"/>
          <w:rFonts w:cs="Arial"/>
          <w:color w:val="000000"/>
          <w:szCs w:val="18"/>
        </w:rPr>
        <w:footnoteReference w:id="115"/>
      </w:r>
      <w:r w:rsidR="003E512E" w:rsidRPr="00F000F1">
        <w:rPr>
          <w:color w:val="000000"/>
        </w:rPr>
        <w:t xml:space="preserve"> or support to exercise legal capacity.</w:t>
      </w:r>
      <w:r w:rsidR="003E512E" w:rsidRPr="00F000F1">
        <w:rPr>
          <w:rStyle w:val="FootnoteReference"/>
          <w:rFonts w:cs="Arial"/>
          <w:szCs w:val="18"/>
        </w:rPr>
        <w:footnoteReference w:id="116"/>
      </w:r>
      <w:r w:rsidR="003E512E" w:rsidRPr="00F000F1">
        <w:t xml:space="preserve"> Contrary to the former measures, reasonable accommodation is a</w:t>
      </w:r>
      <w:r w:rsidR="00301562">
        <w:t>n</w:t>
      </w:r>
      <w:r w:rsidR="003E512E" w:rsidRPr="00F000F1">
        <w:t xml:space="preserve"> </w:t>
      </w:r>
      <w:r w:rsidR="003E512E" w:rsidRPr="00F000F1">
        <w:rPr>
          <w:i/>
        </w:rPr>
        <w:t>ex nunc</w:t>
      </w:r>
      <w:r w:rsidR="003E512E" w:rsidRPr="00F000F1">
        <w:t xml:space="preserve"> </w:t>
      </w:r>
      <w:r w:rsidR="006D4ACA">
        <w:t xml:space="preserve">(future) </w:t>
      </w:r>
      <w:r w:rsidR="003E512E" w:rsidRPr="00F000F1">
        <w:t>duty applicable directly to individuals and bound by a possible excessive or unjustifiable burden on the accommodating party.</w:t>
      </w:r>
      <w:r w:rsidR="003E512E" w:rsidRPr="00F000F1">
        <w:rPr>
          <w:rStyle w:val="FootnoteReference"/>
          <w:rFonts w:cs="Arial"/>
          <w:szCs w:val="18"/>
        </w:rPr>
        <w:footnoteReference w:id="117"/>
      </w:r>
      <w:r w:rsidR="003E512E" w:rsidRPr="00F000F1">
        <w:t xml:space="preserve"> </w:t>
      </w:r>
    </w:p>
    <w:p w:rsidR="001A4902" w:rsidRPr="00F000F1" w:rsidRDefault="00676354" w:rsidP="00917320">
      <w:pPr>
        <w:rPr>
          <w:szCs w:val="18"/>
        </w:rPr>
      </w:pPr>
      <w:r>
        <w:t xml:space="preserve">51. </w:t>
      </w:r>
      <w:r w:rsidR="003823CB">
        <w:t xml:space="preserve">In General Comment No. </w:t>
      </w:r>
      <w:r w:rsidR="003E512E" w:rsidRPr="00F000F1">
        <w:t>4 on inclusive e</w:t>
      </w:r>
      <w:r w:rsidR="003823CB">
        <w:t>ducation, the Committee provided</w:t>
      </w:r>
      <w:r w:rsidR="003E512E" w:rsidRPr="00F000F1">
        <w:t xml:space="preserve"> information on how to interpret the “reasonableness of a measure</w:t>
      </w:r>
      <w:r w:rsidR="00921057">
        <w:t>.”</w:t>
      </w:r>
      <w:r w:rsidR="003E512E" w:rsidRPr="00F000F1">
        <w:t xml:space="preserve"> It describes "reasonableness” as the result of a contextual test that involves an analysis of the relevance and the effectiveness of the accommodation and the expected goal of countering discrimination,</w:t>
      </w:r>
      <w:r w:rsidR="003E512E" w:rsidRPr="00F000F1">
        <w:rPr>
          <w:rStyle w:val="FootnoteReference"/>
          <w:rFonts w:cs="Arial"/>
          <w:szCs w:val="22"/>
        </w:rPr>
        <w:footnoteReference w:id="118"/>
      </w:r>
      <w:r w:rsidR="003E512E" w:rsidRPr="00F000F1">
        <w:t xml:space="preserve"> also stressing that the proportionality depends on the context.</w:t>
      </w:r>
      <w:r w:rsidR="003E512E" w:rsidRPr="00F000F1">
        <w:rPr>
          <w:rStyle w:val="FootnoteReference"/>
          <w:rFonts w:cs="Arial"/>
          <w:szCs w:val="22"/>
        </w:rPr>
        <w:footnoteReference w:id="119"/>
      </w:r>
      <w:r w:rsidR="003E512E" w:rsidRPr="00F000F1">
        <w:t xml:space="preserve"> </w:t>
      </w:r>
      <w:r w:rsidR="003C6A86">
        <w:t>K</w:t>
      </w:r>
      <w:r w:rsidR="003E512E" w:rsidRPr="00F000F1">
        <w:t>ey elements guiding the implementation of</w:t>
      </w:r>
      <w:r w:rsidR="00021483">
        <w:t xml:space="preserve"> the</w:t>
      </w:r>
      <w:r w:rsidR="003E512E" w:rsidRPr="00F000F1">
        <w:t xml:space="preserve"> duty to provide reasonable accommodation</w:t>
      </w:r>
      <w:r w:rsidR="003C6A86">
        <w:t xml:space="preserve"> are provided in </w:t>
      </w:r>
      <w:r w:rsidR="003C6A86" w:rsidRPr="00F000F1">
        <w:t>General Comment No</w:t>
      </w:r>
      <w:r w:rsidR="003C6A86">
        <w:t>.</w:t>
      </w:r>
      <w:r w:rsidR="003C6A86" w:rsidRPr="00F000F1">
        <w:t xml:space="preserve"> 6</w:t>
      </w:r>
      <w:r w:rsidR="003E512E" w:rsidRPr="00F000F1">
        <w:t>.</w:t>
      </w:r>
      <w:r w:rsidR="003E512E" w:rsidRPr="00F000F1">
        <w:rPr>
          <w:rStyle w:val="FootnoteReference"/>
          <w:rFonts w:cs="Arial"/>
          <w:szCs w:val="22"/>
        </w:rPr>
        <w:footnoteReference w:id="120"/>
      </w:r>
    </w:p>
    <w:p w:rsidR="006336AD" w:rsidRPr="00F000F1" w:rsidRDefault="006336AD" w:rsidP="00917320">
      <w:pPr>
        <w:pStyle w:val="Heading3"/>
      </w:pPr>
      <w:bookmarkStart w:id="26" w:name="_Toc522542407"/>
      <w:r w:rsidRPr="00F000F1">
        <w:t>ii. Accessibility (article 9)</w:t>
      </w:r>
      <w:bookmarkEnd w:id="26"/>
      <w:r w:rsidRPr="00F000F1">
        <w:t xml:space="preserve"> </w:t>
      </w:r>
    </w:p>
    <w:p w:rsidR="006336AD" w:rsidRPr="00F000F1" w:rsidRDefault="00676354" w:rsidP="00917320">
      <w:r>
        <w:t xml:space="preserve">52. </w:t>
      </w:r>
      <w:r w:rsidR="006336AD" w:rsidRPr="00F000F1">
        <w:t>Accessibility is a precondition for persons with disabilities to live indepen</w:t>
      </w:r>
      <w:r w:rsidR="00B05FBD">
        <w:softHyphen/>
      </w:r>
      <w:r w:rsidR="006336AD" w:rsidRPr="00F000F1">
        <w:t>dently and participate fully and equally in society. As such, it</w:t>
      </w:r>
      <w:r w:rsidR="00993D60" w:rsidRPr="00F000F1">
        <w:t xml:space="preserve"> is one of the main cross</w:t>
      </w:r>
      <w:r w:rsidR="006336AD" w:rsidRPr="00F000F1">
        <w:t>cutting articles of the Convention.</w:t>
      </w:r>
      <w:r w:rsidR="003E512E" w:rsidRPr="00F000F1">
        <w:rPr>
          <w:rStyle w:val="FootnoteReference"/>
          <w:rFonts w:cs="Arial"/>
        </w:rPr>
        <w:footnoteReference w:id="121"/>
      </w:r>
      <w:r w:rsidR="006336AD" w:rsidRPr="00F000F1">
        <w:t xml:space="preserve"> The Committee addressed accessibility in all its general comments and concluding observations, as well as in six </w:t>
      </w:r>
      <w:r w:rsidR="00D2203C">
        <w:t>views</w:t>
      </w:r>
      <w:r w:rsidR="006336AD" w:rsidRPr="00F000F1">
        <w:t xml:space="preserve"> on communication.</w:t>
      </w:r>
      <w:r w:rsidR="000E29E6">
        <w:rPr>
          <w:rStyle w:val="FootnoteReference"/>
          <w:rFonts w:cs="Arial"/>
        </w:rPr>
        <w:footnoteReference w:id="122"/>
      </w:r>
      <w:r w:rsidR="006336AD" w:rsidRPr="00F000F1">
        <w:t xml:space="preserve"> General Comment No. 2 adopted in April 2014 at the eleventh session of the Committee is the principal docume</w:t>
      </w:r>
      <w:r w:rsidR="00D2203C">
        <w:t>nt elaborating on accessibility.</w:t>
      </w:r>
    </w:p>
    <w:p w:rsidR="006336AD" w:rsidRPr="006605B8" w:rsidRDefault="006336AD" w:rsidP="006605B8">
      <w:pPr>
        <w:rPr>
          <w:u w:val="single"/>
        </w:rPr>
      </w:pPr>
      <w:r w:rsidRPr="006605B8">
        <w:rPr>
          <w:u w:val="single"/>
        </w:rPr>
        <w:t xml:space="preserve">Accessibility, universal design and reasonable accommodation </w:t>
      </w:r>
    </w:p>
    <w:p w:rsidR="006336AD" w:rsidRPr="00F000F1" w:rsidRDefault="00676354" w:rsidP="006605B8">
      <w:r>
        <w:t xml:space="preserve">53. </w:t>
      </w:r>
      <w:r w:rsidR="006336AD" w:rsidRPr="00F000F1">
        <w:t>The Committee noted that accessibility must be addressed in all its complexity, encompassing the physical environment, transportation, information and communication, and services.</w:t>
      </w:r>
      <w:r w:rsidR="006336AD" w:rsidRPr="00F000F1">
        <w:rPr>
          <w:rStyle w:val="FootnoteReference"/>
          <w:rFonts w:cs="Arial"/>
        </w:rPr>
        <w:footnoteReference w:id="123"/>
      </w:r>
      <w:r w:rsidR="006336AD" w:rsidRPr="00F000F1">
        <w:t xml:space="preserve"> The approach adopted stems from the prohibition to non-discrimination: persons with disabilities should have equal access to all goods, products and services that are open or provided to the public in a manner that ensures their effective and equal access and respects their dignity. As such, products and services open to the public must be accessible to all, regardless of whether they are owned and/or provided by a public authority or a private company.</w:t>
      </w:r>
      <w:r w:rsidR="006336AD" w:rsidRPr="00F000F1">
        <w:rPr>
          <w:rStyle w:val="FootnoteReference"/>
          <w:rFonts w:cs="Arial"/>
        </w:rPr>
        <w:footnoteReference w:id="124"/>
      </w:r>
      <w:r w:rsidR="006336AD" w:rsidRPr="00F000F1">
        <w:t xml:space="preserve"> Further, the Committee noted that the right to access is ensured through strict implementation of accessibility standards. Barriers to access should be removed gradually in a systematic and continuously monitored manner, with the aim of achieving full accessibility.</w:t>
      </w:r>
      <w:r w:rsidR="006336AD" w:rsidRPr="00F000F1">
        <w:rPr>
          <w:rStyle w:val="FootnoteReference"/>
          <w:rFonts w:cs="Arial"/>
        </w:rPr>
        <w:footnoteReference w:id="125"/>
      </w:r>
      <w:r w:rsidR="006336AD" w:rsidRPr="00F000F1">
        <w:t xml:space="preserve"> </w:t>
      </w:r>
    </w:p>
    <w:p w:rsidR="006336AD" w:rsidRPr="00F000F1" w:rsidRDefault="00676354" w:rsidP="006605B8">
      <w:r>
        <w:t xml:space="preserve">54. </w:t>
      </w:r>
      <w:r w:rsidR="006336AD" w:rsidRPr="00F000F1">
        <w:t>Universal design is an important component of accessibility which application would make society accessible for all human beings.</w:t>
      </w:r>
      <w:r w:rsidR="006336AD" w:rsidRPr="00F000F1">
        <w:rPr>
          <w:rStyle w:val="FootnoteReference"/>
          <w:rFonts w:cs="Arial"/>
        </w:rPr>
        <w:footnoteReference w:id="126"/>
      </w:r>
      <w:r w:rsidR="006336AD" w:rsidRPr="00F000F1">
        <w:t xml:space="preserve"> It is defined by article 2 of the Convention as “the design of p</w:t>
      </w:r>
      <w:r w:rsidR="003C0496">
        <w:t>roducts, environments, program</w:t>
      </w:r>
      <w:r w:rsidR="006336AD" w:rsidRPr="00F000F1">
        <w:t>s and services to be usable by all people, to the greatest extent possible, without the need for adaptation or specialized design.” In General Comment No. 2, the Committee noted that the strict application of universal design to all new goods, products, facilities, technologies and services should ensure full, equal and unrestricted access for all potential consumers, including persons with disabilities, and contribute to the creation of an unrestricted chain of movement for an individual from one space to another, including movement inside particular spaces, with no barriers.</w:t>
      </w:r>
      <w:r w:rsidR="006336AD" w:rsidRPr="00F000F1">
        <w:rPr>
          <w:rStyle w:val="FootnoteReference"/>
          <w:rFonts w:cs="Arial"/>
        </w:rPr>
        <w:footnoteReference w:id="127"/>
      </w:r>
      <w:r w:rsidR="006336AD" w:rsidRPr="00F000F1">
        <w:t xml:space="preserve"> </w:t>
      </w:r>
      <w:r w:rsidR="00AB6BD2">
        <w:t>I</w:t>
      </w:r>
      <w:r w:rsidR="006336AD" w:rsidRPr="00F000F1">
        <w:t xml:space="preserve">t </w:t>
      </w:r>
      <w:r w:rsidR="00AB6BD2">
        <w:t xml:space="preserve">noted that </w:t>
      </w:r>
      <w:r w:rsidR="006336AD" w:rsidRPr="00F000F1">
        <w:t>accessibility is related to groups</w:t>
      </w:r>
      <w:r w:rsidR="00AB6BD2">
        <w:t xml:space="preserve"> and, c</w:t>
      </w:r>
      <w:r w:rsidR="006336AD" w:rsidRPr="00F000F1">
        <w:t>ontrary to reasonable accommodation, the duty to provide accessibility is an ex ante duty and is unconditional.</w:t>
      </w:r>
      <w:r w:rsidR="006336AD" w:rsidRPr="00F000F1">
        <w:rPr>
          <w:rStyle w:val="FootnoteReference"/>
          <w:rFonts w:cs="Arial"/>
        </w:rPr>
        <w:footnoteReference w:id="128"/>
      </w:r>
      <w:r w:rsidR="006336AD" w:rsidRPr="00F000F1">
        <w:t xml:space="preserve"> </w:t>
      </w:r>
    </w:p>
    <w:p w:rsidR="006336AD" w:rsidRPr="00F000F1" w:rsidRDefault="00676354" w:rsidP="006605B8">
      <w:r>
        <w:t xml:space="preserve">55. </w:t>
      </w:r>
      <w:r w:rsidR="00177606">
        <w:t xml:space="preserve">In addition to ensuring the universal design of </w:t>
      </w:r>
      <w:r w:rsidR="006336AD" w:rsidRPr="00F000F1">
        <w:t xml:space="preserve">new goods, products, facilities, technologies and services, accessibility entails the removal of remaining barriers. States </w:t>
      </w:r>
      <w:r w:rsidR="00596BA2">
        <w:t>Parties</w:t>
      </w:r>
      <w:r w:rsidR="006336AD" w:rsidRPr="00F000F1">
        <w:t xml:space="preserve"> should establish definite time frames and allocate adequate resources for their removal.</w:t>
      </w:r>
      <w:r w:rsidR="006336AD" w:rsidRPr="00F000F1">
        <w:rPr>
          <w:rStyle w:val="FootnoteReference"/>
          <w:rFonts w:cs="Arial"/>
        </w:rPr>
        <w:footnoteReference w:id="129"/>
      </w:r>
      <w:r w:rsidR="006336AD" w:rsidRPr="00F000F1">
        <w:t xml:space="preserve"> States </w:t>
      </w:r>
      <w:r w:rsidR="00596BA2">
        <w:t>Parties</w:t>
      </w:r>
      <w:r w:rsidR="006336AD" w:rsidRPr="00F000F1">
        <w:t xml:space="preserve"> should adopt legal provisions on accessibility or review their current accessibility legislation in line with the Convention</w:t>
      </w:r>
      <w:r w:rsidR="006336AD" w:rsidRPr="00F000F1">
        <w:rPr>
          <w:rStyle w:val="FootnoteReference"/>
          <w:rFonts w:cs="Arial"/>
        </w:rPr>
        <w:footnoteReference w:id="130"/>
      </w:r>
      <w:r w:rsidR="006336AD" w:rsidRPr="00F000F1">
        <w:t xml:space="preserve"> as well as their law on public procurement to incorporate accessibility requirement,</w:t>
      </w:r>
      <w:r w:rsidR="006336AD" w:rsidRPr="00F000F1">
        <w:rPr>
          <w:rStyle w:val="FootnoteReference"/>
          <w:rFonts w:cs="Arial"/>
        </w:rPr>
        <w:footnoteReference w:id="131"/>
      </w:r>
      <w:r w:rsidR="006336AD" w:rsidRPr="00F000F1">
        <w:t xml:space="preserve"> establish minimum standards on accessibility</w:t>
      </w:r>
      <w:r w:rsidR="006336AD" w:rsidRPr="00F000F1">
        <w:rPr>
          <w:rStyle w:val="FootnoteReference"/>
          <w:rFonts w:cs="Arial"/>
        </w:rPr>
        <w:footnoteReference w:id="132"/>
      </w:r>
      <w:r w:rsidR="006336AD" w:rsidRPr="00F000F1">
        <w:t xml:space="preserve"> and develop an effective monitoring framework with efficient monitoring bodies with adequate capacity and appropriate mandates to make sure that plans, strategies and standardization are implemented and enforced.</w:t>
      </w:r>
      <w:r w:rsidR="006336AD" w:rsidRPr="00F000F1">
        <w:rPr>
          <w:rStyle w:val="FootnoteReference"/>
          <w:rFonts w:cs="Arial"/>
        </w:rPr>
        <w:footnoteReference w:id="133"/>
      </w:r>
    </w:p>
    <w:p w:rsidR="006336AD" w:rsidRPr="00F614FC" w:rsidRDefault="00676354" w:rsidP="006605B8">
      <w:r>
        <w:t xml:space="preserve">56. </w:t>
      </w:r>
      <w:r w:rsidR="006336AD" w:rsidRPr="00F000F1">
        <w:t>In General Comment No. 2</w:t>
      </w:r>
      <w:r w:rsidR="00971BC2">
        <w:t>,</w:t>
      </w:r>
      <w:r w:rsidR="006336AD" w:rsidRPr="00F000F1">
        <w:t xml:space="preserve"> the Committee stressed that States </w:t>
      </w:r>
      <w:r w:rsidR="00596BA2">
        <w:t>Parties</w:t>
      </w:r>
      <w:r w:rsidR="006336AD" w:rsidRPr="00F000F1">
        <w:t xml:space="preserve"> often fails to include ICT</w:t>
      </w:r>
      <w:r w:rsidR="006336AD" w:rsidRPr="00F000F1">
        <w:rPr>
          <w:rStyle w:val="FootnoteReference"/>
          <w:rFonts w:cs="Arial"/>
        </w:rPr>
        <w:footnoteReference w:id="134"/>
      </w:r>
      <w:r w:rsidR="0061784F">
        <w:t xml:space="preserve"> (</w:t>
      </w:r>
      <w:r w:rsidR="006336AD" w:rsidRPr="00F000F1">
        <w:t>umbrella term that includes any information and communi</w:t>
      </w:r>
      <w:r w:rsidR="00B5041C">
        <w:softHyphen/>
      </w:r>
      <w:r w:rsidR="006336AD" w:rsidRPr="00F000F1">
        <w:t>ca</w:t>
      </w:r>
      <w:r w:rsidR="00B5041C">
        <w:softHyphen/>
      </w:r>
      <w:r w:rsidR="006336AD" w:rsidRPr="00F000F1">
        <w:t>tion device</w:t>
      </w:r>
      <w:r w:rsidR="0061784F">
        <w:t xml:space="preserve"> or application and its content) </w:t>
      </w:r>
      <w:r w:rsidR="006336AD" w:rsidRPr="00F000F1">
        <w:t>in its disability laws. It stressed the importance to review this law to include ICT which encompasses a wide range of access technologies, such as radio, television, satellite, mobile phones, fixed lines, computers, network hardware and software.</w:t>
      </w:r>
      <w:r w:rsidR="006336AD" w:rsidRPr="00F000F1">
        <w:rPr>
          <w:rStyle w:val="FootnoteReference"/>
          <w:rFonts w:cs="Arial"/>
        </w:rPr>
        <w:footnoteReference w:id="135"/>
      </w:r>
      <w:r w:rsidR="006336AD" w:rsidRPr="00F000F1">
        <w:t xml:space="preserve"> For instance, since 2014, the Committee recommended to States </w:t>
      </w:r>
      <w:r w:rsidR="00596BA2">
        <w:t>Parties</w:t>
      </w:r>
      <w:r w:rsidR="006336AD" w:rsidRPr="00F000F1">
        <w:t xml:space="preserve"> to</w:t>
      </w:r>
      <w:r w:rsidR="0061784F">
        <w:t xml:space="preserve"> be in compliance with the</w:t>
      </w:r>
      <w:r w:rsidR="006336AD" w:rsidRPr="00F000F1">
        <w:t xml:space="preserve"> Web Content Accessibility Guidelines.</w:t>
      </w:r>
      <w:r w:rsidR="006336AD" w:rsidRPr="00F000F1">
        <w:rPr>
          <w:rStyle w:val="FootnoteReference"/>
          <w:rFonts w:cs="Arial"/>
        </w:rPr>
        <w:footnoteReference w:id="136"/>
      </w:r>
      <w:r w:rsidR="006336AD" w:rsidRPr="00F000F1">
        <w:t xml:space="preserve"> It also continuously underlined that all information and communications should be provided in accessible formats including Braille, sign language, captioning, easy-to-read and augmentative and alternative modes of communication. Since 2014</w:t>
      </w:r>
      <w:r w:rsidR="00F614FC">
        <w:t>,</w:t>
      </w:r>
      <w:r w:rsidR="006336AD" w:rsidRPr="00F000F1">
        <w:t xml:space="preserve"> the Committee consistently recommended States </w:t>
      </w:r>
      <w:r w:rsidR="00596BA2">
        <w:t>Parties</w:t>
      </w:r>
      <w:r w:rsidR="006336AD" w:rsidRPr="00F000F1">
        <w:t xml:space="preserve"> to take the appropriate steps to ratify and implement the Marrakesh Treaty </w:t>
      </w:r>
      <w:r w:rsidR="006336AD" w:rsidRPr="00F000F1">
        <w:rPr>
          <w:lang w:val="en-GB"/>
        </w:rPr>
        <w:t>to Facilitate Access to Published Works for Persons Who Are Blind, Visually Impaired, or Otherwise Print Disabled</w:t>
      </w:r>
      <w:r w:rsidR="006336AD" w:rsidRPr="00F000F1">
        <w:t xml:space="preserve"> in its recommendations under article 30 on participation in cultural life, recreation, leisure and sport.</w:t>
      </w:r>
      <w:r w:rsidR="006336AD" w:rsidRPr="00F000F1">
        <w:rPr>
          <w:rStyle w:val="FootnoteReference"/>
          <w:rFonts w:cs="Arial"/>
        </w:rPr>
        <w:footnoteReference w:id="137"/>
      </w:r>
    </w:p>
    <w:p w:rsidR="006336AD" w:rsidRPr="006605B8" w:rsidRDefault="00F2002A" w:rsidP="006605B8">
      <w:pPr>
        <w:rPr>
          <w:u w:val="single"/>
        </w:rPr>
      </w:pPr>
      <w:r w:rsidRPr="006605B8">
        <w:rPr>
          <w:u w:val="single"/>
        </w:rPr>
        <w:t>Accessibility of</w:t>
      </w:r>
      <w:r w:rsidR="006336AD" w:rsidRPr="006605B8">
        <w:rPr>
          <w:u w:val="single"/>
        </w:rPr>
        <w:t xml:space="preserve"> the work of the CRPD Committee</w:t>
      </w:r>
    </w:p>
    <w:p w:rsidR="006E2CA2" w:rsidRDefault="00676354" w:rsidP="006605B8">
      <w:pPr>
        <w:rPr>
          <w:lang w:val="en-GB"/>
        </w:rPr>
      </w:pPr>
      <w:r>
        <w:t xml:space="preserve">57. </w:t>
      </w:r>
      <w:r w:rsidR="00222B08" w:rsidRPr="00222B08">
        <w:t>The Committee commissioned an</w:t>
      </w:r>
      <w:r w:rsidR="00222B08" w:rsidRPr="00222B08">
        <w:rPr>
          <w:lang w:val="en-GB"/>
        </w:rPr>
        <w:t xml:space="preserve"> External Accessibility Team of Researchers from AbilityNet, Microsoft, and Middlesex University to draft a report on accessibility to the </w:t>
      </w:r>
      <w:r w:rsidR="006E2CA2">
        <w:rPr>
          <w:lang w:val="en-GB"/>
        </w:rPr>
        <w:t xml:space="preserve">meetings of the Committee (2012). </w:t>
      </w:r>
    </w:p>
    <w:p w:rsidR="00ED502E" w:rsidRPr="00222B08" w:rsidRDefault="00676354" w:rsidP="006605B8">
      <w:pPr>
        <w:rPr>
          <w:lang w:val="en-GB"/>
        </w:rPr>
      </w:pPr>
      <w:r>
        <w:t xml:space="preserve">58. </w:t>
      </w:r>
      <w:r w:rsidR="006E2CA2">
        <w:t>T</w:t>
      </w:r>
      <w:r w:rsidR="007D5481" w:rsidRPr="00222B08">
        <w:t>he Committee included accessibility in its working methods</w:t>
      </w:r>
      <w:r w:rsidR="00ED502E" w:rsidRPr="00222B08">
        <w:t xml:space="preserve"> of 2012</w:t>
      </w:r>
      <w:r w:rsidR="007C03BC">
        <w:t>.</w:t>
      </w:r>
      <w:r w:rsidR="00BD4863" w:rsidRPr="00222B08">
        <w:t xml:space="preserve"> </w:t>
      </w:r>
      <w:r w:rsidR="006C6F22">
        <w:t>It states that its</w:t>
      </w:r>
      <w:r w:rsidR="00BD4863" w:rsidRPr="00222B08">
        <w:t xml:space="preserve"> documents will be disseminated in all accessible formats</w:t>
      </w:r>
      <w:r w:rsidR="007617ED" w:rsidRPr="00222B08">
        <w:t>.</w:t>
      </w:r>
      <w:r w:rsidR="007D5481" w:rsidRPr="00222B08">
        <w:rPr>
          <w:rStyle w:val="FootnoteReference"/>
          <w:rFonts w:cs="Arial"/>
          <w:szCs w:val="22"/>
        </w:rPr>
        <w:footnoteReference w:id="138"/>
      </w:r>
      <w:r w:rsidR="007D5481" w:rsidRPr="00222B08">
        <w:t xml:space="preserve"> </w:t>
      </w:r>
      <w:r w:rsidR="00A831F2">
        <w:t>The Committee’s regular budget provides for the provision of sign language interpretation, captioning, and, to a limited extent, Braille. Documentation in Plain Language and Easy Read has not been included in the budget of the Committee by the UN General Assembly. At the end of 2017, the United Nations Office in Geneva conducted a pilot project to produce some of the core documents of the Committee in Plain English.</w:t>
      </w:r>
      <w:r w:rsidR="00FD7498">
        <w:rPr>
          <w:rStyle w:val="FootnoteReference"/>
          <w:rFonts w:cs="Arial"/>
          <w:szCs w:val="22"/>
        </w:rPr>
        <w:footnoteReference w:id="139"/>
      </w:r>
      <w:r w:rsidR="00ED502E" w:rsidRPr="00222B08">
        <w:t xml:space="preserve"> </w:t>
      </w:r>
    </w:p>
    <w:p w:rsidR="004C62B2" w:rsidRPr="00F000F1" w:rsidRDefault="004C62B2" w:rsidP="006605B8">
      <w:pPr>
        <w:pStyle w:val="Heading3"/>
      </w:pPr>
      <w:bookmarkStart w:id="27" w:name="_Toc522542408"/>
      <w:r w:rsidRPr="00F000F1">
        <w:t>i</w:t>
      </w:r>
      <w:r w:rsidR="0026293A" w:rsidRPr="00F000F1">
        <w:t>ii</w:t>
      </w:r>
      <w:r w:rsidRPr="00F000F1">
        <w:t>. Diversity of persons with disabilities</w:t>
      </w:r>
      <w:bookmarkEnd w:id="27"/>
    </w:p>
    <w:p w:rsidR="004C62B2" w:rsidRPr="00F000F1" w:rsidRDefault="00676354" w:rsidP="006605B8">
      <w:r>
        <w:t xml:space="preserve">59. </w:t>
      </w:r>
      <w:r w:rsidR="004C62B2" w:rsidRPr="00F000F1">
        <w:t xml:space="preserve">In line with the preamble of the Convention, States </w:t>
      </w:r>
      <w:r w:rsidR="00596BA2">
        <w:t>Parties</w:t>
      </w:r>
      <w:r w:rsidR="004C62B2" w:rsidRPr="00F000F1">
        <w:t xml:space="preserve"> should recognize the diversity of persons with disabilities.</w:t>
      </w:r>
      <w:r w:rsidR="004C62B2" w:rsidRPr="00F000F1">
        <w:rPr>
          <w:rStyle w:val="FootnoteReference"/>
          <w:rFonts w:cs="Arial"/>
          <w:bCs/>
          <w:iCs/>
          <w:szCs w:val="22"/>
        </w:rPr>
        <w:footnoteReference w:id="140"/>
      </w:r>
      <w:r w:rsidR="004C62B2" w:rsidRPr="00F000F1">
        <w:t xml:space="preserve"> The Committee recognizes this diversity by addressing the multitudes of barriers faced by various groups of persons with all typ</w:t>
      </w:r>
      <w:r w:rsidR="00DA3C86">
        <w:t>es of impairment</w:t>
      </w:r>
      <w:r w:rsidR="004C62B2" w:rsidRPr="00F000F1">
        <w:t>.</w:t>
      </w:r>
    </w:p>
    <w:p w:rsidR="004C62B2" w:rsidRPr="006605B8" w:rsidRDefault="004C62B2" w:rsidP="006605B8">
      <w:pPr>
        <w:rPr>
          <w:u w:val="single"/>
        </w:rPr>
      </w:pPr>
      <w:r w:rsidRPr="006605B8">
        <w:rPr>
          <w:u w:val="single"/>
        </w:rPr>
        <w:t>Persons with all types of impairment</w:t>
      </w:r>
    </w:p>
    <w:p w:rsidR="004C62B2" w:rsidRPr="00F000F1" w:rsidRDefault="00676354" w:rsidP="006605B8">
      <w:r>
        <w:t xml:space="preserve">60. </w:t>
      </w:r>
      <w:r w:rsidR="004C62B2" w:rsidRPr="00F000F1">
        <w:t xml:space="preserve">The new human rights model of disability is based of a new understanding of disability that contrary to the outdated medical model does not reduce persons with disabilities to their impairment. However, this does not preclude recognizing that persons with different impairments may face different barriers in society. In that </w:t>
      </w:r>
      <w:r w:rsidR="00DA3C86">
        <w:t>context</w:t>
      </w:r>
      <w:r w:rsidR="004C62B2" w:rsidRPr="00F000F1">
        <w:t>, the Committee stressed that the classification of disability shall be human rights-based and not exclude certain groups of persons with disabilities.</w:t>
      </w:r>
      <w:r w:rsidR="004C62B2" w:rsidRPr="00F000F1">
        <w:rPr>
          <w:rStyle w:val="FootnoteReference"/>
          <w:rFonts w:cs="Arial"/>
          <w:szCs w:val="22"/>
        </w:rPr>
        <w:footnoteReference w:id="141"/>
      </w:r>
    </w:p>
    <w:p w:rsidR="004C62B2" w:rsidRPr="00F000F1" w:rsidRDefault="00676354" w:rsidP="006605B8">
      <w:pPr>
        <w:rPr>
          <w:rFonts w:eastAsia="Times New Roman"/>
        </w:rPr>
      </w:pPr>
      <w:r>
        <w:t xml:space="preserve">61. </w:t>
      </w:r>
      <w:r w:rsidR="004C62B2" w:rsidRPr="00F000F1">
        <w:t>Since the beginning of its work</w:t>
      </w:r>
      <w:r w:rsidR="00E37867">
        <w:t>,</w:t>
      </w:r>
      <w:r w:rsidR="004C62B2" w:rsidRPr="00F000F1">
        <w:t xml:space="preserve"> the Committee addressed principally four groups of persons with disabilities according to impairment: persons with physical disabilities/mobility impairment, persons with intellectual disabilities, persons with psychosocial disabilities and persons with sensory impairments, including persons with hearing impairment (</w:t>
      </w:r>
      <w:r w:rsidR="00633F1F">
        <w:t>deaf</w:t>
      </w:r>
      <w:r w:rsidR="00633F1F" w:rsidRPr="00F000F1">
        <w:t xml:space="preserve"> </w:t>
      </w:r>
      <w:r w:rsidR="004C62B2" w:rsidRPr="00F000F1">
        <w:t xml:space="preserve">or hard of hearing), persons with visual impairment and more sporadically </w:t>
      </w:r>
      <w:r w:rsidR="00633F1F">
        <w:t>blind</w:t>
      </w:r>
      <w:r w:rsidR="004C62B2" w:rsidRPr="00F000F1">
        <w:rPr>
          <w:rStyle w:val="FootnoteReference"/>
          <w:rFonts w:cs="Arial"/>
          <w:szCs w:val="22"/>
        </w:rPr>
        <w:footnoteReference w:id="142"/>
      </w:r>
      <w:r w:rsidR="004C62B2" w:rsidRPr="00F000F1">
        <w:t xml:space="preserve"> or deaf-blind </w:t>
      </w:r>
      <w:r w:rsidR="00FD7498">
        <w:t>persons</w:t>
      </w:r>
      <w:r w:rsidR="004C62B2" w:rsidRPr="00F000F1">
        <w:t>.</w:t>
      </w:r>
      <w:r w:rsidR="004C62B2" w:rsidRPr="00F000F1">
        <w:rPr>
          <w:rStyle w:val="FootnoteReference"/>
          <w:rFonts w:cs="Arial"/>
          <w:szCs w:val="22"/>
        </w:rPr>
        <w:footnoteReference w:id="143"/>
      </w:r>
      <w:r w:rsidR="004C62B2" w:rsidRPr="00F000F1">
        <w:t xml:space="preserve"> The diversity of these groups is also present in the variety of communication received by the Committee. Among the decisions on communication adopted by the Committee, two cases concern of </w:t>
      </w:r>
      <w:r w:rsidR="004C62B2" w:rsidRPr="00F000F1">
        <w:rPr>
          <w:rFonts w:eastAsia="Times New Roman"/>
        </w:rPr>
        <w:t>persons with hearing impairments,</w:t>
      </w:r>
      <w:r w:rsidR="004C62B2" w:rsidRPr="00F000F1">
        <w:rPr>
          <w:rStyle w:val="FootnoteReference"/>
          <w:rFonts w:eastAsia="Times New Roman" w:cs="Arial"/>
          <w:szCs w:val="22"/>
        </w:rPr>
        <w:footnoteReference w:id="144"/>
      </w:r>
      <w:r w:rsidR="004C62B2" w:rsidRPr="00F000F1">
        <w:rPr>
          <w:rFonts w:eastAsia="Times New Roman"/>
        </w:rPr>
        <w:t xml:space="preserve"> three </w:t>
      </w:r>
      <w:r w:rsidR="004C62B2" w:rsidRPr="00F000F1">
        <w:t>cases concern</w:t>
      </w:r>
      <w:r w:rsidR="004C62B2" w:rsidRPr="00F000F1">
        <w:rPr>
          <w:rFonts w:eastAsia="Times New Roman"/>
        </w:rPr>
        <w:t xml:space="preserve"> persons with visual impairment,</w:t>
      </w:r>
      <w:r w:rsidR="004C62B2" w:rsidRPr="00F000F1">
        <w:rPr>
          <w:rStyle w:val="FootnoteReference"/>
          <w:rFonts w:eastAsia="Times New Roman" w:cs="Arial"/>
          <w:szCs w:val="22"/>
        </w:rPr>
        <w:footnoteReference w:id="145"/>
      </w:r>
      <w:r w:rsidR="004C62B2" w:rsidRPr="00F000F1">
        <w:rPr>
          <w:rFonts w:eastAsia="Times New Roman"/>
        </w:rPr>
        <w:t xml:space="preserve"> three </w:t>
      </w:r>
      <w:r w:rsidR="004C62B2" w:rsidRPr="00F000F1">
        <w:t>cases concern</w:t>
      </w:r>
      <w:r w:rsidR="004C62B2" w:rsidRPr="00F000F1">
        <w:rPr>
          <w:rFonts w:eastAsia="Times New Roman"/>
        </w:rPr>
        <w:t xml:space="preserve"> persons with intellectual and/or psychosocial disabilities,</w:t>
      </w:r>
      <w:r w:rsidR="004C62B2" w:rsidRPr="00F000F1">
        <w:rPr>
          <w:rStyle w:val="FootnoteReference"/>
          <w:rFonts w:eastAsia="Times New Roman" w:cs="Arial"/>
          <w:szCs w:val="22"/>
        </w:rPr>
        <w:footnoteReference w:id="146"/>
      </w:r>
      <w:r w:rsidR="004C62B2" w:rsidRPr="00F000F1">
        <w:rPr>
          <w:rFonts w:eastAsia="Times New Roman"/>
        </w:rPr>
        <w:t xml:space="preserve"> four </w:t>
      </w:r>
      <w:r w:rsidR="004C62B2" w:rsidRPr="00F000F1">
        <w:t>cases concern</w:t>
      </w:r>
      <w:r w:rsidR="004C62B2" w:rsidRPr="00F000F1">
        <w:rPr>
          <w:rFonts w:eastAsia="Times New Roman"/>
        </w:rPr>
        <w:t xml:space="preserve"> persons with mobility impairment,</w:t>
      </w:r>
      <w:r w:rsidR="004C62B2" w:rsidRPr="00F000F1">
        <w:rPr>
          <w:rStyle w:val="FootnoteReference"/>
          <w:rFonts w:eastAsia="Times New Roman" w:cs="Arial"/>
          <w:szCs w:val="22"/>
        </w:rPr>
        <w:footnoteReference w:id="147"/>
      </w:r>
      <w:r w:rsidR="004C62B2" w:rsidRPr="00F000F1">
        <w:rPr>
          <w:rFonts w:eastAsia="Times New Roman"/>
        </w:rPr>
        <w:t xml:space="preserve"> one </w:t>
      </w:r>
      <w:r w:rsidR="004C62B2" w:rsidRPr="00F000F1">
        <w:t>case concerns</w:t>
      </w:r>
      <w:r w:rsidR="004C62B2" w:rsidRPr="00F000F1">
        <w:rPr>
          <w:rFonts w:eastAsia="Times New Roman"/>
        </w:rPr>
        <w:t xml:space="preserve"> a person with albinism,</w:t>
      </w:r>
      <w:r w:rsidR="004C62B2" w:rsidRPr="00F000F1">
        <w:rPr>
          <w:rStyle w:val="FootnoteReference"/>
          <w:rFonts w:eastAsia="Times New Roman" w:cs="Arial"/>
          <w:szCs w:val="22"/>
        </w:rPr>
        <w:footnoteReference w:id="148"/>
      </w:r>
      <w:r w:rsidR="004C62B2" w:rsidRPr="00F000F1">
        <w:rPr>
          <w:rFonts w:eastAsia="Times New Roman"/>
        </w:rPr>
        <w:t xml:space="preserve"> one other </w:t>
      </w:r>
      <w:r w:rsidR="004C62B2" w:rsidRPr="00F000F1">
        <w:t>case concerns</w:t>
      </w:r>
      <w:r w:rsidR="004C62B2" w:rsidRPr="00F000F1">
        <w:rPr>
          <w:rFonts w:eastAsia="Times New Roman"/>
        </w:rPr>
        <w:t xml:space="preserve"> a person with multiple impairments</w:t>
      </w:r>
      <w:r w:rsidR="004C62B2" w:rsidRPr="00F000F1">
        <w:rPr>
          <w:rStyle w:val="FootnoteReference"/>
          <w:rFonts w:eastAsia="Times New Roman" w:cs="Arial"/>
          <w:szCs w:val="22"/>
        </w:rPr>
        <w:footnoteReference w:id="149"/>
      </w:r>
      <w:r w:rsidR="004C62B2" w:rsidRPr="00F000F1">
        <w:rPr>
          <w:rFonts w:eastAsia="Times New Roman"/>
        </w:rPr>
        <w:t xml:space="preserve"> and finally another case concerns a person with degenerative illness.</w:t>
      </w:r>
      <w:r w:rsidR="004C62B2" w:rsidRPr="00F000F1">
        <w:rPr>
          <w:rStyle w:val="FootnoteReference"/>
          <w:rFonts w:eastAsia="Times New Roman" w:cs="Arial"/>
          <w:szCs w:val="22"/>
        </w:rPr>
        <w:footnoteReference w:id="150"/>
      </w:r>
      <w:r w:rsidR="004C62B2" w:rsidRPr="00F000F1">
        <w:rPr>
          <w:rFonts w:eastAsia="Times New Roman"/>
        </w:rPr>
        <w:t xml:space="preserve"> </w:t>
      </w:r>
    </w:p>
    <w:p w:rsidR="004C62B2" w:rsidRPr="00F000F1" w:rsidRDefault="00676354" w:rsidP="006605B8">
      <w:r>
        <w:t xml:space="preserve">62. </w:t>
      </w:r>
      <w:r w:rsidR="004C62B2" w:rsidRPr="00F000F1">
        <w:t>Over time, the Committee</w:t>
      </w:r>
      <w:r w:rsidR="00C100A2">
        <w:t xml:space="preserve"> also referred to other groups in its general comments or during </w:t>
      </w:r>
      <w:r w:rsidR="004C62B2" w:rsidRPr="00F000F1">
        <w:t xml:space="preserve">its periodic review of States </w:t>
      </w:r>
      <w:r w:rsidR="00596BA2">
        <w:t>Parties</w:t>
      </w:r>
      <w:r w:rsidR="004C62B2" w:rsidRPr="00F000F1">
        <w:t>’ reports. It referred for the first time to persons with autism in its</w:t>
      </w:r>
      <w:r w:rsidR="00FE5E04">
        <w:t xml:space="preserve"> General Comment No</w:t>
      </w:r>
      <w:r w:rsidR="00375197">
        <w:t>.</w:t>
      </w:r>
      <w:r w:rsidR="00FE5E04">
        <w:t xml:space="preserve"> 4</w:t>
      </w:r>
      <w:r w:rsidR="00FE5E04">
        <w:rPr>
          <w:rStyle w:val="FootnoteReference"/>
          <w:rFonts w:cs="Arial"/>
          <w:szCs w:val="22"/>
        </w:rPr>
        <w:footnoteReference w:id="151"/>
      </w:r>
      <w:r w:rsidR="00FE5E04">
        <w:t xml:space="preserve"> on the right to education and its</w:t>
      </w:r>
      <w:r w:rsidR="004C62B2" w:rsidRPr="00F000F1">
        <w:t xml:space="preserve"> concluding observations of 2014</w:t>
      </w:r>
      <w:r w:rsidR="004C62B2" w:rsidRPr="00F000F1">
        <w:rPr>
          <w:rStyle w:val="FootnoteReference"/>
          <w:rFonts w:cs="Arial"/>
          <w:szCs w:val="22"/>
        </w:rPr>
        <w:footnoteReference w:id="152"/>
      </w:r>
      <w:r w:rsidR="004C62B2" w:rsidRPr="00F000F1">
        <w:t xml:space="preserve"> and to persons with albinism</w:t>
      </w:r>
      <w:r w:rsidR="00252F21">
        <w:t xml:space="preserve"> in its General Comment No</w:t>
      </w:r>
      <w:r w:rsidR="00375197">
        <w:t>.</w:t>
      </w:r>
      <w:r w:rsidR="00252F21">
        <w:t xml:space="preserve"> 3 on women with disabilities</w:t>
      </w:r>
      <w:r w:rsidR="00252F21">
        <w:rPr>
          <w:rStyle w:val="FootnoteReference"/>
          <w:rFonts w:cs="Arial"/>
          <w:szCs w:val="22"/>
        </w:rPr>
        <w:footnoteReference w:id="153"/>
      </w:r>
      <w:r w:rsidR="00252F21">
        <w:t xml:space="preserve"> and</w:t>
      </w:r>
      <w:r w:rsidR="004C62B2" w:rsidRPr="00F000F1">
        <w:t xml:space="preserve"> in its concluding observations of 2016.</w:t>
      </w:r>
      <w:r w:rsidR="004C62B2" w:rsidRPr="00F000F1">
        <w:rPr>
          <w:rStyle w:val="FootnoteReference"/>
          <w:rFonts w:cs="Arial"/>
          <w:szCs w:val="22"/>
        </w:rPr>
        <w:footnoteReference w:id="154"/>
      </w:r>
      <w:r w:rsidR="004C62B2" w:rsidRPr="00F000F1">
        <w:t xml:space="preserve"> It also mentioned occasionally “complex physical disabilities”,</w:t>
      </w:r>
      <w:r w:rsidR="004C62B2" w:rsidRPr="00F000F1">
        <w:rPr>
          <w:rStyle w:val="FootnoteReference"/>
          <w:rFonts w:cs="Arial"/>
          <w:szCs w:val="22"/>
        </w:rPr>
        <w:footnoteReference w:id="155"/>
      </w:r>
      <w:r w:rsidR="004C62B2" w:rsidRPr="00F000F1">
        <w:t xml:space="preserve"> cognitive impairment,</w:t>
      </w:r>
      <w:r w:rsidR="004C62B2" w:rsidRPr="00F000F1">
        <w:rPr>
          <w:rStyle w:val="FootnoteReference"/>
          <w:rFonts w:cs="Arial"/>
          <w:szCs w:val="22"/>
        </w:rPr>
        <w:footnoteReference w:id="156"/>
      </w:r>
      <w:r w:rsidR="004C62B2" w:rsidRPr="00F000F1">
        <w:t xml:space="preserve"> motor impairment,</w:t>
      </w:r>
      <w:r w:rsidR="004C62B2" w:rsidRPr="00F000F1">
        <w:rPr>
          <w:rStyle w:val="FootnoteReference"/>
          <w:rFonts w:cs="Arial"/>
          <w:szCs w:val="22"/>
        </w:rPr>
        <w:footnoteReference w:id="157"/>
      </w:r>
      <w:r w:rsidR="004C62B2" w:rsidRPr="00F000F1">
        <w:t xml:space="preserve"> multiple forms of disabilities,</w:t>
      </w:r>
      <w:r w:rsidR="004C62B2" w:rsidRPr="00F000F1">
        <w:rPr>
          <w:rStyle w:val="FootnoteReference"/>
          <w:rFonts w:cs="Arial"/>
          <w:szCs w:val="22"/>
        </w:rPr>
        <w:footnoteReference w:id="158"/>
      </w:r>
      <w:r w:rsidR="004C62B2" w:rsidRPr="00F000F1">
        <w:t xml:space="preserve"> neurological and cognitive conditions,</w:t>
      </w:r>
      <w:r w:rsidR="004C62B2" w:rsidRPr="00F000F1">
        <w:rPr>
          <w:rStyle w:val="FootnoteReference"/>
          <w:rFonts w:cs="Arial"/>
          <w:szCs w:val="22"/>
        </w:rPr>
        <w:footnoteReference w:id="159"/>
      </w:r>
      <w:r w:rsidR="004C62B2" w:rsidRPr="00F000F1">
        <w:t xml:space="preserve"> people with leprosy,</w:t>
      </w:r>
      <w:r w:rsidR="004C62B2" w:rsidRPr="00F000F1">
        <w:rPr>
          <w:rStyle w:val="FootnoteReference"/>
          <w:rFonts w:cs="Arial"/>
          <w:szCs w:val="22"/>
        </w:rPr>
        <w:footnoteReference w:id="160"/>
      </w:r>
      <w:r w:rsidR="004C62B2" w:rsidRPr="00F000F1">
        <w:t xml:space="preserve"> and persons with neurodegenerative conditions, including Alzheimer, dementia and multiple sclerosis.</w:t>
      </w:r>
      <w:r w:rsidR="004C62B2" w:rsidRPr="00F000F1">
        <w:rPr>
          <w:rStyle w:val="FootnoteReference"/>
          <w:rFonts w:cs="Arial"/>
          <w:szCs w:val="22"/>
        </w:rPr>
        <w:footnoteReference w:id="161"/>
      </w:r>
      <w:r w:rsidR="004C62B2" w:rsidRPr="00F000F1">
        <w:t xml:space="preserve"> </w:t>
      </w:r>
    </w:p>
    <w:p w:rsidR="004C62B2" w:rsidRPr="006605B8" w:rsidRDefault="00B5795C" w:rsidP="006605B8">
      <w:pPr>
        <w:rPr>
          <w:u w:val="single"/>
        </w:rPr>
      </w:pPr>
      <w:r w:rsidRPr="006605B8">
        <w:rPr>
          <w:u w:val="single"/>
        </w:rPr>
        <w:t>Inter</w:t>
      </w:r>
      <w:r w:rsidR="004C62B2" w:rsidRPr="006605B8">
        <w:rPr>
          <w:u w:val="single"/>
        </w:rPr>
        <w:t>sectionality: various groups of persons with disabilities</w:t>
      </w:r>
    </w:p>
    <w:p w:rsidR="004C62B2" w:rsidRPr="00F000F1" w:rsidRDefault="00676354" w:rsidP="006605B8">
      <w:r>
        <w:t xml:space="preserve">63. </w:t>
      </w:r>
      <w:r w:rsidR="004C62B2" w:rsidRPr="00F000F1">
        <w:t>As disability is one of several layers of identity,</w:t>
      </w:r>
      <w:r w:rsidR="004C62B2" w:rsidRPr="00F000F1">
        <w:rPr>
          <w:rStyle w:val="FootnoteReference"/>
          <w:rFonts w:cs="Arial"/>
          <w:bCs/>
          <w:iCs/>
          <w:szCs w:val="22"/>
        </w:rPr>
        <w:footnoteReference w:id="162"/>
      </w:r>
      <w:r w:rsidR="004C62B2" w:rsidRPr="00F000F1">
        <w:t xml:space="preserve"> recognizing various groups of persons with disabilities has also been important to address intersectional and multiple forms of discrimination. While the preamble of the Convention notes the “difficult conditions faced by persons with disabilities who are subject to multiple or aggravated forms of discrimination on the basis of race, colour, sex, language, religion, political or other opinion, national, ethnic, indigenous or social origin, property, birth, age or other status”</w:t>
      </w:r>
      <w:r w:rsidR="00E656F4">
        <w:t>,</w:t>
      </w:r>
      <w:r w:rsidR="004C62B2" w:rsidRPr="00F000F1">
        <w:t xml:space="preserve"> the Committee has over the year added new grounds that it understo</w:t>
      </w:r>
      <w:r w:rsidR="00E656F4">
        <w:t>od under “other status</w:t>
      </w:r>
      <w:r w:rsidR="006C5B7D">
        <w:t>”</w:t>
      </w:r>
      <w:r w:rsidR="00E656F4">
        <w:t>,</w:t>
      </w:r>
      <w:r w:rsidR="00E5221D">
        <w:t xml:space="preserve"> or</w:t>
      </w:r>
      <w:r w:rsidR="006C5B7D">
        <w:t xml:space="preserve"> referred to </w:t>
      </w:r>
      <w:r w:rsidR="004C62B2" w:rsidRPr="00F000F1">
        <w:t>in General Comment No</w:t>
      </w:r>
      <w:r w:rsidR="00375197">
        <w:t>.</w:t>
      </w:r>
      <w:r w:rsidR="004C62B2" w:rsidRPr="00F000F1">
        <w:t xml:space="preserve"> 6 as “other layers of identity”</w:t>
      </w:r>
      <w:r w:rsidR="00E656F4">
        <w:t>.</w:t>
      </w:r>
      <w:r w:rsidR="004C62B2" w:rsidRPr="00F000F1">
        <w:rPr>
          <w:rStyle w:val="FootnoteReference"/>
          <w:rFonts w:cs="Arial"/>
          <w:bCs/>
          <w:iCs/>
          <w:szCs w:val="22"/>
        </w:rPr>
        <w:footnoteReference w:id="163"/>
      </w:r>
      <w:r w:rsidR="004C62B2" w:rsidRPr="00F000F1">
        <w:t xml:space="preserve"> </w:t>
      </w:r>
    </w:p>
    <w:p w:rsidR="00C758F7" w:rsidRPr="00F000F1" w:rsidRDefault="00676354" w:rsidP="006605B8">
      <w:r>
        <w:t xml:space="preserve">64. </w:t>
      </w:r>
      <w:r w:rsidR="004C62B2" w:rsidRPr="00F000F1">
        <w:t>Namely the Committee had referred to: women;</w:t>
      </w:r>
      <w:r w:rsidR="007309E6" w:rsidRPr="00F000F1">
        <w:rPr>
          <w:rStyle w:val="FootnoteReference"/>
          <w:rFonts w:cs="Arial"/>
          <w:bCs/>
          <w:iCs/>
          <w:szCs w:val="22"/>
        </w:rPr>
        <w:footnoteReference w:id="164"/>
      </w:r>
      <w:r w:rsidR="004C62B2" w:rsidRPr="00F000F1">
        <w:t xml:space="preserve"> girls and boys; children; young people; older people; minority, ethnic, religious and/or linguistic groups (including Roma people);</w:t>
      </w:r>
      <w:r w:rsidR="004C62B2" w:rsidRPr="00F000F1">
        <w:rPr>
          <w:rStyle w:val="FootnoteReference"/>
          <w:rFonts w:cs="Arial"/>
          <w:szCs w:val="22"/>
        </w:rPr>
        <w:footnoteReference w:id="165"/>
      </w:r>
      <w:r w:rsidR="004C62B2" w:rsidRPr="00F000F1">
        <w:t xml:space="preserve"> indigenous people; migrants, refugees and asylum seekers; non-national;</w:t>
      </w:r>
      <w:r w:rsidR="004C62B2" w:rsidRPr="00F000F1">
        <w:rPr>
          <w:rStyle w:val="FootnoteReference"/>
          <w:rFonts w:cs="Arial"/>
          <w:szCs w:val="22"/>
        </w:rPr>
        <w:footnoteReference w:id="166"/>
      </w:r>
      <w:r w:rsidR="004C62B2" w:rsidRPr="00F000F1">
        <w:t xml:space="preserve"> people living in remote or rural areas; </w:t>
      </w:r>
      <w:r w:rsidR="004C62B2" w:rsidRPr="00F000F1">
        <w:rPr>
          <w:lang w:val="en-GB"/>
        </w:rPr>
        <w:t>lesbian, gay, bisexual, transgender</w:t>
      </w:r>
      <w:r w:rsidR="007309E6" w:rsidRPr="00F000F1">
        <w:rPr>
          <w:lang w:val="en-GB"/>
        </w:rPr>
        <w:t>,</w:t>
      </w:r>
      <w:r w:rsidR="004C62B2" w:rsidRPr="00F000F1">
        <w:rPr>
          <w:rStyle w:val="FootnoteReference"/>
          <w:rFonts w:cs="Arial"/>
          <w:bCs/>
          <w:iCs/>
          <w:szCs w:val="22"/>
        </w:rPr>
        <w:footnoteReference w:id="167"/>
      </w:r>
      <w:r w:rsidR="007309E6" w:rsidRPr="00F000F1">
        <w:rPr>
          <w:lang w:val="en-GB"/>
        </w:rPr>
        <w:t xml:space="preserve"> queers</w:t>
      </w:r>
      <w:r w:rsidR="007309E6" w:rsidRPr="00F000F1">
        <w:rPr>
          <w:rStyle w:val="FootnoteReference"/>
          <w:rFonts w:cs="Arial"/>
          <w:bCs/>
          <w:iCs/>
          <w:szCs w:val="22"/>
          <w:lang w:val="en-GB"/>
        </w:rPr>
        <w:footnoteReference w:id="168"/>
      </w:r>
      <w:r w:rsidR="004C62B2" w:rsidRPr="00F000F1">
        <w:t xml:space="preserve"> and intersex people with disabilities;</w:t>
      </w:r>
      <w:r w:rsidR="004C62B2" w:rsidRPr="00F000F1">
        <w:rPr>
          <w:rStyle w:val="FootnoteReference"/>
          <w:rFonts w:cs="Arial"/>
          <w:bCs/>
          <w:iCs/>
          <w:szCs w:val="22"/>
        </w:rPr>
        <w:footnoteReference w:id="169"/>
      </w:r>
      <w:r w:rsidR="004C62B2" w:rsidRPr="00F000F1">
        <w:t xml:space="preserve"> afro-descendent with disabilities</w:t>
      </w:r>
      <w:r w:rsidR="004C62B2" w:rsidRPr="00F000F1">
        <w:rPr>
          <w:rStyle w:val="FootnoteReference"/>
          <w:rFonts w:cs="Arial"/>
          <w:bCs/>
          <w:iCs/>
          <w:szCs w:val="22"/>
        </w:rPr>
        <w:footnoteReference w:id="170"/>
      </w:r>
      <w:r w:rsidR="004C62B2" w:rsidRPr="00F000F1">
        <w:t xml:space="preserve"> and other relevant very specific groups of people, for instance Aboriginal and Torres Strait islander people with disabilities in Australia</w:t>
      </w:r>
      <w:r w:rsidR="004C62B2" w:rsidRPr="00F000F1">
        <w:rPr>
          <w:rStyle w:val="FootnoteReference"/>
          <w:rFonts w:cs="Arial"/>
          <w:bCs/>
          <w:iCs/>
          <w:szCs w:val="22"/>
        </w:rPr>
        <w:footnoteReference w:id="171"/>
      </w:r>
      <w:r w:rsidR="004C62B2" w:rsidRPr="00F000F1">
        <w:t xml:space="preserve"> and Afro-Ecuadorian and Montubio people in Ecuador.</w:t>
      </w:r>
      <w:r w:rsidR="004C62B2" w:rsidRPr="00F000F1">
        <w:rPr>
          <w:rStyle w:val="FootnoteReference"/>
          <w:rFonts w:cs="Arial"/>
          <w:bCs/>
          <w:iCs/>
          <w:szCs w:val="22"/>
        </w:rPr>
        <w:footnoteReference w:id="172"/>
      </w:r>
      <w:r w:rsidR="004C62B2" w:rsidRPr="00F000F1">
        <w:t xml:space="preserve"> </w:t>
      </w:r>
    </w:p>
    <w:p w:rsidR="00C758F7" w:rsidRPr="00F000F1" w:rsidRDefault="00C758F7" w:rsidP="006605B8">
      <w:pPr>
        <w:pStyle w:val="Heading3"/>
        <w:rPr>
          <w:iCs/>
        </w:rPr>
      </w:pPr>
      <w:bookmarkStart w:id="28" w:name="_Toc522542409"/>
      <w:r w:rsidRPr="00F000F1">
        <w:t>iv. Gender</w:t>
      </w:r>
      <w:bookmarkEnd w:id="28"/>
    </w:p>
    <w:p w:rsidR="00416E21" w:rsidRPr="00F000F1" w:rsidRDefault="00676354" w:rsidP="006605B8">
      <w:r>
        <w:t xml:space="preserve">65. </w:t>
      </w:r>
      <w:r w:rsidR="00416E21" w:rsidRPr="00F000F1">
        <w:t>Gender-perspectives have increasingly been included into the work of the CRPD Committee over the years. The Committee recognizes gender as a component of the diversity of persons with disabilities</w:t>
      </w:r>
      <w:r w:rsidR="00416E21" w:rsidRPr="00F000F1">
        <w:rPr>
          <w:rStyle w:val="FootnoteReference"/>
          <w:rFonts w:cs="Arial"/>
          <w:szCs w:val="22"/>
        </w:rPr>
        <w:footnoteReference w:id="173"/>
      </w:r>
      <w:r w:rsidR="00416E21" w:rsidRPr="00F000F1">
        <w:t xml:space="preserve"> and a ground of intersectional or multiple discrimination, particularly affecting women with disabilities.</w:t>
      </w:r>
      <w:r w:rsidR="00416E21" w:rsidRPr="00F000F1">
        <w:rPr>
          <w:rStyle w:val="FootnoteReference"/>
          <w:rFonts w:cs="Arial"/>
          <w:szCs w:val="22"/>
        </w:rPr>
        <w:footnoteReference w:id="174"/>
      </w:r>
      <w:r w:rsidR="00416E21" w:rsidRPr="00F000F1">
        <w:t xml:space="preserve"> The Committee stressed that women and girls with disabilities face barriers in most areas of life,</w:t>
      </w:r>
      <w:r w:rsidR="00416E21" w:rsidRPr="00F000F1">
        <w:rPr>
          <w:rStyle w:val="FootnoteReference"/>
          <w:rFonts w:cs="Arial"/>
          <w:szCs w:val="22"/>
        </w:rPr>
        <w:footnoteReference w:id="175"/>
      </w:r>
      <w:r w:rsidR="00416E21" w:rsidRPr="00F000F1">
        <w:t xml:space="preserve"> in particular gender based discrimination</w:t>
      </w:r>
      <w:r w:rsidR="00416E21" w:rsidRPr="00F000F1">
        <w:rPr>
          <w:rStyle w:val="FootnoteReference"/>
          <w:rFonts w:cs="Arial"/>
          <w:szCs w:val="22"/>
        </w:rPr>
        <w:footnoteReference w:id="176"/>
      </w:r>
      <w:r w:rsidR="00416E21" w:rsidRPr="00F000F1">
        <w:t xml:space="preserve"> and violence,</w:t>
      </w:r>
      <w:r w:rsidR="00416E21" w:rsidRPr="00F000F1">
        <w:rPr>
          <w:rStyle w:val="FootnoteReference"/>
          <w:rFonts w:cs="Arial"/>
          <w:szCs w:val="22"/>
        </w:rPr>
        <w:footnoteReference w:id="177"/>
      </w:r>
      <w:r w:rsidR="00416E21" w:rsidRPr="00F000F1">
        <w:t xml:space="preserve"> including forced sterilization, sexual and physical abuse</w:t>
      </w:r>
      <w:r w:rsidR="0044360E">
        <w:t>,</w:t>
      </w:r>
      <w:r w:rsidR="00416E21" w:rsidRPr="00F000F1">
        <w:t xml:space="preserve"> and isolation.</w:t>
      </w:r>
      <w:r w:rsidR="00416E21" w:rsidRPr="00F000F1">
        <w:rPr>
          <w:rStyle w:val="FootnoteReference"/>
          <w:rFonts w:cs="Arial"/>
          <w:szCs w:val="22"/>
        </w:rPr>
        <w:footnoteReference w:id="178"/>
      </w:r>
    </w:p>
    <w:p w:rsidR="00416E21" w:rsidRPr="00F000F1" w:rsidRDefault="00676354" w:rsidP="006605B8">
      <w:r>
        <w:t xml:space="preserve">66. </w:t>
      </w:r>
      <w:r w:rsidR="00416E21" w:rsidRPr="00F000F1">
        <w:t>The Committee adopted a</w:t>
      </w:r>
      <w:r w:rsidR="00E95869">
        <w:t>n</w:t>
      </w:r>
      <w:r w:rsidR="00416E21" w:rsidRPr="00F000F1">
        <w:t xml:space="preserve"> </w:t>
      </w:r>
      <w:r w:rsidR="0044360E" w:rsidRPr="00F000F1">
        <w:t>advanced</w:t>
      </w:r>
      <w:r w:rsidR="00416E21" w:rsidRPr="00F000F1">
        <w:t xml:space="preserve"> d</w:t>
      </w:r>
      <w:r w:rsidR="0044360E">
        <w:t>efinition of</w:t>
      </w:r>
      <w:r w:rsidR="00416E21" w:rsidRPr="00F000F1">
        <w:t xml:space="preserve"> gender. In 2016 it adopted General Comment No</w:t>
      </w:r>
      <w:r w:rsidR="0044360E">
        <w:t>.</w:t>
      </w:r>
      <w:r w:rsidR="00416E21" w:rsidRPr="00F000F1">
        <w:t xml:space="preserve"> 3</w:t>
      </w:r>
      <w:r w:rsidR="0044360E">
        <w:t xml:space="preserve"> </w:t>
      </w:r>
      <w:r w:rsidR="00416E21" w:rsidRPr="00F000F1">
        <w:t>on women</w:t>
      </w:r>
      <w:r w:rsidR="0044360E">
        <w:t xml:space="preserve"> and girls</w:t>
      </w:r>
      <w:r w:rsidR="00416E21" w:rsidRPr="00F000F1">
        <w:t xml:space="preserve"> with disabilities where it distinguishes sex and gender stating that “sex refers to biological differences and gender refers to the characteristics that a society or culture delineates as masculine or feminine.</w:t>
      </w:r>
      <w:r w:rsidR="00416E21" w:rsidRPr="00F000F1">
        <w:rPr>
          <w:rFonts w:cs="Arial"/>
        </w:rPr>
        <w:t>”</w:t>
      </w:r>
      <w:r w:rsidR="00416E21" w:rsidRPr="00F000F1">
        <w:rPr>
          <w:rStyle w:val="FootnoteReference"/>
          <w:rFonts w:cs="Arial"/>
          <w:szCs w:val="22"/>
        </w:rPr>
        <w:footnoteReference w:id="179"/>
      </w:r>
      <w:r w:rsidR="00416E21" w:rsidRPr="00F000F1">
        <w:t xml:space="preserve"> General Comment No</w:t>
      </w:r>
      <w:r w:rsidR="00375197">
        <w:t>.</w:t>
      </w:r>
      <w:r w:rsidR="00416E21" w:rsidRPr="00F000F1">
        <w:t xml:space="preserve"> 5 and General Comment No</w:t>
      </w:r>
      <w:r w:rsidR="00375197">
        <w:t xml:space="preserve">. </w:t>
      </w:r>
      <w:r w:rsidR="00416E21" w:rsidRPr="00F000F1">
        <w:t>6 refer further to “gender identity,”</w:t>
      </w:r>
      <w:r w:rsidR="00416E21" w:rsidRPr="00F000F1">
        <w:rPr>
          <w:rStyle w:val="FootnoteReference"/>
          <w:rFonts w:cs="Arial"/>
          <w:szCs w:val="22"/>
        </w:rPr>
        <w:footnoteReference w:id="180"/>
      </w:r>
      <w:r w:rsidR="00416E21" w:rsidRPr="00F000F1">
        <w:t xml:space="preserve"> and to “gender expression”.</w:t>
      </w:r>
      <w:r w:rsidR="00416E21" w:rsidRPr="00F000F1">
        <w:rPr>
          <w:rStyle w:val="FootnoteReference"/>
          <w:rFonts w:cs="Arial"/>
          <w:szCs w:val="22"/>
        </w:rPr>
        <w:footnoteReference w:id="181"/>
      </w:r>
      <w:r w:rsidR="00416E21" w:rsidRPr="00F000F1">
        <w:t xml:space="preserve"> As such</w:t>
      </w:r>
      <w:r w:rsidR="007F62B7">
        <w:t>,</w:t>
      </w:r>
      <w:r w:rsidR="00416E21" w:rsidRPr="00F000F1">
        <w:t xml:space="preserve"> gender equality and references to women with disabilities must be understood in a progressive fashion. The Committee explicitly stated that women with disabilities are not a homogenous group and that they include, among others, transgender women and intersex persons</w:t>
      </w:r>
      <w:r w:rsidR="0034348F">
        <w:t xml:space="preserve"> with disabilities</w:t>
      </w:r>
      <w:r w:rsidR="00416E21" w:rsidRPr="00F000F1">
        <w:t>.</w:t>
      </w:r>
      <w:r w:rsidR="00416E21" w:rsidRPr="00F000F1">
        <w:rPr>
          <w:rStyle w:val="FootnoteReference"/>
          <w:rFonts w:cs="Arial"/>
          <w:szCs w:val="22"/>
        </w:rPr>
        <w:footnoteReference w:id="182"/>
      </w:r>
    </w:p>
    <w:p w:rsidR="00C758F7" w:rsidRPr="00F000F1" w:rsidRDefault="00676354" w:rsidP="006605B8">
      <w:pPr>
        <w:rPr>
          <w:color w:val="000000"/>
        </w:rPr>
      </w:pPr>
      <w:r>
        <w:t xml:space="preserve">67. </w:t>
      </w:r>
      <w:r w:rsidR="00416E21" w:rsidRPr="00F000F1">
        <w:t>To ensure gender equality and the rights of women</w:t>
      </w:r>
      <w:r w:rsidR="009B00F5">
        <w:t xml:space="preserve"> and girls</w:t>
      </w:r>
      <w:r w:rsidR="00416E21" w:rsidRPr="00F000F1">
        <w:t xml:space="preserve"> with disabilities,</w:t>
      </w:r>
      <w:r w:rsidR="00416E21" w:rsidRPr="00F000F1">
        <w:rPr>
          <w:rStyle w:val="FootnoteReference"/>
          <w:rFonts w:cs="Arial"/>
          <w:szCs w:val="22"/>
        </w:rPr>
        <w:footnoteReference w:id="183"/>
      </w:r>
      <w:r w:rsidR="00416E21" w:rsidRPr="00F000F1">
        <w:t xml:space="preserve"> the Committee noted that States </w:t>
      </w:r>
      <w:r w:rsidR="00596BA2">
        <w:t>Parties</w:t>
      </w:r>
      <w:r w:rsidR="00416E21" w:rsidRPr="00F000F1">
        <w:t xml:space="preserve"> should take into account gender when developing accessibility measures,</w:t>
      </w:r>
      <w:r w:rsidR="00416E21" w:rsidRPr="00F000F1">
        <w:rPr>
          <w:rStyle w:val="FootnoteReference"/>
          <w:rFonts w:cs="Arial"/>
          <w:szCs w:val="22"/>
        </w:rPr>
        <w:footnoteReference w:id="184"/>
      </w:r>
      <w:r w:rsidR="00416E21" w:rsidRPr="00F000F1">
        <w:t xml:space="preserve"> providing health care, particularly reproductive care, including gynecological and obstetric services,</w:t>
      </w:r>
      <w:r w:rsidR="00416E21" w:rsidRPr="00F000F1">
        <w:rPr>
          <w:rStyle w:val="FootnoteReference"/>
          <w:rFonts w:cs="Arial"/>
          <w:szCs w:val="22"/>
        </w:rPr>
        <w:footnoteReference w:id="185"/>
      </w:r>
      <w:r w:rsidR="00416E21" w:rsidRPr="00F000F1">
        <w:t xml:space="preserve"> addressing </w:t>
      </w:r>
      <w:r w:rsidR="00416E21" w:rsidRPr="00F000F1">
        <w:rPr>
          <w:color w:val="000000"/>
        </w:rPr>
        <w:t>stigma, prejudice and violence</w:t>
      </w:r>
      <w:r w:rsidR="00416E21" w:rsidRPr="00F000F1">
        <w:t>,</w:t>
      </w:r>
      <w:r w:rsidR="00416E21" w:rsidRPr="00F000F1">
        <w:rPr>
          <w:rStyle w:val="FootnoteReference"/>
          <w:rFonts w:cs="Arial"/>
          <w:szCs w:val="22"/>
        </w:rPr>
        <w:footnoteReference w:id="186"/>
      </w:r>
      <w:r w:rsidR="00416E21" w:rsidRPr="00F000F1">
        <w:t xml:space="preserve"> ensuring the realization of the right to education</w:t>
      </w:r>
      <w:r w:rsidR="00416E21" w:rsidRPr="00F000F1">
        <w:rPr>
          <w:rStyle w:val="FootnoteReference"/>
          <w:rFonts w:cs="Arial"/>
          <w:color w:val="000000"/>
          <w:szCs w:val="22"/>
        </w:rPr>
        <w:footnoteReference w:id="187"/>
      </w:r>
      <w:r w:rsidR="00416E21" w:rsidRPr="00F000F1">
        <w:t xml:space="preserve"> and to independent living and being included in the community.</w:t>
      </w:r>
      <w:r w:rsidR="00416E21" w:rsidRPr="00F000F1">
        <w:rPr>
          <w:rStyle w:val="FootnoteReference"/>
          <w:rFonts w:cs="Arial"/>
          <w:szCs w:val="22"/>
        </w:rPr>
        <w:footnoteReference w:id="188"/>
      </w:r>
      <w:r w:rsidR="00416E21" w:rsidRPr="00F000F1">
        <w:rPr>
          <w:color w:val="000000"/>
        </w:rPr>
        <w:t xml:space="preserve"> In that context, all measures and their monitoring</w:t>
      </w:r>
      <w:r w:rsidR="00416E21" w:rsidRPr="00F000F1">
        <w:rPr>
          <w:rStyle w:val="FootnoteReference"/>
          <w:rFonts w:cs="Arial"/>
          <w:color w:val="000000"/>
          <w:szCs w:val="22"/>
        </w:rPr>
        <w:footnoteReference w:id="189"/>
      </w:r>
      <w:r w:rsidR="00416E21" w:rsidRPr="00F000F1">
        <w:rPr>
          <w:color w:val="000000"/>
        </w:rPr>
        <w:t xml:space="preserve"> must be gender sensitive. The Committee also emphasized that women and girls with disabilities should be involved in the design, implementation and monitoring of all programs which have an impact on their lives.</w:t>
      </w:r>
      <w:r w:rsidR="00416E21" w:rsidRPr="00F000F1">
        <w:rPr>
          <w:rStyle w:val="FootnoteReference"/>
          <w:rFonts w:cs="Arial"/>
          <w:color w:val="000000"/>
          <w:szCs w:val="22"/>
        </w:rPr>
        <w:footnoteReference w:id="190"/>
      </w:r>
      <w:r w:rsidR="00416E21" w:rsidRPr="00F000F1">
        <w:rPr>
          <w:color w:val="000000"/>
        </w:rPr>
        <w:t xml:space="preserve"> In 2017 it called on States </w:t>
      </w:r>
      <w:r w:rsidR="00596BA2">
        <w:rPr>
          <w:color w:val="000000"/>
        </w:rPr>
        <w:t>Parties</w:t>
      </w:r>
      <w:r w:rsidR="00416E21" w:rsidRPr="00F000F1">
        <w:rPr>
          <w:color w:val="000000"/>
        </w:rPr>
        <w:t xml:space="preserve"> </w:t>
      </w:r>
      <w:r w:rsidR="00416E21" w:rsidRPr="00F000F1">
        <w:rPr>
          <w:bCs/>
          <w:iCs/>
          <w:color w:val="000000"/>
        </w:rPr>
        <w:t>to be mindful of the need to promote the inclusion of women with disabilities in future elections of the Committee.</w:t>
      </w:r>
      <w:r w:rsidR="00416E21" w:rsidRPr="00F000F1">
        <w:rPr>
          <w:rStyle w:val="FootnoteReference"/>
          <w:rFonts w:cs="Arial"/>
          <w:bCs/>
          <w:iCs/>
          <w:color w:val="000000"/>
          <w:szCs w:val="22"/>
        </w:rPr>
        <w:footnoteReference w:id="191"/>
      </w:r>
      <w:r w:rsidR="005911F4">
        <w:rPr>
          <w:bCs/>
          <w:iCs/>
          <w:color w:val="000000"/>
        </w:rPr>
        <w:t xml:space="preserve"> </w:t>
      </w:r>
    </w:p>
    <w:p w:rsidR="009E532B" w:rsidRPr="00F5082B" w:rsidRDefault="009E532B" w:rsidP="006605B8">
      <w:pPr>
        <w:pStyle w:val="Heading2"/>
      </w:pPr>
      <w:bookmarkStart w:id="29" w:name="_Toc522542410"/>
      <w:r w:rsidRPr="00F5082B">
        <w:t>E. Topics addressed by the Committee</w:t>
      </w:r>
      <w:bookmarkEnd w:id="29"/>
    </w:p>
    <w:p w:rsidR="009E532B" w:rsidRPr="00891FF8" w:rsidRDefault="009E532B" w:rsidP="006605B8">
      <w:pPr>
        <w:pStyle w:val="Heading3"/>
      </w:pPr>
      <w:bookmarkStart w:id="30" w:name="_Toc522542411"/>
      <w:r w:rsidRPr="00DD23BD">
        <w:t>i. Adequate standard of living and social protection (article 28)</w:t>
      </w:r>
      <w:bookmarkEnd w:id="30"/>
      <w:r>
        <w:t xml:space="preserve"> </w:t>
      </w:r>
    </w:p>
    <w:p w:rsidR="009E532B" w:rsidRDefault="00676354" w:rsidP="006605B8">
      <w:r>
        <w:t xml:space="preserve">68. </w:t>
      </w:r>
      <w:r w:rsidR="009E532B">
        <w:t xml:space="preserve">In few occasions the Committee addressed the obligation of States </w:t>
      </w:r>
      <w:r w:rsidR="00596BA2">
        <w:t>Parties</w:t>
      </w:r>
      <w:r w:rsidR="009E532B">
        <w:t xml:space="preserve"> to provide an adequate standard of living and social protection for persons with disabilities</w:t>
      </w:r>
      <w:r w:rsidR="00515211">
        <w:t>,</w:t>
      </w:r>
      <w:r w:rsidR="009E532B">
        <w:t xml:space="preserve"> as enshrined in article 28 of the Convention. </w:t>
      </w:r>
    </w:p>
    <w:p w:rsidR="009E532B" w:rsidRDefault="00676354" w:rsidP="006605B8">
      <w:r>
        <w:t xml:space="preserve">69. </w:t>
      </w:r>
      <w:r w:rsidR="009E532B">
        <w:t>In General Comment No</w:t>
      </w:r>
      <w:r w:rsidR="00375197">
        <w:t>.</w:t>
      </w:r>
      <w:r w:rsidR="009E532B">
        <w:t xml:space="preserve"> 2</w:t>
      </w:r>
      <w:r w:rsidR="00515211">
        <w:t>,</w:t>
      </w:r>
      <w:r w:rsidR="009E532B">
        <w:t xml:space="preserve"> it specified that </w:t>
      </w:r>
      <w:r w:rsidR="009E532B" w:rsidRPr="00394234">
        <w:t xml:space="preserve">both mainstream and disability-specific social protection measures and services </w:t>
      </w:r>
      <w:r w:rsidR="009E532B">
        <w:t xml:space="preserve">must be </w:t>
      </w:r>
      <w:r w:rsidR="009E532B" w:rsidRPr="00394234">
        <w:t>provided in an accessible manner</w:t>
      </w:r>
      <w:r w:rsidR="00515211">
        <w:t>, and social housing program</w:t>
      </w:r>
      <w:r w:rsidR="009E532B">
        <w:t>s should offer housing that is accessible for persons with disabilities.</w:t>
      </w:r>
      <w:r w:rsidR="009E532B">
        <w:rPr>
          <w:rStyle w:val="FootnoteReference"/>
          <w:rFonts w:cs="Arial"/>
          <w:szCs w:val="22"/>
        </w:rPr>
        <w:footnoteReference w:id="192"/>
      </w:r>
      <w:r w:rsidR="009E532B">
        <w:t xml:space="preserve"> In General Comment No</w:t>
      </w:r>
      <w:r w:rsidR="00375197">
        <w:t>.</w:t>
      </w:r>
      <w:r w:rsidR="009E532B">
        <w:t xml:space="preserve"> 6</w:t>
      </w:r>
      <w:r w:rsidR="00515211">
        <w:t>,</w:t>
      </w:r>
      <w:r w:rsidR="009E532B">
        <w:t xml:space="preserve"> it noted that States </w:t>
      </w:r>
      <w:r w:rsidR="00596BA2">
        <w:t>Parties</w:t>
      </w:r>
      <w:r w:rsidR="009E532B">
        <w:t xml:space="preserve"> have the obligation to </w:t>
      </w:r>
      <w:r w:rsidR="009E532B" w:rsidRPr="00394234">
        <w:t xml:space="preserve">ensure access to appropriate and affordable services, devices and other assistance for impairment-related requirements, especially for those persons with disabilities </w:t>
      </w:r>
      <w:r w:rsidR="003D6463">
        <w:t>living</w:t>
      </w:r>
      <w:r w:rsidR="009E532B" w:rsidRPr="00394234">
        <w:t xml:space="preserve"> in poverty.</w:t>
      </w:r>
      <w:r w:rsidR="009E532B">
        <w:rPr>
          <w:rStyle w:val="FootnoteReference"/>
          <w:rFonts w:cs="Arial"/>
          <w:szCs w:val="22"/>
        </w:rPr>
        <w:footnoteReference w:id="193"/>
      </w:r>
      <w:r w:rsidR="009E532B">
        <w:t xml:space="preserve"> It considers</w:t>
      </w:r>
      <w:r w:rsidR="009E532B" w:rsidRPr="00010EEE">
        <w:t xml:space="preserve"> contrary to the Convention for persons with disabilities to pay for disability-related expenses by themselves.</w:t>
      </w:r>
      <w:r w:rsidR="009E532B">
        <w:rPr>
          <w:rStyle w:val="FootnoteReference"/>
          <w:rFonts w:cs="Arial"/>
          <w:szCs w:val="22"/>
        </w:rPr>
        <w:footnoteReference w:id="194"/>
      </w:r>
      <w:r w:rsidR="009E532B">
        <w:t xml:space="preserve"> </w:t>
      </w:r>
    </w:p>
    <w:p w:rsidR="009E532B" w:rsidRDefault="00676354" w:rsidP="002F75F8">
      <w:pPr>
        <w:rPr>
          <w:lang w:val="en-GB"/>
        </w:rPr>
      </w:pPr>
      <w:r>
        <w:t xml:space="preserve">70. </w:t>
      </w:r>
      <w:r w:rsidR="009E532B">
        <w:t xml:space="preserve">In 2017, further clarification </w:t>
      </w:r>
      <w:r w:rsidR="004A645B">
        <w:t>was provided on article 28 i</w:t>
      </w:r>
      <w:r w:rsidR="007D0787">
        <w:t>n</w:t>
      </w:r>
      <w:r w:rsidR="004A645B">
        <w:t xml:space="preserve"> the Committee’s</w:t>
      </w:r>
      <w:r w:rsidR="009E532B">
        <w:t xml:space="preserve"> report on the inquiry concerning the United Kingdom.</w:t>
      </w:r>
      <w:r w:rsidR="009E532B">
        <w:rPr>
          <w:rStyle w:val="FootnoteReference"/>
          <w:rFonts w:cs="Arial"/>
          <w:szCs w:val="22"/>
        </w:rPr>
        <w:footnoteReference w:id="195"/>
      </w:r>
      <w:r w:rsidR="009E532B">
        <w:t xml:space="preserve"> In particular, it noted that </w:t>
      </w:r>
      <w:r w:rsidR="009E532B">
        <w:rPr>
          <w:lang w:val="en-GB"/>
        </w:rPr>
        <w:t>the obligation to ensure</w:t>
      </w:r>
      <w:r w:rsidR="009E532B" w:rsidRPr="002D0DC4">
        <w:rPr>
          <w:lang w:val="en-GB"/>
        </w:rPr>
        <w:t xml:space="preserve"> access of persons with disabilities to quality, adequate, acceptable and adapt</w:t>
      </w:r>
      <w:r w:rsidR="004A645B">
        <w:rPr>
          <w:lang w:val="en-GB"/>
        </w:rPr>
        <w:t>able social protection program</w:t>
      </w:r>
      <w:r w:rsidR="009E532B" w:rsidRPr="002D0DC4">
        <w:rPr>
          <w:lang w:val="en-GB"/>
        </w:rPr>
        <w:t>s</w:t>
      </w:r>
      <w:r w:rsidR="009E532B">
        <w:rPr>
          <w:rStyle w:val="FootnoteReference"/>
          <w:rFonts w:cs="Arial"/>
          <w:szCs w:val="22"/>
          <w:lang w:val="en-GB"/>
        </w:rPr>
        <w:footnoteReference w:id="196"/>
      </w:r>
      <w:r w:rsidR="009E532B">
        <w:rPr>
          <w:lang w:val="en-GB"/>
        </w:rPr>
        <w:t xml:space="preserve"> is of immediate effect.</w:t>
      </w:r>
      <w:r w:rsidR="009E532B">
        <w:rPr>
          <w:rStyle w:val="FootnoteReference"/>
          <w:rFonts w:cs="Arial"/>
          <w:szCs w:val="22"/>
          <w:lang w:val="en-GB"/>
        </w:rPr>
        <w:footnoteReference w:id="197"/>
      </w:r>
      <w:r w:rsidR="009E532B">
        <w:rPr>
          <w:lang w:val="en-GB"/>
        </w:rPr>
        <w:t xml:space="preserve"> </w:t>
      </w:r>
      <w:r w:rsidR="00495871">
        <w:rPr>
          <w:lang w:val="en-GB"/>
        </w:rPr>
        <w:t>I</w:t>
      </w:r>
      <w:r w:rsidR="009E532B">
        <w:rPr>
          <w:lang w:val="en-GB"/>
        </w:rPr>
        <w:t>t stressed that m</w:t>
      </w:r>
      <w:r w:rsidR="009E532B" w:rsidRPr="002D0DC4">
        <w:rPr>
          <w:lang w:val="en-GB"/>
        </w:rPr>
        <w:t>easures aimed at facilitating the inclusion in the labour market of beneficiaries of social security should include transitional arrangements</w:t>
      </w:r>
      <w:r w:rsidR="00A333CC">
        <w:rPr>
          <w:lang w:val="en-GB"/>
        </w:rPr>
        <w:t>,</w:t>
      </w:r>
      <w:r w:rsidR="009E532B" w:rsidRPr="002D0DC4">
        <w:rPr>
          <w:lang w:val="en-GB"/>
        </w:rPr>
        <w:t xml:space="preserve"> to ensure income protection while they reach a certain threshold and</w:t>
      </w:r>
      <w:r w:rsidR="009E532B">
        <w:rPr>
          <w:lang w:val="en-GB"/>
        </w:rPr>
        <w:t xml:space="preserve"> sustainability in their wages, and that they </w:t>
      </w:r>
      <w:r w:rsidR="009E532B" w:rsidRPr="002D0DC4">
        <w:rPr>
          <w:lang w:val="en-GB"/>
        </w:rPr>
        <w:t>should become eligible again without delay if they lose their jobs.</w:t>
      </w:r>
      <w:r w:rsidR="009E532B">
        <w:rPr>
          <w:rStyle w:val="FootnoteReference"/>
          <w:rFonts w:cs="Arial"/>
          <w:szCs w:val="22"/>
          <w:lang w:val="en-GB"/>
        </w:rPr>
        <w:footnoteReference w:id="198"/>
      </w:r>
      <w:r w:rsidR="009E532B">
        <w:rPr>
          <w:lang w:val="en-GB"/>
        </w:rPr>
        <w:t xml:space="preserve"> Reforms of the welfare system and austerity measures must</w:t>
      </w:r>
      <w:r w:rsidR="009E532B" w:rsidRPr="00930E2F">
        <w:rPr>
          <w:lang w:val="en-GB"/>
        </w:rPr>
        <w:t xml:space="preserve"> not disproportionately and/or adversely affect the rights of persons with disabilities</w:t>
      </w:r>
      <w:r w:rsidR="009E532B">
        <w:rPr>
          <w:lang w:val="en-GB"/>
        </w:rPr>
        <w:t>.</w:t>
      </w:r>
      <w:r w:rsidR="009E532B">
        <w:rPr>
          <w:rStyle w:val="FootnoteReference"/>
          <w:rFonts w:cs="Arial"/>
          <w:szCs w:val="22"/>
          <w:lang w:val="en-GB"/>
        </w:rPr>
        <w:footnoteReference w:id="199"/>
      </w:r>
      <w:r w:rsidR="009E532B">
        <w:rPr>
          <w:lang w:val="en-GB"/>
        </w:rPr>
        <w:t xml:space="preserve"> </w:t>
      </w:r>
    </w:p>
    <w:p w:rsidR="009E532B" w:rsidRPr="002D0DC4" w:rsidRDefault="00676354" w:rsidP="002F75F8">
      <w:pPr>
        <w:rPr>
          <w:lang w:val="en-GB"/>
        </w:rPr>
      </w:pPr>
      <w:r>
        <w:rPr>
          <w:lang w:val="en-GB"/>
        </w:rPr>
        <w:t xml:space="preserve">71. </w:t>
      </w:r>
      <w:r w:rsidR="009E532B">
        <w:rPr>
          <w:lang w:val="en-GB"/>
        </w:rPr>
        <w:t>In its concluding observations the Committee issued very specific recommen</w:t>
      </w:r>
      <w:r w:rsidR="007D0787">
        <w:rPr>
          <w:lang w:val="en-GB"/>
        </w:rPr>
        <w:softHyphen/>
      </w:r>
      <w:r w:rsidR="009E532B">
        <w:rPr>
          <w:lang w:val="en-GB"/>
        </w:rPr>
        <w:t xml:space="preserve">dations reflecting on the welfare system of the States </w:t>
      </w:r>
      <w:r w:rsidR="00596BA2">
        <w:rPr>
          <w:lang w:val="en-GB"/>
        </w:rPr>
        <w:t>Parties</w:t>
      </w:r>
      <w:r w:rsidR="009E532B">
        <w:rPr>
          <w:lang w:val="en-GB"/>
        </w:rPr>
        <w:t xml:space="preserve"> be</w:t>
      </w:r>
      <w:r w:rsidR="00A7569A">
        <w:rPr>
          <w:lang w:val="en-GB"/>
        </w:rPr>
        <w:t>ing reviewed. For instance, it recommended</w:t>
      </w:r>
      <w:r w:rsidR="009E532B">
        <w:rPr>
          <w:lang w:val="en-GB"/>
        </w:rPr>
        <w:t xml:space="preserve"> that family-based assessment</w:t>
      </w:r>
      <w:r w:rsidR="00A7569A">
        <w:rPr>
          <w:lang w:val="en-GB"/>
        </w:rPr>
        <w:t>s</w:t>
      </w:r>
      <w:r w:rsidR="009E532B">
        <w:rPr>
          <w:lang w:val="en-GB"/>
        </w:rPr>
        <w:t xml:space="preserve"> </w:t>
      </w:r>
      <w:r w:rsidR="009E532B" w:rsidRPr="00090278">
        <w:rPr>
          <w:lang w:val="en-GB"/>
        </w:rPr>
        <w:t>for application and eligibility to receive</w:t>
      </w:r>
      <w:r w:rsidR="007D0787">
        <w:rPr>
          <w:lang w:val="en-GB"/>
        </w:rPr>
        <w:t xml:space="preserve"> social security assistance</w:t>
      </w:r>
      <w:r w:rsidR="009E532B">
        <w:rPr>
          <w:lang w:val="en-GB"/>
        </w:rPr>
        <w:t xml:space="preserve"> be replaced by an individual-based </w:t>
      </w:r>
      <w:r w:rsidR="00A7569A">
        <w:rPr>
          <w:lang w:val="en-GB"/>
        </w:rPr>
        <w:t>assessment</w:t>
      </w:r>
      <w:r w:rsidR="009E532B">
        <w:rPr>
          <w:rStyle w:val="FootnoteReference"/>
          <w:rFonts w:cs="Arial"/>
          <w:szCs w:val="22"/>
          <w:lang w:val="en-GB"/>
        </w:rPr>
        <w:footnoteReference w:id="200"/>
      </w:r>
      <w:r w:rsidR="009E532B">
        <w:rPr>
          <w:lang w:val="en-GB"/>
        </w:rPr>
        <w:t xml:space="preserve"> and that discriminatory criteria based on the cause of the impairment (war-related and non war-related disabilities) be repealed.</w:t>
      </w:r>
      <w:r w:rsidR="009E532B">
        <w:rPr>
          <w:rStyle w:val="FootnoteReference"/>
          <w:rFonts w:cs="Arial"/>
          <w:szCs w:val="22"/>
          <w:lang w:val="en-GB"/>
        </w:rPr>
        <w:footnoteReference w:id="201"/>
      </w:r>
      <w:r w:rsidR="009E532B">
        <w:rPr>
          <w:lang w:val="en-GB"/>
        </w:rPr>
        <w:t xml:space="preserve"> </w:t>
      </w:r>
    </w:p>
    <w:p w:rsidR="009E532B" w:rsidRPr="00891FF8" w:rsidRDefault="009E532B" w:rsidP="002F75F8">
      <w:pPr>
        <w:pStyle w:val="Heading3"/>
      </w:pPr>
      <w:bookmarkStart w:id="31" w:name="_Toc522542412"/>
      <w:r w:rsidRPr="00F93BAB">
        <w:t>ii. Access to justice and procedural accommodation (article 13)</w:t>
      </w:r>
      <w:bookmarkEnd w:id="31"/>
      <w:r>
        <w:t xml:space="preserve"> </w:t>
      </w:r>
    </w:p>
    <w:p w:rsidR="009E532B" w:rsidRDefault="00676354" w:rsidP="002F75F8">
      <w:r>
        <w:t xml:space="preserve">72. </w:t>
      </w:r>
      <w:r w:rsidR="009E532B" w:rsidRPr="007B58F7">
        <w:t xml:space="preserve">States </w:t>
      </w:r>
      <w:r w:rsidR="00596BA2">
        <w:t>Parties</w:t>
      </w:r>
      <w:r w:rsidR="009E532B" w:rsidRPr="007B58F7">
        <w:t xml:space="preserve"> have an obligation to ensure that persons with disabilities have access to justice</w:t>
      </w:r>
      <w:r w:rsidR="009E532B">
        <w:t xml:space="preserve"> on an equal basis with others. The Committee mentioned this obligation in five of six of its general comments,</w:t>
      </w:r>
      <w:r w:rsidR="009E532B">
        <w:rPr>
          <w:rStyle w:val="FootnoteReference"/>
          <w:rFonts w:cs="Arial"/>
          <w:szCs w:val="22"/>
        </w:rPr>
        <w:footnoteReference w:id="202"/>
      </w:r>
      <w:r w:rsidR="009E532B">
        <w:t xml:space="preserve"> in five views on communications</w:t>
      </w:r>
      <w:r w:rsidR="009E532B">
        <w:rPr>
          <w:rStyle w:val="FootnoteReference"/>
          <w:rFonts w:cs="Arial"/>
          <w:szCs w:val="22"/>
        </w:rPr>
        <w:footnoteReference w:id="203"/>
      </w:r>
      <w:r w:rsidR="009E532B">
        <w:t xml:space="preserve"> and extensively in its concluding observations under article 13</w:t>
      </w:r>
      <w:r w:rsidR="00BD62FC">
        <w:t xml:space="preserve"> of the Convention</w:t>
      </w:r>
      <w:r w:rsidR="009E532B">
        <w:t xml:space="preserve">. </w:t>
      </w:r>
    </w:p>
    <w:p w:rsidR="009E532B" w:rsidRPr="003B1B4C" w:rsidRDefault="00676354" w:rsidP="002F75F8">
      <w:r>
        <w:t xml:space="preserve">73. </w:t>
      </w:r>
      <w:r w:rsidR="009E532B">
        <w:t xml:space="preserve">The Committee stressed that ensuring accessibility and </w:t>
      </w:r>
      <w:r w:rsidR="00633F1F">
        <w:t xml:space="preserve">procedural </w:t>
      </w:r>
      <w:r w:rsidR="00AD0608">
        <w:t xml:space="preserve">and reasonable </w:t>
      </w:r>
      <w:r w:rsidR="009E532B">
        <w:t>accommodation</w:t>
      </w:r>
      <w:r w:rsidR="00AD0608">
        <w:t xml:space="preserve"> </w:t>
      </w:r>
      <w:r w:rsidR="009E532B">
        <w:rPr>
          <w:rStyle w:val="FootnoteReference"/>
          <w:rFonts w:cs="Arial"/>
          <w:szCs w:val="22"/>
        </w:rPr>
        <w:footnoteReference w:id="204"/>
      </w:r>
      <w:r w:rsidR="009E532B">
        <w:t xml:space="preserve"> as well as the right to legal capacity (article 12)</w:t>
      </w:r>
      <w:r w:rsidR="009E532B">
        <w:rPr>
          <w:rStyle w:val="FootnoteReference"/>
          <w:rFonts w:cs="Arial"/>
          <w:szCs w:val="22"/>
        </w:rPr>
        <w:footnoteReference w:id="205"/>
      </w:r>
      <w:r w:rsidR="009E532B">
        <w:t xml:space="preserve"> is essential for access to justice. In General Comment No</w:t>
      </w:r>
      <w:r w:rsidR="00BD62FC">
        <w:t>.</w:t>
      </w:r>
      <w:r w:rsidR="009E532B">
        <w:t xml:space="preserve"> 1</w:t>
      </w:r>
      <w:r w:rsidR="007D0787">
        <w:t>,</w:t>
      </w:r>
      <w:r w:rsidR="009E532B">
        <w:t xml:space="preserve"> it noted that, beyond recognition to legal capacity, States </w:t>
      </w:r>
      <w:r w:rsidR="00596BA2">
        <w:t>Parties</w:t>
      </w:r>
      <w:r w:rsidR="009E532B">
        <w:t xml:space="preserve"> must ensure that persons with disabilities have access to legal representation</w:t>
      </w:r>
      <w:r w:rsidR="009E532B">
        <w:rPr>
          <w:rStyle w:val="FootnoteReference"/>
          <w:rFonts w:cs="Arial"/>
          <w:szCs w:val="22"/>
        </w:rPr>
        <w:footnoteReference w:id="206"/>
      </w:r>
      <w:r w:rsidR="009E532B">
        <w:t xml:space="preserve"> and that their complaints and statements are given the same weights by police officers, social workers and other first responders.</w:t>
      </w:r>
      <w:r w:rsidR="009E532B">
        <w:rPr>
          <w:rStyle w:val="FootnoteReference"/>
          <w:rFonts w:cs="Arial"/>
          <w:szCs w:val="22"/>
        </w:rPr>
        <w:footnoteReference w:id="207"/>
      </w:r>
      <w:r w:rsidR="009E532B">
        <w:t xml:space="preserve"> In its view on communication </w:t>
      </w:r>
      <w:r w:rsidR="009E532B" w:rsidRPr="00842514">
        <w:rPr>
          <w:i/>
          <w:iCs/>
          <w:lang w:val="en-GB"/>
        </w:rPr>
        <w:t>Noble v. Australia</w:t>
      </w:r>
      <w:r w:rsidR="009E532B">
        <w:rPr>
          <w:i/>
          <w:iCs/>
          <w:lang w:val="en-GB"/>
        </w:rPr>
        <w:t xml:space="preserve"> </w:t>
      </w:r>
      <w:r w:rsidR="00BD62FC" w:rsidRPr="00BD62FC">
        <w:rPr>
          <w:iCs/>
          <w:lang w:val="en-GB"/>
        </w:rPr>
        <w:t>(CRPD/C/16/D/7/2012)</w:t>
      </w:r>
      <w:r w:rsidR="007D0787">
        <w:rPr>
          <w:iCs/>
          <w:lang w:val="en-GB"/>
        </w:rPr>
        <w:t>,</w:t>
      </w:r>
      <w:r w:rsidR="009E532B">
        <w:rPr>
          <w:iCs/>
          <w:lang w:val="en-GB"/>
        </w:rPr>
        <w:t xml:space="preserve"> the Committee affirmed that the State Party’s</w:t>
      </w:r>
      <w:r w:rsidR="009E532B">
        <w:t xml:space="preserve"> decision to declare a defendant in a trial “unfit” </w:t>
      </w:r>
      <w:r w:rsidR="009E532B" w:rsidRPr="003B1B4C">
        <w:rPr>
          <w:lang w:val="en-GB"/>
        </w:rPr>
        <w:t xml:space="preserve">to plead </w:t>
      </w:r>
      <w:r w:rsidR="009E532B">
        <w:rPr>
          <w:lang w:val="en-GB"/>
        </w:rPr>
        <w:t>on the basis of intellectual</w:t>
      </w:r>
      <w:r w:rsidR="009E532B" w:rsidRPr="003B1B4C">
        <w:rPr>
          <w:lang w:val="en-GB"/>
        </w:rPr>
        <w:t xml:space="preserve"> disability</w:t>
      </w:r>
      <w:r w:rsidR="009E532B">
        <w:rPr>
          <w:lang w:val="en-GB"/>
        </w:rPr>
        <w:t xml:space="preserve">, and lack of </w:t>
      </w:r>
      <w:r w:rsidR="009E532B" w:rsidRPr="003B1B4C">
        <w:rPr>
          <w:lang w:val="en-GB"/>
        </w:rPr>
        <w:t>support or accommodation</w:t>
      </w:r>
      <w:r w:rsidR="009E532B">
        <w:rPr>
          <w:lang w:val="en-GB"/>
        </w:rPr>
        <w:t xml:space="preserve"> </w:t>
      </w:r>
      <w:r w:rsidR="009E532B" w:rsidRPr="003B1B4C">
        <w:rPr>
          <w:lang w:val="en-GB"/>
        </w:rPr>
        <w:t>to exercise his legal capacity</w:t>
      </w:r>
      <w:r w:rsidR="009E532B">
        <w:rPr>
          <w:rStyle w:val="FootnoteReference"/>
          <w:rFonts w:cs="Arial"/>
          <w:szCs w:val="22"/>
          <w:lang w:val="en-GB"/>
        </w:rPr>
        <w:footnoteReference w:id="208"/>
      </w:r>
      <w:r w:rsidR="009E532B">
        <w:rPr>
          <w:lang w:val="en-GB"/>
        </w:rPr>
        <w:t xml:space="preserve"> constitute</w:t>
      </w:r>
      <w:r w:rsidR="00BD62FC">
        <w:rPr>
          <w:lang w:val="en-GB"/>
        </w:rPr>
        <w:t>d</w:t>
      </w:r>
      <w:r w:rsidR="009E532B">
        <w:rPr>
          <w:lang w:val="en-GB"/>
        </w:rPr>
        <w:t xml:space="preserve"> a violation of article 13. </w:t>
      </w:r>
    </w:p>
    <w:p w:rsidR="005E79EC" w:rsidRDefault="00676354" w:rsidP="002F75F8">
      <w:r>
        <w:t xml:space="preserve">74. </w:t>
      </w:r>
      <w:r w:rsidR="00342F69">
        <w:t>The Committee emphasized the distinction between</w:t>
      </w:r>
      <w:r w:rsidR="009E532B">
        <w:t xml:space="preserve"> reasonable accommo</w:t>
      </w:r>
      <w:r w:rsidR="007D0787">
        <w:softHyphen/>
      </w:r>
      <w:r w:rsidR="009E532B">
        <w:t xml:space="preserve">dation </w:t>
      </w:r>
      <w:r w:rsidR="00342F69">
        <w:t>and</w:t>
      </w:r>
      <w:r w:rsidR="009E532B">
        <w:t xml:space="preserve"> procedural accommodations.</w:t>
      </w:r>
      <w:r w:rsidR="009E532B">
        <w:rPr>
          <w:rStyle w:val="FootnoteReference"/>
          <w:rFonts w:cs="Arial"/>
          <w:szCs w:val="22"/>
        </w:rPr>
        <w:footnoteReference w:id="209"/>
      </w:r>
      <w:r w:rsidR="009E532B">
        <w:t xml:space="preserve"> Contr</w:t>
      </w:r>
      <w:r w:rsidR="009B30E5">
        <w:t>ary to reasonable accommoda</w:t>
      </w:r>
      <w:r w:rsidR="007D0787">
        <w:softHyphen/>
      </w:r>
      <w:r w:rsidR="009B30E5">
        <w:t>tion, procedural accommodation</w:t>
      </w:r>
      <w:r w:rsidR="009E532B">
        <w:t xml:space="preserve"> and a</w:t>
      </w:r>
      <w:r w:rsidR="009B30E5">
        <w:t>ge-appropriate accommodation</w:t>
      </w:r>
      <w:r w:rsidR="009E532B">
        <w:t xml:space="preserve"> are not limited by </w:t>
      </w:r>
      <w:r w:rsidR="009B30E5">
        <w:t>a proportionality of the measure</w:t>
      </w:r>
      <w:r w:rsidR="009E532B">
        <w:t>.</w:t>
      </w:r>
      <w:r w:rsidR="009E532B">
        <w:rPr>
          <w:rStyle w:val="FootnoteReference"/>
          <w:rFonts w:cs="Arial"/>
          <w:szCs w:val="22"/>
        </w:rPr>
        <w:footnoteReference w:id="210"/>
      </w:r>
      <w:r w:rsidR="009E532B">
        <w:t xml:space="preserve"> States </w:t>
      </w:r>
      <w:r w:rsidR="00596BA2">
        <w:t>Parties</w:t>
      </w:r>
      <w:r w:rsidR="009E532B">
        <w:t xml:space="preserve"> </w:t>
      </w:r>
      <w:r w:rsidR="009B30E5">
        <w:t>must</w:t>
      </w:r>
      <w:r w:rsidR="009E532B">
        <w:t xml:space="preserve"> ensure accessibility, procedural accommodation and reasonable accommodation,</w:t>
      </w:r>
      <w:r w:rsidR="009E532B">
        <w:rPr>
          <w:rStyle w:val="FootnoteReference"/>
          <w:rFonts w:cs="Arial"/>
          <w:szCs w:val="22"/>
        </w:rPr>
        <w:footnoteReference w:id="211"/>
      </w:r>
      <w:r w:rsidR="009E532B">
        <w:t xml:space="preserve"> as well as other forms of support, so that persons with disabilities have full access to the justice system. Procedural accommodation may include recognition of diverse communication methods, allowing video testimony in certain situation</w:t>
      </w:r>
      <w:r w:rsidR="005E79EC">
        <w:t>s</w:t>
      </w:r>
      <w:r w:rsidR="009E532B">
        <w:t xml:space="preserve">, </w:t>
      </w:r>
      <w:r w:rsidR="005E79EC">
        <w:t xml:space="preserve">as well as </w:t>
      </w:r>
      <w:r w:rsidR="009E532B">
        <w:t>provi</w:t>
      </w:r>
      <w:r w:rsidR="005E79EC">
        <w:t>ding</w:t>
      </w:r>
      <w:r w:rsidR="009E532B">
        <w:t xml:space="preserve"> professional sign language interpretation and other assistive methods.</w:t>
      </w:r>
      <w:r w:rsidR="009E532B">
        <w:rPr>
          <w:rStyle w:val="FootnoteReference"/>
          <w:rFonts w:cs="Arial"/>
          <w:szCs w:val="22"/>
        </w:rPr>
        <w:footnoteReference w:id="212"/>
      </w:r>
      <w:r w:rsidR="009E532B">
        <w:t xml:space="preserve"> </w:t>
      </w:r>
      <w:r w:rsidR="00B6323A">
        <w:t>In its jurisprudence the Committee condemned the failure of State</w:t>
      </w:r>
      <w:r w:rsidR="004B3946">
        <w:t>s</w:t>
      </w:r>
      <w:r w:rsidR="00B6323A">
        <w:t xml:space="preserve"> </w:t>
      </w:r>
      <w:r w:rsidR="00596BA2">
        <w:t>Parties</w:t>
      </w:r>
      <w:r w:rsidR="00B6323A">
        <w:t xml:space="preserve"> to provide sign language interpretation</w:t>
      </w:r>
      <w:r w:rsidR="00B6323A">
        <w:rPr>
          <w:rStyle w:val="FootnoteReference"/>
          <w:rFonts w:cs="Arial"/>
          <w:szCs w:val="22"/>
        </w:rPr>
        <w:footnoteReference w:id="213"/>
      </w:r>
      <w:r w:rsidR="00B6323A">
        <w:t xml:space="preserve"> and </w:t>
      </w:r>
      <w:r w:rsidR="00B6323A" w:rsidRPr="00A03460">
        <w:t>real-time steno-captioning</w:t>
      </w:r>
      <w:r w:rsidR="00B6323A">
        <w:rPr>
          <w:rStyle w:val="FootnoteReference"/>
          <w:rFonts w:cs="Arial"/>
          <w:szCs w:val="22"/>
        </w:rPr>
        <w:footnoteReference w:id="214"/>
      </w:r>
      <w:r w:rsidR="00B6323A" w:rsidRPr="00A03460">
        <w:t xml:space="preserve"> </w:t>
      </w:r>
      <w:r w:rsidR="00B6323A">
        <w:t>to deaf persons summoned as juror.</w:t>
      </w:r>
    </w:p>
    <w:p w:rsidR="009E532B" w:rsidRPr="00891FF8" w:rsidRDefault="009E532B" w:rsidP="002F75F8">
      <w:pPr>
        <w:pStyle w:val="Heading3"/>
      </w:pPr>
      <w:bookmarkStart w:id="32" w:name="_Toc522542413"/>
      <w:r w:rsidRPr="00B53DB4">
        <w:t>iii. Rights to liberty and security (article 14) and living independently and being included in the community (article 19): the road to deinstitutionalization</w:t>
      </w:r>
      <w:bookmarkEnd w:id="32"/>
      <w:r>
        <w:t xml:space="preserve"> </w:t>
      </w:r>
    </w:p>
    <w:p w:rsidR="009E532B" w:rsidRPr="00500575" w:rsidRDefault="00676354" w:rsidP="002F75F8">
      <w:r>
        <w:rPr>
          <w:lang w:val="en-GB"/>
        </w:rPr>
        <w:t xml:space="preserve">75. </w:t>
      </w:r>
      <w:r w:rsidR="009E532B" w:rsidRPr="004E53A0">
        <w:rPr>
          <w:lang w:val="en-GB"/>
        </w:rPr>
        <w:t xml:space="preserve">All persons with disabilities, especially persons with intellectual and </w:t>
      </w:r>
      <w:r w:rsidR="00AD0608">
        <w:rPr>
          <w:lang w:val="en-GB"/>
        </w:rPr>
        <w:t xml:space="preserve">persons with </w:t>
      </w:r>
      <w:r w:rsidR="009E532B" w:rsidRPr="004E53A0">
        <w:rPr>
          <w:lang w:val="en-GB"/>
        </w:rPr>
        <w:t xml:space="preserve">psychosocial disabilities, are entitled to liberty and security pursuant to </w:t>
      </w:r>
      <w:r w:rsidR="009E532B">
        <w:rPr>
          <w:lang w:val="en-GB"/>
        </w:rPr>
        <w:t>article 14 of the Convention. The right to liberty</w:t>
      </w:r>
      <w:r w:rsidR="009E532B" w:rsidRPr="004E53A0">
        <w:rPr>
          <w:lang w:val="en-GB"/>
        </w:rPr>
        <w:t xml:space="preserve"> is one of the most precious rights to which everyone is entitled.</w:t>
      </w:r>
      <w:r w:rsidR="009E532B">
        <w:rPr>
          <w:rStyle w:val="FootnoteReference"/>
          <w:rFonts w:cs="Arial"/>
          <w:szCs w:val="22"/>
          <w:lang w:val="en-GB"/>
        </w:rPr>
        <w:footnoteReference w:id="215"/>
      </w:r>
      <w:r w:rsidR="009E532B" w:rsidRPr="004E53A0">
        <w:rPr>
          <w:lang w:val="en-GB"/>
        </w:rPr>
        <w:t xml:space="preserve"> The Committee affirmed its importance in a statement on article 14 </w:t>
      </w:r>
      <w:r w:rsidR="00C25226" w:rsidRPr="004E53A0">
        <w:t>(CRPD/C/12/2, annex IV)</w:t>
      </w:r>
      <w:r w:rsidR="00C25226">
        <w:t xml:space="preserve"> </w:t>
      </w:r>
      <w:r w:rsidR="009E532B" w:rsidRPr="004E53A0">
        <w:rPr>
          <w:lang w:val="en-GB"/>
        </w:rPr>
        <w:t>delivered in 2014 and in guidelines on the rights to liberty and security of persons with disabilities (</w:t>
      </w:r>
      <w:r w:rsidR="009E532B" w:rsidRPr="004E53A0">
        <w:t xml:space="preserve">A/7255 Annex) adopted in 2015. </w:t>
      </w:r>
      <w:r w:rsidR="009E532B" w:rsidRPr="00500575">
        <w:t>In these documents</w:t>
      </w:r>
      <w:r w:rsidR="00DD3B12">
        <w:t>,</w:t>
      </w:r>
      <w:r w:rsidR="009E532B" w:rsidRPr="00500575">
        <w:t xml:space="preserve"> the Committee stressed the absolute prohibition of detention on the basis of actual or perceived disability, including on the</w:t>
      </w:r>
      <w:r w:rsidR="00F2686F">
        <w:t xml:space="preserve"> basis of</w:t>
      </w:r>
      <w:r w:rsidR="009E532B" w:rsidRPr="00500575">
        <w:t xml:space="preserve"> perceived danger to themselves or to others.</w:t>
      </w:r>
      <w:r w:rsidR="009E532B" w:rsidRPr="00500575">
        <w:rPr>
          <w:rStyle w:val="FootnoteReference"/>
          <w:rFonts w:cs="Arial"/>
          <w:szCs w:val="22"/>
        </w:rPr>
        <w:footnoteReference w:id="216"/>
      </w:r>
      <w:r w:rsidR="009E532B" w:rsidRPr="00500575">
        <w:t xml:space="preserve"> This includes detention in mental health or other types of institutions, including</w:t>
      </w:r>
      <w:r w:rsidR="000F5A3D">
        <w:t xml:space="preserve"> detention based on declarations</w:t>
      </w:r>
      <w:r w:rsidR="009E532B" w:rsidRPr="00500575">
        <w:t xml:space="preserve"> of “unfitness to stand trial” or incapacity to be found criminally responsible in the justice system.</w:t>
      </w:r>
      <w:r w:rsidR="009E532B" w:rsidRPr="00500575">
        <w:rPr>
          <w:rStyle w:val="FootnoteReference"/>
          <w:rFonts w:cs="Arial"/>
          <w:szCs w:val="22"/>
        </w:rPr>
        <w:footnoteReference w:id="217"/>
      </w:r>
      <w:r w:rsidR="009E532B" w:rsidRPr="00500575">
        <w:t xml:space="preserve"> When persons with disabilities are detained, States </w:t>
      </w:r>
      <w:r w:rsidR="00596BA2">
        <w:t>Parties</w:t>
      </w:r>
      <w:r w:rsidR="009E532B" w:rsidRPr="00500575">
        <w:t xml:space="preserve"> must ensure </w:t>
      </w:r>
      <w:r w:rsidR="009E532B" w:rsidRPr="00500575">
        <w:rPr>
          <w:rFonts w:eastAsia="Calibri" w:cs="Times New Roman"/>
          <w:lang w:val="en-GB"/>
        </w:rPr>
        <w:t>that places of detention are accessible, provide humane living conditions</w:t>
      </w:r>
      <w:r w:rsidR="009E532B" w:rsidRPr="00500575">
        <w:rPr>
          <w:rStyle w:val="FootnoteReference"/>
          <w:rFonts w:eastAsia="Calibri" w:cs="Times New Roman"/>
          <w:szCs w:val="22"/>
          <w:lang w:val="en-GB"/>
        </w:rPr>
        <w:footnoteReference w:id="218"/>
      </w:r>
      <w:r w:rsidR="009E532B" w:rsidRPr="00500575">
        <w:rPr>
          <w:rFonts w:eastAsia="Calibri" w:cs="Times New Roman"/>
          <w:lang w:val="en-GB"/>
        </w:rPr>
        <w:t xml:space="preserve"> and implement monitoring and review mechanisms of their conditions.</w:t>
      </w:r>
      <w:r w:rsidR="009E532B" w:rsidRPr="00500575">
        <w:rPr>
          <w:rStyle w:val="FootnoteReference"/>
          <w:rFonts w:eastAsia="Calibri" w:cs="Times New Roman"/>
          <w:szCs w:val="22"/>
          <w:lang w:val="en-GB"/>
        </w:rPr>
        <w:footnoteReference w:id="219"/>
      </w:r>
    </w:p>
    <w:p w:rsidR="009E532B" w:rsidRPr="00500575" w:rsidRDefault="00676354" w:rsidP="002F75F8">
      <w:r>
        <w:t xml:space="preserve">76. </w:t>
      </w:r>
      <w:r w:rsidR="009E532B" w:rsidRPr="00500575">
        <w:t>Regarding institutionalization, the Committee stressed the relationship of the right to liberty with the right of living independently and being included in society enshrined in article 19 of the Convention.</w:t>
      </w:r>
      <w:r w:rsidR="009E532B" w:rsidRPr="00500575">
        <w:rPr>
          <w:rStyle w:val="FootnoteReference"/>
          <w:rFonts w:cs="Arial"/>
          <w:szCs w:val="22"/>
        </w:rPr>
        <w:footnoteReference w:id="220"/>
      </w:r>
      <w:r w:rsidR="009E532B" w:rsidRPr="00500575">
        <w:t xml:space="preserve"> During the periodic review of States </w:t>
      </w:r>
      <w:r w:rsidR="00596BA2">
        <w:t>Parties</w:t>
      </w:r>
      <w:r w:rsidR="00713ECA">
        <w:t>,</w:t>
      </w:r>
      <w:r w:rsidR="009E532B" w:rsidRPr="00500575">
        <w:t xml:space="preserve"> it expressed strong concerns about the institutionalization of persons with disabilities and requested States to adopt deinstitutional</w:t>
      </w:r>
      <w:r w:rsidR="00941F60">
        <w:t>ization strategies and program</w:t>
      </w:r>
      <w:r w:rsidR="009E532B" w:rsidRPr="00500575">
        <w:t>s (principally in its recommendations under article 14). In General Comment No</w:t>
      </w:r>
      <w:r w:rsidR="00CC1816">
        <w:t>.</w:t>
      </w:r>
      <w:r w:rsidR="009E532B" w:rsidRPr="00500575">
        <w:t xml:space="preserve"> 5 on living independently and being included in the community adopted in 2017, the Committee </w:t>
      </w:r>
      <w:r w:rsidR="00D86538">
        <w:t>defined</w:t>
      </w:r>
      <w:r w:rsidR="009E532B" w:rsidRPr="00500575">
        <w:t xml:space="preserve"> </w:t>
      </w:r>
      <w:r w:rsidR="00D86538" w:rsidRPr="001D2423">
        <w:t>institutionalization</w:t>
      </w:r>
      <w:r w:rsidR="009E532B" w:rsidRPr="001D2423">
        <w:t xml:space="preserve"> settings</w:t>
      </w:r>
      <w:r w:rsidR="009E532B" w:rsidRPr="00500575">
        <w:rPr>
          <w:rStyle w:val="FootnoteReference"/>
          <w:rFonts w:cs="Arial"/>
          <w:szCs w:val="22"/>
        </w:rPr>
        <w:footnoteReference w:id="221"/>
      </w:r>
      <w:r w:rsidR="009E532B">
        <w:t xml:space="preserve"> and stressed</w:t>
      </w:r>
      <w:r w:rsidR="009E532B" w:rsidRPr="00500575">
        <w:t xml:space="preserve"> that deinstitutionalization measures must be accompanied by comprehen</w:t>
      </w:r>
      <w:r w:rsidR="00DD3B12">
        <w:softHyphen/>
      </w:r>
      <w:r w:rsidR="009E532B" w:rsidRPr="00500575">
        <w:t>sive services and</w:t>
      </w:r>
      <w:r w:rsidR="00A416D1">
        <w:t xml:space="preserve"> community development program</w:t>
      </w:r>
      <w:r w:rsidR="009E532B" w:rsidRPr="00500575">
        <w:t>s</w:t>
      </w:r>
      <w:r w:rsidR="009E532B">
        <w:t>.</w:t>
      </w:r>
      <w:r w:rsidR="009E532B" w:rsidRPr="00500575">
        <w:rPr>
          <w:rStyle w:val="FootnoteReference"/>
          <w:rFonts w:cs="Arial"/>
          <w:szCs w:val="22"/>
        </w:rPr>
        <w:footnoteReference w:id="222"/>
      </w:r>
    </w:p>
    <w:p w:rsidR="009E532B" w:rsidRPr="00F8737E" w:rsidRDefault="009E532B" w:rsidP="002F75F8">
      <w:pPr>
        <w:pStyle w:val="Heading3"/>
      </w:pPr>
      <w:bookmarkStart w:id="33" w:name="_Toc522542414"/>
      <w:r w:rsidRPr="008A0A13">
        <w:t>iv. Equal recognition before the law and supported decision-making (article 12)</w:t>
      </w:r>
      <w:bookmarkEnd w:id="33"/>
    </w:p>
    <w:p w:rsidR="009E532B" w:rsidRDefault="00676354" w:rsidP="002F75F8">
      <w:r>
        <w:t xml:space="preserve">77. </w:t>
      </w:r>
      <w:r w:rsidR="009E532B">
        <w:t xml:space="preserve">Equal recognition before the law </w:t>
      </w:r>
      <w:r w:rsidR="009E532B" w:rsidRPr="00500575">
        <w:t>is a basic general princ</w:t>
      </w:r>
      <w:r w:rsidR="009E532B">
        <w:t xml:space="preserve">iple of human rights protection, </w:t>
      </w:r>
      <w:r w:rsidR="009E532B" w:rsidRPr="00500575">
        <w:t xml:space="preserve">indispensable for the </w:t>
      </w:r>
      <w:r w:rsidR="009E532B">
        <w:t>exercise of other human rights.</w:t>
      </w:r>
      <w:r w:rsidR="009E532B">
        <w:rPr>
          <w:rStyle w:val="FootnoteReference"/>
          <w:rFonts w:cs="Arial"/>
          <w:szCs w:val="22"/>
        </w:rPr>
        <w:footnoteReference w:id="223"/>
      </w:r>
      <w:r w:rsidR="009E532B">
        <w:t xml:space="preserve"> This right and what it entails for States </w:t>
      </w:r>
      <w:r w:rsidR="00596BA2">
        <w:t>Parties</w:t>
      </w:r>
      <w:r w:rsidR="009E532B">
        <w:t xml:space="preserve"> is explained in the first general comment adopted</w:t>
      </w:r>
      <w:r w:rsidR="008960A0">
        <w:t xml:space="preserve"> by the Committee</w:t>
      </w:r>
      <w:r w:rsidR="009E532B">
        <w:t xml:space="preserve"> in 2014. </w:t>
      </w:r>
      <w:r w:rsidR="00EC03C6">
        <w:t>It</w:t>
      </w:r>
      <w:r w:rsidR="009E532B">
        <w:t xml:space="preserve"> stressed that </w:t>
      </w:r>
      <w:r w:rsidR="008960A0">
        <w:t>article 12</w:t>
      </w:r>
      <w:r w:rsidR="009E532B">
        <w:t xml:space="preserve"> does not set out additional rights for persons with disabilities but describes elements that States must take into account when ensuring eq</w:t>
      </w:r>
      <w:r w:rsidR="008960A0">
        <w:t xml:space="preserve">ual recognition before the law, specifying </w:t>
      </w:r>
      <w:r w:rsidR="00C76EA1">
        <w:t>this article</w:t>
      </w:r>
      <w:r w:rsidR="009E532B">
        <w:t xml:space="preserve"> is subject of immediate application.</w:t>
      </w:r>
      <w:r w:rsidR="009E532B">
        <w:rPr>
          <w:rStyle w:val="FootnoteReference"/>
          <w:rFonts w:cs="Arial"/>
          <w:szCs w:val="22"/>
        </w:rPr>
        <w:footnoteReference w:id="224"/>
      </w:r>
      <w:r w:rsidR="00C76EA1">
        <w:t xml:space="preserve"> </w:t>
      </w:r>
      <w:r w:rsidR="009E532B">
        <w:t>The Committee emphasized that denial of the right to legal capacity</w:t>
      </w:r>
      <w:r w:rsidR="003A6E16" w:rsidRPr="003A6E16">
        <w:t xml:space="preserve"> </w:t>
      </w:r>
      <w:r w:rsidR="003A6E16">
        <w:t>based on disability</w:t>
      </w:r>
      <w:r w:rsidR="009E532B">
        <w:t xml:space="preserve">, in particular under </w:t>
      </w:r>
      <w:r w:rsidR="009E532B" w:rsidRPr="001A5294">
        <w:t>guardianship, conserv</w:t>
      </w:r>
      <w:r w:rsidR="009E532B">
        <w:t xml:space="preserve">atorship and mental health laws, is discriminatory and thus prohibited. </w:t>
      </w:r>
      <w:r w:rsidR="009E532B" w:rsidRPr="005869F4">
        <w:t>States</w:t>
      </w:r>
      <w:r w:rsidR="009E532B">
        <w:t xml:space="preserve"> </w:t>
      </w:r>
      <w:r w:rsidR="00596BA2">
        <w:t>Parties</w:t>
      </w:r>
      <w:r w:rsidR="009E532B" w:rsidRPr="005869F4">
        <w:t xml:space="preserve"> must ensure that in all areas of </w:t>
      </w:r>
      <w:r w:rsidR="009E532B">
        <w:t>law that the right of persons with disabilities to legal capacity is not restricted on an unequal basis with others.</w:t>
      </w:r>
      <w:r w:rsidR="009E532B">
        <w:rPr>
          <w:rStyle w:val="FootnoteReference"/>
          <w:rFonts w:cs="Arial"/>
          <w:szCs w:val="22"/>
        </w:rPr>
        <w:footnoteReference w:id="225"/>
      </w:r>
      <w:r w:rsidR="009E532B">
        <w:t xml:space="preserve"> As such, all persons with disabilities, including persons with intellectual and psychosocial disabilities, have the same legal capacity to exercise their rights as others, in particular the rights to vote, to marry and found a family, reproductive rights, parental rights, rights to give consent for intimate relationship and medical treatment, and right to liberty.</w:t>
      </w:r>
      <w:r w:rsidR="009E532B">
        <w:rPr>
          <w:rStyle w:val="FootnoteReference"/>
          <w:rFonts w:cs="Arial"/>
          <w:szCs w:val="22"/>
        </w:rPr>
        <w:footnoteReference w:id="226"/>
      </w:r>
      <w:r w:rsidR="009E532B">
        <w:t xml:space="preserve"> </w:t>
      </w:r>
    </w:p>
    <w:p w:rsidR="009E532B" w:rsidRDefault="00676354" w:rsidP="002F75F8">
      <w:r>
        <w:t xml:space="preserve">78. </w:t>
      </w:r>
      <w:r w:rsidR="009E532B">
        <w:t>The right of equal recogni</w:t>
      </w:r>
      <w:r w:rsidR="00DD3B12">
        <w:t>tion before the law implies a sh</w:t>
      </w:r>
      <w:r w:rsidR="009E532B">
        <w:t>ift from the substitute decision-making paradigm</w:t>
      </w:r>
      <w:r w:rsidR="009E532B">
        <w:rPr>
          <w:rStyle w:val="FootnoteReference"/>
          <w:rFonts w:cs="Arial"/>
          <w:szCs w:val="22"/>
        </w:rPr>
        <w:footnoteReference w:id="227"/>
      </w:r>
      <w:r w:rsidR="009E532B">
        <w:t xml:space="preserve"> to one that is based on supported decision-making,</w:t>
      </w:r>
      <w:r w:rsidR="009E532B">
        <w:rPr>
          <w:rStyle w:val="FootnoteReference"/>
          <w:rFonts w:cs="Arial"/>
          <w:szCs w:val="22"/>
        </w:rPr>
        <w:footnoteReference w:id="228"/>
      </w:r>
      <w:r w:rsidR="009E532B">
        <w:t xml:space="preserve"> a recommendation that the Committee also made systematically in its concluding observations to States </w:t>
      </w:r>
      <w:r w:rsidR="00596BA2">
        <w:t>Parties</w:t>
      </w:r>
      <w:r w:rsidR="009E532B">
        <w:t>.</w:t>
      </w:r>
      <w:r w:rsidR="009E532B">
        <w:rPr>
          <w:rStyle w:val="FootnoteReference"/>
          <w:rFonts w:cs="Arial"/>
          <w:szCs w:val="22"/>
        </w:rPr>
        <w:footnoteReference w:id="229"/>
      </w:r>
      <w:r w:rsidR="009E532B">
        <w:t xml:space="preserve"> In General Comment No</w:t>
      </w:r>
      <w:r w:rsidR="00E507AC">
        <w:t>.</w:t>
      </w:r>
      <w:r w:rsidR="00407B1F">
        <w:t xml:space="preserve"> 1</w:t>
      </w:r>
      <w:r w:rsidR="00DD3B12">
        <w:t>,</w:t>
      </w:r>
      <w:r w:rsidR="00407B1F">
        <w:t xml:space="preserve"> the Committee explained</w:t>
      </w:r>
      <w:r w:rsidR="009E532B">
        <w:t xml:space="preserve"> that States have an obligation to provide to persons with disabilities access to support in the exercise of their legal capacity,</w:t>
      </w:r>
      <w:r w:rsidR="009E532B">
        <w:rPr>
          <w:rStyle w:val="FootnoteReference"/>
          <w:rFonts w:cs="Arial"/>
          <w:szCs w:val="22"/>
        </w:rPr>
        <w:footnoteReference w:id="230"/>
      </w:r>
      <w:r w:rsidR="009E532B">
        <w:t xml:space="preserve"> respecting their rights, will and preferences.</w:t>
      </w:r>
      <w:r w:rsidR="009E532B">
        <w:rPr>
          <w:rStyle w:val="FootnoteReference"/>
          <w:rFonts w:cs="Arial"/>
          <w:szCs w:val="22"/>
        </w:rPr>
        <w:footnoteReference w:id="231"/>
      </w:r>
      <w:r w:rsidR="009E532B">
        <w:t xml:space="preserve"> </w:t>
      </w:r>
      <w:r w:rsidR="009E532B" w:rsidRPr="00FC614A">
        <w:t>For example, persons with disabilities may choose one or more trusted support persons to assist them in exercising their legal capacity for certain types of decisions, or may call on other forms of support, such as peer support, advocacy (including self-advocacy support), or assistance with communication.</w:t>
      </w:r>
      <w:r w:rsidR="009E532B">
        <w:t xml:space="preserve"> This also includes measures relating to accessibility and universal design, such as providing information in an understandable format, and development and recognition of diverse, non-conven</w:t>
      </w:r>
      <w:r w:rsidR="00DD3B12">
        <w:softHyphen/>
      </w:r>
      <w:r w:rsidR="00DD3B12">
        <w:softHyphen/>
      </w:r>
      <w:r w:rsidR="009E532B">
        <w:t>tio</w:t>
      </w:r>
      <w:r w:rsidR="00DD3B12">
        <w:softHyphen/>
      </w:r>
      <w:r w:rsidR="009E532B">
        <w:t>nal methods of communication.</w:t>
      </w:r>
      <w:r w:rsidR="009E532B">
        <w:rPr>
          <w:rStyle w:val="FootnoteReference"/>
          <w:rFonts w:cs="Arial"/>
          <w:szCs w:val="22"/>
        </w:rPr>
        <w:footnoteReference w:id="232"/>
      </w:r>
      <w:r w:rsidR="009E532B">
        <w:t xml:space="preserve"> The Committee also determined that</w:t>
      </w:r>
      <w:r w:rsidR="00407B1F">
        <w:t xml:space="preserve"> if it</w:t>
      </w:r>
      <w:r w:rsidR="009E532B" w:rsidRPr="00A221DB">
        <w:t xml:space="preserve"> is not practicable to determine the will a</w:t>
      </w:r>
      <w:r w:rsidR="009E532B">
        <w:t>nd preferences of an individual after significant efforts have been made,</w:t>
      </w:r>
      <w:r w:rsidR="009E532B" w:rsidRPr="00A221DB">
        <w:t xml:space="preserve"> the “best interpretation of will and preferences” must replace the</w:t>
      </w:r>
      <w:r w:rsidR="007E5A50">
        <w:t xml:space="preserve"> “best interests” determination</w:t>
      </w:r>
      <w:r w:rsidR="00FD7498">
        <w:t xml:space="preserve"> from a third party’s perspective</w:t>
      </w:r>
      <w:r w:rsidR="009E532B" w:rsidRPr="00A221DB">
        <w:t>.</w:t>
      </w:r>
      <w:r w:rsidR="009E532B">
        <w:rPr>
          <w:rStyle w:val="FootnoteReference"/>
          <w:rFonts w:cs="Arial"/>
          <w:szCs w:val="22"/>
        </w:rPr>
        <w:footnoteReference w:id="233"/>
      </w:r>
    </w:p>
    <w:p w:rsidR="009E532B" w:rsidRPr="00822B0B" w:rsidRDefault="00676354" w:rsidP="002F75F8">
      <w:r>
        <w:t xml:space="preserve">79. </w:t>
      </w:r>
      <w:r w:rsidR="009E532B">
        <w:t xml:space="preserve">Finally, it stressed that States </w:t>
      </w:r>
      <w:r w:rsidR="00596BA2">
        <w:t>Parties</w:t>
      </w:r>
      <w:r w:rsidR="009E532B">
        <w:t xml:space="preserve"> must create appropriate and effective safeguards for the exercise of legal capacity, which should include protection against undue influence.</w:t>
      </w:r>
      <w:r w:rsidR="009E532B">
        <w:rPr>
          <w:rStyle w:val="FootnoteReference"/>
          <w:rFonts w:cs="Arial"/>
          <w:szCs w:val="22"/>
        </w:rPr>
        <w:footnoteReference w:id="234"/>
      </w:r>
      <w:r w:rsidR="00375197">
        <w:t xml:space="preserve"> </w:t>
      </w:r>
    </w:p>
    <w:p w:rsidR="009E532B" w:rsidRPr="00A94CE9" w:rsidRDefault="009E532B" w:rsidP="002F75F8">
      <w:pPr>
        <w:pStyle w:val="Heading3"/>
      </w:pPr>
      <w:bookmarkStart w:id="34" w:name="_Toc522542415"/>
      <w:r w:rsidRPr="00B33FF4">
        <w:t>v. Right to life and freedom from abuses, violence and harmful practices in all settings (articles 10, 16, 17)</w:t>
      </w:r>
      <w:bookmarkEnd w:id="34"/>
    </w:p>
    <w:p w:rsidR="009E532B" w:rsidRPr="0024323F" w:rsidRDefault="00676354" w:rsidP="002F75F8">
      <w:pPr>
        <w:rPr>
          <w:lang w:val="en-GB"/>
        </w:rPr>
      </w:pPr>
      <w:r>
        <w:t xml:space="preserve">80. </w:t>
      </w:r>
      <w:r w:rsidR="009E532B">
        <w:t xml:space="preserve">In its </w:t>
      </w:r>
      <w:r w:rsidR="009E532B" w:rsidRPr="004A104F">
        <w:rPr>
          <w:lang w:val="en-GB"/>
        </w:rPr>
        <w:t xml:space="preserve">concluding observations, the Committee strongly recommended States </w:t>
      </w:r>
      <w:r w:rsidR="00596BA2">
        <w:rPr>
          <w:lang w:val="en-GB"/>
        </w:rPr>
        <w:t>Parties</w:t>
      </w:r>
      <w:r w:rsidR="009E532B" w:rsidRPr="004A104F">
        <w:rPr>
          <w:lang w:val="en-GB"/>
        </w:rPr>
        <w:t xml:space="preserve"> to take measures to eliminate practice of “compassionate” or “honour killings”</w:t>
      </w:r>
      <w:r w:rsidR="009E532B" w:rsidRPr="004A104F">
        <w:rPr>
          <w:rStyle w:val="FootnoteReference"/>
          <w:rFonts w:cs="Arial"/>
          <w:szCs w:val="22"/>
          <w:lang w:val="en-GB"/>
        </w:rPr>
        <w:footnoteReference w:id="235"/>
      </w:r>
      <w:r w:rsidR="009E532B" w:rsidRPr="004A104F">
        <w:rPr>
          <w:lang w:val="en-GB"/>
        </w:rPr>
        <w:t xml:space="preserve"> and ritual crimes</w:t>
      </w:r>
      <w:r w:rsidR="009E532B" w:rsidRPr="004A104F">
        <w:rPr>
          <w:rStyle w:val="FootnoteReference"/>
          <w:rFonts w:cs="Arial"/>
          <w:szCs w:val="22"/>
          <w:lang w:val="en-GB"/>
        </w:rPr>
        <w:footnoteReference w:id="236"/>
      </w:r>
      <w:r w:rsidR="009E532B" w:rsidRPr="004A104F">
        <w:rPr>
          <w:lang w:val="en-GB"/>
        </w:rPr>
        <w:t xml:space="preserve"> perpetrated against children</w:t>
      </w:r>
      <w:r w:rsidR="009E532B" w:rsidRPr="004A104F">
        <w:rPr>
          <w:rStyle w:val="FootnoteReference"/>
          <w:rFonts w:cs="Arial"/>
          <w:szCs w:val="22"/>
          <w:lang w:val="en-GB"/>
        </w:rPr>
        <w:footnoteReference w:id="237"/>
      </w:r>
      <w:r w:rsidR="009E532B" w:rsidRPr="004A104F">
        <w:rPr>
          <w:lang w:val="en-GB"/>
        </w:rPr>
        <w:t xml:space="preserve"> and adults with disabilities, as well as violent crimes perpetrated against persons with albinism.</w:t>
      </w:r>
      <w:r w:rsidR="009E532B" w:rsidRPr="004A104F">
        <w:rPr>
          <w:rStyle w:val="FootnoteReference"/>
          <w:rFonts w:cs="Arial"/>
          <w:szCs w:val="22"/>
          <w:lang w:val="en-GB"/>
        </w:rPr>
        <w:footnoteReference w:id="238"/>
      </w:r>
      <w:r w:rsidR="009E532B" w:rsidRPr="004A104F">
        <w:rPr>
          <w:lang w:val="en-GB"/>
        </w:rPr>
        <w:t xml:space="preserve"> </w:t>
      </w:r>
      <w:r w:rsidR="009E532B">
        <w:t xml:space="preserve">States </w:t>
      </w:r>
      <w:r w:rsidR="00596BA2">
        <w:t>Parties</w:t>
      </w:r>
      <w:r w:rsidR="009E532B">
        <w:t xml:space="preserve"> should ado</w:t>
      </w:r>
      <w:r w:rsidR="009E532B" w:rsidRPr="00DC736B">
        <w:t>pt, monitor and enforce all possible measures to identify causes of death, including suicide,</w:t>
      </w:r>
      <w:r w:rsidR="009E532B">
        <w:rPr>
          <w:rStyle w:val="FootnoteReference"/>
          <w:rFonts w:cs="Arial"/>
          <w:szCs w:val="22"/>
        </w:rPr>
        <w:footnoteReference w:id="239"/>
      </w:r>
      <w:r w:rsidR="009E532B">
        <w:t xml:space="preserve"> and measures to ensure that persons with disabilities are not subject to arbitrary deprivation of life.</w:t>
      </w:r>
      <w:r w:rsidR="009E532B">
        <w:rPr>
          <w:rStyle w:val="FootnoteReference"/>
          <w:rFonts w:cs="Arial"/>
          <w:szCs w:val="22"/>
        </w:rPr>
        <w:footnoteReference w:id="240"/>
      </w:r>
      <w:r w:rsidR="009E532B">
        <w:t xml:space="preserve"> It encouraged to replaced death penalty by other criminal sanctions,</w:t>
      </w:r>
      <w:r w:rsidR="009E532B">
        <w:rPr>
          <w:rStyle w:val="FootnoteReference"/>
          <w:rFonts w:cs="Arial"/>
          <w:szCs w:val="22"/>
        </w:rPr>
        <w:footnoteReference w:id="241"/>
      </w:r>
      <w:r w:rsidR="009E532B">
        <w:t xml:space="preserve"> noting that in practice </w:t>
      </w:r>
      <w:r w:rsidR="009E532B" w:rsidRPr="00DC736B">
        <w:t xml:space="preserve">persons with psychosocial and/or intellectual disabilities may </w:t>
      </w:r>
      <w:r w:rsidR="009E532B">
        <w:t>face</w:t>
      </w:r>
      <w:r w:rsidR="009E532B" w:rsidRPr="00DC736B">
        <w:t xml:space="preserve"> a greater risk of death penalty due to la</w:t>
      </w:r>
      <w:r w:rsidR="009E532B">
        <w:t>ck of procedural accommodations</w:t>
      </w:r>
      <w:r w:rsidR="009E532B" w:rsidRPr="00DC736B">
        <w:t xml:space="preserve"> in criminal proceedings</w:t>
      </w:r>
      <w:r w:rsidR="009E532B">
        <w:t>.</w:t>
      </w:r>
      <w:r w:rsidR="009E532B">
        <w:rPr>
          <w:rStyle w:val="FootnoteReference"/>
          <w:rFonts w:cs="Arial"/>
          <w:szCs w:val="22"/>
        </w:rPr>
        <w:footnoteReference w:id="242"/>
      </w:r>
    </w:p>
    <w:p w:rsidR="009E532B" w:rsidRDefault="00676354" w:rsidP="002F75F8">
      <w:r>
        <w:t xml:space="preserve">81. </w:t>
      </w:r>
      <w:r w:rsidR="009E532B">
        <w:t>In relation to termination or withdrawal of life-sustaining treatment and care, the Committe</w:t>
      </w:r>
      <w:r w:rsidR="00F046B6">
        <w:t>e</w:t>
      </w:r>
      <w:r w:rsidR="009E532B">
        <w:t xml:space="preserve"> underlined that the application of substitute decision-making mechanisms is inconsistent with the right to life of persons with disabilities.</w:t>
      </w:r>
      <w:r w:rsidR="009E532B">
        <w:rPr>
          <w:rStyle w:val="FootnoteReference"/>
          <w:rFonts w:cs="Arial"/>
          <w:szCs w:val="22"/>
        </w:rPr>
        <w:footnoteReference w:id="243"/>
      </w:r>
      <w:r w:rsidR="009E532B">
        <w:t xml:space="preserve"> States </w:t>
      </w:r>
      <w:r w:rsidR="00596BA2">
        <w:t>Parties</w:t>
      </w:r>
      <w:r w:rsidR="009E532B">
        <w:t xml:space="preserve"> should ensure that people who seek “assisted death” have access </w:t>
      </w:r>
      <w:r w:rsidR="009E532B" w:rsidRPr="00775F12">
        <w:t>to alternative courses of action and to a dignified life made possible with appropriate palliative care, disability support, home care and other social measures that support human flourishing</w:t>
      </w:r>
      <w:r w:rsidR="009E532B">
        <w:t>.</w:t>
      </w:r>
      <w:r w:rsidR="009E532B">
        <w:rPr>
          <w:rStyle w:val="FootnoteReference"/>
          <w:rFonts w:cs="Arial"/>
          <w:szCs w:val="22"/>
        </w:rPr>
        <w:footnoteReference w:id="244"/>
      </w:r>
      <w:r w:rsidR="009E532B">
        <w:t xml:space="preserve"> States should also </w:t>
      </w:r>
      <w:r w:rsidR="009E532B" w:rsidRPr="00745199">
        <w:t>prevent, identify and</w:t>
      </w:r>
      <w:r w:rsidR="009E532B">
        <w:t xml:space="preserve"> address situations of risk of suicide of persons with disabilities.</w:t>
      </w:r>
      <w:r w:rsidR="009E532B">
        <w:rPr>
          <w:rStyle w:val="FootnoteReference"/>
          <w:rFonts w:cs="Arial"/>
          <w:szCs w:val="22"/>
        </w:rPr>
        <w:footnoteReference w:id="245"/>
      </w:r>
    </w:p>
    <w:p w:rsidR="009E532B" w:rsidRPr="00306F81" w:rsidRDefault="00676354" w:rsidP="002F75F8">
      <w:r>
        <w:t xml:space="preserve">82. </w:t>
      </w:r>
      <w:r w:rsidR="009E532B">
        <w:t xml:space="preserve">The Committee condemned all types of violence against persons with disabilities and recommended States </w:t>
      </w:r>
      <w:r w:rsidR="00596BA2">
        <w:t>Parties</w:t>
      </w:r>
      <w:r w:rsidR="009E532B">
        <w:t xml:space="preserve"> to adopt measures to prevent, investigate and sanction acts of violence. Such acts encompass harassment,</w:t>
      </w:r>
      <w:r w:rsidR="009E532B">
        <w:rPr>
          <w:rStyle w:val="FootnoteReference"/>
          <w:rFonts w:cs="Arial"/>
          <w:szCs w:val="22"/>
        </w:rPr>
        <w:footnoteReference w:id="246"/>
      </w:r>
      <w:r w:rsidR="009E532B">
        <w:t xml:space="preserve"> including bullying</w:t>
      </w:r>
      <w:r w:rsidR="009E532B">
        <w:rPr>
          <w:rStyle w:val="FootnoteReference"/>
          <w:rFonts w:cs="Arial"/>
          <w:szCs w:val="22"/>
        </w:rPr>
        <w:footnoteReference w:id="247"/>
      </w:r>
      <w:r w:rsidR="009E532B">
        <w:t xml:space="preserve"> and cyber-bullying,</w:t>
      </w:r>
      <w:r w:rsidR="009E532B">
        <w:rPr>
          <w:rStyle w:val="FootnoteReference"/>
          <w:rFonts w:cs="Arial"/>
          <w:szCs w:val="22"/>
        </w:rPr>
        <w:footnoteReference w:id="248"/>
      </w:r>
      <w:r w:rsidR="009E532B">
        <w:t xml:space="preserve"> corporal punishment on adults</w:t>
      </w:r>
      <w:r w:rsidR="009E532B">
        <w:rPr>
          <w:rStyle w:val="FootnoteReference"/>
          <w:rFonts w:cs="Arial"/>
          <w:szCs w:val="22"/>
        </w:rPr>
        <w:footnoteReference w:id="249"/>
      </w:r>
      <w:r w:rsidR="009E532B">
        <w:t xml:space="preserve"> and children with disabilities,</w:t>
      </w:r>
      <w:r w:rsidR="009E532B">
        <w:rPr>
          <w:rStyle w:val="FootnoteReference"/>
          <w:rFonts w:cs="Arial"/>
          <w:szCs w:val="22"/>
        </w:rPr>
        <w:footnoteReference w:id="250"/>
      </w:r>
      <w:r w:rsidR="009E532B">
        <w:t xml:space="preserve"> sexual violence,</w:t>
      </w:r>
      <w:r w:rsidR="009E532B">
        <w:rPr>
          <w:rStyle w:val="FootnoteReference"/>
          <w:rFonts w:cs="Arial"/>
          <w:szCs w:val="22"/>
        </w:rPr>
        <w:footnoteReference w:id="251"/>
      </w:r>
      <w:r w:rsidR="009E532B">
        <w:t xml:space="preserve"> including marital rape and incest,</w:t>
      </w:r>
      <w:r w:rsidR="009E532B">
        <w:rPr>
          <w:rStyle w:val="FootnoteReference"/>
          <w:rFonts w:cs="Arial"/>
          <w:szCs w:val="22"/>
        </w:rPr>
        <w:footnoteReference w:id="252"/>
      </w:r>
      <w:r w:rsidR="009E532B">
        <w:t xml:space="preserve"> and violence taking p</w:t>
      </w:r>
      <w:r w:rsidR="00FC31D6">
        <w:t>l</w:t>
      </w:r>
      <w:r w:rsidR="009E532B">
        <w:t>ace in institutional settings.</w:t>
      </w:r>
      <w:r w:rsidR="009E532B">
        <w:rPr>
          <w:rStyle w:val="FootnoteReference"/>
          <w:rFonts w:cs="Arial"/>
          <w:szCs w:val="22"/>
        </w:rPr>
        <w:footnoteReference w:id="253"/>
      </w:r>
      <w:r w:rsidR="009E532B">
        <w:t xml:space="preserve"> While the Committee used to refer mostly to domestic violence,</w:t>
      </w:r>
      <w:r w:rsidR="009E532B">
        <w:rPr>
          <w:rStyle w:val="FootnoteReference"/>
          <w:rFonts w:cs="Arial"/>
          <w:szCs w:val="22"/>
        </w:rPr>
        <w:footnoteReference w:id="254"/>
      </w:r>
      <w:r w:rsidR="009E532B">
        <w:t xml:space="preserve"> it now refers more frequently to “violence within and outside the home”,</w:t>
      </w:r>
      <w:r w:rsidR="009E532B">
        <w:rPr>
          <w:rStyle w:val="FootnoteReference"/>
          <w:rFonts w:cs="Arial"/>
          <w:szCs w:val="22"/>
        </w:rPr>
        <w:footnoteReference w:id="255"/>
      </w:r>
      <w:r w:rsidR="009E532B">
        <w:t xml:space="preserve"> as not all cases of violence within the home are domestic violence. </w:t>
      </w:r>
      <w:r w:rsidR="009E532B" w:rsidRPr="004A104F">
        <w:rPr>
          <w:lang w:val="en-GB"/>
        </w:rPr>
        <w:t xml:space="preserve">As noted in the case </w:t>
      </w:r>
      <w:r w:rsidR="009E532B" w:rsidRPr="004A104F">
        <w:rPr>
          <w:i/>
          <w:iCs/>
          <w:lang w:val="en-GB"/>
        </w:rPr>
        <w:t>X. v. Tanzania</w:t>
      </w:r>
      <w:r w:rsidR="009E532B" w:rsidRPr="004A104F">
        <w:rPr>
          <w:iCs/>
          <w:lang w:val="en-GB"/>
        </w:rPr>
        <w:t>,</w:t>
      </w:r>
      <w:r w:rsidR="009E532B" w:rsidRPr="004A104F">
        <w:rPr>
          <w:i/>
          <w:iCs/>
          <w:lang w:val="en-GB"/>
        </w:rPr>
        <w:t xml:space="preserve"> </w:t>
      </w:r>
      <w:r w:rsidR="009E532B" w:rsidRPr="004A104F">
        <w:rPr>
          <w:iCs/>
          <w:lang w:val="en-GB"/>
        </w:rPr>
        <w:t xml:space="preserve">States </w:t>
      </w:r>
      <w:r w:rsidR="00596BA2">
        <w:rPr>
          <w:iCs/>
          <w:lang w:val="en-GB"/>
        </w:rPr>
        <w:t>Parties</w:t>
      </w:r>
      <w:r w:rsidR="009E532B" w:rsidRPr="004A104F">
        <w:rPr>
          <w:iCs/>
          <w:lang w:val="en-GB"/>
        </w:rPr>
        <w:t xml:space="preserve"> must take all necessary measures to prevent, efficiently investigate and punish acts of violence against persons with disabilities. On that matter, the Committee found that the State’s failure to take necessary measures in the case of a </w:t>
      </w:r>
      <w:r w:rsidR="009E532B" w:rsidRPr="004A104F">
        <w:rPr>
          <w:lang w:val="en-GB"/>
        </w:rPr>
        <w:t xml:space="preserve">Tanzanian national with albinism who had one of his arms cut off by two strangers due to his albinism constituted a failure to protect his physical and mental integrity. </w:t>
      </w:r>
      <w:r w:rsidR="009E532B">
        <w:t xml:space="preserve">Moreover, the Committee recommended States </w:t>
      </w:r>
      <w:r w:rsidR="00596BA2">
        <w:t>Parties</w:t>
      </w:r>
      <w:r w:rsidR="009E532B">
        <w:t xml:space="preserve"> to </w:t>
      </w:r>
      <w:r w:rsidR="009E532B" w:rsidRPr="00697A48">
        <w:t>ensure accessible and inclusive support services, including confidential complaint mechanisms, as well as shelters and other support measures</w:t>
      </w:r>
      <w:r w:rsidR="009E532B">
        <w:t>. It e</w:t>
      </w:r>
      <w:r w:rsidR="00FC31D6">
        <w:t>ncouraged Member States of the C</w:t>
      </w:r>
      <w:r w:rsidR="009E532B">
        <w:t xml:space="preserve">ouncil of Europe to ratify </w:t>
      </w:r>
      <w:r w:rsidR="009E532B" w:rsidRPr="00E459B5">
        <w:t>Convention on Preventing and Combating Violence again</w:t>
      </w:r>
      <w:r w:rsidR="009E532B">
        <w:t>st Women and Domestic Violence, most commonly referred to as</w:t>
      </w:r>
      <w:r w:rsidR="00FC31D6">
        <w:t xml:space="preserve"> the</w:t>
      </w:r>
      <w:r w:rsidR="00BC3316">
        <w:t xml:space="preserve"> “Istanbul Convention</w:t>
      </w:r>
      <w:r w:rsidR="009E532B">
        <w:t>”</w:t>
      </w:r>
      <w:r w:rsidR="00BC3316">
        <w:t>.</w:t>
      </w:r>
      <w:r w:rsidR="009E532B">
        <w:rPr>
          <w:rStyle w:val="FootnoteReference"/>
          <w:rFonts w:cs="Arial"/>
          <w:szCs w:val="22"/>
        </w:rPr>
        <w:footnoteReference w:id="256"/>
      </w:r>
    </w:p>
    <w:p w:rsidR="009E532B" w:rsidRPr="00891FF8" w:rsidRDefault="009E532B" w:rsidP="002F75F8">
      <w:pPr>
        <w:pStyle w:val="Heading3"/>
      </w:pPr>
      <w:bookmarkStart w:id="35" w:name="_Toc522542416"/>
      <w:r w:rsidRPr="00FC31D6">
        <w:t>vi. Health (article 25), habilitation and rehabilitation (article 26) and prohibition of forced placement and treatment (articles 12, 14, 15, 16 and 17)</w:t>
      </w:r>
      <w:bookmarkEnd w:id="35"/>
    </w:p>
    <w:p w:rsidR="009E532B" w:rsidRPr="002F75F8" w:rsidRDefault="009E532B" w:rsidP="002F75F8">
      <w:pPr>
        <w:rPr>
          <w:u w:val="single"/>
        </w:rPr>
      </w:pPr>
      <w:r w:rsidRPr="002F75F8">
        <w:rPr>
          <w:u w:val="single"/>
        </w:rPr>
        <w:t xml:space="preserve">Access to health, including sexual and reproductive health and rights, and habilitation and rehabilitation </w:t>
      </w:r>
    </w:p>
    <w:p w:rsidR="009E532B" w:rsidRDefault="00676354" w:rsidP="002F75F8">
      <w:r>
        <w:t xml:space="preserve">83. </w:t>
      </w:r>
      <w:r w:rsidR="009E532B">
        <w:t xml:space="preserve">Under article 25 of the CRPD, persons with disabilities have </w:t>
      </w:r>
      <w:r w:rsidR="009E532B" w:rsidRPr="005F3B2D">
        <w:t xml:space="preserve">the right to the enjoyment of the highest attainable standard of health </w:t>
      </w:r>
      <w:r w:rsidR="00912531">
        <w:t>without discrimination on the basis of disability</w:t>
      </w:r>
      <w:r w:rsidR="009E532B">
        <w:t>. This means</w:t>
      </w:r>
      <w:r w:rsidR="0019182A">
        <w:t xml:space="preserve"> that States </w:t>
      </w:r>
      <w:r w:rsidR="00596BA2">
        <w:t>Parties</w:t>
      </w:r>
      <w:r w:rsidR="0019182A">
        <w:t xml:space="preserve"> cannot deny access to</w:t>
      </w:r>
      <w:r w:rsidR="009E532B">
        <w:t xml:space="preserve"> healthcare</w:t>
      </w:r>
      <w:r w:rsidR="0019182A">
        <w:t>,</w:t>
      </w:r>
      <w:r w:rsidR="009E532B">
        <w:t xml:space="preserve"> and habilitation and rehabilitation</w:t>
      </w:r>
      <w:r w:rsidR="0019182A">
        <w:t>,</w:t>
      </w:r>
      <w:r w:rsidR="009E532B">
        <w:t xml:space="preserve"> to persons with disabilities, including in relation to their sexual and reproductive health and rights, as well as</w:t>
      </w:r>
      <w:r w:rsidR="0019182A">
        <w:t xml:space="preserve"> their</w:t>
      </w:r>
      <w:r w:rsidR="009E532B">
        <w:t xml:space="preserve"> mental health.</w:t>
      </w:r>
    </w:p>
    <w:p w:rsidR="009E532B" w:rsidRPr="0008623B" w:rsidRDefault="00676354" w:rsidP="002F75F8">
      <w:r>
        <w:t xml:space="preserve">84. </w:t>
      </w:r>
      <w:r w:rsidR="002A3B1A">
        <w:t xml:space="preserve">In General Comment No. </w:t>
      </w:r>
      <w:r w:rsidR="009E532B">
        <w:t>2</w:t>
      </w:r>
      <w:r w:rsidR="00FF1464">
        <w:t>,</w:t>
      </w:r>
      <w:r w:rsidR="009E532B">
        <w:t xml:space="preserve"> the Committee noted that healthcare services must be accessible to persons with disabilities and take into account the gender dimension of accessibility.</w:t>
      </w:r>
      <w:r w:rsidR="009E532B">
        <w:rPr>
          <w:rStyle w:val="FootnoteReference"/>
          <w:rFonts w:cs="Arial"/>
          <w:szCs w:val="22"/>
        </w:rPr>
        <w:footnoteReference w:id="257"/>
      </w:r>
      <w:r w:rsidR="009E532B">
        <w:t xml:space="preserve"> </w:t>
      </w:r>
      <w:r w:rsidR="002A3B1A">
        <w:t>Later on, in General Comment No. 6, i</w:t>
      </w:r>
      <w:r w:rsidR="009E532B">
        <w:t xml:space="preserve">t </w:t>
      </w:r>
      <w:r w:rsidR="002A3B1A">
        <w:t>indicated</w:t>
      </w:r>
      <w:r w:rsidR="009E532B">
        <w:t xml:space="preserve"> that g</w:t>
      </w:r>
      <w:r w:rsidR="009E532B" w:rsidRPr="00F43285">
        <w:t>eneral health facilities and services must</w:t>
      </w:r>
      <w:r w:rsidR="002A3B1A">
        <w:t xml:space="preserve"> not only be accessible</w:t>
      </w:r>
      <w:r w:rsidR="002F6DEE">
        <w:t>,</w:t>
      </w:r>
      <w:r w:rsidR="002A3B1A">
        <w:t xml:space="preserve"> but also</w:t>
      </w:r>
      <w:r w:rsidR="009E532B" w:rsidRPr="00F43285">
        <w:t xml:space="preserve"> available, adaptable and acceptable for persons with disa</w:t>
      </w:r>
      <w:r w:rsidR="002A3B1A">
        <w:t xml:space="preserve">bilities in their communities, and include </w:t>
      </w:r>
      <w:r w:rsidR="009E532B" w:rsidRPr="00F43285">
        <w:t>the support required by some persons with disabilities during hospitalizations, surger</w:t>
      </w:r>
      <w:r w:rsidR="009E532B">
        <w:t>ies and medical consultations. It noted that t</w:t>
      </w:r>
      <w:r w:rsidR="009E532B" w:rsidRPr="00F43285">
        <w:t>he provision of nurses, physiotherapists, psychiatrists or psychologists, in hospitals as well as at home, is</w:t>
      </w:r>
      <w:r w:rsidR="002F6DEE">
        <w:t xml:space="preserve"> a part of the fulfillment of </w:t>
      </w:r>
      <w:r w:rsidR="009E532B" w:rsidRPr="00F43285">
        <w:t xml:space="preserve">States </w:t>
      </w:r>
      <w:r w:rsidR="00596BA2">
        <w:t>Parties</w:t>
      </w:r>
      <w:r w:rsidR="002F6DEE">
        <w:t xml:space="preserve">’ </w:t>
      </w:r>
      <w:r w:rsidR="009E532B" w:rsidRPr="00F43285">
        <w:t>obligation</w:t>
      </w:r>
      <w:r w:rsidR="002F6DEE">
        <w:t>s</w:t>
      </w:r>
      <w:r w:rsidR="009E532B" w:rsidRPr="00F43285">
        <w:t xml:space="preserve"> under article 25.</w:t>
      </w:r>
      <w:r w:rsidR="009E532B">
        <w:rPr>
          <w:rStyle w:val="FootnoteReference"/>
          <w:rFonts w:cs="Arial"/>
          <w:szCs w:val="22"/>
        </w:rPr>
        <w:footnoteReference w:id="258"/>
      </w:r>
      <w:r w:rsidR="009E532B" w:rsidRPr="00F43285">
        <w:t xml:space="preserve"> </w:t>
      </w:r>
      <w:r w:rsidR="009E532B">
        <w:t xml:space="preserve">In the case </w:t>
      </w:r>
      <w:r w:rsidR="002F6DEE">
        <w:rPr>
          <w:i/>
          <w:lang w:val="en-GB"/>
        </w:rPr>
        <w:t>H.M v</w:t>
      </w:r>
      <w:r w:rsidR="009E532B" w:rsidRPr="000E78A4">
        <w:rPr>
          <w:i/>
          <w:lang w:val="en-GB"/>
        </w:rPr>
        <w:t>. Sweden</w:t>
      </w:r>
      <w:r w:rsidR="009E532B">
        <w:rPr>
          <w:lang w:val="en-GB"/>
        </w:rPr>
        <w:t>, the Commit</w:t>
      </w:r>
      <w:r w:rsidR="002F6DEE">
        <w:rPr>
          <w:lang w:val="en-GB"/>
        </w:rPr>
        <w:t xml:space="preserve">tee found that the </w:t>
      </w:r>
      <w:r w:rsidR="009E532B" w:rsidRPr="006F0098">
        <w:t>local municipality’s refusal to grant a building permit to a woman with a degenerative illness, who could not leave her home without great risk, for installation of a hydrotherapy pool on her property for the purposes of rehabilitation and maintaining her health</w:t>
      </w:r>
      <w:r w:rsidR="009E532B">
        <w:t>, violated the CRPD.</w:t>
      </w:r>
      <w:r w:rsidR="009E532B">
        <w:rPr>
          <w:rStyle w:val="FootnoteReference"/>
          <w:rFonts w:cs="Arial"/>
        </w:rPr>
        <w:footnoteReference w:id="259"/>
      </w:r>
      <w:r w:rsidR="009E532B">
        <w:t xml:space="preserve"> </w:t>
      </w:r>
    </w:p>
    <w:p w:rsidR="009E532B" w:rsidRPr="005F3B2D" w:rsidRDefault="00676354" w:rsidP="002F75F8">
      <w:r>
        <w:t xml:space="preserve">85. </w:t>
      </w:r>
      <w:r w:rsidR="00773242">
        <w:t>“R</w:t>
      </w:r>
      <w:r w:rsidR="009E532B">
        <w:t>eproductive rights</w:t>
      </w:r>
      <w:r w:rsidR="00773242">
        <w:t>”</w:t>
      </w:r>
      <w:r w:rsidR="009E532B">
        <w:t xml:space="preserve"> </w:t>
      </w:r>
      <w:r w:rsidR="00773242">
        <w:t>are mentioned in the</w:t>
      </w:r>
      <w:r w:rsidR="009E532B">
        <w:t xml:space="preserve"> first general comment</w:t>
      </w:r>
      <w:r w:rsidR="00773242">
        <w:t xml:space="preserve"> of the Committee,</w:t>
      </w:r>
      <w:r w:rsidR="009E532B">
        <w:rPr>
          <w:rStyle w:val="FootnoteReference"/>
          <w:rFonts w:cs="Arial"/>
          <w:szCs w:val="22"/>
        </w:rPr>
        <w:footnoteReference w:id="260"/>
      </w:r>
      <w:r w:rsidR="009E532B">
        <w:t xml:space="preserve"> </w:t>
      </w:r>
      <w:r w:rsidR="00773242">
        <w:t xml:space="preserve">which then </w:t>
      </w:r>
      <w:r w:rsidR="009E532B">
        <w:t xml:space="preserve">successively </w:t>
      </w:r>
      <w:r w:rsidR="00773242">
        <w:t xml:space="preserve">referred </w:t>
      </w:r>
      <w:r w:rsidR="009E532B">
        <w:t xml:space="preserve">to </w:t>
      </w:r>
      <w:r w:rsidR="00773242">
        <w:t>“</w:t>
      </w:r>
      <w:r w:rsidR="009E532B">
        <w:t>sexual and reproductive health and rights</w:t>
      </w:r>
      <w:r w:rsidR="00773242">
        <w:t>”</w:t>
      </w:r>
      <w:r w:rsidR="009E532B">
        <w:t xml:space="preserve"> in its </w:t>
      </w:r>
      <w:r w:rsidR="00773242">
        <w:t xml:space="preserve">following </w:t>
      </w:r>
      <w:r w:rsidR="009E532B">
        <w:t>concluding observations and general comments.</w:t>
      </w:r>
      <w:r w:rsidR="009E532B">
        <w:rPr>
          <w:rStyle w:val="FootnoteReference"/>
          <w:rFonts w:cs="Arial"/>
          <w:szCs w:val="22"/>
        </w:rPr>
        <w:footnoteReference w:id="261"/>
      </w:r>
      <w:r w:rsidR="00773242">
        <w:t xml:space="preserve"> The Committee</w:t>
      </w:r>
      <w:r w:rsidR="009E532B">
        <w:t xml:space="preserve"> noted that ensuring such rights, especially to women with disabilities is particularly important, as they are often victims of stereotypes that </w:t>
      </w:r>
      <w:r w:rsidR="00773242">
        <w:t>portray</w:t>
      </w:r>
      <w:r w:rsidR="009E532B">
        <w:t xml:space="preserve"> them as asexual or hyper sexual,</w:t>
      </w:r>
      <w:r w:rsidR="009E532B">
        <w:rPr>
          <w:rStyle w:val="FootnoteReference"/>
          <w:rFonts w:cs="Arial"/>
          <w:szCs w:val="22"/>
        </w:rPr>
        <w:footnoteReference w:id="262"/>
      </w:r>
      <w:r w:rsidR="009E532B">
        <w:t xml:space="preserve"> or not able to consent to sexual intercourses.</w:t>
      </w:r>
      <w:r w:rsidR="009E532B">
        <w:rPr>
          <w:rStyle w:val="FootnoteReference"/>
          <w:rFonts w:cs="Arial"/>
          <w:szCs w:val="22"/>
        </w:rPr>
        <w:footnoteReference w:id="263"/>
      </w:r>
      <w:r w:rsidR="009E532B">
        <w:t xml:space="preserve"> States </w:t>
      </w:r>
      <w:r w:rsidR="00596BA2">
        <w:t>Parties</w:t>
      </w:r>
      <w:r w:rsidR="009E532B">
        <w:t xml:space="preserve"> should ensure</w:t>
      </w:r>
      <w:r w:rsidR="00067FB6">
        <w:t xml:space="preserve"> both </w:t>
      </w:r>
      <w:r w:rsidR="009E532B">
        <w:t>reproductive and sexual health</w:t>
      </w:r>
      <w:r w:rsidR="00067FB6">
        <w:t xml:space="preserve"> and rights of persons with disabilities</w:t>
      </w:r>
      <w:r w:rsidR="009E532B">
        <w:t xml:space="preserve">. For instance, they should ensure that information on </w:t>
      </w:r>
      <w:r w:rsidR="009E532B" w:rsidRPr="00A34E2A">
        <w:t>sexual and reproductive health</w:t>
      </w:r>
      <w:r w:rsidR="009E532B">
        <w:t xml:space="preserve"> and rights are provided to persons with disabilities, including information on HIV/AIDS and other sexually transmitted infections,</w:t>
      </w:r>
      <w:r w:rsidR="009E532B">
        <w:rPr>
          <w:rStyle w:val="FootnoteReference"/>
          <w:rFonts w:cs="Arial"/>
          <w:szCs w:val="22"/>
        </w:rPr>
        <w:footnoteReference w:id="264"/>
      </w:r>
      <w:r w:rsidR="009E532B">
        <w:t xml:space="preserve"> and that women with disabilities can access </w:t>
      </w:r>
      <w:r w:rsidR="009E532B" w:rsidRPr="009E29CB">
        <w:t>services for safe abortion</w:t>
      </w:r>
      <w:r w:rsidR="009E532B">
        <w:t xml:space="preserve"> on an equal basis with others.</w:t>
      </w:r>
      <w:r w:rsidR="009E532B">
        <w:rPr>
          <w:rStyle w:val="FootnoteReference"/>
          <w:rFonts w:cs="Arial"/>
          <w:szCs w:val="22"/>
        </w:rPr>
        <w:footnoteReference w:id="265"/>
      </w:r>
      <w:r w:rsidR="009E532B">
        <w:t xml:space="preserve"> </w:t>
      </w:r>
    </w:p>
    <w:p w:rsidR="009E532B" w:rsidRPr="002F75F8" w:rsidRDefault="009E532B" w:rsidP="002F75F8">
      <w:pPr>
        <w:rPr>
          <w:u w:val="single"/>
        </w:rPr>
      </w:pPr>
      <w:r w:rsidRPr="002F75F8">
        <w:rPr>
          <w:u w:val="single"/>
        </w:rPr>
        <w:t>Prohibition of involuntary treatment and placement</w:t>
      </w:r>
    </w:p>
    <w:p w:rsidR="009E532B" w:rsidRDefault="00676354" w:rsidP="002F75F8">
      <w:r>
        <w:t xml:space="preserve">86. </w:t>
      </w:r>
      <w:r w:rsidR="009E532B" w:rsidRPr="00F62B2D">
        <w:t xml:space="preserve">In line with articles 12, 14 and 15 of the Convention, the Committee </w:t>
      </w:r>
      <w:r w:rsidR="009E532B">
        <w:t>prohibits all forms of involuntary treatments and detention in health facilities</w:t>
      </w:r>
      <w:r w:rsidR="00361749">
        <w:t xml:space="preserve"> based on the alleged dangerousness of the person, or other elements based on the person’s impairment</w:t>
      </w:r>
      <w:r w:rsidR="009E532B">
        <w:t>. In General Comment No</w:t>
      </w:r>
      <w:r w:rsidR="00CD09EE">
        <w:t>.</w:t>
      </w:r>
      <w:r w:rsidR="009E532B">
        <w:t xml:space="preserve"> 1 on equa</w:t>
      </w:r>
      <w:r w:rsidR="00CD09EE">
        <w:t>l recognition before the law, the Committee</w:t>
      </w:r>
      <w:r w:rsidR="009E532B">
        <w:t xml:space="preserve"> </w:t>
      </w:r>
      <w:r w:rsidR="00CD09EE">
        <w:t>emphasized</w:t>
      </w:r>
      <w:r w:rsidR="009E532B">
        <w:t xml:space="preserve"> that </w:t>
      </w:r>
      <w:r w:rsidR="009E532B" w:rsidRPr="00C3568F">
        <w:t xml:space="preserve">forced treatment by psychiatric and other health and medical professionals </w:t>
      </w:r>
      <w:r w:rsidR="005A47C3">
        <w:t>constitute a</w:t>
      </w:r>
      <w:r w:rsidR="009E532B" w:rsidRPr="00C3568F">
        <w:t xml:space="preserve"> violation of the right</w:t>
      </w:r>
      <w:r w:rsidR="00AF2BAB">
        <w:t>s</w:t>
      </w:r>
      <w:r w:rsidR="009E532B" w:rsidRPr="00C3568F">
        <w:t xml:space="preserve"> to equal recognition before the law</w:t>
      </w:r>
      <w:r w:rsidR="006621EA">
        <w:t xml:space="preserve"> (article 12)</w:t>
      </w:r>
      <w:r w:rsidR="00AF2BAB">
        <w:t>,</w:t>
      </w:r>
      <w:r w:rsidR="00AF2BAB">
        <w:rPr>
          <w:rStyle w:val="FootnoteReference"/>
          <w:rFonts w:cs="Arial"/>
          <w:szCs w:val="22"/>
        </w:rPr>
        <w:footnoteReference w:id="266"/>
      </w:r>
      <w:r w:rsidR="00AF2BAB">
        <w:t xml:space="preserve"> </w:t>
      </w:r>
      <w:r w:rsidR="009E532B" w:rsidRPr="00C3568F">
        <w:t>pers</w:t>
      </w:r>
      <w:r w:rsidR="006621EA">
        <w:t>onal integrity (article 17),</w:t>
      </w:r>
      <w:r w:rsidR="009E532B">
        <w:t xml:space="preserve"> freedom from torture (article</w:t>
      </w:r>
      <w:r w:rsidR="006621EA">
        <w:t xml:space="preserve"> 15), </w:t>
      </w:r>
      <w:r w:rsidR="009E532B" w:rsidRPr="00C3568F">
        <w:t>freedom from violen</w:t>
      </w:r>
      <w:r w:rsidR="009E532B">
        <w:t>ce, exploitation and abuse (article</w:t>
      </w:r>
      <w:r w:rsidR="009E532B" w:rsidRPr="00C3568F">
        <w:t xml:space="preserve"> 16)</w:t>
      </w:r>
      <w:r w:rsidR="009E532B">
        <w:t>.</w:t>
      </w:r>
      <w:r w:rsidR="009E532B">
        <w:rPr>
          <w:rStyle w:val="FootnoteReference"/>
          <w:rFonts w:cs="Arial"/>
          <w:szCs w:val="22"/>
        </w:rPr>
        <w:footnoteReference w:id="267"/>
      </w:r>
      <w:r w:rsidR="009E532B">
        <w:t xml:space="preserve"> The Committee also condemned involuntary and </w:t>
      </w:r>
      <w:r w:rsidR="009E532B" w:rsidRPr="009D3DB4">
        <w:t>non-consensual commitment in mental health institutions</w:t>
      </w:r>
      <w:r w:rsidR="009E532B">
        <w:t xml:space="preserve"> and non-consensual treatment during deprivation of liberty in its guidelines on article 14.</w:t>
      </w:r>
      <w:r w:rsidR="009E532B">
        <w:rPr>
          <w:rStyle w:val="FootnoteReference"/>
          <w:rFonts w:cs="Arial"/>
          <w:szCs w:val="22"/>
        </w:rPr>
        <w:footnoteReference w:id="268"/>
      </w:r>
      <w:r w:rsidR="009E532B">
        <w:t xml:space="preserve"> </w:t>
      </w:r>
      <w:r w:rsidR="000D5569">
        <w:t>These last</w:t>
      </w:r>
      <w:r w:rsidR="009E532B">
        <w:t xml:space="preserve"> year</w:t>
      </w:r>
      <w:r w:rsidR="000D5569">
        <w:t xml:space="preserve">s, </w:t>
      </w:r>
      <w:r w:rsidR="009E532B">
        <w:t>the Committee opposed the adoption of an additional protocol to</w:t>
      </w:r>
      <w:r w:rsidR="0051716F">
        <w:t xml:space="preserve"> the</w:t>
      </w:r>
      <w:r w:rsidR="009E532B">
        <w:t xml:space="preserve"> </w:t>
      </w:r>
      <w:r w:rsidR="000D5569" w:rsidRPr="000D5569">
        <w:rPr>
          <w:lang w:val="en-GB"/>
        </w:rPr>
        <w:t>Council of Europe Convention for the Protection of Human Rights and Dignity of the Human Being with regard to the Application of Biology and Medicine: Convention on Human Rights and Biomedicine (Oviedo Convention)</w:t>
      </w:r>
      <w:r w:rsidR="000D5569">
        <w:rPr>
          <w:b/>
          <w:lang w:val="en-GB"/>
        </w:rPr>
        <w:t xml:space="preserve"> </w:t>
      </w:r>
      <w:r w:rsidR="009E532B">
        <w:t>c</w:t>
      </w:r>
      <w:r w:rsidR="009E532B" w:rsidRPr="005A7883">
        <w:t>oncerning the “protection of human rights and dignity of persons with mental disorder with regard to involuntary placement and involuntary treatment”</w:t>
      </w:r>
      <w:r w:rsidR="009E532B">
        <w:t xml:space="preserve"> that </w:t>
      </w:r>
      <w:r w:rsidR="000855A7">
        <w:t>is contrary to the le</w:t>
      </w:r>
      <w:r w:rsidR="0051716F">
        <w:t>tter and spirit of the CRPD</w:t>
      </w:r>
      <w:r w:rsidR="009E532B">
        <w:t>.</w:t>
      </w:r>
      <w:r w:rsidR="009E532B">
        <w:rPr>
          <w:rStyle w:val="FootnoteReference"/>
          <w:rFonts w:cs="Arial"/>
          <w:szCs w:val="22"/>
        </w:rPr>
        <w:footnoteReference w:id="269"/>
      </w:r>
      <w:r w:rsidR="009E532B">
        <w:t xml:space="preserve"> </w:t>
      </w:r>
    </w:p>
    <w:p w:rsidR="009E532B" w:rsidRPr="00E7293B" w:rsidRDefault="00676354" w:rsidP="002F75F8">
      <w:r>
        <w:t xml:space="preserve">87. </w:t>
      </w:r>
      <w:r w:rsidR="009E532B" w:rsidRPr="00217810">
        <w:t xml:space="preserve">Further, the Committee recommended States </w:t>
      </w:r>
      <w:r w:rsidR="00596BA2">
        <w:t>Parties</w:t>
      </w:r>
      <w:r w:rsidR="009E532B" w:rsidRPr="00217810">
        <w:t xml:space="preserve"> to prohibiting all forms of forced sterilization</w:t>
      </w:r>
      <w:r w:rsidR="009E532B" w:rsidRPr="00217810">
        <w:rPr>
          <w:color w:val="000000"/>
        </w:rPr>
        <w:t xml:space="preserve"> and </w:t>
      </w:r>
      <w:r w:rsidR="009E532B" w:rsidRPr="00217810">
        <w:t>medical or hormone-based interventions (e.g. lobotomy or the Ashley treatment), forced and coerced</w:t>
      </w:r>
      <w:r w:rsidR="009E532B">
        <w:t xml:space="preserve"> abortion, </w:t>
      </w:r>
      <w:r w:rsidR="009E532B" w:rsidRPr="007D4933">
        <w:t>non-consensual birth control</w:t>
      </w:r>
      <w:r w:rsidR="009E532B">
        <w:rPr>
          <w:lang w:val="en-GB"/>
        </w:rPr>
        <w:t xml:space="preserve">, </w:t>
      </w:r>
      <w:r w:rsidR="009E532B" w:rsidRPr="00A610F5">
        <w:t>forced dru</w:t>
      </w:r>
      <w:r w:rsidR="009E532B">
        <w:t xml:space="preserve">gging, including of </w:t>
      </w:r>
      <w:r w:rsidR="009E532B" w:rsidRPr="00676511">
        <w:rPr>
          <w:lang w:val="en-GB"/>
        </w:rPr>
        <w:t>drugs to “control sexual behaviour”</w:t>
      </w:r>
      <w:r w:rsidR="009E532B">
        <w:rPr>
          <w:lang w:val="en-GB"/>
        </w:rPr>
        <w:t>,</w:t>
      </w:r>
      <w:r w:rsidR="009E532B">
        <w:rPr>
          <w:rStyle w:val="FootnoteReference"/>
          <w:rFonts w:cs="Arial"/>
          <w:szCs w:val="22"/>
          <w:lang w:val="en-GB"/>
        </w:rPr>
        <w:footnoteReference w:id="270"/>
      </w:r>
      <w:r w:rsidR="009E532B">
        <w:t xml:space="preserve"> and forced electroshocks.</w:t>
      </w:r>
      <w:r w:rsidR="009E532B">
        <w:rPr>
          <w:rStyle w:val="FootnoteReference"/>
          <w:rFonts w:cs="Arial"/>
          <w:szCs w:val="22"/>
        </w:rPr>
        <w:footnoteReference w:id="271"/>
      </w:r>
      <w:r w:rsidR="000C7FD3">
        <w:t xml:space="preserve"> It also condemned</w:t>
      </w:r>
      <w:r w:rsidR="009E532B">
        <w:t xml:space="preserve"> </w:t>
      </w:r>
      <w:r w:rsidR="009E532B" w:rsidRPr="007D4933">
        <w:t xml:space="preserve">female </w:t>
      </w:r>
      <w:r w:rsidR="009E532B">
        <w:t>genital mutilation</w:t>
      </w:r>
      <w:r w:rsidR="00BC5A65">
        <w:t>s, and surgeries</w:t>
      </w:r>
      <w:r w:rsidR="009E532B" w:rsidRPr="007D4933">
        <w:t>, or treatment</w:t>
      </w:r>
      <w:r w:rsidR="00BC5A65">
        <w:t>s</w:t>
      </w:r>
      <w:r w:rsidR="009E532B" w:rsidRPr="007D4933">
        <w:t xml:space="preserve"> performed on intersex children without their informed consent</w:t>
      </w:r>
      <w:r w:rsidR="009E532B">
        <w:t>.</w:t>
      </w:r>
      <w:r w:rsidR="009E532B">
        <w:rPr>
          <w:rStyle w:val="FootnoteReference"/>
          <w:rFonts w:cs="Arial"/>
          <w:szCs w:val="22"/>
        </w:rPr>
        <w:footnoteReference w:id="272"/>
      </w:r>
      <w:r w:rsidR="009E532B">
        <w:t xml:space="preserve"> In many cases</w:t>
      </w:r>
      <w:r w:rsidR="000855A7">
        <w:t>,</w:t>
      </w:r>
      <w:r w:rsidR="009E532B">
        <w:t xml:space="preserve"> it considered that these practices amounted </w:t>
      </w:r>
      <w:r w:rsidR="009E532B" w:rsidRPr="00D66E17">
        <w:rPr>
          <w:bCs/>
          <w:lang w:val="en-GB"/>
        </w:rPr>
        <w:t>to torture, cruel, inhuman or degrading treatment of punishment.</w:t>
      </w:r>
      <w:r w:rsidR="009E532B">
        <w:rPr>
          <w:rStyle w:val="FootnoteReference"/>
          <w:rFonts w:cs="Arial"/>
          <w:bCs/>
          <w:szCs w:val="22"/>
          <w:lang w:val="en-GB"/>
        </w:rPr>
        <w:footnoteReference w:id="273"/>
      </w:r>
    </w:p>
    <w:p w:rsidR="009E532B" w:rsidRPr="00891FF8" w:rsidRDefault="009E532B" w:rsidP="002F75F8">
      <w:pPr>
        <w:pStyle w:val="Heading3"/>
      </w:pPr>
      <w:bookmarkStart w:id="36" w:name="_Toc522542417"/>
      <w:r w:rsidRPr="00FB46C1">
        <w:t>vii. Inclusive education (article 24)</w:t>
      </w:r>
      <w:bookmarkEnd w:id="36"/>
    </w:p>
    <w:p w:rsidR="009E532B" w:rsidRDefault="00676354" w:rsidP="002F75F8">
      <w:r>
        <w:t xml:space="preserve">88. </w:t>
      </w:r>
      <w:r w:rsidR="009E532B">
        <w:t>Article 24 of the Convention requi</w:t>
      </w:r>
      <w:r w:rsidR="00121D00">
        <w:t xml:space="preserve">res States </w:t>
      </w:r>
      <w:r w:rsidR="00596BA2">
        <w:t>Parties</w:t>
      </w:r>
      <w:r w:rsidR="00121D00">
        <w:t xml:space="preserve"> to ensure “</w:t>
      </w:r>
      <w:r w:rsidR="009E532B">
        <w:t>inclusive education system at all levels and lifelong learning”</w:t>
      </w:r>
      <w:r w:rsidR="000855A7">
        <w:t>.</w:t>
      </w:r>
      <w:r w:rsidR="009E532B">
        <w:t xml:space="preserve"> </w:t>
      </w:r>
      <w:r w:rsidR="00534A13">
        <w:t>T</w:t>
      </w:r>
      <w:r w:rsidR="009E532B">
        <w:t xml:space="preserve">he Committee provided </w:t>
      </w:r>
      <w:r w:rsidR="00FB46C1">
        <w:t>additional guidance</w:t>
      </w:r>
      <w:r w:rsidR="00534A13">
        <w:t xml:space="preserve"> on States </w:t>
      </w:r>
      <w:r w:rsidR="00596BA2">
        <w:t>Parties</w:t>
      </w:r>
      <w:r w:rsidR="00534A13">
        <w:t>’ obligation under this article</w:t>
      </w:r>
      <w:r w:rsidR="00FB46C1">
        <w:t xml:space="preserve"> in </w:t>
      </w:r>
      <w:r w:rsidR="009E532B">
        <w:t>General Comment No</w:t>
      </w:r>
      <w:r w:rsidR="00FB46C1">
        <w:t>.</w:t>
      </w:r>
      <w:r w:rsidR="009E532B">
        <w:t xml:space="preserve"> 4</w:t>
      </w:r>
      <w:r w:rsidR="00FB46C1">
        <w:t xml:space="preserve"> on inclusive education adopted</w:t>
      </w:r>
      <w:r w:rsidR="009E532B">
        <w:t xml:space="preserve"> in 2016. </w:t>
      </w:r>
    </w:p>
    <w:p w:rsidR="009E532B" w:rsidRPr="003B323F" w:rsidRDefault="00676354" w:rsidP="002F75F8">
      <w:r>
        <w:t xml:space="preserve">89. </w:t>
      </w:r>
      <w:r w:rsidR="009E532B">
        <w:t>In its oldest concluding observations</w:t>
      </w:r>
      <w:r w:rsidR="007E6BB8">
        <w:t>,</w:t>
      </w:r>
      <w:r w:rsidR="009E532B">
        <w:t xml:space="preserve"> the Committee did not explicitly prohibit all forms of segregated education and there was some confusion on whether specialized schools for children with disabilities could be </w:t>
      </w:r>
      <w:r w:rsidR="00AC37DF">
        <w:t>acceptable</w:t>
      </w:r>
      <w:r w:rsidR="009E532B">
        <w:t xml:space="preserve"> in some </w:t>
      </w:r>
      <w:r w:rsidR="00FE2921">
        <w:t>situations</w:t>
      </w:r>
      <w:r w:rsidR="009E532B">
        <w:t>.</w:t>
      </w:r>
      <w:r w:rsidR="009E532B">
        <w:rPr>
          <w:rStyle w:val="FootnoteReference"/>
          <w:rFonts w:cs="Arial"/>
          <w:szCs w:val="22"/>
        </w:rPr>
        <w:footnoteReference w:id="274"/>
      </w:r>
      <w:r w:rsidR="009E532B">
        <w:t xml:space="preserve"> Since</w:t>
      </w:r>
      <w:r w:rsidR="00FE2921">
        <w:t xml:space="preserve"> then</w:t>
      </w:r>
      <w:r w:rsidR="0000385E">
        <w:t>,</w:t>
      </w:r>
      <w:r w:rsidR="009E532B">
        <w:t xml:space="preserve"> the Committee has been explicitly stated that exclusionary and segregated education constitutes a form of discrimination based on disability</w:t>
      </w:r>
      <w:r w:rsidR="009E532B">
        <w:rPr>
          <w:rStyle w:val="FootnoteReference"/>
          <w:rFonts w:cs="Arial"/>
          <w:szCs w:val="22"/>
        </w:rPr>
        <w:footnoteReference w:id="275"/>
      </w:r>
      <w:r w:rsidR="009E532B">
        <w:t xml:space="preserve"> in violation </w:t>
      </w:r>
      <w:r w:rsidR="0000385E">
        <w:t xml:space="preserve">with the </w:t>
      </w:r>
      <w:r w:rsidR="009E532B">
        <w:t>Convention. In General Comment No</w:t>
      </w:r>
      <w:r w:rsidR="00FE2921">
        <w:t>. 4, the Committee defined</w:t>
      </w:r>
      <w:r w:rsidR="009E532B">
        <w:t xml:space="preserve"> the right to inclusive education in details</w:t>
      </w:r>
      <w:r w:rsidR="00861020">
        <w:t>,</w:t>
      </w:r>
      <w:r w:rsidR="009E532B">
        <w:rPr>
          <w:rStyle w:val="FootnoteReference"/>
          <w:rFonts w:cs="Arial"/>
          <w:szCs w:val="22"/>
        </w:rPr>
        <w:footnoteReference w:id="276"/>
      </w:r>
      <w:r w:rsidR="00861020">
        <w:t xml:space="preserve"> noting that</w:t>
      </w:r>
      <w:r w:rsidR="009E532B">
        <w:t xml:space="preserve"> it requires </w:t>
      </w:r>
      <w:r w:rsidR="009E532B" w:rsidRPr="003B323F">
        <w:t>an in-depth transformation of education systems in</w:t>
      </w:r>
      <w:r w:rsidR="00FE2921">
        <w:t xml:space="preserve"> States’ legislation, policies</w:t>
      </w:r>
      <w:r w:rsidR="009E532B" w:rsidRPr="003B323F">
        <w:t xml:space="preserve"> and mechanisms for financing, administering, designing, delivering and monitoring education.</w:t>
      </w:r>
      <w:r w:rsidR="009E532B">
        <w:rPr>
          <w:rStyle w:val="FootnoteReference"/>
          <w:rFonts w:cs="Arial"/>
          <w:szCs w:val="22"/>
        </w:rPr>
        <w:footnoteReference w:id="277"/>
      </w:r>
      <w:r w:rsidR="009E532B" w:rsidRPr="003B323F">
        <w:t xml:space="preserve"> </w:t>
      </w:r>
      <w:r w:rsidR="00861020">
        <w:t>It recommended</w:t>
      </w:r>
      <w:r w:rsidR="009E532B">
        <w:t xml:space="preserve"> States to fully replace segregated education by inclusive education,</w:t>
      </w:r>
      <w:r w:rsidR="009E532B">
        <w:rPr>
          <w:rStyle w:val="FootnoteReference"/>
          <w:rFonts w:cs="Arial"/>
          <w:szCs w:val="22"/>
        </w:rPr>
        <w:footnoteReference w:id="278"/>
      </w:r>
      <w:r w:rsidR="009E532B">
        <w:t xml:space="preserve"> stressing that while this obligation is subject to progressive realization, States </w:t>
      </w:r>
      <w:r w:rsidR="00596BA2">
        <w:t>Parties</w:t>
      </w:r>
      <w:r w:rsidR="009E532B">
        <w:t xml:space="preserve"> must immediately ensure non-exclusion of</w:t>
      </w:r>
      <w:r w:rsidR="009E532B" w:rsidRPr="003E2882">
        <w:t xml:space="preserve"> children with disabilities</w:t>
      </w:r>
      <w:r w:rsidR="009E532B">
        <w:t xml:space="preserve"> from</w:t>
      </w:r>
      <w:r w:rsidR="009E532B" w:rsidRPr="003E2882">
        <w:t xml:space="preserve"> enro</w:t>
      </w:r>
      <w:r w:rsidR="009E532B">
        <w:t xml:space="preserve">lling in regular schools and </w:t>
      </w:r>
      <w:r w:rsidR="009E532B" w:rsidRPr="003E2882">
        <w:t>provide</w:t>
      </w:r>
      <w:r w:rsidR="009E532B">
        <w:t xml:space="preserve"> them with</w:t>
      </w:r>
      <w:r w:rsidR="009E532B" w:rsidRPr="003E2882">
        <w:t xml:space="preserve"> reasonable accommodation</w:t>
      </w:r>
      <w:r w:rsidR="009E532B">
        <w:t>.</w:t>
      </w:r>
      <w:r w:rsidR="009E532B">
        <w:rPr>
          <w:rStyle w:val="FootnoteReference"/>
          <w:rFonts w:cs="Arial"/>
          <w:szCs w:val="22"/>
        </w:rPr>
        <w:footnoteReference w:id="279"/>
      </w:r>
      <w:r w:rsidR="009E532B">
        <w:t xml:space="preserve"> </w:t>
      </w:r>
    </w:p>
    <w:p w:rsidR="009E532B" w:rsidRDefault="00676354" w:rsidP="002F75F8">
      <w:pPr>
        <w:rPr>
          <w:lang w:val="en-GB"/>
        </w:rPr>
      </w:pPr>
      <w:bookmarkStart w:id="37" w:name="_Toc489455373"/>
      <w:r>
        <w:rPr>
          <w:lang w:val="en-GB"/>
        </w:rPr>
        <w:t xml:space="preserve">90. </w:t>
      </w:r>
      <w:r w:rsidR="009E532B">
        <w:rPr>
          <w:lang w:val="en-GB"/>
        </w:rPr>
        <w:t>In June 2018</w:t>
      </w:r>
      <w:r w:rsidR="00EA25CC">
        <w:rPr>
          <w:lang w:val="en-GB"/>
        </w:rPr>
        <w:t>,</w:t>
      </w:r>
      <w:r w:rsidR="009E532B">
        <w:rPr>
          <w:lang w:val="en-GB"/>
        </w:rPr>
        <w:t xml:space="preserve"> the Committee published a report on an i</w:t>
      </w:r>
      <w:r w:rsidR="009E532B" w:rsidRPr="00087037">
        <w:rPr>
          <w:lang w:val="en-GB"/>
        </w:rPr>
        <w:t>nquiry concerning Spain</w:t>
      </w:r>
      <w:bookmarkEnd w:id="37"/>
      <w:r w:rsidR="00204B50">
        <w:rPr>
          <w:lang w:val="en-GB"/>
        </w:rPr>
        <w:t xml:space="preserve"> </w:t>
      </w:r>
      <w:r w:rsidR="00204B50" w:rsidRPr="00204B50">
        <w:rPr>
          <w:lang w:val="en-GB"/>
        </w:rPr>
        <w:t>(CRPD/C/20/3)</w:t>
      </w:r>
      <w:r w:rsidR="00EA25CC">
        <w:rPr>
          <w:lang w:val="en-GB"/>
        </w:rPr>
        <w:t xml:space="preserve"> where it found that the State P</w:t>
      </w:r>
      <w:r w:rsidR="009E532B">
        <w:rPr>
          <w:lang w:val="en-GB"/>
        </w:rPr>
        <w:t xml:space="preserve">arty perpetuated </w:t>
      </w:r>
      <w:r w:rsidR="009E532B" w:rsidRPr="00117CD4">
        <w:rPr>
          <w:lang w:val="en-GB"/>
        </w:rPr>
        <w:t>a structural pattern of discriminatory exclusion and ed</w:t>
      </w:r>
      <w:r w:rsidR="00FE47B1">
        <w:rPr>
          <w:lang w:val="en-GB"/>
        </w:rPr>
        <w:t>ucational segregation on ground</w:t>
      </w:r>
      <w:r w:rsidR="009E532B" w:rsidRPr="00117CD4">
        <w:rPr>
          <w:lang w:val="en-GB"/>
        </w:rPr>
        <w:t xml:space="preserve"> of disability</w:t>
      </w:r>
      <w:r w:rsidR="009E532B">
        <w:rPr>
          <w:lang w:val="en-GB"/>
        </w:rPr>
        <w:t xml:space="preserve">, </w:t>
      </w:r>
      <w:r w:rsidR="009E532B" w:rsidRPr="00117CD4">
        <w:rPr>
          <w:lang w:val="en-GB"/>
        </w:rPr>
        <w:t xml:space="preserve">disproportionately </w:t>
      </w:r>
      <w:r w:rsidR="009E532B">
        <w:rPr>
          <w:lang w:val="en-GB"/>
        </w:rPr>
        <w:t xml:space="preserve">affecting </w:t>
      </w:r>
      <w:r w:rsidR="009E532B" w:rsidRPr="00117CD4">
        <w:rPr>
          <w:lang w:val="en-GB"/>
        </w:rPr>
        <w:t>persons with intellectual and psychosocial disabilities and persons with multiple disabilities</w:t>
      </w:r>
      <w:r w:rsidR="009E532B">
        <w:rPr>
          <w:lang w:val="en-GB"/>
        </w:rPr>
        <w:t xml:space="preserve">. It stressed that </w:t>
      </w:r>
      <w:r w:rsidR="009E532B" w:rsidRPr="00117CD4">
        <w:rPr>
          <w:lang w:val="en-GB"/>
        </w:rPr>
        <w:t xml:space="preserve">an inclusive system based on the right to non-discrimination and equal opportunities requires the abolition of the separate education system for </w:t>
      </w:r>
      <w:r w:rsidR="00FD7498">
        <w:rPr>
          <w:lang w:val="en-GB"/>
        </w:rPr>
        <w:t>learners</w:t>
      </w:r>
      <w:r w:rsidR="00FD7498" w:rsidRPr="00117CD4">
        <w:rPr>
          <w:lang w:val="en-GB"/>
        </w:rPr>
        <w:t xml:space="preserve"> </w:t>
      </w:r>
      <w:r w:rsidR="009E532B" w:rsidRPr="00117CD4">
        <w:rPr>
          <w:lang w:val="en-GB"/>
        </w:rPr>
        <w:t>with disabilities.</w:t>
      </w:r>
      <w:r w:rsidR="009E532B">
        <w:rPr>
          <w:rStyle w:val="FootnoteReference"/>
          <w:rFonts w:cs="Arial"/>
          <w:szCs w:val="22"/>
          <w:lang w:val="en-GB"/>
        </w:rPr>
        <w:footnoteReference w:id="280"/>
      </w:r>
    </w:p>
    <w:p w:rsidR="009E532B" w:rsidRPr="00F121FC" w:rsidRDefault="009E532B" w:rsidP="002F75F8">
      <w:pPr>
        <w:pStyle w:val="Heading3"/>
      </w:pPr>
      <w:bookmarkStart w:id="38" w:name="_Toc522542418"/>
      <w:r w:rsidRPr="009D2476">
        <w:t>viii. Situation of risks and emergencies</w:t>
      </w:r>
      <w:r w:rsidRPr="00F121FC">
        <w:t xml:space="preserve"> </w:t>
      </w:r>
      <w:r w:rsidR="00012C26">
        <w:t>(article 11)</w:t>
      </w:r>
      <w:bookmarkEnd w:id="38"/>
    </w:p>
    <w:p w:rsidR="009E532B" w:rsidRPr="00891FF8" w:rsidRDefault="00676354" w:rsidP="002F75F8">
      <w:pPr>
        <w:rPr>
          <w:lang w:val="en-GB"/>
        </w:rPr>
      </w:pPr>
      <w:r>
        <w:t xml:space="preserve">91. </w:t>
      </w:r>
      <w:r w:rsidR="009E532B" w:rsidRPr="00891FF8">
        <w:t>The Committee has been particularly reactive in addressing the situation of persons with disabilities in situations of risks and emergencies in line with article 11 of the Convention. It adopted eight st</w:t>
      </w:r>
      <w:r w:rsidR="009E532B">
        <w:t>atements in relation to article</w:t>
      </w:r>
      <w:r w:rsidR="009E532B" w:rsidRPr="00891FF8">
        <w:t xml:space="preserve"> 11, six of them regarding the specific situation</w:t>
      </w:r>
      <w:r w:rsidR="00F0076A">
        <w:t>s</w:t>
      </w:r>
      <w:r w:rsidR="009E532B" w:rsidRPr="00891FF8">
        <w:t xml:space="preserve"> of persons with disabilities in countries affected by past or ongoing disasters</w:t>
      </w:r>
      <w:r w:rsidR="009E532B" w:rsidRPr="00891FF8">
        <w:rPr>
          <w:rStyle w:val="FootnoteReference"/>
          <w:rFonts w:cs="Arial"/>
          <w:szCs w:val="22"/>
        </w:rPr>
        <w:footnoteReference w:id="281"/>
      </w:r>
      <w:r w:rsidR="009E532B">
        <w:t xml:space="preserve"> or</w:t>
      </w:r>
      <w:r w:rsidR="009E532B" w:rsidRPr="00891FF8">
        <w:t xml:space="preserve"> armed conflicts.</w:t>
      </w:r>
      <w:r w:rsidR="009E532B" w:rsidRPr="00891FF8">
        <w:rPr>
          <w:rStyle w:val="FootnoteReference"/>
          <w:rFonts w:cs="Arial"/>
          <w:szCs w:val="22"/>
        </w:rPr>
        <w:footnoteReference w:id="282"/>
      </w:r>
      <w:r w:rsidR="009E532B" w:rsidRPr="00891FF8">
        <w:t xml:space="preserve"> </w:t>
      </w:r>
      <w:r w:rsidR="009E532B">
        <w:t>At the international level, it</w:t>
      </w:r>
      <w:r w:rsidR="009E532B" w:rsidRPr="00891FF8">
        <w:t xml:space="preserve"> advocated for disability inclusion in</w:t>
      </w:r>
      <w:r w:rsidR="00787326">
        <w:t xml:space="preserve"> the</w:t>
      </w:r>
      <w:r w:rsidR="009E532B" w:rsidRPr="00891FF8">
        <w:t xml:space="preserve"> </w:t>
      </w:r>
      <w:r w:rsidR="009E532B" w:rsidRPr="00891FF8">
        <w:rPr>
          <w:lang w:val="en-GB"/>
        </w:rPr>
        <w:t>Third World Conference on Disas</w:t>
      </w:r>
      <w:r w:rsidR="006C38BE">
        <w:rPr>
          <w:lang w:val="en-GB"/>
        </w:rPr>
        <w:softHyphen/>
      </w:r>
      <w:r w:rsidR="009E532B" w:rsidRPr="00891FF8">
        <w:rPr>
          <w:lang w:val="en-GB"/>
        </w:rPr>
        <w:t>ter Risk Reduction and Beyond</w:t>
      </w:r>
      <w:r w:rsidR="009E532B" w:rsidRPr="00891FF8">
        <w:rPr>
          <w:rStyle w:val="FootnoteReference"/>
          <w:rFonts w:cs="Arial"/>
          <w:szCs w:val="22"/>
          <w:lang w:val="en-GB"/>
        </w:rPr>
        <w:footnoteReference w:id="283"/>
      </w:r>
      <w:r w:rsidR="009E532B" w:rsidRPr="00891FF8">
        <w:rPr>
          <w:lang w:val="en-GB"/>
        </w:rPr>
        <w:t xml:space="preserve"> and</w:t>
      </w:r>
      <w:r w:rsidR="006923CD">
        <w:rPr>
          <w:lang w:val="en-GB"/>
        </w:rPr>
        <w:t xml:space="preserve"> in</w:t>
      </w:r>
      <w:r w:rsidR="009E532B" w:rsidRPr="00891FF8">
        <w:rPr>
          <w:lang w:val="en-GB"/>
        </w:rPr>
        <w:t xml:space="preserve"> the World Humanitarian Summit.</w:t>
      </w:r>
      <w:r w:rsidR="009E532B" w:rsidRPr="00891FF8">
        <w:rPr>
          <w:rStyle w:val="FootnoteReference"/>
          <w:rFonts w:cs="Arial"/>
          <w:szCs w:val="22"/>
          <w:lang w:val="en-GB"/>
        </w:rPr>
        <w:footnoteReference w:id="284"/>
      </w:r>
    </w:p>
    <w:p w:rsidR="009E532B" w:rsidRPr="00891FF8" w:rsidRDefault="00676354" w:rsidP="002F75F8">
      <w:r>
        <w:rPr>
          <w:lang w:val="en-GB"/>
        </w:rPr>
        <w:t xml:space="preserve">92. </w:t>
      </w:r>
      <w:r w:rsidR="00EA25CC">
        <w:rPr>
          <w:lang w:val="en-GB"/>
        </w:rPr>
        <w:t>General C</w:t>
      </w:r>
      <w:r w:rsidR="009E532B" w:rsidRPr="00891FF8">
        <w:rPr>
          <w:lang w:val="en-GB"/>
        </w:rPr>
        <w:t>omments No</w:t>
      </w:r>
      <w:r w:rsidR="00B21B6D">
        <w:rPr>
          <w:lang w:val="en-GB"/>
        </w:rPr>
        <w:t>. 2 on accessibility, No.</w:t>
      </w:r>
      <w:r w:rsidR="009E532B" w:rsidRPr="00891FF8">
        <w:rPr>
          <w:lang w:val="en-GB"/>
        </w:rPr>
        <w:t xml:space="preserve"> 5</w:t>
      </w:r>
      <w:r w:rsidR="00B21B6D">
        <w:rPr>
          <w:lang w:val="en-GB"/>
        </w:rPr>
        <w:t xml:space="preserve"> </w:t>
      </w:r>
      <w:r w:rsidR="00B21B6D" w:rsidRPr="00B21B6D">
        <w:rPr>
          <w:lang w:val="en-GB"/>
        </w:rPr>
        <w:t>o</w:t>
      </w:r>
      <w:r w:rsidR="00B21B6D" w:rsidRPr="00B21B6D">
        <w:rPr>
          <w:bCs/>
        </w:rPr>
        <w:t>n living independently and being included in the community</w:t>
      </w:r>
      <w:r w:rsidR="009E532B" w:rsidRPr="00B21B6D">
        <w:rPr>
          <w:lang w:val="en-GB"/>
        </w:rPr>
        <w:t xml:space="preserve"> </w:t>
      </w:r>
      <w:r w:rsidR="009E532B" w:rsidRPr="00891FF8">
        <w:rPr>
          <w:lang w:val="en-GB"/>
        </w:rPr>
        <w:t>and</w:t>
      </w:r>
      <w:r w:rsidR="00B21B6D">
        <w:rPr>
          <w:lang w:val="en-GB"/>
        </w:rPr>
        <w:t xml:space="preserve"> No.</w:t>
      </w:r>
      <w:r w:rsidR="009E532B" w:rsidRPr="00891FF8">
        <w:rPr>
          <w:lang w:val="en-GB"/>
        </w:rPr>
        <w:t xml:space="preserve"> 6 </w:t>
      </w:r>
      <w:r w:rsidR="00A254DD">
        <w:t>on equality and non-</w:t>
      </w:r>
      <w:r w:rsidR="00B21B6D" w:rsidRPr="00B21B6D">
        <w:t xml:space="preserve">discrimination </w:t>
      </w:r>
      <w:r w:rsidR="009E532B" w:rsidRPr="00891FF8">
        <w:rPr>
          <w:lang w:val="en-GB"/>
        </w:rPr>
        <w:t>particularly elaborate</w:t>
      </w:r>
      <w:r w:rsidR="00A254DD">
        <w:rPr>
          <w:lang w:val="en-GB"/>
        </w:rPr>
        <w:t>d</w:t>
      </w:r>
      <w:r w:rsidR="009E532B" w:rsidRPr="00891FF8">
        <w:rPr>
          <w:lang w:val="en-GB"/>
        </w:rPr>
        <w:t xml:space="preserve"> on article 11. The Committee stressed that the principle of non-discrimination must be ensured in all situations of risk and humanitarian emergency,</w:t>
      </w:r>
      <w:r w:rsidR="009E532B" w:rsidRPr="00891FF8">
        <w:rPr>
          <w:rStyle w:val="FootnoteReference"/>
          <w:rFonts w:cs="Arial"/>
          <w:szCs w:val="22"/>
          <w:lang w:val="en-GB"/>
        </w:rPr>
        <w:footnoteReference w:id="285"/>
      </w:r>
      <w:r w:rsidR="009E532B" w:rsidRPr="00891FF8">
        <w:rPr>
          <w:lang w:val="en-GB"/>
        </w:rPr>
        <w:t xml:space="preserve"> </w:t>
      </w:r>
      <w:r w:rsidR="009E532B">
        <w:rPr>
          <w:lang w:val="en-GB"/>
        </w:rPr>
        <w:t>in particular</w:t>
      </w:r>
      <w:r w:rsidR="009E532B" w:rsidRPr="00891FF8">
        <w:rPr>
          <w:lang w:val="en-GB"/>
        </w:rPr>
        <w:t xml:space="preserve"> regarding equal </w:t>
      </w:r>
      <w:r w:rsidR="009E532B" w:rsidRPr="00891FF8">
        <w:t>access to basic necessities, such as water, sanitation, food and shelter</w:t>
      </w:r>
      <w:r w:rsidR="009E532B" w:rsidRPr="00891FF8">
        <w:rPr>
          <w:lang w:val="en-GB"/>
        </w:rPr>
        <w:t>.</w:t>
      </w:r>
      <w:r w:rsidR="009E532B" w:rsidRPr="00891FF8">
        <w:rPr>
          <w:rStyle w:val="FootnoteReference"/>
          <w:rFonts w:cs="Arial"/>
          <w:szCs w:val="22"/>
          <w:lang w:val="en-GB"/>
        </w:rPr>
        <w:footnoteReference w:id="286"/>
      </w:r>
      <w:r w:rsidR="00375197">
        <w:rPr>
          <w:lang w:val="en-GB"/>
        </w:rPr>
        <w:t xml:space="preserve"> </w:t>
      </w:r>
      <w:r w:rsidR="009E532B" w:rsidRPr="00891FF8">
        <w:rPr>
          <w:lang w:val="en-GB"/>
        </w:rPr>
        <w:t>Emergency services must be accessible to persons with disabilities</w:t>
      </w:r>
      <w:r w:rsidR="009E532B" w:rsidRPr="00891FF8">
        <w:rPr>
          <w:rStyle w:val="FootnoteReference"/>
          <w:rFonts w:cs="Arial"/>
          <w:szCs w:val="22"/>
        </w:rPr>
        <w:footnoteReference w:id="287"/>
      </w:r>
      <w:r w:rsidR="009E532B" w:rsidRPr="00891FF8">
        <w:t xml:space="preserve"> </w:t>
      </w:r>
      <w:r w:rsidR="009E532B" w:rsidRPr="00891FF8">
        <w:rPr>
          <w:lang w:val="en-GB"/>
        </w:rPr>
        <w:t xml:space="preserve">and support services must be included in all </w:t>
      </w:r>
      <w:r w:rsidR="009E532B" w:rsidRPr="00891FF8">
        <w:t>disaster risk management activities.</w:t>
      </w:r>
      <w:r w:rsidR="009E532B" w:rsidRPr="00891FF8">
        <w:rPr>
          <w:rStyle w:val="FootnoteReference"/>
          <w:rFonts w:cs="Arial"/>
          <w:szCs w:val="22"/>
        </w:rPr>
        <w:footnoteReference w:id="288"/>
      </w:r>
      <w:r w:rsidR="009E532B" w:rsidRPr="00891FF8">
        <w:t xml:space="preserve"> Moreover, accessibility must be incorporated as a priority in post-disaster reconstruction efforts.</w:t>
      </w:r>
      <w:r w:rsidR="009E532B" w:rsidRPr="00891FF8">
        <w:rPr>
          <w:rStyle w:val="FootnoteReference"/>
          <w:rFonts w:cs="Arial"/>
          <w:szCs w:val="22"/>
        </w:rPr>
        <w:footnoteReference w:id="289"/>
      </w:r>
      <w:r w:rsidR="009E532B" w:rsidRPr="00891FF8">
        <w:t xml:space="preserve"> Since September 2015, the Committee</w:t>
      </w:r>
      <w:r w:rsidR="009E532B">
        <w:t xml:space="preserve"> </w:t>
      </w:r>
      <w:r w:rsidR="009E532B" w:rsidRPr="00891FF8">
        <w:t>recommends</w:t>
      </w:r>
      <w:r w:rsidR="009E532B" w:rsidRPr="00674405">
        <w:t xml:space="preserve"> </w:t>
      </w:r>
      <w:r w:rsidR="009B4FF9">
        <w:t>systematically that</w:t>
      </w:r>
      <w:r w:rsidR="009E532B" w:rsidRPr="00891FF8">
        <w:t xml:space="preserve"> States </w:t>
      </w:r>
      <w:r w:rsidR="00596BA2">
        <w:t>Parties</w:t>
      </w:r>
      <w:r w:rsidR="009E532B" w:rsidRPr="00891FF8">
        <w:t xml:space="preserve"> </w:t>
      </w:r>
      <w:r w:rsidR="009E532B" w:rsidRPr="00891FF8">
        <w:rPr>
          <w:lang w:val="en-GB"/>
        </w:rPr>
        <w:t>implement the Sendai Framework for Disaster Risk Reduction 2015-2030.</w:t>
      </w:r>
      <w:r w:rsidR="009E532B" w:rsidRPr="00891FF8">
        <w:rPr>
          <w:rStyle w:val="FootnoteReference"/>
          <w:rFonts w:cs="Arial"/>
          <w:szCs w:val="22"/>
          <w:lang w:val="en-GB"/>
        </w:rPr>
        <w:footnoteReference w:id="290"/>
      </w:r>
    </w:p>
    <w:p w:rsidR="009E532B" w:rsidRPr="00E4355E" w:rsidRDefault="009E532B" w:rsidP="002F75F8">
      <w:pPr>
        <w:pStyle w:val="Heading3"/>
      </w:pPr>
      <w:bookmarkStart w:id="39" w:name="_Toc522542419"/>
      <w:r w:rsidRPr="005835B8">
        <w:t>ix. Work and employment (article 27)</w:t>
      </w:r>
      <w:bookmarkEnd w:id="39"/>
    </w:p>
    <w:p w:rsidR="009E532B" w:rsidRDefault="00676354" w:rsidP="002F75F8">
      <w:r>
        <w:t xml:space="preserve">93. </w:t>
      </w:r>
      <w:r w:rsidR="009E532B">
        <w:t xml:space="preserve">The Committee made </w:t>
      </w:r>
      <w:r w:rsidR="00FD7498">
        <w:t xml:space="preserve">some </w:t>
      </w:r>
      <w:r w:rsidR="009E532B">
        <w:t>references to article 27 on work and employment in its General Comment No</w:t>
      </w:r>
      <w:r w:rsidR="005835B8">
        <w:t>.</w:t>
      </w:r>
      <w:r w:rsidR="009E532B">
        <w:t xml:space="preserve"> 2 on accessibility,</w:t>
      </w:r>
      <w:r w:rsidR="009E532B">
        <w:rPr>
          <w:rStyle w:val="FootnoteReference"/>
          <w:rFonts w:cs="Arial"/>
          <w:szCs w:val="22"/>
        </w:rPr>
        <w:footnoteReference w:id="291"/>
      </w:r>
      <w:r w:rsidR="009E532B">
        <w:t xml:space="preserve"> General Comment No</w:t>
      </w:r>
      <w:r w:rsidR="005835B8">
        <w:t>.</w:t>
      </w:r>
      <w:r w:rsidR="009E532B">
        <w:t xml:space="preserve"> 3 on women with disabilities,</w:t>
      </w:r>
      <w:r w:rsidR="009E532B">
        <w:rPr>
          <w:rStyle w:val="FootnoteReference"/>
          <w:rFonts w:cs="Arial"/>
          <w:szCs w:val="22"/>
        </w:rPr>
        <w:footnoteReference w:id="292"/>
      </w:r>
      <w:r w:rsidR="009E532B">
        <w:t xml:space="preserve"> General Comment No</w:t>
      </w:r>
      <w:r w:rsidR="005835B8">
        <w:t>.</w:t>
      </w:r>
      <w:r w:rsidR="009E532B">
        <w:t xml:space="preserve"> 5 o</w:t>
      </w:r>
      <w:r w:rsidR="009E532B" w:rsidRPr="00980F30">
        <w:t>n living independently and being included in the community</w:t>
      </w:r>
      <w:r w:rsidR="009E532B">
        <w:rPr>
          <w:rStyle w:val="FootnoteReference"/>
          <w:rFonts w:cs="Arial"/>
          <w:szCs w:val="22"/>
        </w:rPr>
        <w:footnoteReference w:id="293"/>
      </w:r>
      <w:r w:rsidR="009E532B">
        <w:t xml:space="preserve"> and General Comment No</w:t>
      </w:r>
      <w:r w:rsidR="005835B8">
        <w:t>.</w:t>
      </w:r>
      <w:r w:rsidR="009E532B">
        <w:t xml:space="preserve"> 6 on equality and n</w:t>
      </w:r>
      <w:r w:rsidR="006C38BE">
        <w:t>on-</w:t>
      </w:r>
      <w:r w:rsidR="009E532B">
        <w:t>discrimination,</w:t>
      </w:r>
      <w:r w:rsidR="009E532B">
        <w:rPr>
          <w:rStyle w:val="FootnoteReference"/>
          <w:rFonts w:cs="Arial"/>
          <w:szCs w:val="22"/>
        </w:rPr>
        <w:footnoteReference w:id="294"/>
      </w:r>
      <w:r w:rsidR="009E532B">
        <w:t xml:space="preserve"> especially in relation to accessibility, reasonable accommo</w:t>
      </w:r>
      <w:r w:rsidR="006C38BE">
        <w:softHyphen/>
      </w:r>
      <w:r w:rsidR="009E532B">
        <w:t>dation and support measures necessary to enable persons with disabilities to fully access work and employment. In General Comment No</w:t>
      </w:r>
      <w:r w:rsidR="00101903">
        <w:t>.</w:t>
      </w:r>
      <w:r w:rsidR="009E532B">
        <w:t xml:space="preserve"> 6</w:t>
      </w:r>
      <w:r w:rsidR="006C38BE">
        <w:t>,</w:t>
      </w:r>
      <w:r w:rsidR="009E532B">
        <w:t xml:space="preserve"> the Committee stressed that States </w:t>
      </w:r>
      <w:r w:rsidR="00596BA2">
        <w:t>Parties</w:t>
      </w:r>
      <w:r w:rsidR="009E532B">
        <w:t xml:space="preserve"> should f</w:t>
      </w:r>
      <w:r w:rsidR="009E532B" w:rsidRPr="000B5459">
        <w:t xml:space="preserve">acilitate the transition away from segregated work environments </w:t>
      </w:r>
      <w:r w:rsidR="009E532B">
        <w:t>and e</w:t>
      </w:r>
      <w:r w:rsidR="009E532B" w:rsidRPr="000B5459">
        <w:t>nsure that persons with disabilities are paid no less than the minimum wage and do not lose the benefit of disability allow</w:t>
      </w:r>
      <w:r w:rsidR="009E532B">
        <w:t>ances when they start work</w:t>
      </w:r>
      <w:r w:rsidR="00101903">
        <w:t>ing</w:t>
      </w:r>
      <w:r w:rsidR="009E532B">
        <w:t>.</w:t>
      </w:r>
      <w:r w:rsidR="00B50091">
        <w:t xml:space="preserve"> </w:t>
      </w:r>
    </w:p>
    <w:p w:rsidR="00B50091" w:rsidRDefault="00676354" w:rsidP="002F75F8">
      <w:pPr>
        <w:rPr>
          <w:lang w:val="en-GB"/>
        </w:rPr>
      </w:pPr>
      <w:r>
        <w:t xml:space="preserve">94. </w:t>
      </w:r>
      <w:r w:rsidR="009E532B">
        <w:t xml:space="preserve">The Committee recommended </w:t>
      </w:r>
      <w:r w:rsidR="00F46B9D">
        <w:t xml:space="preserve">that States </w:t>
      </w:r>
      <w:r w:rsidR="00596BA2">
        <w:t>Parties</w:t>
      </w:r>
      <w:r w:rsidR="009E532B">
        <w:t xml:space="preserve"> adopt </w:t>
      </w:r>
      <w:r w:rsidR="009E532B" w:rsidRPr="005B552B">
        <w:rPr>
          <w:lang w:val="en-GB"/>
        </w:rPr>
        <w:t xml:space="preserve">affirmative action measures, </w:t>
      </w:r>
      <w:r w:rsidR="009E532B">
        <w:rPr>
          <w:lang w:val="en-GB"/>
        </w:rPr>
        <w:t>and</w:t>
      </w:r>
      <w:r w:rsidR="009E532B" w:rsidRPr="005B552B">
        <w:rPr>
          <w:lang w:val="en-GB"/>
        </w:rPr>
        <w:t xml:space="preserve"> incentives</w:t>
      </w:r>
      <w:r w:rsidR="009E532B">
        <w:rPr>
          <w:lang w:val="en-GB"/>
        </w:rPr>
        <w:t xml:space="preserve"> to employment</w:t>
      </w:r>
      <w:r w:rsidR="009E532B" w:rsidRPr="005B552B">
        <w:rPr>
          <w:lang w:val="en-GB"/>
        </w:rPr>
        <w:t xml:space="preserve"> to increase the employment of persons with dis</w:t>
      </w:r>
      <w:r w:rsidR="009E532B">
        <w:rPr>
          <w:lang w:val="en-GB"/>
        </w:rPr>
        <w:t>abilities in the public and private sectors,</w:t>
      </w:r>
      <w:r w:rsidR="009E532B">
        <w:rPr>
          <w:rStyle w:val="FootnoteReference"/>
          <w:rFonts w:cs="Arial"/>
          <w:szCs w:val="22"/>
          <w:lang w:val="en-GB"/>
        </w:rPr>
        <w:footnoteReference w:id="295"/>
      </w:r>
      <w:r w:rsidR="009E532B">
        <w:rPr>
          <w:lang w:val="en-GB"/>
        </w:rPr>
        <w:t xml:space="preserve"> for instance through the adoption quota systems with effective mechanism and sanctions for non-compliance.</w:t>
      </w:r>
      <w:r w:rsidR="009E532B">
        <w:rPr>
          <w:rStyle w:val="FootnoteReference"/>
          <w:rFonts w:cs="Arial"/>
          <w:szCs w:val="22"/>
          <w:lang w:val="en-GB"/>
        </w:rPr>
        <w:footnoteReference w:id="296"/>
      </w:r>
      <w:r w:rsidR="009E532B">
        <w:rPr>
          <w:lang w:val="en-GB"/>
        </w:rPr>
        <w:t xml:space="preserve"> </w:t>
      </w:r>
      <w:r w:rsidR="00332979">
        <w:rPr>
          <w:lang w:val="en-GB"/>
        </w:rPr>
        <w:t>They</w:t>
      </w:r>
      <w:r w:rsidR="00B50091">
        <w:rPr>
          <w:lang w:val="en-GB"/>
        </w:rPr>
        <w:t xml:space="preserve"> must ensure that </w:t>
      </w:r>
      <w:r w:rsidR="00332979">
        <w:rPr>
          <w:lang w:val="en-GB"/>
        </w:rPr>
        <w:t>affirmative measures</w:t>
      </w:r>
      <w:r w:rsidR="00A025BE">
        <w:rPr>
          <w:lang w:val="en-GB"/>
        </w:rPr>
        <w:t xml:space="preserve"> </w:t>
      </w:r>
      <w:r w:rsidR="00B50091">
        <w:rPr>
          <w:lang w:val="en-GB"/>
        </w:rPr>
        <w:t>such as integration subsidies do not turn into indirect di</w:t>
      </w:r>
      <w:r w:rsidR="00332979">
        <w:rPr>
          <w:lang w:val="en-GB"/>
        </w:rPr>
        <w:t>scrimination, for instance when</w:t>
      </w:r>
      <w:r w:rsidR="00A025BE">
        <w:rPr>
          <w:lang w:val="en-GB"/>
        </w:rPr>
        <w:t xml:space="preserve"> difficulties for the employers to claim the subsidies put applicants with disabilities in a dis</w:t>
      </w:r>
      <w:r w:rsidR="00C70FEE">
        <w:rPr>
          <w:lang w:val="en-GB"/>
        </w:rPr>
        <w:softHyphen/>
      </w:r>
      <w:r w:rsidR="00A025BE">
        <w:rPr>
          <w:lang w:val="en-GB"/>
        </w:rPr>
        <w:t>advantageous position.</w:t>
      </w:r>
      <w:r w:rsidR="00A025BE">
        <w:rPr>
          <w:rStyle w:val="FootnoteReference"/>
          <w:rFonts w:cs="Arial"/>
          <w:szCs w:val="22"/>
          <w:lang w:val="en-GB"/>
        </w:rPr>
        <w:footnoteReference w:id="297"/>
      </w:r>
    </w:p>
    <w:p w:rsidR="009E532B" w:rsidRPr="00F46B9D" w:rsidRDefault="00676354" w:rsidP="002F75F8">
      <w:pPr>
        <w:rPr>
          <w:lang w:val="en-GB"/>
        </w:rPr>
      </w:pPr>
      <w:r>
        <w:rPr>
          <w:lang w:val="en-GB"/>
        </w:rPr>
        <w:t xml:space="preserve">95. </w:t>
      </w:r>
      <w:r w:rsidR="00201B99">
        <w:rPr>
          <w:lang w:val="en-GB"/>
        </w:rPr>
        <w:t>T</w:t>
      </w:r>
      <w:r w:rsidR="009E532B">
        <w:rPr>
          <w:lang w:val="en-GB"/>
        </w:rPr>
        <w:t>he Committee</w:t>
      </w:r>
      <w:r w:rsidR="00640A25">
        <w:rPr>
          <w:lang w:val="en-GB"/>
        </w:rPr>
        <w:t xml:space="preserve"> also emphasised</w:t>
      </w:r>
      <w:r w:rsidR="009E532B">
        <w:rPr>
          <w:lang w:val="en-GB"/>
        </w:rPr>
        <w:t xml:space="preserve"> that persons with disabilities should be protected, on an equal basis with others, from forced and compulsory labour,</w:t>
      </w:r>
      <w:r w:rsidR="009E532B">
        <w:rPr>
          <w:rStyle w:val="FootnoteReference"/>
          <w:rFonts w:cs="Arial"/>
          <w:szCs w:val="22"/>
          <w:lang w:val="en-GB"/>
        </w:rPr>
        <w:footnoteReference w:id="298"/>
      </w:r>
      <w:r w:rsidR="009E532B">
        <w:rPr>
          <w:lang w:val="en-GB"/>
        </w:rPr>
        <w:t xml:space="preserve"> as well as exploitation and harassment in the workplace.</w:t>
      </w:r>
      <w:r w:rsidR="009E532B">
        <w:rPr>
          <w:rStyle w:val="FootnoteReference"/>
          <w:rFonts w:cs="Arial"/>
          <w:szCs w:val="22"/>
          <w:lang w:val="en-GB"/>
        </w:rPr>
        <w:footnoteReference w:id="299"/>
      </w:r>
    </w:p>
    <w:p w:rsidR="006C38BE" w:rsidRDefault="006C38BE">
      <w:pPr>
        <w:spacing w:before="0" w:after="0" w:line="240" w:lineRule="auto"/>
        <w:jc w:val="left"/>
        <w:rPr>
          <w:rFonts w:ascii="Calibri" w:eastAsia="Cambria" w:hAnsi="Calibri" w:cs="Times New Roman"/>
          <w:b/>
          <w:sz w:val="24"/>
          <w:lang w:val="en-GB"/>
        </w:rPr>
      </w:pPr>
      <w:bookmarkStart w:id="40" w:name="_Toc522542420"/>
      <w:r>
        <w:br w:type="page"/>
      </w:r>
    </w:p>
    <w:p w:rsidR="004C00D4" w:rsidRPr="00AC2FC8" w:rsidRDefault="004C00D4" w:rsidP="002F75F8">
      <w:pPr>
        <w:pStyle w:val="Heading2"/>
        <w:rPr>
          <w:szCs w:val="22"/>
        </w:rPr>
      </w:pPr>
      <w:r w:rsidRPr="00AC2FC8">
        <w:t xml:space="preserve">F. </w:t>
      </w:r>
      <w:r w:rsidR="009A2929" w:rsidRPr="00AC2FC8">
        <w:t xml:space="preserve">Leaving </w:t>
      </w:r>
      <w:r w:rsidR="00F24013" w:rsidRPr="00AC2FC8">
        <w:t>no one</w:t>
      </w:r>
      <w:r w:rsidR="009A2929" w:rsidRPr="00AC2FC8">
        <w:t xml:space="preserve"> behind: the rights of persons with disabilities </w:t>
      </w:r>
      <w:r w:rsidR="00236150" w:rsidRPr="00AC2FC8">
        <w:t>in the international development</w:t>
      </w:r>
      <w:r w:rsidR="009A2929" w:rsidRPr="00AC2FC8">
        <w:t xml:space="preserve"> agenda</w:t>
      </w:r>
      <w:bookmarkEnd w:id="40"/>
    </w:p>
    <w:p w:rsidR="00236150" w:rsidRPr="00AC2FC8" w:rsidRDefault="00676354" w:rsidP="002F75F8">
      <w:pPr>
        <w:rPr>
          <w:lang w:val="en-GB"/>
        </w:rPr>
      </w:pPr>
      <w:r>
        <w:rPr>
          <w:lang w:val="en-GB"/>
        </w:rPr>
        <w:t xml:space="preserve">96. </w:t>
      </w:r>
      <w:r w:rsidR="000F7BD0" w:rsidRPr="00AC2FC8">
        <w:rPr>
          <w:lang w:val="en-GB"/>
        </w:rPr>
        <w:t>In the</w:t>
      </w:r>
      <w:r w:rsidR="00944943" w:rsidRPr="00AC2FC8">
        <w:rPr>
          <w:lang w:val="en-GB"/>
        </w:rPr>
        <w:t xml:space="preserve"> discussion</w:t>
      </w:r>
      <w:r w:rsidR="000F7BD0" w:rsidRPr="00AC2FC8">
        <w:rPr>
          <w:lang w:val="en-GB"/>
        </w:rPr>
        <w:t>s</w:t>
      </w:r>
      <w:r w:rsidR="00944943" w:rsidRPr="00AC2FC8">
        <w:rPr>
          <w:lang w:val="en-GB"/>
        </w:rPr>
        <w:t xml:space="preserve"> on the post 2015 development agenda</w:t>
      </w:r>
      <w:r w:rsidR="006C0CDC">
        <w:rPr>
          <w:lang w:val="en-GB"/>
        </w:rPr>
        <w:t>,</w:t>
      </w:r>
      <w:r w:rsidR="00944943" w:rsidRPr="00AC2FC8">
        <w:rPr>
          <w:lang w:val="en-GB"/>
        </w:rPr>
        <w:t xml:space="preserve"> the Committee advocated for the inclusion of the righ</w:t>
      </w:r>
      <w:r w:rsidR="00FE7A27" w:rsidRPr="00AC2FC8">
        <w:rPr>
          <w:lang w:val="en-GB"/>
        </w:rPr>
        <w:t xml:space="preserve">ts of persons with disabilities. In a statement </w:t>
      </w:r>
      <w:r w:rsidR="00A3739E" w:rsidRPr="00AC2FC8">
        <w:rPr>
          <w:lang w:val="en-GB"/>
        </w:rPr>
        <w:t>of May 2013</w:t>
      </w:r>
      <w:r w:rsidR="006C0CDC">
        <w:rPr>
          <w:lang w:val="en-GB"/>
        </w:rPr>
        <w:t>,</w:t>
      </w:r>
      <w:r w:rsidR="00FE7A27" w:rsidRPr="00AC2FC8">
        <w:rPr>
          <w:lang w:val="en-GB"/>
        </w:rPr>
        <w:t xml:space="preserve"> it stated that</w:t>
      </w:r>
      <w:r w:rsidR="00236150" w:rsidRPr="00AC2FC8">
        <w:rPr>
          <w:lang w:val="en-GB"/>
        </w:rPr>
        <w:t>,</w:t>
      </w:r>
      <w:r w:rsidR="00FE7A27" w:rsidRPr="00AC2FC8">
        <w:rPr>
          <w:lang w:val="en-GB"/>
        </w:rPr>
        <w:t xml:space="preserve"> </w:t>
      </w:r>
      <w:r w:rsidR="00236150" w:rsidRPr="00AC2FC8">
        <w:rPr>
          <w:lang w:val="en-GB"/>
        </w:rPr>
        <w:t xml:space="preserve">in order to be sustainable, </w:t>
      </w:r>
      <w:r w:rsidR="00FE7A27" w:rsidRPr="00AC2FC8">
        <w:rPr>
          <w:lang w:val="en-GB"/>
        </w:rPr>
        <w:t>development goals should be rooted in a human rights-based approach and take into account the enjoyment by all persons with disabilities of their civil, political, economic, social and cultural rights.</w:t>
      </w:r>
      <w:r w:rsidR="00236150" w:rsidRPr="00AC2FC8">
        <w:rPr>
          <w:rStyle w:val="FootnoteReference"/>
          <w:rFonts w:cs="Arial"/>
          <w:lang w:val="en-GB"/>
        </w:rPr>
        <w:footnoteReference w:id="300"/>
      </w:r>
      <w:r w:rsidR="00FE7A27" w:rsidRPr="00AC2FC8">
        <w:rPr>
          <w:lang w:val="en-GB"/>
        </w:rPr>
        <w:t xml:space="preserve"> </w:t>
      </w:r>
      <w:r w:rsidR="00743A4E" w:rsidRPr="00AC2FC8">
        <w:rPr>
          <w:lang w:val="en-GB"/>
        </w:rPr>
        <w:t>In January 2014</w:t>
      </w:r>
      <w:r w:rsidR="00550234">
        <w:rPr>
          <w:lang w:val="en-GB"/>
        </w:rPr>
        <w:t>,</w:t>
      </w:r>
      <w:r w:rsidR="00743A4E" w:rsidRPr="00AC2FC8">
        <w:rPr>
          <w:lang w:val="en-GB"/>
        </w:rPr>
        <w:t xml:space="preserve"> </w:t>
      </w:r>
      <w:r w:rsidR="005A1CFC" w:rsidRPr="00AC2FC8">
        <w:rPr>
          <w:lang w:val="en-GB"/>
        </w:rPr>
        <w:t xml:space="preserve">it stressed similar points when </w:t>
      </w:r>
      <w:r w:rsidR="00743A4E" w:rsidRPr="00AC2FC8">
        <w:rPr>
          <w:lang w:val="en-GB"/>
        </w:rPr>
        <w:t>address</w:t>
      </w:r>
      <w:r w:rsidR="005A1CFC" w:rsidRPr="00AC2FC8">
        <w:rPr>
          <w:lang w:val="en-GB"/>
        </w:rPr>
        <w:t>ing the</w:t>
      </w:r>
      <w:r w:rsidR="00743A4E" w:rsidRPr="00AC2FC8">
        <w:rPr>
          <w:lang w:val="en-GB"/>
        </w:rPr>
        <w:t xml:space="preserve"> Member States of the United Nations participating at the Eighth Session of Open Working Group on Sustainable Development Goals</w:t>
      </w:r>
      <w:r w:rsidR="005A1CFC" w:rsidRPr="00AC2FC8">
        <w:rPr>
          <w:lang w:val="en-GB"/>
        </w:rPr>
        <w:t xml:space="preserve">. </w:t>
      </w:r>
    </w:p>
    <w:p w:rsidR="00513E05" w:rsidRPr="00051216" w:rsidRDefault="00676354" w:rsidP="002F75F8">
      <w:r>
        <w:rPr>
          <w:lang w:val="en-GB"/>
        </w:rPr>
        <w:t xml:space="preserve">97. </w:t>
      </w:r>
      <w:r w:rsidR="00550234">
        <w:rPr>
          <w:lang w:val="en-GB"/>
        </w:rPr>
        <w:t>Since the</w:t>
      </w:r>
      <w:r w:rsidR="00986E78" w:rsidRPr="00AC2FC8">
        <w:rPr>
          <w:lang w:val="en-GB"/>
        </w:rPr>
        <w:t xml:space="preserve"> adoption </w:t>
      </w:r>
      <w:r w:rsidR="00550234">
        <w:rPr>
          <w:lang w:val="en-GB"/>
        </w:rPr>
        <w:t xml:space="preserve">of the 2030 Agenda for Sustainable Development </w:t>
      </w:r>
      <w:r w:rsidR="00986E78" w:rsidRPr="00AC2FC8">
        <w:rPr>
          <w:lang w:val="en-GB"/>
        </w:rPr>
        <w:t>in S</w:t>
      </w:r>
      <w:r w:rsidR="00550234">
        <w:rPr>
          <w:lang w:val="en-GB"/>
        </w:rPr>
        <w:t xml:space="preserve">eptember 2015, the Committee </w:t>
      </w:r>
      <w:r w:rsidR="00F3088E">
        <w:rPr>
          <w:lang w:val="en-GB"/>
        </w:rPr>
        <w:t>includes</w:t>
      </w:r>
      <w:r w:rsidR="00986E78" w:rsidRPr="00AC2FC8">
        <w:rPr>
          <w:lang w:val="en-GB"/>
        </w:rPr>
        <w:t xml:space="preserve"> reference</w:t>
      </w:r>
      <w:r w:rsidR="00550234">
        <w:rPr>
          <w:lang w:val="en-GB"/>
        </w:rPr>
        <w:t>s to the agenda and its sustainable development goals</w:t>
      </w:r>
      <w:r w:rsidR="00986E78" w:rsidRPr="00AC2FC8">
        <w:rPr>
          <w:lang w:val="en-GB"/>
        </w:rPr>
        <w:t xml:space="preserve"> in </w:t>
      </w:r>
      <w:r w:rsidR="00447BFF" w:rsidRPr="00AC2FC8">
        <w:rPr>
          <w:lang w:val="en-GB"/>
        </w:rPr>
        <w:t>its latest</w:t>
      </w:r>
      <w:r w:rsidR="00986E78" w:rsidRPr="00AC2FC8">
        <w:rPr>
          <w:lang w:val="en-GB"/>
        </w:rPr>
        <w:t xml:space="preserve"> general comments and concluding observations. </w:t>
      </w:r>
      <w:r w:rsidR="00986E78" w:rsidRPr="00AC2FC8">
        <w:t>It</w:t>
      </w:r>
      <w:r w:rsidR="00236150" w:rsidRPr="00AC2FC8">
        <w:t xml:space="preserve"> recommends</w:t>
      </w:r>
      <w:r w:rsidR="00550234">
        <w:t xml:space="preserve"> in particular that States </w:t>
      </w:r>
      <w:r w:rsidR="00596BA2">
        <w:t>Parties</w:t>
      </w:r>
      <w:r w:rsidR="00550234">
        <w:t xml:space="preserve"> </w:t>
      </w:r>
      <w:r w:rsidR="00236150" w:rsidRPr="00AC2FC8">
        <w:rPr>
          <w:bCs/>
          <w:lang w:val="en-GB"/>
        </w:rPr>
        <w:t>mainstream the rights of persons with disabilities in imple</w:t>
      </w:r>
      <w:r w:rsidR="00550234">
        <w:rPr>
          <w:bCs/>
          <w:lang w:val="en-GB"/>
        </w:rPr>
        <w:t>mentation and monitoring of the agenda</w:t>
      </w:r>
      <w:r w:rsidR="00236150" w:rsidRPr="00AC2FC8">
        <w:rPr>
          <w:bCs/>
          <w:lang w:val="en-GB"/>
        </w:rPr>
        <w:t xml:space="preserve"> at all levels</w:t>
      </w:r>
      <w:r w:rsidR="00986E78" w:rsidRPr="00AC2FC8">
        <w:rPr>
          <w:bCs/>
          <w:lang w:val="en-GB"/>
        </w:rPr>
        <w:t>,</w:t>
      </w:r>
      <w:r w:rsidR="00236150" w:rsidRPr="00AC2FC8">
        <w:rPr>
          <w:rStyle w:val="FootnoteReference"/>
          <w:rFonts w:cs="Arial"/>
          <w:bCs/>
          <w:lang w:val="en-GB"/>
        </w:rPr>
        <w:footnoteReference w:id="301"/>
      </w:r>
      <w:r w:rsidR="00236150" w:rsidRPr="00AC2FC8">
        <w:rPr>
          <w:bCs/>
          <w:lang w:val="en-GB"/>
        </w:rPr>
        <w:t xml:space="preserve"> </w:t>
      </w:r>
      <w:r w:rsidR="00E31A21">
        <w:rPr>
          <w:bCs/>
          <w:lang w:val="en-GB"/>
        </w:rPr>
        <w:t xml:space="preserve">and </w:t>
      </w:r>
      <w:r w:rsidR="00986E78" w:rsidRPr="00AC2FC8">
        <w:rPr>
          <w:bCs/>
          <w:lang w:val="en-GB"/>
        </w:rPr>
        <w:t xml:space="preserve">ensure that </w:t>
      </w:r>
      <w:r w:rsidR="00986E78" w:rsidRPr="00AC2FC8">
        <w:t>disability-inclusive indicators be developed and used in a manner consistent with the 2030 Agenda.</w:t>
      </w:r>
      <w:r w:rsidR="00986E78" w:rsidRPr="00AC2FC8">
        <w:rPr>
          <w:rStyle w:val="FootnoteReference"/>
          <w:rFonts w:cs="Arial"/>
        </w:rPr>
        <w:footnoteReference w:id="302"/>
      </w:r>
      <w:r w:rsidR="00E31A21">
        <w:rPr>
          <w:lang w:val="en-GB"/>
        </w:rPr>
        <w:t xml:space="preserve"> </w:t>
      </w:r>
      <w:r w:rsidR="00D623BC" w:rsidRPr="00AC2FC8">
        <w:t>In its concluding observations</w:t>
      </w:r>
      <w:r w:rsidR="006C0CDC">
        <w:t>,</w:t>
      </w:r>
      <w:r w:rsidR="00D623BC" w:rsidRPr="00AC2FC8">
        <w:t xml:space="preserve"> the Committee refers to the 2030 Agenda by </w:t>
      </w:r>
      <w:r w:rsidR="006C0CDC">
        <w:t>alluding to</w:t>
      </w:r>
      <w:r w:rsidR="00D623BC" w:rsidRPr="00AC2FC8">
        <w:t xml:space="preserve"> </w:t>
      </w:r>
      <w:r w:rsidR="00E30A25" w:rsidRPr="00AC2FC8">
        <w:t>specific</w:t>
      </w:r>
      <w:r w:rsidR="00C54680" w:rsidRPr="00AC2FC8">
        <w:t xml:space="preserve"> goals and t</w:t>
      </w:r>
      <w:r w:rsidR="00D623BC" w:rsidRPr="00AC2FC8">
        <w:t>argets</w:t>
      </w:r>
      <w:r w:rsidR="009165BB" w:rsidRPr="00AC2FC8">
        <w:t>,</w:t>
      </w:r>
      <w:r w:rsidR="00E30A25" w:rsidRPr="00AC2FC8">
        <w:t xml:space="preserve"> </w:t>
      </w:r>
      <w:r w:rsidR="00901430">
        <w:t>namely:</w:t>
      </w:r>
      <w:r w:rsidR="00051216">
        <w:t xml:space="preserve"> </w:t>
      </w:r>
      <w:r w:rsidR="00662F98" w:rsidRPr="00051216">
        <w:t>Goal 1 on</w:t>
      </w:r>
      <w:r w:rsidR="008F68FA" w:rsidRPr="00051216">
        <w:t xml:space="preserve"> ending poverty and</w:t>
      </w:r>
      <w:r w:rsidR="00662F98" w:rsidRPr="00051216">
        <w:t xml:space="preserve"> </w:t>
      </w:r>
      <w:r w:rsidR="008F68FA" w:rsidRPr="00051216">
        <w:t>t</w:t>
      </w:r>
      <w:r w:rsidR="003A6988" w:rsidRPr="00051216">
        <w:t>arget</w:t>
      </w:r>
      <w:r w:rsidR="00662F98" w:rsidRPr="00051216">
        <w:t>s</w:t>
      </w:r>
      <w:r w:rsidR="003A6988" w:rsidRPr="00051216">
        <w:t xml:space="preserve"> </w:t>
      </w:r>
      <w:r w:rsidR="00662F98" w:rsidRPr="00051216">
        <w:t xml:space="preserve">1.2, </w:t>
      </w:r>
      <w:r w:rsidR="003A6988" w:rsidRPr="00051216">
        <w:t>1.3</w:t>
      </w:r>
      <w:r w:rsidR="00B864F3" w:rsidRPr="00051216">
        <w:t xml:space="preserve"> and 1.4</w:t>
      </w:r>
      <w:r w:rsidR="00901430">
        <w:t>;</w:t>
      </w:r>
      <w:r w:rsidR="003E0904">
        <w:rPr>
          <w:rStyle w:val="FootnoteReference"/>
          <w:rFonts w:cs="Arial"/>
        </w:rPr>
        <w:footnoteReference w:id="303"/>
      </w:r>
      <w:r w:rsidR="008F68FA" w:rsidRPr="00051216">
        <w:t xml:space="preserve"> </w:t>
      </w:r>
      <w:r w:rsidR="00C9511B" w:rsidRPr="00051216">
        <w:t>Goal 3 on good health and well being and target 3.7</w:t>
      </w:r>
      <w:r w:rsidR="00524F36" w:rsidRPr="00051216">
        <w:t xml:space="preserve"> and 3.8</w:t>
      </w:r>
      <w:r w:rsidR="00901430">
        <w:t>;</w:t>
      </w:r>
      <w:r w:rsidR="003E0904">
        <w:rPr>
          <w:rStyle w:val="FootnoteReference"/>
          <w:rFonts w:cs="Arial"/>
        </w:rPr>
        <w:footnoteReference w:id="304"/>
      </w:r>
      <w:r w:rsidR="00524F36" w:rsidRPr="00051216">
        <w:t xml:space="preserve"> </w:t>
      </w:r>
      <w:r w:rsidR="00C9511B" w:rsidRPr="00051216">
        <w:t>Goal 4 on quality education and target 4.1, 4.5, 4.a</w:t>
      </w:r>
      <w:r w:rsidR="00901430">
        <w:t>;</w:t>
      </w:r>
      <w:r w:rsidR="003E0904">
        <w:rPr>
          <w:rStyle w:val="FootnoteReference"/>
          <w:rFonts w:cs="Arial"/>
        </w:rPr>
        <w:footnoteReference w:id="305"/>
      </w:r>
      <w:r w:rsidR="00BC3047" w:rsidRPr="00051216">
        <w:t xml:space="preserve"> </w:t>
      </w:r>
      <w:r w:rsidR="00D76BE3" w:rsidRPr="00051216">
        <w:t>Goal 5 on gender equality and targets 5.1, 5.2</w:t>
      </w:r>
      <w:r w:rsidR="0083300C" w:rsidRPr="00051216">
        <w:t>, 5.3</w:t>
      </w:r>
      <w:r w:rsidR="00524F36" w:rsidRPr="00051216">
        <w:t xml:space="preserve">, </w:t>
      </w:r>
      <w:r w:rsidR="00D76BE3" w:rsidRPr="00051216">
        <w:t>5.5</w:t>
      </w:r>
      <w:r w:rsidR="00524F36" w:rsidRPr="00051216">
        <w:t xml:space="preserve"> and 5.6</w:t>
      </w:r>
      <w:r w:rsidR="00901430">
        <w:t>;</w:t>
      </w:r>
      <w:r w:rsidR="003E0904">
        <w:rPr>
          <w:rStyle w:val="FootnoteReference"/>
          <w:rFonts w:cs="Arial"/>
        </w:rPr>
        <w:footnoteReference w:id="306"/>
      </w:r>
      <w:r w:rsidR="00864532" w:rsidRPr="00051216">
        <w:t xml:space="preserve"> </w:t>
      </w:r>
      <w:r w:rsidR="00524F36" w:rsidRPr="00051216">
        <w:t>Goal 8 on decent work and economic growth and target 8.5</w:t>
      </w:r>
      <w:r w:rsidR="00901430">
        <w:t>;</w:t>
      </w:r>
      <w:r w:rsidR="00051216">
        <w:rPr>
          <w:rStyle w:val="FootnoteReference"/>
          <w:rFonts w:cs="Arial"/>
        </w:rPr>
        <w:footnoteReference w:id="307"/>
      </w:r>
      <w:r w:rsidR="00BC3047" w:rsidRPr="00051216">
        <w:t xml:space="preserve"> </w:t>
      </w:r>
      <w:r w:rsidR="00C9511B" w:rsidRPr="00051216">
        <w:t>Goal 9 on industry innovation and infrastructure</w:t>
      </w:r>
      <w:r w:rsidR="00901430">
        <w:t>;</w:t>
      </w:r>
      <w:r w:rsidR="00051216">
        <w:rPr>
          <w:rStyle w:val="FootnoteReference"/>
          <w:rFonts w:cs="Arial"/>
        </w:rPr>
        <w:footnoteReference w:id="308"/>
      </w:r>
      <w:r w:rsidR="00051216">
        <w:rPr>
          <w:lang w:val="en-GB"/>
        </w:rPr>
        <w:t xml:space="preserve"> </w:t>
      </w:r>
      <w:r w:rsidR="00D623BC" w:rsidRPr="00051216">
        <w:t>Goal 10 on reducing inequal</w:t>
      </w:r>
      <w:r w:rsidR="00864532" w:rsidRPr="00051216">
        <w:t>ities and targets 10.2 and 10.3</w:t>
      </w:r>
      <w:r w:rsidR="00901430">
        <w:t>;</w:t>
      </w:r>
      <w:r w:rsidR="00051216">
        <w:rPr>
          <w:rStyle w:val="FootnoteReference"/>
          <w:rFonts w:cs="Arial"/>
        </w:rPr>
        <w:footnoteReference w:id="309"/>
      </w:r>
      <w:r w:rsidR="00864532" w:rsidRPr="00051216">
        <w:t xml:space="preserve"> </w:t>
      </w:r>
      <w:r w:rsidR="00E30A25" w:rsidRPr="00051216">
        <w:t>Goal 11 on sustainable cities and communities and target 11.2 (transport system for all) and 11.7 (access to public spaces)</w:t>
      </w:r>
      <w:r w:rsidR="003E0904" w:rsidRPr="00051216">
        <w:t>;</w:t>
      </w:r>
      <w:r w:rsidR="00051216">
        <w:rPr>
          <w:rStyle w:val="FootnoteReference"/>
          <w:rFonts w:cs="Arial"/>
        </w:rPr>
        <w:footnoteReference w:id="310"/>
      </w:r>
      <w:r w:rsidR="003E0904" w:rsidRPr="00051216">
        <w:t xml:space="preserve"> </w:t>
      </w:r>
      <w:r w:rsidR="00D623BC" w:rsidRPr="00051216">
        <w:t>Goal 16 on peace, justice and strong institutions</w:t>
      </w:r>
      <w:r w:rsidR="00E30A25" w:rsidRPr="00051216">
        <w:t xml:space="preserve"> and target 16.2</w:t>
      </w:r>
      <w:r w:rsidR="003E0904" w:rsidRPr="00051216">
        <w:t>,</w:t>
      </w:r>
      <w:r w:rsidR="00D76BE3" w:rsidRPr="00051216">
        <w:t xml:space="preserve"> 16.3</w:t>
      </w:r>
      <w:r w:rsidR="00E30A25" w:rsidRPr="00051216">
        <w:t xml:space="preserve"> and 16.7</w:t>
      </w:r>
      <w:r w:rsidR="00901430">
        <w:t>;</w:t>
      </w:r>
      <w:r w:rsidR="003E0904">
        <w:rPr>
          <w:rStyle w:val="FootnoteReference"/>
          <w:rFonts w:cs="Arial"/>
        </w:rPr>
        <w:footnoteReference w:id="311"/>
      </w:r>
      <w:r w:rsidR="00901430">
        <w:t xml:space="preserve"> and</w:t>
      </w:r>
      <w:r w:rsidR="00051216">
        <w:t xml:space="preserve"> </w:t>
      </w:r>
      <w:r w:rsidR="00662F98" w:rsidRPr="00AC2FC8">
        <w:t>Goal 17</w:t>
      </w:r>
      <w:r w:rsidR="00236150" w:rsidRPr="00AC2FC8">
        <w:t xml:space="preserve"> on partnerships for the goals</w:t>
      </w:r>
      <w:r w:rsidR="00662F98" w:rsidRPr="00AC2FC8">
        <w:t xml:space="preserve"> and target 17.18</w:t>
      </w:r>
      <w:r w:rsidR="00051216">
        <w:t>.</w:t>
      </w:r>
      <w:r w:rsidR="003E0904">
        <w:rPr>
          <w:rStyle w:val="FootnoteReference"/>
          <w:rFonts w:cs="Arial"/>
        </w:rPr>
        <w:footnoteReference w:id="312"/>
      </w:r>
      <w:r w:rsidR="00662F98" w:rsidRPr="00AC2FC8">
        <w:t xml:space="preserve"> </w:t>
      </w:r>
    </w:p>
    <w:sectPr w:rsidR="00513E05" w:rsidRPr="00051216" w:rsidSect="00185177">
      <w:footerReference w:type="even" r:id="rId10"/>
      <w:footerReference w:type="default" r:id="rId11"/>
      <w:pgSz w:w="11900" w:h="16840"/>
      <w:pgMar w:top="1440" w:right="2268"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B8B" w:rsidRDefault="00001B8B" w:rsidP="00876765">
      <w:r>
        <w:separator/>
      </w:r>
    </w:p>
  </w:endnote>
  <w:endnote w:type="continuationSeparator" w:id="0">
    <w:p w:rsidR="00001B8B" w:rsidRDefault="00001B8B" w:rsidP="00876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Times New Roman"/>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5CC" w:rsidRDefault="00EA25CC" w:rsidP="000C29B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A25CC" w:rsidRDefault="00EA25CC" w:rsidP="001B54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5CC" w:rsidRPr="001B5487" w:rsidRDefault="00EA25CC" w:rsidP="000C29B1">
    <w:pPr>
      <w:pStyle w:val="Footer"/>
      <w:framePr w:wrap="around" w:vAnchor="text" w:hAnchor="margin" w:xAlign="right" w:y="1"/>
      <w:rPr>
        <w:rStyle w:val="PageNumber"/>
        <w:rFonts w:cs="Arial"/>
      </w:rPr>
    </w:pPr>
    <w:r w:rsidRPr="001B5487">
      <w:rPr>
        <w:rStyle w:val="PageNumber"/>
        <w:rFonts w:cs="Arial"/>
      </w:rPr>
      <w:fldChar w:fldCharType="begin"/>
    </w:r>
    <w:r w:rsidRPr="001B5487">
      <w:rPr>
        <w:rStyle w:val="PageNumber"/>
        <w:rFonts w:cs="Arial"/>
      </w:rPr>
      <w:instrText xml:space="preserve">PAGE  </w:instrText>
    </w:r>
    <w:r w:rsidRPr="001B5487">
      <w:rPr>
        <w:rStyle w:val="PageNumber"/>
        <w:rFonts w:cs="Arial"/>
      </w:rPr>
      <w:fldChar w:fldCharType="separate"/>
    </w:r>
    <w:r w:rsidR="004B22CD">
      <w:rPr>
        <w:rStyle w:val="PageNumber"/>
        <w:rFonts w:cs="Arial"/>
        <w:noProof/>
      </w:rPr>
      <w:t>2</w:t>
    </w:r>
    <w:r w:rsidRPr="001B5487">
      <w:rPr>
        <w:rStyle w:val="PageNumber"/>
        <w:rFonts w:cs="Arial"/>
      </w:rPr>
      <w:fldChar w:fldCharType="end"/>
    </w:r>
  </w:p>
  <w:p w:rsidR="00EA25CC" w:rsidRDefault="00EA25CC" w:rsidP="001B54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1B8B" w:rsidRDefault="00001B8B" w:rsidP="00876765">
      <w:r>
        <w:separator/>
      </w:r>
    </w:p>
  </w:footnote>
  <w:footnote w:type="continuationSeparator" w:id="0">
    <w:p w:rsidR="00001B8B" w:rsidRDefault="00001B8B" w:rsidP="00876765">
      <w:r>
        <w:continuationSeparator/>
      </w:r>
    </w:p>
  </w:footnote>
  <w:footnote w:id="1">
    <w:p w:rsidR="00EA25CC" w:rsidRPr="005944B6" w:rsidRDefault="00EA25CC" w:rsidP="001E3A2D">
      <w:pPr>
        <w:pStyle w:val="FootnoteText"/>
      </w:pPr>
      <w:r w:rsidRPr="005944B6">
        <w:rPr>
          <w:rStyle w:val="FootnoteReference"/>
          <w:rFonts w:cs="Arial"/>
          <w:szCs w:val="18"/>
        </w:rPr>
        <w:footnoteRef/>
      </w:r>
      <w:r w:rsidRPr="005944B6">
        <w:t xml:space="preserve"> These reports and the </w:t>
      </w:r>
      <w:r>
        <w:t>c</w:t>
      </w:r>
      <w:r w:rsidRPr="005944B6">
        <w:t xml:space="preserve">oncluding </w:t>
      </w:r>
      <w:r>
        <w:t>o</w:t>
      </w:r>
      <w:r w:rsidRPr="001E3A2D">
        <w:t>bservations</w:t>
      </w:r>
      <w:r w:rsidRPr="005944B6">
        <w:t xml:space="preserve"> adopted by the Committee are available on the website of the Committee at </w:t>
      </w:r>
      <w:r w:rsidRPr="005944B6">
        <w:rPr>
          <w:color w:val="0000FF"/>
        </w:rPr>
        <w:t>http://www.ohchr.org/EN/HRBodies/CRPD/</w:t>
      </w:r>
      <w:r w:rsidRPr="005944B6">
        <w:t>.</w:t>
      </w:r>
    </w:p>
  </w:footnote>
  <w:footnote w:id="2">
    <w:p w:rsidR="00EA25CC" w:rsidRPr="005944B6" w:rsidRDefault="00EA25CC" w:rsidP="001E3A2D">
      <w:pPr>
        <w:pStyle w:val="FootnoteText"/>
      </w:pPr>
      <w:r w:rsidRPr="005944B6">
        <w:rPr>
          <w:rStyle w:val="FootnoteReference"/>
          <w:rFonts w:cs="Arial"/>
          <w:szCs w:val="18"/>
        </w:rPr>
        <w:footnoteRef/>
      </w:r>
      <w:r>
        <w:t xml:space="preserve"> For more information see R</w:t>
      </w:r>
      <w:r w:rsidRPr="005944B6">
        <w:t>ule No</w:t>
      </w:r>
      <w:r>
        <w:t>.</w:t>
      </w:r>
      <w:r w:rsidRPr="005944B6">
        <w:t xml:space="preserve"> 5 and Rule No</w:t>
      </w:r>
      <w:r>
        <w:t>.</w:t>
      </w:r>
      <w:r w:rsidRPr="005944B6">
        <w:t xml:space="preserve"> 42 (2) of the Rules of Procedure of the Committee on the Rights of Persons with Disabilities (CRPD/C/4/2), and paragraphs 5 and 13-16 of the Working </w:t>
      </w:r>
      <w:r>
        <w:t>m</w:t>
      </w:r>
      <w:r w:rsidRPr="005944B6">
        <w:t xml:space="preserve">ethods of the Committee on the Rights of Persons with Disabilities (CRPD/C/5/4). </w:t>
      </w:r>
    </w:p>
  </w:footnote>
  <w:footnote w:id="3">
    <w:p w:rsidR="00EA25CC" w:rsidRPr="005944B6" w:rsidRDefault="00EA25CC" w:rsidP="001E3A2D">
      <w:pPr>
        <w:pStyle w:val="FootnoteText"/>
        <w:rPr>
          <w:b/>
        </w:rPr>
      </w:pPr>
      <w:r w:rsidRPr="005944B6">
        <w:rPr>
          <w:rStyle w:val="FootnoteReference"/>
          <w:rFonts w:cs="Arial"/>
          <w:szCs w:val="18"/>
        </w:rPr>
        <w:footnoteRef/>
      </w:r>
      <w:r>
        <w:t xml:space="preserve"> See Report on Follow-</w:t>
      </w:r>
      <w:r w:rsidRPr="005944B6">
        <w:t>up to Concluding Observations (CRPD/C/19/R.2).</w:t>
      </w:r>
    </w:p>
  </w:footnote>
  <w:footnote w:id="4">
    <w:p w:rsidR="00EA25CC" w:rsidRPr="005944B6" w:rsidRDefault="00EA25CC" w:rsidP="001E3A2D">
      <w:pPr>
        <w:pStyle w:val="FootnoteText"/>
      </w:pPr>
      <w:r w:rsidRPr="005944B6">
        <w:rPr>
          <w:rStyle w:val="FootnoteReference"/>
          <w:rFonts w:cs="Arial"/>
          <w:szCs w:val="18"/>
        </w:rPr>
        <w:footnoteRef/>
      </w:r>
      <w:r w:rsidRPr="005944B6">
        <w:t xml:space="preserve"> See Optional Protocol to the Convention on the Rights of Persons with Disabilities. </w:t>
      </w:r>
    </w:p>
  </w:footnote>
  <w:footnote w:id="5">
    <w:p w:rsidR="00EA25CC" w:rsidRDefault="00EA25CC" w:rsidP="001E3A2D">
      <w:pPr>
        <w:pStyle w:val="FootnoteText"/>
      </w:pPr>
      <w:r w:rsidRPr="005944B6">
        <w:rPr>
          <w:rStyle w:val="FootnoteReference"/>
          <w:rFonts w:cs="Arial"/>
          <w:szCs w:val="18"/>
        </w:rPr>
        <w:footnoteRef/>
      </w:r>
      <w:r w:rsidRPr="005944B6">
        <w:t xml:space="preserve"> The State Party, communication number, subjects and articles of the Convention invoked are available on the website of the Committee at</w:t>
      </w:r>
      <w:r>
        <w:t>:</w:t>
      </w:r>
    </w:p>
    <w:p w:rsidR="00EA25CC" w:rsidRPr="005944B6" w:rsidRDefault="00EA25CC" w:rsidP="001E3A2D">
      <w:pPr>
        <w:pStyle w:val="FootnoteText"/>
      </w:pPr>
      <w:r w:rsidRPr="005944B6">
        <w:rPr>
          <w:color w:val="0000FF"/>
        </w:rPr>
        <w:t>http://www.ohchr.org/EN/HRBodies/CRPD/Pages/Tablependingcases.aspx</w:t>
      </w:r>
      <w:r w:rsidRPr="005944B6">
        <w:t>.</w:t>
      </w:r>
    </w:p>
  </w:footnote>
  <w:footnote w:id="6">
    <w:p w:rsidR="00EA25CC" w:rsidRPr="005944B6" w:rsidRDefault="00EA25CC" w:rsidP="00917320">
      <w:pPr>
        <w:pStyle w:val="FootnoteText"/>
      </w:pPr>
      <w:r w:rsidRPr="005944B6">
        <w:rPr>
          <w:rStyle w:val="FootnoteReference"/>
          <w:rFonts w:cs="Arial"/>
          <w:szCs w:val="18"/>
        </w:rPr>
        <w:footnoteRef/>
      </w:r>
      <w:r>
        <w:t xml:space="preserve"> </w:t>
      </w:r>
      <w:r w:rsidRPr="005944B6">
        <w:t xml:space="preserve">See </w:t>
      </w:r>
      <w:r w:rsidRPr="005944B6">
        <w:rPr>
          <w:i/>
        </w:rPr>
        <w:t xml:space="preserve">H.M vs. Sweden </w:t>
      </w:r>
      <w:r w:rsidRPr="005944B6">
        <w:t xml:space="preserve">(CRPD/C/7/D/3/2011), </w:t>
      </w:r>
      <w:r w:rsidRPr="005944B6">
        <w:rPr>
          <w:i/>
        </w:rPr>
        <w:t xml:space="preserve">Jungelin </w:t>
      </w:r>
      <w:r w:rsidRPr="005944B6">
        <w:t>v.</w:t>
      </w:r>
      <w:r w:rsidRPr="005944B6">
        <w:rPr>
          <w:i/>
        </w:rPr>
        <w:t xml:space="preserve"> Sweden</w:t>
      </w:r>
      <w:r w:rsidRPr="005944B6">
        <w:t xml:space="preserve"> (CRPD/C/12/D/5/2011),</w:t>
      </w:r>
      <w:r w:rsidRPr="005944B6">
        <w:rPr>
          <w:i/>
        </w:rPr>
        <w:t xml:space="preserve"> F. v. Austria</w:t>
      </w:r>
      <w:r w:rsidRPr="005944B6">
        <w:t xml:space="preserve"> (CRPD/C/14/D/21/2014),</w:t>
      </w:r>
      <w:r w:rsidRPr="005944B6">
        <w:rPr>
          <w:i/>
        </w:rPr>
        <w:t xml:space="preserve"> Beasley v. Australia</w:t>
      </w:r>
      <w:r w:rsidRPr="005944B6">
        <w:t xml:space="preserve"> (CRPD/C/15/D/11/2013),</w:t>
      </w:r>
      <w:r w:rsidRPr="005944B6">
        <w:rPr>
          <w:i/>
        </w:rPr>
        <w:t xml:space="preserve"> Lockrey v. Australia</w:t>
      </w:r>
      <w:r w:rsidRPr="005944B6">
        <w:t xml:space="preserve"> (CRPD/C/15/D/13/2013), </w:t>
      </w:r>
      <w:r w:rsidRPr="005944B6">
        <w:rPr>
          <w:i/>
        </w:rPr>
        <w:t>Noble v. Australia</w:t>
      </w:r>
      <w:r w:rsidRPr="005944B6">
        <w:t xml:space="preserve"> (CRPD/C/16/D/7/2012)</w:t>
      </w:r>
      <w:r w:rsidRPr="005944B6">
        <w:rPr>
          <w:lang w:val="es-ES"/>
        </w:rPr>
        <w:t xml:space="preserve">, </w:t>
      </w:r>
      <w:r w:rsidRPr="005944B6">
        <w:rPr>
          <w:i/>
          <w:lang w:val="es-ES"/>
        </w:rPr>
        <w:t>X. v. Tanzania</w:t>
      </w:r>
      <w:r w:rsidRPr="005944B6">
        <w:rPr>
          <w:lang w:val="es-ES"/>
        </w:rPr>
        <w:t xml:space="preserve"> (CRPD/C/18/D/22/2014).</w:t>
      </w:r>
    </w:p>
  </w:footnote>
  <w:footnote w:id="7">
    <w:p w:rsidR="00EA25CC" w:rsidRPr="005944B6" w:rsidRDefault="00EA25CC" w:rsidP="00917320">
      <w:pPr>
        <w:pStyle w:val="FootnoteText"/>
        <w:rPr>
          <w:highlight w:val="yellow"/>
        </w:rPr>
      </w:pPr>
      <w:r w:rsidRPr="005944B6">
        <w:rPr>
          <w:rStyle w:val="FootnoteReference"/>
          <w:rFonts w:cs="Arial"/>
          <w:szCs w:val="18"/>
        </w:rPr>
        <w:footnoteRef/>
      </w:r>
      <w:r w:rsidRPr="005944B6">
        <w:t xml:space="preserve"> See </w:t>
      </w:r>
      <w:r w:rsidRPr="005944B6">
        <w:rPr>
          <w:i/>
        </w:rPr>
        <w:t>Nyusti and Takács v. Hungary</w:t>
      </w:r>
      <w:r w:rsidRPr="005944B6">
        <w:t xml:space="preserve"> (CRPD/C/9/D/1/2010), </w:t>
      </w:r>
      <w:r w:rsidRPr="005944B6">
        <w:rPr>
          <w:i/>
        </w:rPr>
        <w:t>X v. Argentina</w:t>
      </w:r>
      <w:r w:rsidRPr="005944B6">
        <w:t xml:space="preserve"> (CRPD/C/11/D/8/2012), </w:t>
      </w:r>
      <w:r w:rsidRPr="005944B6">
        <w:rPr>
          <w:i/>
        </w:rPr>
        <w:t>F. v. Austria</w:t>
      </w:r>
      <w:r w:rsidRPr="005944B6">
        <w:t xml:space="preserve"> (CRPD/C/14/D/</w:t>
      </w:r>
      <w:r w:rsidRPr="00917320">
        <w:t>21</w:t>
      </w:r>
      <w:r w:rsidRPr="005944B6">
        <w:t xml:space="preserve">/2014), </w:t>
      </w:r>
      <w:r w:rsidRPr="005944B6">
        <w:rPr>
          <w:i/>
        </w:rPr>
        <w:t>Beasley v. Australia</w:t>
      </w:r>
      <w:r w:rsidRPr="005944B6">
        <w:t xml:space="preserve"> (CRPD/C/15/D/11/2013),</w:t>
      </w:r>
      <w:r w:rsidRPr="005944B6">
        <w:rPr>
          <w:i/>
        </w:rPr>
        <w:t xml:space="preserve"> Lockrey v. Australia</w:t>
      </w:r>
      <w:r w:rsidRPr="005944B6">
        <w:t xml:space="preserve"> (CRPD/C/15/D/13/2013), </w:t>
      </w:r>
      <w:r w:rsidRPr="005944B6">
        <w:rPr>
          <w:bCs/>
          <w:i/>
          <w:lang w:val="en-AU"/>
        </w:rPr>
        <w:t xml:space="preserve">Bacher v. Austria </w:t>
      </w:r>
      <w:r w:rsidRPr="005944B6">
        <w:rPr>
          <w:bCs/>
          <w:lang w:val="en-AU"/>
        </w:rPr>
        <w:t>(CRPD/C/19/D/26/2014).</w:t>
      </w:r>
    </w:p>
  </w:footnote>
  <w:footnote w:id="8">
    <w:p w:rsidR="00EA25CC" w:rsidRPr="005944B6" w:rsidRDefault="00EA25CC" w:rsidP="00917320">
      <w:pPr>
        <w:pStyle w:val="FootnoteText"/>
      </w:pPr>
      <w:r w:rsidRPr="005944B6">
        <w:rPr>
          <w:rStyle w:val="FootnoteReference"/>
          <w:rFonts w:cs="Arial"/>
          <w:szCs w:val="18"/>
        </w:rPr>
        <w:footnoteRef/>
      </w:r>
      <w:r w:rsidRPr="005944B6">
        <w:t xml:space="preserve"> See </w:t>
      </w:r>
      <w:r w:rsidRPr="005944B6">
        <w:rPr>
          <w:i/>
        </w:rPr>
        <w:t>A.M. v. Australia</w:t>
      </w:r>
      <w:r>
        <w:t xml:space="preserve"> </w:t>
      </w:r>
      <w:r w:rsidRPr="005944B6">
        <w:t xml:space="preserve">(CRPD/C/13/D/12/2013), </w:t>
      </w:r>
      <w:r w:rsidRPr="005944B6">
        <w:rPr>
          <w:i/>
        </w:rPr>
        <w:t>Beasley v. Australia</w:t>
      </w:r>
      <w:r w:rsidRPr="005944B6">
        <w:t xml:space="preserve"> (CRPD/C/15/D/11/2013),</w:t>
      </w:r>
      <w:r w:rsidRPr="005944B6">
        <w:rPr>
          <w:i/>
        </w:rPr>
        <w:t xml:space="preserve"> Lockrey v. Australia</w:t>
      </w:r>
      <w:r w:rsidRPr="005944B6">
        <w:t xml:space="preserve"> (CRPD/C/15/D/13/2013), </w:t>
      </w:r>
      <w:r w:rsidRPr="005944B6">
        <w:rPr>
          <w:i/>
        </w:rPr>
        <w:t>Noble v. Australia</w:t>
      </w:r>
      <w:r w:rsidRPr="005944B6">
        <w:t xml:space="preserve"> (CRPD/C/16/D/7/2012)</w:t>
      </w:r>
      <w:r w:rsidRPr="005944B6">
        <w:rPr>
          <w:lang w:val="es-ES"/>
        </w:rPr>
        <w:t xml:space="preserve">, </w:t>
      </w:r>
      <w:r w:rsidRPr="005944B6">
        <w:rPr>
          <w:i/>
          <w:lang w:val="es-ES"/>
        </w:rPr>
        <w:t>X. v. Tanzania</w:t>
      </w:r>
      <w:r w:rsidRPr="005944B6">
        <w:rPr>
          <w:lang w:val="es-ES"/>
        </w:rPr>
        <w:t xml:space="preserve"> (CRPD/C/18/D/22/2014), </w:t>
      </w:r>
      <w:r w:rsidRPr="005944B6">
        <w:rPr>
          <w:bCs/>
        </w:rPr>
        <w:t xml:space="preserve">Makarov v. Lithuania (CRPD/C/18/D/30/2015). </w:t>
      </w:r>
    </w:p>
  </w:footnote>
  <w:footnote w:id="9">
    <w:p w:rsidR="00EA25CC" w:rsidRPr="005944B6" w:rsidRDefault="00EA25CC" w:rsidP="00917320">
      <w:pPr>
        <w:pStyle w:val="FootnoteText"/>
      </w:pPr>
      <w:r w:rsidRPr="005944B6">
        <w:rPr>
          <w:rStyle w:val="FootnoteReference"/>
          <w:rFonts w:cs="Arial"/>
          <w:szCs w:val="18"/>
        </w:rPr>
        <w:footnoteRef/>
      </w:r>
      <w:r w:rsidRPr="005944B6">
        <w:t xml:space="preserve"> See </w:t>
      </w:r>
      <w:r w:rsidRPr="005944B6">
        <w:rPr>
          <w:i/>
        </w:rPr>
        <w:t>Bujdosó et al. v. Hungary</w:t>
      </w:r>
      <w:r w:rsidRPr="005944B6">
        <w:t xml:space="preserve"> (CRPD/C/10/D/4/2011), </w:t>
      </w:r>
      <w:r w:rsidRPr="005944B6">
        <w:rPr>
          <w:i/>
        </w:rPr>
        <w:t>A.M. v. Australia</w:t>
      </w:r>
      <w:r>
        <w:t xml:space="preserve"> </w:t>
      </w:r>
      <w:r w:rsidRPr="005944B6">
        <w:t xml:space="preserve">(CRPD/C/13/D/12/2013), </w:t>
      </w:r>
      <w:r w:rsidRPr="005944B6">
        <w:rPr>
          <w:i/>
        </w:rPr>
        <w:t>Beasley v. Australia</w:t>
      </w:r>
      <w:r w:rsidRPr="005944B6">
        <w:t xml:space="preserve"> (CRPD/C/15/D/11/2013),</w:t>
      </w:r>
      <w:r w:rsidRPr="005944B6">
        <w:rPr>
          <w:i/>
        </w:rPr>
        <w:t xml:space="preserve"> Lockrey v. Australia</w:t>
      </w:r>
      <w:r w:rsidRPr="005944B6">
        <w:t xml:space="preserve"> (CRPD/C/15/D/13/2013), </w:t>
      </w:r>
      <w:r w:rsidRPr="005944B6">
        <w:rPr>
          <w:i/>
        </w:rPr>
        <w:t xml:space="preserve">Fiona Given v. Australia </w:t>
      </w:r>
      <w:r w:rsidRPr="005944B6">
        <w:t xml:space="preserve">(CRPD/C/19/D/19/2014). </w:t>
      </w:r>
    </w:p>
  </w:footnote>
  <w:footnote w:id="10">
    <w:p w:rsidR="00EA25CC" w:rsidRPr="005944B6" w:rsidRDefault="00EA25CC" w:rsidP="00917320">
      <w:pPr>
        <w:pStyle w:val="FootnoteText"/>
      </w:pPr>
      <w:r w:rsidRPr="005944B6">
        <w:rPr>
          <w:rStyle w:val="FootnoteReference"/>
          <w:rFonts w:cs="Arial"/>
          <w:szCs w:val="18"/>
        </w:rPr>
        <w:footnoteRef/>
      </w:r>
      <w:r w:rsidRPr="005944B6">
        <w:t xml:space="preserve"> See the following reports: CRPD/C/10/3, CRPD/C/11/3, CRPD/C/12/3, CRPD/C/13/4, CRPD/C/14/3, CRPD/C/15/3, </w:t>
      </w:r>
      <w:r w:rsidRPr="005944B6">
        <w:rPr>
          <w:rFonts w:eastAsia="Calibri"/>
          <w:lang w:eastAsia="en-GB"/>
        </w:rPr>
        <w:t xml:space="preserve">CRPD/C/16/3, </w:t>
      </w:r>
      <w:r w:rsidRPr="005944B6">
        <w:t xml:space="preserve">CRPD/C/17/3, </w:t>
      </w:r>
      <w:r w:rsidRPr="005944B6">
        <w:rPr>
          <w:bCs/>
          <w:lang w:val="en-AU"/>
        </w:rPr>
        <w:t xml:space="preserve">CRPD/C/19/3. </w:t>
      </w:r>
    </w:p>
  </w:footnote>
  <w:footnote w:id="11">
    <w:p w:rsidR="00EA25CC" w:rsidRPr="005944B6" w:rsidRDefault="00EA25CC" w:rsidP="00917320">
      <w:pPr>
        <w:pStyle w:val="FootnoteText"/>
      </w:pPr>
      <w:r w:rsidRPr="005944B6">
        <w:rPr>
          <w:rStyle w:val="FootnoteReference"/>
          <w:rFonts w:cs="Arial"/>
          <w:szCs w:val="18"/>
        </w:rPr>
        <w:footnoteRef/>
      </w:r>
      <w:r w:rsidRPr="005944B6">
        <w:t xml:space="preserve"> See article 6, paragraph 1 of the Optional Protocol to the Convention on the Rights of Persons with Disabilities.</w:t>
      </w:r>
    </w:p>
  </w:footnote>
  <w:footnote w:id="12">
    <w:p w:rsidR="00EA25CC" w:rsidRPr="005944B6" w:rsidRDefault="00EA25CC" w:rsidP="001E3A2D">
      <w:pPr>
        <w:pStyle w:val="FootnoteText"/>
      </w:pPr>
      <w:r w:rsidRPr="005944B6">
        <w:rPr>
          <w:rStyle w:val="FootnoteReference"/>
          <w:rFonts w:cs="Arial"/>
          <w:szCs w:val="18"/>
        </w:rPr>
        <w:footnoteRef/>
      </w:r>
      <w:r w:rsidRPr="005944B6">
        <w:t xml:space="preserve"> The preamble (e) of the Convention on the Rights of Persons with Disabilities recognizes that disability is an evolving concept and that disability “results from the interaction between persons with impairments and attitudinal and environmental barriers that hinders their full and effective participation in society on an equal basis with others.”</w:t>
      </w:r>
    </w:p>
  </w:footnote>
  <w:footnote w:id="13">
    <w:p w:rsidR="00EA25CC" w:rsidRPr="005944B6" w:rsidRDefault="00EA25CC" w:rsidP="001E3A2D">
      <w:pPr>
        <w:pStyle w:val="FootnoteText"/>
      </w:pPr>
      <w:r w:rsidRPr="005944B6">
        <w:rPr>
          <w:rStyle w:val="FootnoteReference"/>
          <w:rFonts w:cs="Arial"/>
          <w:szCs w:val="18"/>
        </w:rPr>
        <w:footnoteRef/>
      </w:r>
      <w:r w:rsidRPr="005944B6">
        <w:t xml:space="preserve"> In Article 1 CRPD persons with disabilities are defined as persons with disabi</w:t>
      </w:r>
      <w:r>
        <w:t>lities as “those who have long-</w:t>
      </w:r>
      <w:r w:rsidRPr="005944B6">
        <w:t xml:space="preserve">term physical, mental, intellectual or sensory impairments which in interaction with various barriers may hinder their full and effective participation in society on an equal basis with others.” </w:t>
      </w:r>
    </w:p>
  </w:footnote>
  <w:footnote w:id="14">
    <w:p w:rsidR="00EA25CC" w:rsidRPr="005944B6" w:rsidRDefault="00EA25CC" w:rsidP="001E3A2D">
      <w:pPr>
        <w:pStyle w:val="FootnoteText"/>
      </w:pPr>
      <w:r w:rsidRPr="005944B6">
        <w:rPr>
          <w:rStyle w:val="FootnoteReference"/>
          <w:rFonts w:cs="Arial"/>
          <w:szCs w:val="18"/>
        </w:rPr>
        <w:footnoteRef/>
      </w:r>
      <w:r w:rsidRPr="005944B6">
        <w:t xml:space="preserve"> A/66/55, Annex IX, paragraph 3. </w:t>
      </w:r>
    </w:p>
  </w:footnote>
  <w:footnote w:id="15">
    <w:p w:rsidR="00EA25CC" w:rsidRPr="005944B6" w:rsidRDefault="00EA25CC" w:rsidP="001E3A2D">
      <w:pPr>
        <w:pStyle w:val="FootnoteText"/>
      </w:pPr>
      <w:r w:rsidRPr="005944B6">
        <w:rPr>
          <w:rStyle w:val="FootnoteReference"/>
          <w:rFonts w:cs="Arial"/>
          <w:szCs w:val="18"/>
        </w:rPr>
        <w:footnoteRef/>
      </w:r>
      <w:r w:rsidRPr="005944B6">
        <w:t xml:space="preserve"> See General Comment No. 4 (CRPD/C/GC/4), paragraph 4 (a).</w:t>
      </w:r>
    </w:p>
  </w:footnote>
  <w:footnote w:id="16">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44.</w:t>
      </w:r>
    </w:p>
  </w:footnote>
  <w:footnote w:id="17">
    <w:p w:rsidR="00EA25CC" w:rsidRPr="005944B6" w:rsidRDefault="00EA25CC" w:rsidP="001E3A2D">
      <w:pPr>
        <w:pStyle w:val="FootnoteText"/>
      </w:pPr>
      <w:r w:rsidRPr="005944B6">
        <w:rPr>
          <w:rStyle w:val="FootnoteReference"/>
          <w:rFonts w:cs="Arial"/>
          <w:szCs w:val="18"/>
        </w:rPr>
        <w:footnoteRef/>
      </w:r>
      <w:r>
        <w:t xml:space="preserve"> </w:t>
      </w:r>
      <w:r w:rsidRPr="005944B6">
        <w:t>General Comment No. 4, paragraph 62.</w:t>
      </w:r>
    </w:p>
  </w:footnote>
  <w:footnote w:id="18">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36.</w:t>
      </w:r>
    </w:p>
  </w:footnote>
  <w:footnote w:id="19">
    <w:p w:rsidR="00EA25CC" w:rsidRPr="005944B6" w:rsidRDefault="00EA25CC" w:rsidP="001E3A2D">
      <w:pPr>
        <w:pStyle w:val="FootnoteText"/>
      </w:pPr>
      <w:r w:rsidRPr="005944B6">
        <w:rPr>
          <w:rStyle w:val="FootnoteReference"/>
          <w:rFonts w:cs="Arial"/>
          <w:szCs w:val="18"/>
        </w:rPr>
        <w:footnoteRef/>
      </w:r>
      <w:r>
        <w:t xml:space="preserve"> </w:t>
      </w:r>
      <w:r w:rsidRPr="005944B6">
        <w:t>General Comment No. 5 (CRPD/C/GC/5), paragraph 60.</w:t>
      </w:r>
    </w:p>
  </w:footnote>
  <w:footnote w:id="20">
    <w:p w:rsidR="00EA25CC" w:rsidRPr="005944B6" w:rsidRDefault="00EA25CC" w:rsidP="001E3A2D">
      <w:pPr>
        <w:pStyle w:val="FootnoteText"/>
      </w:pPr>
      <w:r w:rsidRPr="005944B6">
        <w:rPr>
          <w:rStyle w:val="FootnoteReference"/>
          <w:rFonts w:cs="Arial"/>
          <w:szCs w:val="18"/>
        </w:rPr>
        <w:footnoteRef/>
      </w:r>
      <w:r w:rsidRPr="005944B6">
        <w:t xml:space="preserve"> General Comment No. 6 (CRPD/C/GC/6), paragraph 9.</w:t>
      </w:r>
    </w:p>
  </w:footnote>
  <w:footnote w:id="21">
    <w:p w:rsidR="00EA25CC" w:rsidRPr="005944B6" w:rsidRDefault="00EA25CC" w:rsidP="001E3A2D">
      <w:pPr>
        <w:pStyle w:val="FootnoteText"/>
      </w:pPr>
      <w:r w:rsidRPr="005944B6">
        <w:rPr>
          <w:rStyle w:val="FootnoteReference"/>
          <w:rFonts w:cs="Arial"/>
          <w:szCs w:val="18"/>
        </w:rPr>
        <w:footnoteRef/>
      </w:r>
      <w:r w:rsidRPr="005944B6">
        <w:t xml:space="preserve"> Other articles under which the Committee mentioned the human rights model of disability in one or a couple of concluding observations are articles 7, 12, 15, 19, 24, 27, 31 and 32. </w:t>
      </w:r>
    </w:p>
  </w:footnote>
  <w:footnote w:id="22">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2. </w:t>
      </w:r>
    </w:p>
  </w:footnote>
  <w:footnote w:id="23">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7.</w:t>
      </w:r>
    </w:p>
  </w:footnote>
  <w:footnote w:id="24">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23. </w:t>
      </w:r>
    </w:p>
  </w:footnote>
  <w:footnote w:id="25">
    <w:p w:rsidR="00EA25CC" w:rsidRPr="005944B6" w:rsidRDefault="00EA25CC" w:rsidP="001E3A2D">
      <w:pPr>
        <w:pStyle w:val="FootnoteText"/>
      </w:pPr>
      <w:r w:rsidRPr="005944B6">
        <w:rPr>
          <w:rStyle w:val="FootnoteReference"/>
          <w:rFonts w:cs="Arial"/>
          <w:szCs w:val="18"/>
        </w:rPr>
        <w:footnoteRef/>
      </w:r>
      <w:r w:rsidRPr="005944B6">
        <w:t xml:space="preserve"> General Comment No</w:t>
      </w:r>
      <w:r>
        <w:t>. 5</w:t>
      </w:r>
      <w:r w:rsidRPr="005944B6">
        <w:t xml:space="preserve">, paragraphs 61 and 71; General Comment No. 6, paragraph 59. </w:t>
      </w:r>
    </w:p>
  </w:footnote>
  <w:footnote w:id="26">
    <w:p w:rsidR="00EA25CC" w:rsidRPr="005944B6" w:rsidRDefault="00EA25CC" w:rsidP="001E3A2D">
      <w:pPr>
        <w:pStyle w:val="FootnoteText"/>
      </w:pPr>
      <w:r w:rsidRPr="005944B6">
        <w:rPr>
          <w:rStyle w:val="FootnoteReference"/>
          <w:rFonts w:cs="Arial"/>
          <w:szCs w:val="18"/>
        </w:rPr>
        <w:footnoteRef/>
      </w:r>
      <w:r w:rsidRPr="005944B6">
        <w:t xml:space="preserve"> See for instance concluding observations on Haiti (CRPD/C/HTI/CO/1), paragraph 5. </w:t>
      </w:r>
    </w:p>
  </w:footnote>
  <w:footnote w:id="27">
    <w:p w:rsidR="00EA25CC" w:rsidRPr="005944B6" w:rsidRDefault="00EA25CC" w:rsidP="001E3A2D">
      <w:pPr>
        <w:pStyle w:val="FootnoteText"/>
      </w:pPr>
      <w:r w:rsidRPr="005944B6">
        <w:rPr>
          <w:rStyle w:val="FootnoteReference"/>
          <w:rFonts w:cs="Arial"/>
          <w:szCs w:val="18"/>
        </w:rPr>
        <w:footnoteRef/>
      </w:r>
      <w:r w:rsidRPr="005944B6">
        <w:t xml:space="preserve"> See for instance concluding observations on Oman (CRPD/C/OMN/CO/1), paragraph 10. </w:t>
      </w:r>
    </w:p>
  </w:footnote>
  <w:footnote w:id="28">
    <w:p w:rsidR="00EA25CC" w:rsidRPr="005944B6" w:rsidRDefault="00EA25CC" w:rsidP="001E3A2D">
      <w:pPr>
        <w:pStyle w:val="FootnoteText"/>
      </w:pPr>
      <w:r w:rsidRPr="005944B6">
        <w:rPr>
          <w:rStyle w:val="FootnoteReference"/>
          <w:rFonts w:cs="Arial"/>
          <w:szCs w:val="18"/>
        </w:rPr>
        <w:footnoteRef/>
      </w:r>
      <w:r w:rsidRPr="005944B6">
        <w:t xml:space="preserve"> See first declaration by the Committee “Committee on the Rights of Persons with Disabilities: Looking forward” of 27 February 2009 (A/66/55, Annex IX), paragraph 6. </w:t>
      </w:r>
    </w:p>
  </w:footnote>
  <w:footnote w:id="29">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40. </w:t>
      </w:r>
    </w:p>
  </w:footnote>
  <w:footnote w:id="30">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41.</w:t>
      </w:r>
    </w:p>
  </w:footnote>
  <w:footnote w:id="31">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44. </w:t>
      </w:r>
    </w:p>
  </w:footnote>
  <w:footnote w:id="32">
    <w:p w:rsidR="00EA25CC" w:rsidRPr="005944B6" w:rsidRDefault="00EA25CC" w:rsidP="001E3A2D">
      <w:pPr>
        <w:pStyle w:val="FootnoteText"/>
      </w:pPr>
      <w:r w:rsidRPr="005944B6">
        <w:rPr>
          <w:rStyle w:val="FootnoteReference"/>
          <w:rFonts w:cs="Arial"/>
          <w:szCs w:val="18"/>
        </w:rPr>
        <w:footnoteRef/>
      </w:r>
      <w:r w:rsidRPr="005944B6">
        <w:t xml:space="preserve"> See Report on the Inquiry concerning the United Kingdom (CRPD/C/15/4).</w:t>
      </w:r>
    </w:p>
  </w:footnote>
  <w:footnote w:id="33">
    <w:p w:rsidR="00EA25CC" w:rsidRPr="005944B6" w:rsidRDefault="00EA25CC" w:rsidP="001E3A2D">
      <w:pPr>
        <w:pStyle w:val="FootnoteText"/>
      </w:pPr>
      <w:r w:rsidRPr="005944B6">
        <w:rPr>
          <w:rStyle w:val="FootnoteReference"/>
          <w:rFonts w:cs="Arial"/>
          <w:szCs w:val="18"/>
        </w:rPr>
        <w:footnoteRef/>
      </w:r>
      <w:r w:rsidRPr="005944B6">
        <w:t xml:space="preserve"> General Comment No. 1 (CRPD/C/GC/1), paragraph 30.</w:t>
      </w:r>
    </w:p>
  </w:footnote>
  <w:footnote w:id="34">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Spain (CRPD/C/ESP/CO/1), paragraph 44 in relation to inclusive education; General Comment No. 4, paragraph 31; General Comment No. 5, paragraph 46.</w:t>
      </w:r>
    </w:p>
  </w:footnote>
  <w:footnote w:id="35">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48. </w:t>
      </w:r>
    </w:p>
  </w:footnote>
  <w:footnote w:id="36">
    <w:p w:rsidR="00EA25CC" w:rsidRPr="005944B6" w:rsidRDefault="00EA25CC" w:rsidP="001E3A2D">
      <w:pPr>
        <w:pStyle w:val="FootnoteText"/>
      </w:pPr>
      <w:r w:rsidRPr="005944B6">
        <w:rPr>
          <w:rStyle w:val="FootnoteReference"/>
          <w:rFonts w:cs="Arial"/>
          <w:szCs w:val="18"/>
        </w:rPr>
        <w:footnoteRef/>
      </w:r>
      <w:r w:rsidRPr="005944B6">
        <w:t xml:space="preserve"> See “Joint statement CRPD-GANHRI on monitoring article 19 at the national level”, of March 2018.</w:t>
      </w:r>
    </w:p>
  </w:footnote>
  <w:footnote w:id="37">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74.</w:t>
      </w:r>
    </w:p>
  </w:footnote>
  <w:footnote w:id="38">
    <w:p w:rsidR="00EA25CC" w:rsidRPr="005944B6" w:rsidRDefault="00EA25CC" w:rsidP="001E3A2D">
      <w:pPr>
        <w:pStyle w:val="FootnoteText"/>
      </w:pPr>
      <w:r w:rsidRPr="005944B6">
        <w:rPr>
          <w:rStyle w:val="FootnoteReference"/>
          <w:rFonts w:cs="Arial"/>
          <w:szCs w:val="18"/>
        </w:rPr>
        <w:footnoteRef/>
      </w:r>
      <w:r w:rsidRPr="005944B6">
        <w:t xml:space="preserve"> See Guidelines on independent monitoring frameworks, paragraph 5. </w:t>
      </w:r>
    </w:p>
  </w:footnote>
  <w:footnote w:id="39">
    <w:p w:rsidR="00EA25CC" w:rsidRPr="005944B6" w:rsidRDefault="00EA25CC" w:rsidP="001E3A2D">
      <w:pPr>
        <w:pStyle w:val="FootnoteText"/>
      </w:pPr>
      <w:r w:rsidRPr="005944B6">
        <w:rPr>
          <w:rStyle w:val="FootnoteReference"/>
          <w:rFonts w:cs="Arial"/>
          <w:szCs w:val="18"/>
        </w:rPr>
        <w:footnoteRef/>
      </w:r>
      <w:r w:rsidRPr="005944B6">
        <w:t xml:space="preserve"> The Committee held its first ever meeting with NHRIs and NMMs in September 2014, at its twelfth session. See: Outcome of the meeting between the Committee and NHRIS (CRPD/C/12/2, annex V). </w:t>
      </w:r>
    </w:p>
  </w:footnote>
  <w:footnote w:id="40">
    <w:p w:rsidR="00EA25CC" w:rsidRPr="005944B6" w:rsidRDefault="00EA25CC" w:rsidP="001E3A2D">
      <w:pPr>
        <w:pStyle w:val="FootnoteText"/>
      </w:pPr>
      <w:r w:rsidRPr="005944B6">
        <w:rPr>
          <w:rStyle w:val="FootnoteReference"/>
          <w:rFonts w:cs="Arial"/>
          <w:szCs w:val="18"/>
        </w:rPr>
        <w:footnoteRef/>
      </w:r>
      <w:r w:rsidRPr="005944B6">
        <w:t xml:space="preserve"> See Guidelines on independent monitoring frameworks. </w:t>
      </w:r>
    </w:p>
  </w:footnote>
  <w:footnote w:id="41">
    <w:p w:rsidR="00EA25CC" w:rsidRPr="005944B6" w:rsidRDefault="00EA25CC" w:rsidP="001E3A2D">
      <w:pPr>
        <w:pStyle w:val="FootnoteText"/>
      </w:pPr>
      <w:r w:rsidRPr="005944B6">
        <w:rPr>
          <w:rStyle w:val="FootnoteReference"/>
          <w:rFonts w:cs="Arial"/>
          <w:szCs w:val="18"/>
        </w:rPr>
        <w:footnoteRef/>
      </w:r>
      <w:r w:rsidRPr="005944B6">
        <w:t xml:space="preserve"> See General Comment No. 2, paragraph 35. </w:t>
      </w:r>
    </w:p>
  </w:footnote>
  <w:footnote w:id="42">
    <w:p w:rsidR="00EA25CC" w:rsidRPr="005944B6" w:rsidRDefault="00EA25CC" w:rsidP="001E3A2D">
      <w:pPr>
        <w:pStyle w:val="FootnoteText"/>
      </w:pPr>
      <w:r w:rsidRPr="005944B6">
        <w:rPr>
          <w:rStyle w:val="FootnoteReference"/>
          <w:rFonts w:cs="Arial"/>
          <w:szCs w:val="18"/>
        </w:rPr>
        <w:footnoteRef/>
      </w:r>
      <w:r w:rsidRPr="005944B6">
        <w:t xml:space="preserve"> See Guidelines on periodic reporting (CRPD/C/3), paragraph 10. </w:t>
      </w:r>
    </w:p>
  </w:footnote>
  <w:footnote w:id="43">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19.</w:t>
      </w:r>
    </w:p>
  </w:footnote>
  <w:footnote w:id="44">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17(e); General Comment No. 6, paragraphs 39. </w:t>
      </w:r>
    </w:p>
  </w:footnote>
  <w:footnote w:id="45">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48; General Comment No. 5, paragraph 77.</w:t>
      </w:r>
    </w:p>
  </w:footnote>
  <w:footnote w:id="46">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paragraphs 19 and 35.</w:t>
      </w:r>
    </w:p>
  </w:footnote>
  <w:footnote w:id="47">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35; General Comment No. 4, paragraph 48; General Comment No. 5, paragraph 77; General Comment No. 6, paragraph 73(f). </w:t>
      </w:r>
    </w:p>
  </w:footnote>
  <w:footnote w:id="48">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paragraphs 39. </w:t>
      </w:r>
    </w:p>
  </w:footnote>
  <w:footnote w:id="49">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39; General Comment No. 3, paragraph 62; General Comment No. 4, paragraph 4(d).</w:t>
      </w:r>
    </w:p>
  </w:footnote>
  <w:footnote w:id="50">
    <w:p w:rsidR="00EA25CC" w:rsidRPr="005944B6" w:rsidRDefault="00EA25CC" w:rsidP="001E3A2D">
      <w:pPr>
        <w:pStyle w:val="FootnoteText"/>
      </w:pPr>
      <w:r w:rsidRPr="005944B6">
        <w:rPr>
          <w:rStyle w:val="FootnoteReference"/>
          <w:rFonts w:cs="Arial"/>
          <w:szCs w:val="18"/>
        </w:rPr>
        <w:footnoteRef/>
      </w:r>
      <w:r w:rsidRPr="005944B6">
        <w:t xml:space="preserve"> See for instance General Comment No. 5, paragraph 68.</w:t>
      </w:r>
    </w:p>
  </w:footnote>
  <w:footnote w:id="51">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71.</w:t>
      </w:r>
    </w:p>
  </w:footnote>
  <w:footnote w:id="52">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71.</w:t>
      </w:r>
    </w:p>
  </w:footnote>
  <w:footnote w:id="53">
    <w:p w:rsidR="00EA25CC" w:rsidRPr="005944B6" w:rsidRDefault="00EA25CC" w:rsidP="001E3A2D">
      <w:pPr>
        <w:pStyle w:val="FootnoteText"/>
      </w:pPr>
      <w:r w:rsidRPr="005944B6">
        <w:rPr>
          <w:rStyle w:val="FootnoteReference"/>
          <w:rFonts w:cs="Arial"/>
          <w:szCs w:val="18"/>
        </w:rPr>
        <w:footnoteRef/>
      </w:r>
      <w:r w:rsidRPr="005944B6">
        <w:t xml:space="preserve"> See Guidelines on periodic reporting (CRPD/C/3), paragraph 33 (e).</w:t>
      </w:r>
      <w:r>
        <w:t xml:space="preserve"> </w:t>
      </w:r>
    </w:p>
  </w:footnote>
  <w:footnote w:id="54">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34. </w:t>
      </w:r>
    </w:p>
  </w:footnote>
  <w:footnote w:id="55">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71.</w:t>
      </w:r>
    </w:p>
  </w:footnote>
  <w:footnote w:id="56">
    <w:p w:rsidR="00EA25CC" w:rsidRPr="005944B6" w:rsidRDefault="00EA25CC" w:rsidP="001E3A2D">
      <w:pPr>
        <w:pStyle w:val="FootnoteText"/>
      </w:pPr>
      <w:r w:rsidRPr="005944B6">
        <w:rPr>
          <w:rStyle w:val="FootnoteReference"/>
          <w:rFonts w:cs="Arial"/>
          <w:szCs w:val="18"/>
        </w:rPr>
        <w:footnoteRef/>
      </w:r>
      <w:r w:rsidRPr="005944B6">
        <w:t xml:space="preserve"> See Guidelines on periodic reporting (CRPD/C/3), paragraph 33(c).</w:t>
      </w:r>
    </w:p>
  </w:footnote>
  <w:footnote w:id="57">
    <w:p w:rsidR="00EA25CC" w:rsidRPr="005944B6" w:rsidRDefault="00EA25CC" w:rsidP="001E3A2D">
      <w:pPr>
        <w:pStyle w:val="FootnoteText"/>
      </w:pPr>
      <w:r w:rsidRPr="005944B6">
        <w:rPr>
          <w:rStyle w:val="FootnoteReference"/>
          <w:rFonts w:cs="Arial"/>
          <w:szCs w:val="18"/>
        </w:rPr>
        <w:footnoteRef/>
      </w:r>
      <w:r w:rsidRPr="005944B6">
        <w:t xml:space="preserve"> See for instance</w:t>
      </w:r>
      <w:r>
        <w:t xml:space="preserve"> c</w:t>
      </w:r>
      <w:r w:rsidRPr="005944B6">
        <w:t xml:space="preserve">oncluding observations on Jordan (CRPD/C/JOR/CO/1), paragraph 60. </w:t>
      </w:r>
    </w:p>
  </w:footnote>
  <w:footnote w:id="58">
    <w:p w:rsidR="00EA25CC" w:rsidRPr="005944B6" w:rsidRDefault="00EA25CC" w:rsidP="001E3A2D">
      <w:pPr>
        <w:pStyle w:val="FootnoteText"/>
      </w:pPr>
      <w:r w:rsidRPr="005944B6">
        <w:rPr>
          <w:rStyle w:val="FootnoteReference"/>
          <w:rFonts w:cs="Arial"/>
          <w:szCs w:val="18"/>
        </w:rPr>
        <w:footnoteRef/>
      </w:r>
      <w:r>
        <w:t xml:space="preserve"> See c</w:t>
      </w:r>
      <w:r w:rsidRPr="005944B6">
        <w:t xml:space="preserve">oncluding observations on the United Kingdom (CRPD/C/GBR/CO/1), paragraph 65. </w:t>
      </w:r>
    </w:p>
  </w:footnote>
  <w:footnote w:id="59">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paragraphs 27 and 47.</w:t>
      </w:r>
    </w:p>
  </w:footnote>
  <w:footnote w:id="60">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37.</w:t>
      </w:r>
    </w:p>
  </w:footnote>
  <w:footnote w:id="61">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47.</w:t>
      </w:r>
    </w:p>
  </w:footnote>
  <w:footnote w:id="62">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43.</w:t>
      </w:r>
    </w:p>
  </w:footnote>
  <w:footnote w:id="63">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72.</w:t>
      </w:r>
    </w:p>
  </w:footnote>
  <w:footnote w:id="64">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47.</w:t>
      </w:r>
    </w:p>
  </w:footnote>
  <w:footnote w:id="65">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65.</w:t>
      </w:r>
    </w:p>
  </w:footnote>
  <w:footnote w:id="66">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65.</w:t>
      </w:r>
    </w:p>
  </w:footnote>
  <w:footnote w:id="67">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96.</w:t>
      </w:r>
    </w:p>
  </w:footnote>
  <w:footnote w:id="68">
    <w:p w:rsidR="00EA25CC" w:rsidRPr="005944B6" w:rsidRDefault="00EA25CC" w:rsidP="001E3A2D">
      <w:pPr>
        <w:pStyle w:val="FootnoteText"/>
      </w:pPr>
      <w:r w:rsidRPr="005944B6">
        <w:rPr>
          <w:rStyle w:val="FootnoteReference"/>
          <w:rFonts w:cs="Arial"/>
          <w:szCs w:val="18"/>
        </w:rPr>
        <w:footnoteRef/>
      </w:r>
      <w:r w:rsidRPr="005944B6">
        <w:t xml:space="preserve"> The first statement of the Committee (A/66/55, Annex IX) refers twice to the importance of involving organizations of persons with disabilities, see preamble and paragraph 4. </w:t>
      </w:r>
    </w:p>
  </w:footnote>
  <w:footnote w:id="69">
    <w:p w:rsidR="00EA25CC" w:rsidRPr="005944B6" w:rsidRDefault="00EA25CC" w:rsidP="001E3A2D">
      <w:pPr>
        <w:pStyle w:val="FootnoteText"/>
      </w:pPr>
      <w:r w:rsidRPr="005944B6">
        <w:rPr>
          <w:rStyle w:val="FootnoteReference"/>
          <w:rFonts w:cs="Arial"/>
          <w:szCs w:val="18"/>
        </w:rPr>
        <w:footnoteRef/>
      </w:r>
      <w:r w:rsidRPr="005944B6">
        <w:t xml:space="preserve"> Guidelines on the participation of disabled persons’ organizations and civil society organizations in the work of the Committee (CRPD/C/11/2, annex II), paragraph 3. </w:t>
      </w:r>
    </w:p>
  </w:footnote>
  <w:footnote w:id="70">
    <w:p w:rsidR="00EA25CC" w:rsidRPr="005944B6" w:rsidRDefault="00EA25CC" w:rsidP="005944B6">
      <w:pPr>
        <w:pStyle w:val="NormalWeb"/>
        <w:spacing w:before="0" w:beforeAutospacing="0" w:after="0" w:afterAutospacing="0"/>
        <w:rPr>
          <w:rFonts w:ascii="Arial" w:hAnsi="Arial" w:cs="Arial"/>
          <w:b/>
          <w:bCs/>
          <w:iCs/>
          <w:sz w:val="18"/>
          <w:szCs w:val="18"/>
        </w:rPr>
      </w:pPr>
      <w:r w:rsidRPr="005944B6">
        <w:rPr>
          <w:rStyle w:val="FootnoteReference"/>
          <w:rFonts w:ascii="Arial" w:hAnsi="Arial" w:cs="Arial"/>
          <w:sz w:val="18"/>
          <w:szCs w:val="18"/>
        </w:rPr>
        <w:footnoteRef/>
      </w:r>
      <w:r w:rsidRPr="005944B6">
        <w:rPr>
          <w:rFonts w:ascii="Arial" w:hAnsi="Arial" w:cs="Arial"/>
          <w:sz w:val="18"/>
          <w:szCs w:val="18"/>
        </w:rPr>
        <w:t xml:space="preserve"> General Comment No. 5, paragraph 56; see also Guidelines on periodic reporting (</w:t>
      </w:r>
      <w:r w:rsidRPr="005944B6">
        <w:rPr>
          <w:rFonts w:ascii="Arial" w:hAnsi="Arial" w:cs="Arial"/>
          <w:sz w:val="18"/>
          <w:szCs w:val="18"/>
          <w:lang w:val="en-GB"/>
        </w:rPr>
        <w:t>CRPD/C/3)</w:t>
      </w:r>
      <w:r w:rsidRPr="005944B6">
        <w:rPr>
          <w:rFonts w:ascii="Arial" w:hAnsi="Arial" w:cs="Arial"/>
          <w:sz w:val="18"/>
          <w:szCs w:val="18"/>
        </w:rPr>
        <w:t>, par</w:t>
      </w:r>
      <w:r>
        <w:rPr>
          <w:rFonts w:ascii="Arial" w:hAnsi="Arial" w:cs="Arial"/>
          <w:sz w:val="18"/>
          <w:szCs w:val="18"/>
        </w:rPr>
        <w:t>agraph 7, which require States P</w:t>
      </w:r>
      <w:r w:rsidRPr="005944B6">
        <w:rPr>
          <w:rFonts w:ascii="Arial" w:hAnsi="Arial" w:cs="Arial"/>
          <w:sz w:val="18"/>
          <w:szCs w:val="18"/>
        </w:rPr>
        <w:t xml:space="preserve">arties </w:t>
      </w:r>
      <w:r w:rsidRPr="005944B6">
        <w:rPr>
          <w:rFonts w:ascii="Arial" w:hAnsi="Arial" w:cs="Arial"/>
          <w:bCs/>
          <w:iCs/>
          <w:sz w:val="18"/>
          <w:szCs w:val="18"/>
        </w:rPr>
        <w:t>to report on the degree of involvement and the diversity of persons with disability involved.</w:t>
      </w:r>
    </w:p>
  </w:footnote>
  <w:footnote w:id="71">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23.</w:t>
      </w:r>
    </w:p>
  </w:footnote>
  <w:footnote w:id="72">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70. </w:t>
      </w:r>
    </w:p>
  </w:footnote>
  <w:footnote w:id="73">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33.</w:t>
      </w:r>
    </w:p>
  </w:footnote>
  <w:footnote w:id="74">
    <w:p w:rsidR="00EA25CC" w:rsidRPr="005944B6" w:rsidRDefault="00EA25CC" w:rsidP="001E3A2D">
      <w:pPr>
        <w:pStyle w:val="FootnoteText"/>
      </w:pPr>
      <w:r w:rsidRPr="005944B6">
        <w:rPr>
          <w:rStyle w:val="FootnoteReference"/>
          <w:rFonts w:cs="Arial"/>
          <w:szCs w:val="18"/>
        </w:rPr>
        <w:footnoteRef/>
      </w:r>
      <w:r w:rsidRPr="005944B6">
        <w:t xml:space="preserve"> See for instance General Comment No.1, paragraph 50 (c). </w:t>
      </w:r>
    </w:p>
  </w:footnote>
  <w:footnote w:id="75">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25. </w:t>
      </w:r>
    </w:p>
  </w:footnote>
  <w:footnote w:id="76">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47.</w:t>
      </w:r>
    </w:p>
  </w:footnote>
  <w:footnote w:id="77">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73(j).</w:t>
      </w:r>
    </w:p>
  </w:footnote>
  <w:footnote w:id="78">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29. </w:t>
      </w:r>
    </w:p>
  </w:footnote>
  <w:footnote w:id="79">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97.</w:t>
      </w:r>
    </w:p>
  </w:footnote>
  <w:footnote w:id="80">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42. </w:t>
      </w:r>
    </w:p>
  </w:footnote>
  <w:footnote w:id="81">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56.</w:t>
      </w:r>
    </w:p>
  </w:footnote>
  <w:footnote w:id="82">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46.</w:t>
      </w:r>
    </w:p>
  </w:footnote>
  <w:footnote w:id="83">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30; General Comment No. 5, paragraph 77. </w:t>
      </w:r>
    </w:p>
  </w:footnote>
  <w:footnote w:id="84">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73(f). </w:t>
      </w:r>
    </w:p>
  </w:footnote>
  <w:footnote w:id="85">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71.</w:t>
      </w:r>
    </w:p>
  </w:footnote>
  <w:footnote w:id="86">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12. </w:t>
      </w:r>
    </w:p>
  </w:footnote>
  <w:footnote w:id="87">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70(d). </w:t>
      </w:r>
    </w:p>
  </w:footnote>
  <w:footnote w:id="88">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Slovenia (CRPD/C/SVN/CO/1), paragraph 5(c). </w:t>
      </w:r>
    </w:p>
  </w:footnote>
  <w:footnote w:id="89">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Hungary (CRPD/C/HUN/CO/1), paragraph 14. </w:t>
      </w:r>
    </w:p>
  </w:footnote>
  <w:footnote w:id="90">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Nepal (CRPD/C/NPL/CO/1), paragraph 50; Concluding observations on the Federation of Russia (CRPD/C/RUS/CO/1), paragraph 67; Concluding observations on the Republic of Moldova (CRPD/C/MDA/CO/1), paragraph 59. </w:t>
      </w:r>
    </w:p>
  </w:footnote>
  <w:footnote w:id="91">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the Federation of Russia (CRPD/C/RUS/CO/1), paragraph 12. </w:t>
      </w:r>
    </w:p>
  </w:footnote>
  <w:footnote w:id="92">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Latvia (CRPD/C/LVA/CO/1), paragraph 7(e). </w:t>
      </w:r>
    </w:p>
  </w:footnote>
  <w:footnote w:id="93">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Slovenia (CRPD/C/SVN/CO/1), paragraph 5(c); Concluding observations on New Zealand (CRPD/C/NZL/CO/1), paragraphs 71-72. </w:t>
      </w:r>
    </w:p>
  </w:footnote>
  <w:footnote w:id="94">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Cyprus (CRPD/C/CYP/CO/1), paragraph 8; Concluding observations on Bosnia and Herzegovina (CRPD/C/BIH/CO/1), paragraph 6; Concluding observations on Turkmenistan (CRPD/C/TKM/CO/1), paragraph 12. </w:t>
      </w:r>
    </w:p>
  </w:footnote>
  <w:footnote w:id="95">
    <w:p w:rsidR="00EA25CC" w:rsidRPr="005944B6" w:rsidRDefault="00EA25CC" w:rsidP="006605B8">
      <w:pPr>
        <w:pStyle w:val="FootnoteText"/>
      </w:pPr>
      <w:r w:rsidRPr="005944B6">
        <w:rPr>
          <w:rStyle w:val="FootnoteReference"/>
          <w:rFonts w:cs="Arial"/>
          <w:szCs w:val="18"/>
        </w:rPr>
        <w:footnoteRef/>
      </w:r>
      <w:r w:rsidRPr="005944B6">
        <w:t xml:space="preserve"> Guidelines on the participation of disabled persons’ organizations and civil society organizations in the work of the Committee, paragraph 33. </w:t>
      </w:r>
    </w:p>
  </w:footnote>
  <w:footnote w:id="96">
    <w:p w:rsidR="00EA25CC" w:rsidRPr="005944B6" w:rsidRDefault="00EA25CC" w:rsidP="006605B8">
      <w:pPr>
        <w:pStyle w:val="FootnoteText"/>
        <w:rPr>
          <w:color w:val="000000"/>
        </w:rPr>
      </w:pPr>
      <w:r w:rsidRPr="005944B6">
        <w:rPr>
          <w:rStyle w:val="FootnoteReference"/>
          <w:rFonts w:cs="Arial"/>
          <w:szCs w:val="18"/>
        </w:rPr>
        <w:footnoteRef/>
      </w:r>
      <w:r w:rsidRPr="005944B6">
        <w:t xml:space="preserve"> Equality and equal treatment are mentioned in the preamble of the Convention and under articles 1, 3, 5, 6, 7, 9, 10, 12, 13, 14, 15, 17, 18, 19, 21, 22, 23, 24, 27, 28, 29 and 30. Non-discrimination and reasonable accommodation are mentioned in the preamble of the Convention and under articles 2, 3, 4, 5, 6, 14, 23, 24, 25, 27, 28 and 29. </w:t>
      </w:r>
    </w:p>
  </w:footnote>
  <w:footnote w:id="97">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12. </w:t>
      </w:r>
    </w:p>
  </w:footnote>
  <w:footnote w:id="98">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12.</w:t>
      </w:r>
    </w:p>
  </w:footnote>
  <w:footnote w:id="99">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11. </w:t>
      </w:r>
    </w:p>
  </w:footnote>
  <w:footnote w:id="100">
    <w:p w:rsidR="00EA25CC" w:rsidRPr="005944B6" w:rsidRDefault="00EA25CC" w:rsidP="001E3A2D">
      <w:pPr>
        <w:pStyle w:val="FootnoteText"/>
      </w:pPr>
      <w:r w:rsidRPr="005944B6">
        <w:rPr>
          <w:rStyle w:val="FootnoteReference"/>
          <w:rFonts w:cs="Arial"/>
          <w:szCs w:val="18"/>
        </w:rPr>
        <w:footnoteRef/>
      </w:r>
      <w:r w:rsidRPr="005944B6">
        <w:t xml:space="preserve"> See General Comment No. 3, paragraph 17. </w:t>
      </w:r>
    </w:p>
  </w:footnote>
  <w:footnote w:id="101">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18. </w:t>
      </w:r>
    </w:p>
  </w:footnote>
  <w:footnote w:id="102">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17(c).</w:t>
      </w:r>
    </w:p>
  </w:footnote>
  <w:footnote w:id="103">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18(c).</w:t>
      </w:r>
    </w:p>
  </w:footnote>
  <w:footnote w:id="104">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17(e).</w:t>
      </w:r>
    </w:p>
  </w:footnote>
  <w:footnote w:id="105">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18(d). </w:t>
      </w:r>
    </w:p>
  </w:footnote>
  <w:footnote w:id="106">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19.</w:t>
      </w:r>
    </w:p>
  </w:footnote>
  <w:footnote w:id="107">
    <w:p w:rsidR="00EA25CC" w:rsidRPr="005944B6" w:rsidRDefault="00EA25CC" w:rsidP="001E3A2D">
      <w:pPr>
        <w:pStyle w:val="FootnoteText"/>
      </w:pPr>
      <w:r w:rsidRPr="005944B6">
        <w:rPr>
          <w:rStyle w:val="FootnoteReference"/>
          <w:rFonts w:cs="Arial"/>
          <w:szCs w:val="18"/>
        </w:rPr>
        <w:footnoteRef/>
      </w:r>
      <w:r w:rsidRPr="005944B6">
        <w:t xml:space="preserve"> </w:t>
      </w:r>
      <w:r w:rsidRPr="005944B6">
        <w:rPr>
          <w:i/>
        </w:rPr>
        <w:t xml:space="preserve">H.M vs. Sweden </w:t>
      </w:r>
      <w:r>
        <w:t>(CRPD/C/7/D/3/2011),</w:t>
      </w:r>
      <w:r w:rsidRPr="005944B6">
        <w:t xml:space="preserve"> </w:t>
      </w:r>
      <w:r w:rsidRPr="005944B6">
        <w:rPr>
          <w:i/>
        </w:rPr>
        <w:t xml:space="preserve">Jungelin </w:t>
      </w:r>
      <w:r w:rsidRPr="005944B6">
        <w:t>v.</w:t>
      </w:r>
      <w:r w:rsidRPr="005944B6">
        <w:rPr>
          <w:i/>
        </w:rPr>
        <w:t xml:space="preserve"> Sweden</w:t>
      </w:r>
      <w:r w:rsidRPr="005944B6">
        <w:t xml:space="preserve"> (CRPD/C/12/D/5/2011)</w:t>
      </w:r>
      <w:r>
        <w:t>,</w:t>
      </w:r>
      <w:r w:rsidRPr="005944B6">
        <w:t xml:space="preserve"> </w:t>
      </w:r>
      <w:r w:rsidRPr="005944B6">
        <w:rPr>
          <w:i/>
          <w:iCs w:val="0"/>
        </w:rPr>
        <w:t xml:space="preserve">Beasley v. Australia </w:t>
      </w:r>
      <w:r w:rsidRPr="005944B6">
        <w:rPr>
          <w:iCs w:val="0"/>
        </w:rPr>
        <w:t>(CRPD/C/15/D/11/2013)</w:t>
      </w:r>
      <w:r>
        <w:rPr>
          <w:iCs w:val="0"/>
        </w:rPr>
        <w:t>,</w:t>
      </w:r>
      <w:r w:rsidRPr="005944B6">
        <w:rPr>
          <w:i/>
          <w:iCs w:val="0"/>
        </w:rPr>
        <w:t xml:space="preserve"> Lockrey v. Australia</w:t>
      </w:r>
      <w:r w:rsidRPr="005944B6">
        <w:rPr>
          <w:iCs w:val="0"/>
        </w:rPr>
        <w:t xml:space="preserve"> (CRPD/C/15/D/13/2013).</w:t>
      </w:r>
    </w:p>
  </w:footnote>
  <w:footnote w:id="108">
    <w:p w:rsidR="00EA25CC" w:rsidRPr="00375197" w:rsidRDefault="00EA25CC" w:rsidP="001E3A2D">
      <w:pPr>
        <w:pStyle w:val="FootnoteText"/>
        <w:rPr>
          <w:lang w:val="fr-FR"/>
        </w:rPr>
      </w:pPr>
      <w:r w:rsidRPr="005944B6">
        <w:rPr>
          <w:rStyle w:val="FootnoteReference"/>
          <w:rFonts w:cs="Arial"/>
          <w:szCs w:val="18"/>
        </w:rPr>
        <w:footnoteRef/>
      </w:r>
      <w:r w:rsidRPr="00375197">
        <w:rPr>
          <w:lang w:val="fr-FR"/>
        </w:rPr>
        <w:t xml:space="preserve"> </w:t>
      </w:r>
      <w:r w:rsidRPr="00375197">
        <w:rPr>
          <w:i/>
          <w:iCs w:val="0"/>
          <w:lang w:val="fr-FR"/>
        </w:rPr>
        <w:t>F. v. Austria</w:t>
      </w:r>
      <w:r w:rsidRPr="00375197">
        <w:rPr>
          <w:iCs w:val="0"/>
          <w:lang w:val="fr-FR"/>
        </w:rPr>
        <w:t xml:space="preserve"> (CRPD/C/14/D/21/2014).</w:t>
      </w:r>
    </w:p>
  </w:footnote>
  <w:footnote w:id="109">
    <w:p w:rsidR="00EA25CC" w:rsidRPr="005944B6" w:rsidRDefault="00EA25CC" w:rsidP="001E3A2D">
      <w:pPr>
        <w:pStyle w:val="FootnoteText"/>
      </w:pPr>
      <w:r w:rsidRPr="005944B6">
        <w:rPr>
          <w:rStyle w:val="FootnoteReference"/>
          <w:rFonts w:cs="Arial"/>
          <w:szCs w:val="18"/>
        </w:rPr>
        <w:footnoteRef/>
      </w:r>
      <w:r w:rsidRPr="005944B6">
        <w:t xml:space="preserve"> </w:t>
      </w:r>
      <w:r w:rsidRPr="005944B6">
        <w:rPr>
          <w:i/>
          <w:iCs w:val="0"/>
        </w:rPr>
        <w:t xml:space="preserve">Noble v. Australia </w:t>
      </w:r>
      <w:r w:rsidRPr="005944B6">
        <w:rPr>
          <w:iCs w:val="0"/>
        </w:rPr>
        <w:t>(CRPD/C/16/D/7/2012).</w:t>
      </w:r>
    </w:p>
  </w:footnote>
  <w:footnote w:id="110">
    <w:p w:rsidR="00EA25CC" w:rsidRPr="005944B6" w:rsidRDefault="00EA25CC" w:rsidP="001E3A2D">
      <w:pPr>
        <w:pStyle w:val="FootnoteText"/>
      </w:pPr>
      <w:r w:rsidRPr="005944B6">
        <w:rPr>
          <w:rStyle w:val="FootnoteReference"/>
          <w:rFonts w:cs="Arial"/>
          <w:szCs w:val="18"/>
        </w:rPr>
        <w:footnoteRef/>
      </w:r>
      <w:r w:rsidRPr="005944B6">
        <w:t xml:space="preserve"> </w:t>
      </w:r>
      <w:r w:rsidRPr="005944B6">
        <w:rPr>
          <w:i/>
          <w:iCs w:val="0"/>
          <w:lang w:val="es-ES"/>
        </w:rPr>
        <w:t>X. v. Tanzania</w:t>
      </w:r>
      <w:r w:rsidRPr="005944B6">
        <w:rPr>
          <w:iCs w:val="0"/>
          <w:lang w:val="es-ES"/>
        </w:rPr>
        <w:t xml:space="preserve"> (CRPD/C/18/D/22/2014).</w:t>
      </w:r>
    </w:p>
  </w:footnote>
  <w:footnote w:id="111">
    <w:p w:rsidR="00EA25CC" w:rsidRPr="005944B6" w:rsidRDefault="00EA25CC" w:rsidP="001E3A2D">
      <w:pPr>
        <w:pStyle w:val="FootnoteText"/>
      </w:pPr>
      <w:r w:rsidRPr="005944B6">
        <w:rPr>
          <w:rStyle w:val="FootnoteReference"/>
          <w:rFonts w:cs="Arial"/>
          <w:szCs w:val="18"/>
        </w:rPr>
        <w:footnoteRef/>
      </w:r>
      <w:r w:rsidRPr="005944B6">
        <w:t xml:space="preserve"> “Reasonable accommodation” means necessary and appropriate modification and adjustments not imposing a disproportionate or undue burden, where needed in a particular case, to ensure to persons with disabilities the enjoyment or exercise on an equal basis with others of all human rights and fundamental freedoms</w:t>
      </w:r>
      <w:r>
        <w:t>.</w:t>
      </w:r>
      <w:r w:rsidRPr="005944B6">
        <w:t xml:space="preserve"> </w:t>
      </w:r>
    </w:p>
  </w:footnote>
  <w:footnote w:id="112">
    <w:p w:rsidR="00EA25CC" w:rsidRPr="005944B6" w:rsidRDefault="00EA25CC" w:rsidP="001E3A2D">
      <w:pPr>
        <w:pStyle w:val="FootnoteText"/>
      </w:pPr>
      <w:r w:rsidRPr="005944B6">
        <w:rPr>
          <w:rStyle w:val="FootnoteReference"/>
          <w:rFonts w:cs="Arial"/>
          <w:szCs w:val="18"/>
        </w:rPr>
        <w:footnoteRef/>
      </w:r>
      <w:r w:rsidRPr="005944B6">
        <w:t xml:space="preserve"> See General Comment No. 2, paragraphs 25-26, and General Comment No. 6, paragraph 24. </w:t>
      </w:r>
    </w:p>
  </w:footnote>
  <w:footnote w:id="113">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25(d).</w:t>
      </w:r>
    </w:p>
  </w:footnote>
  <w:footnote w:id="114">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25(c). </w:t>
      </w:r>
    </w:p>
  </w:footnote>
  <w:footnote w:id="115">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25(c).</w:t>
      </w:r>
    </w:p>
  </w:footnote>
  <w:footnote w:id="116">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34. </w:t>
      </w:r>
    </w:p>
  </w:footnote>
  <w:footnote w:id="117">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25(b).</w:t>
      </w:r>
    </w:p>
  </w:footnote>
  <w:footnote w:id="118">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28.</w:t>
      </w:r>
    </w:p>
  </w:footnote>
  <w:footnote w:id="119">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30. </w:t>
      </w:r>
    </w:p>
  </w:footnote>
  <w:footnote w:id="120">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26. </w:t>
      </w:r>
    </w:p>
  </w:footnote>
  <w:footnote w:id="121">
    <w:p w:rsidR="00EA25CC" w:rsidRPr="005944B6" w:rsidRDefault="00EA25CC" w:rsidP="006605B8">
      <w:pPr>
        <w:pStyle w:val="FootnoteText"/>
      </w:pPr>
      <w:r w:rsidRPr="005944B6">
        <w:rPr>
          <w:rStyle w:val="FootnoteReference"/>
          <w:rFonts w:cs="Arial"/>
          <w:szCs w:val="18"/>
        </w:rPr>
        <w:footnoteRef/>
      </w:r>
      <w:r w:rsidRPr="005944B6">
        <w:t xml:space="preserve"> Accessibility is mentioned in the preamble of the Convention and in article 2 on definitions, article 3 on general principles, article 4 on general obligations, article 21 on freedom of expression and opinion, and access to information, article 24 on inclusive education, article 27 on work and employment, article 30 on participation in </w:t>
      </w:r>
      <w:r w:rsidRPr="006605B8">
        <w:t>cultural</w:t>
      </w:r>
      <w:r w:rsidRPr="005944B6">
        <w:t xml:space="preserve"> life, recreation, leisure and sport and article 31 on data collection.</w:t>
      </w:r>
    </w:p>
  </w:footnote>
  <w:footnote w:id="122">
    <w:p w:rsidR="00EA25CC" w:rsidRPr="005944B6" w:rsidRDefault="00EA25CC" w:rsidP="006605B8">
      <w:pPr>
        <w:pStyle w:val="FootnoteText"/>
      </w:pPr>
      <w:r w:rsidRPr="005944B6">
        <w:rPr>
          <w:rStyle w:val="FootnoteReference"/>
          <w:rFonts w:cs="Arial"/>
          <w:szCs w:val="18"/>
        </w:rPr>
        <w:footnoteRef/>
      </w:r>
      <w:r w:rsidRPr="005944B6">
        <w:t xml:space="preserve"> </w:t>
      </w:r>
      <w:r w:rsidRPr="005944B6">
        <w:rPr>
          <w:i/>
        </w:rPr>
        <w:t xml:space="preserve">Nyusti and Takács v. Hungary </w:t>
      </w:r>
      <w:r w:rsidRPr="005944B6">
        <w:t>(CRPD/C/9/D/1/2010)</w:t>
      </w:r>
      <w:r w:rsidRPr="00C4598B">
        <w:t>,</w:t>
      </w:r>
      <w:r w:rsidRPr="005944B6">
        <w:rPr>
          <w:i/>
        </w:rPr>
        <w:t xml:space="preserve"> X v. Argentina </w:t>
      </w:r>
      <w:r w:rsidRPr="005944B6">
        <w:t>(CRPD/C/11/D/8/2012)</w:t>
      </w:r>
      <w:r w:rsidRPr="00C4598B">
        <w:t>,</w:t>
      </w:r>
      <w:r w:rsidRPr="005944B6">
        <w:rPr>
          <w:i/>
        </w:rPr>
        <w:t xml:space="preserve"> F. v. Austria</w:t>
      </w:r>
      <w:r w:rsidRPr="005944B6">
        <w:t xml:space="preserve"> (CRPD/C/14/D/21/2014)</w:t>
      </w:r>
      <w:r w:rsidRPr="00C4598B">
        <w:t>,</w:t>
      </w:r>
      <w:r w:rsidRPr="005944B6">
        <w:rPr>
          <w:i/>
        </w:rPr>
        <w:t xml:space="preserve"> Beasley v. Australia</w:t>
      </w:r>
      <w:r w:rsidRPr="005944B6">
        <w:t xml:space="preserve"> (CRPD/C/15/D/11/2013), </w:t>
      </w:r>
      <w:r w:rsidRPr="005944B6">
        <w:rPr>
          <w:i/>
        </w:rPr>
        <w:t>Lockrey v. Australia</w:t>
      </w:r>
      <w:r w:rsidRPr="005944B6">
        <w:t xml:space="preserve"> (CRPD/C/15/D/13/2013), </w:t>
      </w:r>
      <w:r w:rsidRPr="005944B6">
        <w:rPr>
          <w:bCs/>
          <w:i/>
          <w:lang w:val="en-AU"/>
        </w:rPr>
        <w:t>Bacher v. Austria</w:t>
      </w:r>
      <w:r w:rsidRPr="005944B6">
        <w:rPr>
          <w:bCs/>
          <w:lang w:val="en-AU"/>
        </w:rPr>
        <w:t xml:space="preserve"> (CRPD/C/19/D/26/2014). </w:t>
      </w:r>
    </w:p>
  </w:footnote>
  <w:footnote w:id="123">
    <w:p w:rsidR="00EA25CC" w:rsidRPr="005944B6" w:rsidRDefault="00EA25CC" w:rsidP="006605B8">
      <w:pPr>
        <w:pStyle w:val="FootnoteText"/>
      </w:pPr>
      <w:r w:rsidRPr="005944B6">
        <w:rPr>
          <w:rStyle w:val="FootnoteReference"/>
          <w:rFonts w:cs="Arial"/>
          <w:szCs w:val="18"/>
        </w:rPr>
        <w:footnoteRef/>
      </w:r>
      <w:r w:rsidRPr="005944B6">
        <w:t xml:space="preserve"> General Comment No. 2, paragraph 13. </w:t>
      </w:r>
    </w:p>
  </w:footnote>
  <w:footnote w:id="124">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13.</w:t>
      </w:r>
    </w:p>
  </w:footnote>
  <w:footnote w:id="125">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14.</w:t>
      </w:r>
    </w:p>
  </w:footnote>
  <w:footnote w:id="126">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16. </w:t>
      </w:r>
    </w:p>
  </w:footnote>
  <w:footnote w:id="127">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15. </w:t>
      </w:r>
    </w:p>
  </w:footnote>
  <w:footnote w:id="128">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25. See also General Comment No. 4, paragraph 29. </w:t>
      </w:r>
    </w:p>
  </w:footnote>
  <w:footnote w:id="129">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24.</w:t>
      </w:r>
    </w:p>
  </w:footnote>
  <w:footnote w:id="130">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31.</w:t>
      </w:r>
    </w:p>
  </w:footnote>
  <w:footnote w:id="131">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32.</w:t>
      </w:r>
    </w:p>
  </w:footnote>
  <w:footnote w:id="132">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30.</w:t>
      </w:r>
    </w:p>
  </w:footnote>
  <w:footnote w:id="133">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33.</w:t>
      </w:r>
    </w:p>
  </w:footnote>
  <w:footnote w:id="134">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28.</w:t>
      </w:r>
    </w:p>
  </w:footnote>
  <w:footnote w:id="135">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5.</w:t>
      </w:r>
    </w:p>
  </w:footnote>
  <w:footnote w:id="136">
    <w:p w:rsidR="00EA25CC" w:rsidRPr="005944B6" w:rsidRDefault="00EA25CC" w:rsidP="001E3A2D">
      <w:pPr>
        <w:pStyle w:val="FootnoteText"/>
      </w:pPr>
      <w:r w:rsidRPr="005944B6">
        <w:rPr>
          <w:rStyle w:val="FootnoteReference"/>
          <w:rFonts w:cs="Arial"/>
          <w:szCs w:val="18"/>
        </w:rPr>
        <w:footnoteRef/>
      </w:r>
      <w:r>
        <w:t xml:space="preserve"> See for instance</w:t>
      </w:r>
      <w:r w:rsidRPr="005944B6">
        <w:t xml:space="preserve"> concluding observations on Ecuador </w:t>
      </w:r>
      <w:r w:rsidRPr="005944B6">
        <w:rPr>
          <w:lang w:val="es-ES"/>
        </w:rPr>
        <w:t xml:space="preserve">(CRPD/C/ECU/CO/1), paragraph 23; concluding observations on Cyprus (CRPD/C/CYP/CO/1), paragraph 25. </w:t>
      </w:r>
    </w:p>
  </w:footnote>
  <w:footnote w:id="137">
    <w:p w:rsidR="00EA25CC" w:rsidRPr="005944B6" w:rsidRDefault="00EA25CC" w:rsidP="001E3A2D">
      <w:pPr>
        <w:pStyle w:val="FootnoteText"/>
      </w:pPr>
      <w:r w:rsidRPr="005944B6">
        <w:rPr>
          <w:rStyle w:val="FootnoteReference"/>
          <w:rFonts w:cs="Arial"/>
          <w:szCs w:val="18"/>
        </w:rPr>
        <w:footnoteRef/>
      </w:r>
      <w:r w:rsidRPr="005944B6">
        <w:t xml:space="preserve"> See for instance concluding observations on Costa Rica (CRPD/C/CRI/CO/1), paragraph 62. </w:t>
      </w:r>
    </w:p>
  </w:footnote>
  <w:footnote w:id="138">
    <w:p w:rsidR="00EA25CC" w:rsidRPr="005944B6" w:rsidRDefault="00EA25CC" w:rsidP="001E3A2D">
      <w:pPr>
        <w:pStyle w:val="FootnoteText"/>
      </w:pPr>
      <w:r w:rsidRPr="005944B6">
        <w:rPr>
          <w:rStyle w:val="FootnoteReference"/>
          <w:rFonts w:cs="Arial"/>
          <w:szCs w:val="18"/>
        </w:rPr>
        <w:footnoteRef/>
      </w:r>
      <w:r w:rsidRPr="005944B6">
        <w:t xml:space="preserve"> See Working methods of the Committee on the Rights of Persons with Disabilities</w:t>
      </w:r>
      <w:r w:rsidRPr="005944B6">
        <w:rPr>
          <w:bCs/>
        </w:rPr>
        <w:t xml:space="preserve"> adopted at its fifth session (</w:t>
      </w:r>
      <w:r w:rsidRPr="005944B6">
        <w:t>11-15 April 2011) (CRPD/C/5/4)</w:t>
      </w:r>
      <w:r>
        <w:t>.</w:t>
      </w:r>
    </w:p>
  </w:footnote>
  <w:footnote w:id="139">
    <w:p w:rsidR="00EA25CC" w:rsidRPr="00375197" w:rsidRDefault="00EA25CC" w:rsidP="006605B8">
      <w:pPr>
        <w:pStyle w:val="FootnoteText"/>
        <w:rPr>
          <w:rFonts w:cs="Arial"/>
          <w:szCs w:val="18"/>
        </w:rPr>
      </w:pPr>
      <w:r>
        <w:rPr>
          <w:rStyle w:val="FootnoteReference"/>
        </w:rPr>
        <w:footnoteRef/>
      </w:r>
      <w:r w:rsidRPr="005944B6">
        <w:rPr>
          <w:rFonts w:cs="Arial"/>
          <w:szCs w:val="18"/>
        </w:rPr>
        <w:t xml:space="preserve">See: </w:t>
      </w:r>
      <w:hyperlink r:id="rId1" w:tooltip="web link to CRPD subdomain General Comments" w:history="1">
        <w:r w:rsidRPr="005944B6">
          <w:rPr>
            <w:rStyle w:val="Hyperlink"/>
            <w:rFonts w:cs="Arial"/>
            <w:szCs w:val="18"/>
          </w:rPr>
          <w:t>https://www.ohchr.org/EN/HRBodies/CRPD/Pages/GC.aspx</w:t>
        </w:r>
      </w:hyperlink>
      <w:r w:rsidRPr="005944B6">
        <w:rPr>
          <w:rFonts w:cs="Arial"/>
          <w:szCs w:val="18"/>
        </w:rPr>
        <w:t xml:space="preserve"> (</w:t>
      </w:r>
      <w:r>
        <w:rPr>
          <w:rFonts w:cs="Arial"/>
          <w:szCs w:val="18"/>
        </w:rPr>
        <w:t>see “all CRPD General Comments”).</w:t>
      </w:r>
    </w:p>
  </w:footnote>
  <w:footnote w:id="140">
    <w:p w:rsidR="00EA25CC" w:rsidRPr="005944B6" w:rsidRDefault="00EA25CC" w:rsidP="001E3A2D">
      <w:pPr>
        <w:pStyle w:val="FootnoteText"/>
      </w:pPr>
      <w:r w:rsidRPr="005944B6">
        <w:rPr>
          <w:rStyle w:val="FootnoteReference"/>
          <w:rFonts w:cs="Arial"/>
          <w:szCs w:val="18"/>
        </w:rPr>
        <w:footnoteRef/>
      </w:r>
      <w:r w:rsidRPr="005944B6">
        <w:t xml:space="preserve"> Convention on the Rights of Persons with Disabilities, Preamble (i). </w:t>
      </w:r>
    </w:p>
  </w:footnote>
  <w:footnote w:id="141">
    <w:p w:rsidR="00EA25CC" w:rsidRPr="005944B6" w:rsidRDefault="00EA25CC" w:rsidP="001E3A2D">
      <w:pPr>
        <w:pStyle w:val="FootnoteText"/>
      </w:pPr>
      <w:r w:rsidRPr="005944B6">
        <w:rPr>
          <w:rStyle w:val="FootnoteReference"/>
          <w:rFonts w:cs="Arial"/>
          <w:szCs w:val="18"/>
        </w:rPr>
        <w:footnoteRef/>
      </w:r>
      <w:r w:rsidRPr="005944B6">
        <w:t xml:space="preserve"> See for instance </w:t>
      </w:r>
      <w:r>
        <w:t>c</w:t>
      </w:r>
      <w:r w:rsidRPr="005944B6">
        <w:t xml:space="preserve">oncluding </w:t>
      </w:r>
      <w:r>
        <w:t>o</w:t>
      </w:r>
      <w:r w:rsidRPr="005944B6">
        <w:t xml:space="preserve">bservations on Nepal (CRPD/C/NPL/CO/1), paragraph 8. </w:t>
      </w:r>
    </w:p>
  </w:footnote>
  <w:footnote w:id="142">
    <w:p w:rsidR="00EA25CC" w:rsidRPr="005944B6" w:rsidRDefault="00EA25CC" w:rsidP="001E3A2D">
      <w:pPr>
        <w:pStyle w:val="FootnoteText"/>
      </w:pPr>
      <w:r w:rsidRPr="005944B6">
        <w:rPr>
          <w:rStyle w:val="FootnoteReference"/>
          <w:rFonts w:cs="Arial"/>
          <w:szCs w:val="18"/>
        </w:rPr>
        <w:footnoteRef/>
      </w:r>
      <w:r w:rsidRPr="005944B6">
        <w:t xml:space="preserve"> </w:t>
      </w:r>
      <w:r>
        <w:t>See for instance concluding o</w:t>
      </w:r>
      <w:r w:rsidRPr="005944B6">
        <w:t xml:space="preserve">bservations on Kenya (CRPD/C/KEN/CO/1), paragraph 44. </w:t>
      </w:r>
    </w:p>
  </w:footnote>
  <w:footnote w:id="143">
    <w:p w:rsidR="00EA25CC" w:rsidRPr="005944B6" w:rsidRDefault="00EA25CC" w:rsidP="006605B8">
      <w:pPr>
        <w:pStyle w:val="FootnoteText"/>
      </w:pPr>
      <w:r w:rsidRPr="005944B6">
        <w:rPr>
          <w:rStyle w:val="FootnoteReference"/>
          <w:rFonts w:cs="Arial"/>
          <w:szCs w:val="18"/>
        </w:rPr>
        <w:footnoteRef/>
      </w:r>
      <w:r w:rsidRPr="005944B6">
        <w:t xml:space="preserve"> See for instance </w:t>
      </w:r>
      <w:r>
        <w:t xml:space="preserve">General </w:t>
      </w:r>
      <w:r w:rsidRPr="005944B6">
        <w:t>Comment No</w:t>
      </w:r>
      <w:r>
        <w:t>.</w:t>
      </w:r>
      <w:r w:rsidRPr="005944B6">
        <w:t xml:space="preserve"> 2, paragraph 6; </w:t>
      </w:r>
      <w:r>
        <w:t>c</w:t>
      </w:r>
      <w:r w:rsidRPr="005944B6">
        <w:t xml:space="preserve">oncluding observations on Argentina (CRPD/C/ARG/CO/1), Uganda (CRPD/C/UGA/CO/1) or Belgium (CRPD/C/BEL/CO/1). </w:t>
      </w:r>
    </w:p>
  </w:footnote>
  <w:footnote w:id="144">
    <w:p w:rsidR="00EA25CC" w:rsidRPr="005944B6" w:rsidRDefault="00EA25CC" w:rsidP="006605B8">
      <w:pPr>
        <w:pStyle w:val="FootnoteText"/>
      </w:pPr>
      <w:r w:rsidRPr="005944B6">
        <w:rPr>
          <w:rStyle w:val="FootnoteReference"/>
          <w:rFonts w:cs="Arial"/>
          <w:szCs w:val="18"/>
        </w:rPr>
        <w:footnoteRef/>
      </w:r>
      <w:r w:rsidRPr="005944B6">
        <w:t xml:space="preserve"> </w:t>
      </w:r>
      <w:r w:rsidRPr="005944B6">
        <w:rPr>
          <w:i/>
        </w:rPr>
        <w:t>Lockrey v. Australia</w:t>
      </w:r>
      <w:r w:rsidRPr="005944B6">
        <w:t xml:space="preserve"> (CRPD/C/15/D/13/2013)</w:t>
      </w:r>
      <w:r>
        <w:t>,</w:t>
      </w:r>
      <w:r w:rsidRPr="005944B6">
        <w:t xml:space="preserve"> </w:t>
      </w:r>
      <w:r w:rsidRPr="005944B6">
        <w:rPr>
          <w:i/>
        </w:rPr>
        <w:t>Beasley v. Australia</w:t>
      </w:r>
      <w:r w:rsidRPr="005944B6">
        <w:t xml:space="preserve"> (CRPD/C/15/D/11/2013).</w:t>
      </w:r>
    </w:p>
  </w:footnote>
  <w:footnote w:id="145">
    <w:p w:rsidR="00EA25CC" w:rsidRPr="005944B6" w:rsidRDefault="00EA25CC" w:rsidP="006605B8">
      <w:pPr>
        <w:pStyle w:val="FootnoteText"/>
      </w:pPr>
      <w:r w:rsidRPr="005944B6">
        <w:rPr>
          <w:rStyle w:val="FootnoteReference"/>
          <w:rFonts w:cs="Arial"/>
          <w:szCs w:val="18"/>
        </w:rPr>
        <w:footnoteRef/>
      </w:r>
      <w:r w:rsidRPr="005944B6">
        <w:t xml:space="preserve"> </w:t>
      </w:r>
      <w:r w:rsidRPr="005944B6">
        <w:rPr>
          <w:i/>
        </w:rPr>
        <w:t>Nyusti</w:t>
      </w:r>
      <w:r w:rsidRPr="00863A89">
        <w:rPr>
          <w:i/>
          <w:sz w:val="2"/>
        </w:rPr>
        <w:t xml:space="preserve"> </w:t>
      </w:r>
      <w:r w:rsidRPr="005944B6">
        <w:rPr>
          <w:i/>
        </w:rPr>
        <w:t>and</w:t>
      </w:r>
      <w:r w:rsidRPr="00863A89">
        <w:rPr>
          <w:i/>
          <w:sz w:val="4"/>
        </w:rPr>
        <w:t xml:space="preserve"> </w:t>
      </w:r>
      <w:r w:rsidRPr="005944B6">
        <w:rPr>
          <w:i/>
        </w:rPr>
        <w:t>Takács</w:t>
      </w:r>
      <w:r w:rsidRPr="00863A89">
        <w:rPr>
          <w:i/>
          <w:sz w:val="8"/>
        </w:rPr>
        <w:t xml:space="preserve"> </w:t>
      </w:r>
      <w:r w:rsidRPr="005944B6">
        <w:rPr>
          <w:i/>
        </w:rPr>
        <w:t>v.</w:t>
      </w:r>
      <w:r w:rsidRPr="00863A89">
        <w:rPr>
          <w:i/>
          <w:sz w:val="14"/>
        </w:rPr>
        <w:t xml:space="preserve"> </w:t>
      </w:r>
      <w:r w:rsidRPr="005944B6">
        <w:rPr>
          <w:i/>
        </w:rPr>
        <w:t>Hungary</w:t>
      </w:r>
      <w:r w:rsidRPr="005944B6">
        <w:t xml:space="preserve"> (CRPD/C/9/D/1/2010)</w:t>
      </w:r>
      <w:r>
        <w:t>,</w:t>
      </w:r>
      <w:r w:rsidRPr="005944B6">
        <w:t xml:space="preserve"> </w:t>
      </w:r>
      <w:r w:rsidRPr="005944B6">
        <w:rPr>
          <w:i/>
        </w:rPr>
        <w:t xml:space="preserve">Jungelin </w:t>
      </w:r>
      <w:r w:rsidRPr="005944B6">
        <w:t>v.</w:t>
      </w:r>
      <w:r w:rsidRPr="005944B6">
        <w:rPr>
          <w:i/>
        </w:rPr>
        <w:t xml:space="preserve"> Sweden</w:t>
      </w:r>
      <w:r w:rsidRPr="005944B6">
        <w:t xml:space="preserve"> (CRPD/C/12/D/5/2011)</w:t>
      </w:r>
      <w:r>
        <w:t>,</w:t>
      </w:r>
      <w:r w:rsidRPr="005944B6">
        <w:t xml:space="preserve"> </w:t>
      </w:r>
      <w:r w:rsidRPr="005944B6">
        <w:rPr>
          <w:i/>
        </w:rPr>
        <w:t>F. v. Austria</w:t>
      </w:r>
      <w:r w:rsidRPr="005944B6">
        <w:t xml:space="preserve"> (CRPD/C/14/D/21/2014).</w:t>
      </w:r>
    </w:p>
  </w:footnote>
  <w:footnote w:id="146">
    <w:p w:rsidR="00EA25CC" w:rsidRPr="005944B6" w:rsidRDefault="00EA25CC" w:rsidP="006605B8">
      <w:pPr>
        <w:pStyle w:val="FootnoteText"/>
        <w:rPr>
          <w:i/>
        </w:rPr>
      </w:pPr>
      <w:r w:rsidRPr="005944B6">
        <w:rPr>
          <w:rStyle w:val="FootnoteReference"/>
          <w:rFonts w:cs="Arial"/>
          <w:szCs w:val="18"/>
        </w:rPr>
        <w:footnoteRef/>
      </w:r>
      <w:r w:rsidRPr="005944B6">
        <w:t xml:space="preserve"> </w:t>
      </w:r>
      <w:r w:rsidRPr="005944B6">
        <w:rPr>
          <w:i/>
        </w:rPr>
        <w:t xml:space="preserve">Bujdosó et al. v. Hungary </w:t>
      </w:r>
      <w:r>
        <w:t>(CRPD/C/9/D/1/2010),</w:t>
      </w:r>
      <w:r w:rsidRPr="005944B6">
        <w:t xml:space="preserve"> </w:t>
      </w:r>
      <w:r w:rsidRPr="005944B6">
        <w:rPr>
          <w:i/>
        </w:rPr>
        <w:t xml:space="preserve">Noble v. Australia </w:t>
      </w:r>
      <w:r w:rsidRPr="005944B6">
        <w:t>(indigenous person with intellectual disability) (CRPD/C/16/D/7/2012)</w:t>
      </w:r>
      <w:r>
        <w:t>,</w:t>
      </w:r>
      <w:r w:rsidRPr="005944B6">
        <w:t xml:space="preserve"> </w:t>
      </w:r>
      <w:r w:rsidRPr="005944B6">
        <w:rPr>
          <w:bCs/>
          <w:i/>
          <w:lang w:val="en-AU"/>
        </w:rPr>
        <w:t>Bacher v. Austria</w:t>
      </w:r>
      <w:r w:rsidRPr="005944B6">
        <w:rPr>
          <w:bCs/>
          <w:lang w:val="en-AU"/>
        </w:rPr>
        <w:t xml:space="preserve"> (down syndrome and autism) (CRPD/C/19/D/26/2014).</w:t>
      </w:r>
    </w:p>
  </w:footnote>
  <w:footnote w:id="147">
    <w:p w:rsidR="00EA25CC" w:rsidRPr="005944B6" w:rsidRDefault="00EA25CC" w:rsidP="006605B8">
      <w:pPr>
        <w:pStyle w:val="FootnoteText"/>
        <w:rPr>
          <w:b/>
          <w:bCs/>
        </w:rPr>
      </w:pPr>
      <w:r w:rsidRPr="005944B6">
        <w:rPr>
          <w:rStyle w:val="FootnoteReference"/>
          <w:rFonts w:cs="Arial"/>
          <w:szCs w:val="18"/>
        </w:rPr>
        <w:footnoteRef/>
      </w:r>
      <w:r w:rsidRPr="005944B6">
        <w:t xml:space="preserve"> </w:t>
      </w:r>
      <w:r w:rsidRPr="005944B6">
        <w:rPr>
          <w:i/>
        </w:rPr>
        <w:t>A.F. v. Italy</w:t>
      </w:r>
      <w:r w:rsidRPr="005944B6">
        <w:t xml:space="preserve"> (CRPD/C/13/D/9/2012)</w:t>
      </w:r>
      <w:r>
        <w:t>,</w:t>
      </w:r>
      <w:r w:rsidRPr="005944B6">
        <w:t xml:space="preserve"> </w:t>
      </w:r>
      <w:r w:rsidRPr="005944B6">
        <w:rPr>
          <w:i/>
        </w:rPr>
        <w:t>Fiona Given v. Australia</w:t>
      </w:r>
      <w:r w:rsidRPr="005944B6">
        <w:t xml:space="preserve"> (CRPD/C/19/D/19/2014)</w:t>
      </w:r>
      <w:r>
        <w:t>,</w:t>
      </w:r>
      <w:r w:rsidRPr="005944B6">
        <w:t xml:space="preserve"> </w:t>
      </w:r>
      <w:r w:rsidRPr="005944B6">
        <w:rPr>
          <w:bCs/>
          <w:i/>
          <w:lang w:val="en-AU"/>
        </w:rPr>
        <w:t xml:space="preserve">Bacher v. Austria </w:t>
      </w:r>
      <w:r w:rsidRPr="005944B6">
        <w:rPr>
          <w:bCs/>
          <w:lang w:val="en-AU"/>
        </w:rPr>
        <w:t>(CRPD/C/19/D/26/2014)</w:t>
      </w:r>
      <w:r>
        <w:rPr>
          <w:bCs/>
          <w:lang w:val="en-AU"/>
        </w:rPr>
        <w:t>,</w:t>
      </w:r>
      <w:r w:rsidRPr="005944B6">
        <w:t xml:space="preserve"> </w:t>
      </w:r>
      <w:r w:rsidRPr="005944B6">
        <w:rPr>
          <w:bCs/>
          <w:i/>
        </w:rPr>
        <w:t>Makarov v. Lithuania</w:t>
      </w:r>
      <w:r w:rsidRPr="005944B6">
        <w:rPr>
          <w:bCs/>
        </w:rPr>
        <w:t xml:space="preserve"> (CRPD/C/18/D/30/2015).</w:t>
      </w:r>
    </w:p>
  </w:footnote>
  <w:footnote w:id="148">
    <w:p w:rsidR="00EA25CC" w:rsidRPr="00372E27" w:rsidRDefault="00EA25CC" w:rsidP="006605B8">
      <w:pPr>
        <w:pStyle w:val="FootnoteText"/>
        <w:rPr>
          <w:lang w:val="fr-FR"/>
        </w:rPr>
      </w:pPr>
      <w:r w:rsidRPr="005944B6">
        <w:rPr>
          <w:rStyle w:val="FootnoteReference"/>
          <w:rFonts w:cs="Arial"/>
          <w:szCs w:val="18"/>
        </w:rPr>
        <w:footnoteRef/>
      </w:r>
      <w:r w:rsidRPr="00375197">
        <w:rPr>
          <w:lang w:val="fr-FR"/>
        </w:rPr>
        <w:t xml:space="preserve"> </w:t>
      </w:r>
      <w:r w:rsidRPr="00372E27">
        <w:rPr>
          <w:i/>
          <w:lang w:val="fr-FR"/>
        </w:rPr>
        <w:t>X. v. Tanzania</w:t>
      </w:r>
      <w:r w:rsidRPr="00372E27">
        <w:rPr>
          <w:lang w:val="fr-FR"/>
        </w:rPr>
        <w:t xml:space="preserve"> (CRPD/C/18/D/22/2014). </w:t>
      </w:r>
    </w:p>
  </w:footnote>
  <w:footnote w:id="149">
    <w:p w:rsidR="00EA25CC" w:rsidRPr="005944B6" w:rsidRDefault="00EA25CC" w:rsidP="006605B8">
      <w:pPr>
        <w:pStyle w:val="FootnoteText"/>
      </w:pPr>
      <w:r w:rsidRPr="005944B6">
        <w:rPr>
          <w:rStyle w:val="FootnoteReference"/>
          <w:rFonts w:cs="Arial"/>
          <w:szCs w:val="18"/>
        </w:rPr>
        <w:footnoteRef/>
      </w:r>
      <w:r w:rsidRPr="005944B6">
        <w:rPr>
          <w:i/>
        </w:rPr>
        <w:t xml:space="preserve"> X v. Argentina</w:t>
      </w:r>
      <w:r w:rsidRPr="005944B6">
        <w:t xml:space="preserve"> (cognitive disorder, partial loss of vision and mobility problems) (CRPD/C/11/</w:t>
      </w:r>
      <w:r>
        <w:t xml:space="preserve"> </w:t>
      </w:r>
      <w:r w:rsidRPr="005944B6">
        <w:t xml:space="preserve">D/8/2012). </w:t>
      </w:r>
    </w:p>
  </w:footnote>
  <w:footnote w:id="150">
    <w:p w:rsidR="00EA25CC" w:rsidRPr="00372E27" w:rsidRDefault="00EA25CC" w:rsidP="006605B8">
      <w:pPr>
        <w:pStyle w:val="FootnoteText"/>
        <w:rPr>
          <w:lang w:val="de-DE"/>
        </w:rPr>
      </w:pPr>
      <w:r w:rsidRPr="005944B6">
        <w:rPr>
          <w:rStyle w:val="FootnoteReference"/>
          <w:rFonts w:cs="Arial"/>
          <w:szCs w:val="18"/>
        </w:rPr>
        <w:footnoteRef/>
      </w:r>
      <w:r w:rsidRPr="00372E27">
        <w:rPr>
          <w:lang w:val="de-DE"/>
        </w:rPr>
        <w:t xml:space="preserve"> </w:t>
      </w:r>
      <w:r w:rsidRPr="00372E27">
        <w:rPr>
          <w:i/>
          <w:lang w:val="de-DE"/>
        </w:rPr>
        <w:t>H.M vs. Sweden</w:t>
      </w:r>
      <w:r w:rsidRPr="00372E27">
        <w:rPr>
          <w:lang w:val="de-DE"/>
        </w:rPr>
        <w:t xml:space="preserve"> (CRPD/C/7/D/3/2011).</w:t>
      </w:r>
    </w:p>
  </w:footnote>
  <w:footnote w:id="151">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paragraphs 6 and 35.</w:t>
      </w:r>
    </w:p>
  </w:footnote>
  <w:footnote w:id="152">
    <w:p w:rsidR="00EA25CC" w:rsidRPr="005944B6" w:rsidRDefault="00EA25CC" w:rsidP="001E3A2D">
      <w:pPr>
        <w:pStyle w:val="FootnoteText"/>
      </w:pPr>
      <w:r w:rsidRPr="005944B6">
        <w:rPr>
          <w:rStyle w:val="FootnoteReference"/>
          <w:rFonts w:cs="Arial"/>
          <w:szCs w:val="18"/>
        </w:rPr>
        <w:footnoteRef/>
      </w:r>
      <w:r w:rsidRPr="005944B6">
        <w:t xml:space="preserve"> See </w:t>
      </w:r>
      <w:r>
        <w:t>c</w:t>
      </w:r>
      <w:r w:rsidRPr="005944B6">
        <w:t xml:space="preserve">oncluding observations on New Zealand (CRPD/C/NZL/CO/1), paragraph 7. </w:t>
      </w:r>
    </w:p>
  </w:footnote>
  <w:footnote w:id="153">
    <w:p w:rsidR="00EA25CC" w:rsidRPr="005944B6" w:rsidRDefault="00EA25CC" w:rsidP="001E3A2D">
      <w:pPr>
        <w:pStyle w:val="FootnoteText"/>
      </w:pPr>
      <w:r w:rsidRPr="005944B6">
        <w:rPr>
          <w:rStyle w:val="FootnoteReference"/>
          <w:rFonts w:cs="Arial"/>
          <w:szCs w:val="18"/>
        </w:rPr>
        <w:footnoteRef/>
      </w:r>
      <w:r w:rsidRPr="005944B6">
        <w:t xml:space="preserve"> General Comment No</w:t>
      </w:r>
      <w:r>
        <w:t>.</w:t>
      </w:r>
      <w:r w:rsidRPr="005944B6">
        <w:t xml:space="preserve"> 2, paragraphs 5 and 30.</w:t>
      </w:r>
    </w:p>
  </w:footnote>
  <w:footnote w:id="154">
    <w:p w:rsidR="00EA25CC" w:rsidRPr="005944B6" w:rsidRDefault="00EA25CC" w:rsidP="001E3A2D">
      <w:pPr>
        <w:pStyle w:val="FootnoteText"/>
      </w:pPr>
      <w:r w:rsidRPr="005944B6">
        <w:rPr>
          <w:rStyle w:val="FootnoteReference"/>
          <w:rFonts w:cs="Arial"/>
          <w:szCs w:val="18"/>
        </w:rPr>
        <w:footnoteRef/>
      </w:r>
      <w:r>
        <w:t xml:space="preserve"> See c</w:t>
      </w:r>
      <w:r w:rsidRPr="005944B6">
        <w:t xml:space="preserve">oncluding observations on Uganda (CRPD/C/UGA/CO/1), paragraphs 8, 15 and 51. </w:t>
      </w:r>
    </w:p>
  </w:footnote>
  <w:footnote w:id="155">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Slovakia (CRPD/C/SVK/CO/1), paragraph 60.</w:t>
      </w:r>
    </w:p>
  </w:footnote>
  <w:footnote w:id="156">
    <w:p w:rsidR="00EA25CC" w:rsidRPr="005944B6" w:rsidRDefault="00EA25CC" w:rsidP="001E3A2D">
      <w:pPr>
        <w:pStyle w:val="FootnoteText"/>
      </w:pPr>
      <w:r w:rsidRPr="005944B6">
        <w:rPr>
          <w:rStyle w:val="FootnoteReference"/>
          <w:rFonts w:cs="Arial"/>
          <w:szCs w:val="18"/>
        </w:rPr>
        <w:footnoteRef/>
      </w:r>
      <w:r w:rsidRPr="005944B6">
        <w:t xml:space="preserve"> See </w:t>
      </w:r>
      <w:r>
        <w:t>c</w:t>
      </w:r>
      <w:r w:rsidRPr="005944B6">
        <w:t xml:space="preserve">oncluding observations on Brazil (CRPD/C/BRA/CO/1), paragraph 54. </w:t>
      </w:r>
    </w:p>
  </w:footnote>
  <w:footnote w:id="157">
    <w:p w:rsidR="00EA25CC" w:rsidRPr="005944B6" w:rsidRDefault="00EA25CC" w:rsidP="001E3A2D">
      <w:pPr>
        <w:pStyle w:val="FootnoteText"/>
      </w:pPr>
      <w:r w:rsidRPr="005944B6">
        <w:rPr>
          <w:rStyle w:val="FootnoteReference"/>
          <w:rFonts w:cs="Arial"/>
          <w:szCs w:val="18"/>
        </w:rPr>
        <w:footnoteRef/>
      </w:r>
      <w:r w:rsidRPr="005944B6">
        <w:t xml:space="preserve"> See for instance </w:t>
      </w:r>
      <w:r>
        <w:t>c</w:t>
      </w:r>
      <w:r w:rsidRPr="005944B6">
        <w:t>oncluding observations on El Salvador (CRPD/C/SLV/CO/1), paragraph 11 and concluding observations on Oman (CRPD/C/OMN/CO/1), paragraph 48.</w:t>
      </w:r>
    </w:p>
  </w:footnote>
  <w:footnote w:id="158">
    <w:p w:rsidR="00EA25CC" w:rsidRPr="005944B6" w:rsidRDefault="00EA25CC" w:rsidP="001E3A2D">
      <w:pPr>
        <w:pStyle w:val="FootnoteText"/>
      </w:pPr>
      <w:r w:rsidRPr="005944B6">
        <w:rPr>
          <w:rStyle w:val="FootnoteReference"/>
          <w:rFonts w:cs="Arial"/>
          <w:szCs w:val="18"/>
        </w:rPr>
        <w:footnoteRef/>
      </w:r>
      <w:r w:rsidRPr="005944B6">
        <w:t xml:space="preserve"> See General Comment No. 2, paragraph 6; </w:t>
      </w:r>
      <w:r>
        <w:t>c</w:t>
      </w:r>
      <w:r w:rsidRPr="005944B6">
        <w:t>oncluding observations on Turkmenistan (CRPD/C/</w:t>
      </w:r>
      <w:r>
        <w:t xml:space="preserve"> </w:t>
      </w:r>
      <w:r w:rsidRPr="005944B6">
        <w:t>TKM/CO/1), paragraph 24 and concluding observations on Ukraine (CRPD/C/UKR/CO/1), paragraph 22.</w:t>
      </w:r>
    </w:p>
  </w:footnote>
  <w:footnote w:id="159">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the United Kingdom (CRPD/C/GBR/CO/1), paragraphs 23 and 55.</w:t>
      </w:r>
    </w:p>
  </w:footnote>
  <w:footnote w:id="160">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China (CRPD/C/CHN/CO/1), paragraphs 31 and 32.</w:t>
      </w:r>
      <w:r>
        <w:t xml:space="preserve"> </w:t>
      </w:r>
      <w:r w:rsidRPr="005944B6">
        <w:t xml:space="preserve"> </w:t>
      </w:r>
    </w:p>
  </w:footnote>
  <w:footnote w:id="161">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Canada (CRPD/C/CAN/CO/1), paragraph 12. </w:t>
      </w:r>
    </w:p>
  </w:footnote>
  <w:footnote w:id="162">
    <w:p w:rsidR="00EA25CC" w:rsidRPr="005944B6" w:rsidRDefault="00EA25CC" w:rsidP="001E3A2D">
      <w:pPr>
        <w:pStyle w:val="FootnoteText"/>
      </w:pPr>
      <w:r w:rsidRPr="005944B6">
        <w:rPr>
          <w:rStyle w:val="FootnoteReference"/>
          <w:rFonts w:cs="Arial"/>
          <w:szCs w:val="18"/>
        </w:rPr>
        <w:footnoteRef/>
      </w:r>
      <w:r w:rsidRPr="005944B6">
        <w:t xml:space="preserve"> General Comment No. 6 (CRPD/C/GC/6), paragraph 9. </w:t>
      </w:r>
    </w:p>
  </w:footnote>
  <w:footnote w:id="163">
    <w:p w:rsidR="00EA25CC" w:rsidRPr="005944B6" w:rsidRDefault="00EA25CC" w:rsidP="001E3A2D">
      <w:pPr>
        <w:pStyle w:val="FootnoteText"/>
      </w:pPr>
      <w:r w:rsidRPr="005944B6">
        <w:rPr>
          <w:rStyle w:val="FootnoteReference"/>
          <w:rFonts w:cs="Arial"/>
          <w:szCs w:val="18"/>
        </w:rPr>
        <w:footnoteRef/>
      </w:r>
      <w:r w:rsidRPr="005944B6">
        <w:t xml:space="preserve"> General Comment No. 6 (CRPD/C/GC/6), paragraph 34.</w:t>
      </w:r>
    </w:p>
  </w:footnote>
  <w:footnote w:id="164">
    <w:p w:rsidR="00EA25CC" w:rsidRPr="005944B6" w:rsidRDefault="00EA25CC" w:rsidP="001E3A2D">
      <w:pPr>
        <w:pStyle w:val="FootnoteText"/>
      </w:pPr>
      <w:r w:rsidRPr="005944B6">
        <w:rPr>
          <w:rStyle w:val="FootnoteReference"/>
          <w:rFonts w:cs="Arial"/>
          <w:szCs w:val="18"/>
        </w:rPr>
        <w:footnoteRef/>
      </w:r>
      <w:r w:rsidRPr="005944B6">
        <w:t xml:space="preserve"> Understood in a wide sense, see General Comment No. 3, paragraph 5. </w:t>
      </w:r>
    </w:p>
  </w:footnote>
  <w:footnote w:id="165">
    <w:p w:rsidR="00EA25CC" w:rsidRPr="005944B6" w:rsidRDefault="00EA25CC" w:rsidP="001E3A2D">
      <w:pPr>
        <w:pStyle w:val="FootnoteText"/>
      </w:pPr>
      <w:r w:rsidRPr="005944B6">
        <w:rPr>
          <w:rStyle w:val="FootnoteReference"/>
          <w:rFonts w:cs="Arial"/>
          <w:szCs w:val="18"/>
        </w:rPr>
        <w:footnoteRef/>
      </w:r>
      <w:r w:rsidRPr="005944B6">
        <w:t xml:space="preserve"> See Concluding observations on Hungary (CRPD/C/HUN/CO/1), paragraph 42 and concluding observations on Serbia (CRPD/C/SRB/CO/1), paragraph 59. </w:t>
      </w:r>
    </w:p>
  </w:footnote>
  <w:footnote w:id="166">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Cyprus (CRPD/C/CYP/CO/1), paragraph 16. </w:t>
      </w:r>
    </w:p>
  </w:footnote>
  <w:footnote w:id="167">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Colombia (CRPD/C/COL/CO/1), paragraph 57.</w:t>
      </w:r>
    </w:p>
  </w:footnote>
  <w:footnote w:id="168">
    <w:p w:rsidR="00EA25CC" w:rsidRPr="005944B6" w:rsidRDefault="00EA25CC" w:rsidP="001E3A2D">
      <w:pPr>
        <w:pStyle w:val="FootnoteText"/>
      </w:pPr>
      <w:r w:rsidRPr="005944B6">
        <w:rPr>
          <w:rStyle w:val="FootnoteReference"/>
          <w:rFonts w:cs="Arial"/>
          <w:szCs w:val="18"/>
        </w:rPr>
        <w:footnoteRef/>
      </w:r>
      <w:r w:rsidRPr="005944B6">
        <w:t xml:space="preserve"> General Comment </w:t>
      </w:r>
      <w:r>
        <w:t xml:space="preserve">No. </w:t>
      </w:r>
      <w:r w:rsidRPr="005944B6">
        <w:t xml:space="preserve">5, paragraph 23. </w:t>
      </w:r>
    </w:p>
  </w:footnote>
  <w:footnote w:id="169">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Canada (CRPD/C/CAN/CO/1), paragraph 20. </w:t>
      </w:r>
    </w:p>
  </w:footnote>
  <w:footnote w:id="170">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Brazil (CRPD/C/BRA/CO/1), paragraph 13.</w:t>
      </w:r>
    </w:p>
  </w:footnote>
  <w:footnote w:id="171">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Australia (CRPD/C/AUS/CO/1), paragraph 12. </w:t>
      </w:r>
    </w:p>
  </w:footnote>
  <w:footnote w:id="172">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Ecuador (CRPD/C/ECU/CO/1), paragraph 53.</w:t>
      </w:r>
    </w:p>
  </w:footnote>
  <w:footnote w:id="173">
    <w:p w:rsidR="00EA25CC" w:rsidRPr="005944B6" w:rsidRDefault="00EA25CC" w:rsidP="001E3A2D">
      <w:pPr>
        <w:pStyle w:val="FootnoteText"/>
      </w:pPr>
      <w:r w:rsidRPr="005944B6">
        <w:rPr>
          <w:rStyle w:val="FootnoteReference"/>
          <w:rFonts w:cs="Arial"/>
          <w:szCs w:val="18"/>
        </w:rPr>
        <w:footnoteRef/>
      </w:r>
      <w:r w:rsidRPr="005944B6">
        <w:t xml:space="preserve"> General Comment No. </w:t>
      </w:r>
      <w:r w:rsidRPr="005944B6">
        <w:rPr>
          <w:color w:val="000000"/>
        </w:rPr>
        <w:t>2, paragraph 29.</w:t>
      </w:r>
    </w:p>
  </w:footnote>
  <w:footnote w:id="174">
    <w:p w:rsidR="00EA25CC" w:rsidRPr="005944B6" w:rsidRDefault="00EA25CC" w:rsidP="001E3A2D">
      <w:pPr>
        <w:pStyle w:val="FootnoteText"/>
      </w:pPr>
      <w:r w:rsidRPr="005944B6">
        <w:rPr>
          <w:rStyle w:val="FootnoteReference"/>
          <w:rFonts w:cs="Arial"/>
          <w:szCs w:val="18"/>
        </w:rPr>
        <w:footnoteRef/>
      </w:r>
      <w:r w:rsidRPr="005944B6">
        <w:t xml:space="preserve"> General Comment No. </w:t>
      </w:r>
      <w:r w:rsidRPr="005944B6">
        <w:rPr>
          <w:color w:val="000000"/>
        </w:rPr>
        <w:t xml:space="preserve">1, paragraph 35. </w:t>
      </w:r>
    </w:p>
  </w:footnote>
  <w:footnote w:id="175">
    <w:p w:rsidR="00EA25CC" w:rsidRPr="005944B6" w:rsidRDefault="00EA25CC" w:rsidP="001E3A2D">
      <w:pPr>
        <w:pStyle w:val="FootnoteText"/>
      </w:pPr>
      <w:r w:rsidRPr="005944B6">
        <w:rPr>
          <w:rStyle w:val="FootnoteReference"/>
          <w:rFonts w:cs="Arial"/>
          <w:szCs w:val="18"/>
        </w:rPr>
        <w:footnoteRef/>
      </w:r>
      <w:r w:rsidRPr="005944B6">
        <w:t xml:space="preserve"> General Comment No</w:t>
      </w:r>
      <w:r>
        <w:t>.</w:t>
      </w:r>
      <w:r w:rsidRPr="005944B6">
        <w:t xml:space="preserve"> 3, paragraph 2. </w:t>
      </w:r>
    </w:p>
  </w:footnote>
  <w:footnote w:id="176">
    <w:p w:rsidR="00EA25CC" w:rsidRPr="005944B6" w:rsidRDefault="00EA25CC" w:rsidP="001E3A2D">
      <w:pPr>
        <w:pStyle w:val="FootnoteText"/>
      </w:pPr>
      <w:r w:rsidRPr="005944B6">
        <w:rPr>
          <w:rStyle w:val="FootnoteReference"/>
          <w:rFonts w:cs="Arial"/>
          <w:szCs w:val="18"/>
        </w:rPr>
        <w:footnoteRef/>
      </w:r>
      <w:r w:rsidRPr="005944B6">
        <w:t xml:space="preserve"> General Comment No.</w:t>
      </w:r>
      <w:r w:rsidRPr="005944B6">
        <w:rPr>
          <w:color w:val="000000"/>
        </w:rPr>
        <w:t xml:space="preserve"> 5, </w:t>
      </w:r>
      <w:r w:rsidRPr="005944B6">
        <w:t>paragraph</w:t>
      </w:r>
      <w:r w:rsidRPr="005944B6">
        <w:rPr>
          <w:color w:val="000000"/>
        </w:rPr>
        <w:t xml:space="preserve"> 72.</w:t>
      </w:r>
    </w:p>
  </w:footnote>
  <w:footnote w:id="177">
    <w:p w:rsidR="00EA25CC" w:rsidRPr="005944B6" w:rsidRDefault="00EA25CC" w:rsidP="001E3A2D">
      <w:pPr>
        <w:pStyle w:val="FootnoteText"/>
      </w:pPr>
      <w:r w:rsidRPr="005944B6">
        <w:rPr>
          <w:rStyle w:val="FootnoteReference"/>
          <w:rFonts w:cs="Arial"/>
          <w:szCs w:val="18"/>
        </w:rPr>
        <w:footnoteRef/>
      </w:r>
      <w:r w:rsidRPr="005944B6">
        <w:t xml:space="preserve"> General Comment No.</w:t>
      </w:r>
      <w:r w:rsidRPr="005944B6">
        <w:rPr>
          <w:color w:val="000000"/>
        </w:rPr>
        <w:t xml:space="preserve"> 5, </w:t>
      </w:r>
      <w:r w:rsidRPr="005944B6">
        <w:t>paragraph</w:t>
      </w:r>
      <w:r w:rsidRPr="005944B6">
        <w:rPr>
          <w:color w:val="000000"/>
        </w:rPr>
        <w:t xml:space="preserve"> 74.</w:t>
      </w:r>
    </w:p>
  </w:footnote>
  <w:footnote w:id="178">
    <w:p w:rsidR="00EA25CC" w:rsidRPr="005944B6" w:rsidRDefault="00EA25CC" w:rsidP="001E3A2D">
      <w:pPr>
        <w:pStyle w:val="FootnoteText"/>
      </w:pPr>
      <w:r w:rsidRPr="005944B6">
        <w:rPr>
          <w:rStyle w:val="FootnoteReference"/>
          <w:rFonts w:cs="Arial"/>
          <w:szCs w:val="18"/>
        </w:rPr>
        <w:footnoteRef/>
      </w:r>
      <w:r w:rsidRPr="005944B6">
        <w:t xml:space="preserve"> General Comment No.</w:t>
      </w:r>
      <w:r w:rsidRPr="005944B6">
        <w:rPr>
          <w:color w:val="000000"/>
        </w:rPr>
        <w:t xml:space="preserve"> 5, </w:t>
      </w:r>
      <w:r w:rsidRPr="005944B6">
        <w:t>paragraph</w:t>
      </w:r>
      <w:r w:rsidRPr="005944B6">
        <w:rPr>
          <w:color w:val="000000"/>
        </w:rPr>
        <w:t xml:space="preserve"> 83. </w:t>
      </w:r>
    </w:p>
  </w:footnote>
  <w:footnote w:id="179">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4(b). </w:t>
      </w:r>
    </w:p>
  </w:footnote>
  <w:footnote w:id="180">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paragraphs 8 and 60; General Comment No. 6, paragraph 34. </w:t>
      </w:r>
    </w:p>
  </w:footnote>
  <w:footnote w:id="181">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21. </w:t>
      </w:r>
    </w:p>
  </w:footnote>
  <w:footnote w:id="182">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5. </w:t>
      </w:r>
    </w:p>
  </w:footnote>
  <w:footnote w:id="183">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72. </w:t>
      </w:r>
    </w:p>
  </w:footnote>
  <w:footnote w:id="184">
    <w:p w:rsidR="00EA25CC" w:rsidRPr="005944B6" w:rsidRDefault="00EA25CC" w:rsidP="001E3A2D">
      <w:pPr>
        <w:pStyle w:val="FootnoteText"/>
      </w:pPr>
      <w:r w:rsidRPr="005944B6">
        <w:rPr>
          <w:rStyle w:val="FootnoteReference"/>
          <w:rFonts w:cs="Arial"/>
          <w:szCs w:val="18"/>
        </w:rPr>
        <w:footnoteRef/>
      </w:r>
      <w:r w:rsidRPr="005944B6">
        <w:t xml:space="preserve"> General Comment No. </w:t>
      </w:r>
      <w:r w:rsidRPr="005944B6">
        <w:rPr>
          <w:color w:val="000000"/>
        </w:rPr>
        <w:t xml:space="preserve">2, paragraph 29. </w:t>
      </w:r>
    </w:p>
  </w:footnote>
  <w:footnote w:id="185">
    <w:p w:rsidR="00EA25CC" w:rsidRPr="005944B6" w:rsidRDefault="00EA25CC" w:rsidP="001E3A2D">
      <w:pPr>
        <w:pStyle w:val="FootnoteText"/>
      </w:pPr>
      <w:r w:rsidRPr="005944B6">
        <w:rPr>
          <w:rStyle w:val="FootnoteReference"/>
          <w:rFonts w:cs="Arial"/>
          <w:szCs w:val="18"/>
        </w:rPr>
        <w:footnoteRef/>
      </w:r>
      <w:r w:rsidRPr="005944B6">
        <w:t xml:space="preserve"> General Comment No. </w:t>
      </w:r>
      <w:r w:rsidRPr="005944B6">
        <w:rPr>
          <w:color w:val="000000"/>
        </w:rPr>
        <w:t xml:space="preserve">2, paragraph 40; </w:t>
      </w:r>
      <w:r w:rsidRPr="005944B6">
        <w:t xml:space="preserve">General Comment No. </w:t>
      </w:r>
      <w:r w:rsidRPr="005944B6">
        <w:rPr>
          <w:color w:val="000000"/>
        </w:rPr>
        <w:t xml:space="preserve">6, paragraph 66. </w:t>
      </w:r>
    </w:p>
  </w:footnote>
  <w:footnote w:id="186">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46; General Comment No. 5 paragraph 35.</w:t>
      </w:r>
    </w:p>
  </w:footnote>
  <w:footnote w:id="187">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46. </w:t>
      </w:r>
    </w:p>
  </w:footnote>
  <w:footnote w:id="188">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23. </w:t>
      </w:r>
    </w:p>
  </w:footnote>
  <w:footnote w:id="189">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paragraphs 83 and 86,</w:t>
      </w:r>
    </w:p>
  </w:footnote>
  <w:footnote w:id="190">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62(a)(iii).</w:t>
      </w:r>
    </w:p>
  </w:footnote>
  <w:footnote w:id="191">
    <w:p w:rsidR="00EA25CC" w:rsidRPr="005944B6" w:rsidRDefault="00EA25CC" w:rsidP="001E3A2D">
      <w:pPr>
        <w:pStyle w:val="FootnoteText"/>
        <w:rPr>
          <w:bCs/>
        </w:rPr>
      </w:pPr>
      <w:r w:rsidRPr="005944B6">
        <w:rPr>
          <w:rStyle w:val="FootnoteReference"/>
          <w:rFonts w:cs="Arial"/>
          <w:szCs w:val="18"/>
        </w:rPr>
        <w:footnoteRef/>
      </w:r>
      <w:r w:rsidRPr="005944B6">
        <w:t xml:space="preserve"> Statement of the CRPD Committee “Achieving gender balance and equitable geographical representation in the elections of members of the Committee”, a</w:t>
      </w:r>
      <w:r w:rsidRPr="005944B6">
        <w:rPr>
          <w:bCs/>
        </w:rPr>
        <w:t xml:space="preserve">dopted during the Committee’s seventeenth session (20 March-12 April 2017). </w:t>
      </w:r>
    </w:p>
  </w:footnote>
  <w:footnote w:id="192">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42. </w:t>
      </w:r>
    </w:p>
  </w:footnote>
  <w:footnote w:id="193">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92. </w:t>
      </w:r>
    </w:p>
  </w:footnote>
  <w:footnote w:id="194">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92.</w:t>
      </w:r>
    </w:p>
  </w:footnote>
  <w:footnote w:id="195">
    <w:p w:rsidR="00EA25CC" w:rsidRPr="005944B6" w:rsidRDefault="00EA25CC" w:rsidP="001E3A2D">
      <w:pPr>
        <w:pStyle w:val="FootnoteText"/>
      </w:pPr>
      <w:r w:rsidRPr="005944B6">
        <w:rPr>
          <w:rStyle w:val="FootnoteReference"/>
          <w:rFonts w:cs="Arial"/>
          <w:szCs w:val="18"/>
        </w:rPr>
        <w:footnoteRef/>
      </w:r>
      <w:r w:rsidRPr="005944B6">
        <w:t xml:space="preserve"> Inquiry concerning the United Kingdom of Great Britain and Northern Ireland carried out by the Committee under article 6 of the Optional Protocol to the Convention (CRPD/C/15/4</w:t>
      </w:r>
      <w:r w:rsidRPr="005944B6">
        <w:rPr>
          <w:vertAlign w:val="superscript"/>
        </w:rPr>
        <w:t>*</w:t>
      </w:r>
      <w:r w:rsidRPr="005944B6">
        <w:t xml:space="preserve">). </w:t>
      </w:r>
    </w:p>
  </w:footnote>
  <w:footnote w:id="196">
    <w:p w:rsidR="00EA25CC" w:rsidRPr="005944B6" w:rsidRDefault="00EA25CC" w:rsidP="001E3A2D">
      <w:pPr>
        <w:pStyle w:val="FootnoteText"/>
      </w:pPr>
      <w:r w:rsidRPr="005944B6">
        <w:rPr>
          <w:rStyle w:val="FootnoteReference"/>
          <w:rFonts w:cs="Arial"/>
          <w:szCs w:val="18"/>
        </w:rPr>
        <w:footnoteRef/>
      </w:r>
      <w:r w:rsidRPr="005944B6">
        <w:t xml:space="preserve"> Inquiry concerning the United Kingdom, paragraph 33.</w:t>
      </w:r>
    </w:p>
  </w:footnote>
  <w:footnote w:id="197">
    <w:p w:rsidR="00EA25CC" w:rsidRPr="005944B6" w:rsidRDefault="00EA25CC" w:rsidP="001E3A2D">
      <w:pPr>
        <w:pStyle w:val="FootnoteText"/>
      </w:pPr>
      <w:r w:rsidRPr="005944B6">
        <w:rPr>
          <w:rStyle w:val="FootnoteReference"/>
          <w:rFonts w:cs="Arial"/>
          <w:szCs w:val="18"/>
        </w:rPr>
        <w:footnoteRef/>
      </w:r>
      <w:r w:rsidRPr="005944B6">
        <w:t xml:space="preserve"> Inquiry concerning the United Kingdom, paragraph 36. </w:t>
      </w:r>
    </w:p>
  </w:footnote>
  <w:footnote w:id="198">
    <w:p w:rsidR="00EA25CC" w:rsidRPr="005944B6" w:rsidRDefault="00EA25CC" w:rsidP="001E3A2D">
      <w:pPr>
        <w:pStyle w:val="FootnoteText"/>
      </w:pPr>
      <w:r w:rsidRPr="005944B6">
        <w:rPr>
          <w:rStyle w:val="FootnoteReference"/>
          <w:rFonts w:cs="Arial"/>
          <w:szCs w:val="18"/>
        </w:rPr>
        <w:footnoteRef/>
      </w:r>
      <w:r w:rsidRPr="005944B6">
        <w:t xml:space="preserve"> Inquiry concerning the United Kingdom, paragraph 42. </w:t>
      </w:r>
    </w:p>
  </w:footnote>
  <w:footnote w:id="199">
    <w:p w:rsidR="00EA25CC" w:rsidRPr="005944B6" w:rsidRDefault="00EA25CC" w:rsidP="001E3A2D">
      <w:pPr>
        <w:pStyle w:val="FootnoteText"/>
      </w:pPr>
      <w:r w:rsidRPr="005944B6">
        <w:rPr>
          <w:rStyle w:val="FootnoteReference"/>
          <w:rFonts w:cs="Arial"/>
          <w:szCs w:val="18"/>
        </w:rPr>
        <w:footnoteRef/>
      </w:r>
      <w:r w:rsidRPr="005944B6">
        <w:t xml:space="preserve"> Inquiry concerning the United Kingdom, paragraph 114. </w:t>
      </w:r>
    </w:p>
  </w:footnote>
  <w:footnote w:id="200">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China (Hong Kong) (CRPD/C/CHN/CO/1), paragraph 80. </w:t>
      </w:r>
    </w:p>
  </w:footnote>
  <w:footnote w:id="201">
    <w:p w:rsidR="00EA25CC" w:rsidRPr="005944B6" w:rsidRDefault="00EA25CC" w:rsidP="002F75F8">
      <w:pPr>
        <w:pStyle w:val="FootnoteText"/>
      </w:pPr>
      <w:r w:rsidRPr="005944B6">
        <w:rPr>
          <w:rStyle w:val="FootnoteReference"/>
          <w:rFonts w:cs="Arial"/>
          <w:szCs w:val="18"/>
        </w:rPr>
        <w:footnoteRef/>
      </w:r>
      <w:r w:rsidRPr="005944B6">
        <w:t xml:space="preserve"> Concluding observations</w:t>
      </w:r>
      <w:r>
        <w:t xml:space="preserve"> </w:t>
      </w:r>
      <w:r w:rsidRPr="005944B6">
        <w:t xml:space="preserve">on Bosnia and Herzegovina (CRPD/C/HIH/CO/1), paragraph 51. </w:t>
      </w:r>
    </w:p>
  </w:footnote>
  <w:footnote w:id="202">
    <w:p w:rsidR="00EA25CC" w:rsidRPr="005944B6" w:rsidRDefault="00EA25CC" w:rsidP="001E3A2D">
      <w:pPr>
        <w:pStyle w:val="FootnoteText"/>
      </w:pPr>
      <w:r w:rsidRPr="005944B6">
        <w:rPr>
          <w:rStyle w:val="FootnoteReference"/>
          <w:rFonts w:cs="Arial"/>
          <w:szCs w:val="18"/>
        </w:rPr>
        <w:footnoteRef/>
      </w:r>
      <w:r w:rsidRPr="005944B6">
        <w:t xml:space="preserve"> All general comments, except General Comment No. 4 on inclusive education. </w:t>
      </w:r>
    </w:p>
  </w:footnote>
  <w:footnote w:id="203">
    <w:p w:rsidR="00EA25CC" w:rsidRPr="005944B6" w:rsidRDefault="00EA25CC" w:rsidP="002F75F8">
      <w:pPr>
        <w:pStyle w:val="FootnoteText"/>
      </w:pPr>
      <w:r w:rsidRPr="005944B6">
        <w:rPr>
          <w:rStyle w:val="FootnoteReference"/>
          <w:rFonts w:cs="Arial"/>
          <w:szCs w:val="18"/>
        </w:rPr>
        <w:footnoteRef/>
      </w:r>
      <w:r w:rsidRPr="005944B6">
        <w:t xml:space="preserve"> </w:t>
      </w:r>
      <w:r w:rsidRPr="005944B6">
        <w:rPr>
          <w:i/>
        </w:rPr>
        <w:t>A.M. v. Australia</w:t>
      </w:r>
      <w:r w:rsidRPr="005944B6">
        <w:t xml:space="preserve"> (CRPD/C/13/D/12/2013)</w:t>
      </w:r>
      <w:r>
        <w:t>,</w:t>
      </w:r>
      <w:r w:rsidRPr="005944B6">
        <w:t xml:space="preserve"> </w:t>
      </w:r>
      <w:r w:rsidRPr="005944B6">
        <w:rPr>
          <w:i/>
        </w:rPr>
        <w:t>Beasley v. Australia</w:t>
      </w:r>
      <w:r w:rsidRPr="005944B6">
        <w:t xml:space="preserve"> (CRPD/C/15/D/11/2013)</w:t>
      </w:r>
      <w:r>
        <w:t>,</w:t>
      </w:r>
      <w:r w:rsidRPr="005944B6">
        <w:t xml:space="preserve"> </w:t>
      </w:r>
      <w:r w:rsidRPr="005944B6">
        <w:rPr>
          <w:i/>
        </w:rPr>
        <w:t>Lockrey v. Australia</w:t>
      </w:r>
      <w:r w:rsidRPr="005944B6">
        <w:t xml:space="preserve"> (CRPD/C/15/D/13/2013)</w:t>
      </w:r>
      <w:r>
        <w:t>,</w:t>
      </w:r>
      <w:r w:rsidRPr="005944B6">
        <w:t xml:space="preserve"> </w:t>
      </w:r>
      <w:r w:rsidRPr="005944B6">
        <w:rPr>
          <w:i/>
        </w:rPr>
        <w:t>Noble v. Australia</w:t>
      </w:r>
      <w:r w:rsidRPr="005944B6">
        <w:t xml:space="preserve"> (CRPD/C/16/D/7/2012)</w:t>
      </w:r>
      <w:r>
        <w:rPr>
          <w:lang w:val="es-ES"/>
        </w:rPr>
        <w:t>,</w:t>
      </w:r>
      <w:r w:rsidRPr="005944B6">
        <w:rPr>
          <w:lang w:val="es-ES"/>
        </w:rPr>
        <w:t xml:space="preserve"> </w:t>
      </w:r>
      <w:r w:rsidRPr="005944B6">
        <w:rPr>
          <w:i/>
          <w:lang w:val="es-ES"/>
        </w:rPr>
        <w:t>X. v. Tanzania</w:t>
      </w:r>
      <w:r w:rsidRPr="005944B6">
        <w:rPr>
          <w:lang w:val="es-ES"/>
        </w:rPr>
        <w:t xml:space="preserve"> (CRPD/C/18/D/22/2014)</w:t>
      </w:r>
      <w:r>
        <w:rPr>
          <w:bCs/>
        </w:rPr>
        <w:t>,</w:t>
      </w:r>
      <w:r w:rsidRPr="005944B6">
        <w:rPr>
          <w:bCs/>
        </w:rPr>
        <w:t xml:space="preserve"> </w:t>
      </w:r>
      <w:r w:rsidRPr="005944B6">
        <w:rPr>
          <w:bCs/>
          <w:i/>
        </w:rPr>
        <w:t>Makarov v Lithuania</w:t>
      </w:r>
      <w:r w:rsidRPr="005944B6">
        <w:rPr>
          <w:bCs/>
        </w:rPr>
        <w:t xml:space="preserve"> (CRPD/C/18/D/30/2015).</w:t>
      </w:r>
    </w:p>
  </w:footnote>
  <w:footnote w:id="204">
    <w:p w:rsidR="00EA25CC" w:rsidRPr="005944B6" w:rsidRDefault="00EA25CC" w:rsidP="002F75F8">
      <w:pPr>
        <w:pStyle w:val="FootnoteText"/>
      </w:pPr>
      <w:r w:rsidRPr="005944B6">
        <w:rPr>
          <w:rStyle w:val="FootnoteReference"/>
          <w:rFonts w:cs="Arial"/>
          <w:szCs w:val="18"/>
        </w:rPr>
        <w:footnoteRef/>
      </w:r>
      <w:r w:rsidRPr="005944B6">
        <w:t xml:space="preserve"> General Comment No. 2, paragraph 37. </w:t>
      </w:r>
    </w:p>
  </w:footnote>
  <w:footnote w:id="205">
    <w:p w:rsidR="00EA25CC" w:rsidRPr="005944B6" w:rsidRDefault="00EA25CC" w:rsidP="002F75F8">
      <w:pPr>
        <w:pStyle w:val="FootnoteText"/>
      </w:pPr>
      <w:r w:rsidRPr="005944B6">
        <w:rPr>
          <w:rStyle w:val="FootnoteReference"/>
          <w:rFonts w:cs="Arial"/>
          <w:szCs w:val="18"/>
        </w:rPr>
        <w:footnoteRef/>
      </w:r>
      <w:r w:rsidRPr="005944B6">
        <w:t xml:space="preserve"> General Comment No. 1, paragraph 38.</w:t>
      </w:r>
      <w:r>
        <w:t xml:space="preserve"> </w:t>
      </w:r>
    </w:p>
  </w:footnote>
  <w:footnote w:id="206">
    <w:p w:rsidR="00EA25CC" w:rsidRPr="005944B6" w:rsidRDefault="00EA25CC" w:rsidP="002F75F8">
      <w:pPr>
        <w:pStyle w:val="FootnoteText"/>
      </w:pPr>
      <w:r w:rsidRPr="005944B6">
        <w:rPr>
          <w:rStyle w:val="FootnoteReference"/>
          <w:rFonts w:cs="Arial"/>
          <w:szCs w:val="18"/>
        </w:rPr>
        <w:footnoteRef/>
      </w:r>
      <w:r w:rsidRPr="005944B6">
        <w:t xml:space="preserve"> General Comment No. 1, paragraph 38.</w:t>
      </w:r>
      <w:r>
        <w:t xml:space="preserve"> </w:t>
      </w:r>
    </w:p>
  </w:footnote>
  <w:footnote w:id="207">
    <w:p w:rsidR="00EA25CC" w:rsidRPr="005944B6" w:rsidRDefault="00EA25CC" w:rsidP="002F75F8">
      <w:pPr>
        <w:pStyle w:val="FootnoteText"/>
      </w:pPr>
      <w:r w:rsidRPr="005944B6">
        <w:rPr>
          <w:rStyle w:val="FootnoteReference"/>
          <w:rFonts w:cs="Arial"/>
          <w:szCs w:val="18"/>
        </w:rPr>
        <w:footnoteRef/>
      </w:r>
      <w:r w:rsidRPr="005944B6">
        <w:t xml:space="preserve"> See General Comment No. 1, paragraph 39. In addition, General Comment No. 3, paragraph 52 notes that women with disabilities face barriers to accessing justice which can lead to their credibility being doubted and their accusations being dismissed.</w:t>
      </w:r>
    </w:p>
  </w:footnote>
  <w:footnote w:id="208">
    <w:p w:rsidR="00EA25CC" w:rsidRPr="005944B6" w:rsidRDefault="00EA25CC" w:rsidP="002F75F8">
      <w:pPr>
        <w:pStyle w:val="FootnoteText"/>
      </w:pPr>
      <w:r w:rsidRPr="005944B6">
        <w:rPr>
          <w:rStyle w:val="FootnoteReference"/>
          <w:rFonts w:cs="Arial"/>
          <w:szCs w:val="18"/>
        </w:rPr>
        <w:footnoteRef/>
      </w:r>
      <w:r w:rsidRPr="005944B6">
        <w:t xml:space="preserve"> </w:t>
      </w:r>
      <w:r w:rsidRPr="005944B6">
        <w:rPr>
          <w:i/>
        </w:rPr>
        <w:t xml:space="preserve">Noble v. Australia </w:t>
      </w:r>
      <w:r w:rsidRPr="005944B6">
        <w:t>(CRPD/C/16/D/7/2012).</w:t>
      </w:r>
    </w:p>
  </w:footnote>
  <w:footnote w:id="209">
    <w:p w:rsidR="00EA25CC" w:rsidRPr="005944B6" w:rsidRDefault="00EA25CC" w:rsidP="002F75F8">
      <w:pPr>
        <w:pStyle w:val="FootnoteText"/>
      </w:pPr>
      <w:r w:rsidRPr="005944B6">
        <w:rPr>
          <w:rStyle w:val="FootnoteReference"/>
          <w:rFonts w:cs="Arial"/>
          <w:szCs w:val="18"/>
        </w:rPr>
        <w:footnoteRef/>
      </w:r>
      <w:r w:rsidRPr="005944B6">
        <w:t xml:space="preserve"> Also called “procedural adjustments” in some older concluding observations. See for instance concluding observations on Panama (CRPD/C/PAN/CO/1), paragraph 33. </w:t>
      </w:r>
    </w:p>
  </w:footnote>
  <w:footnote w:id="210">
    <w:p w:rsidR="00EA25CC" w:rsidRPr="005944B6" w:rsidRDefault="00EA25CC" w:rsidP="002F75F8">
      <w:pPr>
        <w:pStyle w:val="FootnoteText"/>
      </w:pPr>
      <w:r w:rsidRPr="005944B6">
        <w:rPr>
          <w:rStyle w:val="FootnoteReference"/>
          <w:rFonts w:cs="Arial"/>
          <w:szCs w:val="18"/>
        </w:rPr>
        <w:footnoteRef/>
      </w:r>
      <w:r w:rsidRPr="005944B6">
        <w:t xml:space="preserve"> General Comment No. 6, paragraph 51.</w:t>
      </w:r>
    </w:p>
  </w:footnote>
  <w:footnote w:id="211">
    <w:p w:rsidR="00EA25CC" w:rsidRPr="005944B6" w:rsidRDefault="00EA25CC" w:rsidP="002F75F8">
      <w:pPr>
        <w:pStyle w:val="FootnoteText"/>
      </w:pPr>
      <w:r w:rsidRPr="005944B6">
        <w:rPr>
          <w:rStyle w:val="FootnoteReference"/>
          <w:rFonts w:cs="Arial"/>
          <w:szCs w:val="18"/>
        </w:rPr>
        <w:footnoteRef/>
      </w:r>
      <w:r w:rsidRPr="005944B6">
        <w:t xml:space="preserve"> Concluding observations on Costa Rica (CRPD/C/CRI/CO/1), paragraphs 26 and 28. </w:t>
      </w:r>
    </w:p>
  </w:footnote>
  <w:footnote w:id="212">
    <w:p w:rsidR="00EA25CC" w:rsidRPr="005944B6" w:rsidRDefault="00EA25CC" w:rsidP="002F75F8">
      <w:pPr>
        <w:pStyle w:val="FootnoteText"/>
      </w:pPr>
      <w:r w:rsidRPr="005944B6">
        <w:rPr>
          <w:rStyle w:val="FootnoteReference"/>
          <w:rFonts w:cs="Arial"/>
          <w:szCs w:val="18"/>
        </w:rPr>
        <w:footnoteRef/>
      </w:r>
      <w:r w:rsidRPr="005944B6">
        <w:t xml:space="preserve"> General Comment No. 1, paragraph 39. </w:t>
      </w:r>
    </w:p>
  </w:footnote>
  <w:footnote w:id="213">
    <w:p w:rsidR="00EA25CC" w:rsidRPr="005944B6" w:rsidRDefault="00EA25CC" w:rsidP="002F75F8">
      <w:pPr>
        <w:pStyle w:val="FootnoteText"/>
      </w:pPr>
      <w:r w:rsidRPr="005944B6">
        <w:rPr>
          <w:rStyle w:val="FootnoteReference"/>
          <w:rFonts w:cs="Arial"/>
          <w:szCs w:val="18"/>
        </w:rPr>
        <w:footnoteRef/>
      </w:r>
      <w:r w:rsidRPr="005944B6">
        <w:t xml:space="preserve"> </w:t>
      </w:r>
      <w:r w:rsidRPr="005944B6">
        <w:rPr>
          <w:i/>
        </w:rPr>
        <w:t xml:space="preserve">Beasley v. Australia </w:t>
      </w:r>
      <w:r w:rsidRPr="005944B6">
        <w:t>(CRPD/C/15/D/11/2013).</w:t>
      </w:r>
    </w:p>
  </w:footnote>
  <w:footnote w:id="214">
    <w:p w:rsidR="00EA25CC" w:rsidRPr="005944B6" w:rsidRDefault="00EA25CC" w:rsidP="002F75F8">
      <w:pPr>
        <w:pStyle w:val="FootnoteText"/>
      </w:pPr>
      <w:r w:rsidRPr="005944B6">
        <w:rPr>
          <w:rStyle w:val="FootnoteReference"/>
          <w:rFonts w:cs="Arial"/>
          <w:szCs w:val="18"/>
        </w:rPr>
        <w:footnoteRef/>
      </w:r>
      <w:r w:rsidRPr="005944B6">
        <w:t xml:space="preserve"> </w:t>
      </w:r>
      <w:r w:rsidRPr="005944B6">
        <w:rPr>
          <w:i/>
        </w:rPr>
        <w:t>Lockrey v. Australia</w:t>
      </w:r>
      <w:r w:rsidRPr="005944B6">
        <w:t xml:space="preserve"> (CRPD/C/15/D/13/2013). </w:t>
      </w:r>
    </w:p>
  </w:footnote>
  <w:footnote w:id="215">
    <w:p w:rsidR="00EA25CC" w:rsidRPr="005944B6" w:rsidRDefault="00EA25CC" w:rsidP="002F75F8">
      <w:pPr>
        <w:pStyle w:val="FootnoteText"/>
      </w:pPr>
      <w:r w:rsidRPr="005944B6">
        <w:rPr>
          <w:rStyle w:val="FootnoteReference"/>
          <w:rFonts w:cs="Arial"/>
          <w:szCs w:val="18"/>
        </w:rPr>
        <w:footnoteRef/>
      </w:r>
      <w:r w:rsidRPr="005944B6">
        <w:t xml:space="preserve"> Guidelines on the right to liberty and security of persons with disabilities (A/7255 Annex), paragraph 3. </w:t>
      </w:r>
    </w:p>
  </w:footnote>
  <w:footnote w:id="216">
    <w:p w:rsidR="00EA25CC" w:rsidRPr="005944B6" w:rsidRDefault="00EA25CC" w:rsidP="002F75F8">
      <w:pPr>
        <w:pStyle w:val="FootnoteText"/>
      </w:pPr>
      <w:r w:rsidRPr="005944B6">
        <w:rPr>
          <w:rStyle w:val="FootnoteReference"/>
          <w:rFonts w:cs="Arial"/>
          <w:szCs w:val="18"/>
        </w:rPr>
        <w:footnoteRef/>
      </w:r>
      <w:r w:rsidRPr="005944B6">
        <w:t xml:space="preserve"> Guidelines on the right to liberty and security of persons with disabilities, paragraphs 6-9.</w:t>
      </w:r>
    </w:p>
  </w:footnote>
  <w:footnote w:id="217">
    <w:p w:rsidR="00EA25CC" w:rsidRPr="005944B6" w:rsidRDefault="00EA25CC" w:rsidP="001E3A2D">
      <w:pPr>
        <w:pStyle w:val="FootnoteText"/>
      </w:pPr>
      <w:r w:rsidRPr="005944B6">
        <w:rPr>
          <w:rStyle w:val="FootnoteReference"/>
          <w:rFonts w:cs="Arial"/>
          <w:szCs w:val="18"/>
        </w:rPr>
        <w:footnoteRef/>
      </w:r>
      <w:r w:rsidRPr="005944B6">
        <w:t xml:space="preserve"> Guidelines on the right to liberty and security of persons with disabilities, paragraph 16.</w:t>
      </w:r>
    </w:p>
  </w:footnote>
  <w:footnote w:id="218">
    <w:p w:rsidR="00EA25CC" w:rsidRPr="005944B6" w:rsidRDefault="00EA25CC" w:rsidP="001E3A2D">
      <w:pPr>
        <w:pStyle w:val="FootnoteText"/>
      </w:pPr>
      <w:r w:rsidRPr="005944B6">
        <w:rPr>
          <w:rStyle w:val="FootnoteReference"/>
          <w:rFonts w:cs="Arial"/>
          <w:szCs w:val="18"/>
        </w:rPr>
        <w:footnoteRef/>
      </w:r>
      <w:r w:rsidRPr="005944B6">
        <w:t xml:space="preserve"> Guidelines on the right to liberty and security of persons with disabilities, paragraph 17.</w:t>
      </w:r>
    </w:p>
  </w:footnote>
  <w:footnote w:id="219">
    <w:p w:rsidR="00EA25CC" w:rsidRPr="005944B6" w:rsidRDefault="00EA25CC" w:rsidP="001E3A2D">
      <w:pPr>
        <w:pStyle w:val="FootnoteText"/>
      </w:pPr>
      <w:r w:rsidRPr="005944B6">
        <w:rPr>
          <w:rStyle w:val="FootnoteReference"/>
          <w:rFonts w:cs="Arial"/>
          <w:szCs w:val="18"/>
        </w:rPr>
        <w:footnoteRef/>
      </w:r>
      <w:r w:rsidRPr="005944B6">
        <w:t xml:space="preserve"> Guidelines on the right to liberty and security of persons with disabilities, paragraph 19.</w:t>
      </w:r>
    </w:p>
  </w:footnote>
  <w:footnote w:id="220">
    <w:p w:rsidR="00EA25CC" w:rsidRPr="005944B6" w:rsidRDefault="00EA25CC" w:rsidP="001E3A2D">
      <w:pPr>
        <w:pStyle w:val="FootnoteText"/>
      </w:pPr>
      <w:r w:rsidRPr="005944B6">
        <w:rPr>
          <w:rStyle w:val="FootnoteReference"/>
          <w:rFonts w:cs="Arial"/>
          <w:szCs w:val="18"/>
        </w:rPr>
        <w:footnoteRef/>
      </w:r>
      <w:r w:rsidRPr="005944B6">
        <w:t xml:space="preserve"> Guidelines on the right to liberty and security of persons with disabilities, paragraph 9. </w:t>
      </w:r>
    </w:p>
  </w:footnote>
  <w:footnote w:id="221">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16. </w:t>
      </w:r>
    </w:p>
  </w:footnote>
  <w:footnote w:id="222">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33. </w:t>
      </w:r>
    </w:p>
  </w:footnote>
  <w:footnote w:id="223">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 1. </w:t>
      </w:r>
    </w:p>
  </w:footnote>
  <w:footnote w:id="224">
    <w:p w:rsidR="00EA25CC" w:rsidRPr="005944B6" w:rsidRDefault="00EA25CC" w:rsidP="001E3A2D">
      <w:pPr>
        <w:pStyle w:val="FootnoteText"/>
      </w:pPr>
      <w:r w:rsidRPr="005944B6">
        <w:rPr>
          <w:rStyle w:val="FootnoteReference"/>
          <w:rFonts w:cs="Arial"/>
          <w:szCs w:val="18"/>
        </w:rPr>
        <w:footnoteRef/>
      </w:r>
      <w:r w:rsidRPr="005944B6">
        <w:t xml:space="preserve"> General Comment No</w:t>
      </w:r>
      <w:r>
        <w:t>.</w:t>
      </w:r>
      <w:r w:rsidRPr="005944B6">
        <w:t xml:space="preserve"> 1, paragraph 30.</w:t>
      </w:r>
    </w:p>
  </w:footnote>
  <w:footnote w:id="225">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 7.</w:t>
      </w:r>
    </w:p>
  </w:footnote>
  <w:footnote w:id="226">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paragraphs 8 and 31.</w:t>
      </w:r>
    </w:p>
  </w:footnote>
  <w:footnote w:id="227">
    <w:p w:rsidR="00EA25CC" w:rsidRPr="005944B6" w:rsidRDefault="00EA25CC" w:rsidP="001E3A2D">
      <w:pPr>
        <w:pStyle w:val="FootnoteText"/>
      </w:pPr>
      <w:r w:rsidRPr="005944B6">
        <w:rPr>
          <w:rStyle w:val="FootnoteReference"/>
          <w:rFonts w:cs="Arial"/>
          <w:szCs w:val="18"/>
        </w:rPr>
        <w:footnoteRef/>
      </w:r>
      <w:r w:rsidRPr="005944B6">
        <w:t xml:space="preserve"> The Committee describes different form</w:t>
      </w:r>
      <w:r>
        <w:t>s</w:t>
      </w:r>
      <w:r w:rsidRPr="005944B6">
        <w:t xml:space="preserve"> of substitute decision-making regimes in paragraph 27 of General Comment No. 1. </w:t>
      </w:r>
    </w:p>
  </w:footnote>
  <w:footnote w:id="228">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 3</w:t>
      </w:r>
      <w:r>
        <w:t>. The Committee provides detailed</w:t>
      </w:r>
      <w:r w:rsidRPr="005944B6">
        <w:t xml:space="preserve"> information on the key provisions supported decision-making regimes should contain in paragraph 29 of the General Comment. </w:t>
      </w:r>
    </w:p>
  </w:footnote>
  <w:footnote w:id="229">
    <w:p w:rsidR="00EA25CC" w:rsidRPr="005944B6" w:rsidRDefault="00EA25CC" w:rsidP="001E3A2D">
      <w:pPr>
        <w:pStyle w:val="FootnoteText"/>
      </w:pPr>
      <w:r w:rsidRPr="005944B6">
        <w:rPr>
          <w:rStyle w:val="FootnoteReference"/>
          <w:rFonts w:cs="Arial"/>
          <w:szCs w:val="18"/>
        </w:rPr>
        <w:footnoteRef/>
      </w:r>
      <w:r w:rsidRPr="005944B6">
        <w:t xml:space="preserve"> See for instance the very first concluding </w:t>
      </w:r>
      <w:r>
        <w:t>observations of the Committee: c</w:t>
      </w:r>
      <w:r w:rsidRPr="005944B6">
        <w:t>oncluding observations on Tunisia (CRPD/C/TUN/CO/1), paragraph 23.</w:t>
      </w:r>
    </w:p>
  </w:footnote>
  <w:footnote w:id="230">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 16.</w:t>
      </w:r>
    </w:p>
  </w:footnote>
  <w:footnote w:id="231">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 17.</w:t>
      </w:r>
    </w:p>
  </w:footnote>
  <w:footnote w:id="232">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 17.</w:t>
      </w:r>
    </w:p>
  </w:footnote>
  <w:footnote w:id="233">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 21.</w:t>
      </w:r>
    </w:p>
  </w:footnote>
  <w:footnote w:id="234">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paragraphs 20 and 22.</w:t>
      </w:r>
    </w:p>
  </w:footnote>
  <w:footnote w:id="235">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Oman (CRPD/C/OMN/CO/1), paragraph 22.</w:t>
      </w:r>
    </w:p>
  </w:footnote>
  <w:footnote w:id="236">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Gabon (CRPD/C/GAB/CO/1), paragraph 25.</w:t>
      </w:r>
    </w:p>
  </w:footnote>
  <w:footnote w:id="237">
    <w:p w:rsidR="00EA25CC" w:rsidRPr="005944B6" w:rsidRDefault="00EA25CC" w:rsidP="001E3A2D">
      <w:pPr>
        <w:pStyle w:val="FootnoteText"/>
      </w:pPr>
      <w:r w:rsidRPr="005944B6">
        <w:rPr>
          <w:rStyle w:val="FootnoteReference"/>
          <w:rFonts w:cs="Arial"/>
          <w:szCs w:val="18"/>
        </w:rPr>
        <w:footnoteRef/>
      </w:r>
      <w:r w:rsidRPr="005944B6">
        <w:t xml:space="preserve"> See for instance </w:t>
      </w:r>
      <w:r>
        <w:t>c</w:t>
      </w:r>
      <w:r w:rsidRPr="005944B6">
        <w:t>oncluding observations on Bolivia (CRPD/C/BOL/CO/1), paragraph 23.</w:t>
      </w:r>
    </w:p>
  </w:footnote>
  <w:footnote w:id="238">
    <w:p w:rsidR="00EA25CC" w:rsidRPr="005944B6" w:rsidRDefault="00EA25CC" w:rsidP="001E3A2D">
      <w:pPr>
        <w:pStyle w:val="FootnoteText"/>
      </w:pPr>
      <w:r w:rsidRPr="005944B6">
        <w:rPr>
          <w:rStyle w:val="FootnoteReference"/>
          <w:rFonts w:cs="Arial"/>
          <w:szCs w:val="18"/>
        </w:rPr>
        <w:footnoteRef/>
      </w:r>
      <w:r w:rsidRPr="005944B6">
        <w:t xml:space="preserve"> See for instance</w:t>
      </w:r>
      <w:r>
        <w:t xml:space="preserve"> c</w:t>
      </w:r>
      <w:r w:rsidRPr="005944B6">
        <w:t>oncluding observations on Kenya (CRPD/C/KEN/CO/1), paragraph 20.</w:t>
      </w:r>
    </w:p>
  </w:footnote>
  <w:footnote w:id="239">
    <w:p w:rsidR="00EA25CC" w:rsidRPr="005944B6" w:rsidRDefault="00EA25CC" w:rsidP="001E3A2D">
      <w:pPr>
        <w:pStyle w:val="FootnoteText"/>
      </w:pPr>
      <w:r w:rsidRPr="005944B6">
        <w:rPr>
          <w:rStyle w:val="FootnoteReference"/>
          <w:rFonts w:cs="Arial"/>
          <w:szCs w:val="18"/>
        </w:rPr>
        <w:footnoteRef/>
      </w:r>
      <w:r w:rsidRPr="005944B6">
        <w:t xml:space="preserve"> See for instance </w:t>
      </w:r>
      <w:r>
        <w:t>c</w:t>
      </w:r>
      <w:r w:rsidRPr="005944B6">
        <w:t>oncluding observations on Cyprus (CRPD/C/CYP/CO/1), paragraph 30.</w:t>
      </w:r>
    </w:p>
  </w:footnote>
  <w:footnote w:id="240">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Iran (CRPD/C/IRN/CO/1), paragraph 23.</w:t>
      </w:r>
    </w:p>
  </w:footnote>
  <w:footnote w:id="241">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Iran (CRPD/C/IRN/CO/1), paragraph 23.</w:t>
      </w:r>
    </w:p>
  </w:footnote>
  <w:footnote w:id="242">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Iran (CRPD/C/IRN/CO/1), paragraph 22.</w:t>
      </w:r>
    </w:p>
  </w:footnote>
  <w:footnote w:id="243">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the United Kingdom (CRPD/C/GBR/CO/1), paragraph 26; Concluding observations on Spain (CRPD/C/GESP/CO/1), paragraphs 29</w:t>
      </w:r>
      <w:r>
        <w:t>-</w:t>
      </w:r>
      <w:r w:rsidRPr="005944B6">
        <w:t xml:space="preserve">30. </w:t>
      </w:r>
    </w:p>
  </w:footnote>
  <w:footnote w:id="244">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Canada (CRPD/C/CAN/CO/1), paragraph 24.</w:t>
      </w:r>
    </w:p>
  </w:footnote>
  <w:footnote w:id="245">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Sweden (C</w:t>
      </w:r>
      <w:r>
        <w:t>RPD/C/SWE/CO/1), paragraph 30; c</w:t>
      </w:r>
      <w:r w:rsidRPr="005944B6">
        <w:t xml:space="preserve">oncluding observations on China, Hong Kong (CRPD/C/CHN/CO/1), paragraphs 63-64. </w:t>
      </w:r>
    </w:p>
  </w:footnote>
  <w:footnote w:id="246">
    <w:p w:rsidR="00EA25CC" w:rsidRPr="005944B6" w:rsidRDefault="00EA25CC" w:rsidP="001E3A2D">
      <w:pPr>
        <w:pStyle w:val="FootnoteText"/>
      </w:pPr>
      <w:r w:rsidRPr="005944B6">
        <w:rPr>
          <w:rStyle w:val="FootnoteReference"/>
          <w:rFonts w:cs="Arial"/>
          <w:szCs w:val="18"/>
        </w:rPr>
        <w:footnoteRef/>
      </w:r>
      <w:r w:rsidRPr="005944B6">
        <w:t xml:space="preserve"> See</w:t>
      </w:r>
      <w:r w:rsidRPr="006C38BE">
        <w:rPr>
          <w:sz w:val="12"/>
        </w:rPr>
        <w:t xml:space="preserve"> </w:t>
      </w:r>
      <w:r w:rsidRPr="005944B6">
        <w:t>for</w:t>
      </w:r>
      <w:r w:rsidRPr="006C38BE">
        <w:rPr>
          <w:sz w:val="10"/>
        </w:rPr>
        <w:t xml:space="preserve"> </w:t>
      </w:r>
      <w:r w:rsidRPr="005944B6">
        <w:t>instance</w:t>
      </w:r>
      <w:r w:rsidRPr="006C38BE">
        <w:rPr>
          <w:sz w:val="12"/>
        </w:rPr>
        <w:t xml:space="preserve"> </w:t>
      </w:r>
      <w:r>
        <w:t>c</w:t>
      </w:r>
      <w:r w:rsidRPr="005944B6">
        <w:t>oncluding</w:t>
      </w:r>
      <w:r w:rsidRPr="006C38BE">
        <w:rPr>
          <w:sz w:val="12"/>
        </w:rPr>
        <w:t xml:space="preserve"> </w:t>
      </w:r>
      <w:r w:rsidRPr="005944B6">
        <w:t>observations</w:t>
      </w:r>
      <w:r w:rsidRPr="006C38BE">
        <w:rPr>
          <w:sz w:val="12"/>
        </w:rPr>
        <w:t xml:space="preserve"> </w:t>
      </w:r>
      <w:r w:rsidRPr="005944B6">
        <w:t>on Montenegro (CRPD/C/MNE/CO/1), paragraph 13(d).</w:t>
      </w:r>
    </w:p>
  </w:footnote>
  <w:footnote w:id="247">
    <w:p w:rsidR="00EA25CC" w:rsidRPr="005944B6" w:rsidRDefault="00EA25CC" w:rsidP="001E3A2D">
      <w:pPr>
        <w:pStyle w:val="FootnoteText"/>
      </w:pPr>
      <w:r w:rsidRPr="005944B6">
        <w:rPr>
          <w:rStyle w:val="FootnoteReference"/>
          <w:rFonts w:cs="Arial"/>
          <w:szCs w:val="18"/>
        </w:rPr>
        <w:footnoteRef/>
      </w:r>
      <w:r w:rsidRPr="005944B6">
        <w:t xml:space="preserve"> General Comment No</w:t>
      </w:r>
      <w:r>
        <w:t>.</w:t>
      </w:r>
      <w:r w:rsidRPr="005944B6">
        <w:t xml:space="preserve"> 4, paragraph 51.</w:t>
      </w:r>
    </w:p>
  </w:footnote>
  <w:footnote w:id="248">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New Zealand (CRPD/C/NZL/CO/1), paragraphs 49-50.</w:t>
      </w:r>
    </w:p>
  </w:footnote>
  <w:footnote w:id="249">
    <w:p w:rsidR="00EA25CC" w:rsidRPr="005944B6" w:rsidRDefault="00EA25CC" w:rsidP="001E3A2D">
      <w:pPr>
        <w:pStyle w:val="FootnoteText"/>
      </w:pPr>
      <w:r w:rsidRPr="005944B6">
        <w:rPr>
          <w:rStyle w:val="FootnoteReference"/>
          <w:rFonts w:cs="Arial"/>
          <w:szCs w:val="18"/>
        </w:rPr>
        <w:footnoteRef/>
      </w:r>
      <w:r>
        <w:t xml:space="preserve"> See for instance</w:t>
      </w:r>
      <w:r w:rsidRPr="005944B6">
        <w:t xml:space="preserve"> </w:t>
      </w:r>
      <w:r>
        <w:t>c</w:t>
      </w:r>
      <w:r w:rsidRPr="005944B6">
        <w:t>oncluding observations on Qatar (CRPD/C/QAT/CO/1), paragraph 28.</w:t>
      </w:r>
    </w:p>
  </w:footnote>
  <w:footnote w:id="250">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Canada (CRPD/C/CAN/CO/1), paragraph 24.</w:t>
      </w:r>
    </w:p>
  </w:footnote>
  <w:footnote w:id="251">
    <w:p w:rsidR="00EA25CC" w:rsidRPr="005944B6" w:rsidRDefault="00EA25CC" w:rsidP="001E3A2D">
      <w:pPr>
        <w:pStyle w:val="FootnoteText"/>
      </w:pPr>
      <w:r w:rsidRPr="005944B6">
        <w:rPr>
          <w:rStyle w:val="FootnoteReference"/>
          <w:rFonts w:cs="Arial"/>
          <w:szCs w:val="18"/>
        </w:rPr>
        <w:footnoteRef/>
      </w:r>
      <w:r w:rsidRPr="005944B6">
        <w:t xml:space="preserve"> See for instance </w:t>
      </w:r>
      <w:r>
        <w:t>c</w:t>
      </w:r>
      <w:r w:rsidRPr="005944B6">
        <w:t>oncluding observations on Cyprus (CRPD/C/CYP/CO/1), paragraph 40.</w:t>
      </w:r>
    </w:p>
  </w:footnote>
  <w:footnote w:id="252">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United Arab Emirates (CRPD/C/ARE/CO/1), paragraphs 31-32.</w:t>
      </w:r>
    </w:p>
  </w:footnote>
  <w:footnote w:id="253">
    <w:p w:rsidR="00EA25CC" w:rsidRPr="005944B6" w:rsidRDefault="00EA25CC" w:rsidP="001E3A2D">
      <w:pPr>
        <w:pStyle w:val="FootnoteText"/>
      </w:pPr>
      <w:r w:rsidRPr="005944B6">
        <w:rPr>
          <w:rStyle w:val="FootnoteReference"/>
          <w:rFonts w:cs="Arial"/>
          <w:szCs w:val="18"/>
        </w:rPr>
        <w:footnoteRef/>
      </w:r>
      <w:r w:rsidRPr="005944B6">
        <w:t xml:space="preserve"> See for instance concluding observations on Latvia (CRPD/</w:t>
      </w:r>
      <w:r>
        <w:t>C/LVA/CO/1), paragraphs 28-29; c</w:t>
      </w:r>
      <w:r w:rsidRPr="005944B6">
        <w:t>oncluding observations on Bosnia and Herzegovina (CRPD/C/BIH/CO/1), paragraphs 30-31.</w:t>
      </w:r>
    </w:p>
  </w:footnote>
  <w:footnote w:id="254">
    <w:p w:rsidR="00EA25CC" w:rsidRPr="005944B6" w:rsidRDefault="00EA25CC" w:rsidP="001E3A2D">
      <w:pPr>
        <w:pStyle w:val="FootnoteText"/>
      </w:pPr>
      <w:r w:rsidRPr="005944B6">
        <w:rPr>
          <w:rStyle w:val="FootnoteReference"/>
          <w:rFonts w:cs="Arial"/>
          <w:szCs w:val="18"/>
        </w:rPr>
        <w:footnoteRef/>
      </w:r>
      <w:r w:rsidRPr="005944B6">
        <w:t xml:space="preserve"> See concluding observations on Denmark (CRPD/C/DNK/CO/1), paragraph 40;</w:t>
      </w:r>
    </w:p>
  </w:footnote>
  <w:footnote w:id="255">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Luxembourg (CRPD/C/LUX/CO/1), paragraph 33.</w:t>
      </w:r>
    </w:p>
  </w:footnote>
  <w:footnote w:id="256">
    <w:p w:rsidR="00EA25CC" w:rsidRPr="005944B6" w:rsidRDefault="00EA25CC" w:rsidP="001E3A2D">
      <w:pPr>
        <w:pStyle w:val="FootnoteText"/>
      </w:pPr>
      <w:r w:rsidRPr="005944B6">
        <w:rPr>
          <w:rStyle w:val="FootnoteReference"/>
          <w:rFonts w:cs="Arial"/>
          <w:szCs w:val="18"/>
        </w:rPr>
        <w:footnoteRef/>
      </w:r>
      <w:r w:rsidRPr="005944B6">
        <w:t xml:space="preserve"> See for instance concluding observations on Cyprus (CRPD/C/CYP/CO/1), paragraph 40; concluding observations on Italy (CRPD/C/ITA/CO/1), paragraph 44.</w:t>
      </w:r>
    </w:p>
  </w:footnote>
  <w:footnote w:id="257">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40. This includes accessible reproductive health care for women and girls with disabilities, including gynecological and obstetric services. </w:t>
      </w:r>
    </w:p>
  </w:footnote>
  <w:footnote w:id="258">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89.</w:t>
      </w:r>
    </w:p>
  </w:footnote>
  <w:footnote w:id="259">
    <w:p w:rsidR="00EA25CC" w:rsidRPr="005944B6" w:rsidRDefault="00EA25CC" w:rsidP="001E3A2D">
      <w:pPr>
        <w:pStyle w:val="FootnoteText"/>
      </w:pPr>
      <w:r w:rsidRPr="005944B6">
        <w:rPr>
          <w:rStyle w:val="FootnoteReference"/>
          <w:rFonts w:cs="Arial"/>
          <w:szCs w:val="18"/>
        </w:rPr>
        <w:footnoteRef/>
      </w:r>
      <w:r w:rsidRPr="00FF1464">
        <w:rPr>
          <w:lang w:val="de-DE"/>
        </w:rPr>
        <w:t xml:space="preserve"> </w:t>
      </w:r>
      <w:r w:rsidRPr="00FF1464">
        <w:rPr>
          <w:i/>
          <w:lang w:val="de-DE"/>
        </w:rPr>
        <w:t>H.M vs. Sweden</w:t>
      </w:r>
      <w:r w:rsidRPr="00FF1464">
        <w:rPr>
          <w:lang w:val="de-DE"/>
        </w:rPr>
        <w:t xml:space="preserve"> (CRPD/C/7/D/3/2011). </w:t>
      </w:r>
      <w:r w:rsidRPr="005944B6">
        <w:t>In particular</w:t>
      </w:r>
      <w:r>
        <w:t xml:space="preserve">, </w:t>
      </w:r>
      <w:r w:rsidRPr="005944B6">
        <w:t xml:space="preserve">the State failed to provide reasonable accommodation and to fulfil its obligations concerning non-discrimination, the right of living independently and being included in the community, the rights </w:t>
      </w:r>
      <w:r>
        <w:t xml:space="preserve">to </w:t>
      </w:r>
      <w:r w:rsidRPr="005944B6">
        <w:t>health and rehabilitation, in violations of articles 5(1), 5(3), 19(b), 25 and 26, read alone and in conjunction with articles 3</w:t>
      </w:r>
      <w:r>
        <w:t>(b), (d) and (e), and 4(1)</w:t>
      </w:r>
      <w:r w:rsidRPr="005944B6">
        <w:t>(d) of the Convention.</w:t>
      </w:r>
    </w:p>
  </w:footnote>
  <w:footnote w:id="260">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paragraphs 8, 29 and 35. </w:t>
      </w:r>
    </w:p>
  </w:footnote>
  <w:footnote w:id="261">
    <w:p w:rsidR="00EA25CC" w:rsidRPr="005944B6" w:rsidRDefault="00EA25CC" w:rsidP="001E3A2D">
      <w:pPr>
        <w:pStyle w:val="FootnoteText"/>
      </w:pPr>
      <w:r w:rsidRPr="005944B6">
        <w:rPr>
          <w:rStyle w:val="FootnoteReference"/>
          <w:rFonts w:cs="Arial"/>
          <w:szCs w:val="18"/>
        </w:rPr>
        <w:footnoteRef/>
      </w:r>
      <w:r w:rsidRPr="005944B6">
        <w:t xml:space="preserve"> See for instance General Comment No</w:t>
      </w:r>
      <w:r>
        <w:t>.</w:t>
      </w:r>
      <w:r w:rsidRPr="005944B6">
        <w:t xml:space="preserve"> 3, paragraphs 28 and 38-46. </w:t>
      </w:r>
    </w:p>
  </w:footnote>
  <w:footnote w:id="262">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40. See also </w:t>
      </w:r>
      <w:r>
        <w:t>c</w:t>
      </w:r>
      <w:r w:rsidRPr="005944B6">
        <w:t>oncluding observations on Canada (CRPD/C/CAN/CO/1), paragraph 45.</w:t>
      </w:r>
    </w:p>
  </w:footnote>
  <w:footnote w:id="263">
    <w:p w:rsidR="00EA25CC" w:rsidRPr="005944B6" w:rsidRDefault="00EA25CC" w:rsidP="001E3A2D">
      <w:pPr>
        <w:pStyle w:val="FootnoteText"/>
      </w:pPr>
      <w:r w:rsidRPr="005944B6">
        <w:rPr>
          <w:rStyle w:val="FootnoteReference"/>
          <w:rFonts w:cs="Arial"/>
          <w:szCs w:val="18"/>
        </w:rPr>
        <w:footnoteRef/>
      </w:r>
      <w:r w:rsidRPr="005944B6">
        <w:t xml:space="preserve"> General Comment No</w:t>
      </w:r>
      <w:r>
        <w:t>.</w:t>
      </w:r>
      <w:r w:rsidRPr="005944B6">
        <w:t xml:space="preserve"> 1, paragraph 35. </w:t>
      </w:r>
    </w:p>
  </w:footnote>
  <w:footnote w:id="264">
    <w:p w:rsidR="00EA25CC" w:rsidRPr="005944B6" w:rsidRDefault="00EA25CC" w:rsidP="001E3A2D">
      <w:pPr>
        <w:pStyle w:val="FootnoteText"/>
      </w:pPr>
      <w:r w:rsidRPr="005944B6">
        <w:rPr>
          <w:rStyle w:val="FootnoteReference"/>
          <w:rFonts w:cs="Arial"/>
          <w:szCs w:val="18"/>
        </w:rPr>
        <w:footnoteRef/>
      </w:r>
      <w:r w:rsidRPr="005944B6">
        <w:t xml:space="preserve"> See for instance </w:t>
      </w:r>
      <w:r>
        <w:t>c</w:t>
      </w:r>
      <w:r w:rsidRPr="005944B6">
        <w:t>oncluding observations on Haiti (CRPD/C/HTI/CO/1), paragraph 45.</w:t>
      </w:r>
    </w:p>
  </w:footnote>
  <w:footnote w:id="265">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Canada (CRPD/C/CAN/CO/1), paragraphs 45-46.</w:t>
      </w:r>
    </w:p>
  </w:footnote>
  <w:footnote w:id="266">
    <w:p w:rsidR="00EA25CC" w:rsidRPr="005944B6" w:rsidRDefault="00EA25CC" w:rsidP="001E3A2D">
      <w:pPr>
        <w:pStyle w:val="FootnoteText"/>
      </w:pPr>
      <w:r w:rsidRPr="005944B6">
        <w:rPr>
          <w:rStyle w:val="FootnoteReference"/>
          <w:rFonts w:cs="Arial"/>
          <w:szCs w:val="18"/>
        </w:rPr>
        <w:footnoteRef/>
      </w:r>
      <w:r w:rsidRPr="005944B6">
        <w:t xml:space="preserve"> It denies the legal capacity of a person to choose medical treatment in violation of article 12 of the Convention, see reference below. </w:t>
      </w:r>
    </w:p>
  </w:footnote>
  <w:footnote w:id="267">
    <w:p w:rsidR="00EA25CC" w:rsidRPr="005944B6" w:rsidRDefault="00EA25CC" w:rsidP="001E3A2D">
      <w:pPr>
        <w:pStyle w:val="FootnoteText"/>
      </w:pPr>
      <w:r w:rsidRPr="005944B6">
        <w:rPr>
          <w:rStyle w:val="FootnoteReference"/>
          <w:rFonts w:cs="Arial"/>
          <w:szCs w:val="18"/>
        </w:rPr>
        <w:footnoteRef/>
      </w:r>
      <w:r w:rsidRPr="005944B6">
        <w:t xml:space="preserve"> General Comment No. 1, paragraph 42. </w:t>
      </w:r>
    </w:p>
  </w:footnote>
  <w:footnote w:id="268">
    <w:p w:rsidR="00EA25CC" w:rsidRPr="005944B6" w:rsidRDefault="00EA25CC" w:rsidP="001E3A2D">
      <w:pPr>
        <w:pStyle w:val="FootnoteText"/>
      </w:pPr>
      <w:r w:rsidRPr="005944B6">
        <w:rPr>
          <w:rStyle w:val="FootnoteReference"/>
          <w:rFonts w:cs="Arial"/>
          <w:szCs w:val="18"/>
        </w:rPr>
        <w:footnoteRef/>
      </w:r>
      <w:r w:rsidRPr="005944B6">
        <w:t xml:space="preserve"> Guidelines on article 14, paragraphs 10 and 11.</w:t>
      </w:r>
    </w:p>
  </w:footnote>
  <w:footnote w:id="269">
    <w:p w:rsidR="00EA25CC" w:rsidRPr="005944B6" w:rsidRDefault="00EA25CC" w:rsidP="001E3A2D">
      <w:pPr>
        <w:pStyle w:val="FootnoteText"/>
      </w:pPr>
      <w:r w:rsidRPr="005944B6">
        <w:rPr>
          <w:rStyle w:val="FootnoteReference"/>
          <w:rFonts w:cs="Arial"/>
          <w:szCs w:val="18"/>
        </w:rPr>
        <w:footnoteRef/>
      </w:r>
      <w:r w:rsidRPr="005944B6">
        <w:t xml:space="preserve"> See for instance concluding observations on Slovenia (CRPD/C/SVN/CO/1), paragraph 24. </w:t>
      </w:r>
    </w:p>
  </w:footnote>
  <w:footnote w:id="270">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the Russian Federation (CRPD/C/RUS/CO/1), paragraph 34.</w:t>
      </w:r>
    </w:p>
  </w:footnote>
  <w:footnote w:id="271">
    <w:p w:rsidR="00EA25CC" w:rsidRPr="005944B6" w:rsidRDefault="00EA25CC" w:rsidP="001E3A2D">
      <w:pPr>
        <w:pStyle w:val="FootnoteText"/>
      </w:pPr>
      <w:r w:rsidRPr="005944B6">
        <w:rPr>
          <w:rStyle w:val="FootnoteReference"/>
          <w:rFonts w:cs="Arial"/>
          <w:szCs w:val="18"/>
        </w:rPr>
        <w:footnoteRef/>
      </w:r>
      <w:r w:rsidRPr="005944B6">
        <w:t xml:space="preserve"> See General Comment No. 3, paragraph 61; General Comment No. 6, paragraph 7; concluding observations on the United Kingdom (CRPD/C/BGR/CO/1), paragraph 37. </w:t>
      </w:r>
    </w:p>
  </w:footnote>
  <w:footnote w:id="272">
    <w:p w:rsidR="00EA25CC" w:rsidRPr="005944B6" w:rsidRDefault="00EA25CC" w:rsidP="001E3A2D">
      <w:pPr>
        <w:pStyle w:val="FootnoteText"/>
      </w:pPr>
      <w:r w:rsidRPr="005944B6">
        <w:rPr>
          <w:rStyle w:val="FootnoteReference"/>
          <w:rFonts w:cs="Arial"/>
          <w:szCs w:val="18"/>
        </w:rPr>
        <w:footnoteRef/>
      </w:r>
      <w:r w:rsidRPr="005944B6">
        <w:t xml:space="preserve"> General Comment No. 3, paragraph 44. Regarding corrective surgery on intersex people see also </w:t>
      </w:r>
      <w:r>
        <w:t>c</w:t>
      </w:r>
      <w:r w:rsidRPr="005944B6">
        <w:t>oncluding observations on Morocco (CRPD/C/MAR/CO/1), paragraphs 36-37.</w:t>
      </w:r>
    </w:p>
  </w:footnote>
  <w:footnote w:id="273">
    <w:p w:rsidR="00EA25CC" w:rsidRPr="005944B6" w:rsidRDefault="00EA25CC" w:rsidP="001E3A2D">
      <w:pPr>
        <w:pStyle w:val="FootnoteText"/>
      </w:pPr>
      <w:r w:rsidRPr="005944B6">
        <w:rPr>
          <w:rStyle w:val="FootnoteReference"/>
          <w:rFonts w:cs="Arial"/>
          <w:szCs w:val="18"/>
        </w:rPr>
        <w:footnoteRef/>
      </w:r>
      <w:r w:rsidRPr="005944B6">
        <w:t xml:space="preserve"> See concluding observations of the Committee under articles 15 and 17.</w:t>
      </w:r>
      <w:r>
        <w:t xml:space="preserve"> </w:t>
      </w:r>
    </w:p>
  </w:footnote>
  <w:footnote w:id="274">
    <w:p w:rsidR="00EA25CC" w:rsidRPr="005944B6" w:rsidRDefault="00EA25CC" w:rsidP="001E3A2D">
      <w:pPr>
        <w:pStyle w:val="FootnoteText"/>
      </w:pPr>
      <w:r w:rsidRPr="005944B6">
        <w:rPr>
          <w:rStyle w:val="FootnoteReference"/>
          <w:rFonts w:cs="Arial"/>
          <w:szCs w:val="18"/>
        </w:rPr>
        <w:footnoteRef/>
      </w:r>
      <w:r w:rsidRPr="005944B6">
        <w:t xml:space="preserve"> See for instance </w:t>
      </w:r>
      <w:r>
        <w:t>c</w:t>
      </w:r>
      <w:r w:rsidRPr="005944B6">
        <w:t xml:space="preserve">oncluding Observations on Spain (CRPD/C/ESP/CO/1) paragraph 44(b) recommending to “ensure that the decisions to place children with a disability in a special school or in special classes, or to offer them solely a reduced-standard curriculum, are taken in consultation with the parents.” </w:t>
      </w:r>
    </w:p>
  </w:footnote>
  <w:footnote w:id="275">
    <w:p w:rsidR="00EA25CC" w:rsidRPr="005944B6" w:rsidRDefault="00EA25CC" w:rsidP="001E3A2D">
      <w:pPr>
        <w:pStyle w:val="FootnoteText"/>
      </w:pPr>
      <w:r w:rsidRPr="005944B6">
        <w:rPr>
          <w:rStyle w:val="FootnoteReference"/>
          <w:rFonts w:cs="Arial"/>
          <w:szCs w:val="18"/>
        </w:rPr>
        <w:footnoteRef/>
      </w:r>
      <w:r w:rsidRPr="005944B6">
        <w:t xml:space="preserve"> See for instance </w:t>
      </w:r>
      <w:r>
        <w:t>c</w:t>
      </w:r>
      <w:r w:rsidRPr="005944B6">
        <w:t xml:space="preserve">oncluding </w:t>
      </w:r>
      <w:r>
        <w:t>o</w:t>
      </w:r>
      <w:r w:rsidRPr="005944B6">
        <w:t xml:space="preserve">bservations on Croatia (CRPD/C/HRV/CO/1), paragraph 36. </w:t>
      </w:r>
    </w:p>
  </w:footnote>
  <w:footnote w:id="276">
    <w:p w:rsidR="00EA25CC" w:rsidRPr="005944B6" w:rsidRDefault="00EA25CC" w:rsidP="001E3A2D">
      <w:pPr>
        <w:pStyle w:val="FootnoteText"/>
      </w:pPr>
      <w:r w:rsidRPr="005944B6">
        <w:rPr>
          <w:rStyle w:val="FootnoteReference"/>
          <w:rFonts w:cs="Arial"/>
          <w:szCs w:val="18"/>
        </w:rPr>
        <w:footnoteRef/>
      </w:r>
      <w:r w:rsidRPr="005944B6">
        <w:t xml:space="preserve"> See General Comment No. 4, paragraphs 10-12.</w:t>
      </w:r>
    </w:p>
  </w:footnote>
  <w:footnote w:id="277">
    <w:p w:rsidR="00EA25CC" w:rsidRPr="005944B6" w:rsidRDefault="00EA25CC" w:rsidP="001E3A2D">
      <w:pPr>
        <w:pStyle w:val="FootnoteText"/>
      </w:pPr>
      <w:r w:rsidRPr="005944B6">
        <w:rPr>
          <w:rStyle w:val="FootnoteReference"/>
          <w:rFonts w:cs="Arial"/>
          <w:szCs w:val="18"/>
        </w:rPr>
        <w:footnoteRef/>
      </w:r>
      <w:r w:rsidRPr="005944B6">
        <w:t xml:space="preserve"> General Comment No. 4, paragraph 9. </w:t>
      </w:r>
    </w:p>
  </w:footnote>
  <w:footnote w:id="278">
    <w:p w:rsidR="00EA25CC" w:rsidRPr="005944B6" w:rsidRDefault="00EA25CC" w:rsidP="001E3A2D">
      <w:pPr>
        <w:pStyle w:val="FootnoteText"/>
      </w:pPr>
      <w:r w:rsidRPr="005944B6">
        <w:rPr>
          <w:rStyle w:val="FootnoteReference"/>
          <w:rFonts w:cs="Arial"/>
          <w:szCs w:val="18"/>
        </w:rPr>
        <w:footnoteRef/>
      </w:r>
      <w:r w:rsidRPr="005944B6">
        <w:t xml:space="preserve"> For instance concluding observations on Cyprus (CRPD/C/CYP/CO/1), paragraph 50. </w:t>
      </w:r>
    </w:p>
  </w:footnote>
  <w:footnote w:id="279">
    <w:p w:rsidR="00EA25CC" w:rsidRPr="005944B6" w:rsidRDefault="00EA25CC" w:rsidP="001E3A2D">
      <w:pPr>
        <w:pStyle w:val="FootnoteText"/>
      </w:pPr>
      <w:r w:rsidRPr="005944B6">
        <w:rPr>
          <w:rStyle w:val="FootnoteReference"/>
          <w:rFonts w:cs="Arial"/>
          <w:szCs w:val="18"/>
        </w:rPr>
        <w:footnoteRef/>
      </w:r>
      <w:r w:rsidRPr="005944B6">
        <w:t xml:space="preserve"> See General Comment No</w:t>
      </w:r>
      <w:r>
        <w:t>.</w:t>
      </w:r>
      <w:r w:rsidRPr="005944B6">
        <w:t xml:space="preserve"> 4, paragraphs 40-41 and Concluding Observations on Kenya (CRPD/C/KEN/CO/1), paragraph 44.</w:t>
      </w:r>
    </w:p>
  </w:footnote>
  <w:footnote w:id="280">
    <w:p w:rsidR="00EA25CC" w:rsidRPr="005944B6" w:rsidRDefault="00EA25CC" w:rsidP="001E3A2D">
      <w:pPr>
        <w:pStyle w:val="FootnoteText"/>
      </w:pPr>
      <w:r w:rsidRPr="005944B6">
        <w:rPr>
          <w:rStyle w:val="FootnoteReference"/>
          <w:rFonts w:cs="Arial"/>
          <w:szCs w:val="18"/>
        </w:rPr>
        <w:footnoteRef/>
      </w:r>
      <w:r w:rsidRPr="005944B6">
        <w:t xml:space="preserve"> Inquiry concerning Spain (CRPD/C/20/3), paragraph 82.</w:t>
      </w:r>
    </w:p>
  </w:footnote>
  <w:footnote w:id="281">
    <w:p w:rsidR="00EA25CC" w:rsidRPr="005944B6" w:rsidRDefault="00EA25CC" w:rsidP="001E3A2D">
      <w:pPr>
        <w:pStyle w:val="FootnoteText"/>
        <w:rPr>
          <w:b/>
          <w:bCs/>
        </w:rPr>
      </w:pPr>
      <w:r w:rsidRPr="005944B6">
        <w:rPr>
          <w:rStyle w:val="FootnoteReference"/>
          <w:rFonts w:cs="Arial"/>
          <w:szCs w:val="18"/>
        </w:rPr>
        <w:footnoteRef/>
      </w:r>
      <w:r w:rsidRPr="005944B6">
        <w:t xml:space="preserve"> Statement of the CRPD Committee on the situation in Haiti (A/66/55, Annex XI); Statement on the earthquake and tsunami in Chile (A/66/55, annex XII); Statement on the earthquake in Qinghai (A/66/55, annex XIII); Joint statement CRPD/CRC/CEDAW on the Pakistan Floods (A/66/55, annex XIV); </w:t>
      </w:r>
      <w:r w:rsidRPr="005944B6">
        <w:rPr>
          <w:bCs/>
        </w:rPr>
        <w:t xml:space="preserve">Statement on the situation of persons with disabilities affected by disasters in </w:t>
      </w:r>
      <w:r w:rsidRPr="005944B6">
        <w:rPr>
          <w:bCs/>
          <w:lang w:val="es-ES"/>
        </w:rPr>
        <w:t>Peru, Ecuador and Colombia</w:t>
      </w:r>
      <w:r w:rsidRPr="005944B6">
        <w:rPr>
          <w:bCs/>
        </w:rPr>
        <w:t>.</w:t>
      </w:r>
    </w:p>
  </w:footnote>
  <w:footnote w:id="282">
    <w:p w:rsidR="00EA25CC" w:rsidRPr="005944B6" w:rsidRDefault="00EA25CC" w:rsidP="001E3A2D">
      <w:pPr>
        <w:pStyle w:val="FootnoteText"/>
      </w:pPr>
      <w:r w:rsidRPr="005944B6">
        <w:rPr>
          <w:rStyle w:val="FootnoteReference"/>
          <w:rFonts w:cs="Arial"/>
          <w:szCs w:val="18"/>
        </w:rPr>
        <w:footnoteRef/>
      </w:r>
      <w:r w:rsidRPr="005944B6">
        <w:t xml:space="preserve"> Statement on persons with disabilities being forgotten victims of the Syrian conflict.</w:t>
      </w:r>
    </w:p>
  </w:footnote>
  <w:footnote w:id="283">
    <w:p w:rsidR="00EA25CC" w:rsidRPr="005944B6" w:rsidRDefault="00EA25CC" w:rsidP="001E3A2D">
      <w:pPr>
        <w:pStyle w:val="FootnoteText"/>
      </w:pPr>
      <w:r w:rsidRPr="005944B6">
        <w:rPr>
          <w:rStyle w:val="FootnoteReference"/>
          <w:rFonts w:cs="Arial"/>
          <w:szCs w:val="18"/>
        </w:rPr>
        <w:footnoteRef/>
      </w:r>
      <w:r w:rsidRPr="005944B6">
        <w:t xml:space="preserve"> Statement on Disability Inclusion in the Third World Conference on Disaster Risk Reduction and Beyond (2014). </w:t>
      </w:r>
    </w:p>
  </w:footnote>
  <w:footnote w:id="284">
    <w:p w:rsidR="00EA25CC" w:rsidRPr="005944B6" w:rsidRDefault="00EA25CC" w:rsidP="001E3A2D">
      <w:pPr>
        <w:pStyle w:val="FootnoteText"/>
      </w:pPr>
      <w:r w:rsidRPr="005944B6">
        <w:rPr>
          <w:rStyle w:val="FootnoteReference"/>
          <w:rFonts w:cs="Arial"/>
          <w:szCs w:val="18"/>
        </w:rPr>
        <w:footnoteRef/>
      </w:r>
      <w:r w:rsidRPr="005944B6">
        <w:t xml:space="preserve"> Statement on disability inclusion for the World Humanitarian Summit (September 2015). </w:t>
      </w:r>
    </w:p>
  </w:footnote>
  <w:footnote w:id="285">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43.</w:t>
      </w:r>
    </w:p>
  </w:footnote>
  <w:footnote w:id="286">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44.</w:t>
      </w:r>
    </w:p>
  </w:footnote>
  <w:footnote w:id="287">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36. </w:t>
      </w:r>
    </w:p>
  </w:footnote>
  <w:footnote w:id="288">
    <w:p w:rsidR="00EA25CC" w:rsidRPr="005944B6" w:rsidRDefault="00EA25CC" w:rsidP="001E3A2D">
      <w:pPr>
        <w:pStyle w:val="FootnoteText"/>
      </w:pPr>
      <w:r w:rsidRPr="005944B6">
        <w:rPr>
          <w:rStyle w:val="FootnoteReference"/>
          <w:rFonts w:cs="Arial"/>
          <w:szCs w:val="18"/>
        </w:rPr>
        <w:footnoteRef/>
      </w:r>
      <w:r w:rsidRPr="005944B6">
        <w:t xml:space="preserve"> General Comment No. 5, paragraph 79.</w:t>
      </w:r>
    </w:p>
  </w:footnote>
  <w:footnote w:id="289">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36. </w:t>
      </w:r>
    </w:p>
  </w:footnote>
  <w:footnote w:id="290">
    <w:p w:rsidR="00EA25CC" w:rsidRPr="005944B6" w:rsidRDefault="00EA25CC" w:rsidP="001E3A2D">
      <w:pPr>
        <w:pStyle w:val="FootnoteText"/>
      </w:pPr>
      <w:r w:rsidRPr="005944B6">
        <w:rPr>
          <w:rStyle w:val="FootnoteReference"/>
          <w:rFonts w:cs="Arial"/>
          <w:szCs w:val="18"/>
        </w:rPr>
        <w:footnoteRef/>
      </w:r>
      <w:r w:rsidRPr="005944B6">
        <w:t xml:space="preserve"> See for instance concluding observations on the European Union (</w:t>
      </w:r>
      <w:r w:rsidRPr="005944B6">
        <w:rPr>
          <w:bCs/>
        </w:rPr>
        <w:t>CRPD/C/EU/CO/1</w:t>
      </w:r>
      <w:r w:rsidRPr="005944B6">
        <w:t xml:space="preserve">), paragraph 33, or on Serbia (CRPD/C/SRB/CO/1), paragraph 19. </w:t>
      </w:r>
    </w:p>
  </w:footnote>
  <w:footnote w:id="291">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41. </w:t>
      </w:r>
    </w:p>
  </w:footnote>
  <w:footnote w:id="292">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58. </w:t>
      </w:r>
    </w:p>
  </w:footnote>
  <w:footnote w:id="293">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91.</w:t>
      </w:r>
    </w:p>
  </w:footnote>
  <w:footnote w:id="294">
    <w:p w:rsidR="00EA25CC" w:rsidRPr="005944B6" w:rsidRDefault="00EA25CC" w:rsidP="001E3A2D">
      <w:pPr>
        <w:pStyle w:val="FootnoteText"/>
      </w:pPr>
      <w:r w:rsidRPr="005944B6">
        <w:rPr>
          <w:rStyle w:val="FootnoteReference"/>
          <w:rFonts w:cs="Arial"/>
          <w:szCs w:val="18"/>
        </w:rPr>
        <w:footnoteRef/>
      </w:r>
      <w:r w:rsidRPr="005944B6">
        <w:t xml:space="preserve"> General Comment No. 2, paragraph 67.</w:t>
      </w:r>
    </w:p>
  </w:footnote>
  <w:footnote w:id="295">
    <w:p w:rsidR="00EA25CC" w:rsidRPr="005944B6" w:rsidRDefault="00EA25CC" w:rsidP="001E3A2D">
      <w:pPr>
        <w:pStyle w:val="FootnoteText"/>
      </w:pPr>
      <w:r w:rsidRPr="005944B6">
        <w:rPr>
          <w:rStyle w:val="FootnoteReference"/>
          <w:rFonts w:cs="Arial"/>
          <w:szCs w:val="18"/>
        </w:rPr>
        <w:footnoteRef/>
      </w:r>
      <w:r w:rsidRPr="005944B6">
        <w:t xml:space="preserve"> See for instance inquiry </w:t>
      </w:r>
      <w:r w:rsidR="00624983">
        <w:t>concerni</w:t>
      </w:r>
      <w:r w:rsidR="0094785A">
        <w:t>ng</w:t>
      </w:r>
      <w:r w:rsidRPr="005944B6">
        <w:t xml:space="preserve"> the</w:t>
      </w:r>
      <w:r w:rsidR="00C70FEE">
        <w:t xml:space="preserve"> United Kingdom, paragraph 22; c</w:t>
      </w:r>
      <w:r w:rsidRPr="005944B6">
        <w:t xml:space="preserve">oncluding observations on Paraguay (CRPD/C/PRY/CO/1), paragraph 64; </w:t>
      </w:r>
      <w:r w:rsidR="00C70FEE">
        <w:t>c</w:t>
      </w:r>
      <w:r w:rsidRPr="005944B6">
        <w:t>oncluding observations on Croatia (CRPD/C/HRV/CO/1), paragraph 42.</w:t>
      </w:r>
    </w:p>
  </w:footnote>
  <w:footnote w:id="296">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Kenya (CRPD/C/KEN/CO/1), paragraph 48.</w:t>
      </w:r>
    </w:p>
  </w:footnote>
  <w:footnote w:id="297">
    <w:p w:rsidR="00EA25CC" w:rsidRPr="005944B6" w:rsidRDefault="00EA25CC" w:rsidP="001E3A2D">
      <w:pPr>
        <w:pStyle w:val="FootnoteText"/>
        <w:rPr>
          <w:u w:val="single"/>
        </w:rPr>
      </w:pPr>
      <w:r w:rsidRPr="005944B6">
        <w:rPr>
          <w:rStyle w:val="FootnoteReference"/>
          <w:rFonts w:cs="Arial"/>
          <w:szCs w:val="18"/>
        </w:rPr>
        <w:footnoteRef/>
      </w:r>
      <w:r w:rsidRPr="005944B6">
        <w:t xml:space="preserve"> See </w:t>
      </w:r>
      <w:r w:rsidRPr="00C70FEE">
        <w:rPr>
          <w:i/>
        </w:rPr>
        <w:t xml:space="preserve">Liliane Gröninger v. Germany </w:t>
      </w:r>
      <w:r w:rsidRPr="00C70FEE">
        <w:t>(C</w:t>
      </w:r>
      <w:r w:rsidRPr="005944B6">
        <w:t>RPD/C/D/2/2010).</w:t>
      </w:r>
    </w:p>
  </w:footnote>
  <w:footnote w:id="298">
    <w:p w:rsidR="00EA25CC" w:rsidRPr="005944B6" w:rsidRDefault="00EA25CC" w:rsidP="001E3A2D">
      <w:pPr>
        <w:pStyle w:val="FootnoteText"/>
      </w:pPr>
      <w:r w:rsidRPr="005944B6">
        <w:rPr>
          <w:rStyle w:val="FootnoteReference"/>
          <w:rFonts w:cs="Arial"/>
          <w:szCs w:val="18"/>
        </w:rPr>
        <w:footnoteRef/>
      </w:r>
      <w:r w:rsidRPr="005944B6">
        <w:t xml:space="preserve"> See for instance inquiry concerning the United Kingdom, paragraph 25.</w:t>
      </w:r>
    </w:p>
  </w:footnote>
  <w:footnote w:id="299">
    <w:p w:rsidR="00EA25CC" w:rsidRPr="005944B6" w:rsidRDefault="00EA25CC" w:rsidP="001E3A2D">
      <w:pPr>
        <w:pStyle w:val="FootnoteText"/>
      </w:pPr>
      <w:r w:rsidRPr="005944B6">
        <w:rPr>
          <w:rStyle w:val="FootnoteReference"/>
          <w:rFonts w:cs="Arial"/>
          <w:szCs w:val="18"/>
        </w:rPr>
        <w:footnoteRef/>
      </w:r>
      <w:r w:rsidRPr="005944B6">
        <w:t xml:space="preserve"> Concluding observations on Mexico (CRPD/C/MEX/CO/1), paragraph 52.</w:t>
      </w:r>
    </w:p>
  </w:footnote>
  <w:footnote w:id="300">
    <w:p w:rsidR="00EA25CC" w:rsidRPr="005944B6" w:rsidRDefault="00EA25CC" w:rsidP="001E3A2D">
      <w:pPr>
        <w:pStyle w:val="FootnoteText"/>
      </w:pPr>
      <w:r w:rsidRPr="005944B6">
        <w:rPr>
          <w:rStyle w:val="FootnoteReference"/>
          <w:rFonts w:cs="Arial"/>
          <w:szCs w:val="18"/>
        </w:rPr>
        <w:footnoteRef/>
      </w:r>
      <w:r w:rsidRPr="005944B6">
        <w:t xml:space="preserve"> See Statement of the CRPD Committee on including the rights of persons with disabilities in the post 2015 agenda on disability and development (May 2013).</w:t>
      </w:r>
    </w:p>
  </w:footnote>
  <w:footnote w:id="301">
    <w:p w:rsidR="00EA25CC" w:rsidRPr="005944B6" w:rsidRDefault="00EA25CC" w:rsidP="001E3A2D">
      <w:pPr>
        <w:pStyle w:val="FootnoteText"/>
      </w:pPr>
      <w:r w:rsidRPr="005944B6">
        <w:rPr>
          <w:rStyle w:val="FootnoteReference"/>
          <w:rFonts w:cs="Arial"/>
          <w:szCs w:val="18"/>
        </w:rPr>
        <w:footnoteRef/>
      </w:r>
      <w:r w:rsidRPr="005944B6">
        <w:t xml:space="preserve"> See for instance concluding observations on Panama (CRPD/C/PAN/CO/1), paragraph 63. </w:t>
      </w:r>
    </w:p>
  </w:footnote>
  <w:footnote w:id="302">
    <w:p w:rsidR="00EA25CC" w:rsidRPr="005944B6" w:rsidRDefault="00EA25CC" w:rsidP="001E3A2D">
      <w:pPr>
        <w:pStyle w:val="FootnoteText"/>
      </w:pPr>
      <w:r w:rsidRPr="005944B6">
        <w:rPr>
          <w:rStyle w:val="FootnoteReference"/>
          <w:rFonts w:cs="Arial"/>
          <w:szCs w:val="18"/>
        </w:rPr>
        <w:footnoteRef/>
      </w:r>
      <w:r w:rsidRPr="005944B6">
        <w:t xml:space="preserve"> General Comment No. 6, paragraph 71.</w:t>
      </w:r>
    </w:p>
  </w:footnote>
  <w:footnote w:id="303">
    <w:p w:rsidR="00EA25CC" w:rsidRPr="005944B6" w:rsidRDefault="00EA25CC" w:rsidP="001E3A2D">
      <w:pPr>
        <w:pStyle w:val="FootnoteText"/>
      </w:pPr>
      <w:r w:rsidRPr="005944B6">
        <w:rPr>
          <w:rStyle w:val="FootnoteReference"/>
          <w:rFonts w:cs="Arial"/>
          <w:szCs w:val="18"/>
        </w:rPr>
        <w:footnoteRef/>
      </w:r>
      <w:r w:rsidRPr="005944B6">
        <w:t xml:space="preserve"> Under article 28 CRPD.</w:t>
      </w:r>
    </w:p>
  </w:footnote>
  <w:footnote w:id="304">
    <w:p w:rsidR="00EA25CC" w:rsidRPr="005944B6" w:rsidRDefault="00EA25CC" w:rsidP="001E3A2D">
      <w:pPr>
        <w:pStyle w:val="FootnoteText"/>
      </w:pPr>
      <w:r w:rsidRPr="005944B6">
        <w:rPr>
          <w:rStyle w:val="FootnoteReference"/>
          <w:rFonts w:cs="Arial"/>
          <w:szCs w:val="18"/>
        </w:rPr>
        <w:footnoteRef/>
      </w:r>
      <w:r w:rsidRPr="005944B6">
        <w:t xml:space="preserve"> Under articles 23 and 25 CRPD.</w:t>
      </w:r>
    </w:p>
  </w:footnote>
  <w:footnote w:id="305">
    <w:p w:rsidR="00EA25CC" w:rsidRPr="005944B6" w:rsidRDefault="00EA25CC" w:rsidP="001E3A2D">
      <w:pPr>
        <w:pStyle w:val="FootnoteText"/>
      </w:pPr>
      <w:r w:rsidRPr="005944B6">
        <w:rPr>
          <w:rStyle w:val="FootnoteReference"/>
          <w:rFonts w:cs="Arial"/>
          <w:szCs w:val="18"/>
        </w:rPr>
        <w:footnoteRef/>
      </w:r>
      <w:r w:rsidRPr="005944B6">
        <w:t xml:space="preserve"> Under article 24 CRPD.</w:t>
      </w:r>
    </w:p>
  </w:footnote>
  <w:footnote w:id="306">
    <w:p w:rsidR="00EA25CC" w:rsidRPr="005944B6" w:rsidRDefault="00EA25CC" w:rsidP="001E3A2D">
      <w:pPr>
        <w:pStyle w:val="FootnoteText"/>
      </w:pPr>
      <w:r w:rsidRPr="005944B6">
        <w:rPr>
          <w:rStyle w:val="FootnoteReference"/>
          <w:rFonts w:cs="Arial"/>
          <w:szCs w:val="18"/>
        </w:rPr>
        <w:footnoteRef/>
      </w:r>
      <w:r w:rsidRPr="005944B6">
        <w:t xml:space="preserve"> Under articles 6, 16, 17 and 25 CRPD.</w:t>
      </w:r>
    </w:p>
  </w:footnote>
  <w:footnote w:id="307">
    <w:p w:rsidR="00EA25CC" w:rsidRPr="005944B6" w:rsidRDefault="00EA25CC" w:rsidP="001E3A2D">
      <w:pPr>
        <w:pStyle w:val="FootnoteText"/>
      </w:pPr>
      <w:r w:rsidRPr="005944B6">
        <w:rPr>
          <w:rStyle w:val="FootnoteReference"/>
          <w:rFonts w:cs="Arial"/>
          <w:szCs w:val="18"/>
        </w:rPr>
        <w:footnoteRef/>
      </w:r>
      <w:r w:rsidRPr="005944B6">
        <w:t xml:space="preserve"> Under article 27 CRPD.</w:t>
      </w:r>
    </w:p>
  </w:footnote>
  <w:footnote w:id="308">
    <w:p w:rsidR="00EA25CC" w:rsidRPr="005944B6" w:rsidRDefault="00EA25CC" w:rsidP="001E3A2D">
      <w:pPr>
        <w:pStyle w:val="FootnoteText"/>
      </w:pPr>
      <w:r w:rsidRPr="005944B6">
        <w:rPr>
          <w:rStyle w:val="FootnoteReference"/>
          <w:rFonts w:cs="Arial"/>
          <w:szCs w:val="18"/>
        </w:rPr>
        <w:footnoteRef/>
      </w:r>
      <w:r w:rsidRPr="005944B6">
        <w:t xml:space="preserve"> Under article 9 CRPD.</w:t>
      </w:r>
    </w:p>
  </w:footnote>
  <w:footnote w:id="309">
    <w:p w:rsidR="00EA25CC" w:rsidRPr="005944B6" w:rsidRDefault="00EA25CC" w:rsidP="001E3A2D">
      <w:pPr>
        <w:pStyle w:val="FootnoteText"/>
      </w:pPr>
      <w:r w:rsidRPr="005944B6">
        <w:rPr>
          <w:rStyle w:val="FootnoteReference"/>
          <w:rFonts w:cs="Arial"/>
          <w:szCs w:val="18"/>
        </w:rPr>
        <w:footnoteRef/>
      </w:r>
      <w:r w:rsidRPr="005944B6">
        <w:t xml:space="preserve"> Under article 5 and 28 CRPD.</w:t>
      </w:r>
    </w:p>
  </w:footnote>
  <w:footnote w:id="310">
    <w:p w:rsidR="00EA25CC" w:rsidRPr="005944B6" w:rsidRDefault="00EA25CC" w:rsidP="001E3A2D">
      <w:pPr>
        <w:pStyle w:val="FootnoteText"/>
      </w:pPr>
      <w:r w:rsidRPr="005944B6">
        <w:rPr>
          <w:rStyle w:val="FootnoteReference"/>
          <w:rFonts w:cs="Arial"/>
          <w:szCs w:val="18"/>
        </w:rPr>
        <w:footnoteRef/>
      </w:r>
      <w:r w:rsidRPr="005944B6">
        <w:t xml:space="preserve"> Under article 9 and 30 CRPD.</w:t>
      </w:r>
    </w:p>
  </w:footnote>
  <w:footnote w:id="311">
    <w:p w:rsidR="00EA25CC" w:rsidRPr="005944B6" w:rsidRDefault="00EA25CC" w:rsidP="001E3A2D">
      <w:pPr>
        <w:pStyle w:val="FootnoteText"/>
      </w:pPr>
      <w:r w:rsidRPr="005944B6">
        <w:rPr>
          <w:rStyle w:val="FootnoteReference"/>
          <w:rFonts w:cs="Arial"/>
          <w:szCs w:val="18"/>
        </w:rPr>
        <w:footnoteRef/>
      </w:r>
      <w:r w:rsidRPr="005944B6">
        <w:t xml:space="preserve"> Under articles 7 and 13 CRPD.</w:t>
      </w:r>
    </w:p>
  </w:footnote>
  <w:footnote w:id="312">
    <w:p w:rsidR="00EA25CC" w:rsidRDefault="00EA25CC" w:rsidP="001E3A2D">
      <w:pPr>
        <w:pStyle w:val="FootnoteText"/>
      </w:pPr>
      <w:r w:rsidRPr="005944B6">
        <w:rPr>
          <w:rStyle w:val="FootnoteReference"/>
          <w:rFonts w:cs="Arial"/>
          <w:szCs w:val="18"/>
        </w:rPr>
        <w:footnoteRef/>
      </w:r>
      <w:r w:rsidRPr="005944B6">
        <w:t xml:space="preserve"> Under article 31 CRPD.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1367A"/>
    <w:multiLevelType w:val="multilevel"/>
    <w:tmpl w:val="6B2C0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274D23"/>
    <w:multiLevelType w:val="multilevel"/>
    <w:tmpl w:val="BD7A62BA"/>
    <w:lvl w:ilvl="0">
      <w:start w:val="1"/>
      <w:numFmt w:val="lowerRoman"/>
      <w:lvlText w:val="%1."/>
      <w:lvlJc w:val="right"/>
      <w:pPr>
        <w:tabs>
          <w:tab w:val="num" w:pos="786"/>
        </w:tabs>
        <w:ind w:left="786" w:hanging="360"/>
      </w:pPr>
      <w:rPr>
        <w:b/>
      </w:rPr>
    </w:lvl>
    <w:lvl w:ilvl="1">
      <w:start w:val="1"/>
      <w:numFmt w:val="decimal"/>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58E3BCD"/>
    <w:multiLevelType w:val="hybridMultilevel"/>
    <w:tmpl w:val="DC30C6CA"/>
    <w:lvl w:ilvl="0" w:tplc="09D6B890">
      <w:start w:val="42"/>
      <w:numFmt w:val="decimal"/>
      <w:lvlText w:val="%1."/>
      <w:lvlJc w:val="left"/>
      <w:pPr>
        <w:ind w:left="927"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E0719C"/>
    <w:multiLevelType w:val="hybridMultilevel"/>
    <w:tmpl w:val="5A04D56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56E3F55"/>
    <w:multiLevelType w:val="hybridMultilevel"/>
    <w:tmpl w:val="42C04048"/>
    <w:lvl w:ilvl="0" w:tplc="7ED66124">
      <w:start w:val="58"/>
      <w:numFmt w:val="decimal"/>
      <w:lvlText w:val="%1."/>
      <w:lvlJc w:val="left"/>
      <w:pPr>
        <w:ind w:left="927"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FB4D09"/>
    <w:multiLevelType w:val="hybridMultilevel"/>
    <w:tmpl w:val="7AC0B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CC5FEC"/>
    <w:multiLevelType w:val="hybridMultilevel"/>
    <w:tmpl w:val="CC64D06E"/>
    <w:lvl w:ilvl="0" w:tplc="50205BCA">
      <w:start w:val="7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356077"/>
    <w:multiLevelType w:val="multilevel"/>
    <w:tmpl w:val="0972CF1E"/>
    <w:styleLink w:val="List0"/>
    <w:lvl w:ilvl="0">
      <w:start w:val="5"/>
      <w:numFmt w:val="decimal"/>
      <w:lvlText w:val="%1."/>
      <w:lvlJc w:val="left"/>
      <w:pPr>
        <w:tabs>
          <w:tab w:val="num" w:pos="95"/>
        </w:tabs>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1">
      <w:start w:val="1"/>
      <w:numFmt w:val="decimal"/>
      <w:lvlText w:val="%2."/>
      <w:lvlJc w:val="left"/>
      <w:pPr>
        <w:tabs>
          <w:tab w:val="num" w:pos="720"/>
        </w:tabs>
        <w:ind w:left="72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2">
      <w:start w:val="1"/>
      <w:numFmt w:val="decimal"/>
      <w:lvlText w:val="%3."/>
      <w:lvlJc w:val="left"/>
      <w:pPr>
        <w:tabs>
          <w:tab w:val="num" w:pos="1080"/>
        </w:tabs>
        <w:ind w:left="108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3">
      <w:start w:val="1"/>
      <w:numFmt w:val="decimal"/>
      <w:lvlText w:val="%4."/>
      <w:lvlJc w:val="left"/>
      <w:pPr>
        <w:tabs>
          <w:tab w:val="num" w:pos="1440"/>
        </w:tabs>
        <w:ind w:left="144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4">
      <w:start w:val="1"/>
      <w:numFmt w:val="decimal"/>
      <w:lvlText w:val="%5."/>
      <w:lvlJc w:val="left"/>
      <w:pPr>
        <w:tabs>
          <w:tab w:val="num" w:pos="1800"/>
        </w:tabs>
        <w:ind w:left="180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5">
      <w:start w:val="1"/>
      <w:numFmt w:val="decimal"/>
      <w:lvlText w:val="%6."/>
      <w:lvlJc w:val="left"/>
      <w:pPr>
        <w:tabs>
          <w:tab w:val="num" w:pos="2160"/>
        </w:tabs>
        <w:ind w:left="216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6">
      <w:start w:val="1"/>
      <w:numFmt w:val="decimal"/>
      <w:lvlText w:val="%7."/>
      <w:lvlJc w:val="left"/>
      <w:pPr>
        <w:tabs>
          <w:tab w:val="num" w:pos="2520"/>
        </w:tabs>
        <w:ind w:left="252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7">
      <w:start w:val="1"/>
      <w:numFmt w:val="decimal"/>
      <w:lvlText w:val="%8."/>
      <w:lvlJc w:val="left"/>
      <w:pPr>
        <w:tabs>
          <w:tab w:val="num" w:pos="2880"/>
        </w:tabs>
        <w:ind w:left="288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8">
      <w:start w:val="1"/>
      <w:numFmt w:val="decimal"/>
      <w:lvlText w:val="%9."/>
      <w:lvlJc w:val="left"/>
      <w:pPr>
        <w:tabs>
          <w:tab w:val="num" w:pos="3240"/>
        </w:tabs>
        <w:ind w:left="324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abstractNum>
  <w:abstractNum w:abstractNumId="8" w15:restartNumberingAfterBreak="0">
    <w:nsid w:val="34D92682"/>
    <w:multiLevelType w:val="singleLevel"/>
    <w:tmpl w:val="2780D310"/>
    <w:lvl w:ilvl="0">
      <w:start w:val="1"/>
      <w:numFmt w:val="decimal"/>
      <w:lvlText w:val="%1"/>
      <w:legacy w:legacy="1" w:legacySpace="0" w:legacyIndent="360"/>
      <w:lvlJc w:val="left"/>
      <w:rPr>
        <w:rFonts w:ascii="Times New Roman" w:hAnsi="Times New Roman" w:cs="Times New Roman" w:hint="default"/>
      </w:rPr>
    </w:lvl>
  </w:abstractNum>
  <w:abstractNum w:abstractNumId="9" w15:restartNumberingAfterBreak="0">
    <w:nsid w:val="3D2E5115"/>
    <w:multiLevelType w:val="multilevel"/>
    <w:tmpl w:val="8CCC062E"/>
    <w:styleLink w:val="List1"/>
    <w:lvl w:ilvl="0">
      <w:start w:val="1"/>
      <w:numFmt w:val="lowerLetter"/>
      <w:lvlText w:val="(%1)"/>
      <w:lvlJc w:val="left"/>
      <w:pPr>
        <w:tabs>
          <w:tab w:val="num" w:pos="379"/>
        </w:tabs>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1">
      <w:start w:val="1"/>
      <w:numFmt w:val="upperLetter"/>
      <w:lvlText w:val="%2."/>
      <w:lvlJc w:val="left"/>
      <w:pPr>
        <w:tabs>
          <w:tab w:val="num" w:pos="720"/>
        </w:tabs>
        <w:ind w:left="72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2">
      <w:start w:val="1"/>
      <w:numFmt w:val="upperLetter"/>
      <w:lvlText w:val="%3."/>
      <w:lvlJc w:val="left"/>
      <w:pPr>
        <w:tabs>
          <w:tab w:val="num" w:pos="1080"/>
        </w:tabs>
        <w:ind w:left="108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3">
      <w:start w:val="1"/>
      <w:numFmt w:val="upperLetter"/>
      <w:lvlText w:val="%4."/>
      <w:lvlJc w:val="left"/>
      <w:pPr>
        <w:tabs>
          <w:tab w:val="num" w:pos="1440"/>
        </w:tabs>
        <w:ind w:left="144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4">
      <w:start w:val="1"/>
      <w:numFmt w:val="upperLetter"/>
      <w:lvlText w:val="%5."/>
      <w:lvlJc w:val="left"/>
      <w:pPr>
        <w:tabs>
          <w:tab w:val="num" w:pos="1800"/>
        </w:tabs>
        <w:ind w:left="180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5">
      <w:start w:val="1"/>
      <w:numFmt w:val="upperLetter"/>
      <w:lvlText w:val="%6."/>
      <w:lvlJc w:val="left"/>
      <w:pPr>
        <w:tabs>
          <w:tab w:val="num" w:pos="2160"/>
        </w:tabs>
        <w:ind w:left="216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6">
      <w:start w:val="1"/>
      <w:numFmt w:val="upperLetter"/>
      <w:lvlText w:val="%7."/>
      <w:lvlJc w:val="left"/>
      <w:pPr>
        <w:tabs>
          <w:tab w:val="num" w:pos="2520"/>
        </w:tabs>
        <w:ind w:left="252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7">
      <w:start w:val="1"/>
      <w:numFmt w:val="upperLetter"/>
      <w:lvlText w:val="%8."/>
      <w:lvlJc w:val="left"/>
      <w:pPr>
        <w:tabs>
          <w:tab w:val="num" w:pos="2880"/>
        </w:tabs>
        <w:ind w:left="288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 w:ilvl="8">
      <w:start w:val="1"/>
      <w:numFmt w:val="upperLetter"/>
      <w:lvlText w:val="%9."/>
      <w:lvlJc w:val="left"/>
      <w:pPr>
        <w:tabs>
          <w:tab w:val="num" w:pos="3240"/>
        </w:tabs>
        <w:ind w:left="3240" w:hanging="360"/>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abstractNum>
  <w:abstractNum w:abstractNumId="10" w15:restartNumberingAfterBreak="0">
    <w:nsid w:val="40B522AC"/>
    <w:multiLevelType w:val="multilevel"/>
    <w:tmpl w:val="6B2C0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614782"/>
    <w:multiLevelType w:val="hybridMultilevel"/>
    <w:tmpl w:val="23107CD6"/>
    <w:lvl w:ilvl="0" w:tplc="FAC88B50">
      <w:start w:val="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847367"/>
    <w:multiLevelType w:val="hybridMultilevel"/>
    <w:tmpl w:val="CC6834B6"/>
    <w:lvl w:ilvl="0" w:tplc="4D24CA2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A13646"/>
    <w:multiLevelType w:val="hybridMultilevel"/>
    <w:tmpl w:val="AD56595A"/>
    <w:lvl w:ilvl="0" w:tplc="39BC4CA4">
      <w:start w:val="172"/>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37709B"/>
    <w:multiLevelType w:val="hybridMultilevel"/>
    <w:tmpl w:val="F086F7A2"/>
    <w:lvl w:ilvl="0" w:tplc="0409000F">
      <w:start w:val="7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A17336E"/>
    <w:multiLevelType w:val="hybridMultilevel"/>
    <w:tmpl w:val="85F6D6A2"/>
    <w:lvl w:ilvl="0" w:tplc="0809000F">
      <w:start w:val="1"/>
      <w:numFmt w:val="decimal"/>
      <w:lvlText w:val="%1."/>
      <w:lvlJc w:val="left"/>
      <w:pPr>
        <w:ind w:left="927"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870811"/>
    <w:multiLevelType w:val="hybridMultilevel"/>
    <w:tmpl w:val="D09C6894"/>
    <w:lvl w:ilvl="0" w:tplc="5FCEBF20">
      <w:start w:val="1"/>
      <w:numFmt w:val="decimal"/>
      <w:lvlText w:val="%1."/>
      <w:lvlJc w:val="left"/>
      <w:pPr>
        <w:tabs>
          <w:tab w:val="num" w:pos="1608"/>
        </w:tabs>
        <w:ind w:left="1608" w:hanging="360"/>
      </w:pPr>
      <w:rPr>
        <w:rFonts w:hint="default"/>
        <w:b w:val="0"/>
      </w:rPr>
    </w:lvl>
    <w:lvl w:ilvl="1" w:tplc="04090019" w:tentative="1">
      <w:start w:val="1"/>
      <w:numFmt w:val="lowerLetter"/>
      <w:lvlText w:val="%2."/>
      <w:lvlJc w:val="left"/>
      <w:pPr>
        <w:tabs>
          <w:tab w:val="num" w:pos="270"/>
        </w:tabs>
        <w:ind w:left="270" w:hanging="360"/>
      </w:pPr>
    </w:lvl>
    <w:lvl w:ilvl="2" w:tplc="0409001B" w:tentative="1">
      <w:start w:val="1"/>
      <w:numFmt w:val="lowerRoman"/>
      <w:lvlText w:val="%3."/>
      <w:lvlJc w:val="right"/>
      <w:pPr>
        <w:tabs>
          <w:tab w:val="num" w:pos="990"/>
        </w:tabs>
        <w:ind w:left="990" w:hanging="180"/>
      </w:pPr>
    </w:lvl>
    <w:lvl w:ilvl="3" w:tplc="0409000F" w:tentative="1">
      <w:start w:val="1"/>
      <w:numFmt w:val="decimal"/>
      <w:lvlText w:val="%4."/>
      <w:lvlJc w:val="left"/>
      <w:pPr>
        <w:tabs>
          <w:tab w:val="num" w:pos="1710"/>
        </w:tabs>
        <w:ind w:left="1710" w:hanging="360"/>
      </w:pPr>
    </w:lvl>
    <w:lvl w:ilvl="4" w:tplc="04090019" w:tentative="1">
      <w:start w:val="1"/>
      <w:numFmt w:val="lowerLetter"/>
      <w:lvlText w:val="%5."/>
      <w:lvlJc w:val="left"/>
      <w:pPr>
        <w:tabs>
          <w:tab w:val="num" w:pos="2430"/>
        </w:tabs>
        <w:ind w:left="2430" w:hanging="360"/>
      </w:pPr>
    </w:lvl>
    <w:lvl w:ilvl="5" w:tplc="0409001B" w:tentative="1">
      <w:start w:val="1"/>
      <w:numFmt w:val="lowerRoman"/>
      <w:lvlText w:val="%6."/>
      <w:lvlJc w:val="right"/>
      <w:pPr>
        <w:tabs>
          <w:tab w:val="num" w:pos="3150"/>
        </w:tabs>
        <w:ind w:left="3150" w:hanging="180"/>
      </w:pPr>
    </w:lvl>
    <w:lvl w:ilvl="6" w:tplc="0409000F" w:tentative="1">
      <w:start w:val="1"/>
      <w:numFmt w:val="decimal"/>
      <w:lvlText w:val="%7."/>
      <w:lvlJc w:val="left"/>
      <w:pPr>
        <w:tabs>
          <w:tab w:val="num" w:pos="3870"/>
        </w:tabs>
        <w:ind w:left="3870" w:hanging="360"/>
      </w:pPr>
    </w:lvl>
    <w:lvl w:ilvl="7" w:tplc="04090019" w:tentative="1">
      <w:start w:val="1"/>
      <w:numFmt w:val="lowerLetter"/>
      <w:lvlText w:val="%8."/>
      <w:lvlJc w:val="left"/>
      <w:pPr>
        <w:tabs>
          <w:tab w:val="num" w:pos="4590"/>
        </w:tabs>
        <w:ind w:left="4590" w:hanging="360"/>
      </w:pPr>
    </w:lvl>
    <w:lvl w:ilvl="8" w:tplc="0409001B" w:tentative="1">
      <w:start w:val="1"/>
      <w:numFmt w:val="lowerRoman"/>
      <w:lvlText w:val="%9."/>
      <w:lvlJc w:val="right"/>
      <w:pPr>
        <w:tabs>
          <w:tab w:val="num" w:pos="5310"/>
        </w:tabs>
        <w:ind w:left="5310" w:hanging="180"/>
      </w:pPr>
    </w:lvl>
  </w:abstractNum>
  <w:abstractNum w:abstractNumId="17" w15:restartNumberingAfterBreak="0">
    <w:nsid w:val="74716748"/>
    <w:multiLevelType w:val="hybridMultilevel"/>
    <w:tmpl w:val="9EE8D282"/>
    <w:lvl w:ilvl="0" w:tplc="E94228FC">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E92D6F"/>
    <w:multiLevelType w:val="multilevel"/>
    <w:tmpl w:val="8692139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79BF671B"/>
    <w:multiLevelType w:val="hybridMultilevel"/>
    <w:tmpl w:val="39B8CD7A"/>
    <w:lvl w:ilvl="0" w:tplc="138401F4">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8"/>
  </w:num>
  <w:num w:numId="3">
    <w:abstractNumId w:val="1"/>
  </w:num>
  <w:num w:numId="4">
    <w:abstractNumId w:val="10"/>
  </w:num>
  <w:num w:numId="5">
    <w:abstractNumId w:val="11"/>
  </w:num>
  <w:num w:numId="6">
    <w:abstractNumId w:val="15"/>
  </w:num>
  <w:num w:numId="7">
    <w:abstractNumId w:val="8"/>
  </w:num>
  <w:num w:numId="8">
    <w:abstractNumId w:val="17"/>
  </w:num>
  <w:num w:numId="9">
    <w:abstractNumId w:val="12"/>
  </w:num>
  <w:num w:numId="10">
    <w:abstractNumId w:val="19"/>
  </w:num>
  <w:num w:numId="11">
    <w:abstractNumId w:val="4"/>
  </w:num>
  <w:num w:numId="12">
    <w:abstractNumId w:val="6"/>
  </w:num>
  <w:num w:numId="13">
    <w:abstractNumId w:val="13"/>
  </w:num>
  <w:num w:numId="14">
    <w:abstractNumId w:val="3"/>
  </w:num>
  <w:num w:numId="15">
    <w:abstractNumId w:val="7"/>
  </w:num>
  <w:num w:numId="16">
    <w:abstractNumId w:val="9"/>
    <w:lvlOverride w:ilvl="0">
      <w:lvl w:ilvl="0">
        <w:start w:val="1"/>
        <w:numFmt w:val="lowerLetter"/>
        <w:lvlText w:val="(%1)"/>
        <w:lvlJc w:val="left"/>
        <w:pPr>
          <w:tabs>
            <w:tab w:val="num" w:pos="379"/>
          </w:tabs>
        </w:pPr>
        <w:rPr>
          <w:rFonts w:ascii="Calibri" w:eastAsia="Calibri" w:hAnsi="Calibri" w:cs="Calibri"/>
          <w:b w:val="0"/>
          <w:bCs w:val="0"/>
          <w:i w:val="0"/>
          <w:iCs w:val="0"/>
          <w:caps w:val="0"/>
          <w:smallCaps w:val="0"/>
          <w:strike w:val="0"/>
          <w:dstrike w:val="0"/>
          <w:color w:val="000000"/>
          <w:spacing w:val="0"/>
          <w:kern w:val="0"/>
          <w:position w:val="0"/>
          <w:sz w:val="22"/>
          <w:szCs w:val="22"/>
          <w:u w:val="none" w:color="000000"/>
          <w:vertAlign w:val="baseline"/>
          <w:rtl w:val="0"/>
          <w:lang w:val="fr-FR"/>
        </w:rPr>
      </w:lvl>
    </w:lvlOverride>
  </w:num>
  <w:num w:numId="17">
    <w:abstractNumId w:val="9"/>
  </w:num>
  <w:num w:numId="18">
    <w:abstractNumId w:val="14"/>
  </w:num>
  <w:num w:numId="19">
    <w:abstractNumId w:val="5"/>
  </w:num>
  <w:num w:numId="20">
    <w:abstractNumId w:val="16"/>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929"/>
    <w:rsid w:val="000004B0"/>
    <w:rsid w:val="00001B8B"/>
    <w:rsid w:val="00002267"/>
    <w:rsid w:val="00003675"/>
    <w:rsid w:val="0000385E"/>
    <w:rsid w:val="0000412B"/>
    <w:rsid w:val="00004740"/>
    <w:rsid w:val="0000662B"/>
    <w:rsid w:val="00007BCE"/>
    <w:rsid w:val="00011C64"/>
    <w:rsid w:val="00012C26"/>
    <w:rsid w:val="00012E29"/>
    <w:rsid w:val="00013910"/>
    <w:rsid w:val="00013E52"/>
    <w:rsid w:val="00015EDF"/>
    <w:rsid w:val="000168AE"/>
    <w:rsid w:val="000177A7"/>
    <w:rsid w:val="00020413"/>
    <w:rsid w:val="0002113C"/>
    <w:rsid w:val="00021483"/>
    <w:rsid w:val="00022CD7"/>
    <w:rsid w:val="0002386D"/>
    <w:rsid w:val="00024E34"/>
    <w:rsid w:val="00026F9D"/>
    <w:rsid w:val="00031478"/>
    <w:rsid w:val="00031DAA"/>
    <w:rsid w:val="00035843"/>
    <w:rsid w:val="000435BB"/>
    <w:rsid w:val="00043BA1"/>
    <w:rsid w:val="00045465"/>
    <w:rsid w:val="00045600"/>
    <w:rsid w:val="000475B1"/>
    <w:rsid w:val="00051216"/>
    <w:rsid w:val="00051901"/>
    <w:rsid w:val="00053DE5"/>
    <w:rsid w:val="00054DBC"/>
    <w:rsid w:val="0005550F"/>
    <w:rsid w:val="000555C2"/>
    <w:rsid w:val="00055736"/>
    <w:rsid w:val="00055752"/>
    <w:rsid w:val="0005593F"/>
    <w:rsid w:val="0005625B"/>
    <w:rsid w:val="000621C4"/>
    <w:rsid w:val="0006277E"/>
    <w:rsid w:val="0006329E"/>
    <w:rsid w:val="0006357E"/>
    <w:rsid w:val="000640FE"/>
    <w:rsid w:val="000656D6"/>
    <w:rsid w:val="00067FB6"/>
    <w:rsid w:val="00071E55"/>
    <w:rsid w:val="0007227F"/>
    <w:rsid w:val="000740E5"/>
    <w:rsid w:val="00074E54"/>
    <w:rsid w:val="00075947"/>
    <w:rsid w:val="00075BB8"/>
    <w:rsid w:val="00080428"/>
    <w:rsid w:val="000804C6"/>
    <w:rsid w:val="00080EA3"/>
    <w:rsid w:val="00083708"/>
    <w:rsid w:val="00084F87"/>
    <w:rsid w:val="000855A7"/>
    <w:rsid w:val="00086FBA"/>
    <w:rsid w:val="00090200"/>
    <w:rsid w:val="00090258"/>
    <w:rsid w:val="00092543"/>
    <w:rsid w:val="000932DB"/>
    <w:rsid w:val="00094AEF"/>
    <w:rsid w:val="00094C0D"/>
    <w:rsid w:val="00097008"/>
    <w:rsid w:val="000A04D0"/>
    <w:rsid w:val="000A38F2"/>
    <w:rsid w:val="000A4655"/>
    <w:rsid w:val="000A5281"/>
    <w:rsid w:val="000A67E3"/>
    <w:rsid w:val="000A6F70"/>
    <w:rsid w:val="000B0693"/>
    <w:rsid w:val="000B08B6"/>
    <w:rsid w:val="000B1580"/>
    <w:rsid w:val="000B43AD"/>
    <w:rsid w:val="000B4CCC"/>
    <w:rsid w:val="000B5817"/>
    <w:rsid w:val="000B6B93"/>
    <w:rsid w:val="000B6CE6"/>
    <w:rsid w:val="000C0272"/>
    <w:rsid w:val="000C154B"/>
    <w:rsid w:val="000C245E"/>
    <w:rsid w:val="000C29B1"/>
    <w:rsid w:val="000C3DDB"/>
    <w:rsid w:val="000C4A7C"/>
    <w:rsid w:val="000C6340"/>
    <w:rsid w:val="000C7FD3"/>
    <w:rsid w:val="000D1F76"/>
    <w:rsid w:val="000D3556"/>
    <w:rsid w:val="000D3CE6"/>
    <w:rsid w:val="000D5569"/>
    <w:rsid w:val="000D5AA1"/>
    <w:rsid w:val="000D5DDC"/>
    <w:rsid w:val="000D7144"/>
    <w:rsid w:val="000E1A66"/>
    <w:rsid w:val="000E29E6"/>
    <w:rsid w:val="000E2A14"/>
    <w:rsid w:val="000E2D7C"/>
    <w:rsid w:val="000E44E7"/>
    <w:rsid w:val="000E48BA"/>
    <w:rsid w:val="000E60CC"/>
    <w:rsid w:val="000E678C"/>
    <w:rsid w:val="000E7A73"/>
    <w:rsid w:val="000F0D0C"/>
    <w:rsid w:val="000F2A5B"/>
    <w:rsid w:val="000F3F34"/>
    <w:rsid w:val="000F534A"/>
    <w:rsid w:val="000F5A3D"/>
    <w:rsid w:val="000F7BD0"/>
    <w:rsid w:val="001001C9"/>
    <w:rsid w:val="001009E3"/>
    <w:rsid w:val="00101903"/>
    <w:rsid w:val="00102E1E"/>
    <w:rsid w:val="00105076"/>
    <w:rsid w:val="001054D1"/>
    <w:rsid w:val="001057E6"/>
    <w:rsid w:val="00105E1A"/>
    <w:rsid w:val="00107274"/>
    <w:rsid w:val="00110705"/>
    <w:rsid w:val="00113832"/>
    <w:rsid w:val="0011586A"/>
    <w:rsid w:val="001164CB"/>
    <w:rsid w:val="00120689"/>
    <w:rsid w:val="001215B7"/>
    <w:rsid w:val="0012181F"/>
    <w:rsid w:val="00121D00"/>
    <w:rsid w:val="00123398"/>
    <w:rsid w:val="00124785"/>
    <w:rsid w:val="0012523E"/>
    <w:rsid w:val="00125708"/>
    <w:rsid w:val="00126463"/>
    <w:rsid w:val="001267A5"/>
    <w:rsid w:val="0012782F"/>
    <w:rsid w:val="00132857"/>
    <w:rsid w:val="001329A4"/>
    <w:rsid w:val="001335E8"/>
    <w:rsid w:val="00134B64"/>
    <w:rsid w:val="0013775C"/>
    <w:rsid w:val="00137DF1"/>
    <w:rsid w:val="001400B2"/>
    <w:rsid w:val="00141B67"/>
    <w:rsid w:val="001426D3"/>
    <w:rsid w:val="00143D76"/>
    <w:rsid w:val="00144D7A"/>
    <w:rsid w:val="00144EA7"/>
    <w:rsid w:val="00146828"/>
    <w:rsid w:val="001521D3"/>
    <w:rsid w:val="00153B57"/>
    <w:rsid w:val="0015756D"/>
    <w:rsid w:val="0016021E"/>
    <w:rsid w:val="00160FF5"/>
    <w:rsid w:val="00164EBF"/>
    <w:rsid w:val="00164F32"/>
    <w:rsid w:val="0016512A"/>
    <w:rsid w:val="00165487"/>
    <w:rsid w:val="001658B6"/>
    <w:rsid w:val="00165914"/>
    <w:rsid w:val="0016785B"/>
    <w:rsid w:val="00171085"/>
    <w:rsid w:val="00172030"/>
    <w:rsid w:val="001720F9"/>
    <w:rsid w:val="001727AB"/>
    <w:rsid w:val="00173517"/>
    <w:rsid w:val="00174341"/>
    <w:rsid w:val="0017474C"/>
    <w:rsid w:val="00176491"/>
    <w:rsid w:val="001768AB"/>
    <w:rsid w:val="001773D3"/>
    <w:rsid w:val="00177606"/>
    <w:rsid w:val="0017791A"/>
    <w:rsid w:val="001809DA"/>
    <w:rsid w:val="0018139D"/>
    <w:rsid w:val="00182868"/>
    <w:rsid w:val="00182DD7"/>
    <w:rsid w:val="0018434E"/>
    <w:rsid w:val="00185177"/>
    <w:rsid w:val="00185183"/>
    <w:rsid w:val="00185D64"/>
    <w:rsid w:val="0018641F"/>
    <w:rsid w:val="00186630"/>
    <w:rsid w:val="0018795B"/>
    <w:rsid w:val="0019182A"/>
    <w:rsid w:val="00191945"/>
    <w:rsid w:val="001A01DD"/>
    <w:rsid w:val="001A03FC"/>
    <w:rsid w:val="001A0519"/>
    <w:rsid w:val="001A3903"/>
    <w:rsid w:val="001A409F"/>
    <w:rsid w:val="001A4902"/>
    <w:rsid w:val="001A4F3A"/>
    <w:rsid w:val="001A6602"/>
    <w:rsid w:val="001A7444"/>
    <w:rsid w:val="001A7FF6"/>
    <w:rsid w:val="001B159C"/>
    <w:rsid w:val="001B3638"/>
    <w:rsid w:val="001B5487"/>
    <w:rsid w:val="001B6052"/>
    <w:rsid w:val="001B669F"/>
    <w:rsid w:val="001B6B7F"/>
    <w:rsid w:val="001C1E1B"/>
    <w:rsid w:val="001C4E4C"/>
    <w:rsid w:val="001C7A92"/>
    <w:rsid w:val="001C7F47"/>
    <w:rsid w:val="001D0879"/>
    <w:rsid w:val="001D08A6"/>
    <w:rsid w:val="001D2423"/>
    <w:rsid w:val="001D3214"/>
    <w:rsid w:val="001D566F"/>
    <w:rsid w:val="001E2082"/>
    <w:rsid w:val="001E2EB8"/>
    <w:rsid w:val="001E3A2D"/>
    <w:rsid w:val="001E58B0"/>
    <w:rsid w:val="001E5FB9"/>
    <w:rsid w:val="001E6F9E"/>
    <w:rsid w:val="001E72A1"/>
    <w:rsid w:val="001E7F6B"/>
    <w:rsid w:val="001F0927"/>
    <w:rsid w:val="001F1344"/>
    <w:rsid w:val="001F2119"/>
    <w:rsid w:val="001F5E25"/>
    <w:rsid w:val="00200E3A"/>
    <w:rsid w:val="00201B99"/>
    <w:rsid w:val="00202BDA"/>
    <w:rsid w:val="0020328F"/>
    <w:rsid w:val="0020480F"/>
    <w:rsid w:val="00204B50"/>
    <w:rsid w:val="00205B11"/>
    <w:rsid w:val="002070F2"/>
    <w:rsid w:val="0020727C"/>
    <w:rsid w:val="00207F15"/>
    <w:rsid w:val="00210F53"/>
    <w:rsid w:val="0021197F"/>
    <w:rsid w:val="00212172"/>
    <w:rsid w:val="00213DA2"/>
    <w:rsid w:val="002153BE"/>
    <w:rsid w:val="0022259C"/>
    <w:rsid w:val="00222B08"/>
    <w:rsid w:val="00224F28"/>
    <w:rsid w:val="0022653F"/>
    <w:rsid w:val="00226F0C"/>
    <w:rsid w:val="00230971"/>
    <w:rsid w:val="00230B9C"/>
    <w:rsid w:val="00230C21"/>
    <w:rsid w:val="0023168E"/>
    <w:rsid w:val="00232C05"/>
    <w:rsid w:val="002339D3"/>
    <w:rsid w:val="00234571"/>
    <w:rsid w:val="00236150"/>
    <w:rsid w:val="00236B21"/>
    <w:rsid w:val="002421E2"/>
    <w:rsid w:val="0024279D"/>
    <w:rsid w:val="002442D5"/>
    <w:rsid w:val="00250A47"/>
    <w:rsid w:val="00251126"/>
    <w:rsid w:val="00251C39"/>
    <w:rsid w:val="002527E3"/>
    <w:rsid w:val="00252F21"/>
    <w:rsid w:val="00253D70"/>
    <w:rsid w:val="00254E6F"/>
    <w:rsid w:val="002573BC"/>
    <w:rsid w:val="00257E37"/>
    <w:rsid w:val="00261C43"/>
    <w:rsid w:val="002620CC"/>
    <w:rsid w:val="0026210A"/>
    <w:rsid w:val="0026293A"/>
    <w:rsid w:val="00262A8A"/>
    <w:rsid w:val="00263F9E"/>
    <w:rsid w:val="00273ED7"/>
    <w:rsid w:val="002752A1"/>
    <w:rsid w:val="00276399"/>
    <w:rsid w:val="00277E62"/>
    <w:rsid w:val="00280342"/>
    <w:rsid w:val="002810D7"/>
    <w:rsid w:val="0028182E"/>
    <w:rsid w:val="00283409"/>
    <w:rsid w:val="00283C2F"/>
    <w:rsid w:val="00285D1D"/>
    <w:rsid w:val="00286582"/>
    <w:rsid w:val="00287486"/>
    <w:rsid w:val="00287BD4"/>
    <w:rsid w:val="0029056F"/>
    <w:rsid w:val="00291D8C"/>
    <w:rsid w:val="002925AA"/>
    <w:rsid w:val="0029464C"/>
    <w:rsid w:val="0029525A"/>
    <w:rsid w:val="00296DB8"/>
    <w:rsid w:val="00297CFC"/>
    <w:rsid w:val="002A01F3"/>
    <w:rsid w:val="002A14C0"/>
    <w:rsid w:val="002A3B1A"/>
    <w:rsid w:val="002A5383"/>
    <w:rsid w:val="002A5522"/>
    <w:rsid w:val="002A6EB0"/>
    <w:rsid w:val="002B2BD3"/>
    <w:rsid w:val="002B3D72"/>
    <w:rsid w:val="002B64B8"/>
    <w:rsid w:val="002B669D"/>
    <w:rsid w:val="002B73B3"/>
    <w:rsid w:val="002C379E"/>
    <w:rsid w:val="002C4667"/>
    <w:rsid w:val="002C57DC"/>
    <w:rsid w:val="002D17BE"/>
    <w:rsid w:val="002D4789"/>
    <w:rsid w:val="002E06EB"/>
    <w:rsid w:val="002E07D7"/>
    <w:rsid w:val="002E30A7"/>
    <w:rsid w:val="002E30E0"/>
    <w:rsid w:val="002E357D"/>
    <w:rsid w:val="002E3D25"/>
    <w:rsid w:val="002E3F17"/>
    <w:rsid w:val="002E4A15"/>
    <w:rsid w:val="002E4BEF"/>
    <w:rsid w:val="002E4EBC"/>
    <w:rsid w:val="002E4F11"/>
    <w:rsid w:val="002E5479"/>
    <w:rsid w:val="002E58AD"/>
    <w:rsid w:val="002E7A3E"/>
    <w:rsid w:val="002E7A9E"/>
    <w:rsid w:val="002F0332"/>
    <w:rsid w:val="002F149E"/>
    <w:rsid w:val="002F271F"/>
    <w:rsid w:val="002F2DD1"/>
    <w:rsid w:val="002F355D"/>
    <w:rsid w:val="002F438D"/>
    <w:rsid w:val="002F612B"/>
    <w:rsid w:val="002F640E"/>
    <w:rsid w:val="002F6DEE"/>
    <w:rsid w:val="002F6E13"/>
    <w:rsid w:val="002F75F8"/>
    <w:rsid w:val="0030005E"/>
    <w:rsid w:val="00300B42"/>
    <w:rsid w:val="0030109D"/>
    <w:rsid w:val="00301562"/>
    <w:rsid w:val="003020E9"/>
    <w:rsid w:val="0030280D"/>
    <w:rsid w:val="003028BA"/>
    <w:rsid w:val="003035AC"/>
    <w:rsid w:val="003044AE"/>
    <w:rsid w:val="003061E5"/>
    <w:rsid w:val="00310368"/>
    <w:rsid w:val="00310669"/>
    <w:rsid w:val="00313512"/>
    <w:rsid w:val="00314C7D"/>
    <w:rsid w:val="00316CC2"/>
    <w:rsid w:val="00321971"/>
    <w:rsid w:val="003259A1"/>
    <w:rsid w:val="003262D2"/>
    <w:rsid w:val="00326E4E"/>
    <w:rsid w:val="00331597"/>
    <w:rsid w:val="00332979"/>
    <w:rsid w:val="00333038"/>
    <w:rsid w:val="00333E70"/>
    <w:rsid w:val="00336B70"/>
    <w:rsid w:val="00337558"/>
    <w:rsid w:val="003410F5"/>
    <w:rsid w:val="00341182"/>
    <w:rsid w:val="00342F69"/>
    <w:rsid w:val="0034348F"/>
    <w:rsid w:val="00343FF1"/>
    <w:rsid w:val="0034412F"/>
    <w:rsid w:val="0034563A"/>
    <w:rsid w:val="00350A29"/>
    <w:rsid w:val="00350F88"/>
    <w:rsid w:val="00351FCD"/>
    <w:rsid w:val="00353EEA"/>
    <w:rsid w:val="00353FBC"/>
    <w:rsid w:val="003545A0"/>
    <w:rsid w:val="003548E2"/>
    <w:rsid w:val="00355D22"/>
    <w:rsid w:val="00355FA7"/>
    <w:rsid w:val="00357A6A"/>
    <w:rsid w:val="0036164B"/>
    <w:rsid w:val="00361749"/>
    <w:rsid w:val="00363721"/>
    <w:rsid w:val="00364ED1"/>
    <w:rsid w:val="00365936"/>
    <w:rsid w:val="00365ABE"/>
    <w:rsid w:val="00367BB0"/>
    <w:rsid w:val="00367CC3"/>
    <w:rsid w:val="00367CCA"/>
    <w:rsid w:val="00370953"/>
    <w:rsid w:val="00372E27"/>
    <w:rsid w:val="0037339D"/>
    <w:rsid w:val="003745B1"/>
    <w:rsid w:val="00375197"/>
    <w:rsid w:val="003823CB"/>
    <w:rsid w:val="0038271E"/>
    <w:rsid w:val="0038388A"/>
    <w:rsid w:val="00385986"/>
    <w:rsid w:val="003869A7"/>
    <w:rsid w:val="003901C4"/>
    <w:rsid w:val="00391440"/>
    <w:rsid w:val="00392149"/>
    <w:rsid w:val="00393021"/>
    <w:rsid w:val="00393031"/>
    <w:rsid w:val="003975EA"/>
    <w:rsid w:val="00397BD3"/>
    <w:rsid w:val="00397E4C"/>
    <w:rsid w:val="003A1138"/>
    <w:rsid w:val="003A1EBB"/>
    <w:rsid w:val="003A2AF6"/>
    <w:rsid w:val="003A3095"/>
    <w:rsid w:val="003A365A"/>
    <w:rsid w:val="003A3E57"/>
    <w:rsid w:val="003A428B"/>
    <w:rsid w:val="003A54CC"/>
    <w:rsid w:val="003A6988"/>
    <w:rsid w:val="003A6E16"/>
    <w:rsid w:val="003B1E17"/>
    <w:rsid w:val="003B4902"/>
    <w:rsid w:val="003B5FEE"/>
    <w:rsid w:val="003B63CB"/>
    <w:rsid w:val="003C0496"/>
    <w:rsid w:val="003C06BF"/>
    <w:rsid w:val="003C0FC7"/>
    <w:rsid w:val="003C2E55"/>
    <w:rsid w:val="003C35FE"/>
    <w:rsid w:val="003C5200"/>
    <w:rsid w:val="003C66B0"/>
    <w:rsid w:val="003C6A86"/>
    <w:rsid w:val="003C740A"/>
    <w:rsid w:val="003C761D"/>
    <w:rsid w:val="003C7892"/>
    <w:rsid w:val="003C7E9C"/>
    <w:rsid w:val="003D1256"/>
    <w:rsid w:val="003D1321"/>
    <w:rsid w:val="003D20D0"/>
    <w:rsid w:val="003D2E68"/>
    <w:rsid w:val="003D3A13"/>
    <w:rsid w:val="003D410E"/>
    <w:rsid w:val="003D6463"/>
    <w:rsid w:val="003D7008"/>
    <w:rsid w:val="003D7AFA"/>
    <w:rsid w:val="003E04A9"/>
    <w:rsid w:val="003E0904"/>
    <w:rsid w:val="003E1473"/>
    <w:rsid w:val="003E150F"/>
    <w:rsid w:val="003E1682"/>
    <w:rsid w:val="003E1BF3"/>
    <w:rsid w:val="003E3087"/>
    <w:rsid w:val="003E512E"/>
    <w:rsid w:val="003E5FA0"/>
    <w:rsid w:val="003E7206"/>
    <w:rsid w:val="003F201F"/>
    <w:rsid w:val="003F3DD2"/>
    <w:rsid w:val="003F5C5A"/>
    <w:rsid w:val="003F71D0"/>
    <w:rsid w:val="003F7A86"/>
    <w:rsid w:val="00400912"/>
    <w:rsid w:val="004019F4"/>
    <w:rsid w:val="00402AF0"/>
    <w:rsid w:val="00402DFB"/>
    <w:rsid w:val="00405564"/>
    <w:rsid w:val="00406479"/>
    <w:rsid w:val="0040663F"/>
    <w:rsid w:val="00406756"/>
    <w:rsid w:val="004072CE"/>
    <w:rsid w:val="00407B1F"/>
    <w:rsid w:val="00407B5C"/>
    <w:rsid w:val="0041456E"/>
    <w:rsid w:val="004145FF"/>
    <w:rsid w:val="00416E21"/>
    <w:rsid w:val="004176EE"/>
    <w:rsid w:val="00417909"/>
    <w:rsid w:val="004179CC"/>
    <w:rsid w:val="00421DC5"/>
    <w:rsid w:val="00423801"/>
    <w:rsid w:val="00423933"/>
    <w:rsid w:val="004253E3"/>
    <w:rsid w:val="00425F0A"/>
    <w:rsid w:val="004264DC"/>
    <w:rsid w:val="00427FF4"/>
    <w:rsid w:val="004351BA"/>
    <w:rsid w:val="00435702"/>
    <w:rsid w:val="00435E08"/>
    <w:rsid w:val="0043660A"/>
    <w:rsid w:val="00436847"/>
    <w:rsid w:val="00436901"/>
    <w:rsid w:val="00437ED1"/>
    <w:rsid w:val="00441283"/>
    <w:rsid w:val="004414C5"/>
    <w:rsid w:val="0044360E"/>
    <w:rsid w:val="00444A25"/>
    <w:rsid w:val="00445420"/>
    <w:rsid w:val="00446CB5"/>
    <w:rsid w:val="004470D5"/>
    <w:rsid w:val="004475F9"/>
    <w:rsid w:val="00447BFF"/>
    <w:rsid w:val="004525D3"/>
    <w:rsid w:val="00453986"/>
    <w:rsid w:val="004565E0"/>
    <w:rsid w:val="00456D21"/>
    <w:rsid w:val="00456E11"/>
    <w:rsid w:val="00460CA5"/>
    <w:rsid w:val="004631D2"/>
    <w:rsid w:val="00464B3D"/>
    <w:rsid w:val="004702B7"/>
    <w:rsid w:val="00470651"/>
    <w:rsid w:val="00471A8E"/>
    <w:rsid w:val="00472D0B"/>
    <w:rsid w:val="00474ED3"/>
    <w:rsid w:val="004751A7"/>
    <w:rsid w:val="00480108"/>
    <w:rsid w:val="00480143"/>
    <w:rsid w:val="00480C8E"/>
    <w:rsid w:val="00483D1B"/>
    <w:rsid w:val="00486EB4"/>
    <w:rsid w:val="00486FD1"/>
    <w:rsid w:val="00491444"/>
    <w:rsid w:val="00494E15"/>
    <w:rsid w:val="00495871"/>
    <w:rsid w:val="004A441A"/>
    <w:rsid w:val="004A645B"/>
    <w:rsid w:val="004A75CD"/>
    <w:rsid w:val="004A7C6D"/>
    <w:rsid w:val="004A7F05"/>
    <w:rsid w:val="004B11AC"/>
    <w:rsid w:val="004B18EA"/>
    <w:rsid w:val="004B22CD"/>
    <w:rsid w:val="004B2421"/>
    <w:rsid w:val="004B2C86"/>
    <w:rsid w:val="004B2F84"/>
    <w:rsid w:val="004B3946"/>
    <w:rsid w:val="004B3B32"/>
    <w:rsid w:val="004B5A6E"/>
    <w:rsid w:val="004B6F19"/>
    <w:rsid w:val="004C00D4"/>
    <w:rsid w:val="004C0923"/>
    <w:rsid w:val="004C2440"/>
    <w:rsid w:val="004C4EE6"/>
    <w:rsid w:val="004C62B2"/>
    <w:rsid w:val="004D2E91"/>
    <w:rsid w:val="004D54FB"/>
    <w:rsid w:val="004D5684"/>
    <w:rsid w:val="004D6F16"/>
    <w:rsid w:val="004D6F88"/>
    <w:rsid w:val="004D72C0"/>
    <w:rsid w:val="004D7AAD"/>
    <w:rsid w:val="004E15AD"/>
    <w:rsid w:val="004E1641"/>
    <w:rsid w:val="004E26CE"/>
    <w:rsid w:val="004E2B18"/>
    <w:rsid w:val="004E2CED"/>
    <w:rsid w:val="004E38A3"/>
    <w:rsid w:val="004E482A"/>
    <w:rsid w:val="004E56A7"/>
    <w:rsid w:val="004E68A5"/>
    <w:rsid w:val="004F0F63"/>
    <w:rsid w:val="004F2214"/>
    <w:rsid w:val="004F423F"/>
    <w:rsid w:val="004F562E"/>
    <w:rsid w:val="004F7385"/>
    <w:rsid w:val="004F74A1"/>
    <w:rsid w:val="004F75C3"/>
    <w:rsid w:val="004F7EEE"/>
    <w:rsid w:val="004F7EFA"/>
    <w:rsid w:val="005022DA"/>
    <w:rsid w:val="00506C2D"/>
    <w:rsid w:val="00510C7E"/>
    <w:rsid w:val="00511E55"/>
    <w:rsid w:val="00511EE2"/>
    <w:rsid w:val="00513E05"/>
    <w:rsid w:val="00514E27"/>
    <w:rsid w:val="00515211"/>
    <w:rsid w:val="005157FC"/>
    <w:rsid w:val="0051716F"/>
    <w:rsid w:val="00520237"/>
    <w:rsid w:val="00520B5F"/>
    <w:rsid w:val="005215BA"/>
    <w:rsid w:val="0052351E"/>
    <w:rsid w:val="00524805"/>
    <w:rsid w:val="00524F36"/>
    <w:rsid w:val="00526206"/>
    <w:rsid w:val="005262D5"/>
    <w:rsid w:val="005269D6"/>
    <w:rsid w:val="00527009"/>
    <w:rsid w:val="00527927"/>
    <w:rsid w:val="00533AF3"/>
    <w:rsid w:val="00534A13"/>
    <w:rsid w:val="00534FA1"/>
    <w:rsid w:val="0053572D"/>
    <w:rsid w:val="00535B50"/>
    <w:rsid w:val="005378CD"/>
    <w:rsid w:val="00537C0C"/>
    <w:rsid w:val="00540D36"/>
    <w:rsid w:val="00541F8E"/>
    <w:rsid w:val="00542659"/>
    <w:rsid w:val="00542D66"/>
    <w:rsid w:val="005449DA"/>
    <w:rsid w:val="0054516F"/>
    <w:rsid w:val="0054563F"/>
    <w:rsid w:val="00545895"/>
    <w:rsid w:val="00550234"/>
    <w:rsid w:val="005515AD"/>
    <w:rsid w:val="0055300C"/>
    <w:rsid w:val="005541B9"/>
    <w:rsid w:val="00554747"/>
    <w:rsid w:val="00561878"/>
    <w:rsid w:val="00563091"/>
    <w:rsid w:val="00563440"/>
    <w:rsid w:val="00566DFA"/>
    <w:rsid w:val="00571761"/>
    <w:rsid w:val="005727C9"/>
    <w:rsid w:val="00572DC0"/>
    <w:rsid w:val="00573326"/>
    <w:rsid w:val="00573439"/>
    <w:rsid w:val="00574E70"/>
    <w:rsid w:val="00576F50"/>
    <w:rsid w:val="0057737C"/>
    <w:rsid w:val="00580180"/>
    <w:rsid w:val="00581672"/>
    <w:rsid w:val="005819AA"/>
    <w:rsid w:val="005822E5"/>
    <w:rsid w:val="005835B8"/>
    <w:rsid w:val="00587501"/>
    <w:rsid w:val="0059056E"/>
    <w:rsid w:val="00590AA4"/>
    <w:rsid w:val="005911F4"/>
    <w:rsid w:val="005920C0"/>
    <w:rsid w:val="00592DF2"/>
    <w:rsid w:val="005944B6"/>
    <w:rsid w:val="00594FD9"/>
    <w:rsid w:val="00596BA2"/>
    <w:rsid w:val="00596D09"/>
    <w:rsid w:val="005A0BF3"/>
    <w:rsid w:val="005A1CFC"/>
    <w:rsid w:val="005A1DB1"/>
    <w:rsid w:val="005A47C3"/>
    <w:rsid w:val="005A5508"/>
    <w:rsid w:val="005A6A2A"/>
    <w:rsid w:val="005A737E"/>
    <w:rsid w:val="005A785D"/>
    <w:rsid w:val="005B190A"/>
    <w:rsid w:val="005B1CC9"/>
    <w:rsid w:val="005B4BA9"/>
    <w:rsid w:val="005B4CDE"/>
    <w:rsid w:val="005B5057"/>
    <w:rsid w:val="005C07CB"/>
    <w:rsid w:val="005C2BE3"/>
    <w:rsid w:val="005C3F8D"/>
    <w:rsid w:val="005C48E6"/>
    <w:rsid w:val="005C4C8C"/>
    <w:rsid w:val="005C5787"/>
    <w:rsid w:val="005C6145"/>
    <w:rsid w:val="005D03E0"/>
    <w:rsid w:val="005D24D7"/>
    <w:rsid w:val="005D4715"/>
    <w:rsid w:val="005D5525"/>
    <w:rsid w:val="005D59E2"/>
    <w:rsid w:val="005D6406"/>
    <w:rsid w:val="005D6C4A"/>
    <w:rsid w:val="005E0993"/>
    <w:rsid w:val="005E10BD"/>
    <w:rsid w:val="005E2AB1"/>
    <w:rsid w:val="005E6F41"/>
    <w:rsid w:val="005E78E8"/>
    <w:rsid w:val="005E79EC"/>
    <w:rsid w:val="005F18EA"/>
    <w:rsid w:val="005F204F"/>
    <w:rsid w:val="005F36CD"/>
    <w:rsid w:val="005F60A3"/>
    <w:rsid w:val="005F6133"/>
    <w:rsid w:val="006011A2"/>
    <w:rsid w:val="006014A5"/>
    <w:rsid w:val="006019F5"/>
    <w:rsid w:val="00602281"/>
    <w:rsid w:val="006071F0"/>
    <w:rsid w:val="00607873"/>
    <w:rsid w:val="00607976"/>
    <w:rsid w:val="00610262"/>
    <w:rsid w:val="00611120"/>
    <w:rsid w:val="00612C76"/>
    <w:rsid w:val="00612CF1"/>
    <w:rsid w:val="006133CF"/>
    <w:rsid w:val="00614012"/>
    <w:rsid w:val="00615EF6"/>
    <w:rsid w:val="0061638A"/>
    <w:rsid w:val="006167F9"/>
    <w:rsid w:val="0061784F"/>
    <w:rsid w:val="0062358C"/>
    <w:rsid w:val="00624983"/>
    <w:rsid w:val="006251BD"/>
    <w:rsid w:val="006254F0"/>
    <w:rsid w:val="006271FD"/>
    <w:rsid w:val="00627322"/>
    <w:rsid w:val="006317A0"/>
    <w:rsid w:val="00631A95"/>
    <w:rsid w:val="00631B74"/>
    <w:rsid w:val="00631D61"/>
    <w:rsid w:val="006320EA"/>
    <w:rsid w:val="006336AD"/>
    <w:rsid w:val="006337E1"/>
    <w:rsid w:val="00633F1F"/>
    <w:rsid w:val="00636D42"/>
    <w:rsid w:val="006377B5"/>
    <w:rsid w:val="00637927"/>
    <w:rsid w:val="00640A25"/>
    <w:rsid w:val="00641120"/>
    <w:rsid w:val="00641A27"/>
    <w:rsid w:val="00642ECE"/>
    <w:rsid w:val="0064448C"/>
    <w:rsid w:val="00644880"/>
    <w:rsid w:val="00644FE0"/>
    <w:rsid w:val="00646CC5"/>
    <w:rsid w:val="00647E34"/>
    <w:rsid w:val="006518CD"/>
    <w:rsid w:val="006544F9"/>
    <w:rsid w:val="00654759"/>
    <w:rsid w:val="00654933"/>
    <w:rsid w:val="006562DD"/>
    <w:rsid w:val="006567A9"/>
    <w:rsid w:val="006605B8"/>
    <w:rsid w:val="00660781"/>
    <w:rsid w:val="006621EA"/>
    <w:rsid w:val="00662ABA"/>
    <w:rsid w:val="00662F98"/>
    <w:rsid w:val="00663809"/>
    <w:rsid w:val="006718D2"/>
    <w:rsid w:val="00672D86"/>
    <w:rsid w:val="00673EB1"/>
    <w:rsid w:val="00676354"/>
    <w:rsid w:val="00676612"/>
    <w:rsid w:val="00676A27"/>
    <w:rsid w:val="006808A2"/>
    <w:rsid w:val="00681094"/>
    <w:rsid w:val="00682050"/>
    <w:rsid w:val="006862C0"/>
    <w:rsid w:val="006905FF"/>
    <w:rsid w:val="006908ED"/>
    <w:rsid w:val="00690ED5"/>
    <w:rsid w:val="0069119F"/>
    <w:rsid w:val="006923CD"/>
    <w:rsid w:val="00693F6B"/>
    <w:rsid w:val="00696052"/>
    <w:rsid w:val="006969E2"/>
    <w:rsid w:val="00696A64"/>
    <w:rsid w:val="006971BE"/>
    <w:rsid w:val="0069738F"/>
    <w:rsid w:val="006A28B5"/>
    <w:rsid w:val="006A2A2B"/>
    <w:rsid w:val="006A2A62"/>
    <w:rsid w:val="006A4A39"/>
    <w:rsid w:val="006A4D47"/>
    <w:rsid w:val="006A5666"/>
    <w:rsid w:val="006A70C3"/>
    <w:rsid w:val="006A7C54"/>
    <w:rsid w:val="006A7D43"/>
    <w:rsid w:val="006B0575"/>
    <w:rsid w:val="006B4D99"/>
    <w:rsid w:val="006B6B47"/>
    <w:rsid w:val="006B6FEC"/>
    <w:rsid w:val="006B720C"/>
    <w:rsid w:val="006B759B"/>
    <w:rsid w:val="006C00F5"/>
    <w:rsid w:val="006C094E"/>
    <w:rsid w:val="006C0CDC"/>
    <w:rsid w:val="006C1546"/>
    <w:rsid w:val="006C38BE"/>
    <w:rsid w:val="006C4C75"/>
    <w:rsid w:val="006C5B7D"/>
    <w:rsid w:val="006C64B4"/>
    <w:rsid w:val="006C6F22"/>
    <w:rsid w:val="006D0DA0"/>
    <w:rsid w:val="006D2127"/>
    <w:rsid w:val="006D4ACA"/>
    <w:rsid w:val="006D501C"/>
    <w:rsid w:val="006D5C0A"/>
    <w:rsid w:val="006D5F52"/>
    <w:rsid w:val="006E0920"/>
    <w:rsid w:val="006E24A9"/>
    <w:rsid w:val="006E2CA2"/>
    <w:rsid w:val="006E3C9E"/>
    <w:rsid w:val="006E3DD3"/>
    <w:rsid w:val="006E3E54"/>
    <w:rsid w:val="006F1A37"/>
    <w:rsid w:val="006F1B0D"/>
    <w:rsid w:val="006F2F27"/>
    <w:rsid w:val="006F4828"/>
    <w:rsid w:val="006F4937"/>
    <w:rsid w:val="006F4DF9"/>
    <w:rsid w:val="006F4F10"/>
    <w:rsid w:val="006F6568"/>
    <w:rsid w:val="006F6FAD"/>
    <w:rsid w:val="006F73E8"/>
    <w:rsid w:val="006F73F0"/>
    <w:rsid w:val="006F784B"/>
    <w:rsid w:val="00701F5E"/>
    <w:rsid w:val="00702A6D"/>
    <w:rsid w:val="00704EAB"/>
    <w:rsid w:val="00705946"/>
    <w:rsid w:val="007060FA"/>
    <w:rsid w:val="007112CB"/>
    <w:rsid w:val="00711CC4"/>
    <w:rsid w:val="007121B0"/>
    <w:rsid w:val="0071271F"/>
    <w:rsid w:val="00712C4C"/>
    <w:rsid w:val="00713ECA"/>
    <w:rsid w:val="007151E9"/>
    <w:rsid w:val="00722248"/>
    <w:rsid w:val="007259B6"/>
    <w:rsid w:val="00725C8C"/>
    <w:rsid w:val="00726B74"/>
    <w:rsid w:val="007273ED"/>
    <w:rsid w:val="007309E6"/>
    <w:rsid w:val="00732010"/>
    <w:rsid w:val="0073335B"/>
    <w:rsid w:val="00734BBE"/>
    <w:rsid w:val="00735A65"/>
    <w:rsid w:val="00735AD7"/>
    <w:rsid w:val="007403ED"/>
    <w:rsid w:val="00742B6C"/>
    <w:rsid w:val="00742E0D"/>
    <w:rsid w:val="00743118"/>
    <w:rsid w:val="00743A4E"/>
    <w:rsid w:val="0074462D"/>
    <w:rsid w:val="00744B18"/>
    <w:rsid w:val="007468B5"/>
    <w:rsid w:val="00746903"/>
    <w:rsid w:val="00747051"/>
    <w:rsid w:val="007475B3"/>
    <w:rsid w:val="007505D9"/>
    <w:rsid w:val="0075163F"/>
    <w:rsid w:val="00754242"/>
    <w:rsid w:val="007565CB"/>
    <w:rsid w:val="007617ED"/>
    <w:rsid w:val="00761B7D"/>
    <w:rsid w:val="00762284"/>
    <w:rsid w:val="00763246"/>
    <w:rsid w:val="00763357"/>
    <w:rsid w:val="00764861"/>
    <w:rsid w:val="007666D2"/>
    <w:rsid w:val="00766D57"/>
    <w:rsid w:val="00767152"/>
    <w:rsid w:val="00767794"/>
    <w:rsid w:val="00767806"/>
    <w:rsid w:val="0077127B"/>
    <w:rsid w:val="00771FC6"/>
    <w:rsid w:val="00773242"/>
    <w:rsid w:val="00773D85"/>
    <w:rsid w:val="00774202"/>
    <w:rsid w:val="00774DA9"/>
    <w:rsid w:val="00775D70"/>
    <w:rsid w:val="00777DC8"/>
    <w:rsid w:val="00780B73"/>
    <w:rsid w:val="007830C7"/>
    <w:rsid w:val="00783A79"/>
    <w:rsid w:val="00785277"/>
    <w:rsid w:val="00785B16"/>
    <w:rsid w:val="00785C5D"/>
    <w:rsid w:val="00785D9C"/>
    <w:rsid w:val="007866FF"/>
    <w:rsid w:val="00787326"/>
    <w:rsid w:val="00787B54"/>
    <w:rsid w:val="00787C6E"/>
    <w:rsid w:val="0079017E"/>
    <w:rsid w:val="00791652"/>
    <w:rsid w:val="00791CED"/>
    <w:rsid w:val="00792E4C"/>
    <w:rsid w:val="0079344C"/>
    <w:rsid w:val="00796134"/>
    <w:rsid w:val="00797918"/>
    <w:rsid w:val="007A0D3C"/>
    <w:rsid w:val="007A190F"/>
    <w:rsid w:val="007A4EA7"/>
    <w:rsid w:val="007A642D"/>
    <w:rsid w:val="007B0281"/>
    <w:rsid w:val="007B17FE"/>
    <w:rsid w:val="007B24F5"/>
    <w:rsid w:val="007B7170"/>
    <w:rsid w:val="007C03BC"/>
    <w:rsid w:val="007C0CF1"/>
    <w:rsid w:val="007C253E"/>
    <w:rsid w:val="007C39E8"/>
    <w:rsid w:val="007C5170"/>
    <w:rsid w:val="007C5B1E"/>
    <w:rsid w:val="007C5CCD"/>
    <w:rsid w:val="007C61EC"/>
    <w:rsid w:val="007D01E1"/>
    <w:rsid w:val="007D0787"/>
    <w:rsid w:val="007D0E41"/>
    <w:rsid w:val="007D0F19"/>
    <w:rsid w:val="007D5481"/>
    <w:rsid w:val="007D6749"/>
    <w:rsid w:val="007D6C8C"/>
    <w:rsid w:val="007D7A29"/>
    <w:rsid w:val="007D7DFB"/>
    <w:rsid w:val="007E0275"/>
    <w:rsid w:val="007E26A4"/>
    <w:rsid w:val="007E35A2"/>
    <w:rsid w:val="007E4C8C"/>
    <w:rsid w:val="007E5681"/>
    <w:rsid w:val="007E5702"/>
    <w:rsid w:val="007E5A50"/>
    <w:rsid w:val="007E5A73"/>
    <w:rsid w:val="007E6BB8"/>
    <w:rsid w:val="007F0014"/>
    <w:rsid w:val="007F06F5"/>
    <w:rsid w:val="007F16F2"/>
    <w:rsid w:val="007F1BFE"/>
    <w:rsid w:val="007F1C4C"/>
    <w:rsid w:val="007F1E68"/>
    <w:rsid w:val="007F2CE8"/>
    <w:rsid w:val="007F4654"/>
    <w:rsid w:val="007F62B7"/>
    <w:rsid w:val="007F7528"/>
    <w:rsid w:val="0080000E"/>
    <w:rsid w:val="00802724"/>
    <w:rsid w:val="00803EEB"/>
    <w:rsid w:val="00805572"/>
    <w:rsid w:val="008068B0"/>
    <w:rsid w:val="00806ED4"/>
    <w:rsid w:val="00811174"/>
    <w:rsid w:val="008127A4"/>
    <w:rsid w:val="00812A42"/>
    <w:rsid w:val="00812F79"/>
    <w:rsid w:val="0081427B"/>
    <w:rsid w:val="00814D34"/>
    <w:rsid w:val="008154A7"/>
    <w:rsid w:val="00817AB1"/>
    <w:rsid w:val="00820433"/>
    <w:rsid w:val="008213AB"/>
    <w:rsid w:val="008235F4"/>
    <w:rsid w:val="00823A45"/>
    <w:rsid w:val="008241BD"/>
    <w:rsid w:val="00824B38"/>
    <w:rsid w:val="00824F73"/>
    <w:rsid w:val="0082671E"/>
    <w:rsid w:val="00827302"/>
    <w:rsid w:val="00830A74"/>
    <w:rsid w:val="00832DE5"/>
    <w:rsid w:val="0083300C"/>
    <w:rsid w:val="008332BE"/>
    <w:rsid w:val="008373C5"/>
    <w:rsid w:val="00847BED"/>
    <w:rsid w:val="008501EA"/>
    <w:rsid w:val="00850EC1"/>
    <w:rsid w:val="00850FE6"/>
    <w:rsid w:val="008514C6"/>
    <w:rsid w:val="008516CA"/>
    <w:rsid w:val="00851C68"/>
    <w:rsid w:val="008529A9"/>
    <w:rsid w:val="0085575F"/>
    <w:rsid w:val="00857802"/>
    <w:rsid w:val="008578D6"/>
    <w:rsid w:val="00860EEC"/>
    <w:rsid w:val="00861020"/>
    <w:rsid w:val="008617C3"/>
    <w:rsid w:val="00861C71"/>
    <w:rsid w:val="00863A89"/>
    <w:rsid w:val="00864532"/>
    <w:rsid w:val="00864F70"/>
    <w:rsid w:val="00864FFC"/>
    <w:rsid w:val="00865650"/>
    <w:rsid w:val="00865BCA"/>
    <w:rsid w:val="00866D3B"/>
    <w:rsid w:val="008734FB"/>
    <w:rsid w:val="00873F6E"/>
    <w:rsid w:val="00874C75"/>
    <w:rsid w:val="00876765"/>
    <w:rsid w:val="00877B2F"/>
    <w:rsid w:val="00877FB1"/>
    <w:rsid w:val="008812F6"/>
    <w:rsid w:val="00884656"/>
    <w:rsid w:val="008867D6"/>
    <w:rsid w:val="00886CDF"/>
    <w:rsid w:val="00886DED"/>
    <w:rsid w:val="00893226"/>
    <w:rsid w:val="008936DF"/>
    <w:rsid w:val="008960A0"/>
    <w:rsid w:val="00897B4F"/>
    <w:rsid w:val="008A0A13"/>
    <w:rsid w:val="008A1BE4"/>
    <w:rsid w:val="008A201B"/>
    <w:rsid w:val="008A48B6"/>
    <w:rsid w:val="008A5397"/>
    <w:rsid w:val="008A5D1E"/>
    <w:rsid w:val="008B05A1"/>
    <w:rsid w:val="008B1796"/>
    <w:rsid w:val="008B49A1"/>
    <w:rsid w:val="008C00B0"/>
    <w:rsid w:val="008C0404"/>
    <w:rsid w:val="008C0677"/>
    <w:rsid w:val="008C131A"/>
    <w:rsid w:val="008C51B2"/>
    <w:rsid w:val="008C5951"/>
    <w:rsid w:val="008C7111"/>
    <w:rsid w:val="008C7290"/>
    <w:rsid w:val="008D10B7"/>
    <w:rsid w:val="008D1EF9"/>
    <w:rsid w:val="008D3E63"/>
    <w:rsid w:val="008D5AD7"/>
    <w:rsid w:val="008D776D"/>
    <w:rsid w:val="008E0E7B"/>
    <w:rsid w:val="008E104A"/>
    <w:rsid w:val="008E1A1A"/>
    <w:rsid w:val="008E1C4C"/>
    <w:rsid w:val="008E1C6F"/>
    <w:rsid w:val="008E25AE"/>
    <w:rsid w:val="008E280B"/>
    <w:rsid w:val="008E3DC5"/>
    <w:rsid w:val="008E58D1"/>
    <w:rsid w:val="008E59E7"/>
    <w:rsid w:val="008E601C"/>
    <w:rsid w:val="008F02BC"/>
    <w:rsid w:val="008F1688"/>
    <w:rsid w:val="008F3560"/>
    <w:rsid w:val="008F48DD"/>
    <w:rsid w:val="008F4A61"/>
    <w:rsid w:val="008F5C76"/>
    <w:rsid w:val="008F6238"/>
    <w:rsid w:val="008F68FA"/>
    <w:rsid w:val="008F6D61"/>
    <w:rsid w:val="00901430"/>
    <w:rsid w:val="0090178B"/>
    <w:rsid w:val="00902F9E"/>
    <w:rsid w:val="00905932"/>
    <w:rsid w:val="009063D1"/>
    <w:rsid w:val="00910E93"/>
    <w:rsid w:val="00911BFD"/>
    <w:rsid w:val="00912531"/>
    <w:rsid w:val="00915AE5"/>
    <w:rsid w:val="00915F7F"/>
    <w:rsid w:val="009165BB"/>
    <w:rsid w:val="00917320"/>
    <w:rsid w:val="009205FD"/>
    <w:rsid w:val="00921057"/>
    <w:rsid w:val="00921A33"/>
    <w:rsid w:val="00926541"/>
    <w:rsid w:val="009266EE"/>
    <w:rsid w:val="00926856"/>
    <w:rsid w:val="00926891"/>
    <w:rsid w:val="00926D6A"/>
    <w:rsid w:val="009310F9"/>
    <w:rsid w:val="009352BE"/>
    <w:rsid w:val="009364C9"/>
    <w:rsid w:val="00941BAD"/>
    <w:rsid w:val="00941F60"/>
    <w:rsid w:val="00944943"/>
    <w:rsid w:val="00945964"/>
    <w:rsid w:val="00946B91"/>
    <w:rsid w:val="0094785A"/>
    <w:rsid w:val="0095191E"/>
    <w:rsid w:val="0095299E"/>
    <w:rsid w:val="00952A83"/>
    <w:rsid w:val="00953A12"/>
    <w:rsid w:val="00956559"/>
    <w:rsid w:val="0095704C"/>
    <w:rsid w:val="00957282"/>
    <w:rsid w:val="0096015A"/>
    <w:rsid w:val="009608EE"/>
    <w:rsid w:val="009616C6"/>
    <w:rsid w:val="00963034"/>
    <w:rsid w:val="00963097"/>
    <w:rsid w:val="00963DD3"/>
    <w:rsid w:val="00965F33"/>
    <w:rsid w:val="009718D6"/>
    <w:rsid w:val="00971BC2"/>
    <w:rsid w:val="00975E11"/>
    <w:rsid w:val="00976231"/>
    <w:rsid w:val="00976A65"/>
    <w:rsid w:val="00980D8D"/>
    <w:rsid w:val="00981ABF"/>
    <w:rsid w:val="00982379"/>
    <w:rsid w:val="00984E6D"/>
    <w:rsid w:val="00984E9D"/>
    <w:rsid w:val="00985357"/>
    <w:rsid w:val="00985B78"/>
    <w:rsid w:val="00986E78"/>
    <w:rsid w:val="009878AD"/>
    <w:rsid w:val="009902EA"/>
    <w:rsid w:val="009914D1"/>
    <w:rsid w:val="00992BE2"/>
    <w:rsid w:val="009933EB"/>
    <w:rsid w:val="00993D60"/>
    <w:rsid w:val="00995477"/>
    <w:rsid w:val="00995E50"/>
    <w:rsid w:val="009A09AA"/>
    <w:rsid w:val="009A13FD"/>
    <w:rsid w:val="009A1A45"/>
    <w:rsid w:val="009A2929"/>
    <w:rsid w:val="009A2F03"/>
    <w:rsid w:val="009A62F7"/>
    <w:rsid w:val="009B00F5"/>
    <w:rsid w:val="009B07AC"/>
    <w:rsid w:val="009B1A44"/>
    <w:rsid w:val="009B1B82"/>
    <w:rsid w:val="009B2143"/>
    <w:rsid w:val="009B30E5"/>
    <w:rsid w:val="009B4FF9"/>
    <w:rsid w:val="009C5687"/>
    <w:rsid w:val="009C6204"/>
    <w:rsid w:val="009D0163"/>
    <w:rsid w:val="009D0C8C"/>
    <w:rsid w:val="009D1DDD"/>
    <w:rsid w:val="009D2476"/>
    <w:rsid w:val="009D2AB3"/>
    <w:rsid w:val="009D470F"/>
    <w:rsid w:val="009D6EEC"/>
    <w:rsid w:val="009D74E0"/>
    <w:rsid w:val="009E29EB"/>
    <w:rsid w:val="009E2F33"/>
    <w:rsid w:val="009E3265"/>
    <w:rsid w:val="009E532B"/>
    <w:rsid w:val="009E60BD"/>
    <w:rsid w:val="009F411C"/>
    <w:rsid w:val="009F604C"/>
    <w:rsid w:val="009F791F"/>
    <w:rsid w:val="00A025BE"/>
    <w:rsid w:val="00A035BE"/>
    <w:rsid w:val="00A06D1D"/>
    <w:rsid w:val="00A06D52"/>
    <w:rsid w:val="00A14655"/>
    <w:rsid w:val="00A1636D"/>
    <w:rsid w:val="00A16A98"/>
    <w:rsid w:val="00A20AB9"/>
    <w:rsid w:val="00A234B4"/>
    <w:rsid w:val="00A23DBC"/>
    <w:rsid w:val="00A254DD"/>
    <w:rsid w:val="00A2672B"/>
    <w:rsid w:val="00A26B6C"/>
    <w:rsid w:val="00A276DA"/>
    <w:rsid w:val="00A27C62"/>
    <w:rsid w:val="00A27F19"/>
    <w:rsid w:val="00A30844"/>
    <w:rsid w:val="00A30D3F"/>
    <w:rsid w:val="00A30E12"/>
    <w:rsid w:val="00A3253A"/>
    <w:rsid w:val="00A32B70"/>
    <w:rsid w:val="00A333CC"/>
    <w:rsid w:val="00A33B44"/>
    <w:rsid w:val="00A36AA5"/>
    <w:rsid w:val="00A36AC5"/>
    <w:rsid w:val="00A36B19"/>
    <w:rsid w:val="00A3727F"/>
    <w:rsid w:val="00A372E3"/>
    <w:rsid w:val="00A3739E"/>
    <w:rsid w:val="00A4001D"/>
    <w:rsid w:val="00A416D1"/>
    <w:rsid w:val="00A4276A"/>
    <w:rsid w:val="00A44729"/>
    <w:rsid w:val="00A4513D"/>
    <w:rsid w:val="00A454A2"/>
    <w:rsid w:val="00A5103B"/>
    <w:rsid w:val="00A51C16"/>
    <w:rsid w:val="00A53589"/>
    <w:rsid w:val="00A54725"/>
    <w:rsid w:val="00A55D9E"/>
    <w:rsid w:val="00A561DB"/>
    <w:rsid w:val="00A57187"/>
    <w:rsid w:val="00A57436"/>
    <w:rsid w:val="00A61ABC"/>
    <w:rsid w:val="00A61E41"/>
    <w:rsid w:val="00A63012"/>
    <w:rsid w:val="00A65FCE"/>
    <w:rsid w:val="00A676EE"/>
    <w:rsid w:val="00A702E2"/>
    <w:rsid w:val="00A72D26"/>
    <w:rsid w:val="00A72EF9"/>
    <w:rsid w:val="00A7326F"/>
    <w:rsid w:val="00A73DCF"/>
    <w:rsid w:val="00A73FE7"/>
    <w:rsid w:val="00A74BBD"/>
    <w:rsid w:val="00A7569A"/>
    <w:rsid w:val="00A76E14"/>
    <w:rsid w:val="00A771ED"/>
    <w:rsid w:val="00A776D7"/>
    <w:rsid w:val="00A81BEA"/>
    <w:rsid w:val="00A8251F"/>
    <w:rsid w:val="00A82F9B"/>
    <w:rsid w:val="00A831F2"/>
    <w:rsid w:val="00A85F8D"/>
    <w:rsid w:val="00A87010"/>
    <w:rsid w:val="00A93461"/>
    <w:rsid w:val="00A93503"/>
    <w:rsid w:val="00A9443A"/>
    <w:rsid w:val="00A975EF"/>
    <w:rsid w:val="00AA0AB6"/>
    <w:rsid w:val="00AA1754"/>
    <w:rsid w:val="00AA1885"/>
    <w:rsid w:val="00AA18D6"/>
    <w:rsid w:val="00AA3D55"/>
    <w:rsid w:val="00AA48C2"/>
    <w:rsid w:val="00AB068C"/>
    <w:rsid w:val="00AB06D4"/>
    <w:rsid w:val="00AB2246"/>
    <w:rsid w:val="00AB2266"/>
    <w:rsid w:val="00AB3941"/>
    <w:rsid w:val="00AB3B8A"/>
    <w:rsid w:val="00AB4057"/>
    <w:rsid w:val="00AB405D"/>
    <w:rsid w:val="00AB4941"/>
    <w:rsid w:val="00AB6BD2"/>
    <w:rsid w:val="00AB7FD4"/>
    <w:rsid w:val="00AC27CE"/>
    <w:rsid w:val="00AC2FC8"/>
    <w:rsid w:val="00AC37DF"/>
    <w:rsid w:val="00AC4365"/>
    <w:rsid w:val="00AC5DD9"/>
    <w:rsid w:val="00AD0608"/>
    <w:rsid w:val="00AD166B"/>
    <w:rsid w:val="00AD1797"/>
    <w:rsid w:val="00AD21E5"/>
    <w:rsid w:val="00AD2E06"/>
    <w:rsid w:val="00AD399C"/>
    <w:rsid w:val="00AD4872"/>
    <w:rsid w:val="00AD607A"/>
    <w:rsid w:val="00AE06AB"/>
    <w:rsid w:val="00AE080C"/>
    <w:rsid w:val="00AE0C38"/>
    <w:rsid w:val="00AE175D"/>
    <w:rsid w:val="00AE30DF"/>
    <w:rsid w:val="00AE4CE7"/>
    <w:rsid w:val="00AE58D1"/>
    <w:rsid w:val="00AF0693"/>
    <w:rsid w:val="00AF1B97"/>
    <w:rsid w:val="00AF2BAB"/>
    <w:rsid w:val="00AF2F0B"/>
    <w:rsid w:val="00AF37AF"/>
    <w:rsid w:val="00AF3859"/>
    <w:rsid w:val="00AF4C4E"/>
    <w:rsid w:val="00AF5FD2"/>
    <w:rsid w:val="00AF660E"/>
    <w:rsid w:val="00B02FD4"/>
    <w:rsid w:val="00B05514"/>
    <w:rsid w:val="00B05FBD"/>
    <w:rsid w:val="00B06B11"/>
    <w:rsid w:val="00B07EC0"/>
    <w:rsid w:val="00B07EF8"/>
    <w:rsid w:val="00B12BD1"/>
    <w:rsid w:val="00B1397B"/>
    <w:rsid w:val="00B16830"/>
    <w:rsid w:val="00B1756B"/>
    <w:rsid w:val="00B204DF"/>
    <w:rsid w:val="00B2070D"/>
    <w:rsid w:val="00B21B6D"/>
    <w:rsid w:val="00B21D22"/>
    <w:rsid w:val="00B22F06"/>
    <w:rsid w:val="00B24782"/>
    <w:rsid w:val="00B247CE"/>
    <w:rsid w:val="00B25A69"/>
    <w:rsid w:val="00B273FE"/>
    <w:rsid w:val="00B33FF4"/>
    <w:rsid w:val="00B35558"/>
    <w:rsid w:val="00B3634B"/>
    <w:rsid w:val="00B36991"/>
    <w:rsid w:val="00B373AC"/>
    <w:rsid w:val="00B40D08"/>
    <w:rsid w:val="00B410B1"/>
    <w:rsid w:val="00B42493"/>
    <w:rsid w:val="00B43EF7"/>
    <w:rsid w:val="00B43F95"/>
    <w:rsid w:val="00B471EE"/>
    <w:rsid w:val="00B47609"/>
    <w:rsid w:val="00B50091"/>
    <w:rsid w:val="00B5033C"/>
    <w:rsid w:val="00B5041C"/>
    <w:rsid w:val="00B5056B"/>
    <w:rsid w:val="00B5113F"/>
    <w:rsid w:val="00B511DF"/>
    <w:rsid w:val="00B53511"/>
    <w:rsid w:val="00B539EE"/>
    <w:rsid w:val="00B53DB4"/>
    <w:rsid w:val="00B54A42"/>
    <w:rsid w:val="00B56457"/>
    <w:rsid w:val="00B573EB"/>
    <w:rsid w:val="00B5795C"/>
    <w:rsid w:val="00B60A82"/>
    <w:rsid w:val="00B615BA"/>
    <w:rsid w:val="00B6323A"/>
    <w:rsid w:val="00B63F78"/>
    <w:rsid w:val="00B64A87"/>
    <w:rsid w:val="00B65687"/>
    <w:rsid w:val="00B65BA4"/>
    <w:rsid w:val="00B6633B"/>
    <w:rsid w:val="00B6657C"/>
    <w:rsid w:val="00B67E95"/>
    <w:rsid w:val="00B70209"/>
    <w:rsid w:val="00B7297A"/>
    <w:rsid w:val="00B72A10"/>
    <w:rsid w:val="00B7345F"/>
    <w:rsid w:val="00B747DC"/>
    <w:rsid w:val="00B758C8"/>
    <w:rsid w:val="00B759CD"/>
    <w:rsid w:val="00B80570"/>
    <w:rsid w:val="00B81198"/>
    <w:rsid w:val="00B829BA"/>
    <w:rsid w:val="00B864F3"/>
    <w:rsid w:val="00B870CF"/>
    <w:rsid w:val="00B87971"/>
    <w:rsid w:val="00B87D4F"/>
    <w:rsid w:val="00B91D41"/>
    <w:rsid w:val="00B92A0C"/>
    <w:rsid w:val="00B9424E"/>
    <w:rsid w:val="00B96AC5"/>
    <w:rsid w:val="00BA06BA"/>
    <w:rsid w:val="00BA1160"/>
    <w:rsid w:val="00BA32B0"/>
    <w:rsid w:val="00BB59F2"/>
    <w:rsid w:val="00BB6657"/>
    <w:rsid w:val="00BB6976"/>
    <w:rsid w:val="00BB74FE"/>
    <w:rsid w:val="00BC07D4"/>
    <w:rsid w:val="00BC116D"/>
    <w:rsid w:val="00BC1C92"/>
    <w:rsid w:val="00BC1E59"/>
    <w:rsid w:val="00BC3047"/>
    <w:rsid w:val="00BC3316"/>
    <w:rsid w:val="00BC3A2D"/>
    <w:rsid w:val="00BC3A5F"/>
    <w:rsid w:val="00BC3F4D"/>
    <w:rsid w:val="00BC5A65"/>
    <w:rsid w:val="00BD4863"/>
    <w:rsid w:val="00BD4FF5"/>
    <w:rsid w:val="00BD62FC"/>
    <w:rsid w:val="00BD7D23"/>
    <w:rsid w:val="00BE0BDE"/>
    <w:rsid w:val="00BE3B17"/>
    <w:rsid w:val="00BF2BAD"/>
    <w:rsid w:val="00BF521A"/>
    <w:rsid w:val="00BF5A60"/>
    <w:rsid w:val="00BF5AEA"/>
    <w:rsid w:val="00C00C40"/>
    <w:rsid w:val="00C100A2"/>
    <w:rsid w:val="00C1137D"/>
    <w:rsid w:val="00C11F35"/>
    <w:rsid w:val="00C13081"/>
    <w:rsid w:val="00C178B0"/>
    <w:rsid w:val="00C17C1E"/>
    <w:rsid w:val="00C21169"/>
    <w:rsid w:val="00C22546"/>
    <w:rsid w:val="00C250F6"/>
    <w:rsid w:val="00C25226"/>
    <w:rsid w:val="00C25A0C"/>
    <w:rsid w:val="00C25AD8"/>
    <w:rsid w:val="00C26331"/>
    <w:rsid w:val="00C2650B"/>
    <w:rsid w:val="00C330F2"/>
    <w:rsid w:val="00C331C1"/>
    <w:rsid w:val="00C34922"/>
    <w:rsid w:val="00C40701"/>
    <w:rsid w:val="00C40EE2"/>
    <w:rsid w:val="00C4240E"/>
    <w:rsid w:val="00C4598B"/>
    <w:rsid w:val="00C5229C"/>
    <w:rsid w:val="00C52693"/>
    <w:rsid w:val="00C54680"/>
    <w:rsid w:val="00C5473E"/>
    <w:rsid w:val="00C56AB5"/>
    <w:rsid w:val="00C61CA7"/>
    <w:rsid w:val="00C6460C"/>
    <w:rsid w:val="00C64FBE"/>
    <w:rsid w:val="00C66B1E"/>
    <w:rsid w:val="00C66F67"/>
    <w:rsid w:val="00C67967"/>
    <w:rsid w:val="00C70FEE"/>
    <w:rsid w:val="00C717FD"/>
    <w:rsid w:val="00C71954"/>
    <w:rsid w:val="00C73C75"/>
    <w:rsid w:val="00C758F7"/>
    <w:rsid w:val="00C76CC8"/>
    <w:rsid w:val="00C76EA1"/>
    <w:rsid w:val="00C81B31"/>
    <w:rsid w:val="00C8411D"/>
    <w:rsid w:val="00C84D7D"/>
    <w:rsid w:val="00C86FA7"/>
    <w:rsid w:val="00C926FB"/>
    <w:rsid w:val="00C9325A"/>
    <w:rsid w:val="00C94102"/>
    <w:rsid w:val="00C9473A"/>
    <w:rsid w:val="00C94936"/>
    <w:rsid w:val="00C9511B"/>
    <w:rsid w:val="00C95325"/>
    <w:rsid w:val="00C97276"/>
    <w:rsid w:val="00C97874"/>
    <w:rsid w:val="00CA0053"/>
    <w:rsid w:val="00CA1ABB"/>
    <w:rsid w:val="00CA2F91"/>
    <w:rsid w:val="00CA35AA"/>
    <w:rsid w:val="00CA410E"/>
    <w:rsid w:val="00CA5640"/>
    <w:rsid w:val="00CA56EE"/>
    <w:rsid w:val="00CA5CFD"/>
    <w:rsid w:val="00CA6544"/>
    <w:rsid w:val="00CA67A5"/>
    <w:rsid w:val="00CA7B43"/>
    <w:rsid w:val="00CB0275"/>
    <w:rsid w:val="00CB0295"/>
    <w:rsid w:val="00CB0F66"/>
    <w:rsid w:val="00CB1498"/>
    <w:rsid w:val="00CB2712"/>
    <w:rsid w:val="00CB3399"/>
    <w:rsid w:val="00CB5105"/>
    <w:rsid w:val="00CB5D82"/>
    <w:rsid w:val="00CB7AB7"/>
    <w:rsid w:val="00CC080C"/>
    <w:rsid w:val="00CC0E5E"/>
    <w:rsid w:val="00CC1816"/>
    <w:rsid w:val="00CC4017"/>
    <w:rsid w:val="00CC507B"/>
    <w:rsid w:val="00CC7352"/>
    <w:rsid w:val="00CC7E46"/>
    <w:rsid w:val="00CD09EE"/>
    <w:rsid w:val="00CD0CC9"/>
    <w:rsid w:val="00CD1AD5"/>
    <w:rsid w:val="00CD4784"/>
    <w:rsid w:val="00CD546A"/>
    <w:rsid w:val="00CD54DF"/>
    <w:rsid w:val="00CE1E4F"/>
    <w:rsid w:val="00CE2FD9"/>
    <w:rsid w:val="00CE366D"/>
    <w:rsid w:val="00CE53A9"/>
    <w:rsid w:val="00CE53C6"/>
    <w:rsid w:val="00CE5C65"/>
    <w:rsid w:val="00CE61F1"/>
    <w:rsid w:val="00CF0DF5"/>
    <w:rsid w:val="00CF11E2"/>
    <w:rsid w:val="00CF1BB3"/>
    <w:rsid w:val="00CF257E"/>
    <w:rsid w:val="00CF35AB"/>
    <w:rsid w:val="00CF38CA"/>
    <w:rsid w:val="00CF4F4E"/>
    <w:rsid w:val="00CF6EDF"/>
    <w:rsid w:val="00CF6FC4"/>
    <w:rsid w:val="00D01E41"/>
    <w:rsid w:val="00D02DEA"/>
    <w:rsid w:val="00D04C31"/>
    <w:rsid w:val="00D04DD4"/>
    <w:rsid w:val="00D07B40"/>
    <w:rsid w:val="00D106DA"/>
    <w:rsid w:val="00D1188F"/>
    <w:rsid w:val="00D12894"/>
    <w:rsid w:val="00D132B7"/>
    <w:rsid w:val="00D1532C"/>
    <w:rsid w:val="00D15BCD"/>
    <w:rsid w:val="00D1775C"/>
    <w:rsid w:val="00D17B99"/>
    <w:rsid w:val="00D20650"/>
    <w:rsid w:val="00D2089C"/>
    <w:rsid w:val="00D21FFE"/>
    <w:rsid w:val="00D2203C"/>
    <w:rsid w:val="00D22660"/>
    <w:rsid w:val="00D228DC"/>
    <w:rsid w:val="00D245D7"/>
    <w:rsid w:val="00D26FD6"/>
    <w:rsid w:val="00D27544"/>
    <w:rsid w:val="00D27D0C"/>
    <w:rsid w:val="00D320CC"/>
    <w:rsid w:val="00D3224E"/>
    <w:rsid w:val="00D3230E"/>
    <w:rsid w:val="00D32FD7"/>
    <w:rsid w:val="00D33809"/>
    <w:rsid w:val="00D3455C"/>
    <w:rsid w:val="00D37881"/>
    <w:rsid w:val="00D37EA0"/>
    <w:rsid w:val="00D400C4"/>
    <w:rsid w:val="00D4319D"/>
    <w:rsid w:val="00D4507F"/>
    <w:rsid w:val="00D45303"/>
    <w:rsid w:val="00D46240"/>
    <w:rsid w:val="00D464B1"/>
    <w:rsid w:val="00D4782C"/>
    <w:rsid w:val="00D478B0"/>
    <w:rsid w:val="00D50518"/>
    <w:rsid w:val="00D50894"/>
    <w:rsid w:val="00D50E3A"/>
    <w:rsid w:val="00D51C29"/>
    <w:rsid w:val="00D54EB1"/>
    <w:rsid w:val="00D555E3"/>
    <w:rsid w:val="00D57BF1"/>
    <w:rsid w:val="00D57C6B"/>
    <w:rsid w:val="00D623BC"/>
    <w:rsid w:val="00D62696"/>
    <w:rsid w:val="00D639F6"/>
    <w:rsid w:val="00D6421B"/>
    <w:rsid w:val="00D64791"/>
    <w:rsid w:val="00D649CD"/>
    <w:rsid w:val="00D65BED"/>
    <w:rsid w:val="00D66826"/>
    <w:rsid w:val="00D70811"/>
    <w:rsid w:val="00D75857"/>
    <w:rsid w:val="00D75BFB"/>
    <w:rsid w:val="00D76BE3"/>
    <w:rsid w:val="00D8194B"/>
    <w:rsid w:val="00D83022"/>
    <w:rsid w:val="00D834C8"/>
    <w:rsid w:val="00D839DE"/>
    <w:rsid w:val="00D83A1C"/>
    <w:rsid w:val="00D8492B"/>
    <w:rsid w:val="00D8581B"/>
    <w:rsid w:val="00D86538"/>
    <w:rsid w:val="00D87131"/>
    <w:rsid w:val="00D92644"/>
    <w:rsid w:val="00D92777"/>
    <w:rsid w:val="00D952F6"/>
    <w:rsid w:val="00D9533C"/>
    <w:rsid w:val="00D95B72"/>
    <w:rsid w:val="00D97937"/>
    <w:rsid w:val="00DA0F76"/>
    <w:rsid w:val="00DA135A"/>
    <w:rsid w:val="00DA16F5"/>
    <w:rsid w:val="00DA18AE"/>
    <w:rsid w:val="00DA21DB"/>
    <w:rsid w:val="00DA2CC0"/>
    <w:rsid w:val="00DA3C86"/>
    <w:rsid w:val="00DA4397"/>
    <w:rsid w:val="00DA4A83"/>
    <w:rsid w:val="00DA56FB"/>
    <w:rsid w:val="00DA656E"/>
    <w:rsid w:val="00DA67DF"/>
    <w:rsid w:val="00DB1E06"/>
    <w:rsid w:val="00DB2F31"/>
    <w:rsid w:val="00DB42C3"/>
    <w:rsid w:val="00DB6787"/>
    <w:rsid w:val="00DC004E"/>
    <w:rsid w:val="00DC0260"/>
    <w:rsid w:val="00DC02FD"/>
    <w:rsid w:val="00DC03EB"/>
    <w:rsid w:val="00DC1CBD"/>
    <w:rsid w:val="00DC2341"/>
    <w:rsid w:val="00DC26C0"/>
    <w:rsid w:val="00DC291F"/>
    <w:rsid w:val="00DC29C0"/>
    <w:rsid w:val="00DC3461"/>
    <w:rsid w:val="00DC41B5"/>
    <w:rsid w:val="00DC5C33"/>
    <w:rsid w:val="00DC680F"/>
    <w:rsid w:val="00DC6CB8"/>
    <w:rsid w:val="00DD0E19"/>
    <w:rsid w:val="00DD23BD"/>
    <w:rsid w:val="00DD3649"/>
    <w:rsid w:val="00DD3B12"/>
    <w:rsid w:val="00DD4DEA"/>
    <w:rsid w:val="00DD53CA"/>
    <w:rsid w:val="00DD5F43"/>
    <w:rsid w:val="00DD6A66"/>
    <w:rsid w:val="00DE038C"/>
    <w:rsid w:val="00DE0D87"/>
    <w:rsid w:val="00DE3F85"/>
    <w:rsid w:val="00DE4501"/>
    <w:rsid w:val="00DE6A80"/>
    <w:rsid w:val="00DF1292"/>
    <w:rsid w:val="00DF2225"/>
    <w:rsid w:val="00DF4738"/>
    <w:rsid w:val="00DF47A1"/>
    <w:rsid w:val="00DF530A"/>
    <w:rsid w:val="00DF62C4"/>
    <w:rsid w:val="00E0121F"/>
    <w:rsid w:val="00E01D4C"/>
    <w:rsid w:val="00E044C5"/>
    <w:rsid w:val="00E05B0E"/>
    <w:rsid w:val="00E05EAC"/>
    <w:rsid w:val="00E06D00"/>
    <w:rsid w:val="00E110E7"/>
    <w:rsid w:val="00E11D8B"/>
    <w:rsid w:val="00E15E8E"/>
    <w:rsid w:val="00E16368"/>
    <w:rsid w:val="00E208B6"/>
    <w:rsid w:val="00E20D53"/>
    <w:rsid w:val="00E22C2F"/>
    <w:rsid w:val="00E248F9"/>
    <w:rsid w:val="00E25107"/>
    <w:rsid w:val="00E2654E"/>
    <w:rsid w:val="00E26954"/>
    <w:rsid w:val="00E27A27"/>
    <w:rsid w:val="00E30296"/>
    <w:rsid w:val="00E30A25"/>
    <w:rsid w:val="00E31A21"/>
    <w:rsid w:val="00E37867"/>
    <w:rsid w:val="00E4086D"/>
    <w:rsid w:val="00E41DA9"/>
    <w:rsid w:val="00E432AD"/>
    <w:rsid w:val="00E43561"/>
    <w:rsid w:val="00E43701"/>
    <w:rsid w:val="00E441A7"/>
    <w:rsid w:val="00E448C1"/>
    <w:rsid w:val="00E44916"/>
    <w:rsid w:val="00E45050"/>
    <w:rsid w:val="00E5027B"/>
    <w:rsid w:val="00E507AC"/>
    <w:rsid w:val="00E50C8D"/>
    <w:rsid w:val="00E51C8A"/>
    <w:rsid w:val="00E5221D"/>
    <w:rsid w:val="00E52485"/>
    <w:rsid w:val="00E527C9"/>
    <w:rsid w:val="00E53C53"/>
    <w:rsid w:val="00E54AE9"/>
    <w:rsid w:val="00E5522B"/>
    <w:rsid w:val="00E56017"/>
    <w:rsid w:val="00E56401"/>
    <w:rsid w:val="00E57C32"/>
    <w:rsid w:val="00E60A1D"/>
    <w:rsid w:val="00E60E89"/>
    <w:rsid w:val="00E62B69"/>
    <w:rsid w:val="00E62B6B"/>
    <w:rsid w:val="00E6365E"/>
    <w:rsid w:val="00E653BC"/>
    <w:rsid w:val="00E656F4"/>
    <w:rsid w:val="00E6692D"/>
    <w:rsid w:val="00E66D65"/>
    <w:rsid w:val="00E73CB4"/>
    <w:rsid w:val="00E76C84"/>
    <w:rsid w:val="00E7746A"/>
    <w:rsid w:val="00E77A5A"/>
    <w:rsid w:val="00E826DC"/>
    <w:rsid w:val="00E834AC"/>
    <w:rsid w:val="00E8373C"/>
    <w:rsid w:val="00E85A3A"/>
    <w:rsid w:val="00E86A5B"/>
    <w:rsid w:val="00E903DE"/>
    <w:rsid w:val="00E90612"/>
    <w:rsid w:val="00E90ED0"/>
    <w:rsid w:val="00E91584"/>
    <w:rsid w:val="00E91F25"/>
    <w:rsid w:val="00E927F1"/>
    <w:rsid w:val="00E932A6"/>
    <w:rsid w:val="00E93333"/>
    <w:rsid w:val="00E93B7F"/>
    <w:rsid w:val="00E94359"/>
    <w:rsid w:val="00E949E8"/>
    <w:rsid w:val="00E94CB9"/>
    <w:rsid w:val="00E95869"/>
    <w:rsid w:val="00EA25CC"/>
    <w:rsid w:val="00EA562B"/>
    <w:rsid w:val="00EA6545"/>
    <w:rsid w:val="00EB04C4"/>
    <w:rsid w:val="00EB22CA"/>
    <w:rsid w:val="00EB3BB4"/>
    <w:rsid w:val="00EB41BE"/>
    <w:rsid w:val="00EB4733"/>
    <w:rsid w:val="00EB491C"/>
    <w:rsid w:val="00EB51D7"/>
    <w:rsid w:val="00EB60EC"/>
    <w:rsid w:val="00EB67C0"/>
    <w:rsid w:val="00EB7829"/>
    <w:rsid w:val="00EB7D77"/>
    <w:rsid w:val="00EC03C6"/>
    <w:rsid w:val="00EC097B"/>
    <w:rsid w:val="00EC0F09"/>
    <w:rsid w:val="00EC352B"/>
    <w:rsid w:val="00EC47B3"/>
    <w:rsid w:val="00EC731A"/>
    <w:rsid w:val="00ED0433"/>
    <w:rsid w:val="00ED099D"/>
    <w:rsid w:val="00ED1531"/>
    <w:rsid w:val="00ED22A8"/>
    <w:rsid w:val="00ED502E"/>
    <w:rsid w:val="00ED59FB"/>
    <w:rsid w:val="00ED7694"/>
    <w:rsid w:val="00EE0558"/>
    <w:rsid w:val="00EE1E0D"/>
    <w:rsid w:val="00EE438F"/>
    <w:rsid w:val="00EE64DB"/>
    <w:rsid w:val="00EE6597"/>
    <w:rsid w:val="00EE6964"/>
    <w:rsid w:val="00EF1094"/>
    <w:rsid w:val="00EF16DE"/>
    <w:rsid w:val="00EF3102"/>
    <w:rsid w:val="00EF424E"/>
    <w:rsid w:val="00EF4403"/>
    <w:rsid w:val="00EF47DA"/>
    <w:rsid w:val="00EF4FE1"/>
    <w:rsid w:val="00EF54CF"/>
    <w:rsid w:val="00EF6327"/>
    <w:rsid w:val="00EF6DC3"/>
    <w:rsid w:val="00F000F1"/>
    <w:rsid w:val="00F0076A"/>
    <w:rsid w:val="00F01004"/>
    <w:rsid w:val="00F01A6B"/>
    <w:rsid w:val="00F02056"/>
    <w:rsid w:val="00F02427"/>
    <w:rsid w:val="00F046B6"/>
    <w:rsid w:val="00F062E3"/>
    <w:rsid w:val="00F06E45"/>
    <w:rsid w:val="00F101D6"/>
    <w:rsid w:val="00F10669"/>
    <w:rsid w:val="00F115BE"/>
    <w:rsid w:val="00F128A6"/>
    <w:rsid w:val="00F157D2"/>
    <w:rsid w:val="00F16E08"/>
    <w:rsid w:val="00F2002A"/>
    <w:rsid w:val="00F21B23"/>
    <w:rsid w:val="00F22B1B"/>
    <w:rsid w:val="00F23536"/>
    <w:rsid w:val="00F235C7"/>
    <w:rsid w:val="00F24013"/>
    <w:rsid w:val="00F2686F"/>
    <w:rsid w:val="00F269BD"/>
    <w:rsid w:val="00F3088E"/>
    <w:rsid w:val="00F3409E"/>
    <w:rsid w:val="00F3548C"/>
    <w:rsid w:val="00F35FC8"/>
    <w:rsid w:val="00F37D25"/>
    <w:rsid w:val="00F40FEE"/>
    <w:rsid w:val="00F42E5C"/>
    <w:rsid w:val="00F43D35"/>
    <w:rsid w:val="00F45F9C"/>
    <w:rsid w:val="00F46B9D"/>
    <w:rsid w:val="00F5082B"/>
    <w:rsid w:val="00F5096C"/>
    <w:rsid w:val="00F51086"/>
    <w:rsid w:val="00F52A03"/>
    <w:rsid w:val="00F52E82"/>
    <w:rsid w:val="00F53DE9"/>
    <w:rsid w:val="00F54ABA"/>
    <w:rsid w:val="00F55D6E"/>
    <w:rsid w:val="00F55EC7"/>
    <w:rsid w:val="00F570C7"/>
    <w:rsid w:val="00F577C9"/>
    <w:rsid w:val="00F57F23"/>
    <w:rsid w:val="00F606CC"/>
    <w:rsid w:val="00F614FC"/>
    <w:rsid w:val="00F622EA"/>
    <w:rsid w:val="00F64471"/>
    <w:rsid w:val="00F65BDD"/>
    <w:rsid w:val="00F66E82"/>
    <w:rsid w:val="00F67364"/>
    <w:rsid w:val="00F67711"/>
    <w:rsid w:val="00F6792E"/>
    <w:rsid w:val="00F702D7"/>
    <w:rsid w:val="00F71B3D"/>
    <w:rsid w:val="00F7377D"/>
    <w:rsid w:val="00F737BD"/>
    <w:rsid w:val="00F76657"/>
    <w:rsid w:val="00F769ED"/>
    <w:rsid w:val="00F77C83"/>
    <w:rsid w:val="00F804D3"/>
    <w:rsid w:val="00F804F6"/>
    <w:rsid w:val="00F80C6A"/>
    <w:rsid w:val="00F81C98"/>
    <w:rsid w:val="00F822DF"/>
    <w:rsid w:val="00F83189"/>
    <w:rsid w:val="00F83B49"/>
    <w:rsid w:val="00F84C79"/>
    <w:rsid w:val="00F84E17"/>
    <w:rsid w:val="00F8737E"/>
    <w:rsid w:val="00F876F6"/>
    <w:rsid w:val="00F930D8"/>
    <w:rsid w:val="00F93A07"/>
    <w:rsid w:val="00F93BAB"/>
    <w:rsid w:val="00F94DCF"/>
    <w:rsid w:val="00F95B88"/>
    <w:rsid w:val="00F97914"/>
    <w:rsid w:val="00FA0080"/>
    <w:rsid w:val="00FA1C08"/>
    <w:rsid w:val="00FA3530"/>
    <w:rsid w:val="00FA4365"/>
    <w:rsid w:val="00FA48C3"/>
    <w:rsid w:val="00FB029D"/>
    <w:rsid w:val="00FB0BD2"/>
    <w:rsid w:val="00FB1391"/>
    <w:rsid w:val="00FB1840"/>
    <w:rsid w:val="00FB20C0"/>
    <w:rsid w:val="00FB22C7"/>
    <w:rsid w:val="00FB4460"/>
    <w:rsid w:val="00FB46C1"/>
    <w:rsid w:val="00FB6BD8"/>
    <w:rsid w:val="00FC2C40"/>
    <w:rsid w:val="00FC31D6"/>
    <w:rsid w:val="00FC3B2C"/>
    <w:rsid w:val="00FD30A8"/>
    <w:rsid w:val="00FD375C"/>
    <w:rsid w:val="00FD4C3F"/>
    <w:rsid w:val="00FD4F59"/>
    <w:rsid w:val="00FD5CD3"/>
    <w:rsid w:val="00FD7498"/>
    <w:rsid w:val="00FD7B99"/>
    <w:rsid w:val="00FD7FCA"/>
    <w:rsid w:val="00FE0807"/>
    <w:rsid w:val="00FE0DFF"/>
    <w:rsid w:val="00FE2921"/>
    <w:rsid w:val="00FE47B1"/>
    <w:rsid w:val="00FE5E04"/>
    <w:rsid w:val="00FE7A27"/>
    <w:rsid w:val="00FF0CED"/>
    <w:rsid w:val="00FF1464"/>
    <w:rsid w:val="00FF3A08"/>
    <w:rsid w:val="00FF4468"/>
    <w:rsid w:val="00FF5035"/>
    <w:rsid w:val="00FF5B43"/>
    <w:rsid w:val="00FF65FD"/>
    <w:rsid w:val="00FF7848"/>
    <w:rsid w:val="00FF7A6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E90ED88-DF8E-4697-B88F-5C97253FC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5177"/>
    <w:pPr>
      <w:spacing w:before="120" w:after="240" w:line="276" w:lineRule="auto"/>
      <w:jc w:val="both"/>
    </w:pPr>
    <w:rPr>
      <w:rFonts w:ascii="Arial" w:hAnsi="Arial"/>
      <w:sz w:val="22"/>
    </w:rPr>
  </w:style>
  <w:style w:type="paragraph" w:styleId="Heading1">
    <w:name w:val="heading 1"/>
    <w:basedOn w:val="Normal"/>
    <w:next w:val="Normal"/>
    <w:link w:val="Heading1Char"/>
    <w:uiPriority w:val="9"/>
    <w:qFormat/>
    <w:rsid w:val="0091732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Heading1"/>
    <w:next w:val="Normal"/>
    <w:link w:val="Heading2Char"/>
    <w:uiPriority w:val="9"/>
    <w:qFormat/>
    <w:rsid w:val="00F37D25"/>
    <w:pPr>
      <w:keepNext w:val="0"/>
      <w:keepLines w:val="0"/>
      <w:spacing w:before="360"/>
      <w:outlineLvl w:val="1"/>
    </w:pPr>
    <w:rPr>
      <w:rFonts w:ascii="Calibri" w:eastAsia="Cambria" w:hAnsi="Calibri" w:cs="Times New Roman"/>
      <w:bCs w:val="0"/>
      <w:color w:val="auto"/>
      <w:sz w:val="24"/>
      <w:szCs w:val="24"/>
      <w:lang w:val="en-GB"/>
    </w:rPr>
  </w:style>
  <w:style w:type="paragraph" w:styleId="Heading3">
    <w:name w:val="heading 3"/>
    <w:basedOn w:val="Normal"/>
    <w:next w:val="Normal"/>
    <w:link w:val="Heading3Char"/>
    <w:uiPriority w:val="9"/>
    <w:unhideWhenUsed/>
    <w:qFormat/>
    <w:rsid w:val="00917320"/>
    <w:pPr>
      <w:keepNext/>
      <w:keepLines/>
      <w:spacing w:before="200" w:after="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2929"/>
    <w:pPr>
      <w:spacing w:before="100" w:beforeAutospacing="1" w:after="100" w:afterAutospacing="1"/>
    </w:pPr>
    <w:rPr>
      <w:rFonts w:ascii="Times New Roman" w:hAnsi="Times New Roman" w:cs="Times New Roman"/>
      <w:sz w:val="20"/>
      <w:szCs w:val="20"/>
    </w:rPr>
  </w:style>
  <w:style w:type="paragraph" w:styleId="FootnoteText">
    <w:name w:val="footnote text"/>
    <w:aliases w:val="5_G"/>
    <w:basedOn w:val="Normal"/>
    <w:link w:val="FootnoteTextChar"/>
    <w:autoRedefine/>
    <w:uiPriority w:val="99"/>
    <w:unhideWhenUsed/>
    <w:qFormat/>
    <w:rsid w:val="006605B8"/>
    <w:pPr>
      <w:spacing w:before="0" w:after="0" w:line="240" w:lineRule="atLeast"/>
    </w:pPr>
    <w:rPr>
      <w:iCs/>
      <w:sz w:val="18"/>
      <w:lang w:val="en-GB"/>
    </w:rPr>
  </w:style>
  <w:style w:type="character" w:customStyle="1" w:styleId="FootnoteTextChar">
    <w:name w:val="Footnote Text Char"/>
    <w:aliases w:val="5_G Char"/>
    <w:basedOn w:val="DefaultParagraphFont"/>
    <w:link w:val="FootnoteText"/>
    <w:uiPriority w:val="99"/>
    <w:rsid w:val="006605B8"/>
    <w:rPr>
      <w:rFonts w:ascii="Arial" w:hAnsi="Arial"/>
      <w:iCs/>
      <w:sz w:val="18"/>
      <w:lang w:val="en-GB"/>
    </w:rPr>
  </w:style>
  <w:style w:type="character" w:styleId="FootnoteReference">
    <w:name w:val="footnote reference"/>
    <w:aliases w:val="4_G"/>
    <w:basedOn w:val="DefaultParagraphFont"/>
    <w:uiPriority w:val="99"/>
    <w:unhideWhenUsed/>
    <w:rsid w:val="00876765"/>
    <w:rPr>
      <w:vertAlign w:val="superscript"/>
    </w:rPr>
  </w:style>
  <w:style w:type="character" w:styleId="Hyperlink">
    <w:name w:val="Hyperlink"/>
    <w:basedOn w:val="DefaultParagraphFont"/>
    <w:uiPriority w:val="99"/>
    <w:unhideWhenUsed/>
    <w:rsid w:val="004B2C86"/>
    <w:rPr>
      <w:color w:val="0000FF" w:themeColor="hyperlink"/>
      <w:u w:val="single"/>
    </w:rPr>
  </w:style>
  <w:style w:type="paragraph" w:styleId="ListParagraph">
    <w:name w:val="List Paragraph"/>
    <w:basedOn w:val="Normal"/>
    <w:uiPriority w:val="34"/>
    <w:qFormat/>
    <w:rsid w:val="00280342"/>
    <w:pPr>
      <w:ind w:left="720"/>
      <w:contextualSpacing/>
    </w:pPr>
  </w:style>
  <w:style w:type="paragraph" w:customStyle="1" w:styleId="SingleTxtG">
    <w:name w:val="_ Single Txt_G"/>
    <w:basedOn w:val="Normal"/>
    <w:link w:val="SingleTxtGChar"/>
    <w:rsid w:val="00015EDF"/>
    <w:pPr>
      <w:suppressAutoHyphens/>
      <w:spacing w:after="120" w:line="240" w:lineRule="atLeast"/>
      <w:ind w:left="1134" w:right="1134"/>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015EDF"/>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uiPriority w:val="9"/>
    <w:rsid w:val="00F37D25"/>
    <w:rPr>
      <w:rFonts w:ascii="Calibri" w:eastAsia="Cambria" w:hAnsi="Calibri" w:cs="Times New Roman"/>
      <w:b/>
      <w:lang w:val="en-GB"/>
    </w:rPr>
  </w:style>
  <w:style w:type="character" w:customStyle="1" w:styleId="Heading1Char">
    <w:name w:val="Heading 1 Char"/>
    <w:basedOn w:val="DefaultParagraphFont"/>
    <w:link w:val="Heading1"/>
    <w:uiPriority w:val="9"/>
    <w:rsid w:val="00917320"/>
    <w:rPr>
      <w:rFonts w:asciiTheme="majorHAnsi" w:eastAsiaTheme="majorEastAsia" w:hAnsiTheme="majorHAnsi" w:cstheme="majorBidi"/>
      <w:b/>
      <w:bCs/>
      <w:color w:val="345A8A" w:themeColor="accent1" w:themeShade="B5"/>
      <w:sz w:val="32"/>
      <w:szCs w:val="32"/>
    </w:rPr>
  </w:style>
  <w:style w:type="character" w:styleId="FollowedHyperlink">
    <w:name w:val="FollowedHyperlink"/>
    <w:basedOn w:val="DefaultParagraphFont"/>
    <w:uiPriority w:val="99"/>
    <w:semiHidden/>
    <w:unhideWhenUsed/>
    <w:rsid w:val="00646CC5"/>
    <w:rPr>
      <w:color w:val="800080" w:themeColor="followedHyperlink"/>
      <w:u w:val="single"/>
    </w:rPr>
  </w:style>
  <w:style w:type="paragraph" w:styleId="Footer">
    <w:name w:val="footer"/>
    <w:basedOn w:val="Normal"/>
    <w:link w:val="FooterChar"/>
    <w:uiPriority w:val="99"/>
    <w:unhideWhenUsed/>
    <w:rsid w:val="001B5487"/>
    <w:pPr>
      <w:tabs>
        <w:tab w:val="center" w:pos="4320"/>
        <w:tab w:val="right" w:pos="8640"/>
      </w:tabs>
    </w:pPr>
  </w:style>
  <w:style w:type="character" w:customStyle="1" w:styleId="FooterChar">
    <w:name w:val="Footer Char"/>
    <w:basedOn w:val="DefaultParagraphFont"/>
    <w:link w:val="Footer"/>
    <w:uiPriority w:val="99"/>
    <w:rsid w:val="001B5487"/>
  </w:style>
  <w:style w:type="character" w:styleId="PageNumber">
    <w:name w:val="page number"/>
    <w:basedOn w:val="DefaultParagraphFont"/>
    <w:uiPriority w:val="99"/>
    <w:semiHidden/>
    <w:unhideWhenUsed/>
    <w:rsid w:val="001B5487"/>
  </w:style>
  <w:style w:type="paragraph" w:styleId="Header">
    <w:name w:val="header"/>
    <w:basedOn w:val="Normal"/>
    <w:link w:val="HeaderChar"/>
    <w:uiPriority w:val="99"/>
    <w:unhideWhenUsed/>
    <w:rsid w:val="001B5487"/>
    <w:pPr>
      <w:tabs>
        <w:tab w:val="center" w:pos="4320"/>
        <w:tab w:val="right" w:pos="8640"/>
      </w:tabs>
    </w:pPr>
  </w:style>
  <w:style w:type="character" w:customStyle="1" w:styleId="HeaderChar">
    <w:name w:val="Header Char"/>
    <w:basedOn w:val="DefaultParagraphFont"/>
    <w:link w:val="Header"/>
    <w:uiPriority w:val="99"/>
    <w:rsid w:val="001B5487"/>
  </w:style>
  <w:style w:type="paragraph" w:styleId="BalloonText">
    <w:name w:val="Balloon Text"/>
    <w:basedOn w:val="Normal"/>
    <w:link w:val="BalloonTextChar"/>
    <w:uiPriority w:val="99"/>
    <w:semiHidden/>
    <w:unhideWhenUsed/>
    <w:rsid w:val="001C7F4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C7F47"/>
    <w:rPr>
      <w:rFonts w:ascii="Lucida Grande" w:hAnsi="Lucida Grande" w:cs="Lucida Grande"/>
      <w:sz w:val="18"/>
      <w:szCs w:val="18"/>
    </w:rPr>
  </w:style>
  <w:style w:type="character" w:customStyle="1" w:styleId="Hyperlink12">
    <w:name w:val="Hyperlink.12"/>
    <w:rsid w:val="008867D6"/>
    <w:rPr>
      <w:color w:val="0000FF"/>
      <w:u w:val="single" w:color="0000FF"/>
      <w:lang w:val="es-ES_tradnl"/>
    </w:rPr>
  </w:style>
  <w:style w:type="numbering" w:customStyle="1" w:styleId="List0">
    <w:name w:val="List 0"/>
    <w:basedOn w:val="NoList"/>
    <w:rsid w:val="008867D6"/>
    <w:pPr>
      <w:numPr>
        <w:numId w:val="15"/>
      </w:numPr>
    </w:pPr>
  </w:style>
  <w:style w:type="numbering" w:customStyle="1" w:styleId="List1">
    <w:name w:val="List 1"/>
    <w:basedOn w:val="NoList"/>
    <w:rsid w:val="008867D6"/>
    <w:pPr>
      <w:numPr>
        <w:numId w:val="17"/>
      </w:numPr>
    </w:pPr>
  </w:style>
  <w:style w:type="character" w:customStyle="1" w:styleId="Hyperlink13">
    <w:name w:val="Hyperlink.13"/>
    <w:rsid w:val="000B6CE6"/>
    <w:rPr>
      <w:color w:val="0432FF"/>
      <w:u w:val="single" w:color="0000FF"/>
    </w:rPr>
  </w:style>
  <w:style w:type="character" w:customStyle="1" w:styleId="Red">
    <w:name w:val="Red"/>
    <w:rsid w:val="000B6CE6"/>
    <w:rPr>
      <w:color w:val="C82505"/>
    </w:rPr>
  </w:style>
  <w:style w:type="paragraph" w:styleId="TOC1">
    <w:name w:val="toc 1"/>
    <w:basedOn w:val="Normal"/>
    <w:next w:val="Normal"/>
    <w:autoRedefine/>
    <w:uiPriority w:val="39"/>
    <w:unhideWhenUsed/>
    <w:rsid w:val="00AB405D"/>
  </w:style>
  <w:style w:type="paragraph" w:styleId="TOC2">
    <w:name w:val="toc 2"/>
    <w:basedOn w:val="Normal"/>
    <w:next w:val="Normal"/>
    <w:autoRedefine/>
    <w:uiPriority w:val="39"/>
    <w:unhideWhenUsed/>
    <w:rsid w:val="008C131A"/>
    <w:pPr>
      <w:tabs>
        <w:tab w:val="right" w:leader="dot" w:pos="8290"/>
      </w:tabs>
      <w:ind w:left="522" w:hanging="284"/>
    </w:pPr>
  </w:style>
  <w:style w:type="paragraph" w:styleId="TOC3">
    <w:name w:val="toc 3"/>
    <w:basedOn w:val="Normal"/>
    <w:next w:val="Normal"/>
    <w:autoRedefine/>
    <w:uiPriority w:val="39"/>
    <w:unhideWhenUsed/>
    <w:rsid w:val="008C131A"/>
    <w:pPr>
      <w:tabs>
        <w:tab w:val="right" w:leader="dot" w:pos="8290"/>
      </w:tabs>
      <w:ind w:left="709" w:hanging="227"/>
    </w:pPr>
  </w:style>
  <w:style w:type="paragraph" w:styleId="TOC4">
    <w:name w:val="toc 4"/>
    <w:basedOn w:val="Normal"/>
    <w:next w:val="Normal"/>
    <w:autoRedefine/>
    <w:uiPriority w:val="39"/>
    <w:unhideWhenUsed/>
    <w:rsid w:val="00AB405D"/>
    <w:pPr>
      <w:ind w:left="720"/>
    </w:pPr>
  </w:style>
  <w:style w:type="paragraph" w:styleId="TOC5">
    <w:name w:val="toc 5"/>
    <w:basedOn w:val="Normal"/>
    <w:next w:val="Normal"/>
    <w:autoRedefine/>
    <w:uiPriority w:val="39"/>
    <w:unhideWhenUsed/>
    <w:rsid w:val="00AB405D"/>
    <w:pPr>
      <w:ind w:left="960"/>
    </w:pPr>
  </w:style>
  <w:style w:type="paragraph" w:styleId="TOC6">
    <w:name w:val="toc 6"/>
    <w:basedOn w:val="Normal"/>
    <w:next w:val="Normal"/>
    <w:autoRedefine/>
    <w:uiPriority w:val="39"/>
    <w:unhideWhenUsed/>
    <w:rsid w:val="00AB405D"/>
    <w:pPr>
      <w:ind w:left="1200"/>
    </w:pPr>
  </w:style>
  <w:style w:type="paragraph" w:styleId="TOC7">
    <w:name w:val="toc 7"/>
    <w:basedOn w:val="Normal"/>
    <w:next w:val="Normal"/>
    <w:autoRedefine/>
    <w:uiPriority w:val="39"/>
    <w:unhideWhenUsed/>
    <w:rsid w:val="00AB405D"/>
    <w:pPr>
      <w:ind w:left="1440"/>
    </w:pPr>
  </w:style>
  <w:style w:type="paragraph" w:styleId="TOC8">
    <w:name w:val="toc 8"/>
    <w:basedOn w:val="Normal"/>
    <w:next w:val="Normal"/>
    <w:autoRedefine/>
    <w:uiPriority w:val="39"/>
    <w:unhideWhenUsed/>
    <w:rsid w:val="00AB405D"/>
    <w:pPr>
      <w:ind w:left="1680"/>
    </w:pPr>
  </w:style>
  <w:style w:type="paragraph" w:styleId="TOC9">
    <w:name w:val="toc 9"/>
    <w:basedOn w:val="Normal"/>
    <w:next w:val="Normal"/>
    <w:autoRedefine/>
    <w:uiPriority w:val="39"/>
    <w:unhideWhenUsed/>
    <w:rsid w:val="00AB405D"/>
    <w:pPr>
      <w:ind w:left="1920"/>
    </w:pPr>
  </w:style>
  <w:style w:type="character" w:styleId="CommentReference">
    <w:name w:val="annotation reference"/>
    <w:basedOn w:val="DefaultParagraphFont"/>
    <w:uiPriority w:val="99"/>
    <w:semiHidden/>
    <w:unhideWhenUsed/>
    <w:rsid w:val="00285D1D"/>
    <w:rPr>
      <w:sz w:val="16"/>
      <w:szCs w:val="16"/>
    </w:rPr>
  </w:style>
  <w:style w:type="paragraph" w:styleId="CommentText">
    <w:name w:val="annotation text"/>
    <w:basedOn w:val="Normal"/>
    <w:link w:val="CommentTextChar"/>
    <w:uiPriority w:val="99"/>
    <w:semiHidden/>
    <w:unhideWhenUsed/>
    <w:rsid w:val="00285D1D"/>
    <w:rPr>
      <w:sz w:val="20"/>
      <w:szCs w:val="20"/>
    </w:rPr>
  </w:style>
  <w:style w:type="character" w:customStyle="1" w:styleId="CommentTextChar">
    <w:name w:val="Comment Text Char"/>
    <w:basedOn w:val="DefaultParagraphFont"/>
    <w:link w:val="CommentText"/>
    <w:uiPriority w:val="99"/>
    <w:semiHidden/>
    <w:rsid w:val="00285D1D"/>
    <w:rPr>
      <w:sz w:val="20"/>
      <w:szCs w:val="20"/>
    </w:rPr>
  </w:style>
  <w:style w:type="paragraph" w:styleId="CommentSubject">
    <w:name w:val="annotation subject"/>
    <w:basedOn w:val="CommentText"/>
    <w:next w:val="CommentText"/>
    <w:link w:val="CommentSubjectChar"/>
    <w:uiPriority w:val="99"/>
    <w:semiHidden/>
    <w:unhideWhenUsed/>
    <w:rsid w:val="00285D1D"/>
    <w:rPr>
      <w:b/>
      <w:bCs/>
    </w:rPr>
  </w:style>
  <w:style w:type="character" w:customStyle="1" w:styleId="CommentSubjectChar">
    <w:name w:val="Comment Subject Char"/>
    <w:basedOn w:val="CommentTextChar"/>
    <w:link w:val="CommentSubject"/>
    <w:uiPriority w:val="99"/>
    <w:semiHidden/>
    <w:rsid w:val="00285D1D"/>
    <w:rPr>
      <w:b/>
      <w:bCs/>
      <w:sz w:val="20"/>
      <w:szCs w:val="20"/>
    </w:rPr>
  </w:style>
  <w:style w:type="paragraph" w:styleId="Title">
    <w:name w:val="Title"/>
    <w:basedOn w:val="Normal"/>
    <w:next w:val="Normal"/>
    <w:link w:val="TitleChar"/>
    <w:uiPriority w:val="10"/>
    <w:qFormat/>
    <w:rsid w:val="001E3A2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3A2D"/>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917320"/>
    <w:rPr>
      <w:rFonts w:asciiTheme="majorHAnsi" w:eastAsiaTheme="majorEastAsia" w:hAnsiTheme="majorHAnsi" w:cstheme="majorBidi"/>
      <w:b/>
      <w:bCs/>
      <w:sz w:val="22"/>
    </w:rPr>
  </w:style>
  <w:style w:type="paragraph" w:styleId="TOCHeading">
    <w:name w:val="TOC Heading"/>
    <w:basedOn w:val="Heading1"/>
    <w:next w:val="Normal"/>
    <w:uiPriority w:val="39"/>
    <w:semiHidden/>
    <w:unhideWhenUsed/>
    <w:qFormat/>
    <w:rsid w:val="007666D2"/>
    <w:pPr>
      <w:spacing w:after="0"/>
      <w:outlineLvl w:val="9"/>
    </w:pPr>
    <w:rPr>
      <w:color w:val="365F91" w:themeColor="accent1" w:themeShade="BF"/>
      <w:sz w:val="28"/>
      <w:szCs w:val="28"/>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41128">
      <w:bodyDiv w:val="1"/>
      <w:marLeft w:val="0"/>
      <w:marRight w:val="0"/>
      <w:marTop w:val="0"/>
      <w:marBottom w:val="0"/>
      <w:divBdr>
        <w:top w:val="none" w:sz="0" w:space="0" w:color="auto"/>
        <w:left w:val="none" w:sz="0" w:space="0" w:color="auto"/>
        <w:bottom w:val="none" w:sz="0" w:space="0" w:color="auto"/>
        <w:right w:val="none" w:sz="0" w:space="0" w:color="auto"/>
      </w:divBdr>
    </w:div>
    <w:div w:id="117453624">
      <w:bodyDiv w:val="1"/>
      <w:marLeft w:val="0"/>
      <w:marRight w:val="0"/>
      <w:marTop w:val="0"/>
      <w:marBottom w:val="0"/>
      <w:divBdr>
        <w:top w:val="none" w:sz="0" w:space="0" w:color="auto"/>
        <w:left w:val="none" w:sz="0" w:space="0" w:color="auto"/>
        <w:bottom w:val="none" w:sz="0" w:space="0" w:color="auto"/>
        <w:right w:val="none" w:sz="0" w:space="0" w:color="auto"/>
      </w:divBdr>
    </w:div>
    <w:div w:id="317729500">
      <w:bodyDiv w:val="1"/>
      <w:marLeft w:val="0"/>
      <w:marRight w:val="0"/>
      <w:marTop w:val="0"/>
      <w:marBottom w:val="0"/>
      <w:divBdr>
        <w:top w:val="none" w:sz="0" w:space="0" w:color="auto"/>
        <w:left w:val="none" w:sz="0" w:space="0" w:color="auto"/>
        <w:bottom w:val="none" w:sz="0" w:space="0" w:color="auto"/>
        <w:right w:val="none" w:sz="0" w:space="0" w:color="auto"/>
      </w:divBdr>
    </w:div>
    <w:div w:id="720979597">
      <w:bodyDiv w:val="1"/>
      <w:marLeft w:val="0"/>
      <w:marRight w:val="0"/>
      <w:marTop w:val="0"/>
      <w:marBottom w:val="0"/>
      <w:divBdr>
        <w:top w:val="none" w:sz="0" w:space="0" w:color="auto"/>
        <w:left w:val="none" w:sz="0" w:space="0" w:color="auto"/>
        <w:bottom w:val="none" w:sz="0" w:space="0" w:color="auto"/>
        <w:right w:val="none" w:sz="0" w:space="0" w:color="auto"/>
      </w:divBdr>
    </w:div>
    <w:div w:id="839270688">
      <w:bodyDiv w:val="1"/>
      <w:marLeft w:val="0"/>
      <w:marRight w:val="0"/>
      <w:marTop w:val="0"/>
      <w:marBottom w:val="0"/>
      <w:divBdr>
        <w:top w:val="none" w:sz="0" w:space="0" w:color="auto"/>
        <w:left w:val="none" w:sz="0" w:space="0" w:color="auto"/>
        <w:bottom w:val="none" w:sz="0" w:space="0" w:color="auto"/>
        <w:right w:val="none" w:sz="0" w:space="0" w:color="auto"/>
      </w:divBdr>
      <w:divsChild>
        <w:div w:id="1799180408">
          <w:marLeft w:val="0"/>
          <w:marRight w:val="0"/>
          <w:marTop w:val="0"/>
          <w:marBottom w:val="0"/>
          <w:divBdr>
            <w:top w:val="none" w:sz="0" w:space="0" w:color="auto"/>
            <w:left w:val="none" w:sz="0" w:space="0" w:color="auto"/>
            <w:bottom w:val="none" w:sz="0" w:space="0" w:color="auto"/>
            <w:right w:val="none" w:sz="0" w:space="0" w:color="auto"/>
          </w:divBdr>
        </w:div>
      </w:divsChild>
    </w:div>
    <w:div w:id="856770224">
      <w:bodyDiv w:val="1"/>
      <w:marLeft w:val="0"/>
      <w:marRight w:val="0"/>
      <w:marTop w:val="0"/>
      <w:marBottom w:val="0"/>
      <w:divBdr>
        <w:top w:val="none" w:sz="0" w:space="0" w:color="auto"/>
        <w:left w:val="none" w:sz="0" w:space="0" w:color="auto"/>
        <w:bottom w:val="none" w:sz="0" w:space="0" w:color="auto"/>
        <w:right w:val="none" w:sz="0" w:space="0" w:color="auto"/>
      </w:divBdr>
    </w:div>
    <w:div w:id="966089636">
      <w:bodyDiv w:val="1"/>
      <w:marLeft w:val="0"/>
      <w:marRight w:val="0"/>
      <w:marTop w:val="0"/>
      <w:marBottom w:val="0"/>
      <w:divBdr>
        <w:top w:val="none" w:sz="0" w:space="0" w:color="auto"/>
        <w:left w:val="none" w:sz="0" w:space="0" w:color="auto"/>
        <w:bottom w:val="none" w:sz="0" w:space="0" w:color="auto"/>
        <w:right w:val="none" w:sz="0" w:space="0" w:color="auto"/>
      </w:divBdr>
      <w:divsChild>
        <w:div w:id="370955231">
          <w:marLeft w:val="0"/>
          <w:marRight w:val="0"/>
          <w:marTop w:val="0"/>
          <w:marBottom w:val="0"/>
          <w:divBdr>
            <w:top w:val="none" w:sz="0" w:space="0" w:color="auto"/>
            <w:left w:val="none" w:sz="0" w:space="0" w:color="auto"/>
            <w:bottom w:val="none" w:sz="0" w:space="0" w:color="auto"/>
            <w:right w:val="none" w:sz="0" w:space="0" w:color="auto"/>
          </w:divBdr>
        </w:div>
      </w:divsChild>
    </w:div>
    <w:div w:id="1037926350">
      <w:bodyDiv w:val="1"/>
      <w:marLeft w:val="0"/>
      <w:marRight w:val="0"/>
      <w:marTop w:val="0"/>
      <w:marBottom w:val="0"/>
      <w:divBdr>
        <w:top w:val="none" w:sz="0" w:space="0" w:color="auto"/>
        <w:left w:val="none" w:sz="0" w:space="0" w:color="auto"/>
        <w:bottom w:val="none" w:sz="0" w:space="0" w:color="auto"/>
        <w:right w:val="none" w:sz="0" w:space="0" w:color="auto"/>
      </w:divBdr>
      <w:divsChild>
        <w:div w:id="1054542836">
          <w:marLeft w:val="0"/>
          <w:marRight w:val="0"/>
          <w:marTop w:val="0"/>
          <w:marBottom w:val="0"/>
          <w:divBdr>
            <w:top w:val="none" w:sz="0" w:space="0" w:color="auto"/>
            <w:left w:val="none" w:sz="0" w:space="0" w:color="auto"/>
            <w:bottom w:val="none" w:sz="0" w:space="0" w:color="auto"/>
            <w:right w:val="none" w:sz="0" w:space="0" w:color="auto"/>
          </w:divBdr>
          <w:divsChild>
            <w:div w:id="152524635">
              <w:marLeft w:val="0"/>
              <w:marRight w:val="0"/>
              <w:marTop w:val="0"/>
              <w:marBottom w:val="0"/>
              <w:divBdr>
                <w:top w:val="none" w:sz="0" w:space="0" w:color="auto"/>
                <w:left w:val="none" w:sz="0" w:space="0" w:color="auto"/>
                <w:bottom w:val="none" w:sz="0" w:space="0" w:color="auto"/>
                <w:right w:val="none" w:sz="0" w:space="0" w:color="auto"/>
              </w:divBdr>
              <w:divsChild>
                <w:div w:id="411240422">
                  <w:marLeft w:val="0"/>
                  <w:marRight w:val="0"/>
                  <w:marTop w:val="0"/>
                  <w:marBottom w:val="0"/>
                  <w:divBdr>
                    <w:top w:val="none" w:sz="0" w:space="0" w:color="auto"/>
                    <w:left w:val="none" w:sz="0" w:space="0" w:color="auto"/>
                    <w:bottom w:val="none" w:sz="0" w:space="0" w:color="auto"/>
                    <w:right w:val="none" w:sz="0" w:space="0" w:color="auto"/>
                  </w:divBdr>
                </w:div>
              </w:divsChild>
            </w:div>
            <w:div w:id="1933313171">
              <w:marLeft w:val="0"/>
              <w:marRight w:val="0"/>
              <w:marTop w:val="0"/>
              <w:marBottom w:val="0"/>
              <w:divBdr>
                <w:top w:val="none" w:sz="0" w:space="0" w:color="auto"/>
                <w:left w:val="none" w:sz="0" w:space="0" w:color="auto"/>
                <w:bottom w:val="none" w:sz="0" w:space="0" w:color="auto"/>
                <w:right w:val="none" w:sz="0" w:space="0" w:color="auto"/>
              </w:divBdr>
              <w:divsChild>
                <w:div w:id="1297176178">
                  <w:marLeft w:val="0"/>
                  <w:marRight w:val="0"/>
                  <w:marTop w:val="0"/>
                  <w:marBottom w:val="0"/>
                  <w:divBdr>
                    <w:top w:val="none" w:sz="0" w:space="0" w:color="auto"/>
                    <w:left w:val="none" w:sz="0" w:space="0" w:color="auto"/>
                    <w:bottom w:val="none" w:sz="0" w:space="0" w:color="auto"/>
                    <w:right w:val="none" w:sz="0" w:space="0" w:color="auto"/>
                  </w:divBdr>
                </w:div>
              </w:divsChild>
            </w:div>
            <w:div w:id="82799115">
              <w:marLeft w:val="0"/>
              <w:marRight w:val="0"/>
              <w:marTop w:val="0"/>
              <w:marBottom w:val="0"/>
              <w:divBdr>
                <w:top w:val="none" w:sz="0" w:space="0" w:color="auto"/>
                <w:left w:val="none" w:sz="0" w:space="0" w:color="auto"/>
                <w:bottom w:val="none" w:sz="0" w:space="0" w:color="auto"/>
                <w:right w:val="none" w:sz="0" w:space="0" w:color="auto"/>
              </w:divBdr>
              <w:divsChild>
                <w:div w:id="2134907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146629">
          <w:marLeft w:val="0"/>
          <w:marRight w:val="0"/>
          <w:marTop w:val="0"/>
          <w:marBottom w:val="0"/>
          <w:divBdr>
            <w:top w:val="none" w:sz="0" w:space="0" w:color="auto"/>
            <w:left w:val="none" w:sz="0" w:space="0" w:color="auto"/>
            <w:bottom w:val="none" w:sz="0" w:space="0" w:color="auto"/>
            <w:right w:val="none" w:sz="0" w:space="0" w:color="auto"/>
          </w:divBdr>
          <w:divsChild>
            <w:div w:id="484198403">
              <w:marLeft w:val="0"/>
              <w:marRight w:val="0"/>
              <w:marTop w:val="0"/>
              <w:marBottom w:val="0"/>
              <w:divBdr>
                <w:top w:val="none" w:sz="0" w:space="0" w:color="auto"/>
                <w:left w:val="none" w:sz="0" w:space="0" w:color="auto"/>
                <w:bottom w:val="none" w:sz="0" w:space="0" w:color="auto"/>
                <w:right w:val="none" w:sz="0" w:space="0" w:color="auto"/>
              </w:divBdr>
              <w:divsChild>
                <w:div w:id="211432596">
                  <w:marLeft w:val="0"/>
                  <w:marRight w:val="0"/>
                  <w:marTop w:val="0"/>
                  <w:marBottom w:val="0"/>
                  <w:divBdr>
                    <w:top w:val="none" w:sz="0" w:space="0" w:color="auto"/>
                    <w:left w:val="none" w:sz="0" w:space="0" w:color="auto"/>
                    <w:bottom w:val="none" w:sz="0" w:space="0" w:color="auto"/>
                    <w:right w:val="none" w:sz="0" w:space="0" w:color="auto"/>
                  </w:divBdr>
                </w:div>
              </w:divsChild>
            </w:div>
            <w:div w:id="1484588774">
              <w:marLeft w:val="0"/>
              <w:marRight w:val="0"/>
              <w:marTop w:val="0"/>
              <w:marBottom w:val="0"/>
              <w:divBdr>
                <w:top w:val="none" w:sz="0" w:space="0" w:color="auto"/>
                <w:left w:val="none" w:sz="0" w:space="0" w:color="auto"/>
                <w:bottom w:val="none" w:sz="0" w:space="0" w:color="auto"/>
                <w:right w:val="none" w:sz="0" w:space="0" w:color="auto"/>
              </w:divBdr>
              <w:divsChild>
                <w:div w:id="1002900860">
                  <w:marLeft w:val="0"/>
                  <w:marRight w:val="0"/>
                  <w:marTop w:val="0"/>
                  <w:marBottom w:val="0"/>
                  <w:divBdr>
                    <w:top w:val="none" w:sz="0" w:space="0" w:color="auto"/>
                    <w:left w:val="none" w:sz="0" w:space="0" w:color="auto"/>
                    <w:bottom w:val="none" w:sz="0" w:space="0" w:color="auto"/>
                    <w:right w:val="none" w:sz="0" w:space="0" w:color="auto"/>
                  </w:divBdr>
                </w:div>
                <w:div w:id="1628512451">
                  <w:marLeft w:val="0"/>
                  <w:marRight w:val="0"/>
                  <w:marTop w:val="0"/>
                  <w:marBottom w:val="0"/>
                  <w:divBdr>
                    <w:top w:val="none" w:sz="0" w:space="0" w:color="auto"/>
                    <w:left w:val="none" w:sz="0" w:space="0" w:color="auto"/>
                    <w:bottom w:val="none" w:sz="0" w:space="0" w:color="auto"/>
                    <w:right w:val="none" w:sz="0" w:space="0" w:color="auto"/>
                  </w:divBdr>
                </w:div>
              </w:divsChild>
            </w:div>
            <w:div w:id="1904833923">
              <w:marLeft w:val="0"/>
              <w:marRight w:val="0"/>
              <w:marTop w:val="0"/>
              <w:marBottom w:val="0"/>
              <w:divBdr>
                <w:top w:val="none" w:sz="0" w:space="0" w:color="auto"/>
                <w:left w:val="none" w:sz="0" w:space="0" w:color="auto"/>
                <w:bottom w:val="none" w:sz="0" w:space="0" w:color="auto"/>
                <w:right w:val="none" w:sz="0" w:space="0" w:color="auto"/>
              </w:divBdr>
              <w:divsChild>
                <w:div w:id="71762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761343">
          <w:marLeft w:val="0"/>
          <w:marRight w:val="0"/>
          <w:marTop w:val="0"/>
          <w:marBottom w:val="0"/>
          <w:divBdr>
            <w:top w:val="none" w:sz="0" w:space="0" w:color="auto"/>
            <w:left w:val="none" w:sz="0" w:space="0" w:color="auto"/>
            <w:bottom w:val="none" w:sz="0" w:space="0" w:color="auto"/>
            <w:right w:val="none" w:sz="0" w:space="0" w:color="auto"/>
          </w:divBdr>
          <w:divsChild>
            <w:div w:id="1674794693">
              <w:marLeft w:val="0"/>
              <w:marRight w:val="0"/>
              <w:marTop w:val="0"/>
              <w:marBottom w:val="0"/>
              <w:divBdr>
                <w:top w:val="none" w:sz="0" w:space="0" w:color="auto"/>
                <w:left w:val="none" w:sz="0" w:space="0" w:color="auto"/>
                <w:bottom w:val="none" w:sz="0" w:space="0" w:color="auto"/>
                <w:right w:val="none" w:sz="0" w:space="0" w:color="auto"/>
              </w:divBdr>
              <w:divsChild>
                <w:div w:id="1794208368">
                  <w:marLeft w:val="0"/>
                  <w:marRight w:val="0"/>
                  <w:marTop w:val="0"/>
                  <w:marBottom w:val="0"/>
                  <w:divBdr>
                    <w:top w:val="none" w:sz="0" w:space="0" w:color="auto"/>
                    <w:left w:val="none" w:sz="0" w:space="0" w:color="auto"/>
                    <w:bottom w:val="none" w:sz="0" w:space="0" w:color="auto"/>
                    <w:right w:val="none" w:sz="0" w:space="0" w:color="auto"/>
                  </w:divBdr>
                </w:div>
              </w:divsChild>
            </w:div>
            <w:div w:id="1506633890">
              <w:marLeft w:val="0"/>
              <w:marRight w:val="0"/>
              <w:marTop w:val="0"/>
              <w:marBottom w:val="0"/>
              <w:divBdr>
                <w:top w:val="none" w:sz="0" w:space="0" w:color="auto"/>
                <w:left w:val="none" w:sz="0" w:space="0" w:color="auto"/>
                <w:bottom w:val="none" w:sz="0" w:space="0" w:color="auto"/>
                <w:right w:val="none" w:sz="0" w:space="0" w:color="auto"/>
              </w:divBdr>
              <w:divsChild>
                <w:div w:id="1827428125">
                  <w:marLeft w:val="0"/>
                  <w:marRight w:val="0"/>
                  <w:marTop w:val="0"/>
                  <w:marBottom w:val="0"/>
                  <w:divBdr>
                    <w:top w:val="none" w:sz="0" w:space="0" w:color="auto"/>
                    <w:left w:val="none" w:sz="0" w:space="0" w:color="auto"/>
                    <w:bottom w:val="none" w:sz="0" w:space="0" w:color="auto"/>
                    <w:right w:val="none" w:sz="0" w:space="0" w:color="auto"/>
                  </w:divBdr>
                </w:div>
                <w:div w:id="147284457">
                  <w:marLeft w:val="0"/>
                  <w:marRight w:val="0"/>
                  <w:marTop w:val="0"/>
                  <w:marBottom w:val="0"/>
                  <w:divBdr>
                    <w:top w:val="none" w:sz="0" w:space="0" w:color="auto"/>
                    <w:left w:val="none" w:sz="0" w:space="0" w:color="auto"/>
                    <w:bottom w:val="none" w:sz="0" w:space="0" w:color="auto"/>
                    <w:right w:val="none" w:sz="0" w:space="0" w:color="auto"/>
                  </w:divBdr>
                </w:div>
              </w:divsChild>
            </w:div>
            <w:div w:id="622345902">
              <w:marLeft w:val="0"/>
              <w:marRight w:val="0"/>
              <w:marTop w:val="0"/>
              <w:marBottom w:val="0"/>
              <w:divBdr>
                <w:top w:val="none" w:sz="0" w:space="0" w:color="auto"/>
                <w:left w:val="none" w:sz="0" w:space="0" w:color="auto"/>
                <w:bottom w:val="none" w:sz="0" w:space="0" w:color="auto"/>
                <w:right w:val="none" w:sz="0" w:space="0" w:color="auto"/>
              </w:divBdr>
              <w:divsChild>
                <w:div w:id="842160499">
                  <w:marLeft w:val="0"/>
                  <w:marRight w:val="0"/>
                  <w:marTop w:val="0"/>
                  <w:marBottom w:val="0"/>
                  <w:divBdr>
                    <w:top w:val="none" w:sz="0" w:space="0" w:color="auto"/>
                    <w:left w:val="none" w:sz="0" w:space="0" w:color="auto"/>
                    <w:bottom w:val="none" w:sz="0" w:space="0" w:color="auto"/>
                    <w:right w:val="none" w:sz="0" w:space="0" w:color="auto"/>
                  </w:divBdr>
                </w:div>
              </w:divsChild>
            </w:div>
            <w:div w:id="1500921689">
              <w:marLeft w:val="0"/>
              <w:marRight w:val="0"/>
              <w:marTop w:val="0"/>
              <w:marBottom w:val="0"/>
              <w:divBdr>
                <w:top w:val="none" w:sz="0" w:space="0" w:color="auto"/>
                <w:left w:val="none" w:sz="0" w:space="0" w:color="auto"/>
                <w:bottom w:val="none" w:sz="0" w:space="0" w:color="auto"/>
                <w:right w:val="none" w:sz="0" w:space="0" w:color="auto"/>
              </w:divBdr>
              <w:divsChild>
                <w:div w:id="1078215233">
                  <w:marLeft w:val="0"/>
                  <w:marRight w:val="0"/>
                  <w:marTop w:val="0"/>
                  <w:marBottom w:val="0"/>
                  <w:divBdr>
                    <w:top w:val="none" w:sz="0" w:space="0" w:color="auto"/>
                    <w:left w:val="none" w:sz="0" w:space="0" w:color="auto"/>
                    <w:bottom w:val="none" w:sz="0" w:space="0" w:color="auto"/>
                    <w:right w:val="none" w:sz="0" w:space="0" w:color="auto"/>
                  </w:divBdr>
                </w:div>
              </w:divsChild>
            </w:div>
            <w:div w:id="636302078">
              <w:marLeft w:val="0"/>
              <w:marRight w:val="0"/>
              <w:marTop w:val="0"/>
              <w:marBottom w:val="0"/>
              <w:divBdr>
                <w:top w:val="none" w:sz="0" w:space="0" w:color="auto"/>
                <w:left w:val="none" w:sz="0" w:space="0" w:color="auto"/>
                <w:bottom w:val="none" w:sz="0" w:space="0" w:color="auto"/>
                <w:right w:val="none" w:sz="0" w:space="0" w:color="auto"/>
              </w:divBdr>
              <w:divsChild>
                <w:div w:id="1204562841">
                  <w:marLeft w:val="0"/>
                  <w:marRight w:val="0"/>
                  <w:marTop w:val="0"/>
                  <w:marBottom w:val="0"/>
                  <w:divBdr>
                    <w:top w:val="none" w:sz="0" w:space="0" w:color="auto"/>
                    <w:left w:val="none" w:sz="0" w:space="0" w:color="auto"/>
                    <w:bottom w:val="none" w:sz="0" w:space="0" w:color="auto"/>
                    <w:right w:val="none" w:sz="0" w:space="0" w:color="auto"/>
                  </w:divBdr>
                </w:div>
              </w:divsChild>
            </w:div>
            <w:div w:id="679896876">
              <w:marLeft w:val="0"/>
              <w:marRight w:val="0"/>
              <w:marTop w:val="0"/>
              <w:marBottom w:val="0"/>
              <w:divBdr>
                <w:top w:val="none" w:sz="0" w:space="0" w:color="auto"/>
                <w:left w:val="none" w:sz="0" w:space="0" w:color="auto"/>
                <w:bottom w:val="none" w:sz="0" w:space="0" w:color="auto"/>
                <w:right w:val="none" w:sz="0" w:space="0" w:color="auto"/>
              </w:divBdr>
              <w:divsChild>
                <w:div w:id="1145202653">
                  <w:marLeft w:val="0"/>
                  <w:marRight w:val="0"/>
                  <w:marTop w:val="0"/>
                  <w:marBottom w:val="0"/>
                  <w:divBdr>
                    <w:top w:val="none" w:sz="0" w:space="0" w:color="auto"/>
                    <w:left w:val="none" w:sz="0" w:space="0" w:color="auto"/>
                    <w:bottom w:val="none" w:sz="0" w:space="0" w:color="auto"/>
                    <w:right w:val="none" w:sz="0" w:space="0" w:color="auto"/>
                  </w:divBdr>
                </w:div>
              </w:divsChild>
            </w:div>
            <w:div w:id="881210819">
              <w:marLeft w:val="0"/>
              <w:marRight w:val="0"/>
              <w:marTop w:val="0"/>
              <w:marBottom w:val="0"/>
              <w:divBdr>
                <w:top w:val="none" w:sz="0" w:space="0" w:color="auto"/>
                <w:left w:val="none" w:sz="0" w:space="0" w:color="auto"/>
                <w:bottom w:val="none" w:sz="0" w:space="0" w:color="auto"/>
                <w:right w:val="none" w:sz="0" w:space="0" w:color="auto"/>
              </w:divBdr>
              <w:divsChild>
                <w:div w:id="479080169">
                  <w:marLeft w:val="0"/>
                  <w:marRight w:val="0"/>
                  <w:marTop w:val="0"/>
                  <w:marBottom w:val="0"/>
                  <w:divBdr>
                    <w:top w:val="none" w:sz="0" w:space="0" w:color="auto"/>
                    <w:left w:val="none" w:sz="0" w:space="0" w:color="auto"/>
                    <w:bottom w:val="none" w:sz="0" w:space="0" w:color="auto"/>
                    <w:right w:val="none" w:sz="0" w:space="0" w:color="auto"/>
                  </w:divBdr>
                </w:div>
              </w:divsChild>
            </w:div>
            <w:div w:id="579797075">
              <w:marLeft w:val="0"/>
              <w:marRight w:val="0"/>
              <w:marTop w:val="0"/>
              <w:marBottom w:val="0"/>
              <w:divBdr>
                <w:top w:val="none" w:sz="0" w:space="0" w:color="auto"/>
                <w:left w:val="none" w:sz="0" w:space="0" w:color="auto"/>
                <w:bottom w:val="none" w:sz="0" w:space="0" w:color="auto"/>
                <w:right w:val="none" w:sz="0" w:space="0" w:color="auto"/>
              </w:divBdr>
              <w:divsChild>
                <w:div w:id="51723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146095">
          <w:marLeft w:val="0"/>
          <w:marRight w:val="0"/>
          <w:marTop w:val="0"/>
          <w:marBottom w:val="0"/>
          <w:divBdr>
            <w:top w:val="none" w:sz="0" w:space="0" w:color="auto"/>
            <w:left w:val="none" w:sz="0" w:space="0" w:color="auto"/>
            <w:bottom w:val="none" w:sz="0" w:space="0" w:color="auto"/>
            <w:right w:val="none" w:sz="0" w:space="0" w:color="auto"/>
          </w:divBdr>
          <w:divsChild>
            <w:div w:id="474300284">
              <w:marLeft w:val="0"/>
              <w:marRight w:val="0"/>
              <w:marTop w:val="0"/>
              <w:marBottom w:val="0"/>
              <w:divBdr>
                <w:top w:val="none" w:sz="0" w:space="0" w:color="auto"/>
                <w:left w:val="none" w:sz="0" w:space="0" w:color="auto"/>
                <w:bottom w:val="none" w:sz="0" w:space="0" w:color="auto"/>
                <w:right w:val="none" w:sz="0" w:space="0" w:color="auto"/>
              </w:divBdr>
              <w:divsChild>
                <w:div w:id="24091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094227">
          <w:marLeft w:val="0"/>
          <w:marRight w:val="0"/>
          <w:marTop w:val="0"/>
          <w:marBottom w:val="0"/>
          <w:divBdr>
            <w:top w:val="none" w:sz="0" w:space="0" w:color="auto"/>
            <w:left w:val="none" w:sz="0" w:space="0" w:color="auto"/>
            <w:bottom w:val="none" w:sz="0" w:space="0" w:color="auto"/>
            <w:right w:val="none" w:sz="0" w:space="0" w:color="auto"/>
          </w:divBdr>
          <w:divsChild>
            <w:div w:id="310327323">
              <w:marLeft w:val="0"/>
              <w:marRight w:val="0"/>
              <w:marTop w:val="0"/>
              <w:marBottom w:val="0"/>
              <w:divBdr>
                <w:top w:val="none" w:sz="0" w:space="0" w:color="auto"/>
                <w:left w:val="none" w:sz="0" w:space="0" w:color="auto"/>
                <w:bottom w:val="none" w:sz="0" w:space="0" w:color="auto"/>
                <w:right w:val="none" w:sz="0" w:space="0" w:color="auto"/>
              </w:divBdr>
              <w:divsChild>
                <w:div w:id="1411855868">
                  <w:marLeft w:val="0"/>
                  <w:marRight w:val="0"/>
                  <w:marTop w:val="0"/>
                  <w:marBottom w:val="0"/>
                  <w:divBdr>
                    <w:top w:val="none" w:sz="0" w:space="0" w:color="auto"/>
                    <w:left w:val="none" w:sz="0" w:space="0" w:color="auto"/>
                    <w:bottom w:val="none" w:sz="0" w:space="0" w:color="auto"/>
                    <w:right w:val="none" w:sz="0" w:space="0" w:color="auto"/>
                  </w:divBdr>
                </w:div>
              </w:divsChild>
            </w:div>
            <w:div w:id="1782141949">
              <w:marLeft w:val="0"/>
              <w:marRight w:val="0"/>
              <w:marTop w:val="0"/>
              <w:marBottom w:val="0"/>
              <w:divBdr>
                <w:top w:val="none" w:sz="0" w:space="0" w:color="auto"/>
                <w:left w:val="none" w:sz="0" w:space="0" w:color="auto"/>
                <w:bottom w:val="none" w:sz="0" w:space="0" w:color="auto"/>
                <w:right w:val="none" w:sz="0" w:space="0" w:color="auto"/>
              </w:divBdr>
              <w:divsChild>
                <w:div w:id="1877307226">
                  <w:marLeft w:val="0"/>
                  <w:marRight w:val="0"/>
                  <w:marTop w:val="0"/>
                  <w:marBottom w:val="0"/>
                  <w:divBdr>
                    <w:top w:val="none" w:sz="0" w:space="0" w:color="auto"/>
                    <w:left w:val="none" w:sz="0" w:space="0" w:color="auto"/>
                    <w:bottom w:val="none" w:sz="0" w:space="0" w:color="auto"/>
                    <w:right w:val="none" w:sz="0" w:space="0" w:color="auto"/>
                  </w:divBdr>
                </w:div>
              </w:divsChild>
            </w:div>
            <w:div w:id="797644013">
              <w:marLeft w:val="0"/>
              <w:marRight w:val="0"/>
              <w:marTop w:val="0"/>
              <w:marBottom w:val="0"/>
              <w:divBdr>
                <w:top w:val="none" w:sz="0" w:space="0" w:color="auto"/>
                <w:left w:val="none" w:sz="0" w:space="0" w:color="auto"/>
                <w:bottom w:val="none" w:sz="0" w:space="0" w:color="auto"/>
                <w:right w:val="none" w:sz="0" w:space="0" w:color="auto"/>
              </w:divBdr>
              <w:divsChild>
                <w:div w:id="677389756">
                  <w:marLeft w:val="0"/>
                  <w:marRight w:val="0"/>
                  <w:marTop w:val="0"/>
                  <w:marBottom w:val="0"/>
                  <w:divBdr>
                    <w:top w:val="none" w:sz="0" w:space="0" w:color="auto"/>
                    <w:left w:val="none" w:sz="0" w:space="0" w:color="auto"/>
                    <w:bottom w:val="none" w:sz="0" w:space="0" w:color="auto"/>
                    <w:right w:val="none" w:sz="0" w:space="0" w:color="auto"/>
                  </w:divBdr>
                </w:div>
              </w:divsChild>
            </w:div>
            <w:div w:id="2112898034">
              <w:marLeft w:val="0"/>
              <w:marRight w:val="0"/>
              <w:marTop w:val="0"/>
              <w:marBottom w:val="0"/>
              <w:divBdr>
                <w:top w:val="none" w:sz="0" w:space="0" w:color="auto"/>
                <w:left w:val="none" w:sz="0" w:space="0" w:color="auto"/>
                <w:bottom w:val="none" w:sz="0" w:space="0" w:color="auto"/>
                <w:right w:val="none" w:sz="0" w:space="0" w:color="auto"/>
              </w:divBdr>
              <w:divsChild>
                <w:div w:id="1698391327">
                  <w:marLeft w:val="0"/>
                  <w:marRight w:val="0"/>
                  <w:marTop w:val="0"/>
                  <w:marBottom w:val="0"/>
                  <w:divBdr>
                    <w:top w:val="none" w:sz="0" w:space="0" w:color="auto"/>
                    <w:left w:val="none" w:sz="0" w:space="0" w:color="auto"/>
                    <w:bottom w:val="none" w:sz="0" w:space="0" w:color="auto"/>
                    <w:right w:val="none" w:sz="0" w:space="0" w:color="auto"/>
                  </w:divBdr>
                </w:div>
              </w:divsChild>
            </w:div>
            <w:div w:id="794761534">
              <w:marLeft w:val="0"/>
              <w:marRight w:val="0"/>
              <w:marTop w:val="0"/>
              <w:marBottom w:val="0"/>
              <w:divBdr>
                <w:top w:val="none" w:sz="0" w:space="0" w:color="auto"/>
                <w:left w:val="none" w:sz="0" w:space="0" w:color="auto"/>
                <w:bottom w:val="none" w:sz="0" w:space="0" w:color="auto"/>
                <w:right w:val="none" w:sz="0" w:space="0" w:color="auto"/>
              </w:divBdr>
              <w:divsChild>
                <w:div w:id="109832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594055">
          <w:marLeft w:val="0"/>
          <w:marRight w:val="0"/>
          <w:marTop w:val="0"/>
          <w:marBottom w:val="0"/>
          <w:divBdr>
            <w:top w:val="none" w:sz="0" w:space="0" w:color="auto"/>
            <w:left w:val="none" w:sz="0" w:space="0" w:color="auto"/>
            <w:bottom w:val="none" w:sz="0" w:space="0" w:color="auto"/>
            <w:right w:val="none" w:sz="0" w:space="0" w:color="auto"/>
          </w:divBdr>
          <w:divsChild>
            <w:div w:id="868026714">
              <w:marLeft w:val="0"/>
              <w:marRight w:val="0"/>
              <w:marTop w:val="0"/>
              <w:marBottom w:val="0"/>
              <w:divBdr>
                <w:top w:val="none" w:sz="0" w:space="0" w:color="auto"/>
                <w:left w:val="none" w:sz="0" w:space="0" w:color="auto"/>
                <w:bottom w:val="none" w:sz="0" w:space="0" w:color="auto"/>
                <w:right w:val="none" w:sz="0" w:space="0" w:color="auto"/>
              </w:divBdr>
              <w:divsChild>
                <w:div w:id="745952467">
                  <w:marLeft w:val="0"/>
                  <w:marRight w:val="0"/>
                  <w:marTop w:val="0"/>
                  <w:marBottom w:val="0"/>
                  <w:divBdr>
                    <w:top w:val="none" w:sz="0" w:space="0" w:color="auto"/>
                    <w:left w:val="none" w:sz="0" w:space="0" w:color="auto"/>
                    <w:bottom w:val="none" w:sz="0" w:space="0" w:color="auto"/>
                    <w:right w:val="none" w:sz="0" w:space="0" w:color="auto"/>
                  </w:divBdr>
                </w:div>
              </w:divsChild>
            </w:div>
            <w:div w:id="228079373">
              <w:marLeft w:val="0"/>
              <w:marRight w:val="0"/>
              <w:marTop w:val="0"/>
              <w:marBottom w:val="0"/>
              <w:divBdr>
                <w:top w:val="none" w:sz="0" w:space="0" w:color="auto"/>
                <w:left w:val="none" w:sz="0" w:space="0" w:color="auto"/>
                <w:bottom w:val="none" w:sz="0" w:space="0" w:color="auto"/>
                <w:right w:val="none" w:sz="0" w:space="0" w:color="auto"/>
              </w:divBdr>
              <w:divsChild>
                <w:div w:id="1361786631">
                  <w:marLeft w:val="0"/>
                  <w:marRight w:val="0"/>
                  <w:marTop w:val="0"/>
                  <w:marBottom w:val="0"/>
                  <w:divBdr>
                    <w:top w:val="none" w:sz="0" w:space="0" w:color="auto"/>
                    <w:left w:val="none" w:sz="0" w:space="0" w:color="auto"/>
                    <w:bottom w:val="none" w:sz="0" w:space="0" w:color="auto"/>
                    <w:right w:val="none" w:sz="0" w:space="0" w:color="auto"/>
                  </w:divBdr>
                </w:div>
              </w:divsChild>
            </w:div>
            <w:div w:id="712927391">
              <w:marLeft w:val="0"/>
              <w:marRight w:val="0"/>
              <w:marTop w:val="0"/>
              <w:marBottom w:val="0"/>
              <w:divBdr>
                <w:top w:val="none" w:sz="0" w:space="0" w:color="auto"/>
                <w:left w:val="none" w:sz="0" w:space="0" w:color="auto"/>
                <w:bottom w:val="none" w:sz="0" w:space="0" w:color="auto"/>
                <w:right w:val="none" w:sz="0" w:space="0" w:color="auto"/>
              </w:divBdr>
              <w:divsChild>
                <w:div w:id="1795175415">
                  <w:marLeft w:val="0"/>
                  <w:marRight w:val="0"/>
                  <w:marTop w:val="0"/>
                  <w:marBottom w:val="0"/>
                  <w:divBdr>
                    <w:top w:val="none" w:sz="0" w:space="0" w:color="auto"/>
                    <w:left w:val="none" w:sz="0" w:space="0" w:color="auto"/>
                    <w:bottom w:val="none" w:sz="0" w:space="0" w:color="auto"/>
                    <w:right w:val="none" w:sz="0" w:space="0" w:color="auto"/>
                  </w:divBdr>
                </w:div>
              </w:divsChild>
            </w:div>
            <w:div w:id="498740588">
              <w:marLeft w:val="0"/>
              <w:marRight w:val="0"/>
              <w:marTop w:val="0"/>
              <w:marBottom w:val="0"/>
              <w:divBdr>
                <w:top w:val="none" w:sz="0" w:space="0" w:color="auto"/>
                <w:left w:val="none" w:sz="0" w:space="0" w:color="auto"/>
                <w:bottom w:val="none" w:sz="0" w:space="0" w:color="auto"/>
                <w:right w:val="none" w:sz="0" w:space="0" w:color="auto"/>
              </w:divBdr>
              <w:divsChild>
                <w:div w:id="1358433095">
                  <w:marLeft w:val="0"/>
                  <w:marRight w:val="0"/>
                  <w:marTop w:val="0"/>
                  <w:marBottom w:val="0"/>
                  <w:divBdr>
                    <w:top w:val="none" w:sz="0" w:space="0" w:color="auto"/>
                    <w:left w:val="none" w:sz="0" w:space="0" w:color="auto"/>
                    <w:bottom w:val="none" w:sz="0" w:space="0" w:color="auto"/>
                    <w:right w:val="none" w:sz="0" w:space="0" w:color="auto"/>
                  </w:divBdr>
                </w:div>
              </w:divsChild>
            </w:div>
            <w:div w:id="1827286664">
              <w:marLeft w:val="0"/>
              <w:marRight w:val="0"/>
              <w:marTop w:val="0"/>
              <w:marBottom w:val="0"/>
              <w:divBdr>
                <w:top w:val="none" w:sz="0" w:space="0" w:color="auto"/>
                <w:left w:val="none" w:sz="0" w:space="0" w:color="auto"/>
                <w:bottom w:val="none" w:sz="0" w:space="0" w:color="auto"/>
                <w:right w:val="none" w:sz="0" w:space="0" w:color="auto"/>
              </w:divBdr>
              <w:divsChild>
                <w:div w:id="50555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062329">
          <w:marLeft w:val="0"/>
          <w:marRight w:val="0"/>
          <w:marTop w:val="0"/>
          <w:marBottom w:val="0"/>
          <w:divBdr>
            <w:top w:val="none" w:sz="0" w:space="0" w:color="auto"/>
            <w:left w:val="none" w:sz="0" w:space="0" w:color="auto"/>
            <w:bottom w:val="none" w:sz="0" w:space="0" w:color="auto"/>
            <w:right w:val="none" w:sz="0" w:space="0" w:color="auto"/>
          </w:divBdr>
          <w:divsChild>
            <w:div w:id="1074887801">
              <w:marLeft w:val="0"/>
              <w:marRight w:val="0"/>
              <w:marTop w:val="0"/>
              <w:marBottom w:val="0"/>
              <w:divBdr>
                <w:top w:val="none" w:sz="0" w:space="0" w:color="auto"/>
                <w:left w:val="none" w:sz="0" w:space="0" w:color="auto"/>
                <w:bottom w:val="none" w:sz="0" w:space="0" w:color="auto"/>
                <w:right w:val="none" w:sz="0" w:space="0" w:color="auto"/>
              </w:divBdr>
              <w:divsChild>
                <w:div w:id="78142800">
                  <w:marLeft w:val="0"/>
                  <w:marRight w:val="0"/>
                  <w:marTop w:val="0"/>
                  <w:marBottom w:val="0"/>
                  <w:divBdr>
                    <w:top w:val="none" w:sz="0" w:space="0" w:color="auto"/>
                    <w:left w:val="none" w:sz="0" w:space="0" w:color="auto"/>
                    <w:bottom w:val="none" w:sz="0" w:space="0" w:color="auto"/>
                    <w:right w:val="none" w:sz="0" w:space="0" w:color="auto"/>
                  </w:divBdr>
                </w:div>
                <w:div w:id="2053922988">
                  <w:marLeft w:val="0"/>
                  <w:marRight w:val="0"/>
                  <w:marTop w:val="0"/>
                  <w:marBottom w:val="0"/>
                  <w:divBdr>
                    <w:top w:val="none" w:sz="0" w:space="0" w:color="auto"/>
                    <w:left w:val="none" w:sz="0" w:space="0" w:color="auto"/>
                    <w:bottom w:val="none" w:sz="0" w:space="0" w:color="auto"/>
                    <w:right w:val="none" w:sz="0" w:space="0" w:color="auto"/>
                  </w:divBdr>
                </w:div>
              </w:divsChild>
            </w:div>
            <w:div w:id="290215138">
              <w:marLeft w:val="0"/>
              <w:marRight w:val="0"/>
              <w:marTop w:val="0"/>
              <w:marBottom w:val="0"/>
              <w:divBdr>
                <w:top w:val="none" w:sz="0" w:space="0" w:color="auto"/>
                <w:left w:val="none" w:sz="0" w:space="0" w:color="auto"/>
                <w:bottom w:val="none" w:sz="0" w:space="0" w:color="auto"/>
                <w:right w:val="none" w:sz="0" w:space="0" w:color="auto"/>
              </w:divBdr>
              <w:divsChild>
                <w:div w:id="1631014411">
                  <w:marLeft w:val="0"/>
                  <w:marRight w:val="0"/>
                  <w:marTop w:val="0"/>
                  <w:marBottom w:val="0"/>
                  <w:divBdr>
                    <w:top w:val="none" w:sz="0" w:space="0" w:color="auto"/>
                    <w:left w:val="none" w:sz="0" w:space="0" w:color="auto"/>
                    <w:bottom w:val="none" w:sz="0" w:space="0" w:color="auto"/>
                    <w:right w:val="none" w:sz="0" w:space="0" w:color="auto"/>
                  </w:divBdr>
                </w:div>
              </w:divsChild>
            </w:div>
            <w:div w:id="351687156">
              <w:marLeft w:val="0"/>
              <w:marRight w:val="0"/>
              <w:marTop w:val="0"/>
              <w:marBottom w:val="0"/>
              <w:divBdr>
                <w:top w:val="none" w:sz="0" w:space="0" w:color="auto"/>
                <w:left w:val="none" w:sz="0" w:space="0" w:color="auto"/>
                <w:bottom w:val="none" w:sz="0" w:space="0" w:color="auto"/>
                <w:right w:val="none" w:sz="0" w:space="0" w:color="auto"/>
              </w:divBdr>
              <w:divsChild>
                <w:div w:id="14420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678474">
      <w:bodyDiv w:val="1"/>
      <w:marLeft w:val="0"/>
      <w:marRight w:val="0"/>
      <w:marTop w:val="0"/>
      <w:marBottom w:val="0"/>
      <w:divBdr>
        <w:top w:val="none" w:sz="0" w:space="0" w:color="auto"/>
        <w:left w:val="none" w:sz="0" w:space="0" w:color="auto"/>
        <w:bottom w:val="none" w:sz="0" w:space="0" w:color="auto"/>
        <w:right w:val="none" w:sz="0" w:space="0" w:color="auto"/>
      </w:divBdr>
    </w:div>
    <w:div w:id="1198542876">
      <w:bodyDiv w:val="1"/>
      <w:marLeft w:val="0"/>
      <w:marRight w:val="0"/>
      <w:marTop w:val="0"/>
      <w:marBottom w:val="0"/>
      <w:divBdr>
        <w:top w:val="none" w:sz="0" w:space="0" w:color="auto"/>
        <w:left w:val="none" w:sz="0" w:space="0" w:color="auto"/>
        <w:bottom w:val="none" w:sz="0" w:space="0" w:color="auto"/>
        <w:right w:val="none" w:sz="0" w:space="0" w:color="auto"/>
      </w:divBdr>
    </w:div>
    <w:div w:id="1379625748">
      <w:bodyDiv w:val="1"/>
      <w:marLeft w:val="0"/>
      <w:marRight w:val="0"/>
      <w:marTop w:val="0"/>
      <w:marBottom w:val="0"/>
      <w:divBdr>
        <w:top w:val="none" w:sz="0" w:space="0" w:color="auto"/>
        <w:left w:val="none" w:sz="0" w:space="0" w:color="auto"/>
        <w:bottom w:val="none" w:sz="0" w:space="0" w:color="auto"/>
        <w:right w:val="none" w:sz="0" w:space="0" w:color="auto"/>
      </w:divBdr>
    </w:div>
    <w:div w:id="1667974977">
      <w:bodyDiv w:val="1"/>
      <w:marLeft w:val="0"/>
      <w:marRight w:val="0"/>
      <w:marTop w:val="0"/>
      <w:marBottom w:val="0"/>
      <w:divBdr>
        <w:top w:val="none" w:sz="0" w:space="0" w:color="auto"/>
        <w:left w:val="none" w:sz="0" w:space="0" w:color="auto"/>
        <w:bottom w:val="none" w:sz="0" w:space="0" w:color="auto"/>
        <w:right w:val="none" w:sz="0" w:space="0" w:color="auto"/>
      </w:divBdr>
    </w:div>
    <w:div w:id="1735228822">
      <w:bodyDiv w:val="1"/>
      <w:marLeft w:val="0"/>
      <w:marRight w:val="0"/>
      <w:marTop w:val="0"/>
      <w:marBottom w:val="0"/>
      <w:divBdr>
        <w:top w:val="none" w:sz="0" w:space="0" w:color="auto"/>
        <w:left w:val="none" w:sz="0" w:space="0" w:color="auto"/>
        <w:bottom w:val="none" w:sz="0" w:space="0" w:color="auto"/>
        <w:right w:val="none" w:sz="0" w:space="0" w:color="auto"/>
      </w:divBdr>
    </w:div>
    <w:div w:id="1735857964">
      <w:bodyDiv w:val="1"/>
      <w:marLeft w:val="0"/>
      <w:marRight w:val="0"/>
      <w:marTop w:val="0"/>
      <w:marBottom w:val="0"/>
      <w:divBdr>
        <w:top w:val="none" w:sz="0" w:space="0" w:color="auto"/>
        <w:left w:val="none" w:sz="0" w:space="0" w:color="auto"/>
        <w:bottom w:val="none" w:sz="0" w:space="0" w:color="auto"/>
        <w:right w:val="none" w:sz="0" w:space="0" w:color="auto"/>
      </w:divBdr>
    </w:div>
    <w:div w:id="1816146678">
      <w:bodyDiv w:val="1"/>
      <w:marLeft w:val="0"/>
      <w:marRight w:val="0"/>
      <w:marTop w:val="0"/>
      <w:marBottom w:val="0"/>
      <w:divBdr>
        <w:top w:val="none" w:sz="0" w:space="0" w:color="auto"/>
        <w:left w:val="none" w:sz="0" w:space="0" w:color="auto"/>
        <w:bottom w:val="none" w:sz="0" w:space="0" w:color="auto"/>
        <w:right w:val="none" w:sz="0" w:space="0" w:color="auto"/>
      </w:divBdr>
    </w:div>
    <w:div w:id="1942057796">
      <w:bodyDiv w:val="1"/>
      <w:marLeft w:val="0"/>
      <w:marRight w:val="0"/>
      <w:marTop w:val="0"/>
      <w:marBottom w:val="0"/>
      <w:divBdr>
        <w:top w:val="none" w:sz="0" w:space="0" w:color="auto"/>
        <w:left w:val="none" w:sz="0" w:space="0" w:color="auto"/>
        <w:bottom w:val="none" w:sz="0" w:space="0" w:color="auto"/>
        <w:right w:val="none" w:sz="0" w:space="0" w:color="auto"/>
      </w:divBdr>
    </w:div>
    <w:div w:id="1980764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egener@gmx.de"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HRBodies/CRPD/Pages/GC.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21EC97-06B3-49E1-AD2E-CEB6E1EA628F}"/>
</file>

<file path=customXml/itemProps2.xml><?xml version="1.0" encoding="utf-8"?>
<ds:datastoreItem xmlns:ds="http://schemas.openxmlformats.org/officeDocument/2006/customXml" ds:itemID="{6E2B7F1D-5A49-477F-B575-1637E25F02E8}"/>
</file>

<file path=customXml/itemProps3.xml><?xml version="1.0" encoding="utf-8"?>
<ds:datastoreItem xmlns:ds="http://schemas.openxmlformats.org/officeDocument/2006/customXml" ds:itemID="{DBC2F35E-2091-4CC5-824E-584CE13031BD}"/>
</file>

<file path=customXml/itemProps4.xml><?xml version="1.0" encoding="utf-8"?>
<ds:datastoreItem xmlns:ds="http://schemas.openxmlformats.org/officeDocument/2006/customXml" ds:itemID="{6AFFF570-5AEC-4CF4-92B3-6EAF56114E81}"/>
</file>

<file path=docProps/app.xml><?xml version="1.0" encoding="utf-8"?>
<Properties xmlns="http://schemas.openxmlformats.org/officeDocument/2006/extended-properties" xmlns:vt="http://schemas.openxmlformats.org/officeDocument/2006/docPropsVTypes">
  <Template>Normal.dotm</Template>
  <TotalTime>1</TotalTime>
  <Pages>32</Pages>
  <Words>11701</Words>
  <Characters>66698</Characters>
  <Application>Microsoft Office Word</Application>
  <DocSecurity>4</DocSecurity>
  <Lines>555</Lines>
  <Paragraphs>156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Marine Uldry</dc:creator>
  <cp:lastModifiedBy>RINALDI Audrey</cp:lastModifiedBy>
  <cp:revision>2</cp:revision>
  <cp:lastPrinted>2018-06-24T21:10:00Z</cp:lastPrinted>
  <dcterms:created xsi:type="dcterms:W3CDTF">2018-08-22T16:16:00Z</dcterms:created>
  <dcterms:modified xsi:type="dcterms:W3CDTF">2018-08-22T16:16:00Z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