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D9869" w14:textId="77777777" w:rsidR="00AB4EBC" w:rsidRDefault="00AB4EBC" w:rsidP="00AB4EBC">
      <w:pPr>
        <w:spacing w:after="0" w:line="240" w:lineRule="auto"/>
        <w:jc w:val="center"/>
        <w:rPr>
          <w:rFonts w:ascii="Arial" w:eastAsia="MS Mincho" w:hAnsi="Arial" w:cs="Arial"/>
          <w:b/>
          <w:caps/>
          <w:sz w:val="24"/>
          <w:szCs w:val="24"/>
        </w:rPr>
      </w:pPr>
      <w:r>
        <w:rPr>
          <w:noProof/>
          <w:lang w:eastAsia="fr-FR"/>
        </w:rPr>
        <w:drawing>
          <wp:anchor distT="0" distB="0" distL="114300" distR="114300" simplePos="0" relativeHeight="251659264" behindDoc="1" locked="0" layoutInCell="1" allowOverlap="1" wp14:anchorId="516DDD97" wp14:editId="7EDACEA1">
            <wp:simplePos x="0" y="0"/>
            <wp:positionH relativeFrom="column">
              <wp:posOffset>0</wp:posOffset>
            </wp:positionH>
            <wp:positionV relativeFrom="paragraph">
              <wp:posOffset>180340</wp:posOffset>
            </wp:positionV>
            <wp:extent cx="1237615" cy="1877695"/>
            <wp:effectExtent l="0" t="0" r="635" b="825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237615" cy="1877695"/>
                    </a:xfrm>
                    <a:prstGeom prst="rect">
                      <a:avLst/>
                    </a:prstGeom>
                    <a:noFill/>
                  </pic:spPr>
                </pic:pic>
              </a:graphicData>
            </a:graphic>
          </wp:anchor>
        </w:drawing>
      </w:r>
    </w:p>
    <w:p w14:paraId="2CCCC525" w14:textId="77777777" w:rsidR="00AB4EBC" w:rsidRDefault="00AB4EBC" w:rsidP="00AB4EBC">
      <w:pPr>
        <w:spacing w:after="0" w:line="240" w:lineRule="auto"/>
        <w:jc w:val="center"/>
        <w:rPr>
          <w:rFonts w:ascii="Arial" w:eastAsia="MS Mincho" w:hAnsi="Arial" w:cs="Arial"/>
          <w:b/>
          <w:caps/>
          <w:sz w:val="24"/>
          <w:szCs w:val="24"/>
        </w:rPr>
      </w:pPr>
    </w:p>
    <w:p w14:paraId="46B3DD7B" w14:textId="77777777" w:rsidR="00AB4EBC" w:rsidRDefault="00AB4EBC" w:rsidP="00AB4EBC">
      <w:pPr>
        <w:spacing w:after="0" w:line="240" w:lineRule="auto"/>
        <w:jc w:val="center"/>
        <w:rPr>
          <w:rFonts w:ascii="Arial" w:eastAsia="MS Mincho" w:hAnsi="Arial" w:cs="Arial"/>
          <w:b/>
          <w:caps/>
          <w:sz w:val="24"/>
          <w:szCs w:val="24"/>
        </w:rPr>
      </w:pPr>
    </w:p>
    <w:p w14:paraId="7D4484A2" w14:textId="77777777" w:rsidR="00AB4EBC" w:rsidRDefault="00AB4EBC" w:rsidP="00AB4EBC">
      <w:pPr>
        <w:spacing w:after="0" w:line="240" w:lineRule="auto"/>
        <w:jc w:val="center"/>
        <w:rPr>
          <w:rFonts w:ascii="Arial" w:eastAsia="MS Mincho" w:hAnsi="Arial" w:cs="Arial"/>
          <w:b/>
          <w:caps/>
          <w:sz w:val="24"/>
          <w:szCs w:val="24"/>
        </w:rPr>
      </w:pPr>
    </w:p>
    <w:p w14:paraId="48A12998" w14:textId="77777777" w:rsidR="00AB4EBC" w:rsidRDefault="00AB4EBC" w:rsidP="00AB4EBC">
      <w:pPr>
        <w:spacing w:after="0" w:line="240" w:lineRule="auto"/>
        <w:jc w:val="center"/>
        <w:rPr>
          <w:rFonts w:ascii="Arial" w:eastAsia="MS Mincho" w:hAnsi="Arial" w:cs="Arial"/>
          <w:b/>
          <w:caps/>
          <w:sz w:val="24"/>
          <w:szCs w:val="24"/>
        </w:rPr>
      </w:pPr>
    </w:p>
    <w:p w14:paraId="69C5980A" w14:textId="77777777" w:rsidR="00AB4EBC" w:rsidRDefault="00AB4EBC" w:rsidP="00AB4EBC">
      <w:pPr>
        <w:spacing w:after="0" w:line="240" w:lineRule="auto"/>
        <w:jc w:val="center"/>
        <w:rPr>
          <w:rFonts w:ascii="Arial" w:eastAsia="MS Mincho" w:hAnsi="Arial" w:cs="Arial"/>
          <w:b/>
          <w:caps/>
          <w:sz w:val="24"/>
          <w:szCs w:val="24"/>
        </w:rPr>
      </w:pPr>
    </w:p>
    <w:p w14:paraId="5C66A015" w14:textId="77777777" w:rsidR="00AB4EBC" w:rsidRDefault="00AB4EBC" w:rsidP="00AB4EBC">
      <w:pPr>
        <w:spacing w:after="0" w:line="240" w:lineRule="auto"/>
        <w:jc w:val="center"/>
        <w:rPr>
          <w:rFonts w:ascii="Arial" w:eastAsia="MS Mincho" w:hAnsi="Arial" w:cs="Arial"/>
          <w:b/>
          <w:caps/>
          <w:sz w:val="24"/>
          <w:szCs w:val="24"/>
        </w:rPr>
      </w:pPr>
    </w:p>
    <w:p w14:paraId="68182769" w14:textId="77777777" w:rsidR="00AB4EBC" w:rsidRDefault="00AB4EBC" w:rsidP="00AB4EBC">
      <w:pPr>
        <w:spacing w:after="0" w:line="240" w:lineRule="auto"/>
        <w:jc w:val="center"/>
        <w:rPr>
          <w:rFonts w:ascii="Arial" w:eastAsia="MS Mincho" w:hAnsi="Arial" w:cs="Arial"/>
          <w:b/>
          <w:caps/>
          <w:sz w:val="24"/>
          <w:szCs w:val="24"/>
        </w:rPr>
      </w:pPr>
    </w:p>
    <w:p w14:paraId="01ACC290" w14:textId="77777777" w:rsidR="00AB4EBC" w:rsidRDefault="00AB4EBC" w:rsidP="00AB4EBC">
      <w:pPr>
        <w:spacing w:after="0" w:line="240" w:lineRule="auto"/>
        <w:jc w:val="center"/>
        <w:rPr>
          <w:rFonts w:ascii="Arial" w:eastAsia="MS Mincho" w:hAnsi="Arial" w:cs="Arial"/>
          <w:b/>
          <w:caps/>
          <w:sz w:val="24"/>
          <w:szCs w:val="24"/>
        </w:rPr>
      </w:pPr>
    </w:p>
    <w:p w14:paraId="5BB0B280" w14:textId="77777777" w:rsidR="00AB4EBC" w:rsidRDefault="00AB4EBC" w:rsidP="00AB4EBC">
      <w:pPr>
        <w:spacing w:after="0" w:line="240" w:lineRule="auto"/>
        <w:jc w:val="center"/>
        <w:rPr>
          <w:rFonts w:ascii="Arial" w:eastAsia="MS Mincho" w:hAnsi="Arial" w:cs="Arial"/>
          <w:b/>
          <w:caps/>
          <w:sz w:val="24"/>
          <w:szCs w:val="24"/>
        </w:rPr>
      </w:pPr>
    </w:p>
    <w:p w14:paraId="24BCCE71" w14:textId="77777777" w:rsidR="00AB4EBC" w:rsidRDefault="00AB4EBC" w:rsidP="00AB4EBC">
      <w:pPr>
        <w:spacing w:after="0" w:line="240" w:lineRule="auto"/>
        <w:jc w:val="center"/>
        <w:rPr>
          <w:rFonts w:ascii="Arial" w:eastAsia="MS Mincho" w:hAnsi="Arial" w:cs="Arial"/>
          <w:b/>
          <w:caps/>
          <w:sz w:val="24"/>
          <w:szCs w:val="24"/>
        </w:rPr>
      </w:pPr>
    </w:p>
    <w:p w14:paraId="7A488BC8" w14:textId="77777777" w:rsidR="00AB4EBC" w:rsidRDefault="00AB4EBC" w:rsidP="00AB4EBC">
      <w:pPr>
        <w:spacing w:after="0" w:line="240" w:lineRule="auto"/>
        <w:jc w:val="center"/>
        <w:rPr>
          <w:rFonts w:ascii="Arial" w:eastAsia="MS Mincho" w:hAnsi="Arial" w:cs="Arial"/>
          <w:b/>
          <w:caps/>
          <w:sz w:val="24"/>
          <w:szCs w:val="24"/>
        </w:rPr>
      </w:pPr>
    </w:p>
    <w:p w14:paraId="4C27637A" w14:textId="77777777" w:rsidR="00AB4EBC" w:rsidRDefault="00AB4EBC" w:rsidP="00AB4EBC">
      <w:pPr>
        <w:spacing w:after="0" w:line="240" w:lineRule="auto"/>
        <w:jc w:val="center"/>
        <w:rPr>
          <w:rFonts w:ascii="Arial" w:eastAsia="MS Mincho" w:hAnsi="Arial" w:cs="Arial"/>
          <w:b/>
          <w:caps/>
          <w:sz w:val="24"/>
          <w:szCs w:val="24"/>
        </w:rPr>
      </w:pPr>
    </w:p>
    <w:p w14:paraId="1E2027D9" w14:textId="77777777" w:rsidR="00AB4EBC" w:rsidRDefault="00AB4EBC" w:rsidP="00AB4EBC">
      <w:pPr>
        <w:spacing w:after="0" w:line="240" w:lineRule="auto"/>
        <w:jc w:val="center"/>
        <w:rPr>
          <w:rFonts w:ascii="Arial" w:eastAsia="MS Mincho" w:hAnsi="Arial" w:cs="Arial"/>
          <w:b/>
          <w:caps/>
          <w:sz w:val="24"/>
          <w:szCs w:val="24"/>
        </w:rPr>
      </w:pPr>
    </w:p>
    <w:p w14:paraId="52A57238" w14:textId="77777777" w:rsidR="00AB4EBC" w:rsidRDefault="00AB4EBC" w:rsidP="00AB4EBC">
      <w:pPr>
        <w:spacing w:after="0" w:line="240" w:lineRule="auto"/>
        <w:jc w:val="center"/>
        <w:rPr>
          <w:rFonts w:ascii="Arial" w:eastAsia="MS Mincho" w:hAnsi="Arial" w:cs="Arial"/>
          <w:b/>
          <w:caps/>
          <w:sz w:val="24"/>
          <w:szCs w:val="24"/>
        </w:rPr>
      </w:pPr>
    </w:p>
    <w:p w14:paraId="301BA5A3" w14:textId="77777777" w:rsidR="00AB4EBC" w:rsidRDefault="00AB4EBC" w:rsidP="00AB4EBC">
      <w:pPr>
        <w:spacing w:after="0" w:line="240" w:lineRule="auto"/>
        <w:jc w:val="center"/>
        <w:rPr>
          <w:rFonts w:ascii="Arial" w:eastAsia="MS Mincho" w:hAnsi="Arial" w:cs="Arial"/>
          <w:b/>
          <w:caps/>
          <w:sz w:val="24"/>
          <w:szCs w:val="24"/>
        </w:rPr>
      </w:pPr>
    </w:p>
    <w:p w14:paraId="2FAE2925" w14:textId="77777777" w:rsidR="00AB4EBC" w:rsidRDefault="00AB4EBC" w:rsidP="00AB4EBC">
      <w:pPr>
        <w:spacing w:after="0" w:line="240" w:lineRule="auto"/>
        <w:jc w:val="center"/>
        <w:rPr>
          <w:rFonts w:ascii="Arial" w:eastAsia="MS Mincho" w:hAnsi="Arial" w:cs="Arial"/>
          <w:b/>
          <w:caps/>
          <w:sz w:val="24"/>
          <w:szCs w:val="24"/>
        </w:rPr>
      </w:pPr>
    </w:p>
    <w:p w14:paraId="476D3C7E" w14:textId="77777777" w:rsidR="00AB4EBC" w:rsidRDefault="00AB4EBC" w:rsidP="00AB4EBC">
      <w:pPr>
        <w:spacing w:after="0" w:line="240" w:lineRule="auto"/>
        <w:jc w:val="center"/>
        <w:rPr>
          <w:rFonts w:ascii="Arial" w:eastAsia="MS Mincho" w:hAnsi="Arial" w:cs="Arial"/>
          <w:b/>
          <w:caps/>
          <w:sz w:val="24"/>
          <w:szCs w:val="24"/>
        </w:rPr>
      </w:pPr>
    </w:p>
    <w:p w14:paraId="44B695A0" w14:textId="77777777" w:rsidR="00AB4EBC" w:rsidRDefault="00AB4EBC" w:rsidP="00AB4EBC">
      <w:pPr>
        <w:spacing w:after="0" w:line="240" w:lineRule="auto"/>
        <w:jc w:val="center"/>
        <w:rPr>
          <w:rFonts w:ascii="Arial" w:eastAsia="MS Mincho" w:hAnsi="Arial" w:cs="Arial"/>
          <w:b/>
          <w:caps/>
          <w:sz w:val="24"/>
          <w:szCs w:val="24"/>
        </w:rPr>
      </w:pPr>
    </w:p>
    <w:p w14:paraId="2B96EB86" w14:textId="77777777" w:rsidR="00AB4EBC" w:rsidRDefault="00AB4EBC" w:rsidP="00AB4EBC">
      <w:pPr>
        <w:spacing w:after="0" w:line="240" w:lineRule="auto"/>
        <w:jc w:val="center"/>
        <w:rPr>
          <w:rFonts w:ascii="Arial" w:eastAsia="MS Mincho" w:hAnsi="Arial" w:cs="Arial"/>
          <w:b/>
          <w:caps/>
          <w:sz w:val="24"/>
          <w:szCs w:val="24"/>
        </w:rPr>
      </w:pPr>
    </w:p>
    <w:p w14:paraId="57D649B2" w14:textId="77777777" w:rsidR="00AB4EBC" w:rsidRDefault="00AB4EBC" w:rsidP="00AB4EBC">
      <w:pPr>
        <w:spacing w:after="0" w:line="240" w:lineRule="auto"/>
        <w:jc w:val="center"/>
        <w:rPr>
          <w:rFonts w:ascii="Arial" w:eastAsia="MS Mincho" w:hAnsi="Arial" w:cs="Arial"/>
          <w:b/>
          <w:caps/>
          <w:sz w:val="24"/>
          <w:szCs w:val="24"/>
        </w:rPr>
      </w:pPr>
    </w:p>
    <w:p w14:paraId="52D61F95" w14:textId="77777777" w:rsidR="00AB4EBC" w:rsidRDefault="00AB4EBC" w:rsidP="00AB4EBC">
      <w:pPr>
        <w:spacing w:after="0" w:line="240" w:lineRule="auto"/>
        <w:jc w:val="center"/>
        <w:rPr>
          <w:rFonts w:ascii="Arial" w:eastAsia="MS Mincho" w:hAnsi="Arial" w:cs="Arial"/>
          <w:b/>
          <w:caps/>
          <w:sz w:val="24"/>
          <w:szCs w:val="24"/>
        </w:rPr>
      </w:pPr>
    </w:p>
    <w:p w14:paraId="7B8682DF" w14:textId="77777777" w:rsidR="00AB4EBC" w:rsidRDefault="00AB4EBC" w:rsidP="00AB4EBC">
      <w:pPr>
        <w:spacing w:after="0" w:line="240" w:lineRule="auto"/>
        <w:jc w:val="center"/>
        <w:rPr>
          <w:rFonts w:ascii="Arial" w:eastAsia="MS Mincho" w:hAnsi="Arial" w:cs="Arial"/>
          <w:b/>
          <w:caps/>
          <w:sz w:val="24"/>
          <w:szCs w:val="24"/>
        </w:rPr>
      </w:pPr>
      <w:r>
        <w:rPr>
          <w:rFonts w:ascii="Arial" w:eastAsia="MS Mincho" w:hAnsi="Arial" w:cs="Arial"/>
          <w:b/>
          <w:caps/>
          <w:sz w:val="24"/>
          <w:szCs w:val="24"/>
        </w:rPr>
        <w:t xml:space="preserve">COMITÉ </w:t>
      </w:r>
      <w:r w:rsidR="00743630">
        <w:rPr>
          <w:rFonts w:ascii="Arial" w:eastAsia="MS Mincho" w:hAnsi="Arial" w:cs="Arial"/>
          <w:b/>
          <w:caps/>
          <w:sz w:val="24"/>
          <w:szCs w:val="24"/>
        </w:rPr>
        <w:t>CONTRE LA TORTURE</w:t>
      </w:r>
      <w:r>
        <w:rPr>
          <w:rFonts w:ascii="Arial" w:eastAsia="MS Mincho" w:hAnsi="Arial" w:cs="Arial"/>
          <w:b/>
          <w:caps/>
          <w:sz w:val="24"/>
          <w:szCs w:val="24"/>
        </w:rPr>
        <w:t xml:space="preserve"> des Nations Unies</w:t>
      </w:r>
    </w:p>
    <w:p w14:paraId="7257ACDB" w14:textId="77777777" w:rsidR="00AB4EBC" w:rsidRDefault="00743630" w:rsidP="00AB4EBC">
      <w:pPr>
        <w:spacing w:after="0" w:line="240" w:lineRule="auto"/>
        <w:jc w:val="center"/>
        <w:rPr>
          <w:rFonts w:ascii="Arial" w:eastAsia="MS Mincho" w:hAnsi="Arial" w:cs="Arial"/>
          <w:b/>
          <w:sz w:val="20"/>
          <w:szCs w:val="20"/>
        </w:rPr>
      </w:pPr>
      <w:r>
        <w:rPr>
          <w:rFonts w:ascii="Arial" w:eastAsia="MS Mincho" w:hAnsi="Arial" w:cs="Arial"/>
          <w:b/>
          <w:sz w:val="24"/>
          <w:szCs w:val="24"/>
        </w:rPr>
        <w:t>82</w:t>
      </w:r>
      <w:r w:rsidR="00AB4EBC">
        <w:rPr>
          <w:rFonts w:ascii="Arial" w:eastAsia="MS Mincho" w:hAnsi="Arial" w:cs="Arial"/>
          <w:b/>
          <w:sz w:val="24"/>
          <w:szCs w:val="24"/>
          <w:vertAlign w:val="superscript"/>
        </w:rPr>
        <w:t>ème</w:t>
      </w:r>
      <w:r w:rsidR="00AB4EBC">
        <w:rPr>
          <w:rFonts w:ascii="Arial" w:eastAsia="MS Mincho" w:hAnsi="Arial" w:cs="Arial"/>
          <w:b/>
          <w:sz w:val="24"/>
          <w:szCs w:val="24"/>
        </w:rPr>
        <w:t xml:space="preserve"> session – </w:t>
      </w:r>
      <w:r>
        <w:rPr>
          <w:rFonts w:ascii="Arial" w:eastAsia="MS Mincho" w:hAnsi="Arial" w:cs="Arial"/>
          <w:b/>
          <w:sz w:val="24"/>
          <w:szCs w:val="24"/>
        </w:rPr>
        <w:t>7 avril</w:t>
      </w:r>
      <w:r w:rsidR="00AB4EBC">
        <w:rPr>
          <w:rFonts w:ascii="Arial" w:eastAsia="MS Mincho" w:hAnsi="Arial" w:cs="Arial"/>
          <w:b/>
          <w:sz w:val="24"/>
          <w:szCs w:val="24"/>
        </w:rPr>
        <w:t>/</w:t>
      </w:r>
      <w:r>
        <w:rPr>
          <w:rFonts w:ascii="Arial" w:eastAsia="MS Mincho" w:hAnsi="Arial" w:cs="Arial"/>
          <w:b/>
          <w:sz w:val="24"/>
          <w:szCs w:val="24"/>
        </w:rPr>
        <w:t>2 mai 2025</w:t>
      </w:r>
    </w:p>
    <w:p w14:paraId="288F338A" w14:textId="77777777" w:rsidR="00AB4EBC" w:rsidRDefault="00AB4EBC" w:rsidP="00AB4EBC">
      <w:pPr>
        <w:spacing w:after="0" w:line="240" w:lineRule="auto"/>
        <w:rPr>
          <w:rFonts w:ascii="Arial" w:eastAsia="MS Mincho" w:hAnsi="Arial" w:cs="Arial"/>
          <w:b/>
          <w:sz w:val="20"/>
          <w:szCs w:val="20"/>
        </w:rPr>
      </w:pPr>
    </w:p>
    <w:p w14:paraId="18B8F0DA" w14:textId="77777777" w:rsidR="00AB4EBC" w:rsidRDefault="00AB4EBC" w:rsidP="00AB4EBC">
      <w:pPr>
        <w:spacing w:after="0" w:line="240" w:lineRule="auto"/>
        <w:rPr>
          <w:rFonts w:ascii="Arial" w:eastAsia="MS Mincho" w:hAnsi="Arial" w:cs="Arial"/>
          <w:b/>
          <w:sz w:val="20"/>
          <w:szCs w:val="20"/>
        </w:rPr>
      </w:pPr>
    </w:p>
    <w:p w14:paraId="09FCAC1F" w14:textId="77777777" w:rsidR="00AB4EBC" w:rsidRDefault="00AB4EBC" w:rsidP="00AB4EBC">
      <w:pPr>
        <w:spacing w:after="0" w:line="240" w:lineRule="auto"/>
        <w:rPr>
          <w:rFonts w:ascii="Arial" w:eastAsia="MS Mincho" w:hAnsi="Arial" w:cs="Arial"/>
          <w:b/>
          <w:sz w:val="20"/>
          <w:szCs w:val="20"/>
        </w:rPr>
      </w:pPr>
    </w:p>
    <w:p w14:paraId="3D63DB55" w14:textId="77777777" w:rsidR="00AB4EBC" w:rsidRDefault="00AB4EBC" w:rsidP="00AB4EBC">
      <w:pPr>
        <w:spacing w:after="0" w:line="240" w:lineRule="auto"/>
        <w:jc w:val="center"/>
        <w:rPr>
          <w:rFonts w:ascii="Arial" w:eastAsia="MS Mincho" w:hAnsi="Arial" w:cs="Arial"/>
          <w:b/>
          <w:caps/>
        </w:rPr>
      </w:pPr>
      <w:r>
        <w:rPr>
          <w:rFonts w:ascii="Arial" w:eastAsia="MS Mincho" w:hAnsi="Arial" w:cs="Arial"/>
          <w:b/>
          <w:caps/>
        </w:rPr>
        <w:t xml:space="preserve">RAPPORT ALTERNATIF DE LA ldh À PROPOS du </w:t>
      </w:r>
      <w:r w:rsidR="00743630">
        <w:rPr>
          <w:rFonts w:ascii="Arial" w:eastAsia="MS Mincho" w:hAnsi="Arial" w:cs="Arial"/>
          <w:b/>
          <w:caps/>
        </w:rPr>
        <w:t>HUITIÈME</w:t>
      </w:r>
      <w:r>
        <w:rPr>
          <w:rFonts w:ascii="Arial" w:eastAsia="MS Mincho" w:hAnsi="Arial" w:cs="Arial"/>
          <w:b/>
          <w:caps/>
        </w:rPr>
        <w:t xml:space="preserve"> RAPPORT PÉRIODIQUE DE LA FRANCE</w:t>
      </w:r>
    </w:p>
    <w:p w14:paraId="3AE21CF4" w14:textId="77777777" w:rsidR="00AB4EBC" w:rsidRDefault="00AB4EBC" w:rsidP="00AB4EBC">
      <w:pPr>
        <w:spacing w:after="0" w:line="360" w:lineRule="auto"/>
        <w:jc w:val="both"/>
        <w:rPr>
          <w:rFonts w:ascii="Arial" w:eastAsia="MS Mincho" w:hAnsi="Arial" w:cs="Arial"/>
          <w:b/>
          <w:sz w:val="20"/>
          <w:szCs w:val="20"/>
        </w:rPr>
      </w:pPr>
    </w:p>
    <w:p w14:paraId="0F7D84A6" w14:textId="77777777" w:rsidR="00AB4EBC" w:rsidRDefault="00AB4EBC" w:rsidP="00AB4EBC">
      <w:pPr>
        <w:spacing w:after="0" w:line="360" w:lineRule="auto"/>
        <w:jc w:val="both"/>
        <w:rPr>
          <w:rFonts w:ascii="Arial" w:eastAsia="MS Mincho" w:hAnsi="Arial" w:cs="Arial"/>
          <w:b/>
          <w:sz w:val="20"/>
          <w:szCs w:val="20"/>
        </w:rPr>
      </w:pPr>
    </w:p>
    <w:p w14:paraId="5D569D22" w14:textId="77777777" w:rsidR="00AB4EBC" w:rsidRDefault="00AB4EBC" w:rsidP="00AB4EBC">
      <w:pPr>
        <w:spacing w:after="0" w:line="360" w:lineRule="auto"/>
        <w:jc w:val="both"/>
        <w:rPr>
          <w:rFonts w:ascii="Arial" w:eastAsia="MS Mincho" w:hAnsi="Arial" w:cs="Arial"/>
          <w:b/>
          <w:sz w:val="20"/>
          <w:szCs w:val="20"/>
        </w:rPr>
      </w:pPr>
    </w:p>
    <w:p w14:paraId="5ED71078" w14:textId="77777777" w:rsidR="00AB4EBC" w:rsidRDefault="00AB4EBC" w:rsidP="00AB4EBC">
      <w:pPr>
        <w:spacing w:after="0" w:line="360" w:lineRule="auto"/>
        <w:jc w:val="both"/>
        <w:rPr>
          <w:rFonts w:ascii="Arial" w:eastAsia="MS Mincho" w:hAnsi="Arial" w:cs="Arial"/>
          <w:b/>
          <w:sz w:val="20"/>
          <w:szCs w:val="20"/>
        </w:rPr>
      </w:pPr>
    </w:p>
    <w:p w14:paraId="7B9FB3BE" w14:textId="77777777" w:rsidR="00AB4EBC" w:rsidRDefault="00AB4EBC" w:rsidP="00AB4EBC">
      <w:pPr>
        <w:spacing w:after="0" w:line="360" w:lineRule="auto"/>
        <w:jc w:val="both"/>
        <w:rPr>
          <w:rFonts w:ascii="Arial" w:eastAsia="MS Mincho" w:hAnsi="Arial" w:cs="Arial"/>
          <w:b/>
          <w:sz w:val="20"/>
          <w:szCs w:val="20"/>
        </w:rPr>
      </w:pPr>
    </w:p>
    <w:p w14:paraId="38BF6C4C" w14:textId="77777777" w:rsidR="00AB4EBC" w:rsidRDefault="00AB4EBC" w:rsidP="00AB4EBC">
      <w:pPr>
        <w:spacing w:after="0" w:line="360" w:lineRule="auto"/>
        <w:jc w:val="both"/>
        <w:rPr>
          <w:rFonts w:ascii="Arial" w:eastAsia="MS Mincho" w:hAnsi="Arial" w:cs="Arial"/>
          <w:b/>
          <w:sz w:val="20"/>
          <w:szCs w:val="20"/>
        </w:rPr>
      </w:pPr>
    </w:p>
    <w:p w14:paraId="22AA6538" w14:textId="77777777" w:rsidR="00AB4EBC" w:rsidRDefault="00AB4EBC" w:rsidP="00AB4EBC">
      <w:pPr>
        <w:spacing w:after="0" w:line="360" w:lineRule="auto"/>
        <w:jc w:val="both"/>
        <w:rPr>
          <w:rFonts w:ascii="Arial" w:eastAsia="MS Mincho" w:hAnsi="Arial" w:cs="Arial"/>
          <w:b/>
          <w:sz w:val="20"/>
          <w:szCs w:val="20"/>
        </w:rPr>
      </w:pPr>
    </w:p>
    <w:p w14:paraId="7DF9E55D" w14:textId="77777777" w:rsidR="00AB4EBC" w:rsidRDefault="00AB4EBC" w:rsidP="00AB4EBC">
      <w:pPr>
        <w:spacing w:after="0" w:line="360" w:lineRule="auto"/>
        <w:jc w:val="both"/>
        <w:rPr>
          <w:rFonts w:ascii="Arial" w:eastAsia="MS Mincho" w:hAnsi="Arial" w:cs="Arial"/>
          <w:b/>
          <w:sz w:val="20"/>
          <w:szCs w:val="20"/>
        </w:rPr>
      </w:pPr>
    </w:p>
    <w:p w14:paraId="76E120AF" w14:textId="77777777" w:rsidR="00AB4EBC" w:rsidRDefault="00AB4EBC" w:rsidP="00AB4EBC">
      <w:pPr>
        <w:spacing w:after="0" w:line="360" w:lineRule="auto"/>
        <w:jc w:val="both"/>
        <w:rPr>
          <w:rFonts w:ascii="Arial" w:eastAsia="MS Mincho" w:hAnsi="Arial" w:cs="Arial"/>
          <w:b/>
          <w:sz w:val="20"/>
          <w:szCs w:val="20"/>
        </w:rPr>
      </w:pPr>
    </w:p>
    <w:p w14:paraId="35AFDC2D" w14:textId="77777777" w:rsidR="00AB4EBC" w:rsidRDefault="00AB4EBC" w:rsidP="00AB4EBC">
      <w:pPr>
        <w:spacing w:after="0" w:line="360" w:lineRule="auto"/>
        <w:jc w:val="both"/>
        <w:rPr>
          <w:rFonts w:ascii="Arial" w:eastAsia="MS Mincho" w:hAnsi="Arial" w:cs="Arial"/>
          <w:b/>
          <w:sz w:val="20"/>
          <w:szCs w:val="20"/>
        </w:rPr>
      </w:pPr>
    </w:p>
    <w:p w14:paraId="369E74E7" w14:textId="77777777" w:rsidR="00AB4EBC" w:rsidRDefault="00AB4EBC" w:rsidP="00AB4EBC">
      <w:pPr>
        <w:spacing w:after="0" w:line="360" w:lineRule="auto"/>
        <w:jc w:val="both"/>
        <w:rPr>
          <w:rFonts w:ascii="Arial" w:eastAsia="MS Mincho" w:hAnsi="Arial" w:cs="Arial"/>
          <w:b/>
          <w:sz w:val="20"/>
          <w:szCs w:val="20"/>
        </w:rPr>
      </w:pPr>
    </w:p>
    <w:p w14:paraId="77F7917D" w14:textId="77777777" w:rsidR="00AB4EBC" w:rsidRDefault="00AB4EBC" w:rsidP="00AB4EBC">
      <w:pPr>
        <w:spacing w:after="0" w:line="360" w:lineRule="auto"/>
        <w:jc w:val="both"/>
        <w:rPr>
          <w:rFonts w:ascii="Arial" w:eastAsia="MS Mincho" w:hAnsi="Arial" w:cs="Arial"/>
          <w:b/>
          <w:sz w:val="20"/>
          <w:szCs w:val="20"/>
        </w:rPr>
      </w:pPr>
    </w:p>
    <w:p w14:paraId="6F9564DD" w14:textId="77777777" w:rsidR="00AB4EBC" w:rsidRDefault="00AB4EBC" w:rsidP="00AB4EBC">
      <w:pPr>
        <w:spacing w:after="0" w:line="360" w:lineRule="auto"/>
        <w:rPr>
          <w:rFonts w:ascii="Arial" w:eastAsia="MS Mincho" w:hAnsi="Arial" w:cs="Arial"/>
          <w:b/>
          <w:sz w:val="20"/>
          <w:szCs w:val="20"/>
        </w:rPr>
      </w:pPr>
    </w:p>
    <w:p w14:paraId="514B673F" w14:textId="77777777" w:rsidR="00AB4EBC" w:rsidRDefault="00AB4EBC" w:rsidP="00AB4EBC">
      <w:pPr>
        <w:spacing w:after="0" w:line="360" w:lineRule="auto"/>
        <w:rPr>
          <w:rFonts w:ascii="Arial" w:eastAsia="MS Mincho" w:hAnsi="Arial" w:cs="Arial"/>
          <w:b/>
          <w:sz w:val="20"/>
          <w:szCs w:val="20"/>
        </w:rPr>
      </w:pPr>
    </w:p>
    <w:p w14:paraId="54C4CA8E" w14:textId="77777777" w:rsidR="00AB4EBC" w:rsidRDefault="00AB4EBC" w:rsidP="00AB4EBC">
      <w:pPr>
        <w:spacing w:after="0" w:line="240" w:lineRule="auto"/>
        <w:rPr>
          <w:rFonts w:ascii="Calibri" w:eastAsia="MS Mincho" w:hAnsi="Calibri" w:cs="Times New Roman"/>
          <w:color w:val="000000"/>
          <w:sz w:val="20"/>
          <w:szCs w:val="20"/>
          <w:lang w:val="en-US"/>
        </w:rPr>
      </w:pPr>
      <w:r>
        <w:rPr>
          <w:rFonts w:ascii="Calibri" w:eastAsia="MS Mincho" w:hAnsi="Calibri" w:cs="Times New Roman"/>
          <w:noProof/>
          <w:color w:val="000000"/>
          <w:sz w:val="20"/>
          <w:szCs w:val="20"/>
          <w:lang w:eastAsia="fr-FR"/>
        </w:rPr>
        <w:drawing>
          <wp:inline distT="0" distB="0" distL="0" distR="0" wp14:anchorId="2B360275" wp14:editId="520901AB">
            <wp:extent cx="2857500" cy="314325"/>
            <wp:effectExtent l="0" t="0" r="0" b="0"/>
            <wp:docPr id="2" name="Image 1" descr="cid:image001.gif@01CF8BD7.EDEE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cid:image001.gif@01CF8BD7.EDEE7150"/>
                    <pic:cNvPicPr>
                      <a:picLocks noChangeAspect="1" noChangeArrowheads="1"/>
                    </pic:cNvPicPr>
                  </pic:nvPicPr>
                  <pic:blipFill>
                    <a:blip r:embed="rId9" r:link="rId10" cstate="print"/>
                    <a:srcRect/>
                    <a:stretch>
                      <a:fillRect/>
                    </a:stretch>
                  </pic:blipFill>
                  <pic:spPr>
                    <a:xfrm>
                      <a:off x="0" y="0"/>
                      <a:ext cx="2857500" cy="314325"/>
                    </a:xfrm>
                    <a:prstGeom prst="rect">
                      <a:avLst/>
                    </a:prstGeom>
                    <a:noFill/>
                    <a:ln w="9525">
                      <a:noFill/>
                      <a:miter lim="800000"/>
                      <a:headEnd/>
                      <a:tailEnd/>
                    </a:ln>
                  </pic:spPr>
                </pic:pic>
              </a:graphicData>
            </a:graphic>
          </wp:inline>
        </w:drawing>
      </w:r>
    </w:p>
    <w:p w14:paraId="1C9B8E4B" w14:textId="77777777" w:rsidR="00AB4EBC" w:rsidRDefault="00AB4EBC" w:rsidP="00AB4EBC">
      <w:pPr>
        <w:spacing w:after="0" w:line="240" w:lineRule="auto"/>
        <w:rPr>
          <w:rFonts w:ascii="Calibri" w:eastAsia="MS Mincho" w:hAnsi="Calibri" w:cs="Times New Roman"/>
          <w:color w:val="E9142B"/>
          <w:sz w:val="16"/>
          <w:szCs w:val="16"/>
        </w:rPr>
      </w:pPr>
      <w:r>
        <w:rPr>
          <w:rFonts w:ascii="Calibri" w:eastAsia="MS Mincho" w:hAnsi="Calibri" w:cs="Times New Roman"/>
          <w:color w:val="E9142B"/>
          <w:sz w:val="16"/>
          <w:szCs w:val="16"/>
        </w:rPr>
        <w:t>138 rue Marcadet - 75018 Paris</w:t>
      </w:r>
    </w:p>
    <w:p w14:paraId="16AE8B85" w14:textId="77777777" w:rsidR="00AB4EBC" w:rsidRDefault="00AB4EBC" w:rsidP="00AB4EBC">
      <w:pPr>
        <w:spacing w:after="0" w:line="240" w:lineRule="auto"/>
        <w:rPr>
          <w:rFonts w:ascii="Calibri" w:eastAsia="MS Mincho" w:hAnsi="Calibri" w:cs="Times New Roman"/>
          <w:color w:val="E9142B"/>
          <w:sz w:val="16"/>
          <w:szCs w:val="16"/>
        </w:rPr>
      </w:pPr>
      <w:r>
        <w:rPr>
          <w:rFonts w:ascii="Calibri" w:eastAsia="MS Mincho" w:hAnsi="Calibri" w:cs="Times New Roman"/>
          <w:color w:val="E9142B"/>
          <w:sz w:val="16"/>
          <w:szCs w:val="16"/>
        </w:rPr>
        <w:t>Tél. 00.33.1 56 55 51 00 - Fax : 00.33.1.42 55 51 21</w:t>
      </w:r>
    </w:p>
    <w:p w14:paraId="412B309A" w14:textId="77777777" w:rsidR="00AB4EBC" w:rsidRDefault="002D0A28" w:rsidP="00AB4EBC">
      <w:pPr>
        <w:spacing w:after="0" w:line="240" w:lineRule="auto"/>
        <w:rPr>
          <w:rFonts w:ascii="Calibri" w:eastAsia="MS Mincho" w:hAnsi="Calibri" w:cs="Times New Roman"/>
          <w:color w:val="E9142B"/>
          <w:sz w:val="16"/>
          <w:szCs w:val="16"/>
        </w:rPr>
      </w:pPr>
      <w:hyperlink r:id="rId11" w:history="1">
        <w:r w:rsidR="00AB4EBC">
          <w:rPr>
            <w:rFonts w:ascii="Calibri" w:eastAsia="MS Mincho" w:hAnsi="Calibri" w:cs="Times New Roman"/>
            <w:color w:val="0000FF"/>
            <w:sz w:val="16"/>
            <w:szCs w:val="16"/>
            <w:u w:val="single"/>
          </w:rPr>
          <w:t>ldh@ldh-france.org</w:t>
        </w:r>
      </w:hyperlink>
      <w:r w:rsidR="00AB4EBC">
        <w:rPr>
          <w:rFonts w:ascii="Calibri" w:eastAsia="MS Mincho" w:hAnsi="Calibri" w:cs="Times New Roman"/>
          <w:color w:val="E9142B"/>
          <w:sz w:val="16"/>
          <w:szCs w:val="16"/>
        </w:rPr>
        <w:t xml:space="preserve"> – </w:t>
      </w:r>
      <w:hyperlink r:id="rId12" w:history="1">
        <w:r w:rsidR="00AB4EBC">
          <w:rPr>
            <w:rFonts w:ascii="Calibri" w:eastAsia="MS Mincho" w:hAnsi="Calibri" w:cs="Times New Roman"/>
            <w:color w:val="0000FF"/>
            <w:sz w:val="16"/>
            <w:szCs w:val="16"/>
            <w:u w:val="single"/>
          </w:rPr>
          <w:t>www.ldh-france.org</w:t>
        </w:r>
      </w:hyperlink>
    </w:p>
    <w:p w14:paraId="30F46222" w14:textId="77777777" w:rsidR="00AB4EBC" w:rsidRDefault="00AB4EBC" w:rsidP="00AB4EBC">
      <w:pPr>
        <w:shd w:val="clear" w:color="auto" w:fill="FFFFFF" w:themeFill="background1"/>
        <w:spacing w:after="0" w:line="240" w:lineRule="auto"/>
        <w:rPr>
          <w:rFonts w:ascii="Arial" w:eastAsia="MS Mincho" w:hAnsi="Arial" w:cs="Arial"/>
          <w:b/>
          <w:sz w:val="20"/>
          <w:szCs w:val="20"/>
          <w:shd w:val="clear" w:color="auto" w:fill="FFFFFF" w:themeFill="background1"/>
        </w:rPr>
      </w:pPr>
    </w:p>
    <w:p w14:paraId="2A657231" w14:textId="77777777" w:rsidR="00AB4EBC" w:rsidRDefault="00AB4EBC" w:rsidP="00AB4EBC">
      <w:pPr>
        <w:shd w:val="clear" w:color="auto" w:fill="D9D9D9" w:themeFill="background1" w:themeFillShade="D9"/>
        <w:spacing w:after="0" w:line="240" w:lineRule="auto"/>
        <w:rPr>
          <w:rFonts w:ascii="Arial" w:eastAsia="MS Mincho" w:hAnsi="Arial" w:cs="Arial"/>
          <w:b/>
          <w:sz w:val="24"/>
          <w:szCs w:val="24"/>
        </w:rPr>
      </w:pPr>
      <w:r>
        <w:rPr>
          <w:rFonts w:ascii="Arial" w:eastAsia="MS Mincho" w:hAnsi="Arial" w:cs="Arial"/>
          <w:b/>
          <w:sz w:val="24"/>
          <w:szCs w:val="24"/>
        </w:rPr>
        <w:lastRenderedPageBreak/>
        <w:t>Sommaire</w:t>
      </w:r>
    </w:p>
    <w:p w14:paraId="10DA925A"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2C2D444A"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FA18A32"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33F8CA9"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480409D5"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DFA136F" w14:textId="63D2FBE9" w:rsidR="00AB4EBC" w:rsidRDefault="00AB4EBC"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b/>
          <w:sz w:val="20"/>
          <w:szCs w:val="20"/>
        </w:rPr>
        <w:t>Introduction………………………</w:t>
      </w:r>
      <w:r w:rsidR="00C9192F">
        <w:rPr>
          <w:rFonts w:ascii="Arial" w:eastAsia="MS Mincho" w:hAnsi="Arial" w:cs="Arial"/>
          <w:b/>
          <w:sz w:val="20"/>
          <w:szCs w:val="20"/>
        </w:rPr>
        <w:t>…………………………………………………………………</w:t>
      </w:r>
      <w:proofErr w:type="gramStart"/>
      <w:r w:rsidR="00C9192F">
        <w:rPr>
          <w:rFonts w:ascii="Arial" w:eastAsia="MS Mincho" w:hAnsi="Arial" w:cs="Arial"/>
          <w:b/>
          <w:sz w:val="20"/>
          <w:szCs w:val="20"/>
        </w:rPr>
        <w:t>…….</w:t>
      </w:r>
      <w:proofErr w:type="gramEnd"/>
      <w:r w:rsidR="00C9192F">
        <w:rPr>
          <w:rFonts w:ascii="Arial" w:eastAsia="MS Mincho" w:hAnsi="Arial" w:cs="Arial"/>
          <w:b/>
          <w:sz w:val="20"/>
          <w:szCs w:val="20"/>
        </w:rPr>
        <w:t>.p.</w:t>
      </w:r>
      <w:r w:rsidR="00D4638E">
        <w:rPr>
          <w:rFonts w:ascii="Arial" w:eastAsia="MS Mincho" w:hAnsi="Arial" w:cs="Arial"/>
          <w:b/>
          <w:sz w:val="20"/>
          <w:szCs w:val="20"/>
        </w:rPr>
        <w:t>2</w:t>
      </w:r>
    </w:p>
    <w:p w14:paraId="5DC8681B"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6C4ECB64"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25DDB7A3" w14:textId="77777777" w:rsidR="00AB4EBC" w:rsidRDefault="00C9192F"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b/>
          <w:sz w:val="20"/>
          <w:szCs w:val="20"/>
        </w:rPr>
        <w:t>1</w:t>
      </w:r>
      <w:r w:rsidR="00AB4EBC">
        <w:rPr>
          <w:rFonts w:ascii="Arial" w:eastAsia="MS Mincho" w:hAnsi="Arial" w:cs="Arial"/>
          <w:b/>
          <w:sz w:val="20"/>
          <w:szCs w:val="20"/>
        </w:rPr>
        <w:t>.Police</w:t>
      </w:r>
    </w:p>
    <w:p w14:paraId="45DAA8E1"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08D9035" w14:textId="59E0E224" w:rsidR="00AB4EBC" w:rsidRPr="00E7507B" w:rsidRDefault="001B0FC8"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sz w:val="20"/>
          <w:szCs w:val="20"/>
        </w:rPr>
        <w:t>1</w:t>
      </w:r>
      <w:r w:rsidR="00AB4EBC">
        <w:rPr>
          <w:rFonts w:ascii="Arial" w:eastAsia="MS Mincho" w:hAnsi="Arial" w:cs="Arial"/>
          <w:sz w:val="20"/>
          <w:szCs w:val="20"/>
        </w:rPr>
        <w:t>.1 Le recours illégitime à la force</w:t>
      </w:r>
      <w:r w:rsidR="00C9192F">
        <w:rPr>
          <w:rFonts w:ascii="Arial" w:eastAsia="MS Mincho" w:hAnsi="Arial" w:cs="Arial"/>
          <w:b/>
          <w:sz w:val="20"/>
          <w:szCs w:val="20"/>
        </w:rPr>
        <w:t>…………………………………………………………………</w:t>
      </w:r>
      <w:proofErr w:type="gramStart"/>
      <w:r w:rsidR="00C9192F">
        <w:rPr>
          <w:rFonts w:ascii="Arial" w:eastAsia="MS Mincho" w:hAnsi="Arial" w:cs="Arial"/>
          <w:b/>
          <w:sz w:val="20"/>
          <w:szCs w:val="20"/>
        </w:rPr>
        <w:t>…….</w:t>
      </w:r>
      <w:proofErr w:type="gramEnd"/>
      <w:r w:rsidR="00C9192F">
        <w:rPr>
          <w:rFonts w:ascii="Arial" w:eastAsia="MS Mincho" w:hAnsi="Arial" w:cs="Arial"/>
          <w:b/>
          <w:sz w:val="20"/>
          <w:szCs w:val="20"/>
        </w:rPr>
        <w:t>p.</w:t>
      </w:r>
      <w:r w:rsidR="00D4638E">
        <w:rPr>
          <w:rFonts w:ascii="Arial" w:eastAsia="MS Mincho" w:hAnsi="Arial" w:cs="Arial"/>
          <w:b/>
          <w:sz w:val="20"/>
          <w:szCs w:val="20"/>
        </w:rPr>
        <w:t>3</w:t>
      </w:r>
    </w:p>
    <w:p w14:paraId="01E2449B" w14:textId="72A3CF1C" w:rsidR="00AB4EBC" w:rsidRPr="00E7507B" w:rsidRDefault="001B0FC8"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sz w:val="20"/>
          <w:szCs w:val="20"/>
        </w:rPr>
        <w:t>1</w:t>
      </w:r>
      <w:r w:rsidR="00AB4EBC">
        <w:rPr>
          <w:rFonts w:ascii="Arial" w:eastAsia="MS Mincho" w:hAnsi="Arial" w:cs="Arial"/>
          <w:sz w:val="20"/>
          <w:szCs w:val="20"/>
        </w:rPr>
        <w:t>.2 Le refus d’obtempérer</w:t>
      </w:r>
      <w:r w:rsidR="00AB4EBC" w:rsidRPr="00E7507B">
        <w:rPr>
          <w:rFonts w:ascii="Arial" w:eastAsia="MS Mincho" w:hAnsi="Arial" w:cs="Arial"/>
          <w:b/>
          <w:sz w:val="20"/>
          <w:szCs w:val="20"/>
        </w:rPr>
        <w:t>…</w:t>
      </w:r>
      <w:r w:rsidR="00C9192F">
        <w:rPr>
          <w:rFonts w:ascii="Arial" w:eastAsia="MS Mincho" w:hAnsi="Arial" w:cs="Arial"/>
          <w:b/>
          <w:sz w:val="20"/>
          <w:szCs w:val="20"/>
        </w:rPr>
        <w:t>………………………………………………………………………</w:t>
      </w:r>
      <w:proofErr w:type="gramStart"/>
      <w:r w:rsidR="00C9192F">
        <w:rPr>
          <w:rFonts w:ascii="Arial" w:eastAsia="MS Mincho" w:hAnsi="Arial" w:cs="Arial"/>
          <w:b/>
          <w:sz w:val="20"/>
          <w:szCs w:val="20"/>
        </w:rPr>
        <w:t>…….</w:t>
      </w:r>
      <w:proofErr w:type="gramEnd"/>
      <w:r w:rsidR="00C9192F">
        <w:rPr>
          <w:rFonts w:ascii="Arial" w:eastAsia="MS Mincho" w:hAnsi="Arial" w:cs="Arial"/>
          <w:b/>
          <w:sz w:val="20"/>
          <w:szCs w:val="20"/>
        </w:rPr>
        <w:t>. p.</w:t>
      </w:r>
      <w:r w:rsidR="00D4638E">
        <w:rPr>
          <w:rFonts w:ascii="Arial" w:eastAsia="MS Mincho" w:hAnsi="Arial" w:cs="Arial"/>
          <w:b/>
          <w:sz w:val="20"/>
          <w:szCs w:val="20"/>
        </w:rPr>
        <w:t>5</w:t>
      </w:r>
    </w:p>
    <w:p w14:paraId="606EB1D1" w14:textId="2653BDB7" w:rsidR="00AB4EBC" w:rsidRPr="00E7507B" w:rsidRDefault="001B0FC8"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sz w:val="20"/>
          <w:szCs w:val="20"/>
        </w:rPr>
        <w:t>1</w:t>
      </w:r>
      <w:r w:rsidR="00AB4EBC">
        <w:rPr>
          <w:rFonts w:ascii="Arial" w:eastAsia="MS Mincho" w:hAnsi="Arial" w:cs="Arial"/>
          <w:sz w:val="20"/>
          <w:szCs w:val="20"/>
        </w:rPr>
        <w:t>.3 L’impunité policière</w:t>
      </w:r>
      <w:r w:rsidR="00AB4EBC" w:rsidRPr="00E7507B">
        <w:rPr>
          <w:rFonts w:ascii="Arial" w:eastAsia="MS Mincho" w:hAnsi="Arial" w:cs="Arial"/>
          <w:b/>
          <w:sz w:val="20"/>
          <w:szCs w:val="20"/>
        </w:rPr>
        <w:t>………</w:t>
      </w:r>
      <w:r w:rsidR="00C9192F">
        <w:rPr>
          <w:rFonts w:ascii="Arial" w:eastAsia="MS Mincho" w:hAnsi="Arial" w:cs="Arial"/>
          <w:b/>
          <w:sz w:val="20"/>
          <w:szCs w:val="20"/>
        </w:rPr>
        <w:t>……………………………………………………………………………p.</w:t>
      </w:r>
      <w:r w:rsidR="00D4638E">
        <w:rPr>
          <w:rFonts w:ascii="Arial" w:eastAsia="MS Mincho" w:hAnsi="Arial" w:cs="Arial"/>
          <w:b/>
          <w:sz w:val="20"/>
          <w:szCs w:val="20"/>
        </w:rPr>
        <w:t>7</w:t>
      </w:r>
    </w:p>
    <w:p w14:paraId="0AF6944C" w14:textId="7174D5AE" w:rsidR="00C9192F" w:rsidRPr="00D4638E" w:rsidRDefault="00820B42" w:rsidP="00D4638E">
      <w:pPr>
        <w:jc w:val="both"/>
        <w:rPr>
          <w:rFonts w:ascii="Arial" w:hAnsi="Arial" w:cs="Arial"/>
          <w:sz w:val="20"/>
          <w:szCs w:val="20"/>
        </w:rPr>
      </w:pPr>
      <w:r w:rsidRPr="00820B42">
        <w:rPr>
          <w:rFonts w:ascii="Arial" w:hAnsi="Arial" w:cs="Arial"/>
          <w:bCs/>
          <w:sz w:val="20"/>
          <w:szCs w:val="20"/>
        </w:rPr>
        <w:t>1.4 Le traitement des enquêtes sur les allégations d’usage excessif de la force</w:t>
      </w:r>
      <w:r w:rsidRPr="00820B42">
        <w:rPr>
          <w:rFonts w:ascii="Arial" w:hAnsi="Arial" w:cs="Arial"/>
          <w:b/>
          <w:bCs/>
          <w:sz w:val="20"/>
          <w:szCs w:val="20"/>
        </w:rPr>
        <w:t>……………</w:t>
      </w:r>
      <w:proofErr w:type="gramStart"/>
      <w:r w:rsidRPr="00820B42">
        <w:rPr>
          <w:rFonts w:ascii="Arial" w:hAnsi="Arial" w:cs="Arial"/>
          <w:b/>
          <w:bCs/>
          <w:sz w:val="20"/>
          <w:szCs w:val="20"/>
        </w:rPr>
        <w:t>…….</w:t>
      </w:r>
      <w:proofErr w:type="gramEnd"/>
      <w:r w:rsidRPr="00820B42">
        <w:rPr>
          <w:rFonts w:ascii="Arial" w:hAnsi="Arial" w:cs="Arial"/>
          <w:b/>
          <w:bCs/>
          <w:sz w:val="20"/>
          <w:szCs w:val="20"/>
        </w:rPr>
        <w:t>.p.</w:t>
      </w:r>
      <w:r w:rsidR="00D4638E">
        <w:rPr>
          <w:rFonts w:ascii="Arial" w:hAnsi="Arial" w:cs="Arial"/>
          <w:b/>
          <w:bCs/>
          <w:sz w:val="20"/>
          <w:szCs w:val="20"/>
        </w:rPr>
        <w:t>8</w:t>
      </w:r>
    </w:p>
    <w:p w14:paraId="30A3F037" w14:textId="77777777" w:rsidR="00AB4EBC" w:rsidRDefault="00AB4EBC"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b/>
          <w:sz w:val="20"/>
          <w:szCs w:val="20"/>
        </w:rPr>
        <w:t>Recommandations</w:t>
      </w:r>
    </w:p>
    <w:p w14:paraId="1C434832"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C357450" w14:textId="77777777" w:rsidR="00AB4EBC" w:rsidRDefault="00C9192F"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b/>
          <w:sz w:val="20"/>
          <w:szCs w:val="20"/>
        </w:rPr>
        <w:t>2. Les lieux privatifs de liberté</w:t>
      </w:r>
    </w:p>
    <w:p w14:paraId="09BC0C37" w14:textId="77777777" w:rsidR="00C9192F" w:rsidRDefault="00C9192F" w:rsidP="00AB4EBC">
      <w:pPr>
        <w:shd w:val="clear" w:color="auto" w:fill="FFFFFF" w:themeFill="background1"/>
        <w:spacing w:after="0" w:line="240" w:lineRule="auto"/>
        <w:rPr>
          <w:rFonts w:ascii="Arial" w:eastAsia="MS Mincho" w:hAnsi="Arial" w:cs="Arial"/>
          <w:b/>
          <w:sz w:val="20"/>
          <w:szCs w:val="20"/>
        </w:rPr>
      </w:pPr>
    </w:p>
    <w:p w14:paraId="0E2D43B8" w14:textId="53E2F0C3" w:rsidR="00C9192F" w:rsidRPr="00D4638E" w:rsidRDefault="00C9192F" w:rsidP="00AB4EBC">
      <w:pPr>
        <w:shd w:val="clear" w:color="auto" w:fill="FFFFFF" w:themeFill="background1"/>
        <w:spacing w:after="0" w:line="240" w:lineRule="auto"/>
        <w:rPr>
          <w:rFonts w:ascii="Arial" w:eastAsia="MS Mincho" w:hAnsi="Arial" w:cs="Arial"/>
          <w:b/>
          <w:sz w:val="20"/>
          <w:szCs w:val="20"/>
        </w:rPr>
      </w:pPr>
      <w:r w:rsidRPr="00C9192F">
        <w:rPr>
          <w:rFonts w:ascii="Arial" w:eastAsia="MS Mincho" w:hAnsi="Arial" w:cs="Arial"/>
          <w:sz w:val="20"/>
          <w:szCs w:val="20"/>
        </w:rPr>
        <w:t>2.1</w:t>
      </w:r>
      <w:r>
        <w:rPr>
          <w:rFonts w:ascii="Arial" w:eastAsia="MS Mincho" w:hAnsi="Arial" w:cs="Arial"/>
          <w:sz w:val="20"/>
          <w:szCs w:val="20"/>
        </w:rPr>
        <w:t xml:space="preserve"> La surpopulation carcérale</w:t>
      </w:r>
      <w:r w:rsidRPr="00D4638E">
        <w:rPr>
          <w:rFonts w:ascii="Arial" w:eastAsia="MS Mincho" w:hAnsi="Arial" w:cs="Arial"/>
          <w:b/>
          <w:sz w:val="20"/>
          <w:szCs w:val="20"/>
        </w:rPr>
        <w:t>……………………………………………………………………</w:t>
      </w:r>
      <w:proofErr w:type="gramStart"/>
      <w:r w:rsidRPr="00D4638E">
        <w:rPr>
          <w:rFonts w:ascii="Arial" w:eastAsia="MS Mincho" w:hAnsi="Arial" w:cs="Arial"/>
          <w:b/>
          <w:sz w:val="20"/>
          <w:szCs w:val="20"/>
        </w:rPr>
        <w:t>……</w:t>
      </w:r>
      <w:r w:rsidR="00D4638E">
        <w:rPr>
          <w:rFonts w:ascii="Arial" w:eastAsia="MS Mincho" w:hAnsi="Arial" w:cs="Arial"/>
          <w:b/>
          <w:sz w:val="20"/>
          <w:szCs w:val="20"/>
        </w:rPr>
        <w:t>.</w:t>
      </w:r>
      <w:proofErr w:type="gramEnd"/>
      <w:r w:rsidR="00D4638E">
        <w:rPr>
          <w:rFonts w:ascii="Arial" w:eastAsia="MS Mincho" w:hAnsi="Arial" w:cs="Arial"/>
          <w:b/>
          <w:sz w:val="20"/>
          <w:szCs w:val="20"/>
        </w:rPr>
        <w:t>.</w:t>
      </w:r>
      <w:r w:rsidRPr="00D4638E">
        <w:rPr>
          <w:rFonts w:ascii="Arial" w:eastAsia="MS Mincho" w:hAnsi="Arial" w:cs="Arial"/>
          <w:b/>
          <w:sz w:val="20"/>
          <w:szCs w:val="20"/>
        </w:rPr>
        <w:t>p.</w:t>
      </w:r>
      <w:r w:rsidR="00D4638E">
        <w:rPr>
          <w:rFonts w:ascii="Arial" w:eastAsia="MS Mincho" w:hAnsi="Arial" w:cs="Arial"/>
          <w:b/>
          <w:sz w:val="20"/>
          <w:szCs w:val="20"/>
        </w:rPr>
        <w:t>9</w:t>
      </w:r>
    </w:p>
    <w:p w14:paraId="798BA3FC" w14:textId="064B037F" w:rsidR="00C9192F" w:rsidRPr="00D4638E" w:rsidRDefault="00C9192F" w:rsidP="00AB4EBC">
      <w:pPr>
        <w:shd w:val="clear" w:color="auto" w:fill="FFFFFF" w:themeFill="background1"/>
        <w:spacing w:after="0" w:line="240" w:lineRule="auto"/>
        <w:rPr>
          <w:rFonts w:ascii="Arial" w:eastAsia="MS Mincho" w:hAnsi="Arial" w:cs="Arial"/>
          <w:b/>
          <w:sz w:val="20"/>
          <w:szCs w:val="20"/>
        </w:rPr>
      </w:pPr>
      <w:r w:rsidRPr="00C9192F">
        <w:rPr>
          <w:rFonts w:ascii="Arial" w:eastAsia="MS Mincho" w:hAnsi="Arial" w:cs="Arial"/>
          <w:sz w:val="20"/>
          <w:szCs w:val="20"/>
        </w:rPr>
        <w:t>2.</w:t>
      </w:r>
      <w:r w:rsidR="000D5A1D" w:rsidRPr="00C9192F">
        <w:rPr>
          <w:rFonts w:ascii="Arial" w:eastAsia="MS Mincho" w:hAnsi="Arial" w:cs="Arial"/>
          <w:sz w:val="20"/>
          <w:szCs w:val="20"/>
        </w:rPr>
        <w:t>2.</w:t>
      </w:r>
      <w:r w:rsidR="000D5A1D">
        <w:rPr>
          <w:rFonts w:ascii="Arial" w:eastAsia="MS Mincho" w:hAnsi="Arial" w:cs="Arial"/>
          <w:sz w:val="20"/>
          <w:szCs w:val="20"/>
        </w:rPr>
        <w:t xml:space="preserve"> L’enfermement</w:t>
      </w:r>
      <w:r>
        <w:rPr>
          <w:rFonts w:ascii="Arial" w:eastAsia="MS Mincho" w:hAnsi="Arial" w:cs="Arial"/>
          <w:sz w:val="20"/>
          <w:szCs w:val="20"/>
        </w:rPr>
        <w:t xml:space="preserve"> des mineurs en centre de rétention administrative</w:t>
      </w:r>
      <w:r w:rsidR="00D4638E">
        <w:rPr>
          <w:rFonts w:ascii="Arial" w:eastAsia="MS Mincho" w:hAnsi="Arial" w:cs="Arial"/>
          <w:b/>
          <w:sz w:val="20"/>
          <w:szCs w:val="20"/>
        </w:rPr>
        <w:t>………………………</w:t>
      </w:r>
      <w:proofErr w:type="gramStart"/>
      <w:r w:rsidR="00D4638E">
        <w:rPr>
          <w:rFonts w:ascii="Arial" w:eastAsia="MS Mincho" w:hAnsi="Arial" w:cs="Arial"/>
          <w:b/>
          <w:sz w:val="20"/>
          <w:szCs w:val="20"/>
        </w:rPr>
        <w:t>…….</w:t>
      </w:r>
      <w:proofErr w:type="gramEnd"/>
      <w:r w:rsidRPr="00D4638E">
        <w:rPr>
          <w:rFonts w:ascii="Arial" w:eastAsia="MS Mincho" w:hAnsi="Arial" w:cs="Arial"/>
          <w:b/>
          <w:sz w:val="20"/>
          <w:szCs w:val="20"/>
        </w:rPr>
        <w:t>p.</w:t>
      </w:r>
      <w:r w:rsidR="00D4638E">
        <w:rPr>
          <w:rFonts w:ascii="Arial" w:eastAsia="MS Mincho" w:hAnsi="Arial" w:cs="Arial"/>
          <w:b/>
          <w:sz w:val="20"/>
          <w:szCs w:val="20"/>
        </w:rPr>
        <w:t>12</w:t>
      </w:r>
    </w:p>
    <w:p w14:paraId="7D1EF8F3" w14:textId="44F31AC7" w:rsidR="00C9192F" w:rsidRPr="00D4638E" w:rsidRDefault="00C9192F" w:rsidP="00AB4EBC">
      <w:pPr>
        <w:shd w:val="clear" w:color="auto" w:fill="FFFFFF" w:themeFill="background1"/>
        <w:spacing w:after="0" w:line="240" w:lineRule="auto"/>
        <w:rPr>
          <w:rFonts w:ascii="Arial" w:eastAsia="MS Mincho" w:hAnsi="Arial" w:cs="Arial"/>
          <w:b/>
          <w:sz w:val="20"/>
          <w:szCs w:val="20"/>
        </w:rPr>
      </w:pPr>
      <w:r w:rsidRPr="00C9192F">
        <w:rPr>
          <w:rFonts w:ascii="Arial" w:eastAsia="MS Mincho" w:hAnsi="Arial" w:cs="Arial"/>
          <w:sz w:val="20"/>
          <w:szCs w:val="20"/>
        </w:rPr>
        <w:t>2.3</w:t>
      </w:r>
      <w:r w:rsidR="000D5A1D">
        <w:rPr>
          <w:rFonts w:ascii="Arial" w:eastAsia="MS Mincho" w:hAnsi="Arial" w:cs="Arial"/>
          <w:sz w:val="20"/>
          <w:szCs w:val="20"/>
        </w:rPr>
        <w:t xml:space="preserve"> </w:t>
      </w:r>
      <w:r w:rsidR="000D5A1D" w:rsidRPr="000D5A1D">
        <w:rPr>
          <w:rFonts w:ascii="Arial" w:eastAsia="MS Mincho" w:hAnsi="Arial" w:cs="Arial"/>
          <w:sz w:val="20"/>
          <w:szCs w:val="20"/>
        </w:rPr>
        <w:t>L’admission en soins psychiatriques sans consentement</w:t>
      </w:r>
      <w:r w:rsidR="00D4638E">
        <w:rPr>
          <w:rFonts w:ascii="Arial" w:eastAsia="MS Mincho" w:hAnsi="Arial" w:cs="Arial"/>
          <w:b/>
          <w:sz w:val="20"/>
          <w:szCs w:val="20"/>
        </w:rPr>
        <w:t>…………………………………</w:t>
      </w:r>
      <w:proofErr w:type="gramStart"/>
      <w:r w:rsidR="00D4638E">
        <w:rPr>
          <w:rFonts w:ascii="Arial" w:eastAsia="MS Mincho" w:hAnsi="Arial" w:cs="Arial"/>
          <w:b/>
          <w:sz w:val="20"/>
          <w:szCs w:val="20"/>
        </w:rPr>
        <w:t>…….</w:t>
      </w:r>
      <w:proofErr w:type="gramEnd"/>
      <w:r w:rsidR="00D4638E">
        <w:rPr>
          <w:rFonts w:ascii="Arial" w:eastAsia="MS Mincho" w:hAnsi="Arial" w:cs="Arial"/>
          <w:b/>
          <w:sz w:val="20"/>
          <w:szCs w:val="20"/>
        </w:rPr>
        <w:t>.</w:t>
      </w:r>
      <w:r w:rsidR="000D5A1D" w:rsidRPr="00D4638E">
        <w:rPr>
          <w:rFonts w:ascii="Arial" w:eastAsia="MS Mincho" w:hAnsi="Arial" w:cs="Arial"/>
          <w:b/>
          <w:sz w:val="20"/>
          <w:szCs w:val="20"/>
        </w:rPr>
        <w:t>p.</w:t>
      </w:r>
      <w:r w:rsidR="00D4638E">
        <w:rPr>
          <w:rFonts w:ascii="Arial" w:eastAsia="MS Mincho" w:hAnsi="Arial" w:cs="Arial"/>
          <w:b/>
          <w:sz w:val="20"/>
          <w:szCs w:val="20"/>
        </w:rPr>
        <w:t>14</w:t>
      </w:r>
    </w:p>
    <w:p w14:paraId="28416C9A" w14:textId="77777777" w:rsidR="00C9192F" w:rsidRDefault="00C9192F" w:rsidP="00AB4EBC">
      <w:pPr>
        <w:shd w:val="clear" w:color="auto" w:fill="FFFFFF" w:themeFill="background1"/>
        <w:spacing w:after="0" w:line="240" w:lineRule="auto"/>
        <w:rPr>
          <w:rFonts w:ascii="Arial" w:eastAsia="MS Mincho" w:hAnsi="Arial" w:cs="Arial"/>
          <w:b/>
          <w:sz w:val="20"/>
          <w:szCs w:val="20"/>
        </w:rPr>
      </w:pPr>
    </w:p>
    <w:p w14:paraId="70F02031" w14:textId="77777777" w:rsidR="00AB4EBC" w:rsidRDefault="00AB4EBC" w:rsidP="00AB4EBC">
      <w:pPr>
        <w:shd w:val="clear" w:color="auto" w:fill="FFFFFF" w:themeFill="background1"/>
        <w:spacing w:after="0" w:line="240" w:lineRule="auto"/>
        <w:rPr>
          <w:rFonts w:ascii="Arial" w:eastAsia="MS Mincho" w:hAnsi="Arial" w:cs="Arial"/>
          <w:b/>
          <w:sz w:val="20"/>
          <w:szCs w:val="20"/>
        </w:rPr>
      </w:pPr>
      <w:r>
        <w:rPr>
          <w:rFonts w:ascii="Arial" w:eastAsia="MS Mincho" w:hAnsi="Arial" w:cs="Arial"/>
          <w:b/>
          <w:sz w:val="20"/>
          <w:szCs w:val="20"/>
        </w:rPr>
        <w:t>Recommandations</w:t>
      </w:r>
    </w:p>
    <w:p w14:paraId="470FE63F"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4800CED6"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620BBA50"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6F76F58"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0D776C79"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398907D8"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8FEB18C"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3DEE3E06"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7CE30D0"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3C338417"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1F5F28D2"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20ADB830"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437FD03F"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1964CD51"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4B255A64"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309907B"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0F8BCF0"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1751F92"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354922D2"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51C992A7"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3D0BEBA2"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0D5B6CF6"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076FDB4F"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693D132E"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6715AF5D"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45F572F4"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7447D141"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0233A9EC"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130A673A"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1126E129" w14:textId="15681887" w:rsidR="00776050" w:rsidRDefault="00776050" w:rsidP="00AB4EBC">
      <w:pPr>
        <w:shd w:val="clear" w:color="auto" w:fill="FFFFFF" w:themeFill="background1"/>
        <w:spacing w:after="0" w:line="240" w:lineRule="auto"/>
        <w:rPr>
          <w:rFonts w:ascii="Arial" w:eastAsia="MS Mincho" w:hAnsi="Arial" w:cs="Arial"/>
          <w:b/>
          <w:sz w:val="20"/>
          <w:szCs w:val="20"/>
        </w:rPr>
      </w:pPr>
    </w:p>
    <w:p w14:paraId="5581A23F" w14:textId="77777777" w:rsidR="000F08B9" w:rsidRDefault="000F08B9" w:rsidP="00AB4EBC">
      <w:pPr>
        <w:shd w:val="clear" w:color="auto" w:fill="FFFFFF" w:themeFill="background1"/>
        <w:spacing w:after="0" w:line="240" w:lineRule="auto"/>
        <w:rPr>
          <w:rFonts w:ascii="Arial" w:eastAsia="MS Mincho" w:hAnsi="Arial" w:cs="Arial"/>
          <w:b/>
          <w:sz w:val="20"/>
          <w:szCs w:val="20"/>
        </w:rPr>
      </w:pPr>
    </w:p>
    <w:p w14:paraId="1B989825"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48118A66"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63F7456B" w14:textId="77777777" w:rsidR="00776050" w:rsidRDefault="00776050" w:rsidP="00AB4EBC">
      <w:pPr>
        <w:shd w:val="clear" w:color="auto" w:fill="FFFFFF" w:themeFill="background1"/>
        <w:spacing w:after="0" w:line="240" w:lineRule="auto"/>
        <w:rPr>
          <w:rFonts w:ascii="Arial" w:eastAsia="MS Mincho" w:hAnsi="Arial" w:cs="Arial"/>
          <w:b/>
          <w:sz w:val="20"/>
          <w:szCs w:val="20"/>
        </w:rPr>
      </w:pPr>
    </w:p>
    <w:p w14:paraId="202EF5F6"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449E9AE9" w14:textId="77777777" w:rsidR="00AB4EBC" w:rsidRDefault="00AB4EBC" w:rsidP="00AB4EBC">
      <w:pPr>
        <w:shd w:val="clear" w:color="auto" w:fill="D9D9D9" w:themeFill="background1" w:themeFillShade="D9"/>
        <w:spacing w:after="0" w:line="240" w:lineRule="auto"/>
        <w:rPr>
          <w:rFonts w:ascii="Arial" w:eastAsia="MS Mincho" w:hAnsi="Arial" w:cs="Arial"/>
          <w:b/>
          <w:sz w:val="24"/>
          <w:szCs w:val="24"/>
        </w:rPr>
      </w:pPr>
      <w:r>
        <w:rPr>
          <w:rFonts w:ascii="Arial" w:eastAsia="MS Mincho" w:hAnsi="Arial" w:cs="Arial"/>
          <w:b/>
          <w:sz w:val="24"/>
          <w:szCs w:val="24"/>
        </w:rPr>
        <w:lastRenderedPageBreak/>
        <w:t>Introduction</w:t>
      </w:r>
    </w:p>
    <w:p w14:paraId="13A9AD7F"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6F71943C"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350BD5A" w14:textId="77777777" w:rsidR="00AB4EBC" w:rsidRDefault="00AB4EBC" w:rsidP="00AB4EBC">
      <w:pPr>
        <w:shd w:val="clear" w:color="auto" w:fill="FFFFFF" w:themeFill="background1"/>
        <w:spacing w:after="0" w:line="240" w:lineRule="auto"/>
        <w:rPr>
          <w:rFonts w:ascii="Arial" w:eastAsia="MS Mincho" w:hAnsi="Arial" w:cs="Arial"/>
          <w:b/>
          <w:sz w:val="20"/>
          <w:szCs w:val="20"/>
        </w:rPr>
      </w:pPr>
    </w:p>
    <w:p w14:paraId="7B7D13C3" w14:textId="77777777" w:rsidR="00AB4EBC" w:rsidRDefault="00AB4EBC" w:rsidP="00AB4EBC">
      <w:pPr>
        <w:shd w:val="clear" w:color="auto" w:fill="FFFFFF" w:themeFill="background1"/>
        <w:spacing w:after="0" w:line="240" w:lineRule="auto"/>
        <w:jc w:val="both"/>
        <w:rPr>
          <w:rFonts w:ascii="Arial" w:eastAsia="MS Mincho" w:hAnsi="Arial" w:cs="Arial"/>
          <w:sz w:val="20"/>
          <w:szCs w:val="20"/>
        </w:rPr>
      </w:pPr>
      <w:r>
        <w:rPr>
          <w:rFonts w:ascii="Arial" w:eastAsia="MS Mincho" w:hAnsi="Arial" w:cs="Arial"/>
          <w:sz w:val="20"/>
          <w:szCs w:val="20"/>
        </w:rPr>
        <w:t>La LDH (Ligue des droits de l’Homme) remet à votr</w:t>
      </w:r>
      <w:r w:rsidR="00776050">
        <w:rPr>
          <w:rFonts w:ascii="Arial" w:eastAsia="MS Mincho" w:hAnsi="Arial" w:cs="Arial"/>
          <w:sz w:val="20"/>
          <w:szCs w:val="20"/>
        </w:rPr>
        <w:t>e Comité, dans le cadre de la 8</w:t>
      </w:r>
      <w:r>
        <w:rPr>
          <w:rFonts w:ascii="Arial" w:eastAsia="MS Mincho" w:hAnsi="Arial" w:cs="Arial"/>
          <w:sz w:val="20"/>
          <w:szCs w:val="20"/>
        </w:rPr>
        <w:t>2</w:t>
      </w:r>
      <w:r>
        <w:rPr>
          <w:rFonts w:ascii="Arial" w:eastAsia="MS Mincho" w:hAnsi="Arial" w:cs="Arial"/>
          <w:sz w:val="20"/>
          <w:szCs w:val="20"/>
          <w:vertAlign w:val="superscript"/>
        </w:rPr>
        <w:t>ème</w:t>
      </w:r>
      <w:r>
        <w:rPr>
          <w:rFonts w:ascii="Arial" w:eastAsia="MS Mincho" w:hAnsi="Arial" w:cs="Arial"/>
          <w:sz w:val="20"/>
          <w:szCs w:val="20"/>
        </w:rPr>
        <w:t xml:space="preserve"> session au cours de laquelle le </w:t>
      </w:r>
      <w:r w:rsidR="00776050">
        <w:rPr>
          <w:rFonts w:ascii="Arial" w:eastAsia="MS Mincho" w:hAnsi="Arial" w:cs="Arial"/>
          <w:sz w:val="20"/>
          <w:szCs w:val="20"/>
        </w:rPr>
        <w:t>huitième</w:t>
      </w:r>
      <w:r>
        <w:rPr>
          <w:rFonts w:ascii="Arial" w:eastAsia="MS Mincho" w:hAnsi="Arial" w:cs="Arial"/>
          <w:sz w:val="20"/>
          <w:szCs w:val="20"/>
        </w:rPr>
        <w:t xml:space="preserve"> rapport périodique de la France va être examiné, une soumission qui s’inscrit dans un contexte dégradé.</w:t>
      </w:r>
    </w:p>
    <w:p w14:paraId="086C199A" w14:textId="77777777" w:rsidR="00AB4EBC" w:rsidRDefault="00AB4EBC" w:rsidP="00AB4EBC">
      <w:pPr>
        <w:shd w:val="clear" w:color="auto" w:fill="FFFFFF" w:themeFill="background1"/>
        <w:spacing w:after="0" w:line="240" w:lineRule="auto"/>
        <w:jc w:val="both"/>
        <w:rPr>
          <w:rFonts w:ascii="Arial" w:eastAsia="MS Mincho" w:hAnsi="Arial" w:cs="Arial"/>
          <w:sz w:val="20"/>
          <w:szCs w:val="20"/>
          <w:highlight w:val="yellow"/>
        </w:rPr>
      </w:pPr>
    </w:p>
    <w:p w14:paraId="361EE2DE" w14:textId="77777777" w:rsidR="00AB4EBC" w:rsidRDefault="00AB4EBC" w:rsidP="00AB4EBC">
      <w:pPr>
        <w:shd w:val="clear" w:color="auto" w:fill="FFFFFF" w:themeFill="background1"/>
        <w:spacing w:after="0" w:line="240" w:lineRule="auto"/>
        <w:jc w:val="both"/>
        <w:rPr>
          <w:rFonts w:ascii="Arial" w:eastAsia="MS Mincho" w:hAnsi="Arial" w:cs="Arial"/>
          <w:sz w:val="20"/>
          <w:szCs w:val="20"/>
        </w:rPr>
      </w:pPr>
      <w:r>
        <w:rPr>
          <w:rFonts w:ascii="Arial" w:eastAsia="MS Mincho" w:hAnsi="Arial" w:cs="Arial"/>
          <w:sz w:val="20"/>
          <w:szCs w:val="20"/>
        </w:rPr>
        <w:t>Crise économique et sociale, inégalités de tous ordres, montées des haines racistes et des tensions communautaires constituent de puissants révélateurs de l’état des lieux de la société française.</w:t>
      </w:r>
    </w:p>
    <w:p w14:paraId="59F221C8" w14:textId="77777777" w:rsidR="00AB4EBC" w:rsidRDefault="00AB4EBC" w:rsidP="00AB4EBC">
      <w:pPr>
        <w:shd w:val="clear" w:color="auto" w:fill="FFFFFF" w:themeFill="background1"/>
        <w:spacing w:after="0" w:line="240" w:lineRule="auto"/>
        <w:jc w:val="both"/>
        <w:rPr>
          <w:rFonts w:ascii="Arial" w:eastAsia="MS Mincho" w:hAnsi="Arial" w:cs="Arial"/>
          <w:sz w:val="20"/>
          <w:szCs w:val="20"/>
          <w:highlight w:val="yellow"/>
        </w:rPr>
      </w:pPr>
    </w:p>
    <w:p w14:paraId="3906EC45" w14:textId="77777777" w:rsidR="00AB4EBC" w:rsidRDefault="00AB4EBC" w:rsidP="00AB4EBC">
      <w:pPr>
        <w:shd w:val="clear" w:color="auto" w:fill="FFFFFF" w:themeFill="background1"/>
        <w:spacing w:after="0" w:line="240" w:lineRule="auto"/>
        <w:jc w:val="both"/>
        <w:rPr>
          <w:rFonts w:ascii="Arial" w:hAnsi="Arial" w:cs="Arial"/>
          <w:sz w:val="20"/>
          <w:szCs w:val="20"/>
        </w:rPr>
      </w:pPr>
      <w:r>
        <w:rPr>
          <w:rFonts w:ascii="Arial" w:hAnsi="Arial" w:cs="Arial"/>
          <w:sz w:val="20"/>
          <w:szCs w:val="20"/>
        </w:rPr>
        <w:t>L’année 2023 a été marquée par la crise sociale liée à la réforme des retraites adoptée avec recours à l’article 49-3 de la Constitution, malgré une mobilisation forte et unitaire.</w:t>
      </w:r>
      <w:r>
        <w:t xml:space="preserve"> </w:t>
      </w:r>
      <w:r>
        <w:rPr>
          <w:rFonts w:ascii="Arial" w:hAnsi="Arial" w:cs="Arial"/>
          <w:sz w:val="20"/>
          <w:szCs w:val="20"/>
        </w:rPr>
        <w:t xml:space="preserve">Le pouvoir en place a alors décidé de s’en prendre à la liberté de manifester, multipliant les arrêtés d’interdiction. Les manifestations consécutives ont donné lieu à de très nombreuses dérives policières avec multiplication des interpellations abusives, utilisation d’armes de guerre, emploi d’unités de police agressives telle que la BRAV-M. C’est la dénonciation légitime des réactions disproportionnées des forces de l’ordre, notamment à Sainte-Soline, qui a valu à la LDH les foudres successives du ministre de l’Intérieur, puis de la Première ministre, avec menace voilée de suppression des subventions. </w:t>
      </w:r>
    </w:p>
    <w:p w14:paraId="6B2041E6" w14:textId="77777777" w:rsidR="000E4B4E" w:rsidRDefault="000E4B4E" w:rsidP="00AB4EBC">
      <w:pPr>
        <w:shd w:val="clear" w:color="auto" w:fill="FFFFFF" w:themeFill="background1"/>
        <w:spacing w:after="0" w:line="240" w:lineRule="auto"/>
        <w:jc w:val="both"/>
        <w:rPr>
          <w:rFonts w:ascii="Arial" w:eastAsia="MS Mincho" w:hAnsi="Arial" w:cs="Arial"/>
          <w:sz w:val="20"/>
          <w:szCs w:val="20"/>
        </w:rPr>
      </w:pPr>
    </w:p>
    <w:p w14:paraId="57BE109A" w14:textId="70FD1D72" w:rsidR="006775B5" w:rsidRDefault="000E4B4E" w:rsidP="00AB4EBC">
      <w:pPr>
        <w:shd w:val="clear" w:color="auto" w:fill="FFFFFF" w:themeFill="background1"/>
        <w:spacing w:after="0" w:line="240" w:lineRule="auto"/>
        <w:jc w:val="both"/>
        <w:rPr>
          <w:rFonts w:ascii="Arial" w:eastAsia="MS Mincho" w:hAnsi="Arial" w:cs="Arial"/>
          <w:sz w:val="20"/>
          <w:szCs w:val="20"/>
        </w:rPr>
      </w:pPr>
      <w:r>
        <w:rPr>
          <w:rFonts w:ascii="Arial" w:eastAsia="MS Mincho" w:hAnsi="Arial" w:cs="Arial"/>
          <w:sz w:val="20"/>
          <w:szCs w:val="20"/>
        </w:rPr>
        <w:t>En outre,</w:t>
      </w:r>
      <w:r w:rsidR="00B57567">
        <w:rPr>
          <w:rFonts w:ascii="Arial" w:eastAsia="MS Mincho" w:hAnsi="Arial" w:cs="Arial"/>
          <w:sz w:val="20"/>
          <w:szCs w:val="20"/>
        </w:rPr>
        <w:t xml:space="preserve"> depuis les dernières observations de votre Comité, des constantes sont à observer dans les politiques d’enferme</w:t>
      </w:r>
      <w:r w:rsidR="00D41A48">
        <w:rPr>
          <w:rFonts w:ascii="Arial" w:eastAsia="MS Mincho" w:hAnsi="Arial" w:cs="Arial"/>
          <w:sz w:val="20"/>
          <w:szCs w:val="20"/>
        </w:rPr>
        <w:t>me</w:t>
      </w:r>
      <w:r w:rsidR="00B57567">
        <w:rPr>
          <w:rFonts w:ascii="Arial" w:eastAsia="MS Mincho" w:hAnsi="Arial" w:cs="Arial"/>
          <w:sz w:val="20"/>
          <w:szCs w:val="20"/>
        </w:rPr>
        <w:t xml:space="preserve">nt de l’Etat français. </w:t>
      </w:r>
    </w:p>
    <w:p w14:paraId="318FCEF2" w14:textId="77777777" w:rsidR="00B57567" w:rsidRDefault="00B57567" w:rsidP="00AB4EBC">
      <w:pPr>
        <w:shd w:val="clear" w:color="auto" w:fill="FFFFFF" w:themeFill="background1"/>
        <w:spacing w:after="0" w:line="240" w:lineRule="auto"/>
        <w:jc w:val="both"/>
        <w:rPr>
          <w:rFonts w:ascii="Arial" w:eastAsia="MS Mincho" w:hAnsi="Arial" w:cs="Arial"/>
          <w:sz w:val="20"/>
          <w:szCs w:val="20"/>
        </w:rPr>
      </w:pPr>
    </w:p>
    <w:p w14:paraId="7502DC13" w14:textId="77777777" w:rsidR="00B57567" w:rsidRDefault="00B57567" w:rsidP="00B57567">
      <w:pPr>
        <w:shd w:val="clear" w:color="auto" w:fill="FFFFFF" w:themeFill="background1"/>
        <w:spacing w:after="0" w:line="240" w:lineRule="auto"/>
        <w:jc w:val="both"/>
        <w:rPr>
          <w:rFonts w:ascii="Arial" w:eastAsia="MS Mincho" w:hAnsi="Arial" w:cs="Arial"/>
          <w:sz w:val="20"/>
          <w:szCs w:val="20"/>
        </w:rPr>
      </w:pPr>
      <w:r w:rsidRPr="00B57567">
        <w:rPr>
          <w:rFonts w:ascii="Arial" w:eastAsia="MS Mincho" w:hAnsi="Arial" w:cs="Arial"/>
          <w:sz w:val="20"/>
          <w:szCs w:val="20"/>
        </w:rPr>
        <w:t>A cet égard, un des principaux points de critique à l’encontre de la France est la surpopulation endémique de la quasi-totalité de ses établissements pénitentiaires. Cette surpopulation et la vétusté de certains établissements ne garantissent pas des conditions matérielles de détention adéquates constitutives de traitements inhumains et dégradants.</w:t>
      </w:r>
    </w:p>
    <w:p w14:paraId="09C1ADA8" w14:textId="77777777" w:rsidR="00B57567" w:rsidRPr="00B57567" w:rsidRDefault="00B57567" w:rsidP="00B57567">
      <w:pPr>
        <w:shd w:val="clear" w:color="auto" w:fill="FFFFFF" w:themeFill="background1"/>
        <w:spacing w:after="0" w:line="240" w:lineRule="auto"/>
        <w:jc w:val="both"/>
        <w:rPr>
          <w:rFonts w:ascii="Arial" w:eastAsia="MS Mincho" w:hAnsi="Arial" w:cs="Arial"/>
          <w:sz w:val="20"/>
          <w:szCs w:val="20"/>
        </w:rPr>
      </w:pPr>
    </w:p>
    <w:p w14:paraId="662FB71B" w14:textId="63B6802D" w:rsidR="00B57567" w:rsidRDefault="00B57567" w:rsidP="00B57567">
      <w:pPr>
        <w:shd w:val="clear" w:color="auto" w:fill="FFFFFF" w:themeFill="background1"/>
        <w:spacing w:after="0" w:line="240" w:lineRule="auto"/>
        <w:jc w:val="both"/>
        <w:rPr>
          <w:rFonts w:ascii="Arial" w:eastAsia="MS Mincho" w:hAnsi="Arial" w:cs="Arial"/>
          <w:sz w:val="20"/>
          <w:szCs w:val="20"/>
        </w:rPr>
      </w:pPr>
      <w:r w:rsidRPr="00B57567">
        <w:rPr>
          <w:rFonts w:ascii="Arial" w:eastAsia="MS Mincho" w:hAnsi="Arial" w:cs="Arial"/>
          <w:sz w:val="20"/>
          <w:szCs w:val="20"/>
        </w:rPr>
        <w:t>S’agissant des établissements de santé mentale, la problématique des droits des patients hospitalisés sans leur consentement, ainsi que celle de leur prise en charge psychiatrique, notamment par des mesures de contrainte physique, sont quasiment absentes du débat public, alors même qu'elles posent de véritables questions relatives aux droits fondamentaux.</w:t>
      </w:r>
    </w:p>
    <w:p w14:paraId="4F908609" w14:textId="77777777" w:rsidR="00B57567" w:rsidRPr="00B57567" w:rsidRDefault="00B57567" w:rsidP="00B57567">
      <w:pPr>
        <w:shd w:val="clear" w:color="auto" w:fill="FFFFFF" w:themeFill="background1"/>
        <w:spacing w:after="0" w:line="240" w:lineRule="auto"/>
        <w:jc w:val="both"/>
        <w:rPr>
          <w:rFonts w:ascii="Arial" w:eastAsia="MS Mincho" w:hAnsi="Arial" w:cs="Arial"/>
          <w:sz w:val="20"/>
          <w:szCs w:val="20"/>
        </w:rPr>
      </w:pPr>
    </w:p>
    <w:p w14:paraId="7672F171" w14:textId="77777777" w:rsidR="00B57567" w:rsidRPr="00B57567" w:rsidRDefault="00B57567" w:rsidP="00B57567">
      <w:pPr>
        <w:shd w:val="clear" w:color="auto" w:fill="FFFFFF" w:themeFill="background1"/>
        <w:spacing w:after="0" w:line="240" w:lineRule="auto"/>
        <w:jc w:val="both"/>
        <w:rPr>
          <w:rFonts w:ascii="Arial" w:eastAsia="MS Mincho" w:hAnsi="Arial" w:cs="Arial"/>
          <w:sz w:val="20"/>
          <w:szCs w:val="20"/>
        </w:rPr>
      </w:pPr>
      <w:r w:rsidRPr="00B57567">
        <w:rPr>
          <w:rFonts w:ascii="Arial" w:eastAsia="MS Mincho" w:hAnsi="Arial" w:cs="Arial"/>
          <w:sz w:val="20"/>
          <w:szCs w:val="20"/>
        </w:rPr>
        <w:t>Enfin, en dépit de leur particulière vulnérabilité, l’enfermement des mineurs est prévu au sein des mêmes lieux de privation de liberté que les adultes dont le principe même est constitutif d’une atteinte à leur intégrité psychique, quels que soient leur âge et la durée de l'enfermement.</w:t>
      </w:r>
    </w:p>
    <w:p w14:paraId="32A564A7" w14:textId="77777777" w:rsidR="006775B5" w:rsidRDefault="006775B5" w:rsidP="00AB4EBC">
      <w:pPr>
        <w:shd w:val="clear" w:color="auto" w:fill="FFFFFF" w:themeFill="background1"/>
        <w:spacing w:after="0" w:line="240" w:lineRule="auto"/>
        <w:jc w:val="both"/>
        <w:rPr>
          <w:rFonts w:ascii="Arial" w:eastAsia="MS Mincho" w:hAnsi="Arial" w:cs="Arial"/>
          <w:sz w:val="20"/>
          <w:szCs w:val="20"/>
        </w:rPr>
      </w:pPr>
    </w:p>
    <w:p w14:paraId="0E132407" w14:textId="77777777" w:rsidR="00AB4EBC" w:rsidRDefault="00AB4EBC" w:rsidP="00AB4EBC">
      <w:pPr>
        <w:shd w:val="clear" w:color="auto" w:fill="FFFFFF" w:themeFill="background1"/>
        <w:spacing w:after="0" w:line="240" w:lineRule="auto"/>
        <w:jc w:val="both"/>
        <w:rPr>
          <w:rFonts w:ascii="Arial" w:eastAsia="MS Mincho" w:hAnsi="Arial" w:cs="Arial"/>
          <w:sz w:val="20"/>
          <w:szCs w:val="20"/>
        </w:rPr>
      </w:pPr>
      <w:r>
        <w:rPr>
          <w:rFonts w:ascii="Arial" w:eastAsia="MS Mincho" w:hAnsi="Arial" w:cs="Arial"/>
          <w:sz w:val="20"/>
          <w:szCs w:val="20"/>
        </w:rPr>
        <w:t xml:space="preserve">Dans le cadre des observations finales du </w:t>
      </w:r>
      <w:r w:rsidR="00776050">
        <w:rPr>
          <w:rFonts w:ascii="Arial" w:eastAsia="MS Mincho" w:hAnsi="Arial" w:cs="Arial"/>
          <w:sz w:val="20"/>
          <w:szCs w:val="20"/>
        </w:rPr>
        <w:t>10 juin 2016</w:t>
      </w:r>
      <w:r>
        <w:rPr>
          <w:rFonts w:ascii="Arial" w:eastAsia="MS Mincho" w:hAnsi="Arial" w:cs="Arial"/>
          <w:sz w:val="20"/>
          <w:szCs w:val="20"/>
        </w:rPr>
        <w:t xml:space="preserve">, votre Comité relevait certains sujets de préoccupation autour desquels il a pu notamment recommander </w:t>
      </w:r>
      <w:r w:rsidR="00117376">
        <w:rPr>
          <w:rFonts w:ascii="Arial" w:eastAsia="MS Mincho" w:hAnsi="Arial" w:cs="Arial"/>
          <w:sz w:val="20"/>
          <w:szCs w:val="20"/>
        </w:rPr>
        <w:t>à la France</w:t>
      </w:r>
      <w:r>
        <w:rPr>
          <w:rFonts w:ascii="Arial" w:eastAsia="MS Mincho" w:hAnsi="Arial" w:cs="Arial"/>
          <w:sz w:val="20"/>
          <w:szCs w:val="20"/>
        </w:rPr>
        <w:t> :</w:t>
      </w:r>
    </w:p>
    <w:p w14:paraId="0F59CD5A" w14:textId="77777777" w:rsidR="00AB4EBC" w:rsidRDefault="00AB4EBC" w:rsidP="00AB4EBC">
      <w:pPr>
        <w:shd w:val="clear" w:color="auto" w:fill="FFFFFF" w:themeFill="background1"/>
        <w:spacing w:after="0" w:line="240" w:lineRule="auto"/>
        <w:jc w:val="both"/>
        <w:rPr>
          <w:rFonts w:ascii="Arial" w:eastAsia="MS Mincho" w:hAnsi="Arial" w:cs="Arial"/>
          <w:sz w:val="20"/>
          <w:szCs w:val="20"/>
        </w:rPr>
      </w:pPr>
    </w:p>
    <w:p w14:paraId="0327C101" w14:textId="77777777" w:rsidR="00117376" w:rsidRDefault="00117376" w:rsidP="00117376">
      <w:pPr>
        <w:pStyle w:val="ListParagraph"/>
        <w:numPr>
          <w:ilvl w:val="0"/>
          <w:numId w:val="3"/>
        </w:numPr>
        <w:spacing w:after="0"/>
        <w:jc w:val="both"/>
        <w:rPr>
          <w:rFonts w:ascii="Arial" w:eastAsia="MS Mincho" w:hAnsi="Arial" w:cs="Arial"/>
          <w:sz w:val="20"/>
          <w:szCs w:val="20"/>
        </w:rPr>
      </w:pPr>
      <w:r w:rsidRPr="00117376">
        <w:rPr>
          <w:rFonts w:ascii="Arial" w:eastAsia="MS Mincho" w:hAnsi="Arial" w:cs="Arial"/>
          <w:sz w:val="20"/>
          <w:szCs w:val="20"/>
        </w:rPr>
        <w:t>« </w:t>
      </w:r>
      <w:proofErr w:type="gramStart"/>
      <w:r w:rsidRPr="00117376">
        <w:rPr>
          <w:rFonts w:ascii="Arial" w:eastAsia="MS Mincho" w:hAnsi="Arial" w:cs="Arial"/>
          <w:sz w:val="20"/>
          <w:szCs w:val="20"/>
        </w:rPr>
        <w:t>de</w:t>
      </w:r>
      <w:proofErr w:type="gramEnd"/>
      <w:r w:rsidRPr="00117376">
        <w:rPr>
          <w:rFonts w:ascii="Arial" w:eastAsia="MS Mincho" w:hAnsi="Arial" w:cs="Arial"/>
          <w:sz w:val="20"/>
          <w:szCs w:val="20"/>
        </w:rPr>
        <w:t xml:space="preserve"> renforcer la lutte contre tout usage excessif de la force par la police et la gendarmerie</w:t>
      </w:r>
      <w:r>
        <w:rPr>
          <w:rFonts w:ascii="Arial" w:eastAsia="MS Mincho" w:hAnsi="Arial" w:cs="Arial"/>
          <w:sz w:val="20"/>
          <w:szCs w:val="20"/>
        </w:rPr>
        <w:t> » ;</w:t>
      </w:r>
    </w:p>
    <w:p w14:paraId="2723E588" w14:textId="77777777" w:rsidR="00AB4EBC" w:rsidRDefault="00117376" w:rsidP="00117376">
      <w:pPr>
        <w:pStyle w:val="ListParagraph"/>
        <w:numPr>
          <w:ilvl w:val="0"/>
          <w:numId w:val="3"/>
        </w:numPr>
        <w:spacing w:after="0"/>
        <w:jc w:val="both"/>
        <w:rPr>
          <w:rFonts w:ascii="Arial" w:eastAsia="MS Mincho" w:hAnsi="Arial" w:cs="Arial"/>
          <w:sz w:val="20"/>
          <w:szCs w:val="20"/>
        </w:rPr>
      </w:pPr>
      <w:r>
        <w:rPr>
          <w:rFonts w:ascii="Arial" w:eastAsia="MS Mincho" w:hAnsi="Arial" w:cs="Arial"/>
          <w:sz w:val="20"/>
          <w:szCs w:val="20"/>
        </w:rPr>
        <w:t>« </w:t>
      </w:r>
      <w:proofErr w:type="gramStart"/>
      <w:r w:rsidRPr="00117376">
        <w:rPr>
          <w:rFonts w:ascii="Arial" w:eastAsia="MS Mincho" w:hAnsi="Arial" w:cs="Arial"/>
          <w:sz w:val="20"/>
          <w:szCs w:val="20"/>
        </w:rPr>
        <w:t>de</w:t>
      </w:r>
      <w:proofErr w:type="gramEnd"/>
      <w:r w:rsidRPr="00117376">
        <w:rPr>
          <w:rFonts w:ascii="Arial" w:eastAsia="MS Mincho" w:hAnsi="Arial" w:cs="Arial"/>
          <w:sz w:val="20"/>
          <w:szCs w:val="20"/>
        </w:rPr>
        <w:t xml:space="preserve"> veiller à ce que […] dans tous les cas qui lui sont signalés, une enquête prompte, impartiale, indépendante et transparente soit menée dans des délais raisonnables et que des poursuites puissent être engagées et, en cas de condamnation, des sanctions proportionnelles à la gravité des faits soient prononcées »</w:t>
      </w:r>
      <w:r>
        <w:rPr>
          <w:rFonts w:ascii="Arial" w:eastAsia="MS Mincho" w:hAnsi="Arial" w:cs="Arial"/>
          <w:sz w:val="20"/>
          <w:szCs w:val="20"/>
        </w:rPr>
        <w:t> ;</w:t>
      </w:r>
    </w:p>
    <w:p w14:paraId="272965A8" w14:textId="77777777" w:rsidR="00117376" w:rsidRDefault="00117376" w:rsidP="00117376">
      <w:pPr>
        <w:pStyle w:val="ListParagraph"/>
        <w:numPr>
          <w:ilvl w:val="0"/>
          <w:numId w:val="3"/>
        </w:numPr>
        <w:spacing w:after="0"/>
        <w:jc w:val="both"/>
        <w:rPr>
          <w:rFonts w:ascii="Arial" w:eastAsia="MS Mincho" w:hAnsi="Arial" w:cs="Arial"/>
          <w:sz w:val="20"/>
          <w:szCs w:val="20"/>
        </w:rPr>
      </w:pPr>
      <w:r w:rsidRPr="00117376">
        <w:rPr>
          <w:rFonts w:ascii="Arial" w:eastAsia="MS Mincho" w:hAnsi="Arial" w:cs="Arial"/>
          <w:sz w:val="20"/>
          <w:szCs w:val="20"/>
        </w:rPr>
        <w:t xml:space="preserve">« </w:t>
      </w:r>
      <w:proofErr w:type="gramStart"/>
      <w:r w:rsidRPr="00117376">
        <w:rPr>
          <w:rFonts w:ascii="Arial" w:eastAsia="MS Mincho" w:hAnsi="Arial" w:cs="Arial"/>
          <w:sz w:val="20"/>
          <w:szCs w:val="20"/>
        </w:rPr>
        <w:t>de</w:t>
      </w:r>
      <w:proofErr w:type="gramEnd"/>
      <w:r w:rsidRPr="00117376">
        <w:rPr>
          <w:rFonts w:ascii="Arial" w:eastAsia="MS Mincho" w:hAnsi="Arial" w:cs="Arial"/>
          <w:sz w:val="20"/>
          <w:szCs w:val="20"/>
        </w:rPr>
        <w:t xml:space="preserve"> poursuivre ses efforts pour améliorer d’urgence les conditions de détention en tenant compte des recommandations du Contrôleur général des lieux de privation de liberté, et notamment de réduire de manière soutenue la surpopulation carcérale, en particulier par un recours accru à des peines de substitution à la privation de liberté, […], et d’améliorer les conditions matérielles de détention »</w:t>
      </w:r>
      <w:r w:rsidR="006775B5">
        <w:rPr>
          <w:rFonts w:ascii="Arial" w:eastAsia="MS Mincho" w:hAnsi="Arial" w:cs="Arial"/>
          <w:sz w:val="20"/>
          <w:szCs w:val="20"/>
        </w:rPr>
        <w:t> ;</w:t>
      </w:r>
    </w:p>
    <w:p w14:paraId="7A2DA0F0" w14:textId="77777777" w:rsidR="006775B5" w:rsidRPr="00117376" w:rsidRDefault="006775B5" w:rsidP="006775B5">
      <w:pPr>
        <w:pStyle w:val="ListParagraph"/>
        <w:numPr>
          <w:ilvl w:val="0"/>
          <w:numId w:val="3"/>
        </w:numPr>
        <w:spacing w:after="0"/>
        <w:jc w:val="both"/>
        <w:rPr>
          <w:rFonts w:ascii="Arial" w:eastAsia="MS Mincho" w:hAnsi="Arial" w:cs="Arial"/>
          <w:sz w:val="20"/>
          <w:szCs w:val="20"/>
        </w:rPr>
      </w:pPr>
      <w:r>
        <w:rPr>
          <w:rFonts w:ascii="Arial" w:eastAsia="MS Mincho" w:hAnsi="Arial" w:cs="Arial"/>
          <w:sz w:val="20"/>
          <w:szCs w:val="20"/>
        </w:rPr>
        <w:t>« </w:t>
      </w:r>
      <w:r w:rsidRPr="006775B5">
        <w:rPr>
          <w:rFonts w:ascii="Arial" w:eastAsia="MS Mincho" w:hAnsi="Arial" w:cs="Arial"/>
          <w:sz w:val="20"/>
          <w:szCs w:val="20"/>
        </w:rPr>
        <w:t>De s’assurer qu’il n’est pas fait un usage trop fréquent, voire systématique, de l’isolement et de la contention</w:t>
      </w:r>
      <w:r>
        <w:rPr>
          <w:rFonts w:ascii="Arial" w:eastAsia="MS Mincho" w:hAnsi="Arial" w:cs="Arial"/>
          <w:sz w:val="20"/>
          <w:szCs w:val="20"/>
        </w:rPr>
        <w:t> ».</w:t>
      </w:r>
    </w:p>
    <w:p w14:paraId="43841F42" w14:textId="77777777" w:rsidR="00776050" w:rsidRDefault="00776050" w:rsidP="00AB4EBC">
      <w:pPr>
        <w:spacing w:after="0"/>
        <w:jc w:val="both"/>
        <w:rPr>
          <w:rFonts w:ascii="Arial" w:eastAsia="MS Mincho" w:hAnsi="Arial" w:cs="Arial"/>
          <w:sz w:val="20"/>
          <w:szCs w:val="20"/>
        </w:rPr>
      </w:pPr>
    </w:p>
    <w:p w14:paraId="3EAFFB6C" w14:textId="2299FD08" w:rsidR="00AB4EBC" w:rsidRDefault="00AB4EBC" w:rsidP="00D41A48">
      <w:pPr>
        <w:spacing w:after="0"/>
        <w:jc w:val="both"/>
        <w:rPr>
          <w:rFonts w:ascii="Arial" w:eastAsia="MS Mincho" w:hAnsi="Arial" w:cs="Arial"/>
          <w:sz w:val="20"/>
          <w:szCs w:val="20"/>
        </w:rPr>
      </w:pPr>
      <w:r>
        <w:rPr>
          <w:rFonts w:ascii="Arial" w:eastAsia="MS Mincho" w:hAnsi="Arial" w:cs="Arial"/>
          <w:sz w:val="20"/>
          <w:szCs w:val="20"/>
        </w:rPr>
        <w:t xml:space="preserve">Le rapport alternatif de la LDH s’est attaché tout particulièrement à traiter le suivi de ces recommandations en mettant en exergue les violences exercées par les forces de l’ordre dont la responsabilité n’est que trop rarement engagée et </w:t>
      </w:r>
      <w:r w:rsidR="00776050">
        <w:rPr>
          <w:rFonts w:ascii="Arial" w:eastAsia="MS Mincho" w:hAnsi="Arial" w:cs="Arial"/>
          <w:sz w:val="20"/>
          <w:szCs w:val="20"/>
        </w:rPr>
        <w:t xml:space="preserve">les atteintes aux droits </w:t>
      </w:r>
      <w:r w:rsidR="00B57567">
        <w:rPr>
          <w:rFonts w:ascii="Arial" w:eastAsia="MS Mincho" w:hAnsi="Arial" w:cs="Arial"/>
          <w:sz w:val="20"/>
          <w:szCs w:val="20"/>
        </w:rPr>
        <w:t xml:space="preserve">fondamentaux </w:t>
      </w:r>
      <w:r w:rsidR="00776050">
        <w:rPr>
          <w:rFonts w:ascii="Arial" w:eastAsia="MS Mincho" w:hAnsi="Arial" w:cs="Arial"/>
          <w:sz w:val="20"/>
          <w:szCs w:val="20"/>
        </w:rPr>
        <w:t xml:space="preserve">des personnes </w:t>
      </w:r>
      <w:r w:rsidR="006775B5">
        <w:rPr>
          <w:rFonts w:ascii="Arial" w:eastAsia="MS Mincho" w:hAnsi="Arial" w:cs="Arial"/>
          <w:sz w:val="20"/>
          <w:szCs w:val="20"/>
        </w:rPr>
        <w:t>enfermées dans des lieux de privation de liberté</w:t>
      </w:r>
      <w:r w:rsidR="00B57567">
        <w:rPr>
          <w:rFonts w:ascii="Arial" w:eastAsia="MS Mincho" w:hAnsi="Arial" w:cs="Arial"/>
          <w:sz w:val="20"/>
          <w:szCs w:val="20"/>
        </w:rPr>
        <w:t xml:space="preserve"> </w:t>
      </w:r>
      <w:r w:rsidR="00B57567" w:rsidRPr="00B57567">
        <w:rPr>
          <w:rFonts w:ascii="Arial" w:eastAsia="MS Mincho" w:hAnsi="Arial" w:cs="Arial"/>
          <w:sz w:val="20"/>
          <w:szCs w:val="20"/>
        </w:rPr>
        <w:t xml:space="preserve">au regard de leur particulière dépendance vis-à-vis de l’institution d’accueil. </w:t>
      </w:r>
    </w:p>
    <w:p w14:paraId="088CDCDF" w14:textId="77777777" w:rsidR="00C70405" w:rsidRDefault="00C70405" w:rsidP="00D41A48">
      <w:pPr>
        <w:spacing w:after="0"/>
        <w:jc w:val="both"/>
        <w:rPr>
          <w:rFonts w:ascii="Arial" w:eastAsia="MS Mincho" w:hAnsi="Arial" w:cs="Arial"/>
          <w:sz w:val="20"/>
          <w:szCs w:val="20"/>
        </w:rPr>
      </w:pPr>
    </w:p>
    <w:p w14:paraId="004D2CEA" w14:textId="77777777" w:rsidR="009F2D2E" w:rsidRDefault="00D21613" w:rsidP="009F2D2E">
      <w:pPr>
        <w:shd w:val="clear" w:color="auto" w:fill="D9D9D9" w:themeFill="background1" w:themeFillShade="D9"/>
        <w:jc w:val="both"/>
        <w:rPr>
          <w:rFonts w:ascii="Arial" w:hAnsi="Arial" w:cs="Arial"/>
          <w:b/>
          <w:sz w:val="20"/>
          <w:szCs w:val="20"/>
        </w:rPr>
      </w:pPr>
      <w:r>
        <w:rPr>
          <w:rFonts w:ascii="Arial" w:hAnsi="Arial" w:cs="Arial"/>
          <w:b/>
          <w:sz w:val="20"/>
          <w:szCs w:val="20"/>
        </w:rPr>
        <w:lastRenderedPageBreak/>
        <w:t xml:space="preserve">1. </w:t>
      </w:r>
      <w:r w:rsidR="009F2D2E" w:rsidRPr="002C1669">
        <w:rPr>
          <w:rFonts w:ascii="Arial" w:hAnsi="Arial" w:cs="Arial"/>
          <w:b/>
          <w:sz w:val="20"/>
          <w:szCs w:val="20"/>
        </w:rPr>
        <w:t>Police</w:t>
      </w:r>
    </w:p>
    <w:p w14:paraId="2BC0B5D8" w14:textId="77777777" w:rsidR="009F2D2E" w:rsidRPr="00D21613" w:rsidRDefault="00581537" w:rsidP="00581537">
      <w:pPr>
        <w:tabs>
          <w:tab w:val="left" w:pos="1290"/>
        </w:tabs>
        <w:contextualSpacing/>
        <w:rPr>
          <w:rFonts w:ascii="Arial" w:eastAsia="Calibri" w:hAnsi="Arial" w:cs="Arial"/>
          <w:b/>
          <w:sz w:val="20"/>
          <w:szCs w:val="20"/>
        </w:rPr>
      </w:pPr>
      <w:r w:rsidRPr="00D21613">
        <w:rPr>
          <w:rFonts w:ascii="Arial" w:eastAsia="Calibri" w:hAnsi="Arial" w:cs="Arial"/>
          <w:b/>
          <w:sz w:val="20"/>
          <w:szCs w:val="20"/>
        </w:rPr>
        <w:t xml:space="preserve">1.1 </w:t>
      </w:r>
      <w:r w:rsidR="009F2D2E" w:rsidRPr="00D21613">
        <w:rPr>
          <w:rFonts w:ascii="Arial" w:eastAsia="Calibri" w:hAnsi="Arial" w:cs="Arial"/>
          <w:b/>
          <w:sz w:val="20"/>
          <w:szCs w:val="20"/>
          <w:u w:val="single"/>
        </w:rPr>
        <w:t>Le recours illégitime à la force</w:t>
      </w:r>
    </w:p>
    <w:p w14:paraId="1B0CF916" w14:textId="77777777" w:rsidR="009F2D2E" w:rsidRPr="0056105F" w:rsidRDefault="009F2D2E" w:rsidP="009F2D2E">
      <w:pPr>
        <w:tabs>
          <w:tab w:val="left" w:pos="1290"/>
        </w:tabs>
        <w:ind w:left="720"/>
        <w:contextualSpacing/>
        <w:rPr>
          <w:rFonts w:ascii="Arial" w:eastAsia="Calibri" w:hAnsi="Arial" w:cs="Arial"/>
          <w:sz w:val="20"/>
          <w:szCs w:val="20"/>
        </w:rPr>
      </w:pPr>
    </w:p>
    <w:p w14:paraId="5BBC8C25" w14:textId="3423CAA5" w:rsidR="009F2D2E" w:rsidRPr="000071DF" w:rsidRDefault="009F2D2E" w:rsidP="009F2D2E">
      <w:pPr>
        <w:spacing w:line="240" w:lineRule="atLeast"/>
        <w:jc w:val="both"/>
        <w:rPr>
          <w:rFonts w:ascii="Arial" w:eastAsia="Calibri" w:hAnsi="Arial" w:cs="Arial"/>
          <w:color w:val="000000"/>
          <w:sz w:val="20"/>
          <w:szCs w:val="20"/>
          <w:shd w:val="clear" w:color="auto" w:fill="FFFFFF"/>
        </w:rPr>
      </w:pPr>
      <w:r w:rsidRPr="000071DF">
        <w:rPr>
          <w:rFonts w:ascii="Arial" w:eastAsia="Calibri" w:hAnsi="Arial" w:cs="Arial"/>
          <w:color w:val="000000"/>
          <w:sz w:val="20"/>
          <w:szCs w:val="20"/>
          <w:shd w:val="clear" w:color="auto" w:fill="FFFFFF"/>
        </w:rPr>
        <w:t xml:space="preserve">Dans ses </w:t>
      </w:r>
      <w:r>
        <w:rPr>
          <w:rFonts w:ascii="Arial" w:eastAsia="Calibri" w:hAnsi="Arial" w:cs="Arial"/>
          <w:color w:val="000000"/>
          <w:sz w:val="20"/>
          <w:szCs w:val="20"/>
          <w:shd w:val="clear" w:color="auto" w:fill="FFFFFF"/>
        </w:rPr>
        <w:t xml:space="preserve">dernières </w:t>
      </w:r>
      <w:r w:rsidR="00A07ECD">
        <w:rPr>
          <w:rFonts w:ascii="Arial" w:eastAsia="Calibri" w:hAnsi="Arial" w:cs="Arial"/>
          <w:color w:val="000000"/>
          <w:sz w:val="20"/>
          <w:szCs w:val="20"/>
          <w:shd w:val="clear" w:color="auto" w:fill="FFFFFF"/>
        </w:rPr>
        <w:t>observations finales, votre</w:t>
      </w:r>
      <w:r w:rsidRPr="000071DF">
        <w:rPr>
          <w:rFonts w:ascii="Arial" w:eastAsia="Calibri" w:hAnsi="Arial" w:cs="Arial"/>
          <w:color w:val="000000"/>
          <w:sz w:val="20"/>
          <w:szCs w:val="20"/>
          <w:shd w:val="clear" w:color="auto" w:fill="FFFFFF"/>
        </w:rPr>
        <w:t xml:space="preserve"> Comité était notamment « </w:t>
      </w:r>
      <w:r w:rsidRPr="000071DF">
        <w:rPr>
          <w:rFonts w:ascii="Arial" w:eastAsia="Calibri" w:hAnsi="Arial" w:cs="Arial"/>
          <w:i/>
          <w:color w:val="000000"/>
          <w:sz w:val="20"/>
          <w:szCs w:val="20"/>
          <w:shd w:val="clear" w:color="auto" w:fill="FFFFFF"/>
        </w:rPr>
        <w:t>préoccupé par les allégations d’usage excessif de la force par les fonctionnaires de police et de gendarmerie ayant, dans certains cas, entraîné des blessures graves ou des décès</w:t>
      </w:r>
      <w:r w:rsidRPr="000071DF">
        <w:rPr>
          <w:rFonts w:ascii="Arial" w:eastAsia="Calibri" w:hAnsi="Arial" w:cs="Arial"/>
          <w:color w:val="000000"/>
          <w:sz w:val="20"/>
          <w:szCs w:val="20"/>
          <w:shd w:val="clear" w:color="auto" w:fill="FFFFFF"/>
        </w:rPr>
        <w:t> »</w:t>
      </w:r>
      <w:r w:rsidRPr="000071DF">
        <w:rPr>
          <w:rFonts w:ascii="Arial" w:eastAsia="Calibri" w:hAnsi="Arial" w:cs="Arial"/>
          <w:color w:val="000000"/>
          <w:sz w:val="20"/>
          <w:szCs w:val="20"/>
          <w:shd w:val="clear" w:color="auto" w:fill="FFFFFF"/>
          <w:vertAlign w:val="superscript"/>
        </w:rPr>
        <w:footnoteReference w:id="1"/>
      </w:r>
      <w:r w:rsidRPr="000071DF">
        <w:rPr>
          <w:rFonts w:ascii="Arial" w:eastAsia="Calibri" w:hAnsi="Arial" w:cs="Arial"/>
          <w:color w:val="000000"/>
          <w:sz w:val="20"/>
          <w:szCs w:val="20"/>
          <w:shd w:val="clear" w:color="auto" w:fill="FFFFFF"/>
        </w:rPr>
        <w:t>. </w:t>
      </w:r>
      <w:r>
        <w:rPr>
          <w:rFonts w:ascii="Arial" w:eastAsia="Calibri" w:hAnsi="Arial" w:cs="Arial"/>
          <w:color w:val="000000"/>
          <w:sz w:val="20"/>
          <w:szCs w:val="20"/>
          <w:shd w:val="clear" w:color="auto" w:fill="FFFFFF"/>
        </w:rPr>
        <w:t>Le Comité</w:t>
      </w:r>
      <w:r w:rsidRPr="006532C7">
        <w:rPr>
          <w:rFonts w:ascii="Arial" w:eastAsia="Calibri" w:hAnsi="Arial" w:cs="Arial"/>
          <w:color w:val="000000"/>
          <w:sz w:val="20"/>
          <w:szCs w:val="20"/>
          <w:shd w:val="clear" w:color="auto" w:fill="FFFFFF"/>
        </w:rPr>
        <w:t xml:space="preserve"> recommandait </w:t>
      </w:r>
      <w:r>
        <w:rPr>
          <w:rFonts w:ascii="Arial" w:eastAsia="Calibri" w:hAnsi="Arial" w:cs="Arial"/>
          <w:color w:val="000000"/>
          <w:sz w:val="20"/>
          <w:szCs w:val="20"/>
          <w:shd w:val="clear" w:color="auto" w:fill="FFFFFF"/>
        </w:rPr>
        <w:t xml:space="preserve">ainsi </w:t>
      </w:r>
      <w:r w:rsidRPr="006532C7">
        <w:rPr>
          <w:rFonts w:ascii="Arial" w:eastAsia="Calibri" w:hAnsi="Arial" w:cs="Arial"/>
          <w:color w:val="000000"/>
          <w:sz w:val="20"/>
          <w:szCs w:val="20"/>
          <w:shd w:val="clear" w:color="auto" w:fill="FFFFFF"/>
        </w:rPr>
        <w:t>à la France « </w:t>
      </w:r>
      <w:r w:rsidRPr="006532C7">
        <w:rPr>
          <w:rFonts w:ascii="Arial" w:eastAsia="Calibri" w:hAnsi="Arial" w:cs="Arial"/>
          <w:i/>
          <w:color w:val="000000"/>
          <w:sz w:val="20"/>
          <w:szCs w:val="20"/>
          <w:shd w:val="clear" w:color="auto" w:fill="FFFFFF"/>
        </w:rPr>
        <w:t>de renforcer la lutte contre tout usage excessif de la force par la police et la gendarmerie</w:t>
      </w:r>
      <w:r>
        <w:rPr>
          <w:rFonts w:ascii="Arial" w:eastAsia="Calibri" w:hAnsi="Arial" w:cs="Arial"/>
          <w:i/>
          <w:color w:val="000000"/>
          <w:sz w:val="20"/>
          <w:szCs w:val="20"/>
          <w:shd w:val="clear" w:color="auto" w:fill="FFFFFF"/>
        </w:rPr>
        <w:t> »</w:t>
      </w:r>
      <w:r>
        <w:rPr>
          <w:rStyle w:val="FootnoteReference"/>
          <w:rFonts w:ascii="Arial" w:eastAsia="Calibri" w:hAnsi="Arial" w:cs="Arial"/>
          <w:i/>
          <w:color w:val="000000"/>
          <w:shd w:val="clear" w:color="auto" w:fill="FFFFFF"/>
        </w:rPr>
        <w:footnoteReference w:id="2"/>
      </w:r>
      <w:r>
        <w:rPr>
          <w:rFonts w:ascii="Arial" w:eastAsia="Calibri" w:hAnsi="Arial" w:cs="Arial"/>
          <w:i/>
          <w:color w:val="000000"/>
          <w:sz w:val="20"/>
          <w:szCs w:val="20"/>
          <w:shd w:val="clear" w:color="auto" w:fill="FFFFFF"/>
        </w:rPr>
        <w:t>.</w:t>
      </w:r>
    </w:p>
    <w:p w14:paraId="6B594865" w14:textId="77777777" w:rsidR="009F2D2E" w:rsidRPr="0056105F" w:rsidRDefault="009F2D2E" w:rsidP="009F2D2E">
      <w:pPr>
        <w:spacing w:line="240" w:lineRule="atLeast"/>
        <w:jc w:val="both"/>
        <w:rPr>
          <w:rFonts w:ascii="Arial" w:eastAsia="Calibri" w:hAnsi="Arial" w:cs="Arial"/>
          <w:color w:val="000000"/>
          <w:sz w:val="20"/>
          <w:szCs w:val="20"/>
          <w:shd w:val="clear" w:color="auto" w:fill="FFFFFF"/>
        </w:rPr>
      </w:pPr>
      <w:r w:rsidRPr="0056105F">
        <w:rPr>
          <w:rFonts w:ascii="Arial" w:eastAsia="Calibri" w:hAnsi="Arial" w:cs="Arial"/>
          <w:color w:val="000000"/>
          <w:sz w:val="20"/>
          <w:szCs w:val="20"/>
          <w:shd w:val="clear" w:color="auto" w:fill="FFFFFF"/>
        </w:rPr>
        <w:t xml:space="preserve">En France, le schéma national du maintien de l’ordre fixe </w:t>
      </w:r>
      <w:r w:rsidRPr="0056105F">
        <w:rPr>
          <w:rFonts w:ascii="Arial" w:eastAsia="Calibri" w:hAnsi="Arial" w:cs="Arial"/>
          <w:color w:val="000000"/>
          <w:sz w:val="20"/>
          <w:szCs w:val="20"/>
        </w:rPr>
        <w:t>le</w:t>
      </w:r>
      <w:r w:rsidRPr="0056105F">
        <w:rPr>
          <w:rFonts w:ascii="Arial" w:eastAsia="Calibri" w:hAnsi="Arial" w:cs="Arial"/>
          <w:color w:val="000000"/>
          <w:sz w:val="20"/>
          <w:szCs w:val="20"/>
          <w:shd w:val="clear" w:color="auto" w:fill="FFFFFF"/>
        </w:rPr>
        <w:t> cadre des interventions des policiers et gendarmes lors des rassemblements. Il repose sur deux principes fondamentaux, décrits dans </w:t>
      </w:r>
      <w:r w:rsidRPr="0056105F">
        <w:rPr>
          <w:rFonts w:ascii="Arial" w:eastAsia="Calibri" w:hAnsi="Arial" w:cs="Arial"/>
          <w:color w:val="000000"/>
          <w:sz w:val="20"/>
          <w:szCs w:val="20"/>
        </w:rPr>
        <w:t>l</w:t>
      </w:r>
      <w:r w:rsidRPr="0056105F">
        <w:rPr>
          <w:rFonts w:ascii="Arial" w:eastAsia="Calibri" w:hAnsi="Arial" w:cs="Arial"/>
          <w:color w:val="000000"/>
          <w:sz w:val="20"/>
          <w:szCs w:val="20"/>
          <w:shd w:val="clear" w:color="auto" w:fill="FFFFFF"/>
        </w:rPr>
        <w:t>’article R.211-13 du code </w:t>
      </w:r>
      <w:r w:rsidRPr="0056105F">
        <w:rPr>
          <w:rFonts w:ascii="Arial" w:eastAsia="Calibri" w:hAnsi="Arial" w:cs="Arial"/>
          <w:color w:val="000000"/>
          <w:sz w:val="20"/>
          <w:szCs w:val="20"/>
        </w:rPr>
        <w:t>de</w:t>
      </w:r>
      <w:r w:rsidRPr="0056105F">
        <w:rPr>
          <w:rFonts w:ascii="Arial" w:eastAsia="Calibri" w:hAnsi="Arial" w:cs="Arial"/>
          <w:color w:val="000000"/>
          <w:sz w:val="20"/>
          <w:szCs w:val="20"/>
          <w:shd w:val="clear" w:color="auto" w:fill="FFFFFF"/>
        </w:rPr>
        <w:t> la sécurité intérieure (CSI) : « </w:t>
      </w:r>
      <w:r w:rsidRPr="0056105F">
        <w:rPr>
          <w:rFonts w:ascii="Arial" w:eastAsia="Calibri" w:hAnsi="Arial" w:cs="Arial"/>
          <w:color w:val="000000"/>
          <w:sz w:val="20"/>
          <w:szCs w:val="20"/>
        </w:rPr>
        <w:t>l</w:t>
      </w:r>
      <w:r w:rsidRPr="0056105F">
        <w:rPr>
          <w:rFonts w:ascii="Arial" w:eastAsia="Calibri" w:hAnsi="Arial" w:cs="Arial"/>
          <w:color w:val="000000"/>
          <w:sz w:val="20"/>
          <w:szCs w:val="20"/>
          <w:shd w:val="clear" w:color="auto" w:fill="FFFFFF"/>
        </w:rPr>
        <w:t>’emploi </w:t>
      </w:r>
      <w:r w:rsidRPr="0056105F">
        <w:rPr>
          <w:rFonts w:ascii="Arial" w:eastAsia="Calibri" w:hAnsi="Arial" w:cs="Arial"/>
          <w:color w:val="000000"/>
          <w:sz w:val="20"/>
          <w:szCs w:val="20"/>
        </w:rPr>
        <w:t>de</w:t>
      </w:r>
      <w:r w:rsidRPr="0056105F">
        <w:rPr>
          <w:rFonts w:ascii="Arial" w:eastAsia="Calibri" w:hAnsi="Arial" w:cs="Arial"/>
          <w:color w:val="000000"/>
          <w:sz w:val="20"/>
          <w:szCs w:val="20"/>
          <w:shd w:val="clear" w:color="auto" w:fill="FFFFFF"/>
        </w:rPr>
        <w:t> la force (…) n’est possible que si </w:t>
      </w:r>
      <w:r w:rsidRPr="0056105F">
        <w:rPr>
          <w:rFonts w:ascii="Arial" w:eastAsia="Calibri" w:hAnsi="Arial" w:cs="Arial"/>
          <w:color w:val="000000"/>
          <w:sz w:val="20"/>
          <w:szCs w:val="20"/>
        </w:rPr>
        <w:t>les</w:t>
      </w:r>
      <w:r w:rsidRPr="0056105F">
        <w:rPr>
          <w:rFonts w:ascii="Arial" w:eastAsia="Calibri" w:hAnsi="Arial" w:cs="Arial"/>
          <w:color w:val="000000"/>
          <w:sz w:val="20"/>
          <w:szCs w:val="20"/>
          <w:shd w:val="clear" w:color="auto" w:fill="FFFFFF"/>
        </w:rPr>
        <w:t> circonstances </w:t>
      </w:r>
      <w:r w:rsidRPr="0056105F">
        <w:rPr>
          <w:rFonts w:ascii="Arial" w:eastAsia="Calibri" w:hAnsi="Arial" w:cs="Arial"/>
          <w:color w:val="000000"/>
          <w:sz w:val="20"/>
          <w:szCs w:val="20"/>
        </w:rPr>
        <w:t>le</w:t>
      </w:r>
      <w:r w:rsidRPr="0056105F">
        <w:rPr>
          <w:rFonts w:ascii="Arial" w:eastAsia="Calibri" w:hAnsi="Arial" w:cs="Arial"/>
          <w:color w:val="000000"/>
          <w:sz w:val="20"/>
          <w:szCs w:val="20"/>
          <w:shd w:val="clear" w:color="auto" w:fill="FFFFFF"/>
        </w:rPr>
        <w:t> rendent absolument nécessaire », et cette force déployée doit être « proportionnée » aux actes violents et aux agressions dont </w:t>
      </w:r>
      <w:r w:rsidRPr="0056105F">
        <w:rPr>
          <w:rFonts w:ascii="Arial" w:eastAsia="Calibri" w:hAnsi="Arial" w:cs="Arial"/>
          <w:color w:val="000000"/>
          <w:sz w:val="20"/>
          <w:szCs w:val="20"/>
        </w:rPr>
        <w:t>les</w:t>
      </w:r>
      <w:r w:rsidRPr="0056105F">
        <w:rPr>
          <w:rFonts w:ascii="Arial" w:eastAsia="Calibri" w:hAnsi="Arial" w:cs="Arial"/>
          <w:color w:val="000000"/>
          <w:sz w:val="20"/>
          <w:szCs w:val="20"/>
          <w:shd w:val="clear" w:color="auto" w:fill="FFFFFF"/>
        </w:rPr>
        <w:t> forces </w:t>
      </w:r>
      <w:r w:rsidRPr="0056105F">
        <w:rPr>
          <w:rFonts w:ascii="Arial" w:eastAsia="Calibri" w:hAnsi="Arial" w:cs="Arial"/>
          <w:color w:val="000000"/>
          <w:sz w:val="20"/>
          <w:szCs w:val="20"/>
        </w:rPr>
        <w:t>de</w:t>
      </w:r>
      <w:r w:rsidRPr="0056105F">
        <w:rPr>
          <w:rFonts w:ascii="Arial" w:eastAsia="Calibri" w:hAnsi="Arial" w:cs="Arial"/>
          <w:color w:val="000000"/>
          <w:sz w:val="20"/>
          <w:szCs w:val="20"/>
          <w:shd w:val="clear" w:color="auto" w:fill="FFFFFF"/>
        </w:rPr>
        <w:t> </w:t>
      </w:r>
      <w:r w:rsidRPr="0056105F">
        <w:rPr>
          <w:rFonts w:ascii="Arial" w:eastAsia="Calibri" w:hAnsi="Arial" w:cs="Arial"/>
          <w:color w:val="000000"/>
          <w:sz w:val="20"/>
          <w:szCs w:val="20"/>
        </w:rPr>
        <w:t>l</w:t>
      </w:r>
      <w:r w:rsidRPr="0056105F">
        <w:rPr>
          <w:rFonts w:ascii="Arial" w:eastAsia="Calibri" w:hAnsi="Arial" w:cs="Arial"/>
          <w:color w:val="000000"/>
          <w:sz w:val="20"/>
          <w:szCs w:val="20"/>
          <w:shd w:val="clear" w:color="auto" w:fill="FFFFFF"/>
        </w:rPr>
        <w:t>’</w:t>
      </w:r>
      <w:r w:rsidRPr="0056105F">
        <w:rPr>
          <w:rFonts w:ascii="Arial" w:eastAsia="Calibri" w:hAnsi="Arial" w:cs="Arial"/>
          <w:color w:val="000000"/>
          <w:sz w:val="20"/>
          <w:szCs w:val="20"/>
        </w:rPr>
        <w:t>ordre</w:t>
      </w:r>
      <w:r w:rsidRPr="0056105F">
        <w:rPr>
          <w:rFonts w:ascii="Arial" w:eastAsia="Calibri" w:hAnsi="Arial" w:cs="Arial"/>
          <w:color w:val="000000"/>
          <w:sz w:val="20"/>
          <w:szCs w:val="20"/>
          <w:shd w:val="clear" w:color="auto" w:fill="FFFFFF"/>
        </w:rPr>
        <w:t> peuvent être la cible.</w:t>
      </w:r>
    </w:p>
    <w:p w14:paraId="5B3B4C8A" w14:textId="77777777" w:rsidR="009F2D2E" w:rsidRPr="0056105F" w:rsidRDefault="009F2D2E" w:rsidP="009F2D2E">
      <w:pPr>
        <w:spacing w:before="100" w:beforeAutospacing="1" w:after="100" w:afterAutospacing="1" w:line="240" w:lineRule="atLeast"/>
        <w:jc w:val="both"/>
        <w:rPr>
          <w:rFonts w:ascii="Arial" w:eastAsia="Calibri" w:hAnsi="Arial" w:cs="Arial"/>
          <w:color w:val="000000"/>
          <w:sz w:val="20"/>
          <w:szCs w:val="20"/>
          <w:shd w:val="clear" w:color="auto" w:fill="FFFFFF"/>
        </w:rPr>
      </w:pPr>
      <w:r w:rsidRPr="0056105F">
        <w:rPr>
          <w:rFonts w:ascii="Arial" w:eastAsia="Calibri" w:hAnsi="Arial" w:cs="Arial"/>
          <w:color w:val="000000"/>
          <w:sz w:val="20"/>
          <w:szCs w:val="20"/>
          <w:shd w:val="clear" w:color="auto" w:fill="FFFFFF"/>
        </w:rPr>
        <w:t>Loin de respecter les exigences de l’article R.211-13 du CSI, le recours à la force est généralisé et facilité par l’usage excessif d’armes par les forces de l’ordre.</w:t>
      </w:r>
    </w:p>
    <w:p w14:paraId="0CF44219" w14:textId="284864BC" w:rsidR="009F2D2E" w:rsidRPr="0056105F" w:rsidRDefault="009F2D2E" w:rsidP="009F2D2E">
      <w:pPr>
        <w:spacing w:before="100" w:beforeAutospacing="1" w:after="100" w:afterAutospacing="1" w:line="240" w:lineRule="atLeast"/>
        <w:jc w:val="both"/>
        <w:rPr>
          <w:rFonts w:ascii="Arial" w:eastAsia="Calibri" w:hAnsi="Arial" w:cs="Arial"/>
          <w:color w:val="000000"/>
          <w:sz w:val="20"/>
          <w:szCs w:val="20"/>
          <w:shd w:val="clear" w:color="auto" w:fill="FFFFFF"/>
        </w:rPr>
      </w:pPr>
      <w:r w:rsidRPr="0056105F">
        <w:rPr>
          <w:rFonts w:ascii="Arial" w:eastAsia="Calibri" w:hAnsi="Arial" w:cs="Arial"/>
          <w:color w:val="000000"/>
          <w:sz w:val="20"/>
          <w:szCs w:val="20"/>
          <w:shd w:val="clear" w:color="auto" w:fill="FFFFFF"/>
        </w:rPr>
        <w:t xml:space="preserve">L’emploi d’armes à létalité dite « réduite » mais extrêmement dangereuses perdure, dont l’emploi a déjà été dénoncé par nombre d’institutions et d’associations, comme le LBD 40 (dont l’emploi a cependant diminué par-rapport à la période des Gilets jaunes), les grenades de </w:t>
      </w:r>
      <w:proofErr w:type="spellStart"/>
      <w:r w:rsidRPr="0056105F">
        <w:rPr>
          <w:rFonts w:ascii="Arial" w:eastAsia="Calibri" w:hAnsi="Arial" w:cs="Arial"/>
          <w:color w:val="000000"/>
          <w:sz w:val="20"/>
          <w:szCs w:val="20"/>
          <w:shd w:val="clear" w:color="auto" w:fill="FFFFFF"/>
        </w:rPr>
        <w:t>dés-encerclement</w:t>
      </w:r>
      <w:proofErr w:type="spellEnd"/>
      <w:r w:rsidRPr="0056105F">
        <w:rPr>
          <w:rFonts w:ascii="Arial" w:eastAsia="Calibri" w:hAnsi="Arial" w:cs="Arial"/>
          <w:color w:val="000000"/>
          <w:sz w:val="20"/>
          <w:szCs w:val="20"/>
          <w:shd w:val="clear" w:color="auto" w:fill="FFFFFF"/>
        </w:rPr>
        <w:t xml:space="preserve">, ou les grenades à pyrotechnie (GM2L ou ASSL) considérées comme matériel de guerre ayant provoqué plusieurs mutilations et blessures graves. </w:t>
      </w:r>
      <w:r w:rsidR="00A2648E">
        <w:rPr>
          <w:rFonts w:ascii="Arial" w:eastAsia="Calibri" w:hAnsi="Arial" w:cs="Arial"/>
          <w:color w:val="000000"/>
          <w:sz w:val="20"/>
          <w:szCs w:val="20"/>
          <w:shd w:val="clear" w:color="auto" w:fill="FFFFFF"/>
        </w:rPr>
        <w:t>Toutes ces armes</w:t>
      </w:r>
      <w:r w:rsidR="00A2648E" w:rsidRPr="0056105F">
        <w:rPr>
          <w:rFonts w:ascii="Arial" w:eastAsia="Calibri" w:hAnsi="Arial" w:cs="Arial"/>
          <w:color w:val="000000"/>
          <w:sz w:val="20"/>
          <w:szCs w:val="20"/>
          <w:shd w:val="clear" w:color="auto" w:fill="FFFFFF"/>
        </w:rPr>
        <w:t xml:space="preserve"> peuvent être utilisés sans sommation</w:t>
      </w:r>
      <w:r w:rsidR="00A2648E">
        <w:rPr>
          <w:rFonts w:ascii="Arial" w:eastAsia="Calibri" w:hAnsi="Arial" w:cs="Arial"/>
          <w:color w:val="000000"/>
          <w:sz w:val="20"/>
          <w:szCs w:val="20"/>
          <w:shd w:val="clear" w:color="auto" w:fill="FFFFFF"/>
        </w:rPr>
        <w:t xml:space="preserve"> pour se défendre ou pour exécuter un ordre de défendre un lieu</w:t>
      </w:r>
      <w:r w:rsidR="00A2648E">
        <w:rPr>
          <w:rStyle w:val="FootnoteReference"/>
          <w:rFonts w:ascii="Arial" w:eastAsia="Calibri" w:hAnsi="Arial" w:cs="Arial"/>
          <w:color w:val="000000"/>
          <w:sz w:val="20"/>
          <w:szCs w:val="20"/>
          <w:shd w:val="clear" w:color="auto" w:fill="FFFFFF"/>
        </w:rPr>
        <w:footnoteReference w:id="3"/>
      </w:r>
      <w:r w:rsidR="00A2648E">
        <w:rPr>
          <w:rFonts w:ascii="Arial" w:eastAsia="Calibri" w:hAnsi="Arial" w:cs="Arial"/>
          <w:color w:val="000000"/>
          <w:sz w:val="20"/>
          <w:szCs w:val="20"/>
          <w:shd w:val="clear" w:color="auto" w:fill="FFFFFF"/>
        </w:rPr>
        <w:t>.</w:t>
      </w:r>
    </w:p>
    <w:p w14:paraId="11986525" w14:textId="0BC1A1FC" w:rsidR="009F2D2E" w:rsidRPr="0056105F" w:rsidRDefault="009F2D2E" w:rsidP="009F2D2E">
      <w:pPr>
        <w:spacing w:before="100" w:beforeAutospacing="1" w:after="100" w:afterAutospacing="1" w:line="240" w:lineRule="atLeast"/>
        <w:jc w:val="both"/>
        <w:rPr>
          <w:rFonts w:ascii="Arial" w:eastAsia="Calibri" w:hAnsi="Arial" w:cs="Arial"/>
          <w:color w:val="000000"/>
          <w:sz w:val="20"/>
          <w:szCs w:val="20"/>
          <w:shd w:val="clear" w:color="auto" w:fill="FFFFFF"/>
        </w:rPr>
      </w:pPr>
      <w:r w:rsidRPr="0056105F">
        <w:rPr>
          <w:rFonts w:ascii="Arial" w:eastAsia="Calibri" w:hAnsi="Arial" w:cs="Arial"/>
          <w:color w:val="000000"/>
          <w:sz w:val="20"/>
          <w:szCs w:val="20"/>
          <w:shd w:val="clear" w:color="auto" w:fill="FFFFFF"/>
        </w:rPr>
        <w:t>Selon une décision du Défenseur des droits, la France est le seul pays en Europe à utiliser des munitions explosives pour tenir à distance les manifestants</w:t>
      </w:r>
      <w:r w:rsidRPr="0056105F">
        <w:rPr>
          <w:rFonts w:ascii="Arial" w:eastAsia="Calibri" w:hAnsi="Arial" w:cs="Arial"/>
          <w:color w:val="000000"/>
          <w:shd w:val="clear" w:color="auto" w:fill="FFFFFF"/>
          <w:vertAlign w:val="superscript"/>
        </w:rPr>
        <w:footnoteReference w:id="4"/>
      </w:r>
      <w:r w:rsidRPr="0056105F">
        <w:rPr>
          <w:rFonts w:ascii="Arial" w:eastAsia="Calibri" w:hAnsi="Arial" w:cs="Arial"/>
          <w:color w:val="000000"/>
          <w:sz w:val="20"/>
          <w:szCs w:val="20"/>
          <w:shd w:val="clear" w:color="auto" w:fill="FFFFFF"/>
        </w:rPr>
        <w:t xml:space="preserve">. Par ailleurs, nombre de policiers ou de gendarmes arborent </w:t>
      </w:r>
      <w:proofErr w:type="gramStart"/>
      <w:r w:rsidRPr="0056105F">
        <w:rPr>
          <w:rFonts w:ascii="Arial" w:eastAsia="Calibri" w:hAnsi="Arial" w:cs="Arial"/>
          <w:color w:val="000000"/>
          <w:sz w:val="20"/>
          <w:szCs w:val="20"/>
          <w:shd w:val="clear" w:color="auto" w:fill="FFFFFF"/>
        </w:rPr>
        <w:t>hors</w:t>
      </w:r>
      <w:proofErr w:type="gramEnd"/>
      <w:r w:rsidRPr="0056105F">
        <w:rPr>
          <w:rFonts w:ascii="Arial" w:eastAsia="Calibri" w:hAnsi="Arial" w:cs="Arial"/>
          <w:color w:val="000000"/>
          <w:sz w:val="20"/>
          <w:szCs w:val="20"/>
          <w:shd w:val="clear" w:color="auto" w:fill="FFFFFF"/>
        </w:rPr>
        <w:t xml:space="preserve"> toute intervention</w:t>
      </w:r>
      <w:r w:rsidR="00A2648E">
        <w:rPr>
          <w:rFonts w:ascii="Arial" w:eastAsia="Calibri" w:hAnsi="Arial" w:cs="Arial"/>
          <w:color w:val="000000"/>
          <w:sz w:val="20"/>
          <w:szCs w:val="20"/>
          <w:shd w:val="clear" w:color="auto" w:fill="FFFFFF"/>
        </w:rPr>
        <w:t>,</w:t>
      </w:r>
      <w:r w:rsidRPr="0056105F">
        <w:rPr>
          <w:rFonts w:ascii="Arial" w:eastAsia="Calibri" w:hAnsi="Arial" w:cs="Arial"/>
          <w:color w:val="000000"/>
          <w:sz w:val="20"/>
          <w:szCs w:val="20"/>
          <w:shd w:val="clear" w:color="auto" w:fill="FFFFFF"/>
        </w:rPr>
        <w:t xml:space="preserve"> des fusils d’assaut sous couvert du plan Vigipirate</w:t>
      </w:r>
      <w:r w:rsidR="00A2648E">
        <w:rPr>
          <w:rStyle w:val="FootnoteReference"/>
          <w:rFonts w:ascii="Arial" w:eastAsia="Calibri" w:hAnsi="Arial" w:cs="Arial"/>
          <w:color w:val="000000"/>
          <w:sz w:val="20"/>
          <w:szCs w:val="20"/>
          <w:shd w:val="clear" w:color="auto" w:fill="FFFFFF"/>
        </w:rPr>
        <w:footnoteReference w:id="5"/>
      </w:r>
      <w:r w:rsidRPr="0056105F">
        <w:rPr>
          <w:rFonts w:ascii="Arial" w:eastAsia="Calibri" w:hAnsi="Arial" w:cs="Arial"/>
          <w:color w:val="000000"/>
          <w:sz w:val="20"/>
          <w:szCs w:val="20"/>
          <w:shd w:val="clear" w:color="auto" w:fill="FFFFFF"/>
        </w:rPr>
        <w:t xml:space="preserve"> contre les risques d’attentat (ces fusils </w:t>
      </w:r>
      <w:r w:rsidR="00A2648E">
        <w:rPr>
          <w:rFonts w:ascii="Arial" w:eastAsia="Calibri" w:hAnsi="Arial" w:cs="Arial"/>
          <w:color w:val="000000"/>
          <w:sz w:val="20"/>
          <w:szCs w:val="20"/>
          <w:shd w:val="clear" w:color="auto" w:fill="FFFFFF"/>
        </w:rPr>
        <w:t>étant interdits par principe</w:t>
      </w:r>
      <w:r w:rsidRPr="0056105F">
        <w:rPr>
          <w:rFonts w:ascii="Arial" w:eastAsia="Calibri" w:hAnsi="Arial" w:cs="Arial"/>
          <w:color w:val="000000"/>
          <w:sz w:val="20"/>
          <w:szCs w:val="20"/>
          <w:shd w:val="clear" w:color="auto" w:fill="FFFFFF"/>
        </w:rPr>
        <w:t xml:space="preserve"> en maintien de l’ordre), ce qui est propre à exercer une dissuasion à l’égard de simples manifestants. Pourtant, en novembre 2023, le ministre de l’Intérieur a passé sa plus grande commande de grenades de maintien de l’ordre en plus de dix ans, tant lacrymogènes, qu’explosives ou assourdissantes, pour un total de 78 millions d’euros, ne remettant pas en cause le principe de l’utilisation de certaines grenades que la France est la seule à utiliser en Europe pour des opérations de maintien de l’ordre. Il a aussi passé commande d’un nouveau lance-grenade multi-coups de calibre 40x46 (pour 5,3 millions d’euros). Le mode d’emploi inapproprié du lance-cougar par </w:t>
      </w:r>
      <w:proofErr w:type="gramStart"/>
      <w:r w:rsidRPr="0056105F">
        <w:rPr>
          <w:rFonts w:ascii="Arial" w:eastAsia="Calibri" w:hAnsi="Arial" w:cs="Arial"/>
          <w:color w:val="000000"/>
          <w:sz w:val="20"/>
          <w:szCs w:val="20"/>
          <w:shd w:val="clear" w:color="auto" w:fill="FFFFFF"/>
        </w:rPr>
        <w:t>non indication</w:t>
      </w:r>
      <w:proofErr w:type="gramEnd"/>
      <w:r w:rsidRPr="0056105F">
        <w:rPr>
          <w:rFonts w:ascii="Arial" w:eastAsia="Calibri" w:hAnsi="Arial" w:cs="Arial"/>
          <w:color w:val="000000"/>
          <w:sz w:val="20"/>
          <w:szCs w:val="20"/>
          <w:shd w:val="clear" w:color="auto" w:fill="FFFFFF"/>
        </w:rPr>
        <w:t xml:space="preserve"> de l’angle de tir de sécurité dans la doctrine de la police (non de la gendarmerie), révélé par le journal le Monde</w:t>
      </w:r>
      <w:r w:rsidRPr="0056105F">
        <w:rPr>
          <w:rFonts w:ascii="Arial" w:eastAsia="Calibri" w:hAnsi="Arial" w:cs="Arial"/>
          <w:color w:val="000000"/>
          <w:sz w:val="20"/>
          <w:szCs w:val="20"/>
          <w:shd w:val="clear" w:color="auto" w:fill="FFFFFF"/>
          <w:vertAlign w:val="superscript"/>
        </w:rPr>
        <w:footnoteReference w:id="6"/>
      </w:r>
      <w:r w:rsidRPr="0056105F">
        <w:rPr>
          <w:rFonts w:ascii="Arial" w:eastAsia="Calibri" w:hAnsi="Arial" w:cs="Arial"/>
          <w:color w:val="000000"/>
          <w:sz w:val="20"/>
          <w:szCs w:val="20"/>
          <w:shd w:val="clear" w:color="auto" w:fill="FFFFFF"/>
        </w:rPr>
        <w:t>, qui est à l’origine de nombre d’éborgnements, n’a pas été rectifié.</w:t>
      </w:r>
    </w:p>
    <w:p w14:paraId="1E6CE86D" w14:textId="77777777" w:rsidR="009F2D2E" w:rsidRPr="0056105F" w:rsidRDefault="009F2D2E" w:rsidP="009F2D2E">
      <w:pPr>
        <w:spacing w:before="100" w:beforeAutospacing="1" w:after="100" w:afterAutospacing="1" w:line="240" w:lineRule="atLeast"/>
        <w:jc w:val="both"/>
        <w:rPr>
          <w:rFonts w:ascii="Arial" w:eastAsia="Calibri" w:hAnsi="Arial" w:cs="Arial"/>
          <w:color w:val="000000"/>
          <w:sz w:val="20"/>
          <w:szCs w:val="20"/>
          <w:shd w:val="clear" w:color="auto" w:fill="FFFFFF"/>
        </w:rPr>
      </w:pPr>
      <w:r w:rsidRPr="0056105F">
        <w:rPr>
          <w:rFonts w:ascii="Arial" w:eastAsia="Calibri" w:hAnsi="Arial" w:cs="Arial"/>
          <w:color w:val="000000"/>
          <w:sz w:val="20"/>
          <w:szCs w:val="20"/>
          <w:shd w:val="clear" w:color="auto" w:fill="FFFFFF"/>
        </w:rPr>
        <w:t>L’usage de la matraque et du tonfa est en outre régulièrement décrié par les manifestants et les ONG qui relèvent un usage abusif et dangereux de ces armes.</w:t>
      </w:r>
    </w:p>
    <w:p w14:paraId="531D68FA" w14:textId="1E700901" w:rsidR="009F2D2E" w:rsidRPr="0056105F" w:rsidRDefault="009F2D2E" w:rsidP="009F2D2E">
      <w:pPr>
        <w:spacing w:before="100" w:beforeAutospacing="1" w:after="100" w:afterAutospacing="1" w:line="240" w:lineRule="atLeast"/>
        <w:jc w:val="both"/>
        <w:rPr>
          <w:rFonts w:ascii="Arial" w:eastAsia="Times New Roman" w:hAnsi="Arial" w:cs="Arial"/>
          <w:color w:val="000000"/>
          <w:sz w:val="20"/>
          <w:szCs w:val="20"/>
          <w:lang w:eastAsia="fr-FR"/>
        </w:rPr>
      </w:pPr>
      <w:r w:rsidRPr="0056105F">
        <w:rPr>
          <w:rFonts w:ascii="Arial" w:eastAsia="Calibri" w:hAnsi="Arial" w:cs="Arial"/>
          <w:color w:val="000000"/>
          <w:sz w:val="20"/>
          <w:szCs w:val="20"/>
          <w:shd w:val="clear" w:color="auto" w:fill="FFFFFF"/>
        </w:rPr>
        <w:t xml:space="preserve">Tant les manifestations des « Gilets Jaunes » que celle de la réforme des retraites attestent que </w:t>
      </w:r>
      <w:r w:rsidR="00A2648E">
        <w:rPr>
          <w:rFonts w:ascii="Arial" w:eastAsia="Calibri" w:hAnsi="Arial" w:cs="Arial"/>
          <w:color w:val="000000"/>
          <w:sz w:val="20"/>
          <w:szCs w:val="20"/>
          <w:shd w:val="clear" w:color="auto" w:fill="FFFFFF"/>
        </w:rPr>
        <w:t>l</w:t>
      </w:r>
      <w:r w:rsidRPr="0056105F">
        <w:rPr>
          <w:rFonts w:ascii="Arial" w:eastAsia="Calibri" w:hAnsi="Arial" w:cs="Arial"/>
          <w:color w:val="000000"/>
          <w:sz w:val="20"/>
          <w:szCs w:val="20"/>
          <w:shd w:val="clear" w:color="auto" w:fill="FFFFFF"/>
        </w:rPr>
        <w:t xml:space="preserve">es deux principes </w:t>
      </w:r>
      <w:r w:rsidR="00A2648E">
        <w:rPr>
          <w:rFonts w:ascii="Arial" w:eastAsia="Calibri" w:hAnsi="Arial" w:cs="Arial"/>
          <w:color w:val="000000"/>
          <w:sz w:val="20"/>
          <w:szCs w:val="20"/>
          <w:shd w:val="clear" w:color="auto" w:fill="FFFFFF"/>
        </w:rPr>
        <w:t xml:space="preserve">posés par l’article R.211-13 </w:t>
      </w:r>
      <w:r w:rsidRPr="0056105F">
        <w:rPr>
          <w:rFonts w:ascii="Arial" w:eastAsia="Calibri" w:hAnsi="Arial" w:cs="Arial"/>
          <w:color w:val="000000"/>
          <w:sz w:val="20"/>
          <w:szCs w:val="20"/>
          <w:shd w:val="clear" w:color="auto" w:fill="FFFFFF"/>
        </w:rPr>
        <w:t xml:space="preserve">n’ont pas été respectés. De l’aveu du gouvernement ce sont </w:t>
      </w:r>
      <w:r w:rsidRPr="0056105F">
        <w:rPr>
          <w:rFonts w:ascii="Arial" w:eastAsia="Times New Roman" w:hAnsi="Arial" w:cs="Arial"/>
          <w:color w:val="000000"/>
          <w:sz w:val="20"/>
          <w:szCs w:val="20"/>
          <w:lang w:eastAsia="fr-FR"/>
        </w:rPr>
        <w:t xml:space="preserve">2 500 personnes </w:t>
      </w:r>
      <w:proofErr w:type="gramStart"/>
      <w:r w:rsidRPr="0056105F">
        <w:rPr>
          <w:rFonts w:ascii="Arial" w:eastAsia="Times New Roman" w:hAnsi="Arial" w:cs="Arial"/>
          <w:color w:val="000000"/>
          <w:sz w:val="20"/>
          <w:szCs w:val="20"/>
          <w:lang w:eastAsia="fr-FR"/>
        </w:rPr>
        <w:t>manifestantes  blessées</w:t>
      </w:r>
      <w:proofErr w:type="gramEnd"/>
      <w:r w:rsidRPr="0056105F">
        <w:rPr>
          <w:rFonts w:ascii="Arial" w:eastAsia="Times New Roman" w:hAnsi="Arial" w:cs="Arial"/>
          <w:color w:val="000000"/>
          <w:sz w:val="20"/>
          <w:szCs w:val="20"/>
          <w:lang w:eastAsia="fr-FR"/>
        </w:rPr>
        <w:t xml:space="preserve"> dont certaines très gravement, durant le mouvement des « Gilets Jaunes »</w:t>
      </w:r>
      <w:r w:rsidRPr="0056105F">
        <w:rPr>
          <w:rFonts w:ascii="Arial" w:eastAsia="Times New Roman" w:hAnsi="Arial" w:cs="Arial"/>
          <w:color w:val="000000"/>
          <w:vertAlign w:val="superscript"/>
          <w:lang w:eastAsia="fr-FR"/>
        </w:rPr>
        <w:footnoteReference w:id="7"/>
      </w:r>
      <w:r w:rsidRPr="0056105F">
        <w:rPr>
          <w:rFonts w:ascii="Arial" w:eastAsia="Times New Roman" w:hAnsi="Arial" w:cs="Arial"/>
          <w:color w:val="000000"/>
          <w:sz w:val="20"/>
          <w:szCs w:val="20"/>
          <w:lang w:eastAsia="fr-FR"/>
        </w:rPr>
        <w:t xml:space="preserve">. Vingt-quatre manifestants ont été éborgnés et cinq ont eu une main arrachée. Un groupe d’experts de l’ONU a ainsi fait état de « </w:t>
      </w:r>
      <w:r w:rsidRPr="0056105F">
        <w:rPr>
          <w:rFonts w:ascii="Arial" w:eastAsia="SimSun" w:hAnsi="Arial" w:cs="Arial"/>
          <w:color w:val="000000"/>
          <w:sz w:val="20"/>
          <w:szCs w:val="20"/>
        </w:rPr>
        <w:t xml:space="preserve">restrictions imposées aux droits ont également entraîné </w:t>
      </w:r>
      <w:r w:rsidRPr="0056105F">
        <w:rPr>
          <w:rFonts w:ascii="Arial" w:eastAsia="SimSun" w:hAnsi="Arial" w:cs="Arial"/>
          <w:color w:val="000000"/>
          <w:sz w:val="20"/>
          <w:szCs w:val="20"/>
        </w:rPr>
        <w:lastRenderedPageBreak/>
        <w:t>un nombre élevé d'interpellations et de gardes à vue, des fouilles et confiscations</w:t>
      </w:r>
      <w:r w:rsidR="00A2648E">
        <w:rPr>
          <w:rStyle w:val="FootnoteReference"/>
          <w:rFonts w:ascii="Arial" w:eastAsia="SimSun" w:hAnsi="Arial" w:cs="Arial"/>
          <w:color w:val="000000"/>
          <w:sz w:val="20"/>
          <w:szCs w:val="20"/>
        </w:rPr>
        <w:footnoteReference w:id="8"/>
      </w:r>
      <w:r w:rsidRPr="0056105F">
        <w:rPr>
          <w:rFonts w:ascii="Arial" w:eastAsia="SimSun" w:hAnsi="Arial" w:cs="Arial"/>
          <w:color w:val="000000"/>
          <w:sz w:val="20"/>
          <w:szCs w:val="20"/>
        </w:rPr>
        <w:t xml:space="preserve"> de matériel de manifestants, ainsi que des blessures graves causées par un usage disproportionné d’armes dites ‘non-létales’ telles que les grenades et les lanceurs de balles de défense ou flashballs »</w:t>
      </w:r>
      <w:r w:rsidRPr="0056105F">
        <w:rPr>
          <w:rFonts w:ascii="Arial" w:eastAsia="SimSun" w:hAnsi="Arial" w:cs="Arial"/>
          <w:color w:val="000000"/>
          <w:vertAlign w:val="superscript"/>
        </w:rPr>
        <w:footnoteReference w:id="9"/>
      </w:r>
      <w:r w:rsidRPr="0056105F">
        <w:rPr>
          <w:rFonts w:ascii="Arial" w:eastAsia="SimSun" w:hAnsi="Arial" w:cs="Arial"/>
          <w:color w:val="000000"/>
          <w:sz w:val="20"/>
          <w:szCs w:val="20"/>
        </w:rPr>
        <w:t>.</w:t>
      </w:r>
    </w:p>
    <w:p w14:paraId="2A510E52" w14:textId="77777777" w:rsidR="009F2D2E" w:rsidRPr="0056105F" w:rsidRDefault="009F2D2E" w:rsidP="009F2D2E">
      <w:pPr>
        <w:spacing w:before="100" w:beforeAutospacing="1" w:after="100" w:afterAutospacing="1" w:line="240" w:lineRule="atLeast"/>
        <w:jc w:val="both"/>
        <w:rPr>
          <w:rFonts w:ascii="Arial" w:eastAsia="Georgia" w:hAnsi="Arial" w:cs="Arial"/>
          <w:i/>
          <w:iCs/>
          <w:color w:val="000000"/>
          <w:sz w:val="20"/>
          <w:szCs w:val="20"/>
          <w:shd w:val="clear" w:color="auto" w:fill="FFFFFF"/>
        </w:rPr>
      </w:pPr>
      <w:r w:rsidRPr="0056105F">
        <w:rPr>
          <w:rFonts w:ascii="Arial" w:eastAsia="Times New Roman" w:hAnsi="Arial" w:cs="Arial"/>
          <w:color w:val="000000"/>
          <w:sz w:val="20"/>
          <w:szCs w:val="20"/>
          <w:lang w:eastAsia="fr-FR"/>
        </w:rPr>
        <w:t xml:space="preserve">Aucun chiffre n’a en revanche été donné par le ministère de l’Intérieur concernant les manifestants blessés durant l’importante mobilisation contre la réforme des retraites qui a suivi l’utilisation de l’article 49-3 de la Constitution par le gouvernement français alors même que le Conseil de l’Europe s’est inquiété d’un usage excessif de la force </w:t>
      </w:r>
      <w:r w:rsidRPr="0056105F">
        <w:rPr>
          <w:rFonts w:ascii="Arial" w:eastAsia="Times New Roman" w:hAnsi="Arial" w:cs="Arial"/>
          <w:color w:val="000000"/>
          <w:vertAlign w:val="superscript"/>
          <w:lang w:eastAsia="fr-FR"/>
        </w:rPr>
        <w:footnoteReference w:id="10"/>
      </w:r>
      <w:r w:rsidRPr="0056105F">
        <w:rPr>
          <w:rFonts w:ascii="Arial" w:eastAsia="Times New Roman" w:hAnsi="Arial" w:cs="Arial"/>
          <w:color w:val="000000"/>
          <w:sz w:val="20"/>
          <w:szCs w:val="20"/>
          <w:lang w:eastAsia="fr-FR"/>
        </w:rPr>
        <w:t xml:space="preserve"> de même que la CNCDH</w:t>
      </w:r>
      <w:r w:rsidRPr="0056105F">
        <w:rPr>
          <w:rFonts w:ascii="Arial" w:eastAsia="Times New Roman" w:hAnsi="Arial" w:cs="Arial"/>
          <w:color w:val="000000"/>
          <w:vertAlign w:val="superscript"/>
          <w:lang w:val="en-US" w:eastAsia="fr-FR"/>
        </w:rPr>
        <w:footnoteReference w:id="11"/>
      </w:r>
      <w:r w:rsidRPr="0056105F">
        <w:rPr>
          <w:rFonts w:ascii="Arial" w:eastAsia="Times New Roman" w:hAnsi="Arial" w:cs="Arial"/>
          <w:color w:val="000000"/>
          <w:sz w:val="20"/>
          <w:szCs w:val="20"/>
          <w:lang w:eastAsia="fr-FR"/>
        </w:rPr>
        <w:t xml:space="preserve">. </w:t>
      </w:r>
    </w:p>
    <w:p w14:paraId="029F2EEB" w14:textId="77777777" w:rsidR="009F2D2E" w:rsidRPr="0056105F" w:rsidRDefault="009F2D2E" w:rsidP="009F2D2E">
      <w:pPr>
        <w:tabs>
          <w:tab w:val="left" w:pos="1290"/>
        </w:tabs>
        <w:spacing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Plus spécifiquement, ces dernières années, les velléités répressives des pouvoirs publics se sont étendues à des actions de défenseurs de l’environnement définies comme « de désobéissance civile ». Sans se prononcer sur l’extension exacte à donner à ces termes, la LDH constate qu’ils désignent dans l’immense majorité des cas des actions pacifiques visant à protester contre l’absence de règlementation suffisante pour faire face aux obligations internationales de la France en matière environnementale, ou contre une mise en œuvre insuffisante de la règlementation existante. Ces actions consistent souvent dans la violation symbolique d’une règle afin d’attirer l’attention du public sur de tels enjeux et mettre les autorités face à leurs responsabilités.</w:t>
      </w:r>
    </w:p>
    <w:p w14:paraId="2FD799A8" w14:textId="77777777" w:rsidR="009F2D2E" w:rsidRPr="0056105F" w:rsidRDefault="009F2D2E" w:rsidP="009F2D2E">
      <w:pPr>
        <w:tabs>
          <w:tab w:val="left" w:pos="1290"/>
        </w:tabs>
        <w:spacing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La réponse de ces dernières est marquée par un raidissement et un manque de discernement : privations de liberté disproportionnées</w:t>
      </w:r>
      <w:r w:rsidRPr="0056105F">
        <w:rPr>
          <w:rFonts w:ascii="Arial" w:eastAsia="Georgia" w:hAnsi="Arial" w:cs="Arial"/>
          <w:color w:val="000000"/>
          <w:sz w:val="20"/>
          <w:szCs w:val="20"/>
          <w:shd w:val="clear" w:color="auto" w:fill="FFFFFF"/>
          <w:vertAlign w:val="superscript"/>
          <w:lang w:eastAsia="fr-FR"/>
        </w:rPr>
        <w:footnoteReference w:id="12"/>
      </w:r>
      <w:r w:rsidRPr="0056105F">
        <w:rPr>
          <w:rFonts w:ascii="Arial" w:eastAsia="Georgia" w:hAnsi="Arial" w:cs="Arial"/>
          <w:color w:val="000000"/>
          <w:sz w:val="20"/>
          <w:szCs w:val="20"/>
          <w:shd w:val="clear" w:color="auto" w:fill="FFFFFF"/>
          <w:lang w:eastAsia="fr-FR"/>
        </w:rPr>
        <w:t>, poursuites systématiques</w:t>
      </w:r>
      <w:r w:rsidRPr="0056105F">
        <w:rPr>
          <w:rFonts w:ascii="Arial" w:eastAsia="Georgia" w:hAnsi="Arial" w:cs="Arial"/>
          <w:color w:val="000000"/>
          <w:sz w:val="20"/>
          <w:szCs w:val="20"/>
          <w:shd w:val="clear" w:color="auto" w:fill="FFFFFF"/>
          <w:vertAlign w:val="superscript"/>
          <w:lang w:eastAsia="fr-FR"/>
        </w:rPr>
        <w:footnoteReference w:id="13"/>
      </w:r>
      <w:r w:rsidRPr="0056105F">
        <w:rPr>
          <w:rFonts w:ascii="Arial" w:eastAsia="Georgia" w:hAnsi="Arial" w:cs="Arial"/>
          <w:color w:val="000000"/>
          <w:sz w:val="20"/>
          <w:szCs w:val="20"/>
          <w:shd w:val="clear" w:color="auto" w:fill="FFFFFF"/>
          <w:lang w:eastAsia="fr-FR"/>
        </w:rPr>
        <w:t>, violences</w:t>
      </w:r>
      <w:r w:rsidRPr="0056105F">
        <w:rPr>
          <w:rFonts w:ascii="Arial" w:eastAsia="Georgia" w:hAnsi="Arial" w:cs="Arial"/>
          <w:color w:val="000000"/>
          <w:sz w:val="20"/>
          <w:szCs w:val="20"/>
          <w:shd w:val="clear" w:color="auto" w:fill="FFFFFF"/>
          <w:vertAlign w:val="superscript"/>
          <w:lang w:eastAsia="fr-FR"/>
        </w:rPr>
        <w:footnoteReference w:id="14"/>
      </w:r>
      <w:r w:rsidRPr="0056105F">
        <w:rPr>
          <w:rFonts w:ascii="Arial" w:eastAsia="Georgia" w:hAnsi="Arial" w:cs="Arial"/>
          <w:color w:val="000000"/>
          <w:sz w:val="20"/>
          <w:szCs w:val="20"/>
          <w:shd w:val="clear" w:color="auto" w:fill="FFFFFF"/>
          <w:lang w:eastAsia="fr-FR"/>
        </w:rPr>
        <w:t>. Au mois de juin 2023, des experts des Nations Unies</w:t>
      </w:r>
      <w:r w:rsidRPr="0056105F">
        <w:rPr>
          <w:rFonts w:ascii="Arial" w:eastAsia="Georgia" w:hAnsi="Arial" w:cs="Arial"/>
          <w:color w:val="000000"/>
          <w:sz w:val="20"/>
          <w:szCs w:val="20"/>
          <w:shd w:val="clear" w:color="auto" w:fill="FFFFFF"/>
          <w:vertAlign w:val="superscript"/>
          <w:lang w:eastAsia="fr-FR"/>
        </w:rPr>
        <w:footnoteReference w:id="15"/>
      </w:r>
      <w:r w:rsidRPr="0056105F">
        <w:rPr>
          <w:rFonts w:ascii="Arial" w:eastAsia="Georgia" w:hAnsi="Arial" w:cs="Arial"/>
          <w:color w:val="000000"/>
          <w:sz w:val="20"/>
          <w:szCs w:val="20"/>
          <w:shd w:val="clear" w:color="auto" w:fill="FFFFFF"/>
          <w:lang w:eastAsia="fr-FR"/>
        </w:rPr>
        <w:t xml:space="preserve"> ont exprimé leur inquiétude face aux allégations d’un usage excessif de la force lors des récentes manifestations contre la réforme des retraites et les projets de méga-bassines en France. Ils ont réitéré leur appel</w:t>
      </w:r>
      <w:r w:rsidRPr="0056105F">
        <w:rPr>
          <w:rFonts w:ascii="Arial" w:eastAsia="Georgia" w:hAnsi="Arial" w:cs="Arial"/>
          <w:color w:val="000000"/>
          <w:sz w:val="20"/>
          <w:szCs w:val="20"/>
          <w:shd w:val="clear" w:color="auto" w:fill="FFFFFF"/>
          <w:vertAlign w:val="superscript"/>
          <w:lang w:eastAsia="fr-FR"/>
        </w:rPr>
        <w:footnoteReference w:id="16"/>
      </w:r>
      <w:r w:rsidRPr="0056105F">
        <w:rPr>
          <w:rFonts w:ascii="Arial" w:eastAsia="Georgia" w:hAnsi="Arial" w:cs="Arial"/>
          <w:color w:val="000000"/>
          <w:sz w:val="20"/>
          <w:szCs w:val="20"/>
          <w:shd w:val="clear" w:color="auto" w:fill="FFFFFF"/>
          <w:lang w:eastAsia="fr-FR"/>
        </w:rPr>
        <w:t xml:space="preserve"> à la France à respecter ses obligations internationales afin de faciliter et protéger les manifestations pacifiques, ainsi qu’à promouvoir la liberté d’association, notamment en prenant les mesures nécessaires pour enquêter sur les violences commises au cours de ces manifestations et traduire leurs auteurs en justice.</w:t>
      </w:r>
    </w:p>
    <w:p w14:paraId="7D2E82EB" w14:textId="7C92B94C" w:rsidR="009F2D2E" w:rsidRPr="0056105F" w:rsidRDefault="009F2D2E" w:rsidP="009F2D2E">
      <w:pPr>
        <w:tabs>
          <w:tab w:val="left" w:pos="1290"/>
        </w:tabs>
        <w:spacing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 xml:space="preserve">Plus récemment, au mois de février 2024, plusieurs plaintes ont été déposées auprès du Rapporteur spécial sur la protection des défenseurs de l’environnement dans le cadre de la Convention d'Aarhus, concernant les méthodes de maintien de l’ordre et d’expulsion des défenseurs de l’environnement – surnommés « écureuils » – occupant pacifiquement des arbres sur le site de la « </w:t>
      </w:r>
      <w:proofErr w:type="spellStart"/>
      <w:r w:rsidRPr="0056105F">
        <w:rPr>
          <w:rFonts w:ascii="Arial" w:eastAsia="Georgia" w:hAnsi="Arial" w:cs="Arial"/>
          <w:color w:val="000000"/>
          <w:sz w:val="20"/>
          <w:szCs w:val="20"/>
          <w:shd w:val="clear" w:color="auto" w:fill="FFFFFF"/>
          <w:lang w:eastAsia="fr-FR"/>
        </w:rPr>
        <w:t>Crem’Arbre</w:t>
      </w:r>
      <w:proofErr w:type="spellEnd"/>
      <w:r w:rsidRPr="0056105F">
        <w:rPr>
          <w:rFonts w:ascii="Arial" w:eastAsia="Georgia" w:hAnsi="Arial" w:cs="Arial"/>
          <w:color w:val="000000"/>
          <w:sz w:val="20"/>
          <w:szCs w:val="20"/>
          <w:shd w:val="clear" w:color="auto" w:fill="FFFFFF"/>
          <w:lang w:eastAsia="fr-FR"/>
        </w:rPr>
        <w:t xml:space="preserve"> » (commune de </w:t>
      </w:r>
      <w:proofErr w:type="spellStart"/>
      <w:r w:rsidRPr="0056105F">
        <w:rPr>
          <w:rFonts w:ascii="Arial" w:eastAsia="Georgia" w:hAnsi="Arial" w:cs="Arial"/>
          <w:color w:val="000000"/>
          <w:sz w:val="20"/>
          <w:szCs w:val="20"/>
          <w:shd w:val="clear" w:color="auto" w:fill="FFFFFF"/>
          <w:lang w:eastAsia="fr-FR"/>
        </w:rPr>
        <w:t>Saïx</w:t>
      </w:r>
      <w:proofErr w:type="spellEnd"/>
      <w:r w:rsidRPr="0056105F">
        <w:rPr>
          <w:rFonts w:ascii="Arial" w:eastAsia="Georgia" w:hAnsi="Arial" w:cs="Arial"/>
          <w:color w:val="000000"/>
          <w:sz w:val="20"/>
          <w:szCs w:val="20"/>
          <w:shd w:val="clear" w:color="auto" w:fill="FFFFFF"/>
          <w:lang w:eastAsia="fr-FR"/>
        </w:rPr>
        <w:t>) dans le contexte des mobilisations contre le projet autoroutier de l’A69</w:t>
      </w:r>
      <w:r w:rsidR="008B5EC4">
        <w:rPr>
          <w:rStyle w:val="FootnoteReference"/>
          <w:rFonts w:ascii="Arial" w:eastAsia="Georgia" w:hAnsi="Arial" w:cs="Arial"/>
          <w:color w:val="000000"/>
          <w:sz w:val="20"/>
          <w:szCs w:val="20"/>
          <w:shd w:val="clear" w:color="auto" w:fill="FFFFFF"/>
          <w:lang w:eastAsia="fr-FR"/>
        </w:rPr>
        <w:footnoteReference w:id="17"/>
      </w:r>
      <w:r w:rsidRPr="0056105F">
        <w:rPr>
          <w:rFonts w:ascii="Arial" w:eastAsia="Georgia" w:hAnsi="Arial" w:cs="Arial"/>
          <w:color w:val="000000"/>
          <w:sz w:val="20"/>
          <w:szCs w:val="20"/>
          <w:shd w:val="clear" w:color="auto" w:fill="FFFFFF"/>
          <w:lang w:eastAsia="fr-FR"/>
        </w:rPr>
        <w:t>.</w:t>
      </w:r>
    </w:p>
    <w:p w14:paraId="7C616DC0" w14:textId="77777777" w:rsidR="009F2D2E" w:rsidRPr="0056105F" w:rsidRDefault="009F2D2E" w:rsidP="009F2D2E">
      <w:pPr>
        <w:tabs>
          <w:tab w:val="left" w:pos="1290"/>
        </w:tabs>
        <w:spacing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A la suite de sa visite, le Rapporteur spécial a exprimé ses vives préoccupations concernant :</w:t>
      </w:r>
    </w:p>
    <w:p w14:paraId="40BC4CAC" w14:textId="0C8EFAED" w:rsidR="009F2D2E" w:rsidRPr="0056105F" w:rsidRDefault="009F2D2E" w:rsidP="009F2D2E">
      <w:pPr>
        <w:numPr>
          <w:ilvl w:val="0"/>
          <w:numId w:val="5"/>
        </w:numPr>
        <w:tabs>
          <w:tab w:val="left" w:pos="1290"/>
        </w:tabs>
        <w:spacing w:after="200"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L’interdiction de ravitaillement en nourriture et les entraves à l’accès à l’eau potable, qui entrent dans le cadre de l’interdiction des traitements cruels, inhumains ou dégradants, visée par l’article 3 de la Convention européenne des droits de l’homme</w:t>
      </w:r>
      <w:r w:rsidR="00314040">
        <w:rPr>
          <w:rFonts w:ascii="Arial" w:eastAsia="Georgia" w:hAnsi="Arial" w:cs="Arial"/>
          <w:color w:val="000000"/>
          <w:sz w:val="20"/>
          <w:szCs w:val="20"/>
          <w:shd w:val="clear" w:color="auto" w:fill="FFFFFF"/>
          <w:lang w:eastAsia="fr-FR"/>
        </w:rPr>
        <w:t xml:space="preserve"> (CESDH)</w:t>
      </w:r>
      <w:r w:rsidRPr="0056105F">
        <w:rPr>
          <w:rFonts w:ascii="Arial" w:eastAsia="Georgia" w:hAnsi="Arial" w:cs="Arial"/>
          <w:color w:val="000000"/>
          <w:sz w:val="20"/>
          <w:szCs w:val="20"/>
          <w:shd w:val="clear" w:color="auto" w:fill="FFFFFF"/>
          <w:lang w:eastAsia="fr-FR"/>
        </w:rPr>
        <w:t xml:space="preserve"> et des obligations internationales de la France relatives à la Convention contre la torture des Nations Unies ;</w:t>
      </w:r>
    </w:p>
    <w:p w14:paraId="12D627F2" w14:textId="306DFE42" w:rsidR="009F2D2E" w:rsidRPr="0056105F" w:rsidRDefault="009F2D2E" w:rsidP="009F2D2E">
      <w:pPr>
        <w:numPr>
          <w:ilvl w:val="0"/>
          <w:numId w:val="5"/>
        </w:numPr>
        <w:tabs>
          <w:tab w:val="left" w:pos="1290"/>
        </w:tabs>
        <w:spacing w:after="200"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lastRenderedPageBreak/>
        <w:t>La privation délibérée de sommeil par des membres des forces de l’ordre, qui entre également dans le cadre de l’interdiction des traitements cruels, inhumains ou dégradants, visée par l’article 3 de la CE</w:t>
      </w:r>
      <w:r w:rsidR="00314040">
        <w:rPr>
          <w:rFonts w:ascii="Arial" w:eastAsia="Georgia" w:hAnsi="Arial" w:cs="Arial"/>
          <w:color w:val="000000"/>
          <w:sz w:val="20"/>
          <w:szCs w:val="20"/>
          <w:shd w:val="clear" w:color="auto" w:fill="FFFFFF"/>
          <w:lang w:eastAsia="fr-FR"/>
        </w:rPr>
        <w:t>S</w:t>
      </w:r>
      <w:r w:rsidRPr="0056105F">
        <w:rPr>
          <w:rFonts w:ascii="Arial" w:eastAsia="Georgia" w:hAnsi="Arial" w:cs="Arial"/>
          <w:color w:val="000000"/>
          <w:sz w:val="20"/>
          <w:szCs w:val="20"/>
          <w:shd w:val="clear" w:color="auto" w:fill="FFFFFF"/>
          <w:lang w:eastAsia="fr-FR"/>
        </w:rPr>
        <w:t>DH susvisée ;</w:t>
      </w:r>
    </w:p>
    <w:p w14:paraId="3CC73100" w14:textId="77777777" w:rsidR="00B14BF3" w:rsidRDefault="009F2D2E" w:rsidP="009F2D2E">
      <w:pPr>
        <w:numPr>
          <w:ilvl w:val="0"/>
          <w:numId w:val="5"/>
        </w:numPr>
        <w:tabs>
          <w:tab w:val="left" w:pos="1290"/>
        </w:tabs>
        <w:spacing w:after="200"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La combustion de divers matériaux, l’allumage de feux, le déversement de produits a priori inflammables au pied d’arbres occupés par des « écureuils », par les forces de l’ordre.</w:t>
      </w:r>
    </w:p>
    <w:p w14:paraId="40AFAEC8" w14:textId="77777777" w:rsidR="009F2D2E" w:rsidRPr="00B14BF3" w:rsidRDefault="009F2D2E" w:rsidP="00B14BF3">
      <w:pPr>
        <w:tabs>
          <w:tab w:val="left" w:pos="1290"/>
        </w:tabs>
        <w:spacing w:after="200" w:line="240" w:lineRule="atLeast"/>
        <w:jc w:val="both"/>
        <w:rPr>
          <w:rFonts w:ascii="Arial" w:eastAsia="Georgia" w:hAnsi="Arial" w:cs="Arial"/>
          <w:color w:val="000000"/>
          <w:sz w:val="20"/>
          <w:szCs w:val="20"/>
          <w:shd w:val="clear" w:color="auto" w:fill="FFFFFF"/>
          <w:lang w:eastAsia="fr-FR"/>
        </w:rPr>
      </w:pPr>
      <w:r w:rsidRPr="00B14BF3">
        <w:rPr>
          <w:rFonts w:ascii="Arial" w:eastAsia="Georgia" w:hAnsi="Arial" w:cs="Arial"/>
          <w:color w:val="000000"/>
          <w:sz w:val="20"/>
          <w:szCs w:val="20"/>
          <w:shd w:val="clear" w:color="auto" w:fill="FFFFFF"/>
          <w:lang w:eastAsia="fr-FR"/>
        </w:rPr>
        <w:t>Aussi, le Rapporteur spécial a demandé aux autorités françaises de prendre toutes mesures immédiates de protection des « écureuils » ainsi que des actes d’enquêtes et de sanctions relatives aux faits de traitements cruels, inhumains ou dégradants</w:t>
      </w:r>
      <w:r w:rsidRPr="0056105F">
        <w:rPr>
          <w:rFonts w:ascii="Arial" w:eastAsia="Georgia" w:hAnsi="Arial" w:cs="Arial"/>
          <w:color w:val="000000"/>
          <w:sz w:val="20"/>
          <w:szCs w:val="20"/>
          <w:shd w:val="clear" w:color="auto" w:fill="FFFFFF"/>
          <w:vertAlign w:val="superscript"/>
          <w:lang w:eastAsia="fr-FR"/>
        </w:rPr>
        <w:footnoteReference w:id="18"/>
      </w:r>
      <w:r w:rsidRPr="00B14BF3">
        <w:rPr>
          <w:rFonts w:ascii="Arial" w:eastAsia="Georgia" w:hAnsi="Arial" w:cs="Arial"/>
          <w:color w:val="000000"/>
          <w:sz w:val="20"/>
          <w:szCs w:val="20"/>
          <w:shd w:val="clear" w:color="auto" w:fill="FFFFFF"/>
          <w:lang w:eastAsia="fr-FR"/>
        </w:rPr>
        <w:t>.</w:t>
      </w:r>
    </w:p>
    <w:p w14:paraId="2ED10A12" w14:textId="77777777" w:rsidR="009F2D2E" w:rsidRPr="0056105F" w:rsidRDefault="009F2D2E" w:rsidP="009F2D2E">
      <w:pPr>
        <w:tabs>
          <w:tab w:val="left" w:pos="1290"/>
        </w:tabs>
        <w:spacing w:line="240" w:lineRule="atLeast"/>
        <w:jc w:val="both"/>
        <w:rPr>
          <w:rFonts w:ascii="Arial" w:eastAsia="Georgia" w:hAnsi="Arial" w:cs="Arial"/>
          <w:color w:val="000000"/>
          <w:sz w:val="20"/>
          <w:szCs w:val="20"/>
          <w:shd w:val="clear" w:color="auto" w:fill="FFFFFF"/>
          <w:lang w:eastAsia="fr-FR"/>
        </w:rPr>
      </w:pPr>
      <w:r w:rsidRPr="0056105F">
        <w:rPr>
          <w:rFonts w:ascii="Arial" w:eastAsia="Georgia" w:hAnsi="Arial" w:cs="Arial"/>
          <w:color w:val="000000"/>
          <w:sz w:val="20"/>
          <w:szCs w:val="20"/>
          <w:shd w:val="clear" w:color="auto" w:fill="FFFFFF"/>
          <w:lang w:eastAsia="fr-FR"/>
        </w:rPr>
        <w:t xml:space="preserve">Enfin, lors de sa visite, le Rapporteur a également reçu d’autres informations très préoccupantes, relatives aux méthodes de maintien de l’ordre pendant les différents rassemblements à proximité du site de la « </w:t>
      </w:r>
      <w:proofErr w:type="spellStart"/>
      <w:r w:rsidRPr="0056105F">
        <w:rPr>
          <w:rFonts w:ascii="Arial" w:eastAsia="Georgia" w:hAnsi="Arial" w:cs="Arial"/>
          <w:color w:val="000000"/>
          <w:sz w:val="20"/>
          <w:szCs w:val="20"/>
          <w:shd w:val="clear" w:color="auto" w:fill="FFFFFF"/>
          <w:lang w:eastAsia="fr-FR"/>
        </w:rPr>
        <w:t>Crem’Arbre</w:t>
      </w:r>
      <w:proofErr w:type="spellEnd"/>
      <w:r w:rsidRPr="0056105F">
        <w:rPr>
          <w:rFonts w:ascii="Arial" w:eastAsia="Georgia" w:hAnsi="Arial" w:cs="Arial"/>
          <w:color w:val="000000"/>
          <w:sz w:val="20"/>
          <w:szCs w:val="20"/>
          <w:shd w:val="clear" w:color="auto" w:fill="FFFFFF"/>
          <w:lang w:eastAsia="fr-FR"/>
        </w:rPr>
        <w:t xml:space="preserve"> ». Cela inclut un usage disproportionné et indiscriminé de grenades lacrymogènes, y compris en direction des arbres occupés ; des arrestations violentes, y compris des coups de matraques, coups de pieds et coups de poings portés contre des manifestants au sol ; et des entraves à l’accès des « </w:t>
      </w:r>
      <w:proofErr w:type="spellStart"/>
      <w:r w:rsidRPr="0056105F">
        <w:rPr>
          <w:rFonts w:ascii="Arial" w:eastAsia="Georgia" w:hAnsi="Arial" w:cs="Arial"/>
          <w:color w:val="000000"/>
          <w:sz w:val="20"/>
          <w:szCs w:val="20"/>
          <w:shd w:val="clear" w:color="auto" w:fill="FFFFFF"/>
          <w:lang w:eastAsia="fr-FR"/>
        </w:rPr>
        <w:t>médics</w:t>
      </w:r>
      <w:proofErr w:type="spellEnd"/>
      <w:r w:rsidRPr="0056105F">
        <w:rPr>
          <w:rFonts w:ascii="Arial" w:eastAsia="Georgia" w:hAnsi="Arial" w:cs="Arial"/>
          <w:color w:val="000000"/>
          <w:sz w:val="20"/>
          <w:szCs w:val="20"/>
          <w:shd w:val="clear" w:color="auto" w:fill="FFFFFF"/>
          <w:lang w:eastAsia="fr-FR"/>
        </w:rPr>
        <w:t xml:space="preserve"> » aux secours professionnels, notamment les ambulances. </w:t>
      </w:r>
    </w:p>
    <w:p w14:paraId="247C1F18" w14:textId="77777777" w:rsidR="009F2D2E" w:rsidRPr="0056105F" w:rsidRDefault="009F2D2E" w:rsidP="009F2D2E">
      <w:pPr>
        <w:tabs>
          <w:tab w:val="left" w:pos="1290"/>
        </w:tabs>
        <w:spacing w:line="240" w:lineRule="atLeast"/>
        <w:jc w:val="both"/>
        <w:rPr>
          <w:rFonts w:ascii="Arial" w:eastAsia="Calibri" w:hAnsi="Arial" w:cs="Arial"/>
          <w:color w:val="000000"/>
          <w:sz w:val="20"/>
          <w:szCs w:val="20"/>
        </w:rPr>
      </w:pPr>
      <w:r w:rsidRPr="0056105F">
        <w:rPr>
          <w:rFonts w:ascii="Arial" w:eastAsia="Calibri" w:hAnsi="Arial" w:cs="Arial"/>
          <w:color w:val="000000"/>
          <w:sz w:val="20"/>
          <w:szCs w:val="20"/>
        </w:rPr>
        <w:t>Illustrant cette politique de recours immodéré et injustifié à la force contre les manifestants, en mars 2019, dans le contexte de la première des trois grandes mobilisations qu’ait connu la France ces dernières années à savoir celle des Gilets Jaunes, le préfet de police de Paris a annoncé la création d’une brigade de répression de l’action violente (</w:t>
      </w:r>
      <w:proofErr w:type="spellStart"/>
      <w:r w:rsidRPr="0056105F">
        <w:rPr>
          <w:rFonts w:ascii="Arial" w:eastAsia="Calibri" w:hAnsi="Arial" w:cs="Arial"/>
          <w:color w:val="000000"/>
          <w:sz w:val="20"/>
          <w:szCs w:val="20"/>
        </w:rPr>
        <w:t>Brav</w:t>
      </w:r>
      <w:proofErr w:type="spellEnd"/>
      <w:r w:rsidRPr="0056105F">
        <w:rPr>
          <w:rFonts w:ascii="Arial" w:eastAsia="Calibri" w:hAnsi="Arial" w:cs="Arial"/>
          <w:color w:val="000000"/>
          <w:sz w:val="20"/>
          <w:szCs w:val="20"/>
        </w:rPr>
        <w:t>-M) constituée d’agents montés deux par deux sur des motos et armés d’un bouclier et d’une matraque ou d’un lanceur de balles de défense. Si le préfet de police pouvait assurer que «la moto est un vecteur, c’est à dire un moyen de transport et que ce n’est en aucune façon un moyen de maintien de l’ordre » les témoignages faisant état de forces de l’ordre utilisant leur arme sans mettre pied à terre sont nombreux. Les agents de cette brigade ne sont en outre pas formés au maintien de l’ordre mais ont vocation à réaliser des interpellations en flagrance. Didier Lallement, préfet de police de Paris a ainsi pu résumer la véritable raison d’être de cette unité : « impacter les manifestants»</w:t>
      </w:r>
      <w:r w:rsidRPr="0056105F">
        <w:rPr>
          <w:rFonts w:ascii="Arial" w:eastAsia="Calibri" w:hAnsi="Arial" w:cs="Arial"/>
          <w:color w:val="000000"/>
          <w:vertAlign w:val="superscript"/>
        </w:rPr>
        <w:footnoteReference w:id="19"/>
      </w:r>
      <w:r w:rsidRPr="0056105F">
        <w:rPr>
          <w:rFonts w:ascii="Arial" w:eastAsia="Calibri" w:hAnsi="Arial" w:cs="Arial"/>
          <w:color w:val="000000"/>
          <w:sz w:val="20"/>
          <w:szCs w:val="20"/>
        </w:rPr>
        <w:t xml:space="preserve">. </w:t>
      </w:r>
    </w:p>
    <w:p w14:paraId="48C1AB4B" w14:textId="4D154C9F" w:rsidR="009F2D2E" w:rsidRPr="0056105F" w:rsidRDefault="009F2D2E" w:rsidP="009F2D2E">
      <w:pPr>
        <w:tabs>
          <w:tab w:val="left" w:pos="1290"/>
        </w:tabs>
        <w:spacing w:line="240" w:lineRule="atLeast"/>
        <w:jc w:val="both"/>
        <w:rPr>
          <w:rFonts w:ascii="Arial" w:eastAsia="Calibri" w:hAnsi="Arial" w:cs="Arial"/>
          <w:color w:val="000000"/>
          <w:sz w:val="20"/>
          <w:szCs w:val="20"/>
        </w:rPr>
      </w:pPr>
      <w:r w:rsidRPr="0056105F">
        <w:rPr>
          <w:rFonts w:ascii="Arial" w:eastAsia="Calibri" w:hAnsi="Arial" w:cs="Arial"/>
          <w:color w:val="000000"/>
          <w:sz w:val="20"/>
          <w:szCs w:val="20"/>
        </w:rPr>
        <w:t>De fait, les exactions et violences injustifiées commises par cette brigade sont récurrentes</w:t>
      </w:r>
      <w:r w:rsidRPr="0056105F">
        <w:rPr>
          <w:rFonts w:ascii="Arial" w:eastAsia="Calibri" w:hAnsi="Arial" w:cs="Arial"/>
          <w:color w:val="000000"/>
          <w:vertAlign w:val="superscript"/>
        </w:rPr>
        <w:footnoteReference w:id="20"/>
      </w:r>
      <w:r w:rsidRPr="0056105F">
        <w:rPr>
          <w:rFonts w:ascii="Arial" w:eastAsia="Calibri" w:hAnsi="Arial" w:cs="Arial"/>
          <w:color w:val="000000"/>
          <w:sz w:val="20"/>
          <w:szCs w:val="20"/>
        </w:rPr>
        <w:t xml:space="preserve"> et ont perduré depuis la date de sa création. L’Observatoire Parisien des Libertés Publiques, constitué de la LDH et du Syndicat des avocats de France a notamment pu documenter depuis 2020 plusieurs d’entre elles</w:t>
      </w:r>
      <w:r w:rsidRPr="0056105F">
        <w:rPr>
          <w:rFonts w:ascii="Arial" w:eastAsia="Calibri" w:hAnsi="Arial" w:cs="Arial"/>
          <w:color w:val="000000"/>
          <w:vertAlign w:val="superscript"/>
        </w:rPr>
        <w:footnoteReference w:id="21"/>
      </w:r>
      <w:r w:rsidRPr="0056105F">
        <w:rPr>
          <w:rFonts w:ascii="Arial" w:eastAsia="Calibri" w:hAnsi="Arial" w:cs="Arial"/>
          <w:color w:val="000000"/>
          <w:sz w:val="20"/>
          <w:szCs w:val="20"/>
        </w:rPr>
        <w:t>. De coups violents parfaitement incompréhensibles car commis dans un climat sans tension, aux insultes et propos racistes, les faits relatés et documentés commis par cette brigade motorisée depuis sa création devraient suffire à en justifier la dissoluti</w:t>
      </w:r>
      <w:r w:rsidR="001D7A8F">
        <w:rPr>
          <w:rFonts w:ascii="Arial" w:eastAsia="Calibri" w:hAnsi="Arial" w:cs="Arial"/>
          <w:color w:val="000000"/>
          <w:sz w:val="20"/>
          <w:szCs w:val="20"/>
        </w:rPr>
        <w:t>on. Pourtant, le ministre de l’I</w:t>
      </w:r>
      <w:r w:rsidRPr="0056105F">
        <w:rPr>
          <w:rFonts w:ascii="Arial" w:eastAsia="Calibri" w:hAnsi="Arial" w:cs="Arial"/>
          <w:color w:val="000000"/>
          <w:sz w:val="20"/>
          <w:szCs w:val="20"/>
        </w:rPr>
        <w:t>ntérieur a pris modèle de la BRAV-M pour créer des unités de CRS spéciales, comme la CRS8, dont les méthodes d’intervention, violentes, ont immédiatement été repérées</w:t>
      </w:r>
      <w:r w:rsidRPr="0056105F">
        <w:rPr>
          <w:rFonts w:ascii="Arial" w:eastAsia="Calibri" w:hAnsi="Arial" w:cs="Arial"/>
          <w:color w:val="000000"/>
          <w:sz w:val="20"/>
          <w:szCs w:val="20"/>
          <w:vertAlign w:val="superscript"/>
        </w:rPr>
        <w:footnoteReference w:id="22"/>
      </w:r>
      <w:r w:rsidRPr="0056105F">
        <w:rPr>
          <w:rFonts w:ascii="Arial" w:eastAsia="Calibri" w:hAnsi="Arial" w:cs="Arial"/>
          <w:color w:val="000000"/>
          <w:sz w:val="20"/>
          <w:szCs w:val="20"/>
        </w:rPr>
        <w:t>.</w:t>
      </w:r>
    </w:p>
    <w:p w14:paraId="48D53257" w14:textId="77777777" w:rsidR="009F2D2E" w:rsidRPr="00D21613" w:rsidRDefault="00D21613" w:rsidP="00581537">
      <w:pPr>
        <w:tabs>
          <w:tab w:val="left" w:pos="1290"/>
        </w:tabs>
        <w:contextualSpacing/>
        <w:jc w:val="both"/>
        <w:rPr>
          <w:rFonts w:ascii="Arial" w:eastAsia="Calibri" w:hAnsi="Arial" w:cs="Arial"/>
          <w:b/>
          <w:sz w:val="20"/>
          <w:szCs w:val="20"/>
          <w:u w:val="single"/>
        </w:rPr>
      </w:pPr>
      <w:r>
        <w:rPr>
          <w:rFonts w:ascii="Arial" w:eastAsia="Calibri" w:hAnsi="Arial" w:cs="Arial"/>
          <w:b/>
          <w:sz w:val="20"/>
          <w:szCs w:val="20"/>
        </w:rPr>
        <w:t>1</w:t>
      </w:r>
      <w:r w:rsidR="00581537" w:rsidRPr="00D21613">
        <w:rPr>
          <w:rFonts w:ascii="Arial" w:eastAsia="Calibri" w:hAnsi="Arial" w:cs="Arial"/>
          <w:b/>
          <w:sz w:val="20"/>
          <w:szCs w:val="20"/>
        </w:rPr>
        <w:t xml:space="preserve">.2 </w:t>
      </w:r>
      <w:r w:rsidR="009F2D2E" w:rsidRPr="00D21613">
        <w:rPr>
          <w:rFonts w:ascii="Arial" w:eastAsia="Calibri" w:hAnsi="Arial" w:cs="Arial"/>
          <w:b/>
          <w:sz w:val="20"/>
          <w:szCs w:val="20"/>
          <w:u w:val="single"/>
        </w:rPr>
        <w:t>Le refus d’obtempérer</w:t>
      </w:r>
    </w:p>
    <w:p w14:paraId="35F90222" w14:textId="77777777" w:rsidR="009F2D2E" w:rsidRPr="0056105F" w:rsidRDefault="009F2D2E" w:rsidP="009F2D2E">
      <w:pPr>
        <w:tabs>
          <w:tab w:val="left" w:pos="1290"/>
        </w:tabs>
        <w:ind w:left="720"/>
        <w:contextualSpacing/>
        <w:jc w:val="both"/>
        <w:rPr>
          <w:rFonts w:ascii="Arial" w:eastAsia="Calibri" w:hAnsi="Arial" w:cs="Arial"/>
          <w:sz w:val="20"/>
          <w:szCs w:val="20"/>
          <w:u w:val="single"/>
        </w:rPr>
      </w:pPr>
    </w:p>
    <w:p w14:paraId="2CD3939E" w14:textId="77777777" w:rsidR="009F2D2E"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La loi n°2017-258 du 28 février 2017 a instauré une nouvelle disposition, l’article L.435-1 du CSI, visant à assurer un encadrement commun de l’usage des armes par les policiers et les gendarmes.</w:t>
      </w:r>
    </w:p>
    <w:p w14:paraId="4BD2CFE4" w14:textId="77777777" w:rsidR="00A71CF1" w:rsidRPr="00A71CF1" w:rsidRDefault="00A71CF1" w:rsidP="00A71CF1">
      <w:pPr>
        <w:jc w:val="both"/>
        <w:rPr>
          <w:rFonts w:ascii="Arial" w:hAnsi="Arial" w:cs="Arial"/>
          <w:iCs/>
          <w:sz w:val="20"/>
          <w:szCs w:val="20"/>
        </w:rPr>
      </w:pPr>
      <w:r w:rsidRPr="00A71CF1">
        <w:rPr>
          <w:rFonts w:ascii="Arial" w:hAnsi="Arial" w:cs="Arial"/>
          <w:iCs/>
          <w:sz w:val="20"/>
          <w:szCs w:val="20"/>
        </w:rPr>
        <w:t>Le Défenseur des droits, dans un avis n° 17-02 en date du 24 janvier 2017, avait</w:t>
      </w:r>
      <w:r w:rsidR="00C60A74">
        <w:rPr>
          <w:rFonts w:ascii="Arial" w:hAnsi="Arial" w:cs="Arial"/>
          <w:iCs/>
          <w:sz w:val="20"/>
          <w:szCs w:val="20"/>
        </w:rPr>
        <w:t xml:space="preserve"> alors</w:t>
      </w:r>
      <w:r w:rsidRPr="00A71CF1">
        <w:rPr>
          <w:rFonts w:ascii="Arial" w:hAnsi="Arial" w:cs="Arial"/>
          <w:iCs/>
          <w:sz w:val="20"/>
          <w:szCs w:val="20"/>
        </w:rPr>
        <w:t xml:space="preserve"> interpellé les parlementaires</w:t>
      </w:r>
      <w:r w:rsidR="00C60A74">
        <w:rPr>
          <w:rFonts w:ascii="Arial" w:hAnsi="Arial" w:cs="Arial"/>
          <w:iCs/>
          <w:sz w:val="20"/>
          <w:szCs w:val="20"/>
        </w:rPr>
        <w:t> :</w:t>
      </w:r>
    </w:p>
    <w:p w14:paraId="717E4035" w14:textId="33947220" w:rsidR="00A71CF1" w:rsidRPr="00A71CF1" w:rsidRDefault="00A71CF1" w:rsidP="00A71CF1">
      <w:pPr>
        <w:jc w:val="both"/>
        <w:rPr>
          <w:rFonts w:ascii="Arial" w:hAnsi="Arial" w:cs="Arial"/>
          <w:iCs/>
          <w:sz w:val="20"/>
          <w:szCs w:val="20"/>
        </w:rPr>
      </w:pPr>
      <w:r w:rsidRPr="00A71CF1">
        <w:rPr>
          <w:rFonts w:ascii="Arial" w:hAnsi="Arial" w:cs="Arial"/>
          <w:iCs/>
          <w:sz w:val="20"/>
          <w:szCs w:val="20"/>
        </w:rPr>
        <w:t xml:space="preserve">« </w:t>
      </w:r>
      <w:r w:rsidRPr="00A71CF1">
        <w:rPr>
          <w:rFonts w:ascii="Arial" w:hAnsi="Arial" w:cs="Arial"/>
          <w:i/>
          <w:iCs/>
          <w:sz w:val="20"/>
          <w:szCs w:val="20"/>
        </w:rPr>
        <w:t>L’enjeu est considérable. Il s’agit de définir les conditions d’application d’un fait justificatif à une</w:t>
      </w:r>
      <w:r w:rsidRPr="00A71CF1">
        <w:rPr>
          <w:rFonts w:ascii="Arial" w:hAnsi="Arial" w:cs="Arial"/>
          <w:iCs/>
          <w:sz w:val="20"/>
          <w:szCs w:val="20"/>
        </w:rPr>
        <w:t xml:space="preserve"> </w:t>
      </w:r>
      <w:r w:rsidRPr="00A71CF1">
        <w:rPr>
          <w:rFonts w:ascii="Arial" w:hAnsi="Arial" w:cs="Arial"/>
          <w:i/>
          <w:iCs/>
          <w:sz w:val="20"/>
          <w:szCs w:val="20"/>
        </w:rPr>
        <w:t xml:space="preserve">infraction pénale pouvant aller jusqu’à l’homicide. S’il est à saluer la référence expresse à la notion" d'absolue nécessité" et au caractère strictement proportionné de l'usage des armes au premier alinéa </w:t>
      </w:r>
      <w:r w:rsidRPr="00A71CF1">
        <w:rPr>
          <w:rFonts w:ascii="Arial" w:hAnsi="Arial" w:cs="Arial"/>
          <w:i/>
          <w:iCs/>
          <w:sz w:val="20"/>
          <w:szCs w:val="20"/>
        </w:rPr>
        <w:lastRenderedPageBreak/>
        <w:t>de</w:t>
      </w:r>
      <w:r w:rsidRPr="00A71CF1">
        <w:rPr>
          <w:rFonts w:ascii="Arial" w:hAnsi="Arial" w:cs="Arial"/>
          <w:iCs/>
          <w:sz w:val="20"/>
          <w:szCs w:val="20"/>
        </w:rPr>
        <w:t xml:space="preserve"> </w:t>
      </w:r>
      <w:r w:rsidRPr="00A71CF1">
        <w:rPr>
          <w:rFonts w:ascii="Arial" w:hAnsi="Arial" w:cs="Arial"/>
          <w:i/>
          <w:iCs/>
          <w:sz w:val="20"/>
          <w:szCs w:val="20"/>
        </w:rPr>
        <w:t>l’article 1</w:t>
      </w:r>
      <w:r w:rsidRPr="004146AA">
        <w:rPr>
          <w:rFonts w:ascii="Arial" w:hAnsi="Arial" w:cs="Arial"/>
          <w:i/>
          <w:iCs/>
          <w:sz w:val="20"/>
          <w:szCs w:val="20"/>
          <w:vertAlign w:val="superscript"/>
        </w:rPr>
        <w:t>er</w:t>
      </w:r>
      <w:r w:rsidRPr="00A71CF1">
        <w:rPr>
          <w:rFonts w:ascii="Arial" w:hAnsi="Arial" w:cs="Arial"/>
          <w:i/>
          <w:iCs/>
          <w:sz w:val="20"/>
          <w:szCs w:val="20"/>
        </w:rPr>
        <w:t xml:space="preserve"> du projet de loi, ces notions semblent se diluer dans les nombreux paragraphes de l’article.</w:t>
      </w:r>
      <w:r>
        <w:rPr>
          <w:rFonts w:ascii="Arial" w:hAnsi="Arial" w:cs="Arial"/>
          <w:iCs/>
          <w:sz w:val="20"/>
          <w:szCs w:val="20"/>
        </w:rPr>
        <w:t xml:space="preserve"> </w:t>
      </w:r>
      <w:r w:rsidRPr="00A71CF1">
        <w:rPr>
          <w:rFonts w:ascii="Arial" w:hAnsi="Arial" w:cs="Arial"/>
          <w:i/>
          <w:iCs/>
          <w:sz w:val="20"/>
          <w:szCs w:val="20"/>
        </w:rPr>
        <w:t xml:space="preserve">L’extension de ces cas aux policiers fait perdre en clarté les principes simples de la légitime défense qui sont déjà mal compris. En effet, le cumul de ces cas ajoute à la difficulté d’analyse des situations concrètes que pourront rencontrer les forces de l’ordre. Cette architecture nous éloigne de l’article 122-5 du code pénal dans lequel seulement trois notions dictent l’usage d’une arme : nécessité, proportionnalité et simultanéité </w:t>
      </w:r>
      <w:r w:rsidRPr="00A71CF1">
        <w:rPr>
          <w:rFonts w:ascii="Arial" w:hAnsi="Arial" w:cs="Arial"/>
          <w:iCs/>
          <w:sz w:val="20"/>
          <w:szCs w:val="20"/>
        </w:rPr>
        <w:t>».</w:t>
      </w:r>
    </w:p>
    <w:p w14:paraId="13721E0E" w14:textId="77777777" w:rsidR="009B33C0" w:rsidRDefault="009224EF" w:rsidP="009224EF">
      <w:pPr>
        <w:jc w:val="both"/>
        <w:rPr>
          <w:rFonts w:ascii="Arial" w:hAnsi="Arial" w:cs="Arial"/>
          <w:iCs/>
          <w:sz w:val="20"/>
          <w:szCs w:val="20"/>
        </w:rPr>
      </w:pPr>
      <w:r w:rsidRPr="009224EF">
        <w:rPr>
          <w:rFonts w:ascii="Arial" w:hAnsi="Arial" w:cs="Arial"/>
          <w:iCs/>
          <w:sz w:val="20"/>
          <w:szCs w:val="20"/>
        </w:rPr>
        <w:t xml:space="preserve">La CNCDH avait, le 2 février 2017, présenté ses observations sur le projet de loi et adopté un avis à l’unanimité : </w:t>
      </w:r>
    </w:p>
    <w:p w14:paraId="1BF7A8AC" w14:textId="3A16EB47" w:rsidR="009224EF" w:rsidRPr="009224EF" w:rsidRDefault="009224EF" w:rsidP="009224EF">
      <w:pPr>
        <w:jc w:val="both"/>
        <w:rPr>
          <w:rFonts w:ascii="Arial" w:hAnsi="Arial" w:cs="Arial"/>
          <w:iCs/>
          <w:sz w:val="20"/>
          <w:szCs w:val="20"/>
        </w:rPr>
      </w:pPr>
      <w:r w:rsidRPr="009224EF">
        <w:rPr>
          <w:rFonts w:ascii="Arial" w:hAnsi="Arial" w:cs="Arial"/>
          <w:iCs/>
          <w:sz w:val="20"/>
          <w:szCs w:val="20"/>
        </w:rPr>
        <w:t xml:space="preserve">« </w:t>
      </w:r>
      <w:r w:rsidRPr="009224EF">
        <w:rPr>
          <w:rFonts w:ascii="Arial" w:hAnsi="Arial" w:cs="Arial"/>
          <w:i/>
          <w:iCs/>
          <w:sz w:val="20"/>
          <w:szCs w:val="20"/>
        </w:rPr>
        <w:t>La portée de la condition d’"absolue nécessité" énoncée à l’alinéa 1</w:t>
      </w:r>
      <w:r w:rsidRPr="004146AA">
        <w:rPr>
          <w:rFonts w:ascii="Arial" w:hAnsi="Arial" w:cs="Arial"/>
          <w:i/>
          <w:iCs/>
          <w:sz w:val="20"/>
          <w:szCs w:val="20"/>
          <w:vertAlign w:val="superscript"/>
        </w:rPr>
        <w:t>er</w:t>
      </w:r>
      <w:r w:rsidRPr="009224EF">
        <w:rPr>
          <w:rFonts w:ascii="Arial" w:hAnsi="Arial" w:cs="Arial"/>
          <w:i/>
          <w:iCs/>
          <w:sz w:val="20"/>
          <w:szCs w:val="20"/>
        </w:rPr>
        <w:t xml:space="preserve"> de l’article L.435-1, est sérieusement atténuée par le libellé des autorisations d’usage des armes concernant les individus "susceptibles de perpétrer, dans leur fuite, des atteintes à leur vie ou à leur intégrité physique ou à celle d’autrui" (L. 435-1, 3°et 4°). Sur ces points, le Parlement a supprimé la condition d’atteinte imminente que comportait le projet initial. La rédaction retenue in fine élargit singulièrement, par la dimension hypothétique qu’elle introduit, le spectre des circonstances autorisant l’utilisation des armes à feu. En clair, il est à craindre que de telles dispositions ne conduisent à l’utilisation des armes à feu dans des situations relativement fréquentes de courses-poursuites en zone urbaine, les fonctionnaires de police en venant à considérer que le véhicule pourchassé crée, par la dangerosité de sa conduite, un risque pour l’intégrité des autres usagers de la route et des passants</w:t>
      </w:r>
      <w:r w:rsidRPr="009224EF">
        <w:rPr>
          <w:rFonts w:ascii="Arial" w:hAnsi="Arial" w:cs="Arial"/>
          <w:iCs/>
          <w:sz w:val="20"/>
          <w:szCs w:val="20"/>
        </w:rPr>
        <w:t> »</w:t>
      </w:r>
      <w:r w:rsidRPr="009224EF">
        <w:rPr>
          <w:rStyle w:val="FootnoteReference"/>
          <w:rFonts w:ascii="Arial" w:hAnsi="Arial" w:cs="Arial"/>
          <w:iCs/>
          <w:sz w:val="20"/>
          <w:szCs w:val="20"/>
        </w:rPr>
        <w:footnoteReference w:id="23"/>
      </w:r>
      <w:r w:rsidR="00A71CF1">
        <w:rPr>
          <w:rFonts w:ascii="Arial" w:hAnsi="Arial" w:cs="Arial"/>
          <w:iCs/>
          <w:sz w:val="20"/>
          <w:szCs w:val="20"/>
        </w:rPr>
        <w:t>.</w:t>
      </w:r>
    </w:p>
    <w:p w14:paraId="070EA10F"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La France est devenue depuis quelques années le pays de l’Union européenne où il y a le plus grand nombre de personnes tuées ou blessées par des tirs fait par des agents des forces de police, justifiées à posteriori par un refus d’obtempérer. Il existe un nombre d’évidences qui tendent à dire que le bond constaté est en lien avec une évolution de la réglementation intervenue en 2017. Une étude de sociologues</w:t>
      </w:r>
      <w:r w:rsidRPr="0056105F">
        <w:rPr>
          <w:rFonts w:ascii="Arial" w:eastAsia="Calibri" w:hAnsi="Arial" w:cs="Arial"/>
          <w:sz w:val="20"/>
          <w:szCs w:val="20"/>
          <w:vertAlign w:val="superscript"/>
        </w:rPr>
        <w:footnoteReference w:id="24"/>
      </w:r>
      <w:r w:rsidRPr="0056105F">
        <w:rPr>
          <w:rFonts w:ascii="Arial" w:eastAsia="Calibri" w:hAnsi="Arial" w:cs="Arial"/>
          <w:sz w:val="20"/>
          <w:szCs w:val="20"/>
        </w:rPr>
        <w:t xml:space="preserve"> a démontré le lien entre la loi de 2017 et les tirs mortels, touchant des jeunes hommes noirs ou arabes. </w:t>
      </w:r>
    </w:p>
    <w:p w14:paraId="5745765E" w14:textId="2F23C662"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En date du 5 juillet 20</w:t>
      </w:r>
      <w:r w:rsidR="0056634F">
        <w:rPr>
          <w:rFonts w:ascii="Arial" w:eastAsia="Calibri" w:hAnsi="Arial" w:cs="Arial"/>
          <w:sz w:val="20"/>
          <w:szCs w:val="20"/>
        </w:rPr>
        <w:t>23, la LDH a demandé auprès du m</w:t>
      </w:r>
      <w:r w:rsidRPr="0056105F">
        <w:rPr>
          <w:rFonts w:ascii="Arial" w:eastAsia="Calibri" w:hAnsi="Arial" w:cs="Arial"/>
          <w:sz w:val="20"/>
          <w:szCs w:val="20"/>
        </w:rPr>
        <w:t>inistre de l’Intérieur, du Directeur général de la police nationale (DGPN) et le Directeur général de la gendarmerie nationale (DGGN) l’abrogation de deux instructions de la D</w:t>
      </w:r>
      <w:r w:rsidR="00506648">
        <w:rPr>
          <w:rFonts w:ascii="Arial" w:eastAsia="Calibri" w:hAnsi="Arial" w:cs="Arial"/>
          <w:sz w:val="20"/>
          <w:szCs w:val="20"/>
        </w:rPr>
        <w:t>GPN et de la DGGN, prises le 1</w:t>
      </w:r>
      <w:r w:rsidR="00506648" w:rsidRPr="00506648">
        <w:rPr>
          <w:rFonts w:ascii="Arial" w:eastAsia="Calibri" w:hAnsi="Arial" w:cs="Arial"/>
          <w:sz w:val="20"/>
          <w:szCs w:val="20"/>
          <w:vertAlign w:val="superscript"/>
        </w:rPr>
        <w:t>er</w:t>
      </w:r>
      <w:r w:rsidR="00506648">
        <w:rPr>
          <w:rFonts w:ascii="Arial" w:eastAsia="Calibri" w:hAnsi="Arial" w:cs="Arial"/>
          <w:sz w:val="20"/>
          <w:szCs w:val="20"/>
        </w:rPr>
        <w:t xml:space="preserve"> </w:t>
      </w:r>
      <w:r w:rsidRPr="0056105F">
        <w:rPr>
          <w:rFonts w:ascii="Arial" w:eastAsia="Calibri" w:hAnsi="Arial" w:cs="Arial"/>
          <w:sz w:val="20"/>
          <w:szCs w:val="20"/>
        </w:rPr>
        <w:t>mars 2017 relatives au nouveau cadre juridique d’usage des armes et à l’usage des armes par les militaires de la gendarmerie, fondées sur l’article L435-1 du CSI.</w:t>
      </w:r>
    </w:p>
    <w:p w14:paraId="1EDADDA6"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Ces instructions, au même titre que la disposition sur laquelle elles se fondent, n’encadrent pas suffisamment l’usage des armes par les gendarmes et les policiers. Les notions de stricte proportionnalité et d’absolue nécessité ne sont pas davantage encadrées et précisées.</w:t>
      </w:r>
    </w:p>
    <w:p w14:paraId="4D75F98D" w14:textId="52D3284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 xml:space="preserve">A ce titre, les instructions ainsi que l’article L.435-1 du CSI portent gravement atteinte aux droits et libertés que la </w:t>
      </w:r>
      <w:r w:rsidR="00415BF1">
        <w:rPr>
          <w:rFonts w:ascii="Arial" w:eastAsia="Calibri" w:hAnsi="Arial" w:cs="Arial"/>
          <w:sz w:val="20"/>
          <w:szCs w:val="20"/>
        </w:rPr>
        <w:t>Constitution et la CESDH</w:t>
      </w:r>
      <w:r w:rsidRPr="0056105F">
        <w:rPr>
          <w:rFonts w:ascii="Arial" w:eastAsia="Calibri" w:hAnsi="Arial" w:cs="Arial"/>
          <w:sz w:val="20"/>
          <w:szCs w:val="20"/>
        </w:rPr>
        <w:t xml:space="preserve"> garantissent, notamment le principe à valeur constitutionnelle de sauvegarde de la dignité de la personne humaine ou encore le droit à la vie.</w:t>
      </w:r>
    </w:p>
    <w:p w14:paraId="41F384AB"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L’article L.435-1 du CSI complexifie le régime juridique de l’usage des armes, en donnant le sentiment d’une plus grande liberté pour les forces de l’ordre, au risque d’augmenter leur utilisation, alors que les cas prévus sont déjà couverts par le régime général de la légitime défense et de l’état de nécessité, dès lors que l’usage de la force doit être nécessaire et proportionné, conformément aux exigences de l’article 2 la CESDH.</w:t>
      </w:r>
    </w:p>
    <w:p w14:paraId="363563EC"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En effet, en vertu de l’article 122-5 du Code pénal, tout policier qui fait usage d'une arme à feu dans le but de se défendre ou défendre autrui n'est pas responsable pénalement si la riposte est nécessaire et proportionnée à une agression actuelle.</w:t>
      </w:r>
    </w:p>
    <w:p w14:paraId="3947195F"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 xml:space="preserve">L'actualité récente et notamment en juin 2022 où par trois fois, un refus d'obtempérer a entrainé la mort d'une passagère puis d'un passager par des tirs policiers illustre le fait que, loin d'être un cadre clair pour la police et protecteur pour la population, l'article L.435-1 du CSI expose au danger de tir létal. En </w:t>
      </w:r>
      <w:r w:rsidRPr="0056105F">
        <w:rPr>
          <w:rFonts w:ascii="Arial" w:eastAsia="Calibri" w:hAnsi="Arial" w:cs="Arial"/>
          <w:sz w:val="20"/>
          <w:szCs w:val="20"/>
        </w:rPr>
        <w:lastRenderedPageBreak/>
        <w:t>2023, le décès du jeune Nahel par un tir à bout portant a déclenché des émeutes après le visionnage d’une vidéo</w:t>
      </w:r>
      <w:r w:rsidRPr="0056105F">
        <w:rPr>
          <w:rFonts w:ascii="Arial" w:eastAsia="Calibri" w:hAnsi="Arial" w:cs="Arial"/>
          <w:sz w:val="20"/>
          <w:szCs w:val="20"/>
          <w:vertAlign w:val="superscript"/>
        </w:rPr>
        <w:footnoteReference w:id="25"/>
      </w:r>
      <w:r w:rsidRPr="0056105F">
        <w:rPr>
          <w:rFonts w:ascii="Arial" w:eastAsia="Calibri" w:hAnsi="Arial" w:cs="Arial"/>
          <w:sz w:val="20"/>
          <w:szCs w:val="20"/>
        </w:rPr>
        <w:t>.</w:t>
      </w:r>
    </w:p>
    <w:p w14:paraId="77A513AC" w14:textId="41747885"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Aussi, la LDH a saisi les députés d’une lettre ouverte</w:t>
      </w:r>
      <w:r w:rsidR="00D002AE">
        <w:rPr>
          <w:rStyle w:val="FootnoteReference"/>
          <w:rFonts w:ascii="Arial" w:eastAsia="Calibri" w:hAnsi="Arial" w:cs="Arial"/>
          <w:sz w:val="20"/>
          <w:szCs w:val="20"/>
        </w:rPr>
        <w:footnoteReference w:id="26"/>
      </w:r>
      <w:r w:rsidRPr="0056105F">
        <w:rPr>
          <w:rFonts w:ascii="Arial" w:eastAsia="Calibri" w:hAnsi="Arial" w:cs="Arial"/>
          <w:sz w:val="20"/>
          <w:szCs w:val="20"/>
        </w:rPr>
        <w:t xml:space="preserve"> en demandant la suppression de l’article L.435-1 du CSI, la clarification du régime légal d'usage des armes par les forces de l'ordre et le renforcement de la formation initiale et continue des forces de l'ordre, un renforcement du contrôle des armes et un suivi de leur usage et enfin la poursuite de la réforme constitutionnelle initiée en vue de rendre le parquet indépendant par-rapport à l’exécutif.</w:t>
      </w:r>
    </w:p>
    <w:p w14:paraId="12F0963D"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La demande d’abrogation demeure à ce jour sans réponse.</w:t>
      </w:r>
    </w:p>
    <w:p w14:paraId="32C0533D" w14:textId="77777777" w:rsidR="009F2D2E" w:rsidRPr="00D21613" w:rsidRDefault="009F2D2E" w:rsidP="00581537">
      <w:pPr>
        <w:pStyle w:val="ListParagraph"/>
        <w:numPr>
          <w:ilvl w:val="1"/>
          <w:numId w:val="8"/>
        </w:numPr>
        <w:tabs>
          <w:tab w:val="left" w:pos="1290"/>
        </w:tabs>
        <w:jc w:val="both"/>
        <w:rPr>
          <w:rFonts w:ascii="Arial" w:eastAsia="Calibri" w:hAnsi="Arial" w:cs="Arial"/>
          <w:b/>
          <w:sz w:val="20"/>
          <w:szCs w:val="20"/>
          <w:u w:val="single"/>
        </w:rPr>
      </w:pPr>
      <w:r w:rsidRPr="00D21613">
        <w:rPr>
          <w:rFonts w:ascii="Arial" w:eastAsia="Calibri" w:hAnsi="Arial" w:cs="Arial"/>
          <w:b/>
          <w:sz w:val="20"/>
          <w:szCs w:val="20"/>
          <w:u w:val="single"/>
        </w:rPr>
        <w:t>L’impunité policière</w:t>
      </w:r>
    </w:p>
    <w:p w14:paraId="17462407" w14:textId="53DE0057" w:rsidR="009F2D2E" w:rsidRPr="00233020" w:rsidRDefault="009F2D2E" w:rsidP="009F2D2E">
      <w:pPr>
        <w:tabs>
          <w:tab w:val="left" w:pos="1290"/>
        </w:tabs>
        <w:jc w:val="both"/>
        <w:rPr>
          <w:rFonts w:ascii="Arial" w:eastAsia="Calibri" w:hAnsi="Arial" w:cs="Arial"/>
          <w:sz w:val="20"/>
          <w:szCs w:val="20"/>
        </w:rPr>
      </w:pPr>
      <w:r w:rsidRPr="006C547A">
        <w:rPr>
          <w:rFonts w:ascii="Arial" w:eastAsia="Calibri" w:hAnsi="Arial" w:cs="Arial"/>
          <w:sz w:val="20"/>
          <w:szCs w:val="20"/>
        </w:rPr>
        <w:t xml:space="preserve">Dans ses </w:t>
      </w:r>
      <w:r>
        <w:rPr>
          <w:rFonts w:ascii="Arial" w:eastAsia="Calibri" w:hAnsi="Arial" w:cs="Arial"/>
          <w:sz w:val="20"/>
          <w:szCs w:val="20"/>
        </w:rPr>
        <w:t xml:space="preserve">dernières </w:t>
      </w:r>
      <w:r w:rsidR="00482D73">
        <w:rPr>
          <w:rFonts w:ascii="Arial" w:eastAsia="Calibri" w:hAnsi="Arial" w:cs="Arial"/>
          <w:sz w:val="20"/>
          <w:szCs w:val="20"/>
        </w:rPr>
        <w:t>observations finales, votre</w:t>
      </w:r>
      <w:r w:rsidRPr="006C547A">
        <w:rPr>
          <w:rFonts w:ascii="Arial" w:eastAsia="Calibri" w:hAnsi="Arial" w:cs="Arial"/>
          <w:sz w:val="20"/>
          <w:szCs w:val="20"/>
        </w:rPr>
        <w:t xml:space="preserve"> Comité était également « </w:t>
      </w:r>
      <w:r w:rsidRPr="006C547A">
        <w:rPr>
          <w:rFonts w:ascii="Arial" w:eastAsia="Calibri" w:hAnsi="Arial" w:cs="Arial"/>
          <w:i/>
          <w:sz w:val="20"/>
          <w:szCs w:val="20"/>
        </w:rPr>
        <w:t>préoccupé par le manque d’informations détaillées sur les condamnations judiciaires des fonctionnaires de police et de gendarmerie reconnus coupables et les sanctions prononcées à leur égard</w:t>
      </w:r>
      <w:r w:rsidRPr="006C547A">
        <w:rPr>
          <w:rFonts w:ascii="Arial" w:eastAsia="Calibri" w:hAnsi="Arial" w:cs="Arial"/>
          <w:sz w:val="20"/>
          <w:szCs w:val="20"/>
        </w:rPr>
        <w:t xml:space="preserve">  </w:t>
      </w:r>
      <w:r w:rsidRPr="006C547A">
        <w:rPr>
          <w:rFonts w:ascii="Arial" w:eastAsia="Calibri" w:hAnsi="Arial" w:cs="Arial"/>
          <w:i/>
          <w:sz w:val="20"/>
          <w:szCs w:val="20"/>
        </w:rPr>
        <w:t>et par des informations faisant état d’un nombre important de non-lieux et de classements sans suite, de sanctions administratives peu sévères ou non proportionnelles à la gravité des faits et du peu de sanctions judiciaires prononcées contre les fonctionnaires de police et de gendarmerie</w:t>
      </w:r>
      <w:r w:rsidRPr="006C547A">
        <w:rPr>
          <w:rFonts w:ascii="Arial" w:eastAsia="Calibri" w:hAnsi="Arial" w:cs="Arial"/>
          <w:sz w:val="20"/>
          <w:szCs w:val="20"/>
        </w:rPr>
        <w:t xml:space="preserve"> »</w:t>
      </w:r>
      <w:r w:rsidRPr="006C547A">
        <w:rPr>
          <w:rFonts w:ascii="Arial" w:eastAsia="Calibri" w:hAnsi="Arial" w:cs="Arial"/>
          <w:sz w:val="20"/>
          <w:szCs w:val="20"/>
          <w:vertAlign w:val="superscript"/>
        </w:rPr>
        <w:footnoteReference w:id="27"/>
      </w:r>
      <w:r w:rsidRPr="006C547A">
        <w:rPr>
          <w:rFonts w:ascii="Arial" w:eastAsia="Calibri" w:hAnsi="Arial" w:cs="Arial"/>
          <w:sz w:val="20"/>
          <w:szCs w:val="20"/>
        </w:rPr>
        <w:t>.</w:t>
      </w:r>
      <w:r>
        <w:rPr>
          <w:rFonts w:ascii="Arial" w:eastAsia="Calibri" w:hAnsi="Arial" w:cs="Arial"/>
          <w:sz w:val="20"/>
          <w:szCs w:val="20"/>
        </w:rPr>
        <w:t xml:space="preserve"> Le Comité recommandait ainsi à la France « </w:t>
      </w:r>
      <w:r w:rsidRPr="00233020">
        <w:rPr>
          <w:rFonts w:ascii="Arial" w:eastAsia="Calibri" w:hAnsi="Arial" w:cs="Arial"/>
          <w:i/>
          <w:sz w:val="20"/>
          <w:szCs w:val="20"/>
        </w:rPr>
        <w:t>de veiller à ce que […] dans tous les cas qui lui sont signalés, une enquête prompte, impartiale, indépendante et transparente soit menée dans des délais raisonnables et que des poursuites puissent être engagées et, en cas de condamnation, des sanctions proportionnelles à la gravité des faits soient prononcées</w:t>
      </w:r>
      <w:r w:rsidRPr="00233020">
        <w:rPr>
          <w:rFonts w:ascii="Arial" w:eastAsia="Calibri" w:hAnsi="Arial" w:cs="Arial"/>
          <w:sz w:val="20"/>
          <w:szCs w:val="20"/>
        </w:rPr>
        <w:t> »</w:t>
      </w:r>
      <w:r w:rsidRPr="00233020">
        <w:rPr>
          <w:rFonts w:ascii="Arial" w:eastAsia="Calibri" w:hAnsi="Arial" w:cs="Arial"/>
          <w:sz w:val="20"/>
          <w:szCs w:val="20"/>
          <w:vertAlign w:val="superscript"/>
        </w:rPr>
        <w:footnoteReference w:id="28"/>
      </w:r>
      <w:r>
        <w:rPr>
          <w:rFonts w:ascii="Arial" w:eastAsia="Calibri" w:hAnsi="Arial" w:cs="Arial"/>
          <w:sz w:val="20"/>
          <w:szCs w:val="20"/>
        </w:rPr>
        <w:t>.</w:t>
      </w:r>
    </w:p>
    <w:p w14:paraId="78E0E45A"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 xml:space="preserve">Depuis plusieurs années, une hausse de la violence dans la stratégie du maintien de l’ordre en France peut être constatée lors des manifestations. </w:t>
      </w:r>
    </w:p>
    <w:p w14:paraId="66A5394B"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A de nombreuses reprises, cette violence en vient à dépasser le cadre de la légalité mettant ainsi gravement en cause les droits fondamentaux.</w:t>
      </w:r>
    </w:p>
    <w:p w14:paraId="6B93E1F6"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 xml:space="preserve">Alors que ces cas de violences disproportionnés, et au moins pour cela illégitimes, se multiplient, souvent les enquêtes ne peuvent même pas identifier l’agent ou l’agente en cause. Des modalités inadaptées de port du « RIO » (le numéro référentiel des identités et de l’organisation que les policiers, policières et gendarmes doivent porter sur le terrain) entraînent l’impossibilité d’identifier les auteurs qui peuvent échapper de ce seul fait à des sanctions. </w:t>
      </w:r>
    </w:p>
    <w:p w14:paraId="235093E7"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Les témoignages, les images et les rapports abondent pour démontrer un manque de rigueur dans le port du « RIO ». Malgré le fait qu’il soit obligatoire depuis 2013, il est souvent peu visible voire masqué, et les agents sont parfois même cagoulés, ce que documentent notamment les observatoires des pratiques policières. Ce manquement participe à entretenir un sentiment d’impunité dans l’exercice d’une violence abusive et illégale, dont font malheureusement régulièrement preuve des membres des forces de l’ordre.</w:t>
      </w:r>
    </w:p>
    <w:p w14:paraId="6546D05E" w14:textId="77777777"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Ce manquement donne lieu à une impunité injustifiable et dangereuse, contraire aux exigences posées par la CEDH. Cette situation est incompatible avec l’Etat de droit et abîme le rapport de confiance qui devrait prévaloir entre les citoyens et citoyennes et leur police.</w:t>
      </w:r>
    </w:p>
    <w:p w14:paraId="68B4A2FA" w14:textId="51DEF39E"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Pour toutes ces raisons, le 15 juillet 2022, la LDH et l’ACAT</w:t>
      </w:r>
      <w:r w:rsidR="00D002AE">
        <w:rPr>
          <w:rFonts w:ascii="Arial" w:eastAsia="Calibri" w:hAnsi="Arial" w:cs="Arial"/>
          <w:sz w:val="20"/>
          <w:szCs w:val="20"/>
        </w:rPr>
        <w:t>-France</w:t>
      </w:r>
      <w:r w:rsidRPr="0056105F">
        <w:rPr>
          <w:rFonts w:ascii="Arial" w:eastAsia="Calibri" w:hAnsi="Arial" w:cs="Arial"/>
          <w:sz w:val="20"/>
          <w:szCs w:val="20"/>
        </w:rPr>
        <w:t xml:space="preserve"> ont saisi le ministre de l’Intérieur d’une demande tendant à ce qu’il prenne toutes mesures utiles pour assurer le respect par les forces de l’ordre de l’obligation de port visible de l’identifiant individuel. Face au silence gardé, nos organisations ont saisi le 26 septembre 2022 le Conseil d’Etat d’un recours en annulation de cette décision implicite de refus. </w:t>
      </w:r>
    </w:p>
    <w:p w14:paraId="74DD422F" w14:textId="260C7637" w:rsidR="009F2D2E"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lastRenderedPageBreak/>
        <w:t>Le 11 octobre 2023, dans une décision sans équivoque rendue en assemblée du contentieux, sa formation la plus solennelle, le Conseil d’Etat a annulé la décision implicite du ministre de l’Intérieur en se fondant sur le constat d’une « carence » du ministère de l’Intérieur « à faire assurer son respect par ses agents ». Le Conseil d’Etat enjoint donc le ministère à garantir cette obligation et lui ordonne de prendre les mesures adéquates pour que le RIO soit visible et lisible en toutes circonstances, donc y compris en maintien de l’ordre où un gilet tactique est porté.</w:t>
      </w:r>
    </w:p>
    <w:p w14:paraId="7287E2A2" w14:textId="77777777" w:rsidR="00C12285" w:rsidRPr="00C12285" w:rsidRDefault="00C12285" w:rsidP="00C12285">
      <w:pPr>
        <w:jc w:val="both"/>
        <w:rPr>
          <w:rFonts w:ascii="Arial" w:hAnsi="Arial" w:cs="Arial"/>
          <w:sz w:val="20"/>
          <w:szCs w:val="20"/>
        </w:rPr>
      </w:pPr>
      <w:r w:rsidRPr="00C12285">
        <w:rPr>
          <w:rFonts w:ascii="Arial" w:hAnsi="Arial" w:cs="Arial"/>
          <w:sz w:val="20"/>
          <w:szCs w:val="20"/>
        </w:rPr>
        <w:t>Comme en attestent les observations des Observatoires des pratiques policières</w:t>
      </w:r>
      <w:r w:rsidRPr="00C12285">
        <w:rPr>
          <w:rFonts w:ascii="Arial" w:hAnsi="Arial" w:cs="Arial"/>
          <w:sz w:val="20"/>
          <w:szCs w:val="20"/>
          <w:vertAlign w:val="superscript"/>
        </w:rPr>
        <w:footnoteReference w:id="29"/>
      </w:r>
      <w:r w:rsidRPr="00C12285">
        <w:rPr>
          <w:rFonts w:ascii="Arial" w:hAnsi="Arial" w:cs="Arial"/>
          <w:sz w:val="20"/>
          <w:szCs w:val="20"/>
        </w:rPr>
        <w:t>, aucun changement matériel n’est intervenu depuis la décision du Conseil d’Etat tant quant au port effectif du RIO par les forces de l’ordre que concernant la lisibilité du numéro constitutif de celui-ci. Et plus encore, aucun changement n’est intervenu dans le cadre réglementaire dans lequel s’inscrit le port de leur identification individuelle par les membres des forces de sécurité intérieure.</w:t>
      </w:r>
    </w:p>
    <w:p w14:paraId="620E6253" w14:textId="4C86634A" w:rsidR="00C12285" w:rsidRPr="00C12285" w:rsidRDefault="00C12285" w:rsidP="00C12285">
      <w:pPr>
        <w:jc w:val="both"/>
        <w:rPr>
          <w:rFonts w:ascii="Arial" w:hAnsi="Arial" w:cs="Arial"/>
          <w:sz w:val="20"/>
          <w:szCs w:val="20"/>
        </w:rPr>
      </w:pPr>
      <w:r w:rsidRPr="00C12285">
        <w:rPr>
          <w:rFonts w:ascii="Arial" w:hAnsi="Arial" w:cs="Arial"/>
          <w:sz w:val="20"/>
          <w:szCs w:val="20"/>
        </w:rPr>
        <w:t>Aussi, le 14 octobre 2024, la LDH et l’ACAT ont saisi le Conseil d’Etat d’un</w:t>
      </w:r>
      <w:r w:rsidR="00FA24CF">
        <w:rPr>
          <w:rFonts w:ascii="Arial" w:hAnsi="Arial" w:cs="Arial"/>
          <w:sz w:val="20"/>
          <w:szCs w:val="20"/>
        </w:rPr>
        <w:t>e</w:t>
      </w:r>
      <w:r w:rsidRPr="00C12285">
        <w:rPr>
          <w:rFonts w:ascii="Arial" w:hAnsi="Arial" w:cs="Arial"/>
          <w:sz w:val="20"/>
          <w:szCs w:val="20"/>
        </w:rPr>
        <w:t xml:space="preserve"> demande d’exécution des injonctions prononcées dans sa décision du 11 octobre 2023.</w:t>
      </w:r>
    </w:p>
    <w:p w14:paraId="436EB23C" w14:textId="77EA574E" w:rsidR="00B46730" w:rsidRPr="00F37E1D" w:rsidRDefault="00B46730" w:rsidP="00B46730">
      <w:pPr>
        <w:jc w:val="both"/>
        <w:rPr>
          <w:rFonts w:ascii="Arial" w:hAnsi="Arial" w:cs="Arial"/>
          <w:sz w:val="20"/>
          <w:szCs w:val="20"/>
        </w:rPr>
      </w:pPr>
      <w:r>
        <w:rPr>
          <w:rFonts w:ascii="Arial" w:hAnsi="Arial" w:cs="Arial"/>
          <w:b/>
          <w:bCs/>
          <w:sz w:val="20"/>
          <w:szCs w:val="20"/>
        </w:rPr>
        <w:t xml:space="preserve">1.4 </w:t>
      </w:r>
      <w:r w:rsidRPr="00B46730">
        <w:rPr>
          <w:rFonts w:ascii="Arial" w:hAnsi="Arial" w:cs="Arial"/>
          <w:b/>
          <w:bCs/>
          <w:sz w:val="20"/>
          <w:szCs w:val="20"/>
          <w:u w:val="single"/>
        </w:rPr>
        <w:t>Le traitement des enquêtes sur les allégations d’usage excessif de la force</w:t>
      </w:r>
    </w:p>
    <w:p w14:paraId="15D9B5AF"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 xml:space="preserve">Dans ses dernières observations finales, le Comité se préoccupait de « </w:t>
      </w:r>
      <w:r w:rsidRPr="00D951B6">
        <w:rPr>
          <w:rFonts w:ascii="Arial" w:hAnsi="Arial" w:cs="Arial"/>
          <w:i/>
          <w:iCs/>
          <w:sz w:val="20"/>
          <w:szCs w:val="20"/>
        </w:rPr>
        <w:t xml:space="preserve">l’absence de données statistiques sur les plaintes permettant de faire une comparaison par rapport aux enquêtes ouvertes et aux poursuites engagées </w:t>
      </w:r>
      <w:r w:rsidRPr="00D951B6">
        <w:rPr>
          <w:rFonts w:ascii="Arial" w:hAnsi="Arial" w:cs="Arial"/>
          <w:sz w:val="20"/>
          <w:szCs w:val="20"/>
        </w:rPr>
        <w:t xml:space="preserve">» et du « </w:t>
      </w:r>
      <w:r w:rsidRPr="00D951B6">
        <w:rPr>
          <w:rFonts w:ascii="Arial" w:hAnsi="Arial" w:cs="Arial"/>
          <w:i/>
          <w:iCs/>
          <w:sz w:val="20"/>
          <w:szCs w:val="20"/>
        </w:rPr>
        <w:t xml:space="preserve">manque d’informations détaillées sur les condamnations judiciaires des fonctionnaires de police et de gendarmerie reconnus coupables et les sanctions prononcées à leur égard </w:t>
      </w:r>
      <w:r w:rsidRPr="00D951B6">
        <w:rPr>
          <w:rFonts w:ascii="Arial" w:hAnsi="Arial" w:cs="Arial"/>
          <w:sz w:val="20"/>
          <w:szCs w:val="20"/>
        </w:rPr>
        <w:t>»</w:t>
      </w:r>
      <w:r w:rsidRPr="00D951B6">
        <w:rPr>
          <w:rStyle w:val="FootnoteReference"/>
          <w:rFonts w:ascii="Arial" w:hAnsi="Arial" w:cs="Arial"/>
          <w:sz w:val="20"/>
          <w:szCs w:val="20"/>
        </w:rPr>
        <w:footnoteReference w:id="30"/>
      </w:r>
      <w:r w:rsidRPr="00D951B6">
        <w:rPr>
          <w:rFonts w:ascii="Arial" w:hAnsi="Arial" w:cs="Arial"/>
          <w:sz w:val="20"/>
          <w:szCs w:val="20"/>
        </w:rPr>
        <w:t>.</w:t>
      </w:r>
    </w:p>
    <w:p w14:paraId="5C1BAD86" w14:textId="2F1A1371" w:rsidR="00A26AC5" w:rsidRPr="00D951B6" w:rsidRDefault="00A26AC5" w:rsidP="00A26AC5">
      <w:pPr>
        <w:jc w:val="both"/>
        <w:rPr>
          <w:rFonts w:ascii="Arial" w:hAnsi="Arial" w:cs="Arial"/>
          <w:sz w:val="20"/>
          <w:szCs w:val="20"/>
        </w:rPr>
      </w:pPr>
      <w:r w:rsidRPr="00D951B6">
        <w:rPr>
          <w:rFonts w:ascii="Arial" w:hAnsi="Arial" w:cs="Arial"/>
          <w:sz w:val="20"/>
          <w:szCs w:val="20"/>
        </w:rPr>
        <w:t>Au titre des violations constatées de l’article 3 de la CE</w:t>
      </w:r>
      <w:r w:rsidR="00760C84">
        <w:rPr>
          <w:rFonts w:ascii="Arial" w:hAnsi="Arial" w:cs="Arial"/>
          <w:sz w:val="20"/>
          <w:szCs w:val="20"/>
        </w:rPr>
        <w:t>S</w:t>
      </w:r>
      <w:r w:rsidRPr="00D951B6">
        <w:rPr>
          <w:rFonts w:ascii="Arial" w:hAnsi="Arial" w:cs="Arial"/>
          <w:sz w:val="20"/>
          <w:szCs w:val="20"/>
        </w:rPr>
        <w:t>DH, la France est l’un des rares pays du Conseil de l’Europe à avoir été condamnée pour des faits qualifiés de torture perpétrés par des policiers dans l’exercice de leurs fonctions</w:t>
      </w:r>
      <w:r w:rsidRPr="00D951B6">
        <w:rPr>
          <w:rStyle w:val="FootnoteReference"/>
          <w:rFonts w:ascii="Arial" w:hAnsi="Arial" w:cs="Arial"/>
          <w:sz w:val="20"/>
          <w:szCs w:val="20"/>
        </w:rPr>
        <w:footnoteReference w:id="31"/>
      </w:r>
      <w:r w:rsidRPr="00D951B6">
        <w:rPr>
          <w:rFonts w:ascii="Arial" w:hAnsi="Arial" w:cs="Arial"/>
          <w:sz w:val="20"/>
          <w:szCs w:val="20"/>
        </w:rPr>
        <w:t>. Elle a aussi subi un nombre conséquent de condamnations en raison de traitements inhumains et dégradants perpétrés par des policiers et gendarmes</w:t>
      </w:r>
      <w:r w:rsidRPr="00D951B6">
        <w:rPr>
          <w:rStyle w:val="FootnoteReference"/>
          <w:rFonts w:ascii="Arial" w:hAnsi="Arial" w:cs="Arial"/>
          <w:sz w:val="20"/>
          <w:szCs w:val="20"/>
        </w:rPr>
        <w:footnoteReference w:id="32"/>
      </w:r>
      <w:r w:rsidRPr="00D951B6">
        <w:rPr>
          <w:rFonts w:ascii="Arial" w:hAnsi="Arial" w:cs="Arial"/>
          <w:sz w:val="20"/>
          <w:szCs w:val="20"/>
        </w:rPr>
        <w:t>.</w:t>
      </w:r>
    </w:p>
    <w:p w14:paraId="2CDCDB4D"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Faute de statistiques officielles, deux sources paraissent appréhender la réalité des violences commises par les policiers : les rapports de l’IGPN, qui n’est saisie que des affaires les plus graves – soit 10% des procédures –, les manquements moins graves étant traités en interne par la hiérarchie, et les statistiques du ministère de la Justice.</w:t>
      </w:r>
    </w:p>
    <w:p w14:paraId="2FD5E8D9"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Si l’usage illicite de la violence par une personne dépositaire de l’autorité publique (PDAP) est sévèrement réprimé par le droit national, les données communiquées fondent le constat selon lequel les policiers bénéficient d’un traitement répressif privilégié et d’une réponse pénale exceptionnellement mesurée, par comparaison avec les justiciables « ordinaires ».</w:t>
      </w:r>
    </w:p>
    <w:p w14:paraId="3C52986F"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 xml:space="preserve">Tout d’abord, un nombre substantiel d’affaires de violences caractérisées par les enquêtes de l’IGPN sont traitées par la voie disciplinaire, alors que le code pénal prévoit que les violences ayant entraîné une ITT inférieure ou égale à huit jours, commises par une PDAP, </w:t>
      </w:r>
      <w:proofErr w:type="gramStart"/>
      <w:r w:rsidRPr="00D951B6">
        <w:rPr>
          <w:rFonts w:ascii="Arial" w:hAnsi="Arial" w:cs="Arial"/>
          <w:sz w:val="20"/>
          <w:szCs w:val="20"/>
        </w:rPr>
        <w:t>sont</w:t>
      </w:r>
      <w:proofErr w:type="gramEnd"/>
      <w:r w:rsidRPr="00D951B6">
        <w:rPr>
          <w:rFonts w:ascii="Arial" w:hAnsi="Arial" w:cs="Arial"/>
          <w:sz w:val="20"/>
          <w:szCs w:val="20"/>
        </w:rPr>
        <w:t xml:space="preserve"> des délits.</w:t>
      </w:r>
    </w:p>
    <w:p w14:paraId="47AEBEBA"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Les chiffres montrent que si les policiers sont parmi les agents publics les plus souvent sanctionnés, c’est 90 % du temps par des voies allant de l’avertissement à l’exclusion de trois jours, et dans 0,02 % des cas seulement pour des faits de violences. Même si ce niveau de sanction était rehaussé, le champ disciplinaire ne saurait seul répondre au besoin de justice légitimement exprimé par les victimes des violences policières.</w:t>
      </w:r>
    </w:p>
    <w:p w14:paraId="15D7CEB3"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 xml:space="preserve">Le journal Libération a pu obtenir, via les « Bilans sociaux » de la Police nationale, les données statistiques détaillées sur les sanctions disciplinaires prononcées par l’institution. Dans le détail, il apparaît que les sanctions disciplinaires pour usage excessif de la force ont baissé brutalement depuis </w:t>
      </w:r>
      <w:r w:rsidRPr="00D951B6">
        <w:rPr>
          <w:rFonts w:ascii="Arial" w:hAnsi="Arial" w:cs="Arial"/>
          <w:sz w:val="20"/>
          <w:szCs w:val="20"/>
        </w:rPr>
        <w:lastRenderedPageBreak/>
        <w:t>l’année 2018 : les « rappels à la loi » constituent la majorité des sanctions prononcées en cas de violences illégitimes, et depuis 2018, ce sont presque les seules</w:t>
      </w:r>
      <w:r w:rsidRPr="00D951B6">
        <w:rPr>
          <w:rStyle w:val="FootnoteReference"/>
          <w:rFonts w:ascii="Arial" w:hAnsi="Arial" w:cs="Arial"/>
          <w:sz w:val="20"/>
          <w:szCs w:val="20"/>
        </w:rPr>
        <w:footnoteReference w:id="33"/>
      </w:r>
      <w:r w:rsidRPr="00D951B6">
        <w:rPr>
          <w:rFonts w:ascii="Arial" w:hAnsi="Arial" w:cs="Arial"/>
          <w:sz w:val="20"/>
          <w:szCs w:val="20"/>
        </w:rPr>
        <w:t>.</w:t>
      </w:r>
    </w:p>
    <w:p w14:paraId="13215670"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Ensuite le ratio d’enquêtes judiciaires conduisant effectivement à des poursuites pénales est extraordinairement bas.</w:t>
      </w:r>
    </w:p>
    <w:p w14:paraId="00FDBD04"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Les rapports 2020 à 2022</w:t>
      </w:r>
      <w:r w:rsidRPr="00D951B6">
        <w:rPr>
          <w:rFonts w:ascii="Arial" w:hAnsi="Arial" w:cs="Arial"/>
          <w:sz w:val="20"/>
          <w:szCs w:val="20"/>
          <w:vertAlign w:val="superscript"/>
        </w:rPr>
        <w:t xml:space="preserve"> </w:t>
      </w:r>
      <w:r w:rsidRPr="00D951B6">
        <w:rPr>
          <w:rFonts w:ascii="Arial" w:hAnsi="Arial" w:cs="Arial"/>
          <w:sz w:val="20"/>
          <w:szCs w:val="20"/>
        </w:rPr>
        <w:t>de l’IGPN permettent de constater qu’une moyenne d’environ 1 100 enquêtes judiciaires sont ouvertes par an depuis 2015 et que plus ou moins 47% de celles-ci se rapportent à des faits d’usage de la force. Ainsi, les allégations de violences constituent le principal motif de saisine de l’IGPN</w:t>
      </w:r>
      <w:r>
        <w:rPr>
          <w:rFonts w:ascii="Arial" w:hAnsi="Arial" w:cs="Arial"/>
          <w:sz w:val="20"/>
          <w:szCs w:val="20"/>
        </w:rPr>
        <w:t xml:space="preserve">. </w:t>
      </w:r>
      <w:r w:rsidRPr="00D951B6">
        <w:rPr>
          <w:rFonts w:ascii="Arial" w:hAnsi="Arial" w:cs="Arial"/>
          <w:sz w:val="20"/>
          <w:szCs w:val="20"/>
        </w:rPr>
        <w:t xml:space="preserve"> </w:t>
      </w:r>
    </w:p>
    <w:p w14:paraId="2148EA04" w14:textId="77777777" w:rsidR="00A26AC5" w:rsidRDefault="00A26AC5" w:rsidP="00A26AC5">
      <w:pPr>
        <w:jc w:val="both"/>
        <w:rPr>
          <w:rFonts w:ascii="Arial" w:hAnsi="Arial" w:cs="Arial"/>
          <w:sz w:val="20"/>
          <w:szCs w:val="20"/>
        </w:rPr>
      </w:pPr>
      <w:r w:rsidRPr="00D951B6">
        <w:rPr>
          <w:rFonts w:ascii="Arial" w:hAnsi="Arial" w:cs="Arial"/>
          <w:sz w:val="20"/>
          <w:szCs w:val="20"/>
        </w:rPr>
        <w:t>Selon les données commu</w:t>
      </w:r>
      <w:r>
        <w:rPr>
          <w:rFonts w:ascii="Arial" w:hAnsi="Arial" w:cs="Arial"/>
          <w:sz w:val="20"/>
          <w:szCs w:val="20"/>
        </w:rPr>
        <w:t>niquées par le ministère de la J</w:t>
      </w:r>
      <w:r w:rsidRPr="00D951B6">
        <w:rPr>
          <w:rFonts w:ascii="Arial" w:hAnsi="Arial" w:cs="Arial"/>
          <w:sz w:val="20"/>
          <w:szCs w:val="20"/>
        </w:rPr>
        <w:t xml:space="preserve">ustice relatives </w:t>
      </w:r>
      <w:proofErr w:type="gramStart"/>
      <w:r w:rsidRPr="00D951B6">
        <w:rPr>
          <w:rFonts w:ascii="Arial" w:hAnsi="Arial" w:cs="Arial"/>
          <w:sz w:val="20"/>
          <w:szCs w:val="20"/>
        </w:rPr>
        <w:t>au</w:t>
      </w:r>
      <w:r>
        <w:rPr>
          <w:rFonts w:ascii="Arial" w:hAnsi="Arial" w:cs="Arial"/>
          <w:sz w:val="20"/>
          <w:szCs w:val="20"/>
        </w:rPr>
        <w:t> </w:t>
      </w:r>
      <w:r w:rsidRPr="00D951B6">
        <w:rPr>
          <w:rFonts w:ascii="Arial" w:hAnsi="Arial" w:cs="Arial"/>
          <w:sz w:val="20"/>
          <w:szCs w:val="20"/>
        </w:rPr>
        <w:t xml:space="preserve"> traitement</w:t>
      </w:r>
      <w:proofErr w:type="gramEnd"/>
      <w:r w:rsidRPr="00D951B6">
        <w:rPr>
          <w:rFonts w:ascii="Arial" w:hAnsi="Arial" w:cs="Arial"/>
          <w:sz w:val="20"/>
          <w:szCs w:val="20"/>
        </w:rPr>
        <w:t xml:space="preserve"> des auteurs dans les affaires de violences volontaires par </w:t>
      </w:r>
      <w:r>
        <w:rPr>
          <w:rFonts w:ascii="Arial" w:hAnsi="Arial" w:cs="Arial"/>
          <w:sz w:val="20"/>
          <w:szCs w:val="20"/>
        </w:rPr>
        <w:t>des PDAP</w:t>
      </w:r>
      <w:r w:rsidRPr="00D951B6">
        <w:rPr>
          <w:rFonts w:ascii="Arial" w:hAnsi="Arial" w:cs="Arial"/>
          <w:sz w:val="20"/>
          <w:szCs w:val="20"/>
        </w:rPr>
        <w:t>, en 2019, 70 % des affaires mettant en cause des PDAP dans des faits de violences volontaires avaient été classées « non poursuivables » et 74 % en 2021, contre 33 % dans la population générale</w:t>
      </w:r>
      <w:r w:rsidRPr="00D951B6">
        <w:rPr>
          <w:rStyle w:val="FootnoteReference"/>
          <w:rFonts w:ascii="Arial" w:hAnsi="Arial" w:cs="Arial"/>
          <w:sz w:val="20"/>
          <w:szCs w:val="20"/>
        </w:rPr>
        <w:footnoteReference w:id="34"/>
      </w:r>
      <w:r w:rsidRPr="00D951B6">
        <w:rPr>
          <w:rFonts w:ascii="Arial" w:hAnsi="Arial" w:cs="Arial"/>
          <w:sz w:val="20"/>
          <w:szCs w:val="20"/>
        </w:rPr>
        <w:t xml:space="preserve">. </w:t>
      </w:r>
    </w:p>
    <w:p w14:paraId="054671B3" w14:textId="03317802" w:rsidR="00A26AC5" w:rsidRDefault="00A26AC5" w:rsidP="00A26AC5">
      <w:pPr>
        <w:jc w:val="both"/>
        <w:rPr>
          <w:rFonts w:ascii="Arial" w:hAnsi="Arial" w:cs="Arial"/>
          <w:sz w:val="20"/>
          <w:szCs w:val="20"/>
        </w:rPr>
      </w:pPr>
      <w:r w:rsidRPr="00D951B6">
        <w:rPr>
          <w:rFonts w:ascii="Arial" w:hAnsi="Arial" w:cs="Arial"/>
          <w:sz w:val="20"/>
          <w:szCs w:val="20"/>
        </w:rPr>
        <w:t>Plus significatif encore, alors que le nombre de PDAP mis en cause dans ces affaires s’est accru entre 2016 et 2021 (de près de 60 %), la part poursuivie a paradoxalement baissé, passant de 22 % en 2016 à 16 % en 2019 et 17,5 % en 2021</w:t>
      </w:r>
      <w:r w:rsidRPr="00D951B6">
        <w:rPr>
          <w:rStyle w:val="FootnoteReference"/>
          <w:rFonts w:ascii="Arial" w:hAnsi="Arial" w:cs="Arial"/>
          <w:sz w:val="20"/>
          <w:szCs w:val="20"/>
        </w:rPr>
        <w:footnoteReference w:id="35"/>
      </w:r>
      <w:r w:rsidRPr="00D951B6">
        <w:rPr>
          <w:rFonts w:ascii="Arial" w:hAnsi="Arial" w:cs="Arial"/>
          <w:sz w:val="20"/>
          <w:szCs w:val="20"/>
        </w:rPr>
        <w:t xml:space="preserve"> . Seules 2 à 3 % des affaires d’usage excessif de la force font l’objet d’une ouverture d’information judiciair</w:t>
      </w:r>
      <w:r w:rsidR="00E3604B">
        <w:rPr>
          <w:rFonts w:ascii="Arial" w:hAnsi="Arial" w:cs="Arial"/>
          <w:sz w:val="20"/>
          <w:szCs w:val="20"/>
        </w:rPr>
        <w:t xml:space="preserve">e. </w:t>
      </w:r>
      <w:r>
        <w:rPr>
          <w:rFonts w:ascii="Arial" w:hAnsi="Arial" w:cs="Arial"/>
          <w:sz w:val="20"/>
          <w:szCs w:val="20"/>
        </w:rPr>
        <w:t xml:space="preserve">L’IGPN </w:t>
      </w:r>
      <w:r w:rsidRPr="00D951B6">
        <w:rPr>
          <w:rFonts w:ascii="Arial" w:hAnsi="Arial" w:cs="Arial"/>
          <w:sz w:val="20"/>
          <w:szCs w:val="20"/>
        </w:rPr>
        <w:t>confirme cette tendance dans son rapport d’activités 2019, en indiquant que ses enquêtes ont été menées « dans 82 % des cas sous l’autorité du parquet et dans 18 % sous celle d’un juge d’instruction ».</w:t>
      </w:r>
    </w:p>
    <w:p w14:paraId="7A84A1A0" w14:textId="77777777" w:rsidR="00A26AC5" w:rsidRPr="00D951B6" w:rsidRDefault="00A26AC5" w:rsidP="00A26AC5">
      <w:pPr>
        <w:jc w:val="both"/>
        <w:rPr>
          <w:rFonts w:ascii="Arial" w:hAnsi="Arial" w:cs="Arial"/>
          <w:sz w:val="20"/>
          <w:szCs w:val="20"/>
        </w:rPr>
      </w:pPr>
      <w:r>
        <w:rPr>
          <w:rFonts w:ascii="Arial" w:hAnsi="Arial" w:cs="Arial"/>
          <w:sz w:val="20"/>
          <w:szCs w:val="20"/>
        </w:rPr>
        <w:t>D</w:t>
      </w:r>
      <w:r w:rsidRPr="00D951B6">
        <w:rPr>
          <w:rFonts w:ascii="Arial" w:hAnsi="Arial" w:cs="Arial"/>
          <w:sz w:val="20"/>
          <w:szCs w:val="20"/>
        </w:rPr>
        <w:t>ans le cadre d’une Commission d’enquête relative à l’état des lieux, la déontologie, les pratiques et les doctrines de maintien de l’ordre, l’Assemblée nationale a pointé les risques de partialité créés par la proximité des parquets avec les services de police :</w:t>
      </w:r>
    </w:p>
    <w:p w14:paraId="4D396528"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 </w:t>
      </w:r>
      <w:r w:rsidRPr="00D951B6">
        <w:rPr>
          <w:rFonts w:ascii="Arial" w:hAnsi="Arial" w:cs="Arial"/>
          <w:i/>
          <w:sz w:val="20"/>
          <w:szCs w:val="20"/>
        </w:rPr>
        <w:t>La relation de proximité quotidienne qu’entretiennent les magistrats du parquet avec les forces de l’ordre agissant sous leur autorité en tant que services enquêteurs peut être considérée comme un obstacle à l’impartialité des enquêtes menées par le ministère public sur les faits de violences illégitimes. L’abandon fréquent des poursuites pénales diligentées en la matière à l’issue de l’enquête préliminaire est ainsi entaché d’un doute qui a fréquemment été exprimé devant la commission d’enquête quant à la rigueur avec laquelle les investigations ont été menées. Si aucun élément tangible n’a été porté à la connaissance de votre rapporteur afin d’accréditer cette idée, une évolution procédurale pourrait être envisagée afin d’atténuer, sinon de mettre un terme, au soupçon de partialité susmentionné</w:t>
      </w:r>
      <w:r w:rsidRPr="00D951B6">
        <w:rPr>
          <w:rFonts w:ascii="Arial" w:hAnsi="Arial" w:cs="Arial"/>
          <w:sz w:val="20"/>
          <w:szCs w:val="20"/>
        </w:rPr>
        <w:t xml:space="preserve"> »</w:t>
      </w:r>
      <w:r w:rsidRPr="00D951B6">
        <w:rPr>
          <w:rStyle w:val="FootnoteReference"/>
          <w:rFonts w:ascii="Arial" w:hAnsi="Arial" w:cs="Arial"/>
          <w:sz w:val="20"/>
          <w:szCs w:val="20"/>
        </w:rPr>
        <w:footnoteReference w:id="36"/>
      </w:r>
      <w:r w:rsidRPr="00D951B6">
        <w:rPr>
          <w:rFonts w:ascii="Arial" w:hAnsi="Arial" w:cs="Arial"/>
          <w:sz w:val="20"/>
          <w:szCs w:val="20"/>
        </w:rPr>
        <w:t>.</w:t>
      </w:r>
    </w:p>
    <w:p w14:paraId="2DEA92AA" w14:textId="77777777" w:rsidR="00A26AC5" w:rsidRPr="00D951B6" w:rsidRDefault="00A26AC5" w:rsidP="00A26AC5">
      <w:pPr>
        <w:jc w:val="both"/>
        <w:rPr>
          <w:rFonts w:ascii="Arial" w:hAnsi="Arial" w:cs="Arial"/>
          <w:sz w:val="20"/>
          <w:szCs w:val="20"/>
        </w:rPr>
      </w:pPr>
      <w:r w:rsidRPr="00D951B6">
        <w:rPr>
          <w:rFonts w:ascii="Arial" w:hAnsi="Arial" w:cs="Arial"/>
          <w:sz w:val="20"/>
          <w:szCs w:val="20"/>
        </w:rPr>
        <w:t xml:space="preserve">Aussi, l’une </w:t>
      </w:r>
      <w:proofErr w:type="gramStart"/>
      <w:r w:rsidRPr="00D951B6">
        <w:rPr>
          <w:rFonts w:ascii="Arial" w:hAnsi="Arial" w:cs="Arial"/>
          <w:sz w:val="20"/>
          <w:szCs w:val="20"/>
        </w:rPr>
        <w:t>des recommandations portée</w:t>
      </w:r>
      <w:proofErr w:type="gramEnd"/>
      <w:r w:rsidRPr="00D951B6">
        <w:rPr>
          <w:rFonts w:ascii="Arial" w:hAnsi="Arial" w:cs="Arial"/>
          <w:sz w:val="20"/>
          <w:szCs w:val="20"/>
        </w:rPr>
        <w:t xml:space="preserve"> par le rapport de la Commission d’enquête tient au dépaysement systématique des dossiers impliquant les policiers et gendarmes</w:t>
      </w:r>
      <w:r w:rsidRPr="00D951B6">
        <w:rPr>
          <w:rStyle w:val="FootnoteReference"/>
          <w:rFonts w:ascii="Arial" w:hAnsi="Arial" w:cs="Arial"/>
          <w:sz w:val="20"/>
          <w:szCs w:val="20"/>
        </w:rPr>
        <w:footnoteReference w:id="37"/>
      </w:r>
      <w:r w:rsidRPr="00D951B6">
        <w:rPr>
          <w:rFonts w:ascii="Arial" w:hAnsi="Arial" w:cs="Arial"/>
          <w:sz w:val="20"/>
          <w:szCs w:val="20"/>
        </w:rPr>
        <w:t>.</w:t>
      </w:r>
    </w:p>
    <w:p w14:paraId="1B094326" w14:textId="2EAF9113" w:rsidR="00A26AC5" w:rsidRDefault="00A26AC5" w:rsidP="00A26AC5">
      <w:pPr>
        <w:jc w:val="both"/>
        <w:rPr>
          <w:rFonts w:ascii="Arial" w:hAnsi="Arial" w:cs="Arial"/>
          <w:sz w:val="20"/>
          <w:szCs w:val="20"/>
        </w:rPr>
      </w:pPr>
      <w:r w:rsidRPr="00D951B6">
        <w:rPr>
          <w:rFonts w:ascii="Arial" w:hAnsi="Arial" w:cs="Arial"/>
          <w:sz w:val="20"/>
          <w:szCs w:val="20"/>
        </w:rPr>
        <w:t>Enfin, la nature et la teneur des peines de condamnation diffèrent : non seulement le recours à la prison ferme est en nette baisse depuis dix ans, passant de 35 % en 2010 à 17 % en 2021, mais surtout, sur cette même année, 83 % des peines d’emprisonnement ont été assorties du sursis, contre 55 % des peines, toutes infractions confondues dans la population générale</w:t>
      </w:r>
      <w:r w:rsidRPr="00D951B6">
        <w:rPr>
          <w:rStyle w:val="FootnoteReference"/>
          <w:rFonts w:ascii="Arial" w:hAnsi="Arial" w:cs="Arial"/>
          <w:sz w:val="20"/>
          <w:szCs w:val="20"/>
        </w:rPr>
        <w:footnoteReference w:id="38"/>
      </w:r>
      <w:r w:rsidRPr="00D951B6">
        <w:rPr>
          <w:rFonts w:ascii="Arial" w:hAnsi="Arial" w:cs="Arial"/>
          <w:sz w:val="20"/>
          <w:szCs w:val="20"/>
        </w:rPr>
        <w:t>.</w:t>
      </w:r>
      <w:r>
        <w:rPr>
          <w:rFonts w:ascii="Arial" w:hAnsi="Arial" w:cs="Arial"/>
          <w:sz w:val="20"/>
          <w:szCs w:val="20"/>
        </w:rPr>
        <w:t xml:space="preserve">  </w:t>
      </w:r>
      <w:proofErr w:type="gramStart"/>
      <w:r>
        <w:rPr>
          <w:rFonts w:ascii="Arial" w:hAnsi="Arial" w:cs="Arial"/>
          <w:sz w:val="20"/>
          <w:szCs w:val="20"/>
        </w:rPr>
        <w:t>A  cet</w:t>
      </w:r>
      <w:proofErr w:type="gramEnd"/>
      <w:r>
        <w:rPr>
          <w:rFonts w:ascii="Arial" w:hAnsi="Arial" w:cs="Arial"/>
          <w:sz w:val="20"/>
          <w:szCs w:val="20"/>
        </w:rPr>
        <w:t xml:space="preserve"> égard</w:t>
      </w:r>
      <w:r w:rsidRPr="00D951B6">
        <w:rPr>
          <w:rFonts w:ascii="Arial" w:hAnsi="Arial" w:cs="Arial"/>
          <w:sz w:val="20"/>
          <w:szCs w:val="20"/>
        </w:rPr>
        <w:t>, le rapport Cazaux-Charles</w:t>
      </w:r>
      <w:r w:rsidRPr="00D951B6">
        <w:rPr>
          <w:rStyle w:val="FootnoteReference"/>
          <w:rFonts w:ascii="Arial" w:hAnsi="Arial" w:cs="Arial"/>
          <w:sz w:val="20"/>
          <w:szCs w:val="20"/>
        </w:rPr>
        <w:footnoteReference w:id="39"/>
      </w:r>
      <w:r w:rsidRPr="00D951B6">
        <w:rPr>
          <w:rFonts w:ascii="Arial" w:hAnsi="Arial" w:cs="Arial"/>
          <w:sz w:val="20"/>
          <w:szCs w:val="20"/>
        </w:rPr>
        <w:t xml:space="preserve"> met en regard la sévérité accrue des sanctions judiciaires des violences commises sur les forces de sécurité et « un très faible taux de poursuites judiciaires engagées contre les forces de sécurité pour des faits d’usage de l’arme ». Il souligne que les peines d’emprisonnement ainsi prononcées entre 2013 et 2015 étaient quasi exclusivement assorties d’un sursis total (4 % avec une partie ferme). </w:t>
      </w:r>
    </w:p>
    <w:p w14:paraId="6B26B3F1" w14:textId="77777777" w:rsidR="00A26AC5" w:rsidRPr="00F37E1D" w:rsidRDefault="00A26AC5" w:rsidP="00A26AC5">
      <w:pPr>
        <w:jc w:val="both"/>
        <w:rPr>
          <w:rFonts w:ascii="Arial" w:hAnsi="Arial" w:cs="Arial"/>
          <w:sz w:val="20"/>
          <w:szCs w:val="20"/>
        </w:rPr>
      </w:pPr>
      <w:r w:rsidRPr="00F37E1D">
        <w:rPr>
          <w:rFonts w:ascii="Arial" w:hAnsi="Arial" w:cs="Arial"/>
          <w:sz w:val="20"/>
          <w:szCs w:val="20"/>
        </w:rPr>
        <w:lastRenderedPageBreak/>
        <w:t>Ces chiffres permettent de dégager une tendance claire : lorsqu’ils sont mis en cause, les policiers sont globalement moins souvent poursuivis et condamnés, et, lorsqu’ils le sont, c’est sur des modalités plus clémentes que le reste de la population.</w:t>
      </w:r>
    </w:p>
    <w:p w14:paraId="04A3B093" w14:textId="77777777" w:rsidR="009F2D2E" w:rsidRPr="0056105F" w:rsidRDefault="009F2D2E" w:rsidP="009F2D2E">
      <w:pPr>
        <w:shd w:val="clear" w:color="auto" w:fill="D9D9D9"/>
        <w:tabs>
          <w:tab w:val="left" w:pos="1290"/>
        </w:tabs>
        <w:jc w:val="both"/>
        <w:rPr>
          <w:rFonts w:ascii="Arial" w:eastAsia="Calibri" w:hAnsi="Arial" w:cs="Arial"/>
          <w:b/>
          <w:sz w:val="20"/>
          <w:szCs w:val="20"/>
        </w:rPr>
      </w:pPr>
      <w:r w:rsidRPr="0056105F">
        <w:rPr>
          <w:rFonts w:ascii="Arial" w:eastAsia="Calibri" w:hAnsi="Arial" w:cs="Arial"/>
          <w:b/>
          <w:sz w:val="20"/>
          <w:szCs w:val="20"/>
        </w:rPr>
        <w:t>Recommandations</w:t>
      </w:r>
    </w:p>
    <w:p w14:paraId="16B9BA3E" w14:textId="6BA70D28" w:rsidR="009F2D2E" w:rsidRPr="0056105F" w:rsidRDefault="009F2D2E" w:rsidP="009F2D2E">
      <w:pPr>
        <w:tabs>
          <w:tab w:val="left" w:pos="1290"/>
        </w:tabs>
        <w:jc w:val="both"/>
        <w:rPr>
          <w:rFonts w:ascii="Arial" w:eastAsia="Calibri" w:hAnsi="Arial" w:cs="Arial"/>
          <w:sz w:val="20"/>
          <w:szCs w:val="20"/>
        </w:rPr>
      </w:pPr>
      <w:r w:rsidRPr="0056105F">
        <w:rPr>
          <w:rFonts w:ascii="Arial" w:eastAsia="Calibri" w:hAnsi="Arial" w:cs="Arial"/>
          <w:sz w:val="20"/>
          <w:szCs w:val="20"/>
        </w:rPr>
        <w:t>La LDH demande</w:t>
      </w:r>
      <w:r w:rsidR="007D7877">
        <w:rPr>
          <w:rFonts w:ascii="Arial" w:eastAsia="Calibri" w:hAnsi="Arial" w:cs="Arial"/>
          <w:sz w:val="20"/>
          <w:szCs w:val="20"/>
        </w:rPr>
        <w:t xml:space="preserve"> à l’Etat</w:t>
      </w:r>
      <w:r w:rsidRPr="0056105F">
        <w:rPr>
          <w:rFonts w:ascii="Arial" w:eastAsia="Calibri" w:hAnsi="Arial" w:cs="Arial"/>
          <w:sz w:val="20"/>
          <w:szCs w:val="20"/>
        </w:rPr>
        <w:t> :</w:t>
      </w:r>
    </w:p>
    <w:p w14:paraId="6E2A90E5" w14:textId="4B1637A4" w:rsidR="009F2D2E" w:rsidRPr="0056105F" w:rsidRDefault="009F2D2E" w:rsidP="009F2D2E">
      <w:pPr>
        <w:numPr>
          <w:ilvl w:val="0"/>
          <w:numId w:val="6"/>
        </w:numPr>
        <w:tabs>
          <w:tab w:val="left" w:pos="284"/>
        </w:tabs>
        <w:ind w:left="284" w:firstLine="76"/>
        <w:contextualSpacing/>
        <w:jc w:val="both"/>
        <w:rPr>
          <w:rFonts w:ascii="Arial" w:eastAsia="Calibri" w:hAnsi="Arial" w:cs="Arial"/>
          <w:sz w:val="20"/>
          <w:szCs w:val="20"/>
        </w:rPr>
      </w:pPr>
      <w:r w:rsidRPr="0056105F">
        <w:rPr>
          <w:rFonts w:ascii="Arial" w:eastAsia="Calibri" w:hAnsi="Arial" w:cs="Arial"/>
          <w:sz w:val="20"/>
          <w:szCs w:val="20"/>
        </w:rPr>
        <w:t>L’interdiction</w:t>
      </w:r>
      <w:r w:rsidRPr="0056105F">
        <w:rPr>
          <w:rFonts w:ascii="Arial" w:eastAsia="Calibri" w:hAnsi="Arial" w:cs="Arial"/>
          <w:bCs/>
          <w:sz w:val="20"/>
          <w:szCs w:val="20"/>
        </w:rPr>
        <w:t xml:space="preserve"> des armes de guerre</w:t>
      </w:r>
      <w:r w:rsidR="0053711B">
        <w:rPr>
          <w:rFonts w:ascii="Arial" w:eastAsia="Calibri" w:hAnsi="Arial" w:cs="Arial"/>
          <w:bCs/>
          <w:sz w:val="20"/>
          <w:szCs w:val="20"/>
        </w:rPr>
        <w:t>,</w:t>
      </w:r>
      <w:r w:rsidRPr="0056105F">
        <w:rPr>
          <w:rFonts w:ascii="Arial" w:eastAsia="Calibri" w:hAnsi="Arial" w:cs="Arial"/>
          <w:sz w:val="20"/>
          <w:szCs w:val="20"/>
        </w:rPr>
        <w:t xml:space="preserve"> des munitions explosives </w:t>
      </w:r>
      <w:r w:rsidR="0053711B">
        <w:rPr>
          <w:rFonts w:ascii="Arial" w:eastAsia="Calibri" w:hAnsi="Arial" w:cs="Arial"/>
          <w:sz w:val="20"/>
          <w:szCs w:val="20"/>
        </w:rPr>
        <w:t xml:space="preserve">et du LBD40 </w:t>
      </w:r>
      <w:r w:rsidRPr="0056105F">
        <w:rPr>
          <w:rFonts w:ascii="Arial" w:eastAsia="Calibri" w:hAnsi="Arial" w:cs="Arial"/>
          <w:sz w:val="20"/>
          <w:szCs w:val="20"/>
        </w:rPr>
        <w:t xml:space="preserve">en maintien de l’ordre, l’encadrement réglementaire précis et détaillé des </w:t>
      </w:r>
      <w:r w:rsidR="007D7877">
        <w:rPr>
          <w:rFonts w:ascii="Arial" w:eastAsia="Calibri" w:hAnsi="Arial" w:cs="Arial"/>
          <w:sz w:val="20"/>
          <w:szCs w:val="20"/>
        </w:rPr>
        <w:t>possibilités d’usage des armes </w:t>
      </w:r>
    </w:p>
    <w:p w14:paraId="7205A01E" w14:textId="4078105F" w:rsidR="009F2D2E" w:rsidRPr="0056105F" w:rsidRDefault="009F2D2E" w:rsidP="009F2D2E">
      <w:pPr>
        <w:numPr>
          <w:ilvl w:val="0"/>
          <w:numId w:val="6"/>
        </w:numPr>
        <w:tabs>
          <w:tab w:val="left" w:pos="284"/>
        </w:tabs>
        <w:ind w:left="284" w:firstLine="76"/>
        <w:contextualSpacing/>
        <w:jc w:val="both"/>
        <w:rPr>
          <w:rFonts w:ascii="Arial" w:eastAsia="Calibri" w:hAnsi="Arial" w:cs="Arial"/>
          <w:sz w:val="20"/>
          <w:szCs w:val="20"/>
        </w:rPr>
      </w:pPr>
      <w:r w:rsidRPr="0056105F">
        <w:rPr>
          <w:rFonts w:ascii="Arial" w:eastAsia="Calibri" w:hAnsi="Arial" w:cs="Arial"/>
          <w:sz w:val="20"/>
          <w:szCs w:val="20"/>
        </w:rPr>
        <w:t>L’emploi de méthode</w:t>
      </w:r>
      <w:r w:rsidR="0053711B">
        <w:rPr>
          <w:rFonts w:ascii="Arial" w:eastAsia="Calibri" w:hAnsi="Arial" w:cs="Arial"/>
          <w:sz w:val="20"/>
          <w:szCs w:val="20"/>
        </w:rPr>
        <w:t>s</w:t>
      </w:r>
      <w:r w:rsidRPr="0056105F">
        <w:rPr>
          <w:rFonts w:ascii="Arial" w:eastAsia="Calibri" w:hAnsi="Arial" w:cs="Arial"/>
          <w:sz w:val="20"/>
          <w:szCs w:val="20"/>
        </w:rPr>
        <w:t xml:space="preserve"> de maintien de l’ordre conforme a</w:t>
      </w:r>
      <w:r w:rsidR="007D7877">
        <w:rPr>
          <w:rFonts w:ascii="Arial" w:eastAsia="Calibri" w:hAnsi="Arial" w:cs="Arial"/>
          <w:sz w:val="20"/>
          <w:szCs w:val="20"/>
        </w:rPr>
        <w:t>ux obligations internationales </w:t>
      </w:r>
    </w:p>
    <w:p w14:paraId="5CDC93B6" w14:textId="0B63A8A4" w:rsidR="009F2D2E" w:rsidRPr="0056105F" w:rsidRDefault="009F2D2E" w:rsidP="009F2D2E">
      <w:pPr>
        <w:numPr>
          <w:ilvl w:val="0"/>
          <w:numId w:val="6"/>
        </w:numPr>
        <w:contextualSpacing/>
        <w:rPr>
          <w:rFonts w:ascii="Arial" w:eastAsia="Calibri" w:hAnsi="Arial" w:cs="Arial"/>
          <w:sz w:val="20"/>
          <w:szCs w:val="20"/>
        </w:rPr>
      </w:pPr>
      <w:r w:rsidRPr="0056105F">
        <w:rPr>
          <w:rFonts w:ascii="Arial" w:eastAsia="Calibri" w:hAnsi="Arial" w:cs="Arial"/>
          <w:sz w:val="20"/>
          <w:szCs w:val="20"/>
        </w:rPr>
        <w:t xml:space="preserve">La suppression de la </w:t>
      </w:r>
      <w:proofErr w:type="spellStart"/>
      <w:r w:rsidRPr="0056105F">
        <w:rPr>
          <w:rFonts w:ascii="Arial" w:eastAsia="Calibri" w:hAnsi="Arial" w:cs="Arial"/>
          <w:sz w:val="20"/>
          <w:szCs w:val="20"/>
        </w:rPr>
        <w:t>Brav</w:t>
      </w:r>
      <w:proofErr w:type="spellEnd"/>
      <w:r w:rsidRPr="0056105F">
        <w:rPr>
          <w:rFonts w:ascii="Arial" w:eastAsia="Calibri" w:hAnsi="Arial" w:cs="Arial"/>
          <w:sz w:val="20"/>
          <w:szCs w:val="20"/>
        </w:rPr>
        <w:t>-M et au</w:t>
      </w:r>
      <w:r w:rsidR="007D7877">
        <w:rPr>
          <w:rFonts w:ascii="Arial" w:eastAsia="Calibri" w:hAnsi="Arial" w:cs="Arial"/>
          <w:sz w:val="20"/>
          <w:szCs w:val="20"/>
        </w:rPr>
        <w:t xml:space="preserve">tres unités similaires </w:t>
      </w:r>
    </w:p>
    <w:p w14:paraId="151B8DDA" w14:textId="3B7F9FBF" w:rsidR="009F2D2E" w:rsidRPr="0056105F" w:rsidRDefault="009F2D2E" w:rsidP="009F2D2E">
      <w:pPr>
        <w:numPr>
          <w:ilvl w:val="0"/>
          <w:numId w:val="6"/>
        </w:numPr>
        <w:contextualSpacing/>
        <w:rPr>
          <w:rFonts w:ascii="Arial" w:eastAsia="Calibri" w:hAnsi="Arial" w:cs="Arial"/>
          <w:sz w:val="20"/>
          <w:szCs w:val="20"/>
        </w:rPr>
      </w:pPr>
      <w:r w:rsidRPr="0056105F">
        <w:rPr>
          <w:rFonts w:ascii="Arial" w:eastAsia="Calibri" w:hAnsi="Arial" w:cs="Arial"/>
          <w:sz w:val="20"/>
          <w:szCs w:val="20"/>
        </w:rPr>
        <w:t>L’abrogation de l’article 222-14-2</w:t>
      </w:r>
      <w:r w:rsidR="0053711B">
        <w:rPr>
          <w:rStyle w:val="FootnoteReference"/>
          <w:rFonts w:ascii="Arial" w:eastAsia="Calibri" w:hAnsi="Arial" w:cs="Arial"/>
          <w:sz w:val="20"/>
          <w:szCs w:val="20"/>
        </w:rPr>
        <w:footnoteReference w:id="40"/>
      </w:r>
      <w:r w:rsidRPr="0056105F">
        <w:rPr>
          <w:rFonts w:ascii="Arial" w:eastAsia="Calibri" w:hAnsi="Arial" w:cs="Arial"/>
          <w:sz w:val="20"/>
          <w:szCs w:val="20"/>
        </w:rPr>
        <w:t xml:space="preserve"> du code pénal permettant des interpellations abusives (et au</w:t>
      </w:r>
      <w:r w:rsidR="007D7877">
        <w:rPr>
          <w:rFonts w:ascii="Arial" w:eastAsia="Calibri" w:hAnsi="Arial" w:cs="Arial"/>
          <w:sz w:val="20"/>
          <w:szCs w:val="20"/>
        </w:rPr>
        <w:t>tres infractions de prévention </w:t>
      </w:r>
    </w:p>
    <w:p w14:paraId="5D1DAAC7" w14:textId="6D9E9995" w:rsidR="009F2D2E" w:rsidRPr="0056105F" w:rsidRDefault="009F2D2E" w:rsidP="009F2D2E">
      <w:pPr>
        <w:numPr>
          <w:ilvl w:val="0"/>
          <w:numId w:val="6"/>
        </w:numPr>
        <w:contextualSpacing/>
        <w:rPr>
          <w:rFonts w:ascii="Arial" w:eastAsia="Calibri" w:hAnsi="Arial" w:cs="Arial"/>
          <w:sz w:val="20"/>
          <w:szCs w:val="20"/>
        </w:rPr>
      </w:pPr>
      <w:r w:rsidRPr="0056105F">
        <w:rPr>
          <w:rFonts w:ascii="Arial" w:eastAsia="Calibri" w:hAnsi="Arial" w:cs="Arial"/>
          <w:sz w:val="20"/>
          <w:szCs w:val="20"/>
        </w:rPr>
        <w:t>L’abrogati</w:t>
      </w:r>
      <w:r w:rsidR="007D7877">
        <w:rPr>
          <w:rFonts w:ascii="Arial" w:eastAsia="Calibri" w:hAnsi="Arial" w:cs="Arial"/>
          <w:sz w:val="20"/>
          <w:szCs w:val="20"/>
        </w:rPr>
        <w:t>on de l’article L.435-1 du CSI </w:t>
      </w:r>
    </w:p>
    <w:p w14:paraId="562D722D" w14:textId="5D4FFA4E" w:rsidR="009F2D2E" w:rsidRPr="0056105F" w:rsidRDefault="009F2D2E" w:rsidP="009F2D2E">
      <w:pPr>
        <w:numPr>
          <w:ilvl w:val="0"/>
          <w:numId w:val="6"/>
        </w:numPr>
        <w:tabs>
          <w:tab w:val="left" w:pos="284"/>
        </w:tabs>
        <w:ind w:left="284" w:firstLine="76"/>
        <w:contextualSpacing/>
        <w:jc w:val="both"/>
        <w:rPr>
          <w:rFonts w:ascii="Arial" w:eastAsia="Calibri" w:hAnsi="Arial" w:cs="Arial"/>
          <w:sz w:val="20"/>
          <w:szCs w:val="20"/>
        </w:rPr>
      </w:pPr>
      <w:r w:rsidRPr="0056105F">
        <w:rPr>
          <w:rFonts w:ascii="Arial" w:eastAsia="Calibri" w:hAnsi="Arial" w:cs="Arial"/>
          <w:sz w:val="20"/>
          <w:szCs w:val="20"/>
        </w:rPr>
        <w:t>La mise en place d’un</w:t>
      </w:r>
      <w:r w:rsidRPr="0056105F">
        <w:rPr>
          <w:rFonts w:ascii="Arial" w:eastAsia="Calibri" w:hAnsi="Arial" w:cs="Arial"/>
          <w:bCs/>
          <w:sz w:val="20"/>
          <w:szCs w:val="20"/>
        </w:rPr>
        <w:t xml:space="preserve"> matricule visible et lisible en toutes circonstances </w:t>
      </w:r>
    </w:p>
    <w:p w14:paraId="2882190B" w14:textId="25520F04" w:rsidR="009F2D2E" w:rsidRPr="0056105F" w:rsidRDefault="009F2D2E" w:rsidP="009F2D2E">
      <w:pPr>
        <w:numPr>
          <w:ilvl w:val="0"/>
          <w:numId w:val="6"/>
        </w:numPr>
        <w:tabs>
          <w:tab w:val="left" w:pos="284"/>
        </w:tabs>
        <w:contextualSpacing/>
        <w:jc w:val="both"/>
        <w:rPr>
          <w:rFonts w:ascii="Arial" w:eastAsia="Calibri" w:hAnsi="Arial" w:cs="Arial"/>
          <w:sz w:val="20"/>
          <w:szCs w:val="20"/>
        </w:rPr>
      </w:pPr>
      <w:r w:rsidRPr="0056105F">
        <w:rPr>
          <w:rFonts w:ascii="Arial" w:eastAsia="Calibri" w:hAnsi="Arial" w:cs="Arial"/>
          <w:sz w:val="20"/>
          <w:szCs w:val="20"/>
        </w:rPr>
        <w:t>Un traitement judiciaire équitable des faits de violences policières et un meilleur encadrement des procédures d’outrage et rébellion a minima ; la suppression du délit d’outrage </w:t>
      </w:r>
    </w:p>
    <w:p w14:paraId="220775AB" w14:textId="77777777" w:rsidR="009F2D2E" w:rsidRPr="0056105F" w:rsidRDefault="009F2D2E" w:rsidP="009F2D2E">
      <w:pPr>
        <w:rPr>
          <w:rFonts w:ascii="Arial" w:hAnsi="Arial" w:cs="Arial"/>
          <w:sz w:val="20"/>
          <w:szCs w:val="20"/>
        </w:rPr>
      </w:pPr>
    </w:p>
    <w:p w14:paraId="1339DD37" w14:textId="77777777" w:rsidR="009F2D2E" w:rsidRPr="002C1669" w:rsidRDefault="006728A5" w:rsidP="009F2D2E">
      <w:pPr>
        <w:shd w:val="clear" w:color="auto" w:fill="D9D9D9" w:themeFill="background1" w:themeFillShade="D9"/>
        <w:jc w:val="both"/>
        <w:rPr>
          <w:rFonts w:ascii="Arial" w:hAnsi="Arial" w:cs="Arial"/>
          <w:b/>
          <w:sz w:val="20"/>
          <w:szCs w:val="20"/>
        </w:rPr>
      </w:pPr>
      <w:r>
        <w:rPr>
          <w:rFonts w:ascii="Arial" w:hAnsi="Arial" w:cs="Arial"/>
          <w:b/>
          <w:sz w:val="20"/>
          <w:szCs w:val="20"/>
        </w:rPr>
        <w:t xml:space="preserve">2. </w:t>
      </w:r>
      <w:r w:rsidR="009F2D2E">
        <w:rPr>
          <w:rFonts w:ascii="Arial" w:hAnsi="Arial" w:cs="Arial"/>
          <w:b/>
          <w:sz w:val="20"/>
          <w:szCs w:val="20"/>
        </w:rPr>
        <w:t>Les lieux privatifs de liberté</w:t>
      </w:r>
    </w:p>
    <w:p w14:paraId="2DE85462" w14:textId="77777777" w:rsidR="009F2D2E" w:rsidRPr="002C1669" w:rsidRDefault="00D21613" w:rsidP="009F2D2E">
      <w:pPr>
        <w:jc w:val="both"/>
        <w:rPr>
          <w:rFonts w:ascii="Arial" w:hAnsi="Arial" w:cs="Arial"/>
          <w:b/>
          <w:sz w:val="20"/>
          <w:szCs w:val="20"/>
          <w:u w:val="single"/>
        </w:rPr>
      </w:pPr>
      <w:r w:rsidRPr="00D21613">
        <w:rPr>
          <w:rFonts w:ascii="Arial" w:hAnsi="Arial" w:cs="Arial"/>
          <w:b/>
          <w:sz w:val="20"/>
          <w:szCs w:val="20"/>
        </w:rPr>
        <w:t>2.1</w:t>
      </w:r>
      <w:r>
        <w:rPr>
          <w:rFonts w:ascii="Arial" w:hAnsi="Arial" w:cs="Arial"/>
          <w:b/>
          <w:sz w:val="20"/>
          <w:szCs w:val="20"/>
          <w:u w:val="single"/>
        </w:rPr>
        <w:t xml:space="preserve"> </w:t>
      </w:r>
      <w:r w:rsidR="009F2D2E">
        <w:rPr>
          <w:rFonts w:ascii="Arial" w:hAnsi="Arial" w:cs="Arial"/>
          <w:b/>
          <w:sz w:val="20"/>
          <w:szCs w:val="20"/>
          <w:u w:val="single"/>
        </w:rPr>
        <w:t xml:space="preserve">La surpopulation carcérale </w:t>
      </w:r>
    </w:p>
    <w:p w14:paraId="44F9FF6E" w14:textId="0378B92D" w:rsidR="009F2D2E" w:rsidRPr="00CF0170" w:rsidRDefault="009F2D2E" w:rsidP="009F2D2E">
      <w:pPr>
        <w:jc w:val="both"/>
        <w:rPr>
          <w:rFonts w:ascii="Arial" w:hAnsi="Arial" w:cs="Arial"/>
          <w:sz w:val="20"/>
          <w:szCs w:val="20"/>
        </w:rPr>
      </w:pPr>
      <w:r w:rsidRPr="00CF0170">
        <w:rPr>
          <w:rFonts w:ascii="Arial" w:hAnsi="Arial" w:cs="Arial"/>
          <w:sz w:val="20"/>
          <w:szCs w:val="20"/>
        </w:rPr>
        <w:t xml:space="preserve">Dans </w:t>
      </w:r>
      <w:proofErr w:type="gramStart"/>
      <w:r w:rsidRPr="00CF0170">
        <w:rPr>
          <w:rFonts w:ascii="Arial" w:hAnsi="Arial" w:cs="Arial"/>
          <w:sz w:val="20"/>
          <w:szCs w:val="20"/>
        </w:rPr>
        <w:t>ses  de</w:t>
      </w:r>
      <w:r w:rsidR="0085539E">
        <w:rPr>
          <w:rFonts w:ascii="Arial" w:hAnsi="Arial" w:cs="Arial"/>
          <w:sz w:val="20"/>
          <w:szCs w:val="20"/>
        </w:rPr>
        <w:t>rnières</w:t>
      </w:r>
      <w:proofErr w:type="gramEnd"/>
      <w:r w:rsidR="0085539E">
        <w:rPr>
          <w:rFonts w:ascii="Arial" w:hAnsi="Arial" w:cs="Arial"/>
          <w:sz w:val="20"/>
          <w:szCs w:val="20"/>
        </w:rPr>
        <w:t xml:space="preserve"> observations finales, votre</w:t>
      </w:r>
      <w:r w:rsidRPr="00CF0170">
        <w:rPr>
          <w:rFonts w:ascii="Arial" w:hAnsi="Arial" w:cs="Arial"/>
          <w:sz w:val="20"/>
          <w:szCs w:val="20"/>
        </w:rPr>
        <w:t xml:space="preserve"> Comité recommandait à la France </w:t>
      </w:r>
      <w:r w:rsidRPr="00CF0170">
        <w:rPr>
          <w:rFonts w:ascii="Arial" w:hAnsi="Arial" w:cs="Arial"/>
          <w:i/>
          <w:sz w:val="20"/>
          <w:szCs w:val="20"/>
        </w:rPr>
        <w:t>« de poursuivre ses efforts pour améliorer d’urgence les conditions de détention en tenant compte des recommandations du Contrôleur général des lieux de privation de liberté, et notamment de réduire de manière soutenue la surpopulation carcérale, en particulier par un recours accru à des peines de substitution à la privation de liberté, […], et d’améliorer les conditions matérielles de détention</w:t>
      </w:r>
      <w:r w:rsidRPr="00CF0170">
        <w:rPr>
          <w:rFonts w:ascii="Arial" w:hAnsi="Arial" w:cs="Arial"/>
          <w:sz w:val="20"/>
          <w:szCs w:val="20"/>
        </w:rPr>
        <w:t> »</w:t>
      </w:r>
      <w:r w:rsidRPr="00CF0170">
        <w:rPr>
          <w:rFonts w:ascii="Arial" w:hAnsi="Arial" w:cs="Arial"/>
          <w:sz w:val="20"/>
          <w:szCs w:val="20"/>
          <w:vertAlign w:val="superscript"/>
        </w:rPr>
        <w:footnoteReference w:id="41"/>
      </w:r>
      <w:r w:rsidRPr="00CF0170">
        <w:rPr>
          <w:rFonts w:ascii="Arial" w:hAnsi="Arial" w:cs="Arial"/>
          <w:sz w:val="20"/>
          <w:szCs w:val="20"/>
        </w:rPr>
        <w:t>.</w:t>
      </w:r>
    </w:p>
    <w:p w14:paraId="45C8F1E8"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 xml:space="preserve">La France doit </w:t>
      </w:r>
      <w:r>
        <w:rPr>
          <w:rFonts w:ascii="Arial" w:hAnsi="Arial" w:cs="Arial"/>
          <w:sz w:val="20"/>
          <w:szCs w:val="20"/>
        </w:rPr>
        <w:t xml:space="preserve">en effet </w:t>
      </w:r>
      <w:r w:rsidRPr="002C1669">
        <w:rPr>
          <w:rFonts w:ascii="Arial" w:hAnsi="Arial" w:cs="Arial"/>
          <w:sz w:val="20"/>
          <w:szCs w:val="20"/>
        </w:rPr>
        <w:t xml:space="preserve">faire face à une grave surpopulation carcérale inscrite dans la durée et à un sous-équipement en places pénitentiaires. </w:t>
      </w:r>
    </w:p>
    <w:p w14:paraId="48F52E0B" w14:textId="1E29EEF2" w:rsidR="009F2D2E" w:rsidRPr="002C1669" w:rsidRDefault="009F2D2E" w:rsidP="009F2D2E">
      <w:pPr>
        <w:jc w:val="both"/>
        <w:rPr>
          <w:rFonts w:ascii="Arial" w:hAnsi="Arial" w:cs="Arial"/>
          <w:sz w:val="20"/>
          <w:szCs w:val="20"/>
        </w:rPr>
      </w:pPr>
      <w:r w:rsidRPr="002C1669">
        <w:rPr>
          <w:rFonts w:ascii="Arial" w:hAnsi="Arial" w:cs="Arial"/>
          <w:sz w:val="20"/>
          <w:szCs w:val="20"/>
        </w:rPr>
        <w:t>Les 20 dernières années ont été marquées par une augmentation continue de la population carcérale. La population détenue a crû de 45,4 % en 18 années pour atteindre 70 651 détenus au 1</w:t>
      </w:r>
      <w:r w:rsidRPr="002C1669">
        <w:rPr>
          <w:rFonts w:ascii="Arial" w:hAnsi="Arial" w:cs="Arial"/>
          <w:sz w:val="20"/>
          <w:szCs w:val="20"/>
          <w:vertAlign w:val="superscript"/>
        </w:rPr>
        <w:t>er</w:t>
      </w:r>
      <w:r w:rsidRPr="002C1669">
        <w:rPr>
          <w:rFonts w:ascii="Arial" w:hAnsi="Arial" w:cs="Arial"/>
          <w:sz w:val="20"/>
          <w:szCs w:val="20"/>
        </w:rPr>
        <w:t xml:space="preserve"> janvier 2020</w:t>
      </w:r>
      <w:r w:rsidRPr="002C1669">
        <w:rPr>
          <w:rStyle w:val="FootnoteReference"/>
          <w:rFonts w:ascii="Arial" w:hAnsi="Arial" w:cs="Arial"/>
        </w:rPr>
        <w:footnoteReference w:id="42"/>
      </w:r>
      <w:r w:rsidRPr="002C1669">
        <w:rPr>
          <w:rFonts w:ascii="Arial" w:hAnsi="Arial" w:cs="Arial"/>
          <w:sz w:val="20"/>
          <w:szCs w:val="20"/>
        </w:rPr>
        <w:t>. Avec 74 237 détenus pour 60 629 places opérationnelles au 1</w:t>
      </w:r>
      <w:r w:rsidRPr="002C1669">
        <w:rPr>
          <w:rFonts w:ascii="Arial" w:hAnsi="Arial" w:cs="Arial"/>
          <w:sz w:val="20"/>
          <w:szCs w:val="20"/>
          <w:vertAlign w:val="superscript"/>
        </w:rPr>
        <w:t>er</w:t>
      </w:r>
      <w:r w:rsidRPr="002C1669">
        <w:rPr>
          <w:rFonts w:ascii="Arial" w:hAnsi="Arial" w:cs="Arial"/>
          <w:sz w:val="20"/>
          <w:szCs w:val="20"/>
        </w:rPr>
        <w:t xml:space="preserve"> août 2023, </w:t>
      </w:r>
      <w:r w:rsidR="0053711B">
        <w:rPr>
          <w:rFonts w:ascii="Arial" w:hAnsi="Arial" w:cs="Arial"/>
          <w:sz w:val="20"/>
          <w:szCs w:val="20"/>
        </w:rPr>
        <w:t>78 300 au 1</w:t>
      </w:r>
      <w:r w:rsidR="0053711B" w:rsidRPr="004146AA">
        <w:rPr>
          <w:rFonts w:ascii="Arial" w:hAnsi="Arial" w:cs="Arial"/>
          <w:sz w:val="20"/>
          <w:szCs w:val="20"/>
          <w:vertAlign w:val="superscript"/>
        </w:rPr>
        <w:t>er</w:t>
      </w:r>
      <w:r w:rsidR="0053711B">
        <w:rPr>
          <w:rFonts w:ascii="Arial" w:hAnsi="Arial" w:cs="Arial"/>
          <w:sz w:val="20"/>
          <w:szCs w:val="20"/>
        </w:rPr>
        <w:t xml:space="preserve"> octobre 2024</w:t>
      </w:r>
      <w:r w:rsidR="0053711B">
        <w:rPr>
          <w:rStyle w:val="FootnoteReference"/>
          <w:rFonts w:ascii="Arial" w:hAnsi="Arial" w:cs="Arial"/>
          <w:sz w:val="20"/>
          <w:szCs w:val="20"/>
        </w:rPr>
        <w:footnoteReference w:id="43"/>
      </w:r>
      <w:r w:rsidR="0053711B">
        <w:rPr>
          <w:rFonts w:ascii="Arial" w:hAnsi="Arial" w:cs="Arial"/>
          <w:sz w:val="20"/>
          <w:szCs w:val="20"/>
        </w:rPr>
        <w:t xml:space="preserve">, </w:t>
      </w:r>
      <w:r w:rsidRPr="002C1669">
        <w:rPr>
          <w:rFonts w:ascii="Arial" w:hAnsi="Arial" w:cs="Arial"/>
          <w:sz w:val="20"/>
          <w:szCs w:val="20"/>
        </w:rPr>
        <w:t>la population carcérale atteint des niveaux record</w:t>
      </w:r>
      <w:r w:rsidR="00D570CD">
        <w:rPr>
          <w:rFonts w:ascii="Arial" w:hAnsi="Arial" w:cs="Arial"/>
          <w:sz w:val="20"/>
          <w:szCs w:val="20"/>
        </w:rPr>
        <w:t>s</w:t>
      </w:r>
      <w:r w:rsidRPr="002C1669">
        <w:rPr>
          <w:rFonts w:ascii="Arial" w:hAnsi="Arial" w:cs="Arial"/>
          <w:sz w:val="20"/>
          <w:szCs w:val="20"/>
        </w:rPr>
        <w:t>.</w:t>
      </w:r>
    </w:p>
    <w:p w14:paraId="00F430E5"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 xml:space="preserve">Depuis 2021, pas moins de cinq visites d’établissements pénitentiaires ont donné lieu à des recommandations en urgence de la </w:t>
      </w:r>
      <w:proofErr w:type="spellStart"/>
      <w:r w:rsidRPr="002C1669">
        <w:rPr>
          <w:rFonts w:ascii="Arial" w:hAnsi="Arial" w:cs="Arial"/>
          <w:sz w:val="20"/>
          <w:szCs w:val="20"/>
        </w:rPr>
        <w:t>Contrôleure</w:t>
      </w:r>
      <w:proofErr w:type="spellEnd"/>
      <w:r w:rsidRPr="002C1669">
        <w:rPr>
          <w:rFonts w:ascii="Arial" w:hAnsi="Arial" w:cs="Arial"/>
          <w:sz w:val="20"/>
          <w:szCs w:val="20"/>
        </w:rPr>
        <w:t xml:space="preserve"> générale des lieux privatifs de liberté (CGLPL). Depuis 2022, l</w:t>
      </w:r>
      <w:r w:rsidR="008622F1">
        <w:rPr>
          <w:rFonts w:ascii="Arial" w:hAnsi="Arial" w:cs="Arial"/>
          <w:sz w:val="20"/>
          <w:szCs w:val="20"/>
        </w:rPr>
        <w:t>a</w:t>
      </w:r>
      <w:r w:rsidRPr="002C1669">
        <w:rPr>
          <w:rFonts w:ascii="Arial" w:hAnsi="Arial" w:cs="Arial"/>
          <w:sz w:val="20"/>
          <w:szCs w:val="20"/>
        </w:rPr>
        <w:t xml:space="preserve"> CGLPL a réalisé 17 visites exclusivement consacrées à la dignité des conditions de détention en maison d’arrêt, les descriptions auxquelles elles donnent lieu sont toutes comparables :</w:t>
      </w:r>
    </w:p>
    <w:p w14:paraId="33046CF3" w14:textId="77777777" w:rsidR="009F2D2E" w:rsidRPr="002C1669" w:rsidRDefault="009F2D2E" w:rsidP="009F2D2E">
      <w:pPr>
        <w:jc w:val="both"/>
        <w:rPr>
          <w:rFonts w:ascii="Arial" w:hAnsi="Arial" w:cs="Arial"/>
          <w:sz w:val="20"/>
          <w:szCs w:val="20"/>
        </w:rPr>
      </w:pPr>
      <w:r w:rsidRPr="002C1669">
        <w:rPr>
          <w:rFonts w:ascii="Arial" w:hAnsi="Arial" w:cs="Arial"/>
          <w:i/>
          <w:sz w:val="20"/>
          <w:szCs w:val="20"/>
        </w:rPr>
        <w:t xml:space="preserve">« Les personnes détenues restent souvent plus de 20 heures sur 24 dans des cellules surpeuplées, où l’espace dont chacun dispose pour se mouvoir est inférieur à un mètre carré ; les bâtiments sont vétustes et insalubres faute de pouvoir être entretenus ; saturés, les réseaux électriques, d’eau et de chauffage tombent en panne ; l’humidité dégrade les cellules ; les fenêtres ne sont pas étanches ; les rats, puces et punaises prolifèrent ; des mesures de contrôle et de sécurité portant atteinte à la dignité se généralisent ; la sécurité des personnes détenues n’est assurée, ni au regard des violences engendrées par la promiscuité et le désœuvrement, ni face aux risques d’incendie ; et les  soins ne sont </w:t>
      </w:r>
      <w:r w:rsidRPr="002C1669">
        <w:rPr>
          <w:rFonts w:ascii="Arial" w:hAnsi="Arial" w:cs="Arial"/>
          <w:i/>
          <w:sz w:val="20"/>
          <w:szCs w:val="20"/>
        </w:rPr>
        <w:lastRenderedPageBreak/>
        <w:t>pas garantis, faute de moyens. Dans ce contexte, la participation à des activités ou le fait d’être accompagné dans sa préparation à la sortie deviennent d’inaccessibles privilèges</w:t>
      </w:r>
      <w:r w:rsidRPr="002C1669">
        <w:rPr>
          <w:rFonts w:ascii="Arial" w:hAnsi="Arial" w:cs="Arial"/>
          <w:sz w:val="20"/>
          <w:szCs w:val="20"/>
        </w:rPr>
        <w:t> »</w:t>
      </w:r>
      <w:r w:rsidRPr="002C1669">
        <w:rPr>
          <w:rStyle w:val="FootnoteReference"/>
          <w:rFonts w:ascii="Arial" w:hAnsi="Arial" w:cs="Arial"/>
        </w:rPr>
        <w:footnoteReference w:id="44"/>
      </w:r>
      <w:r w:rsidRPr="002C1669">
        <w:rPr>
          <w:rFonts w:ascii="Arial" w:hAnsi="Arial" w:cs="Arial"/>
          <w:sz w:val="20"/>
          <w:szCs w:val="20"/>
        </w:rPr>
        <w:t>.</w:t>
      </w:r>
    </w:p>
    <w:p w14:paraId="4BD4831D" w14:textId="0983C83A" w:rsidR="009F2D2E" w:rsidRPr="002C1669" w:rsidRDefault="009F2D2E" w:rsidP="009F2D2E">
      <w:pPr>
        <w:jc w:val="both"/>
        <w:rPr>
          <w:rFonts w:ascii="Arial" w:hAnsi="Arial" w:cs="Arial"/>
          <w:sz w:val="20"/>
          <w:szCs w:val="20"/>
        </w:rPr>
      </w:pPr>
      <w:r w:rsidRPr="002C1669">
        <w:rPr>
          <w:rFonts w:ascii="Arial" w:hAnsi="Arial" w:cs="Arial"/>
          <w:sz w:val="20"/>
          <w:szCs w:val="20"/>
        </w:rPr>
        <w:t xml:space="preserve">Le niveau de délabrement et de suroccupation de certaines maisons d’arrêt a ainsi conduit la </w:t>
      </w:r>
      <w:r w:rsidR="009A490B">
        <w:rPr>
          <w:rFonts w:ascii="Arial" w:hAnsi="Arial" w:cs="Arial"/>
          <w:sz w:val="20"/>
          <w:szCs w:val="20"/>
        </w:rPr>
        <w:t>CEDH</w:t>
      </w:r>
      <w:r w:rsidRPr="002C1669">
        <w:rPr>
          <w:rFonts w:ascii="Arial" w:hAnsi="Arial" w:cs="Arial"/>
          <w:sz w:val="20"/>
          <w:szCs w:val="20"/>
        </w:rPr>
        <w:t xml:space="preserve"> à prononcer plusieurs condamnations contre la France pour violation de l’article 3 de la convention au titre des traitements inhumains et dégradants. Le 30 janvier 2020, la </w:t>
      </w:r>
      <w:r>
        <w:rPr>
          <w:rFonts w:ascii="Arial" w:hAnsi="Arial" w:cs="Arial"/>
          <w:sz w:val="20"/>
          <w:szCs w:val="20"/>
        </w:rPr>
        <w:t>CEDH</w:t>
      </w:r>
      <w:r w:rsidRPr="002C1669">
        <w:rPr>
          <w:rFonts w:ascii="Arial" w:hAnsi="Arial" w:cs="Arial"/>
          <w:sz w:val="20"/>
          <w:szCs w:val="20"/>
        </w:rPr>
        <w:t xml:space="preserve"> a en effet fermement condamné la France, non seulement en raison de l’indignité des conditions d’incarcération constatées dans six établissements pénitentiaires en métropole et dans les collectivités d’outre-mer (Nîmes, Fresnes, Nice, Ducos, Baie-Mahault et </w:t>
      </w:r>
      <w:proofErr w:type="spellStart"/>
      <w:r w:rsidRPr="002C1669">
        <w:rPr>
          <w:rFonts w:ascii="Arial" w:hAnsi="Arial" w:cs="Arial"/>
          <w:sz w:val="20"/>
          <w:szCs w:val="20"/>
        </w:rPr>
        <w:t>Faa’a-Nuutania</w:t>
      </w:r>
      <w:proofErr w:type="spellEnd"/>
      <w:r w:rsidRPr="002C1669">
        <w:rPr>
          <w:rFonts w:ascii="Arial" w:hAnsi="Arial" w:cs="Arial"/>
          <w:sz w:val="20"/>
          <w:szCs w:val="20"/>
        </w:rPr>
        <w:t>), mais aussi faute de voie de recours effective pour y mettre fin</w:t>
      </w:r>
      <w:r w:rsidRPr="002C1669">
        <w:rPr>
          <w:rStyle w:val="FootnoteReference"/>
          <w:rFonts w:ascii="Arial" w:hAnsi="Arial" w:cs="Arial"/>
        </w:rPr>
        <w:footnoteReference w:id="45"/>
      </w:r>
      <w:r w:rsidRPr="002C1669">
        <w:rPr>
          <w:rFonts w:ascii="Arial" w:hAnsi="Arial" w:cs="Arial"/>
          <w:sz w:val="20"/>
          <w:szCs w:val="20"/>
        </w:rPr>
        <w:t>.</w:t>
      </w:r>
    </w:p>
    <w:p w14:paraId="32B6D6E6"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Prenant acte du caractère structurel de l’indignité qui affecte le parc carcéral français, la Cour a invité la France, sur le fondement de l’article 46 de la CE</w:t>
      </w:r>
      <w:r>
        <w:rPr>
          <w:rFonts w:ascii="Arial" w:hAnsi="Arial" w:cs="Arial"/>
          <w:sz w:val="20"/>
          <w:szCs w:val="20"/>
        </w:rPr>
        <w:t>S</w:t>
      </w:r>
      <w:r w:rsidRPr="002C1669">
        <w:rPr>
          <w:rFonts w:ascii="Arial" w:hAnsi="Arial" w:cs="Arial"/>
          <w:sz w:val="20"/>
          <w:szCs w:val="20"/>
        </w:rPr>
        <w:t xml:space="preserve">DH, à adopter des mesures générales pour mettre fin à ces situations de violations massives des droits fondamentaux des personnes détenues, parmi lesquels figure notamment l’établissement d’un « </w:t>
      </w:r>
      <w:r w:rsidRPr="002C1669">
        <w:rPr>
          <w:rFonts w:ascii="Arial" w:hAnsi="Arial" w:cs="Arial"/>
          <w:i/>
          <w:sz w:val="20"/>
          <w:szCs w:val="20"/>
        </w:rPr>
        <w:t>recours permettant aux détenus, de manière effective, en combinaison avec le recours indemnitaire […], de redresser la situation dont ils sont victimes et d’empêcher la continuation d’une violation alléguée</w:t>
      </w:r>
      <w:r w:rsidRPr="002C1669">
        <w:rPr>
          <w:rFonts w:ascii="Arial" w:hAnsi="Arial" w:cs="Arial"/>
          <w:sz w:val="20"/>
          <w:szCs w:val="20"/>
        </w:rPr>
        <w:t>»</w:t>
      </w:r>
      <w:r w:rsidRPr="002C1669">
        <w:rPr>
          <w:rFonts w:ascii="Arial" w:hAnsi="Arial" w:cs="Arial"/>
          <w:sz w:val="20"/>
          <w:szCs w:val="20"/>
          <w:vertAlign w:val="superscript"/>
        </w:rPr>
        <w:footnoteReference w:id="46"/>
      </w:r>
      <w:r w:rsidRPr="002C1669">
        <w:rPr>
          <w:rFonts w:ascii="Arial" w:hAnsi="Arial" w:cs="Arial"/>
          <w:sz w:val="20"/>
          <w:szCs w:val="20"/>
        </w:rPr>
        <w:t xml:space="preserve"> et, en particulier, d’œuvrer à la « </w:t>
      </w:r>
      <w:r w:rsidRPr="00801F3E">
        <w:rPr>
          <w:rFonts w:ascii="Arial" w:hAnsi="Arial" w:cs="Arial"/>
          <w:i/>
          <w:sz w:val="20"/>
          <w:szCs w:val="20"/>
        </w:rPr>
        <w:t>résorption définitive de la surpopulation carcérale</w:t>
      </w:r>
      <w:r w:rsidRPr="002C1669">
        <w:rPr>
          <w:rFonts w:ascii="Arial" w:hAnsi="Arial" w:cs="Arial"/>
          <w:sz w:val="20"/>
          <w:szCs w:val="20"/>
        </w:rPr>
        <w:t xml:space="preserve"> ».</w:t>
      </w:r>
    </w:p>
    <w:p w14:paraId="2B5F122B" w14:textId="2E6164F9" w:rsidR="009F2D2E" w:rsidRPr="002C1669" w:rsidRDefault="009F2D2E" w:rsidP="009F2D2E">
      <w:pPr>
        <w:jc w:val="both"/>
        <w:rPr>
          <w:rFonts w:ascii="Arial" w:hAnsi="Arial" w:cs="Arial"/>
          <w:sz w:val="20"/>
          <w:szCs w:val="20"/>
        </w:rPr>
      </w:pPr>
      <w:r w:rsidRPr="002C1669">
        <w:rPr>
          <w:rFonts w:ascii="Arial" w:hAnsi="Arial" w:cs="Arial"/>
          <w:sz w:val="20"/>
          <w:szCs w:val="20"/>
        </w:rPr>
        <w:t>Par décisions des 2 octobre 2020 et du 16 avril 2021, le Conseil constitutionnel a censuré plusieurs articles du code de procédure pénale au motif qu’ils ne prévoyaient pas que les personnes détenues, qu’elles soient prévenues ou condamnées, puissent demander leur remise en liberté en arguant des conditions indignes de détention qui leur sont imposées</w:t>
      </w:r>
      <w:r w:rsidRPr="002C1669">
        <w:rPr>
          <w:rStyle w:val="FootnoteReference"/>
          <w:rFonts w:ascii="Arial" w:hAnsi="Arial" w:cs="Arial"/>
        </w:rPr>
        <w:footnoteReference w:id="47"/>
      </w:r>
      <w:r w:rsidRPr="002C1669">
        <w:rPr>
          <w:rFonts w:ascii="Arial" w:hAnsi="Arial" w:cs="Arial"/>
          <w:sz w:val="20"/>
          <w:szCs w:val="20"/>
        </w:rPr>
        <w:t>.De cette manière, il a imposé l’intervention du législateur et imposé l’introduction d’une nouvelle voie de recours en droit français.</w:t>
      </w:r>
    </w:p>
    <w:p w14:paraId="7948C293"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Aussi, la loi n°2021-403 du 8 avril 2021 tendant à garantir le droit au respect de la dignité en détention a instauré une nouvelle voie de recours devant le juge judiciaire pour tous les détenus en cas de conditions indignes de détention</w:t>
      </w:r>
      <w:r w:rsidRPr="002C1669">
        <w:rPr>
          <w:rStyle w:val="FootnoteReference"/>
          <w:rFonts w:ascii="Arial" w:hAnsi="Arial" w:cs="Arial"/>
        </w:rPr>
        <w:footnoteReference w:id="48"/>
      </w:r>
      <w:r w:rsidRPr="002C1669">
        <w:rPr>
          <w:rFonts w:ascii="Arial" w:hAnsi="Arial" w:cs="Arial"/>
          <w:sz w:val="20"/>
          <w:szCs w:val="20"/>
        </w:rPr>
        <w:t xml:space="preserve"> . Selon les Etats Généraux de la justice, 32 recours ont été introduits sur ce fondement en janvier 2022.</w:t>
      </w:r>
    </w:p>
    <w:p w14:paraId="775D8220"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La remise en liberté et l’aménagement de peine ne constituent pas néanmoins la fin privilégiée de cette procédure, le législateur ayant considéré que le transfèrement de l’intéressé vers un autre établissement pénitentiaire pouvait également être une solution suffisante pour qu’il soit mis un terme aux atteintes précitées. Le dispositif est construit de telle sorte que cette voie est d’ailleurs fortement privilégiée.</w:t>
      </w:r>
    </w:p>
    <w:p w14:paraId="59560839"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 xml:space="preserve">En mars 2024, les délégués du Comité des ministres du Conseil de l’Europe – en charge du suivi de l’exécution de l’arrêt J.M.B. c. France – exprimaient « </w:t>
      </w:r>
      <w:r w:rsidRPr="002C1669">
        <w:rPr>
          <w:rFonts w:ascii="Arial" w:hAnsi="Arial" w:cs="Arial"/>
          <w:i/>
          <w:sz w:val="20"/>
          <w:szCs w:val="20"/>
        </w:rPr>
        <w:t xml:space="preserve">leur profonde préoccupation face aux derniers chiffres attestant, depuis l’arrêt de la Cour (…) d’une aggravation de la situation (…) et d’une croissance constante de la population carcérale </w:t>
      </w:r>
      <w:r w:rsidRPr="002C1669">
        <w:rPr>
          <w:rFonts w:ascii="Arial" w:hAnsi="Arial" w:cs="Arial"/>
          <w:sz w:val="20"/>
          <w:szCs w:val="20"/>
        </w:rPr>
        <w:t xml:space="preserve">» et invitaient instamment les autorités françaises à « </w:t>
      </w:r>
      <w:r w:rsidRPr="002C1669">
        <w:rPr>
          <w:rFonts w:ascii="Arial" w:hAnsi="Arial" w:cs="Arial"/>
          <w:i/>
          <w:sz w:val="20"/>
          <w:szCs w:val="20"/>
        </w:rPr>
        <w:t>reconsidérer leur stratégie de lutte contre la surpopulation</w:t>
      </w:r>
      <w:r w:rsidRPr="002C1669">
        <w:rPr>
          <w:rFonts w:ascii="Arial" w:hAnsi="Arial" w:cs="Arial"/>
          <w:sz w:val="20"/>
          <w:szCs w:val="20"/>
        </w:rPr>
        <w:t xml:space="preserve"> » et à « </w:t>
      </w:r>
      <w:r w:rsidRPr="002C1669">
        <w:rPr>
          <w:rFonts w:ascii="Arial" w:hAnsi="Arial" w:cs="Arial"/>
          <w:i/>
          <w:sz w:val="20"/>
          <w:szCs w:val="20"/>
        </w:rPr>
        <w:t xml:space="preserve">examiner sérieusement et rapidement l'idée d'introduire un mécanisme national contraignant de régulation carcérale, selon les modalités qu’il leur appartiendra de déterminer, face à l’urgence de la situation carcérale et compte tenu des recommandations croissantes à ce sujet </w:t>
      </w:r>
      <w:r w:rsidRPr="002C1669">
        <w:rPr>
          <w:rFonts w:ascii="Arial" w:hAnsi="Arial" w:cs="Arial"/>
          <w:sz w:val="20"/>
          <w:szCs w:val="20"/>
        </w:rPr>
        <w:t>»</w:t>
      </w:r>
      <w:r w:rsidRPr="002C1669">
        <w:rPr>
          <w:rStyle w:val="FootnoteReference"/>
          <w:rFonts w:ascii="Arial" w:hAnsi="Arial" w:cs="Arial"/>
        </w:rPr>
        <w:footnoteReference w:id="49"/>
      </w:r>
      <w:r w:rsidRPr="002C1669">
        <w:rPr>
          <w:rFonts w:ascii="Arial" w:hAnsi="Arial" w:cs="Arial"/>
          <w:sz w:val="20"/>
          <w:szCs w:val="20"/>
        </w:rPr>
        <w:t>.</w:t>
      </w:r>
    </w:p>
    <w:p w14:paraId="5486639F"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L’appel à l’instauration d’un mécanisme de régulation carcérale a également été relayé par la sphère parlementaire</w:t>
      </w:r>
      <w:r w:rsidRPr="002C1669">
        <w:rPr>
          <w:rStyle w:val="FootnoteReference"/>
          <w:rFonts w:ascii="Arial" w:hAnsi="Arial" w:cs="Arial"/>
        </w:rPr>
        <w:footnoteReference w:id="50"/>
      </w:r>
      <w:r w:rsidRPr="002C1669">
        <w:rPr>
          <w:rFonts w:ascii="Arial" w:hAnsi="Arial" w:cs="Arial"/>
          <w:sz w:val="20"/>
          <w:szCs w:val="20"/>
        </w:rPr>
        <w:t xml:space="preserve"> ainsi que </w:t>
      </w:r>
      <w:proofErr w:type="gramStart"/>
      <w:r w:rsidRPr="002C1669">
        <w:rPr>
          <w:rFonts w:ascii="Arial" w:hAnsi="Arial" w:cs="Arial"/>
          <w:sz w:val="20"/>
          <w:szCs w:val="20"/>
        </w:rPr>
        <w:t>diverses autorité</w:t>
      </w:r>
      <w:proofErr w:type="gramEnd"/>
      <w:r w:rsidRPr="002C1669">
        <w:rPr>
          <w:rFonts w:ascii="Arial" w:hAnsi="Arial" w:cs="Arial"/>
          <w:sz w:val="20"/>
          <w:szCs w:val="20"/>
        </w:rPr>
        <w:t xml:space="preserve"> de contrôle, telles que la Défenseure des droits</w:t>
      </w:r>
      <w:r w:rsidRPr="002C1669">
        <w:rPr>
          <w:rStyle w:val="FootnoteReference"/>
          <w:rFonts w:ascii="Arial" w:hAnsi="Arial" w:cs="Arial"/>
        </w:rPr>
        <w:footnoteReference w:id="51"/>
      </w:r>
      <w:r w:rsidRPr="002C1669">
        <w:rPr>
          <w:rFonts w:ascii="Arial" w:hAnsi="Arial" w:cs="Arial"/>
          <w:sz w:val="20"/>
          <w:szCs w:val="20"/>
        </w:rPr>
        <w:t xml:space="preserve">, le Conseil </w:t>
      </w:r>
      <w:r w:rsidRPr="002C1669">
        <w:rPr>
          <w:rFonts w:ascii="Arial" w:hAnsi="Arial" w:cs="Arial"/>
          <w:sz w:val="20"/>
          <w:szCs w:val="20"/>
        </w:rPr>
        <w:lastRenderedPageBreak/>
        <w:t>économique, social et environnemental</w:t>
      </w:r>
      <w:r w:rsidRPr="002C1669">
        <w:rPr>
          <w:rStyle w:val="FootnoteReference"/>
          <w:rFonts w:ascii="Arial" w:hAnsi="Arial" w:cs="Arial"/>
        </w:rPr>
        <w:footnoteReference w:id="52"/>
      </w:r>
      <w:r w:rsidRPr="002C1669">
        <w:rPr>
          <w:rFonts w:ascii="Arial" w:hAnsi="Arial" w:cs="Arial"/>
          <w:sz w:val="20"/>
          <w:szCs w:val="20"/>
        </w:rPr>
        <w:t>, ou très récemment encore la Commission nationale consultative des droits de l’homme</w:t>
      </w:r>
      <w:r w:rsidRPr="002C1669">
        <w:rPr>
          <w:rStyle w:val="FootnoteReference"/>
          <w:rFonts w:ascii="Arial" w:hAnsi="Arial" w:cs="Arial"/>
        </w:rPr>
        <w:footnoteReference w:id="53"/>
      </w:r>
      <w:r>
        <w:rPr>
          <w:rFonts w:ascii="Arial" w:hAnsi="Arial" w:cs="Arial"/>
          <w:sz w:val="20"/>
          <w:szCs w:val="20"/>
        </w:rPr>
        <w:t>.</w:t>
      </w:r>
    </w:p>
    <w:p w14:paraId="42A8C0B3"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Aussi, face à l’inertie des pouvoirs publics, l’Observatoire International des Prisons (OIP) et la LDH, avec l’aide de leurs partenaires, ont décidé de mener une salve de contentieux dirigés contre plusieurs établissements pénitentiaires</w:t>
      </w:r>
      <w:r w:rsidRPr="002C1669">
        <w:rPr>
          <w:rStyle w:val="FootnoteReference"/>
          <w:rFonts w:ascii="Arial" w:hAnsi="Arial" w:cs="Arial"/>
        </w:rPr>
        <w:footnoteReference w:id="54"/>
      </w:r>
      <w:r w:rsidRPr="002C1669">
        <w:rPr>
          <w:rFonts w:ascii="Arial" w:hAnsi="Arial" w:cs="Arial"/>
          <w:sz w:val="20"/>
          <w:szCs w:val="20"/>
        </w:rPr>
        <w:t xml:space="preserve"> avec comme triple objectif de dénoncer l’indignité structurelle des conditions de détention dans les maisons d’arrêt résultant d’une surpopulation massive en constante augmentation, assurer la sauvegarde des droits fondamentaux des personnes détenues et solliciter la mise en œuvre d’une véritable régulation carcérale, en prescrivant notamment la suspension provisoire des incarcérations dans les établissements frappés par une suroccupation particulièrement préoccupante.</w:t>
      </w:r>
    </w:p>
    <w:p w14:paraId="5EF5691E" w14:textId="77777777" w:rsidR="009F2D2E" w:rsidRPr="002C1669" w:rsidRDefault="009F2D2E" w:rsidP="009F2D2E">
      <w:pPr>
        <w:jc w:val="both"/>
        <w:rPr>
          <w:rFonts w:ascii="Arial" w:hAnsi="Arial" w:cs="Arial"/>
          <w:sz w:val="20"/>
          <w:szCs w:val="20"/>
        </w:rPr>
      </w:pPr>
      <w:r w:rsidRPr="002C1669">
        <w:rPr>
          <w:rFonts w:ascii="Arial" w:hAnsi="Arial" w:cs="Arial"/>
          <w:sz w:val="20"/>
          <w:szCs w:val="20"/>
        </w:rPr>
        <w:t>Excepté la maison d’arrêt de Tarbes pour laquelle le juge enjoint au ministre de la Justice d’engager, à très bref délai, les mesures indispensables pour assurer un cloisonnement des espaces de toilettes dans les cellules pour lesquelles les travaux de rénovation ne sont pas prévus à court terme</w:t>
      </w:r>
      <w:r w:rsidRPr="002C1669">
        <w:rPr>
          <w:rStyle w:val="FootnoteReference"/>
          <w:rFonts w:ascii="Arial" w:hAnsi="Arial" w:cs="Arial"/>
        </w:rPr>
        <w:footnoteReference w:id="55"/>
      </w:r>
      <w:r w:rsidRPr="002C1669">
        <w:rPr>
          <w:rFonts w:ascii="Arial" w:hAnsi="Arial" w:cs="Arial"/>
          <w:sz w:val="20"/>
          <w:szCs w:val="20"/>
        </w:rPr>
        <w:t>, l’ensemble des requêtes visant les autres maisons d’arrêt ont été rejetées</w:t>
      </w:r>
      <w:r w:rsidRPr="002C1669">
        <w:rPr>
          <w:rStyle w:val="FootnoteReference"/>
          <w:rFonts w:ascii="Arial" w:hAnsi="Arial" w:cs="Arial"/>
        </w:rPr>
        <w:footnoteReference w:id="56"/>
      </w:r>
      <w:r w:rsidRPr="002C1669">
        <w:rPr>
          <w:rFonts w:ascii="Arial" w:hAnsi="Arial" w:cs="Arial"/>
          <w:sz w:val="20"/>
          <w:szCs w:val="20"/>
        </w:rPr>
        <w:t>.</w:t>
      </w:r>
    </w:p>
    <w:p w14:paraId="07CE98CA" w14:textId="3675AB0E" w:rsidR="009F2D2E" w:rsidRPr="002C1669" w:rsidRDefault="009F2D2E" w:rsidP="009F2D2E">
      <w:pPr>
        <w:jc w:val="both"/>
        <w:rPr>
          <w:rFonts w:ascii="Arial" w:hAnsi="Arial" w:cs="Arial"/>
          <w:sz w:val="20"/>
          <w:szCs w:val="20"/>
        </w:rPr>
      </w:pPr>
      <w:r w:rsidRPr="002C1669">
        <w:rPr>
          <w:rFonts w:ascii="Arial" w:hAnsi="Arial" w:cs="Arial"/>
          <w:sz w:val="20"/>
          <w:szCs w:val="20"/>
        </w:rPr>
        <w:t xml:space="preserve">Plus récemment, à la suite d’une troisième visite de la </w:t>
      </w:r>
      <w:r>
        <w:rPr>
          <w:rFonts w:ascii="Arial" w:hAnsi="Arial" w:cs="Arial"/>
          <w:sz w:val="20"/>
          <w:szCs w:val="20"/>
        </w:rPr>
        <w:t xml:space="preserve">CGLPL </w:t>
      </w:r>
      <w:r w:rsidRPr="002C1669">
        <w:rPr>
          <w:rFonts w:ascii="Arial" w:hAnsi="Arial" w:cs="Arial"/>
          <w:sz w:val="20"/>
          <w:szCs w:val="20"/>
        </w:rPr>
        <w:t>à la maison d’arrêt de Limoges, qui constatait un taux d’occupation de 205% chez les hommes et de 200% chez les femmes et faisait état d’une surpopulation « chronique », et du rapport du 6 novembre 2024 du Bâtonnier de Limoges faisant valoir un taux d’occupation de 195% au jour de sa visite, l’O</w:t>
      </w:r>
      <w:r>
        <w:rPr>
          <w:rFonts w:ascii="Arial" w:hAnsi="Arial" w:cs="Arial"/>
          <w:sz w:val="20"/>
          <w:szCs w:val="20"/>
        </w:rPr>
        <w:t>IP</w:t>
      </w:r>
      <w:r w:rsidRPr="002C1669">
        <w:rPr>
          <w:rFonts w:ascii="Arial" w:hAnsi="Arial" w:cs="Arial"/>
          <w:sz w:val="20"/>
          <w:szCs w:val="20"/>
        </w:rPr>
        <w:t xml:space="preserve"> et l’Ordre des avocats du Barreau de Limoges ont saisi le 4 décembre 2024 le tribunal administratif de Limoges, afin que le juge des référés enjoigne à l’administration pénitentiaire de remédier, dans les plus brefs délais, aux violations des droits fondamentaux des personnes détenues tenant aux conditions indignes de détention constatées à la maison d’arrêt de Limoges. La LDH est intervenue volontairement au soutien de leur requête. Le 16 décembre 2024, le tribunal admin</w:t>
      </w:r>
      <w:r w:rsidR="00D21D68">
        <w:rPr>
          <w:rFonts w:ascii="Arial" w:hAnsi="Arial" w:cs="Arial"/>
          <w:sz w:val="20"/>
          <w:szCs w:val="20"/>
        </w:rPr>
        <w:t>istratif de Limoges accueillai</w:t>
      </w:r>
      <w:r w:rsidRPr="002C1669">
        <w:rPr>
          <w:rFonts w:ascii="Arial" w:hAnsi="Arial" w:cs="Arial"/>
          <w:sz w:val="20"/>
          <w:szCs w:val="20"/>
        </w:rPr>
        <w:t>t certaines demandes</w:t>
      </w:r>
      <w:r w:rsidRPr="002C1669">
        <w:rPr>
          <w:rStyle w:val="FootnoteReference"/>
          <w:rFonts w:ascii="Arial" w:hAnsi="Arial" w:cs="Arial"/>
        </w:rPr>
        <w:footnoteReference w:id="57"/>
      </w:r>
      <w:r w:rsidRPr="002C1669">
        <w:rPr>
          <w:rFonts w:ascii="Arial" w:hAnsi="Arial" w:cs="Arial"/>
          <w:sz w:val="20"/>
          <w:szCs w:val="20"/>
        </w:rPr>
        <w:t xml:space="preserve"> tout en rejetant la demande à titre principal tenant à la fermeture des quartiers maison d’arrêt pour hommes et mineurs hommes de la maison d’arrêt de Limoges et à l’organisation du transfert temporaire des détenus concernés dans d’autres établissements, dans des conditions sanitaires permettant d’éviter la prolifération des punaises de lit dans les établissements d’accueil en considérant que :</w:t>
      </w:r>
    </w:p>
    <w:p w14:paraId="1BC83EA6" w14:textId="77777777" w:rsidR="009F2D2E" w:rsidRDefault="009F2D2E" w:rsidP="009F2D2E">
      <w:pPr>
        <w:jc w:val="both"/>
        <w:rPr>
          <w:rFonts w:ascii="Arial" w:hAnsi="Arial" w:cs="Arial"/>
          <w:sz w:val="20"/>
          <w:szCs w:val="20"/>
        </w:rPr>
      </w:pPr>
      <w:r w:rsidRPr="002C1669">
        <w:rPr>
          <w:rFonts w:ascii="Arial" w:hAnsi="Arial" w:cs="Arial"/>
          <w:sz w:val="20"/>
          <w:szCs w:val="20"/>
        </w:rPr>
        <w:t>« </w:t>
      </w:r>
      <w:r w:rsidRPr="002C1669">
        <w:rPr>
          <w:rFonts w:ascii="Arial" w:hAnsi="Arial" w:cs="Arial"/>
          <w:i/>
          <w:sz w:val="20"/>
          <w:szCs w:val="20"/>
        </w:rPr>
        <w:t>En dépit de ce qu’il apparaît que les détenus ne disposent parfois pas d’un espace supérieur à 3m2 chacun, faisant ainsi présumer une violation des stipulations de l’article 3 de la convention européenne de sauvegarde des droits de l’homme et des libertés fondamentales prohibant les traitements inhumains ou dégradants, qu’il n’entre pas dans les prérogatives de l’administration, et encore moins du juge des référés, de prendre des mesures relatives à la surpopulation carcérale d’un établissement ou d’ordonner qu’il soit procédé, à titre temporaire, à la fermeture de l’établissement et au transfert des détenus</w:t>
      </w:r>
      <w:r w:rsidRPr="002C1669">
        <w:rPr>
          <w:rFonts w:ascii="Arial" w:hAnsi="Arial" w:cs="Arial"/>
          <w:sz w:val="20"/>
          <w:szCs w:val="20"/>
        </w:rPr>
        <w:t> ».</w:t>
      </w:r>
    </w:p>
    <w:p w14:paraId="6C1821CC" w14:textId="77777777" w:rsidR="00430E64" w:rsidRDefault="00430E64" w:rsidP="009F2D2E">
      <w:pPr>
        <w:jc w:val="both"/>
        <w:rPr>
          <w:rFonts w:ascii="Arial" w:hAnsi="Arial" w:cs="Arial"/>
          <w:sz w:val="20"/>
          <w:szCs w:val="20"/>
          <w:highlight w:val="yellow"/>
        </w:rPr>
      </w:pPr>
      <w:r>
        <w:rPr>
          <w:rFonts w:ascii="Arial" w:hAnsi="Arial" w:cs="Arial"/>
          <w:sz w:val="20"/>
          <w:szCs w:val="20"/>
        </w:rPr>
        <w:t xml:space="preserve">En dépit de la condamnation de la France en 2020, la LDH ne peut que </w:t>
      </w:r>
      <w:r w:rsidR="00664BEA">
        <w:rPr>
          <w:rFonts w:ascii="Arial" w:hAnsi="Arial" w:cs="Arial"/>
          <w:sz w:val="20"/>
          <w:szCs w:val="20"/>
        </w:rPr>
        <w:t xml:space="preserve">rejoindre le constat de la Commission nationale consultative des droits de l’Homme quant à </w:t>
      </w:r>
      <w:r>
        <w:rPr>
          <w:rFonts w:ascii="Arial" w:hAnsi="Arial" w:cs="Arial"/>
          <w:sz w:val="20"/>
          <w:szCs w:val="20"/>
        </w:rPr>
        <w:t xml:space="preserve">l’absence d’une véritable </w:t>
      </w:r>
      <w:r w:rsidRPr="00430E64">
        <w:rPr>
          <w:rFonts w:ascii="Arial" w:hAnsi="Arial" w:cs="Arial"/>
          <w:sz w:val="20"/>
          <w:szCs w:val="20"/>
        </w:rPr>
        <w:t>amélioration dans le respect de la dignité humaine des personnes détenues</w:t>
      </w:r>
      <w:r w:rsidR="00664BEA">
        <w:rPr>
          <w:rStyle w:val="FootnoteReference"/>
          <w:rFonts w:ascii="Arial" w:hAnsi="Arial" w:cs="Arial"/>
          <w:sz w:val="20"/>
          <w:szCs w:val="20"/>
        </w:rPr>
        <w:footnoteReference w:id="58"/>
      </w:r>
      <w:r w:rsidRPr="00430E64">
        <w:rPr>
          <w:rFonts w:ascii="Arial" w:hAnsi="Arial" w:cs="Arial"/>
          <w:sz w:val="20"/>
          <w:szCs w:val="20"/>
        </w:rPr>
        <w:t>.</w:t>
      </w:r>
      <w:r w:rsidR="00664BEA">
        <w:rPr>
          <w:rFonts w:ascii="Arial" w:hAnsi="Arial" w:cs="Arial"/>
          <w:sz w:val="20"/>
          <w:szCs w:val="20"/>
        </w:rPr>
        <w:t xml:space="preserve"> </w:t>
      </w:r>
    </w:p>
    <w:p w14:paraId="74D5717D" w14:textId="77777777" w:rsidR="009F2D2E" w:rsidRPr="002C1669" w:rsidRDefault="009F2D2E" w:rsidP="009F2D2E">
      <w:pPr>
        <w:shd w:val="clear" w:color="auto" w:fill="D9D9D9" w:themeFill="background1" w:themeFillShade="D9"/>
        <w:jc w:val="both"/>
        <w:rPr>
          <w:rFonts w:ascii="Arial" w:hAnsi="Arial" w:cs="Arial"/>
          <w:b/>
          <w:sz w:val="20"/>
          <w:szCs w:val="20"/>
        </w:rPr>
      </w:pPr>
      <w:r w:rsidRPr="002C1669">
        <w:rPr>
          <w:rFonts w:ascii="Arial" w:hAnsi="Arial" w:cs="Arial"/>
          <w:b/>
          <w:sz w:val="20"/>
          <w:szCs w:val="20"/>
        </w:rPr>
        <w:t>Recommandations</w:t>
      </w:r>
    </w:p>
    <w:p w14:paraId="3B6FB548" w14:textId="77777777" w:rsidR="009F2D2E" w:rsidRDefault="009F2D2E" w:rsidP="009F2D2E">
      <w:pPr>
        <w:jc w:val="both"/>
        <w:rPr>
          <w:rFonts w:ascii="Arial" w:hAnsi="Arial" w:cs="Arial"/>
          <w:sz w:val="20"/>
          <w:szCs w:val="20"/>
        </w:rPr>
      </w:pPr>
      <w:r w:rsidRPr="002C1669">
        <w:rPr>
          <w:rFonts w:ascii="Arial" w:hAnsi="Arial" w:cs="Arial"/>
          <w:sz w:val="20"/>
          <w:szCs w:val="20"/>
        </w:rPr>
        <w:lastRenderedPageBreak/>
        <w:t>La LDH demande</w:t>
      </w:r>
      <w:r w:rsidR="00430E64">
        <w:rPr>
          <w:rFonts w:ascii="Arial" w:hAnsi="Arial" w:cs="Arial"/>
          <w:sz w:val="20"/>
          <w:szCs w:val="20"/>
        </w:rPr>
        <w:t xml:space="preserve"> à l’Etat</w:t>
      </w:r>
      <w:r w:rsidRPr="002C1669">
        <w:rPr>
          <w:rFonts w:ascii="Arial" w:hAnsi="Arial" w:cs="Arial"/>
          <w:sz w:val="20"/>
          <w:szCs w:val="20"/>
        </w:rPr>
        <w:t> :</w:t>
      </w:r>
    </w:p>
    <w:p w14:paraId="478A6226" w14:textId="04505219" w:rsidR="00430E64" w:rsidRDefault="00430E64" w:rsidP="00430E64">
      <w:pPr>
        <w:pStyle w:val="ListParagraph"/>
        <w:numPr>
          <w:ilvl w:val="0"/>
          <w:numId w:val="6"/>
        </w:numPr>
        <w:jc w:val="both"/>
        <w:rPr>
          <w:rFonts w:ascii="Arial" w:hAnsi="Arial" w:cs="Arial"/>
          <w:sz w:val="20"/>
          <w:szCs w:val="20"/>
        </w:rPr>
      </w:pPr>
      <w:r w:rsidRPr="00430E64">
        <w:rPr>
          <w:rFonts w:ascii="Arial" w:hAnsi="Arial" w:cs="Arial"/>
          <w:sz w:val="20"/>
          <w:szCs w:val="20"/>
        </w:rPr>
        <w:t>L’adoption d’une stratégie globale destinée à réduire la population carcérale et à prendre des mesures urgentes pour respecter les droits et libertés fondamentaux des personnes incarcér</w:t>
      </w:r>
      <w:r w:rsidR="00BF7120">
        <w:rPr>
          <w:rFonts w:ascii="Arial" w:hAnsi="Arial" w:cs="Arial"/>
          <w:sz w:val="20"/>
          <w:szCs w:val="20"/>
        </w:rPr>
        <w:t>ées</w:t>
      </w:r>
    </w:p>
    <w:p w14:paraId="22E4213A" w14:textId="297391ED" w:rsidR="00430E64" w:rsidRDefault="00430E64" w:rsidP="00430E64">
      <w:pPr>
        <w:pStyle w:val="ListParagraph"/>
        <w:numPr>
          <w:ilvl w:val="0"/>
          <w:numId w:val="6"/>
        </w:numPr>
        <w:jc w:val="both"/>
        <w:rPr>
          <w:rFonts w:ascii="Arial" w:hAnsi="Arial" w:cs="Arial"/>
          <w:sz w:val="20"/>
          <w:szCs w:val="20"/>
        </w:rPr>
      </w:pPr>
      <w:r>
        <w:rPr>
          <w:rFonts w:ascii="Arial" w:hAnsi="Arial" w:cs="Arial"/>
          <w:sz w:val="20"/>
          <w:szCs w:val="20"/>
        </w:rPr>
        <w:t xml:space="preserve">D’avoir </w:t>
      </w:r>
      <w:proofErr w:type="gramStart"/>
      <w:r>
        <w:rPr>
          <w:rFonts w:ascii="Arial" w:hAnsi="Arial" w:cs="Arial"/>
          <w:sz w:val="20"/>
          <w:szCs w:val="20"/>
        </w:rPr>
        <w:t>recours</w:t>
      </w:r>
      <w:proofErr w:type="gramEnd"/>
      <w:r>
        <w:rPr>
          <w:rFonts w:ascii="Arial" w:hAnsi="Arial" w:cs="Arial"/>
          <w:sz w:val="20"/>
          <w:szCs w:val="20"/>
        </w:rPr>
        <w:t xml:space="preserve"> </w:t>
      </w:r>
      <w:r w:rsidRPr="00430E64">
        <w:rPr>
          <w:rFonts w:ascii="Arial" w:hAnsi="Arial" w:cs="Arial"/>
          <w:sz w:val="20"/>
          <w:szCs w:val="20"/>
        </w:rPr>
        <w:t>à des mesures immédiates</w:t>
      </w:r>
      <w:r>
        <w:rPr>
          <w:rFonts w:ascii="Arial" w:hAnsi="Arial" w:cs="Arial"/>
          <w:sz w:val="20"/>
          <w:szCs w:val="20"/>
        </w:rPr>
        <w:t xml:space="preserve"> </w:t>
      </w:r>
      <w:r w:rsidRPr="00430E64">
        <w:rPr>
          <w:rFonts w:ascii="Arial" w:hAnsi="Arial" w:cs="Arial"/>
          <w:sz w:val="20"/>
          <w:szCs w:val="20"/>
        </w:rPr>
        <w:t>de libération pou</w:t>
      </w:r>
      <w:r w:rsidR="00BF7120">
        <w:rPr>
          <w:rFonts w:ascii="Arial" w:hAnsi="Arial" w:cs="Arial"/>
          <w:sz w:val="20"/>
          <w:szCs w:val="20"/>
        </w:rPr>
        <w:t>r réduire la pression carcérale</w:t>
      </w:r>
    </w:p>
    <w:p w14:paraId="24DB643F" w14:textId="77777777" w:rsidR="00B5057E" w:rsidRPr="00430E64" w:rsidRDefault="00B5057E" w:rsidP="00B5057E">
      <w:pPr>
        <w:pStyle w:val="ListParagraph"/>
        <w:jc w:val="both"/>
        <w:rPr>
          <w:rFonts w:ascii="Arial" w:hAnsi="Arial" w:cs="Arial"/>
          <w:sz w:val="20"/>
          <w:szCs w:val="20"/>
        </w:rPr>
      </w:pPr>
    </w:p>
    <w:p w14:paraId="0FA184E1" w14:textId="77777777" w:rsidR="009F2D2E" w:rsidRPr="00A95BFE" w:rsidRDefault="006728A5" w:rsidP="009F2D2E">
      <w:pPr>
        <w:jc w:val="both"/>
        <w:rPr>
          <w:rFonts w:ascii="Arial" w:hAnsi="Arial" w:cs="Arial"/>
          <w:b/>
          <w:sz w:val="20"/>
          <w:szCs w:val="20"/>
          <w:u w:val="single"/>
        </w:rPr>
      </w:pPr>
      <w:r w:rsidRPr="006728A5">
        <w:rPr>
          <w:rFonts w:ascii="Arial" w:hAnsi="Arial" w:cs="Arial"/>
          <w:b/>
          <w:sz w:val="20"/>
          <w:szCs w:val="20"/>
        </w:rPr>
        <w:t xml:space="preserve">2.2 </w:t>
      </w:r>
      <w:r w:rsidR="009F2D2E">
        <w:rPr>
          <w:rFonts w:ascii="Arial" w:hAnsi="Arial" w:cs="Arial"/>
          <w:b/>
          <w:sz w:val="20"/>
          <w:szCs w:val="20"/>
          <w:u w:val="single"/>
        </w:rPr>
        <w:t>L’enfermement des mineurs étrangers en centre de rétention administrative</w:t>
      </w:r>
    </w:p>
    <w:p w14:paraId="427363DC"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 xml:space="preserve">Un centre de rétention administrative (CRA) est un lieu d’enfermement dans lequel l’administration place des personnes étrangères aux fins de mise en œuvre de leur éloignement, qui sont dès lors </w:t>
      </w:r>
      <w:r>
        <w:rPr>
          <w:rFonts w:ascii="Arial" w:hAnsi="Arial" w:cs="Arial"/>
          <w:sz w:val="20"/>
          <w:szCs w:val="20"/>
        </w:rPr>
        <w:t>privées de liberté</w:t>
      </w:r>
      <w:r w:rsidRPr="00A95BFE">
        <w:rPr>
          <w:rFonts w:ascii="Arial" w:hAnsi="Arial" w:cs="Arial"/>
          <w:sz w:val="20"/>
          <w:szCs w:val="20"/>
        </w:rPr>
        <w:t xml:space="preserve"> jusqu’à leur éventuel renvoi ou libération.</w:t>
      </w:r>
    </w:p>
    <w:p w14:paraId="5FCACAA2"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 xml:space="preserve">En 2022, 43.565 personnes ont été enfermées dans les </w:t>
      </w:r>
      <w:r>
        <w:rPr>
          <w:rFonts w:ascii="Arial" w:hAnsi="Arial" w:cs="Arial"/>
          <w:sz w:val="20"/>
          <w:szCs w:val="20"/>
        </w:rPr>
        <w:t>CRA</w:t>
      </w:r>
      <w:r w:rsidRPr="00A95BFE">
        <w:rPr>
          <w:rFonts w:ascii="Arial" w:hAnsi="Arial" w:cs="Arial"/>
          <w:sz w:val="20"/>
          <w:szCs w:val="20"/>
        </w:rPr>
        <w:t xml:space="preserve"> de l’hexagone et d’outre-mer. Parmi elles, 94 enfants ont été enfermés en rétention dans les CRA d’hexagone et 2905 pour le seul CRA de Mayotte</w:t>
      </w:r>
      <w:r w:rsidRPr="00A95BFE">
        <w:rPr>
          <w:rStyle w:val="FootnoteReference"/>
          <w:rFonts w:ascii="Arial" w:hAnsi="Arial" w:cs="Arial"/>
        </w:rPr>
        <w:footnoteReference w:id="59"/>
      </w:r>
      <w:r w:rsidRPr="00A95BFE">
        <w:rPr>
          <w:rFonts w:ascii="Arial" w:hAnsi="Arial" w:cs="Arial"/>
          <w:sz w:val="20"/>
          <w:szCs w:val="20"/>
        </w:rPr>
        <w:t>. En 2023, 46 955 personnes ont été enfermées en rétention, et parmi elles, 3349 étaient des enfants dont 3262 enfants seulement pour Mayotte</w:t>
      </w:r>
      <w:r w:rsidRPr="00A95BFE">
        <w:rPr>
          <w:rFonts w:ascii="Arial" w:hAnsi="Arial" w:cs="Arial"/>
          <w:sz w:val="20"/>
          <w:szCs w:val="20"/>
          <w:vertAlign w:val="superscript"/>
        </w:rPr>
        <w:footnoteReference w:id="60"/>
      </w:r>
      <w:r w:rsidRPr="00A95BFE">
        <w:rPr>
          <w:rFonts w:ascii="Arial" w:hAnsi="Arial" w:cs="Arial"/>
          <w:sz w:val="20"/>
          <w:szCs w:val="20"/>
        </w:rPr>
        <w:t>. Les enfants représentent plus de 11 % des personnes enfermées à Mayotte.</w:t>
      </w:r>
    </w:p>
    <w:p w14:paraId="01CC8F48"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Depuis 2012, la CEDH juge que l’enfermement de familles avec enfants dans les CRA constitue un traitement inhumain et dégradant au sens de l’article 3 de la Convention. La France a été ainsi visée par pas moins de onze condamnations de la CEDH</w:t>
      </w:r>
      <w:r w:rsidRPr="00A95BFE">
        <w:rPr>
          <w:rStyle w:val="FootnoteReference"/>
          <w:rFonts w:ascii="Arial" w:hAnsi="Arial" w:cs="Arial"/>
        </w:rPr>
        <w:footnoteReference w:id="61"/>
      </w:r>
      <w:r w:rsidRPr="00A95BFE">
        <w:rPr>
          <w:rFonts w:ascii="Arial" w:hAnsi="Arial" w:cs="Arial"/>
          <w:sz w:val="20"/>
          <w:szCs w:val="20"/>
        </w:rPr>
        <w:t>.</w:t>
      </w:r>
    </w:p>
    <w:p w14:paraId="1FA17C40" w14:textId="77777777" w:rsidR="009F2D2E" w:rsidRPr="00A95BFE" w:rsidRDefault="009F2D2E" w:rsidP="009F2D2E">
      <w:pPr>
        <w:jc w:val="both"/>
        <w:rPr>
          <w:rFonts w:ascii="Arial" w:hAnsi="Arial" w:cs="Arial"/>
          <w:sz w:val="20"/>
          <w:szCs w:val="20"/>
        </w:rPr>
      </w:pPr>
      <w:proofErr w:type="gramStart"/>
      <w:r w:rsidRPr="00A95BFE">
        <w:rPr>
          <w:rFonts w:ascii="Arial" w:hAnsi="Arial" w:cs="Arial"/>
          <w:sz w:val="20"/>
          <w:szCs w:val="20"/>
        </w:rPr>
        <w:t>Suite à</w:t>
      </w:r>
      <w:proofErr w:type="gramEnd"/>
      <w:r w:rsidRPr="00A95BFE">
        <w:rPr>
          <w:rFonts w:ascii="Arial" w:hAnsi="Arial" w:cs="Arial"/>
          <w:sz w:val="20"/>
          <w:szCs w:val="20"/>
        </w:rPr>
        <w:t xml:space="preserve"> la première condamnation de la France par la CEDH</w:t>
      </w:r>
      <w:r w:rsidRPr="00A95BFE">
        <w:rPr>
          <w:rStyle w:val="FootnoteReference"/>
          <w:rFonts w:ascii="Arial" w:hAnsi="Arial" w:cs="Arial"/>
        </w:rPr>
        <w:footnoteReference w:id="62"/>
      </w:r>
      <w:r w:rsidRPr="00A95BFE">
        <w:rPr>
          <w:rFonts w:ascii="Arial" w:hAnsi="Arial" w:cs="Arial"/>
          <w:sz w:val="20"/>
          <w:szCs w:val="20"/>
        </w:rPr>
        <w:t>, le gouvernement a été amené par voie de circulaire tout d’abord</w:t>
      </w:r>
      <w:r w:rsidRPr="00A95BFE">
        <w:rPr>
          <w:rStyle w:val="FootnoteReference"/>
          <w:rFonts w:ascii="Arial" w:hAnsi="Arial" w:cs="Arial"/>
        </w:rPr>
        <w:footnoteReference w:id="63"/>
      </w:r>
      <w:r w:rsidRPr="00A95BFE">
        <w:rPr>
          <w:rFonts w:ascii="Arial" w:hAnsi="Arial" w:cs="Arial"/>
          <w:sz w:val="20"/>
          <w:szCs w:val="20"/>
        </w:rPr>
        <w:t xml:space="preserve"> puis de la législation</w:t>
      </w:r>
      <w:r w:rsidRPr="00A95BFE">
        <w:rPr>
          <w:rStyle w:val="FootnoteReference"/>
          <w:rFonts w:ascii="Arial" w:hAnsi="Arial" w:cs="Arial"/>
        </w:rPr>
        <w:footnoteReference w:id="64"/>
      </w:r>
      <w:r w:rsidRPr="00A95BFE">
        <w:rPr>
          <w:rFonts w:ascii="Arial" w:hAnsi="Arial" w:cs="Arial"/>
          <w:sz w:val="20"/>
          <w:szCs w:val="20"/>
        </w:rPr>
        <w:t>, à restreindre les cas dans lesquels les mineurs accompagnant leurs parents pouvaient être admis dans les lieux de rétention.</w:t>
      </w:r>
    </w:p>
    <w:p w14:paraId="1128547C"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Si depuis la loi n° 2024-42 du 26 janvier 2024 pour contrôler l'immigration, améliorer l'intégration, l'étranger mineur de dix-huit ans ne peut plus faire l'objet d'une décision de placement en rétention</w:t>
      </w:r>
      <w:r w:rsidRPr="00A95BFE">
        <w:rPr>
          <w:rStyle w:val="FootnoteReference"/>
          <w:rFonts w:ascii="Arial" w:hAnsi="Arial" w:cs="Arial"/>
        </w:rPr>
        <w:footnoteReference w:id="65"/>
      </w:r>
      <w:r w:rsidRPr="00A95BFE">
        <w:rPr>
          <w:rFonts w:ascii="Arial" w:hAnsi="Arial" w:cs="Arial"/>
          <w:sz w:val="20"/>
          <w:szCs w:val="20"/>
        </w:rPr>
        <w:t>, une instruction ministérielle relative à fin du placement en rétention des étrangers mineurs précise néanmoins « </w:t>
      </w:r>
      <w:r w:rsidRPr="00A95BFE">
        <w:rPr>
          <w:rFonts w:ascii="Arial" w:hAnsi="Arial" w:cs="Arial"/>
          <w:i/>
          <w:sz w:val="20"/>
          <w:szCs w:val="20"/>
        </w:rPr>
        <w:t>qu'il demeure toujours possible de placer en CRA un des deux parents en vue d'un retour forcé, lorsque vous êtes confrontés à un couple d'étrangers en situation irrégulière accompagné d'enfants mineurs, et d'assigner à résidence l'autre parent qui accompagne les enfants</w:t>
      </w:r>
      <w:r w:rsidRPr="00A95BFE">
        <w:rPr>
          <w:rFonts w:ascii="Arial" w:hAnsi="Arial" w:cs="Arial"/>
          <w:sz w:val="20"/>
          <w:szCs w:val="20"/>
        </w:rPr>
        <w:t> », incitant explicitement les préfectures à séparer les familles pour faciliter l'organisation de leur éloignement</w:t>
      </w:r>
      <w:r w:rsidRPr="00A95BFE">
        <w:rPr>
          <w:rStyle w:val="FootnoteReference"/>
          <w:rFonts w:ascii="Arial" w:hAnsi="Arial" w:cs="Arial"/>
        </w:rPr>
        <w:footnoteReference w:id="66"/>
      </w:r>
      <w:r w:rsidRPr="00A95BFE">
        <w:rPr>
          <w:rFonts w:ascii="Arial" w:hAnsi="Arial" w:cs="Arial"/>
          <w:sz w:val="20"/>
          <w:szCs w:val="20"/>
        </w:rPr>
        <w:t>.</w:t>
      </w:r>
    </w:p>
    <w:p w14:paraId="533DCA20"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En outre, l’interdiction de la rétention des mineurs ne sera applicable à Mayotte qu’à compter du 1</w:t>
      </w:r>
      <w:r w:rsidRPr="00A95BFE">
        <w:rPr>
          <w:rFonts w:ascii="Arial" w:hAnsi="Arial" w:cs="Arial"/>
          <w:sz w:val="20"/>
          <w:szCs w:val="20"/>
          <w:vertAlign w:val="superscript"/>
        </w:rPr>
        <w:t>er</w:t>
      </w:r>
      <w:r w:rsidRPr="00A95BFE">
        <w:rPr>
          <w:rFonts w:ascii="Arial" w:hAnsi="Arial" w:cs="Arial"/>
          <w:sz w:val="20"/>
          <w:szCs w:val="20"/>
        </w:rPr>
        <w:t xml:space="preserve"> janvier 2027, alors même qu’il s’agit du territoire le plus concerné par l’enfermement des enfants. Cette disparité législative permet aux autorités de poursuivre durant quelques années encore leurs pratiques illégales graves.</w:t>
      </w:r>
    </w:p>
    <w:p w14:paraId="0480067E"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En effet, sont observées avec constance les pratiques illégales de la police aux frontières suivantes : le rattachement des mineurs non accompagnés à un tiers et la modification de leur date de naissance sur les mesures d’obligation de quitter le territoire français aux fins de les faire apparaître comme majeurs, donc légalement reconductibles.</w:t>
      </w:r>
    </w:p>
    <w:p w14:paraId="3E85D395"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Pour l’année 2020, « </w:t>
      </w:r>
      <w:r w:rsidRPr="00A95BFE">
        <w:rPr>
          <w:rFonts w:ascii="Arial" w:hAnsi="Arial" w:cs="Arial"/>
          <w:i/>
          <w:sz w:val="20"/>
          <w:szCs w:val="20"/>
        </w:rPr>
        <w:t>84 situations de mineurs rattachés à des adultes sans lien de parenté et 83 situations dans lesquelles les dates de naissance majeures ont été arbitrairement attribuées à des mineurs</w:t>
      </w:r>
      <w:r w:rsidRPr="00A95BFE">
        <w:rPr>
          <w:rFonts w:ascii="Arial" w:hAnsi="Arial" w:cs="Arial"/>
          <w:sz w:val="20"/>
          <w:szCs w:val="20"/>
        </w:rPr>
        <w:t> » ont été rencontrées. Pour l’année 2021, « </w:t>
      </w:r>
      <w:r w:rsidRPr="00A95BFE">
        <w:rPr>
          <w:rFonts w:ascii="Arial" w:hAnsi="Arial" w:cs="Arial"/>
          <w:i/>
          <w:sz w:val="20"/>
          <w:szCs w:val="20"/>
        </w:rPr>
        <w:t xml:space="preserve">56 situations d’enfants auraient été rattachés fictivement à des adultes et 142 situations de mineurs dont la date de naissance aurait été arbitrairement </w:t>
      </w:r>
      <w:r w:rsidRPr="00A95BFE">
        <w:rPr>
          <w:rFonts w:ascii="Arial" w:hAnsi="Arial" w:cs="Arial"/>
          <w:i/>
          <w:sz w:val="20"/>
          <w:szCs w:val="20"/>
        </w:rPr>
        <w:lastRenderedPageBreak/>
        <w:t>modifiée</w:t>
      </w:r>
      <w:r w:rsidRPr="00A95BFE">
        <w:rPr>
          <w:rFonts w:ascii="Arial" w:hAnsi="Arial" w:cs="Arial"/>
          <w:sz w:val="20"/>
          <w:szCs w:val="20"/>
        </w:rPr>
        <w:t> »</w:t>
      </w:r>
      <w:r w:rsidRPr="00A95BFE">
        <w:rPr>
          <w:rFonts w:ascii="Arial" w:hAnsi="Arial" w:cs="Arial"/>
          <w:sz w:val="20"/>
          <w:szCs w:val="20"/>
          <w:vertAlign w:val="superscript"/>
        </w:rPr>
        <w:footnoteReference w:id="67"/>
      </w:r>
      <w:r w:rsidRPr="00A95BFE">
        <w:rPr>
          <w:rFonts w:ascii="Arial" w:hAnsi="Arial" w:cs="Arial"/>
          <w:sz w:val="20"/>
          <w:szCs w:val="20"/>
        </w:rPr>
        <w:t xml:space="preserve">. La Défenseure des droits recommande ainsi aux autorités publiques « </w:t>
      </w:r>
      <w:r w:rsidRPr="00A95BFE">
        <w:rPr>
          <w:rFonts w:ascii="Arial" w:hAnsi="Arial" w:cs="Arial"/>
          <w:i/>
          <w:sz w:val="20"/>
          <w:szCs w:val="20"/>
        </w:rPr>
        <w:t>de mettre un terme aux pratiques de rattachement des enfants à un tiers qui n’exerce pas sur eux l’autorité parentale », et à celles « de modification unilatérale de dates de naissance des adolescents interpellés aux fins de placement en centre de rétention administrative et d’éloignement</w:t>
      </w:r>
      <w:r w:rsidRPr="00A95BFE">
        <w:rPr>
          <w:rFonts w:ascii="Arial" w:hAnsi="Arial" w:cs="Arial"/>
          <w:sz w:val="20"/>
          <w:szCs w:val="20"/>
        </w:rPr>
        <w:t xml:space="preserve"> ».</w:t>
      </w:r>
    </w:p>
    <w:p w14:paraId="2F12E3BB" w14:textId="64475B8A" w:rsidR="009F2D2E" w:rsidRPr="00A95BFE" w:rsidRDefault="009F2D2E" w:rsidP="009F2D2E">
      <w:pPr>
        <w:jc w:val="both"/>
        <w:rPr>
          <w:rFonts w:ascii="Arial" w:hAnsi="Arial" w:cs="Arial"/>
          <w:sz w:val="20"/>
          <w:szCs w:val="20"/>
        </w:rPr>
      </w:pPr>
      <w:r w:rsidRPr="00A95BFE">
        <w:rPr>
          <w:rFonts w:ascii="Arial" w:hAnsi="Arial" w:cs="Arial"/>
          <w:sz w:val="20"/>
          <w:szCs w:val="20"/>
        </w:rPr>
        <w:t>A cet égard, la CEDH a pu juger que le rattachement à un tiers de deux enfants interpellés en mer</w:t>
      </w:r>
      <w:r w:rsidR="007C4FD6">
        <w:rPr>
          <w:rFonts w:ascii="Arial" w:hAnsi="Arial" w:cs="Arial"/>
          <w:sz w:val="20"/>
          <w:szCs w:val="20"/>
        </w:rPr>
        <w:t xml:space="preserve"> </w:t>
      </w:r>
      <w:r w:rsidRPr="00A95BFE">
        <w:rPr>
          <w:rFonts w:ascii="Arial" w:hAnsi="Arial" w:cs="Arial"/>
          <w:sz w:val="20"/>
          <w:szCs w:val="20"/>
        </w:rPr>
        <w:t xml:space="preserve">et placés en rétention administrative aux fins de permettre leur renvoi vers les Comores était arbitraire et qu’il « </w:t>
      </w:r>
      <w:r w:rsidRPr="00A95BFE">
        <w:rPr>
          <w:rFonts w:ascii="Arial" w:hAnsi="Arial" w:cs="Arial"/>
          <w:i/>
          <w:sz w:val="20"/>
          <w:szCs w:val="20"/>
        </w:rPr>
        <w:t>n’a pas été opéré dans le but de préserver l’intérêt supérieur des enfants, mais dans celui de permettre leur expulsion rapide vers les Comores</w:t>
      </w:r>
      <w:r w:rsidRPr="00A95BFE">
        <w:rPr>
          <w:rFonts w:ascii="Arial" w:hAnsi="Arial" w:cs="Arial"/>
          <w:sz w:val="20"/>
          <w:szCs w:val="20"/>
        </w:rPr>
        <w:t xml:space="preserve"> ». Rappelant l’extrême vulnérabilité des enfants et les obligations de protection de l’Etat à leur égard, la Cour considère que les conditions de rétention administrative des enfants constituent en l’espèce un traitement inhumain ou dégradant au sens de l’article 3 de la CESDH et « un </w:t>
      </w:r>
      <w:r w:rsidRPr="00A95BFE">
        <w:rPr>
          <w:rFonts w:ascii="Arial" w:hAnsi="Arial" w:cs="Arial"/>
          <w:i/>
          <w:sz w:val="20"/>
          <w:szCs w:val="20"/>
        </w:rPr>
        <w:t>manque flagrant d’humanité envers leur personne</w:t>
      </w:r>
      <w:r w:rsidRPr="00A95BFE">
        <w:rPr>
          <w:rFonts w:ascii="Arial" w:hAnsi="Arial" w:cs="Arial"/>
          <w:sz w:val="20"/>
          <w:szCs w:val="20"/>
        </w:rPr>
        <w:t xml:space="preserve"> »</w:t>
      </w:r>
      <w:r w:rsidRPr="00A95BFE">
        <w:rPr>
          <w:rStyle w:val="FootnoteReference"/>
          <w:rFonts w:ascii="Arial" w:hAnsi="Arial" w:cs="Arial"/>
        </w:rPr>
        <w:footnoteReference w:id="68"/>
      </w:r>
      <w:r w:rsidRPr="00A95BFE">
        <w:rPr>
          <w:rFonts w:ascii="Arial" w:hAnsi="Arial" w:cs="Arial"/>
          <w:sz w:val="20"/>
          <w:szCs w:val="20"/>
        </w:rPr>
        <w:t>.</w:t>
      </w:r>
    </w:p>
    <w:p w14:paraId="02B7464B" w14:textId="11AB9AAB" w:rsidR="009F2D2E" w:rsidRPr="00A95BFE" w:rsidRDefault="009F2D2E" w:rsidP="009F2D2E">
      <w:pPr>
        <w:jc w:val="both"/>
        <w:rPr>
          <w:rFonts w:ascii="Arial" w:hAnsi="Arial" w:cs="Arial"/>
          <w:sz w:val="20"/>
          <w:szCs w:val="20"/>
        </w:rPr>
      </w:pPr>
      <w:r w:rsidRPr="00A95BFE">
        <w:rPr>
          <w:rFonts w:ascii="Arial" w:hAnsi="Arial" w:cs="Arial"/>
          <w:sz w:val="20"/>
          <w:szCs w:val="20"/>
        </w:rPr>
        <w:t>Le 9 juin 2021, lors de l’examen de l’exécution de l’arrêt</w:t>
      </w:r>
      <w:r w:rsidRPr="008E44A8">
        <w:rPr>
          <w:rFonts w:ascii="Arial" w:hAnsi="Arial" w:cs="Arial"/>
          <w:sz w:val="20"/>
          <w:szCs w:val="20"/>
        </w:rPr>
        <w:t xml:space="preserve"> </w:t>
      </w:r>
      <w:r w:rsidR="008E44A8" w:rsidRPr="008E44A8">
        <w:rPr>
          <w:rFonts w:ascii="Arial" w:hAnsi="Arial" w:cs="Arial"/>
          <w:iCs/>
          <w:sz w:val="20"/>
          <w:szCs w:val="20"/>
        </w:rPr>
        <w:t>susvisé</w:t>
      </w:r>
      <w:r w:rsidRPr="00A95BFE">
        <w:rPr>
          <w:rFonts w:ascii="Arial" w:hAnsi="Arial" w:cs="Arial"/>
          <w:sz w:val="20"/>
          <w:szCs w:val="20"/>
        </w:rPr>
        <w:t>, le Comité des Ministres du Conseil de l’Europe a pris acte de la gravité des violations de la Convention et de l’ancienneté du problème du rattachement arbitraire d’enfants à des adultes tiers, qui, selon lui, justifient l’adoption de mesures concrètes de la part de l’Etat français. Il a en outre estimé que l’arrêt n’avait pas été pleinement exécuté par les autorités françaises et a décidé de reprendre l’examen de l’affaire</w:t>
      </w:r>
      <w:r w:rsidRPr="00A95BFE">
        <w:rPr>
          <w:rFonts w:ascii="Arial" w:hAnsi="Arial" w:cs="Arial"/>
          <w:sz w:val="20"/>
          <w:szCs w:val="20"/>
          <w:vertAlign w:val="superscript"/>
        </w:rPr>
        <w:footnoteReference w:id="69"/>
      </w:r>
      <w:r w:rsidRPr="00A95BFE">
        <w:rPr>
          <w:rFonts w:ascii="Arial" w:hAnsi="Arial" w:cs="Arial"/>
          <w:sz w:val="20"/>
          <w:szCs w:val="20"/>
        </w:rPr>
        <w:t>qui demeure toujours en cours devant le Comité.</w:t>
      </w:r>
    </w:p>
    <w:p w14:paraId="4C10580E"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Plus récemment, le 14 juin 2024, si le Comité des Ministres note avec satisfaction la loi du 26 janvier 2024 qui prohibe, désormais, la rétention de mineurs, même lorsqu’ils sont accompagnés, vu son inapplicabilité à Mayotte jusqu’en 2027, il prie « </w:t>
      </w:r>
      <w:r w:rsidRPr="00A95BFE">
        <w:rPr>
          <w:rFonts w:ascii="Arial" w:hAnsi="Arial" w:cs="Arial"/>
          <w:i/>
          <w:sz w:val="20"/>
          <w:szCs w:val="20"/>
        </w:rPr>
        <w:t>les autorités de mettre rapidement un terme à la pratique administrative consistant à rattacher des enfants à des adultes tiers, dans le seul but de permettre leur rétention et éloignement rapide du territoire</w:t>
      </w:r>
      <w:r w:rsidRPr="00A95BFE">
        <w:rPr>
          <w:rFonts w:ascii="Arial" w:hAnsi="Arial" w:cs="Arial"/>
          <w:sz w:val="20"/>
          <w:szCs w:val="20"/>
        </w:rPr>
        <w:t xml:space="preserve"> »</w:t>
      </w:r>
      <w:r w:rsidRPr="00A95BFE">
        <w:rPr>
          <w:rStyle w:val="FootnoteReference"/>
          <w:rFonts w:ascii="Arial" w:hAnsi="Arial" w:cs="Arial"/>
        </w:rPr>
        <w:footnoteReference w:id="70"/>
      </w:r>
      <w:r w:rsidRPr="00A95BFE">
        <w:rPr>
          <w:rFonts w:ascii="Arial" w:hAnsi="Arial" w:cs="Arial"/>
          <w:sz w:val="20"/>
          <w:szCs w:val="20"/>
        </w:rPr>
        <w:t>. L’examen de cette affaire est porté à leur prochaine réunion de juin 2025.</w:t>
      </w:r>
    </w:p>
    <w:p w14:paraId="2A0EDC65" w14:textId="77777777" w:rsidR="009F2D2E" w:rsidRPr="00A95BFE" w:rsidRDefault="009F2D2E" w:rsidP="009F2D2E">
      <w:pPr>
        <w:shd w:val="clear" w:color="auto" w:fill="D9D9D9" w:themeFill="background1" w:themeFillShade="D9"/>
        <w:jc w:val="both"/>
        <w:rPr>
          <w:rFonts w:ascii="Arial" w:hAnsi="Arial" w:cs="Arial"/>
          <w:b/>
          <w:sz w:val="20"/>
          <w:szCs w:val="20"/>
        </w:rPr>
      </w:pPr>
      <w:r w:rsidRPr="00A95BFE">
        <w:rPr>
          <w:rFonts w:ascii="Arial" w:hAnsi="Arial" w:cs="Arial"/>
          <w:b/>
          <w:sz w:val="20"/>
          <w:szCs w:val="20"/>
        </w:rPr>
        <w:t>Recommandations</w:t>
      </w:r>
    </w:p>
    <w:p w14:paraId="1729C7DD" w14:textId="77777777" w:rsidR="009F2D2E" w:rsidRPr="00A95BFE" w:rsidRDefault="009F2D2E" w:rsidP="009F2D2E">
      <w:pPr>
        <w:jc w:val="both"/>
        <w:rPr>
          <w:rFonts w:ascii="Arial" w:hAnsi="Arial" w:cs="Arial"/>
          <w:sz w:val="20"/>
          <w:szCs w:val="20"/>
        </w:rPr>
      </w:pPr>
      <w:r w:rsidRPr="00A95BFE">
        <w:rPr>
          <w:rFonts w:ascii="Arial" w:hAnsi="Arial" w:cs="Arial"/>
          <w:sz w:val="20"/>
          <w:szCs w:val="20"/>
        </w:rPr>
        <w:t>La LDH demande :</w:t>
      </w:r>
    </w:p>
    <w:p w14:paraId="38E53377" w14:textId="7A6DF453" w:rsidR="009F2D2E" w:rsidRDefault="009F2D2E" w:rsidP="009F2D2E">
      <w:pPr>
        <w:pStyle w:val="ListParagraph"/>
        <w:numPr>
          <w:ilvl w:val="0"/>
          <w:numId w:val="7"/>
        </w:numPr>
        <w:jc w:val="both"/>
        <w:rPr>
          <w:rFonts w:ascii="Arial" w:hAnsi="Arial" w:cs="Arial"/>
          <w:sz w:val="20"/>
          <w:szCs w:val="20"/>
        </w:rPr>
      </w:pPr>
      <w:r>
        <w:rPr>
          <w:rFonts w:ascii="Arial" w:hAnsi="Arial" w:cs="Arial"/>
          <w:sz w:val="20"/>
          <w:szCs w:val="20"/>
        </w:rPr>
        <w:t xml:space="preserve">L’assignation à résidence des deux parents, accompagnés de leur </w:t>
      </w:r>
      <w:r w:rsidR="006433D9">
        <w:rPr>
          <w:rFonts w:ascii="Arial" w:hAnsi="Arial" w:cs="Arial"/>
          <w:sz w:val="20"/>
          <w:szCs w:val="20"/>
        </w:rPr>
        <w:t>enfant </w:t>
      </w:r>
    </w:p>
    <w:p w14:paraId="4BF42F53" w14:textId="7A1F7B2C" w:rsidR="009F2D2E" w:rsidRPr="00A95BFE" w:rsidRDefault="009F2D2E" w:rsidP="009F2D2E">
      <w:pPr>
        <w:pStyle w:val="ListParagraph"/>
        <w:numPr>
          <w:ilvl w:val="0"/>
          <w:numId w:val="7"/>
        </w:numPr>
        <w:jc w:val="both"/>
        <w:rPr>
          <w:rFonts w:ascii="Arial" w:hAnsi="Arial" w:cs="Arial"/>
          <w:sz w:val="20"/>
          <w:szCs w:val="20"/>
        </w:rPr>
      </w:pPr>
      <w:r w:rsidRPr="00A95BFE">
        <w:rPr>
          <w:rFonts w:ascii="Arial" w:hAnsi="Arial" w:cs="Arial"/>
          <w:sz w:val="20"/>
          <w:szCs w:val="20"/>
        </w:rPr>
        <w:t xml:space="preserve">La pleine exécution de l’arrêt CEDH, </w:t>
      </w:r>
      <w:proofErr w:type="spellStart"/>
      <w:r w:rsidRPr="00A95BFE">
        <w:rPr>
          <w:rFonts w:ascii="Arial" w:hAnsi="Arial" w:cs="Arial"/>
          <w:sz w:val="20"/>
          <w:szCs w:val="20"/>
        </w:rPr>
        <w:t>Moustahi</w:t>
      </w:r>
      <w:proofErr w:type="spellEnd"/>
      <w:r w:rsidRPr="00A95BFE">
        <w:rPr>
          <w:rFonts w:ascii="Arial" w:hAnsi="Arial" w:cs="Arial"/>
          <w:sz w:val="20"/>
          <w:szCs w:val="20"/>
        </w:rPr>
        <w:t xml:space="preserve"> c. France, </w:t>
      </w:r>
      <w:r>
        <w:rPr>
          <w:rFonts w:ascii="Arial" w:hAnsi="Arial" w:cs="Arial"/>
          <w:sz w:val="20"/>
          <w:szCs w:val="20"/>
        </w:rPr>
        <w:t>du</w:t>
      </w:r>
      <w:r w:rsidRPr="00A95BFE">
        <w:rPr>
          <w:rFonts w:ascii="Arial" w:hAnsi="Arial" w:cs="Arial"/>
          <w:sz w:val="20"/>
          <w:szCs w:val="20"/>
        </w:rPr>
        <w:t xml:space="preserve"> 25 juin 2020</w:t>
      </w:r>
      <w:r w:rsidR="006433D9">
        <w:rPr>
          <w:rFonts w:ascii="Arial" w:hAnsi="Arial" w:cs="Arial"/>
          <w:sz w:val="20"/>
          <w:szCs w:val="20"/>
        </w:rPr>
        <w:t> </w:t>
      </w:r>
    </w:p>
    <w:p w14:paraId="71C86DD9" w14:textId="38A1474D" w:rsidR="009F2D2E" w:rsidRPr="00A95BFE" w:rsidRDefault="009F2D2E" w:rsidP="009F2D2E">
      <w:pPr>
        <w:pStyle w:val="ListParagraph"/>
        <w:numPr>
          <w:ilvl w:val="0"/>
          <w:numId w:val="7"/>
        </w:numPr>
        <w:jc w:val="both"/>
        <w:rPr>
          <w:rFonts w:ascii="Arial" w:hAnsi="Arial" w:cs="Arial"/>
          <w:sz w:val="20"/>
          <w:szCs w:val="20"/>
        </w:rPr>
      </w:pPr>
      <w:r w:rsidRPr="00A95BFE">
        <w:rPr>
          <w:rFonts w:ascii="Arial" w:hAnsi="Arial" w:cs="Arial"/>
          <w:sz w:val="20"/>
          <w:szCs w:val="20"/>
        </w:rPr>
        <w:t xml:space="preserve">L’application de l’interdiction de la rétention administrative des </w:t>
      </w:r>
      <w:r>
        <w:rPr>
          <w:rFonts w:ascii="Arial" w:hAnsi="Arial" w:cs="Arial"/>
          <w:sz w:val="20"/>
          <w:szCs w:val="20"/>
        </w:rPr>
        <w:t>mineurs</w:t>
      </w:r>
      <w:r w:rsidRPr="00A95BFE">
        <w:rPr>
          <w:rFonts w:ascii="Arial" w:hAnsi="Arial" w:cs="Arial"/>
          <w:sz w:val="20"/>
          <w:szCs w:val="20"/>
        </w:rPr>
        <w:t xml:space="preserve"> à Mayotte, telle que prévu</w:t>
      </w:r>
      <w:r w:rsidR="006433D9">
        <w:rPr>
          <w:rFonts w:ascii="Arial" w:hAnsi="Arial" w:cs="Arial"/>
          <w:sz w:val="20"/>
          <w:szCs w:val="20"/>
        </w:rPr>
        <w:t>e par la loi du 26 janvier 2024</w:t>
      </w:r>
    </w:p>
    <w:p w14:paraId="312B10D9" w14:textId="77777777" w:rsidR="007901C5" w:rsidRPr="007901C5" w:rsidRDefault="007901C5" w:rsidP="007901C5">
      <w:pPr>
        <w:rPr>
          <w:rFonts w:ascii="Arial" w:hAnsi="Arial" w:cs="Arial"/>
          <w:b/>
          <w:sz w:val="20"/>
          <w:szCs w:val="20"/>
        </w:rPr>
      </w:pPr>
      <w:r w:rsidRPr="007901C5">
        <w:rPr>
          <w:rFonts w:ascii="Arial" w:hAnsi="Arial" w:cs="Arial"/>
          <w:b/>
          <w:sz w:val="20"/>
          <w:szCs w:val="20"/>
        </w:rPr>
        <w:t xml:space="preserve">2.3 </w:t>
      </w:r>
      <w:r w:rsidRPr="007901C5">
        <w:rPr>
          <w:rFonts w:ascii="Arial" w:hAnsi="Arial" w:cs="Arial"/>
          <w:b/>
          <w:sz w:val="20"/>
          <w:szCs w:val="20"/>
          <w:u w:val="single"/>
        </w:rPr>
        <w:t>L’admission en soins psychiatriques sans consentement</w:t>
      </w:r>
    </w:p>
    <w:p w14:paraId="5C3227C7" w14:textId="17315D00" w:rsidR="00700B8D" w:rsidRPr="005B4E0E" w:rsidRDefault="008405D0" w:rsidP="00700B8D">
      <w:pPr>
        <w:spacing w:line="240" w:lineRule="atLeast"/>
        <w:jc w:val="both"/>
        <w:rPr>
          <w:rFonts w:ascii="Arial" w:hAnsi="Arial" w:cs="Arial"/>
          <w:sz w:val="20"/>
          <w:szCs w:val="20"/>
        </w:rPr>
      </w:pPr>
      <w:r>
        <w:rPr>
          <w:rFonts w:ascii="Arial" w:hAnsi="Arial" w:cs="Arial"/>
          <w:sz w:val="20"/>
          <w:szCs w:val="20"/>
        </w:rPr>
        <w:t>D</w:t>
      </w:r>
      <w:r w:rsidRPr="008405D0">
        <w:rPr>
          <w:rFonts w:ascii="Arial" w:hAnsi="Arial" w:cs="Arial"/>
          <w:sz w:val="20"/>
          <w:szCs w:val="20"/>
        </w:rPr>
        <w:t>ans le cadre de ses dernières observations finales</w:t>
      </w:r>
      <w:r>
        <w:rPr>
          <w:rFonts w:ascii="Arial" w:hAnsi="Arial" w:cs="Arial"/>
          <w:sz w:val="20"/>
          <w:szCs w:val="20"/>
        </w:rPr>
        <w:t>, v</w:t>
      </w:r>
      <w:r w:rsidR="00E6250A">
        <w:rPr>
          <w:rFonts w:ascii="Arial" w:hAnsi="Arial" w:cs="Arial"/>
          <w:sz w:val="20"/>
          <w:szCs w:val="20"/>
        </w:rPr>
        <w:t>otre</w:t>
      </w:r>
      <w:r>
        <w:rPr>
          <w:rFonts w:ascii="Arial" w:hAnsi="Arial" w:cs="Arial"/>
          <w:sz w:val="20"/>
          <w:szCs w:val="20"/>
        </w:rPr>
        <w:t xml:space="preserve"> </w:t>
      </w:r>
      <w:r w:rsidR="00700B8D" w:rsidRPr="005B4E0E">
        <w:rPr>
          <w:rFonts w:ascii="Arial" w:hAnsi="Arial" w:cs="Arial"/>
          <w:sz w:val="20"/>
          <w:szCs w:val="20"/>
        </w:rPr>
        <w:t>Comité s’est dit préoccupé par le recours trop fréquent à l’isolement et à la contention lors du séjour du patient</w:t>
      </w:r>
      <w:r w:rsidR="00516691">
        <w:rPr>
          <w:rStyle w:val="FootnoteReference"/>
          <w:rFonts w:ascii="Arial" w:hAnsi="Arial" w:cs="Arial"/>
          <w:sz w:val="20"/>
          <w:szCs w:val="20"/>
        </w:rPr>
        <w:footnoteReference w:id="71"/>
      </w:r>
      <w:r w:rsidR="00700B8D" w:rsidRPr="005B4E0E">
        <w:rPr>
          <w:rFonts w:ascii="Arial" w:hAnsi="Arial" w:cs="Arial"/>
          <w:sz w:val="20"/>
          <w:szCs w:val="20"/>
        </w:rPr>
        <w:t xml:space="preserve">, traitement dénoncé également par le rapport du </w:t>
      </w:r>
      <w:r w:rsidR="008622F1">
        <w:rPr>
          <w:rFonts w:ascii="Arial" w:hAnsi="Arial" w:cs="Arial"/>
          <w:sz w:val="20"/>
          <w:szCs w:val="20"/>
        </w:rPr>
        <w:t>CGLPL</w:t>
      </w:r>
      <w:r w:rsidR="00700B8D" w:rsidRPr="005B4E0E">
        <w:rPr>
          <w:rFonts w:ascii="Arial" w:hAnsi="Arial" w:cs="Arial"/>
          <w:sz w:val="20"/>
          <w:szCs w:val="20"/>
        </w:rPr>
        <w:t xml:space="preserve"> dressé en 2020</w:t>
      </w:r>
      <w:r w:rsidR="00700B8D" w:rsidRPr="005B4E0E">
        <w:rPr>
          <w:rStyle w:val="FootnoteReference"/>
          <w:rFonts w:ascii="Arial" w:hAnsi="Arial" w:cs="Arial"/>
        </w:rPr>
        <w:footnoteReference w:id="72"/>
      </w:r>
      <w:r w:rsidR="00700B8D" w:rsidRPr="005B4E0E">
        <w:rPr>
          <w:rFonts w:ascii="Arial" w:hAnsi="Arial" w:cs="Arial"/>
          <w:sz w:val="20"/>
          <w:szCs w:val="20"/>
        </w:rPr>
        <w:t xml:space="preserve">. </w:t>
      </w:r>
    </w:p>
    <w:p w14:paraId="0B2CDA0F" w14:textId="696B687D"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Le nombre d’admission de personnes admises en établissement psychiatrique sous contrainte en France ne cesse d’augmenter de façon exponentielle. En 2021, tout mode d’hospitalisation sous contrainte confondu, ce sont 109</w:t>
      </w:r>
      <w:r w:rsidR="00466D87">
        <w:rPr>
          <w:rFonts w:ascii="Arial" w:hAnsi="Arial" w:cs="Arial"/>
          <w:sz w:val="20"/>
          <w:szCs w:val="20"/>
        </w:rPr>
        <w:t>.</w:t>
      </w:r>
      <w:r w:rsidR="008622F1">
        <w:rPr>
          <w:rFonts w:ascii="Arial" w:hAnsi="Arial" w:cs="Arial"/>
          <w:sz w:val="20"/>
          <w:szCs w:val="20"/>
        </w:rPr>
        <w:t xml:space="preserve">829 patients qui ont ainsi été </w:t>
      </w:r>
      <w:r w:rsidRPr="005B4E0E">
        <w:rPr>
          <w:rFonts w:ascii="Arial" w:hAnsi="Arial" w:cs="Arial"/>
          <w:sz w:val="20"/>
          <w:szCs w:val="20"/>
        </w:rPr>
        <w:t>placés sans consentement en établissements psychiatriques. Ils étaient 81</w:t>
      </w:r>
      <w:r w:rsidR="008622F1">
        <w:rPr>
          <w:rFonts w:ascii="Arial" w:hAnsi="Arial" w:cs="Arial"/>
          <w:sz w:val="20"/>
          <w:szCs w:val="20"/>
        </w:rPr>
        <w:t>.</w:t>
      </w:r>
      <w:r w:rsidRPr="005B4E0E">
        <w:rPr>
          <w:rFonts w:ascii="Arial" w:hAnsi="Arial" w:cs="Arial"/>
          <w:sz w:val="20"/>
          <w:szCs w:val="20"/>
        </w:rPr>
        <w:t xml:space="preserve">629 dix ans auparavant. Les personnes admises en soins psychiatriques sans leur consentement sont, pour nombre d'entre elles, parmi les plus vulnérables des personnes privées de liberté, les moins capables de défendre leurs droits et leur dignité. </w:t>
      </w:r>
    </w:p>
    <w:p w14:paraId="52B61FFB" w14:textId="5422745D"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 xml:space="preserve">Le taux observé de recours aux soins sans consentement dans les établissements visités en 2023 </w:t>
      </w:r>
      <w:r w:rsidR="008622F1">
        <w:rPr>
          <w:rFonts w:ascii="Arial" w:hAnsi="Arial" w:cs="Arial"/>
          <w:sz w:val="20"/>
          <w:szCs w:val="20"/>
        </w:rPr>
        <w:t>par la</w:t>
      </w:r>
      <w:r w:rsidRPr="005B4E0E">
        <w:rPr>
          <w:rFonts w:ascii="Arial" w:hAnsi="Arial" w:cs="Arial"/>
          <w:sz w:val="20"/>
          <w:szCs w:val="20"/>
        </w:rPr>
        <w:t xml:space="preserve"> </w:t>
      </w:r>
      <w:r w:rsidR="008622F1">
        <w:rPr>
          <w:rFonts w:ascii="Arial" w:hAnsi="Arial" w:cs="Arial"/>
          <w:sz w:val="20"/>
          <w:szCs w:val="20"/>
        </w:rPr>
        <w:t>CGLPL</w:t>
      </w:r>
      <w:r w:rsidRPr="005B4E0E">
        <w:rPr>
          <w:rFonts w:ascii="Arial" w:hAnsi="Arial" w:cs="Arial"/>
          <w:sz w:val="20"/>
          <w:szCs w:val="20"/>
        </w:rPr>
        <w:t xml:space="preserve"> est très variable et peut dans certains cas dépasser la moitié des admissions. </w:t>
      </w:r>
      <w:r w:rsidR="008622F1">
        <w:rPr>
          <w:rFonts w:ascii="Arial" w:hAnsi="Arial" w:cs="Arial"/>
          <w:sz w:val="20"/>
          <w:szCs w:val="20"/>
        </w:rPr>
        <w:t xml:space="preserve">Comme le révèle </w:t>
      </w:r>
      <w:r w:rsidR="0001023B">
        <w:rPr>
          <w:rFonts w:ascii="Arial" w:hAnsi="Arial" w:cs="Arial"/>
          <w:sz w:val="20"/>
          <w:szCs w:val="20"/>
        </w:rPr>
        <w:t>l</w:t>
      </w:r>
      <w:r w:rsidR="008622F1">
        <w:rPr>
          <w:rFonts w:ascii="Arial" w:hAnsi="Arial" w:cs="Arial"/>
          <w:sz w:val="20"/>
          <w:szCs w:val="20"/>
        </w:rPr>
        <w:t>e rapport de la</w:t>
      </w:r>
      <w:r w:rsidRPr="005B4E0E">
        <w:rPr>
          <w:rFonts w:ascii="Arial" w:hAnsi="Arial" w:cs="Arial"/>
          <w:sz w:val="20"/>
          <w:szCs w:val="20"/>
        </w:rPr>
        <w:t xml:space="preserve"> CGLPL de 2023</w:t>
      </w:r>
      <w:r w:rsidRPr="005B4E0E">
        <w:rPr>
          <w:rStyle w:val="FootnoteReference"/>
          <w:rFonts w:ascii="Arial" w:hAnsi="Arial" w:cs="Arial"/>
        </w:rPr>
        <w:footnoteReference w:id="73"/>
      </w:r>
      <w:r w:rsidRPr="005B4E0E">
        <w:rPr>
          <w:rFonts w:ascii="Arial" w:hAnsi="Arial" w:cs="Arial"/>
          <w:sz w:val="20"/>
          <w:szCs w:val="20"/>
        </w:rPr>
        <w:t xml:space="preserve">, la filière des urgences, en raison de la tension des effectifs médicaux ou de faiblesses de l’organisation, est souvent le lieu d’atteintes graves aux droits des </w:t>
      </w:r>
      <w:r w:rsidRPr="005B4E0E">
        <w:rPr>
          <w:rFonts w:ascii="Arial" w:hAnsi="Arial" w:cs="Arial"/>
          <w:sz w:val="20"/>
          <w:szCs w:val="20"/>
        </w:rPr>
        <w:lastRenderedPageBreak/>
        <w:t>patients</w:t>
      </w:r>
      <w:r w:rsidR="0001023B">
        <w:rPr>
          <w:rFonts w:ascii="Arial" w:hAnsi="Arial" w:cs="Arial"/>
          <w:sz w:val="20"/>
          <w:szCs w:val="20"/>
        </w:rPr>
        <w:t> :</w:t>
      </w:r>
      <w:r w:rsidRPr="005B4E0E">
        <w:rPr>
          <w:rFonts w:ascii="Arial" w:hAnsi="Arial" w:cs="Arial"/>
          <w:sz w:val="20"/>
          <w:szCs w:val="20"/>
        </w:rPr>
        <w:t xml:space="preserve"> la confidentialité n’est pas respectée, les mesures de contraintes ne sont pas conformes à la loi, les séjours dans des conditions matérielles indignes se prolongent. L’absence de protocole entre urgences et psychiatrie occasionne régulièrement des conflits et des non-prises en charge de patients qui, une fois le certificat médical initial établi par les urgentistes, attendent souvent un lit plus de 48 heures, isolés et contenus. Les décisions de soins sans consentement tardent, de même que les décisions d’isolement et de contention, de sorte que les patients sont contraints sans base légale et sans contrôle du juge.</w:t>
      </w:r>
    </w:p>
    <w:p w14:paraId="2FF5B24E" w14:textId="48D6E814"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On constate qu'outre que les mesures en soins sans consentement sont initiées par les services d'urgences, elles sont de façon importante prises selon le mode du péril imminent alors qu'il s'agit d'une procédure d'exception. Ce mode d'admission est en augmentation importante puisque inexistant avant 2011, il a rapidement atteint la proportion de 21 % des mesures de soins sans consentement en 2015</w:t>
      </w:r>
      <w:r w:rsidRPr="005B4E0E">
        <w:rPr>
          <w:rStyle w:val="FootnoteReference"/>
          <w:rFonts w:ascii="Arial" w:hAnsi="Arial" w:cs="Arial"/>
        </w:rPr>
        <w:footnoteReference w:id="74"/>
      </w:r>
      <w:r w:rsidRPr="005B4E0E">
        <w:rPr>
          <w:rFonts w:ascii="Arial" w:hAnsi="Arial" w:cs="Arial"/>
          <w:sz w:val="20"/>
          <w:szCs w:val="20"/>
        </w:rPr>
        <w:t>, augmentant encore à 24 % en 2018.</w:t>
      </w:r>
    </w:p>
    <w:p w14:paraId="7FC6372B" w14:textId="77777777"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Or, les modalités de ce régime, qui imposent à un directeur d'établissement d'admettre une personne sur le fondement d'un seul certificat médical, posent intrinsèquement un problème de respect des droits. Le recours à cette procédure témoigne de ces dysfonctionnements et des manques de moyens alloués aux services de psychiatrie comme le révèle l'augmentation constatée dans les services de psychiatrie générale des levées des mesures de soins sans consentement les lundis après des week-ends où la présence psychiatrique est moins importante.</w:t>
      </w:r>
    </w:p>
    <w:p w14:paraId="723F6ED8" w14:textId="77777777"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Au-delà même de la décision d’hospitalisation sous contrainte déjà potentiellement attentatoire aux libertés fondamentales de la personne qui en est l’objet, le séjour dans l’établissement peut bien souvent lui aussi révéler des traitements inhumains et/ou dégradants résultant de la pratique de l’isolement et de la contention hautement attentatoires à la liberté d’aller et venir et à la dignité du patient. Ces mesures nécessiteraient des moyens alternatifs de recherche systématique du consentement du patient.</w:t>
      </w:r>
      <w:r w:rsidRPr="005B4E0E">
        <w:rPr>
          <w:rStyle w:val="FootnoteReference"/>
          <w:rFonts w:ascii="Arial" w:hAnsi="Arial" w:cs="Arial"/>
        </w:rPr>
        <w:footnoteReference w:id="75"/>
      </w:r>
      <w:r w:rsidRPr="005B4E0E">
        <w:rPr>
          <w:rFonts w:ascii="Arial" w:hAnsi="Arial" w:cs="Arial"/>
          <w:sz w:val="20"/>
          <w:szCs w:val="20"/>
        </w:rPr>
        <w:t xml:space="preserve"> </w:t>
      </w:r>
    </w:p>
    <w:p w14:paraId="068C48FC" w14:textId="77777777"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Si le CGLPL a pu relever dans son rapport d’activité de 2023 une diminution de ces pratiques, il note toutefois que la plupart des établissements visités mettent en place une partie de ces mesures et que peu nombreux sont cependant ceux qui les respectent toutes. En 2022, sur 76 000 personnes hospitalisées sans leur consentement à temps plein en psychiatrie : 37 % sont concernées par un recours à l’isolement, soit 28 000 personnes, et 11 % par un recours à la contention mécanique, soit 8 000 personnes</w:t>
      </w:r>
      <w:r w:rsidRPr="005B4E0E">
        <w:rPr>
          <w:rStyle w:val="FootnoteReference"/>
          <w:rFonts w:ascii="Arial" w:hAnsi="Arial" w:cs="Arial"/>
        </w:rPr>
        <w:footnoteReference w:id="76"/>
      </w:r>
      <w:r w:rsidRPr="005B4E0E">
        <w:rPr>
          <w:rFonts w:ascii="Arial" w:hAnsi="Arial" w:cs="Arial"/>
          <w:sz w:val="20"/>
          <w:szCs w:val="20"/>
        </w:rPr>
        <w:t>. Ainsi en France, en 2022, le recours aux mesures d’isolement en psychiatrie a ainsi concerné près de 52 personnes sur 100 000 habitants majeurs et le recours aux mesures de contention mécanique près de 15 personnes sur 100 000 habitants majeurs.</w:t>
      </w:r>
    </w:p>
    <w:p w14:paraId="4ED8B068" w14:textId="77777777"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L’emploi de ces mesures varie de façon marquée entre les établissements. Pourtant, ces mesures ne doivent être mises en œuvre qu’à titre exceptionnel afin de prévenir un dommage immédiat ou imminent pour la personne hospitalisée ou autrui, de façon proportionnée et graduée, après échec de mesures moins restrictives de liberté, avec une durée limitée et sur la base d’arguments cliniques</w:t>
      </w:r>
      <w:r w:rsidRPr="005B4E0E">
        <w:rPr>
          <w:rStyle w:val="FootnoteReference"/>
          <w:rFonts w:ascii="Arial" w:hAnsi="Arial" w:cs="Arial"/>
        </w:rPr>
        <w:footnoteReference w:id="77"/>
      </w:r>
      <w:r w:rsidRPr="005B4E0E">
        <w:rPr>
          <w:rFonts w:ascii="Arial" w:hAnsi="Arial" w:cs="Arial"/>
          <w:sz w:val="20"/>
          <w:szCs w:val="20"/>
        </w:rPr>
        <w:t xml:space="preserve">. La réduction de l’usage des pratiques coercitives en psychiatrie figure pourtant à l’agenda politique international (OMS, ONU, 2023) du fait du soutien d’une approche de la santé mentale fondée sur les droits de l’Homme, de l’absence de preuves de leur bénéfice thérapeutique, et de leurs possibles effets indésirables. La limitation du recours aux mesures d’isolement et de contention mécanique a certes connu une évolution continue depuis 2016. La dernière évolution émane de la loi du 22 janvier 2022 qui a rendu obligatoire le contrôle des mesures d’isolement et de contention mécanique en psychiatrie par un JLD, au bout de 72 heures maximum pour l’isolement, et de 48 heures maximum pour la contention, et le rend compétent pour ordonner la mainlevée immédiate de la mesure si les conditions légales ne sont plus réunies. De même, un recueil obligatoire des mesures d’isolement et de contention mécanique </w:t>
      </w:r>
      <w:r w:rsidRPr="005B4E0E">
        <w:rPr>
          <w:rFonts w:ascii="Arial" w:hAnsi="Arial" w:cs="Arial"/>
          <w:sz w:val="20"/>
          <w:szCs w:val="20"/>
        </w:rPr>
        <w:lastRenderedPageBreak/>
        <w:t>a été mis en place depuis 2018 auprès des établissements de santé délivrant des soins sans consentement.</w:t>
      </w:r>
    </w:p>
    <w:p w14:paraId="69F45CD8" w14:textId="77777777"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Pourtant, souvent elles sont mises œuvres aux urgences, sur des patients en soins libres et échappent à l’enregistrement, donc au contrôle du juge. Ce constat était malheureusement déjà présent dans le rapport du CGLPL du 16 mars 2020 déjà cité (p.32). Selon une étude de l'association des établissements du service public de santé mentale (ADESM), près de 60 % des admissions en soins sans consentement sont en effet initiées dans un service de médecine d'urgence</w:t>
      </w:r>
      <w:r w:rsidRPr="005B4E0E">
        <w:rPr>
          <w:rStyle w:val="FootnoteReference"/>
          <w:rFonts w:ascii="Arial" w:hAnsi="Arial" w:cs="Arial"/>
        </w:rPr>
        <w:footnoteReference w:id="78"/>
      </w:r>
      <w:r w:rsidRPr="005B4E0E">
        <w:rPr>
          <w:rFonts w:ascii="Arial" w:hAnsi="Arial" w:cs="Arial"/>
          <w:sz w:val="20"/>
          <w:szCs w:val="20"/>
        </w:rPr>
        <w:t xml:space="preserve">. La situation est alors pour le moins paradoxale puisque des patients font l’objet de mesures de contrainte non fondées en droit et, pour cette seule raison, se voient privés de la plus élémentaire des garanties, le contrôle de la mesure par un juge, soit que le juge informé de la mesure ne s’estime pas compétent pour en connaître, soit, plus souvent, que l’établissement considère que cette mesure n’entrant pas dans le cadre défini par le code de la santé publique ne doit pas être signalée au juge. De telles pratiques sont en tout état de cause parfaitement illégales. </w:t>
      </w:r>
    </w:p>
    <w:p w14:paraId="5E9ACD38" w14:textId="06BCE314"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Toute mesure d’isolement ou de contention doit en effet être soumise à l’autorité judiciaire : si elle est mise en œuvre au titre des soins psychiatriques sans consentement, ce contrôle interviendra en application de l’art. L.3222-5-1 du CSP. En l’état actuel du droit, hormis cette hypothèse, cette mesure sera dépourvue de toute base légale et devrait faire l’objet d’une censure du juge judiciaire au titre de la garantie constitutionnelle contre l’enferm</w:t>
      </w:r>
      <w:r w:rsidR="0001023B">
        <w:rPr>
          <w:rFonts w:ascii="Arial" w:hAnsi="Arial" w:cs="Arial"/>
          <w:sz w:val="20"/>
          <w:szCs w:val="20"/>
        </w:rPr>
        <w:t>em</w:t>
      </w:r>
      <w:r w:rsidRPr="005B4E0E">
        <w:rPr>
          <w:rFonts w:ascii="Arial" w:hAnsi="Arial" w:cs="Arial"/>
          <w:sz w:val="20"/>
          <w:szCs w:val="20"/>
        </w:rPr>
        <w:t xml:space="preserve">ent arbitraire posée par l’article 66 de la Constitution. </w:t>
      </w:r>
    </w:p>
    <w:p w14:paraId="73BFB5C2" w14:textId="77777777" w:rsidR="00700B8D" w:rsidRPr="005B4E0E" w:rsidRDefault="00700B8D" w:rsidP="00700B8D">
      <w:pPr>
        <w:spacing w:line="240" w:lineRule="atLeast"/>
        <w:jc w:val="both"/>
        <w:rPr>
          <w:rFonts w:ascii="Arial" w:hAnsi="Arial" w:cs="Arial"/>
          <w:sz w:val="20"/>
          <w:szCs w:val="20"/>
        </w:rPr>
      </w:pPr>
      <w:r w:rsidRPr="005B4E0E">
        <w:rPr>
          <w:rFonts w:ascii="Arial" w:hAnsi="Arial" w:cs="Arial"/>
          <w:sz w:val="20"/>
          <w:szCs w:val="20"/>
        </w:rPr>
        <w:t>Au-delà de ces situations, les rapports de visite du CGLPL révèlent des atteintes aux droits des patients quant à ses modalités d’exécution. Plusieurs cas révèlent une durée de la mesure excessive, des conditions matérielles de son exécution indignes ou en tout cas non conformes aux exigences réglementaires, la surveillance médicale dont elle fait l’objet insuffisante.</w:t>
      </w:r>
    </w:p>
    <w:p w14:paraId="1CACBA35" w14:textId="77777777" w:rsidR="00F05050" w:rsidRPr="00A95BFE" w:rsidRDefault="00F05050" w:rsidP="00F05050">
      <w:pPr>
        <w:shd w:val="clear" w:color="auto" w:fill="D9D9D9" w:themeFill="background1" w:themeFillShade="D9"/>
        <w:jc w:val="both"/>
        <w:rPr>
          <w:rFonts w:ascii="Arial" w:hAnsi="Arial" w:cs="Arial"/>
          <w:b/>
          <w:sz w:val="20"/>
          <w:szCs w:val="20"/>
        </w:rPr>
      </w:pPr>
      <w:r w:rsidRPr="00A95BFE">
        <w:rPr>
          <w:rFonts w:ascii="Arial" w:hAnsi="Arial" w:cs="Arial"/>
          <w:b/>
          <w:sz w:val="20"/>
          <w:szCs w:val="20"/>
        </w:rPr>
        <w:t>Recommandations</w:t>
      </w:r>
    </w:p>
    <w:p w14:paraId="297037EE" w14:textId="2768A121" w:rsidR="00F05050" w:rsidRPr="00A95BFE" w:rsidRDefault="00F05050" w:rsidP="00F05050">
      <w:pPr>
        <w:jc w:val="both"/>
        <w:rPr>
          <w:rFonts w:ascii="Arial" w:hAnsi="Arial" w:cs="Arial"/>
          <w:sz w:val="20"/>
          <w:szCs w:val="20"/>
        </w:rPr>
      </w:pPr>
      <w:r w:rsidRPr="00A95BFE">
        <w:rPr>
          <w:rFonts w:ascii="Arial" w:hAnsi="Arial" w:cs="Arial"/>
          <w:sz w:val="20"/>
          <w:szCs w:val="20"/>
        </w:rPr>
        <w:t>La LDH demande</w:t>
      </w:r>
      <w:r>
        <w:rPr>
          <w:rFonts w:ascii="Arial" w:hAnsi="Arial" w:cs="Arial"/>
          <w:sz w:val="20"/>
          <w:szCs w:val="20"/>
        </w:rPr>
        <w:t xml:space="preserve"> </w:t>
      </w:r>
      <w:r w:rsidR="00BF7120">
        <w:rPr>
          <w:rFonts w:ascii="Arial" w:hAnsi="Arial" w:cs="Arial"/>
          <w:sz w:val="20"/>
          <w:szCs w:val="20"/>
        </w:rPr>
        <w:t xml:space="preserve">à l’Etat </w:t>
      </w:r>
      <w:r>
        <w:rPr>
          <w:rFonts w:ascii="Arial" w:hAnsi="Arial" w:cs="Arial"/>
          <w:sz w:val="20"/>
          <w:szCs w:val="20"/>
        </w:rPr>
        <w:t>de</w:t>
      </w:r>
      <w:r w:rsidRPr="00A95BFE">
        <w:rPr>
          <w:rFonts w:ascii="Arial" w:hAnsi="Arial" w:cs="Arial"/>
          <w:sz w:val="20"/>
          <w:szCs w:val="20"/>
        </w:rPr>
        <w:t> :</w:t>
      </w:r>
    </w:p>
    <w:p w14:paraId="511E7389" w14:textId="2178DA27" w:rsidR="00700B8D" w:rsidRPr="00E55F2B" w:rsidRDefault="00700B8D" w:rsidP="00700B8D">
      <w:pPr>
        <w:pStyle w:val="ListParagraph"/>
        <w:numPr>
          <w:ilvl w:val="0"/>
          <w:numId w:val="9"/>
        </w:numPr>
        <w:spacing w:after="200" w:line="240" w:lineRule="atLeast"/>
        <w:jc w:val="both"/>
        <w:rPr>
          <w:rFonts w:ascii="Arial" w:hAnsi="Arial" w:cs="Arial"/>
          <w:sz w:val="20"/>
          <w:szCs w:val="20"/>
        </w:rPr>
      </w:pPr>
      <w:r w:rsidRPr="00E55F2B">
        <w:rPr>
          <w:rFonts w:ascii="Arial" w:hAnsi="Arial" w:cs="Arial"/>
          <w:sz w:val="20"/>
          <w:szCs w:val="20"/>
        </w:rPr>
        <w:t>Développer l’offre de soins psychiatriques en ambulatoires et en équipes mobiles pour éviter les situations de crises et l’hospitalisation sous contrainte</w:t>
      </w:r>
      <w:r w:rsidR="002B4541">
        <w:rPr>
          <w:rFonts w:ascii="Arial" w:hAnsi="Arial" w:cs="Arial"/>
          <w:sz w:val="20"/>
          <w:szCs w:val="20"/>
        </w:rPr>
        <w:t> </w:t>
      </w:r>
    </w:p>
    <w:p w14:paraId="40720E9C" w14:textId="77777777" w:rsidR="002B4541" w:rsidRDefault="002B4541" w:rsidP="002B4541">
      <w:pPr>
        <w:pStyle w:val="ListParagraph"/>
        <w:numPr>
          <w:ilvl w:val="0"/>
          <w:numId w:val="9"/>
        </w:numPr>
        <w:spacing w:after="200" w:line="240" w:lineRule="atLeast"/>
        <w:jc w:val="both"/>
        <w:rPr>
          <w:rFonts w:ascii="Arial" w:hAnsi="Arial" w:cs="Arial"/>
          <w:sz w:val="20"/>
          <w:szCs w:val="20"/>
        </w:rPr>
      </w:pPr>
      <w:r>
        <w:rPr>
          <w:rFonts w:ascii="Arial" w:hAnsi="Arial" w:cs="Arial"/>
          <w:sz w:val="20"/>
          <w:szCs w:val="20"/>
        </w:rPr>
        <w:t>P</w:t>
      </w:r>
      <w:r w:rsidR="00700B8D" w:rsidRPr="00E55F2B">
        <w:rPr>
          <w:rFonts w:ascii="Arial" w:hAnsi="Arial" w:cs="Arial"/>
          <w:sz w:val="20"/>
          <w:szCs w:val="20"/>
        </w:rPr>
        <w:t>rotocoliser des méthodes de prise en charge respectueuses des dro</w:t>
      </w:r>
      <w:r>
        <w:rPr>
          <w:rFonts w:ascii="Arial" w:hAnsi="Arial" w:cs="Arial"/>
          <w:sz w:val="20"/>
          <w:szCs w:val="20"/>
        </w:rPr>
        <w:t>its du patient et de sa dignité au sein des services d’urgence </w:t>
      </w:r>
    </w:p>
    <w:p w14:paraId="56EE22A1" w14:textId="2A9A1538" w:rsidR="00700B8D" w:rsidRPr="002B4541" w:rsidRDefault="002B4541" w:rsidP="002B4541">
      <w:pPr>
        <w:pStyle w:val="ListParagraph"/>
        <w:numPr>
          <w:ilvl w:val="0"/>
          <w:numId w:val="9"/>
        </w:numPr>
        <w:spacing w:after="200" w:line="240" w:lineRule="atLeast"/>
        <w:jc w:val="both"/>
        <w:rPr>
          <w:rFonts w:ascii="Arial" w:hAnsi="Arial" w:cs="Arial"/>
          <w:sz w:val="20"/>
          <w:szCs w:val="20"/>
        </w:rPr>
      </w:pPr>
      <w:r>
        <w:rPr>
          <w:rFonts w:ascii="Arial" w:hAnsi="Arial" w:cs="Arial"/>
          <w:sz w:val="20"/>
          <w:szCs w:val="20"/>
        </w:rPr>
        <w:t>Prévoir u</w:t>
      </w:r>
      <w:r w:rsidR="00F05050" w:rsidRPr="002B4541">
        <w:rPr>
          <w:rFonts w:ascii="Arial" w:hAnsi="Arial" w:cs="Arial"/>
          <w:sz w:val="20"/>
          <w:szCs w:val="20"/>
        </w:rPr>
        <w:t>n registre</w:t>
      </w:r>
      <w:r w:rsidR="00700B8D" w:rsidRPr="002B4541">
        <w:rPr>
          <w:rFonts w:ascii="Arial" w:hAnsi="Arial" w:cs="Arial"/>
          <w:sz w:val="20"/>
          <w:szCs w:val="20"/>
        </w:rPr>
        <w:t xml:space="preserve"> d'isolement mentionnant sa durée totale, le statut initial du patient et son statut vingt-quatre heures après, le lieu d'exécution de la mesure, l'existence et la </w:t>
      </w:r>
      <w:r>
        <w:rPr>
          <w:rFonts w:ascii="Arial" w:hAnsi="Arial" w:cs="Arial"/>
          <w:sz w:val="20"/>
          <w:szCs w:val="20"/>
        </w:rPr>
        <w:t>durée d'une contention associée</w:t>
      </w:r>
    </w:p>
    <w:p w14:paraId="08B352FB" w14:textId="31CB9AC8" w:rsidR="00700B8D" w:rsidRPr="002B4541" w:rsidRDefault="002B4541" w:rsidP="00700B8D">
      <w:pPr>
        <w:pStyle w:val="ListParagraph"/>
        <w:numPr>
          <w:ilvl w:val="0"/>
          <w:numId w:val="9"/>
        </w:numPr>
        <w:spacing w:after="200" w:line="240" w:lineRule="atLeast"/>
        <w:jc w:val="both"/>
        <w:rPr>
          <w:rFonts w:ascii="Arial" w:hAnsi="Arial" w:cs="Arial"/>
          <w:sz w:val="20"/>
          <w:szCs w:val="20"/>
        </w:rPr>
      </w:pPr>
      <w:r>
        <w:rPr>
          <w:rFonts w:ascii="Arial" w:hAnsi="Arial" w:cs="Arial"/>
          <w:sz w:val="20"/>
          <w:szCs w:val="20"/>
        </w:rPr>
        <w:t>Expliciter l</w:t>
      </w:r>
      <w:r w:rsidR="00700B8D" w:rsidRPr="002B4541">
        <w:rPr>
          <w:rFonts w:ascii="Arial" w:hAnsi="Arial" w:cs="Arial"/>
          <w:sz w:val="20"/>
          <w:szCs w:val="20"/>
        </w:rPr>
        <w:t xml:space="preserve">es alternatives à l'isolement ou la contention dans les </w:t>
      </w:r>
      <w:r w:rsidR="006433D9">
        <w:rPr>
          <w:rFonts w:ascii="Arial" w:hAnsi="Arial" w:cs="Arial"/>
          <w:sz w:val="20"/>
          <w:szCs w:val="20"/>
        </w:rPr>
        <w:t>protocoles de mise en isolement</w:t>
      </w:r>
    </w:p>
    <w:p w14:paraId="62832E83" w14:textId="2B82389A" w:rsidR="00700B8D" w:rsidRDefault="00700B8D" w:rsidP="00700B8D">
      <w:pPr>
        <w:pStyle w:val="ListParagraph"/>
        <w:numPr>
          <w:ilvl w:val="0"/>
          <w:numId w:val="9"/>
        </w:numPr>
        <w:spacing w:after="200" w:line="240" w:lineRule="atLeast"/>
        <w:jc w:val="both"/>
        <w:rPr>
          <w:rFonts w:ascii="Arial" w:hAnsi="Arial" w:cs="Arial"/>
          <w:sz w:val="20"/>
          <w:szCs w:val="20"/>
        </w:rPr>
      </w:pPr>
      <w:r w:rsidRPr="00E55F2B">
        <w:rPr>
          <w:rFonts w:ascii="Arial" w:hAnsi="Arial" w:cs="Arial"/>
          <w:sz w:val="20"/>
          <w:szCs w:val="20"/>
        </w:rPr>
        <w:t xml:space="preserve">Développer le recueil du consentement du patient </w:t>
      </w:r>
      <w:r w:rsidR="002B4541">
        <w:rPr>
          <w:rFonts w:ascii="Arial" w:hAnsi="Arial" w:cs="Arial"/>
          <w:sz w:val="20"/>
          <w:szCs w:val="20"/>
        </w:rPr>
        <w:t xml:space="preserve">que ce soit </w:t>
      </w:r>
      <w:r w:rsidRPr="00E55F2B">
        <w:rPr>
          <w:rFonts w:ascii="Arial" w:hAnsi="Arial" w:cs="Arial"/>
          <w:sz w:val="20"/>
          <w:szCs w:val="20"/>
        </w:rPr>
        <w:t>par le recou</w:t>
      </w:r>
      <w:r w:rsidR="002B4541">
        <w:rPr>
          <w:rFonts w:ascii="Arial" w:hAnsi="Arial" w:cs="Arial"/>
          <w:sz w:val="20"/>
          <w:szCs w:val="20"/>
        </w:rPr>
        <w:t>rs à des personnes de confiance et dans le cadre</w:t>
      </w:r>
      <w:r w:rsidRPr="00E55F2B">
        <w:rPr>
          <w:rFonts w:ascii="Arial" w:hAnsi="Arial" w:cs="Arial"/>
          <w:sz w:val="20"/>
          <w:szCs w:val="20"/>
        </w:rPr>
        <w:t xml:space="preserve"> de « directives anticipées en psychiatrie » ou « contrats de gestion de crise » </w:t>
      </w:r>
    </w:p>
    <w:p w14:paraId="3A787A2B" w14:textId="77777777" w:rsidR="002B4541" w:rsidRPr="002B4541" w:rsidRDefault="00F05050" w:rsidP="002B4541">
      <w:pPr>
        <w:pStyle w:val="ListParagraph"/>
        <w:numPr>
          <w:ilvl w:val="0"/>
          <w:numId w:val="9"/>
        </w:numPr>
        <w:rPr>
          <w:rFonts w:ascii="Arial" w:hAnsi="Arial" w:cs="Arial"/>
          <w:sz w:val="20"/>
          <w:szCs w:val="20"/>
        </w:rPr>
      </w:pPr>
      <w:r w:rsidRPr="002B4541">
        <w:rPr>
          <w:rFonts w:ascii="Arial" w:hAnsi="Arial" w:cs="Arial"/>
          <w:sz w:val="20"/>
          <w:szCs w:val="20"/>
        </w:rPr>
        <w:t>Mettre</w:t>
      </w:r>
      <w:r w:rsidR="00700B8D" w:rsidRPr="002B4541">
        <w:rPr>
          <w:rFonts w:ascii="Arial" w:hAnsi="Arial" w:cs="Arial"/>
          <w:sz w:val="20"/>
          <w:szCs w:val="20"/>
        </w:rPr>
        <w:t xml:space="preserve"> en place d’un observatoire national des pratiques d'isolement et de contention</w:t>
      </w:r>
    </w:p>
    <w:p w14:paraId="2CDF1794" w14:textId="77777777" w:rsidR="002B4541" w:rsidRPr="00E55F2B" w:rsidRDefault="002B4541" w:rsidP="002B4541">
      <w:pPr>
        <w:pStyle w:val="ListParagraph"/>
        <w:spacing w:after="200" w:line="240" w:lineRule="atLeast"/>
        <w:jc w:val="both"/>
        <w:rPr>
          <w:rFonts w:ascii="Arial" w:hAnsi="Arial" w:cs="Arial"/>
          <w:sz w:val="20"/>
          <w:szCs w:val="20"/>
        </w:rPr>
      </w:pPr>
    </w:p>
    <w:p w14:paraId="5D9C54CB" w14:textId="77777777" w:rsidR="007901C5" w:rsidRDefault="007901C5"/>
    <w:sectPr w:rsidR="007901C5" w:rsidSect="00D20B98">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DF5B9" w14:textId="77777777" w:rsidR="009F2D2E" w:rsidRDefault="009F2D2E" w:rsidP="009F2D2E">
      <w:pPr>
        <w:spacing w:after="0" w:line="240" w:lineRule="auto"/>
      </w:pPr>
      <w:r>
        <w:separator/>
      </w:r>
    </w:p>
  </w:endnote>
  <w:endnote w:type="continuationSeparator" w:id="0">
    <w:p w14:paraId="5A6A57AF" w14:textId="77777777" w:rsidR="009F2D2E" w:rsidRDefault="009F2D2E" w:rsidP="009F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50E7" w14:textId="77777777" w:rsidR="00D20B98" w:rsidRDefault="00D20B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602883"/>
      <w:docPartObj>
        <w:docPartGallery w:val="Page Numbers (Bottom of Page)"/>
        <w:docPartUnique/>
      </w:docPartObj>
    </w:sdtPr>
    <w:sdtEndPr/>
    <w:sdtContent>
      <w:p w14:paraId="301E900F" w14:textId="6AF92D9E" w:rsidR="00365A77" w:rsidRDefault="00365A77">
        <w:pPr>
          <w:pStyle w:val="Footer"/>
          <w:jc w:val="right"/>
        </w:pPr>
        <w:r>
          <w:fldChar w:fldCharType="begin"/>
        </w:r>
        <w:r>
          <w:instrText>PAGE   \* MERGEFORMAT</w:instrText>
        </w:r>
        <w:r>
          <w:fldChar w:fldCharType="separate"/>
        </w:r>
        <w:r w:rsidR="00E711BF">
          <w:rPr>
            <w:noProof/>
          </w:rPr>
          <w:t>15</w:t>
        </w:r>
        <w:r>
          <w:fldChar w:fldCharType="end"/>
        </w:r>
      </w:p>
    </w:sdtContent>
  </w:sdt>
  <w:p w14:paraId="1F894E04" w14:textId="77777777" w:rsidR="00365A77" w:rsidRDefault="00365A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5829D" w14:textId="77777777" w:rsidR="00D20B98" w:rsidRDefault="00D20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584E3" w14:textId="77777777" w:rsidR="009F2D2E" w:rsidRDefault="009F2D2E" w:rsidP="009F2D2E">
      <w:pPr>
        <w:spacing w:after="0" w:line="240" w:lineRule="auto"/>
      </w:pPr>
      <w:r>
        <w:separator/>
      </w:r>
    </w:p>
  </w:footnote>
  <w:footnote w:type="continuationSeparator" w:id="0">
    <w:p w14:paraId="03805B2F" w14:textId="77777777" w:rsidR="009F2D2E" w:rsidRDefault="009F2D2E" w:rsidP="009F2D2E">
      <w:pPr>
        <w:spacing w:after="0" w:line="240" w:lineRule="auto"/>
      </w:pPr>
      <w:r>
        <w:continuationSeparator/>
      </w:r>
    </w:p>
  </w:footnote>
  <w:footnote w:id="1">
    <w:p w14:paraId="5D9A1050" w14:textId="77777777" w:rsidR="009F2D2E" w:rsidRPr="000071DF" w:rsidRDefault="009F2D2E" w:rsidP="009F2D2E">
      <w:pPr>
        <w:pStyle w:val="FootnoteText"/>
        <w:rPr>
          <w:rFonts w:ascii="Arial" w:hAnsi="Arial" w:cs="Arial"/>
          <w:sz w:val="16"/>
          <w:szCs w:val="16"/>
        </w:rPr>
      </w:pPr>
      <w:r w:rsidRPr="000071DF">
        <w:rPr>
          <w:rStyle w:val="FootnoteReference"/>
          <w:rFonts w:ascii="Arial" w:hAnsi="Arial" w:cs="Arial"/>
          <w:sz w:val="16"/>
          <w:szCs w:val="16"/>
        </w:rPr>
        <w:footnoteRef/>
      </w:r>
      <w:r w:rsidRPr="000071DF">
        <w:rPr>
          <w:rFonts w:ascii="Arial" w:hAnsi="Arial" w:cs="Arial"/>
          <w:sz w:val="16"/>
          <w:szCs w:val="16"/>
        </w:rPr>
        <w:t xml:space="preserve"> Observations finales concernant le septième rapport périodique de la France, 10 juin 2016, Point 16 </w:t>
      </w:r>
    </w:p>
  </w:footnote>
  <w:footnote w:id="2">
    <w:p w14:paraId="7A70AFAA" w14:textId="77777777" w:rsidR="009F2D2E" w:rsidRPr="006532C7" w:rsidRDefault="009F2D2E" w:rsidP="009F2D2E">
      <w:pPr>
        <w:pStyle w:val="FootnoteText"/>
        <w:rPr>
          <w:rFonts w:ascii="Arial" w:hAnsi="Arial" w:cs="Arial"/>
          <w:sz w:val="16"/>
          <w:szCs w:val="16"/>
        </w:rPr>
      </w:pPr>
      <w:r w:rsidRPr="006532C7">
        <w:rPr>
          <w:rStyle w:val="FootnoteReference"/>
          <w:rFonts w:ascii="Arial" w:hAnsi="Arial" w:cs="Arial"/>
          <w:sz w:val="16"/>
          <w:szCs w:val="16"/>
        </w:rPr>
        <w:footnoteRef/>
      </w:r>
      <w:r w:rsidRPr="006532C7">
        <w:rPr>
          <w:rFonts w:ascii="Arial" w:hAnsi="Arial" w:cs="Arial"/>
          <w:sz w:val="16"/>
          <w:szCs w:val="16"/>
        </w:rPr>
        <w:t xml:space="preserve"> Ibidem, point 17</w:t>
      </w:r>
    </w:p>
  </w:footnote>
  <w:footnote w:id="3">
    <w:p w14:paraId="70BCC552" w14:textId="77B97213" w:rsidR="00A2648E" w:rsidRPr="00BE2417" w:rsidRDefault="00A2648E">
      <w:pPr>
        <w:pStyle w:val="FootnoteText"/>
        <w:rPr>
          <w:rFonts w:ascii="Arial" w:hAnsi="Arial" w:cs="Arial"/>
          <w:sz w:val="16"/>
          <w:szCs w:val="16"/>
        </w:rPr>
      </w:pPr>
      <w:r w:rsidRPr="00BE2417">
        <w:rPr>
          <w:rStyle w:val="FootnoteReference"/>
          <w:rFonts w:ascii="Arial" w:hAnsi="Arial" w:cs="Arial"/>
          <w:sz w:val="16"/>
          <w:szCs w:val="16"/>
        </w:rPr>
        <w:footnoteRef/>
      </w:r>
      <w:r w:rsidRPr="00BE2417">
        <w:rPr>
          <w:rFonts w:ascii="Arial" w:hAnsi="Arial" w:cs="Arial"/>
          <w:sz w:val="16"/>
          <w:szCs w:val="16"/>
        </w:rPr>
        <w:t xml:space="preserve"> Article L.211-9 CSI</w:t>
      </w:r>
    </w:p>
  </w:footnote>
  <w:footnote w:id="4">
    <w:p w14:paraId="50100E75" w14:textId="77777777" w:rsidR="009F2D2E" w:rsidRPr="006103DA" w:rsidRDefault="009F2D2E" w:rsidP="009F2D2E">
      <w:pPr>
        <w:pStyle w:val="FootnoteText"/>
        <w:snapToGrid w:val="0"/>
        <w:rPr>
          <w:rFonts w:ascii="Arial" w:hAnsi="Arial" w:cs="Arial"/>
          <w:sz w:val="16"/>
          <w:szCs w:val="16"/>
        </w:rPr>
      </w:pPr>
      <w:r w:rsidRPr="006103DA">
        <w:rPr>
          <w:rStyle w:val="FootnoteReference"/>
          <w:rFonts w:ascii="Arial" w:hAnsi="Arial" w:cs="Arial"/>
          <w:sz w:val="16"/>
          <w:szCs w:val="16"/>
        </w:rPr>
        <w:footnoteRef/>
      </w:r>
      <w:r w:rsidRPr="006103DA">
        <w:rPr>
          <w:rFonts w:ascii="Arial" w:hAnsi="Arial" w:cs="Arial"/>
          <w:sz w:val="16"/>
          <w:szCs w:val="16"/>
        </w:rPr>
        <w:t xml:space="preserve"> https://juridique.defenseurdesdroits.fr/doc_num.php?explnum_id=19915</w:t>
      </w:r>
    </w:p>
  </w:footnote>
  <w:footnote w:id="5">
    <w:p w14:paraId="435335BB" w14:textId="66701345" w:rsidR="00A2648E" w:rsidRPr="00BE2417" w:rsidRDefault="00A2648E">
      <w:pPr>
        <w:pStyle w:val="FootnoteText"/>
        <w:rPr>
          <w:rFonts w:ascii="Arial" w:hAnsi="Arial" w:cs="Arial"/>
          <w:sz w:val="16"/>
          <w:szCs w:val="16"/>
        </w:rPr>
      </w:pPr>
      <w:r>
        <w:rPr>
          <w:rStyle w:val="FootnoteReference"/>
        </w:rPr>
        <w:footnoteRef/>
      </w:r>
      <w:r>
        <w:t xml:space="preserve"> </w:t>
      </w:r>
      <w:r w:rsidRPr="00BE2417">
        <w:rPr>
          <w:rFonts w:ascii="Arial" w:hAnsi="Arial" w:cs="Arial"/>
          <w:sz w:val="16"/>
          <w:szCs w:val="16"/>
        </w:rPr>
        <w:t>« Vigipirate » est simplemen</w:t>
      </w:r>
      <w:r w:rsidR="00BE2417" w:rsidRPr="00BE2417">
        <w:rPr>
          <w:rFonts w:ascii="Arial" w:hAnsi="Arial" w:cs="Arial"/>
          <w:sz w:val="16"/>
          <w:szCs w:val="16"/>
        </w:rPr>
        <w:t>t un plan d’action inter</w:t>
      </w:r>
      <w:r w:rsidRPr="00BE2417">
        <w:rPr>
          <w:rFonts w:ascii="Arial" w:hAnsi="Arial" w:cs="Arial"/>
          <w:sz w:val="16"/>
          <w:szCs w:val="16"/>
        </w:rPr>
        <w:t xml:space="preserve">ministériel </w:t>
      </w:r>
      <w:r w:rsidR="00BE2417" w:rsidRPr="00BE2417">
        <w:rPr>
          <w:rFonts w:ascii="Arial" w:hAnsi="Arial" w:cs="Arial"/>
          <w:sz w:val="16"/>
          <w:szCs w:val="16"/>
        </w:rPr>
        <w:t>ne modifiant</w:t>
      </w:r>
      <w:r w:rsidRPr="00BE2417">
        <w:rPr>
          <w:rFonts w:ascii="Arial" w:hAnsi="Arial" w:cs="Arial"/>
          <w:sz w:val="16"/>
          <w:szCs w:val="16"/>
        </w:rPr>
        <w:t xml:space="preserve"> pas le droit existant. Il produit cependant des effets pratiques, puisqu’il est convoqué pour justifier les interdictions de manifestation (même si les tribunaux n’en tiennent pas compte) ou pour patrouiller en maintien de l’ordre.</w:t>
      </w:r>
    </w:p>
    <w:p w14:paraId="0416E59F" w14:textId="7ECBBFE7" w:rsidR="00A2648E" w:rsidRDefault="00A2648E">
      <w:pPr>
        <w:pStyle w:val="FootnoteText"/>
      </w:pPr>
      <w:r w:rsidRPr="00BE2417">
        <w:rPr>
          <w:rFonts w:ascii="Arial" w:hAnsi="Arial" w:cs="Arial"/>
          <w:sz w:val="16"/>
          <w:szCs w:val="16"/>
        </w:rPr>
        <w:t xml:space="preserve">Voir </w:t>
      </w:r>
      <w:hyperlink r:id="rId1" w:history="1">
        <w:r w:rsidRPr="00BE2417">
          <w:rPr>
            <w:rStyle w:val="Hyperlink"/>
            <w:rFonts w:ascii="Arial" w:hAnsi="Arial" w:cs="Arial"/>
            <w:sz w:val="16"/>
            <w:szCs w:val="16"/>
          </w:rPr>
          <w:t>https://www.ldh-france.org/wp-content/uploads/2025/02/DL208-Actualite-2.-Sentinelle-placebo-toxique-de-nos-peurs-securitaires-1.pdf</w:t>
        </w:r>
      </w:hyperlink>
      <w:r>
        <w:t xml:space="preserve"> </w:t>
      </w:r>
    </w:p>
  </w:footnote>
  <w:footnote w:id="6">
    <w:p w14:paraId="13078888" w14:textId="59D60870" w:rsidR="009F2D2E" w:rsidRDefault="009F2D2E" w:rsidP="009F2D2E">
      <w:pPr>
        <w:pStyle w:val="FootnoteText"/>
      </w:pPr>
      <w:r>
        <w:rPr>
          <w:rStyle w:val="FootnoteReference"/>
        </w:rPr>
        <w:footnoteRef/>
      </w:r>
      <w:r>
        <w:t xml:space="preserve"> </w:t>
      </w:r>
      <w:hyperlink r:id="rId2" w:history="1">
        <w:r w:rsidRPr="00A176E7">
          <w:rPr>
            <w:rStyle w:val="Hyperlink"/>
            <w:rFonts w:ascii="Arial" w:hAnsi="Arial" w:cs="Arial"/>
            <w:sz w:val="16"/>
            <w:szCs w:val="16"/>
          </w:rPr>
          <w:t>https://www.dailymotion.com/video/x8la1ti</w:t>
        </w:r>
      </w:hyperlink>
      <w:r>
        <w:t xml:space="preserve"> </w:t>
      </w:r>
    </w:p>
  </w:footnote>
  <w:footnote w:id="7">
    <w:p w14:paraId="230D7DB5" w14:textId="77777777" w:rsidR="009F2D2E" w:rsidRDefault="009F2D2E" w:rsidP="009F2D2E">
      <w:pPr>
        <w:pStyle w:val="FootnoteText"/>
        <w:snapToGrid w:val="0"/>
      </w:pPr>
      <w:r w:rsidRPr="006103DA">
        <w:rPr>
          <w:rStyle w:val="FootnoteReference"/>
          <w:rFonts w:ascii="Arial" w:hAnsi="Arial" w:cs="Arial"/>
          <w:sz w:val="16"/>
          <w:szCs w:val="16"/>
        </w:rPr>
        <w:footnoteRef/>
      </w:r>
      <w:r w:rsidRPr="006103DA">
        <w:rPr>
          <w:rFonts w:ascii="Arial" w:hAnsi="Arial" w:cs="Arial"/>
          <w:sz w:val="16"/>
          <w:szCs w:val="16"/>
        </w:rPr>
        <w:t xml:space="preserve"> https://www.amnesty.fr/liberte-d-expression/actualites/gilets-jaunes-un-bilan-inquietant</w:t>
      </w:r>
    </w:p>
  </w:footnote>
  <w:footnote w:id="8">
    <w:p w14:paraId="0C438EF2" w14:textId="767CF473" w:rsidR="00A2648E" w:rsidRPr="00C70FD2" w:rsidRDefault="008B5EC4">
      <w:pPr>
        <w:pStyle w:val="FootnoteText"/>
        <w:rPr>
          <w:rFonts w:ascii="Arial" w:hAnsi="Arial" w:cs="Arial"/>
          <w:sz w:val="16"/>
          <w:szCs w:val="16"/>
        </w:rPr>
      </w:pPr>
      <w:r w:rsidRPr="00C70FD2">
        <w:rPr>
          <w:rStyle w:val="FootnoteReference"/>
          <w:rFonts w:ascii="Arial" w:hAnsi="Arial" w:cs="Arial"/>
          <w:sz w:val="16"/>
          <w:szCs w:val="16"/>
        </w:rPr>
        <w:footnoteRef/>
      </w:r>
      <w:r w:rsidR="00A2648E" w:rsidRPr="00C70FD2">
        <w:rPr>
          <w:rFonts w:ascii="Arial" w:hAnsi="Arial" w:cs="Arial"/>
          <w:sz w:val="16"/>
          <w:szCs w:val="16"/>
        </w:rPr>
        <w:t xml:space="preserve"> Pourtant illégales</w:t>
      </w:r>
      <w:r w:rsidRPr="00C70FD2">
        <w:rPr>
          <w:rFonts w:ascii="Arial" w:hAnsi="Arial" w:cs="Arial"/>
          <w:sz w:val="16"/>
          <w:szCs w:val="16"/>
        </w:rPr>
        <w:t>, car non fondées sur un texte, s’agissant d’objets non dangereux, comme des lunettes de piscine ou du matériel de protection. Le tribunal administratif de Paris a récemment jugé illégal un arrêté d’interdiction de port de matériel de protection, comme étant contraire à la liberté de manifester.</w:t>
      </w:r>
    </w:p>
  </w:footnote>
  <w:footnote w:id="9">
    <w:p w14:paraId="579C5A5A" w14:textId="77777777" w:rsidR="009F2D2E" w:rsidRPr="00B664F9" w:rsidRDefault="009F2D2E" w:rsidP="009F2D2E">
      <w:pPr>
        <w:pStyle w:val="FootnoteText"/>
        <w:snapToGrid w:val="0"/>
        <w:rPr>
          <w:rFonts w:ascii="Arial" w:hAnsi="Arial" w:cs="Arial"/>
          <w:sz w:val="16"/>
          <w:szCs w:val="16"/>
        </w:rPr>
      </w:pPr>
      <w:r w:rsidRPr="00B664F9">
        <w:rPr>
          <w:rStyle w:val="FootnoteReference"/>
          <w:rFonts w:ascii="Arial" w:hAnsi="Arial" w:cs="Arial"/>
          <w:sz w:val="16"/>
          <w:szCs w:val="16"/>
        </w:rPr>
        <w:footnoteRef/>
      </w:r>
      <w:r w:rsidRPr="00B664F9">
        <w:rPr>
          <w:rFonts w:ascii="Arial" w:hAnsi="Arial" w:cs="Arial"/>
          <w:sz w:val="16"/>
          <w:szCs w:val="16"/>
        </w:rPr>
        <w:t xml:space="preserve"> https://news.un.org/fr/story/2019/02/1036341</w:t>
      </w:r>
    </w:p>
  </w:footnote>
  <w:footnote w:id="10">
    <w:p w14:paraId="2443011E" w14:textId="3639D418" w:rsidR="009F2D2E" w:rsidRDefault="009F2D2E" w:rsidP="009F2D2E">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3" w:history="1">
        <w:r w:rsidR="001E2128" w:rsidRPr="007463F6">
          <w:rPr>
            <w:rStyle w:val="Hyperlink"/>
            <w:rFonts w:ascii="Arial" w:hAnsi="Arial" w:cs="Arial"/>
            <w:sz w:val="16"/>
            <w:szCs w:val="16"/>
          </w:rPr>
          <w:t>https://www.francetvinfo.fr/economie/retraite/reforme-des-retraites/mobilisation-contre-la-reforme-des-retraites-le-conseil-de-l-europe-s-inquiete-d-un-usage-excessif-de-la-force-en-france_5730749.html</w:t>
        </w:r>
      </w:hyperlink>
      <w:r w:rsidR="001E2128">
        <w:rPr>
          <w:rFonts w:ascii="Arial" w:hAnsi="Arial" w:cs="Arial"/>
          <w:sz w:val="16"/>
          <w:szCs w:val="16"/>
        </w:rPr>
        <w:t xml:space="preserve"> </w:t>
      </w:r>
    </w:p>
  </w:footnote>
  <w:footnote w:id="11">
    <w:p w14:paraId="398EAE3F" w14:textId="77777777" w:rsidR="009F2D2E" w:rsidRDefault="009F2D2E" w:rsidP="009F2D2E">
      <w:pPr>
        <w:pStyle w:val="FootnoteText"/>
        <w:snapToGrid w:val="0"/>
        <w:ind w:left="80" w:hangingChars="50" w:hanging="80"/>
        <w:jc w:val="both"/>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4" w:history="1">
        <w:r>
          <w:rPr>
            <w:rStyle w:val="Hyperlink"/>
            <w:rFonts w:ascii="Arial" w:hAnsi="Arial" w:cs="Arial"/>
            <w:sz w:val="16"/>
            <w:szCs w:val="16"/>
          </w:rPr>
          <w:t>https://www.cncdh.fr/sites/default/files/2023</w:t>
        </w:r>
      </w:hyperlink>
      <w:r>
        <w:rPr>
          <w:rFonts w:ascii="Arial" w:hAnsi="Arial" w:cs="Arial"/>
          <w:sz w:val="16"/>
          <w:szCs w:val="16"/>
        </w:rPr>
        <w:t>-03/CP%20CNCDH%20Violences%20polici%C3%A8res%20mars%202023_2.pdf</w:t>
      </w:r>
    </w:p>
  </w:footnote>
  <w:footnote w:id="12">
    <w:p w14:paraId="31BF7244" w14:textId="77777777" w:rsidR="009F2D2E" w:rsidRDefault="009F2D2E" w:rsidP="009F2D2E">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5" w:history="1">
        <w:r>
          <w:rPr>
            <w:rStyle w:val="Hyperlink"/>
            <w:rFonts w:ascii="Arial" w:hAnsi="Arial" w:cs="Arial"/>
            <w:sz w:val="16"/>
            <w:szCs w:val="16"/>
          </w:rPr>
          <w:t>https://site.ldh-france.org/st-denis-93/soutien-aux-militants-dattac-et-dextinction-rebellion/</w:t>
        </w:r>
      </w:hyperlink>
    </w:p>
  </w:footnote>
  <w:footnote w:id="13">
    <w:p w14:paraId="188F6A34" w14:textId="77777777" w:rsidR="009F2D2E" w:rsidRDefault="009F2D2E" w:rsidP="009F2D2E">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6" w:history="1">
        <w:r>
          <w:rPr>
            <w:rStyle w:val="Hyperlink"/>
            <w:rFonts w:ascii="Arial" w:hAnsi="Arial" w:cs="Arial"/>
            <w:sz w:val="16"/>
            <w:szCs w:val="16"/>
          </w:rPr>
          <w:t>https://www.lemonde.fr/societe/article/2022/05/18/la-condamnation-des-decrocheurs-de-portraits-d-emmanuel-macron-confirmee-en-cassation_6126678_3224.html</w:t>
        </w:r>
      </w:hyperlink>
    </w:p>
  </w:footnote>
  <w:footnote w:id="14">
    <w:p w14:paraId="50EA1C04" w14:textId="77777777" w:rsidR="009F2D2E" w:rsidRDefault="009F2D2E" w:rsidP="009F2D2E">
      <w:pPr>
        <w:pStyle w:val="FootnoteText"/>
      </w:pPr>
      <w:r>
        <w:rPr>
          <w:rStyle w:val="FootnoteReference"/>
          <w:rFonts w:ascii="Arial" w:hAnsi="Arial" w:cs="Arial"/>
          <w:sz w:val="16"/>
          <w:szCs w:val="16"/>
        </w:rPr>
        <w:footnoteRef/>
      </w:r>
      <w:r>
        <w:rPr>
          <w:rFonts w:ascii="Arial" w:hAnsi="Arial" w:cs="Arial"/>
          <w:sz w:val="16"/>
          <w:szCs w:val="16"/>
        </w:rPr>
        <w:t xml:space="preserve"> </w:t>
      </w:r>
      <w:hyperlink r:id="rId7" w:history="1">
        <w:r>
          <w:rPr>
            <w:rStyle w:val="Hyperlink"/>
            <w:rFonts w:ascii="Arial" w:hAnsi="Arial" w:cs="Arial"/>
            <w:sz w:val="16"/>
            <w:szCs w:val="16"/>
          </w:rPr>
          <w:t>https://site.ldh-france.org/paris/files/2020/05/Rapport-d%c3%a9fenseur-des-droits-Manif-pont-de-Sully.pdf</w:t>
        </w:r>
      </w:hyperlink>
    </w:p>
  </w:footnote>
  <w:footnote w:id="15">
    <w:p w14:paraId="40419819" w14:textId="77777777" w:rsidR="009F2D2E" w:rsidRDefault="009F2D2E" w:rsidP="009F2D2E">
      <w:pPr>
        <w:pStyle w:val="FootnoteText"/>
        <w:jc w:val="both"/>
      </w:pPr>
      <w:r>
        <w:rPr>
          <w:rStyle w:val="FootnoteReference"/>
        </w:rPr>
        <w:footnoteRef/>
      </w:r>
      <w:r>
        <w:t xml:space="preserve"> </w:t>
      </w:r>
      <w:r>
        <w:rPr>
          <w:rFonts w:ascii="Arial" w:hAnsi="Arial" w:cs="Arial"/>
          <w:sz w:val="16"/>
          <w:szCs w:val="16"/>
        </w:rPr>
        <w:t>Clément Nyaletsossi Voulé, Rapporteur spécial sur les droits à la liberté de réunion pacifique et d'association ; Pedro Arrojo-Agudo, Rapporteur spécial sur les droits de l’homme à l’eau potable et à l’assainissement ; David R. Boyd, Rapporteur spécial sur les droits de l’homme et de l’environnement ; Michael Fakhri, Rapporteur spécial sur le droit à l’alimentation ; Mary Lawlor, Rapporteuse spéciale sur les défenseurs des droits de l’homme ; Irene Khan, Rapporteuse spéciale sur la liberté d’opinion et d’expression, et Michel Forst, Rapporteur spécial sur la protection des défenseurs de l’environnement dans le cadre de la Convention d'Aarhus.</w:t>
      </w:r>
    </w:p>
  </w:footnote>
  <w:footnote w:id="16">
    <w:p w14:paraId="2F74DE56" w14:textId="77777777" w:rsidR="009F2D2E" w:rsidRDefault="009F2D2E" w:rsidP="009F2D2E">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Les experts avaient déjà fait part au gouvernement français de préoccupations similaires en 2019, lors des rassemblements de « gilets jaunes »</w:t>
      </w:r>
    </w:p>
  </w:footnote>
  <w:footnote w:id="17">
    <w:p w14:paraId="23DB9B49" w14:textId="5F982778" w:rsidR="008B5EC4" w:rsidRPr="007F735E" w:rsidRDefault="008B5EC4" w:rsidP="004146AA">
      <w:pPr>
        <w:pStyle w:val="FootnoteText"/>
        <w:jc w:val="both"/>
        <w:rPr>
          <w:rFonts w:ascii="Arial" w:hAnsi="Arial" w:cs="Arial"/>
          <w:sz w:val="16"/>
          <w:szCs w:val="16"/>
        </w:rPr>
      </w:pPr>
      <w:r w:rsidRPr="007F735E">
        <w:rPr>
          <w:rStyle w:val="FootnoteReference"/>
          <w:rFonts w:ascii="Arial" w:hAnsi="Arial" w:cs="Arial"/>
          <w:sz w:val="16"/>
          <w:szCs w:val="16"/>
        </w:rPr>
        <w:footnoteRef/>
      </w:r>
      <w:r w:rsidRPr="007F735E">
        <w:rPr>
          <w:rFonts w:ascii="Arial" w:hAnsi="Arial" w:cs="Arial"/>
          <w:sz w:val="16"/>
          <w:szCs w:val="16"/>
        </w:rPr>
        <w:t xml:space="preserve"> L’autorisation de mener ces travaux vient d’être jugée illégale. Le gouvernement a interjeté appel de ce jugement.</w:t>
      </w:r>
    </w:p>
  </w:footnote>
  <w:footnote w:id="18">
    <w:p w14:paraId="31824842" w14:textId="77777777" w:rsidR="009F2D2E" w:rsidRDefault="009F2D2E" w:rsidP="009F2D2E">
      <w:pPr>
        <w:rPr>
          <w:rFonts w:ascii="Arial" w:hAnsi="Arial" w:cs="Arial"/>
          <w:sz w:val="16"/>
          <w:szCs w:val="16"/>
        </w:rPr>
      </w:pPr>
      <w:r>
        <w:rPr>
          <w:rStyle w:val="FootnoteReference"/>
          <w:rFonts w:ascii="Arial" w:hAnsi="Arial" w:cs="Arial"/>
          <w:sz w:val="16"/>
          <w:szCs w:val="16"/>
        </w:rPr>
        <w:footnoteRef/>
      </w:r>
      <w:hyperlink r:id="rId8" w:history="1">
        <w:r>
          <w:rPr>
            <w:rStyle w:val="Hyperlink"/>
            <w:rFonts w:ascii="Arial" w:hAnsi="Arial" w:cs="Arial"/>
            <w:sz w:val="16"/>
            <w:szCs w:val="16"/>
          </w:rPr>
          <w:t>https://unece.org/sites/default/files/2024-02/UNSR_EnvDefenders_Aarhus_De%CC%81claration_fin_mission_Tarn_29.02.2024_FR.pdf</w:t>
        </w:r>
      </w:hyperlink>
    </w:p>
  </w:footnote>
  <w:footnote w:id="19">
    <w:p w14:paraId="6E1ADC99" w14:textId="77777777" w:rsidR="009F2D2E" w:rsidRDefault="009F2D2E" w:rsidP="009F2D2E">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Didier Lallement « l’Ordre nécessaire, Le préfet de police sort du silence», Ed Robert laffont</w:t>
      </w:r>
    </w:p>
  </w:footnote>
  <w:footnote w:id="20">
    <w:p w14:paraId="178DC482" w14:textId="77777777" w:rsidR="009F2D2E" w:rsidRDefault="009F2D2E" w:rsidP="009F2D2E">
      <w:pPr>
        <w:pStyle w:val="FootnoteText"/>
        <w:snapToGrid w:val="0"/>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w:t>
      </w:r>
      <w:hyperlink r:id="rId9" w:history="1">
        <w:r>
          <w:rPr>
            <w:rStyle w:val="Hyperlink"/>
            <w:rFonts w:ascii="Arial" w:hAnsi="Arial" w:cs="Arial"/>
            <w:sz w:val="16"/>
            <w:szCs w:val="16"/>
          </w:rPr>
          <w:t>https://www.lemonde.fr/societe/article/2023/06/05/brav-m-trois-policiers-mis-en-cause-pour-des-violences-renvoyes-en-conseil-de-discipline_6176246_3224.html</w:t>
        </w:r>
      </w:hyperlink>
      <w:r>
        <w:rPr>
          <w:rFonts w:ascii="Arial" w:hAnsi="Arial" w:cs="Arial"/>
          <w:sz w:val="16"/>
          <w:szCs w:val="16"/>
        </w:rPr>
        <w:t xml:space="preserve"> https://www.lemonde.fr/societe/article/2023/03/24/je-peux-te-dire-qu-on-en-a-casse-des-coudes-et-des-gueules-quand-la-brav-m-derape-au-cours-d-une-interpellation_6166857_3224.html</w:t>
      </w:r>
    </w:p>
  </w:footnote>
  <w:footnote w:id="21">
    <w:p w14:paraId="34B86A7F" w14:textId="77777777" w:rsidR="009F2D2E" w:rsidRDefault="009F2D2E" w:rsidP="009F2D2E">
      <w:pPr>
        <w:pStyle w:val="FootnoteText"/>
        <w:snapToGrid w:val="0"/>
      </w:pPr>
      <w:r>
        <w:rPr>
          <w:rStyle w:val="FootnoteReference"/>
          <w:rFonts w:ascii="Arial" w:hAnsi="Arial" w:cs="Arial"/>
          <w:sz w:val="16"/>
          <w:szCs w:val="16"/>
        </w:rPr>
        <w:footnoteRef/>
      </w:r>
      <w:r>
        <w:rPr>
          <w:rFonts w:ascii="Arial" w:hAnsi="Arial" w:cs="Arial"/>
          <w:sz w:val="16"/>
          <w:szCs w:val="16"/>
        </w:rPr>
        <w:t xml:space="preserve"> </w:t>
      </w:r>
      <w:hyperlink r:id="rId10" w:history="1">
        <w:r>
          <w:rPr>
            <w:rStyle w:val="FollowedHyperlink"/>
            <w:rFonts w:ascii="Arial" w:hAnsi="Arial" w:cs="Arial"/>
            <w:sz w:val="16"/>
            <w:szCs w:val="16"/>
          </w:rPr>
          <w:t>https://site.ldh-france.org/paris/files/2023/04/Rapport-BRAV-M-complet-12.04.2023.pdf</w:t>
        </w:r>
      </w:hyperlink>
    </w:p>
  </w:footnote>
  <w:footnote w:id="22">
    <w:p w14:paraId="21DA579D" w14:textId="12BC4181" w:rsidR="009F2D2E" w:rsidRPr="00A176E7" w:rsidRDefault="009F2D2E" w:rsidP="009F2D2E">
      <w:pPr>
        <w:pStyle w:val="FootnoteText"/>
        <w:rPr>
          <w:rFonts w:ascii="Arial" w:hAnsi="Arial" w:cs="Arial"/>
          <w:i/>
          <w:iCs/>
          <w:sz w:val="16"/>
          <w:szCs w:val="16"/>
        </w:rPr>
      </w:pPr>
      <w:r>
        <w:rPr>
          <w:rStyle w:val="FootnoteReference"/>
        </w:rPr>
        <w:footnoteRef/>
      </w:r>
      <w:r>
        <w:t xml:space="preserve"> </w:t>
      </w:r>
      <w:r>
        <w:rPr>
          <w:rFonts w:ascii="Arial" w:hAnsi="Arial" w:cs="Arial"/>
          <w:sz w:val="16"/>
          <w:szCs w:val="16"/>
        </w:rPr>
        <w:t xml:space="preserve">Mediapart 23 mai 2023, Pascale PASCARIELLO : </w:t>
      </w:r>
      <w:r w:rsidRPr="00675A99">
        <w:rPr>
          <w:rFonts w:ascii="Arial" w:hAnsi="Arial" w:cs="Arial"/>
          <w:sz w:val="16"/>
          <w:szCs w:val="16"/>
        </w:rPr>
        <w:t>https://www.mediapart.fr/journal/france/230523/la-crs-8-l-unite-va-t-en-guerre-de-gerald-darmanin-est-visee-par-une-enquete-judiciaire</w:t>
      </w:r>
      <w:r>
        <w:rPr>
          <w:rFonts w:ascii="Arial" w:hAnsi="Arial" w:cs="Arial"/>
          <w:i/>
          <w:iCs/>
          <w:sz w:val="16"/>
          <w:szCs w:val="16"/>
        </w:rPr>
        <w:t xml:space="preserve"> </w:t>
      </w:r>
    </w:p>
  </w:footnote>
  <w:footnote w:id="23">
    <w:p w14:paraId="505FF4D5" w14:textId="77777777" w:rsidR="009224EF" w:rsidRPr="009224EF" w:rsidRDefault="009224EF" w:rsidP="009224EF">
      <w:pPr>
        <w:pStyle w:val="FootnoteText"/>
        <w:rPr>
          <w:rFonts w:ascii="Arial" w:hAnsi="Arial" w:cs="Arial"/>
          <w:sz w:val="16"/>
          <w:szCs w:val="16"/>
        </w:rPr>
      </w:pPr>
      <w:r w:rsidRPr="009224EF">
        <w:rPr>
          <w:rStyle w:val="FootnoteReference"/>
          <w:rFonts w:ascii="Arial" w:hAnsi="Arial" w:cs="Arial"/>
          <w:sz w:val="16"/>
          <w:szCs w:val="16"/>
        </w:rPr>
        <w:footnoteRef/>
      </w:r>
      <w:r w:rsidRPr="009224EF">
        <w:rPr>
          <w:rFonts w:ascii="Arial" w:hAnsi="Arial" w:cs="Arial"/>
          <w:sz w:val="16"/>
          <w:szCs w:val="16"/>
        </w:rPr>
        <w:t xml:space="preserve"> CNCDH, avis sur la loi relative à la sécurité publique, 23 février 2017</w:t>
      </w:r>
    </w:p>
  </w:footnote>
  <w:footnote w:id="24">
    <w:p w14:paraId="0C405E35" w14:textId="77777777" w:rsidR="009F2D2E" w:rsidRDefault="009F2D2E" w:rsidP="009F2D2E">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Sebastian Roché, Paul Le Derff et Simon Varaine (« Homicides policiers et refus d’obtempérer. La loi a-t-elle rendu les policiers irresponsables ? », Esprit 2022 Halshs-03930552)</w:t>
      </w:r>
    </w:p>
  </w:footnote>
  <w:footnote w:id="25">
    <w:p w14:paraId="1C6ACE07" w14:textId="3262FB37" w:rsidR="009F2D2E" w:rsidRPr="00A176E7" w:rsidRDefault="009F2D2E" w:rsidP="009F2D2E">
      <w:pPr>
        <w:pStyle w:val="FootnoteText"/>
        <w:rPr>
          <w:rFonts w:ascii="Arial" w:hAnsi="Arial" w:cs="Arial"/>
          <w:sz w:val="16"/>
          <w:szCs w:val="16"/>
        </w:rPr>
      </w:pPr>
      <w:r>
        <w:rPr>
          <w:rStyle w:val="FootnoteReference"/>
        </w:rPr>
        <w:footnoteRef/>
      </w:r>
      <w:r>
        <w:t xml:space="preserve"> </w:t>
      </w:r>
      <w:r w:rsidRPr="00A176E7">
        <w:rPr>
          <w:rFonts w:ascii="Arial" w:hAnsi="Arial" w:cs="Arial"/>
          <w:sz w:val="16"/>
          <w:szCs w:val="16"/>
        </w:rPr>
        <w:t xml:space="preserve">Les vice-présidents de la CNCDH et sa secrétaire générale, ont écrit une tribune : </w:t>
      </w:r>
      <w:hyperlink r:id="rId11" w:history="1">
        <w:r w:rsidR="00D002AE" w:rsidRPr="00EC2015">
          <w:rPr>
            <w:rStyle w:val="Hyperlink"/>
            <w:rFonts w:ascii="Arial" w:hAnsi="Arial" w:cs="Arial"/>
            <w:sz w:val="16"/>
            <w:szCs w:val="16"/>
          </w:rPr>
          <w:t>https://www.ldh-france.org/8-aout-2023-tribune-collective-mort-de-nahel-m-nous-appelons-a-ladoption-dune-strategie-politique-elaboree-autour-du-concept-de-democratie-militante-publiee-da/</w:t>
        </w:r>
      </w:hyperlink>
      <w:r w:rsidR="00D002AE">
        <w:rPr>
          <w:rFonts w:ascii="Arial" w:hAnsi="Arial" w:cs="Arial"/>
          <w:sz w:val="16"/>
          <w:szCs w:val="16"/>
        </w:rPr>
        <w:t xml:space="preserve"> Le procureur vient de requérir une mise en accusation du policier pour meurtre.</w:t>
      </w:r>
    </w:p>
    <w:p w14:paraId="486EB3EA" w14:textId="77777777" w:rsidR="009F2D2E" w:rsidRPr="00A176E7" w:rsidRDefault="009F2D2E" w:rsidP="009F2D2E">
      <w:pPr>
        <w:pStyle w:val="FootnoteText"/>
        <w:rPr>
          <w:rFonts w:ascii="Arial" w:hAnsi="Arial" w:cs="Arial"/>
          <w:sz w:val="16"/>
          <w:szCs w:val="16"/>
        </w:rPr>
      </w:pPr>
      <w:r w:rsidRPr="00A176E7">
        <w:rPr>
          <w:rFonts w:ascii="Arial" w:hAnsi="Arial" w:cs="Arial"/>
          <w:sz w:val="16"/>
          <w:szCs w:val="16"/>
        </w:rPr>
        <w:t>Il est à noter que dix jours avant, Alhoussein Camara avait été tué au volant de son véhicule, de dos (rapport d’autopsie) : la LDH a soutenu la famille. M. Camara se rendait à son travail au moment des faits. L’instruction est en cours.</w:t>
      </w:r>
    </w:p>
  </w:footnote>
  <w:footnote w:id="26">
    <w:p w14:paraId="2C4054FE" w14:textId="5CB2E096" w:rsidR="00D002AE" w:rsidRPr="007F735E" w:rsidRDefault="00D002AE">
      <w:pPr>
        <w:pStyle w:val="FootnoteText"/>
        <w:rPr>
          <w:rFonts w:ascii="Arial" w:hAnsi="Arial" w:cs="Arial"/>
          <w:sz w:val="16"/>
          <w:szCs w:val="16"/>
        </w:rPr>
      </w:pPr>
      <w:r w:rsidRPr="007F735E">
        <w:rPr>
          <w:rStyle w:val="FootnoteReference"/>
          <w:rFonts w:ascii="Arial" w:hAnsi="Arial" w:cs="Arial"/>
          <w:sz w:val="16"/>
          <w:szCs w:val="16"/>
        </w:rPr>
        <w:footnoteRef/>
      </w:r>
      <w:r w:rsidRPr="007F735E">
        <w:rPr>
          <w:rFonts w:ascii="Arial" w:hAnsi="Arial" w:cs="Arial"/>
          <w:sz w:val="16"/>
          <w:szCs w:val="16"/>
        </w:rPr>
        <w:t xml:space="preserve"> https://www.ldh-france.org/wp-content/uploads/2025/02/Note-usage-des-armes-nov-2023.pdf</w:t>
      </w:r>
    </w:p>
  </w:footnote>
  <w:footnote w:id="27">
    <w:p w14:paraId="59F8FBE3" w14:textId="74000DFE" w:rsidR="009F2D2E" w:rsidRPr="005A61E9" w:rsidRDefault="009F2D2E" w:rsidP="009F2D2E">
      <w:pPr>
        <w:pStyle w:val="FootnoteText"/>
        <w:rPr>
          <w:rFonts w:ascii="Arial" w:hAnsi="Arial" w:cs="Arial"/>
          <w:sz w:val="16"/>
          <w:szCs w:val="16"/>
        </w:rPr>
      </w:pPr>
      <w:r w:rsidRPr="005A61E9">
        <w:rPr>
          <w:rStyle w:val="FootnoteReference"/>
          <w:rFonts w:ascii="Arial" w:hAnsi="Arial" w:cs="Arial"/>
          <w:sz w:val="16"/>
          <w:szCs w:val="16"/>
        </w:rPr>
        <w:footnoteRef/>
      </w:r>
      <w:r w:rsidRPr="005A61E9">
        <w:rPr>
          <w:rFonts w:ascii="Arial" w:hAnsi="Arial" w:cs="Arial"/>
          <w:sz w:val="16"/>
          <w:szCs w:val="16"/>
        </w:rPr>
        <w:t xml:space="preserve"> </w:t>
      </w:r>
      <w:r w:rsidR="00B05D56">
        <w:rPr>
          <w:rFonts w:ascii="Arial" w:hAnsi="Arial" w:cs="Arial"/>
          <w:sz w:val="16"/>
          <w:szCs w:val="16"/>
        </w:rPr>
        <w:t>Ibidem</w:t>
      </w:r>
      <w:r w:rsidRPr="005A61E9">
        <w:rPr>
          <w:rFonts w:ascii="Arial" w:hAnsi="Arial" w:cs="Arial"/>
          <w:sz w:val="16"/>
          <w:szCs w:val="16"/>
        </w:rPr>
        <w:t>, Point 16</w:t>
      </w:r>
    </w:p>
  </w:footnote>
  <w:footnote w:id="28">
    <w:p w14:paraId="3FE4122D" w14:textId="77777777" w:rsidR="009F2D2E" w:rsidRPr="00B024B8" w:rsidRDefault="009F2D2E" w:rsidP="009F2D2E">
      <w:pPr>
        <w:pStyle w:val="FootnoteText"/>
        <w:rPr>
          <w:rFonts w:ascii="Arial" w:hAnsi="Arial" w:cs="Arial"/>
          <w:sz w:val="16"/>
          <w:szCs w:val="16"/>
        </w:rPr>
      </w:pPr>
      <w:r w:rsidRPr="00B024B8">
        <w:rPr>
          <w:rStyle w:val="FootnoteReference"/>
          <w:rFonts w:ascii="Arial" w:hAnsi="Arial" w:cs="Arial"/>
          <w:sz w:val="16"/>
          <w:szCs w:val="16"/>
        </w:rPr>
        <w:footnoteRef/>
      </w:r>
      <w:r w:rsidRPr="00B024B8">
        <w:rPr>
          <w:rFonts w:ascii="Arial" w:hAnsi="Arial" w:cs="Arial"/>
          <w:sz w:val="16"/>
          <w:szCs w:val="16"/>
        </w:rPr>
        <w:t xml:space="preserve"> </w:t>
      </w:r>
      <w:r>
        <w:rPr>
          <w:rFonts w:ascii="Arial" w:hAnsi="Arial" w:cs="Arial"/>
          <w:sz w:val="16"/>
          <w:szCs w:val="16"/>
        </w:rPr>
        <w:t>Ibidem</w:t>
      </w:r>
      <w:r w:rsidRPr="00B024B8">
        <w:rPr>
          <w:rFonts w:ascii="Arial" w:hAnsi="Arial" w:cs="Arial"/>
          <w:sz w:val="16"/>
          <w:szCs w:val="16"/>
        </w:rPr>
        <w:t>, Point 17</w:t>
      </w:r>
    </w:p>
  </w:footnote>
  <w:footnote w:id="29">
    <w:p w14:paraId="5CDF058F" w14:textId="77777777" w:rsidR="00C12285" w:rsidRDefault="00C12285" w:rsidP="00C12285">
      <w:pPr>
        <w:pStyle w:val="FootnoteText"/>
        <w:rPr>
          <w:rFonts w:ascii="Arial" w:hAnsi="Arial" w:cs="Arial"/>
          <w:sz w:val="16"/>
          <w:szCs w:val="16"/>
        </w:rPr>
      </w:pPr>
      <w:r>
        <w:rPr>
          <w:rStyle w:val="FootnoteReference"/>
          <w:rFonts w:ascii="Arial" w:hAnsi="Arial" w:cs="Arial"/>
          <w:sz w:val="16"/>
          <w:szCs w:val="16"/>
        </w:rPr>
        <w:footnoteRef/>
      </w:r>
      <w:hyperlink r:id="rId12" w:history="1">
        <w:r>
          <w:rPr>
            <w:rStyle w:val="Hyperlink"/>
            <w:rFonts w:ascii="Arial" w:hAnsi="Arial" w:cs="Arial"/>
            <w:sz w:val="16"/>
            <w:szCs w:val="16"/>
          </w:rPr>
          <w:t>https://www.ldh-france.org/wp-content/uploads/2024/06/Note-observation.pdf</w:t>
        </w:r>
      </w:hyperlink>
      <w:r>
        <w:rPr>
          <w:rFonts w:ascii="Arial" w:hAnsi="Arial" w:cs="Arial"/>
          <w:sz w:val="16"/>
          <w:szCs w:val="16"/>
        </w:rPr>
        <w:t>;</w:t>
      </w:r>
      <w:hyperlink r:id="rId13" w:history="1">
        <w:r>
          <w:rPr>
            <w:rStyle w:val="Hyperlink"/>
            <w:rFonts w:ascii="Arial" w:hAnsi="Arial" w:cs="Arial"/>
            <w:sz w:val="16"/>
            <w:szCs w:val="16"/>
          </w:rPr>
          <w:t>https://www.ldh-france.org/wp-content/uploads/2024/02/observatoire.pdf</w:t>
        </w:r>
      </w:hyperlink>
      <w:r>
        <w:rPr>
          <w:rFonts w:ascii="Arial" w:hAnsi="Arial" w:cs="Arial"/>
          <w:sz w:val="16"/>
          <w:szCs w:val="16"/>
        </w:rPr>
        <w:t>;</w:t>
      </w:r>
      <w:hyperlink r:id="rId14" w:history="1">
        <w:r>
          <w:rPr>
            <w:rStyle w:val="Hyperlink"/>
            <w:rFonts w:ascii="Arial" w:hAnsi="Arial" w:cs="Arial"/>
            <w:sz w:val="16"/>
            <w:szCs w:val="16"/>
          </w:rPr>
          <w:t>https://www.ldh-france.org/wp-content/uploads/2024/07/Rapport-OL3P-LDH-SAF-Lille-Manifestation-du-7-juillet-2024-13072024-DEF-2.pdf</w:t>
        </w:r>
      </w:hyperlink>
      <w:r>
        <w:rPr>
          <w:rFonts w:ascii="Arial" w:hAnsi="Arial" w:cs="Arial"/>
          <w:sz w:val="16"/>
          <w:szCs w:val="16"/>
        </w:rPr>
        <w:t xml:space="preserve"> </w:t>
      </w:r>
    </w:p>
  </w:footnote>
  <w:footnote w:id="30">
    <w:p w14:paraId="3D57FB99" w14:textId="2B05ACD5" w:rsidR="00A26AC5" w:rsidRPr="00516314" w:rsidRDefault="00A26AC5" w:rsidP="00A26AC5">
      <w:pPr>
        <w:pStyle w:val="FootnoteText"/>
        <w:rPr>
          <w:rFonts w:ascii="Arial" w:hAnsi="Arial" w:cs="Arial"/>
          <w:sz w:val="16"/>
          <w:szCs w:val="16"/>
        </w:rPr>
      </w:pPr>
      <w:r w:rsidRPr="00516314">
        <w:rPr>
          <w:rStyle w:val="FootnoteReference"/>
          <w:rFonts w:ascii="Arial" w:hAnsi="Arial" w:cs="Arial"/>
          <w:sz w:val="16"/>
          <w:szCs w:val="16"/>
        </w:rPr>
        <w:footnoteRef/>
      </w:r>
      <w:r w:rsidRPr="00516314">
        <w:rPr>
          <w:rFonts w:ascii="Arial" w:hAnsi="Arial" w:cs="Arial"/>
          <w:sz w:val="16"/>
          <w:szCs w:val="16"/>
        </w:rPr>
        <w:t xml:space="preserve"> </w:t>
      </w:r>
      <w:r w:rsidR="00A35A02">
        <w:rPr>
          <w:rFonts w:ascii="Arial" w:hAnsi="Arial" w:cs="Arial"/>
          <w:sz w:val="16"/>
          <w:szCs w:val="16"/>
        </w:rPr>
        <w:t>Ibidem</w:t>
      </w:r>
      <w:r w:rsidRPr="00516314">
        <w:rPr>
          <w:rFonts w:ascii="Arial" w:hAnsi="Arial" w:cs="Arial"/>
          <w:sz w:val="16"/>
          <w:szCs w:val="16"/>
        </w:rPr>
        <w:t>, Point 16 et 17</w:t>
      </w:r>
    </w:p>
  </w:footnote>
  <w:footnote w:id="31">
    <w:p w14:paraId="735C0002" w14:textId="77777777" w:rsidR="00A26AC5" w:rsidRPr="00516314" w:rsidRDefault="00A26AC5" w:rsidP="00A26AC5">
      <w:pPr>
        <w:pStyle w:val="FootnoteText"/>
        <w:rPr>
          <w:rFonts w:ascii="Arial" w:hAnsi="Arial" w:cs="Arial"/>
          <w:sz w:val="16"/>
          <w:szCs w:val="16"/>
        </w:rPr>
      </w:pPr>
      <w:r w:rsidRPr="00516314">
        <w:rPr>
          <w:rStyle w:val="FootnoteReference"/>
          <w:rFonts w:ascii="Arial" w:hAnsi="Arial" w:cs="Arial"/>
          <w:sz w:val="16"/>
          <w:szCs w:val="16"/>
        </w:rPr>
        <w:footnoteRef/>
      </w:r>
      <w:r w:rsidRPr="00516314">
        <w:rPr>
          <w:rFonts w:ascii="Arial" w:hAnsi="Arial" w:cs="Arial"/>
          <w:sz w:val="16"/>
          <w:szCs w:val="16"/>
        </w:rPr>
        <w:t xml:space="preserve"> CEDH, 28 juillet 1999, </w:t>
      </w:r>
      <w:r w:rsidRPr="00516314">
        <w:rPr>
          <w:rFonts w:ascii="Arial" w:hAnsi="Arial" w:cs="Arial"/>
          <w:i/>
          <w:iCs/>
          <w:sz w:val="16"/>
          <w:szCs w:val="16"/>
        </w:rPr>
        <w:t>Selmouni c. France</w:t>
      </w:r>
      <w:r w:rsidRPr="00516314">
        <w:rPr>
          <w:rFonts w:ascii="Arial" w:hAnsi="Arial" w:cs="Arial"/>
          <w:sz w:val="16"/>
          <w:szCs w:val="16"/>
        </w:rPr>
        <w:t>, n°25803.</w:t>
      </w:r>
    </w:p>
  </w:footnote>
  <w:footnote w:id="32">
    <w:p w14:paraId="2B794E5B" w14:textId="77777777" w:rsidR="00A26AC5" w:rsidRPr="00516314" w:rsidRDefault="00A26AC5" w:rsidP="00A26AC5">
      <w:pPr>
        <w:pStyle w:val="FootnoteText"/>
        <w:rPr>
          <w:rFonts w:ascii="Arial" w:hAnsi="Arial" w:cs="Arial"/>
          <w:sz w:val="16"/>
          <w:szCs w:val="16"/>
        </w:rPr>
      </w:pPr>
      <w:r w:rsidRPr="00516314">
        <w:rPr>
          <w:rStyle w:val="FootnoteReference"/>
          <w:rFonts w:ascii="Arial" w:hAnsi="Arial" w:cs="Arial"/>
          <w:sz w:val="16"/>
          <w:szCs w:val="16"/>
        </w:rPr>
        <w:footnoteRef/>
      </w:r>
      <w:r w:rsidRPr="00516314">
        <w:rPr>
          <w:rFonts w:ascii="Arial" w:hAnsi="Arial" w:cs="Arial"/>
          <w:sz w:val="16"/>
          <w:szCs w:val="16"/>
        </w:rPr>
        <w:t xml:space="preserve"> CEDH, 1er avril 2004, </w:t>
      </w:r>
      <w:r w:rsidRPr="00516314">
        <w:rPr>
          <w:rFonts w:ascii="Arial" w:hAnsi="Arial" w:cs="Arial"/>
          <w:i/>
          <w:iCs/>
          <w:sz w:val="16"/>
          <w:szCs w:val="16"/>
        </w:rPr>
        <w:t>Rivas c. France</w:t>
      </w:r>
      <w:r w:rsidRPr="00516314">
        <w:rPr>
          <w:rFonts w:ascii="Arial" w:hAnsi="Arial" w:cs="Arial"/>
          <w:sz w:val="16"/>
          <w:szCs w:val="16"/>
        </w:rPr>
        <w:t xml:space="preserve">, n°59584/00; CEDH, 4 novembre 2010, </w:t>
      </w:r>
      <w:r w:rsidRPr="00516314">
        <w:rPr>
          <w:rFonts w:ascii="Arial" w:hAnsi="Arial" w:cs="Arial"/>
          <w:i/>
          <w:iCs/>
          <w:sz w:val="16"/>
          <w:szCs w:val="16"/>
        </w:rPr>
        <w:t>Darraj c. France</w:t>
      </w:r>
      <w:r w:rsidRPr="00516314">
        <w:rPr>
          <w:rFonts w:ascii="Arial" w:hAnsi="Arial" w:cs="Arial"/>
          <w:sz w:val="16"/>
          <w:szCs w:val="16"/>
        </w:rPr>
        <w:t xml:space="preserve">, n°34588/07; CEDH, 3 octobre 2013, </w:t>
      </w:r>
      <w:r w:rsidRPr="00516314">
        <w:rPr>
          <w:rFonts w:ascii="Arial" w:hAnsi="Arial" w:cs="Arial"/>
          <w:i/>
          <w:iCs/>
          <w:sz w:val="16"/>
          <w:szCs w:val="16"/>
        </w:rPr>
        <w:t>Douet c. France</w:t>
      </w:r>
      <w:r w:rsidRPr="00516314">
        <w:rPr>
          <w:rFonts w:ascii="Arial" w:hAnsi="Arial" w:cs="Arial"/>
          <w:sz w:val="16"/>
          <w:szCs w:val="16"/>
        </w:rPr>
        <w:t xml:space="preserve">, n°16705/10; CEDH, 16 juillet 2015, </w:t>
      </w:r>
      <w:r w:rsidRPr="00516314">
        <w:rPr>
          <w:rFonts w:ascii="Arial" w:hAnsi="Arial" w:cs="Arial"/>
          <w:i/>
          <w:iCs/>
          <w:sz w:val="16"/>
          <w:szCs w:val="16"/>
        </w:rPr>
        <w:t>Ghedir et autres c. France</w:t>
      </w:r>
      <w:r w:rsidRPr="00516314">
        <w:rPr>
          <w:rFonts w:ascii="Arial" w:hAnsi="Arial" w:cs="Arial"/>
          <w:sz w:val="16"/>
          <w:szCs w:val="16"/>
        </w:rPr>
        <w:t xml:space="preserve">, n°20579/12; CEDH, 16 novembre 2017, </w:t>
      </w:r>
      <w:r w:rsidRPr="00516314">
        <w:rPr>
          <w:rFonts w:ascii="Arial" w:hAnsi="Arial" w:cs="Arial"/>
          <w:i/>
          <w:iCs/>
          <w:sz w:val="16"/>
          <w:szCs w:val="16"/>
        </w:rPr>
        <w:t xml:space="preserve">Boukrourou et autres c. France, </w:t>
      </w:r>
      <w:r w:rsidRPr="00516314">
        <w:rPr>
          <w:rFonts w:ascii="Arial" w:hAnsi="Arial" w:cs="Arial"/>
          <w:sz w:val="16"/>
          <w:szCs w:val="16"/>
        </w:rPr>
        <w:t xml:space="preserve">n°30059/15 et CEDH, 30 avril 2020, </w:t>
      </w:r>
      <w:r w:rsidRPr="00516314">
        <w:rPr>
          <w:rFonts w:ascii="Arial" w:hAnsi="Arial" w:cs="Arial"/>
          <w:i/>
          <w:iCs/>
          <w:sz w:val="16"/>
          <w:szCs w:val="16"/>
        </w:rPr>
        <w:t>Castellani c. France</w:t>
      </w:r>
      <w:r w:rsidRPr="00516314">
        <w:rPr>
          <w:rFonts w:ascii="Arial" w:hAnsi="Arial" w:cs="Arial"/>
          <w:sz w:val="16"/>
          <w:szCs w:val="16"/>
        </w:rPr>
        <w:t>, n°43207/16.</w:t>
      </w:r>
    </w:p>
  </w:footnote>
  <w:footnote w:id="33">
    <w:p w14:paraId="67BFB5D3" w14:textId="77777777" w:rsidR="00A26AC5" w:rsidRPr="00516314" w:rsidRDefault="00A26AC5" w:rsidP="00A26AC5">
      <w:pPr>
        <w:pStyle w:val="FootnoteText"/>
        <w:rPr>
          <w:rFonts w:ascii="Arial" w:hAnsi="Arial" w:cs="Arial"/>
          <w:sz w:val="16"/>
          <w:szCs w:val="16"/>
        </w:rPr>
      </w:pPr>
      <w:r w:rsidRPr="00516314">
        <w:rPr>
          <w:rStyle w:val="FootnoteReference"/>
          <w:rFonts w:ascii="Arial" w:hAnsi="Arial" w:cs="Arial"/>
          <w:sz w:val="16"/>
          <w:szCs w:val="16"/>
        </w:rPr>
        <w:footnoteRef/>
      </w:r>
      <w:r w:rsidRPr="00516314">
        <w:rPr>
          <w:rFonts w:ascii="Arial" w:hAnsi="Arial" w:cs="Arial"/>
          <w:sz w:val="16"/>
          <w:szCs w:val="16"/>
        </w:rPr>
        <w:t xml:space="preserve"> </w:t>
      </w:r>
      <w:hyperlink r:id="rId15" w:history="1">
        <w:r w:rsidRPr="00516314">
          <w:rPr>
            <w:rStyle w:val="Hyperlink"/>
            <w:rFonts w:ascii="Arial" w:hAnsi="Arial" w:cs="Arial"/>
            <w:iCs/>
            <w:sz w:val="16"/>
            <w:szCs w:val="16"/>
          </w:rPr>
          <w:t>https://www.liberation.fr/france/2021/01/21/sanctions-dans-la-police-les-chiffres-d-une-impunitecroissante_1818189/</w:t>
        </w:r>
      </w:hyperlink>
    </w:p>
  </w:footnote>
  <w:footnote w:id="34">
    <w:p w14:paraId="40AF4568" w14:textId="614FAC86" w:rsidR="00A26AC5" w:rsidRPr="00F37E1D" w:rsidRDefault="00A26AC5" w:rsidP="00A26AC5">
      <w:pPr>
        <w:pStyle w:val="FootnoteText"/>
        <w:jc w:val="both"/>
        <w:rPr>
          <w:rFonts w:ascii="Arial" w:hAnsi="Arial" w:cs="Arial"/>
          <w:sz w:val="16"/>
          <w:szCs w:val="16"/>
        </w:rPr>
      </w:pPr>
      <w:r w:rsidRPr="00516314">
        <w:rPr>
          <w:rStyle w:val="FootnoteReference"/>
          <w:rFonts w:ascii="Arial" w:hAnsi="Arial" w:cs="Arial"/>
          <w:sz w:val="16"/>
          <w:szCs w:val="16"/>
        </w:rPr>
        <w:footnoteRef/>
      </w:r>
      <w:r w:rsidRPr="00516314">
        <w:rPr>
          <w:rFonts w:ascii="Arial" w:hAnsi="Arial" w:cs="Arial"/>
          <w:sz w:val="16"/>
          <w:szCs w:val="16"/>
        </w:rPr>
        <w:t xml:space="preserve"> A qualification et motif de classement identiques. </w:t>
      </w:r>
      <w:r w:rsidR="009A54BB">
        <w:rPr>
          <w:rFonts w:ascii="Arial" w:hAnsi="Arial" w:cs="Arial"/>
          <w:sz w:val="16"/>
          <w:szCs w:val="16"/>
        </w:rPr>
        <w:t>M</w:t>
      </w:r>
      <w:r w:rsidRPr="00516314">
        <w:rPr>
          <w:rFonts w:ascii="Arial" w:hAnsi="Arial" w:cs="Arial"/>
          <w:sz w:val="16"/>
          <w:szCs w:val="16"/>
        </w:rPr>
        <w:t xml:space="preserve">inistère de la </w:t>
      </w:r>
      <w:r w:rsidR="009A54BB">
        <w:rPr>
          <w:rFonts w:ascii="Arial" w:hAnsi="Arial" w:cs="Arial"/>
          <w:sz w:val="16"/>
          <w:szCs w:val="16"/>
        </w:rPr>
        <w:t>J</w:t>
      </w:r>
      <w:r w:rsidRPr="00516314">
        <w:rPr>
          <w:rFonts w:ascii="Arial" w:hAnsi="Arial" w:cs="Arial"/>
          <w:sz w:val="16"/>
          <w:szCs w:val="16"/>
        </w:rPr>
        <w:t>ustice/SG/SDSE, fichier statistique Cassiopée/Exploitation statistique du casier judiciaire nati</w:t>
      </w:r>
      <w:r>
        <w:rPr>
          <w:rFonts w:ascii="Arial" w:hAnsi="Arial" w:cs="Arial"/>
          <w:sz w:val="16"/>
          <w:szCs w:val="16"/>
        </w:rPr>
        <w:t xml:space="preserve">onal des personnes physiques, </w:t>
      </w:r>
      <w:r w:rsidRPr="00516314">
        <w:rPr>
          <w:rFonts w:ascii="Arial" w:hAnsi="Arial" w:cs="Arial"/>
          <w:sz w:val="16"/>
          <w:szCs w:val="16"/>
        </w:rPr>
        <w:t xml:space="preserve"> Nadia Sweeny, «Violences policières</w:t>
      </w:r>
      <w:r w:rsidRPr="00F37E1D">
        <w:rPr>
          <w:rFonts w:ascii="Arial" w:hAnsi="Arial" w:cs="Arial"/>
          <w:sz w:val="16"/>
          <w:szCs w:val="16"/>
        </w:rPr>
        <w:t xml:space="preserve"> : toujours plus de mis en cause et toujours moins de poursuites», in Politis, 22 décembre 2022  </w:t>
      </w:r>
    </w:p>
  </w:footnote>
  <w:footnote w:id="35">
    <w:p w14:paraId="1F0673E3" w14:textId="77777777" w:rsidR="00A26AC5" w:rsidRPr="00F37E1D" w:rsidRDefault="00A26AC5" w:rsidP="00A26AC5">
      <w:pPr>
        <w:pStyle w:val="FootnoteText"/>
        <w:rPr>
          <w:rFonts w:ascii="Arial" w:hAnsi="Arial" w:cs="Arial"/>
          <w:sz w:val="16"/>
          <w:szCs w:val="16"/>
        </w:rPr>
      </w:pPr>
      <w:r w:rsidRPr="00F37E1D">
        <w:rPr>
          <w:rStyle w:val="FootnoteReference"/>
          <w:rFonts w:ascii="Arial" w:hAnsi="Arial" w:cs="Arial"/>
          <w:sz w:val="16"/>
          <w:szCs w:val="16"/>
        </w:rPr>
        <w:footnoteRef/>
      </w:r>
      <w:r w:rsidRPr="00F37E1D">
        <w:rPr>
          <w:rFonts w:ascii="Arial" w:hAnsi="Arial" w:cs="Arial"/>
          <w:sz w:val="16"/>
          <w:szCs w:val="16"/>
        </w:rPr>
        <w:t xml:space="preserve"> Ibidem</w:t>
      </w:r>
    </w:p>
  </w:footnote>
  <w:footnote w:id="36">
    <w:p w14:paraId="55987B6B" w14:textId="77777777" w:rsidR="00A26AC5" w:rsidRPr="00F37E1D" w:rsidRDefault="00A26AC5" w:rsidP="00A26AC5">
      <w:pPr>
        <w:pStyle w:val="FootnoteText"/>
        <w:jc w:val="both"/>
        <w:rPr>
          <w:rFonts w:ascii="Arial" w:hAnsi="Arial" w:cs="Arial"/>
          <w:sz w:val="16"/>
          <w:szCs w:val="16"/>
        </w:rPr>
      </w:pPr>
      <w:r w:rsidRPr="00F37E1D">
        <w:rPr>
          <w:rStyle w:val="FootnoteReference"/>
          <w:rFonts w:ascii="Arial" w:hAnsi="Arial" w:cs="Arial"/>
          <w:sz w:val="16"/>
          <w:szCs w:val="16"/>
        </w:rPr>
        <w:footnoteRef/>
      </w:r>
      <w:r w:rsidRPr="00F37E1D">
        <w:rPr>
          <w:rFonts w:ascii="Arial" w:hAnsi="Arial" w:cs="Arial"/>
          <w:sz w:val="16"/>
          <w:szCs w:val="16"/>
        </w:rPr>
        <w:t xml:space="preserve"> Assemblée nationale, Commission d’enquête relative à l’état des lieux, la déontologie, les pratiques et les doctrines de maintien de l’ordre, janvier 2021</w:t>
      </w:r>
    </w:p>
  </w:footnote>
  <w:footnote w:id="37">
    <w:p w14:paraId="55C39B4D" w14:textId="77777777" w:rsidR="00A26AC5" w:rsidRPr="00F37E1D" w:rsidRDefault="00A26AC5" w:rsidP="00A26AC5">
      <w:pPr>
        <w:pStyle w:val="FootnoteText"/>
        <w:jc w:val="both"/>
        <w:rPr>
          <w:rFonts w:ascii="Arial" w:hAnsi="Arial" w:cs="Arial"/>
          <w:sz w:val="16"/>
          <w:szCs w:val="16"/>
        </w:rPr>
      </w:pPr>
      <w:r w:rsidRPr="00F37E1D">
        <w:rPr>
          <w:rStyle w:val="FootnoteReference"/>
          <w:rFonts w:ascii="Arial" w:hAnsi="Arial" w:cs="Arial"/>
          <w:sz w:val="16"/>
          <w:szCs w:val="16"/>
        </w:rPr>
        <w:footnoteRef/>
      </w:r>
      <w:r w:rsidRPr="00F37E1D">
        <w:rPr>
          <w:rFonts w:ascii="Arial" w:hAnsi="Arial" w:cs="Arial"/>
          <w:sz w:val="16"/>
          <w:szCs w:val="16"/>
        </w:rPr>
        <w:t xml:space="preserve"> Ibidem, recommandation 33</w:t>
      </w:r>
    </w:p>
  </w:footnote>
  <w:footnote w:id="38">
    <w:p w14:paraId="4C29B43C" w14:textId="77777777" w:rsidR="00A26AC5" w:rsidRDefault="00A26AC5" w:rsidP="00A26AC5">
      <w:pPr>
        <w:pStyle w:val="FootnoteText"/>
        <w:jc w:val="both"/>
      </w:pPr>
      <w:r w:rsidRPr="00F37E1D">
        <w:rPr>
          <w:rStyle w:val="FootnoteReference"/>
          <w:rFonts w:ascii="Arial" w:hAnsi="Arial" w:cs="Arial"/>
          <w:sz w:val="16"/>
          <w:szCs w:val="16"/>
        </w:rPr>
        <w:footnoteRef/>
      </w:r>
      <w:r w:rsidRPr="00F37E1D">
        <w:rPr>
          <w:rFonts w:ascii="Arial" w:hAnsi="Arial" w:cs="Arial"/>
          <w:sz w:val="16"/>
          <w:szCs w:val="16"/>
        </w:rPr>
        <w:t xml:space="preserve"> </w:t>
      </w:r>
      <w:r>
        <w:rPr>
          <w:rFonts w:ascii="Arial" w:hAnsi="Arial" w:cs="Arial"/>
          <w:sz w:val="16"/>
          <w:szCs w:val="16"/>
        </w:rPr>
        <w:t>Ibidem</w:t>
      </w:r>
    </w:p>
  </w:footnote>
  <w:footnote w:id="39">
    <w:p w14:paraId="76F444C6" w14:textId="69AEB8A1" w:rsidR="00A26AC5" w:rsidRPr="00F37E1D" w:rsidRDefault="00A26AC5" w:rsidP="00A26AC5">
      <w:pPr>
        <w:pStyle w:val="FootnoteText"/>
        <w:rPr>
          <w:rFonts w:ascii="Arial" w:hAnsi="Arial" w:cs="Arial"/>
          <w:sz w:val="16"/>
          <w:szCs w:val="16"/>
        </w:rPr>
      </w:pPr>
      <w:r w:rsidRPr="00F37E1D">
        <w:rPr>
          <w:rStyle w:val="FootnoteReference"/>
          <w:rFonts w:ascii="Arial" w:hAnsi="Arial" w:cs="Arial"/>
          <w:sz w:val="16"/>
          <w:szCs w:val="16"/>
        </w:rPr>
        <w:footnoteRef/>
      </w:r>
      <w:r w:rsidRPr="00F37E1D">
        <w:rPr>
          <w:rFonts w:ascii="Arial" w:hAnsi="Arial" w:cs="Arial"/>
          <w:sz w:val="16"/>
          <w:szCs w:val="16"/>
        </w:rPr>
        <w:t xml:space="preserve"> Hélène Cazaux-Charles, rapport de la Mission relative au cadre légal de l’usage des armes par les forces de sécurité, INHESJ, novembre</w:t>
      </w:r>
      <w:r w:rsidR="0053711B">
        <w:rPr>
          <w:rFonts w:ascii="Arial" w:hAnsi="Arial" w:cs="Arial"/>
          <w:sz w:val="16"/>
          <w:szCs w:val="16"/>
        </w:rPr>
        <w:t xml:space="preserve"> </w:t>
      </w:r>
      <w:r w:rsidRPr="00F37E1D">
        <w:rPr>
          <w:rFonts w:ascii="Arial" w:hAnsi="Arial" w:cs="Arial"/>
          <w:sz w:val="16"/>
          <w:szCs w:val="16"/>
        </w:rPr>
        <w:t>2016.</w:t>
      </w:r>
    </w:p>
  </w:footnote>
  <w:footnote w:id="40">
    <w:p w14:paraId="2A2048D1" w14:textId="225AD8E8" w:rsidR="0053711B" w:rsidRPr="00991234" w:rsidRDefault="0053711B">
      <w:pPr>
        <w:pStyle w:val="FootnoteText"/>
        <w:rPr>
          <w:rFonts w:ascii="Arial" w:hAnsi="Arial" w:cs="Arial"/>
          <w:sz w:val="16"/>
          <w:szCs w:val="16"/>
        </w:rPr>
      </w:pPr>
      <w:r w:rsidRPr="00991234">
        <w:rPr>
          <w:rStyle w:val="FootnoteReference"/>
          <w:rFonts w:ascii="Arial" w:hAnsi="Arial" w:cs="Arial"/>
          <w:sz w:val="16"/>
          <w:szCs w:val="16"/>
        </w:rPr>
        <w:footnoteRef/>
      </w:r>
      <w:r w:rsidRPr="00991234">
        <w:rPr>
          <w:rFonts w:ascii="Arial" w:hAnsi="Arial" w:cs="Arial"/>
          <w:sz w:val="16"/>
          <w:szCs w:val="16"/>
        </w:rPr>
        <w:t xml:space="preserve"> https://www.ldh-france.org/pour-lutter-contre-les-privations-de-liberte-arbitraires-de-manifestant-e-s-pacifiques-le-delit-de-groupement-doit-etre-abroge/</w:t>
      </w:r>
    </w:p>
  </w:footnote>
  <w:footnote w:id="41">
    <w:p w14:paraId="0C82424D" w14:textId="21441BB8" w:rsidR="009F2D2E" w:rsidRPr="00F45253" w:rsidRDefault="009F2D2E" w:rsidP="009F2D2E">
      <w:pPr>
        <w:pStyle w:val="FootnoteText"/>
        <w:rPr>
          <w:rFonts w:ascii="Arial" w:hAnsi="Arial" w:cs="Arial"/>
          <w:sz w:val="16"/>
          <w:szCs w:val="16"/>
        </w:rPr>
      </w:pPr>
      <w:r w:rsidRPr="00F45253">
        <w:rPr>
          <w:rStyle w:val="FootnoteReference"/>
          <w:rFonts w:ascii="Arial" w:hAnsi="Arial" w:cs="Arial"/>
          <w:sz w:val="16"/>
          <w:szCs w:val="16"/>
        </w:rPr>
        <w:footnoteRef/>
      </w:r>
      <w:r w:rsidRPr="00F45253">
        <w:rPr>
          <w:rFonts w:ascii="Arial" w:hAnsi="Arial" w:cs="Arial"/>
          <w:sz w:val="16"/>
          <w:szCs w:val="16"/>
        </w:rPr>
        <w:t xml:space="preserve"> </w:t>
      </w:r>
      <w:r w:rsidR="003938F0">
        <w:rPr>
          <w:rFonts w:ascii="Arial" w:hAnsi="Arial" w:cs="Arial"/>
          <w:sz w:val="16"/>
          <w:szCs w:val="16"/>
        </w:rPr>
        <w:t>Ibidem</w:t>
      </w:r>
      <w:r w:rsidRPr="00F45253">
        <w:rPr>
          <w:rFonts w:ascii="Arial" w:hAnsi="Arial" w:cs="Arial"/>
          <w:sz w:val="16"/>
          <w:szCs w:val="16"/>
        </w:rPr>
        <w:t>, Point 22</w:t>
      </w:r>
    </w:p>
  </w:footnote>
  <w:footnote w:id="42">
    <w:p w14:paraId="7C36325A" w14:textId="77777777" w:rsidR="009F2D2E" w:rsidRPr="002C1669" w:rsidRDefault="009F2D2E" w:rsidP="009F2D2E">
      <w:pPr>
        <w:pStyle w:val="FootnoteText"/>
        <w:jc w:val="both"/>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Rapport du Comité des États généraux de la justice (Octobre 2021-avril 2022), Rendre justice aux citoyens, avril 2022, </w:t>
      </w:r>
      <w:hyperlink r:id="rId16" w:history="1">
        <w:r w:rsidRPr="002C1669">
          <w:rPr>
            <w:rStyle w:val="Hyperlink"/>
            <w:rFonts w:ascii="Arial" w:hAnsi="Arial" w:cs="Arial"/>
            <w:sz w:val="16"/>
            <w:szCs w:val="16"/>
          </w:rPr>
          <w:t>https://www.justice.gouv.fr/sites/default/files/2024-09/rapport_EGJ.pdf</w:t>
        </w:r>
      </w:hyperlink>
      <w:r w:rsidRPr="002C1669">
        <w:rPr>
          <w:rFonts w:ascii="Arial" w:hAnsi="Arial" w:cs="Arial"/>
          <w:sz w:val="16"/>
          <w:szCs w:val="16"/>
        </w:rPr>
        <w:t xml:space="preserve"> </w:t>
      </w:r>
    </w:p>
  </w:footnote>
  <w:footnote w:id="43">
    <w:p w14:paraId="49C07E53" w14:textId="5441E1C4" w:rsidR="0053711B" w:rsidRDefault="0053711B">
      <w:pPr>
        <w:pStyle w:val="FootnoteText"/>
      </w:pPr>
      <w:r>
        <w:rPr>
          <w:rStyle w:val="FootnoteReference"/>
        </w:rPr>
        <w:footnoteRef/>
      </w:r>
      <w:r>
        <w:t xml:space="preserve"> </w:t>
      </w:r>
      <w:hyperlink r:id="rId17" w:history="1">
        <w:r w:rsidRPr="00EC2015">
          <w:rPr>
            <w:rStyle w:val="Hyperlink"/>
          </w:rPr>
          <w:t>https://www.justice.gouv.fr/documentation/etudes-et-statistiques/78-300-personnes-detenues-au-1er-octobre-2024</w:t>
        </w:r>
      </w:hyperlink>
      <w:r>
        <w:t xml:space="preserve"> </w:t>
      </w:r>
    </w:p>
  </w:footnote>
  <w:footnote w:id="44">
    <w:p w14:paraId="4636913E" w14:textId="34314110"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CGLPL, Avis du 25 juillet 2023 relatif à la surpopulation et à la régulation carcérales, 14 septembre 2023 : </w:t>
      </w:r>
      <w:hyperlink r:id="rId18" w:history="1">
        <w:r w:rsidRPr="002C1669">
          <w:rPr>
            <w:rStyle w:val="Hyperlink"/>
            <w:rFonts w:ascii="Arial" w:hAnsi="Arial" w:cs="Arial"/>
            <w:sz w:val="16"/>
            <w:szCs w:val="16"/>
          </w:rPr>
          <w:t>https://www.cglpl.fr/app/uploads/2024/10/joe_20230914_0213_0089.pdf</w:t>
        </w:r>
      </w:hyperlink>
      <w:r w:rsidRPr="002C1669">
        <w:rPr>
          <w:rFonts w:ascii="Arial" w:hAnsi="Arial" w:cs="Arial"/>
          <w:sz w:val="16"/>
          <w:szCs w:val="16"/>
        </w:rPr>
        <w:t xml:space="preserve"> </w:t>
      </w:r>
    </w:p>
  </w:footnote>
  <w:footnote w:id="45">
    <w:p w14:paraId="366EDCC1" w14:textId="37245B0D"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001122FC">
        <w:rPr>
          <w:rFonts w:ascii="Arial" w:hAnsi="Arial" w:cs="Arial"/>
          <w:sz w:val="16"/>
          <w:szCs w:val="16"/>
        </w:rPr>
        <w:t xml:space="preserve"> C</w:t>
      </w:r>
      <w:r w:rsidRPr="002C1669">
        <w:rPr>
          <w:rFonts w:ascii="Arial" w:hAnsi="Arial" w:cs="Arial"/>
          <w:sz w:val="16"/>
          <w:szCs w:val="16"/>
        </w:rPr>
        <w:t>EDH, J.M.B. et autres c. France, 30 janvier 2020, n°9671/15 et 31 autres</w:t>
      </w:r>
    </w:p>
  </w:footnote>
  <w:footnote w:id="46">
    <w:p w14:paraId="56179ACC" w14:textId="77777777"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Ibidem (§316)</w:t>
      </w:r>
    </w:p>
  </w:footnote>
  <w:footnote w:id="47">
    <w:p w14:paraId="629A7746" w14:textId="1E7F9847" w:rsidR="009F2D2E" w:rsidRPr="00F96B1C" w:rsidRDefault="009F2D2E" w:rsidP="009F2D2E">
      <w:pPr>
        <w:pStyle w:val="FootnoteText"/>
        <w:rPr>
          <w:sz w:val="18"/>
          <w:szCs w:val="18"/>
        </w:rPr>
      </w:pPr>
      <w:r w:rsidRPr="002C1669">
        <w:rPr>
          <w:rStyle w:val="FootnoteReference"/>
          <w:rFonts w:ascii="Arial" w:hAnsi="Arial" w:cs="Arial"/>
          <w:sz w:val="16"/>
          <w:szCs w:val="16"/>
        </w:rPr>
        <w:footnoteRef/>
      </w:r>
      <w:r w:rsidRPr="002C1669">
        <w:rPr>
          <w:rFonts w:ascii="Arial" w:hAnsi="Arial" w:cs="Arial"/>
          <w:sz w:val="16"/>
          <w:szCs w:val="16"/>
        </w:rPr>
        <w:t xml:space="preserve"> Décision n°2020-858/859 QPC du 2 octobre 2020 et Décision n°2021-898 QPC du 16 avril 2021</w:t>
      </w:r>
      <w:r w:rsidRPr="00F96B1C">
        <w:rPr>
          <w:sz w:val="18"/>
          <w:szCs w:val="18"/>
        </w:rPr>
        <w:t xml:space="preserve"> </w:t>
      </w:r>
    </w:p>
  </w:footnote>
  <w:footnote w:id="48">
    <w:p w14:paraId="5ADE993C" w14:textId="4A22234F" w:rsidR="009F2D2E" w:rsidRPr="002C1669" w:rsidRDefault="009F2D2E" w:rsidP="009F2D2E">
      <w:pPr>
        <w:pStyle w:val="FootnoteText"/>
        <w:jc w:val="both"/>
        <w:rPr>
          <w:rFonts w:ascii="Arial" w:hAnsi="Arial" w:cs="Arial"/>
          <w:i/>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Article 803-8 du code de procédure pénale dispose que « </w:t>
      </w:r>
      <w:r w:rsidRPr="002C1669">
        <w:rPr>
          <w:rFonts w:ascii="Arial" w:hAnsi="Arial" w:cs="Arial"/>
          <w:i/>
          <w:sz w:val="16"/>
          <w:szCs w:val="16"/>
        </w:rPr>
        <w:t xml:space="preserve">toute personne détenue dans un établissement pénitentiaire en application du présent code qui considère que ses conditions de détention sont </w:t>
      </w:r>
    </w:p>
  </w:footnote>
  <w:footnote w:id="49">
    <w:p w14:paraId="28A986B6" w14:textId="77777777"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w:t>
      </w:r>
      <w:hyperlink r:id="rId19" w:tgtFrame="1492" w:history="1">
        <w:r w:rsidRPr="002C1669">
          <w:rPr>
            <w:rStyle w:val="Hyperlink"/>
            <w:rFonts w:ascii="Arial" w:hAnsi="Arial" w:cs="Arial"/>
            <w:sz w:val="16"/>
            <w:szCs w:val="16"/>
          </w:rPr>
          <w:t>1492ème réunion DH des Délégués des Ministres (12-14 mars 2024)</w:t>
        </w:r>
      </w:hyperlink>
    </w:p>
  </w:footnote>
  <w:footnote w:id="50">
    <w:p w14:paraId="0AA1CDE3" w14:textId="77777777"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w:t>
      </w:r>
      <w:hyperlink r:id="rId20" w:history="1">
        <w:r w:rsidRPr="002C1669">
          <w:rPr>
            <w:rStyle w:val="Hyperlink"/>
            <w:rFonts w:ascii="Arial" w:hAnsi="Arial" w:cs="Arial"/>
            <w:sz w:val="16"/>
            <w:szCs w:val="16"/>
          </w:rPr>
          <w:t>https://www.assemblee-nationale.fr/dyn/17/dossiers/regulation_carcerale_surpopulation_penitentiaire</w:t>
        </w:r>
      </w:hyperlink>
      <w:r w:rsidRPr="002C1669">
        <w:rPr>
          <w:rFonts w:ascii="Arial" w:hAnsi="Arial" w:cs="Arial"/>
          <w:sz w:val="16"/>
          <w:szCs w:val="16"/>
        </w:rPr>
        <w:t xml:space="preserve"> </w:t>
      </w:r>
    </w:p>
  </w:footnote>
  <w:footnote w:id="51">
    <w:p w14:paraId="7C6421CD" w14:textId="77777777"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Avis du Défenseur des droits n°23-04 sur le projet de loi d'orientation et de programmation du ministère de la justice 2023-2027, 9 juin 2023 : </w:t>
      </w:r>
      <w:hyperlink r:id="rId21" w:history="1">
        <w:r w:rsidRPr="002C1669">
          <w:rPr>
            <w:rStyle w:val="Hyperlink"/>
            <w:rFonts w:ascii="Arial" w:hAnsi="Arial" w:cs="Arial"/>
            <w:sz w:val="16"/>
            <w:szCs w:val="16"/>
          </w:rPr>
          <w:t>https://juridique.defenseurdesdroits.fr/doc_num.php?explnum_id=21673</w:t>
        </w:r>
      </w:hyperlink>
      <w:r w:rsidRPr="002C1669">
        <w:rPr>
          <w:rFonts w:ascii="Arial" w:hAnsi="Arial" w:cs="Arial"/>
          <w:sz w:val="16"/>
          <w:szCs w:val="16"/>
        </w:rPr>
        <w:t xml:space="preserve"> </w:t>
      </w:r>
    </w:p>
  </w:footnote>
  <w:footnote w:id="52">
    <w:p w14:paraId="2871B959" w14:textId="3DBDC1BC"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Avis rapporté par Danièle Jourdain Menninger (Groupe des Associations) et Alain Dru (Groupe de la CGT) au nom de la Commission des Affaires sociales et de la santé du CESE du 13 septem</w:t>
      </w:r>
      <w:r w:rsidR="00582C8E">
        <w:rPr>
          <w:rFonts w:ascii="Arial" w:hAnsi="Arial" w:cs="Arial"/>
          <w:sz w:val="16"/>
          <w:szCs w:val="16"/>
        </w:rPr>
        <w:t>bre 2023, Le Sens de la peine </w:t>
      </w:r>
    </w:p>
  </w:footnote>
  <w:footnote w:id="53">
    <w:p w14:paraId="2DE0592F" w14:textId="37BE5CF8"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CNCDH, Avis pour un mécanisme contraignant de r</w:t>
      </w:r>
      <w:r w:rsidR="000F32BD">
        <w:rPr>
          <w:rFonts w:ascii="Arial" w:hAnsi="Arial" w:cs="Arial"/>
          <w:sz w:val="16"/>
          <w:szCs w:val="16"/>
        </w:rPr>
        <w:t>égulation, 23 mai 2024 </w:t>
      </w:r>
    </w:p>
  </w:footnote>
  <w:footnote w:id="54">
    <w:p w14:paraId="12CA2F5A" w14:textId="77777777" w:rsidR="009F2D2E" w:rsidRPr="002C1669" w:rsidRDefault="009F2D2E" w:rsidP="009F2D2E">
      <w:pPr>
        <w:pStyle w:val="FootnoteText"/>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Les maisons d’arrêt d’Albi, Brest, Carcasonne, le Puy-en-Velay, Nïmes, Tarbes et Tours.</w:t>
      </w:r>
    </w:p>
  </w:footnote>
  <w:footnote w:id="55">
    <w:p w14:paraId="718749E9" w14:textId="77777777" w:rsidR="009F2D2E" w:rsidRPr="002C1669" w:rsidRDefault="009F2D2E" w:rsidP="009F2D2E">
      <w:pPr>
        <w:pStyle w:val="FootnoteText"/>
        <w:jc w:val="both"/>
        <w:rPr>
          <w:rFonts w:ascii="Arial" w:hAnsi="Arial" w:cs="Arial"/>
          <w:sz w:val="16"/>
          <w:szCs w:val="16"/>
        </w:rPr>
      </w:pPr>
      <w:r w:rsidRPr="002C1669">
        <w:rPr>
          <w:rStyle w:val="FootnoteReference"/>
          <w:rFonts w:ascii="Arial" w:hAnsi="Arial" w:cs="Arial"/>
          <w:sz w:val="16"/>
          <w:szCs w:val="16"/>
        </w:rPr>
        <w:footnoteRef/>
      </w:r>
      <w:r w:rsidRPr="002C1669">
        <w:rPr>
          <w:rFonts w:ascii="Arial" w:hAnsi="Arial" w:cs="Arial"/>
          <w:sz w:val="16"/>
          <w:szCs w:val="16"/>
        </w:rPr>
        <w:t xml:space="preserve"> TA de Pau, 18 juillet 2024, n° 2401792</w:t>
      </w:r>
    </w:p>
  </w:footnote>
  <w:footnote w:id="56">
    <w:p w14:paraId="6E2B7504" w14:textId="77777777" w:rsidR="009F2D2E" w:rsidRPr="00B10138" w:rsidRDefault="009F2D2E" w:rsidP="009F2D2E">
      <w:pPr>
        <w:pStyle w:val="FootnoteText"/>
        <w:jc w:val="both"/>
        <w:rPr>
          <w:sz w:val="18"/>
          <w:szCs w:val="18"/>
        </w:rPr>
      </w:pPr>
      <w:r w:rsidRPr="002C1669">
        <w:rPr>
          <w:rStyle w:val="FootnoteReference"/>
          <w:rFonts w:ascii="Arial" w:hAnsi="Arial" w:cs="Arial"/>
          <w:sz w:val="16"/>
          <w:szCs w:val="16"/>
        </w:rPr>
        <w:footnoteRef/>
      </w:r>
      <w:r w:rsidRPr="002C1669">
        <w:rPr>
          <w:rFonts w:ascii="Arial" w:hAnsi="Arial" w:cs="Arial"/>
          <w:sz w:val="16"/>
          <w:szCs w:val="16"/>
        </w:rPr>
        <w:t xml:space="preserve"> TA Orléans, 16 août 2024, n°2403296 ; TA Toulouse, 14 août 2024, n°2404787 ; TA de Rennes, 26 juillet 2024, n° 2404121 ; TA Montpellier, 25 juillet 2025, n°2404067 ; TA Clermont-Ferrand, 27 juillet 2024, n° 2401637 et TA de Nîmes, 24 juillet 2024, n° 2402765</w:t>
      </w:r>
    </w:p>
  </w:footnote>
  <w:footnote w:id="57">
    <w:p w14:paraId="14350095" w14:textId="77777777" w:rsidR="009F2D2E" w:rsidRPr="008500D5" w:rsidRDefault="009F2D2E" w:rsidP="009F2D2E">
      <w:pPr>
        <w:pStyle w:val="FootnoteText"/>
        <w:jc w:val="both"/>
        <w:rPr>
          <w:rFonts w:ascii="Arial" w:hAnsi="Arial" w:cs="Arial"/>
          <w:sz w:val="16"/>
          <w:szCs w:val="16"/>
        </w:rPr>
      </w:pPr>
      <w:r w:rsidRPr="008500D5">
        <w:rPr>
          <w:rStyle w:val="FootnoteReference"/>
          <w:rFonts w:ascii="Arial" w:hAnsi="Arial" w:cs="Arial"/>
          <w:sz w:val="16"/>
          <w:szCs w:val="16"/>
        </w:rPr>
        <w:footnoteRef/>
      </w:r>
      <w:r w:rsidRPr="008500D5">
        <w:rPr>
          <w:rFonts w:ascii="Arial" w:hAnsi="Arial" w:cs="Arial"/>
          <w:sz w:val="16"/>
          <w:szCs w:val="16"/>
        </w:rPr>
        <w:t xml:space="preserve"> Le juge des référés du tribunal administratif a enjoint, en premier lieu, à l’administration de délivrer sans délai une couverture supplémentaire aux détenus qui en font la demande lorsqu’il n’a pas été procédé à la réparation immédiate des fenêtres cassées. Il a enjoint, en second lieu, d’une part, de procéder à la distribution régulière et gratuite de kits d’hygiène et de kits d’entretien dans un délai de quatre jours à compter de la notification l’ordonnance et, d’autre part, de pourvoir à une protection suffisante de l’intimité des détenus en mettant en place un isolement devant l’espace sanitaire au sein des cellules dans un délai de trois semaines à compter de la notification de l’ordonnance.</w:t>
      </w:r>
    </w:p>
  </w:footnote>
  <w:footnote w:id="58">
    <w:p w14:paraId="50641DC8" w14:textId="77777777" w:rsidR="00664BEA" w:rsidRPr="00664BEA" w:rsidRDefault="00664BEA" w:rsidP="00664BEA">
      <w:pPr>
        <w:pStyle w:val="FootnoteText"/>
        <w:rPr>
          <w:rFonts w:ascii="Arial" w:hAnsi="Arial" w:cs="Arial"/>
          <w:sz w:val="16"/>
          <w:szCs w:val="16"/>
        </w:rPr>
      </w:pPr>
      <w:r w:rsidRPr="00664BEA">
        <w:rPr>
          <w:rStyle w:val="FootnoteReference"/>
          <w:rFonts w:ascii="Arial" w:hAnsi="Arial" w:cs="Arial"/>
          <w:sz w:val="16"/>
          <w:szCs w:val="16"/>
        </w:rPr>
        <w:footnoteRef/>
      </w:r>
      <w:r w:rsidRPr="00664BEA">
        <w:rPr>
          <w:rFonts w:ascii="Arial" w:hAnsi="Arial" w:cs="Arial"/>
          <w:sz w:val="16"/>
          <w:szCs w:val="16"/>
        </w:rPr>
        <w:t xml:space="preserve"> Avis CNCDH du 24 mars 2022 sur l’effectivité des droits fondamentaux en prison, </w:t>
      </w:r>
      <w:r w:rsidRPr="00664BEA">
        <w:rPr>
          <w:rFonts w:ascii="Arial" w:hAnsi="Arial" w:cs="Arial"/>
          <w:i/>
          <w:sz w:val="16"/>
          <w:szCs w:val="16"/>
        </w:rPr>
        <w:t>Du constat aux remèdes pour réduire la surpopulation carcérale et le recours à l'enfermement</w:t>
      </w:r>
    </w:p>
  </w:footnote>
  <w:footnote w:id="59">
    <w:p w14:paraId="2BD770B4" w14:textId="78261564" w:rsidR="009F2D2E" w:rsidRPr="008500D5" w:rsidRDefault="009F2D2E" w:rsidP="009F2D2E">
      <w:pPr>
        <w:pStyle w:val="FootnoteText"/>
        <w:rPr>
          <w:rFonts w:ascii="Arial" w:hAnsi="Arial" w:cs="Arial"/>
          <w:sz w:val="16"/>
          <w:szCs w:val="16"/>
        </w:rPr>
      </w:pPr>
      <w:r w:rsidRPr="008500D5">
        <w:rPr>
          <w:rStyle w:val="FootnoteReference"/>
          <w:rFonts w:ascii="Arial" w:hAnsi="Arial" w:cs="Arial"/>
          <w:sz w:val="16"/>
          <w:szCs w:val="16"/>
        </w:rPr>
        <w:footnoteRef/>
      </w:r>
      <w:r w:rsidRPr="008500D5">
        <w:rPr>
          <w:rFonts w:ascii="Arial" w:hAnsi="Arial" w:cs="Arial"/>
          <w:sz w:val="16"/>
          <w:szCs w:val="16"/>
        </w:rPr>
        <w:t xml:space="preserve"> </w:t>
      </w:r>
      <w:hyperlink r:id="rId22" w:history="1">
        <w:r w:rsidR="004B7A3E" w:rsidRPr="007463F6">
          <w:rPr>
            <w:rStyle w:val="Hyperlink"/>
            <w:rFonts w:ascii="Arial" w:hAnsi="Arial" w:cs="Arial"/>
            <w:sz w:val="16"/>
            <w:szCs w:val="16"/>
          </w:rPr>
          <w:t>https://www.lacimade.org/wp-content/uploads/2023/04/RA_CRA_2022_web.pdf</w:t>
        </w:r>
      </w:hyperlink>
      <w:r w:rsidRPr="008500D5">
        <w:rPr>
          <w:rFonts w:ascii="Arial" w:hAnsi="Arial" w:cs="Arial"/>
          <w:sz w:val="16"/>
          <w:szCs w:val="16"/>
        </w:rPr>
        <w:t xml:space="preserve"> </w:t>
      </w:r>
    </w:p>
  </w:footnote>
  <w:footnote w:id="60">
    <w:p w14:paraId="030B6437" w14:textId="77777777" w:rsidR="009F2D2E" w:rsidRPr="008500D5" w:rsidRDefault="009F2D2E" w:rsidP="009F2D2E">
      <w:pPr>
        <w:pStyle w:val="FootnoteText"/>
        <w:rPr>
          <w:rFonts w:ascii="Arial" w:hAnsi="Arial" w:cs="Arial"/>
          <w:sz w:val="16"/>
          <w:szCs w:val="16"/>
        </w:rPr>
      </w:pPr>
      <w:r w:rsidRPr="008500D5">
        <w:rPr>
          <w:rStyle w:val="FootnoteReference"/>
          <w:rFonts w:ascii="Arial" w:hAnsi="Arial" w:cs="Arial"/>
          <w:sz w:val="16"/>
          <w:szCs w:val="16"/>
        </w:rPr>
        <w:footnoteRef/>
      </w:r>
      <w:r w:rsidRPr="008500D5">
        <w:rPr>
          <w:rFonts w:ascii="Arial" w:hAnsi="Arial" w:cs="Arial"/>
          <w:sz w:val="16"/>
          <w:szCs w:val="16"/>
        </w:rPr>
        <w:t xml:space="preserve"> </w:t>
      </w:r>
      <w:hyperlink r:id="rId23" w:history="1">
        <w:r w:rsidRPr="008500D5">
          <w:rPr>
            <w:rStyle w:val="Hyperlink"/>
            <w:rFonts w:ascii="Arial" w:hAnsi="Arial" w:cs="Arial"/>
            <w:sz w:val="16"/>
            <w:szCs w:val="16"/>
          </w:rPr>
          <w:t>https://www.lacimade.org/publication/rapport-2023-sur-les-centres-et-locaux-de-retention-administrative/</w:t>
        </w:r>
      </w:hyperlink>
      <w:r w:rsidRPr="008500D5">
        <w:rPr>
          <w:rFonts w:ascii="Arial" w:hAnsi="Arial" w:cs="Arial"/>
          <w:sz w:val="16"/>
          <w:szCs w:val="16"/>
        </w:rPr>
        <w:t xml:space="preserve"> </w:t>
      </w:r>
    </w:p>
  </w:footnote>
  <w:footnote w:id="61">
    <w:p w14:paraId="671035A5" w14:textId="77777777" w:rsidR="009F2D2E" w:rsidRPr="008500D5" w:rsidRDefault="009F2D2E" w:rsidP="009F2D2E">
      <w:pPr>
        <w:pStyle w:val="FootnoteText"/>
        <w:rPr>
          <w:rFonts w:ascii="Arial" w:hAnsi="Arial" w:cs="Arial"/>
          <w:sz w:val="16"/>
          <w:szCs w:val="16"/>
        </w:rPr>
      </w:pPr>
      <w:r w:rsidRPr="008500D5">
        <w:rPr>
          <w:rStyle w:val="FootnoteReference"/>
          <w:rFonts w:ascii="Arial" w:hAnsi="Arial" w:cs="Arial"/>
          <w:sz w:val="16"/>
          <w:szCs w:val="16"/>
        </w:rPr>
        <w:footnoteRef/>
      </w:r>
      <w:r w:rsidRPr="008500D5">
        <w:rPr>
          <w:rFonts w:ascii="Arial" w:hAnsi="Arial" w:cs="Arial"/>
          <w:sz w:val="16"/>
          <w:szCs w:val="16"/>
        </w:rPr>
        <w:t xml:space="preserve"> CEDH, 19 janv. 2012, aff. 39472/07,  Popov c/ France ,CEDH, 12 juill. 2016, aff. 33201/11,  R.M et a. c/ France CEDH, 12 juill. 2016, n° 11593/12,  A. B. et a. c/ France CEDH, 12 juill. 2016, aff. 24587/12,  A. M. et a. c/ France CEDH, 12 juill. 2016, n° 68264/14,  R. K. et a. c/ France CEDH, 12 juill. 2016, aff. 76491/14,  R. C., CEDH, Moustahi c. France, n°9347/14, § 61, 25 juin 2020 , V. C. c/ France CEDH, 4 mai 2023, aff. 4289/21,  A.C. et a. c/ FranceCEDH, 4 mai 2023, aff. 7534/20) ;</w:t>
      </w:r>
    </w:p>
  </w:footnote>
  <w:footnote w:id="62">
    <w:p w14:paraId="73E6E677" w14:textId="77777777" w:rsidR="009F2D2E" w:rsidRPr="00A2648E" w:rsidRDefault="009F2D2E" w:rsidP="00D64C2B">
      <w:pPr>
        <w:pStyle w:val="FootnoteText"/>
        <w:jc w:val="both"/>
        <w:rPr>
          <w:rFonts w:ascii="Arial" w:hAnsi="Arial" w:cs="Arial"/>
          <w:sz w:val="16"/>
          <w:szCs w:val="16"/>
          <w:lang w:val="en-GB"/>
        </w:rPr>
      </w:pPr>
      <w:r w:rsidRPr="008500D5">
        <w:rPr>
          <w:rStyle w:val="FootnoteReference"/>
          <w:rFonts w:ascii="Arial" w:hAnsi="Arial" w:cs="Arial"/>
          <w:sz w:val="16"/>
          <w:szCs w:val="16"/>
        </w:rPr>
        <w:footnoteRef/>
      </w:r>
      <w:r w:rsidRPr="00A2648E">
        <w:rPr>
          <w:rFonts w:ascii="Arial" w:hAnsi="Arial" w:cs="Arial"/>
          <w:sz w:val="16"/>
          <w:szCs w:val="16"/>
          <w:lang w:val="en-GB"/>
        </w:rPr>
        <w:t xml:space="preserve"> CEDH, 19 janv. 2012, aff. 39472/07,  Popov c/ France</w:t>
      </w:r>
    </w:p>
  </w:footnote>
  <w:footnote w:id="63">
    <w:p w14:paraId="7C2446CF" w14:textId="77777777" w:rsidR="009F2D2E" w:rsidRPr="00A2648E" w:rsidRDefault="009F2D2E" w:rsidP="00D64C2B">
      <w:pPr>
        <w:pStyle w:val="FootnoteText"/>
        <w:jc w:val="both"/>
        <w:rPr>
          <w:rFonts w:ascii="Arial" w:hAnsi="Arial" w:cs="Arial"/>
          <w:sz w:val="16"/>
          <w:szCs w:val="16"/>
          <w:lang w:val="en-GB"/>
        </w:rPr>
      </w:pPr>
      <w:r w:rsidRPr="008500D5">
        <w:rPr>
          <w:rStyle w:val="FootnoteReference"/>
          <w:rFonts w:ascii="Arial" w:hAnsi="Arial" w:cs="Arial"/>
          <w:sz w:val="16"/>
          <w:szCs w:val="16"/>
        </w:rPr>
        <w:footnoteRef/>
      </w:r>
      <w:r w:rsidRPr="00A2648E">
        <w:rPr>
          <w:rFonts w:ascii="Arial" w:hAnsi="Arial" w:cs="Arial"/>
          <w:sz w:val="16"/>
          <w:szCs w:val="16"/>
          <w:lang w:val="en-GB"/>
        </w:rPr>
        <w:t xml:space="preserve"> Circ. 6 juill. 2012, NOR : INTK1207283C</w:t>
      </w:r>
    </w:p>
  </w:footnote>
  <w:footnote w:id="64">
    <w:p w14:paraId="16BD5C7A" w14:textId="77777777" w:rsidR="009F2D2E" w:rsidRDefault="009F2D2E" w:rsidP="00D64C2B">
      <w:pPr>
        <w:pStyle w:val="FootnoteText"/>
        <w:jc w:val="both"/>
      </w:pPr>
      <w:r w:rsidRPr="008500D5">
        <w:rPr>
          <w:rStyle w:val="FootnoteReference"/>
          <w:rFonts w:ascii="Arial" w:hAnsi="Arial" w:cs="Arial"/>
          <w:sz w:val="16"/>
          <w:szCs w:val="16"/>
        </w:rPr>
        <w:footnoteRef/>
      </w:r>
      <w:r w:rsidRPr="008500D5">
        <w:rPr>
          <w:rFonts w:ascii="Arial" w:hAnsi="Arial" w:cs="Arial"/>
          <w:sz w:val="16"/>
          <w:szCs w:val="16"/>
        </w:rPr>
        <w:t xml:space="preserve"> Loi n° 2016-274 du 7 mars 2016 relative au droit des étrangers en France</w:t>
      </w:r>
    </w:p>
  </w:footnote>
  <w:footnote w:id="65">
    <w:p w14:paraId="79916FBC" w14:textId="71E097DA" w:rsidR="009F2D2E" w:rsidRPr="007F7198" w:rsidRDefault="009F2D2E" w:rsidP="00D64C2B">
      <w:pPr>
        <w:pStyle w:val="FootnoteText"/>
        <w:jc w:val="both"/>
        <w:rPr>
          <w:rFonts w:ascii="Arial" w:hAnsi="Arial" w:cs="Arial"/>
          <w:sz w:val="16"/>
          <w:szCs w:val="16"/>
        </w:rPr>
      </w:pPr>
      <w:r w:rsidRPr="007F7198">
        <w:rPr>
          <w:rStyle w:val="FootnoteReference"/>
          <w:rFonts w:ascii="Arial" w:hAnsi="Arial" w:cs="Arial"/>
          <w:sz w:val="16"/>
          <w:szCs w:val="16"/>
        </w:rPr>
        <w:footnoteRef/>
      </w:r>
      <w:r w:rsidRPr="007F7198">
        <w:rPr>
          <w:rFonts w:ascii="Arial" w:hAnsi="Arial" w:cs="Arial"/>
          <w:sz w:val="16"/>
          <w:szCs w:val="16"/>
        </w:rPr>
        <w:t xml:space="preserve"> Article L. 741-5 du code de l’entrée et du séjour des étrangers et du droit d’asile </w:t>
      </w:r>
    </w:p>
  </w:footnote>
  <w:footnote w:id="66">
    <w:p w14:paraId="5B788112" w14:textId="77777777" w:rsidR="009F2D2E" w:rsidRPr="007F7198" w:rsidRDefault="009F2D2E" w:rsidP="00D64C2B">
      <w:pPr>
        <w:pStyle w:val="FootnoteText"/>
        <w:jc w:val="both"/>
        <w:rPr>
          <w:rFonts w:ascii="Arial" w:hAnsi="Arial" w:cs="Arial"/>
          <w:sz w:val="16"/>
          <w:szCs w:val="16"/>
        </w:rPr>
      </w:pPr>
      <w:r w:rsidRPr="007F7198">
        <w:rPr>
          <w:rStyle w:val="FootnoteReference"/>
          <w:rFonts w:ascii="Arial" w:hAnsi="Arial" w:cs="Arial"/>
          <w:sz w:val="16"/>
          <w:szCs w:val="16"/>
        </w:rPr>
        <w:footnoteRef/>
      </w:r>
      <w:r w:rsidRPr="007F7198">
        <w:rPr>
          <w:rFonts w:ascii="Arial" w:hAnsi="Arial" w:cs="Arial"/>
          <w:sz w:val="16"/>
          <w:szCs w:val="16"/>
        </w:rPr>
        <w:t xml:space="preserve"> Ministre de l'Intérieur, Instruction relative à la fin du placement en rétention des étrangers mineurs, 5 fév. 2024, N° IOMV2402702</w:t>
      </w:r>
    </w:p>
  </w:footnote>
  <w:footnote w:id="67">
    <w:p w14:paraId="38FC8075" w14:textId="434EFFAC" w:rsidR="009F2D2E" w:rsidRPr="007F7198" w:rsidRDefault="009F2D2E" w:rsidP="009F2D2E">
      <w:pPr>
        <w:pStyle w:val="FootnoteText"/>
        <w:rPr>
          <w:rFonts w:ascii="Arial" w:hAnsi="Arial" w:cs="Arial"/>
          <w:sz w:val="16"/>
          <w:szCs w:val="16"/>
        </w:rPr>
      </w:pPr>
      <w:r w:rsidRPr="007F7198">
        <w:rPr>
          <w:rStyle w:val="FootnoteReference"/>
          <w:rFonts w:ascii="Arial" w:hAnsi="Arial" w:cs="Arial"/>
          <w:sz w:val="16"/>
          <w:szCs w:val="16"/>
        </w:rPr>
        <w:footnoteRef/>
      </w:r>
      <w:r w:rsidRPr="007F7198">
        <w:rPr>
          <w:rFonts w:ascii="Arial" w:hAnsi="Arial" w:cs="Arial"/>
          <w:sz w:val="16"/>
          <w:szCs w:val="16"/>
        </w:rPr>
        <w:t xml:space="preserve"> Décision de la Défenseure des droits n° 2022-206 du 14 octobre 2022 </w:t>
      </w:r>
    </w:p>
  </w:footnote>
  <w:footnote w:id="68">
    <w:p w14:paraId="1EE64D5C" w14:textId="77777777" w:rsidR="009F2D2E" w:rsidRPr="007F7198" w:rsidRDefault="009F2D2E" w:rsidP="009F2D2E">
      <w:pPr>
        <w:pStyle w:val="FootnoteText"/>
        <w:rPr>
          <w:rFonts w:ascii="Arial" w:hAnsi="Arial" w:cs="Arial"/>
          <w:sz w:val="16"/>
          <w:szCs w:val="16"/>
        </w:rPr>
      </w:pPr>
      <w:r w:rsidRPr="007F7198">
        <w:rPr>
          <w:rStyle w:val="FootnoteReference"/>
          <w:rFonts w:ascii="Arial" w:hAnsi="Arial" w:cs="Arial"/>
          <w:sz w:val="16"/>
          <w:szCs w:val="16"/>
        </w:rPr>
        <w:footnoteRef/>
      </w:r>
      <w:r w:rsidRPr="007F7198">
        <w:rPr>
          <w:rFonts w:ascii="Arial" w:hAnsi="Arial" w:cs="Arial"/>
          <w:sz w:val="16"/>
          <w:szCs w:val="16"/>
        </w:rPr>
        <w:t xml:space="preserve"> CEDH, Moustahi c. France, n°9347/14, § 61, 25 juin 2020. Dans cette affaire, la LDH, la Cimade et le Gisti avaient introduits une tierce intervention devant la CEDH.</w:t>
      </w:r>
    </w:p>
  </w:footnote>
  <w:footnote w:id="69">
    <w:p w14:paraId="043290F3" w14:textId="77777777" w:rsidR="009F2D2E" w:rsidRDefault="009F2D2E" w:rsidP="00AD2B2B">
      <w:pPr>
        <w:pStyle w:val="FootnoteText"/>
        <w:jc w:val="both"/>
      </w:pPr>
      <w:r w:rsidRPr="007F7198">
        <w:rPr>
          <w:rStyle w:val="FootnoteReference"/>
          <w:rFonts w:ascii="Arial" w:hAnsi="Arial" w:cs="Arial"/>
          <w:sz w:val="16"/>
          <w:szCs w:val="16"/>
        </w:rPr>
        <w:footnoteRef/>
      </w:r>
      <w:r w:rsidRPr="007F7198">
        <w:rPr>
          <w:rFonts w:ascii="Arial" w:hAnsi="Arial" w:cs="Arial"/>
          <w:sz w:val="16"/>
          <w:szCs w:val="16"/>
        </w:rPr>
        <w:t xml:space="preserve"> Comité des Ministres, décision du 9 juin 2021 (CM/Del/Dec(2021)1406/H46-11)</w:t>
      </w:r>
    </w:p>
  </w:footnote>
  <w:footnote w:id="70">
    <w:p w14:paraId="22EF7B8B" w14:textId="77777777" w:rsidR="009F2D2E" w:rsidRPr="00A95BFE" w:rsidRDefault="009F2D2E" w:rsidP="00AD2B2B">
      <w:pPr>
        <w:pStyle w:val="FootnoteText"/>
        <w:jc w:val="both"/>
        <w:rPr>
          <w:rFonts w:ascii="Arial" w:hAnsi="Arial" w:cs="Arial"/>
          <w:sz w:val="16"/>
          <w:szCs w:val="16"/>
        </w:rPr>
      </w:pPr>
      <w:r w:rsidRPr="00A95BFE">
        <w:rPr>
          <w:rStyle w:val="FootnoteReference"/>
          <w:rFonts w:ascii="Arial" w:hAnsi="Arial" w:cs="Arial"/>
          <w:sz w:val="16"/>
          <w:szCs w:val="16"/>
        </w:rPr>
        <w:footnoteRef/>
      </w:r>
      <w:r w:rsidRPr="00A95BFE">
        <w:rPr>
          <w:rFonts w:ascii="Arial" w:hAnsi="Arial" w:cs="Arial"/>
          <w:sz w:val="16"/>
          <w:szCs w:val="16"/>
        </w:rPr>
        <w:t xml:space="preserve"> Comité des Ministres, décision du 14 juin 2024 CM/Del/Dec(2024)1501/H46-12</w:t>
      </w:r>
    </w:p>
  </w:footnote>
  <w:footnote w:id="71">
    <w:p w14:paraId="5BC97F66" w14:textId="09034284" w:rsidR="00516691" w:rsidRPr="00516691" w:rsidRDefault="00516691">
      <w:pPr>
        <w:pStyle w:val="FootnoteText"/>
        <w:rPr>
          <w:rFonts w:ascii="Arial" w:hAnsi="Arial" w:cs="Arial"/>
          <w:sz w:val="16"/>
          <w:szCs w:val="16"/>
        </w:rPr>
      </w:pPr>
      <w:r w:rsidRPr="00516691">
        <w:rPr>
          <w:rStyle w:val="FootnoteReference"/>
          <w:rFonts w:ascii="Arial" w:hAnsi="Arial" w:cs="Arial"/>
          <w:sz w:val="16"/>
          <w:szCs w:val="16"/>
        </w:rPr>
        <w:footnoteRef/>
      </w:r>
      <w:r w:rsidRPr="00516691">
        <w:rPr>
          <w:rFonts w:ascii="Arial" w:hAnsi="Arial" w:cs="Arial"/>
          <w:sz w:val="16"/>
          <w:szCs w:val="16"/>
        </w:rPr>
        <w:t xml:space="preserve"> Ibidem, point 29</w:t>
      </w:r>
    </w:p>
  </w:footnote>
  <w:footnote w:id="72">
    <w:p w14:paraId="58633EFD" w14:textId="77777777" w:rsidR="00700B8D" w:rsidRPr="00700B8D" w:rsidRDefault="00700B8D" w:rsidP="00AD2B2B">
      <w:pPr>
        <w:pStyle w:val="FootnoteText"/>
        <w:jc w:val="both"/>
        <w:rPr>
          <w:rFonts w:ascii="Arial" w:hAnsi="Arial" w:cs="Arial"/>
          <w:sz w:val="16"/>
          <w:szCs w:val="16"/>
        </w:rPr>
      </w:pPr>
      <w:r w:rsidRPr="00700B8D">
        <w:rPr>
          <w:rStyle w:val="FootnoteReference"/>
          <w:rFonts w:ascii="Arial" w:hAnsi="Arial" w:cs="Arial"/>
          <w:sz w:val="16"/>
          <w:szCs w:val="16"/>
        </w:rPr>
        <w:footnoteRef/>
      </w:r>
      <w:r w:rsidRPr="00700B8D">
        <w:rPr>
          <w:rFonts w:ascii="Arial" w:hAnsi="Arial" w:cs="Arial"/>
          <w:i/>
          <w:sz w:val="16"/>
          <w:szCs w:val="16"/>
        </w:rPr>
        <w:t>Soins sans consentement et droits fondamentaux</w:t>
      </w:r>
      <w:r w:rsidRPr="00700B8D">
        <w:rPr>
          <w:rFonts w:ascii="Arial" w:hAnsi="Arial" w:cs="Arial"/>
          <w:sz w:val="16"/>
          <w:szCs w:val="16"/>
        </w:rPr>
        <w:t xml:space="preserve"> – Rapport du CGLPL - 16 mars 2020</w:t>
      </w:r>
    </w:p>
  </w:footnote>
  <w:footnote w:id="73">
    <w:p w14:paraId="7274524A" w14:textId="77777777" w:rsidR="00700B8D" w:rsidRPr="00700B8D" w:rsidRDefault="00700B8D" w:rsidP="00AD2B2B">
      <w:pPr>
        <w:pStyle w:val="FootnoteText"/>
        <w:jc w:val="both"/>
        <w:rPr>
          <w:rFonts w:ascii="Arial" w:hAnsi="Arial" w:cs="Arial"/>
          <w:sz w:val="16"/>
          <w:szCs w:val="16"/>
        </w:rPr>
      </w:pPr>
      <w:r w:rsidRPr="00700B8D">
        <w:rPr>
          <w:rStyle w:val="FootnoteReference"/>
          <w:rFonts w:ascii="Arial" w:hAnsi="Arial" w:cs="Arial"/>
          <w:sz w:val="16"/>
          <w:szCs w:val="16"/>
        </w:rPr>
        <w:footnoteRef/>
      </w:r>
      <w:r w:rsidRPr="00700B8D">
        <w:rPr>
          <w:rFonts w:ascii="Arial" w:hAnsi="Arial" w:cs="Arial"/>
          <w:sz w:val="16"/>
          <w:szCs w:val="16"/>
        </w:rPr>
        <w:t xml:space="preserve"> CGLPL - rapport annuel d’activité 2023</w:t>
      </w:r>
    </w:p>
  </w:footnote>
  <w:footnote w:id="74">
    <w:p w14:paraId="7385CDAD" w14:textId="77777777" w:rsidR="00700B8D" w:rsidRDefault="00700B8D" w:rsidP="00AD2B2B">
      <w:pPr>
        <w:pStyle w:val="FootnoteText"/>
        <w:jc w:val="both"/>
      </w:pPr>
      <w:r w:rsidRPr="00700B8D">
        <w:rPr>
          <w:rStyle w:val="FootnoteReference"/>
          <w:rFonts w:ascii="Arial" w:hAnsi="Arial" w:cs="Arial"/>
          <w:sz w:val="16"/>
          <w:szCs w:val="16"/>
        </w:rPr>
        <w:footnoteRef/>
      </w:r>
      <w:r w:rsidRPr="00700B8D">
        <w:rPr>
          <w:rFonts w:ascii="Arial" w:hAnsi="Arial" w:cs="Arial"/>
          <w:sz w:val="16"/>
          <w:szCs w:val="16"/>
        </w:rPr>
        <w:t xml:space="preserve"> Questions d'économie de la santé, n° 222, février 2017, Les soins sans consentement en psychiatrie : bilan après quatre années de mise en œuvre par Magali Coldefy (IRDES), Sarah Fernandes (ORU-Paca, Université Aix Marseille), avec la collaboration de David Lapalus (ARS PACA</w:t>
      </w:r>
      <w:r>
        <w:t>)</w:t>
      </w:r>
    </w:p>
  </w:footnote>
  <w:footnote w:id="75">
    <w:p w14:paraId="6F305C28" w14:textId="77777777" w:rsidR="00700B8D" w:rsidRPr="0018086F" w:rsidRDefault="00700B8D" w:rsidP="0018086F">
      <w:pPr>
        <w:pStyle w:val="FootnoteText"/>
        <w:jc w:val="both"/>
        <w:rPr>
          <w:rFonts w:ascii="Arial" w:hAnsi="Arial" w:cs="Arial"/>
          <w:sz w:val="16"/>
          <w:szCs w:val="16"/>
        </w:rPr>
      </w:pPr>
      <w:r w:rsidRPr="0018086F">
        <w:rPr>
          <w:rStyle w:val="FootnoteReference"/>
          <w:rFonts w:ascii="Arial" w:hAnsi="Arial" w:cs="Arial"/>
          <w:sz w:val="16"/>
          <w:szCs w:val="16"/>
        </w:rPr>
        <w:footnoteRef/>
      </w:r>
      <w:r w:rsidRPr="0018086F">
        <w:rPr>
          <w:rFonts w:ascii="Arial" w:hAnsi="Arial" w:cs="Arial"/>
          <w:sz w:val="16"/>
          <w:szCs w:val="16"/>
        </w:rPr>
        <w:t xml:space="preserve"> Trois méthodes permettent de recueillir ce consentement de manière efficace et humaine : le recours à des personnes de confiance, le recueil de « directives anticipées en psychiatrie » ou « contrats de gestion de crise » qui permettent de recueillir le consentement du patient lorsque celui-ci est en état de le formuler, et le recours à des médiateurs de santé pairs qui ont l’expérience personnelle de la maladie et, à ce titre, sont mieux à même de comprendre les patients</w:t>
      </w:r>
    </w:p>
  </w:footnote>
  <w:footnote w:id="76">
    <w:p w14:paraId="2D4C638B" w14:textId="77777777" w:rsidR="00700B8D" w:rsidRPr="0018086F" w:rsidRDefault="00700B8D" w:rsidP="0018086F">
      <w:pPr>
        <w:pStyle w:val="FootnoteText"/>
        <w:jc w:val="both"/>
        <w:rPr>
          <w:rFonts w:ascii="Arial" w:hAnsi="Arial" w:cs="Arial"/>
          <w:sz w:val="16"/>
          <w:szCs w:val="16"/>
        </w:rPr>
      </w:pPr>
      <w:r w:rsidRPr="0018086F">
        <w:rPr>
          <w:rStyle w:val="FootnoteReference"/>
          <w:rFonts w:ascii="Arial" w:hAnsi="Arial" w:cs="Arial"/>
          <w:sz w:val="16"/>
          <w:szCs w:val="16"/>
        </w:rPr>
        <w:footnoteRef/>
      </w:r>
      <w:r w:rsidRPr="0018086F">
        <w:rPr>
          <w:rFonts w:ascii="Arial" w:hAnsi="Arial" w:cs="Arial"/>
          <w:sz w:val="16"/>
          <w:szCs w:val="16"/>
        </w:rPr>
        <w:t xml:space="preserve"> Rapport de l’IRDES </w:t>
      </w:r>
      <w:r w:rsidRPr="0018086F">
        <w:rPr>
          <w:rFonts w:ascii="Arial" w:hAnsi="Arial" w:cs="Arial"/>
          <w:i/>
          <w:sz w:val="16"/>
          <w:szCs w:val="16"/>
        </w:rPr>
        <w:t>Isolement et contention en psychiatrie en 2022</w:t>
      </w:r>
      <w:r w:rsidRPr="0018086F">
        <w:rPr>
          <w:rFonts w:ascii="Arial" w:hAnsi="Arial" w:cs="Arial"/>
          <w:sz w:val="16"/>
          <w:szCs w:val="16"/>
        </w:rPr>
        <w:t xml:space="preserve"> n° 286 – Février 2024</w:t>
      </w:r>
    </w:p>
  </w:footnote>
  <w:footnote w:id="77">
    <w:p w14:paraId="66938C75" w14:textId="77777777" w:rsidR="00700B8D" w:rsidRPr="0018086F" w:rsidRDefault="00700B8D" w:rsidP="0018086F">
      <w:pPr>
        <w:pStyle w:val="FootnoteText"/>
        <w:jc w:val="both"/>
        <w:rPr>
          <w:rFonts w:ascii="Arial" w:hAnsi="Arial" w:cs="Arial"/>
          <w:sz w:val="16"/>
          <w:szCs w:val="16"/>
        </w:rPr>
      </w:pPr>
      <w:r w:rsidRPr="0018086F">
        <w:rPr>
          <w:rStyle w:val="FootnoteReference"/>
          <w:rFonts w:ascii="Arial" w:hAnsi="Arial" w:cs="Arial"/>
          <w:sz w:val="16"/>
          <w:szCs w:val="16"/>
        </w:rPr>
        <w:footnoteRef/>
      </w:r>
      <w:r w:rsidRPr="0018086F">
        <w:rPr>
          <w:rFonts w:ascii="Arial" w:hAnsi="Arial" w:cs="Arial"/>
          <w:sz w:val="16"/>
          <w:szCs w:val="16"/>
        </w:rPr>
        <w:t xml:space="preserve"> Article L.3222-5-1 du Code de la santé publique</w:t>
      </w:r>
    </w:p>
  </w:footnote>
  <w:footnote w:id="78">
    <w:p w14:paraId="458050DA" w14:textId="77777777" w:rsidR="00700B8D" w:rsidRPr="0018086F" w:rsidRDefault="00700B8D" w:rsidP="0018086F">
      <w:pPr>
        <w:pStyle w:val="FootnoteText"/>
        <w:jc w:val="both"/>
        <w:rPr>
          <w:rFonts w:ascii="Arial" w:hAnsi="Arial" w:cs="Arial"/>
          <w:sz w:val="16"/>
          <w:szCs w:val="16"/>
        </w:rPr>
      </w:pPr>
      <w:r w:rsidRPr="0018086F">
        <w:rPr>
          <w:rStyle w:val="FootnoteReference"/>
          <w:rFonts w:ascii="Arial" w:hAnsi="Arial" w:cs="Arial"/>
          <w:sz w:val="16"/>
          <w:szCs w:val="16"/>
        </w:rPr>
        <w:footnoteRef/>
      </w:r>
      <w:r w:rsidRPr="0018086F">
        <w:rPr>
          <w:rFonts w:ascii="Arial" w:hAnsi="Arial" w:cs="Arial"/>
          <w:sz w:val="16"/>
          <w:szCs w:val="16"/>
        </w:rPr>
        <w:t xml:space="preserve"> Étude publiée dans Hospimédia, 20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C177B" w14:textId="77777777" w:rsidR="00D20B98" w:rsidRDefault="00D20B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1F6D8" w14:textId="77777777" w:rsidR="00D20B98" w:rsidRDefault="00D20B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E4CD" w14:textId="77777777" w:rsidR="00D20B98" w:rsidRDefault="00D20B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175AC"/>
    <w:multiLevelType w:val="multilevel"/>
    <w:tmpl w:val="0A0175A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FE17F9"/>
    <w:multiLevelType w:val="multilevel"/>
    <w:tmpl w:val="1BFE17F9"/>
    <w:lvl w:ilvl="0">
      <w:start w:val="3"/>
      <w:numFmt w:val="bullet"/>
      <w:lvlText w:val="-"/>
      <w:lvlJc w:val="left"/>
      <w:pPr>
        <w:ind w:left="720" w:hanging="360"/>
      </w:pPr>
      <w:rPr>
        <w:rFonts w:ascii="Arial" w:eastAsia="MS Mincho"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0E243B3"/>
    <w:multiLevelType w:val="multilevel"/>
    <w:tmpl w:val="6F56A3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AC1AE8"/>
    <w:multiLevelType w:val="hybridMultilevel"/>
    <w:tmpl w:val="7CE0F8EC"/>
    <w:lvl w:ilvl="0" w:tplc="53E6321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C084265"/>
    <w:multiLevelType w:val="multilevel"/>
    <w:tmpl w:val="E07453C4"/>
    <w:lvl w:ilvl="0">
      <w:start w:val="1"/>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 w15:restartNumberingAfterBreak="0">
    <w:nsid w:val="3DB805FA"/>
    <w:multiLevelType w:val="multilevel"/>
    <w:tmpl w:val="3DB805FA"/>
    <w:lvl w:ilvl="0">
      <w:start w:val="2"/>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5C97FA8"/>
    <w:multiLevelType w:val="multilevel"/>
    <w:tmpl w:val="45C97FA8"/>
    <w:lvl w:ilvl="0">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6916B82"/>
    <w:multiLevelType w:val="hybridMultilevel"/>
    <w:tmpl w:val="259E7758"/>
    <w:lvl w:ilvl="0" w:tplc="69124BAA">
      <w:start w:val="2"/>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E293CEB"/>
    <w:multiLevelType w:val="hybridMultilevel"/>
    <w:tmpl w:val="60A2B42C"/>
    <w:lvl w:ilvl="0" w:tplc="D5C0B2A2">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9471854">
    <w:abstractNumId w:val="2"/>
  </w:num>
  <w:num w:numId="2" w16cid:durableId="1904363721">
    <w:abstractNumId w:val="1"/>
  </w:num>
  <w:num w:numId="3" w16cid:durableId="1797136185">
    <w:abstractNumId w:val="7"/>
  </w:num>
  <w:num w:numId="4" w16cid:durableId="1603880277">
    <w:abstractNumId w:val="0"/>
  </w:num>
  <w:num w:numId="5" w16cid:durableId="1523788847">
    <w:abstractNumId w:val="5"/>
  </w:num>
  <w:num w:numId="6" w16cid:durableId="1827937473">
    <w:abstractNumId w:val="6"/>
  </w:num>
  <w:num w:numId="7" w16cid:durableId="311178874">
    <w:abstractNumId w:val="8"/>
  </w:num>
  <w:num w:numId="8" w16cid:durableId="1092362646">
    <w:abstractNumId w:val="4"/>
  </w:num>
  <w:num w:numId="9" w16cid:durableId="4686692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EBC"/>
    <w:rsid w:val="0001023B"/>
    <w:rsid w:val="000831F2"/>
    <w:rsid w:val="000C4350"/>
    <w:rsid w:val="000D5A1D"/>
    <w:rsid w:val="000E4B4E"/>
    <w:rsid w:val="000F08B9"/>
    <w:rsid w:val="000F32BD"/>
    <w:rsid w:val="001122FC"/>
    <w:rsid w:val="00117376"/>
    <w:rsid w:val="001532C2"/>
    <w:rsid w:val="0018086F"/>
    <w:rsid w:val="00183B09"/>
    <w:rsid w:val="00184536"/>
    <w:rsid w:val="001A3011"/>
    <w:rsid w:val="001B0FC8"/>
    <w:rsid w:val="001D7A8F"/>
    <w:rsid w:val="001D7B97"/>
    <w:rsid w:val="001E2128"/>
    <w:rsid w:val="001F5539"/>
    <w:rsid w:val="00230D26"/>
    <w:rsid w:val="002753B5"/>
    <w:rsid w:val="002B4541"/>
    <w:rsid w:val="002D0A28"/>
    <w:rsid w:val="002E14CB"/>
    <w:rsid w:val="00305C68"/>
    <w:rsid w:val="00314040"/>
    <w:rsid w:val="00340CBF"/>
    <w:rsid w:val="00365A77"/>
    <w:rsid w:val="003938F0"/>
    <w:rsid w:val="00403722"/>
    <w:rsid w:val="00410F6F"/>
    <w:rsid w:val="004146AA"/>
    <w:rsid w:val="00415BF1"/>
    <w:rsid w:val="00430E64"/>
    <w:rsid w:val="0044247D"/>
    <w:rsid w:val="00466985"/>
    <w:rsid w:val="00466D87"/>
    <w:rsid w:val="00482D73"/>
    <w:rsid w:val="004B7A3E"/>
    <w:rsid w:val="004D74D0"/>
    <w:rsid w:val="004F51AC"/>
    <w:rsid w:val="0050566F"/>
    <w:rsid w:val="00506648"/>
    <w:rsid w:val="00516691"/>
    <w:rsid w:val="0053711B"/>
    <w:rsid w:val="0056634F"/>
    <w:rsid w:val="00581537"/>
    <w:rsid w:val="00582C8E"/>
    <w:rsid w:val="005F18E7"/>
    <w:rsid w:val="006433D9"/>
    <w:rsid w:val="00664BEA"/>
    <w:rsid w:val="006728A5"/>
    <w:rsid w:val="006775B5"/>
    <w:rsid w:val="006D7224"/>
    <w:rsid w:val="00700B8D"/>
    <w:rsid w:val="00743630"/>
    <w:rsid w:val="00760C84"/>
    <w:rsid w:val="00762000"/>
    <w:rsid w:val="00776050"/>
    <w:rsid w:val="007901C5"/>
    <w:rsid w:val="007C4FD6"/>
    <w:rsid w:val="007D7877"/>
    <w:rsid w:val="007F33A8"/>
    <w:rsid w:val="007F735E"/>
    <w:rsid w:val="00801F3E"/>
    <w:rsid w:val="00820B42"/>
    <w:rsid w:val="008405D0"/>
    <w:rsid w:val="0085539E"/>
    <w:rsid w:val="00857DEB"/>
    <w:rsid w:val="008622F1"/>
    <w:rsid w:val="0088598F"/>
    <w:rsid w:val="008A1944"/>
    <w:rsid w:val="008B5EC4"/>
    <w:rsid w:val="008E44A8"/>
    <w:rsid w:val="00901FCC"/>
    <w:rsid w:val="00912C2D"/>
    <w:rsid w:val="00913328"/>
    <w:rsid w:val="009224EF"/>
    <w:rsid w:val="00991234"/>
    <w:rsid w:val="009A490B"/>
    <w:rsid w:val="009A54BB"/>
    <w:rsid w:val="009B33C0"/>
    <w:rsid w:val="009D768A"/>
    <w:rsid w:val="009F1AB2"/>
    <w:rsid w:val="009F2D2E"/>
    <w:rsid w:val="00A07ECD"/>
    <w:rsid w:val="00A2648E"/>
    <w:rsid w:val="00A26AC5"/>
    <w:rsid w:val="00A35A02"/>
    <w:rsid w:val="00A71CF1"/>
    <w:rsid w:val="00AB4EBC"/>
    <w:rsid w:val="00AD2B2B"/>
    <w:rsid w:val="00B05D56"/>
    <w:rsid w:val="00B14272"/>
    <w:rsid w:val="00B14BF3"/>
    <w:rsid w:val="00B46730"/>
    <w:rsid w:val="00B5057E"/>
    <w:rsid w:val="00B57567"/>
    <w:rsid w:val="00BC078C"/>
    <w:rsid w:val="00BE2417"/>
    <w:rsid w:val="00BF5F1E"/>
    <w:rsid w:val="00BF7120"/>
    <w:rsid w:val="00C12285"/>
    <w:rsid w:val="00C27808"/>
    <w:rsid w:val="00C60A74"/>
    <w:rsid w:val="00C6754B"/>
    <w:rsid w:val="00C70405"/>
    <w:rsid w:val="00C70FD2"/>
    <w:rsid w:val="00C9192F"/>
    <w:rsid w:val="00D002AE"/>
    <w:rsid w:val="00D20B98"/>
    <w:rsid w:val="00D21613"/>
    <w:rsid w:val="00D21D68"/>
    <w:rsid w:val="00D41A48"/>
    <w:rsid w:val="00D4638E"/>
    <w:rsid w:val="00D570CD"/>
    <w:rsid w:val="00D64721"/>
    <w:rsid w:val="00D64C2B"/>
    <w:rsid w:val="00D70E9C"/>
    <w:rsid w:val="00E034A3"/>
    <w:rsid w:val="00E03F21"/>
    <w:rsid w:val="00E3604B"/>
    <w:rsid w:val="00E6250A"/>
    <w:rsid w:val="00E711BF"/>
    <w:rsid w:val="00E91DD5"/>
    <w:rsid w:val="00F05050"/>
    <w:rsid w:val="00F76A57"/>
    <w:rsid w:val="00F82BBE"/>
    <w:rsid w:val="00FA24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9568"/>
  <w15:chartTrackingRefBased/>
  <w15:docId w15:val="{F417733C-25DB-46C7-B215-B07BC2A7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5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EBC"/>
    <w:pPr>
      <w:ind w:left="720"/>
      <w:contextualSpacing/>
    </w:pPr>
  </w:style>
  <w:style w:type="paragraph" w:styleId="FootnoteText">
    <w:name w:val="footnote text"/>
    <w:basedOn w:val="Normal"/>
    <w:link w:val="FootnoteTextChar"/>
    <w:uiPriority w:val="99"/>
    <w:unhideWhenUsed/>
    <w:qFormat/>
    <w:rsid w:val="009F2D2E"/>
    <w:pPr>
      <w:spacing w:after="0" w:line="240" w:lineRule="auto"/>
    </w:pPr>
    <w:rPr>
      <w:sz w:val="20"/>
      <w:szCs w:val="20"/>
    </w:rPr>
  </w:style>
  <w:style w:type="character" w:customStyle="1" w:styleId="FootnoteTextChar">
    <w:name w:val="Footnote Text Char"/>
    <w:basedOn w:val="DefaultParagraphFont"/>
    <w:link w:val="FootnoteText"/>
    <w:uiPriority w:val="99"/>
    <w:qFormat/>
    <w:rsid w:val="009F2D2E"/>
    <w:rPr>
      <w:sz w:val="20"/>
      <w:szCs w:val="20"/>
    </w:rPr>
  </w:style>
  <w:style w:type="character" w:styleId="FootnoteReference">
    <w:name w:val="footnote reference"/>
    <w:basedOn w:val="DefaultParagraphFont"/>
    <w:uiPriority w:val="99"/>
    <w:unhideWhenUsed/>
    <w:qFormat/>
    <w:rsid w:val="009F2D2E"/>
    <w:rPr>
      <w:vertAlign w:val="superscript"/>
    </w:rPr>
  </w:style>
  <w:style w:type="character" w:styleId="Hyperlink">
    <w:name w:val="Hyperlink"/>
    <w:basedOn w:val="DefaultParagraphFont"/>
    <w:uiPriority w:val="99"/>
    <w:unhideWhenUsed/>
    <w:qFormat/>
    <w:rsid w:val="009F2D2E"/>
    <w:rPr>
      <w:color w:val="0563C1" w:themeColor="hyperlink"/>
      <w:u w:val="single"/>
    </w:rPr>
  </w:style>
  <w:style w:type="character" w:styleId="FollowedHyperlink">
    <w:name w:val="FollowedHyperlink"/>
    <w:uiPriority w:val="99"/>
    <w:semiHidden/>
    <w:unhideWhenUsed/>
    <w:qFormat/>
    <w:rsid w:val="009F2D2E"/>
    <w:rPr>
      <w:color w:val="800080"/>
      <w:u w:val="single"/>
    </w:rPr>
  </w:style>
  <w:style w:type="paragraph" w:styleId="BalloonText">
    <w:name w:val="Balloon Text"/>
    <w:basedOn w:val="Normal"/>
    <w:link w:val="BalloonTextChar"/>
    <w:uiPriority w:val="99"/>
    <w:semiHidden/>
    <w:unhideWhenUsed/>
    <w:rsid w:val="00B467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30"/>
    <w:rPr>
      <w:rFonts w:ascii="Segoe UI" w:hAnsi="Segoe UI" w:cs="Segoe UI"/>
      <w:sz w:val="18"/>
      <w:szCs w:val="18"/>
    </w:rPr>
  </w:style>
  <w:style w:type="paragraph" w:styleId="Header">
    <w:name w:val="header"/>
    <w:basedOn w:val="Normal"/>
    <w:link w:val="HeaderChar"/>
    <w:uiPriority w:val="99"/>
    <w:unhideWhenUsed/>
    <w:rsid w:val="00365A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365A77"/>
  </w:style>
  <w:style w:type="paragraph" w:styleId="Footer">
    <w:name w:val="footer"/>
    <w:basedOn w:val="Normal"/>
    <w:link w:val="FooterChar"/>
    <w:uiPriority w:val="99"/>
    <w:unhideWhenUsed/>
    <w:rsid w:val="00365A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365A77"/>
  </w:style>
  <w:style w:type="paragraph" w:styleId="Revision">
    <w:name w:val="Revision"/>
    <w:hidden/>
    <w:uiPriority w:val="99"/>
    <w:semiHidden/>
    <w:rsid w:val="00A2648E"/>
    <w:pPr>
      <w:spacing w:after="0" w:line="240" w:lineRule="auto"/>
    </w:pPr>
  </w:style>
  <w:style w:type="character" w:customStyle="1" w:styleId="UnresolvedMention1">
    <w:name w:val="Unresolved Mention1"/>
    <w:basedOn w:val="DefaultParagraphFont"/>
    <w:uiPriority w:val="99"/>
    <w:semiHidden/>
    <w:unhideWhenUsed/>
    <w:rsid w:val="00A26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ldh-france.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dh@ldh-france.org"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cid:image001.gif@01D01ED4.94ADC2E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unece.org/sites/default/files/2024-02/UNSR_EnvDefenders_Aarhus_De%CC%81claration_fin_mission_Tarn_29.02.2024_FR.pdf" TargetMode="External"/><Relationship Id="rId13" Type="http://schemas.openxmlformats.org/officeDocument/2006/relationships/hyperlink" Target="https://www.ldh-france.org/wp-content/uploads/2024/02/observatoire.pdf" TargetMode="External"/><Relationship Id="rId18" Type="http://schemas.openxmlformats.org/officeDocument/2006/relationships/hyperlink" Target="https://www.cglpl.fr/app/uploads/2024/10/joe_20230914_0213_0089.pdf" TargetMode="External"/><Relationship Id="rId3" Type="http://schemas.openxmlformats.org/officeDocument/2006/relationships/hyperlink" Target="https://www.francetvinfo.fr/economie/retraite/reforme-des-retraites/mobilisation-contre-la-reforme-des-retraites-le-conseil-de-l-europe-s-inquiete-d-un-usage-excessif-de-la-force-en-france_5730749.html" TargetMode="External"/><Relationship Id="rId21" Type="http://schemas.openxmlformats.org/officeDocument/2006/relationships/hyperlink" Target="https://juridique.defenseurdesdroits.fr/doc_num.php?explnum_id=21673" TargetMode="External"/><Relationship Id="rId7" Type="http://schemas.openxmlformats.org/officeDocument/2006/relationships/hyperlink" Target="https://site.ldh-france.org/paris/files/2020/05/Rapport-d%c3%a9fenseur-des-droits-Manif-pont-de-Sully.pdf" TargetMode="External"/><Relationship Id="rId12" Type="http://schemas.openxmlformats.org/officeDocument/2006/relationships/hyperlink" Target="https://www.ldh-france.org/wp-content/uploads/2024/06/Note-observation.pdf" TargetMode="External"/><Relationship Id="rId17" Type="http://schemas.openxmlformats.org/officeDocument/2006/relationships/hyperlink" Target="https://www.justice.gouv.fr/documentation/etudes-et-statistiques/78-300-personnes-detenues-au-1er-octobre-2024" TargetMode="External"/><Relationship Id="rId2" Type="http://schemas.openxmlformats.org/officeDocument/2006/relationships/hyperlink" Target="https://www.dailymotion.com/video/x8la1ti" TargetMode="External"/><Relationship Id="rId16" Type="http://schemas.openxmlformats.org/officeDocument/2006/relationships/hyperlink" Target="https://www.justice.gouv.fr/sites/default/files/2024-09/rapport_EGJ.pdf" TargetMode="External"/><Relationship Id="rId20" Type="http://schemas.openxmlformats.org/officeDocument/2006/relationships/hyperlink" Target="https://www.assemblee-nationale.fr/dyn/17/dossiers/regulation_carcerale_surpopulation_penitentiaire" TargetMode="External"/><Relationship Id="rId1" Type="http://schemas.openxmlformats.org/officeDocument/2006/relationships/hyperlink" Target="https://www.ldh-france.org/wp-content/uploads/2025/02/DL208-Actualite-2.-Sentinelle-placebo-toxique-de-nos-peurs-securitaires-1.pdf" TargetMode="External"/><Relationship Id="rId6" Type="http://schemas.openxmlformats.org/officeDocument/2006/relationships/hyperlink" Target="https://www.lemonde.fr/societe/article/2022/05/18/la-condamnation-des-decrocheurs-de-portraits-d-emmanuel-macron-confirmee-en-cassation_6126678_3224.html" TargetMode="External"/><Relationship Id="rId11" Type="http://schemas.openxmlformats.org/officeDocument/2006/relationships/hyperlink" Target="https://www.ldh-france.org/8-aout-2023-tribune-collective-mort-de-nahel-m-nous-appelons-a-ladoption-dune-strategie-politique-elaboree-autour-du-concept-de-democratie-militante-publiee-da/" TargetMode="External"/><Relationship Id="rId5" Type="http://schemas.openxmlformats.org/officeDocument/2006/relationships/hyperlink" Target="https://site.ldh-france.org/st-denis-93/soutien-aux-militants-dattac-et-dextinction-rebellion/" TargetMode="External"/><Relationship Id="rId15" Type="http://schemas.openxmlformats.org/officeDocument/2006/relationships/hyperlink" Target="https://www.liberation.fr/france/2021/01/21/sanctions-dans-la-police-les-chiffres-d-une-impunitecroissante_1818189/" TargetMode="External"/><Relationship Id="rId23" Type="http://schemas.openxmlformats.org/officeDocument/2006/relationships/hyperlink" Target="https://www.lacimade.org/publication/rapport-2023-sur-les-centres-et-locaux-de-retention-administrative/" TargetMode="External"/><Relationship Id="rId10" Type="http://schemas.openxmlformats.org/officeDocument/2006/relationships/hyperlink" Target="https://site.ldh-france.org/paris/files/2023/04/Rapport-BRAV-M-complet-12.04.2023.pdf" TargetMode="External"/><Relationship Id="rId19" Type="http://schemas.openxmlformats.org/officeDocument/2006/relationships/hyperlink" Target="https://rm.coe.int/table-1492-fra/1680aed630" TargetMode="External"/><Relationship Id="rId4" Type="http://schemas.openxmlformats.org/officeDocument/2006/relationships/hyperlink" Target="https://www.cncdh.fr/sites/default/files/2023" TargetMode="External"/><Relationship Id="rId9" Type="http://schemas.openxmlformats.org/officeDocument/2006/relationships/hyperlink" Target="https://www.lemonde.fr/societe/article/2023/06/05/brav-m-trois-policiers-mis-en-cause-pour-des-violences-renvoyes-en-conseil-de-discipline_6176246_3224.html" TargetMode="External"/><Relationship Id="rId14" Type="http://schemas.openxmlformats.org/officeDocument/2006/relationships/hyperlink" Target="https://www.ldh-france.org/wp-content/uploads/2024/07/Rapport-OL3P-LDH-SAF-Lille-Manifestation-du-7-juillet-2024-13072024-DEF-2.pdf" TargetMode="External"/><Relationship Id="rId22" Type="http://schemas.openxmlformats.org/officeDocument/2006/relationships/hyperlink" Target="https://www.lacimade.org/wp-content/uploads/2023/04/RA_CRA_2022_web.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2025-03-18T07:40:05+00:00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2025-03-18T07:40:05+00:00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2025-03-18T07:40:05+00:00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A2F47F68-B7E9-4DDD-8128-FE571171AA96}">
  <ds:schemaRefs>
    <ds:schemaRef ds:uri="http://schemas.openxmlformats.org/officeDocument/2006/bibliography"/>
  </ds:schemaRefs>
</ds:datastoreItem>
</file>

<file path=customXml/itemProps2.xml><?xml version="1.0" encoding="utf-8"?>
<ds:datastoreItem xmlns:ds="http://schemas.openxmlformats.org/officeDocument/2006/customXml" ds:itemID="{7152593F-1463-43EF-AA7F-2760552193FF}"/>
</file>

<file path=customXml/itemProps3.xml><?xml version="1.0" encoding="utf-8"?>
<ds:datastoreItem xmlns:ds="http://schemas.openxmlformats.org/officeDocument/2006/customXml" ds:itemID="{0E8D3619-9579-49CA-9F19-9EC088A75362}"/>
</file>

<file path=customXml/itemProps4.xml><?xml version="1.0" encoding="utf-8"?>
<ds:datastoreItem xmlns:ds="http://schemas.openxmlformats.org/officeDocument/2006/customXml" ds:itemID="{2B6CD2CA-CA2A-42D5-9772-48A4C57BEE69}"/>
</file>

<file path=docProps/app.xml><?xml version="1.0" encoding="utf-8"?>
<Properties xmlns="http://schemas.openxmlformats.org/officeDocument/2006/extended-properties" xmlns:vt="http://schemas.openxmlformats.org/officeDocument/2006/docPropsVTypes">
  <Template>Normal.dotm</Template>
  <TotalTime>2</TotalTime>
  <Pages>17</Pages>
  <Words>8225</Words>
  <Characters>46883</Characters>
  <Application>Microsoft Office Word</Application>
  <DocSecurity>4</DocSecurity>
  <Lines>390</Lines>
  <Paragraphs>109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Youssef Hamdan</cp:lastModifiedBy>
  <cp:revision>2</cp:revision>
  <cp:lastPrinted>2025-02-25T14:22:00Z</cp:lastPrinted>
  <dcterms:created xsi:type="dcterms:W3CDTF">2025-03-10T10:36:00Z</dcterms:created>
  <dcterms:modified xsi:type="dcterms:W3CDTF">2025-03-10T10:36:00Z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