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8B32A" w14:textId="77777777" w:rsidR="002B0D3F" w:rsidRPr="005B1EB5" w:rsidRDefault="002B0D3F" w:rsidP="002B0D3F">
      <w:pPr>
        <w:spacing w:before="100" w:beforeAutospacing="1" w:after="100" w:afterAutospacing="1"/>
        <w:outlineLvl w:val="0"/>
        <w:rPr>
          <w:rFonts w:ascii="Times New Roman" w:eastAsia="Times New Roman" w:hAnsi="Times New Roman" w:cs="Times New Roman"/>
          <w:b/>
          <w:bCs/>
          <w:color w:val="C31424"/>
          <w:kern w:val="36"/>
          <w14:ligatures w14:val="none"/>
        </w:rPr>
      </w:pPr>
      <w:r w:rsidRPr="005B1EB5">
        <w:rPr>
          <w:rFonts w:ascii="Times New Roman" w:eastAsia="Times New Roman" w:hAnsi="Times New Roman" w:cs="Times New Roman"/>
          <w:b/>
          <w:bCs/>
          <w:color w:val="C31424"/>
          <w:kern w:val="36"/>
          <w14:ligatures w14:val="none"/>
        </w:rPr>
        <w:t>ALTERNATIVE REPORT SUBMITTED TO THE UNITED NATIONS HUMAN RIGHTS COMMITTEE</w:t>
      </w:r>
    </w:p>
    <w:p w14:paraId="330E35B0" w14:textId="77777777" w:rsidR="002B0D3F" w:rsidRPr="005B1EB5" w:rsidRDefault="002B0D3F" w:rsidP="002B0D3F">
      <w:pPr>
        <w:spacing w:before="100" w:beforeAutospacing="1" w:after="100" w:afterAutospacing="1"/>
        <w:outlineLvl w:val="1"/>
        <w:rPr>
          <w:rFonts w:eastAsia="Times New Roman" w:cstheme="minorHAnsi"/>
          <w:kern w:val="0"/>
          <w14:ligatures w14:val="none"/>
        </w:rPr>
      </w:pPr>
      <w:r w:rsidRPr="005B1EB5">
        <w:rPr>
          <w:rFonts w:eastAsia="Times New Roman" w:cstheme="minorHAnsi"/>
          <w:kern w:val="0"/>
          <w14:ligatures w14:val="none"/>
        </w:rPr>
        <w:t>145th Session (2–19 March 2026)</w:t>
      </w:r>
    </w:p>
    <w:p w14:paraId="432E7C33" w14:textId="77777777" w:rsidR="002B0D3F" w:rsidRPr="005B1EB5" w:rsidRDefault="002B0D3F" w:rsidP="002B0D3F">
      <w:pPr>
        <w:spacing w:before="100" w:beforeAutospacing="1" w:after="100" w:afterAutospacing="1"/>
        <w:outlineLvl w:val="1"/>
        <w:rPr>
          <w:rFonts w:ascii="Arial" w:eastAsia="Times New Roman" w:hAnsi="Arial" w:cs="Arial"/>
          <w:b/>
          <w:bCs/>
          <w:kern w:val="0"/>
          <w14:ligatures w14:val="none"/>
        </w:rPr>
      </w:pPr>
      <w:r w:rsidRPr="005B1EB5">
        <w:rPr>
          <w:rFonts w:ascii="Arial" w:eastAsia="Times New Roman" w:hAnsi="Arial" w:cs="Arial"/>
          <w:b/>
          <w:bCs/>
          <w:kern w:val="0"/>
          <w14:ligatures w14:val="none"/>
        </w:rPr>
        <w:t>Violations of the International Covenant on Civil and Political Rights Related to People Who Use Drugs in Canada</w:t>
      </w:r>
    </w:p>
    <w:p w14:paraId="51A7DAC6" w14:textId="6CA508B8" w:rsidR="00E85DE2" w:rsidRPr="005B1EB5" w:rsidRDefault="002B0D3F" w:rsidP="00E85DE2">
      <w:pPr>
        <w:rPr>
          <w:rFonts w:eastAsia="Times New Roman" w:cstheme="minorHAnsi"/>
          <w:kern w:val="0"/>
          <w14:ligatures w14:val="none"/>
        </w:rPr>
      </w:pPr>
      <w:r w:rsidRPr="005B1EB5">
        <w:rPr>
          <w:rFonts w:eastAsia="Times New Roman" w:cstheme="minorHAnsi"/>
          <w:kern w:val="0"/>
          <w14:ligatures w14:val="none"/>
        </w:rPr>
        <w:t>Submitted by: Canadian Drug Policy Coalition (CDPC)</w:t>
      </w:r>
      <w:r w:rsidRPr="005B1EB5">
        <w:rPr>
          <w:rFonts w:eastAsia="Times New Roman" w:cstheme="minorHAnsi"/>
          <w:kern w:val="0"/>
          <w14:ligatures w14:val="none"/>
        </w:rPr>
        <w:br/>
      </w:r>
      <w:r w:rsidR="00E85DE2" w:rsidRPr="005B1EB5">
        <w:rPr>
          <w:rFonts w:eastAsia="Times New Roman" w:cstheme="minorHAnsi"/>
          <w:kern w:val="0"/>
          <w14:ligatures w14:val="none"/>
        </w:rPr>
        <w:t xml:space="preserve">Date: </w:t>
      </w:r>
      <w:r w:rsidR="000043EB" w:rsidRPr="005B1EB5">
        <w:rPr>
          <w:rFonts w:eastAsia="Times New Roman" w:cstheme="minorHAnsi"/>
          <w:kern w:val="0"/>
          <w14:ligatures w14:val="none"/>
        </w:rPr>
        <w:t>February 2, 2026</w:t>
      </w:r>
    </w:p>
    <w:p w14:paraId="695F9381" w14:textId="605F0F68" w:rsidR="002B0D3F" w:rsidRPr="005B1EB5" w:rsidRDefault="002B0D3F" w:rsidP="00E85DE2">
      <w:pPr>
        <w:rPr>
          <w:rFonts w:cstheme="minorHAnsi"/>
        </w:rPr>
      </w:pPr>
      <w:r w:rsidRPr="005B1EB5">
        <w:rPr>
          <w:rFonts w:eastAsia="Times New Roman" w:cstheme="minorHAnsi"/>
          <w:kern w:val="0"/>
          <w14:ligatures w14:val="none"/>
        </w:rPr>
        <w:t xml:space="preserve">Contact: </w:t>
      </w:r>
      <w:hyperlink r:id="rId11" w:history="1">
        <w:r w:rsidR="0062008B" w:rsidRPr="005B1EB5">
          <w:rPr>
            <w:rStyle w:val="Hyperlink"/>
            <w:rFonts w:asciiTheme="minorHAnsi" w:hAnsiTheme="minorHAnsi" w:cstheme="minorHAnsi"/>
          </w:rPr>
          <w:t>info@drugpolicy.ca</w:t>
        </w:r>
      </w:hyperlink>
      <w:r w:rsidR="0062008B" w:rsidRPr="005B1EB5">
        <w:rPr>
          <w:rFonts w:cstheme="minorHAnsi"/>
        </w:rPr>
        <w:t xml:space="preserve"> </w:t>
      </w:r>
    </w:p>
    <w:p w14:paraId="5E9703DA" w14:textId="77777777" w:rsidR="0062008B" w:rsidRPr="005B1EB5" w:rsidRDefault="0062008B" w:rsidP="00E85DE2">
      <w:pPr>
        <w:rPr>
          <w:rFonts w:eastAsia="Times New Roman" w:cstheme="minorHAnsi"/>
          <w:kern w:val="0"/>
          <w14:ligatures w14:val="none"/>
        </w:rPr>
      </w:pPr>
    </w:p>
    <w:p w14:paraId="0702DC96" w14:textId="6E1CD151" w:rsidR="009C637D" w:rsidRPr="005B1EB5" w:rsidRDefault="009C637D" w:rsidP="00E85DE2">
      <w:pPr>
        <w:rPr>
          <w:rFonts w:eastAsia="Times New Roman" w:cstheme="minorHAnsi"/>
          <w:i/>
          <w:iCs/>
          <w:kern w:val="0"/>
          <w14:ligatures w14:val="none"/>
        </w:rPr>
      </w:pPr>
      <w:r w:rsidRPr="005B1EB5">
        <w:rPr>
          <w:rFonts w:eastAsia="Times New Roman" w:cstheme="minorHAnsi"/>
          <w:i/>
          <w:iCs/>
          <w:kern w:val="0"/>
          <w14:ligatures w14:val="none"/>
        </w:rPr>
        <w:t xml:space="preserve">External links were active as of </w:t>
      </w:r>
      <w:r w:rsidR="000B3D09" w:rsidRPr="005B1EB5">
        <w:rPr>
          <w:rFonts w:eastAsia="Times New Roman" w:cstheme="minorHAnsi"/>
          <w:i/>
          <w:iCs/>
          <w:kern w:val="0"/>
          <w14:ligatures w14:val="none"/>
        </w:rPr>
        <w:t>February 02</w:t>
      </w:r>
      <w:r w:rsidR="000C18B1" w:rsidRPr="005B1EB5">
        <w:rPr>
          <w:rFonts w:eastAsia="Times New Roman" w:cstheme="minorHAnsi"/>
          <w:i/>
          <w:iCs/>
          <w:kern w:val="0"/>
          <w14:ligatures w14:val="none"/>
        </w:rPr>
        <w:t>, 2026</w:t>
      </w:r>
    </w:p>
    <w:p w14:paraId="12AABA0C" w14:textId="05621256" w:rsidR="002B0D3F" w:rsidRPr="008149D6" w:rsidRDefault="00D15C6F" w:rsidP="002B0D3F">
      <w:pPr>
        <w:rPr>
          <w:rFonts w:ascii="Open Sans" w:eastAsia="Times New Roman" w:hAnsi="Open Sans" w:cs="Open Sans"/>
          <w:kern w:val="0"/>
          <w14:ligatures w14:val="none"/>
        </w:rPr>
      </w:pPr>
      <w:r>
        <w:rPr>
          <w:rFonts w:ascii="Open Sans" w:eastAsia="Times New Roman" w:hAnsi="Open Sans" w:cs="Open Sans"/>
          <w:noProof/>
          <w:color w:val="727375"/>
          <w:kern w:val="0"/>
          <w:sz w:val="22"/>
          <w:szCs w:val="22"/>
          <w14:ligatures w14:val="none"/>
        </w:rPr>
      </w:r>
      <w:r w:rsidR="00D15C6F">
        <w:rPr>
          <w:rFonts w:ascii="Open Sans" w:eastAsia="Times New Roman" w:hAnsi="Open Sans" w:cs="Open Sans"/>
          <w:noProof/>
          <w:color w:val="727375"/>
          <w:kern w:val="0"/>
          <w:sz w:val="22"/>
          <w:szCs w:val="22"/>
          <w14:ligatures w14:val="none"/>
        </w:rPr>
        <w:pict w14:anchorId="2DEABF48">
          <v:rect id="_x0000_i1025" alt="" style="width:468pt;height:.05pt;mso-width-percent:0;mso-height-percent:0;mso-width-percent:0;mso-height-percent:0" o:hralign="center" o:hrstd="t" o:hr="t" fillcolor="#a0a0a0" stroked="f"/>
        </w:pict>
      </w:r>
    </w:p>
    <w:p w14:paraId="3AB00D57" w14:textId="0FF68993" w:rsidR="002B0D3F" w:rsidRPr="005B1EB5" w:rsidRDefault="002B0D3F" w:rsidP="002B0D3F">
      <w:pPr>
        <w:spacing w:before="100" w:beforeAutospacing="1" w:after="100" w:afterAutospacing="1"/>
        <w:outlineLvl w:val="0"/>
        <w:rPr>
          <w:rFonts w:ascii="Times New Roman" w:eastAsia="Times New Roman" w:hAnsi="Times New Roman" w:cs="Times New Roman"/>
          <w:b/>
          <w:bCs/>
          <w:color w:val="C31424"/>
          <w:kern w:val="36"/>
          <w14:ligatures w14:val="none"/>
        </w:rPr>
      </w:pPr>
      <w:r w:rsidRPr="005B1EB5">
        <w:rPr>
          <w:rFonts w:ascii="Times New Roman" w:eastAsia="Times New Roman" w:hAnsi="Times New Roman" w:cs="Times New Roman"/>
          <w:b/>
          <w:bCs/>
          <w:color w:val="C31424"/>
          <w:kern w:val="36"/>
          <w14:ligatures w14:val="none"/>
        </w:rPr>
        <w:t>THE CANADIAN DRUG POLICY COALITION</w:t>
      </w:r>
    </w:p>
    <w:p w14:paraId="0EFC982D" w14:textId="2E6F99A3"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The </w:t>
      </w:r>
      <w:hyperlink r:id="rId12" w:history="1">
        <w:r w:rsidRPr="005B1EB5">
          <w:rPr>
            <w:rStyle w:val="Hyperlink"/>
            <w:rFonts w:asciiTheme="minorHAnsi" w:eastAsia="Times New Roman" w:hAnsiTheme="minorHAnsi" w:cstheme="minorHAnsi"/>
            <w:kern w:val="0"/>
            <w14:ligatures w14:val="none"/>
          </w:rPr>
          <w:t>Canadian Drug Policy Coalition</w:t>
        </w:r>
      </w:hyperlink>
      <w:r w:rsidR="00BE26A1" w:rsidRPr="005B1EB5">
        <w:rPr>
          <w:rStyle w:val="EndnoteReference"/>
          <w:rFonts w:eastAsia="Times New Roman" w:cstheme="minorHAnsi"/>
          <w:kern w:val="0"/>
          <w14:ligatures w14:val="none"/>
        </w:rPr>
        <w:endnoteReference w:id="2"/>
      </w:r>
      <w:r w:rsidRPr="005B1EB5">
        <w:rPr>
          <w:rFonts w:eastAsia="Times New Roman" w:cstheme="minorHAnsi"/>
          <w:kern w:val="0"/>
          <w14:ligatures w14:val="none"/>
        </w:rPr>
        <w:t xml:space="preserve"> (CDPC) is a national, non-partisan civil society organization working to advance drug policy grounded in evidence and human rights. CDPC collaborates with people with lived/living experience, researchers, civil society organizations, Indigenous leadership, health providers, and communities across Canada and internationally. Our work includes policy analysis, legal and human-rights advocacy, knowledge mobilization, and community engagement.</w:t>
      </w:r>
    </w:p>
    <w:p w14:paraId="0B66BA76" w14:textId="77777777"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CDPC submits this alternative report to assist the Human Rights Committee in its review of Canada’s compliance with the International Covenant on Civil and Political Rights (ICCPR).</w:t>
      </w:r>
    </w:p>
    <w:p w14:paraId="7F0BF89C" w14:textId="3A8A2653"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This submission should be read alongside complementary reports by the </w:t>
      </w:r>
      <w:hyperlink r:id="rId13" w:history="1">
        <w:r w:rsidRPr="005B1EB5">
          <w:rPr>
            <w:rStyle w:val="Hyperlink"/>
            <w:rFonts w:asciiTheme="minorHAnsi" w:eastAsia="Times New Roman" w:hAnsiTheme="minorHAnsi" w:cstheme="minorHAnsi"/>
            <w:kern w:val="0"/>
            <w14:ligatures w14:val="none"/>
          </w:rPr>
          <w:t>HIV Legal Network</w:t>
        </w:r>
      </w:hyperlink>
      <w:r w:rsidR="00EA7F51" w:rsidRPr="005B1EB5">
        <w:rPr>
          <w:rStyle w:val="EndnoteReference"/>
          <w:rFonts w:eastAsia="Times New Roman" w:cstheme="minorHAnsi"/>
          <w:kern w:val="0"/>
          <w14:ligatures w14:val="none"/>
        </w:rPr>
        <w:endnoteReference w:id="3"/>
      </w:r>
      <w:r w:rsidRPr="005B1EB5">
        <w:rPr>
          <w:rFonts w:eastAsia="Times New Roman" w:cstheme="minorHAnsi"/>
          <w:kern w:val="0"/>
          <w14:ligatures w14:val="none"/>
        </w:rPr>
        <w:t xml:space="preserve">, </w:t>
      </w:r>
      <w:hyperlink r:id="rId14" w:history="1">
        <w:r w:rsidRPr="005B1EB5">
          <w:rPr>
            <w:rStyle w:val="Hyperlink"/>
            <w:rFonts w:asciiTheme="minorHAnsi" w:eastAsia="Times New Roman" w:hAnsiTheme="minorHAnsi" w:cstheme="minorHAnsi"/>
            <w:kern w:val="0"/>
            <w14:ligatures w14:val="none"/>
          </w:rPr>
          <w:t>Tracking InJustice</w:t>
        </w:r>
      </w:hyperlink>
      <w:r w:rsidR="00767C6F" w:rsidRPr="005B1EB5">
        <w:rPr>
          <w:rStyle w:val="EndnoteReference"/>
          <w:rFonts w:eastAsia="Times New Roman" w:cstheme="minorHAnsi"/>
          <w:kern w:val="0"/>
          <w14:ligatures w14:val="none"/>
        </w:rPr>
        <w:endnoteReference w:id="4"/>
      </w:r>
      <w:r w:rsidRPr="005B1EB5">
        <w:rPr>
          <w:rFonts w:eastAsia="Times New Roman" w:cstheme="minorHAnsi"/>
          <w:kern w:val="0"/>
          <w14:ligatures w14:val="none"/>
        </w:rPr>
        <w:t xml:space="preserve">, </w:t>
      </w:r>
      <w:hyperlink r:id="rId15" w:history="1">
        <w:r w:rsidRPr="005B1EB5">
          <w:rPr>
            <w:rStyle w:val="Hyperlink"/>
            <w:rFonts w:asciiTheme="minorHAnsi" w:eastAsia="Times New Roman" w:hAnsiTheme="minorHAnsi" w:cstheme="minorHAnsi"/>
            <w:kern w:val="0"/>
            <w14:ligatures w14:val="none"/>
          </w:rPr>
          <w:t>Amnesty International Canada</w:t>
        </w:r>
      </w:hyperlink>
      <w:r w:rsidR="009B1776" w:rsidRPr="005B1EB5">
        <w:rPr>
          <w:rStyle w:val="EndnoteReference"/>
          <w:rFonts w:eastAsia="Times New Roman" w:cstheme="minorHAnsi"/>
          <w:kern w:val="0"/>
          <w14:ligatures w14:val="none"/>
        </w:rPr>
        <w:endnoteReference w:id="5"/>
      </w:r>
      <w:r w:rsidRPr="005B1EB5">
        <w:rPr>
          <w:rFonts w:eastAsia="Times New Roman" w:cstheme="minorHAnsi"/>
          <w:kern w:val="0"/>
          <w14:ligatures w14:val="none"/>
        </w:rPr>
        <w:t xml:space="preserve">, the Joint </w:t>
      </w:r>
      <w:r w:rsidR="00E227F5" w:rsidRPr="005B1EB5">
        <w:rPr>
          <w:rFonts w:eastAsia="Times New Roman" w:cstheme="minorHAnsi"/>
          <w:kern w:val="0"/>
          <w14:ligatures w14:val="none"/>
        </w:rPr>
        <w:t xml:space="preserve">Statement Urging Review of </w:t>
      </w:r>
      <w:r w:rsidRPr="005B1EB5">
        <w:rPr>
          <w:rFonts w:eastAsia="Times New Roman" w:cstheme="minorHAnsi"/>
          <w:kern w:val="0"/>
          <w14:ligatures w14:val="none"/>
        </w:rPr>
        <w:t xml:space="preserve">Canada’s </w:t>
      </w:r>
      <w:r w:rsidR="00E227F5" w:rsidRPr="005B1EB5">
        <w:rPr>
          <w:rFonts w:eastAsia="Times New Roman" w:cstheme="minorHAnsi"/>
          <w:kern w:val="0"/>
          <w14:ligatures w14:val="none"/>
        </w:rPr>
        <w:t>Position on Positive Obligations Under Article 6</w:t>
      </w:r>
      <w:r w:rsidRPr="005B1EB5">
        <w:rPr>
          <w:rFonts w:eastAsia="Times New Roman" w:cstheme="minorHAnsi"/>
          <w:kern w:val="0"/>
          <w14:ligatures w14:val="none"/>
        </w:rPr>
        <w:t xml:space="preserve">, and </w:t>
      </w:r>
      <w:hyperlink r:id="rId16" w:history="1">
        <w:r w:rsidRPr="005B1EB5">
          <w:rPr>
            <w:rStyle w:val="Hyperlink"/>
            <w:rFonts w:asciiTheme="minorHAnsi" w:eastAsia="Times New Roman" w:hAnsiTheme="minorHAnsi" w:cstheme="minorHAnsi"/>
            <w:kern w:val="0"/>
            <w14:ligatures w14:val="none"/>
          </w:rPr>
          <w:t>national housing and homelessness organizations</w:t>
        </w:r>
      </w:hyperlink>
      <w:r w:rsidR="00B27B05" w:rsidRPr="005B1EB5">
        <w:rPr>
          <w:rStyle w:val="EndnoteReference"/>
          <w:rFonts w:eastAsia="Times New Roman" w:cstheme="minorHAnsi"/>
          <w:kern w:val="0"/>
          <w14:ligatures w14:val="none"/>
        </w:rPr>
        <w:endnoteReference w:id="6"/>
      </w:r>
      <w:r w:rsidRPr="005B1EB5">
        <w:rPr>
          <w:rFonts w:eastAsia="Times New Roman" w:cstheme="minorHAnsi"/>
          <w:kern w:val="0"/>
          <w14:ligatures w14:val="none"/>
        </w:rPr>
        <w:t xml:space="preserve"> addressing intersecting rights violations relating to detention, health care, poverty, and housing insecurity.</w:t>
      </w:r>
    </w:p>
    <w:p w14:paraId="094D7E46" w14:textId="1E660EBD" w:rsidR="002B0D3F" w:rsidRPr="002F6BB4" w:rsidRDefault="00D15C6F" w:rsidP="002B0D3F">
      <w:pPr>
        <w:rPr>
          <w:rFonts w:ascii="Times New Roman" w:eastAsia="Times New Roman" w:hAnsi="Times New Roman" w:cs="Times New Roman"/>
          <w:kern w:val="0"/>
          <w14:ligatures w14:val="none"/>
        </w:rPr>
      </w:pPr>
      <w:r>
        <w:rPr>
          <w:rFonts w:ascii="Times New Roman" w:eastAsia="Times New Roman" w:hAnsi="Times New Roman" w:cs="Times New Roman"/>
          <w:noProof/>
          <w:color w:val="727375"/>
          <w:kern w:val="0"/>
          <w14:ligatures w14:val="none"/>
        </w:rPr>
      </w:r>
      <w:r w:rsidR="00D15C6F">
        <w:rPr>
          <w:rFonts w:ascii="Times New Roman" w:eastAsia="Times New Roman" w:hAnsi="Times New Roman" w:cs="Times New Roman"/>
          <w:noProof/>
          <w:color w:val="727375"/>
          <w:kern w:val="0"/>
          <w14:ligatures w14:val="none"/>
        </w:rPr>
        <w:pict w14:anchorId="6AD2E70C">
          <v:rect id="_x0000_i1026" alt="" style="width:468pt;height:.05pt;mso-width-percent:0;mso-height-percent:0;mso-width-percent:0;mso-height-percent:0" o:hralign="center" o:hrstd="t" o:hr="t" fillcolor="#a0a0a0" stroked="f"/>
        </w:pict>
      </w:r>
    </w:p>
    <w:p w14:paraId="3B75E56B" w14:textId="2C6BFC77" w:rsidR="002B0D3F" w:rsidRPr="005B1EB5" w:rsidRDefault="002B0D3F" w:rsidP="002B0D3F">
      <w:pPr>
        <w:spacing w:before="100" w:beforeAutospacing="1" w:after="100" w:afterAutospacing="1"/>
        <w:outlineLvl w:val="0"/>
        <w:rPr>
          <w:rFonts w:ascii="Times New Roman" w:eastAsia="Times New Roman" w:hAnsi="Times New Roman" w:cs="Times New Roman"/>
          <w:b/>
          <w:bCs/>
          <w:color w:val="C00000"/>
          <w:kern w:val="36"/>
          <w14:ligatures w14:val="none"/>
        </w:rPr>
      </w:pPr>
      <w:r w:rsidRPr="005B1EB5">
        <w:rPr>
          <w:rFonts w:ascii="Times New Roman" w:eastAsia="Times New Roman" w:hAnsi="Times New Roman" w:cs="Times New Roman"/>
          <w:b/>
          <w:bCs/>
          <w:color w:val="C00000"/>
          <w:kern w:val="36"/>
          <w14:ligatures w14:val="none"/>
        </w:rPr>
        <w:t>CONTENTS</w:t>
      </w:r>
    </w:p>
    <w:p w14:paraId="688571E0" w14:textId="77777777" w:rsidR="002B0D3F" w:rsidRPr="000C2BDC" w:rsidRDefault="002B0D3F" w:rsidP="002B0D3F">
      <w:pPr>
        <w:pStyle w:val="ListParagraph"/>
        <w:numPr>
          <w:ilvl w:val="0"/>
          <w:numId w:val="6"/>
        </w:numPr>
        <w:spacing w:before="100" w:beforeAutospacing="1" w:after="100" w:afterAutospacing="1"/>
        <w:outlineLvl w:val="0"/>
        <w:rPr>
          <w:rFonts w:ascii="Arial" w:eastAsia="Arial" w:hAnsi="Arial" w:cs="Arial"/>
          <w:kern w:val="36"/>
          <w14:ligatures w14:val="none"/>
        </w:rPr>
      </w:pPr>
      <w:r w:rsidRPr="4B6D560E">
        <w:rPr>
          <w:rFonts w:ascii="Arial" w:eastAsia="Arial" w:hAnsi="Arial" w:cs="Arial"/>
          <w:kern w:val="36"/>
          <w14:ligatures w14:val="none"/>
        </w:rPr>
        <w:t>Executive Summary</w:t>
      </w:r>
    </w:p>
    <w:p w14:paraId="41F4D34D" w14:textId="13928E1E" w:rsidR="002B0D3F" w:rsidRPr="000C2BDC" w:rsidRDefault="002B0D3F" w:rsidP="002B0D3F">
      <w:pPr>
        <w:pStyle w:val="ListParagraph"/>
        <w:numPr>
          <w:ilvl w:val="0"/>
          <w:numId w:val="6"/>
        </w:numPr>
        <w:spacing w:before="100" w:beforeAutospacing="1" w:after="100" w:afterAutospacing="1"/>
        <w:outlineLvl w:val="0"/>
        <w:rPr>
          <w:rFonts w:ascii="Arial" w:eastAsia="Arial" w:hAnsi="Arial" w:cs="Arial"/>
          <w:kern w:val="36"/>
          <w14:ligatures w14:val="none"/>
        </w:rPr>
      </w:pPr>
      <w:r w:rsidRPr="4B6D560E">
        <w:rPr>
          <w:rFonts w:ascii="Arial" w:eastAsia="Arial" w:hAnsi="Arial" w:cs="Arial"/>
          <w:kern w:val="36"/>
          <w14:ligatures w14:val="none"/>
        </w:rPr>
        <w:t xml:space="preserve">Specific Issues and </w:t>
      </w:r>
      <w:r w:rsidR="006E53FE" w:rsidRPr="4B6D560E">
        <w:rPr>
          <w:rFonts w:ascii="Arial" w:eastAsia="Arial" w:hAnsi="Arial" w:cs="Arial"/>
          <w:kern w:val="36"/>
          <w14:ligatures w14:val="none"/>
        </w:rPr>
        <w:t>Recommendations</w:t>
      </w:r>
    </w:p>
    <w:p w14:paraId="43F25D0C" w14:textId="4DEA6BA1" w:rsidR="002B0D3F" w:rsidRPr="000C2BDC" w:rsidRDefault="002B0D3F" w:rsidP="002B0D3F">
      <w:pPr>
        <w:pStyle w:val="ListParagraph"/>
        <w:numPr>
          <w:ilvl w:val="0"/>
          <w:numId w:val="6"/>
        </w:numPr>
        <w:spacing w:before="100" w:beforeAutospacing="1" w:after="100" w:afterAutospacing="1"/>
        <w:outlineLvl w:val="0"/>
        <w:rPr>
          <w:rFonts w:ascii="Arial" w:eastAsia="Arial" w:hAnsi="Arial" w:cs="Arial"/>
          <w:kern w:val="36"/>
          <w14:ligatures w14:val="none"/>
        </w:rPr>
      </w:pPr>
      <w:r w:rsidRPr="4B6D560E">
        <w:rPr>
          <w:rFonts w:ascii="Arial" w:eastAsia="Arial" w:hAnsi="Arial" w:cs="Arial"/>
          <w:kern w:val="36"/>
          <w14:ligatures w14:val="none"/>
        </w:rPr>
        <w:t>Summary of Recommendations</w:t>
      </w:r>
    </w:p>
    <w:p w14:paraId="4BA175A2" w14:textId="341896B6" w:rsidR="002B0D3F" w:rsidRPr="000C2BDC" w:rsidRDefault="00694C1C" w:rsidP="002B0D3F">
      <w:pPr>
        <w:pStyle w:val="ListParagraph"/>
        <w:numPr>
          <w:ilvl w:val="0"/>
          <w:numId w:val="6"/>
        </w:numPr>
        <w:spacing w:before="100" w:beforeAutospacing="1" w:after="100" w:afterAutospacing="1"/>
        <w:outlineLvl w:val="0"/>
        <w:rPr>
          <w:rFonts w:ascii="Arial" w:eastAsia="Arial" w:hAnsi="Arial" w:cs="Arial"/>
          <w:kern w:val="36"/>
          <w14:ligatures w14:val="none"/>
        </w:rPr>
      </w:pPr>
      <w:r w:rsidRPr="4B6D560E">
        <w:rPr>
          <w:rFonts w:ascii="Arial" w:eastAsia="Arial" w:hAnsi="Arial" w:cs="Arial"/>
          <w:kern w:val="36"/>
          <w14:ligatures w14:val="none"/>
        </w:rPr>
        <w:t>Note on terminol</w:t>
      </w:r>
      <w:r w:rsidR="00FA037B" w:rsidRPr="4B6D560E">
        <w:rPr>
          <w:rFonts w:ascii="Arial" w:eastAsia="Arial" w:hAnsi="Arial" w:cs="Arial"/>
          <w:kern w:val="36"/>
          <w14:ligatures w14:val="none"/>
        </w:rPr>
        <w:t>ogy: Unregulated drugs</w:t>
      </w:r>
    </w:p>
    <w:p w14:paraId="4363C48C" w14:textId="77777777" w:rsidR="002B0D3F" w:rsidRPr="002B0D3F" w:rsidRDefault="002B0D3F" w:rsidP="002B0D3F">
      <w:pPr>
        <w:pStyle w:val="ListParagraph"/>
        <w:spacing w:before="100" w:beforeAutospacing="1" w:after="100" w:afterAutospacing="1"/>
        <w:outlineLvl w:val="0"/>
        <w:rPr>
          <w:rFonts w:ascii="Barlow" w:eastAsia="Times New Roman" w:hAnsi="Barlow" w:cs="Times New Roman"/>
          <w:b/>
          <w:bCs/>
          <w:kern w:val="36"/>
          <w14:ligatures w14:val="none"/>
        </w:rPr>
      </w:pPr>
    </w:p>
    <w:p w14:paraId="161D2AC5" w14:textId="256036AD" w:rsidR="00952B16" w:rsidRDefault="00952B16">
      <w:pPr>
        <w:spacing w:after="160" w:line="259" w:lineRule="auto"/>
        <w:rPr>
          <w:rFonts w:ascii="Barlow" w:eastAsia="Times New Roman" w:hAnsi="Barlow" w:cs="Times New Roman"/>
          <w:b/>
          <w:bCs/>
          <w:color w:val="C00000"/>
          <w:kern w:val="36"/>
          <w:sz w:val="22"/>
          <w:szCs w:val="22"/>
          <w14:ligatures w14:val="none"/>
        </w:rPr>
      </w:pPr>
      <w:r>
        <w:rPr>
          <w:rFonts w:ascii="Barlow" w:eastAsia="Times New Roman" w:hAnsi="Barlow" w:cs="Times New Roman"/>
          <w:b/>
          <w:bCs/>
          <w:color w:val="C00000"/>
          <w:kern w:val="36"/>
          <w:sz w:val="22"/>
          <w:szCs w:val="22"/>
          <w14:ligatures w14:val="none"/>
        </w:rPr>
        <w:br w:type="page"/>
      </w:r>
    </w:p>
    <w:p w14:paraId="17F006C1" w14:textId="215464CE" w:rsidR="00657520" w:rsidRDefault="00D15C6F" w:rsidP="00657520">
      <w:pPr>
        <w:spacing w:before="100" w:beforeAutospacing="1" w:after="240"/>
        <w:outlineLvl w:val="0"/>
        <w:rPr>
          <w:rFonts w:ascii="Faustina" w:eastAsia="Times New Roman" w:hAnsi="Faustina" w:cs="Times New Roman"/>
          <w:b/>
          <w:bCs/>
          <w:color w:val="C00000"/>
          <w:kern w:val="36"/>
          <w14:ligatures w14:val="none"/>
        </w:rPr>
      </w:pPr>
      <w:r>
        <w:rPr>
          <w:rFonts w:ascii="Open Sans" w:eastAsia="Times New Roman" w:hAnsi="Open Sans" w:cs="Open Sans"/>
          <w:noProof/>
          <w:color w:val="727375"/>
          <w:kern w:val="0"/>
          <w:sz w:val="22"/>
          <w:szCs w:val="22"/>
          <w14:ligatures w14:val="none"/>
        </w:rPr>
        <w:lastRenderedPageBreak/>
      </w:r>
      <w:r w:rsidR="00D15C6F">
        <w:rPr>
          <w:rFonts w:ascii="Open Sans" w:eastAsia="Times New Roman" w:hAnsi="Open Sans" w:cs="Open Sans"/>
          <w:noProof/>
          <w:color w:val="727375"/>
          <w:kern w:val="0"/>
          <w:sz w:val="22"/>
          <w:szCs w:val="22"/>
          <w14:ligatures w14:val="none"/>
        </w:rPr>
        <w:pict w14:anchorId="0A464034">
          <v:rect id="_x0000_i1027" alt="" style="width:468pt;height:.05pt;mso-width-percent:0;mso-height-percent:0;mso-width-percent:0;mso-height-percent:0" o:hralign="center" o:hrstd="t" o:hr="t" fillcolor="#a0a0a0" stroked="f"/>
        </w:pict>
      </w:r>
    </w:p>
    <w:p w14:paraId="7CF1F1CF" w14:textId="4458A649" w:rsidR="002B0D3F" w:rsidRPr="005B1EB5" w:rsidRDefault="002B0D3F" w:rsidP="00657520">
      <w:pPr>
        <w:outlineLvl w:val="0"/>
        <w:rPr>
          <w:rFonts w:ascii="Times New Roman" w:eastAsia="Times New Roman" w:hAnsi="Times New Roman" w:cs="Times New Roman"/>
          <w:b/>
          <w:bCs/>
          <w:color w:val="C00000"/>
          <w:kern w:val="36"/>
          <w14:ligatures w14:val="none"/>
        </w:rPr>
      </w:pPr>
      <w:r w:rsidRPr="005B1EB5">
        <w:rPr>
          <w:rFonts w:ascii="Times New Roman" w:eastAsia="Times New Roman" w:hAnsi="Times New Roman" w:cs="Times New Roman"/>
          <w:b/>
          <w:bCs/>
          <w:color w:val="C00000"/>
          <w:kern w:val="36"/>
          <w14:ligatures w14:val="none"/>
        </w:rPr>
        <w:t>EXECUTIVE SUMMARY</w:t>
      </w:r>
    </w:p>
    <w:p w14:paraId="090541D7" w14:textId="18686557" w:rsidR="00657520" w:rsidRPr="008149D6" w:rsidRDefault="00D15C6F" w:rsidP="00657520">
      <w:pPr>
        <w:spacing w:after="100" w:afterAutospacing="1"/>
        <w:outlineLvl w:val="0"/>
        <w:rPr>
          <w:rFonts w:ascii="Faustina" w:eastAsia="Times New Roman" w:hAnsi="Faustina" w:cs="Times New Roman"/>
          <w:b/>
          <w:bCs/>
          <w:color w:val="C00000"/>
          <w:kern w:val="36"/>
          <w14:ligatures w14:val="none"/>
        </w:rPr>
      </w:pPr>
      <w:r>
        <w:rPr>
          <w:rFonts w:ascii="Open Sans" w:eastAsia="Times New Roman" w:hAnsi="Open Sans" w:cs="Open Sans"/>
          <w:noProof/>
          <w:color w:val="727375"/>
          <w:kern w:val="0"/>
          <w:sz w:val="22"/>
          <w:szCs w:val="22"/>
          <w14:ligatures w14:val="none"/>
        </w:rPr>
      </w:r>
      <w:r w:rsidR="00D15C6F">
        <w:rPr>
          <w:rFonts w:ascii="Open Sans" w:eastAsia="Times New Roman" w:hAnsi="Open Sans" w:cs="Open Sans"/>
          <w:noProof/>
          <w:color w:val="727375"/>
          <w:kern w:val="0"/>
          <w:sz w:val="22"/>
          <w:szCs w:val="22"/>
          <w14:ligatures w14:val="none"/>
        </w:rPr>
        <w:pict w14:anchorId="448D56DF">
          <v:rect id="_x0000_i1028" alt="" style="width:468pt;height:.05pt;mso-width-percent:0;mso-height-percent:0;mso-width-percent:0;mso-height-percent:0" o:hralign="center" o:hrstd="t" o:hr="t" fillcolor="#a0a0a0" stroked="f"/>
        </w:pict>
      </w:r>
    </w:p>
    <w:p w14:paraId="6862E3D5" w14:textId="5C5A6763" w:rsidR="00F01EF2" w:rsidRPr="005B1EB5" w:rsidRDefault="00D504B1" w:rsidP="006E53FE">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CDPC’s submission includes a number of detailed </w:t>
      </w:r>
      <w:r w:rsidR="0032700E" w:rsidRPr="005B1EB5">
        <w:rPr>
          <w:rFonts w:eastAsia="Times New Roman" w:cstheme="minorHAnsi"/>
          <w:kern w:val="0"/>
          <w14:ligatures w14:val="none"/>
        </w:rPr>
        <w:t xml:space="preserve">concerns – but at its core, </w:t>
      </w:r>
      <w:r w:rsidR="002B2E98" w:rsidRPr="005B1EB5">
        <w:rPr>
          <w:rFonts w:eastAsia="Times New Roman" w:cstheme="minorHAnsi"/>
          <w:kern w:val="0"/>
          <w14:ligatures w14:val="none"/>
        </w:rPr>
        <w:t>it</w:t>
      </w:r>
      <w:r w:rsidR="0032700E" w:rsidRPr="005B1EB5">
        <w:rPr>
          <w:rFonts w:eastAsia="Times New Roman" w:cstheme="minorHAnsi"/>
          <w:kern w:val="0"/>
          <w14:ligatures w14:val="none"/>
        </w:rPr>
        <w:t xml:space="preserve"> tells </w:t>
      </w:r>
      <w:r w:rsidR="0008765C" w:rsidRPr="005B1EB5">
        <w:rPr>
          <w:rFonts w:eastAsia="Times New Roman" w:cstheme="minorHAnsi"/>
          <w:kern w:val="0"/>
          <w14:ligatures w14:val="none"/>
        </w:rPr>
        <w:t>the</w:t>
      </w:r>
      <w:r w:rsidR="0032700E" w:rsidRPr="005B1EB5">
        <w:rPr>
          <w:rFonts w:eastAsia="Times New Roman" w:cstheme="minorHAnsi"/>
          <w:kern w:val="0"/>
          <w14:ligatures w14:val="none"/>
        </w:rPr>
        <w:t xml:space="preserve"> story</w:t>
      </w:r>
      <w:r w:rsidR="00917B89" w:rsidRPr="005B1EB5">
        <w:rPr>
          <w:rFonts w:eastAsia="Times New Roman" w:cstheme="minorHAnsi"/>
          <w:kern w:val="0"/>
          <w14:ligatures w14:val="none"/>
        </w:rPr>
        <w:t xml:space="preserve"> of one devastating truth</w:t>
      </w:r>
      <w:r w:rsidR="0032700E" w:rsidRPr="005B1EB5">
        <w:rPr>
          <w:rFonts w:eastAsia="Times New Roman" w:cstheme="minorHAnsi"/>
          <w:kern w:val="0"/>
          <w14:ligatures w14:val="none"/>
        </w:rPr>
        <w:t>:</w:t>
      </w:r>
      <w:r w:rsidR="00BB593E" w:rsidRPr="005B1EB5">
        <w:rPr>
          <w:rFonts w:eastAsia="Times New Roman" w:cstheme="minorHAnsi"/>
          <w:kern w:val="0"/>
          <w14:ligatures w14:val="none"/>
        </w:rPr>
        <w:t xml:space="preserve"> Canada’s laws and government actions are driving death and life-altering injury on a mass scale. </w:t>
      </w:r>
    </w:p>
    <w:p w14:paraId="5E14A13A" w14:textId="64B81BAF" w:rsidR="00E12102" w:rsidRPr="005B1EB5" w:rsidRDefault="00BB593E"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Today, as you read this submission, an average of </w:t>
      </w:r>
      <w:hyperlink r:id="rId17" w:history="1">
        <w:r w:rsidR="000C7528" w:rsidRPr="005B1EB5">
          <w:rPr>
            <w:rStyle w:val="Hyperlink"/>
            <w:rFonts w:asciiTheme="minorHAnsi" w:eastAsia="Times New Roman" w:hAnsiTheme="minorHAnsi" w:cstheme="minorHAnsi"/>
            <w:kern w:val="0"/>
            <w14:ligatures w14:val="none"/>
          </w:rPr>
          <w:t>twenty-six people in Canada will die from drug-related toxicity</w:t>
        </w:r>
      </w:hyperlink>
      <w:r w:rsidR="00060406" w:rsidRPr="005B1EB5">
        <w:rPr>
          <w:rStyle w:val="EndnoteReference"/>
          <w:rFonts w:eastAsia="Times New Roman" w:cstheme="minorHAnsi"/>
          <w:kern w:val="0"/>
          <w14:ligatures w14:val="none"/>
        </w:rPr>
        <w:endnoteReference w:id="7"/>
      </w:r>
      <w:r w:rsidR="007A3EE4" w:rsidRPr="005B1EB5">
        <w:rPr>
          <w:rStyle w:val="Hyperlink"/>
          <w:rFonts w:asciiTheme="minorHAnsi" w:eastAsia="Times New Roman" w:hAnsiTheme="minorHAnsi" w:cstheme="minorHAnsi"/>
          <w:color w:val="000000" w:themeColor="text1"/>
          <w:kern w:val="0"/>
          <w:u w:val="none"/>
          <w14:ligatures w14:val="none"/>
        </w:rPr>
        <w:t>.</w:t>
      </w:r>
      <w:r w:rsidR="00E92510" w:rsidRPr="005B1EB5">
        <w:rPr>
          <w:rFonts w:eastAsia="Times New Roman" w:cstheme="minorHAnsi"/>
          <w:kern w:val="0"/>
          <w14:ligatures w14:val="none"/>
        </w:rPr>
        <w:t xml:space="preserve"> </w:t>
      </w:r>
      <w:r w:rsidR="00D929B9" w:rsidRPr="005B1EB5">
        <w:rPr>
          <w:rFonts w:eastAsia="Times New Roman" w:cstheme="minorHAnsi"/>
          <w:kern w:val="0"/>
          <w14:ligatures w14:val="none"/>
        </w:rPr>
        <w:t>A</w:t>
      </w:r>
      <w:r w:rsidR="00BA61C8" w:rsidRPr="005B1EB5">
        <w:rPr>
          <w:rFonts w:eastAsia="Times New Roman" w:cstheme="minorHAnsi"/>
          <w:kern w:val="0"/>
          <w14:ligatures w14:val="none"/>
        </w:rPr>
        <w:t>n estimated</w:t>
      </w:r>
      <w:r w:rsidR="008E5D73" w:rsidRPr="005B1EB5">
        <w:rPr>
          <w:rFonts w:eastAsia="Times New Roman" w:cstheme="minorHAnsi"/>
          <w:kern w:val="0"/>
          <w14:ligatures w14:val="none"/>
        </w:rPr>
        <w:t xml:space="preserve"> </w:t>
      </w:r>
      <w:hyperlink r:id="rId18" w:history="1">
        <w:r w:rsidR="009536B0" w:rsidRPr="005B1EB5">
          <w:rPr>
            <w:rStyle w:val="Hyperlink"/>
            <w:rFonts w:asciiTheme="minorHAnsi" w:eastAsia="Times New Roman" w:hAnsiTheme="minorHAnsi" w:cstheme="minorHAnsi"/>
            <w:kern w:val="0"/>
            <w14:ligatures w14:val="none"/>
          </w:rPr>
          <w:t>390</w:t>
        </w:r>
        <w:r w:rsidR="00426EC6" w:rsidRPr="005B1EB5">
          <w:rPr>
            <w:rStyle w:val="Hyperlink"/>
            <w:rFonts w:asciiTheme="minorHAnsi" w:eastAsia="Times New Roman" w:hAnsiTheme="minorHAnsi" w:cstheme="minorHAnsi"/>
            <w:kern w:val="0"/>
            <w14:ligatures w14:val="none"/>
          </w:rPr>
          <w:t xml:space="preserve"> people will experience a non-fatal drug poisoning</w:t>
        </w:r>
      </w:hyperlink>
      <w:r w:rsidR="002B3105" w:rsidRPr="005B1EB5">
        <w:rPr>
          <w:rStyle w:val="EndnoteReference"/>
          <w:rFonts w:eastAsia="Times New Roman" w:cstheme="minorHAnsi"/>
          <w:kern w:val="0"/>
          <w14:ligatures w14:val="none"/>
        </w:rPr>
        <w:endnoteReference w:id="8"/>
      </w:r>
      <w:r w:rsidR="002B3105" w:rsidRPr="005B1EB5">
        <w:rPr>
          <w:rFonts w:eastAsia="Times New Roman" w:cstheme="minorHAnsi"/>
          <w:kern w:val="0"/>
          <w14:ligatures w14:val="none"/>
        </w:rPr>
        <w:t xml:space="preserve">, </w:t>
      </w:r>
      <w:r w:rsidR="00B34EFA" w:rsidRPr="005B1EB5">
        <w:rPr>
          <w:rFonts w:eastAsia="Times New Roman" w:cstheme="minorHAnsi"/>
          <w:kern w:val="0"/>
          <w14:ligatures w14:val="none"/>
        </w:rPr>
        <w:t>bringing</w:t>
      </w:r>
      <w:r w:rsidR="002B3105" w:rsidRPr="005B1EB5">
        <w:rPr>
          <w:rFonts w:eastAsia="Times New Roman" w:cstheme="minorHAnsi"/>
          <w:kern w:val="0"/>
          <w14:ligatures w14:val="none"/>
        </w:rPr>
        <w:t xml:space="preserve"> a significant risk of brain injury</w:t>
      </w:r>
      <w:r w:rsidR="008E5D73" w:rsidRPr="005B1EB5">
        <w:rPr>
          <w:rFonts w:eastAsia="Times New Roman" w:cstheme="minorHAnsi"/>
          <w:kern w:val="0"/>
          <w14:ligatures w14:val="none"/>
        </w:rPr>
        <w:t>.</w:t>
      </w:r>
      <w:r w:rsidR="0003359F" w:rsidRPr="005B1EB5">
        <w:rPr>
          <w:rFonts w:eastAsia="Times New Roman" w:cstheme="minorHAnsi"/>
          <w:kern w:val="0"/>
          <w14:ligatures w14:val="none"/>
        </w:rPr>
        <w:t xml:space="preserve"> </w:t>
      </w:r>
    </w:p>
    <w:p w14:paraId="36F6F421" w14:textId="59F60A43" w:rsidR="00AD140B" w:rsidRPr="005B1EB5" w:rsidRDefault="00AA1048"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S</w:t>
      </w:r>
      <w:r w:rsidR="0003359F" w:rsidRPr="005B1EB5">
        <w:rPr>
          <w:rFonts w:eastAsia="Times New Roman" w:cstheme="minorHAnsi"/>
          <w:kern w:val="0"/>
          <w14:ligatures w14:val="none"/>
        </w:rPr>
        <w:t>ince January 2016, more than 53,000 people have died from apparent opioid toxicity</w:t>
      </w:r>
      <w:r w:rsidR="00624413" w:rsidRPr="005B1EB5">
        <w:rPr>
          <w:rFonts w:eastAsia="Times New Roman" w:cstheme="minorHAnsi"/>
          <w:kern w:val="0"/>
          <w14:ligatures w14:val="none"/>
        </w:rPr>
        <w:t xml:space="preserve">. </w:t>
      </w:r>
      <w:r w:rsidR="00776B85" w:rsidRPr="005B1EB5">
        <w:rPr>
          <w:rFonts w:eastAsia="Times New Roman" w:cstheme="minorHAnsi"/>
          <w:kern w:val="0"/>
          <w14:ligatures w14:val="none"/>
        </w:rPr>
        <w:t>T</w:t>
      </w:r>
      <w:r w:rsidR="00B54909" w:rsidRPr="005B1EB5">
        <w:rPr>
          <w:rFonts w:eastAsia="Times New Roman" w:cstheme="minorHAnsi"/>
          <w:kern w:val="0"/>
          <w14:ligatures w14:val="none"/>
        </w:rPr>
        <w:t>housands more</w:t>
      </w:r>
      <w:r w:rsidR="005C4213" w:rsidRPr="005B1EB5">
        <w:rPr>
          <w:rFonts w:eastAsia="Times New Roman" w:cstheme="minorHAnsi"/>
          <w:kern w:val="0"/>
          <w14:ligatures w14:val="none"/>
        </w:rPr>
        <w:t xml:space="preserve"> have died from</w:t>
      </w:r>
      <w:r w:rsidR="00B54909" w:rsidRPr="005B1EB5">
        <w:rPr>
          <w:rFonts w:eastAsia="Times New Roman" w:cstheme="minorHAnsi"/>
          <w:kern w:val="0"/>
          <w14:ligatures w14:val="none"/>
        </w:rPr>
        <w:t xml:space="preserve"> </w:t>
      </w:r>
      <w:r w:rsidR="0003359F" w:rsidRPr="005B1EB5">
        <w:rPr>
          <w:rFonts w:eastAsia="Times New Roman" w:cstheme="minorHAnsi"/>
          <w:kern w:val="0"/>
          <w14:ligatures w14:val="none"/>
        </w:rPr>
        <w:t>stimulant</w:t>
      </w:r>
      <w:r w:rsidR="00B54909" w:rsidRPr="005B1EB5">
        <w:rPr>
          <w:rFonts w:eastAsia="Times New Roman" w:cstheme="minorHAnsi"/>
          <w:kern w:val="0"/>
          <w14:ligatures w14:val="none"/>
        </w:rPr>
        <w:t xml:space="preserve"> and</w:t>
      </w:r>
      <w:r w:rsidR="0082396A" w:rsidRPr="005B1EB5">
        <w:rPr>
          <w:rFonts w:eastAsia="Times New Roman" w:cstheme="minorHAnsi"/>
          <w:kern w:val="0"/>
          <w14:ligatures w14:val="none"/>
        </w:rPr>
        <w:t xml:space="preserve"> </w:t>
      </w:r>
      <w:r w:rsidR="0003359F" w:rsidRPr="005B1EB5">
        <w:rPr>
          <w:rFonts w:eastAsia="Times New Roman" w:cstheme="minorHAnsi"/>
          <w:kern w:val="0"/>
          <w14:ligatures w14:val="none"/>
        </w:rPr>
        <w:t>mixed-substance toxicity.</w:t>
      </w:r>
      <w:r w:rsidR="00926849" w:rsidRPr="005B1EB5">
        <w:rPr>
          <w:rFonts w:eastAsia="Times New Roman" w:cstheme="minorHAnsi"/>
          <w:kern w:val="0"/>
          <w14:ligatures w14:val="none"/>
        </w:rPr>
        <w:t xml:space="preserve"> </w:t>
      </w:r>
    </w:p>
    <w:p w14:paraId="21F2727F" w14:textId="40903044" w:rsidR="00B675C6" w:rsidRPr="005B1EB5" w:rsidRDefault="00926849" w:rsidP="002449A0">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This is preventable.</w:t>
      </w:r>
      <w:r w:rsidR="00171AF0" w:rsidRPr="005B1EB5">
        <w:rPr>
          <w:rFonts w:eastAsia="Times New Roman" w:cstheme="minorHAnsi"/>
          <w:kern w:val="0"/>
          <w14:ligatures w14:val="none"/>
        </w:rPr>
        <w:t xml:space="preserve"> In 2025, </w:t>
      </w:r>
      <w:r w:rsidR="00F402EF" w:rsidRPr="005B1EB5">
        <w:rPr>
          <w:rFonts w:eastAsia="Times New Roman" w:cstheme="minorHAnsi"/>
          <w:kern w:val="0"/>
          <w14:ligatures w14:val="none"/>
        </w:rPr>
        <w:t xml:space="preserve">roughly </w:t>
      </w:r>
      <w:r w:rsidR="00171AF0" w:rsidRPr="005B1EB5">
        <w:rPr>
          <w:rFonts w:eastAsia="Times New Roman" w:cstheme="minorHAnsi"/>
          <w:kern w:val="0"/>
          <w14:ligatures w14:val="none"/>
        </w:rPr>
        <w:t xml:space="preserve">83% of </w:t>
      </w:r>
      <w:r w:rsidR="001D1B75" w:rsidRPr="005B1EB5">
        <w:rPr>
          <w:rFonts w:eastAsia="Times New Roman" w:cstheme="minorHAnsi"/>
          <w:kern w:val="0"/>
          <w14:ligatures w14:val="none"/>
        </w:rPr>
        <w:t xml:space="preserve">opioid-related </w:t>
      </w:r>
      <w:r w:rsidR="00B64E44" w:rsidRPr="005B1EB5">
        <w:rPr>
          <w:rFonts w:eastAsia="Times New Roman" w:cstheme="minorHAnsi"/>
          <w:kern w:val="0"/>
          <w14:ligatures w14:val="none"/>
        </w:rPr>
        <w:t>deaths</w:t>
      </w:r>
      <w:r w:rsidR="00171AF0" w:rsidRPr="005B1EB5">
        <w:rPr>
          <w:rFonts w:eastAsia="Times New Roman" w:cstheme="minorHAnsi"/>
          <w:kern w:val="0"/>
          <w14:ligatures w14:val="none"/>
        </w:rPr>
        <w:t xml:space="preserve"> involve non-pharmaceutical, or “unregulated opioids”</w:t>
      </w:r>
      <w:r w:rsidR="00226812" w:rsidRPr="005B1EB5">
        <w:rPr>
          <w:rStyle w:val="FootnoteReference"/>
          <w:rFonts w:eastAsia="Times New Roman" w:cstheme="minorHAnsi"/>
          <w:kern w:val="0"/>
          <w14:ligatures w14:val="none"/>
        </w:rPr>
        <w:footnoteReference w:id="2"/>
      </w:r>
      <w:r w:rsidR="00E7356C" w:rsidRPr="005B1EB5">
        <w:rPr>
          <w:rFonts w:eastAsia="Times New Roman" w:cstheme="minorHAnsi"/>
          <w:kern w:val="0"/>
          <w14:ligatures w14:val="none"/>
        </w:rPr>
        <w:t>.</w:t>
      </w:r>
      <w:r w:rsidR="00E079EF" w:rsidRPr="005B1EB5">
        <w:rPr>
          <w:rFonts w:eastAsia="Times New Roman" w:cstheme="minorHAnsi"/>
          <w:kern w:val="0"/>
          <w14:ligatures w14:val="none"/>
        </w:rPr>
        <w:t xml:space="preserve"> </w:t>
      </w:r>
      <w:r w:rsidR="00793F22" w:rsidRPr="005B1EB5">
        <w:rPr>
          <w:rFonts w:eastAsia="Times New Roman" w:cstheme="minorHAnsi"/>
          <w:kern w:val="0"/>
          <w14:ligatures w14:val="none"/>
        </w:rPr>
        <w:t xml:space="preserve">In 2010, the </w:t>
      </w:r>
      <w:hyperlink r:id="rId19" w:anchor="fig0001" w:history="1">
        <w:r w:rsidR="004C688D" w:rsidRPr="005B1EB5">
          <w:rPr>
            <w:rStyle w:val="Hyperlink"/>
            <w:rFonts w:asciiTheme="minorHAnsi" w:eastAsia="Times New Roman" w:hAnsiTheme="minorHAnsi" w:cstheme="minorHAnsi"/>
            <w:kern w:val="0"/>
            <w14:ligatures w14:val="none"/>
          </w:rPr>
          <w:t>national mortality rate</w:t>
        </w:r>
      </w:hyperlink>
      <w:r w:rsidR="00170B13" w:rsidRPr="005B1EB5">
        <w:rPr>
          <w:rStyle w:val="EndnoteReference"/>
          <w:rFonts w:eastAsia="Times New Roman" w:cstheme="minorHAnsi"/>
          <w:kern w:val="0"/>
          <w14:ligatures w14:val="none"/>
        </w:rPr>
        <w:endnoteReference w:id="9"/>
      </w:r>
      <w:r w:rsidR="00793F22" w:rsidRPr="005B1EB5">
        <w:rPr>
          <w:rFonts w:eastAsia="Times New Roman" w:cstheme="minorHAnsi"/>
          <w:kern w:val="0"/>
          <w14:ligatures w14:val="none"/>
        </w:rPr>
        <w:t xml:space="preserve"> </w:t>
      </w:r>
      <w:r w:rsidR="00A24390" w:rsidRPr="005B1EB5">
        <w:rPr>
          <w:rFonts w:eastAsia="Times New Roman" w:cstheme="minorHAnsi"/>
          <w:kern w:val="0"/>
          <w14:ligatures w14:val="none"/>
        </w:rPr>
        <w:t xml:space="preserve">due to </w:t>
      </w:r>
      <w:r w:rsidR="006B4DF3" w:rsidRPr="005B1EB5">
        <w:rPr>
          <w:rFonts w:eastAsia="Times New Roman" w:cstheme="minorHAnsi"/>
          <w:kern w:val="0"/>
          <w14:ligatures w14:val="none"/>
        </w:rPr>
        <w:t>accidental drug overdose</w:t>
      </w:r>
      <w:r w:rsidR="00A24390" w:rsidRPr="005B1EB5">
        <w:rPr>
          <w:rFonts w:eastAsia="Times New Roman" w:cstheme="minorHAnsi"/>
          <w:kern w:val="0"/>
          <w14:ligatures w14:val="none"/>
        </w:rPr>
        <w:t xml:space="preserve"> is estimated </w:t>
      </w:r>
      <w:r w:rsidR="00DB0B13" w:rsidRPr="005B1EB5">
        <w:rPr>
          <w:rFonts w:eastAsia="Times New Roman" w:cstheme="minorHAnsi"/>
          <w:kern w:val="0"/>
          <w14:ligatures w14:val="none"/>
        </w:rPr>
        <w:t>to have been 6/100,000</w:t>
      </w:r>
      <w:r w:rsidR="00526B4C" w:rsidRPr="005B1EB5">
        <w:rPr>
          <w:rFonts w:eastAsia="Times New Roman" w:cstheme="minorHAnsi"/>
          <w:kern w:val="0"/>
          <w14:ligatures w14:val="none"/>
        </w:rPr>
        <w:t xml:space="preserve"> population</w:t>
      </w:r>
      <w:r w:rsidR="004D068F" w:rsidRPr="005B1EB5">
        <w:rPr>
          <w:rFonts w:eastAsia="Times New Roman" w:cstheme="minorHAnsi"/>
          <w:kern w:val="0"/>
          <w14:ligatures w14:val="none"/>
        </w:rPr>
        <w:t xml:space="preserve">. </w:t>
      </w:r>
      <w:r w:rsidR="00526B4C" w:rsidRPr="005B1EB5">
        <w:rPr>
          <w:rFonts w:eastAsia="Times New Roman" w:cstheme="minorHAnsi"/>
          <w:kern w:val="0"/>
          <w14:ligatures w14:val="none"/>
        </w:rPr>
        <w:t xml:space="preserve">By 2023, </w:t>
      </w:r>
      <w:r w:rsidR="00F35C2E" w:rsidRPr="005B1EB5">
        <w:rPr>
          <w:rFonts w:eastAsia="Times New Roman" w:cstheme="minorHAnsi"/>
          <w:kern w:val="0"/>
          <w14:ligatures w14:val="none"/>
        </w:rPr>
        <w:t>opioid-related mortality rates</w:t>
      </w:r>
      <w:r w:rsidR="00AC32BB" w:rsidRPr="005B1EB5">
        <w:rPr>
          <w:rFonts w:eastAsia="Times New Roman" w:cstheme="minorHAnsi"/>
          <w:kern w:val="0"/>
          <w14:ligatures w14:val="none"/>
        </w:rPr>
        <w:t xml:space="preserve"> had skyrocketed to approximately 2</w:t>
      </w:r>
      <w:r w:rsidR="003C60B3" w:rsidRPr="005B1EB5">
        <w:rPr>
          <w:rFonts w:eastAsia="Times New Roman" w:cstheme="minorHAnsi"/>
          <w:kern w:val="0"/>
          <w14:ligatures w14:val="none"/>
        </w:rPr>
        <w:t>0</w:t>
      </w:r>
      <w:r w:rsidR="00AC32BB" w:rsidRPr="005B1EB5">
        <w:rPr>
          <w:rFonts w:eastAsia="Times New Roman" w:cstheme="minorHAnsi"/>
          <w:kern w:val="0"/>
          <w14:ligatures w14:val="none"/>
        </w:rPr>
        <w:t>/100,000</w:t>
      </w:r>
      <w:r w:rsidR="003C60B3" w:rsidRPr="005B1EB5">
        <w:rPr>
          <w:rFonts w:eastAsia="Times New Roman" w:cstheme="minorHAnsi"/>
          <w:kern w:val="0"/>
          <w14:ligatures w14:val="none"/>
        </w:rPr>
        <w:t xml:space="preserve"> </w:t>
      </w:r>
      <w:r w:rsidR="00A72E7C" w:rsidRPr="005B1EB5">
        <w:rPr>
          <w:rFonts w:eastAsia="Times New Roman" w:cstheme="minorHAnsi"/>
          <w:kern w:val="0"/>
          <w14:ligatures w14:val="none"/>
        </w:rPr>
        <w:t xml:space="preserve">and stimulant mortality rates more than </w:t>
      </w:r>
      <w:r w:rsidR="002013B5" w:rsidRPr="005B1EB5">
        <w:rPr>
          <w:rFonts w:eastAsia="Times New Roman" w:cstheme="minorHAnsi"/>
          <w:kern w:val="0"/>
          <w14:ligatures w14:val="none"/>
        </w:rPr>
        <w:t>doubled,</w:t>
      </w:r>
      <w:r w:rsidR="008E6FFD" w:rsidRPr="005B1EB5">
        <w:rPr>
          <w:rFonts w:eastAsia="Times New Roman" w:cstheme="minorHAnsi"/>
          <w:kern w:val="0"/>
          <w14:ligatures w14:val="none"/>
        </w:rPr>
        <w:t xml:space="preserve"> with</w:t>
      </w:r>
      <w:r w:rsidR="00A414DA" w:rsidRPr="005B1EB5">
        <w:rPr>
          <w:rFonts w:eastAsia="Times New Roman" w:cstheme="minorHAnsi"/>
          <w:kern w:val="0"/>
          <w14:ligatures w14:val="none"/>
        </w:rPr>
        <w:t xml:space="preserve"> </w:t>
      </w:r>
      <w:hyperlink r:id="rId20" w:history="1">
        <w:r w:rsidR="00910B10" w:rsidRPr="005B1EB5">
          <w:rPr>
            <w:rStyle w:val="Hyperlink"/>
            <w:rFonts w:asciiTheme="minorHAnsi" w:eastAsia="Times New Roman" w:hAnsiTheme="minorHAnsi" w:cstheme="minorHAnsi"/>
            <w:kern w:val="0"/>
            <w14:ligatures w14:val="none"/>
          </w:rPr>
          <w:t>13,323 drug-related deaths</w:t>
        </w:r>
      </w:hyperlink>
      <w:r w:rsidR="00C906E6" w:rsidRPr="005B1EB5">
        <w:rPr>
          <w:rStyle w:val="EndnoteReference"/>
          <w:rFonts w:eastAsia="Times New Roman" w:cstheme="minorHAnsi"/>
          <w:kern w:val="0"/>
          <w14:ligatures w14:val="none"/>
        </w:rPr>
        <w:endnoteReference w:id="10"/>
      </w:r>
      <w:r w:rsidR="00BB5CBF" w:rsidRPr="005B1EB5">
        <w:rPr>
          <w:rFonts w:eastAsia="Times New Roman" w:cstheme="minorHAnsi"/>
          <w:kern w:val="0"/>
          <w14:ligatures w14:val="none"/>
        </w:rPr>
        <w:t xml:space="preserve"> </w:t>
      </w:r>
      <w:r w:rsidR="00557DB3" w:rsidRPr="005B1EB5">
        <w:rPr>
          <w:rFonts w:eastAsia="Times New Roman" w:cstheme="minorHAnsi"/>
          <w:kern w:val="0"/>
          <w14:ligatures w14:val="none"/>
        </w:rPr>
        <w:t xml:space="preserve">documented </w:t>
      </w:r>
      <w:r w:rsidR="008E6FFD" w:rsidRPr="005B1EB5">
        <w:rPr>
          <w:rFonts w:eastAsia="Times New Roman" w:cstheme="minorHAnsi"/>
          <w:kern w:val="0"/>
          <w14:ligatures w14:val="none"/>
        </w:rPr>
        <w:t>that year</w:t>
      </w:r>
      <w:r w:rsidR="00557DB3" w:rsidRPr="005B1EB5">
        <w:rPr>
          <w:rFonts w:eastAsia="Times New Roman" w:cstheme="minorHAnsi"/>
          <w:kern w:val="0"/>
          <w14:ligatures w14:val="none"/>
        </w:rPr>
        <w:t>.</w:t>
      </w:r>
      <w:r w:rsidR="00B91D31" w:rsidRPr="005B1EB5">
        <w:rPr>
          <w:rFonts w:eastAsia="Times New Roman" w:cstheme="minorHAnsi"/>
          <w:kern w:val="0"/>
          <w14:ligatures w14:val="none"/>
        </w:rPr>
        <w:t xml:space="preserve"> </w:t>
      </w:r>
      <w:r w:rsidR="00FD4BD3" w:rsidRPr="005B1EB5">
        <w:rPr>
          <w:rFonts w:eastAsia="Times New Roman" w:cstheme="minorHAnsi"/>
          <w:kern w:val="0"/>
          <w14:ligatures w14:val="none"/>
        </w:rPr>
        <w:t xml:space="preserve">Mortality rates </w:t>
      </w:r>
      <w:hyperlink r:id="rId21" w:anchor="sec0001" w:history="1">
        <w:r w:rsidR="00FD4BD3" w:rsidRPr="005B1EB5">
          <w:rPr>
            <w:rStyle w:val="Hyperlink"/>
            <w:rFonts w:asciiTheme="minorHAnsi" w:eastAsia="Times New Roman" w:hAnsiTheme="minorHAnsi" w:cstheme="minorHAnsi"/>
            <w:kern w:val="0"/>
            <w14:ligatures w14:val="none"/>
          </w:rPr>
          <w:t xml:space="preserve">surged </w:t>
        </w:r>
        <w:r w:rsidR="006943EB" w:rsidRPr="005B1EB5">
          <w:rPr>
            <w:rStyle w:val="Hyperlink"/>
            <w:rFonts w:asciiTheme="minorHAnsi" w:eastAsia="Times New Roman" w:hAnsiTheme="minorHAnsi" w:cstheme="minorHAnsi"/>
            <w:kern w:val="0"/>
            <w14:ligatures w14:val="none"/>
          </w:rPr>
          <w:t>between</w:t>
        </w:r>
        <w:r w:rsidR="00FD4BD3" w:rsidRPr="005B1EB5">
          <w:rPr>
            <w:rStyle w:val="Hyperlink"/>
            <w:rFonts w:asciiTheme="minorHAnsi" w:eastAsia="Times New Roman" w:hAnsiTheme="minorHAnsi" w:cstheme="minorHAnsi"/>
            <w:kern w:val="0"/>
            <w14:ligatures w14:val="none"/>
          </w:rPr>
          <w:t xml:space="preserve"> 2012</w:t>
        </w:r>
        <w:r w:rsidR="006943EB" w:rsidRPr="005B1EB5">
          <w:rPr>
            <w:rStyle w:val="Hyperlink"/>
            <w:rFonts w:asciiTheme="minorHAnsi" w:eastAsia="Times New Roman" w:hAnsiTheme="minorHAnsi" w:cstheme="minorHAnsi"/>
            <w:kern w:val="0"/>
            <w14:ligatures w14:val="none"/>
          </w:rPr>
          <w:t>-2023</w:t>
        </w:r>
      </w:hyperlink>
      <w:r w:rsidR="00FD4BD3" w:rsidRPr="005B1EB5">
        <w:rPr>
          <w:rFonts w:eastAsia="Times New Roman" w:cstheme="minorHAnsi"/>
          <w:kern w:val="0"/>
          <w14:ligatures w14:val="none"/>
        </w:rPr>
        <w:t xml:space="preserve">, </w:t>
      </w:r>
      <w:r w:rsidR="007B728F" w:rsidRPr="005B1EB5">
        <w:rPr>
          <w:rFonts w:eastAsia="Times New Roman" w:cstheme="minorHAnsi"/>
          <w:kern w:val="0"/>
          <w14:ligatures w14:val="none"/>
        </w:rPr>
        <w:t xml:space="preserve">as </w:t>
      </w:r>
      <w:r w:rsidR="00B849F3" w:rsidRPr="005B1EB5">
        <w:rPr>
          <w:rFonts w:eastAsia="Times New Roman" w:cstheme="minorHAnsi"/>
          <w:kern w:val="0"/>
          <w14:ligatures w14:val="none"/>
        </w:rPr>
        <w:t xml:space="preserve">illegal </w:t>
      </w:r>
      <w:r w:rsidR="00FD4BD3" w:rsidRPr="005B1EB5">
        <w:rPr>
          <w:rFonts w:eastAsia="Times New Roman" w:cstheme="minorHAnsi"/>
          <w:kern w:val="0"/>
          <w14:ligatures w14:val="none"/>
        </w:rPr>
        <w:t>fentanyl be</w:t>
      </w:r>
      <w:r w:rsidR="000055DD" w:rsidRPr="005B1EB5">
        <w:rPr>
          <w:rFonts w:eastAsia="Times New Roman" w:cstheme="minorHAnsi"/>
          <w:kern w:val="0"/>
          <w14:ligatures w14:val="none"/>
        </w:rPr>
        <w:t>came</w:t>
      </w:r>
      <w:r w:rsidR="007B728F" w:rsidRPr="005B1EB5">
        <w:rPr>
          <w:rFonts w:eastAsia="Times New Roman" w:cstheme="minorHAnsi"/>
          <w:kern w:val="0"/>
          <w14:ligatures w14:val="none"/>
        </w:rPr>
        <w:t xml:space="preserve"> increasingly</w:t>
      </w:r>
      <w:r w:rsidR="000055DD" w:rsidRPr="005B1EB5">
        <w:rPr>
          <w:rFonts w:eastAsia="Times New Roman" w:cstheme="minorHAnsi"/>
          <w:kern w:val="0"/>
          <w14:ligatures w14:val="none"/>
        </w:rPr>
        <w:t xml:space="preserve"> prevalent in Canada’s unregulated drug supply</w:t>
      </w:r>
      <w:r w:rsidR="006943EB" w:rsidRPr="005B1EB5">
        <w:rPr>
          <w:rFonts w:eastAsia="Times New Roman" w:cstheme="minorHAnsi"/>
          <w:kern w:val="0"/>
          <w14:ligatures w14:val="none"/>
        </w:rPr>
        <w:t>.</w:t>
      </w:r>
      <w:r w:rsidR="002449A0" w:rsidRPr="005B1EB5">
        <w:rPr>
          <w:rFonts w:eastAsia="Times New Roman" w:cstheme="minorHAnsi"/>
          <w:kern w:val="0"/>
          <w14:ligatures w14:val="none"/>
        </w:rPr>
        <w:t xml:space="preserve"> </w:t>
      </w:r>
    </w:p>
    <w:p w14:paraId="3D565A25" w14:textId="4F8AED98" w:rsidR="0032700E" w:rsidRPr="005B1EB5" w:rsidRDefault="00B333CA" w:rsidP="002B0D3F">
      <w:pPr>
        <w:spacing w:before="100" w:beforeAutospacing="1" w:after="100" w:afterAutospacing="1"/>
        <w:jc w:val="both"/>
        <w:rPr>
          <w:rFonts w:eastAsia="Times New Roman" w:cstheme="minorHAnsi"/>
          <w:b/>
          <w:bCs/>
          <w:kern w:val="0"/>
          <w14:ligatures w14:val="none"/>
        </w:rPr>
      </w:pPr>
      <w:r w:rsidRPr="005B1EB5">
        <w:rPr>
          <w:rFonts w:eastAsia="Times New Roman" w:cstheme="minorHAnsi"/>
          <w:b/>
          <w:bCs/>
          <w:kern w:val="0"/>
          <w14:ligatures w14:val="none"/>
        </w:rPr>
        <w:t>It is essential that the Committee examine</w:t>
      </w:r>
      <w:r w:rsidR="0071400B" w:rsidRPr="005B1EB5">
        <w:rPr>
          <w:rFonts w:eastAsia="Times New Roman" w:cstheme="minorHAnsi"/>
          <w:b/>
          <w:bCs/>
          <w:kern w:val="0"/>
          <w14:ligatures w14:val="none"/>
        </w:rPr>
        <w:t xml:space="preserve"> what</w:t>
      </w:r>
      <w:r w:rsidRPr="005B1EB5">
        <w:rPr>
          <w:rFonts w:eastAsia="Times New Roman" w:cstheme="minorHAnsi"/>
          <w:b/>
          <w:bCs/>
          <w:kern w:val="0"/>
          <w14:ligatures w14:val="none"/>
        </w:rPr>
        <w:t xml:space="preserve"> </w:t>
      </w:r>
      <w:r w:rsidR="00EF1A5E" w:rsidRPr="005B1EB5">
        <w:rPr>
          <w:rFonts w:eastAsia="Times New Roman" w:cstheme="minorHAnsi"/>
          <w:b/>
          <w:bCs/>
          <w:kern w:val="0"/>
          <w14:ligatures w14:val="none"/>
        </w:rPr>
        <w:t>is driving these</w:t>
      </w:r>
      <w:r w:rsidR="00872D62" w:rsidRPr="005B1EB5">
        <w:rPr>
          <w:rFonts w:eastAsia="Times New Roman" w:cstheme="minorHAnsi"/>
          <w:b/>
          <w:bCs/>
          <w:kern w:val="0"/>
          <w14:ligatures w14:val="none"/>
        </w:rPr>
        <w:t xml:space="preserve"> change</w:t>
      </w:r>
      <w:r w:rsidR="00EF1A5E" w:rsidRPr="005B1EB5">
        <w:rPr>
          <w:rFonts w:eastAsia="Times New Roman" w:cstheme="minorHAnsi"/>
          <w:b/>
          <w:bCs/>
          <w:kern w:val="0"/>
          <w14:ligatures w14:val="none"/>
        </w:rPr>
        <w:t>s</w:t>
      </w:r>
      <w:r w:rsidRPr="005B1EB5">
        <w:rPr>
          <w:rFonts w:eastAsia="Times New Roman" w:cstheme="minorHAnsi"/>
          <w:b/>
          <w:bCs/>
          <w:kern w:val="0"/>
          <w14:ligatures w14:val="none"/>
        </w:rPr>
        <w:t xml:space="preserve"> and how </w:t>
      </w:r>
      <w:r w:rsidR="00DC47D8" w:rsidRPr="005B1EB5">
        <w:rPr>
          <w:rFonts w:eastAsia="Times New Roman" w:cstheme="minorHAnsi"/>
          <w:b/>
          <w:bCs/>
          <w:kern w:val="0"/>
          <w14:ligatures w14:val="none"/>
        </w:rPr>
        <w:t xml:space="preserve">Canada’s laws and actions </w:t>
      </w:r>
      <w:r w:rsidR="008079AF" w:rsidRPr="005B1EB5">
        <w:rPr>
          <w:rFonts w:eastAsia="Times New Roman" w:cstheme="minorHAnsi"/>
          <w:b/>
          <w:bCs/>
          <w:kern w:val="0"/>
          <w14:ligatures w14:val="none"/>
        </w:rPr>
        <w:t xml:space="preserve">are </w:t>
      </w:r>
      <w:r w:rsidR="003549DD" w:rsidRPr="005B1EB5">
        <w:rPr>
          <w:rFonts w:eastAsia="Times New Roman" w:cstheme="minorHAnsi"/>
          <w:b/>
          <w:bCs/>
          <w:kern w:val="0"/>
          <w14:ligatures w14:val="none"/>
        </w:rPr>
        <w:t>driving preventable and foreseeable death on a mass scale.</w:t>
      </w:r>
      <w:r w:rsidR="000871B6" w:rsidRPr="005B1EB5">
        <w:rPr>
          <w:rFonts w:eastAsia="Times New Roman" w:cstheme="minorHAnsi"/>
          <w:b/>
          <w:bCs/>
        </w:rPr>
        <w:t xml:space="preserve"> </w:t>
      </w:r>
    </w:p>
    <w:p w14:paraId="077C909E" w14:textId="16B37689" w:rsidR="002B0D3F" w:rsidRPr="005B1EB5" w:rsidRDefault="554C2DB4" w:rsidP="4020F56E">
      <w:pPr>
        <w:spacing w:before="100" w:beforeAutospacing="1" w:after="100" w:afterAutospacing="1"/>
        <w:jc w:val="both"/>
        <w:rPr>
          <w:rFonts w:eastAsia="Times New Roman" w:cstheme="minorHAnsi"/>
          <w:kern w:val="0"/>
          <w14:ligatures w14:val="none"/>
        </w:rPr>
      </w:pPr>
      <w:r w:rsidRPr="005B1EB5">
        <w:rPr>
          <w:rFonts w:eastAsia="Open Sans" w:cstheme="minorHAnsi"/>
          <w:color w:val="000000" w:themeColor="text1"/>
        </w:rPr>
        <w:t xml:space="preserve">These deaths are not the result of increased rates of </w:t>
      </w:r>
      <w:r w:rsidR="00E97F6E" w:rsidRPr="005B1EB5">
        <w:rPr>
          <w:rFonts w:eastAsia="Open Sans" w:cstheme="minorHAnsi"/>
          <w:color w:val="000000" w:themeColor="text1"/>
        </w:rPr>
        <w:t>“</w:t>
      </w:r>
      <w:r w:rsidRPr="005B1EB5">
        <w:rPr>
          <w:rFonts w:eastAsia="Open Sans" w:cstheme="minorHAnsi"/>
          <w:color w:val="000000" w:themeColor="text1"/>
        </w:rPr>
        <w:t>addiction</w:t>
      </w:r>
      <w:r w:rsidR="00E97F6E" w:rsidRPr="005B1EB5">
        <w:rPr>
          <w:rFonts w:eastAsia="Open Sans" w:cstheme="minorHAnsi"/>
          <w:color w:val="000000" w:themeColor="text1"/>
        </w:rPr>
        <w:t>”</w:t>
      </w:r>
      <w:r w:rsidRPr="005B1EB5">
        <w:rPr>
          <w:rFonts w:eastAsia="Open Sans" w:cstheme="minorHAnsi"/>
          <w:color w:val="000000" w:themeColor="text1"/>
        </w:rPr>
        <w:t xml:space="preserve">. </w:t>
      </w:r>
      <w:r w:rsidR="003549DD" w:rsidRPr="005B1EB5">
        <w:rPr>
          <w:rFonts w:eastAsia="Times New Roman" w:cstheme="minorHAnsi"/>
          <w:kern w:val="0"/>
          <w14:ligatures w14:val="none"/>
        </w:rPr>
        <w:t>R</w:t>
      </w:r>
      <w:r w:rsidR="002B0D3F" w:rsidRPr="005B1EB5">
        <w:rPr>
          <w:rFonts w:eastAsia="Times New Roman" w:cstheme="minorHAnsi"/>
          <w:kern w:val="0"/>
          <w14:ligatures w14:val="none"/>
        </w:rPr>
        <w:t xml:space="preserve">ates of drug use and substance use disorders have remained </w:t>
      </w:r>
      <w:hyperlink r:id="rId22" w:anchor=":~:text=the%20prevalence%20of%20substance%20use%20disorders%20did%20not%20increase%20from%202012%20to%202022" w:history="1">
        <w:r w:rsidR="002B0D3F" w:rsidRPr="005B1EB5">
          <w:rPr>
            <w:rStyle w:val="Hyperlink"/>
            <w:rFonts w:asciiTheme="minorHAnsi" w:eastAsia="Times New Roman" w:hAnsiTheme="minorHAnsi" w:cstheme="minorHAnsi"/>
            <w:kern w:val="0"/>
            <w14:ligatures w14:val="none"/>
          </w:rPr>
          <w:t>relatively stable over the last decade</w:t>
        </w:r>
      </w:hyperlink>
      <w:r w:rsidR="00E92E09" w:rsidRPr="005B1EB5">
        <w:rPr>
          <w:rStyle w:val="EndnoteReference"/>
          <w:rFonts w:eastAsia="Times New Roman" w:cstheme="minorHAnsi"/>
          <w:kern w:val="0"/>
          <w14:ligatures w14:val="none"/>
        </w:rPr>
        <w:endnoteReference w:id="11"/>
      </w:r>
      <w:r w:rsidR="0D22A3DB" w:rsidRPr="005B1EB5">
        <w:rPr>
          <w:rFonts w:eastAsia="Times New Roman" w:cstheme="minorHAnsi"/>
          <w:kern w:val="0"/>
          <w14:ligatures w14:val="none"/>
        </w:rPr>
        <w:t>. Dr</w:t>
      </w:r>
      <w:r w:rsidR="00755CD0" w:rsidRPr="005B1EB5">
        <w:rPr>
          <w:rFonts w:eastAsia="Times New Roman" w:cstheme="minorHAnsi"/>
          <w:kern w:val="0"/>
          <w14:ligatures w14:val="none"/>
        </w:rPr>
        <w:t>ug-related m</w:t>
      </w:r>
      <w:r w:rsidR="002B0D3F" w:rsidRPr="005B1EB5">
        <w:rPr>
          <w:rFonts w:eastAsia="Times New Roman" w:cstheme="minorHAnsi"/>
          <w:kern w:val="0"/>
          <w14:ligatures w14:val="none"/>
        </w:rPr>
        <w:t xml:space="preserve">ortality has risen sharply because the </w:t>
      </w:r>
      <w:r w:rsidR="00F61099" w:rsidRPr="005B1EB5">
        <w:rPr>
          <w:rFonts w:eastAsia="Times New Roman" w:cstheme="minorHAnsi"/>
          <w:kern w:val="0"/>
          <w14:ligatures w14:val="none"/>
        </w:rPr>
        <w:t>substances in</w:t>
      </w:r>
      <w:r w:rsidR="002B0D3F" w:rsidRPr="005B1EB5">
        <w:rPr>
          <w:rFonts w:eastAsia="Times New Roman" w:cstheme="minorHAnsi"/>
          <w:kern w:val="0"/>
          <w14:ligatures w14:val="none"/>
        </w:rPr>
        <w:t xml:space="preserve"> </w:t>
      </w:r>
      <w:r w:rsidR="007F273A" w:rsidRPr="005B1EB5">
        <w:rPr>
          <w:rFonts w:eastAsia="Times New Roman" w:cstheme="minorHAnsi"/>
          <w:kern w:val="0"/>
          <w14:ligatures w14:val="none"/>
        </w:rPr>
        <w:t xml:space="preserve">Canada’s </w:t>
      </w:r>
      <w:r w:rsidR="00A82440" w:rsidRPr="005B1EB5">
        <w:rPr>
          <w:rFonts w:eastAsia="Times New Roman" w:cstheme="minorHAnsi"/>
          <w:kern w:val="0"/>
          <w14:ligatures w14:val="none"/>
        </w:rPr>
        <w:t>unregulated</w:t>
      </w:r>
      <w:r w:rsidR="007F273A" w:rsidRPr="005B1EB5">
        <w:rPr>
          <w:rFonts w:eastAsia="Times New Roman" w:cstheme="minorHAnsi"/>
          <w:kern w:val="0"/>
          <w14:ligatures w14:val="none"/>
        </w:rPr>
        <w:t xml:space="preserve"> </w:t>
      </w:r>
      <w:r w:rsidR="002B0D3F" w:rsidRPr="005B1EB5">
        <w:rPr>
          <w:rFonts w:eastAsia="Times New Roman" w:cstheme="minorHAnsi"/>
          <w:kern w:val="0"/>
          <w14:ligatures w14:val="none"/>
        </w:rPr>
        <w:t xml:space="preserve">drug supply have become increasingly </w:t>
      </w:r>
      <w:hyperlink r:id="rId23" w:history="1">
        <w:r w:rsidR="002B0D3F" w:rsidRPr="005B1EB5">
          <w:rPr>
            <w:rStyle w:val="Hyperlink"/>
            <w:rFonts w:asciiTheme="minorHAnsi" w:eastAsia="Times New Roman" w:hAnsiTheme="minorHAnsi" w:cstheme="minorHAnsi"/>
            <w:kern w:val="0"/>
            <w14:ligatures w14:val="none"/>
          </w:rPr>
          <w:t>unpredictable</w:t>
        </w:r>
      </w:hyperlink>
      <w:r w:rsidR="002E5F1D" w:rsidRPr="005B1EB5">
        <w:rPr>
          <w:rStyle w:val="EndnoteReference"/>
          <w:rFonts w:eastAsia="Times New Roman" w:cstheme="minorHAnsi"/>
          <w:kern w:val="0"/>
          <w14:ligatures w14:val="none"/>
        </w:rPr>
        <w:endnoteReference w:id="12"/>
      </w:r>
      <w:r w:rsidR="002B0D3F" w:rsidRPr="005B1EB5">
        <w:rPr>
          <w:rFonts w:eastAsia="Times New Roman" w:cstheme="minorHAnsi"/>
          <w:kern w:val="0"/>
          <w14:ligatures w14:val="none"/>
        </w:rPr>
        <w:t xml:space="preserve">, </w:t>
      </w:r>
      <w:hyperlink r:id="rId24" w:anchor="drug" w:history="1">
        <w:r w:rsidR="00926907" w:rsidRPr="005B1EB5">
          <w:rPr>
            <w:rStyle w:val="Hyperlink"/>
            <w:rFonts w:asciiTheme="minorHAnsi" w:eastAsia="Times New Roman" w:hAnsiTheme="minorHAnsi" w:cstheme="minorHAnsi"/>
            <w:kern w:val="0"/>
            <w14:ligatures w14:val="none"/>
          </w:rPr>
          <w:t>varied</w:t>
        </w:r>
      </w:hyperlink>
      <w:r w:rsidR="00882CB7" w:rsidRPr="005B1EB5">
        <w:rPr>
          <w:rStyle w:val="EndnoteReference"/>
          <w:rFonts w:eastAsia="Times New Roman" w:cstheme="minorHAnsi"/>
          <w:kern w:val="0"/>
          <w14:ligatures w14:val="none"/>
        </w:rPr>
        <w:endnoteReference w:id="13"/>
      </w:r>
      <w:r w:rsidR="00926907" w:rsidRPr="005B1EB5">
        <w:rPr>
          <w:rFonts w:eastAsia="Times New Roman" w:cstheme="minorHAnsi"/>
          <w:kern w:val="0"/>
          <w14:ligatures w14:val="none"/>
        </w:rPr>
        <w:t xml:space="preserve">, </w:t>
      </w:r>
      <w:hyperlink r:id="rId25" w:history="1">
        <w:r w:rsidR="00926907" w:rsidRPr="005B1EB5">
          <w:rPr>
            <w:rStyle w:val="Hyperlink"/>
            <w:rFonts w:asciiTheme="minorHAnsi" w:eastAsia="Times New Roman" w:hAnsiTheme="minorHAnsi" w:cstheme="minorHAnsi"/>
            <w:kern w:val="0"/>
            <w14:ligatures w14:val="none"/>
          </w:rPr>
          <w:t>contaminated</w:t>
        </w:r>
      </w:hyperlink>
      <w:r w:rsidR="00955F88" w:rsidRPr="005B1EB5">
        <w:rPr>
          <w:rStyle w:val="EndnoteReference"/>
          <w:rFonts w:eastAsia="Times New Roman" w:cstheme="minorHAnsi"/>
          <w:kern w:val="0"/>
          <w14:ligatures w14:val="none"/>
        </w:rPr>
        <w:endnoteReference w:id="14"/>
      </w:r>
      <w:r w:rsidR="002B0D3F" w:rsidRPr="005B1EB5">
        <w:rPr>
          <w:rFonts w:eastAsia="Times New Roman" w:cstheme="minorHAnsi"/>
          <w:kern w:val="0"/>
          <w14:ligatures w14:val="none"/>
        </w:rPr>
        <w:t>, and potent.</w:t>
      </w:r>
    </w:p>
    <w:p w14:paraId="3FEDF320" w14:textId="4FB34FB9" w:rsidR="00E14AA7" w:rsidRPr="005B1EB5" w:rsidRDefault="00454CF3"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The volatility of the unregulated drug supply</w:t>
      </w:r>
      <w:r w:rsidR="002B0D3F" w:rsidRPr="005B1EB5">
        <w:rPr>
          <w:rFonts w:eastAsia="Times New Roman" w:cstheme="minorHAnsi"/>
          <w:kern w:val="0"/>
          <w14:ligatures w14:val="none"/>
        </w:rPr>
        <w:t xml:space="preserve"> is a direct and foreseeable consequence of Canada’s drug </w:t>
      </w:r>
      <w:hyperlink r:id="rId26" w:history="1">
        <w:r w:rsidR="002B0D3F" w:rsidRPr="005B1EB5">
          <w:rPr>
            <w:rStyle w:val="Hyperlink"/>
            <w:rFonts w:asciiTheme="minorHAnsi" w:eastAsia="Times New Roman" w:hAnsiTheme="minorHAnsi" w:cstheme="minorHAnsi"/>
            <w:kern w:val="0"/>
            <w14:ligatures w14:val="none"/>
          </w:rPr>
          <w:t>laws and enforcement practices</w:t>
        </w:r>
      </w:hyperlink>
      <w:r w:rsidR="0048188C" w:rsidRPr="005B1EB5">
        <w:rPr>
          <w:rStyle w:val="EndnoteReference"/>
          <w:rFonts w:eastAsia="Times New Roman" w:cstheme="minorHAnsi"/>
          <w:kern w:val="0"/>
          <w14:ligatures w14:val="none"/>
        </w:rPr>
        <w:endnoteReference w:id="15"/>
      </w:r>
      <w:r w:rsidR="005B4CAB" w:rsidRPr="005B1EB5">
        <w:rPr>
          <w:rFonts w:eastAsia="Times New Roman" w:cstheme="minorHAnsi"/>
          <w:kern w:val="0"/>
          <w14:ligatures w14:val="none"/>
        </w:rPr>
        <w:t>.</w:t>
      </w:r>
      <w:r w:rsidR="002B0D3F" w:rsidRPr="005B1EB5">
        <w:rPr>
          <w:rFonts w:eastAsia="Times New Roman" w:cstheme="minorHAnsi"/>
          <w:kern w:val="0"/>
          <w14:ligatures w14:val="none"/>
        </w:rPr>
        <w:t xml:space="preserve"> </w:t>
      </w:r>
      <w:r w:rsidR="00B10E3A" w:rsidRPr="005B1EB5">
        <w:rPr>
          <w:rFonts w:eastAsia="Times New Roman" w:cstheme="minorHAnsi"/>
          <w:kern w:val="0"/>
          <w14:ligatures w14:val="none"/>
        </w:rPr>
        <w:t>Canada’s approach</w:t>
      </w:r>
      <w:r w:rsidR="002B0D3F" w:rsidRPr="005B1EB5">
        <w:rPr>
          <w:rFonts w:eastAsia="Times New Roman" w:cstheme="minorHAnsi"/>
          <w:kern w:val="0"/>
          <w14:ligatures w14:val="none"/>
        </w:rPr>
        <w:t xml:space="preserve"> attempt</w:t>
      </w:r>
      <w:r w:rsidR="00B10E3A" w:rsidRPr="005B1EB5">
        <w:rPr>
          <w:rFonts w:eastAsia="Times New Roman" w:cstheme="minorHAnsi"/>
          <w:kern w:val="0"/>
          <w14:ligatures w14:val="none"/>
        </w:rPr>
        <w:t>s</w:t>
      </w:r>
      <w:r w:rsidR="002B0D3F" w:rsidRPr="005B1EB5">
        <w:rPr>
          <w:rFonts w:eastAsia="Times New Roman" w:cstheme="minorHAnsi"/>
          <w:kern w:val="0"/>
          <w14:ligatures w14:val="none"/>
        </w:rPr>
        <w:t xml:space="preserve"> to eradicate the supply of drugs and discourage drug use </w:t>
      </w:r>
      <w:r w:rsidR="0022026D" w:rsidRPr="005B1EB5">
        <w:rPr>
          <w:rFonts w:eastAsia="Times New Roman" w:cstheme="minorHAnsi"/>
          <w:kern w:val="0"/>
          <w14:ligatures w14:val="none"/>
        </w:rPr>
        <w:t xml:space="preserve">by </w:t>
      </w:r>
      <w:r w:rsidR="00100768" w:rsidRPr="005B1EB5">
        <w:rPr>
          <w:rFonts w:eastAsia="Times New Roman" w:cstheme="minorHAnsi"/>
          <w:kern w:val="0"/>
          <w14:ligatures w14:val="none"/>
        </w:rPr>
        <w:t xml:space="preserve">prohibiting </w:t>
      </w:r>
      <w:r w:rsidR="00B47EE4" w:rsidRPr="005B1EB5">
        <w:rPr>
          <w:rFonts w:eastAsia="Times New Roman" w:cstheme="minorHAnsi"/>
          <w:kern w:val="0"/>
          <w14:ligatures w14:val="none"/>
        </w:rPr>
        <w:t>certain drugs and the precursor chemicals used to make them</w:t>
      </w:r>
      <w:r w:rsidR="00456D08" w:rsidRPr="005B1EB5">
        <w:rPr>
          <w:rFonts w:eastAsia="Times New Roman" w:cstheme="minorHAnsi"/>
          <w:kern w:val="0"/>
          <w14:ligatures w14:val="none"/>
        </w:rPr>
        <w:t xml:space="preserve">, </w:t>
      </w:r>
      <w:r w:rsidR="008C4C07" w:rsidRPr="005B1EB5">
        <w:rPr>
          <w:rFonts w:eastAsia="Times New Roman" w:cstheme="minorHAnsi"/>
          <w:kern w:val="0"/>
          <w14:ligatures w14:val="none"/>
        </w:rPr>
        <w:t>s</w:t>
      </w:r>
      <w:r w:rsidR="00763194" w:rsidRPr="005B1EB5">
        <w:rPr>
          <w:rFonts w:eastAsia="Times New Roman" w:cstheme="minorHAnsi"/>
          <w:kern w:val="0"/>
          <w14:ligatures w14:val="none"/>
        </w:rPr>
        <w:t>eizing drugs (“drug busts”)</w:t>
      </w:r>
      <w:r w:rsidR="00AD2177" w:rsidRPr="005B1EB5">
        <w:rPr>
          <w:rFonts w:eastAsia="Times New Roman" w:cstheme="minorHAnsi"/>
          <w:kern w:val="0"/>
          <w14:ligatures w14:val="none"/>
        </w:rPr>
        <w:t>, and increasing border security,</w:t>
      </w:r>
      <w:r w:rsidR="00763194" w:rsidRPr="005B1EB5">
        <w:rPr>
          <w:rFonts w:eastAsia="Times New Roman" w:cstheme="minorHAnsi"/>
          <w:kern w:val="0"/>
          <w14:ligatures w14:val="none"/>
        </w:rPr>
        <w:t xml:space="preserve"> </w:t>
      </w:r>
      <w:r w:rsidR="00E83E98" w:rsidRPr="005B1EB5">
        <w:rPr>
          <w:rFonts w:eastAsia="Times New Roman" w:cstheme="minorHAnsi"/>
          <w:kern w:val="0"/>
          <w14:ligatures w14:val="none"/>
        </w:rPr>
        <w:t>while</w:t>
      </w:r>
      <w:r w:rsidR="00B47EE4" w:rsidRPr="005B1EB5">
        <w:rPr>
          <w:rFonts w:eastAsia="Times New Roman" w:cstheme="minorHAnsi"/>
          <w:kern w:val="0"/>
          <w14:ligatures w14:val="none"/>
        </w:rPr>
        <w:t xml:space="preserve"> </w:t>
      </w:r>
      <w:r w:rsidR="0022026D" w:rsidRPr="005B1EB5">
        <w:rPr>
          <w:rFonts w:eastAsia="Times New Roman" w:cstheme="minorHAnsi"/>
          <w:kern w:val="0"/>
          <w14:ligatures w14:val="none"/>
        </w:rPr>
        <w:t>criminaliz</w:t>
      </w:r>
      <w:r w:rsidR="00FF3C29" w:rsidRPr="005B1EB5">
        <w:rPr>
          <w:rFonts w:eastAsia="Times New Roman" w:cstheme="minorHAnsi"/>
          <w:kern w:val="0"/>
          <w14:ligatures w14:val="none"/>
        </w:rPr>
        <w:t>ing and punishing</w:t>
      </w:r>
      <w:r w:rsidR="0022026D" w:rsidRPr="005B1EB5">
        <w:rPr>
          <w:rFonts w:eastAsia="Times New Roman" w:cstheme="minorHAnsi"/>
          <w:kern w:val="0"/>
          <w14:ligatures w14:val="none"/>
        </w:rPr>
        <w:t xml:space="preserve"> </w:t>
      </w:r>
      <w:r w:rsidR="00B47EE4" w:rsidRPr="005B1EB5">
        <w:rPr>
          <w:rFonts w:eastAsia="Times New Roman" w:cstheme="minorHAnsi"/>
          <w:kern w:val="0"/>
          <w14:ligatures w14:val="none"/>
        </w:rPr>
        <w:t>certain drug-related activities</w:t>
      </w:r>
      <w:r w:rsidR="00486C28" w:rsidRPr="005B1EB5">
        <w:rPr>
          <w:rFonts w:eastAsia="Times New Roman" w:cstheme="minorHAnsi"/>
          <w:kern w:val="0"/>
          <w14:ligatures w14:val="none"/>
        </w:rPr>
        <w:t xml:space="preserve"> including possessing drugs for personal use</w:t>
      </w:r>
      <w:r w:rsidR="002B0D3F" w:rsidRPr="005B1EB5">
        <w:rPr>
          <w:rFonts w:eastAsia="Times New Roman" w:cstheme="minorHAnsi"/>
          <w:kern w:val="0"/>
          <w14:ligatures w14:val="none"/>
        </w:rPr>
        <w:t>.</w:t>
      </w:r>
    </w:p>
    <w:p w14:paraId="4739F85D" w14:textId="19DF1A51" w:rsidR="00DC6BC7" w:rsidRPr="005B1EB5" w:rsidRDefault="00112503"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These policies and practices have not made drugs less available or addressed the demand for drugs</w:t>
      </w:r>
      <w:r w:rsidR="00C87A5D" w:rsidRPr="005B1EB5">
        <w:rPr>
          <w:rFonts w:eastAsia="Times New Roman" w:cstheme="minorHAnsi"/>
          <w:kern w:val="0"/>
          <w14:ligatures w14:val="none"/>
        </w:rPr>
        <w:t>.</w:t>
      </w:r>
      <w:r w:rsidRPr="005B1EB5">
        <w:rPr>
          <w:rFonts w:eastAsia="Times New Roman" w:cstheme="minorHAnsi"/>
          <w:kern w:val="0"/>
          <w14:ligatures w14:val="none"/>
        </w:rPr>
        <w:t xml:space="preserve"> </w:t>
      </w:r>
      <w:r w:rsidR="00E4377E" w:rsidRPr="005B1EB5">
        <w:rPr>
          <w:rFonts w:eastAsia="Times New Roman" w:cstheme="minorHAnsi"/>
          <w:kern w:val="0"/>
          <w14:ligatures w14:val="none"/>
        </w:rPr>
        <w:t>On the contrary, h</w:t>
      </w:r>
      <w:r w:rsidR="00263913" w:rsidRPr="005B1EB5">
        <w:rPr>
          <w:rFonts w:eastAsia="Times New Roman" w:cstheme="minorHAnsi"/>
          <w:kern w:val="0"/>
          <w14:ligatures w14:val="none"/>
        </w:rPr>
        <w:t xml:space="preserve">igh-level </w:t>
      </w:r>
      <w:r w:rsidR="00A52B2C" w:rsidRPr="005B1EB5">
        <w:rPr>
          <w:rFonts w:eastAsia="Times New Roman" w:cstheme="minorHAnsi"/>
          <w:kern w:val="0"/>
          <w14:ligatures w14:val="none"/>
        </w:rPr>
        <w:t>enforcement</w:t>
      </w:r>
      <w:r w:rsidR="00263913" w:rsidRPr="005B1EB5">
        <w:rPr>
          <w:rFonts w:eastAsia="Times New Roman" w:cstheme="minorHAnsi"/>
          <w:kern w:val="0"/>
          <w14:ligatures w14:val="none"/>
        </w:rPr>
        <w:t xml:space="preserve"> at borders</w:t>
      </w:r>
      <w:r w:rsidR="00BC19D9" w:rsidRPr="005B1EB5">
        <w:rPr>
          <w:rFonts w:eastAsia="Times New Roman" w:cstheme="minorHAnsi"/>
          <w:kern w:val="0"/>
          <w14:ligatures w14:val="none"/>
        </w:rPr>
        <w:t>,</w:t>
      </w:r>
      <w:r w:rsidR="00263913" w:rsidRPr="005B1EB5">
        <w:rPr>
          <w:rFonts w:eastAsia="Times New Roman" w:cstheme="minorHAnsi"/>
          <w:kern w:val="0"/>
          <w14:ligatures w14:val="none"/>
        </w:rPr>
        <w:t xml:space="preserve"> ports</w:t>
      </w:r>
      <w:r w:rsidR="00BC19D9" w:rsidRPr="005B1EB5">
        <w:rPr>
          <w:rFonts w:eastAsia="Times New Roman" w:cstheme="minorHAnsi"/>
          <w:kern w:val="0"/>
          <w14:ligatures w14:val="none"/>
        </w:rPr>
        <w:t xml:space="preserve"> and drug production sites</w:t>
      </w:r>
      <w:r w:rsidR="00263913" w:rsidRPr="005B1EB5">
        <w:rPr>
          <w:rFonts w:eastAsia="Times New Roman" w:cstheme="minorHAnsi"/>
          <w:kern w:val="0"/>
          <w14:ligatures w14:val="none"/>
        </w:rPr>
        <w:t xml:space="preserve">, combined with low-level street </w:t>
      </w:r>
      <w:r w:rsidR="00A52B2C" w:rsidRPr="005B1EB5">
        <w:rPr>
          <w:rFonts w:eastAsia="Times New Roman" w:cstheme="minorHAnsi"/>
          <w:kern w:val="0"/>
          <w14:ligatures w14:val="none"/>
        </w:rPr>
        <w:t>policing</w:t>
      </w:r>
      <w:r w:rsidR="00E4377E" w:rsidRPr="005B1EB5">
        <w:rPr>
          <w:rFonts w:eastAsia="Times New Roman" w:cstheme="minorHAnsi"/>
          <w:kern w:val="0"/>
          <w14:ligatures w14:val="none"/>
        </w:rPr>
        <w:t xml:space="preserve"> </w:t>
      </w:r>
      <w:r w:rsidR="00263913" w:rsidRPr="005B1EB5">
        <w:rPr>
          <w:rFonts w:eastAsia="Times New Roman" w:cstheme="minorHAnsi"/>
          <w:kern w:val="0"/>
          <w14:ligatures w14:val="none"/>
        </w:rPr>
        <w:t xml:space="preserve">disrupts the drug supply chain. Instead of making drugs less available, it </w:t>
      </w:r>
      <w:r w:rsidR="00263913" w:rsidRPr="005B1EB5">
        <w:rPr>
          <w:rFonts w:eastAsia="Times New Roman" w:cstheme="minorHAnsi"/>
          <w:kern w:val="0"/>
          <w14:ligatures w14:val="none"/>
        </w:rPr>
        <w:lastRenderedPageBreak/>
        <w:t xml:space="preserve">often makes the illegal market more chaotic. </w:t>
      </w:r>
      <w:r w:rsidR="00AB2B21" w:rsidRPr="005B1EB5">
        <w:rPr>
          <w:rFonts w:eastAsia="Times New Roman" w:cstheme="minorHAnsi"/>
          <w:kern w:val="0"/>
          <w14:ligatures w14:val="none"/>
        </w:rPr>
        <w:t>Drug</w:t>
      </w:r>
      <w:r w:rsidR="006A71F8" w:rsidRPr="005B1EB5">
        <w:rPr>
          <w:rFonts w:eastAsia="Times New Roman" w:cstheme="minorHAnsi"/>
          <w:kern w:val="0"/>
          <w14:ligatures w14:val="none"/>
        </w:rPr>
        <w:t xml:space="preserve"> producers adapt</w:t>
      </w:r>
      <w:r w:rsidR="00F807A6" w:rsidRPr="005B1EB5">
        <w:rPr>
          <w:rFonts w:eastAsia="Times New Roman" w:cstheme="minorHAnsi"/>
          <w:kern w:val="0"/>
          <w14:ligatures w14:val="none"/>
        </w:rPr>
        <w:t xml:space="preserve"> to </w:t>
      </w:r>
      <w:r w:rsidR="007B4E2B" w:rsidRPr="005B1EB5">
        <w:rPr>
          <w:rFonts w:eastAsia="Times New Roman" w:cstheme="minorHAnsi"/>
          <w:kern w:val="0"/>
          <w14:ligatures w14:val="none"/>
        </w:rPr>
        <w:t xml:space="preserve">replace </w:t>
      </w:r>
      <w:r w:rsidR="00BA24FA" w:rsidRPr="005B1EB5">
        <w:rPr>
          <w:rFonts w:eastAsia="Times New Roman" w:cstheme="minorHAnsi"/>
          <w:kern w:val="0"/>
          <w14:ligatures w14:val="none"/>
        </w:rPr>
        <w:t>seized</w:t>
      </w:r>
      <w:r w:rsidR="00BB3CF3" w:rsidRPr="005B1EB5">
        <w:rPr>
          <w:rFonts w:eastAsia="Times New Roman" w:cstheme="minorHAnsi"/>
          <w:kern w:val="0"/>
          <w14:ligatures w14:val="none"/>
        </w:rPr>
        <w:t xml:space="preserve"> drugs</w:t>
      </w:r>
      <w:r w:rsidR="005A728D" w:rsidRPr="005B1EB5">
        <w:rPr>
          <w:rFonts w:eastAsia="Times New Roman" w:cstheme="minorHAnsi"/>
          <w:kern w:val="0"/>
          <w14:ligatures w14:val="none"/>
        </w:rPr>
        <w:t>,</w:t>
      </w:r>
      <w:r w:rsidR="00BA24FA" w:rsidRPr="005B1EB5">
        <w:rPr>
          <w:rFonts w:eastAsia="Times New Roman" w:cstheme="minorHAnsi"/>
          <w:kern w:val="0"/>
          <w14:ligatures w14:val="none"/>
        </w:rPr>
        <w:t xml:space="preserve"> stretch </w:t>
      </w:r>
      <w:r w:rsidR="00F00F88" w:rsidRPr="005B1EB5">
        <w:rPr>
          <w:rFonts w:eastAsia="Times New Roman" w:cstheme="minorHAnsi"/>
          <w:kern w:val="0"/>
          <w14:ligatures w14:val="none"/>
        </w:rPr>
        <w:t xml:space="preserve">supplies by using </w:t>
      </w:r>
      <w:r w:rsidR="0025298A" w:rsidRPr="005B1EB5">
        <w:rPr>
          <w:rFonts w:eastAsia="Times New Roman" w:cstheme="minorHAnsi"/>
          <w:kern w:val="0"/>
          <w14:ligatures w14:val="none"/>
        </w:rPr>
        <w:t>additive</w:t>
      </w:r>
      <w:r w:rsidR="005A728D" w:rsidRPr="005B1EB5">
        <w:rPr>
          <w:rFonts w:eastAsia="Times New Roman" w:cstheme="minorHAnsi"/>
          <w:kern w:val="0"/>
          <w14:ligatures w14:val="none"/>
        </w:rPr>
        <w:t>s</w:t>
      </w:r>
      <w:r w:rsidR="00F84354" w:rsidRPr="005B1EB5">
        <w:rPr>
          <w:rFonts w:eastAsia="Times New Roman" w:cstheme="minorHAnsi"/>
          <w:kern w:val="0"/>
          <w14:ligatures w14:val="none"/>
        </w:rPr>
        <w:t>,</w:t>
      </w:r>
      <w:r w:rsidR="005A728D" w:rsidRPr="005B1EB5">
        <w:rPr>
          <w:rFonts w:eastAsia="Times New Roman" w:cstheme="minorHAnsi"/>
          <w:kern w:val="0"/>
          <w14:ligatures w14:val="none"/>
        </w:rPr>
        <w:t xml:space="preserve"> and use more concentrated substances to evade detection</w:t>
      </w:r>
      <w:r w:rsidR="006A71F8" w:rsidRPr="005B1EB5">
        <w:rPr>
          <w:rFonts w:eastAsia="Times New Roman" w:cstheme="minorHAnsi"/>
          <w:kern w:val="0"/>
          <w14:ligatures w14:val="none"/>
        </w:rPr>
        <w:t xml:space="preserve">. </w:t>
      </w:r>
      <w:r w:rsidR="00FC1AF6" w:rsidRPr="005B1EB5">
        <w:rPr>
          <w:rFonts w:eastAsia="Times New Roman" w:cstheme="minorHAnsi"/>
          <w:kern w:val="0"/>
          <w14:ligatures w14:val="none"/>
        </w:rPr>
        <w:t>Years of drug law enforcement has led to p</w:t>
      </w:r>
      <w:r w:rsidR="00121D42" w:rsidRPr="005B1EB5">
        <w:rPr>
          <w:rFonts w:eastAsia="Times New Roman" w:cstheme="minorHAnsi"/>
          <w:kern w:val="0"/>
          <w14:ligatures w14:val="none"/>
        </w:rPr>
        <w:t xml:space="preserve">lant-based drugs like heroin </w:t>
      </w:r>
      <w:r w:rsidR="00FC1AF6" w:rsidRPr="005B1EB5">
        <w:rPr>
          <w:rFonts w:eastAsia="Times New Roman" w:cstheme="minorHAnsi"/>
          <w:kern w:val="0"/>
          <w14:ligatures w14:val="none"/>
        </w:rPr>
        <w:t xml:space="preserve">being </w:t>
      </w:r>
      <w:r w:rsidR="00D84C86" w:rsidRPr="005B1EB5">
        <w:rPr>
          <w:rFonts w:eastAsia="Times New Roman" w:cstheme="minorHAnsi"/>
          <w:kern w:val="0"/>
          <w14:ligatures w14:val="none"/>
        </w:rPr>
        <w:t xml:space="preserve">displaced </w:t>
      </w:r>
      <w:r w:rsidR="00FC1AF6" w:rsidRPr="005B1EB5">
        <w:rPr>
          <w:rFonts w:eastAsia="Times New Roman" w:cstheme="minorHAnsi"/>
          <w:kern w:val="0"/>
          <w14:ligatures w14:val="none"/>
        </w:rPr>
        <w:t xml:space="preserve">by </w:t>
      </w:r>
      <w:r w:rsidR="000D169E" w:rsidRPr="005B1EB5">
        <w:rPr>
          <w:rFonts w:eastAsia="Times New Roman" w:cstheme="minorHAnsi"/>
          <w:kern w:val="0"/>
          <w14:ligatures w14:val="none"/>
        </w:rPr>
        <w:t xml:space="preserve">more potent </w:t>
      </w:r>
      <w:r w:rsidR="002E0297" w:rsidRPr="005B1EB5">
        <w:rPr>
          <w:rFonts w:eastAsia="Times New Roman" w:cstheme="minorHAnsi"/>
          <w:kern w:val="0"/>
          <w14:ligatures w14:val="none"/>
        </w:rPr>
        <w:t xml:space="preserve">synthetic drugs </w:t>
      </w:r>
      <w:r w:rsidR="008D3453" w:rsidRPr="005B1EB5">
        <w:rPr>
          <w:rFonts w:eastAsia="Times New Roman" w:cstheme="minorHAnsi"/>
          <w:kern w:val="0"/>
          <w14:ligatures w14:val="none"/>
        </w:rPr>
        <w:t>like fentanyl</w:t>
      </w:r>
      <w:r w:rsidR="004808FE" w:rsidRPr="005B1EB5">
        <w:rPr>
          <w:rFonts w:eastAsia="Times New Roman" w:cstheme="minorHAnsi"/>
          <w:kern w:val="0"/>
          <w14:ligatures w14:val="none"/>
        </w:rPr>
        <w:t xml:space="preserve">. </w:t>
      </w:r>
      <w:r w:rsidR="00583E33" w:rsidRPr="005B1EB5">
        <w:rPr>
          <w:rFonts w:eastAsia="Times New Roman" w:cstheme="minorHAnsi"/>
          <w:kern w:val="0"/>
          <w14:ligatures w14:val="none"/>
        </w:rPr>
        <w:t xml:space="preserve">Prohibition </w:t>
      </w:r>
      <w:r w:rsidR="00A22153" w:rsidRPr="005B1EB5">
        <w:rPr>
          <w:rFonts w:eastAsia="Times New Roman" w:cstheme="minorHAnsi"/>
          <w:kern w:val="0"/>
          <w14:ligatures w14:val="none"/>
        </w:rPr>
        <w:t>has also le</w:t>
      </w:r>
      <w:r w:rsidR="002B0D3F" w:rsidRPr="005B1EB5">
        <w:rPr>
          <w:rFonts w:eastAsia="Times New Roman" w:cstheme="minorHAnsi"/>
          <w:kern w:val="0"/>
          <w14:ligatures w14:val="none"/>
        </w:rPr>
        <w:t xml:space="preserve">d </w:t>
      </w:r>
      <w:r w:rsidR="00A22153" w:rsidRPr="005B1EB5">
        <w:rPr>
          <w:rFonts w:eastAsia="Times New Roman" w:cstheme="minorHAnsi"/>
          <w:kern w:val="0"/>
          <w14:ligatures w14:val="none"/>
        </w:rPr>
        <w:t xml:space="preserve">to </w:t>
      </w:r>
      <w:r w:rsidR="002B0D3F" w:rsidRPr="005B1EB5">
        <w:rPr>
          <w:rFonts w:eastAsia="Times New Roman" w:cstheme="minorHAnsi"/>
          <w:kern w:val="0"/>
          <w14:ligatures w14:val="none"/>
        </w:rPr>
        <w:t xml:space="preserve">the use of unpredictable additives </w:t>
      </w:r>
      <w:r w:rsidR="00894AC3" w:rsidRPr="005B1EB5">
        <w:rPr>
          <w:rFonts w:eastAsia="Times New Roman" w:cstheme="minorHAnsi"/>
          <w:kern w:val="0"/>
          <w14:ligatures w14:val="none"/>
        </w:rPr>
        <w:t xml:space="preserve">or substitutes </w:t>
      </w:r>
      <w:r w:rsidR="002B0D3F" w:rsidRPr="005B1EB5">
        <w:rPr>
          <w:rFonts w:eastAsia="Times New Roman" w:cstheme="minorHAnsi"/>
          <w:kern w:val="0"/>
          <w14:ligatures w14:val="none"/>
        </w:rPr>
        <w:t xml:space="preserve">(e.g. </w:t>
      </w:r>
      <w:hyperlink r:id="rId27" w:history="1">
        <w:r w:rsidR="002B0D3F" w:rsidRPr="005B1EB5">
          <w:rPr>
            <w:rStyle w:val="Hyperlink"/>
            <w:rFonts w:asciiTheme="minorHAnsi" w:eastAsia="Times New Roman" w:hAnsiTheme="minorHAnsi" w:cstheme="minorHAnsi"/>
            <w:kern w:val="0"/>
            <w14:ligatures w14:val="none"/>
          </w:rPr>
          <w:t>benzodiazepines</w:t>
        </w:r>
      </w:hyperlink>
      <w:r w:rsidR="003C60F9" w:rsidRPr="005B1EB5">
        <w:rPr>
          <w:rStyle w:val="EndnoteReference"/>
          <w:rFonts w:eastAsia="Times New Roman" w:cstheme="minorHAnsi"/>
          <w:kern w:val="0"/>
          <w14:ligatures w14:val="none"/>
        </w:rPr>
        <w:endnoteReference w:id="16"/>
      </w:r>
      <w:r w:rsidR="002B0D3F" w:rsidRPr="005B1EB5">
        <w:rPr>
          <w:rFonts w:eastAsia="Times New Roman" w:cstheme="minorHAnsi"/>
          <w:kern w:val="0"/>
          <w14:ligatures w14:val="none"/>
        </w:rPr>
        <w:t>,</w:t>
      </w:r>
      <w:r w:rsidR="0003024C" w:rsidRPr="005B1EB5">
        <w:rPr>
          <w:rFonts w:eastAsia="Times New Roman" w:cstheme="minorHAnsi"/>
          <w:kern w:val="0"/>
          <w14:ligatures w14:val="none"/>
        </w:rPr>
        <w:t xml:space="preserve"> </w:t>
      </w:r>
      <w:hyperlink r:id="rId28" w:history="1">
        <w:r w:rsidR="0003024C" w:rsidRPr="005B1EB5">
          <w:rPr>
            <w:rStyle w:val="Hyperlink"/>
            <w:rFonts w:asciiTheme="minorHAnsi" w:eastAsia="Times New Roman" w:hAnsiTheme="minorHAnsi" w:cstheme="minorHAnsi"/>
            <w:kern w:val="0"/>
            <w14:ligatures w14:val="none"/>
          </w:rPr>
          <w:t>nitaz</w:t>
        </w:r>
        <w:r w:rsidR="00590A0A" w:rsidRPr="005B1EB5">
          <w:rPr>
            <w:rStyle w:val="Hyperlink"/>
            <w:rFonts w:asciiTheme="minorHAnsi" w:eastAsia="Times New Roman" w:hAnsiTheme="minorHAnsi" w:cstheme="minorHAnsi"/>
            <w:kern w:val="0"/>
            <w14:ligatures w14:val="none"/>
          </w:rPr>
          <w:t>e</w:t>
        </w:r>
        <w:r w:rsidR="0003024C" w:rsidRPr="005B1EB5">
          <w:rPr>
            <w:rStyle w:val="Hyperlink"/>
            <w:rFonts w:asciiTheme="minorHAnsi" w:eastAsia="Times New Roman" w:hAnsiTheme="minorHAnsi" w:cstheme="minorHAnsi"/>
            <w:kern w:val="0"/>
            <w14:ligatures w14:val="none"/>
          </w:rPr>
          <w:t>nes</w:t>
        </w:r>
      </w:hyperlink>
      <w:r w:rsidR="00590A0A" w:rsidRPr="005B1EB5">
        <w:rPr>
          <w:rStyle w:val="EndnoteReference"/>
          <w:rFonts w:eastAsia="Times New Roman" w:cstheme="minorHAnsi"/>
          <w:kern w:val="0"/>
          <w14:ligatures w14:val="none"/>
        </w:rPr>
        <w:endnoteReference w:id="17"/>
      </w:r>
      <w:r w:rsidR="00590A0A" w:rsidRPr="005B1EB5">
        <w:rPr>
          <w:rFonts w:eastAsia="Times New Roman" w:cstheme="minorHAnsi"/>
          <w:kern w:val="0"/>
          <w14:ligatures w14:val="none"/>
        </w:rPr>
        <w:t>,</w:t>
      </w:r>
      <w:r w:rsidR="002B0D3F" w:rsidRPr="005B1EB5">
        <w:rPr>
          <w:rFonts w:eastAsia="Times New Roman" w:cstheme="minorHAnsi"/>
          <w:kern w:val="0"/>
          <w14:ligatures w14:val="none"/>
        </w:rPr>
        <w:t xml:space="preserve"> </w:t>
      </w:r>
      <w:hyperlink r:id="rId29" w:history="1">
        <w:r w:rsidR="002B0D3F" w:rsidRPr="005B1EB5">
          <w:rPr>
            <w:rStyle w:val="Hyperlink"/>
            <w:rFonts w:asciiTheme="minorHAnsi" w:eastAsia="Times New Roman" w:hAnsiTheme="minorHAnsi" w:cstheme="minorHAnsi"/>
            <w:kern w:val="0"/>
            <w14:ligatures w14:val="none"/>
          </w:rPr>
          <w:t>veterinary tranquilizers</w:t>
        </w:r>
      </w:hyperlink>
      <w:r w:rsidR="00373844" w:rsidRPr="005B1EB5">
        <w:rPr>
          <w:rStyle w:val="EndnoteReference"/>
          <w:rFonts w:eastAsia="Times New Roman" w:cstheme="minorHAnsi"/>
          <w:kern w:val="0"/>
          <w14:ligatures w14:val="none"/>
        </w:rPr>
        <w:endnoteReference w:id="18"/>
      </w:r>
      <w:r w:rsidR="002B0D3F" w:rsidRPr="005B1EB5">
        <w:rPr>
          <w:rFonts w:eastAsia="Times New Roman" w:cstheme="minorHAnsi"/>
          <w:kern w:val="0"/>
          <w14:ligatures w14:val="none"/>
        </w:rPr>
        <w:t xml:space="preserve">). </w:t>
      </w:r>
      <w:r w:rsidR="00F84354" w:rsidRPr="005B1EB5">
        <w:rPr>
          <w:rFonts w:cstheme="minorHAnsi"/>
        </w:rPr>
        <w:t xml:space="preserve"> </w:t>
      </w:r>
      <w:r w:rsidR="00F84354" w:rsidRPr="005B1EB5">
        <w:rPr>
          <w:rFonts w:eastAsia="Times New Roman" w:cstheme="minorHAnsi"/>
          <w:kern w:val="0"/>
          <w14:ligatures w14:val="none"/>
        </w:rPr>
        <w:t xml:space="preserve">The result is a more unpredictable, and often more toxic, unregulated drug supply, which increases the risk of </w:t>
      </w:r>
      <w:r w:rsidR="005D1A87" w:rsidRPr="005B1EB5">
        <w:rPr>
          <w:rFonts w:eastAsia="Times New Roman" w:cstheme="minorHAnsi"/>
          <w:kern w:val="0"/>
          <w14:ligatures w14:val="none"/>
        </w:rPr>
        <w:t>death</w:t>
      </w:r>
      <w:r w:rsidR="00F84354" w:rsidRPr="005B1EB5">
        <w:rPr>
          <w:rFonts w:eastAsia="Times New Roman" w:cstheme="minorHAnsi"/>
          <w:kern w:val="0"/>
          <w14:ligatures w14:val="none"/>
        </w:rPr>
        <w:t xml:space="preserve"> and harm for people who use drugs, even when their patterns</w:t>
      </w:r>
      <w:r w:rsidR="004F3675" w:rsidRPr="005B1EB5">
        <w:rPr>
          <w:rFonts w:eastAsia="Times New Roman" w:cstheme="minorHAnsi"/>
          <w:kern w:val="0"/>
          <w14:ligatures w14:val="none"/>
        </w:rPr>
        <w:t xml:space="preserve"> of use</w:t>
      </w:r>
      <w:r w:rsidR="00F84354" w:rsidRPr="005B1EB5">
        <w:rPr>
          <w:rFonts w:eastAsia="Times New Roman" w:cstheme="minorHAnsi"/>
          <w:kern w:val="0"/>
          <w14:ligatures w14:val="none"/>
        </w:rPr>
        <w:t xml:space="preserve"> have not changed.</w:t>
      </w:r>
    </w:p>
    <w:p w14:paraId="131DD500" w14:textId="2D06429A" w:rsidR="00766814" w:rsidRPr="005B1EB5" w:rsidRDefault="00962F42"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This</w:t>
      </w:r>
      <w:r w:rsidR="00766814" w:rsidRPr="005B1EB5">
        <w:rPr>
          <w:rFonts w:eastAsia="Times New Roman" w:cstheme="minorHAnsi"/>
          <w:kern w:val="0"/>
          <w14:ligatures w14:val="none"/>
        </w:rPr>
        <w:t xml:space="preserve"> approach to illegal drugs—unlike alcohol, cannabis and prescription drugs—does not enforce any quality controls to increase safety and decrease risk.</w:t>
      </w:r>
      <w:r w:rsidR="00F84354" w:rsidRPr="005B1EB5">
        <w:rPr>
          <w:rFonts w:eastAsia="Times New Roman" w:cstheme="minorHAnsi"/>
          <w:kern w:val="0"/>
          <w14:ligatures w14:val="none"/>
        </w:rPr>
        <w:t xml:space="preserve"> Throughout this submission we refer to the drug supply as “unregulated” because these drugs are manufactured without regulatory consumer protections to ensure people know the contents, dosage, and purity of the substances they ingest.</w:t>
      </w:r>
      <w:r w:rsidR="00F84354" w:rsidRPr="005B1EB5">
        <w:rPr>
          <w:rStyle w:val="FootnoteReference"/>
          <w:rFonts w:eastAsia="Times New Roman" w:cstheme="minorHAnsi"/>
          <w:kern w:val="0"/>
          <w14:ligatures w14:val="none"/>
        </w:rPr>
        <w:footnoteReference w:id="3"/>
      </w:r>
    </w:p>
    <w:p w14:paraId="50C4C015" w14:textId="5A176EFC"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Canada’s focus on criminal enforcement pushes people to use alone and in less safe, hidden environments</w:t>
      </w:r>
      <w:r w:rsidR="001C79DA" w:rsidRPr="005B1EB5">
        <w:rPr>
          <w:rFonts w:eastAsia="Times New Roman" w:cstheme="minorHAnsi"/>
          <w:kern w:val="0"/>
          <w14:ligatures w14:val="none"/>
        </w:rPr>
        <w:t xml:space="preserve">, </w:t>
      </w:r>
      <w:r w:rsidR="00A8329A" w:rsidRPr="005B1EB5">
        <w:rPr>
          <w:rFonts w:eastAsia="Times New Roman" w:cstheme="minorHAnsi"/>
          <w:kern w:val="0"/>
          <w14:ligatures w14:val="none"/>
        </w:rPr>
        <w:t>because they</w:t>
      </w:r>
      <w:r w:rsidR="001C79DA" w:rsidRPr="005B1EB5">
        <w:rPr>
          <w:rFonts w:eastAsia="Times New Roman" w:cstheme="minorHAnsi"/>
          <w:kern w:val="0"/>
          <w14:ligatures w14:val="none"/>
        </w:rPr>
        <w:t xml:space="preserve"> fear </w:t>
      </w:r>
      <w:r w:rsidR="004B7956" w:rsidRPr="005B1EB5">
        <w:rPr>
          <w:rFonts w:eastAsia="Times New Roman" w:cstheme="minorHAnsi"/>
          <w:kern w:val="0"/>
          <w14:ligatures w14:val="none"/>
        </w:rPr>
        <w:t>punishment.</w:t>
      </w:r>
      <w:r w:rsidRPr="005B1EB5">
        <w:rPr>
          <w:rFonts w:eastAsia="Times New Roman" w:cstheme="minorHAnsi"/>
          <w:kern w:val="0"/>
          <w14:ligatures w14:val="none"/>
        </w:rPr>
        <w:t xml:space="preserve"> </w:t>
      </w:r>
      <w:r w:rsidR="001C79DA" w:rsidRPr="005B1EB5">
        <w:rPr>
          <w:rFonts w:eastAsia="Times New Roman" w:cstheme="minorHAnsi"/>
          <w:kern w:val="0"/>
          <w14:ligatures w14:val="none"/>
        </w:rPr>
        <w:t>This makes it more difficult</w:t>
      </w:r>
      <w:r w:rsidRPr="005B1EB5">
        <w:rPr>
          <w:rFonts w:eastAsia="Times New Roman" w:cstheme="minorHAnsi"/>
          <w:kern w:val="0"/>
          <w14:ligatures w14:val="none"/>
        </w:rPr>
        <w:t xml:space="preserve"> </w:t>
      </w:r>
      <w:r w:rsidR="001C79DA" w:rsidRPr="005B1EB5">
        <w:rPr>
          <w:rFonts w:eastAsia="Times New Roman" w:cstheme="minorHAnsi"/>
          <w:kern w:val="0"/>
          <w14:ligatures w14:val="none"/>
        </w:rPr>
        <w:t xml:space="preserve">for </w:t>
      </w:r>
      <w:r w:rsidRPr="005B1EB5">
        <w:rPr>
          <w:rFonts w:eastAsia="Times New Roman" w:cstheme="minorHAnsi"/>
          <w:kern w:val="0"/>
          <w14:ligatures w14:val="none"/>
        </w:rPr>
        <w:t>medical first responders to find them to provide life-saving care</w:t>
      </w:r>
      <w:r w:rsidR="008B30A0" w:rsidRPr="005B1EB5">
        <w:rPr>
          <w:rFonts w:eastAsia="Times New Roman" w:cstheme="minorHAnsi"/>
          <w:kern w:val="0"/>
          <w14:ligatures w14:val="none"/>
        </w:rPr>
        <w:t>.</w:t>
      </w:r>
      <w:r w:rsidRPr="005B1EB5">
        <w:rPr>
          <w:rFonts w:eastAsia="Times New Roman" w:cstheme="minorHAnsi"/>
          <w:kern w:val="0"/>
          <w14:ligatures w14:val="none"/>
        </w:rPr>
        <w:t xml:space="preserve"> </w:t>
      </w:r>
      <w:r w:rsidR="008B30A0" w:rsidRPr="005B1EB5">
        <w:rPr>
          <w:rFonts w:eastAsia="Times New Roman" w:cstheme="minorHAnsi"/>
          <w:kern w:val="0"/>
          <w14:ligatures w14:val="none"/>
        </w:rPr>
        <w:t>Criminalization also drives stigma and discrimination</w:t>
      </w:r>
      <w:r w:rsidR="00EA2AF2" w:rsidRPr="005B1EB5">
        <w:rPr>
          <w:rFonts w:eastAsia="Times New Roman" w:cstheme="minorHAnsi"/>
          <w:kern w:val="0"/>
          <w14:ligatures w14:val="none"/>
        </w:rPr>
        <w:t>. Th</w:t>
      </w:r>
      <w:r w:rsidR="00631DE1" w:rsidRPr="005B1EB5">
        <w:rPr>
          <w:rFonts w:eastAsia="Times New Roman" w:cstheme="minorHAnsi"/>
          <w:kern w:val="0"/>
          <w14:ligatures w14:val="none"/>
        </w:rPr>
        <w:t xml:space="preserve">is </w:t>
      </w:r>
      <w:r w:rsidRPr="005B1EB5">
        <w:rPr>
          <w:rFonts w:eastAsia="Times New Roman" w:cstheme="minorHAnsi"/>
          <w:kern w:val="0"/>
          <w14:ligatures w14:val="none"/>
        </w:rPr>
        <w:t xml:space="preserve">discourages people from disclosing </w:t>
      </w:r>
      <w:r w:rsidR="00CC2320" w:rsidRPr="005B1EB5">
        <w:rPr>
          <w:rFonts w:eastAsia="Times New Roman" w:cstheme="minorHAnsi"/>
          <w:kern w:val="0"/>
          <w14:ligatures w14:val="none"/>
        </w:rPr>
        <w:t xml:space="preserve">their </w:t>
      </w:r>
      <w:r w:rsidRPr="005B1EB5">
        <w:rPr>
          <w:rFonts w:eastAsia="Times New Roman" w:cstheme="minorHAnsi"/>
          <w:kern w:val="0"/>
          <w14:ligatures w14:val="none"/>
        </w:rPr>
        <w:t xml:space="preserve">drug use and seeking </w:t>
      </w:r>
      <w:r w:rsidR="002762B5" w:rsidRPr="005B1EB5">
        <w:rPr>
          <w:rFonts w:eastAsia="Times New Roman" w:cstheme="minorHAnsi"/>
          <w:kern w:val="0"/>
          <w14:ligatures w14:val="none"/>
        </w:rPr>
        <w:t>health and social supports</w:t>
      </w:r>
      <w:r w:rsidR="003131FC" w:rsidRPr="005B1EB5">
        <w:rPr>
          <w:rFonts w:eastAsia="Times New Roman" w:cstheme="minorHAnsi"/>
          <w:kern w:val="0"/>
          <w14:ligatures w14:val="none"/>
        </w:rPr>
        <w:t xml:space="preserve"> (e.g. </w:t>
      </w:r>
      <w:r w:rsidRPr="005B1EB5">
        <w:rPr>
          <w:rFonts w:eastAsia="Times New Roman" w:cstheme="minorHAnsi"/>
          <w:kern w:val="0"/>
          <w14:ligatures w14:val="none"/>
        </w:rPr>
        <w:t>treatment</w:t>
      </w:r>
      <w:r w:rsidR="003131FC" w:rsidRPr="005B1EB5">
        <w:rPr>
          <w:rFonts w:eastAsia="Times New Roman" w:cstheme="minorHAnsi"/>
          <w:kern w:val="0"/>
          <w14:ligatures w14:val="none"/>
        </w:rPr>
        <w:t>, primary care, housing)</w:t>
      </w:r>
      <w:r w:rsidRPr="005B1EB5">
        <w:rPr>
          <w:rFonts w:eastAsia="Times New Roman" w:cstheme="minorHAnsi"/>
          <w:kern w:val="0"/>
          <w14:ligatures w14:val="none"/>
        </w:rPr>
        <w:t>.</w:t>
      </w:r>
    </w:p>
    <w:p w14:paraId="2709D8CC" w14:textId="477A651D"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Under Articles 2, 6 and 26 of the ICCPR, Canada has obligations to not only refrain from arbitrary deprivation of life, but also to take reasonable and effective measures to protect life without discrimination where threats are foreseeable. Here we refer the Committee to, and endorse, the “Joint statement urging review of Canada’s position on positive obligations under </w:t>
      </w:r>
      <w:r w:rsidR="00251CC7" w:rsidRPr="005B1EB5">
        <w:rPr>
          <w:rFonts w:eastAsia="Times New Roman" w:cstheme="minorHAnsi"/>
          <w:kern w:val="0"/>
          <w14:ligatures w14:val="none"/>
        </w:rPr>
        <w:t>A</w:t>
      </w:r>
      <w:r w:rsidRPr="005B1EB5">
        <w:rPr>
          <w:rFonts w:eastAsia="Times New Roman" w:cstheme="minorHAnsi"/>
          <w:kern w:val="0"/>
          <w14:ligatures w14:val="none"/>
        </w:rPr>
        <w:t>rticle 6”</w:t>
      </w:r>
      <w:r w:rsidR="00251CC7" w:rsidRPr="005B1EB5">
        <w:rPr>
          <w:rFonts w:eastAsia="Times New Roman" w:cstheme="minorHAnsi"/>
          <w:kern w:val="0"/>
          <w14:ligatures w14:val="none"/>
        </w:rPr>
        <w:t>.</w:t>
      </w:r>
      <w:r w:rsidRPr="005B1EB5">
        <w:rPr>
          <w:rFonts w:eastAsia="Times New Roman" w:cstheme="minorHAnsi"/>
          <w:kern w:val="0"/>
          <w14:ligatures w14:val="none"/>
        </w:rPr>
        <w:t xml:space="preserve"> </w:t>
      </w:r>
    </w:p>
    <w:p w14:paraId="5948D5CB" w14:textId="59B026DD" w:rsidR="00935527" w:rsidRPr="005B1EB5" w:rsidRDefault="00935527"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Further, drug law enforcement and punitive policies disproportionately affect </w:t>
      </w:r>
      <w:hyperlink r:id="rId30" w:history="1">
        <w:r w:rsidRPr="005B1EB5">
          <w:rPr>
            <w:rStyle w:val="Hyperlink"/>
            <w:rFonts w:asciiTheme="minorHAnsi" w:eastAsia="Times New Roman" w:hAnsiTheme="minorHAnsi" w:cstheme="minorHAnsi"/>
            <w:kern w:val="0"/>
            <w14:ligatures w14:val="none"/>
          </w:rPr>
          <w:t>Indigenous</w:t>
        </w:r>
      </w:hyperlink>
      <w:r w:rsidR="00490BB9" w:rsidRPr="005B1EB5">
        <w:rPr>
          <w:rStyle w:val="EndnoteReference"/>
          <w:rFonts w:eastAsia="Times New Roman" w:cstheme="minorHAnsi"/>
          <w:kern w:val="0"/>
          <w14:ligatures w14:val="none"/>
        </w:rPr>
        <w:endnoteReference w:id="19"/>
      </w:r>
      <w:r w:rsidRPr="005B1EB5">
        <w:rPr>
          <w:rFonts w:eastAsia="Times New Roman" w:cstheme="minorHAnsi"/>
          <w:kern w:val="0"/>
          <w14:ligatures w14:val="none"/>
        </w:rPr>
        <w:t xml:space="preserve"> </w:t>
      </w:r>
      <w:hyperlink r:id="rId31" w:history="1">
        <w:r w:rsidR="00C62693" w:rsidRPr="005B1EB5">
          <w:rPr>
            <w:rStyle w:val="Hyperlink"/>
            <w:rFonts w:asciiTheme="minorHAnsi" w:eastAsia="Times New Roman" w:hAnsiTheme="minorHAnsi" w:cstheme="minorHAnsi"/>
            <w:kern w:val="0"/>
            <w14:ligatures w14:val="none"/>
          </w:rPr>
          <w:t>P</w:t>
        </w:r>
        <w:r w:rsidRPr="005B1EB5">
          <w:rPr>
            <w:rStyle w:val="Hyperlink"/>
            <w:rFonts w:asciiTheme="minorHAnsi" w:eastAsia="Times New Roman" w:hAnsiTheme="minorHAnsi" w:cstheme="minorHAnsi"/>
            <w:kern w:val="0"/>
            <w14:ligatures w14:val="none"/>
          </w:rPr>
          <w:t>eoples</w:t>
        </w:r>
      </w:hyperlink>
      <w:r w:rsidR="00655E64" w:rsidRPr="005B1EB5">
        <w:rPr>
          <w:rStyle w:val="EndnoteReference"/>
          <w:rFonts w:eastAsia="Times New Roman" w:cstheme="minorHAnsi"/>
          <w:kern w:val="0"/>
          <w14:ligatures w14:val="none"/>
        </w:rPr>
        <w:endnoteReference w:id="20"/>
      </w:r>
      <w:r w:rsidRPr="005B1EB5">
        <w:rPr>
          <w:rFonts w:eastAsia="Times New Roman" w:cstheme="minorHAnsi"/>
          <w:kern w:val="0"/>
          <w14:ligatures w14:val="none"/>
        </w:rPr>
        <w:t>,</w:t>
      </w:r>
      <w:r w:rsidR="005431B8" w:rsidRPr="005B1EB5">
        <w:rPr>
          <w:rFonts w:eastAsia="Times New Roman" w:cstheme="minorHAnsi"/>
          <w:kern w:val="0"/>
          <w14:ligatures w14:val="none"/>
        </w:rPr>
        <w:t xml:space="preserve"> </w:t>
      </w:r>
      <w:hyperlink r:id="rId32" w:history="1">
        <w:r w:rsidR="005431B8" w:rsidRPr="005B1EB5">
          <w:rPr>
            <w:rStyle w:val="Hyperlink"/>
            <w:rFonts w:asciiTheme="minorHAnsi" w:eastAsia="Times New Roman" w:hAnsiTheme="minorHAnsi" w:cstheme="minorHAnsi"/>
            <w:kern w:val="0"/>
            <w14:ligatures w14:val="none"/>
          </w:rPr>
          <w:t>Black</w:t>
        </w:r>
      </w:hyperlink>
      <w:r w:rsidR="005431B8" w:rsidRPr="005B1EB5">
        <w:rPr>
          <w:rStyle w:val="EndnoteReference"/>
          <w:rFonts w:eastAsia="Times New Roman" w:cstheme="minorHAnsi"/>
          <w:kern w:val="0"/>
          <w14:ligatures w14:val="none"/>
        </w:rPr>
        <w:endnoteReference w:id="21"/>
      </w:r>
      <w:r w:rsidR="005431B8" w:rsidRPr="005B1EB5">
        <w:rPr>
          <w:rFonts w:eastAsia="Times New Roman" w:cstheme="minorHAnsi"/>
          <w:kern w:val="0"/>
          <w14:ligatures w14:val="none"/>
        </w:rPr>
        <w:t xml:space="preserve"> and</w:t>
      </w:r>
      <w:r w:rsidRPr="005B1EB5">
        <w:rPr>
          <w:rFonts w:eastAsia="Times New Roman" w:cstheme="minorHAnsi"/>
          <w:kern w:val="0"/>
          <w14:ligatures w14:val="none"/>
        </w:rPr>
        <w:t xml:space="preserve"> </w:t>
      </w:r>
      <w:hyperlink r:id="rId33" w:history="1">
        <w:r w:rsidR="005431B8" w:rsidRPr="005B1EB5">
          <w:rPr>
            <w:rStyle w:val="Hyperlink"/>
            <w:rFonts w:asciiTheme="minorHAnsi" w:eastAsia="Times New Roman" w:hAnsiTheme="minorHAnsi" w:cstheme="minorHAnsi"/>
            <w:kern w:val="0"/>
            <w14:ligatures w14:val="none"/>
          </w:rPr>
          <w:t>racialized communities</w:t>
        </w:r>
      </w:hyperlink>
      <w:r w:rsidR="00A4094C" w:rsidRPr="005B1EB5">
        <w:rPr>
          <w:rStyle w:val="EndnoteReference"/>
          <w:rFonts w:eastAsia="Times New Roman" w:cstheme="minorHAnsi"/>
          <w:kern w:val="0"/>
          <w14:ligatures w14:val="none"/>
        </w:rPr>
        <w:endnoteReference w:id="22"/>
      </w:r>
      <w:r w:rsidRPr="005B1EB5">
        <w:rPr>
          <w:rFonts w:eastAsia="Times New Roman" w:cstheme="minorHAnsi"/>
          <w:kern w:val="0"/>
          <w14:ligatures w14:val="none"/>
        </w:rPr>
        <w:t xml:space="preserve">, </w:t>
      </w:r>
      <w:hyperlink r:id="rId34" w:history="1">
        <w:r w:rsidRPr="005B1EB5">
          <w:rPr>
            <w:rStyle w:val="Hyperlink"/>
            <w:rFonts w:asciiTheme="minorHAnsi" w:eastAsia="Times New Roman" w:hAnsiTheme="minorHAnsi" w:cstheme="minorHAnsi"/>
            <w:kern w:val="0"/>
            <w14:ligatures w14:val="none"/>
          </w:rPr>
          <w:t>women</w:t>
        </w:r>
      </w:hyperlink>
      <w:r w:rsidR="00004706" w:rsidRPr="005B1EB5">
        <w:rPr>
          <w:rStyle w:val="EndnoteReference"/>
          <w:rFonts w:eastAsia="Times New Roman" w:cstheme="minorHAnsi"/>
          <w:kern w:val="0"/>
          <w14:ligatures w14:val="none"/>
        </w:rPr>
        <w:endnoteReference w:id="23"/>
      </w:r>
      <w:r w:rsidRPr="005B1EB5">
        <w:rPr>
          <w:rFonts w:eastAsia="Times New Roman" w:cstheme="minorHAnsi"/>
          <w:kern w:val="0"/>
          <w14:ligatures w14:val="none"/>
        </w:rPr>
        <w:t xml:space="preserve">, </w:t>
      </w:r>
      <w:hyperlink r:id="rId35" w:history="1">
        <w:r w:rsidRPr="005B1EB5">
          <w:rPr>
            <w:rStyle w:val="Hyperlink"/>
            <w:rFonts w:asciiTheme="minorHAnsi" w:eastAsia="Times New Roman" w:hAnsiTheme="minorHAnsi" w:cstheme="minorHAnsi"/>
            <w:kern w:val="0"/>
            <w14:ligatures w14:val="none"/>
          </w:rPr>
          <w:t>people with disabilities</w:t>
        </w:r>
      </w:hyperlink>
      <w:r w:rsidR="00E72585" w:rsidRPr="005B1EB5">
        <w:rPr>
          <w:rStyle w:val="EndnoteReference"/>
          <w:rFonts w:eastAsia="Times New Roman" w:cstheme="minorHAnsi"/>
          <w:kern w:val="0"/>
          <w14:ligatures w14:val="none"/>
        </w:rPr>
        <w:endnoteReference w:id="24"/>
      </w:r>
      <w:r w:rsidRPr="005B1EB5">
        <w:rPr>
          <w:rFonts w:eastAsia="Times New Roman" w:cstheme="minorHAnsi"/>
          <w:kern w:val="0"/>
          <w14:ligatures w14:val="none"/>
        </w:rPr>
        <w:t xml:space="preserve">, and </w:t>
      </w:r>
      <w:hyperlink r:id="rId36" w:history="1">
        <w:r w:rsidRPr="005B1EB5">
          <w:rPr>
            <w:rStyle w:val="Hyperlink"/>
            <w:rFonts w:asciiTheme="minorHAnsi" w:eastAsia="Times New Roman" w:hAnsiTheme="minorHAnsi" w:cstheme="minorHAnsi"/>
            <w:kern w:val="0"/>
            <w14:ligatures w14:val="none"/>
          </w:rPr>
          <w:t>people experiencing poverty and homelessness</w:t>
        </w:r>
      </w:hyperlink>
      <w:r w:rsidR="00DE5B41" w:rsidRPr="005B1EB5">
        <w:rPr>
          <w:rStyle w:val="EndnoteReference"/>
          <w:rFonts w:eastAsia="Times New Roman" w:cstheme="minorHAnsi"/>
          <w:kern w:val="0"/>
          <w14:ligatures w14:val="none"/>
        </w:rPr>
        <w:endnoteReference w:id="25"/>
      </w:r>
      <w:r w:rsidR="00C62693" w:rsidRPr="005B1EB5">
        <w:rPr>
          <w:rFonts w:eastAsia="Times New Roman" w:cstheme="minorHAnsi"/>
          <w:kern w:val="0"/>
          <w14:ligatures w14:val="none"/>
        </w:rPr>
        <w:t>, raising</w:t>
      </w:r>
      <w:r w:rsidRPr="005B1EB5">
        <w:rPr>
          <w:rFonts w:eastAsia="Times New Roman" w:cstheme="minorHAnsi"/>
          <w:kern w:val="0"/>
          <w14:ligatures w14:val="none"/>
        </w:rPr>
        <w:t xml:space="preserve"> serious concerns under Articles 2 and 26.</w:t>
      </w:r>
    </w:p>
    <w:p w14:paraId="3FCEC48E" w14:textId="248DFEC0"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After a decade of escalating mortality and morbidity, the threat posed by the </w:t>
      </w:r>
      <w:r w:rsidR="00E10A10" w:rsidRPr="005B1EB5">
        <w:rPr>
          <w:rFonts w:eastAsia="Times New Roman" w:cstheme="minorHAnsi"/>
          <w:kern w:val="0"/>
          <w14:ligatures w14:val="none"/>
        </w:rPr>
        <w:t xml:space="preserve">unregulated </w:t>
      </w:r>
      <w:r w:rsidRPr="005B1EB5">
        <w:rPr>
          <w:rFonts w:eastAsia="Times New Roman" w:cstheme="minorHAnsi"/>
          <w:kern w:val="0"/>
          <w14:ligatures w14:val="none"/>
        </w:rPr>
        <w:t xml:space="preserve">drug supply is unquestionably foreseeable and driven </w:t>
      </w:r>
      <w:r w:rsidR="00DD38FB" w:rsidRPr="005B1EB5">
        <w:rPr>
          <w:rFonts w:eastAsia="Times New Roman" w:cstheme="minorHAnsi"/>
          <w:kern w:val="0"/>
          <w14:ligatures w14:val="none"/>
        </w:rPr>
        <w:t>primarily</w:t>
      </w:r>
      <w:r w:rsidRPr="005B1EB5">
        <w:rPr>
          <w:rFonts w:eastAsia="Times New Roman" w:cstheme="minorHAnsi"/>
          <w:kern w:val="0"/>
          <w14:ligatures w14:val="none"/>
        </w:rPr>
        <w:t xml:space="preserve"> by Canada’s drug laws and enforcement practices. Canada’s continued reliance on criminalization, combined with insufficient and increasingly restricted health interventions, demonstrates a failure to exercise due diligence to protect life</w:t>
      </w:r>
      <w:r w:rsidR="00DD38FB" w:rsidRPr="005B1EB5">
        <w:rPr>
          <w:rFonts w:eastAsia="Times New Roman" w:cstheme="minorHAnsi"/>
          <w:kern w:val="0"/>
          <w14:ligatures w14:val="none"/>
        </w:rPr>
        <w:t>,</w:t>
      </w:r>
      <w:r w:rsidRPr="005B1EB5">
        <w:rPr>
          <w:rFonts w:eastAsia="Times New Roman" w:cstheme="minorHAnsi"/>
          <w:kern w:val="0"/>
          <w14:ligatures w14:val="none"/>
        </w:rPr>
        <w:t xml:space="preserve"> and discriminates against people who use drugs, regardless of </w:t>
      </w:r>
      <w:r w:rsidR="00D113DE" w:rsidRPr="005B1EB5">
        <w:rPr>
          <w:rFonts w:eastAsia="Times New Roman" w:cstheme="minorHAnsi"/>
          <w:kern w:val="0"/>
          <w14:ligatures w14:val="none"/>
        </w:rPr>
        <w:t>how often they use</w:t>
      </w:r>
      <w:r w:rsidR="00B757C9" w:rsidRPr="005B1EB5">
        <w:rPr>
          <w:rFonts w:eastAsia="Times New Roman" w:cstheme="minorHAnsi"/>
          <w:kern w:val="0"/>
          <w14:ligatures w14:val="none"/>
        </w:rPr>
        <w:t xml:space="preserve"> or </w:t>
      </w:r>
      <w:r w:rsidR="00BD4ED1" w:rsidRPr="005B1EB5">
        <w:rPr>
          <w:rFonts w:eastAsia="Times New Roman" w:cstheme="minorHAnsi"/>
          <w:kern w:val="0"/>
          <w14:ligatures w14:val="none"/>
        </w:rPr>
        <w:t>whether they have a</w:t>
      </w:r>
      <w:r w:rsidRPr="005B1EB5">
        <w:rPr>
          <w:rFonts w:eastAsia="Times New Roman" w:cstheme="minorHAnsi"/>
          <w:kern w:val="0"/>
          <w14:ligatures w14:val="none"/>
        </w:rPr>
        <w:t xml:space="preserve"> substance use disorder.</w:t>
      </w:r>
    </w:p>
    <w:p w14:paraId="7A574922" w14:textId="46022B0F"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For more than a decade, Canada’s own courts have found aspects of such laws and government actions to be a violation of the right to life, liberty and security of the person</w:t>
      </w:r>
      <w:r w:rsidR="00B608C1" w:rsidRPr="005B1EB5">
        <w:rPr>
          <w:rStyle w:val="EndnoteReference"/>
          <w:rFonts w:eastAsia="Times New Roman" w:cstheme="minorHAnsi"/>
          <w:kern w:val="0"/>
          <w14:ligatures w14:val="none"/>
        </w:rPr>
        <w:t xml:space="preserve"> </w:t>
      </w:r>
      <w:r w:rsidR="00B608C1" w:rsidRPr="005B1EB5">
        <w:rPr>
          <w:rStyle w:val="EndnoteReference"/>
          <w:rFonts w:eastAsia="Times New Roman" w:cstheme="minorHAnsi"/>
          <w:kern w:val="0"/>
          <w14:ligatures w14:val="none"/>
        </w:rPr>
        <w:endnoteReference w:id="26"/>
      </w:r>
      <w:r w:rsidRPr="005B1EB5">
        <w:rPr>
          <w:rFonts w:eastAsia="Times New Roman" w:cstheme="minorHAnsi"/>
          <w:kern w:val="0"/>
          <w14:ligatures w14:val="none"/>
        </w:rPr>
        <w:t xml:space="preserve">. Nonetheless, Canada’s </w:t>
      </w:r>
      <w:r w:rsidR="006A1433" w:rsidRPr="005B1EB5">
        <w:rPr>
          <w:rFonts w:eastAsia="Times New Roman" w:cstheme="minorHAnsi"/>
          <w:kern w:val="0"/>
          <w14:ligatures w14:val="none"/>
        </w:rPr>
        <w:t xml:space="preserve">drug law </w:t>
      </w:r>
      <w:r w:rsidR="006C38E3" w:rsidRPr="005B1EB5">
        <w:rPr>
          <w:rFonts w:eastAsia="Times New Roman" w:cstheme="minorHAnsi"/>
          <w:kern w:val="0"/>
          <w14:ligatures w14:val="none"/>
        </w:rPr>
        <w:t xml:space="preserve">enforcement </w:t>
      </w:r>
      <w:r w:rsidR="006A1433" w:rsidRPr="005B1EB5">
        <w:rPr>
          <w:rFonts w:eastAsia="Times New Roman" w:cstheme="minorHAnsi"/>
          <w:kern w:val="0"/>
          <w14:ligatures w14:val="none"/>
        </w:rPr>
        <w:t xml:space="preserve">approaches </w:t>
      </w:r>
      <w:r w:rsidRPr="005B1EB5">
        <w:rPr>
          <w:rFonts w:eastAsia="Times New Roman" w:cstheme="minorHAnsi"/>
          <w:kern w:val="0"/>
          <w14:ligatures w14:val="none"/>
        </w:rPr>
        <w:t xml:space="preserve">are intensifying, often in direct </w:t>
      </w:r>
      <w:r w:rsidR="00624D70" w:rsidRPr="005B1EB5">
        <w:rPr>
          <w:rFonts w:eastAsia="Times New Roman" w:cstheme="minorHAnsi"/>
          <w:kern w:val="0"/>
          <w14:ligatures w14:val="none"/>
        </w:rPr>
        <w:t>opposition</w:t>
      </w:r>
      <w:r w:rsidRPr="005B1EB5">
        <w:rPr>
          <w:rFonts w:eastAsia="Times New Roman" w:cstheme="minorHAnsi"/>
          <w:kern w:val="0"/>
          <w14:ligatures w14:val="none"/>
        </w:rPr>
        <w:t xml:space="preserve"> to the</w:t>
      </w:r>
      <w:r w:rsidRPr="008149D6">
        <w:rPr>
          <w:rFonts w:ascii="Open Sans" w:eastAsia="Times New Roman" w:hAnsi="Open Sans" w:cs="Open Sans"/>
          <w:kern w:val="0"/>
          <w:sz w:val="22"/>
          <w:szCs w:val="22"/>
          <w14:ligatures w14:val="none"/>
        </w:rPr>
        <w:t xml:space="preserve"> </w:t>
      </w:r>
      <w:r w:rsidRPr="005B1EB5">
        <w:rPr>
          <w:rFonts w:eastAsia="Times New Roman" w:cstheme="minorHAnsi"/>
          <w:kern w:val="0"/>
          <w14:ligatures w14:val="none"/>
        </w:rPr>
        <w:lastRenderedPageBreak/>
        <w:t>findings and recommendations of numerous government-convened expert task forces and advisory councils. Governments across Canada are:</w:t>
      </w:r>
    </w:p>
    <w:p w14:paraId="019D9D7C" w14:textId="39EA9B93" w:rsidR="002B0D3F" w:rsidRPr="005B1EB5" w:rsidRDefault="002B0D3F" w:rsidP="002B0D3F">
      <w:pPr>
        <w:pStyle w:val="ListParagraph"/>
        <w:numPr>
          <w:ilvl w:val="0"/>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Failing to protect</w:t>
      </w:r>
      <w:r w:rsidR="00BD7B8B" w:rsidRPr="005B1EB5">
        <w:rPr>
          <w:rFonts w:eastAsia="Times New Roman" w:cstheme="minorHAnsi"/>
          <w:kern w:val="0"/>
          <w14:ligatures w14:val="none"/>
        </w:rPr>
        <w:t xml:space="preserve"> the</w:t>
      </w:r>
      <w:r w:rsidRPr="005B1EB5">
        <w:rPr>
          <w:rFonts w:eastAsia="Times New Roman" w:cstheme="minorHAnsi"/>
          <w:kern w:val="0"/>
          <w14:ligatures w14:val="none"/>
        </w:rPr>
        <w:t xml:space="preserve"> lives </w:t>
      </w:r>
      <w:r w:rsidR="00BD7B8B" w:rsidRPr="005B1EB5">
        <w:rPr>
          <w:rFonts w:eastAsia="Times New Roman" w:cstheme="minorHAnsi"/>
          <w:kern w:val="0"/>
          <w14:ligatures w14:val="none"/>
        </w:rPr>
        <w:t>of people who use drugs</w:t>
      </w:r>
      <w:r w:rsidRPr="005B1EB5">
        <w:rPr>
          <w:rFonts w:eastAsia="Times New Roman" w:cstheme="minorHAnsi"/>
          <w:kern w:val="0"/>
          <w14:ligatures w14:val="none"/>
        </w:rPr>
        <w:t xml:space="preserve"> by:</w:t>
      </w:r>
    </w:p>
    <w:p w14:paraId="16AF428A" w14:textId="0EB2B379" w:rsidR="002B0D3F" w:rsidRPr="005B1EB5" w:rsidRDefault="002B0D3F" w:rsidP="002B0D3F">
      <w:pPr>
        <w:pStyle w:val="ListParagraph"/>
        <w:numPr>
          <w:ilvl w:val="1"/>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Ignoring evidence and expert advice to implement quality and access controls for various prohibited drugs;</w:t>
      </w:r>
    </w:p>
    <w:p w14:paraId="5C986D37" w14:textId="77777777" w:rsidR="002B0D3F" w:rsidRPr="005B1EB5" w:rsidRDefault="002B0D3F" w:rsidP="002B0D3F">
      <w:pPr>
        <w:pStyle w:val="ListParagraph"/>
        <w:numPr>
          <w:ilvl w:val="1"/>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Knowingly pursuing law enforcement practices that increase the volatility and contamination of the drug supply.</w:t>
      </w:r>
    </w:p>
    <w:p w14:paraId="5EA2CE74" w14:textId="77777777" w:rsidR="002B0D3F" w:rsidRPr="005B1EB5" w:rsidRDefault="002B0D3F" w:rsidP="002B0D3F">
      <w:pPr>
        <w:pStyle w:val="ListParagraph"/>
        <w:numPr>
          <w:ilvl w:val="0"/>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Prosecuting people for providing life-saving programs.</w:t>
      </w:r>
    </w:p>
    <w:p w14:paraId="26D716DA" w14:textId="77777777" w:rsidR="002B0D3F" w:rsidRPr="005B1EB5" w:rsidRDefault="002B0D3F" w:rsidP="002B0D3F">
      <w:pPr>
        <w:pStyle w:val="ListParagraph"/>
        <w:numPr>
          <w:ilvl w:val="0"/>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Expanding criminalization, police powers and health-based detention by:</w:t>
      </w:r>
    </w:p>
    <w:p w14:paraId="24947374" w14:textId="77777777" w:rsidR="002B0D3F" w:rsidRPr="005B1EB5" w:rsidRDefault="002B0D3F" w:rsidP="002B0D3F">
      <w:pPr>
        <w:pStyle w:val="ListParagraph"/>
        <w:numPr>
          <w:ilvl w:val="1"/>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Recriminalizing drug possession in the province of British Columbia and prohibiting decriminalization in Ontario;</w:t>
      </w:r>
    </w:p>
    <w:p w14:paraId="6E1DDCD7" w14:textId="77777777" w:rsidR="002B0D3F" w:rsidRPr="005B1EB5" w:rsidRDefault="002B0D3F" w:rsidP="002B0D3F">
      <w:pPr>
        <w:pStyle w:val="ListParagraph"/>
        <w:numPr>
          <w:ilvl w:val="1"/>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Criminalizing survival activities in public spaces;</w:t>
      </w:r>
    </w:p>
    <w:p w14:paraId="51DCA8AD" w14:textId="7703CE48" w:rsidR="002B0D3F" w:rsidRPr="005B1EB5" w:rsidRDefault="00A77376" w:rsidP="002B0D3F">
      <w:pPr>
        <w:pStyle w:val="ListParagraph"/>
        <w:numPr>
          <w:ilvl w:val="1"/>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E</w:t>
      </w:r>
      <w:r w:rsidR="0044365B" w:rsidRPr="005B1EB5">
        <w:rPr>
          <w:rFonts w:eastAsia="Times New Roman" w:cstheme="minorHAnsi"/>
          <w:kern w:val="0"/>
          <w14:ligatures w14:val="none"/>
        </w:rPr>
        <w:t xml:space="preserve">xpanding </w:t>
      </w:r>
      <w:r w:rsidR="002B0D3F" w:rsidRPr="005B1EB5">
        <w:rPr>
          <w:rFonts w:eastAsia="Times New Roman" w:cstheme="minorHAnsi"/>
          <w:kern w:val="0"/>
          <w14:ligatures w14:val="none"/>
        </w:rPr>
        <w:t>involuntary treatment regimes and “secure” health facilities.</w:t>
      </w:r>
    </w:p>
    <w:p w14:paraId="193FCB2B" w14:textId="77777777" w:rsidR="002B0D3F" w:rsidRPr="005B1EB5" w:rsidRDefault="002B0D3F" w:rsidP="002B0D3F">
      <w:pPr>
        <w:pStyle w:val="ListParagraph"/>
        <w:numPr>
          <w:ilvl w:val="0"/>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Closing and restricting essential health interventions:</w:t>
      </w:r>
    </w:p>
    <w:p w14:paraId="3F61EDB0" w14:textId="22DD4690" w:rsidR="002B0D3F" w:rsidRPr="005B1EB5" w:rsidRDefault="002B0D3F" w:rsidP="002B0D3F">
      <w:pPr>
        <w:pStyle w:val="ListParagraph"/>
        <w:numPr>
          <w:ilvl w:val="1"/>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Closing supervised consumption services;</w:t>
      </w:r>
    </w:p>
    <w:p w14:paraId="2AE85434" w14:textId="77777777" w:rsidR="002B0D3F" w:rsidRPr="005B1EB5" w:rsidRDefault="002B0D3F" w:rsidP="002B0D3F">
      <w:pPr>
        <w:pStyle w:val="ListParagraph"/>
        <w:numPr>
          <w:ilvl w:val="1"/>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Limiting and defunding prescription-based health programs to decrease reliance on the unregulated toxic drug supply.</w:t>
      </w:r>
    </w:p>
    <w:p w14:paraId="2DF30B82" w14:textId="77777777" w:rsidR="002B0D3F" w:rsidRPr="005B1EB5" w:rsidRDefault="002B0D3F" w:rsidP="002B0D3F">
      <w:pPr>
        <w:pStyle w:val="ListParagraph"/>
        <w:numPr>
          <w:ilvl w:val="0"/>
          <w:numId w:val="1"/>
        </w:numPr>
        <w:spacing w:before="100" w:beforeAutospacing="1" w:after="100" w:afterAutospacing="1"/>
        <w:rPr>
          <w:rFonts w:eastAsia="Times New Roman" w:cstheme="minorHAnsi"/>
          <w:kern w:val="0"/>
          <w14:ligatures w14:val="none"/>
        </w:rPr>
      </w:pPr>
      <w:r w:rsidRPr="005B1EB5">
        <w:rPr>
          <w:rFonts w:eastAsia="Times New Roman" w:cstheme="minorHAnsi"/>
          <w:kern w:val="0"/>
          <w14:ligatures w14:val="none"/>
        </w:rPr>
        <w:t>Restricting democratic participation in drug policy decisions.</w:t>
      </w:r>
    </w:p>
    <w:p w14:paraId="039DF02D" w14:textId="5DC9844C"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Taken together, Canada’s approach constitutes a systemic human rights failure. The </w:t>
      </w:r>
      <w:r w:rsidR="00154938" w:rsidRPr="005B1EB5">
        <w:rPr>
          <w:rFonts w:eastAsia="Times New Roman" w:cstheme="minorHAnsi"/>
          <w:kern w:val="0"/>
          <w14:ligatures w14:val="none"/>
        </w:rPr>
        <w:t xml:space="preserve">unregulated </w:t>
      </w:r>
      <w:r w:rsidR="004630FF" w:rsidRPr="005B1EB5">
        <w:rPr>
          <w:rFonts w:eastAsia="Times New Roman" w:cstheme="minorHAnsi"/>
          <w:kern w:val="0"/>
          <w14:ligatures w14:val="none"/>
        </w:rPr>
        <w:t xml:space="preserve">toxic </w:t>
      </w:r>
      <w:r w:rsidRPr="005B1EB5">
        <w:rPr>
          <w:rFonts w:eastAsia="Times New Roman" w:cstheme="minorHAnsi"/>
          <w:kern w:val="0"/>
          <w14:ligatures w14:val="none"/>
        </w:rPr>
        <w:t>drug crisis is not merely a health policy problem. It is a governmental failure to protect the right to life.</w:t>
      </w:r>
    </w:p>
    <w:p w14:paraId="5D13B29B" w14:textId="29450DC1" w:rsidR="002B0D3F" w:rsidRPr="005B1EB5" w:rsidRDefault="002B0D3F" w:rsidP="002B0D3F">
      <w:pPr>
        <w:spacing w:before="100" w:beforeAutospacing="1" w:after="100" w:afterAutospacing="1"/>
        <w:jc w:val="both"/>
        <w:rPr>
          <w:rFonts w:eastAsia="Times New Roman" w:cstheme="minorHAnsi"/>
          <w:kern w:val="0"/>
          <w14:ligatures w14:val="none"/>
        </w:rPr>
      </w:pPr>
      <w:r w:rsidRPr="005B1EB5">
        <w:rPr>
          <w:rFonts w:eastAsia="Times New Roman" w:cstheme="minorHAnsi"/>
          <w:kern w:val="0"/>
          <w14:ligatures w14:val="none"/>
        </w:rPr>
        <w:t xml:space="preserve">The Government of Canada is well aware of these concerns through regular communications with Health Canada, civil society engagement in Canada’s delegation to the Commission on Narcotic Drugs, numerous law reform submissions, and a number of ongoing court cases. </w:t>
      </w:r>
      <w:r w:rsidR="00987966" w:rsidRPr="005B1EB5">
        <w:rPr>
          <w:rFonts w:eastAsia="Times New Roman" w:cstheme="minorHAnsi"/>
          <w:kern w:val="0"/>
          <w14:ligatures w14:val="none"/>
        </w:rPr>
        <w:t xml:space="preserve">Despite </w:t>
      </w:r>
      <w:r w:rsidR="008F5C9D" w:rsidRPr="005B1EB5">
        <w:rPr>
          <w:rFonts w:eastAsia="Times New Roman" w:cstheme="minorHAnsi"/>
          <w:kern w:val="0"/>
          <w14:ligatures w14:val="none"/>
        </w:rPr>
        <w:t xml:space="preserve">the </w:t>
      </w:r>
      <w:r w:rsidR="00987966" w:rsidRPr="005B1EB5">
        <w:rPr>
          <w:rFonts w:eastAsia="Times New Roman" w:cstheme="minorHAnsi"/>
          <w:kern w:val="0"/>
          <w14:ligatures w14:val="none"/>
        </w:rPr>
        <w:t>devastating and ongoing loss of life</w:t>
      </w:r>
      <w:r w:rsidR="008B59DB" w:rsidRPr="005B1EB5">
        <w:rPr>
          <w:rFonts w:eastAsia="Times New Roman" w:cstheme="minorHAnsi"/>
          <w:kern w:val="0"/>
          <w14:ligatures w14:val="none"/>
        </w:rPr>
        <w:t xml:space="preserve">, and </w:t>
      </w:r>
      <w:r w:rsidR="00987966" w:rsidRPr="005B1EB5">
        <w:rPr>
          <w:rFonts w:eastAsia="Times New Roman" w:cstheme="minorHAnsi"/>
          <w:kern w:val="0"/>
          <w14:ligatures w14:val="none"/>
        </w:rPr>
        <w:t>submissions made by civil society during the development of the List of Issues</w:t>
      </w:r>
      <w:r w:rsidR="005F5EA4" w:rsidRPr="005B1EB5">
        <w:rPr>
          <w:rFonts w:eastAsia="Times New Roman" w:cstheme="minorHAnsi"/>
          <w:kern w:val="0"/>
          <w14:ligatures w14:val="none"/>
        </w:rPr>
        <w:t xml:space="preserve"> Prior to Reporting</w:t>
      </w:r>
      <w:r w:rsidR="00987966" w:rsidRPr="005B1EB5">
        <w:rPr>
          <w:rFonts w:eastAsia="Times New Roman" w:cstheme="minorHAnsi"/>
          <w:kern w:val="0"/>
          <w14:ligatures w14:val="none"/>
        </w:rPr>
        <w:t xml:space="preserve">, this crisis has not been adequately prioritized. </w:t>
      </w:r>
      <w:r w:rsidRPr="005B1EB5">
        <w:rPr>
          <w:rFonts w:eastAsia="Times New Roman" w:cstheme="minorHAnsi"/>
          <w:kern w:val="0"/>
          <w14:ligatures w14:val="none"/>
        </w:rPr>
        <w:t>The Government of Canada delegation can and should be prepared to address questions from the Committee on this issue.</w:t>
      </w:r>
    </w:p>
    <w:p w14:paraId="59FA495C" w14:textId="77777777" w:rsidR="002B0D3F" w:rsidRPr="005B1EB5" w:rsidRDefault="002B0D3F" w:rsidP="00535B1C">
      <w:pPr>
        <w:spacing w:before="100" w:beforeAutospacing="1"/>
        <w:jc w:val="both"/>
        <w:rPr>
          <w:rFonts w:eastAsia="Times New Roman" w:cstheme="minorHAnsi"/>
          <w:kern w:val="0"/>
          <w14:ligatures w14:val="none"/>
        </w:rPr>
      </w:pPr>
      <w:r w:rsidRPr="005B1EB5">
        <w:rPr>
          <w:rFonts w:eastAsia="Times New Roman" w:cstheme="minorHAnsi"/>
          <w:kern w:val="0"/>
          <w14:ligatures w14:val="none"/>
        </w:rPr>
        <w:t>We ask that the Committee explicitly address drug policy within its review and issue strong recommendations requiring Canada to shift from punishment to regulation, care, and human-rights-based approaches.</w:t>
      </w:r>
    </w:p>
    <w:p w14:paraId="36DD765F" w14:textId="79E5CD1D" w:rsidR="009E7B61" w:rsidRDefault="009E7B61">
      <w:pPr>
        <w:spacing w:after="160" w:line="259" w:lineRule="auto"/>
        <w:rPr>
          <w:rFonts w:ascii="Open Sans" w:eastAsia="Times New Roman" w:hAnsi="Open Sans" w:cs="Open Sans"/>
          <w:kern w:val="0"/>
          <w:sz w:val="22"/>
          <w:szCs w:val="22"/>
          <w14:ligatures w14:val="none"/>
        </w:rPr>
      </w:pPr>
      <w:r>
        <w:rPr>
          <w:rFonts w:ascii="Open Sans" w:eastAsia="Times New Roman" w:hAnsi="Open Sans" w:cs="Open Sans"/>
          <w:kern w:val="0"/>
          <w:sz w:val="22"/>
          <w:szCs w:val="22"/>
          <w14:ligatures w14:val="none"/>
        </w:rPr>
        <w:br w:type="page"/>
      </w:r>
    </w:p>
    <w:p w14:paraId="25AB6A25" w14:textId="4C50238E" w:rsidR="002B0D3F" w:rsidRPr="002F6BB4" w:rsidRDefault="00D15C6F" w:rsidP="002B0D3F">
      <w:pPr>
        <w:rPr>
          <w:rFonts w:ascii="Times New Roman" w:eastAsia="Times New Roman" w:hAnsi="Times New Roman" w:cs="Times New Roman"/>
          <w:kern w:val="0"/>
          <w14:ligatures w14:val="none"/>
        </w:rPr>
      </w:pPr>
      <w:r>
        <w:rPr>
          <w:rFonts w:ascii="Times New Roman" w:eastAsia="Times New Roman" w:hAnsi="Times New Roman" w:cs="Times New Roman"/>
          <w:noProof/>
          <w:color w:val="727375"/>
          <w:kern w:val="0"/>
          <w14:ligatures w14:val="none"/>
        </w:rPr>
        <w:lastRenderedPageBreak/>
      </w:r>
      <w:r w:rsidR="00D15C6F">
        <w:rPr>
          <w:rFonts w:ascii="Times New Roman" w:eastAsia="Times New Roman" w:hAnsi="Times New Roman" w:cs="Times New Roman"/>
          <w:noProof/>
          <w:color w:val="727375"/>
          <w:kern w:val="0"/>
          <w14:ligatures w14:val="none"/>
        </w:rPr>
        <w:pict w14:anchorId="6F9EE7CA">
          <v:rect id="_x0000_i1029" alt="" style="width:468pt;height:.05pt;mso-width-percent:0;mso-height-percent:0;mso-width-percent:0;mso-height-percent:0" o:hralign="center" o:hrstd="t" o:hr="t" fillcolor="#a0a0a0" stroked="f"/>
        </w:pict>
      </w:r>
    </w:p>
    <w:p w14:paraId="3C13C39D" w14:textId="77777777" w:rsidR="002B0D3F" w:rsidRPr="005B1EB5" w:rsidRDefault="002B0D3F" w:rsidP="002B0D3F">
      <w:pPr>
        <w:spacing w:before="100" w:beforeAutospacing="1" w:after="120"/>
        <w:outlineLvl w:val="0"/>
        <w:rPr>
          <w:rFonts w:ascii="Times New Roman" w:eastAsia="Times New Roman" w:hAnsi="Times New Roman" w:cs="Times New Roman"/>
          <w:b/>
          <w:bCs/>
          <w:color w:val="C31424"/>
          <w:kern w:val="36"/>
          <w14:ligatures w14:val="none"/>
        </w:rPr>
      </w:pPr>
      <w:r w:rsidRPr="005B1EB5">
        <w:rPr>
          <w:rFonts w:ascii="Times New Roman" w:eastAsia="Times New Roman" w:hAnsi="Times New Roman" w:cs="Times New Roman"/>
          <w:b/>
          <w:bCs/>
          <w:color w:val="C31424"/>
          <w:kern w:val="36"/>
          <w14:ligatures w14:val="none"/>
        </w:rPr>
        <w:t>SPECIFIC ISSUES AND VIOLATIONS OF THE ICCPR</w:t>
      </w:r>
    </w:p>
    <w:p w14:paraId="5D444463" w14:textId="3970CF96" w:rsidR="002B0D3F" w:rsidRPr="002F6BB4" w:rsidRDefault="00D15C6F" w:rsidP="002B0D3F">
      <w:pPr>
        <w:rPr>
          <w:rFonts w:ascii="Times New Roman" w:eastAsia="Times New Roman" w:hAnsi="Times New Roman" w:cs="Times New Roman"/>
          <w:kern w:val="0"/>
          <w14:ligatures w14:val="none"/>
        </w:rPr>
      </w:pPr>
      <w:r>
        <w:rPr>
          <w:rFonts w:ascii="Times New Roman" w:eastAsia="Times New Roman" w:hAnsi="Times New Roman" w:cs="Times New Roman"/>
          <w:noProof/>
          <w:color w:val="727375"/>
          <w:kern w:val="0"/>
          <w14:ligatures w14:val="none"/>
        </w:rPr>
      </w:r>
      <w:r w:rsidR="00D15C6F">
        <w:rPr>
          <w:rFonts w:ascii="Times New Roman" w:eastAsia="Times New Roman" w:hAnsi="Times New Roman" w:cs="Times New Roman"/>
          <w:noProof/>
          <w:color w:val="727375"/>
          <w:kern w:val="0"/>
          <w14:ligatures w14:val="none"/>
        </w:rPr>
        <w:pict w14:anchorId="7C45AB9B">
          <v:rect id="_x0000_i1030" alt="" style="width:468pt;height:.05pt;mso-width-percent:0;mso-height-percent:0;mso-width-percent:0;mso-height-percent:0" o:hralign="center" o:hrstd="t" o:hr="t" fillcolor="#a0a0a0" stroked="f"/>
        </w:pict>
      </w:r>
    </w:p>
    <w:p w14:paraId="1F006874" w14:textId="77777777" w:rsidR="002B0D3F" w:rsidRPr="005B1EB5" w:rsidRDefault="002B0D3F" w:rsidP="002B0D3F">
      <w:pPr>
        <w:spacing w:before="100" w:beforeAutospacing="1" w:after="100" w:afterAutospacing="1"/>
        <w:outlineLvl w:val="0"/>
        <w:rPr>
          <w:rFonts w:ascii="Arial" w:eastAsia="Times New Roman" w:hAnsi="Arial" w:cs="Arial"/>
          <w:b/>
          <w:bCs/>
          <w:kern w:val="36"/>
          <w14:ligatures w14:val="none"/>
        </w:rPr>
      </w:pPr>
      <w:r w:rsidRPr="005B1EB5">
        <w:rPr>
          <w:rFonts w:ascii="Arial" w:eastAsia="Times New Roman" w:hAnsi="Arial" w:cs="Arial"/>
          <w:b/>
          <w:bCs/>
          <w:kern w:val="36"/>
          <w14:ligatures w14:val="none"/>
        </w:rPr>
        <w:t>ISSUE 1</w:t>
      </w:r>
    </w:p>
    <w:p w14:paraId="5DACBC8C" w14:textId="2BB96CF3" w:rsidR="000B5E0E" w:rsidRPr="005B1EB5" w:rsidRDefault="000B5E0E" w:rsidP="002B0D3F">
      <w:pPr>
        <w:spacing w:before="100" w:beforeAutospacing="1" w:after="100" w:afterAutospacing="1"/>
        <w:outlineLvl w:val="2"/>
        <w:rPr>
          <w:rFonts w:ascii="Arial" w:eastAsia="Times New Roman" w:hAnsi="Arial" w:cs="Arial"/>
          <w:b/>
          <w:bCs/>
          <w:kern w:val="0"/>
          <w14:ligatures w14:val="none"/>
        </w:rPr>
      </w:pPr>
      <w:r w:rsidRPr="005B1EB5">
        <w:rPr>
          <w:rFonts w:ascii="Arial" w:eastAsia="Times New Roman" w:hAnsi="Arial" w:cs="Arial"/>
          <w:b/>
          <w:bCs/>
          <w:kern w:val="0"/>
          <w14:ligatures w14:val="none"/>
        </w:rPr>
        <w:t xml:space="preserve">Canada is failing to protect </w:t>
      </w:r>
      <w:r w:rsidR="00BE16F9" w:rsidRPr="005B1EB5">
        <w:rPr>
          <w:rFonts w:ascii="Arial" w:eastAsia="Times New Roman" w:hAnsi="Arial" w:cs="Arial"/>
          <w:b/>
          <w:bCs/>
          <w:kern w:val="0"/>
          <w14:ligatures w14:val="none"/>
        </w:rPr>
        <w:t>the lives of people who use drugs</w:t>
      </w:r>
    </w:p>
    <w:p w14:paraId="2891A4D7" w14:textId="161924FD" w:rsidR="002B0D3F" w:rsidRPr="005B1EB5" w:rsidRDefault="002B0D3F" w:rsidP="002B0D3F">
      <w:pPr>
        <w:spacing w:before="100" w:beforeAutospacing="1" w:after="100" w:afterAutospacing="1"/>
        <w:outlineLvl w:val="2"/>
        <w:rPr>
          <w:rFonts w:eastAsia="Times New Roman" w:cstheme="minorHAnsi"/>
          <w:kern w:val="0"/>
          <w14:ligatures w14:val="none"/>
        </w:rPr>
      </w:pPr>
      <w:r w:rsidRPr="005B1EB5">
        <w:rPr>
          <w:rFonts w:eastAsia="Times New Roman" w:cstheme="minorHAnsi"/>
          <w:b/>
          <w:bCs/>
          <w:kern w:val="0"/>
          <w14:ligatures w14:val="none"/>
        </w:rPr>
        <w:t>Violations of Articles:</w:t>
      </w:r>
      <w:r w:rsidRPr="005B1EB5">
        <w:rPr>
          <w:rFonts w:eastAsia="Times New Roman" w:cstheme="minorHAnsi"/>
          <w:kern w:val="0"/>
          <w14:ligatures w14:val="none"/>
        </w:rPr>
        <w:t xml:space="preserve"> 6, 2, and 26</w:t>
      </w:r>
    </w:p>
    <w:p w14:paraId="6BB0E35F" w14:textId="3B85FA56" w:rsidR="7B3A2C4A" w:rsidRPr="005B1EB5" w:rsidRDefault="7B3A2C4A" w:rsidP="6376218A">
      <w:pPr>
        <w:pStyle w:val="ListParagraph"/>
        <w:numPr>
          <w:ilvl w:val="0"/>
          <w:numId w:val="4"/>
        </w:numPr>
        <w:spacing w:after="120"/>
        <w:ind w:left="274"/>
        <w:contextualSpacing w:val="0"/>
        <w:jc w:val="both"/>
        <w:rPr>
          <w:rFonts w:eastAsia="Times New Roman" w:cstheme="minorHAnsi"/>
        </w:rPr>
      </w:pPr>
      <w:r w:rsidRPr="005B1EB5">
        <w:rPr>
          <w:rFonts w:eastAsia="Times New Roman" w:cstheme="minorHAnsi"/>
        </w:rPr>
        <w:t>Canada</w:t>
      </w:r>
      <w:r w:rsidR="63A42759" w:rsidRPr="005B1EB5">
        <w:rPr>
          <w:rFonts w:eastAsia="Times New Roman" w:cstheme="minorHAnsi"/>
        </w:rPr>
        <w:t xml:space="preserve"> </w:t>
      </w:r>
      <w:r w:rsidR="64E569AD" w:rsidRPr="005B1EB5">
        <w:rPr>
          <w:rFonts w:eastAsia="Times New Roman" w:cstheme="minorHAnsi"/>
        </w:rPr>
        <w:t xml:space="preserve">often </w:t>
      </w:r>
      <w:r w:rsidR="63A42759" w:rsidRPr="005B1EB5">
        <w:rPr>
          <w:rFonts w:eastAsia="Times New Roman" w:cstheme="minorHAnsi"/>
        </w:rPr>
        <w:t xml:space="preserve">justifies its approach to drug policy </w:t>
      </w:r>
      <w:r w:rsidR="118A4ED9" w:rsidRPr="005B1EB5">
        <w:rPr>
          <w:rFonts w:eastAsia="Times New Roman" w:cstheme="minorHAnsi"/>
        </w:rPr>
        <w:t>by</w:t>
      </w:r>
      <w:r w:rsidR="63A42759" w:rsidRPr="005B1EB5">
        <w:rPr>
          <w:rFonts w:eastAsia="Times New Roman" w:cstheme="minorHAnsi"/>
        </w:rPr>
        <w:t xml:space="preserve"> asserti</w:t>
      </w:r>
      <w:r w:rsidR="4B7587F6" w:rsidRPr="005B1EB5">
        <w:rPr>
          <w:rFonts w:eastAsia="Times New Roman" w:cstheme="minorHAnsi"/>
        </w:rPr>
        <w:t>ng</w:t>
      </w:r>
      <w:r w:rsidR="63A42759" w:rsidRPr="005B1EB5">
        <w:rPr>
          <w:rFonts w:eastAsia="Times New Roman" w:cstheme="minorHAnsi"/>
        </w:rPr>
        <w:t xml:space="preserve"> that </w:t>
      </w:r>
      <w:r w:rsidR="786E72CC" w:rsidRPr="005B1EB5">
        <w:rPr>
          <w:rFonts w:eastAsia="Times New Roman" w:cstheme="minorHAnsi"/>
        </w:rPr>
        <w:t>it is</w:t>
      </w:r>
      <w:r w:rsidR="63A42759" w:rsidRPr="005B1EB5">
        <w:rPr>
          <w:rFonts w:eastAsia="Times New Roman" w:cstheme="minorHAnsi"/>
        </w:rPr>
        <w:t xml:space="preserve"> necessary to ensure compliance with </w:t>
      </w:r>
      <w:hyperlink r:id="rId37" w:history="1">
        <w:r w:rsidR="1B810DBD" w:rsidRPr="005B1EB5">
          <w:rPr>
            <w:rStyle w:val="Hyperlink"/>
            <w:rFonts w:asciiTheme="minorHAnsi" w:eastAsia="Times New Roman" w:hAnsiTheme="minorHAnsi" w:cstheme="minorHAnsi"/>
          </w:rPr>
          <w:t>UN Drug Control Conventions</w:t>
        </w:r>
      </w:hyperlink>
      <w:r w:rsidR="00B730ED" w:rsidRPr="005B1EB5">
        <w:rPr>
          <w:rStyle w:val="EndnoteReference"/>
          <w:rFonts w:cstheme="minorHAnsi"/>
        </w:rPr>
        <w:endnoteReference w:id="27"/>
      </w:r>
      <w:r w:rsidR="63A42759" w:rsidRPr="005B1EB5">
        <w:rPr>
          <w:rFonts w:eastAsia="Times New Roman" w:cstheme="minorHAnsi"/>
        </w:rPr>
        <w:t>.</w:t>
      </w:r>
      <w:r w:rsidR="45858FA6" w:rsidRPr="005B1EB5">
        <w:rPr>
          <w:rFonts w:eastAsia="Times New Roman" w:cstheme="minorHAnsi"/>
        </w:rPr>
        <w:t xml:space="preserve"> This reasoning i</w:t>
      </w:r>
      <w:r w:rsidR="000159AB" w:rsidRPr="005B1EB5">
        <w:rPr>
          <w:rFonts w:eastAsia="Times New Roman" w:cstheme="minorHAnsi"/>
        </w:rPr>
        <w:t>s</w:t>
      </w:r>
      <w:r w:rsidR="45858FA6" w:rsidRPr="005B1EB5">
        <w:rPr>
          <w:rFonts w:eastAsia="Times New Roman" w:cstheme="minorHAnsi"/>
        </w:rPr>
        <w:t xml:space="preserve"> not accurate</w:t>
      </w:r>
      <w:r w:rsidR="05AEFDEB" w:rsidRPr="005B1EB5">
        <w:rPr>
          <w:rFonts w:eastAsia="Times New Roman" w:cstheme="minorHAnsi"/>
        </w:rPr>
        <w:t>, complete</w:t>
      </w:r>
      <w:r w:rsidR="45858FA6" w:rsidRPr="005B1EB5">
        <w:rPr>
          <w:rFonts w:eastAsia="Times New Roman" w:cstheme="minorHAnsi"/>
        </w:rPr>
        <w:t xml:space="preserve"> or consistent with Canada’s equally </w:t>
      </w:r>
      <w:r w:rsidR="1A3C3A0E" w:rsidRPr="005B1EB5">
        <w:rPr>
          <w:rFonts w:eastAsia="Times New Roman" w:cstheme="minorHAnsi"/>
        </w:rPr>
        <w:t>important obligation</w:t>
      </w:r>
      <w:r w:rsidR="00921178" w:rsidRPr="005B1EB5">
        <w:rPr>
          <w:rFonts w:eastAsia="Times New Roman" w:cstheme="minorHAnsi"/>
        </w:rPr>
        <w:t>s</w:t>
      </w:r>
      <w:r w:rsidR="1A3C3A0E" w:rsidRPr="005B1EB5">
        <w:rPr>
          <w:rFonts w:eastAsia="Times New Roman" w:cstheme="minorHAnsi"/>
        </w:rPr>
        <w:t xml:space="preserve"> under international human rights treaties. Canada</w:t>
      </w:r>
      <w:r w:rsidRPr="005B1EB5">
        <w:rPr>
          <w:rFonts w:eastAsia="Times New Roman" w:cstheme="minorHAnsi"/>
        </w:rPr>
        <w:t xml:space="preserve"> has latitude under UN Drug Control Conventions</w:t>
      </w:r>
      <w:r w:rsidR="292561EF" w:rsidRPr="005B1EB5">
        <w:rPr>
          <w:rFonts w:eastAsia="Times New Roman" w:cstheme="minorHAnsi"/>
        </w:rPr>
        <w:t xml:space="preserve">, as it has demonstrated by enacting sweeping reforms to cannabis regulation. Further, </w:t>
      </w:r>
      <w:r w:rsidR="211E5CEF" w:rsidRPr="005B1EB5">
        <w:rPr>
          <w:rFonts w:eastAsia="Times New Roman" w:cstheme="minorHAnsi"/>
        </w:rPr>
        <w:t xml:space="preserve">UN Drug Control Conventions </w:t>
      </w:r>
      <w:r w:rsidR="32A7D41F" w:rsidRPr="005B1EB5">
        <w:rPr>
          <w:rFonts w:eastAsia="Times New Roman" w:cstheme="minorHAnsi"/>
        </w:rPr>
        <w:t xml:space="preserve">are </w:t>
      </w:r>
      <w:hyperlink r:id="rId38" w:history="1">
        <w:r w:rsidR="32A7D41F" w:rsidRPr="005B1EB5">
          <w:rPr>
            <w:rStyle w:val="Hyperlink"/>
            <w:rFonts w:asciiTheme="minorHAnsi" w:eastAsia="Times New Roman" w:hAnsiTheme="minorHAnsi" w:cstheme="minorHAnsi"/>
          </w:rPr>
          <w:t>not static</w:t>
        </w:r>
      </w:hyperlink>
      <w:r w:rsidR="6A48E291" w:rsidRPr="005B1EB5">
        <w:rPr>
          <w:rFonts w:eastAsia="Times New Roman" w:cstheme="minorHAnsi"/>
        </w:rPr>
        <w:t>,</w:t>
      </w:r>
      <w:r w:rsidR="32A7D41F" w:rsidRPr="005B1EB5">
        <w:rPr>
          <w:rFonts w:eastAsia="Times New Roman" w:cstheme="minorHAnsi"/>
        </w:rPr>
        <w:t xml:space="preserve"> and are currently the subject of </w:t>
      </w:r>
      <w:hyperlink r:id="rId39" w:history="1">
        <w:r w:rsidR="32A7D41F" w:rsidRPr="005B1EB5">
          <w:rPr>
            <w:rStyle w:val="Hyperlink"/>
            <w:rFonts w:asciiTheme="minorHAnsi" w:eastAsia="Times New Roman" w:hAnsiTheme="minorHAnsi" w:cstheme="minorHAnsi"/>
          </w:rPr>
          <w:t>significant debate</w:t>
        </w:r>
      </w:hyperlink>
      <w:r w:rsidR="00F879E8" w:rsidRPr="005B1EB5">
        <w:rPr>
          <w:rStyle w:val="EndnoteReference"/>
          <w:rFonts w:eastAsia="Times New Roman" w:cstheme="minorHAnsi"/>
        </w:rPr>
        <w:endnoteReference w:id="28"/>
      </w:r>
      <w:r w:rsidR="32A7D41F" w:rsidRPr="005B1EB5">
        <w:rPr>
          <w:rFonts w:eastAsia="Times New Roman" w:cstheme="minorHAnsi"/>
        </w:rPr>
        <w:t xml:space="preserve"> among UN Member States, with some </w:t>
      </w:r>
      <w:r w:rsidR="164048FF" w:rsidRPr="005B1EB5">
        <w:rPr>
          <w:rFonts w:eastAsia="Times New Roman" w:cstheme="minorHAnsi"/>
        </w:rPr>
        <w:t>s</w:t>
      </w:r>
      <w:r w:rsidR="32A7D41F" w:rsidRPr="005B1EB5">
        <w:rPr>
          <w:rFonts w:eastAsia="Times New Roman" w:cstheme="minorHAnsi"/>
        </w:rPr>
        <w:t>tates formally problematizing or rejecting them</w:t>
      </w:r>
      <w:r w:rsidR="00E504D9" w:rsidRPr="005B1EB5">
        <w:rPr>
          <w:rFonts w:eastAsia="Times New Roman" w:cstheme="minorHAnsi"/>
        </w:rPr>
        <w:t xml:space="preserve"> in part </w:t>
      </w:r>
      <w:r w:rsidR="009F1DC0" w:rsidRPr="005B1EB5">
        <w:rPr>
          <w:rFonts w:eastAsia="Times New Roman" w:cstheme="minorHAnsi"/>
        </w:rPr>
        <w:t>or whole</w:t>
      </w:r>
      <w:r w:rsidR="32A7D41F" w:rsidRPr="005B1EB5">
        <w:rPr>
          <w:rFonts w:eastAsia="Times New Roman" w:cstheme="minorHAnsi"/>
        </w:rPr>
        <w:t>.</w:t>
      </w:r>
      <w:r w:rsidR="603D4A49" w:rsidRPr="005B1EB5">
        <w:rPr>
          <w:rFonts w:eastAsia="Times New Roman" w:cstheme="minorHAnsi"/>
        </w:rPr>
        <w:t xml:space="preserve"> In fact, these conventions are currently </w:t>
      </w:r>
      <w:r w:rsidR="009F1DC0" w:rsidRPr="005B1EB5">
        <w:rPr>
          <w:rFonts w:eastAsia="Times New Roman" w:cstheme="minorHAnsi"/>
        </w:rPr>
        <w:t xml:space="preserve">under </w:t>
      </w:r>
      <w:r w:rsidR="603D4A49" w:rsidRPr="005B1EB5">
        <w:rPr>
          <w:rFonts w:eastAsia="Times New Roman" w:cstheme="minorHAnsi"/>
        </w:rPr>
        <w:t xml:space="preserve">review by an independent expert panel. </w:t>
      </w:r>
      <w:r w:rsidR="22DD2B10" w:rsidRPr="005B1EB5">
        <w:rPr>
          <w:rFonts w:eastAsia="Times New Roman" w:cstheme="minorHAnsi"/>
        </w:rPr>
        <w:t xml:space="preserve">Most importantly, </w:t>
      </w:r>
      <w:hyperlink r:id="rId40" w:history="1">
        <w:r w:rsidR="0F538F31" w:rsidRPr="005B1EB5">
          <w:rPr>
            <w:rStyle w:val="Hyperlink"/>
            <w:rFonts w:asciiTheme="minorHAnsi" w:eastAsia="Times New Roman" w:hAnsiTheme="minorHAnsi" w:cstheme="minorHAnsi"/>
          </w:rPr>
          <w:t>numerous UN bodies</w:t>
        </w:r>
      </w:hyperlink>
      <w:r w:rsidR="00B730ED" w:rsidRPr="005B1EB5">
        <w:rPr>
          <w:rStyle w:val="EndnoteReference"/>
          <w:rFonts w:cstheme="minorHAnsi"/>
        </w:rPr>
        <w:endnoteReference w:id="29"/>
      </w:r>
      <w:r w:rsidR="0F538F31" w:rsidRPr="005B1EB5">
        <w:rPr>
          <w:rFonts w:eastAsia="Times New Roman" w:cstheme="minorHAnsi"/>
        </w:rPr>
        <w:t xml:space="preserve"> have </w:t>
      </w:r>
      <w:r w:rsidR="13CBD2CD" w:rsidRPr="005B1EB5">
        <w:rPr>
          <w:rFonts w:eastAsia="Times New Roman" w:cstheme="minorHAnsi"/>
        </w:rPr>
        <w:t xml:space="preserve">made clear that </w:t>
      </w:r>
      <w:r w:rsidR="22DD2B10" w:rsidRPr="005B1EB5">
        <w:rPr>
          <w:rFonts w:eastAsia="Times New Roman" w:cstheme="minorHAnsi"/>
        </w:rPr>
        <w:t>UN Drug Control Conventions</w:t>
      </w:r>
      <w:r w:rsidRPr="005B1EB5">
        <w:rPr>
          <w:rFonts w:eastAsia="Times New Roman" w:cstheme="minorHAnsi"/>
        </w:rPr>
        <w:t xml:space="preserve"> must be interpreted in light of Canada’s human rights commitments</w:t>
      </w:r>
      <w:r w:rsidR="7E81A086" w:rsidRPr="005B1EB5">
        <w:rPr>
          <w:rFonts w:eastAsia="Times New Roman" w:cstheme="minorHAnsi"/>
        </w:rPr>
        <w:t xml:space="preserve"> including those codified in the ICCPR</w:t>
      </w:r>
      <w:r w:rsidRPr="005B1EB5">
        <w:rPr>
          <w:rFonts w:eastAsia="Times New Roman" w:cstheme="minorHAnsi"/>
        </w:rPr>
        <w:t>.</w:t>
      </w:r>
      <w:r w:rsidR="00F879E8" w:rsidRPr="005B1EB5">
        <w:rPr>
          <w:rStyle w:val="EndnoteReference"/>
          <w:rFonts w:eastAsia="Times New Roman" w:cstheme="minorHAnsi"/>
        </w:rPr>
        <w:endnoteReference w:id="30"/>
      </w:r>
    </w:p>
    <w:p w14:paraId="1B96ADE7" w14:textId="2F8BB2E8" w:rsidR="274D508F" w:rsidRPr="005B1EB5" w:rsidRDefault="274D508F" w:rsidP="6376218A">
      <w:pPr>
        <w:pStyle w:val="ListParagraph"/>
        <w:numPr>
          <w:ilvl w:val="0"/>
          <w:numId w:val="4"/>
        </w:numPr>
        <w:spacing w:after="120"/>
        <w:ind w:left="274"/>
        <w:contextualSpacing w:val="0"/>
        <w:jc w:val="both"/>
        <w:rPr>
          <w:rFonts w:eastAsia="Times New Roman" w:cstheme="minorHAnsi"/>
        </w:rPr>
      </w:pPr>
      <w:r w:rsidRPr="005B1EB5">
        <w:rPr>
          <w:rFonts w:eastAsia="Times New Roman" w:cstheme="minorHAnsi"/>
        </w:rPr>
        <w:t>Compliance with UN Drug Control Conventions does not justify the significant human rights concerns raised in our submission.</w:t>
      </w:r>
    </w:p>
    <w:p w14:paraId="766D8B44" w14:textId="2F9243BF"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Canada’s primary drug control statute, the </w:t>
      </w:r>
      <w:hyperlink r:id="rId41" w:history="1">
        <w:r w:rsidRPr="005B1EB5">
          <w:rPr>
            <w:rStyle w:val="Hyperlink"/>
            <w:rFonts w:asciiTheme="minorHAnsi" w:eastAsia="Times New Roman" w:hAnsiTheme="minorHAnsi" w:cstheme="minorHAnsi"/>
            <w:i/>
            <w:iCs/>
            <w:kern w:val="0"/>
            <w14:ligatures w14:val="none"/>
          </w:rPr>
          <w:t>Controlled Drugs and Substances Act</w:t>
        </w:r>
      </w:hyperlink>
      <w:r w:rsidR="00FD2511" w:rsidRPr="005B1EB5">
        <w:rPr>
          <w:rStyle w:val="EndnoteReference"/>
          <w:rFonts w:eastAsia="Times New Roman" w:cstheme="minorHAnsi"/>
          <w:i/>
          <w:iCs/>
          <w:kern w:val="0"/>
          <w14:ligatures w14:val="none"/>
        </w:rPr>
        <w:endnoteReference w:id="31"/>
      </w:r>
      <w:r w:rsidRPr="005B1EB5">
        <w:rPr>
          <w:rFonts w:eastAsia="Times New Roman" w:cstheme="minorHAnsi"/>
          <w:kern w:val="0"/>
          <w14:ligatures w14:val="none"/>
        </w:rPr>
        <w:t xml:space="preserve"> (CDSA), criminalizes possession, trafficking, importing, exporting, and production of listed substances. Penalties include imprisonment, in some cases including maximum sentencing up to life imprisonment. The CDSA is the key mechanism used by law enforcement</w:t>
      </w:r>
      <w:r w:rsidR="006B1472" w:rsidRPr="005B1EB5">
        <w:rPr>
          <w:rFonts w:eastAsia="Times New Roman" w:cstheme="minorHAnsi"/>
          <w:kern w:val="0"/>
          <w14:ligatures w14:val="none"/>
        </w:rPr>
        <w:t>.</w:t>
      </w:r>
      <w:r w:rsidRPr="005B1EB5">
        <w:rPr>
          <w:rFonts w:eastAsia="Times New Roman" w:cstheme="minorHAnsi"/>
          <w:kern w:val="0"/>
          <w14:ligatures w14:val="none"/>
        </w:rPr>
        <w:t xml:space="preserve"> </w:t>
      </w:r>
      <w:r w:rsidR="006B1472" w:rsidRPr="005B1EB5">
        <w:rPr>
          <w:rFonts w:eastAsia="Times New Roman" w:cstheme="minorHAnsi"/>
          <w:kern w:val="0"/>
          <w14:ligatures w14:val="none"/>
        </w:rPr>
        <w:t>A</w:t>
      </w:r>
      <w:r w:rsidRPr="005B1EB5">
        <w:rPr>
          <w:rFonts w:eastAsia="Times New Roman" w:cstheme="minorHAnsi"/>
          <w:kern w:val="0"/>
          <w14:ligatures w14:val="none"/>
        </w:rPr>
        <w:t xml:space="preserve">s outlined below, enforcement of the CDSA is </w:t>
      </w:r>
      <w:r w:rsidR="006B1472" w:rsidRPr="005B1EB5">
        <w:rPr>
          <w:rFonts w:eastAsia="Times New Roman" w:cstheme="minorHAnsi"/>
          <w:kern w:val="0"/>
          <w14:ligatures w14:val="none"/>
        </w:rPr>
        <w:t>a</w:t>
      </w:r>
      <w:r w:rsidRPr="005B1EB5">
        <w:rPr>
          <w:rFonts w:eastAsia="Times New Roman" w:cstheme="minorHAnsi"/>
          <w:kern w:val="0"/>
          <w14:ligatures w14:val="none"/>
        </w:rPr>
        <w:t xml:space="preserve"> key factor </w:t>
      </w:r>
      <w:r w:rsidR="003E68F7" w:rsidRPr="005B1EB5">
        <w:rPr>
          <w:rFonts w:eastAsia="Times New Roman" w:cstheme="minorHAnsi"/>
          <w:kern w:val="0"/>
          <w14:ligatures w14:val="none"/>
        </w:rPr>
        <w:t xml:space="preserve">driving the </w:t>
      </w:r>
      <w:r w:rsidRPr="005B1EB5">
        <w:rPr>
          <w:rFonts w:eastAsia="Times New Roman" w:cstheme="minorHAnsi"/>
          <w:kern w:val="0"/>
          <w14:ligatures w14:val="none"/>
        </w:rPr>
        <w:t xml:space="preserve">increasing </w:t>
      </w:r>
      <w:r w:rsidR="000C7DE4" w:rsidRPr="005B1EB5">
        <w:rPr>
          <w:rFonts w:eastAsia="Times New Roman" w:cstheme="minorHAnsi"/>
          <w:kern w:val="0"/>
          <w14:ligatures w14:val="none"/>
        </w:rPr>
        <w:t>volatil</w:t>
      </w:r>
      <w:r w:rsidR="003E68F7" w:rsidRPr="005B1EB5">
        <w:rPr>
          <w:rFonts w:eastAsia="Times New Roman" w:cstheme="minorHAnsi"/>
          <w:kern w:val="0"/>
          <w14:ligatures w14:val="none"/>
        </w:rPr>
        <w:t>ity</w:t>
      </w:r>
      <w:r w:rsidR="000C7DE4" w:rsidRPr="005B1EB5">
        <w:rPr>
          <w:rFonts w:eastAsia="Times New Roman" w:cstheme="minorHAnsi"/>
          <w:kern w:val="0"/>
          <w14:ligatures w14:val="none"/>
        </w:rPr>
        <w:t xml:space="preserve"> and </w:t>
      </w:r>
      <w:r w:rsidRPr="005B1EB5">
        <w:rPr>
          <w:rFonts w:eastAsia="Times New Roman" w:cstheme="minorHAnsi"/>
          <w:kern w:val="0"/>
          <w14:ligatures w14:val="none"/>
        </w:rPr>
        <w:t>toxic</w:t>
      </w:r>
      <w:r w:rsidR="003E68F7" w:rsidRPr="005B1EB5">
        <w:rPr>
          <w:rFonts w:eastAsia="Times New Roman" w:cstheme="minorHAnsi"/>
          <w:kern w:val="0"/>
          <w14:ligatures w14:val="none"/>
        </w:rPr>
        <w:t>ity of the unregulated drug supply</w:t>
      </w:r>
      <w:r w:rsidR="000C7DE4" w:rsidRPr="005B1EB5">
        <w:rPr>
          <w:rFonts w:eastAsia="Times New Roman" w:cstheme="minorHAnsi"/>
          <w:kern w:val="0"/>
          <w14:ligatures w14:val="none"/>
        </w:rPr>
        <w:t>.</w:t>
      </w:r>
    </w:p>
    <w:p w14:paraId="6384B4A0" w14:textId="22320ADB"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The </w:t>
      </w:r>
      <w:hyperlink r:id="rId42" w:history="1">
        <w:r w:rsidRPr="005B1EB5">
          <w:rPr>
            <w:rStyle w:val="Hyperlink"/>
            <w:rFonts w:asciiTheme="minorHAnsi" w:eastAsia="Times New Roman" w:hAnsiTheme="minorHAnsi" w:cstheme="minorHAnsi"/>
            <w:i/>
            <w:iCs/>
            <w:kern w:val="0"/>
            <w14:ligatures w14:val="none"/>
          </w:rPr>
          <w:t xml:space="preserve">Food and Drug Act </w:t>
        </w:r>
        <w:r w:rsidRPr="005B1EB5">
          <w:rPr>
            <w:rStyle w:val="Hyperlink"/>
            <w:rFonts w:asciiTheme="minorHAnsi" w:eastAsia="Times New Roman" w:hAnsiTheme="minorHAnsi" w:cstheme="minorHAnsi"/>
            <w:kern w:val="0"/>
            <w14:ligatures w14:val="none"/>
          </w:rPr>
          <w:t xml:space="preserve">and </w:t>
        </w:r>
        <w:r w:rsidRPr="005B1EB5">
          <w:rPr>
            <w:rStyle w:val="Hyperlink"/>
            <w:rFonts w:asciiTheme="minorHAnsi" w:eastAsia="Times New Roman" w:hAnsiTheme="minorHAnsi" w:cstheme="minorHAnsi"/>
            <w:i/>
            <w:iCs/>
            <w:kern w:val="0"/>
            <w14:ligatures w14:val="none"/>
          </w:rPr>
          <w:t>Food and Drug Regulations</w:t>
        </w:r>
      </w:hyperlink>
      <w:r w:rsidR="00B83EE9" w:rsidRPr="005B1EB5">
        <w:rPr>
          <w:rStyle w:val="EndnoteReference"/>
          <w:rFonts w:eastAsia="Times New Roman" w:cstheme="minorHAnsi"/>
          <w:i/>
          <w:iCs/>
          <w:kern w:val="0"/>
          <w14:ligatures w14:val="none"/>
        </w:rPr>
        <w:endnoteReference w:id="32"/>
      </w:r>
      <w:r w:rsidRPr="005B1EB5">
        <w:rPr>
          <w:rFonts w:eastAsia="Times New Roman" w:cstheme="minorHAnsi"/>
          <w:i/>
          <w:iCs/>
          <w:kern w:val="0"/>
          <w14:ligatures w14:val="none"/>
        </w:rPr>
        <w:t xml:space="preserve"> </w:t>
      </w:r>
      <w:r w:rsidRPr="005B1EB5">
        <w:rPr>
          <w:rFonts w:eastAsia="Times New Roman" w:cstheme="minorHAnsi"/>
          <w:kern w:val="0"/>
          <w14:ligatures w14:val="none"/>
        </w:rPr>
        <w:t xml:space="preserve">(FDA/FDR) are Canada’s primary mechanisms to regulate ingredients, potency and access to other substances, including prescription medications. The FDA/FDR </w:t>
      </w:r>
      <w:r w:rsidR="00EE1EB3" w:rsidRPr="005B1EB5">
        <w:rPr>
          <w:rFonts w:eastAsia="Times New Roman" w:cstheme="minorHAnsi"/>
          <w:kern w:val="0"/>
          <w14:ligatures w14:val="none"/>
        </w:rPr>
        <w:t xml:space="preserve">offer </w:t>
      </w:r>
      <w:r w:rsidRPr="005B1EB5">
        <w:rPr>
          <w:rFonts w:eastAsia="Times New Roman" w:cstheme="minorHAnsi"/>
          <w:kern w:val="0"/>
          <w14:ligatures w14:val="none"/>
        </w:rPr>
        <w:t xml:space="preserve">the legal framework that </w:t>
      </w:r>
      <w:r w:rsidRPr="005B1EB5">
        <w:rPr>
          <w:rFonts w:eastAsia="Times New Roman" w:cstheme="minorHAnsi"/>
          <w:i/>
          <w:iCs/>
          <w:kern w:val="0"/>
          <w14:ligatures w14:val="none"/>
        </w:rPr>
        <w:t xml:space="preserve">could </w:t>
      </w:r>
      <w:r w:rsidRPr="005B1EB5">
        <w:rPr>
          <w:rFonts w:eastAsia="Times New Roman" w:cstheme="minorHAnsi"/>
          <w:kern w:val="0"/>
          <w14:ligatures w14:val="none"/>
        </w:rPr>
        <w:t xml:space="preserve">but does not presently </w:t>
      </w:r>
      <w:r w:rsidR="00BA7C08" w:rsidRPr="005B1EB5">
        <w:rPr>
          <w:rFonts w:eastAsia="Times New Roman" w:cstheme="minorHAnsi"/>
          <w:kern w:val="0"/>
          <w14:ligatures w14:val="none"/>
        </w:rPr>
        <w:t xml:space="preserve">increase safety and decrease death and harm, by </w:t>
      </w:r>
      <w:r w:rsidRPr="005B1EB5">
        <w:rPr>
          <w:rFonts w:eastAsia="Times New Roman" w:cstheme="minorHAnsi"/>
          <w:kern w:val="0"/>
          <w14:ligatures w14:val="none"/>
        </w:rPr>
        <w:t>ensur</w:t>
      </w:r>
      <w:r w:rsidR="00BA7C08" w:rsidRPr="005B1EB5">
        <w:rPr>
          <w:rFonts w:eastAsia="Times New Roman" w:cstheme="minorHAnsi"/>
          <w:kern w:val="0"/>
          <w14:ligatures w14:val="none"/>
        </w:rPr>
        <w:t>ing</w:t>
      </w:r>
      <w:r w:rsidRPr="005B1EB5">
        <w:rPr>
          <w:rFonts w:eastAsia="Times New Roman" w:cstheme="minorHAnsi"/>
          <w:kern w:val="0"/>
          <w14:ligatures w14:val="none"/>
        </w:rPr>
        <w:t xml:space="preserve"> that the </w:t>
      </w:r>
      <w:r w:rsidR="008B62F7" w:rsidRPr="005B1EB5">
        <w:rPr>
          <w:rFonts w:eastAsia="Times New Roman" w:cstheme="minorHAnsi"/>
          <w:kern w:val="0"/>
          <w14:ligatures w14:val="none"/>
        </w:rPr>
        <w:t>unregulated</w:t>
      </w:r>
      <w:r w:rsidRPr="005B1EB5">
        <w:rPr>
          <w:rFonts w:eastAsia="Times New Roman" w:cstheme="minorHAnsi"/>
          <w:kern w:val="0"/>
          <w14:ligatures w14:val="none"/>
        </w:rPr>
        <w:t xml:space="preserve"> drug supply in Canada is not tainted or dangerously potent</w:t>
      </w:r>
      <w:r w:rsidR="00BA7C08" w:rsidRPr="005B1EB5">
        <w:rPr>
          <w:rFonts w:eastAsia="Times New Roman" w:cstheme="minorHAnsi"/>
          <w:kern w:val="0"/>
          <w14:ligatures w14:val="none"/>
        </w:rPr>
        <w:t>. The FDA/FDR</w:t>
      </w:r>
      <w:r w:rsidRPr="005B1EB5">
        <w:rPr>
          <w:rFonts w:eastAsia="Times New Roman" w:cstheme="minorHAnsi"/>
          <w:kern w:val="0"/>
          <w14:ligatures w14:val="none"/>
        </w:rPr>
        <w:t xml:space="preserve"> </w:t>
      </w:r>
      <w:r w:rsidR="00BA7C08" w:rsidRPr="005B1EB5">
        <w:rPr>
          <w:rFonts w:eastAsia="Times New Roman" w:cstheme="minorHAnsi"/>
          <w:kern w:val="0"/>
          <w14:ligatures w14:val="none"/>
        </w:rPr>
        <w:t xml:space="preserve">similarly </w:t>
      </w:r>
      <w:r w:rsidR="00AE3396" w:rsidRPr="005B1EB5">
        <w:rPr>
          <w:rFonts w:eastAsia="Times New Roman" w:cstheme="minorHAnsi"/>
          <w:i/>
          <w:iCs/>
          <w:kern w:val="0"/>
          <w14:ligatures w14:val="none"/>
        </w:rPr>
        <w:t>could</w:t>
      </w:r>
      <w:r w:rsidR="00AE3396" w:rsidRPr="005B1EB5">
        <w:rPr>
          <w:rFonts w:eastAsia="Times New Roman" w:cstheme="minorHAnsi"/>
          <w:kern w:val="0"/>
          <w14:ligatures w14:val="none"/>
        </w:rPr>
        <w:t xml:space="preserve"> but </w:t>
      </w:r>
      <w:r w:rsidRPr="005B1EB5">
        <w:rPr>
          <w:rFonts w:eastAsia="Times New Roman" w:cstheme="minorHAnsi"/>
          <w:kern w:val="0"/>
          <w14:ligatures w14:val="none"/>
        </w:rPr>
        <w:t xml:space="preserve">does not </w:t>
      </w:r>
      <w:r w:rsidR="00AE3396" w:rsidRPr="005B1EB5">
        <w:rPr>
          <w:rFonts w:eastAsia="Times New Roman" w:cstheme="minorHAnsi"/>
          <w:kern w:val="0"/>
          <w14:ligatures w14:val="none"/>
        </w:rPr>
        <w:t xml:space="preserve">presently </w:t>
      </w:r>
      <w:r w:rsidRPr="005B1EB5">
        <w:rPr>
          <w:rFonts w:eastAsia="Times New Roman" w:cstheme="minorHAnsi"/>
          <w:kern w:val="0"/>
          <w14:ligatures w14:val="none"/>
        </w:rPr>
        <w:t>control manufacture, access/sale, or advertising</w:t>
      </w:r>
      <w:r w:rsidR="00AE3396" w:rsidRPr="005B1EB5">
        <w:rPr>
          <w:rFonts w:eastAsia="Times New Roman" w:cstheme="minorHAnsi"/>
          <w:kern w:val="0"/>
          <w14:ligatures w14:val="none"/>
        </w:rPr>
        <w:t xml:space="preserve"> of unregulated drugs</w:t>
      </w:r>
      <w:r w:rsidRPr="005B1EB5">
        <w:rPr>
          <w:rFonts w:eastAsia="Times New Roman" w:cstheme="minorHAnsi"/>
          <w:kern w:val="0"/>
          <w14:ligatures w14:val="none"/>
        </w:rPr>
        <w:t>.</w:t>
      </w:r>
    </w:p>
    <w:p w14:paraId="751240F4" w14:textId="4D6AEC15"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In theory, </w:t>
      </w:r>
      <w:r w:rsidR="00EC1402" w:rsidRPr="005B1EB5">
        <w:rPr>
          <w:rFonts w:eastAsia="Times New Roman" w:cstheme="minorHAnsi"/>
          <w:kern w:val="0"/>
          <w14:ligatures w14:val="none"/>
        </w:rPr>
        <w:t xml:space="preserve">the CDSA and FDA/FDR </w:t>
      </w:r>
      <w:r w:rsidRPr="005B1EB5">
        <w:rPr>
          <w:rFonts w:eastAsia="Times New Roman" w:cstheme="minorHAnsi"/>
          <w:kern w:val="0"/>
          <w14:ligatures w14:val="none"/>
        </w:rPr>
        <w:t>are intended to protect public health and safety by suppressing the supply of drugs</w:t>
      </w:r>
      <w:r w:rsidR="00A24A12" w:rsidRPr="005B1EB5">
        <w:rPr>
          <w:rFonts w:eastAsia="Times New Roman" w:cstheme="minorHAnsi"/>
          <w:kern w:val="0"/>
          <w14:ligatures w14:val="none"/>
        </w:rPr>
        <w:t xml:space="preserve">, </w:t>
      </w:r>
      <w:r w:rsidRPr="005B1EB5">
        <w:rPr>
          <w:rFonts w:eastAsia="Times New Roman" w:cstheme="minorHAnsi"/>
          <w:kern w:val="0"/>
          <w14:ligatures w14:val="none"/>
        </w:rPr>
        <w:t xml:space="preserve">discouraging </w:t>
      </w:r>
      <w:r w:rsidR="00C72094" w:rsidRPr="005B1EB5">
        <w:rPr>
          <w:rFonts w:eastAsia="Times New Roman" w:cstheme="minorHAnsi"/>
          <w:kern w:val="0"/>
          <w14:ligatures w14:val="none"/>
        </w:rPr>
        <w:t xml:space="preserve">the </w:t>
      </w:r>
      <w:r w:rsidRPr="005B1EB5">
        <w:rPr>
          <w:rFonts w:eastAsia="Times New Roman" w:cstheme="minorHAnsi"/>
          <w:kern w:val="0"/>
          <w14:ligatures w14:val="none"/>
        </w:rPr>
        <w:t xml:space="preserve">use of drugs outside of medical/therapeutic contexts or legally authorized non-medical </w:t>
      </w:r>
      <w:r w:rsidR="00C24DCB" w:rsidRPr="005B1EB5">
        <w:rPr>
          <w:rFonts w:eastAsia="Times New Roman" w:cstheme="minorHAnsi"/>
          <w:kern w:val="0"/>
          <w14:ligatures w14:val="none"/>
        </w:rPr>
        <w:t>use</w:t>
      </w:r>
      <w:r w:rsidRPr="005B1EB5">
        <w:rPr>
          <w:rFonts w:eastAsia="Times New Roman" w:cstheme="minorHAnsi"/>
          <w:kern w:val="0"/>
          <w14:ligatures w14:val="none"/>
        </w:rPr>
        <w:t xml:space="preserve"> (e.g. alcohol, cannabis, nicotine)</w:t>
      </w:r>
      <w:r w:rsidR="00517C72" w:rsidRPr="005B1EB5">
        <w:rPr>
          <w:rFonts w:eastAsia="Times New Roman" w:cstheme="minorHAnsi"/>
          <w:kern w:val="0"/>
          <w14:ligatures w14:val="none"/>
        </w:rPr>
        <w:t xml:space="preserve">, and </w:t>
      </w:r>
      <w:r w:rsidRPr="005B1EB5">
        <w:rPr>
          <w:rFonts w:eastAsia="Times New Roman" w:cstheme="minorHAnsi"/>
          <w:kern w:val="0"/>
          <w14:ligatures w14:val="none"/>
        </w:rPr>
        <w:t xml:space="preserve">regulating access to quality-controlled drugs in some circumstances (i.e. prescription medications). </w:t>
      </w:r>
    </w:p>
    <w:p w14:paraId="5852C0E2" w14:textId="4FF34EFE"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In practice, the CDSA/FDA/FDR framework has failed to reduce availability or use of drugs and has acted as a barrier to implementing policies that would reduce the harm caused by tainted, unregulated drugs. Ultimately, it is the government’s legislative framework and the enforcement of it that has produced a</w:t>
      </w:r>
      <w:r w:rsidR="005B3511" w:rsidRPr="005B1EB5">
        <w:rPr>
          <w:rFonts w:eastAsia="Times New Roman" w:cstheme="minorHAnsi"/>
          <w:kern w:val="0"/>
          <w14:ligatures w14:val="none"/>
        </w:rPr>
        <w:t>n</w:t>
      </w:r>
      <w:r w:rsidRPr="005B1EB5">
        <w:rPr>
          <w:rFonts w:eastAsia="Times New Roman" w:cstheme="minorHAnsi"/>
          <w:kern w:val="0"/>
          <w14:ligatures w14:val="none"/>
        </w:rPr>
        <w:t xml:space="preserve"> </w:t>
      </w:r>
      <w:r w:rsidR="005B3511" w:rsidRPr="005B1EB5">
        <w:rPr>
          <w:rFonts w:eastAsia="Times New Roman" w:cstheme="minorHAnsi"/>
          <w:kern w:val="0"/>
          <w14:ligatures w14:val="none"/>
        </w:rPr>
        <w:t xml:space="preserve">unregulated </w:t>
      </w:r>
      <w:r w:rsidR="007434F2" w:rsidRPr="005B1EB5">
        <w:rPr>
          <w:rFonts w:eastAsia="Times New Roman" w:cstheme="minorHAnsi"/>
          <w:kern w:val="0"/>
          <w14:ligatures w14:val="none"/>
        </w:rPr>
        <w:t>drug supply</w:t>
      </w:r>
      <w:r w:rsidRPr="005B1EB5">
        <w:rPr>
          <w:rFonts w:eastAsia="Times New Roman" w:cstheme="minorHAnsi"/>
          <w:kern w:val="0"/>
          <w14:ligatures w14:val="none"/>
        </w:rPr>
        <w:t xml:space="preserve"> characterized by extreme risk.</w:t>
      </w:r>
    </w:p>
    <w:p w14:paraId="79BE7BD5" w14:textId="7E8CC3D8" w:rsidR="002B0D3F" w:rsidRPr="005B1EB5" w:rsidRDefault="002B0D3F" w:rsidP="002B0D3F">
      <w:pPr>
        <w:pStyle w:val="ListParagraph"/>
        <w:numPr>
          <w:ilvl w:val="1"/>
          <w:numId w:val="2"/>
        </w:numPr>
        <w:spacing w:before="100" w:beforeAutospacing="1" w:after="100" w:afterAutospacing="1"/>
        <w:ind w:left="90"/>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lastRenderedPageBreak/>
        <w:t>Canada has failed to follow evidence and expert advice to implement quality and access controls for various prohibited drugs</w:t>
      </w:r>
    </w:p>
    <w:p w14:paraId="1BA1A380" w14:textId="77777777" w:rsidR="002B0D3F" w:rsidRPr="008149D6" w:rsidRDefault="002B0D3F" w:rsidP="002B0D3F">
      <w:pPr>
        <w:pStyle w:val="ListParagraph"/>
        <w:spacing w:before="100" w:beforeAutospacing="1" w:after="100" w:afterAutospacing="1"/>
        <w:ind w:left="90"/>
        <w:rPr>
          <w:rFonts w:ascii="Barlow" w:eastAsia="Times New Roman" w:hAnsi="Barlow" w:cs="Open Sans"/>
          <w:b/>
          <w:bCs/>
          <w:kern w:val="0"/>
          <w:sz w:val="22"/>
          <w:szCs w:val="22"/>
          <w14:ligatures w14:val="none"/>
        </w:rPr>
      </w:pPr>
    </w:p>
    <w:p w14:paraId="230A2890" w14:textId="19EFAE6F"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The government has </w:t>
      </w:r>
      <w:hyperlink r:id="rId43" w:history="1">
        <w:r w:rsidRPr="005B1EB5">
          <w:rPr>
            <w:rStyle w:val="Hyperlink"/>
            <w:rFonts w:asciiTheme="minorHAnsi" w:eastAsia="Times New Roman" w:hAnsiTheme="minorHAnsi" w:cstheme="minorHAnsi"/>
            <w:kern w:val="0"/>
            <w14:ligatures w14:val="none"/>
          </w:rPr>
          <w:t>ignored evidence and not acted on the recommendations</w:t>
        </w:r>
      </w:hyperlink>
      <w:r w:rsidR="00A350DF" w:rsidRPr="005B1EB5">
        <w:rPr>
          <w:rStyle w:val="EndnoteReference"/>
          <w:rFonts w:eastAsia="Times New Roman" w:cstheme="minorHAnsi"/>
          <w:kern w:val="0"/>
          <w14:ligatures w14:val="none"/>
        </w:rPr>
        <w:endnoteReference w:id="33"/>
      </w:r>
      <w:r w:rsidRPr="005B1EB5">
        <w:rPr>
          <w:rFonts w:eastAsia="Times New Roman" w:cstheme="minorHAnsi"/>
          <w:kern w:val="0"/>
          <w14:ligatures w14:val="none"/>
        </w:rPr>
        <w:t xml:space="preserve"> of the government-initiated “Expert Task Force on Substance Use” and “Expert Advisory Group on Safer Supply</w:t>
      </w:r>
      <w:r w:rsidR="00517C72" w:rsidRPr="005B1EB5">
        <w:rPr>
          <w:rFonts w:eastAsia="Times New Roman" w:cstheme="minorHAnsi"/>
          <w:kern w:val="0"/>
          <w14:ligatures w14:val="none"/>
        </w:rPr>
        <w:t>.</w:t>
      </w:r>
      <w:r w:rsidRPr="005B1EB5">
        <w:rPr>
          <w:rFonts w:eastAsia="Times New Roman" w:cstheme="minorHAnsi"/>
          <w:kern w:val="0"/>
          <w14:ligatures w14:val="none"/>
        </w:rPr>
        <w:t>” Further, Canada has refused to publicly release the full findings of the Expert Advisory Group on Safer Supply, thereby reducing transparency and government accountability.</w:t>
      </w:r>
    </w:p>
    <w:p w14:paraId="57C2E597" w14:textId="0110D6A1"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In 2021, </w:t>
      </w:r>
      <w:bookmarkStart w:id="0" w:name="_Hlk220595902"/>
      <w:r w:rsidR="00007315" w:rsidRPr="005B1EB5">
        <w:rPr>
          <w:rFonts w:eastAsia="Times New Roman" w:cstheme="minorHAnsi"/>
          <w:kern w:val="0"/>
          <w14:ligatures w14:val="none"/>
        </w:rPr>
        <w:fldChar w:fldCharType="begin"/>
      </w:r>
      <w:r w:rsidR="00007315" w:rsidRPr="005B1EB5">
        <w:rPr>
          <w:rFonts w:eastAsia="Times New Roman" w:cstheme="minorHAnsi"/>
          <w:kern w:val="0"/>
          <w14:ligatures w14:val="none"/>
        </w:rPr>
        <w:instrText xml:space="preserve"> HYPERLINK "https://www.canada.ca/en/health-canada/corporate/about-health-canada/public-engagement/external-advisory-bodies/expert-task-force-substance-use/reports/report-2-2021.html" </w:instrText>
      </w:r>
      <w:r w:rsidR="00007315" w:rsidRPr="005B1EB5">
        <w:rPr>
          <w:rFonts w:eastAsia="Times New Roman" w:cstheme="minorHAnsi"/>
          <w:kern w:val="0"/>
          <w14:ligatures w14:val="none"/>
        </w:rPr>
      </w:r>
      <w:r w:rsidR="00007315" w:rsidRPr="005B1EB5">
        <w:rPr>
          <w:rFonts w:eastAsia="Times New Roman" w:cstheme="minorHAnsi"/>
          <w:kern w:val="0"/>
          <w14:ligatures w14:val="none"/>
        </w:rPr>
        <w:fldChar w:fldCharType="separate"/>
      </w:r>
      <w:r w:rsidRPr="005B1EB5">
        <w:rPr>
          <w:rStyle w:val="Hyperlink"/>
          <w:rFonts w:asciiTheme="minorHAnsi" w:eastAsia="Times New Roman" w:hAnsiTheme="minorHAnsi" w:cstheme="minorHAnsi"/>
          <w:kern w:val="0"/>
          <w14:ligatures w14:val="none"/>
        </w:rPr>
        <w:t>Canada’s Expert Task Force on Substance Use</w:t>
      </w:r>
      <w:r w:rsidR="00007315" w:rsidRPr="005B1EB5">
        <w:rPr>
          <w:rFonts w:eastAsia="Times New Roman" w:cstheme="minorHAnsi"/>
          <w:kern w:val="0"/>
          <w14:ligatures w14:val="none"/>
        </w:rPr>
        <w:fldChar w:fldCharType="end"/>
      </w:r>
      <w:r w:rsidR="0085073E" w:rsidRPr="005B1EB5">
        <w:rPr>
          <w:rStyle w:val="EndnoteReference"/>
          <w:rFonts w:eastAsia="Times New Roman" w:cstheme="minorHAnsi"/>
          <w:kern w:val="0"/>
          <w14:ligatures w14:val="none"/>
        </w:rPr>
        <w:endnoteReference w:id="34"/>
      </w:r>
      <w:r w:rsidRPr="005B1EB5">
        <w:rPr>
          <w:rFonts w:eastAsia="Times New Roman" w:cstheme="minorHAnsi"/>
          <w:kern w:val="0"/>
          <w14:ligatures w14:val="none"/>
        </w:rPr>
        <w:t xml:space="preserve"> </w:t>
      </w:r>
      <w:bookmarkEnd w:id="0"/>
      <w:r w:rsidRPr="005B1EB5">
        <w:rPr>
          <w:rFonts w:eastAsia="Times New Roman" w:cstheme="minorHAnsi"/>
          <w:kern w:val="0"/>
          <w14:ligatures w14:val="none"/>
        </w:rPr>
        <w:t xml:space="preserve">called on the </w:t>
      </w:r>
      <w:r w:rsidR="00381590" w:rsidRPr="005B1EB5">
        <w:rPr>
          <w:rFonts w:eastAsia="Times New Roman" w:cstheme="minorHAnsi"/>
          <w:kern w:val="0"/>
          <w14:ligatures w14:val="none"/>
        </w:rPr>
        <w:t>Canada</w:t>
      </w:r>
      <w:r w:rsidRPr="005B1EB5">
        <w:rPr>
          <w:rFonts w:eastAsia="Times New Roman" w:cstheme="minorHAnsi"/>
          <w:kern w:val="0"/>
          <w14:ligatures w14:val="none"/>
        </w:rPr>
        <w:t xml:space="preserve"> to:</w:t>
      </w:r>
    </w:p>
    <w:p w14:paraId="6AEEC46B" w14:textId="77777777" w:rsidR="002B0D3F" w:rsidRPr="005B1EB5" w:rsidRDefault="002B0D3F" w:rsidP="00535B1C">
      <w:pPr>
        <w:spacing w:after="100" w:afterAutospacing="1"/>
        <w:ind w:left="720" w:right="810"/>
        <w:jc w:val="both"/>
        <w:rPr>
          <w:rFonts w:eastAsia="Times New Roman" w:cstheme="minorHAnsi"/>
          <w:i/>
          <w:iCs/>
          <w:kern w:val="0"/>
          <w14:ligatures w14:val="none"/>
        </w:rPr>
      </w:pPr>
      <w:r w:rsidRPr="005B1EB5">
        <w:rPr>
          <w:rFonts w:eastAsia="Times New Roman" w:cstheme="minorHAnsi"/>
          <w:i/>
          <w:iCs/>
          <w:kern w:val="0"/>
          <w14:ligatures w14:val="none"/>
        </w:rPr>
        <w:t>immediately develop and implement a single public health framework with specific regulations for all psychoactive substances, including currently illegal drugs as well as alcohol, tobacco, and cannabis. This framework should aim to minimize the scale of the illegal market, bring stability and predictability to regulated markets for substances, and provide access to safer substances for those at risk of injury or death from toxic illegal substances.</w:t>
      </w:r>
    </w:p>
    <w:p w14:paraId="64F232A8" w14:textId="70DC298A"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Other expert bodies and human rights entities have, and continue, to advance similar demands. This includes: The </w:t>
      </w:r>
      <w:hyperlink r:id="rId44" w:history="1">
        <w:r w:rsidRPr="005B1EB5">
          <w:rPr>
            <w:rStyle w:val="Hyperlink"/>
            <w:rFonts w:asciiTheme="minorHAnsi" w:eastAsia="Times New Roman" w:hAnsiTheme="minorHAnsi" w:cstheme="minorHAnsi"/>
            <w:kern w:val="0"/>
            <w14:ligatures w14:val="none"/>
          </w:rPr>
          <w:t>UN Office of the High Commissioner for Human Rights</w:t>
        </w:r>
      </w:hyperlink>
      <w:r w:rsidR="00B4549C" w:rsidRPr="005B1EB5">
        <w:rPr>
          <w:rStyle w:val="EndnoteReference"/>
          <w:rFonts w:eastAsia="Times New Roman" w:cstheme="minorHAnsi"/>
          <w:kern w:val="0"/>
          <w14:ligatures w14:val="none"/>
        </w:rPr>
        <w:endnoteReference w:id="35"/>
      </w:r>
      <w:r w:rsidR="00233F54" w:rsidRPr="005B1EB5">
        <w:rPr>
          <w:rFonts w:cstheme="minorHAnsi"/>
          <w:lang w:val="en-US"/>
        </w:rPr>
        <w:t xml:space="preserve">,the </w:t>
      </w:r>
      <w:r w:rsidR="00A70D6A" w:rsidRPr="005B1EB5">
        <w:rPr>
          <w:rFonts w:cstheme="minorHAnsi"/>
          <w:lang w:val="en-US"/>
        </w:rPr>
        <w:t>British Columbia’s</w:t>
      </w:r>
      <w:r w:rsidR="00233F54" w:rsidRPr="005B1EB5">
        <w:rPr>
          <w:rFonts w:cstheme="minorHAnsi"/>
          <w:lang w:val="en-US"/>
        </w:rPr>
        <w:t xml:space="preserve"> Coroner Service</w:t>
      </w:r>
      <w:r w:rsidR="00233F54" w:rsidRPr="005B1EB5">
        <w:rPr>
          <w:rStyle w:val="EndnoteReference"/>
          <w:rFonts w:cstheme="minorHAnsi"/>
        </w:rPr>
        <w:endnoteReference w:id="36"/>
      </w:r>
      <w:r w:rsidR="00233F54" w:rsidRPr="005B1EB5">
        <w:rPr>
          <w:rFonts w:cstheme="minorHAnsi"/>
          <w:lang w:val="en-US"/>
        </w:rPr>
        <w:t>, the BC Provincial Health Officer</w:t>
      </w:r>
      <w:r w:rsidR="00233F54" w:rsidRPr="005B1EB5">
        <w:rPr>
          <w:rStyle w:val="EndnoteReference"/>
          <w:rFonts w:cstheme="minorHAnsi"/>
        </w:rPr>
        <w:endnoteReference w:id="37"/>
      </w:r>
      <w:r w:rsidR="00233F54" w:rsidRPr="005B1EB5">
        <w:rPr>
          <w:rFonts w:cstheme="minorHAnsi"/>
          <w:lang w:val="en-US"/>
        </w:rPr>
        <w:t>, the Ontario Chief Medical Officer of Health</w:t>
      </w:r>
      <w:r w:rsidR="00233F54" w:rsidRPr="005B1EB5">
        <w:rPr>
          <w:rStyle w:val="EndnoteReference"/>
          <w:rFonts w:cstheme="minorHAnsi"/>
        </w:rPr>
        <w:endnoteReference w:id="38"/>
      </w:r>
      <w:r w:rsidRPr="005B1EB5">
        <w:rPr>
          <w:rFonts w:eastAsia="Times New Roman" w:cstheme="minorHAnsi"/>
          <w:kern w:val="0"/>
          <w14:ligatures w14:val="none"/>
        </w:rPr>
        <w:t>– among others.</w:t>
      </w:r>
    </w:p>
    <w:p w14:paraId="3A8E458D" w14:textId="265C971E"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Canada has not responded to or implemented these calls to action despite significant data and research </w:t>
      </w:r>
      <w:r w:rsidR="00D2233C" w:rsidRPr="005B1EB5">
        <w:rPr>
          <w:rFonts w:eastAsia="Times New Roman" w:cstheme="minorHAnsi"/>
          <w:kern w:val="0"/>
          <w14:ligatures w14:val="none"/>
        </w:rPr>
        <w:t>demonstrating</w:t>
      </w:r>
      <w:r w:rsidRPr="005B1EB5">
        <w:rPr>
          <w:rFonts w:eastAsia="Times New Roman" w:cstheme="minorHAnsi"/>
          <w:kern w:val="0"/>
          <w14:ligatures w14:val="none"/>
        </w:rPr>
        <w:t xml:space="preserve"> the increasing </w:t>
      </w:r>
      <w:r w:rsidR="005C7B4C" w:rsidRPr="005B1EB5">
        <w:rPr>
          <w:rFonts w:eastAsia="Times New Roman" w:cstheme="minorHAnsi"/>
          <w:kern w:val="0"/>
          <w14:ligatures w14:val="none"/>
        </w:rPr>
        <w:t xml:space="preserve">diversification, </w:t>
      </w:r>
      <w:r w:rsidRPr="005B1EB5">
        <w:rPr>
          <w:rFonts w:eastAsia="Times New Roman" w:cstheme="minorHAnsi"/>
          <w:kern w:val="0"/>
          <w14:ligatures w14:val="none"/>
        </w:rPr>
        <w:t xml:space="preserve">toxicity and variability of the </w:t>
      </w:r>
      <w:r w:rsidR="00B71B72" w:rsidRPr="005B1EB5">
        <w:rPr>
          <w:rFonts w:eastAsia="Times New Roman" w:cstheme="minorHAnsi"/>
          <w:kern w:val="0"/>
          <w14:ligatures w14:val="none"/>
        </w:rPr>
        <w:t xml:space="preserve">unregulated </w:t>
      </w:r>
      <w:r w:rsidRPr="005B1EB5">
        <w:rPr>
          <w:rFonts w:eastAsia="Times New Roman" w:cstheme="minorHAnsi"/>
          <w:kern w:val="0"/>
          <w14:ligatures w14:val="none"/>
        </w:rPr>
        <w:t xml:space="preserve">drug supply, leading to death and increased health and social harms. </w:t>
      </w:r>
    </w:p>
    <w:p w14:paraId="7ED8B8C8" w14:textId="77777777" w:rsidR="002B0D3F" w:rsidRDefault="002B0D3F" w:rsidP="002B0D3F">
      <w:pPr>
        <w:pStyle w:val="ListParagraph"/>
        <w:keepNext/>
        <w:spacing w:before="100" w:beforeAutospacing="1" w:after="100" w:afterAutospacing="1"/>
        <w:ind w:left="86"/>
        <w:rPr>
          <w:rFonts w:ascii="Barlow" w:eastAsia="Times New Roman" w:hAnsi="Barlow" w:cs="Times New Roman"/>
          <w:b/>
          <w:bCs/>
          <w:kern w:val="0"/>
          <w:sz w:val="22"/>
          <w:szCs w:val="22"/>
          <w14:ligatures w14:val="none"/>
        </w:rPr>
      </w:pPr>
      <w:r w:rsidRPr="008149D6">
        <w:rPr>
          <w:rFonts w:ascii="Barlow" w:eastAsia="Times New Roman" w:hAnsi="Barlow" w:cs="Times New Roman"/>
          <w:b/>
          <w:bCs/>
          <w:kern w:val="0"/>
          <w:sz w:val="22"/>
          <w:szCs w:val="22"/>
          <w14:ligatures w14:val="none"/>
        </w:rPr>
        <w:t xml:space="preserve"> </w:t>
      </w:r>
    </w:p>
    <w:p w14:paraId="5B35DFFE" w14:textId="77777777" w:rsidR="002B0D3F" w:rsidRPr="005B1EB5" w:rsidRDefault="002B0D3F" w:rsidP="00381590">
      <w:pPr>
        <w:pStyle w:val="ListParagraph"/>
        <w:keepNext/>
        <w:numPr>
          <w:ilvl w:val="1"/>
          <w:numId w:val="2"/>
        </w:numPr>
        <w:spacing w:after="100" w:afterAutospacing="1"/>
        <w:ind w:left="86"/>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Canada knowingly pursues law enforcement practices that increase the volatility and contamination of the drug supply</w:t>
      </w:r>
    </w:p>
    <w:p w14:paraId="3CDEFF8C" w14:textId="77777777" w:rsidR="002B0D3F" w:rsidRPr="008149D6" w:rsidRDefault="002B0D3F" w:rsidP="002B0D3F">
      <w:pPr>
        <w:pStyle w:val="ListParagraph"/>
        <w:keepNext/>
        <w:spacing w:before="100" w:beforeAutospacing="1" w:after="100" w:afterAutospacing="1"/>
        <w:ind w:left="86"/>
        <w:rPr>
          <w:rFonts w:ascii="Barlow" w:eastAsia="Times New Roman" w:hAnsi="Barlow" w:cs="Times New Roman"/>
          <w:b/>
          <w:bCs/>
          <w:kern w:val="0"/>
          <w:sz w:val="22"/>
          <w:szCs w:val="22"/>
          <w14:ligatures w14:val="none"/>
        </w:rPr>
      </w:pPr>
    </w:p>
    <w:p w14:paraId="6C8955C1" w14:textId="77777777" w:rsidR="001C31C1"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When law enforcement pressures increase, </w:t>
      </w:r>
      <w:r w:rsidR="008F3377" w:rsidRPr="005B1EB5">
        <w:rPr>
          <w:rFonts w:eastAsia="Times New Roman" w:cstheme="minorHAnsi"/>
          <w:kern w:val="0"/>
          <w14:ligatures w14:val="none"/>
        </w:rPr>
        <w:t>illegal drug manufacturers</w:t>
      </w:r>
      <w:r w:rsidRPr="005B1EB5">
        <w:rPr>
          <w:rFonts w:eastAsia="Times New Roman" w:cstheme="minorHAnsi"/>
          <w:kern w:val="0"/>
          <w14:ligatures w14:val="none"/>
        </w:rPr>
        <w:t xml:space="preserve"> adapt: </w:t>
      </w:r>
    </w:p>
    <w:p w14:paraId="5F72D48C" w14:textId="64C92FEF" w:rsidR="00B57614" w:rsidRPr="005B1EB5" w:rsidRDefault="002B0D3F" w:rsidP="00B57614">
      <w:pPr>
        <w:pStyle w:val="ListParagraph"/>
        <w:numPr>
          <w:ilvl w:val="0"/>
          <w:numId w:val="29"/>
        </w:numPr>
        <w:spacing w:after="120"/>
        <w:ind w:left="63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Substances become more potent and compact to evade detection (e.g. the shift from heroin to synthetic drugs like </w:t>
      </w:r>
      <w:hyperlink r:id="rId45" w:history="1">
        <w:r w:rsidR="006D3B70" w:rsidRPr="005B1EB5">
          <w:rPr>
            <w:rStyle w:val="Hyperlink"/>
            <w:rFonts w:asciiTheme="minorHAnsi" w:eastAsia="Times New Roman" w:hAnsiTheme="minorHAnsi" w:cstheme="minorHAnsi"/>
            <w:kern w:val="0"/>
            <w14:ligatures w14:val="none"/>
          </w:rPr>
          <w:t xml:space="preserve">unregulated </w:t>
        </w:r>
        <w:r w:rsidRPr="005B1EB5">
          <w:rPr>
            <w:rStyle w:val="Hyperlink"/>
            <w:rFonts w:asciiTheme="minorHAnsi" w:eastAsia="Times New Roman" w:hAnsiTheme="minorHAnsi" w:cstheme="minorHAnsi"/>
            <w:kern w:val="0"/>
            <w14:ligatures w14:val="none"/>
          </w:rPr>
          <w:t>fentanyl</w:t>
        </w:r>
      </w:hyperlink>
      <w:r w:rsidR="006D3B70" w:rsidRPr="005B1EB5">
        <w:rPr>
          <w:rStyle w:val="EndnoteReference"/>
          <w:rFonts w:eastAsia="Times New Roman" w:cstheme="minorHAnsi"/>
          <w:kern w:val="0"/>
          <w14:ligatures w14:val="none"/>
        </w:rPr>
        <w:endnoteReference w:id="39"/>
      </w:r>
      <w:r w:rsidRPr="005B1EB5">
        <w:rPr>
          <w:rFonts w:eastAsia="Times New Roman" w:cstheme="minorHAnsi"/>
          <w:kern w:val="0"/>
          <w14:ligatures w14:val="none"/>
        </w:rPr>
        <w:t>);</w:t>
      </w:r>
    </w:p>
    <w:p w14:paraId="63EE8AA6" w14:textId="2B27419D" w:rsidR="00B57614" w:rsidRPr="005B1EB5" w:rsidRDefault="002B0D3F" w:rsidP="00B57614">
      <w:pPr>
        <w:pStyle w:val="ListParagraph"/>
        <w:numPr>
          <w:ilvl w:val="0"/>
          <w:numId w:val="29"/>
        </w:numPr>
        <w:spacing w:after="120"/>
        <w:ind w:left="63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Novel and </w:t>
      </w:r>
      <w:r w:rsidR="008B37F7" w:rsidRPr="005B1EB5">
        <w:rPr>
          <w:rFonts w:eastAsia="Times New Roman" w:cstheme="minorHAnsi"/>
          <w:kern w:val="0"/>
          <w14:ligatures w14:val="none"/>
        </w:rPr>
        <w:t xml:space="preserve">often </w:t>
      </w:r>
      <w:r w:rsidRPr="005B1EB5">
        <w:rPr>
          <w:rFonts w:eastAsia="Times New Roman" w:cstheme="minorHAnsi"/>
          <w:kern w:val="0"/>
          <w14:ligatures w14:val="none"/>
        </w:rPr>
        <w:t xml:space="preserve">more potent </w:t>
      </w:r>
      <w:r w:rsidR="00D0062D" w:rsidRPr="005B1EB5">
        <w:rPr>
          <w:rFonts w:eastAsia="Times New Roman" w:cstheme="minorHAnsi"/>
          <w:kern w:val="0"/>
          <w14:ligatures w14:val="none"/>
        </w:rPr>
        <w:t xml:space="preserve">substances </w:t>
      </w:r>
      <w:r w:rsidRPr="005B1EB5">
        <w:rPr>
          <w:rFonts w:eastAsia="Times New Roman" w:cstheme="minorHAnsi"/>
          <w:kern w:val="0"/>
          <w14:ligatures w14:val="none"/>
        </w:rPr>
        <w:t xml:space="preserve">proliferate </w:t>
      </w:r>
      <w:r w:rsidR="00F423DC" w:rsidRPr="005B1EB5">
        <w:rPr>
          <w:rFonts w:eastAsia="Times New Roman" w:cstheme="minorHAnsi"/>
          <w:kern w:val="0"/>
          <w14:ligatures w14:val="none"/>
        </w:rPr>
        <w:t>(e</w:t>
      </w:r>
      <w:r w:rsidRPr="005B1EB5">
        <w:rPr>
          <w:rFonts w:eastAsia="Times New Roman" w:cstheme="minorHAnsi"/>
          <w:kern w:val="0"/>
          <w14:ligatures w14:val="none"/>
        </w:rPr>
        <w:t>.g. emergence of highly potent analogues like carfentan</w:t>
      </w:r>
      <w:r w:rsidR="00126BD6" w:rsidRPr="005B1EB5">
        <w:rPr>
          <w:rFonts w:eastAsia="Times New Roman" w:cstheme="minorHAnsi"/>
          <w:kern w:val="0"/>
          <w14:ligatures w14:val="none"/>
        </w:rPr>
        <w:t>i</w:t>
      </w:r>
      <w:r w:rsidRPr="005B1EB5">
        <w:rPr>
          <w:rFonts w:eastAsia="Times New Roman" w:cstheme="minorHAnsi"/>
          <w:kern w:val="0"/>
          <w14:ligatures w14:val="none"/>
        </w:rPr>
        <w:t>l and addition of other substances like veterinary tranquilizers</w:t>
      </w:r>
      <w:r w:rsidR="00FE4BBC" w:rsidRPr="005B1EB5">
        <w:rPr>
          <w:rFonts w:eastAsia="Times New Roman" w:cstheme="minorHAnsi"/>
          <w:kern w:val="0"/>
          <w14:ligatures w14:val="none"/>
        </w:rPr>
        <w:t xml:space="preserve"> and </w:t>
      </w:r>
      <w:r w:rsidRPr="005B1EB5">
        <w:rPr>
          <w:rFonts w:eastAsia="Times New Roman" w:cstheme="minorHAnsi"/>
          <w:kern w:val="0"/>
          <w14:ligatures w14:val="none"/>
        </w:rPr>
        <w:t>benzodiazepines);</w:t>
      </w:r>
    </w:p>
    <w:p w14:paraId="1BF38D92" w14:textId="682064A3" w:rsidR="00B57614" w:rsidRPr="005B1EB5" w:rsidRDefault="002B0D3F" w:rsidP="00B57614">
      <w:pPr>
        <w:pStyle w:val="ListParagraph"/>
        <w:numPr>
          <w:ilvl w:val="0"/>
          <w:numId w:val="29"/>
        </w:numPr>
        <w:spacing w:after="120"/>
        <w:ind w:left="63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Production becomes more </w:t>
      </w:r>
      <w:r w:rsidR="00E8082E" w:rsidRPr="005B1EB5">
        <w:rPr>
          <w:rFonts w:eastAsia="Times New Roman" w:cstheme="minorHAnsi"/>
          <w:kern w:val="0"/>
          <w14:ligatures w14:val="none"/>
        </w:rPr>
        <w:t xml:space="preserve">sophisticated or </w:t>
      </w:r>
      <w:r w:rsidRPr="005B1EB5">
        <w:rPr>
          <w:rFonts w:eastAsia="Times New Roman" w:cstheme="minorHAnsi"/>
          <w:kern w:val="0"/>
          <w14:ligatures w14:val="none"/>
        </w:rPr>
        <w:t xml:space="preserve">clandestine and lacks safeguards to ensure consistent potency and to protect against cross-contamination. </w:t>
      </w:r>
    </w:p>
    <w:p w14:paraId="51FE6364" w14:textId="17319964" w:rsidR="002B0D3F" w:rsidRPr="005B1EB5" w:rsidRDefault="002B0D3F" w:rsidP="00DC2C8E">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This phenomenon is well documented internationally and in Canada through </w:t>
      </w:r>
      <w:hyperlink r:id="rId46" w:history="1">
        <w:r w:rsidRPr="005B1EB5">
          <w:rPr>
            <w:rStyle w:val="Hyperlink"/>
            <w:rFonts w:asciiTheme="minorHAnsi" w:eastAsia="Times New Roman" w:hAnsiTheme="minorHAnsi" w:cstheme="minorHAnsi"/>
            <w:kern w:val="0"/>
            <w14:ligatures w14:val="none"/>
          </w:rPr>
          <w:t>drug checking services</w:t>
        </w:r>
      </w:hyperlink>
      <w:r w:rsidR="00C727CF" w:rsidRPr="005B1EB5">
        <w:rPr>
          <w:rStyle w:val="EndnoteReference"/>
          <w:rFonts w:eastAsia="Times New Roman" w:cstheme="minorHAnsi"/>
          <w:kern w:val="0"/>
          <w14:ligatures w14:val="none"/>
        </w:rPr>
        <w:endnoteReference w:id="40"/>
      </w:r>
      <w:r w:rsidRPr="005B1EB5">
        <w:rPr>
          <w:rFonts w:eastAsia="Times New Roman" w:cstheme="minorHAnsi"/>
          <w:kern w:val="0"/>
          <w14:ligatures w14:val="none"/>
        </w:rPr>
        <w:t xml:space="preserve"> and </w:t>
      </w:r>
      <w:hyperlink r:id="rId47" w:anchor=":~:text=An%20overview%20of%20data%20collected%20by%20Health%20Canada%20from%20January%202023%20to%20December%202024.%20A%20total%20of%20450%20identifications%20were%20made%20across%20the%20data%20sources%20amounting%20to%20300%20new%20and%20emerging%20unique%20substances." w:history="1">
        <w:r w:rsidRPr="005B1EB5">
          <w:rPr>
            <w:rStyle w:val="Hyperlink"/>
            <w:rFonts w:asciiTheme="minorHAnsi" w:eastAsia="Times New Roman" w:hAnsiTheme="minorHAnsi" w:cstheme="minorHAnsi"/>
            <w:kern w:val="0"/>
            <w14:ligatures w14:val="none"/>
          </w:rPr>
          <w:t>Health Canada’s own monitoring systems</w:t>
        </w:r>
      </w:hyperlink>
      <w:r w:rsidR="008E72AC" w:rsidRPr="005B1EB5">
        <w:rPr>
          <w:rStyle w:val="EndnoteReference"/>
          <w:rFonts w:eastAsia="Times New Roman" w:cstheme="minorHAnsi"/>
          <w:kern w:val="0"/>
          <w14:ligatures w14:val="none"/>
        </w:rPr>
        <w:endnoteReference w:id="41"/>
      </w:r>
      <w:r w:rsidRPr="005B1EB5">
        <w:rPr>
          <w:rFonts w:eastAsia="Times New Roman" w:cstheme="minorHAnsi"/>
          <w:kern w:val="0"/>
          <w14:ligatures w14:val="none"/>
        </w:rPr>
        <w:t>.</w:t>
      </w:r>
    </w:p>
    <w:p w14:paraId="2737E2C0" w14:textId="776FF82A"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Ultimately, consumers </w:t>
      </w:r>
      <w:r w:rsidR="007459E8" w:rsidRPr="005B1EB5">
        <w:rPr>
          <w:rFonts w:eastAsia="Times New Roman" w:cstheme="minorHAnsi"/>
          <w:kern w:val="0"/>
          <w14:ligatures w14:val="none"/>
        </w:rPr>
        <w:t>are not able to access</w:t>
      </w:r>
      <w:r w:rsidRPr="005B1EB5">
        <w:rPr>
          <w:rFonts w:eastAsia="Times New Roman" w:cstheme="minorHAnsi"/>
          <w:kern w:val="0"/>
          <w14:ligatures w14:val="none"/>
        </w:rPr>
        <w:t xml:space="preserve"> </w:t>
      </w:r>
      <w:r w:rsidR="00083831" w:rsidRPr="005B1EB5">
        <w:rPr>
          <w:rFonts w:eastAsia="Times New Roman" w:cstheme="minorHAnsi"/>
          <w:kern w:val="0"/>
          <w14:ligatures w14:val="none"/>
        </w:rPr>
        <w:t xml:space="preserve">adequate information that would give them </w:t>
      </w:r>
      <w:r w:rsidRPr="005B1EB5">
        <w:rPr>
          <w:rFonts w:eastAsia="Times New Roman" w:cstheme="minorHAnsi"/>
          <w:kern w:val="0"/>
          <w14:ligatures w14:val="none"/>
        </w:rPr>
        <w:t xml:space="preserve">knowledge of </w:t>
      </w:r>
      <w:r w:rsidR="00CF36D1" w:rsidRPr="005B1EB5">
        <w:rPr>
          <w:rFonts w:eastAsia="Times New Roman" w:cstheme="minorHAnsi"/>
          <w:kern w:val="0"/>
          <w14:ligatures w14:val="none"/>
        </w:rPr>
        <w:t xml:space="preserve">the </w:t>
      </w:r>
      <w:r w:rsidR="007459E8" w:rsidRPr="005B1EB5">
        <w:rPr>
          <w:rFonts w:eastAsia="Times New Roman" w:cstheme="minorHAnsi"/>
          <w:kern w:val="0"/>
          <w14:ligatures w14:val="none"/>
        </w:rPr>
        <w:t xml:space="preserve">potency </w:t>
      </w:r>
      <w:r w:rsidRPr="005B1EB5">
        <w:rPr>
          <w:rFonts w:eastAsia="Times New Roman" w:cstheme="minorHAnsi"/>
          <w:kern w:val="0"/>
          <w14:ligatures w14:val="none"/>
        </w:rPr>
        <w:t>or contents of the substances they ingest. And, shift</w:t>
      </w:r>
      <w:r w:rsidR="00893856" w:rsidRPr="005B1EB5">
        <w:rPr>
          <w:rFonts w:eastAsia="Times New Roman" w:cstheme="minorHAnsi"/>
          <w:kern w:val="0"/>
          <w14:ligatures w14:val="none"/>
        </w:rPr>
        <w:t>s</w:t>
      </w:r>
      <w:r w:rsidRPr="005B1EB5">
        <w:rPr>
          <w:rFonts w:eastAsia="Times New Roman" w:cstheme="minorHAnsi"/>
          <w:kern w:val="0"/>
          <w14:ligatures w14:val="none"/>
        </w:rPr>
        <w:t xml:space="preserve"> in the contents and potency of </w:t>
      </w:r>
      <w:r w:rsidR="00695166" w:rsidRPr="005B1EB5">
        <w:rPr>
          <w:rFonts w:eastAsia="Times New Roman" w:cstheme="minorHAnsi"/>
          <w:kern w:val="0"/>
          <w14:ligatures w14:val="none"/>
        </w:rPr>
        <w:t>the drug supply</w:t>
      </w:r>
      <w:r w:rsidR="00893856" w:rsidRPr="005B1EB5">
        <w:rPr>
          <w:rFonts w:eastAsia="Times New Roman" w:cstheme="minorHAnsi"/>
          <w:kern w:val="0"/>
          <w14:ligatures w14:val="none"/>
        </w:rPr>
        <w:t xml:space="preserve"> </w:t>
      </w:r>
      <w:r w:rsidR="000F33C3" w:rsidRPr="005B1EB5">
        <w:rPr>
          <w:rFonts w:eastAsia="Times New Roman" w:cstheme="minorHAnsi"/>
          <w:kern w:val="0"/>
          <w14:ligatures w14:val="none"/>
        </w:rPr>
        <w:t>reliably</w:t>
      </w:r>
      <w:r w:rsidRPr="005B1EB5">
        <w:rPr>
          <w:rFonts w:eastAsia="Times New Roman" w:cstheme="minorHAnsi"/>
          <w:kern w:val="0"/>
          <w14:ligatures w14:val="none"/>
        </w:rPr>
        <w:t xml:space="preserve"> increase the foreseeable risk of death.</w:t>
      </w:r>
    </w:p>
    <w:p w14:paraId="1C23A9ED" w14:textId="172EE945" w:rsidR="00756BAA" w:rsidRPr="005B1EB5" w:rsidRDefault="003B10FD"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P</w:t>
      </w:r>
      <w:r w:rsidR="002B0D3F" w:rsidRPr="005B1EB5">
        <w:rPr>
          <w:rFonts w:eastAsia="Times New Roman" w:cstheme="minorHAnsi"/>
          <w:kern w:val="0"/>
          <w14:ligatures w14:val="none"/>
        </w:rPr>
        <w:t>olice enforcement </w:t>
      </w:r>
      <w:r w:rsidR="002050A3" w:rsidRPr="005B1EB5">
        <w:rPr>
          <w:rFonts w:eastAsia="Times New Roman" w:cstheme="minorHAnsi"/>
          <w:kern w:val="0"/>
          <w14:ligatures w14:val="none"/>
        </w:rPr>
        <w:t xml:space="preserve">(e.g., drug seizures) </w:t>
      </w:r>
      <w:r w:rsidRPr="005B1EB5">
        <w:rPr>
          <w:rFonts w:eastAsia="Times New Roman" w:cstheme="minorHAnsi"/>
          <w:kern w:val="0"/>
          <w14:ligatures w14:val="none"/>
        </w:rPr>
        <w:t xml:space="preserve">increases the volatility of the drug supply </w:t>
      </w:r>
      <w:r w:rsidR="002B0D3F" w:rsidRPr="005B1EB5">
        <w:rPr>
          <w:rFonts w:eastAsia="Times New Roman" w:cstheme="minorHAnsi"/>
          <w:kern w:val="0"/>
          <w14:ligatures w14:val="none"/>
        </w:rPr>
        <w:t>and</w:t>
      </w:r>
      <w:r w:rsidR="002B0D3F" w:rsidRPr="005B1EB5" w:rsidDel="00604F65">
        <w:rPr>
          <w:rFonts w:eastAsia="Times New Roman" w:cstheme="minorHAnsi"/>
        </w:rPr>
        <w:t xml:space="preserve"> </w:t>
      </w:r>
      <w:r w:rsidR="00B23D9F" w:rsidRPr="005B1EB5">
        <w:rPr>
          <w:rFonts w:eastAsia="Times New Roman" w:cstheme="minorHAnsi"/>
        </w:rPr>
        <w:t>r</w:t>
      </w:r>
      <w:r w:rsidR="002B0D3F" w:rsidRPr="005B1EB5">
        <w:rPr>
          <w:rFonts w:eastAsia="Times New Roman" w:cstheme="minorHAnsi"/>
          <w:kern w:val="0"/>
          <w14:ligatures w14:val="none"/>
        </w:rPr>
        <w:t xml:space="preserve">ecent research shows </w:t>
      </w:r>
      <w:r w:rsidR="00A206F4" w:rsidRPr="005B1EB5">
        <w:rPr>
          <w:rFonts w:eastAsia="Times New Roman" w:cstheme="minorHAnsi"/>
          <w:kern w:val="0"/>
          <w14:ligatures w14:val="none"/>
        </w:rPr>
        <w:t xml:space="preserve">that </w:t>
      </w:r>
      <w:hyperlink r:id="rId48" w:history="1">
        <w:r w:rsidR="00A206F4" w:rsidRPr="005B1EB5">
          <w:rPr>
            <w:rStyle w:val="Hyperlink"/>
            <w:rFonts w:asciiTheme="minorHAnsi" w:eastAsia="Times New Roman" w:hAnsiTheme="minorHAnsi" w:cstheme="minorHAnsi"/>
            <w:kern w:val="0"/>
            <w14:ligatures w14:val="none"/>
          </w:rPr>
          <w:t>drug deaths increase</w:t>
        </w:r>
        <w:r w:rsidR="008D4E8E" w:rsidRPr="005B1EB5">
          <w:rPr>
            <w:rStyle w:val="Hyperlink"/>
            <w:rFonts w:asciiTheme="minorHAnsi" w:eastAsia="Times New Roman" w:hAnsiTheme="minorHAnsi" w:cstheme="minorHAnsi"/>
            <w:kern w:val="0"/>
            <w14:ligatures w14:val="none"/>
          </w:rPr>
          <w:t xml:space="preserve"> significantly</w:t>
        </w:r>
      </w:hyperlink>
      <w:r w:rsidR="00AD0556" w:rsidRPr="005B1EB5">
        <w:rPr>
          <w:rStyle w:val="EndnoteReference"/>
          <w:rFonts w:eastAsia="Times New Roman" w:cstheme="minorHAnsi"/>
          <w:kern w:val="0"/>
          <w14:ligatures w14:val="none"/>
        </w:rPr>
        <w:endnoteReference w:id="42"/>
      </w:r>
      <w:r w:rsidR="008D4E8E" w:rsidRPr="005B1EB5">
        <w:rPr>
          <w:rFonts w:eastAsia="Times New Roman" w:cstheme="minorHAnsi"/>
          <w:kern w:val="0"/>
          <w14:ligatures w14:val="none"/>
        </w:rPr>
        <w:t xml:space="preserve"> </w:t>
      </w:r>
      <w:r w:rsidR="00756BAA" w:rsidRPr="005B1EB5">
        <w:rPr>
          <w:rFonts w:eastAsia="Times New Roman" w:cstheme="minorHAnsi"/>
          <w:kern w:val="0"/>
          <w14:ligatures w14:val="none"/>
        </w:rPr>
        <w:t xml:space="preserve">for up to </w:t>
      </w:r>
      <w:hyperlink r:id="rId49" w:anchor=":~:text=They%20found%20that%20within%20a,%2C%20two%2C%20and%20three%20weeks." w:history="1">
        <w:r w:rsidR="00756BAA" w:rsidRPr="005B1EB5">
          <w:rPr>
            <w:rStyle w:val="Hyperlink"/>
            <w:rFonts w:asciiTheme="minorHAnsi" w:eastAsia="Times New Roman" w:hAnsiTheme="minorHAnsi" w:cstheme="minorHAnsi"/>
            <w:kern w:val="0"/>
            <w14:ligatures w14:val="none"/>
          </w:rPr>
          <w:t xml:space="preserve">three weeks </w:t>
        </w:r>
        <w:r w:rsidR="008D4E8E" w:rsidRPr="005B1EB5">
          <w:rPr>
            <w:rStyle w:val="Hyperlink"/>
            <w:rFonts w:asciiTheme="minorHAnsi" w:eastAsia="Times New Roman" w:hAnsiTheme="minorHAnsi" w:cstheme="minorHAnsi"/>
            <w:kern w:val="0"/>
            <w14:ligatures w14:val="none"/>
          </w:rPr>
          <w:t>after</w:t>
        </w:r>
        <w:r w:rsidR="002B0D3F" w:rsidRPr="005B1EB5">
          <w:rPr>
            <w:rStyle w:val="Hyperlink"/>
            <w:rFonts w:asciiTheme="minorHAnsi" w:eastAsia="Times New Roman" w:hAnsiTheme="minorHAnsi" w:cstheme="minorHAnsi"/>
            <w:kern w:val="0"/>
            <w14:ligatures w14:val="none"/>
          </w:rPr>
          <w:t xml:space="preserve"> police drug </w:t>
        </w:r>
        <w:r w:rsidR="002B0D3F" w:rsidRPr="005B1EB5">
          <w:rPr>
            <w:rStyle w:val="Hyperlink"/>
            <w:rFonts w:asciiTheme="minorHAnsi" w:eastAsia="Times New Roman" w:hAnsiTheme="minorHAnsi" w:cstheme="minorHAnsi"/>
            <w:kern w:val="0"/>
            <w14:ligatures w14:val="none"/>
          </w:rPr>
          <w:lastRenderedPageBreak/>
          <w:t>seizures</w:t>
        </w:r>
      </w:hyperlink>
      <w:r w:rsidR="000E4E06" w:rsidRPr="005B1EB5">
        <w:rPr>
          <w:rStyle w:val="EndnoteReference"/>
          <w:rFonts w:eastAsia="Times New Roman" w:cstheme="minorHAnsi"/>
          <w:kern w:val="0"/>
          <w14:ligatures w14:val="none"/>
        </w:rPr>
        <w:endnoteReference w:id="43"/>
      </w:r>
      <w:r w:rsidR="002B0D3F" w:rsidRPr="005B1EB5">
        <w:rPr>
          <w:rFonts w:eastAsia="Times New Roman" w:cstheme="minorHAnsi"/>
          <w:kern w:val="0"/>
          <w14:ligatures w14:val="none"/>
        </w:rPr>
        <w:t xml:space="preserve">. </w:t>
      </w:r>
      <w:r w:rsidR="00604F65" w:rsidRPr="005B1EB5">
        <w:rPr>
          <w:rFonts w:eastAsia="Times New Roman" w:cstheme="minorHAnsi"/>
        </w:rPr>
        <w:t>Fear of police</w:t>
      </w:r>
      <w:r w:rsidR="0085222E" w:rsidRPr="005B1EB5">
        <w:rPr>
          <w:rFonts w:eastAsia="Times New Roman" w:cstheme="minorHAnsi"/>
        </w:rPr>
        <w:t xml:space="preserve"> and criminalization </w:t>
      </w:r>
      <w:r w:rsidR="6D3A9691" w:rsidRPr="005B1EB5">
        <w:rPr>
          <w:rFonts w:eastAsia="Times New Roman" w:cstheme="minorHAnsi"/>
        </w:rPr>
        <w:t>also</w:t>
      </w:r>
      <w:r w:rsidR="0085222E" w:rsidRPr="005B1EB5">
        <w:rPr>
          <w:rFonts w:eastAsia="Times New Roman" w:cstheme="minorHAnsi"/>
        </w:rPr>
        <w:t xml:space="preserve"> deter</w:t>
      </w:r>
      <w:r w:rsidR="78E66690" w:rsidRPr="005B1EB5">
        <w:rPr>
          <w:rFonts w:eastAsia="Times New Roman" w:cstheme="minorHAnsi"/>
        </w:rPr>
        <w:t>s</w:t>
      </w:r>
      <w:r w:rsidR="0085222E" w:rsidRPr="005B1EB5">
        <w:rPr>
          <w:rFonts w:eastAsia="Times New Roman" w:cstheme="minorHAnsi"/>
        </w:rPr>
        <w:t xml:space="preserve"> people from accessing health and social ser</w:t>
      </w:r>
      <w:r w:rsidR="00A3252F" w:rsidRPr="005B1EB5">
        <w:rPr>
          <w:rFonts w:eastAsia="Times New Roman" w:cstheme="minorHAnsi"/>
        </w:rPr>
        <w:t>v</w:t>
      </w:r>
      <w:r w:rsidR="0085222E" w:rsidRPr="005B1EB5">
        <w:rPr>
          <w:rFonts w:eastAsia="Times New Roman" w:cstheme="minorHAnsi"/>
        </w:rPr>
        <w:t>ices</w:t>
      </w:r>
      <w:r w:rsidR="7EC282A4" w:rsidRPr="005B1EB5">
        <w:rPr>
          <w:rFonts w:eastAsia="Times New Roman" w:cstheme="minorHAnsi"/>
        </w:rPr>
        <w:t>,</w:t>
      </w:r>
      <w:r w:rsidR="00A3252F" w:rsidRPr="005B1EB5">
        <w:rPr>
          <w:rFonts w:eastAsia="Times New Roman" w:cstheme="minorHAnsi"/>
        </w:rPr>
        <w:t xml:space="preserve"> and incarceration is correlated with increased risk of death </w:t>
      </w:r>
      <w:r w:rsidR="00D303E2" w:rsidRPr="005B1EB5">
        <w:rPr>
          <w:rFonts w:eastAsia="Times New Roman" w:cstheme="minorHAnsi"/>
        </w:rPr>
        <w:t>upon release.</w:t>
      </w:r>
    </w:p>
    <w:p w14:paraId="2602970D" w14:textId="1E41E243"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According to </w:t>
      </w:r>
      <w:hyperlink r:id="rId50" w:history="1">
        <w:r w:rsidRPr="005B1EB5">
          <w:rPr>
            <w:rStyle w:val="Hyperlink"/>
            <w:rFonts w:asciiTheme="minorHAnsi" w:eastAsia="Times New Roman" w:hAnsiTheme="minorHAnsi" w:cstheme="minorHAnsi"/>
            <w:kern w:val="0"/>
            <w14:ligatures w14:val="none"/>
          </w:rPr>
          <w:t>UN experts</w:t>
        </w:r>
      </w:hyperlink>
      <w:r w:rsidR="007D757B" w:rsidRPr="005B1EB5">
        <w:rPr>
          <w:rStyle w:val="EndnoteReference"/>
          <w:rFonts w:eastAsia="Times New Roman" w:cstheme="minorHAnsi"/>
          <w:kern w:val="0"/>
          <w14:ligatures w14:val="none"/>
        </w:rPr>
        <w:endnoteReference w:id="44"/>
      </w:r>
      <w:r w:rsidRPr="005B1EB5">
        <w:rPr>
          <w:rFonts w:eastAsia="Times New Roman" w:cstheme="minorHAnsi"/>
          <w:kern w:val="0"/>
          <w14:ligatures w14:val="none"/>
        </w:rPr>
        <w:t>, this approach “undermines health and social wellbeing and wastes public resources while failing to eradicate the demand for illegal drugs and the illegal drug market</w:t>
      </w:r>
      <w:r w:rsidR="000F33C3" w:rsidRPr="005B1EB5">
        <w:rPr>
          <w:rFonts w:eastAsia="Times New Roman" w:cstheme="minorHAnsi"/>
          <w:kern w:val="0"/>
          <w14:ligatures w14:val="none"/>
        </w:rPr>
        <w:t>.</w:t>
      </w:r>
      <w:r w:rsidRPr="005B1EB5">
        <w:rPr>
          <w:rFonts w:eastAsia="Times New Roman" w:cstheme="minorHAnsi"/>
          <w:kern w:val="0"/>
          <w14:ligatures w14:val="none"/>
        </w:rPr>
        <w:t>”</w:t>
      </w:r>
    </w:p>
    <w:p w14:paraId="4C698325" w14:textId="5BB69AD1"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Put plainly, when police enforce drug laws – people are a</w:t>
      </w:r>
      <w:r w:rsidR="00556A4D" w:rsidRPr="005B1EB5">
        <w:rPr>
          <w:rFonts w:eastAsia="Times New Roman" w:cstheme="minorHAnsi"/>
          <w:kern w:val="0"/>
          <w14:ligatures w14:val="none"/>
        </w:rPr>
        <w:t>t</w:t>
      </w:r>
      <w:r w:rsidRPr="005B1EB5">
        <w:rPr>
          <w:rFonts w:eastAsia="Times New Roman" w:cstheme="minorHAnsi"/>
          <w:kern w:val="0"/>
          <w14:ligatures w14:val="none"/>
        </w:rPr>
        <w:t xml:space="preserve"> </w:t>
      </w:r>
      <w:hyperlink r:id="rId51" w:history="1">
        <w:r w:rsidRPr="005B1EB5">
          <w:rPr>
            <w:rStyle w:val="Hyperlink"/>
            <w:rFonts w:asciiTheme="minorHAnsi" w:eastAsia="Times New Roman" w:hAnsiTheme="minorHAnsi" w:cstheme="minorHAnsi"/>
            <w:kern w:val="0"/>
            <w14:ligatures w14:val="none"/>
          </w:rPr>
          <w:t>greater risk of death</w:t>
        </w:r>
      </w:hyperlink>
      <w:r w:rsidR="00835F66" w:rsidRPr="005B1EB5">
        <w:rPr>
          <w:rStyle w:val="EndnoteReference"/>
          <w:rFonts w:eastAsia="Times New Roman" w:cstheme="minorHAnsi"/>
          <w:kern w:val="0"/>
          <w14:ligatures w14:val="none"/>
        </w:rPr>
        <w:endnoteReference w:id="45"/>
      </w:r>
      <w:r w:rsidRPr="005B1EB5">
        <w:rPr>
          <w:rFonts w:eastAsia="Times New Roman" w:cstheme="minorHAnsi"/>
          <w:kern w:val="0"/>
          <w14:ligatures w14:val="none"/>
        </w:rPr>
        <w:t>.</w:t>
      </w:r>
    </w:p>
    <w:p w14:paraId="06D90FD7" w14:textId="3B5E30C9"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 xml:space="preserve">Under General Comment No. 36, Article 6 requires States to address “general conditions in society that may give rise to threats to life.” Canada’s drug policy framework </w:t>
      </w:r>
      <w:r w:rsidR="00D2668A" w:rsidRPr="005B1EB5">
        <w:rPr>
          <w:rFonts w:eastAsia="Times New Roman" w:cstheme="minorHAnsi"/>
          <w:kern w:val="0"/>
          <w14:ligatures w14:val="none"/>
        </w:rPr>
        <w:t xml:space="preserve">and enforcement practices </w:t>
      </w:r>
      <w:r w:rsidRPr="005B1EB5">
        <w:rPr>
          <w:rFonts w:eastAsia="Times New Roman" w:cstheme="minorHAnsi"/>
          <w:kern w:val="0"/>
          <w14:ligatures w14:val="none"/>
        </w:rPr>
        <w:t>predictably produce tens of thousands of preventable deaths; this cannot be reconciled with Canada’s obligations under Article 6. The continued reliance on prohibition despite overwhelming evidence of harm demonstrates a failure of due diligence by the Government of Canada.</w:t>
      </w:r>
      <w:r w:rsidR="00E14271" w:rsidRPr="005B1EB5">
        <w:rPr>
          <w:rFonts w:cstheme="minorHAnsi"/>
          <w:noProof/>
        </w:rPr>
        <w:t xml:space="preserve"> </w:t>
      </w:r>
    </w:p>
    <w:p w14:paraId="50416613" w14:textId="14B4E439" w:rsidR="002B0D3F" w:rsidRPr="005B1EB5" w:rsidRDefault="002B0D3F" w:rsidP="002B0D3F">
      <w:pPr>
        <w:pStyle w:val="ListParagraph"/>
        <w:numPr>
          <w:ilvl w:val="0"/>
          <w:numId w:val="4"/>
        </w:numPr>
        <w:spacing w:after="120"/>
        <w:ind w:left="274"/>
        <w:contextualSpacing w:val="0"/>
        <w:jc w:val="both"/>
        <w:rPr>
          <w:rFonts w:eastAsia="Times New Roman" w:cstheme="minorHAnsi"/>
          <w:kern w:val="0"/>
          <w14:ligatures w14:val="none"/>
        </w:rPr>
      </w:pPr>
      <w:r w:rsidRPr="005B1EB5">
        <w:rPr>
          <w:rFonts w:eastAsia="Times New Roman" w:cstheme="minorHAnsi"/>
          <w:kern w:val="0"/>
          <w14:ligatures w14:val="none"/>
        </w:rPr>
        <w:t>This failure is compounded by discriminatory impacts of police enforcement. Enforcement disproportionately targets Indigenous peoples, Black communities, and people living in poverty. Thus, Canada’s drug law enforcement not only fails to protect life but does so inequitably, engaging Articles 2 and 26.</w:t>
      </w:r>
    </w:p>
    <w:p w14:paraId="77F5BEDD" w14:textId="2F853559" w:rsidR="002B0D3F" w:rsidRPr="0025106F" w:rsidRDefault="002B0D3F" w:rsidP="007F6418">
      <w:pPr>
        <w:pStyle w:val="ListParagraph"/>
        <w:numPr>
          <w:ilvl w:val="0"/>
          <w:numId w:val="4"/>
        </w:numPr>
        <w:spacing w:after="120"/>
        <w:ind w:left="274"/>
        <w:contextualSpacing w:val="0"/>
        <w:jc w:val="both"/>
        <w:rPr>
          <w:rFonts w:ascii="Open Sans" w:eastAsia="Times New Roman" w:hAnsi="Open Sans" w:cs="Open Sans"/>
          <w:kern w:val="0"/>
          <w:sz w:val="22"/>
          <w:szCs w:val="22"/>
          <w14:ligatures w14:val="none"/>
        </w:rPr>
      </w:pPr>
      <w:r w:rsidRPr="005B1EB5">
        <w:rPr>
          <w:rFonts w:eastAsia="Times New Roman" w:cstheme="minorHAnsi"/>
          <w:kern w:val="0"/>
          <w14:ligatures w14:val="none"/>
        </w:rPr>
        <w:t>The scale, duration, and predictability of Canada’s drug toxicity crisis demand recognition as a systemic violation of the right to life.</w:t>
      </w:r>
      <w:r w:rsidR="00535B1C" w:rsidRPr="005B1EB5">
        <w:rPr>
          <w:rFonts w:eastAsia="Times New Roman" w:cstheme="minorHAnsi"/>
          <w:kern w:val="0"/>
          <w14:ligatures w14:val="none"/>
        </w:rPr>
        <w:t xml:space="preserve"> </w:t>
      </w:r>
      <w:r w:rsidR="00360A37" w:rsidRPr="005B1EB5">
        <w:rPr>
          <w:rFonts w:eastAsia="Times New Roman" w:cstheme="minorHAnsi"/>
          <w:kern w:val="0"/>
          <w14:ligatures w14:val="none"/>
        </w:rPr>
        <w:t>The Canadian Drug Policy Coalition recommends that:</w:t>
      </w:r>
    </w:p>
    <w:p w14:paraId="33F6D0DD" w14:textId="37D86E88" w:rsidR="002B0D3F" w:rsidRPr="002F6BB4" w:rsidRDefault="00F25B03" w:rsidP="008509AC">
      <w:pPr>
        <w:spacing w:after="160" w:line="259" w:lineRule="auto"/>
        <w:rPr>
          <w:rFonts w:ascii="Times New Roman" w:eastAsia="Times New Roman" w:hAnsi="Times New Roman" w:cs="Times New Roman"/>
          <w:kern w:val="0"/>
          <w14:ligatures w14:val="none"/>
        </w:rPr>
      </w:pPr>
      <w:r>
        <w:rPr>
          <w:noProof/>
        </w:rPr>
        <mc:AlternateContent>
          <mc:Choice Requires="wps">
            <w:drawing>
              <wp:anchor distT="0" distB="0" distL="114300" distR="114300" simplePos="0" relativeHeight="251658240" behindDoc="1" locked="0" layoutInCell="1" allowOverlap="1" wp14:anchorId="267790B1" wp14:editId="0B4AFC27">
                <wp:simplePos x="0" y="0"/>
                <wp:positionH relativeFrom="column">
                  <wp:posOffset>-321310</wp:posOffset>
                </wp:positionH>
                <wp:positionV relativeFrom="paragraph">
                  <wp:posOffset>177800</wp:posOffset>
                </wp:positionV>
                <wp:extent cx="6819900" cy="3479800"/>
                <wp:effectExtent l="19050" t="19050" r="19050" b="25400"/>
                <wp:wrapTight wrapText="bothSides">
                  <wp:wrapPolygon edited="0">
                    <wp:start x="1569" y="-118"/>
                    <wp:lineTo x="1026" y="-118"/>
                    <wp:lineTo x="60" y="1064"/>
                    <wp:lineTo x="-60" y="2010"/>
                    <wp:lineTo x="-60" y="19393"/>
                    <wp:lineTo x="422" y="20693"/>
                    <wp:lineTo x="422" y="20812"/>
                    <wp:lineTo x="1267" y="21639"/>
                    <wp:lineTo x="1388" y="21639"/>
                    <wp:lineTo x="20152" y="21639"/>
                    <wp:lineTo x="20212" y="21639"/>
                    <wp:lineTo x="21117" y="20693"/>
                    <wp:lineTo x="21600" y="18920"/>
                    <wp:lineTo x="21600" y="2838"/>
                    <wp:lineTo x="21540" y="1301"/>
                    <wp:lineTo x="20393" y="-118"/>
                    <wp:lineTo x="19971" y="-118"/>
                    <wp:lineTo x="1569" y="-118"/>
                  </wp:wrapPolygon>
                </wp:wrapTight>
                <wp:docPr id="4" name="Rectangle: Rounded Corners 4"/>
                <wp:cNvGraphicFramePr/>
                <a:graphic xmlns:a="http://schemas.openxmlformats.org/drawingml/2006/main">
                  <a:graphicData uri="http://schemas.microsoft.com/office/word/2010/wordprocessingShape">
                    <wps:wsp>
                      <wps:cNvSpPr/>
                      <wps:spPr>
                        <a:xfrm>
                          <a:off x="0" y="0"/>
                          <a:ext cx="6819900" cy="3479800"/>
                        </a:xfrm>
                        <a:prstGeom prst="roundRect">
                          <a:avLst/>
                        </a:prstGeom>
                        <a:solidFill>
                          <a:srgbClr val="F2F0E7"/>
                        </a:solidFill>
                        <a:ln w="28575">
                          <a:solidFill>
                            <a:srgbClr val="C3142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895399" w14:textId="77777777" w:rsidR="00535B1C" w:rsidRPr="005B1EB5" w:rsidRDefault="00535B1C" w:rsidP="00535B1C">
                            <w:pPr>
                              <w:rPr>
                                <w:rFonts w:cstheme="minorHAnsi"/>
                                <w:b/>
                                <w:bCs/>
                                <w:color w:val="000000" w:themeColor="text1"/>
                                <w:sz w:val="21"/>
                                <w:szCs w:val="21"/>
                              </w:rPr>
                            </w:pPr>
                            <w:r w:rsidRPr="005B1EB5">
                              <w:rPr>
                                <w:rFonts w:cstheme="minorHAnsi"/>
                                <w:b/>
                                <w:bCs/>
                                <w:color w:val="000000" w:themeColor="text1"/>
                                <w:sz w:val="21"/>
                                <w:szCs w:val="21"/>
                              </w:rPr>
                              <w:t>The Committee find that:</w:t>
                            </w:r>
                          </w:p>
                          <w:p w14:paraId="4258D2D9" w14:textId="77777777" w:rsidR="00535B1C" w:rsidRPr="005B1EB5" w:rsidRDefault="00535B1C" w:rsidP="00535B1C">
                            <w:pPr>
                              <w:pStyle w:val="ListParagraph"/>
                              <w:numPr>
                                <w:ilvl w:val="0"/>
                                <w:numId w:val="18"/>
                              </w:numPr>
                              <w:ind w:left="360"/>
                              <w:rPr>
                                <w:rFonts w:cstheme="minorHAnsi"/>
                                <w:color w:val="000000" w:themeColor="text1"/>
                                <w:sz w:val="21"/>
                                <w:szCs w:val="21"/>
                              </w:rPr>
                            </w:pPr>
                            <w:r w:rsidRPr="005B1EB5">
                              <w:rPr>
                                <w:rFonts w:cstheme="minorHAnsi"/>
                                <w:color w:val="000000" w:themeColor="text1"/>
                                <w:sz w:val="21"/>
                                <w:szCs w:val="21"/>
                              </w:rPr>
                              <w:t>Canada’s drug laws (CDSA, FDA, FDR) are a significant contributor to the volatility and toxicity of the unregulated drug supply, constituting a violation of the right to life under Article 6;</w:t>
                            </w:r>
                          </w:p>
                          <w:p w14:paraId="649DA67F" w14:textId="77777777" w:rsidR="00535B1C" w:rsidRPr="005B1EB5" w:rsidRDefault="00535B1C" w:rsidP="00535B1C">
                            <w:pPr>
                              <w:pStyle w:val="ListParagraph"/>
                              <w:numPr>
                                <w:ilvl w:val="0"/>
                                <w:numId w:val="18"/>
                              </w:numPr>
                              <w:ind w:left="360"/>
                              <w:rPr>
                                <w:rFonts w:cstheme="minorHAnsi"/>
                                <w:color w:val="000000" w:themeColor="text1"/>
                                <w:sz w:val="21"/>
                                <w:szCs w:val="21"/>
                              </w:rPr>
                            </w:pPr>
                            <w:r w:rsidRPr="005B1EB5">
                              <w:rPr>
                                <w:rFonts w:cstheme="minorHAnsi"/>
                                <w:color w:val="000000" w:themeColor="text1"/>
                                <w:sz w:val="21"/>
                                <w:szCs w:val="21"/>
                              </w:rPr>
                              <w:t>Canada has failed to take reasonable and effective measures to protect life without discrimination where threats are foreseeable by failing to respond to and work towards implementation of the recommendations of the Expert Task Force on Substance Use in violation of Articles 2, 6 and 26.</w:t>
                            </w:r>
                          </w:p>
                          <w:p w14:paraId="0F0943E9" w14:textId="77777777" w:rsidR="00535B1C" w:rsidRPr="005B1EB5" w:rsidRDefault="00535B1C" w:rsidP="00535B1C">
                            <w:pPr>
                              <w:rPr>
                                <w:rFonts w:cstheme="minorHAnsi"/>
                                <w:b/>
                                <w:bCs/>
                                <w:color w:val="000000" w:themeColor="text1"/>
                                <w:sz w:val="21"/>
                                <w:szCs w:val="21"/>
                              </w:rPr>
                            </w:pPr>
                          </w:p>
                          <w:p w14:paraId="717EF917" w14:textId="77777777" w:rsidR="00535B1C" w:rsidRPr="005B1EB5" w:rsidRDefault="00535B1C" w:rsidP="00535B1C">
                            <w:pPr>
                              <w:rPr>
                                <w:rFonts w:cstheme="minorHAnsi"/>
                                <w:b/>
                                <w:bCs/>
                                <w:color w:val="000000" w:themeColor="text1"/>
                                <w:sz w:val="21"/>
                                <w:szCs w:val="21"/>
                              </w:rPr>
                            </w:pPr>
                            <w:r w:rsidRPr="005B1EB5">
                              <w:rPr>
                                <w:rFonts w:cstheme="minorHAnsi"/>
                                <w:b/>
                                <w:bCs/>
                                <w:color w:val="000000" w:themeColor="text1"/>
                                <w:sz w:val="21"/>
                                <w:szCs w:val="21"/>
                              </w:rPr>
                              <w:t>The Committee call on Canada to:</w:t>
                            </w:r>
                          </w:p>
                          <w:p w14:paraId="2F26D115" w14:textId="286C5312" w:rsidR="00535B1C" w:rsidRPr="005B1EB5" w:rsidRDefault="00F25B03" w:rsidP="00535B1C">
                            <w:pPr>
                              <w:pStyle w:val="ListParagraph"/>
                              <w:numPr>
                                <w:ilvl w:val="0"/>
                                <w:numId w:val="19"/>
                              </w:numPr>
                              <w:ind w:left="360"/>
                              <w:rPr>
                                <w:rFonts w:cstheme="minorHAnsi"/>
                                <w:color w:val="000000" w:themeColor="text1"/>
                                <w:sz w:val="21"/>
                                <w:szCs w:val="21"/>
                              </w:rPr>
                            </w:pPr>
                            <w:r w:rsidRPr="005B1EB5">
                              <w:rPr>
                                <w:rFonts w:cstheme="minorHAnsi"/>
                                <w:color w:val="000000" w:themeColor="text1"/>
                                <w:sz w:val="21"/>
                                <w:szCs w:val="21"/>
                              </w:rPr>
                              <w:t>Publicly</w:t>
                            </w:r>
                            <w:r w:rsidR="00535B1C" w:rsidRPr="005B1EB5">
                              <w:rPr>
                                <w:rFonts w:cstheme="minorHAnsi"/>
                                <w:color w:val="000000" w:themeColor="text1"/>
                                <w:sz w:val="21"/>
                                <w:szCs w:val="21"/>
                              </w:rPr>
                              <w:t xml:space="preserve"> release the full findings and reports of the Expert Advisory Group on Safer Supply;</w:t>
                            </w:r>
                          </w:p>
                          <w:p w14:paraId="7F2FD17D" w14:textId="77777777" w:rsidR="00535B1C" w:rsidRPr="005B1EB5" w:rsidRDefault="00535B1C" w:rsidP="00535B1C">
                            <w:pPr>
                              <w:pStyle w:val="ListParagraph"/>
                              <w:numPr>
                                <w:ilvl w:val="0"/>
                                <w:numId w:val="19"/>
                              </w:numPr>
                              <w:ind w:left="360"/>
                              <w:rPr>
                                <w:rFonts w:cstheme="minorHAnsi"/>
                                <w:color w:val="000000" w:themeColor="text1"/>
                                <w:sz w:val="21"/>
                                <w:szCs w:val="21"/>
                              </w:rPr>
                            </w:pPr>
                            <w:r w:rsidRPr="005B1EB5">
                              <w:rPr>
                                <w:rFonts w:cstheme="minorHAnsi"/>
                                <w:color w:val="000000" w:themeColor="text1"/>
                                <w:sz w:val="21"/>
                                <w:szCs w:val="21"/>
                              </w:rPr>
                              <w:t>Within 1 year, complete an arms-length review of the impacts of drug law enforcement on the volatility of the drug supply, and discriminatory practices and effects of such enforcement. This should be led by an independent committee of qualified interdisciplinary evaluators and people with lived/living experience with meaningful engagement from civil society;</w:t>
                            </w:r>
                          </w:p>
                          <w:p w14:paraId="6884B7D2" w14:textId="77777777" w:rsidR="00535B1C" w:rsidRPr="005B1EB5" w:rsidRDefault="00535B1C" w:rsidP="00535B1C">
                            <w:pPr>
                              <w:pStyle w:val="ListParagraph"/>
                              <w:numPr>
                                <w:ilvl w:val="0"/>
                                <w:numId w:val="19"/>
                              </w:numPr>
                              <w:ind w:left="360"/>
                              <w:rPr>
                                <w:rFonts w:cstheme="minorHAnsi"/>
                                <w:b/>
                                <w:bCs/>
                                <w:color w:val="000000" w:themeColor="text1"/>
                                <w:sz w:val="21"/>
                                <w:szCs w:val="21"/>
                              </w:rPr>
                            </w:pPr>
                            <w:r w:rsidRPr="005B1EB5">
                              <w:rPr>
                                <w:rFonts w:cstheme="minorHAnsi"/>
                                <w:color w:val="000000" w:themeColor="text1"/>
                                <w:sz w:val="21"/>
                                <w:szCs w:val="21"/>
                              </w:rPr>
                              <w:t>Implement the recommendation of the Expert Task Force on Substance Use to create “a single public health framework with specific regulations for all psychoactive substances” including a commitment to specified goals and timelines, processes for lived/living experience and civil society engagement, and human rights accountability mechanisms to ensure that reasonable and effective measures are taken in a timely manner.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7790B1" id="Rectangle: Rounded Corners 4" o:spid="_x0000_s1026" style="position:absolute;margin-left:-25.3pt;margin-top:14pt;width:537pt;height:2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" fillcolor="#f2f0e7" strokecolor="#c31424" strokeweight="2.25pt">
                <v:stroke joinstyle="miter"/>
                <v:textbox inset="0,0,0,0">
                  <w:txbxContent>
                    <w:p w14:paraId="2F895399" w14:textId="77777777" w:rsidR="00535B1C" w:rsidRPr="005B1EB5" w:rsidRDefault="00535B1C" w:rsidP="00535B1C">
                      <w:pPr>
                        <w:rPr>
                          <w:rFonts w:cstheme="minorHAnsi"/>
                          <w:b/>
                          <w:bCs/>
                          <w:color w:val="000000" w:themeColor="text1"/>
                          <w:sz w:val="21"/>
                          <w:szCs w:val="21"/>
                        </w:rPr>
                      </w:pPr>
                      <w:r w:rsidRPr="005B1EB5">
                        <w:rPr>
                          <w:rFonts w:cstheme="minorHAnsi"/>
                          <w:b/>
                          <w:bCs/>
                          <w:color w:val="000000" w:themeColor="text1"/>
                          <w:sz w:val="21"/>
                          <w:szCs w:val="21"/>
                        </w:rPr>
                        <w:t>The Committee find that:</w:t>
                      </w:r>
                    </w:p>
                    <w:p w14:paraId="4258D2D9" w14:textId="77777777" w:rsidR="00535B1C" w:rsidRPr="005B1EB5" w:rsidRDefault="00535B1C" w:rsidP="00535B1C">
                      <w:pPr>
                        <w:pStyle w:val="ListParagraph"/>
                        <w:numPr>
                          <w:ilvl w:val="0"/>
                          <w:numId w:val="18"/>
                        </w:numPr>
                        <w:ind w:left="360"/>
                        <w:rPr>
                          <w:rFonts w:cstheme="minorHAnsi"/>
                          <w:color w:val="000000" w:themeColor="text1"/>
                          <w:sz w:val="21"/>
                          <w:szCs w:val="21"/>
                        </w:rPr>
                      </w:pPr>
                      <w:r w:rsidRPr="005B1EB5">
                        <w:rPr>
                          <w:rFonts w:cstheme="minorHAnsi"/>
                          <w:color w:val="000000" w:themeColor="text1"/>
                          <w:sz w:val="21"/>
                          <w:szCs w:val="21"/>
                        </w:rPr>
                        <w:t>Canada’s drug laws (CDSA, FDA, FDR) are a significant contributor to the volatility and toxicity of the unregulated drug supply, constituting a violation of the right to life under Article 6;</w:t>
                      </w:r>
                    </w:p>
                    <w:p w14:paraId="649DA67F" w14:textId="77777777" w:rsidR="00535B1C" w:rsidRPr="005B1EB5" w:rsidRDefault="00535B1C" w:rsidP="00535B1C">
                      <w:pPr>
                        <w:pStyle w:val="ListParagraph"/>
                        <w:numPr>
                          <w:ilvl w:val="0"/>
                          <w:numId w:val="18"/>
                        </w:numPr>
                        <w:ind w:left="360"/>
                        <w:rPr>
                          <w:rFonts w:cstheme="minorHAnsi"/>
                          <w:color w:val="000000" w:themeColor="text1"/>
                          <w:sz w:val="21"/>
                          <w:szCs w:val="21"/>
                        </w:rPr>
                      </w:pPr>
                      <w:r w:rsidRPr="005B1EB5">
                        <w:rPr>
                          <w:rFonts w:cstheme="minorHAnsi"/>
                          <w:color w:val="000000" w:themeColor="text1"/>
                          <w:sz w:val="21"/>
                          <w:szCs w:val="21"/>
                        </w:rPr>
                        <w:t>Canada has failed to take reasonable and effective measures to protect life without discrimination where threats are foreseeable by failing to respond to and work towards implementation of the recommendations of the Expert Task Force on Substance Use in violation of Articles 2, 6 and 26.</w:t>
                      </w:r>
                    </w:p>
                    <w:p w14:paraId="0F0943E9" w14:textId="77777777" w:rsidR="00535B1C" w:rsidRPr="005B1EB5" w:rsidRDefault="00535B1C" w:rsidP="00535B1C">
                      <w:pPr>
                        <w:rPr>
                          <w:rFonts w:cstheme="minorHAnsi"/>
                          <w:b/>
                          <w:bCs/>
                          <w:color w:val="000000" w:themeColor="text1"/>
                          <w:sz w:val="21"/>
                          <w:szCs w:val="21"/>
                        </w:rPr>
                      </w:pPr>
                    </w:p>
                    <w:p w14:paraId="717EF917" w14:textId="77777777" w:rsidR="00535B1C" w:rsidRPr="005B1EB5" w:rsidRDefault="00535B1C" w:rsidP="00535B1C">
                      <w:pPr>
                        <w:rPr>
                          <w:rFonts w:cstheme="minorHAnsi"/>
                          <w:b/>
                          <w:bCs/>
                          <w:color w:val="000000" w:themeColor="text1"/>
                          <w:sz w:val="21"/>
                          <w:szCs w:val="21"/>
                        </w:rPr>
                      </w:pPr>
                      <w:r w:rsidRPr="005B1EB5">
                        <w:rPr>
                          <w:rFonts w:cstheme="minorHAnsi"/>
                          <w:b/>
                          <w:bCs/>
                          <w:color w:val="000000" w:themeColor="text1"/>
                          <w:sz w:val="21"/>
                          <w:szCs w:val="21"/>
                        </w:rPr>
                        <w:t>The Committee call on Canada to:</w:t>
                      </w:r>
                    </w:p>
                    <w:p w14:paraId="2F26D115" w14:textId="286C5312" w:rsidR="00535B1C" w:rsidRPr="005B1EB5" w:rsidRDefault="00F25B03" w:rsidP="00535B1C">
                      <w:pPr>
                        <w:pStyle w:val="ListParagraph"/>
                        <w:numPr>
                          <w:ilvl w:val="0"/>
                          <w:numId w:val="19"/>
                        </w:numPr>
                        <w:ind w:left="360"/>
                        <w:rPr>
                          <w:rFonts w:cstheme="minorHAnsi"/>
                          <w:color w:val="000000" w:themeColor="text1"/>
                          <w:sz w:val="21"/>
                          <w:szCs w:val="21"/>
                        </w:rPr>
                      </w:pPr>
                      <w:r w:rsidRPr="005B1EB5">
                        <w:rPr>
                          <w:rFonts w:cstheme="minorHAnsi"/>
                          <w:color w:val="000000" w:themeColor="text1"/>
                          <w:sz w:val="21"/>
                          <w:szCs w:val="21"/>
                        </w:rPr>
                        <w:t>Publicly</w:t>
                      </w:r>
                      <w:r w:rsidR="00535B1C" w:rsidRPr="005B1EB5">
                        <w:rPr>
                          <w:rFonts w:cstheme="minorHAnsi"/>
                          <w:color w:val="000000" w:themeColor="text1"/>
                          <w:sz w:val="21"/>
                          <w:szCs w:val="21"/>
                        </w:rPr>
                        <w:t xml:space="preserve"> release the full findings and reports of the Expert Advisory Group on Safer Supply;</w:t>
                      </w:r>
                    </w:p>
                    <w:p w14:paraId="7F2FD17D" w14:textId="77777777" w:rsidR="00535B1C" w:rsidRPr="005B1EB5" w:rsidRDefault="00535B1C" w:rsidP="00535B1C">
                      <w:pPr>
                        <w:pStyle w:val="ListParagraph"/>
                        <w:numPr>
                          <w:ilvl w:val="0"/>
                          <w:numId w:val="19"/>
                        </w:numPr>
                        <w:ind w:left="360"/>
                        <w:rPr>
                          <w:rFonts w:cstheme="minorHAnsi"/>
                          <w:color w:val="000000" w:themeColor="text1"/>
                          <w:sz w:val="21"/>
                          <w:szCs w:val="21"/>
                        </w:rPr>
                      </w:pPr>
                      <w:r w:rsidRPr="005B1EB5">
                        <w:rPr>
                          <w:rFonts w:cstheme="minorHAnsi"/>
                          <w:color w:val="000000" w:themeColor="text1"/>
                          <w:sz w:val="21"/>
                          <w:szCs w:val="21"/>
                        </w:rPr>
                        <w:t>Within 1 year, complete an arms-length review of the impacts of drug law enforcement on the volatility of the drug supply, and discriminatory practices and effects of such enforcement. This should be led by an independent committee of qualified interdisciplinary evaluators and people with lived/living experience with meaningful engagement from civil society;</w:t>
                      </w:r>
                    </w:p>
                    <w:p w14:paraId="6884B7D2" w14:textId="77777777" w:rsidR="00535B1C" w:rsidRPr="005B1EB5" w:rsidRDefault="00535B1C" w:rsidP="00535B1C">
                      <w:pPr>
                        <w:pStyle w:val="ListParagraph"/>
                        <w:numPr>
                          <w:ilvl w:val="0"/>
                          <w:numId w:val="19"/>
                        </w:numPr>
                        <w:ind w:left="360"/>
                        <w:rPr>
                          <w:rFonts w:cstheme="minorHAnsi"/>
                          <w:b/>
                          <w:bCs/>
                          <w:color w:val="000000" w:themeColor="text1"/>
                          <w:sz w:val="21"/>
                          <w:szCs w:val="21"/>
                        </w:rPr>
                      </w:pPr>
                      <w:r w:rsidRPr="005B1EB5">
                        <w:rPr>
                          <w:rFonts w:cstheme="minorHAnsi"/>
                          <w:color w:val="000000" w:themeColor="text1"/>
                          <w:sz w:val="21"/>
                          <w:szCs w:val="21"/>
                        </w:rPr>
                        <w:t>Implement the recommendation of the Expert Task Force on Substance Use to create “a single public health framework with specific regulations for all psychoactive substances” including a commitment to specified goals and timelines, processes for lived/living experience and civil society engagement, and human rights accountability mechanisms to ensure that reasonable and effective measures are taken in a timely manner.</w:t>
                      </w:r>
                    </w:p>
                  </w:txbxContent>
                </v:textbox>
                <w10:wrap type="tight"/>
              </v:roundrect>
            </w:pict>
          </mc:Fallback>
        </mc:AlternateContent>
      </w:r>
      <w:r w:rsidR="00DC2C8E">
        <w:rPr>
          <w:rFonts w:ascii="Open Sans" w:eastAsia="Times New Roman" w:hAnsi="Open Sans" w:cs="Open Sans"/>
          <w:kern w:val="0"/>
          <w:sz w:val="22"/>
          <w:szCs w:val="22"/>
          <w14:ligatures w14:val="none"/>
        </w:rPr>
        <w:br w:type="page"/>
      </w:r>
      <w:r w:rsidR="00D15C6F">
        <w:rPr>
          <w:rFonts w:ascii="Times New Roman" w:eastAsia="Times New Roman" w:hAnsi="Times New Roman" w:cs="Times New Roman"/>
          <w:noProof/>
          <w:color w:val="727375"/>
          <w:kern w:val="0"/>
          <w14:ligatures w14:val="none"/>
        </w:rPr>
        <w:lastRenderedPageBreak/>
      </w:r>
      <w:r w:rsidR="00D15C6F">
        <w:rPr>
          <w:rFonts w:ascii="Times New Roman" w:eastAsia="Times New Roman" w:hAnsi="Times New Roman" w:cs="Times New Roman"/>
          <w:noProof/>
          <w:color w:val="727375"/>
          <w:kern w:val="0"/>
          <w14:ligatures w14:val="none"/>
        </w:rPr>
        <w:pict w14:anchorId="78A44AE9">
          <v:rect id="_x0000_i1031" alt="" style="width:468pt;height:.05pt;mso-width-percent:0;mso-height-percent:0;mso-width-percent:0;mso-height-percent:0" o:hralign="center" o:hrstd="t" o:hr="t" fillcolor="#a0a0a0" stroked="f"/>
        </w:pict>
      </w:r>
    </w:p>
    <w:p w14:paraId="1EB77A1D" w14:textId="77777777" w:rsidR="002B0D3F" w:rsidRPr="005B1EB5" w:rsidRDefault="002B0D3F" w:rsidP="002B0D3F">
      <w:pPr>
        <w:spacing w:before="100" w:beforeAutospacing="1" w:after="100" w:afterAutospacing="1"/>
        <w:outlineLvl w:val="0"/>
        <w:rPr>
          <w:rFonts w:ascii="Arial" w:eastAsia="Times New Roman" w:hAnsi="Arial" w:cs="Arial"/>
          <w:b/>
          <w:bCs/>
          <w:kern w:val="36"/>
          <w14:ligatures w14:val="none"/>
        </w:rPr>
      </w:pPr>
      <w:r w:rsidRPr="005B1EB5">
        <w:rPr>
          <w:rFonts w:ascii="Arial" w:eastAsia="Times New Roman" w:hAnsi="Arial" w:cs="Arial"/>
          <w:b/>
          <w:bCs/>
          <w:kern w:val="36"/>
          <w14:ligatures w14:val="none"/>
        </w:rPr>
        <w:t>ISSUE 2</w:t>
      </w:r>
    </w:p>
    <w:p w14:paraId="7FD47D7A" w14:textId="77777777" w:rsidR="002B0D3F" w:rsidRPr="005B1EB5" w:rsidRDefault="002B0D3F" w:rsidP="002B0D3F">
      <w:pPr>
        <w:spacing w:before="100" w:beforeAutospacing="1" w:after="100" w:afterAutospacing="1"/>
        <w:outlineLvl w:val="1"/>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 xml:space="preserve">Prosecuting people for providing life-saving programs: The </w:t>
      </w:r>
      <w:bookmarkStart w:id="1" w:name="_Hlk220618573"/>
      <w:r w:rsidRPr="005B1EB5">
        <w:rPr>
          <w:rFonts w:ascii="Arial" w:eastAsia="Times New Roman" w:hAnsi="Arial" w:cs="Arial"/>
          <w:b/>
          <w:bCs/>
          <w:kern w:val="0"/>
          <w:sz w:val="22"/>
          <w:szCs w:val="22"/>
          <w14:ligatures w14:val="none"/>
        </w:rPr>
        <w:t>Drug User Liberation Front Compassion Club</w:t>
      </w:r>
      <w:bookmarkEnd w:id="1"/>
    </w:p>
    <w:p w14:paraId="15DEB473" w14:textId="77777777" w:rsidR="002B0D3F" w:rsidRPr="005B1EB5" w:rsidRDefault="002B0D3F" w:rsidP="002B0D3F">
      <w:pPr>
        <w:spacing w:before="100" w:beforeAutospacing="1" w:after="100" w:afterAutospacing="1"/>
        <w:outlineLvl w:val="2"/>
        <w:rPr>
          <w:rFonts w:eastAsia="Times New Roman" w:cstheme="minorHAnsi"/>
          <w:kern w:val="0"/>
          <w14:ligatures w14:val="none"/>
        </w:rPr>
      </w:pPr>
      <w:r w:rsidRPr="005B1EB5">
        <w:rPr>
          <w:rFonts w:eastAsia="Times New Roman" w:cstheme="minorHAnsi"/>
          <w:b/>
          <w:bCs/>
          <w:kern w:val="0"/>
          <w14:ligatures w14:val="none"/>
        </w:rPr>
        <w:t>Violations of Articles:</w:t>
      </w:r>
      <w:r w:rsidRPr="005B1EB5">
        <w:rPr>
          <w:rFonts w:eastAsia="Times New Roman" w:cstheme="minorHAnsi"/>
          <w:kern w:val="0"/>
          <w14:ligatures w14:val="none"/>
        </w:rPr>
        <w:t xml:space="preserve"> 2, 6, 9, and 26</w:t>
      </w:r>
    </w:p>
    <w:p w14:paraId="1C366FE4" w14:textId="4B875B05" w:rsidR="002B0D3F" w:rsidRPr="005B1EB5" w:rsidRDefault="002B0D3F" w:rsidP="0048747F">
      <w:pPr>
        <w:pStyle w:val="ListParagraph"/>
        <w:numPr>
          <w:ilvl w:val="0"/>
          <w:numId w:val="4"/>
        </w:numPr>
        <w:spacing w:after="120"/>
        <w:ind w:left="274"/>
        <w:contextualSpacing w:val="0"/>
        <w:jc w:val="both"/>
        <w:rPr>
          <w:rFonts w:cstheme="minorHAnsi"/>
        </w:rPr>
      </w:pPr>
      <w:r w:rsidRPr="005B1EB5">
        <w:rPr>
          <w:rFonts w:eastAsia="Times New Roman" w:cstheme="minorHAnsi"/>
          <w:kern w:val="0"/>
          <w14:ligatures w14:val="none"/>
        </w:rPr>
        <w:t xml:space="preserve">CDPC is mindful that the issue described herein </w:t>
      </w:r>
      <w:r w:rsidR="006F1F5C" w:rsidRPr="005B1EB5">
        <w:rPr>
          <w:rFonts w:eastAsia="Times New Roman" w:cstheme="minorHAnsi"/>
          <w:kern w:val="0"/>
          <w14:ligatures w14:val="none"/>
        </w:rPr>
        <w:t xml:space="preserve">is </w:t>
      </w:r>
      <w:r w:rsidRPr="005B1EB5">
        <w:rPr>
          <w:rFonts w:eastAsia="Times New Roman" w:cstheme="minorHAnsi"/>
          <w:kern w:val="0"/>
          <w14:ligatures w14:val="none"/>
        </w:rPr>
        <w:t xml:space="preserve">still before both the Supreme Court of British Columbia and the Federal Court of Canada. CDPC wishes to emphasize that nothing in this submission should be interpreted to increase risk of harm and death for members of the Drug User Liberation Front (DULF) </w:t>
      </w:r>
      <w:r w:rsidR="009D4032" w:rsidRPr="005B1EB5">
        <w:rPr>
          <w:rFonts w:eastAsia="Times New Roman" w:cstheme="minorHAnsi"/>
          <w:kern w:val="0"/>
          <w14:ligatures w14:val="none"/>
        </w:rPr>
        <w:t>c</w:t>
      </w:r>
      <w:r w:rsidRPr="005B1EB5">
        <w:rPr>
          <w:rFonts w:eastAsia="Times New Roman" w:cstheme="minorHAnsi"/>
          <w:kern w:val="0"/>
          <w14:ligatures w14:val="none"/>
        </w:rPr>
        <w:t xml:space="preserve">ompassion </w:t>
      </w:r>
      <w:r w:rsidR="009D4032" w:rsidRPr="005B1EB5">
        <w:rPr>
          <w:rFonts w:eastAsia="Times New Roman" w:cstheme="minorHAnsi"/>
          <w:kern w:val="0"/>
          <w14:ligatures w14:val="none"/>
        </w:rPr>
        <w:t>c</w:t>
      </w:r>
      <w:r w:rsidRPr="005B1EB5">
        <w:rPr>
          <w:rFonts w:eastAsia="Times New Roman" w:cstheme="minorHAnsi"/>
          <w:kern w:val="0"/>
          <w14:ligatures w14:val="none"/>
        </w:rPr>
        <w:t xml:space="preserve">lub nor the security of the person or liberty of the founders of the DULF </w:t>
      </w:r>
      <w:r w:rsidR="009D4032" w:rsidRPr="005B1EB5">
        <w:rPr>
          <w:rFonts w:eastAsia="Times New Roman" w:cstheme="minorHAnsi"/>
          <w:kern w:val="0"/>
          <w14:ligatures w14:val="none"/>
        </w:rPr>
        <w:t>co</w:t>
      </w:r>
      <w:r w:rsidRPr="005B1EB5">
        <w:rPr>
          <w:rFonts w:eastAsia="Times New Roman" w:cstheme="minorHAnsi"/>
          <w:kern w:val="0"/>
          <w14:ligatures w14:val="none"/>
        </w:rPr>
        <w:t xml:space="preserve">mpassion </w:t>
      </w:r>
      <w:r w:rsidR="009D4032" w:rsidRPr="005B1EB5">
        <w:rPr>
          <w:rFonts w:eastAsia="Times New Roman" w:cstheme="minorHAnsi"/>
          <w:kern w:val="0"/>
          <w14:ligatures w14:val="none"/>
        </w:rPr>
        <w:t>c</w:t>
      </w:r>
      <w:r w:rsidRPr="005B1EB5">
        <w:rPr>
          <w:rFonts w:eastAsia="Times New Roman" w:cstheme="minorHAnsi"/>
          <w:kern w:val="0"/>
          <w14:ligatures w14:val="none"/>
        </w:rPr>
        <w:t xml:space="preserve">lub who are currently challenging </w:t>
      </w:r>
      <w:hyperlink r:id="rId52" w:history="1">
        <w:r w:rsidRPr="005B1EB5">
          <w:rPr>
            <w:rStyle w:val="Hyperlink"/>
            <w:rFonts w:asciiTheme="minorHAnsi" w:eastAsia="Times New Roman" w:hAnsiTheme="minorHAnsi" w:cstheme="minorHAnsi"/>
            <w:kern w:val="0"/>
            <w14:ligatures w14:val="none"/>
          </w:rPr>
          <w:t>criminal convictions</w:t>
        </w:r>
      </w:hyperlink>
      <w:r w:rsidR="0085073E" w:rsidRPr="005B1EB5">
        <w:rPr>
          <w:rStyle w:val="EndnoteReference"/>
          <w:rFonts w:eastAsia="Times New Roman" w:cstheme="minorHAnsi"/>
          <w:kern w:val="0"/>
          <w14:ligatures w14:val="none"/>
        </w:rPr>
        <w:endnoteReference w:id="46"/>
      </w:r>
      <w:r w:rsidRPr="005B1EB5">
        <w:rPr>
          <w:rFonts w:eastAsia="Times New Roman" w:cstheme="minorHAnsi"/>
          <w:kern w:val="0"/>
          <w14:ligatures w14:val="none"/>
        </w:rPr>
        <w:t xml:space="preserve"> for their involvement in</w:t>
      </w:r>
      <w:r w:rsidR="000A6C3D" w:rsidRPr="005B1EB5">
        <w:rPr>
          <w:rFonts w:eastAsia="Times New Roman" w:cstheme="minorHAnsi"/>
          <w:kern w:val="0"/>
          <w14:ligatures w14:val="none"/>
        </w:rPr>
        <w:t xml:space="preserve"> </w:t>
      </w:r>
      <w:r w:rsidR="00A31BFA" w:rsidRPr="005B1EB5">
        <w:rPr>
          <w:rFonts w:eastAsia="Times New Roman" w:cstheme="minorHAnsi"/>
          <w:kern w:val="0"/>
          <w14:ligatures w14:val="none"/>
        </w:rPr>
        <w:t>the</w:t>
      </w:r>
      <w:r w:rsidRPr="005B1EB5">
        <w:rPr>
          <w:rFonts w:eastAsia="Times New Roman" w:cstheme="minorHAnsi"/>
          <w:kern w:val="0"/>
          <w14:ligatures w14:val="none"/>
        </w:rPr>
        <w:t xml:space="preserve"> compassion club. </w:t>
      </w:r>
    </w:p>
    <w:p w14:paraId="4C9F277B" w14:textId="50076C22" w:rsidR="000A1AA2" w:rsidRPr="005B1EB5" w:rsidRDefault="000A1AA2" w:rsidP="0048747F">
      <w:pPr>
        <w:pStyle w:val="ListParagraph"/>
        <w:numPr>
          <w:ilvl w:val="0"/>
          <w:numId w:val="4"/>
        </w:numPr>
        <w:spacing w:after="120"/>
        <w:ind w:left="274"/>
        <w:contextualSpacing w:val="0"/>
        <w:jc w:val="both"/>
        <w:rPr>
          <w:rFonts w:cstheme="minorHAnsi"/>
        </w:rPr>
      </w:pPr>
      <w:r w:rsidRPr="005B1EB5">
        <w:rPr>
          <w:rFonts w:cstheme="minorHAnsi"/>
        </w:rPr>
        <w:t xml:space="preserve">In 2016, </w:t>
      </w:r>
      <w:r w:rsidR="00F9000F" w:rsidRPr="005B1EB5">
        <w:rPr>
          <w:rFonts w:cstheme="minorHAnsi"/>
        </w:rPr>
        <w:t xml:space="preserve">the province of British Columbia declared the toxic drug crisis a </w:t>
      </w:r>
      <w:hyperlink r:id="rId53" w:history="1">
        <w:r w:rsidR="00F9000F" w:rsidRPr="005B1EB5">
          <w:rPr>
            <w:rStyle w:val="Hyperlink"/>
            <w:rFonts w:asciiTheme="minorHAnsi" w:hAnsiTheme="minorHAnsi" w:cstheme="minorHAnsi"/>
          </w:rPr>
          <w:t>public health emergency</w:t>
        </w:r>
      </w:hyperlink>
      <w:r w:rsidR="00A463B3" w:rsidRPr="005B1EB5">
        <w:rPr>
          <w:rStyle w:val="EndnoteReference"/>
          <w:rFonts w:cstheme="minorHAnsi"/>
        </w:rPr>
        <w:endnoteReference w:id="47"/>
      </w:r>
      <w:r w:rsidR="00691DBD" w:rsidRPr="005B1EB5">
        <w:rPr>
          <w:rFonts w:cstheme="minorHAnsi"/>
        </w:rPr>
        <w:t>. The crisis</w:t>
      </w:r>
      <w:r w:rsidR="00861263" w:rsidRPr="005B1EB5">
        <w:rPr>
          <w:rFonts w:cstheme="minorHAnsi"/>
        </w:rPr>
        <w:t>, however,</w:t>
      </w:r>
      <w:r w:rsidR="00691DBD" w:rsidRPr="005B1EB5">
        <w:rPr>
          <w:rFonts w:cstheme="minorHAnsi"/>
        </w:rPr>
        <w:t xml:space="preserve"> is not limited to British Columbia</w:t>
      </w:r>
      <w:r w:rsidR="00C60821" w:rsidRPr="005B1EB5">
        <w:rPr>
          <w:rFonts w:cstheme="minorHAnsi"/>
        </w:rPr>
        <w:t>;</w:t>
      </w:r>
      <w:r w:rsidR="00691DBD" w:rsidRPr="005B1EB5">
        <w:rPr>
          <w:rFonts w:cstheme="minorHAnsi"/>
        </w:rPr>
        <w:t xml:space="preserve"> </w:t>
      </w:r>
      <w:r w:rsidR="005F00A0" w:rsidRPr="005B1EB5">
        <w:rPr>
          <w:rFonts w:cstheme="minorHAnsi"/>
        </w:rPr>
        <w:t>it is devastating families and communities across the country.</w:t>
      </w:r>
    </w:p>
    <w:p w14:paraId="1BD7CBE2" w14:textId="47CC3E26" w:rsidR="007945A7" w:rsidRPr="005B1EB5" w:rsidRDefault="005F00A0" w:rsidP="0048747F">
      <w:pPr>
        <w:pStyle w:val="ListParagraph"/>
        <w:numPr>
          <w:ilvl w:val="0"/>
          <w:numId w:val="4"/>
        </w:numPr>
        <w:spacing w:after="120"/>
        <w:ind w:left="274"/>
        <w:contextualSpacing w:val="0"/>
        <w:jc w:val="both"/>
        <w:rPr>
          <w:rFonts w:cstheme="minorHAnsi"/>
        </w:rPr>
      </w:pPr>
      <w:r w:rsidRPr="005B1EB5">
        <w:rPr>
          <w:rFonts w:cstheme="minorHAnsi"/>
        </w:rPr>
        <w:t>In this context, b</w:t>
      </w:r>
      <w:r w:rsidR="007F7EA6" w:rsidRPr="005B1EB5">
        <w:rPr>
          <w:rFonts w:cstheme="minorHAnsi"/>
        </w:rPr>
        <w:t xml:space="preserve">etween </w:t>
      </w:r>
      <w:r w:rsidR="003F4CE1" w:rsidRPr="005B1EB5">
        <w:rPr>
          <w:rFonts w:cstheme="minorHAnsi"/>
        </w:rPr>
        <w:t>August 2021 and June 2022</w:t>
      </w:r>
      <w:r w:rsidR="00BA0DDE" w:rsidRPr="005B1EB5">
        <w:rPr>
          <w:rFonts w:cstheme="minorHAnsi"/>
        </w:rPr>
        <w:t xml:space="preserve"> the</w:t>
      </w:r>
      <w:r w:rsidR="003F4CE1" w:rsidRPr="005B1EB5">
        <w:rPr>
          <w:rFonts w:cstheme="minorHAnsi"/>
        </w:rPr>
        <w:t xml:space="preserve"> founders of </w:t>
      </w:r>
      <w:hyperlink r:id="rId54" w:history="1">
        <w:r w:rsidR="003F4CE1" w:rsidRPr="005B1EB5">
          <w:rPr>
            <w:rStyle w:val="Hyperlink"/>
            <w:rFonts w:asciiTheme="minorHAnsi" w:hAnsiTheme="minorHAnsi" w:cstheme="minorHAnsi"/>
          </w:rPr>
          <w:t>DULF sought authorization</w:t>
        </w:r>
      </w:hyperlink>
      <w:r w:rsidR="00230142" w:rsidRPr="005B1EB5">
        <w:rPr>
          <w:rStyle w:val="EndnoteReference"/>
          <w:rFonts w:cstheme="minorHAnsi"/>
        </w:rPr>
        <w:endnoteReference w:id="48"/>
      </w:r>
      <w:r w:rsidR="003F4CE1" w:rsidRPr="005B1EB5">
        <w:rPr>
          <w:rFonts w:cstheme="minorHAnsi"/>
        </w:rPr>
        <w:t xml:space="preserve"> from the Government of Canada to establish a compassion club for people at significant and foreseeable risk of death due to unregulated drugs.</w:t>
      </w:r>
      <w:r w:rsidR="008101F4" w:rsidRPr="005B1EB5">
        <w:rPr>
          <w:rFonts w:cstheme="minorHAnsi"/>
        </w:rPr>
        <w:t xml:space="preserve"> Their request was supported by </w:t>
      </w:r>
      <w:r w:rsidR="00E11589" w:rsidRPr="005B1EB5">
        <w:rPr>
          <w:rFonts w:cstheme="minorHAnsi"/>
        </w:rPr>
        <w:t xml:space="preserve">academic experts and the local Medical Health Officer. </w:t>
      </w:r>
      <w:r w:rsidR="007D1053" w:rsidRPr="005B1EB5">
        <w:rPr>
          <w:rFonts w:cstheme="minorHAnsi"/>
        </w:rPr>
        <w:t>Even the</w:t>
      </w:r>
      <w:r w:rsidR="00C00EAF" w:rsidRPr="005B1EB5">
        <w:rPr>
          <w:rFonts w:cstheme="minorHAnsi"/>
        </w:rPr>
        <w:t xml:space="preserve"> </w:t>
      </w:r>
      <w:r w:rsidR="00115AB0" w:rsidRPr="005B1EB5">
        <w:rPr>
          <w:rFonts w:cstheme="minorHAnsi"/>
        </w:rPr>
        <w:t xml:space="preserve">Vancouver Police Department </w:t>
      </w:r>
      <w:r w:rsidR="007D1053" w:rsidRPr="005B1EB5">
        <w:rPr>
          <w:rFonts w:cstheme="minorHAnsi"/>
        </w:rPr>
        <w:t xml:space="preserve">was informed of </w:t>
      </w:r>
      <w:r w:rsidR="00ED143B" w:rsidRPr="005B1EB5">
        <w:rPr>
          <w:rFonts w:cstheme="minorHAnsi"/>
        </w:rPr>
        <w:t xml:space="preserve">DULF founders’ </w:t>
      </w:r>
      <w:r w:rsidR="007D1053" w:rsidRPr="005B1EB5">
        <w:rPr>
          <w:rFonts w:cstheme="minorHAnsi"/>
        </w:rPr>
        <w:t xml:space="preserve">plan and </w:t>
      </w:r>
      <w:r w:rsidR="00873D9A" w:rsidRPr="005B1EB5">
        <w:rPr>
          <w:rFonts w:cstheme="minorHAnsi"/>
        </w:rPr>
        <w:t>agreed to work with them if the government authorized the compassion club.</w:t>
      </w:r>
    </w:p>
    <w:p w14:paraId="0F6E4984" w14:textId="327CE989" w:rsidR="0048747F" w:rsidRPr="005B1EB5" w:rsidRDefault="002C6319" w:rsidP="0048747F">
      <w:pPr>
        <w:pStyle w:val="ListParagraph"/>
        <w:numPr>
          <w:ilvl w:val="0"/>
          <w:numId w:val="4"/>
        </w:numPr>
        <w:spacing w:after="120"/>
        <w:ind w:left="274"/>
        <w:contextualSpacing w:val="0"/>
        <w:jc w:val="both"/>
        <w:rPr>
          <w:rFonts w:cstheme="minorHAnsi"/>
        </w:rPr>
      </w:pPr>
      <w:r w:rsidRPr="005B1EB5">
        <w:rPr>
          <w:rFonts w:cstheme="minorHAnsi"/>
        </w:rPr>
        <w:t xml:space="preserve">DULF </w:t>
      </w:r>
      <w:r w:rsidR="003F4CE1" w:rsidRPr="005B1EB5">
        <w:rPr>
          <w:rFonts w:cstheme="minorHAnsi"/>
        </w:rPr>
        <w:t>wanted to act lawfully</w:t>
      </w:r>
      <w:r w:rsidR="00744025" w:rsidRPr="005B1EB5">
        <w:rPr>
          <w:rFonts w:cstheme="minorHAnsi"/>
        </w:rPr>
        <w:t>;</w:t>
      </w:r>
      <w:r w:rsidR="00A953A6" w:rsidRPr="005B1EB5">
        <w:rPr>
          <w:rFonts w:cstheme="minorHAnsi"/>
        </w:rPr>
        <w:t xml:space="preserve"> they asked the government for help. </w:t>
      </w:r>
      <w:r w:rsidR="00744025" w:rsidRPr="005B1EB5">
        <w:rPr>
          <w:rFonts w:cstheme="minorHAnsi"/>
        </w:rPr>
        <w:t>The government rejected their request</w:t>
      </w:r>
      <w:r w:rsidR="00873D9A" w:rsidRPr="005B1EB5">
        <w:rPr>
          <w:rFonts w:cstheme="minorHAnsi"/>
        </w:rPr>
        <w:t xml:space="preserve"> in </w:t>
      </w:r>
      <w:r w:rsidR="00865455" w:rsidRPr="005B1EB5">
        <w:rPr>
          <w:rFonts w:cstheme="minorHAnsi"/>
        </w:rPr>
        <w:t xml:space="preserve">July </w:t>
      </w:r>
      <w:r w:rsidR="00873D9A" w:rsidRPr="005B1EB5">
        <w:rPr>
          <w:rFonts w:cstheme="minorHAnsi"/>
        </w:rPr>
        <w:t>202</w:t>
      </w:r>
      <w:r w:rsidR="000C4A37" w:rsidRPr="005B1EB5">
        <w:rPr>
          <w:rFonts w:cstheme="minorHAnsi"/>
        </w:rPr>
        <w:t>2</w:t>
      </w:r>
      <w:r w:rsidR="00744025" w:rsidRPr="005B1EB5">
        <w:rPr>
          <w:rFonts w:cstheme="minorHAnsi"/>
        </w:rPr>
        <w:t>.</w:t>
      </w:r>
      <w:r w:rsidR="008E7EA6" w:rsidRPr="005B1EB5">
        <w:rPr>
          <w:rFonts w:cstheme="minorHAnsi"/>
        </w:rPr>
        <w:t xml:space="preserve"> Faced with </w:t>
      </w:r>
      <w:r w:rsidR="001542DF" w:rsidRPr="005B1EB5">
        <w:rPr>
          <w:rFonts w:cstheme="minorHAnsi"/>
        </w:rPr>
        <w:t>what one founder described as a “</w:t>
      </w:r>
      <w:hyperlink r:id="rId55" w:history="1">
        <w:r w:rsidR="001542DF" w:rsidRPr="005B1EB5">
          <w:rPr>
            <w:rStyle w:val="Hyperlink"/>
            <w:rFonts w:asciiTheme="minorHAnsi" w:hAnsiTheme="minorHAnsi" w:cstheme="minorHAnsi"/>
          </w:rPr>
          <w:t>horror beyond words</w:t>
        </w:r>
      </w:hyperlink>
      <w:r w:rsidR="001542DF" w:rsidRPr="005B1EB5">
        <w:rPr>
          <w:rFonts w:cstheme="minorHAnsi"/>
        </w:rPr>
        <w:t>”</w:t>
      </w:r>
      <w:r w:rsidR="00C55B84" w:rsidRPr="005B1EB5">
        <w:rPr>
          <w:rStyle w:val="EndnoteReference"/>
          <w:rFonts w:cstheme="minorHAnsi"/>
        </w:rPr>
        <w:endnoteReference w:id="49"/>
      </w:r>
      <w:r w:rsidR="008E7EA6" w:rsidRPr="005B1EB5">
        <w:rPr>
          <w:rFonts w:cstheme="minorHAnsi"/>
        </w:rPr>
        <w:t xml:space="preserve"> in their community, DULF’s founders </w:t>
      </w:r>
      <w:r w:rsidR="00A40249" w:rsidRPr="005B1EB5">
        <w:rPr>
          <w:rFonts w:cstheme="minorHAnsi"/>
        </w:rPr>
        <w:t xml:space="preserve">were compelled to </w:t>
      </w:r>
      <w:r w:rsidR="00AB6D45" w:rsidRPr="005B1EB5">
        <w:rPr>
          <w:rFonts w:cstheme="minorHAnsi"/>
        </w:rPr>
        <w:t>act</w:t>
      </w:r>
      <w:r w:rsidR="002726D1" w:rsidRPr="005B1EB5">
        <w:rPr>
          <w:rFonts w:cstheme="minorHAnsi"/>
        </w:rPr>
        <w:t>, even without government authorization</w:t>
      </w:r>
      <w:r w:rsidR="00A40249" w:rsidRPr="005B1EB5">
        <w:rPr>
          <w:rFonts w:cstheme="minorHAnsi"/>
        </w:rPr>
        <w:t>.</w:t>
      </w:r>
    </w:p>
    <w:p w14:paraId="42BAD1BF" w14:textId="61DA5BF9" w:rsidR="000979A3" w:rsidRPr="005B1EB5" w:rsidRDefault="003F2772" w:rsidP="0048747F">
      <w:pPr>
        <w:pStyle w:val="ListParagraph"/>
        <w:numPr>
          <w:ilvl w:val="0"/>
          <w:numId w:val="4"/>
        </w:numPr>
        <w:spacing w:after="120"/>
        <w:ind w:left="274"/>
        <w:contextualSpacing w:val="0"/>
        <w:jc w:val="both"/>
        <w:rPr>
          <w:rFonts w:cstheme="minorHAnsi"/>
        </w:rPr>
      </w:pPr>
      <w:r w:rsidRPr="005B1EB5">
        <w:rPr>
          <w:rFonts w:cstheme="minorHAnsi"/>
        </w:rPr>
        <w:t xml:space="preserve">DULF sourced heroin, methamphetamine and </w:t>
      </w:r>
      <w:r w:rsidR="00345465" w:rsidRPr="005B1EB5">
        <w:rPr>
          <w:rFonts w:cstheme="minorHAnsi"/>
        </w:rPr>
        <w:t xml:space="preserve">cocaine online, tested the drugs using the best available technologies, packaged and labeled them with ingredient lists and health warnings, and </w:t>
      </w:r>
      <w:r w:rsidR="00B10F81" w:rsidRPr="005B1EB5">
        <w:rPr>
          <w:rFonts w:cstheme="minorHAnsi"/>
        </w:rPr>
        <w:t>carefully selected compassion club members</w:t>
      </w:r>
      <w:r w:rsidR="00CB0109" w:rsidRPr="005B1EB5">
        <w:rPr>
          <w:rFonts w:cstheme="minorHAnsi"/>
        </w:rPr>
        <w:t xml:space="preserve"> who were all at least 18 years of age and currently using unregulated drugs.</w:t>
      </w:r>
      <w:r w:rsidR="002D3D71" w:rsidRPr="005B1EB5">
        <w:rPr>
          <w:rFonts w:cstheme="minorHAnsi"/>
        </w:rPr>
        <w:t xml:space="preserve"> Drugs were sold at-cost</w:t>
      </w:r>
      <w:r w:rsidR="00236E30" w:rsidRPr="005B1EB5">
        <w:rPr>
          <w:rFonts w:cstheme="minorHAnsi"/>
        </w:rPr>
        <w:t xml:space="preserve"> and without any profit to the founders</w:t>
      </w:r>
      <w:r w:rsidR="000D798D" w:rsidRPr="005B1EB5">
        <w:rPr>
          <w:rFonts w:cstheme="minorHAnsi"/>
        </w:rPr>
        <w:t>.</w:t>
      </w:r>
    </w:p>
    <w:p w14:paraId="5A3C8F5F" w14:textId="289AD93A" w:rsidR="00300A6A" w:rsidRPr="005B1EB5" w:rsidRDefault="00300A6A" w:rsidP="0048747F">
      <w:pPr>
        <w:pStyle w:val="ListParagraph"/>
        <w:numPr>
          <w:ilvl w:val="0"/>
          <w:numId w:val="4"/>
        </w:numPr>
        <w:spacing w:after="120"/>
        <w:ind w:left="274"/>
        <w:contextualSpacing w:val="0"/>
        <w:jc w:val="both"/>
        <w:rPr>
          <w:rFonts w:cstheme="minorHAnsi"/>
        </w:rPr>
      </w:pPr>
      <w:r w:rsidRPr="005B1EB5">
        <w:rPr>
          <w:rFonts w:cstheme="minorHAnsi"/>
        </w:rPr>
        <w:t>The compassion club opened in August 2022</w:t>
      </w:r>
      <w:r w:rsidR="003417F7" w:rsidRPr="005B1EB5">
        <w:rPr>
          <w:rFonts w:cstheme="minorHAnsi"/>
        </w:rPr>
        <w:t xml:space="preserve">. They operated </w:t>
      </w:r>
      <w:r w:rsidR="00E35E03" w:rsidRPr="005B1EB5">
        <w:rPr>
          <w:rFonts w:cstheme="minorHAnsi"/>
        </w:rPr>
        <w:t>transparently</w:t>
      </w:r>
      <w:r w:rsidR="003417F7" w:rsidRPr="005B1EB5">
        <w:rPr>
          <w:rFonts w:cstheme="minorHAnsi"/>
        </w:rPr>
        <w:t>; police, government</w:t>
      </w:r>
      <w:r w:rsidR="00087DE3" w:rsidRPr="005B1EB5">
        <w:rPr>
          <w:rFonts w:cstheme="minorHAnsi"/>
        </w:rPr>
        <w:t>,</w:t>
      </w:r>
      <w:r w:rsidR="003417F7" w:rsidRPr="005B1EB5">
        <w:rPr>
          <w:rFonts w:cstheme="minorHAnsi"/>
        </w:rPr>
        <w:t xml:space="preserve"> and health authorities </w:t>
      </w:r>
      <w:r w:rsidR="00E35E03" w:rsidRPr="005B1EB5">
        <w:rPr>
          <w:rFonts w:cstheme="minorHAnsi"/>
        </w:rPr>
        <w:t>were all informed as to</w:t>
      </w:r>
      <w:r w:rsidR="003417F7" w:rsidRPr="005B1EB5">
        <w:rPr>
          <w:rFonts w:cstheme="minorHAnsi"/>
        </w:rPr>
        <w:t xml:space="preserve"> </w:t>
      </w:r>
      <w:r w:rsidR="00927402" w:rsidRPr="005B1EB5">
        <w:rPr>
          <w:rFonts w:cstheme="minorHAnsi"/>
        </w:rPr>
        <w:t>their operations</w:t>
      </w:r>
      <w:r w:rsidR="003417F7" w:rsidRPr="005B1EB5">
        <w:rPr>
          <w:rFonts w:cstheme="minorHAnsi"/>
        </w:rPr>
        <w:t xml:space="preserve">. </w:t>
      </w:r>
      <w:r w:rsidR="00927402" w:rsidRPr="005B1EB5">
        <w:rPr>
          <w:rFonts w:cstheme="minorHAnsi"/>
        </w:rPr>
        <w:t>H</w:t>
      </w:r>
      <w:r w:rsidR="00361D5C" w:rsidRPr="005B1EB5">
        <w:rPr>
          <w:rFonts w:cstheme="minorHAnsi"/>
        </w:rPr>
        <w:t xml:space="preserve">ighly experienced researchers </w:t>
      </w:r>
      <w:r w:rsidR="00927402" w:rsidRPr="005B1EB5">
        <w:rPr>
          <w:rFonts w:cstheme="minorHAnsi"/>
        </w:rPr>
        <w:t xml:space="preserve">were </w:t>
      </w:r>
      <w:r w:rsidR="00361D5C" w:rsidRPr="005B1EB5">
        <w:rPr>
          <w:rFonts w:cstheme="minorHAnsi"/>
        </w:rPr>
        <w:t>evaluat</w:t>
      </w:r>
      <w:r w:rsidR="00927402" w:rsidRPr="005B1EB5">
        <w:rPr>
          <w:rFonts w:cstheme="minorHAnsi"/>
        </w:rPr>
        <w:t>ing</w:t>
      </w:r>
      <w:r w:rsidR="00361D5C" w:rsidRPr="005B1EB5">
        <w:rPr>
          <w:rFonts w:cstheme="minorHAnsi"/>
        </w:rPr>
        <w:t xml:space="preserve"> </w:t>
      </w:r>
      <w:r w:rsidR="00927402" w:rsidRPr="005B1EB5">
        <w:rPr>
          <w:rFonts w:cstheme="minorHAnsi"/>
        </w:rPr>
        <w:t>DULF’s compassion club’s</w:t>
      </w:r>
      <w:r w:rsidR="00361D5C" w:rsidRPr="005B1EB5">
        <w:rPr>
          <w:rFonts w:cstheme="minorHAnsi"/>
        </w:rPr>
        <w:t xml:space="preserve"> operations and outcomes.</w:t>
      </w:r>
    </w:p>
    <w:p w14:paraId="03566661" w14:textId="44C4CA19" w:rsidR="00EA3EB5" w:rsidRPr="005B1EB5" w:rsidRDefault="009C3F3F" w:rsidP="0048747F">
      <w:pPr>
        <w:pStyle w:val="ListParagraph"/>
        <w:numPr>
          <w:ilvl w:val="0"/>
          <w:numId w:val="4"/>
        </w:numPr>
        <w:spacing w:after="120"/>
        <w:ind w:left="274"/>
        <w:contextualSpacing w:val="0"/>
        <w:jc w:val="both"/>
        <w:rPr>
          <w:rFonts w:cstheme="minorHAnsi"/>
        </w:rPr>
      </w:pPr>
      <w:r w:rsidRPr="005B1EB5">
        <w:rPr>
          <w:rFonts w:cstheme="minorHAnsi"/>
        </w:rPr>
        <w:t xml:space="preserve">And, </w:t>
      </w:r>
      <w:r w:rsidRPr="005B1EB5">
        <w:rPr>
          <w:rFonts w:cstheme="minorHAnsi"/>
          <w:b/>
          <w:bCs/>
        </w:rPr>
        <w:t>it worked</w:t>
      </w:r>
      <w:r w:rsidRPr="005B1EB5">
        <w:rPr>
          <w:rFonts w:cstheme="minorHAnsi"/>
        </w:rPr>
        <w:t xml:space="preserve">. </w:t>
      </w:r>
      <w:hyperlink r:id="rId56" w:anchor="sec0001">
        <w:r w:rsidR="00FD5247" w:rsidRPr="005B1EB5">
          <w:rPr>
            <w:rStyle w:val="Hyperlink"/>
            <w:rFonts w:asciiTheme="minorHAnsi" w:hAnsiTheme="minorHAnsi" w:cstheme="minorHAnsi"/>
          </w:rPr>
          <w:t>During the year that the club operated</w:t>
        </w:r>
      </w:hyperlink>
      <w:r w:rsidR="00E26991" w:rsidRPr="005B1EB5">
        <w:rPr>
          <w:rStyle w:val="EndnoteReference"/>
          <w:rFonts w:cstheme="minorHAnsi"/>
        </w:rPr>
        <w:endnoteReference w:id="50"/>
      </w:r>
      <w:r w:rsidR="00FD5247" w:rsidRPr="005B1EB5">
        <w:rPr>
          <w:rFonts w:cstheme="minorHAnsi"/>
        </w:rPr>
        <w:t xml:space="preserve">, </w:t>
      </w:r>
      <w:r w:rsidR="00060C26" w:rsidRPr="005B1EB5">
        <w:rPr>
          <w:rFonts w:cstheme="minorHAnsi"/>
        </w:rPr>
        <w:t xml:space="preserve">members </w:t>
      </w:r>
      <w:r w:rsidR="00E14759" w:rsidRPr="005B1EB5">
        <w:rPr>
          <w:rFonts w:cstheme="minorHAnsi"/>
        </w:rPr>
        <w:t>experienced</w:t>
      </w:r>
      <w:r w:rsidR="009975A1" w:rsidRPr="005B1EB5">
        <w:rPr>
          <w:rFonts w:cstheme="minorHAnsi"/>
        </w:rPr>
        <w:t xml:space="preserve"> significantly </w:t>
      </w:r>
      <w:r w:rsidR="00E14759" w:rsidRPr="005B1EB5">
        <w:rPr>
          <w:rFonts w:cstheme="minorHAnsi"/>
        </w:rPr>
        <w:t>reduced risk of non-fatal overdose</w:t>
      </w:r>
      <w:r w:rsidR="05455D41" w:rsidRPr="005B1EB5">
        <w:rPr>
          <w:rFonts w:cstheme="minorHAnsi"/>
        </w:rPr>
        <w:t>,</w:t>
      </w:r>
      <w:r w:rsidR="00E14759" w:rsidRPr="005B1EB5">
        <w:rPr>
          <w:rFonts w:cstheme="minorHAnsi"/>
        </w:rPr>
        <w:t xml:space="preserve"> and, of the club’s 47 members</w:t>
      </w:r>
      <w:r w:rsidR="00083AF4" w:rsidRPr="005B1EB5">
        <w:rPr>
          <w:rFonts w:cstheme="minorHAnsi"/>
        </w:rPr>
        <w:t xml:space="preserve">, one died </w:t>
      </w:r>
      <w:r w:rsidR="00083AF4" w:rsidRPr="005B1EB5">
        <w:rPr>
          <w:rFonts w:cstheme="minorHAnsi"/>
          <w:i/>
          <w:iCs/>
        </w:rPr>
        <w:t>prior</w:t>
      </w:r>
      <w:r w:rsidR="00083AF4" w:rsidRPr="005B1EB5">
        <w:rPr>
          <w:rFonts w:cstheme="minorHAnsi"/>
        </w:rPr>
        <w:t xml:space="preserve"> to </w:t>
      </w:r>
      <w:r w:rsidR="002C411A" w:rsidRPr="005B1EB5">
        <w:rPr>
          <w:rFonts w:cstheme="minorHAnsi"/>
        </w:rPr>
        <w:t xml:space="preserve">ever </w:t>
      </w:r>
      <w:r w:rsidR="00083AF4" w:rsidRPr="005B1EB5">
        <w:rPr>
          <w:rFonts w:cstheme="minorHAnsi"/>
        </w:rPr>
        <w:t xml:space="preserve">accessing the club and only two people </w:t>
      </w:r>
      <w:r w:rsidR="68FE78C5" w:rsidRPr="005B1EB5">
        <w:rPr>
          <w:rFonts w:cstheme="minorHAnsi"/>
        </w:rPr>
        <w:t>declined</w:t>
      </w:r>
      <w:r w:rsidR="00083AF4" w:rsidRPr="005B1EB5">
        <w:rPr>
          <w:rFonts w:cstheme="minorHAnsi"/>
        </w:rPr>
        <w:t xml:space="preserve"> to </w:t>
      </w:r>
      <w:r w:rsidR="68FE78C5" w:rsidRPr="005B1EB5">
        <w:rPr>
          <w:rFonts w:cstheme="minorHAnsi"/>
        </w:rPr>
        <w:t xml:space="preserve">attend </w:t>
      </w:r>
      <w:r w:rsidR="00083AF4" w:rsidRPr="005B1EB5">
        <w:rPr>
          <w:rFonts w:cstheme="minorHAnsi"/>
        </w:rPr>
        <w:t>follow up</w:t>
      </w:r>
      <w:r w:rsidR="68FE78C5" w:rsidRPr="005B1EB5">
        <w:rPr>
          <w:rFonts w:cstheme="minorHAnsi"/>
        </w:rPr>
        <w:t xml:space="preserve"> interviews required as part of the club’s evaluation</w:t>
      </w:r>
      <w:r w:rsidR="00B05AC3" w:rsidRPr="005B1EB5">
        <w:rPr>
          <w:rFonts w:cstheme="minorHAnsi"/>
        </w:rPr>
        <w:t>.</w:t>
      </w:r>
      <w:r w:rsidR="00E14759" w:rsidRPr="005B1EB5">
        <w:rPr>
          <w:rFonts w:cstheme="minorHAnsi"/>
        </w:rPr>
        <w:t xml:space="preserve"> </w:t>
      </w:r>
      <w:r w:rsidR="006D0568" w:rsidRPr="005B1EB5">
        <w:rPr>
          <w:rFonts w:cstheme="minorHAnsi"/>
        </w:rPr>
        <w:t>N</w:t>
      </w:r>
      <w:r w:rsidR="00B95B2F" w:rsidRPr="005B1EB5">
        <w:rPr>
          <w:rFonts w:cstheme="minorHAnsi"/>
        </w:rPr>
        <w:t xml:space="preserve">o overdoses </w:t>
      </w:r>
      <w:r w:rsidR="006D0568" w:rsidRPr="005B1EB5">
        <w:rPr>
          <w:rFonts w:cstheme="minorHAnsi"/>
        </w:rPr>
        <w:t xml:space="preserve">occurred on </w:t>
      </w:r>
      <w:r w:rsidR="38B108BE" w:rsidRPr="005B1EB5">
        <w:rPr>
          <w:rFonts w:cstheme="minorHAnsi"/>
        </w:rPr>
        <w:t>DULF</w:t>
      </w:r>
      <w:r w:rsidR="006D0568" w:rsidRPr="005B1EB5">
        <w:rPr>
          <w:rFonts w:cstheme="minorHAnsi"/>
        </w:rPr>
        <w:t>’s premises</w:t>
      </w:r>
      <w:r w:rsidR="00B95B2F" w:rsidRPr="005B1EB5">
        <w:rPr>
          <w:rFonts w:cstheme="minorHAnsi"/>
        </w:rPr>
        <w:t>.</w:t>
      </w:r>
    </w:p>
    <w:p w14:paraId="7763DD74" w14:textId="59C9E47F" w:rsidR="00670A6F" w:rsidRPr="005B1EB5" w:rsidRDefault="00670A6F" w:rsidP="0048747F">
      <w:pPr>
        <w:pStyle w:val="ListParagraph"/>
        <w:numPr>
          <w:ilvl w:val="0"/>
          <w:numId w:val="4"/>
        </w:numPr>
        <w:spacing w:after="120"/>
        <w:ind w:left="274"/>
        <w:contextualSpacing w:val="0"/>
        <w:jc w:val="both"/>
        <w:rPr>
          <w:rFonts w:cstheme="minorHAnsi"/>
        </w:rPr>
      </w:pPr>
      <w:r w:rsidRPr="005B1EB5">
        <w:rPr>
          <w:rFonts w:cstheme="minorHAnsi"/>
        </w:rPr>
        <w:t xml:space="preserve">In 2023, </w:t>
      </w:r>
      <w:r w:rsidR="00976481" w:rsidRPr="005B1EB5">
        <w:rPr>
          <w:rFonts w:cstheme="minorHAnsi"/>
        </w:rPr>
        <w:t xml:space="preserve">numerous politicians </w:t>
      </w:r>
      <w:r w:rsidR="009F6A4A" w:rsidRPr="005B1EB5">
        <w:rPr>
          <w:rFonts w:cstheme="minorHAnsi"/>
        </w:rPr>
        <w:t>mounted a public campaign targeting DULF</w:t>
      </w:r>
      <w:r w:rsidR="000E39D0" w:rsidRPr="005B1EB5">
        <w:rPr>
          <w:rFonts w:cstheme="minorHAnsi"/>
        </w:rPr>
        <w:t>. I</w:t>
      </w:r>
      <w:r w:rsidR="00316951" w:rsidRPr="005B1EB5">
        <w:rPr>
          <w:rFonts w:cstheme="minorHAnsi"/>
        </w:rPr>
        <w:t xml:space="preserve">n </w:t>
      </w:r>
      <w:r w:rsidR="002C411A" w:rsidRPr="005B1EB5">
        <w:rPr>
          <w:rFonts w:cstheme="minorHAnsi"/>
        </w:rPr>
        <w:t xml:space="preserve">an </w:t>
      </w:r>
      <w:r w:rsidR="00316951" w:rsidRPr="005B1EB5">
        <w:rPr>
          <w:rFonts w:cstheme="minorHAnsi"/>
        </w:rPr>
        <w:t xml:space="preserve">increasingly politicized environment </w:t>
      </w:r>
      <w:r w:rsidR="000E39D0" w:rsidRPr="005B1EB5">
        <w:rPr>
          <w:rFonts w:cstheme="minorHAnsi"/>
        </w:rPr>
        <w:t xml:space="preserve">characterized by misinformation, </w:t>
      </w:r>
      <w:r w:rsidR="004A2D08" w:rsidRPr="005B1EB5">
        <w:rPr>
          <w:rFonts w:cstheme="minorHAnsi"/>
        </w:rPr>
        <w:t>DULF was raided by police</w:t>
      </w:r>
      <w:r w:rsidR="0026430D" w:rsidRPr="005B1EB5">
        <w:rPr>
          <w:rFonts w:cstheme="minorHAnsi"/>
        </w:rPr>
        <w:t>,</w:t>
      </w:r>
      <w:r w:rsidR="004A2D08" w:rsidRPr="005B1EB5">
        <w:rPr>
          <w:rFonts w:cstheme="minorHAnsi"/>
        </w:rPr>
        <w:t xml:space="preserve"> its founders were arrested</w:t>
      </w:r>
      <w:r w:rsidR="0026430D" w:rsidRPr="005B1EB5">
        <w:rPr>
          <w:rFonts w:cstheme="minorHAnsi"/>
        </w:rPr>
        <w:t xml:space="preserve"> and the compassion club was shut down.</w:t>
      </w:r>
    </w:p>
    <w:p w14:paraId="337A7325" w14:textId="1BB156A7" w:rsidR="00B022A4" w:rsidRPr="005B1EB5" w:rsidRDefault="00B73D3A" w:rsidP="0048747F">
      <w:pPr>
        <w:pStyle w:val="ListParagraph"/>
        <w:numPr>
          <w:ilvl w:val="0"/>
          <w:numId w:val="4"/>
        </w:numPr>
        <w:spacing w:after="120"/>
        <w:ind w:left="274"/>
        <w:contextualSpacing w:val="0"/>
        <w:jc w:val="both"/>
        <w:rPr>
          <w:rFonts w:cstheme="minorHAnsi"/>
        </w:rPr>
      </w:pPr>
      <w:r w:rsidRPr="005B1EB5">
        <w:rPr>
          <w:rFonts w:cstheme="minorHAnsi"/>
        </w:rPr>
        <w:lastRenderedPageBreak/>
        <w:t xml:space="preserve">At the time of their arrest, even </w:t>
      </w:r>
      <w:r w:rsidR="00C50663" w:rsidRPr="005B1EB5">
        <w:rPr>
          <w:rFonts w:cstheme="minorHAnsi"/>
        </w:rPr>
        <w:t>the Vancouver Police Department</w:t>
      </w:r>
      <w:r w:rsidRPr="005B1EB5">
        <w:rPr>
          <w:rFonts w:cstheme="minorHAnsi"/>
        </w:rPr>
        <w:t xml:space="preserve"> agreed that </w:t>
      </w:r>
      <w:r w:rsidR="00485E42" w:rsidRPr="005B1EB5">
        <w:rPr>
          <w:rFonts w:cstheme="minorHAnsi"/>
        </w:rPr>
        <w:t xml:space="preserve">their arrests could </w:t>
      </w:r>
      <w:r w:rsidRPr="005B1EB5">
        <w:rPr>
          <w:rFonts w:cstheme="minorHAnsi"/>
        </w:rPr>
        <w:t>“</w:t>
      </w:r>
      <w:hyperlink r:id="rId57" w:anchor=":~:text=Asked%20whether%20police%20were%20concerned%20the%20seizure%20could%20result%20in%20drug%20users%20who%20rely%20on%20the%20compassion%20club's%20services%20taking%20more%20dangerous%20substances%2C%20Heard%20said%20%22absolutely.%22" w:history="1">
        <w:r w:rsidRPr="005B1EB5">
          <w:rPr>
            <w:rStyle w:val="Hyperlink"/>
            <w:rFonts w:asciiTheme="minorHAnsi" w:hAnsiTheme="minorHAnsi" w:cstheme="minorHAnsi"/>
          </w:rPr>
          <w:t>absolutely</w:t>
        </w:r>
      </w:hyperlink>
      <w:r w:rsidRPr="005B1EB5">
        <w:rPr>
          <w:rFonts w:cstheme="minorHAnsi"/>
        </w:rPr>
        <w:t>”</w:t>
      </w:r>
      <w:r w:rsidR="00DC6DEC" w:rsidRPr="005B1EB5">
        <w:rPr>
          <w:rStyle w:val="EndnoteReference"/>
          <w:rFonts w:cstheme="minorHAnsi"/>
        </w:rPr>
        <w:endnoteReference w:id="51"/>
      </w:r>
      <w:r w:rsidRPr="005B1EB5">
        <w:rPr>
          <w:rFonts w:cstheme="minorHAnsi"/>
        </w:rPr>
        <w:t xml:space="preserve"> result in drug users who rely on the compassion club’s services consuming more dangerous substances</w:t>
      </w:r>
      <w:r w:rsidR="001E4DD1" w:rsidRPr="005B1EB5">
        <w:rPr>
          <w:rFonts w:cstheme="minorHAnsi"/>
        </w:rPr>
        <w:t>.</w:t>
      </w:r>
      <w:r w:rsidR="003B3A83" w:rsidRPr="005B1EB5">
        <w:rPr>
          <w:rFonts w:cstheme="minorHAnsi"/>
        </w:rPr>
        <w:t xml:space="preserve"> </w:t>
      </w:r>
      <w:r w:rsidR="001E4DD1" w:rsidRPr="005B1EB5">
        <w:rPr>
          <w:rFonts w:cstheme="minorHAnsi"/>
        </w:rPr>
        <w:t>T</w:t>
      </w:r>
      <w:r w:rsidR="00A92B59" w:rsidRPr="005B1EB5">
        <w:rPr>
          <w:rFonts w:cstheme="minorHAnsi"/>
        </w:rPr>
        <w:t xml:space="preserve">he Premier </w:t>
      </w:r>
      <w:r w:rsidR="001E4DD1" w:rsidRPr="005B1EB5">
        <w:rPr>
          <w:rFonts w:cstheme="minorHAnsi"/>
        </w:rPr>
        <w:t xml:space="preserve">of British Columbia </w:t>
      </w:r>
      <w:r w:rsidR="00A92B59" w:rsidRPr="005B1EB5">
        <w:rPr>
          <w:rFonts w:cstheme="minorHAnsi"/>
        </w:rPr>
        <w:t>acknowledged that DULF had been doing “</w:t>
      </w:r>
      <w:hyperlink r:id="rId58" w:history="1">
        <w:r w:rsidR="00A92B59" w:rsidRPr="005B1EB5">
          <w:rPr>
            <w:rStyle w:val="Hyperlink"/>
            <w:rFonts w:asciiTheme="minorHAnsi" w:hAnsiTheme="minorHAnsi" w:cstheme="minorHAnsi"/>
          </w:rPr>
          <w:t>life-saving work</w:t>
        </w:r>
      </w:hyperlink>
      <w:r w:rsidR="00A92B59" w:rsidRPr="005B1EB5">
        <w:rPr>
          <w:rFonts w:cstheme="minorHAnsi"/>
        </w:rPr>
        <w:t>”</w:t>
      </w:r>
      <w:r w:rsidR="008D69D0" w:rsidRPr="005B1EB5">
        <w:rPr>
          <w:rStyle w:val="EndnoteReference"/>
          <w:rFonts w:cstheme="minorHAnsi"/>
        </w:rPr>
        <w:endnoteReference w:id="52"/>
      </w:r>
      <w:r w:rsidR="00A92B59" w:rsidRPr="005B1EB5">
        <w:rPr>
          <w:rFonts w:cstheme="minorHAnsi"/>
        </w:rPr>
        <w:t>.</w:t>
      </w:r>
    </w:p>
    <w:p w14:paraId="1346B6A0" w14:textId="5D43C41E" w:rsidR="00B73D3A" w:rsidRPr="005B1EB5" w:rsidRDefault="00B022A4" w:rsidP="0048747F">
      <w:pPr>
        <w:pStyle w:val="ListParagraph"/>
        <w:numPr>
          <w:ilvl w:val="0"/>
          <w:numId w:val="4"/>
        </w:numPr>
        <w:spacing w:after="120"/>
        <w:ind w:left="274"/>
        <w:contextualSpacing w:val="0"/>
        <w:jc w:val="both"/>
        <w:rPr>
          <w:rFonts w:cstheme="minorHAnsi"/>
        </w:rPr>
      </w:pPr>
      <w:r w:rsidRPr="005B1EB5">
        <w:rPr>
          <w:rFonts w:cstheme="minorHAnsi"/>
        </w:rPr>
        <w:t>In 2025, the DULF founders were each found guilty of three drug trafficking offences</w:t>
      </w:r>
      <w:r w:rsidR="001F6376" w:rsidRPr="005B1EB5">
        <w:rPr>
          <w:rFonts w:cstheme="minorHAnsi"/>
        </w:rPr>
        <w:t>. T</w:t>
      </w:r>
      <w:r w:rsidR="008A22FD" w:rsidRPr="005B1EB5">
        <w:rPr>
          <w:rFonts w:cstheme="minorHAnsi"/>
        </w:rPr>
        <w:t xml:space="preserve">he maximum punishment for </w:t>
      </w:r>
      <w:r w:rsidR="005E13F4" w:rsidRPr="005B1EB5">
        <w:rPr>
          <w:rFonts w:cstheme="minorHAnsi"/>
        </w:rPr>
        <w:t>these crimes is imprisonment for life.</w:t>
      </w:r>
    </w:p>
    <w:p w14:paraId="1BD81350" w14:textId="74C4C88C" w:rsidR="000E7E24" w:rsidRPr="005B1EB5" w:rsidRDefault="000E7E24" w:rsidP="0048747F">
      <w:pPr>
        <w:pStyle w:val="ListParagraph"/>
        <w:numPr>
          <w:ilvl w:val="0"/>
          <w:numId w:val="4"/>
        </w:numPr>
        <w:spacing w:after="120"/>
        <w:ind w:left="274"/>
        <w:contextualSpacing w:val="0"/>
        <w:jc w:val="both"/>
        <w:rPr>
          <w:rFonts w:cstheme="minorHAnsi"/>
        </w:rPr>
      </w:pPr>
      <w:r w:rsidRPr="005B1EB5">
        <w:rPr>
          <w:rFonts w:cstheme="minorHAnsi"/>
        </w:rPr>
        <w:t xml:space="preserve">The members of the compassion club lost access to </w:t>
      </w:r>
      <w:r w:rsidR="002F24BE" w:rsidRPr="005B1EB5">
        <w:rPr>
          <w:rFonts w:cstheme="minorHAnsi"/>
        </w:rPr>
        <w:t>lifesaving</w:t>
      </w:r>
      <w:r w:rsidRPr="005B1EB5">
        <w:rPr>
          <w:rFonts w:cstheme="minorHAnsi"/>
        </w:rPr>
        <w:t xml:space="preserve"> supports</w:t>
      </w:r>
      <w:r w:rsidR="001D1528" w:rsidRPr="005B1EB5">
        <w:rPr>
          <w:rFonts w:cstheme="minorHAnsi"/>
        </w:rPr>
        <w:t xml:space="preserve"> and</w:t>
      </w:r>
      <w:r w:rsidR="007B1C2F" w:rsidRPr="005B1EB5">
        <w:rPr>
          <w:rFonts w:cstheme="minorHAnsi"/>
        </w:rPr>
        <w:t xml:space="preserve"> were</w:t>
      </w:r>
      <w:r w:rsidR="001D1528" w:rsidRPr="005B1EB5">
        <w:rPr>
          <w:rFonts w:cstheme="minorHAnsi"/>
        </w:rPr>
        <w:t xml:space="preserve"> left without </w:t>
      </w:r>
      <w:r w:rsidR="004C6D65" w:rsidRPr="005B1EB5">
        <w:rPr>
          <w:rFonts w:cstheme="minorHAnsi"/>
        </w:rPr>
        <w:t>reasonable options other than once again using drugs from the unregulated supply. One club member</w:t>
      </w:r>
      <w:r w:rsidR="002A4EC8" w:rsidRPr="005B1EB5">
        <w:rPr>
          <w:rFonts w:cstheme="minorHAnsi"/>
        </w:rPr>
        <w:t xml:space="preserve">, </w:t>
      </w:r>
      <w:r w:rsidR="00C16630" w:rsidRPr="005B1EB5">
        <w:rPr>
          <w:rFonts w:cstheme="minorHAnsi"/>
        </w:rPr>
        <w:t>whose drug use was more stab</w:t>
      </w:r>
      <w:r w:rsidR="005B4DF8" w:rsidRPr="005B1EB5">
        <w:rPr>
          <w:rFonts w:cstheme="minorHAnsi"/>
        </w:rPr>
        <w:t>le</w:t>
      </w:r>
      <w:r w:rsidR="0032528A" w:rsidRPr="005B1EB5">
        <w:rPr>
          <w:rFonts w:cstheme="minorHAnsi"/>
        </w:rPr>
        <w:t xml:space="preserve"> when the club was in operation,</w:t>
      </w:r>
      <w:r w:rsidR="004C6D65" w:rsidRPr="005B1EB5">
        <w:rPr>
          <w:rFonts w:cstheme="minorHAnsi"/>
        </w:rPr>
        <w:t xml:space="preserve"> </w:t>
      </w:r>
      <w:r w:rsidR="002A4EC8" w:rsidRPr="005B1EB5">
        <w:rPr>
          <w:rFonts w:cstheme="minorHAnsi"/>
        </w:rPr>
        <w:t>has publicly admitted t</w:t>
      </w:r>
      <w:r w:rsidR="00B316B9" w:rsidRPr="005B1EB5">
        <w:rPr>
          <w:rFonts w:cstheme="minorHAnsi"/>
        </w:rPr>
        <w:t xml:space="preserve">hat after it was shut down he returned to using unregulated drugs, was exposed to fentanyl for the first time, </w:t>
      </w:r>
      <w:r w:rsidR="00BF0CF3" w:rsidRPr="005B1EB5">
        <w:rPr>
          <w:rFonts w:cstheme="minorHAnsi"/>
        </w:rPr>
        <w:t>and during the two months after the club closed, he overdosed “</w:t>
      </w:r>
      <w:hyperlink r:id="rId59" w:history="1">
        <w:r w:rsidR="00BF0CF3" w:rsidRPr="005B1EB5">
          <w:rPr>
            <w:rStyle w:val="Hyperlink"/>
            <w:rFonts w:asciiTheme="minorHAnsi" w:hAnsiTheme="minorHAnsi" w:cstheme="minorHAnsi"/>
          </w:rPr>
          <w:t>at least once a day</w:t>
        </w:r>
      </w:hyperlink>
      <w:r w:rsidR="00BF0CF3" w:rsidRPr="005B1EB5">
        <w:rPr>
          <w:rFonts w:cstheme="minorHAnsi"/>
        </w:rPr>
        <w:t>”</w:t>
      </w:r>
      <w:r w:rsidR="004B6CF2" w:rsidRPr="005B1EB5">
        <w:rPr>
          <w:rStyle w:val="EndnoteReference"/>
          <w:rFonts w:cstheme="minorHAnsi"/>
        </w:rPr>
        <w:endnoteReference w:id="53"/>
      </w:r>
      <w:r w:rsidR="00BF0CF3" w:rsidRPr="005B1EB5">
        <w:rPr>
          <w:rFonts w:cstheme="minorHAnsi"/>
        </w:rPr>
        <w:t>.</w:t>
      </w:r>
    </w:p>
    <w:p w14:paraId="47E2CD92" w14:textId="59338394" w:rsidR="0048101A" w:rsidRPr="005B1EB5" w:rsidRDefault="0048101A" w:rsidP="0048747F">
      <w:pPr>
        <w:pStyle w:val="ListParagraph"/>
        <w:numPr>
          <w:ilvl w:val="0"/>
          <w:numId w:val="4"/>
        </w:numPr>
        <w:spacing w:after="120"/>
        <w:ind w:left="274"/>
        <w:contextualSpacing w:val="0"/>
        <w:jc w:val="both"/>
        <w:rPr>
          <w:rFonts w:cstheme="minorHAnsi"/>
        </w:rPr>
      </w:pPr>
      <w:r w:rsidRPr="005B1EB5">
        <w:rPr>
          <w:rFonts w:cstheme="minorHAnsi"/>
        </w:rPr>
        <w:t>DULF’s founders are</w:t>
      </w:r>
      <w:r w:rsidR="004802A2" w:rsidRPr="005B1EB5">
        <w:rPr>
          <w:rFonts w:cstheme="minorHAnsi"/>
        </w:rPr>
        <w:t xml:space="preserve"> now challenging the </w:t>
      </w:r>
      <w:r w:rsidR="00C85C2E" w:rsidRPr="005B1EB5">
        <w:rPr>
          <w:rFonts w:cstheme="minorHAnsi"/>
        </w:rPr>
        <w:t xml:space="preserve">lawfulness of the CDSA on the basis that </w:t>
      </w:r>
      <w:r w:rsidR="00937294" w:rsidRPr="005B1EB5">
        <w:rPr>
          <w:rFonts w:cstheme="minorHAnsi"/>
        </w:rPr>
        <w:t>a portion of the law</w:t>
      </w:r>
      <w:r w:rsidR="00C85C2E" w:rsidRPr="005B1EB5">
        <w:rPr>
          <w:rFonts w:cstheme="minorHAnsi"/>
        </w:rPr>
        <w:t xml:space="preserve"> violates Canada’s </w:t>
      </w:r>
      <w:r w:rsidR="00C85C2E" w:rsidRPr="005B1EB5">
        <w:rPr>
          <w:rFonts w:cstheme="minorHAnsi"/>
          <w:i/>
          <w:iCs/>
        </w:rPr>
        <w:t xml:space="preserve">Charter of Rights and Freedoms </w:t>
      </w:r>
      <w:r w:rsidR="00C85C2E" w:rsidRPr="005B1EB5">
        <w:rPr>
          <w:rFonts w:cstheme="minorHAnsi"/>
        </w:rPr>
        <w:t xml:space="preserve">because it </w:t>
      </w:r>
      <w:r w:rsidR="00C1672A" w:rsidRPr="005B1EB5">
        <w:rPr>
          <w:rFonts w:cstheme="minorHAnsi"/>
        </w:rPr>
        <w:t>unjustifiably violates rights to life, liberty, security of the person and protection against discrimination. The founders are</w:t>
      </w:r>
      <w:r w:rsidRPr="005B1EB5">
        <w:rPr>
          <w:rFonts w:cstheme="minorHAnsi"/>
        </w:rPr>
        <w:t xml:space="preserve"> not currently in custody</w:t>
      </w:r>
      <w:r w:rsidR="00A14224" w:rsidRPr="005B1EB5">
        <w:rPr>
          <w:rFonts w:cstheme="minorHAnsi"/>
        </w:rPr>
        <w:t>;</w:t>
      </w:r>
      <w:r w:rsidRPr="005B1EB5">
        <w:rPr>
          <w:rFonts w:cstheme="minorHAnsi"/>
        </w:rPr>
        <w:t xml:space="preserve"> they have been released into the community while the Supreme Court of British Columbia </w:t>
      </w:r>
      <w:r w:rsidR="004802A2" w:rsidRPr="005B1EB5">
        <w:rPr>
          <w:rFonts w:cstheme="minorHAnsi"/>
        </w:rPr>
        <w:t xml:space="preserve">hears their </w:t>
      </w:r>
      <w:r w:rsidR="00C1672A" w:rsidRPr="005B1EB5">
        <w:rPr>
          <w:rFonts w:cstheme="minorHAnsi"/>
        </w:rPr>
        <w:t>court challenge.</w:t>
      </w:r>
    </w:p>
    <w:p w14:paraId="2BA7EBDC" w14:textId="1C259824" w:rsidR="00000082" w:rsidRPr="005B1EB5" w:rsidRDefault="00000082" w:rsidP="0048747F">
      <w:pPr>
        <w:pStyle w:val="ListParagraph"/>
        <w:numPr>
          <w:ilvl w:val="0"/>
          <w:numId w:val="4"/>
        </w:numPr>
        <w:spacing w:after="120"/>
        <w:ind w:left="274"/>
        <w:contextualSpacing w:val="0"/>
        <w:jc w:val="both"/>
        <w:rPr>
          <w:rFonts w:cstheme="minorHAnsi"/>
        </w:rPr>
      </w:pPr>
      <w:r w:rsidRPr="005B1EB5">
        <w:rPr>
          <w:rFonts w:cstheme="minorHAnsi"/>
        </w:rPr>
        <w:t>Canada’s drug laws failed to support the DULF compassion club</w:t>
      </w:r>
      <w:r w:rsidR="00D967F9" w:rsidRPr="005B1EB5">
        <w:rPr>
          <w:rFonts w:cstheme="minorHAnsi"/>
        </w:rPr>
        <w:t>, despite</w:t>
      </w:r>
      <w:r w:rsidR="005B6004" w:rsidRPr="005B1EB5">
        <w:rPr>
          <w:rFonts w:cstheme="minorHAnsi"/>
        </w:rPr>
        <w:t xml:space="preserve"> its demonstrable success in reducing overdose and related harm to its members</w:t>
      </w:r>
      <w:r w:rsidR="006F77D7" w:rsidRPr="005B1EB5">
        <w:rPr>
          <w:rFonts w:cstheme="minorHAnsi"/>
        </w:rPr>
        <w:t>.</w:t>
      </w:r>
      <w:r w:rsidRPr="005B1EB5">
        <w:rPr>
          <w:rFonts w:cstheme="minorHAnsi"/>
        </w:rPr>
        <w:t xml:space="preserve"> </w:t>
      </w:r>
      <w:r w:rsidR="006F77D7" w:rsidRPr="005B1EB5">
        <w:rPr>
          <w:rFonts w:cstheme="minorHAnsi"/>
        </w:rPr>
        <w:t>G</w:t>
      </w:r>
      <w:r w:rsidRPr="005B1EB5">
        <w:rPr>
          <w:rFonts w:cstheme="minorHAnsi"/>
        </w:rPr>
        <w:t xml:space="preserve">overnment </w:t>
      </w:r>
      <w:r w:rsidR="007D7851" w:rsidRPr="005B1EB5">
        <w:rPr>
          <w:rFonts w:cstheme="minorHAnsi"/>
        </w:rPr>
        <w:t xml:space="preserve">and police </w:t>
      </w:r>
      <w:r w:rsidRPr="005B1EB5">
        <w:rPr>
          <w:rFonts w:cstheme="minorHAnsi"/>
        </w:rPr>
        <w:t xml:space="preserve">actions </w:t>
      </w:r>
      <w:r w:rsidR="00E13FC8" w:rsidRPr="005B1EB5">
        <w:rPr>
          <w:rFonts w:cstheme="minorHAnsi"/>
        </w:rPr>
        <w:t>caused foreseeable and significant risk of death of club members</w:t>
      </w:r>
      <w:r w:rsidR="006F77D7" w:rsidRPr="005B1EB5">
        <w:rPr>
          <w:rFonts w:cstheme="minorHAnsi"/>
        </w:rPr>
        <w:t>. P</w:t>
      </w:r>
      <w:r w:rsidR="00E13FC8" w:rsidRPr="005B1EB5">
        <w:rPr>
          <w:rFonts w:cstheme="minorHAnsi"/>
        </w:rPr>
        <w:t xml:space="preserve">rosecutors </w:t>
      </w:r>
      <w:r w:rsidR="00AF7B13" w:rsidRPr="005B1EB5">
        <w:rPr>
          <w:rFonts w:cstheme="minorHAnsi"/>
        </w:rPr>
        <w:t xml:space="preserve">charged DULF’s founders </w:t>
      </w:r>
      <w:r w:rsidR="00236EAD" w:rsidRPr="005B1EB5">
        <w:rPr>
          <w:rFonts w:cstheme="minorHAnsi"/>
        </w:rPr>
        <w:t>without properly considering whether i</w:t>
      </w:r>
      <w:r w:rsidR="00676D36" w:rsidRPr="005B1EB5">
        <w:rPr>
          <w:rFonts w:cstheme="minorHAnsi"/>
        </w:rPr>
        <w:t>t</w:t>
      </w:r>
      <w:r w:rsidR="00236EAD" w:rsidRPr="005B1EB5">
        <w:rPr>
          <w:rFonts w:cstheme="minorHAnsi"/>
        </w:rPr>
        <w:t xml:space="preserve"> was in the public interest to do so.</w:t>
      </w:r>
    </w:p>
    <w:p w14:paraId="71948AD1" w14:textId="3C0B8D18" w:rsidR="009C172D" w:rsidRPr="005B1EB5" w:rsidRDefault="007D7851" w:rsidP="001665C3">
      <w:pPr>
        <w:pStyle w:val="ListParagraph"/>
        <w:numPr>
          <w:ilvl w:val="0"/>
          <w:numId w:val="4"/>
        </w:numPr>
        <w:spacing w:after="120"/>
        <w:jc w:val="both"/>
        <w:rPr>
          <w:rFonts w:cstheme="minorHAnsi"/>
        </w:rPr>
      </w:pPr>
      <w:r w:rsidRPr="005B1EB5">
        <w:rPr>
          <w:rFonts w:cstheme="minorHAnsi"/>
        </w:rPr>
        <w:t xml:space="preserve">The result is </w:t>
      </w:r>
      <w:r w:rsidR="00035B6F" w:rsidRPr="005B1EB5">
        <w:rPr>
          <w:rFonts w:cstheme="minorHAnsi"/>
        </w:rPr>
        <w:t>a devastating violation of ICCPR</w:t>
      </w:r>
      <w:r w:rsidR="003B2EE6" w:rsidRPr="005B1EB5">
        <w:rPr>
          <w:rFonts w:cstheme="minorHAnsi"/>
        </w:rPr>
        <w:t xml:space="preserve"> obligations to protect life without discrimination </w:t>
      </w:r>
      <w:r w:rsidR="00F30D57" w:rsidRPr="005B1EB5">
        <w:rPr>
          <w:rFonts w:cstheme="minorHAnsi"/>
        </w:rPr>
        <w:t xml:space="preserve">contrary to Articles 2, 6 and 26, </w:t>
      </w:r>
      <w:r w:rsidR="003B2EE6" w:rsidRPr="005B1EB5">
        <w:rPr>
          <w:rFonts w:cstheme="minorHAnsi"/>
        </w:rPr>
        <w:t xml:space="preserve">and </w:t>
      </w:r>
      <w:r w:rsidR="001665C3" w:rsidRPr="005B1EB5">
        <w:rPr>
          <w:rFonts w:cstheme="minorHAnsi"/>
        </w:rPr>
        <w:t>arrests and convictions that</w:t>
      </w:r>
      <w:r w:rsidR="00676D36" w:rsidRPr="005B1EB5">
        <w:rPr>
          <w:rFonts w:cstheme="minorHAnsi"/>
        </w:rPr>
        <w:t xml:space="preserve"> are</w:t>
      </w:r>
      <w:r w:rsidR="001665C3" w:rsidRPr="005B1EB5">
        <w:rPr>
          <w:rFonts w:cstheme="minorHAnsi"/>
        </w:rPr>
        <w:t xml:space="preserve"> </w:t>
      </w:r>
      <w:hyperlink r:id="rId60" w:history="1">
        <w:r w:rsidR="001665C3" w:rsidRPr="005B1EB5">
          <w:rPr>
            <w:rStyle w:val="Hyperlink"/>
            <w:rFonts w:asciiTheme="minorHAnsi" w:hAnsiTheme="minorHAnsi" w:cstheme="minorHAnsi"/>
          </w:rPr>
          <w:t>manifestly disproportionate, unjust, unpredictable and discriminatory</w:t>
        </w:r>
      </w:hyperlink>
      <w:r w:rsidR="00130D9D" w:rsidRPr="005B1EB5">
        <w:rPr>
          <w:rStyle w:val="EndnoteReference"/>
          <w:rFonts w:cstheme="minorHAnsi"/>
        </w:rPr>
        <w:endnoteReference w:id="54"/>
      </w:r>
      <w:r w:rsidR="00F30D57" w:rsidRPr="005B1EB5">
        <w:rPr>
          <w:rFonts w:cstheme="minorHAnsi"/>
        </w:rPr>
        <w:t xml:space="preserve"> contrary to Article 9.</w:t>
      </w:r>
      <w:r w:rsidR="00462737" w:rsidRPr="005B1EB5">
        <w:rPr>
          <w:rFonts w:cstheme="minorHAnsi"/>
          <w:noProof/>
        </w:rPr>
        <w:t xml:space="preserve"> </w:t>
      </w:r>
      <w:r w:rsidR="002733DF" w:rsidRPr="005B1EB5">
        <w:rPr>
          <w:rFonts w:cstheme="minorHAnsi"/>
          <w:noProof/>
        </w:rPr>
        <w:t>The Canadian Drug Policy Coalition recommends that:</w:t>
      </w:r>
    </w:p>
    <w:p w14:paraId="42BDF67B" w14:textId="77777777" w:rsidR="00EF4035" w:rsidRPr="00E8757B" w:rsidRDefault="00EF4035" w:rsidP="00EF4035">
      <w:pPr>
        <w:pStyle w:val="ListParagraph"/>
        <w:spacing w:after="120"/>
        <w:ind w:left="360"/>
        <w:jc w:val="both"/>
        <w:rPr>
          <w:rFonts w:ascii="Open Sans" w:hAnsi="Open Sans" w:cs="Open Sans"/>
          <w:sz w:val="22"/>
          <w:szCs w:val="22"/>
        </w:rPr>
      </w:pPr>
    </w:p>
    <w:p w14:paraId="48E69951" w14:textId="0E2F33CE" w:rsidR="00E8757B" w:rsidRPr="0058612D" w:rsidRDefault="00E8757B" w:rsidP="00D4655A">
      <w:pPr>
        <w:pStyle w:val="ListParagraph"/>
        <w:spacing w:after="120"/>
        <w:ind w:left="90"/>
        <w:jc w:val="both"/>
        <w:rPr>
          <w:rFonts w:ascii="Open Sans" w:hAnsi="Open Sans" w:cs="Open Sans"/>
          <w:sz w:val="22"/>
          <w:szCs w:val="22"/>
        </w:rPr>
      </w:pPr>
      <w:r>
        <w:rPr>
          <w:noProof/>
        </w:rPr>
        <mc:AlternateContent>
          <mc:Choice Requires="wps">
            <w:drawing>
              <wp:inline distT="0" distB="0" distL="0" distR="0" wp14:anchorId="43E325D3" wp14:editId="3BEB07CF">
                <wp:extent cx="5943600" cy="2235200"/>
                <wp:effectExtent l="19050" t="19050" r="19050" b="12700"/>
                <wp:docPr id="2" name="Rectangle: Rounded Corners 2"/>
                <wp:cNvGraphicFramePr/>
                <a:graphic xmlns:a="http://schemas.openxmlformats.org/drawingml/2006/main">
                  <a:graphicData uri="http://schemas.microsoft.com/office/word/2010/wordprocessingShape">
                    <wps:wsp>
                      <wps:cNvSpPr/>
                      <wps:spPr>
                        <a:xfrm>
                          <a:off x="0" y="0"/>
                          <a:ext cx="5943600" cy="2235200"/>
                        </a:xfrm>
                        <a:prstGeom prst="roundRect">
                          <a:avLst/>
                        </a:prstGeom>
                        <a:solidFill>
                          <a:srgbClr val="F2F0E7"/>
                        </a:solidFill>
                        <a:ln w="28575">
                          <a:solidFill>
                            <a:srgbClr val="C3142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A00C00" w14:textId="77777777" w:rsidR="00E8757B" w:rsidRPr="005B1EB5" w:rsidRDefault="00E8757B" w:rsidP="00E8757B">
                            <w:pPr>
                              <w:rPr>
                                <w:rFonts w:cstheme="minorHAnsi"/>
                                <w:b/>
                                <w:bCs/>
                                <w:color w:val="000000" w:themeColor="text1"/>
                                <w:sz w:val="21"/>
                                <w:szCs w:val="21"/>
                              </w:rPr>
                            </w:pPr>
                            <w:r w:rsidRPr="005B1EB5">
                              <w:rPr>
                                <w:rFonts w:cstheme="minorHAnsi"/>
                                <w:b/>
                                <w:bCs/>
                                <w:color w:val="000000" w:themeColor="text1"/>
                                <w:sz w:val="21"/>
                                <w:szCs w:val="21"/>
                              </w:rPr>
                              <w:t>The Committee find that:</w:t>
                            </w:r>
                          </w:p>
                          <w:p w14:paraId="12F91F70" w14:textId="77777777" w:rsidR="00E8757B" w:rsidRPr="005B1EB5" w:rsidRDefault="00E8757B" w:rsidP="00E8757B">
                            <w:pPr>
                              <w:pStyle w:val="ListParagraph"/>
                              <w:numPr>
                                <w:ilvl w:val="0"/>
                                <w:numId w:val="16"/>
                              </w:numPr>
                              <w:ind w:left="360"/>
                              <w:rPr>
                                <w:rFonts w:cstheme="minorHAnsi"/>
                                <w:color w:val="000000" w:themeColor="text1"/>
                                <w:sz w:val="21"/>
                                <w:szCs w:val="21"/>
                              </w:rPr>
                            </w:pPr>
                            <w:r w:rsidRPr="005B1EB5">
                              <w:rPr>
                                <w:rFonts w:cstheme="minorHAnsi"/>
                                <w:color w:val="000000" w:themeColor="text1"/>
                                <w:sz w:val="21"/>
                                <w:szCs w:val="21"/>
                              </w:rPr>
                              <w:t>Canada’s failure to legally authorize the DULF compassion club violates Article 6;</w:t>
                            </w:r>
                          </w:p>
                          <w:p w14:paraId="7A37D171" w14:textId="77777777" w:rsidR="00E8757B" w:rsidRPr="005B1EB5" w:rsidRDefault="00E8757B" w:rsidP="00E8757B">
                            <w:pPr>
                              <w:pStyle w:val="ListParagraph"/>
                              <w:numPr>
                                <w:ilvl w:val="0"/>
                                <w:numId w:val="16"/>
                              </w:numPr>
                              <w:ind w:left="360"/>
                              <w:rPr>
                                <w:rFonts w:cstheme="minorHAnsi"/>
                                <w:color w:val="000000" w:themeColor="text1"/>
                                <w:sz w:val="21"/>
                                <w:szCs w:val="21"/>
                              </w:rPr>
                            </w:pPr>
                            <w:r w:rsidRPr="005B1EB5">
                              <w:rPr>
                                <w:rFonts w:cstheme="minorHAnsi"/>
                                <w:color w:val="000000" w:themeColor="text1"/>
                                <w:sz w:val="21"/>
                                <w:szCs w:val="21"/>
                              </w:rPr>
                              <w:t>Government and police actions to close the DULF compassion club and prosecute the DULF founders violate Articles 6 and 9.</w:t>
                            </w:r>
                          </w:p>
                          <w:p w14:paraId="4A6AE060" w14:textId="77777777" w:rsidR="00E8757B" w:rsidRPr="005B1EB5" w:rsidRDefault="00E8757B" w:rsidP="00E8757B">
                            <w:pPr>
                              <w:rPr>
                                <w:rFonts w:cstheme="minorHAnsi"/>
                                <w:b/>
                                <w:bCs/>
                                <w:color w:val="000000" w:themeColor="text1"/>
                                <w:sz w:val="21"/>
                                <w:szCs w:val="21"/>
                              </w:rPr>
                            </w:pPr>
                          </w:p>
                          <w:p w14:paraId="012E9454" w14:textId="77777777" w:rsidR="00E8757B" w:rsidRPr="005B1EB5" w:rsidRDefault="00E8757B" w:rsidP="00E8757B">
                            <w:pPr>
                              <w:rPr>
                                <w:rFonts w:cstheme="minorHAnsi"/>
                                <w:b/>
                                <w:bCs/>
                                <w:color w:val="000000" w:themeColor="text1"/>
                                <w:sz w:val="21"/>
                                <w:szCs w:val="21"/>
                              </w:rPr>
                            </w:pPr>
                            <w:r w:rsidRPr="005B1EB5">
                              <w:rPr>
                                <w:rFonts w:cstheme="minorHAnsi"/>
                                <w:b/>
                                <w:bCs/>
                                <w:color w:val="000000" w:themeColor="text1"/>
                                <w:sz w:val="21"/>
                                <w:szCs w:val="21"/>
                              </w:rPr>
                              <w:t>The Committee call on Canada to:</w:t>
                            </w:r>
                          </w:p>
                          <w:p w14:paraId="72FCF8A2" w14:textId="4B22E6A5" w:rsidR="00E8757B" w:rsidRPr="005B1EB5" w:rsidRDefault="00E8757B" w:rsidP="00E8757B">
                            <w:pPr>
                              <w:pStyle w:val="ListParagraph"/>
                              <w:numPr>
                                <w:ilvl w:val="0"/>
                                <w:numId w:val="17"/>
                              </w:numPr>
                              <w:ind w:left="360"/>
                              <w:rPr>
                                <w:rFonts w:cstheme="minorHAnsi"/>
                                <w:color w:val="000000" w:themeColor="text1"/>
                                <w:sz w:val="21"/>
                                <w:szCs w:val="21"/>
                              </w:rPr>
                            </w:pPr>
                            <w:r w:rsidRPr="005B1EB5">
                              <w:rPr>
                                <w:rFonts w:cstheme="minorHAnsi"/>
                                <w:color w:val="000000" w:themeColor="text1"/>
                                <w:sz w:val="21"/>
                                <w:szCs w:val="21"/>
                              </w:rPr>
                              <w:t>Stay all criminal charges and expunge the criminal records of the DULF founders for the</w:t>
                            </w:r>
                            <w:r w:rsidR="00EF4035" w:rsidRPr="005B1EB5">
                              <w:rPr>
                                <w:rFonts w:cstheme="minorHAnsi"/>
                                <w:color w:val="000000" w:themeColor="text1"/>
                                <w:sz w:val="21"/>
                                <w:szCs w:val="21"/>
                              </w:rPr>
                              <w:t>ir</w:t>
                            </w:r>
                            <w:r w:rsidRPr="005B1EB5">
                              <w:rPr>
                                <w:rFonts w:cstheme="minorHAnsi"/>
                                <w:color w:val="000000" w:themeColor="text1"/>
                                <w:sz w:val="21"/>
                                <w:szCs w:val="21"/>
                              </w:rPr>
                              <w:t xml:space="preserve"> involvement in the compassion club;</w:t>
                            </w:r>
                          </w:p>
                          <w:p w14:paraId="13F73815" w14:textId="121CFD21" w:rsidR="00E8757B" w:rsidRPr="005B1EB5" w:rsidRDefault="00E8757B" w:rsidP="005B1EB5">
                            <w:pPr>
                              <w:pStyle w:val="ListParagraph"/>
                              <w:numPr>
                                <w:ilvl w:val="0"/>
                                <w:numId w:val="17"/>
                              </w:numPr>
                              <w:ind w:left="360"/>
                              <w:rPr>
                                <w:rFonts w:cstheme="minorHAnsi"/>
                                <w:color w:val="000000" w:themeColor="text1"/>
                                <w:sz w:val="21"/>
                                <w:szCs w:val="21"/>
                              </w:rPr>
                            </w:pPr>
                            <w:r w:rsidRPr="005B1EB5">
                              <w:rPr>
                                <w:rFonts w:cstheme="minorHAnsi"/>
                                <w:color w:val="000000" w:themeColor="text1"/>
                                <w:sz w:val="21"/>
                                <w:szCs w:val="21"/>
                              </w:rPr>
                              <w:t>Immediately undertake a review of section 5 of the CDSA and relevant sections of the FDA/FDR and, within 1 year, bring forward amendments to these laws to ensure non-medicalized safer supply programs such as DULF’s compassion can operate lawfully.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oundrect w14:anchorId="43E325D3" id="Rectangle: Rounded Corners 2" o:spid="_x0000_s1027" style="width:468pt;height:17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" fillcolor="#f2f0e7" strokecolor="#c31424" strokeweight="2.25pt">
                <v:stroke joinstyle="miter"/>
                <v:textbox inset="0,0,0,0">
                  <w:txbxContent>
                    <w:p w14:paraId="2CA00C00" w14:textId="77777777" w:rsidR="00E8757B" w:rsidRPr="005B1EB5" w:rsidRDefault="00E8757B" w:rsidP="00E8757B">
                      <w:pPr>
                        <w:rPr>
                          <w:rFonts w:cstheme="minorHAnsi"/>
                          <w:b/>
                          <w:bCs/>
                          <w:color w:val="000000" w:themeColor="text1"/>
                          <w:sz w:val="21"/>
                          <w:szCs w:val="21"/>
                        </w:rPr>
                      </w:pPr>
                      <w:r w:rsidRPr="005B1EB5">
                        <w:rPr>
                          <w:rFonts w:cstheme="minorHAnsi"/>
                          <w:b/>
                          <w:bCs/>
                          <w:color w:val="000000" w:themeColor="text1"/>
                          <w:sz w:val="21"/>
                          <w:szCs w:val="21"/>
                        </w:rPr>
                        <w:t>The Committee find that:</w:t>
                      </w:r>
                    </w:p>
                    <w:p w14:paraId="12F91F70" w14:textId="77777777" w:rsidR="00E8757B" w:rsidRPr="005B1EB5" w:rsidRDefault="00E8757B" w:rsidP="00E8757B">
                      <w:pPr>
                        <w:pStyle w:val="ListParagraph"/>
                        <w:numPr>
                          <w:ilvl w:val="0"/>
                          <w:numId w:val="16"/>
                        </w:numPr>
                        <w:ind w:left="360"/>
                        <w:rPr>
                          <w:rFonts w:cstheme="minorHAnsi"/>
                          <w:color w:val="000000" w:themeColor="text1"/>
                          <w:sz w:val="21"/>
                          <w:szCs w:val="21"/>
                        </w:rPr>
                      </w:pPr>
                      <w:r w:rsidRPr="005B1EB5">
                        <w:rPr>
                          <w:rFonts w:cstheme="minorHAnsi"/>
                          <w:color w:val="000000" w:themeColor="text1"/>
                          <w:sz w:val="21"/>
                          <w:szCs w:val="21"/>
                        </w:rPr>
                        <w:t>Canada’s failure to legally authorize the DULF compassion club violates Article 6;</w:t>
                      </w:r>
                    </w:p>
                    <w:p w14:paraId="7A37D171" w14:textId="77777777" w:rsidR="00E8757B" w:rsidRPr="005B1EB5" w:rsidRDefault="00E8757B" w:rsidP="00E8757B">
                      <w:pPr>
                        <w:pStyle w:val="ListParagraph"/>
                        <w:numPr>
                          <w:ilvl w:val="0"/>
                          <w:numId w:val="16"/>
                        </w:numPr>
                        <w:ind w:left="360"/>
                        <w:rPr>
                          <w:rFonts w:cstheme="minorHAnsi"/>
                          <w:color w:val="000000" w:themeColor="text1"/>
                          <w:sz w:val="21"/>
                          <w:szCs w:val="21"/>
                        </w:rPr>
                      </w:pPr>
                      <w:r w:rsidRPr="005B1EB5">
                        <w:rPr>
                          <w:rFonts w:cstheme="minorHAnsi"/>
                          <w:color w:val="000000" w:themeColor="text1"/>
                          <w:sz w:val="21"/>
                          <w:szCs w:val="21"/>
                        </w:rPr>
                        <w:t>Government and police actions to close the DULF compassion club and prosecute the DULF founders violate Articles 6 and 9.</w:t>
                      </w:r>
                    </w:p>
                    <w:p w14:paraId="4A6AE060" w14:textId="77777777" w:rsidR="00E8757B" w:rsidRPr="005B1EB5" w:rsidRDefault="00E8757B" w:rsidP="00E8757B">
                      <w:pPr>
                        <w:rPr>
                          <w:rFonts w:cstheme="minorHAnsi"/>
                          <w:b/>
                          <w:bCs/>
                          <w:color w:val="000000" w:themeColor="text1"/>
                          <w:sz w:val="21"/>
                          <w:szCs w:val="21"/>
                        </w:rPr>
                      </w:pPr>
                    </w:p>
                    <w:p w14:paraId="012E9454" w14:textId="77777777" w:rsidR="00E8757B" w:rsidRPr="005B1EB5" w:rsidRDefault="00E8757B" w:rsidP="00E8757B">
                      <w:pPr>
                        <w:rPr>
                          <w:rFonts w:cstheme="minorHAnsi"/>
                          <w:b/>
                          <w:bCs/>
                          <w:color w:val="000000" w:themeColor="text1"/>
                          <w:sz w:val="21"/>
                          <w:szCs w:val="21"/>
                        </w:rPr>
                      </w:pPr>
                      <w:r w:rsidRPr="005B1EB5">
                        <w:rPr>
                          <w:rFonts w:cstheme="minorHAnsi"/>
                          <w:b/>
                          <w:bCs/>
                          <w:color w:val="000000" w:themeColor="text1"/>
                          <w:sz w:val="21"/>
                          <w:szCs w:val="21"/>
                        </w:rPr>
                        <w:t>The Committee call on Canada to:</w:t>
                      </w:r>
                    </w:p>
                    <w:p w14:paraId="72FCF8A2" w14:textId="4B22E6A5" w:rsidR="00E8757B" w:rsidRPr="005B1EB5" w:rsidRDefault="00E8757B" w:rsidP="00E8757B">
                      <w:pPr>
                        <w:pStyle w:val="ListParagraph"/>
                        <w:numPr>
                          <w:ilvl w:val="0"/>
                          <w:numId w:val="17"/>
                        </w:numPr>
                        <w:ind w:left="360"/>
                        <w:rPr>
                          <w:rFonts w:cstheme="minorHAnsi"/>
                          <w:color w:val="000000" w:themeColor="text1"/>
                          <w:sz w:val="21"/>
                          <w:szCs w:val="21"/>
                        </w:rPr>
                      </w:pPr>
                      <w:r w:rsidRPr="005B1EB5">
                        <w:rPr>
                          <w:rFonts w:cstheme="minorHAnsi"/>
                          <w:color w:val="000000" w:themeColor="text1"/>
                          <w:sz w:val="21"/>
                          <w:szCs w:val="21"/>
                        </w:rPr>
                        <w:t>Stay all criminal charges and expunge the criminal records of the DULF founders for the</w:t>
                      </w:r>
                      <w:r w:rsidR="00EF4035" w:rsidRPr="005B1EB5">
                        <w:rPr>
                          <w:rFonts w:cstheme="minorHAnsi"/>
                          <w:color w:val="000000" w:themeColor="text1"/>
                          <w:sz w:val="21"/>
                          <w:szCs w:val="21"/>
                        </w:rPr>
                        <w:t>ir</w:t>
                      </w:r>
                      <w:r w:rsidRPr="005B1EB5">
                        <w:rPr>
                          <w:rFonts w:cstheme="minorHAnsi"/>
                          <w:color w:val="000000" w:themeColor="text1"/>
                          <w:sz w:val="21"/>
                          <w:szCs w:val="21"/>
                        </w:rPr>
                        <w:t xml:space="preserve"> involvement in the compassion club;</w:t>
                      </w:r>
                    </w:p>
                    <w:p w14:paraId="13F73815" w14:textId="121CFD21" w:rsidR="00E8757B" w:rsidRPr="005B1EB5" w:rsidRDefault="00E8757B" w:rsidP="005B1EB5">
                      <w:pPr>
                        <w:pStyle w:val="ListParagraph"/>
                        <w:numPr>
                          <w:ilvl w:val="0"/>
                          <w:numId w:val="17"/>
                        </w:numPr>
                        <w:ind w:left="360"/>
                        <w:rPr>
                          <w:rFonts w:cstheme="minorHAnsi"/>
                          <w:color w:val="000000" w:themeColor="text1"/>
                          <w:sz w:val="21"/>
                          <w:szCs w:val="21"/>
                        </w:rPr>
                      </w:pPr>
                      <w:r w:rsidRPr="005B1EB5">
                        <w:rPr>
                          <w:rFonts w:cstheme="minorHAnsi"/>
                          <w:color w:val="000000" w:themeColor="text1"/>
                          <w:sz w:val="21"/>
                          <w:szCs w:val="21"/>
                        </w:rPr>
                        <w:t>Immediately undertake a review of section 5 of the CDSA and relevant sections of the FDA/FDR and, within 1 year, bring forward amendments to these laws to ensure non-medicalized safer supply programs such as DULF’s compassion can operate lawfully.</w:t>
                      </w:r>
                    </w:p>
                  </w:txbxContent>
                </v:textbox>
                <w10:anchorlock/>
              </v:roundrect>
            </w:pict>
          </mc:Fallback>
        </mc:AlternateContent>
      </w:r>
    </w:p>
    <w:p w14:paraId="74F835B7" w14:textId="77777777" w:rsidR="005B1EB5" w:rsidRDefault="005B1EB5">
      <w:pPr>
        <w:spacing w:after="160" w:line="259" w:lineRule="auto"/>
        <w:rPr>
          <w:rFonts w:ascii="Times New Roman" w:eastAsia="Times New Roman" w:hAnsi="Times New Roman" w:cs="Times New Roman"/>
          <w:noProof/>
          <w:color w:val="727375"/>
          <w:kern w:val="0"/>
          <w14:ligatures w14:val="none"/>
        </w:rPr>
      </w:pPr>
      <w:r>
        <w:rPr>
          <w:rFonts w:ascii="Times New Roman" w:eastAsia="Times New Roman" w:hAnsi="Times New Roman" w:cs="Times New Roman"/>
          <w:noProof/>
          <w:color w:val="727375"/>
          <w:kern w:val="0"/>
          <w14:ligatures w14:val="none"/>
        </w:rPr>
        <w:br w:type="page"/>
      </w:r>
    </w:p>
    <w:p w14:paraId="6600CE20" w14:textId="7D27A52A" w:rsidR="0095159D" w:rsidRPr="002F6BB4" w:rsidRDefault="00D15C6F" w:rsidP="0095159D">
      <w:pPr>
        <w:rPr>
          <w:rFonts w:ascii="Times New Roman" w:eastAsia="Times New Roman" w:hAnsi="Times New Roman" w:cs="Times New Roman"/>
          <w:kern w:val="0"/>
          <w14:ligatures w14:val="none"/>
        </w:rPr>
      </w:pPr>
      <w:r>
        <w:rPr>
          <w:rFonts w:ascii="Times New Roman" w:eastAsia="Times New Roman" w:hAnsi="Times New Roman" w:cs="Times New Roman"/>
          <w:noProof/>
          <w:color w:val="727375"/>
          <w:kern w:val="0"/>
          <w14:ligatures w14:val="none"/>
        </w:rPr>
        <w:lastRenderedPageBreak/>
      </w:r>
      <w:r w:rsidR="00D15C6F">
        <w:rPr>
          <w:rFonts w:ascii="Times New Roman" w:eastAsia="Times New Roman" w:hAnsi="Times New Roman" w:cs="Times New Roman"/>
          <w:noProof/>
          <w:color w:val="727375"/>
          <w:kern w:val="0"/>
          <w14:ligatures w14:val="none"/>
        </w:rPr>
        <w:pict w14:anchorId="61FECA28">
          <v:rect id="_x0000_i1032" alt="" style="width:468pt;height:.05pt;mso-width-percent:0;mso-height-percent:0;mso-width-percent:0;mso-height-percent:0" o:hralign="center" o:hrstd="t" o:hr="t" fillcolor="#a0a0a0" stroked="f"/>
        </w:pict>
      </w:r>
    </w:p>
    <w:p w14:paraId="47F08BE0" w14:textId="414C67FD" w:rsidR="0095159D" w:rsidRPr="005B1EB5" w:rsidRDefault="0095159D" w:rsidP="0095159D">
      <w:pPr>
        <w:spacing w:before="100" w:beforeAutospacing="1" w:after="100" w:afterAutospacing="1"/>
        <w:outlineLvl w:val="0"/>
        <w:rPr>
          <w:rFonts w:ascii="Arial" w:eastAsia="Times New Roman" w:hAnsi="Arial" w:cs="Arial"/>
          <w:b/>
          <w:bCs/>
          <w:kern w:val="36"/>
          <w14:ligatures w14:val="none"/>
        </w:rPr>
      </w:pPr>
      <w:r w:rsidRPr="005B1EB5">
        <w:rPr>
          <w:rFonts w:ascii="Arial" w:eastAsia="Times New Roman" w:hAnsi="Arial" w:cs="Arial"/>
          <w:b/>
          <w:bCs/>
          <w:kern w:val="36"/>
          <w14:ligatures w14:val="none"/>
        </w:rPr>
        <w:t>ISSUE 3</w:t>
      </w:r>
    </w:p>
    <w:p w14:paraId="7232D994" w14:textId="604D6D8F" w:rsidR="0095159D" w:rsidRPr="005B1EB5" w:rsidRDefault="000A0748" w:rsidP="0095159D">
      <w:pPr>
        <w:spacing w:before="100" w:beforeAutospacing="1" w:after="100" w:afterAutospacing="1"/>
        <w:outlineLvl w:val="1"/>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Expanding criminalization, police powers and health-based detention</w:t>
      </w:r>
    </w:p>
    <w:p w14:paraId="23D1EE5D" w14:textId="1BC6884A" w:rsidR="0095159D" w:rsidRPr="005B1EB5" w:rsidRDefault="0095159D" w:rsidP="0095159D">
      <w:pPr>
        <w:spacing w:before="100" w:beforeAutospacing="1" w:after="100" w:afterAutospacing="1"/>
        <w:outlineLvl w:val="2"/>
        <w:rPr>
          <w:rFonts w:eastAsia="Times New Roman" w:cstheme="minorHAnsi"/>
          <w:kern w:val="0"/>
          <w14:ligatures w14:val="none"/>
        </w:rPr>
      </w:pPr>
      <w:r w:rsidRPr="005B1EB5">
        <w:rPr>
          <w:rFonts w:eastAsia="Times New Roman" w:cstheme="minorHAnsi"/>
          <w:b/>
          <w:bCs/>
          <w:kern w:val="0"/>
          <w14:ligatures w14:val="none"/>
        </w:rPr>
        <w:t>Violations of Articles:</w:t>
      </w:r>
      <w:r w:rsidRPr="005B1EB5">
        <w:rPr>
          <w:rFonts w:eastAsia="Times New Roman" w:cstheme="minorHAnsi"/>
          <w:kern w:val="0"/>
          <w14:ligatures w14:val="none"/>
        </w:rPr>
        <w:t xml:space="preserve"> </w:t>
      </w:r>
      <w:r w:rsidR="00D5034D" w:rsidRPr="005B1EB5">
        <w:rPr>
          <w:rFonts w:eastAsia="Times New Roman" w:cstheme="minorHAnsi"/>
          <w:kern w:val="0"/>
          <w14:ligatures w14:val="none"/>
        </w:rPr>
        <w:t>2, 6, 9, 26</w:t>
      </w:r>
    </w:p>
    <w:p w14:paraId="2DDA8162" w14:textId="73288D69" w:rsidR="004331C1" w:rsidRPr="005B1EB5" w:rsidRDefault="003D6518" w:rsidP="00A07A1A">
      <w:pPr>
        <w:pStyle w:val="ListParagraph"/>
        <w:numPr>
          <w:ilvl w:val="0"/>
          <w:numId w:val="4"/>
        </w:numPr>
        <w:spacing w:after="120"/>
        <w:jc w:val="both"/>
        <w:rPr>
          <w:rFonts w:eastAsia="Times New Roman" w:cstheme="minorHAnsi"/>
          <w:kern w:val="0"/>
          <w14:ligatures w14:val="none"/>
        </w:rPr>
      </w:pPr>
      <w:r w:rsidRPr="005B1EB5">
        <w:rPr>
          <w:rFonts w:eastAsia="Times New Roman" w:cstheme="minorHAnsi"/>
          <w:kern w:val="0"/>
          <w14:ligatures w14:val="none"/>
        </w:rPr>
        <w:t xml:space="preserve">In </w:t>
      </w:r>
      <w:r w:rsidR="00440B08" w:rsidRPr="005B1EB5">
        <w:rPr>
          <w:rFonts w:eastAsia="Times New Roman" w:cstheme="minorHAnsi"/>
          <w:kern w:val="0"/>
          <w14:ligatures w14:val="none"/>
        </w:rPr>
        <w:t xml:space="preserve">the </w:t>
      </w:r>
      <w:r w:rsidRPr="005B1EB5">
        <w:rPr>
          <w:rFonts w:eastAsia="Times New Roman" w:cstheme="minorHAnsi"/>
          <w:kern w:val="0"/>
          <w14:ligatures w14:val="none"/>
        </w:rPr>
        <w:t xml:space="preserve">devastating </w:t>
      </w:r>
      <w:r w:rsidR="00440B08" w:rsidRPr="005B1EB5">
        <w:rPr>
          <w:rFonts w:eastAsia="Times New Roman" w:cstheme="minorHAnsi"/>
          <w:kern w:val="0"/>
          <w14:ligatures w14:val="none"/>
        </w:rPr>
        <w:t xml:space="preserve">context described above, </w:t>
      </w:r>
      <w:r w:rsidR="0065454B" w:rsidRPr="005B1EB5">
        <w:rPr>
          <w:rFonts w:eastAsia="Times New Roman" w:cstheme="minorHAnsi"/>
          <w:kern w:val="0"/>
          <w14:ligatures w14:val="none"/>
        </w:rPr>
        <w:t>Canada’s actions are</w:t>
      </w:r>
      <w:r w:rsidR="00D46C41" w:rsidRPr="005B1EB5">
        <w:rPr>
          <w:rFonts w:eastAsia="Times New Roman" w:cstheme="minorHAnsi"/>
          <w:kern w:val="0"/>
          <w14:ligatures w14:val="none"/>
        </w:rPr>
        <w:t xml:space="preserve"> increas</w:t>
      </w:r>
      <w:r w:rsidR="0065454B" w:rsidRPr="005B1EB5">
        <w:rPr>
          <w:rFonts w:eastAsia="Times New Roman" w:cstheme="minorHAnsi"/>
          <w:kern w:val="0"/>
          <w14:ligatures w14:val="none"/>
        </w:rPr>
        <w:t>ing foreseeable risk of</w:t>
      </w:r>
      <w:r w:rsidR="00D46C41" w:rsidRPr="005B1EB5">
        <w:rPr>
          <w:rFonts w:eastAsia="Times New Roman" w:cstheme="minorHAnsi"/>
          <w:kern w:val="0"/>
          <w14:ligatures w14:val="none"/>
        </w:rPr>
        <w:t xml:space="preserve"> death, harm and criminalization of impacted communities by </w:t>
      </w:r>
      <w:r w:rsidR="00F760D0" w:rsidRPr="005B1EB5">
        <w:rPr>
          <w:rFonts w:eastAsia="Times New Roman" w:cstheme="minorHAnsi"/>
        </w:rPr>
        <w:t>rescinding harm</w:t>
      </w:r>
      <w:r w:rsidR="00A25815" w:rsidRPr="005B1EB5">
        <w:rPr>
          <w:rFonts w:eastAsia="Times New Roman" w:cstheme="minorHAnsi"/>
        </w:rPr>
        <w:t>-</w:t>
      </w:r>
      <w:r w:rsidR="00F760D0" w:rsidRPr="005B1EB5">
        <w:rPr>
          <w:rFonts w:eastAsia="Times New Roman" w:cstheme="minorHAnsi"/>
        </w:rPr>
        <w:t xml:space="preserve">reducing policies, </w:t>
      </w:r>
      <w:r w:rsidR="00BC02C3" w:rsidRPr="005B1EB5">
        <w:rPr>
          <w:rFonts w:eastAsia="Times New Roman" w:cstheme="minorHAnsi"/>
        </w:rPr>
        <w:t xml:space="preserve">increasing criminalization of people who use drugs and </w:t>
      </w:r>
      <w:r w:rsidR="007A4374" w:rsidRPr="005B1EB5">
        <w:rPr>
          <w:rFonts w:eastAsia="Times New Roman" w:cstheme="minorHAnsi"/>
        </w:rPr>
        <w:t xml:space="preserve">lack housing, and </w:t>
      </w:r>
      <w:r w:rsidR="00D557C7" w:rsidRPr="005B1EB5">
        <w:rPr>
          <w:rFonts w:eastAsia="Times New Roman" w:cstheme="minorHAnsi"/>
          <w:kern w:val="0"/>
          <w14:ligatures w14:val="none"/>
        </w:rPr>
        <w:t>abandoning evidence-based health services</w:t>
      </w:r>
      <w:r w:rsidR="00157487" w:rsidRPr="005B1EB5">
        <w:rPr>
          <w:rFonts w:eastAsia="Times New Roman" w:cstheme="minorHAnsi"/>
        </w:rPr>
        <w:t xml:space="preserve"> while enacting involuntary treatment laws</w:t>
      </w:r>
      <w:r w:rsidR="00C668E3" w:rsidRPr="005B1EB5">
        <w:rPr>
          <w:rFonts w:eastAsia="Times New Roman" w:cstheme="minorHAnsi"/>
        </w:rPr>
        <w:t xml:space="preserve"> and policies</w:t>
      </w:r>
      <w:r w:rsidR="00A34051" w:rsidRPr="005B1EB5">
        <w:rPr>
          <w:rFonts w:eastAsia="Times New Roman" w:cstheme="minorHAnsi"/>
          <w:kern w:val="0"/>
          <w14:ligatures w14:val="none"/>
        </w:rPr>
        <w:t>.</w:t>
      </w:r>
    </w:p>
    <w:p w14:paraId="44DAFFF9" w14:textId="01524AFF" w:rsidR="010A5456" w:rsidRPr="005B1EB5" w:rsidRDefault="010A5456" w:rsidP="005A40F8">
      <w:pPr>
        <w:pStyle w:val="ListParagraph"/>
        <w:numPr>
          <w:ilvl w:val="0"/>
          <w:numId w:val="4"/>
        </w:numPr>
        <w:spacing w:after="120"/>
        <w:contextualSpacing w:val="0"/>
        <w:jc w:val="both"/>
        <w:rPr>
          <w:rFonts w:eastAsia="Open Sans" w:cstheme="minorHAnsi"/>
        </w:rPr>
      </w:pPr>
      <w:r w:rsidRPr="005B1EB5">
        <w:rPr>
          <w:rFonts w:eastAsia="Open Sans" w:cstheme="minorHAnsi"/>
        </w:rPr>
        <w:t xml:space="preserve">Canada is acting in a manner contrary to long-established human rights standards. Such violations were succinctly described by the </w:t>
      </w:r>
      <w:hyperlink r:id="rId61" w:history="1">
        <w:r w:rsidRPr="005B1EB5">
          <w:rPr>
            <w:rStyle w:val="Hyperlink"/>
            <w:rFonts w:asciiTheme="minorHAnsi" w:eastAsia="Open Sans" w:hAnsiTheme="minorHAnsi" w:cstheme="minorHAnsi"/>
          </w:rPr>
          <w:t>UN High Commissioner for Human Rights, Navi Pillay, in 2009</w:t>
        </w:r>
      </w:hyperlink>
      <w:r w:rsidR="00F132A2" w:rsidRPr="005B1EB5">
        <w:rPr>
          <w:rStyle w:val="EndnoteReference"/>
          <w:rFonts w:eastAsia="Open Sans" w:cstheme="minorHAnsi"/>
        </w:rPr>
        <w:endnoteReference w:id="55"/>
      </w:r>
      <w:r w:rsidRPr="005B1EB5">
        <w:rPr>
          <w:rFonts w:eastAsia="Open Sans" w:cstheme="minorHAnsi"/>
        </w:rPr>
        <w:t>:</w:t>
      </w:r>
    </w:p>
    <w:p w14:paraId="40296811" w14:textId="2D1A1B55" w:rsidR="010A5456" w:rsidRPr="005B1EB5" w:rsidRDefault="010A5456" w:rsidP="0070707C">
      <w:pPr>
        <w:pStyle w:val="ListParagraph"/>
        <w:spacing w:after="120"/>
        <w:ind w:left="810" w:right="720"/>
        <w:jc w:val="both"/>
        <w:rPr>
          <w:rFonts w:eastAsia="Open Sans" w:cstheme="minorHAnsi"/>
          <w:i/>
          <w:iCs/>
        </w:rPr>
      </w:pPr>
      <w:r w:rsidRPr="005B1EB5">
        <w:rPr>
          <w:rFonts w:eastAsia="Open Sans" w:cstheme="minorHAnsi"/>
          <w:i/>
          <w:iCs/>
        </w:rPr>
        <w:t>Individuals who use drugs do not forfeit their human rights. All too often, drug users suffer discrimination, are forced to accept treatment, marginalized, and often harmed by approaches that over-emphasize criminalization and punishment while under-emphasizing harm reduction and respect for human rights.</w:t>
      </w:r>
    </w:p>
    <w:p w14:paraId="4FC08F78" w14:textId="550975B5" w:rsidR="000A0748" w:rsidRPr="005B1EB5" w:rsidRDefault="00BD181F" w:rsidP="00554716">
      <w:pPr>
        <w:spacing w:before="100" w:beforeAutospacing="1" w:after="100" w:afterAutospacing="1"/>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3.1</w:t>
      </w:r>
      <w:r w:rsidR="00554716" w:rsidRPr="005B1EB5">
        <w:rPr>
          <w:rFonts w:ascii="Arial" w:eastAsia="Times New Roman" w:hAnsi="Arial" w:cs="Arial"/>
          <w:b/>
          <w:bCs/>
          <w:kern w:val="0"/>
          <w:sz w:val="22"/>
          <w:szCs w:val="22"/>
          <w14:ligatures w14:val="none"/>
        </w:rPr>
        <w:t xml:space="preserve"> </w:t>
      </w:r>
      <w:r w:rsidR="000A0748" w:rsidRPr="005B1EB5">
        <w:rPr>
          <w:rFonts w:ascii="Arial" w:eastAsia="Times New Roman" w:hAnsi="Arial" w:cs="Arial"/>
          <w:b/>
          <w:bCs/>
          <w:kern w:val="0"/>
          <w:sz w:val="22"/>
          <w:szCs w:val="22"/>
          <w14:ligatures w14:val="none"/>
        </w:rPr>
        <w:t xml:space="preserve">Recriminalizing drug possession in the province of British Columbia and prohibiting decriminalization </w:t>
      </w:r>
      <w:r w:rsidR="000A0748" w:rsidRPr="005B1EB5">
        <w:rPr>
          <w:rFonts w:ascii="Arial" w:eastAsia="Times New Roman" w:hAnsi="Arial" w:cs="Arial"/>
          <w:b/>
          <w:sz w:val="22"/>
          <w:szCs w:val="22"/>
        </w:rPr>
        <w:t>in Ontario</w:t>
      </w:r>
    </w:p>
    <w:p w14:paraId="27E1502F" w14:textId="0C2AEA6D"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“Decriminalization” refers to policy that </w:t>
      </w:r>
      <w:hyperlink r:id="rId62" w:history="1">
        <w:r w:rsidRPr="005B1EB5">
          <w:rPr>
            <w:rStyle w:val="Hyperlink"/>
            <w:rFonts w:asciiTheme="minorHAnsi" w:eastAsia="Times New Roman" w:hAnsiTheme="minorHAnsi" w:cstheme="minorHAnsi"/>
            <w:kern w:val="0"/>
            <w14:ligatures w14:val="none"/>
          </w:rPr>
          <w:t>removes criminal sanctions</w:t>
        </w:r>
      </w:hyperlink>
      <w:r w:rsidR="00C248CC" w:rsidRPr="005B1EB5">
        <w:rPr>
          <w:rStyle w:val="EndnoteReference"/>
          <w:rFonts w:cstheme="minorHAnsi"/>
        </w:rPr>
        <w:endnoteReference w:id="56"/>
      </w:r>
      <w:r w:rsidRPr="005B1EB5">
        <w:rPr>
          <w:rFonts w:eastAsia="Times New Roman" w:cstheme="minorHAnsi"/>
          <w:kern w:val="0"/>
          <w14:ligatures w14:val="none"/>
        </w:rPr>
        <w:t xml:space="preserve"> related to drug use. Models of decriminalization vary widely around the world, and the impact of these policies depend on design, implementation, and alignment with rights-based principles. Poorly designed models risk perpetuating harms, while strong models can advance public health, social justice, and human rights</w:t>
      </w:r>
      <w:r w:rsidR="007E56F4" w:rsidRPr="005B1EB5">
        <w:rPr>
          <w:rStyle w:val="EndnoteReference"/>
          <w:rFonts w:eastAsia="Times New Roman" w:cstheme="minorHAnsi"/>
          <w:kern w:val="0"/>
          <w14:ligatures w14:val="none"/>
        </w:rPr>
        <w:endnoteReference w:id="57"/>
      </w:r>
      <w:r w:rsidRPr="005B1EB5">
        <w:rPr>
          <w:rFonts w:eastAsia="Times New Roman" w:cstheme="minorHAnsi"/>
          <w:kern w:val="0"/>
          <w14:ligatures w14:val="none"/>
        </w:rPr>
        <w:t>.</w:t>
      </w:r>
    </w:p>
    <w:p w14:paraId="09CDD0BA" w14:textId="77777777"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The province of British Columbia (B.C.) implemented a limited decriminalization policy in January 2023 through an exemption granted by the Government of Canada under the CDSA. The policy removed criminal sanctions for people 18 years and older for possession of up to combined total of 2.5 grams of opioids, methamphetamine, cocaine and MDMA for personal use. </w:t>
      </w:r>
    </w:p>
    <w:p w14:paraId="37CD2525" w14:textId="1B40932F"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B.C.’s stated </w:t>
      </w:r>
      <w:hyperlink r:id="rId63" w:history="1">
        <w:r w:rsidRPr="005B1EB5">
          <w:rPr>
            <w:rStyle w:val="Hyperlink"/>
            <w:rFonts w:asciiTheme="minorHAnsi" w:eastAsia="Times New Roman" w:hAnsiTheme="minorHAnsi" w:cstheme="minorHAnsi"/>
            <w:kern w:val="0"/>
            <w14:ligatures w14:val="none"/>
          </w:rPr>
          <w:t>purpose</w:t>
        </w:r>
      </w:hyperlink>
      <w:r w:rsidR="007C1761" w:rsidRPr="005B1EB5">
        <w:rPr>
          <w:rStyle w:val="EndnoteReference"/>
          <w:rFonts w:eastAsia="Times New Roman" w:cstheme="minorHAnsi"/>
          <w:kern w:val="0"/>
          <w14:ligatures w14:val="none"/>
        </w:rPr>
        <w:endnoteReference w:id="58"/>
      </w:r>
      <w:r w:rsidRPr="005B1EB5">
        <w:rPr>
          <w:rFonts w:eastAsia="Times New Roman" w:cstheme="minorHAnsi"/>
          <w:kern w:val="0"/>
          <w14:ligatures w14:val="none"/>
        </w:rPr>
        <w:t xml:space="preserve"> for implementing decriminalization was to reduce the stigma associated with seeking care for substance use and to support people to access health and social services by treating substance use as a health matter, not a criminal justice issue. </w:t>
      </w:r>
      <w:hyperlink r:id="rId64" w:history="1">
        <w:r w:rsidRPr="005B1EB5">
          <w:rPr>
            <w:rStyle w:val="Hyperlink"/>
            <w:rFonts w:asciiTheme="minorHAnsi" w:eastAsia="Times New Roman" w:hAnsiTheme="minorHAnsi" w:cstheme="minorHAnsi"/>
            <w:kern w:val="0"/>
            <w14:ligatures w14:val="none"/>
          </w:rPr>
          <w:t>Criminal justice involvement for drug use</w:t>
        </w:r>
      </w:hyperlink>
      <w:r w:rsidR="00A301D1" w:rsidRPr="005B1EB5">
        <w:rPr>
          <w:rStyle w:val="EndnoteReference"/>
          <w:rFonts w:eastAsia="Times New Roman" w:cstheme="minorHAnsi"/>
          <w:kern w:val="0"/>
          <w14:ligatures w14:val="none"/>
        </w:rPr>
        <w:endnoteReference w:id="59"/>
      </w:r>
      <w:r w:rsidRPr="005B1EB5">
        <w:rPr>
          <w:rFonts w:eastAsia="Times New Roman" w:cstheme="minorHAnsi"/>
          <w:kern w:val="0"/>
          <w14:ligatures w14:val="none"/>
        </w:rPr>
        <w:t xml:space="preserve"> is tied to a number of negative health and social outcomes, and people are at significantly higher risk of drug-related death in the days and weeks </w:t>
      </w:r>
      <w:hyperlink r:id="rId65" w:history="1">
        <w:r w:rsidRPr="005B1EB5">
          <w:rPr>
            <w:rStyle w:val="Hyperlink"/>
            <w:rFonts w:asciiTheme="minorHAnsi" w:eastAsia="Times New Roman" w:hAnsiTheme="minorHAnsi" w:cstheme="minorHAnsi"/>
            <w:kern w:val="0"/>
            <w14:ligatures w14:val="none"/>
          </w:rPr>
          <w:t>after release from jail</w:t>
        </w:r>
      </w:hyperlink>
      <w:r w:rsidR="00337943" w:rsidRPr="005B1EB5">
        <w:rPr>
          <w:rStyle w:val="EndnoteReference"/>
          <w:rFonts w:eastAsia="Times New Roman" w:cstheme="minorHAnsi"/>
          <w:kern w:val="0"/>
          <w14:ligatures w14:val="none"/>
        </w:rPr>
        <w:endnoteReference w:id="60"/>
      </w:r>
      <w:r w:rsidRPr="005B1EB5">
        <w:rPr>
          <w:rFonts w:eastAsia="Times New Roman" w:cstheme="minorHAnsi"/>
          <w:kern w:val="0"/>
          <w14:ligatures w14:val="none"/>
        </w:rPr>
        <w:t>.</w:t>
      </w:r>
    </w:p>
    <w:p w14:paraId="5416D169" w14:textId="3C021636"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Despite significant</w:t>
      </w:r>
      <w:r w:rsidR="005758E8" w:rsidRPr="005B1EB5">
        <w:rPr>
          <w:rFonts w:eastAsia="Times New Roman" w:cstheme="minorHAnsi"/>
          <w:kern w:val="0"/>
          <w14:ligatures w14:val="none"/>
        </w:rPr>
        <w:t xml:space="preserve"> </w:t>
      </w:r>
      <w:hyperlink r:id="rId66" w:history="1">
        <w:r w:rsidR="005758E8" w:rsidRPr="005B1EB5">
          <w:rPr>
            <w:rStyle w:val="Hyperlink"/>
            <w:rFonts w:asciiTheme="minorHAnsi" w:eastAsia="Times New Roman" w:hAnsiTheme="minorHAnsi" w:cstheme="minorHAnsi"/>
            <w:kern w:val="0"/>
            <w14:ligatures w14:val="none"/>
          </w:rPr>
          <w:t>concerns</w:t>
        </w:r>
      </w:hyperlink>
      <w:r w:rsidR="005758E8" w:rsidRPr="005B1EB5">
        <w:rPr>
          <w:rStyle w:val="EndnoteReference"/>
          <w:rFonts w:eastAsia="Times New Roman" w:cstheme="minorHAnsi"/>
          <w:kern w:val="0"/>
          <w14:ligatures w14:val="none"/>
        </w:rPr>
        <w:endnoteReference w:id="61"/>
      </w:r>
      <w:r w:rsidR="005758E8" w:rsidRPr="005B1EB5">
        <w:rPr>
          <w:rFonts w:eastAsia="Times New Roman" w:cstheme="minorHAnsi"/>
          <w:kern w:val="0"/>
          <w14:ligatures w14:val="none"/>
        </w:rPr>
        <w:t xml:space="preserve"> and</w:t>
      </w:r>
      <w:r w:rsidRPr="005B1EB5">
        <w:rPr>
          <w:rFonts w:eastAsia="Times New Roman" w:cstheme="minorHAnsi"/>
          <w:kern w:val="0"/>
          <w14:ligatures w14:val="none"/>
        </w:rPr>
        <w:t xml:space="preserve"> </w:t>
      </w:r>
      <w:hyperlink r:id="rId67" w:history="1">
        <w:r w:rsidRPr="005B1EB5">
          <w:rPr>
            <w:rStyle w:val="Hyperlink"/>
            <w:rFonts w:asciiTheme="minorHAnsi" w:eastAsia="Times New Roman" w:hAnsiTheme="minorHAnsi" w:cstheme="minorHAnsi"/>
            <w:kern w:val="0"/>
            <w14:ligatures w14:val="none"/>
          </w:rPr>
          <w:t>limitations</w:t>
        </w:r>
      </w:hyperlink>
      <w:r w:rsidR="00A05D78" w:rsidRPr="005B1EB5">
        <w:rPr>
          <w:rStyle w:val="EndnoteReference"/>
          <w:rFonts w:eastAsia="Times New Roman" w:cstheme="minorHAnsi"/>
          <w:kern w:val="0"/>
          <w14:ligatures w14:val="none"/>
        </w:rPr>
        <w:endnoteReference w:id="62"/>
      </w:r>
      <w:r w:rsidRPr="005B1EB5">
        <w:rPr>
          <w:rFonts w:eastAsia="Times New Roman" w:cstheme="minorHAnsi"/>
          <w:kern w:val="0"/>
          <w14:ligatures w14:val="none"/>
        </w:rPr>
        <w:t xml:space="preserve"> of B.C.’s decriminalization model, preliminary evaluation data indicate</w:t>
      </w:r>
      <w:r w:rsidR="003939EB" w:rsidRPr="005B1EB5">
        <w:rPr>
          <w:rFonts w:eastAsia="Times New Roman" w:cstheme="minorHAnsi"/>
          <w:kern w:val="0"/>
          <w14:ligatures w14:val="none"/>
        </w:rPr>
        <w:t xml:space="preserve"> its</w:t>
      </w:r>
      <w:r w:rsidRPr="005B1EB5">
        <w:rPr>
          <w:rFonts w:eastAsia="Times New Roman" w:cstheme="minorHAnsi"/>
          <w:kern w:val="0"/>
          <w14:ligatures w14:val="none"/>
        </w:rPr>
        <w:t xml:space="preserve"> </w:t>
      </w:r>
      <w:hyperlink r:id="rId68" w:history="1">
        <w:r w:rsidR="003939EB" w:rsidRPr="005B1EB5">
          <w:rPr>
            <w:rStyle w:val="Hyperlink"/>
            <w:rFonts w:asciiTheme="minorHAnsi" w:eastAsia="Times New Roman" w:hAnsiTheme="minorHAnsi" w:cstheme="minorHAnsi"/>
            <w:kern w:val="0"/>
            <w14:ligatures w14:val="none"/>
          </w:rPr>
          <w:t>beneficial impacts</w:t>
        </w:r>
      </w:hyperlink>
      <w:r w:rsidR="008126FF" w:rsidRPr="005B1EB5">
        <w:rPr>
          <w:rStyle w:val="EndnoteReference"/>
          <w:rFonts w:eastAsia="Times New Roman" w:cstheme="minorHAnsi"/>
          <w:kern w:val="0"/>
          <w14:ligatures w14:val="none"/>
        </w:rPr>
        <w:endnoteReference w:id="63"/>
      </w:r>
      <w:r w:rsidR="00E74A39" w:rsidRPr="005B1EB5">
        <w:rPr>
          <w:rFonts w:eastAsia="Times New Roman" w:cstheme="minorHAnsi"/>
          <w:kern w:val="0"/>
          <w14:ligatures w14:val="none"/>
        </w:rPr>
        <w:t xml:space="preserve"> </w:t>
      </w:r>
      <w:r w:rsidRPr="005B1EB5">
        <w:rPr>
          <w:rFonts w:eastAsia="Times New Roman" w:cstheme="minorHAnsi"/>
          <w:kern w:val="0"/>
          <w14:ligatures w14:val="none"/>
        </w:rPr>
        <w:t xml:space="preserve">including: significant decreases in </w:t>
      </w:r>
      <w:hyperlink r:id="rId69" w:history="1">
        <w:r w:rsidRPr="005B1EB5">
          <w:rPr>
            <w:rStyle w:val="Hyperlink"/>
            <w:rFonts w:asciiTheme="minorHAnsi" w:eastAsia="Times New Roman" w:hAnsiTheme="minorHAnsi" w:cstheme="minorHAnsi"/>
            <w:kern w:val="0"/>
            <w14:ligatures w14:val="none"/>
          </w:rPr>
          <w:t>police interactions</w:t>
        </w:r>
      </w:hyperlink>
      <w:r w:rsidR="00E74A39" w:rsidRPr="005B1EB5">
        <w:rPr>
          <w:rStyle w:val="EndnoteReference"/>
          <w:rFonts w:eastAsia="Times New Roman" w:cstheme="minorHAnsi"/>
          <w:kern w:val="0"/>
          <w14:ligatures w14:val="none"/>
        </w:rPr>
        <w:endnoteReference w:id="64"/>
      </w:r>
      <w:r w:rsidR="00E74A39" w:rsidRPr="005B1EB5">
        <w:rPr>
          <w:rFonts w:eastAsia="Times New Roman" w:cstheme="minorHAnsi"/>
          <w:kern w:val="0"/>
          <w14:ligatures w14:val="none"/>
        </w:rPr>
        <w:t xml:space="preserve"> </w:t>
      </w:r>
      <w:r w:rsidRPr="005B1EB5">
        <w:rPr>
          <w:rFonts w:eastAsia="Times New Roman" w:cstheme="minorHAnsi"/>
          <w:kern w:val="0"/>
          <w14:ligatures w14:val="none"/>
        </w:rPr>
        <w:t xml:space="preserve"> (called “offences”) and police seizures of small amounts of drugs; increased comfort seeking health and social services; decreased ambulance calls; and no observed increase in substance use disorder diagnoses.</w:t>
      </w:r>
    </w:p>
    <w:p w14:paraId="142D45D9" w14:textId="3E4F7FFB" w:rsidR="00F27AA2" w:rsidRPr="005B1EB5" w:rsidRDefault="00F27AA2"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lastRenderedPageBreak/>
        <w:t>The B.C. and federal government</w:t>
      </w:r>
      <w:r w:rsidR="007137AA" w:rsidRPr="005B1EB5">
        <w:rPr>
          <w:rFonts w:eastAsia="Times New Roman" w:cstheme="minorHAnsi"/>
          <w:kern w:val="0"/>
          <w14:ligatures w14:val="none"/>
        </w:rPr>
        <w:t>s</w:t>
      </w:r>
      <w:r w:rsidRPr="005B1EB5">
        <w:rPr>
          <w:rFonts w:eastAsia="Times New Roman" w:cstheme="minorHAnsi"/>
          <w:kern w:val="0"/>
          <w14:ligatures w14:val="none"/>
        </w:rPr>
        <w:t xml:space="preserve"> failed </w:t>
      </w:r>
      <w:r w:rsidR="0045223C" w:rsidRPr="005B1EB5">
        <w:rPr>
          <w:rFonts w:eastAsia="Times New Roman" w:cstheme="minorHAnsi"/>
          <w:kern w:val="0"/>
          <w14:ligatures w14:val="none"/>
        </w:rPr>
        <w:t>support the success of decriminalization. Governments did not</w:t>
      </w:r>
      <w:r w:rsidRPr="005B1EB5">
        <w:rPr>
          <w:rFonts w:eastAsia="Times New Roman" w:cstheme="minorHAnsi"/>
          <w:kern w:val="0"/>
          <w14:ligatures w14:val="none"/>
        </w:rPr>
        <w:t xml:space="preserve"> conduct evidence-based public education</w:t>
      </w:r>
      <w:r w:rsidR="00433352" w:rsidRPr="005B1EB5">
        <w:rPr>
          <w:rFonts w:eastAsia="Times New Roman" w:cstheme="minorHAnsi"/>
          <w:kern w:val="0"/>
          <w14:ligatures w14:val="none"/>
        </w:rPr>
        <w:t xml:space="preserve"> in local communities</w:t>
      </w:r>
      <w:r w:rsidR="000B60FF" w:rsidRPr="005B1EB5">
        <w:rPr>
          <w:rFonts w:eastAsia="Times New Roman" w:cstheme="minorHAnsi"/>
          <w:kern w:val="0"/>
          <w14:ligatures w14:val="none"/>
        </w:rPr>
        <w:t xml:space="preserve">, </w:t>
      </w:r>
      <w:r w:rsidR="00756CA0" w:rsidRPr="005B1EB5">
        <w:rPr>
          <w:rFonts w:eastAsia="Times New Roman" w:cstheme="minorHAnsi"/>
          <w:kern w:val="0"/>
          <w14:ligatures w14:val="none"/>
        </w:rPr>
        <w:t xml:space="preserve">governments </w:t>
      </w:r>
      <w:r w:rsidR="000B60FF" w:rsidRPr="005B1EB5">
        <w:rPr>
          <w:rFonts w:eastAsia="Times New Roman" w:cstheme="minorHAnsi"/>
          <w:kern w:val="0"/>
          <w14:ligatures w14:val="none"/>
        </w:rPr>
        <w:t>or</w:t>
      </w:r>
      <w:r w:rsidR="00756CA0" w:rsidRPr="005B1EB5">
        <w:rPr>
          <w:rFonts w:eastAsia="Times New Roman" w:cstheme="minorHAnsi"/>
          <w:kern w:val="0"/>
          <w14:ligatures w14:val="none"/>
        </w:rPr>
        <w:t xml:space="preserve"> police</w:t>
      </w:r>
      <w:r w:rsidR="00D65E03" w:rsidRPr="005B1EB5">
        <w:rPr>
          <w:rFonts w:eastAsia="Times New Roman" w:cstheme="minorHAnsi"/>
          <w:kern w:val="0"/>
          <w14:ligatures w14:val="none"/>
        </w:rPr>
        <w:t xml:space="preserve">, </w:t>
      </w:r>
      <w:r w:rsidR="00433352" w:rsidRPr="005B1EB5">
        <w:rPr>
          <w:rFonts w:eastAsia="Times New Roman" w:cstheme="minorHAnsi"/>
          <w:kern w:val="0"/>
          <w14:ligatures w14:val="none"/>
        </w:rPr>
        <w:t xml:space="preserve">failed to make parallel investments in </w:t>
      </w:r>
      <w:r w:rsidR="00B66802" w:rsidRPr="005B1EB5">
        <w:rPr>
          <w:rFonts w:eastAsia="Times New Roman" w:cstheme="minorHAnsi"/>
          <w:kern w:val="0"/>
          <w14:ligatures w14:val="none"/>
        </w:rPr>
        <w:t xml:space="preserve">health services and housing, </w:t>
      </w:r>
      <w:r w:rsidR="008F7EE2" w:rsidRPr="005B1EB5">
        <w:rPr>
          <w:rFonts w:eastAsia="Times New Roman" w:cstheme="minorHAnsi"/>
          <w:kern w:val="0"/>
          <w14:ligatures w14:val="none"/>
        </w:rPr>
        <w:t xml:space="preserve">and </w:t>
      </w:r>
      <w:r w:rsidR="00753FF4" w:rsidRPr="005B1EB5">
        <w:rPr>
          <w:rFonts w:eastAsia="Times New Roman" w:cstheme="minorHAnsi"/>
          <w:kern w:val="0"/>
          <w14:ligatures w14:val="none"/>
        </w:rPr>
        <w:t>adopted language in public announcements that entrenched stigma</w:t>
      </w:r>
      <w:r w:rsidR="008F7EE2" w:rsidRPr="005B1EB5">
        <w:rPr>
          <w:rFonts w:eastAsia="Times New Roman" w:cstheme="minorHAnsi"/>
          <w:kern w:val="0"/>
          <w14:ligatures w14:val="none"/>
        </w:rPr>
        <w:t>. All of which set the stage for public misunderstanding and backlash.</w:t>
      </w:r>
    </w:p>
    <w:p w14:paraId="0A6C823D" w14:textId="3CD62375"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Amidst growing politicization of the </w:t>
      </w:r>
      <w:r w:rsidR="00293E8C" w:rsidRPr="005B1EB5">
        <w:rPr>
          <w:rFonts w:eastAsia="Times New Roman" w:cstheme="minorHAnsi"/>
          <w:kern w:val="0"/>
          <w14:ligatures w14:val="none"/>
        </w:rPr>
        <w:t xml:space="preserve">decriminalization </w:t>
      </w:r>
      <w:r w:rsidRPr="005B1EB5">
        <w:rPr>
          <w:rFonts w:eastAsia="Times New Roman" w:cstheme="minorHAnsi"/>
          <w:kern w:val="0"/>
          <w14:ligatures w14:val="none"/>
        </w:rPr>
        <w:t>policy, B.C. attempted to enact a law targeting homeless people who use drugs (outlined below at 3.2)</w:t>
      </w:r>
      <w:r w:rsidR="008D175B" w:rsidRPr="005B1EB5">
        <w:rPr>
          <w:rFonts w:eastAsia="Times New Roman" w:cstheme="minorHAnsi"/>
          <w:kern w:val="0"/>
          <w14:ligatures w14:val="none"/>
        </w:rPr>
        <w:t xml:space="preserve"> in November 2023,</w:t>
      </w:r>
      <w:r w:rsidRPr="005B1EB5">
        <w:rPr>
          <w:rFonts w:eastAsia="Times New Roman" w:cstheme="minorHAnsi"/>
          <w:kern w:val="0"/>
          <w14:ligatures w14:val="none"/>
        </w:rPr>
        <w:t xml:space="preserve"> and eventually recriminalized drug possession in public spaces in May 2024. Almost immediately, possession “offences” rebounded to rates nearly as high as pre-decriminalization. This change impacted people living in poverty, homeless people, and people without access to health and social services and safe places to consume drugs indoors. Notably, this change disproportionately harms racialized communities and Indigenous people who are disproportionately experiencing homelessness.</w:t>
      </w:r>
    </w:p>
    <w:p w14:paraId="7FCD1082" w14:textId="756B1E05"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B.C. </w:t>
      </w:r>
      <w:hyperlink r:id="rId70" w:history="1">
        <w:r w:rsidRPr="005B1EB5">
          <w:rPr>
            <w:rStyle w:val="Hyperlink"/>
            <w:rFonts w:asciiTheme="minorHAnsi" w:eastAsia="Times New Roman" w:hAnsiTheme="minorHAnsi" w:cstheme="minorHAnsi"/>
            <w:kern w:val="0"/>
            <w14:ligatures w14:val="none"/>
          </w:rPr>
          <w:t>abandoned decriminalization</w:t>
        </w:r>
      </w:hyperlink>
      <w:r w:rsidR="00DE49A7" w:rsidRPr="005B1EB5">
        <w:rPr>
          <w:rStyle w:val="EndnoteReference"/>
          <w:rFonts w:eastAsia="Times New Roman" w:cstheme="minorHAnsi"/>
          <w:kern w:val="0"/>
          <w14:ligatures w14:val="none"/>
        </w:rPr>
        <w:endnoteReference w:id="65"/>
      </w:r>
      <w:r w:rsidRPr="005B1EB5">
        <w:rPr>
          <w:rFonts w:eastAsia="Times New Roman" w:cstheme="minorHAnsi"/>
          <w:kern w:val="0"/>
          <w14:ligatures w14:val="none"/>
        </w:rPr>
        <w:t xml:space="preserve"> as of January 31, 2026. It is now once again a crime to possess small amounts of drugs for personal use.</w:t>
      </w:r>
    </w:p>
    <w:p w14:paraId="78FF4DD3" w14:textId="3993976E" w:rsidR="00F54184" w:rsidRPr="005B1EB5" w:rsidRDefault="004A7112"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D</w:t>
      </w:r>
      <w:r w:rsidR="00F54184" w:rsidRPr="005B1EB5">
        <w:rPr>
          <w:rFonts w:eastAsia="Times New Roman" w:cstheme="minorHAnsi"/>
          <w:kern w:val="0"/>
          <w14:ligatures w14:val="none"/>
        </w:rPr>
        <w:t xml:space="preserve">ecriminalization </w:t>
      </w:r>
      <w:r w:rsidR="008231E9" w:rsidRPr="005B1EB5">
        <w:rPr>
          <w:rFonts w:eastAsia="Times New Roman" w:cstheme="minorHAnsi"/>
          <w:kern w:val="0"/>
          <w14:ligatures w14:val="none"/>
        </w:rPr>
        <w:t>cannot</w:t>
      </w:r>
      <w:r w:rsidR="00F54184" w:rsidRPr="005B1EB5">
        <w:rPr>
          <w:rFonts w:eastAsia="Times New Roman" w:cstheme="minorHAnsi"/>
          <w:kern w:val="0"/>
          <w14:ligatures w14:val="none"/>
        </w:rPr>
        <w:t xml:space="preserve"> mitigate the harms caused by government failures to address the unregulated drug supply</w:t>
      </w:r>
      <w:r w:rsidRPr="005B1EB5">
        <w:rPr>
          <w:rFonts w:eastAsia="Times New Roman" w:cstheme="minorHAnsi"/>
          <w:kern w:val="0"/>
          <w14:ligatures w14:val="none"/>
        </w:rPr>
        <w:t>.</w:t>
      </w:r>
      <w:r w:rsidR="00F54184" w:rsidRPr="005B1EB5">
        <w:rPr>
          <w:rFonts w:eastAsia="Times New Roman" w:cstheme="minorHAnsi"/>
          <w:kern w:val="0"/>
          <w14:ligatures w14:val="none"/>
        </w:rPr>
        <w:t xml:space="preserve"> </w:t>
      </w:r>
      <w:r w:rsidRPr="005B1EB5">
        <w:rPr>
          <w:rFonts w:eastAsia="Times New Roman" w:cstheme="minorHAnsi"/>
          <w:kern w:val="0"/>
          <w14:ligatures w14:val="none"/>
        </w:rPr>
        <w:t xml:space="preserve">That said, its </w:t>
      </w:r>
      <w:r w:rsidR="00F54184" w:rsidRPr="005B1EB5">
        <w:rPr>
          <w:rFonts w:eastAsia="Times New Roman" w:cstheme="minorHAnsi"/>
          <w:kern w:val="0"/>
          <w14:ligatures w14:val="none"/>
        </w:rPr>
        <w:t>abandonment increase</w:t>
      </w:r>
      <w:r w:rsidRPr="005B1EB5">
        <w:rPr>
          <w:rFonts w:eastAsia="Times New Roman" w:cstheme="minorHAnsi"/>
          <w:kern w:val="0"/>
          <w14:ligatures w14:val="none"/>
        </w:rPr>
        <w:t>s</w:t>
      </w:r>
      <w:r w:rsidR="00F54184" w:rsidRPr="005B1EB5">
        <w:rPr>
          <w:rFonts w:eastAsia="Times New Roman" w:cstheme="minorHAnsi"/>
          <w:kern w:val="0"/>
          <w14:ligatures w14:val="none"/>
        </w:rPr>
        <w:t xml:space="preserve"> the foreseeable risk of death by increasing criminal justice involvement amongst people who use drugs and driving people to use drugs in isolation to avoid police surveillance. These impacts disproportionately impact and discriminate against Indigenous, Black and racialized communities, people without housing, and people living with disabilities.</w:t>
      </w:r>
    </w:p>
    <w:p w14:paraId="75598891" w14:textId="11A489D8"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Government failures to support proper implementation and education about decriminalization in B.C. has impacted other regions in Canada. Toronto, Ontario requested a CDSA exemption to decriminalize drug possession in 2022</w:t>
      </w:r>
      <w:r w:rsidR="0028412B" w:rsidRPr="005B1EB5">
        <w:rPr>
          <w:rFonts w:eastAsia="Times New Roman" w:cstheme="minorHAnsi"/>
          <w:kern w:val="0"/>
          <w14:ligatures w14:val="none"/>
        </w:rPr>
        <w:t>;</w:t>
      </w:r>
      <w:r w:rsidRPr="005B1EB5">
        <w:rPr>
          <w:rFonts w:eastAsia="Times New Roman" w:cstheme="minorHAnsi"/>
          <w:kern w:val="0"/>
          <w14:ligatures w14:val="none"/>
        </w:rPr>
        <w:t xml:space="preserve"> </w:t>
      </w:r>
      <w:r w:rsidR="009D38AD" w:rsidRPr="005B1EB5">
        <w:rPr>
          <w:rFonts w:eastAsia="Times New Roman" w:cstheme="minorHAnsi"/>
          <w:kern w:val="0"/>
          <w14:ligatures w14:val="none"/>
        </w:rPr>
        <w:t>their request</w:t>
      </w:r>
      <w:r w:rsidRPr="005B1EB5">
        <w:rPr>
          <w:rFonts w:eastAsia="Times New Roman" w:cstheme="minorHAnsi"/>
          <w:kern w:val="0"/>
          <w14:ligatures w14:val="none"/>
        </w:rPr>
        <w:t xml:space="preserve"> was </w:t>
      </w:r>
      <w:hyperlink r:id="rId71" w:history="1">
        <w:r w:rsidRPr="005B1EB5">
          <w:rPr>
            <w:rStyle w:val="Hyperlink"/>
            <w:rFonts w:asciiTheme="minorHAnsi" w:eastAsia="Times New Roman" w:hAnsiTheme="minorHAnsi" w:cstheme="minorHAnsi"/>
            <w:kern w:val="0"/>
            <w14:ligatures w14:val="none"/>
          </w:rPr>
          <w:t>rejected</w:t>
        </w:r>
      </w:hyperlink>
      <w:r w:rsidR="000626FF" w:rsidRPr="005B1EB5">
        <w:rPr>
          <w:rStyle w:val="EndnoteReference"/>
          <w:rFonts w:cstheme="minorHAnsi"/>
        </w:rPr>
        <w:endnoteReference w:id="66"/>
      </w:r>
      <w:r w:rsidRPr="005B1EB5">
        <w:rPr>
          <w:rFonts w:eastAsia="Times New Roman" w:cstheme="minorHAnsi"/>
          <w:kern w:val="0"/>
          <w14:ligatures w14:val="none"/>
        </w:rPr>
        <w:t xml:space="preserve"> by the Government of Canada in May 2024.</w:t>
      </w:r>
    </w:p>
    <w:p w14:paraId="06D918B1" w14:textId="5992750F"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The province of Ontario went a step further in 2024, introducing a </w:t>
      </w:r>
      <w:hyperlink r:id="rId72" w:history="1">
        <w:r w:rsidRPr="005B1EB5">
          <w:rPr>
            <w:rStyle w:val="Hyperlink"/>
            <w:rFonts w:asciiTheme="minorHAnsi" w:eastAsia="Times New Roman" w:hAnsiTheme="minorHAnsi" w:cstheme="minorHAnsi"/>
            <w:kern w:val="0"/>
            <w14:ligatures w14:val="none"/>
          </w:rPr>
          <w:t>law</w:t>
        </w:r>
      </w:hyperlink>
      <w:r w:rsidR="00F229BD" w:rsidRPr="005B1EB5">
        <w:rPr>
          <w:rStyle w:val="EndnoteReference"/>
          <w:rFonts w:eastAsia="Times New Roman" w:cstheme="minorHAnsi"/>
          <w:kern w:val="0"/>
          <w14:ligatures w14:val="none"/>
        </w:rPr>
        <w:endnoteReference w:id="67"/>
      </w:r>
      <w:r w:rsidRPr="005B1EB5">
        <w:rPr>
          <w:rFonts w:eastAsia="Times New Roman" w:cstheme="minorHAnsi"/>
          <w:kern w:val="0"/>
          <w14:ligatures w14:val="none"/>
        </w:rPr>
        <w:t xml:space="preserve"> that prohibits municipalities and local health boards from applying for any form of decriminalization exemption.</w:t>
      </w:r>
    </w:p>
    <w:p w14:paraId="5194F513" w14:textId="77777777" w:rsidR="00F54184" w:rsidRPr="005B1EB5" w:rsidRDefault="00F54184" w:rsidP="00F54184">
      <w:pPr>
        <w:spacing w:before="100" w:beforeAutospacing="1" w:after="100" w:afterAutospacing="1"/>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3.2 Criminalizing survival activities in public spaces</w:t>
      </w:r>
    </w:p>
    <w:p w14:paraId="5A8AAB46" w14:textId="634D87AD"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In Canada, most public space is regulated through municipal bylaws and other provincial, territorial or federal land use legislation</w:t>
      </w:r>
      <w:r w:rsidR="0074527D" w:rsidRPr="005B1EB5">
        <w:rPr>
          <w:rFonts w:eastAsia="Times New Roman" w:cstheme="minorHAnsi"/>
          <w:kern w:val="0"/>
          <w14:ligatures w14:val="none"/>
        </w:rPr>
        <w:t xml:space="preserve">. These overlapping </w:t>
      </w:r>
      <w:r w:rsidR="00C91E05" w:rsidRPr="005B1EB5">
        <w:rPr>
          <w:rFonts w:eastAsia="Times New Roman" w:cstheme="minorHAnsi"/>
          <w:kern w:val="0"/>
          <w14:ligatures w14:val="none"/>
        </w:rPr>
        <w:t xml:space="preserve">laws and policies </w:t>
      </w:r>
      <w:r w:rsidRPr="005B1EB5">
        <w:rPr>
          <w:rFonts w:eastAsia="Times New Roman" w:cstheme="minorHAnsi"/>
          <w:kern w:val="0"/>
          <w14:ligatures w14:val="none"/>
        </w:rPr>
        <w:t xml:space="preserve">frequently criminalize activities related to drug use that occur at the intersection of poverty and homelessness. Rights violations against people living in encampments </w:t>
      </w:r>
      <w:r w:rsidR="00307792" w:rsidRPr="005B1EB5">
        <w:rPr>
          <w:rFonts w:eastAsia="Times New Roman" w:cstheme="minorHAnsi"/>
          <w:kern w:val="0"/>
          <w14:ligatures w14:val="none"/>
        </w:rPr>
        <w:t>are</w:t>
      </w:r>
      <w:r w:rsidRPr="005B1EB5">
        <w:rPr>
          <w:rFonts w:eastAsia="Times New Roman" w:cstheme="minorHAnsi"/>
          <w:kern w:val="0"/>
          <w14:ligatures w14:val="none"/>
        </w:rPr>
        <w:t xml:space="preserve"> more fully outlined in the “</w:t>
      </w:r>
      <w:hyperlink r:id="rId73" w:history="1">
        <w:r w:rsidRPr="005B1EB5">
          <w:rPr>
            <w:rStyle w:val="Hyperlink"/>
            <w:rFonts w:asciiTheme="minorHAnsi" w:eastAsia="Times New Roman" w:hAnsiTheme="minorHAnsi" w:cstheme="minorHAnsi"/>
            <w:kern w:val="0"/>
            <w14:ligatures w14:val="none"/>
          </w:rPr>
          <w:t>Right to Life &amp; Ending Homelessness in Canada</w:t>
        </w:r>
      </w:hyperlink>
      <w:r w:rsidRPr="005B1EB5">
        <w:rPr>
          <w:rFonts w:eastAsia="Times New Roman" w:cstheme="minorHAnsi"/>
          <w:kern w:val="0"/>
          <w14:ligatures w14:val="none"/>
        </w:rPr>
        <w:t>”</w:t>
      </w:r>
      <w:r w:rsidR="00020C03" w:rsidRPr="005B1EB5">
        <w:rPr>
          <w:rStyle w:val="EndnoteReference"/>
          <w:rFonts w:eastAsia="Times New Roman" w:cstheme="minorHAnsi"/>
          <w:kern w:val="0"/>
          <w14:ligatures w14:val="none"/>
        </w:rPr>
        <w:endnoteReference w:id="68"/>
      </w:r>
      <w:r w:rsidRPr="005B1EB5">
        <w:rPr>
          <w:rFonts w:eastAsia="Times New Roman" w:cstheme="minorHAnsi"/>
          <w:kern w:val="0"/>
          <w14:ligatures w14:val="none"/>
        </w:rPr>
        <w:t xml:space="preserve"> civil society submission.</w:t>
      </w:r>
    </w:p>
    <w:p w14:paraId="14D98050" w14:textId="78616BEC"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Due to the increasing toxicity and unpredictability of unregulated drugs, </w:t>
      </w:r>
      <w:hyperlink r:id="rId74" w:history="1">
        <w:r w:rsidRPr="005B1EB5">
          <w:rPr>
            <w:rStyle w:val="Hyperlink"/>
            <w:rFonts w:asciiTheme="minorHAnsi" w:eastAsia="Times New Roman" w:hAnsiTheme="minorHAnsi" w:cstheme="minorHAnsi"/>
            <w:kern w:val="0"/>
            <w14:ligatures w14:val="none"/>
          </w:rPr>
          <w:t>public spaces can be the safest place to use drugs</w:t>
        </w:r>
      </w:hyperlink>
      <w:r w:rsidR="00914073" w:rsidRPr="005B1EB5">
        <w:rPr>
          <w:rStyle w:val="EndnoteReference"/>
          <w:rFonts w:eastAsia="Times New Roman" w:cstheme="minorHAnsi"/>
          <w:kern w:val="0"/>
          <w14:ligatures w14:val="none"/>
        </w:rPr>
        <w:endnoteReference w:id="69"/>
      </w:r>
      <w:r w:rsidRPr="005B1EB5">
        <w:rPr>
          <w:rFonts w:eastAsia="Times New Roman" w:cstheme="minorHAnsi"/>
          <w:kern w:val="0"/>
          <w14:ligatures w14:val="none"/>
        </w:rPr>
        <w:t xml:space="preserve"> to ensure proximity to others and access to emergency health care, outreach services, and harm reduction support in the event of a drug poisoning. People with no housing or shelter access </w:t>
      </w:r>
      <w:r w:rsidR="00192C78" w:rsidRPr="005B1EB5">
        <w:rPr>
          <w:rFonts w:eastAsia="Times New Roman" w:cstheme="minorHAnsi"/>
          <w:kern w:val="0"/>
          <w14:ligatures w14:val="none"/>
        </w:rPr>
        <w:t xml:space="preserve">live their lives in public </w:t>
      </w:r>
      <w:r w:rsidR="002D2AB1" w:rsidRPr="005B1EB5">
        <w:rPr>
          <w:rFonts w:eastAsia="Times New Roman" w:cstheme="minorHAnsi"/>
          <w:kern w:val="0"/>
          <w14:ligatures w14:val="none"/>
        </w:rPr>
        <w:t>spaces and</w:t>
      </w:r>
      <w:r w:rsidR="00192C78" w:rsidRPr="005B1EB5">
        <w:rPr>
          <w:rFonts w:eastAsia="Times New Roman" w:cstheme="minorHAnsi"/>
          <w:kern w:val="0"/>
          <w14:ligatures w14:val="none"/>
        </w:rPr>
        <w:t xml:space="preserve"> </w:t>
      </w:r>
      <w:r w:rsidRPr="005B1EB5">
        <w:rPr>
          <w:rFonts w:eastAsia="Times New Roman" w:cstheme="minorHAnsi"/>
          <w:kern w:val="0"/>
          <w14:ligatures w14:val="none"/>
        </w:rPr>
        <w:t>may have nowhere else</w:t>
      </w:r>
      <w:r w:rsidR="002D2AB1" w:rsidRPr="005B1EB5">
        <w:rPr>
          <w:rFonts w:eastAsia="Times New Roman" w:cstheme="minorHAnsi"/>
          <w:kern w:val="0"/>
          <w14:ligatures w14:val="none"/>
        </w:rPr>
        <w:t xml:space="preserve"> to use</w:t>
      </w:r>
      <w:r w:rsidRPr="005B1EB5">
        <w:rPr>
          <w:rFonts w:eastAsia="Times New Roman" w:cstheme="minorHAnsi"/>
          <w:kern w:val="0"/>
          <w14:ligatures w14:val="none"/>
        </w:rPr>
        <w:t>.</w:t>
      </w:r>
    </w:p>
    <w:p w14:paraId="771C3568" w14:textId="5D51F3C9"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Provincial laws </w:t>
      </w:r>
      <w:r w:rsidR="00192C78" w:rsidRPr="005B1EB5">
        <w:rPr>
          <w:rFonts w:eastAsia="Times New Roman" w:cstheme="minorHAnsi"/>
          <w:kern w:val="0"/>
          <w14:ligatures w14:val="none"/>
        </w:rPr>
        <w:t xml:space="preserve">and </w:t>
      </w:r>
      <w:r w:rsidRPr="005B1EB5">
        <w:rPr>
          <w:rFonts w:eastAsia="Times New Roman" w:cstheme="minorHAnsi"/>
          <w:kern w:val="0"/>
          <w14:ligatures w14:val="none"/>
        </w:rPr>
        <w:t xml:space="preserve">Municipal bylaws increasingly </w:t>
      </w:r>
      <w:r w:rsidR="00192C78" w:rsidRPr="005B1EB5">
        <w:rPr>
          <w:rFonts w:eastAsia="Times New Roman" w:cstheme="minorHAnsi"/>
          <w:kern w:val="0"/>
          <w14:ligatures w14:val="none"/>
        </w:rPr>
        <w:t>seek</w:t>
      </w:r>
      <w:r w:rsidRPr="005B1EB5">
        <w:rPr>
          <w:rFonts w:eastAsia="Times New Roman" w:cstheme="minorHAnsi"/>
          <w:kern w:val="0"/>
          <w14:ligatures w14:val="none"/>
        </w:rPr>
        <w:t xml:space="preserve"> to criminalize drug use and survival activities in public spaces. People without housing can be fined, displaced, detained, or have </w:t>
      </w:r>
      <w:r w:rsidRPr="005B1EB5">
        <w:rPr>
          <w:rFonts w:eastAsia="Times New Roman" w:cstheme="minorHAnsi"/>
          <w:kern w:val="0"/>
          <w14:ligatures w14:val="none"/>
        </w:rPr>
        <w:lastRenderedPageBreak/>
        <w:t>property seized</w:t>
      </w:r>
      <w:r w:rsidR="00A43A31" w:rsidRPr="005B1EB5">
        <w:rPr>
          <w:rFonts w:eastAsia="Times New Roman" w:cstheme="minorHAnsi"/>
          <w:kern w:val="0"/>
          <w14:ligatures w14:val="none"/>
        </w:rPr>
        <w:t xml:space="preserve"> as a result o</w:t>
      </w:r>
      <w:r w:rsidR="003D1D54" w:rsidRPr="005B1EB5">
        <w:rPr>
          <w:rFonts w:eastAsia="Times New Roman" w:cstheme="minorHAnsi"/>
          <w:kern w:val="0"/>
          <w14:ligatures w14:val="none"/>
        </w:rPr>
        <w:t>f such activities</w:t>
      </w:r>
      <w:r w:rsidRPr="005B1EB5">
        <w:rPr>
          <w:rFonts w:eastAsia="Times New Roman" w:cstheme="minorHAnsi"/>
          <w:kern w:val="0"/>
          <w14:ligatures w14:val="none"/>
        </w:rPr>
        <w:t xml:space="preserve">. Under some laws, people convicted of a public space offence can face incarceration. These measures force people to use drugs in isolated areas where overdose risk increases as emergency response is unavailable. </w:t>
      </w:r>
    </w:p>
    <w:p w14:paraId="1039C767" w14:textId="7252134D" w:rsidR="00F54184" w:rsidRPr="005B1EB5" w:rsidRDefault="00F54184" w:rsidP="6D73329F">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CDPC and Pivot Legal Society </w:t>
      </w:r>
      <w:hyperlink r:id="rId75" w:history="1">
        <w:r w:rsidRPr="005B1EB5">
          <w:rPr>
            <w:rStyle w:val="Hyperlink"/>
            <w:rFonts w:asciiTheme="minorHAnsi" w:eastAsia="Times New Roman" w:hAnsiTheme="minorHAnsi" w:cstheme="minorHAnsi"/>
            <w:kern w:val="0"/>
            <w14:ligatures w14:val="none"/>
          </w:rPr>
          <w:t>voiced many of these concerns</w:t>
        </w:r>
      </w:hyperlink>
      <w:r w:rsidR="00E30D1D" w:rsidRPr="005B1EB5">
        <w:rPr>
          <w:rStyle w:val="EndnoteReference"/>
          <w:rFonts w:cstheme="minorHAnsi"/>
        </w:rPr>
        <w:endnoteReference w:id="70"/>
      </w:r>
      <w:r w:rsidRPr="005B1EB5">
        <w:rPr>
          <w:rFonts w:eastAsia="Times New Roman" w:cstheme="minorHAnsi"/>
          <w:kern w:val="0"/>
          <w14:ligatures w14:val="none"/>
        </w:rPr>
        <w:t xml:space="preserve"> with the United Nations Office of the High Commissioner on Human Rights in 2023. Despite this, </w:t>
      </w:r>
      <w:r w:rsidR="00ED1644" w:rsidRPr="005B1EB5">
        <w:rPr>
          <w:rFonts w:eastAsia="Times New Roman" w:cstheme="minorHAnsi"/>
          <w:kern w:val="0"/>
          <w14:ligatures w14:val="none"/>
        </w:rPr>
        <w:t xml:space="preserve">provinces and municipalities continue to </w:t>
      </w:r>
      <w:r w:rsidR="00B508F4" w:rsidRPr="005B1EB5">
        <w:rPr>
          <w:rFonts w:eastAsia="Times New Roman" w:cstheme="minorHAnsi"/>
          <w:kern w:val="0"/>
          <w14:ligatures w14:val="none"/>
        </w:rPr>
        <w:t xml:space="preserve">implement </w:t>
      </w:r>
      <w:r w:rsidRPr="005B1EB5">
        <w:rPr>
          <w:rFonts w:eastAsia="Times New Roman" w:cstheme="minorHAnsi"/>
          <w:kern w:val="0"/>
          <w14:ligatures w14:val="none"/>
        </w:rPr>
        <w:t>new laws</w:t>
      </w:r>
      <w:r w:rsidR="00B508F4" w:rsidRPr="005B1EB5">
        <w:rPr>
          <w:rFonts w:eastAsia="Times New Roman" w:cstheme="minorHAnsi"/>
          <w:kern w:val="0"/>
          <w14:ligatures w14:val="none"/>
        </w:rPr>
        <w:t xml:space="preserve"> and bylaws that drive harm</w:t>
      </w:r>
      <w:r w:rsidRPr="005B1EB5">
        <w:rPr>
          <w:rFonts w:eastAsia="Times New Roman" w:cstheme="minorHAnsi"/>
          <w:kern w:val="0"/>
          <w14:ligatures w14:val="none"/>
        </w:rPr>
        <w:t>.</w:t>
      </w:r>
    </w:p>
    <w:p w14:paraId="13A36E32" w14:textId="500DB573" w:rsidR="00F54184" w:rsidRPr="005B1EB5" w:rsidRDefault="00F54184" w:rsidP="6D73329F">
      <w:pPr>
        <w:pStyle w:val="ListParagraph"/>
        <w:numPr>
          <w:ilvl w:val="0"/>
          <w:numId w:val="4"/>
        </w:numPr>
        <w:spacing w:before="100" w:beforeAutospacing="1"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Notably, </w:t>
      </w:r>
      <w:r w:rsidR="00541502" w:rsidRPr="005B1EB5">
        <w:rPr>
          <w:rFonts w:eastAsia="Times New Roman" w:cstheme="minorHAnsi"/>
          <w:kern w:val="0"/>
          <w14:ligatures w14:val="none"/>
        </w:rPr>
        <w:t>a</w:t>
      </w:r>
      <w:r w:rsidRPr="005B1EB5">
        <w:rPr>
          <w:rFonts w:eastAsia="Times New Roman" w:cstheme="minorHAnsi"/>
          <w:kern w:val="0"/>
          <w14:ligatures w14:val="none"/>
        </w:rPr>
        <w:t xml:space="preserve"> in B.C. that sought to prohibit drug use in numerous public spaces and create offences and punishments (including fines and possible incarceration) was stopped from being implemented by the </w:t>
      </w:r>
      <w:hyperlink r:id="rId76" w:history="1">
        <w:r w:rsidRPr="005B1EB5">
          <w:rPr>
            <w:rStyle w:val="Hyperlink"/>
            <w:rFonts w:asciiTheme="minorHAnsi" w:eastAsia="Times New Roman" w:hAnsiTheme="minorHAnsi" w:cstheme="minorHAnsi"/>
            <w:kern w:val="0"/>
            <w14:ligatures w14:val="none"/>
          </w:rPr>
          <w:t>Supreme Court of British Columbia</w:t>
        </w:r>
      </w:hyperlink>
      <w:r w:rsidR="00E7361D" w:rsidRPr="005B1EB5">
        <w:rPr>
          <w:rStyle w:val="EndnoteReference"/>
          <w:rFonts w:eastAsia="Times New Roman" w:cstheme="minorHAnsi"/>
          <w:kern w:val="0"/>
          <w14:ligatures w14:val="none"/>
        </w:rPr>
        <w:endnoteReference w:id="71"/>
      </w:r>
      <w:r w:rsidRPr="005B1EB5">
        <w:rPr>
          <w:rFonts w:eastAsia="Times New Roman" w:cstheme="minorHAnsi"/>
          <w:kern w:val="0"/>
          <w14:ligatures w14:val="none"/>
        </w:rPr>
        <w:t>. The Court found that “the unregulated nature of the illegal drug supply is the predominant cause of increasing death rates in British Columbia” and that in this context “irreparable harm will be caused if the Act comes into force” – including increased risk of death.</w:t>
      </w:r>
      <w:r w:rsidR="00152617" w:rsidRPr="005B1EB5">
        <w:rPr>
          <w:rFonts w:eastAsia="Times New Roman" w:cstheme="minorHAnsi"/>
          <w:kern w:val="0"/>
          <w14:ligatures w14:val="none"/>
        </w:rPr>
        <w:t xml:space="preserve"> </w:t>
      </w:r>
      <w:r w:rsidR="00B07560" w:rsidRPr="005B1EB5">
        <w:rPr>
          <w:rFonts w:eastAsia="Times New Roman" w:cstheme="minorHAnsi"/>
          <w:kern w:val="0"/>
          <w14:ligatures w14:val="none"/>
        </w:rPr>
        <w:t>The Court acknowledged “it</w:t>
      </w:r>
      <w:r w:rsidR="00152617" w:rsidRPr="005B1EB5">
        <w:rPr>
          <w:rFonts w:eastAsia="Times New Roman" w:cstheme="minorHAnsi"/>
          <w:kern w:val="0"/>
          <w14:ligatures w14:val="none"/>
        </w:rPr>
        <w:t xml:space="preserve"> is apparent that public consumption and consuming drugs in the company of others is oftentimes the safest, healthiest, and/or only available option for an individual, given a dire lack of supervised consumption services, indoor locations to consume drugs, and housing.” </w:t>
      </w:r>
    </w:p>
    <w:p w14:paraId="2018E470" w14:textId="28020F83" w:rsidR="00F54184" w:rsidRPr="005B1EB5" w:rsidRDefault="00F54184" w:rsidP="6D73329F">
      <w:pPr>
        <w:pStyle w:val="ListParagraph"/>
        <w:numPr>
          <w:ilvl w:val="0"/>
          <w:numId w:val="4"/>
        </w:numPr>
        <w:spacing w:before="100" w:beforeAutospacing="1"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Despite this court decision, </w:t>
      </w:r>
      <w:hyperlink r:id="rId77" w:history="1">
        <w:r w:rsidRPr="005B1EB5">
          <w:rPr>
            <w:rStyle w:val="Hyperlink"/>
            <w:rFonts w:asciiTheme="minorHAnsi" w:eastAsia="Times New Roman" w:hAnsiTheme="minorHAnsi" w:cstheme="minorHAnsi"/>
            <w:kern w:val="0"/>
            <w14:ligatures w14:val="none"/>
          </w:rPr>
          <w:t>Ontario implemented</w:t>
        </w:r>
      </w:hyperlink>
      <w:r w:rsidR="0006406A" w:rsidRPr="005B1EB5">
        <w:rPr>
          <w:rStyle w:val="EndnoteReference"/>
          <w:rFonts w:eastAsia="Times New Roman" w:cstheme="minorHAnsi"/>
          <w:kern w:val="0"/>
          <w14:ligatures w14:val="none"/>
        </w:rPr>
        <w:endnoteReference w:id="72"/>
      </w:r>
      <w:r w:rsidRPr="005B1EB5">
        <w:rPr>
          <w:rFonts w:eastAsia="Times New Roman" w:cstheme="minorHAnsi"/>
          <w:kern w:val="0"/>
          <w14:ligatures w14:val="none"/>
        </w:rPr>
        <w:t xml:space="preserve"> a similar – though more </w:t>
      </w:r>
      <w:r w:rsidR="0040418D" w:rsidRPr="005B1EB5">
        <w:rPr>
          <w:rFonts w:eastAsia="Times New Roman" w:cstheme="minorHAnsi"/>
          <w:kern w:val="0"/>
          <w14:ligatures w14:val="none"/>
        </w:rPr>
        <w:t>punitive</w:t>
      </w:r>
      <w:r w:rsidRPr="005B1EB5">
        <w:rPr>
          <w:rFonts w:eastAsia="Times New Roman" w:cstheme="minorHAnsi"/>
          <w:kern w:val="0"/>
          <w14:ligatures w14:val="none"/>
        </w:rPr>
        <w:t xml:space="preserve"> – law in 2025. Under Ontario’s law, anyone who is suspected to be consuming an illegal substance in a public space can be directed by a police officer to leave the area </w:t>
      </w:r>
      <w:r w:rsidR="00812A7B" w:rsidRPr="005B1EB5">
        <w:rPr>
          <w:rFonts w:eastAsia="Times New Roman" w:cstheme="minorHAnsi"/>
          <w:kern w:val="0"/>
          <w14:ligatures w14:val="none"/>
        </w:rPr>
        <w:t xml:space="preserve">(this </w:t>
      </w:r>
      <w:r w:rsidRPr="005B1EB5">
        <w:rPr>
          <w:rFonts w:eastAsia="Times New Roman" w:cstheme="minorHAnsi"/>
          <w:kern w:val="0"/>
          <w14:ligatures w14:val="none"/>
        </w:rPr>
        <w:t>includ</w:t>
      </w:r>
      <w:r w:rsidR="00812A7B" w:rsidRPr="005B1EB5">
        <w:rPr>
          <w:rFonts w:eastAsia="Times New Roman" w:cstheme="minorHAnsi"/>
          <w:kern w:val="0"/>
          <w14:ligatures w14:val="none"/>
        </w:rPr>
        <w:t>es</w:t>
      </w:r>
      <w:r w:rsidRPr="005B1EB5">
        <w:rPr>
          <w:rFonts w:eastAsia="Times New Roman" w:cstheme="minorHAnsi"/>
          <w:kern w:val="0"/>
          <w14:ligatures w14:val="none"/>
        </w:rPr>
        <w:t xml:space="preserve"> a dwelling or tent</w:t>
      </w:r>
      <w:r w:rsidR="00812A7B" w:rsidRPr="005B1EB5">
        <w:rPr>
          <w:rFonts w:eastAsia="Times New Roman" w:cstheme="minorHAnsi"/>
          <w:kern w:val="0"/>
          <w14:ligatures w14:val="none"/>
        </w:rPr>
        <w:t>)</w:t>
      </w:r>
      <w:r w:rsidRPr="005B1EB5">
        <w:rPr>
          <w:rFonts w:eastAsia="Times New Roman" w:cstheme="minorHAnsi"/>
          <w:kern w:val="0"/>
          <w14:ligatures w14:val="none"/>
        </w:rPr>
        <w:t xml:space="preserve">, can have their drugs seized and, if convicted of an offence, </w:t>
      </w:r>
      <w:r w:rsidRPr="005B1EB5">
        <w:rPr>
          <w:rFonts w:eastAsia="Open Sans" w:cstheme="minorHAnsi"/>
        </w:rPr>
        <w:t xml:space="preserve">can be </w:t>
      </w:r>
      <w:r w:rsidR="592285D6" w:rsidRPr="005B1EB5">
        <w:rPr>
          <w:rFonts w:eastAsia="Open Sans" w:cstheme="minorHAnsi"/>
        </w:rPr>
        <w:t>fined</w:t>
      </w:r>
      <w:r w:rsidRPr="005B1EB5">
        <w:rPr>
          <w:rFonts w:eastAsia="Open Sans" w:cstheme="minorHAnsi"/>
        </w:rPr>
        <w:t xml:space="preserve"> of up to $10,000 and/</w:t>
      </w:r>
      <w:r w:rsidR="592285D6" w:rsidRPr="005B1EB5">
        <w:rPr>
          <w:rFonts w:eastAsia="Open Sans" w:cstheme="minorHAnsi"/>
        </w:rPr>
        <w:t>or imprisoned</w:t>
      </w:r>
      <w:r w:rsidRPr="005B1EB5">
        <w:rPr>
          <w:rFonts w:eastAsia="Open Sans" w:cstheme="minorHAnsi"/>
        </w:rPr>
        <w:t xml:space="preserve"> for up to six months</w:t>
      </w:r>
      <w:r w:rsidRPr="005B1EB5">
        <w:rPr>
          <w:rFonts w:eastAsia="Times New Roman" w:cstheme="minorHAnsi"/>
          <w:kern w:val="0"/>
          <w14:ligatures w14:val="none"/>
        </w:rPr>
        <w:t xml:space="preserve">. </w:t>
      </w:r>
    </w:p>
    <w:p w14:paraId="7B8DDA2C" w14:textId="000B3364" w:rsidR="00937B47" w:rsidRPr="005B1EB5" w:rsidRDefault="002F0F99" w:rsidP="007E629B">
      <w:pPr>
        <w:pStyle w:val="ListParagraph"/>
        <w:numPr>
          <w:ilvl w:val="0"/>
          <w:numId w:val="4"/>
        </w:numPr>
        <w:spacing w:before="100" w:beforeAutospacing="1" w:after="120"/>
        <w:contextualSpacing w:val="0"/>
        <w:jc w:val="both"/>
        <w:rPr>
          <w:rFonts w:eastAsia="Times New Roman" w:cstheme="minorHAnsi"/>
          <w:kern w:val="0"/>
          <w14:ligatures w14:val="none"/>
        </w:rPr>
      </w:pPr>
      <w:r w:rsidRPr="005B1EB5">
        <w:rPr>
          <w:rFonts w:eastAsia="Times New Roman" w:cstheme="minorHAnsi"/>
          <w:kern w:val="0"/>
          <w14:ligatures w14:val="none"/>
        </w:rPr>
        <w:t>The r</w:t>
      </w:r>
      <w:r w:rsidR="00F54184" w:rsidRPr="005B1EB5">
        <w:rPr>
          <w:rFonts w:eastAsia="Times New Roman" w:cstheme="minorHAnsi"/>
          <w:kern w:val="0"/>
          <w14:ligatures w14:val="none"/>
        </w:rPr>
        <w:t xml:space="preserve">esulting displacement, incarceration, and police seizure of drugs or drug use equipment can lead to </w:t>
      </w:r>
      <w:hyperlink r:id="rId78" w:history="1">
        <w:r w:rsidR="00F54184" w:rsidRPr="005B1EB5">
          <w:rPr>
            <w:rStyle w:val="Hyperlink"/>
            <w:rFonts w:asciiTheme="minorHAnsi" w:eastAsia="Times New Roman" w:hAnsiTheme="minorHAnsi" w:cstheme="minorHAnsi"/>
            <w:kern w:val="0"/>
            <w14:ligatures w14:val="none"/>
          </w:rPr>
          <w:t>increased overdose risk and mortality</w:t>
        </w:r>
      </w:hyperlink>
      <w:r w:rsidR="007E4724" w:rsidRPr="005B1EB5">
        <w:rPr>
          <w:rStyle w:val="EndnoteReference"/>
          <w:rFonts w:eastAsia="Times New Roman" w:cstheme="minorHAnsi"/>
          <w:kern w:val="0"/>
          <w14:ligatures w14:val="none"/>
        </w:rPr>
        <w:endnoteReference w:id="73"/>
      </w:r>
      <w:r w:rsidR="00F54184" w:rsidRPr="005B1EB5">
        <w:rPr>
          <w:rFonts w:eastAsia="Times New Roman" w:cstheme="minorHAnsi"/>
          <w:kern w:val="0"/>
          <w14:ligatures w14:val="none"/>
        </w:rPr>
        <w:t>, directly engaging the right to life. The broad police discretion authorized under these laws to detain or remove individuals based on suspicion of drug use also raises concerns of arbitrary detention under Article 9 and discriminatory enforcement under Article 26.</w:t>
      </w:r>
    </w:p>
    <w:p w14:paraId="5D7A0FD1" w14:textId="065D6B30" w:rsidR="000A0748" w:rsidRPr="005B1EB5" w:rsidRDefault="00587E4E" w:rsidP="007128B1">
      <w:pPr>
        <w:spacing w:before="100" w:beforeAutospacing="1" w:after="100" w:afterAutospacing="1"/>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 xml:space="preserve">3.3 </w:t>
      </w:r>
      <w:r w:rsidR="000A0748" w:rsidRPr="005B1EB5">
        <w:rPr>
          <w:rFonts w:ascii="Arial" w:eastAsia="Times New Roman" w:hAnsi="Arial" w:cs="Arial"/>
          <w:b/>
          <w:bCs/>
          <w:kern w:val="0"/>
          <w:sz w:val="22"/>
          <w:szCs w:val="22"/>
          <w14:ligatures w14:val="none"/>
        </w:rPr>
        <w:t>Introducing involuntary treatment regimes and “secure” health facilities</w:t>
      </w:r>
    </w:p>
    <w:p w14:paraId="2172D139" w14:textId="4C48029F" w:rsidR="2EA4CDB4" w:rsidRPr="005B1EB5" w:rsidRDefault="2EA4CDB4" w:rsidP="00D63AC0">
      <w:pPr>
        <w:pStyle w:val="ListParagraph"/>
        <w:numPr>
          <w:ilvl w:val="0"/>
          <w:numId w:val="4"/>
        </w:numPr>
        <w:spacing w:after="120"/>
        <w:contextualSpacing w:val="0"/>
        <w:jc w:val="both"/>
        <w:rPr>
          <w:rFonts w:eastAsia="Open Sans" w:cstheme="minorHAnsi"/>
        </w:rPr>
      </w:pPr>
      <w:r w:rsidRPr="005B1EB5">
        <w:rPr>
          <w:rFonts w:eastAsia="Open Sans" w:cstheme="minorHAnsi"/>
        </w:rPr>
        <w:t xml:space="preserve">Canadian provinces already have laws allowing people to be detained against their will for mental health reasons causing danger to oneself or others. While these laws may require reform to ensure they respect rights and bodily autonomy, they do have mechanisms to allow people to request review of their detention and they </w:t>
      </w:r>
      <w:r w:rsidRPr="005B1EB5">
        <w:rPr>
          <w:rFonts w:eastAsia="Open Sans" w:cstheme="minorHAnsi"/>
          <w:i/>
          <w:iCs/>
        </w:rPr>
        <w:t xml:space="preserve">should </w:t>
      </w:r>
      <w:r w:rsidRPr="005B1EB5">
        <w:rPr>
          <w:rFonts w:eastAsia="Open Sans" w:cstheme="minorHAnsi"/>
        </w:rPr>
        <w:t>be used in only the most serious of circumstances based on reliable information and informed by best available evidence. People who use drugs are already increasingly detained under these laws, often when experiencing a combination of mental health symptoms and unregulated drug-related intoxication. These laws are intended as a last resort for the treatment of serious mental health conditions – not for addictions treatment.</w:t>
      </w:r>
    </w:p>
    <w:p w14:paraId="74A91597" w14:textId="41FA969B" w:rsidR="2EA4CDB4" w:rsidRPr="005B1EB5" w:rsidRDefault="2EA4CDB4" w:rsidP="00D63AC0">
      <w:pPr>
        <w:pStyle w:val="ListParagraph"/>
        <w:numPr>
          <w:ilvl w:val="0"/>
          <w:numId w:val="4"/>
        </w:numPr>
        <w:spacing w:after="120"/>
        <w:contextualSpacing w:val="0"/>
        <w:jc w:val="both"/>
        <w:rPr>
          <w:rFonts w:eastAsia="Open Sans" w:cstheme="minorHAnsi"/>
        </w:rPr>
      </w:pPr>
      <w:r w:rsidRPr="005B1EB5">
        <w:rPr>
          <w:rFonts w:eastAsia="Open Sans" w:cstheme="minorHAnsi"/>
        </w:rPr>
        <w:t xml:space="preserve">In the last two years, some provinces have begun prioritizing policies to detain people and </w:t>
      </w:r>
      <w:hyperlink r:id="rId79" w:history="1">
        <w:r w:rsidRPr="005B1EB5">
          <w:rPr>
            <w:rStyle w:val="Hyperlink"/>
            <w:rFonts w:asciiTheme="minorHAnsi" w:eastAsia="Open Sans" w:hAnsiTheme="minorHAnsi" w:cstheme="minorHAnsi"/>
          </w:rPr>
          <w:t>force them into drug treatment</w:t>
        </w:r>
      </w:hyperlink>
      <w:r w:rsidR="008A0862" w:rsidRPr="005B1EB5">
        <w:rPr>
          <w:rStyle w:val="EndnoteReference"/>
          <w:rFonts w:eastAsia="Open Sans" w:cstheme="minorHAnsi"/>
        </w:rPr>
        <w:endnoteReference w:id="74"/>
      </w:r>
      <w:r w:rsidRPr="005B1EB5">
        <w:rPr>
          <w:rFonts w:eastAsia="Open Sans" w:cstheme="minorHAnsi"/>
        </w:rPr>
        <w:t xml:space="preserve"> without their consent. These treatment programs often require abstinence</w:t>
      </w:r>
      <w:r w:rsidR="0009707D" w:rsidRPr="005B1EB5">
        <w:rPr>
          <w:rFonts w:eastAsia="Open Sans" w:cstheme="minorHAnsi"/>
        </w:rPr>
        <w:t xml:space="preserve">, </w:t>
      </w:r>
      <w:r w:rsidRPr="005B1EB5">
        <w:rPr>
          <w:rFonts w:eastAsia="Open Sans" w:cstheme="minorHAnsi"/>
        </w:rPr>
        <w:t>prohibit people from accessing effective and safe medical supports like methadone</w:t>
      </w:r>
      <w:r w:rsidR="0009707D" w:rsidRPr="005B1EB5">
        <w:rPr>
          <w:rFonts w:eastAsia="Open Sans" w:cstheme="minorHAnsi"/>
        </w:rPr>
        <w:t xml:space="preserve">, and increase </w:t>
      </w:r>
      <w:r w:rsidR="002A4273" w:rsidRPr="005B1EB5">
        <w:rPr>
          <w:rFonts w:eastAsia="Open Sans" w:cstheme="minorHAnsi"/>
        </w:rPr>
        <w:t xml:space="preserve">the </w:t>
      </w:r>
      <w:r w:rsidR="0009707D" w:rsidRPr="005B1EB5">
        <w:rPr>
          <w:rFonts w:eastAsia="Open Sans" w:cstheme="minorHAnsi"/>
        </w:rPr>
        <w:t xml:space="preserve">risk of overdose </w:t>
      </w:r>
      <w:hyperlink r:id="rId80" w:history="1">
        <w:r w:rsidR="0009707D" w:rsidRPr="005B1EB5">
          <w:rPr>
            <w:rStyle w:val="Hyperlink"/>
            <w:rFonts w:asciiTheme="minorHAnsi" w:eastAsia="Open Sans" w:hAnsiTheme="minorHAnsi" w:cstheme="minorHAnsi"/>
          </w:rPr>
          <w:t xml:space="preserve">upon </w:t>
        </w:r>
        <w:r w:rsidR="00A479B7" w:rsidRPr="005B1EB5">
          <w:rPr>
            <w:rStyle w:val="Hyperlink"/>
            <w:rFonts w:asciiTheme="minorHAnsi" w:eastAsia="Open Sans" w:hAnsiTheme="minorHAnsi" w:cstheme="minorHAnsi"/>
          </w:rPr>
          <w:t>discharge</w:t>
        </w:r>
      </w:hyperlink>
      <w:r w:rsidR="00CD248D" w:rsidRPr="005B1EB5">
        <w:rPr>
          <w:rStyle w:val="EndnoteReference"/>
          <w:rFonts w:eastAsia="Open Sans" w:cstheme="minorHAnsi"/>
        </w:rPr>
        <w:endnoteReference w:id="75"/>
      </w:r>
      <w:r w:rsidRPr="005B1EB5">
        <w:rPr>
          <w:rFonts w:eastAsia="Open Sans" w:cstheme="minorHAnsi"/>
        </w:rPr>
        <w:t xml:space="preserve">. This policy shift towards “involuntary treatment” is being driven by political discourse, not evidence. </w:t>
      </w:r>
    </w:p>
    <w:p w14:paraId="1E7AD2DA" w14:textId="55DE5ADE" w:rsidR="2EA4CDB4" w:rsidRPr="005B1EB5" w:rsidRDefault="2EA4CDB4" w:rsidP="00D63AC0">
      <w:pPr>
        <w:pStyle w:val="ListParagraph"/>
        <w:numPr>
          <w:ilvl w:val="0"/>
          <w:numId w:val="4"/>
        </w:numPr>
        <w:spacing w:after="120"/>
        <w:contextualSpacing w:val="0"/>
        <w:jc w:val="both"/>
        <w:rPr>
          <w:rFonts w:eastAsia="Open Sans" w:cstheme="minorHAnsi"/>
        </w:rPr>
      </w:pPr>
      <w:r w:rsidRPr="005B1EB5">
        <w:rPr>
          <w:rFonts w:eastAsia="Open Sans" w:cstheme="minorHAnsi"/>
        </w:rPr>
        <w:lastRenderedPageBreak/>
        <w:t xml:space="preserve">To understand the dangers and human rights violations caused by involuntary treatment, it is important to understand that </w:t>
      </w:r>
      <w:hyperlink r:id="rId81" w:history="1">
        <w:r w:rsidR="004078F0" w:rsidRPr="005B1EB5">
          <w:rPr>
            <w:rStyle w:val="Hyperlink"/>
            <w:rFonts w:asciiTheme="minorHAnsi" w:eastAsia="Times New Roman" w:hAnsiTheme="minorHAnsi" w:cstheme="minorHAnsi"/>
          </w:rPr>
          <w:t>“addiction” does not have an agreed upon scientific definition</w:t>
        </w:r>
      </w:hyperlink>
      <w:r w:rsidR="005A4FB0" w:rsidRPr="005B1EB5">
        <w:rPr>
          <w:rStyle w:val="EndnoteReference"/>
          <w:rFonts w:eastAsia="Times New Roman" w:cstheme="minorHAnsi"/>
          <w:color w:val="0563C1"/>
          <w:u w:val="single"/>
        </w:rPr>
        <w:endnoteReference w:id="76"/>
      </w:r>
      <w:r w:rsidRPr="005B1EB5">
        <w:rPr>
          <w:rFonts w:eastAsia="Open Sans" w:cstheme="minorHAnsi"/>
        </w:rPr>
        <w:t xml:space="preserve"> and how a person’s drug use is treated varies significantly depending on economic and social status, race and gender. Systemically marginalized communities are more likely to receive poor-quality treatment or none at all. </w:t>
      </w:r>
    </w:p>
    <w:p w14:paraId="2A755EF6" w14:textId="6B9BC9DD" w:rsidR="2EA4CDB4" w:rsidRPr="005B1EB5" w:rsidRDefault="2EA4CDB4" w:rsidP="00055671">
      <w:pPr>
        <w:pStyle w:val="ListParagraph"/>
        <w:numPr>
          <w:ilvl w:val="0"/>
          <w:numId w:val="4"/>
        </w:numPr>
        <w:spacing w:after="120"/>
        <w:contextualSpacing w:val="0"/>
        <w:jc w:val="both"/>
        <w:rPr>
          <w:rFonts w:eastAsia="Open Sans" w:cstheme="minorHAnsi"/>
        </w:rPr>
      </w:pPr>
      <w:r w:rsidRPr="005B1EB5">
        <w:rPr>
          <w:rFonts w:eastAsia="Open Sans" w:cstheme="minorHAnsi"/>
        </w:rPr>
        <w:t xml:space="preserve">Further, </w:t>
      </w:r>
      <w:r w:rsidR="00AB553C" w:rsidRPr="005B1EB5">
        <w:rPr>
          <w:rFonts w:eastAsia="Open Sans" w:cstheme="minorHAnsi"/>
        </w:rPr>
        <w:t xml:space="preserve">the current patchwork of </w:t>
      </w:r>
      <w:r w:rsidRPr="005B1EB5">
        <w:rPr>
          <w:rFonts w:eastAsia="Open Sans" w:cstheme="minorHAnsi"/>
        </w:rPr>
        <w:t>“</w:t>
      </w:r>
      <w:r w:rsidR="00DE18DA" w:rsidRPr="005B1EB5">
        <w:rPr>
          <w:rFonts w:eastAsia="Open Sans" w:cstheme="minorHAnsi"/>
        </w:rPr>
        <w:t>addiction</w:t>
      </w:r>
      <w:r w:rsidRPr="005B1EB5">
        <w:rPr>
          <w:rFonts w:eastAsia="Open Sans" w:cstheme="minorHAnsi"/>
        </w:rPr>
        <w:t xml:space="preserve"> treatment” system</w:t>
      </w:r>
      <w:r w:rsidR="002B3A4E" w:rsidRPr="005B1EB5">
        <w:rPr>
          <w:rFonts w:eastAsia="Open Sans" w:cstheme="minorHAnsi"/>
        </w:rPr>
        <w:t>s in Canada</w:t>
      </w:r>
      <w:r w:rsidRPr="005B1EB5">
        <w:rPr>
          <w:rFonts w:eastAsia="Open Sans" w:cstheme="minorHAnsi"/>
        </w:rPr>
        <w:t xml:space="preserve"> </w:t>
      </w:r>
      <w:hyperlink r:id="rId82" w:history="1">
        <w:r w:rsidR="00055671" w:rsidRPr="005B1EB5">
          <w:rPr>
            <w:rStyle w:val="Hyperlink"/>
            <w:rFonts w:asciiTheme="minorHAnsi" w:eastAsia="Open Sans" w:hAnsiTheme="minorHAnsi" w:cstheme="minorHAnsi"/>
          </w:rPr>
          <w:t xml:space="preserve">fails to </w:t>
        </w:r>
        <w:r w:rsidR="006B0828" w:rsidRPr="005B1EB5">
          <w:rPr>
            <w:rStyle w:val="Hyperlink"/>
            <w:rFonts w:asciiTheme="minorHAnsi" w:eastAsia="Open Sans" w:hAnsiTheme="minorHAnsi" w:cstheme="minorHAnsi"/>
          </w:rPr>
          <w:t>meet</w:t>
        </w:r>
      </w:hyperlink>
      <w:r w:rsidR="00672BE9" w:rsidRPr="005B1EB5">
        <w:rPr>
          <w:rStyle w:val="EndnoteReference"/>
          <w:rFonts w:eastAsia="Open Sans" w:cstheme="minorHAnsi"/>
        </w:rPr>
        <w:endnoteReference w:id="77"/>
      </w:r>
      <w:r w:rsidR="006B0828" w:rsidRPr="005B1EB5">
        <w:rPr>
          <w:rFonts w:eastAsia="Open Sans" w:cstheme="minorHAnsi"/>
        </w:rPr>
        <w:t xml:space="preserve"> the needs of </w:t>
      </w:r>
      <w:r w:rsidR="00F17506" w:rsidRPr="005B1EB5">
        <w:rPr>
          <w:rFonts w:eastAsia="Open Sans" w:cstheme="minorHAnsi"/>
        </w:rPr>
        <w:t xml:space="preserve">far too many </w:t>
      </w:r>
      <w:r w:rsidR="006B0828" w:rsidRPr="005B1EB5">
        <w:rPr>
          <w:rFonts w:eastAsia="Open Sans" w:cstheme="minorHAnsi"/>
        </w:rPr>
        <w:t xml:space="preserve">people </w:t>
      </w:r>
      <w:r w:rsidR="00F17506" w:rsidRPr="005B1EB5">
        <w:rPr>
          <w:rFonts w:eastAsia="Open Sans" w:cstheme="minorHAnsi"/>
        </w:rPr>
        <w:t>who seek</w:t>
      </w:r>
      <w:r w:rsidR="006B0828" w:rsidRPr="005B1EB5">
        <w:rPr>
          <w:rFonts w:eastAsia="Open Sans" w:cstheme="minorHAnsi"/>
        </w:rPr>
        <w:t xml:space="preserve"> support. </w:t>
      </w:r>
      <w:r w:rsidR="003F3B81" w:rsidRPr="005B1EB5">
        <w:rPr>
          <w:rFonts w:eastAsia="Open Sans" w:cstheme="minorHAnsi"/>
        </w:rPr>
        <w:t>For addiction treatment to be safe and effective, it should be accessible, high-quality, culturally responsive, upholding of </w:t>
      </w:r>
      <w:hyperlink r:id="rId83" w:tgtFrame="_blank" w:history="1">
        <w:r w:rsidR="003F3B81" w:rsidRPr="005B1EB5">
          <w:rPr>
            <w:rStyle w:val="Hyperlink"/>
            <w:rFonts w:asciiTheme="minorHAnsi" w:eastAsia="Open Sans" w:hAnsiTheme="minorHAnsi" w:cstheme="minorHAnsi"/>
          </w:rPr>
          <w:t>human rights</w:t>
        </w:r>
      </w:hyperlink>
      <w:r w:rsidR="005C2A28" w:rsidRPr="005B1EB5">
        <w:rPr>
          <w:rStyle w:val="EndnoteReference"/>
          <w:rFonts w:cstheme="minorHAnsi"/>
        </w:rPr>
        <w:endnoteReference w:id="78"/>
      </w:r>
      <w:r w:rsidR="003F3B81" w:rsidRPr="005B1EB5">
        <w:rPr>
          <w:rFonts w:eastAsia="Open Sans" w:cstheme="minorHAnsi"/>
        </w:rPr>
        <w:t>, and voluntary</w:t>
      </w:r>
      <w:r w:rsidR="00B00469" w:rsidRPr="005B1EB5">
        <w:rPr>
          <w:rFonts w:eastAsia="Open Sans" w:cstheme="minorHAnsi"/>
        </w:rPr>
        <w:t xml:space="preserve">. </w:t>
      </w:r>
      <w:r w:rsidR="008D1081" w:rsidRPr="005B1EB5">
        <w:rPr>
          <w:rFonts w:eastAsia="Open Sans" w:cstheme="minorHAnsi"/>
        </w:rPr>
        <w:t xml:space="preserve">A significant portion of addiction treatment in Canada is </w:t>
      </w:r>
      <w:r w:rsidRPr="005B1EB5">
        <w:rPr>
          <w:rFonts w:eastAsia="Open Sans" w:cstheme="minorHAnsi"/>
        </w:rPr>
        <w:t>run by private</w:t>
      </w:r>
      <w:r w:rsidR="00FF69E6" w:rsidRPr="005B1EB5">
        <w:rPr>
          <w:rFonts w:eastAsia="Open Sans" w:cstheme="minorHAnsi"/>
        </w:rPr>
        <w:t>ly-operated service providers</w:t>
      </w:r>
      <w:r w:rsidRPr="005B1EB5">
        <w:rPr>
          <w:rFonts w:eastAsia="Open Sans" w:cstheme="minorHAnsi"/>
        </w:rPr>
        <w:t>,</w:t>
      </w:r>
      <w:r w:rsidR="00FF69E6" w:rsidRPr="005B1EB5">
        <w:rPr>
          <w:rFonts w:eastAsia="Open Sans" w:cstheme="minorHAnsi"/>
        </w:rPr>
        <w:t xml:space="preserve"> some of which are</w:t>
      </w:r>
      <w:r w:rsidRPr="005B1EB5">
        <w:rPr>
          <w:rFonts w:eastAsia="Open Sans" w:cstheme="minorHAnsi"/>
        </w:rPr>
        <w:t xml:space="preserve"> </w:t>
      </w:r>
      <w:hyperlink r:id="rId84" w:history="1">
        <w:r w:rsidRPr="005B1EB5">
          <w:rPr>
            <w:rStyle w:val="Hyperlink"/>
            <w:rFonts w:asciiTheme="minorHAnsi" w:eastAsia="Open Sans" w:hAnsiTheme="minorHAnsi" w:cstheme="minorHAnsi"/>
          </w:rPr>
          <w:t>for-profit companies</w:t>
        </w:r>
      </w:hyperlink>
      <w:r w:rsidR="008025F9" w:rsidRPr="005B1EB5">
        <w:rPr>
          <w:rStyle w:val="EndnoteReference"/>
          <w:rFonts w:eastAsia="Open Sans" w:cstheme="minorHAnsi"/>
        </w:rPr>
        <w:endnoteReference w:id="79"/>
      </w:r>
      <w:r w:rsidR="003843BF" w:rsidRPr="005B1EB5">
        <w:rPr>
          <w:rFonts w:cstheme="minorHAnsi"/>
        </w:rPr>
        <w:t>.</w:t>
      </w:r>
      <w:r w:rsidR="00055671" w:rsidRPr="005B1EB5">
        <w:rPr>
          <w:rFonts w:eastAsia="Open Sans" w:cstheme="minorHAnsi"/>
        </w:rPr>
        <w:t xml:space="preserve"> Canada does not have national standards for addiction treatment to ensure services are safe and effective. </w:t>
      </w:r>
      <w:r w:rsidR="00FD299A" w:rsidRPr="005B1EB5">
        <w:rPr>
          <w:rFonts w:eastAsia="Open Sans" w:cstheme="minorHAnsi"/>
        </w:rPr>
        <w:t>With the exception of </w:t>
      </w:r>
      <w:hyperlink r:id="rId85" w:tgtFrame="_blank" w:history="1">
        <w:r w:rsidR="00FD299A" w:rsidRPr="005B1EB5">
          <w:rPr>
            <w:rStyle w:val="Hyperlink"/>
            <w:rFonts w:asciiTheme="minorHAnsi" w:eastAsia="Open Sans" w:hAnsiTheme="minorHAnsi" w:cstheme="minorHAnsi"/>
          </w:rPr>
          <w:t>Québec</w:t>
        </w:r>
      </w:hyperlink>
      <w:r w:rsidR="00D64A60" w:rsidRPr="005B1EB5">
        <w:rPr>
          <w:rStyle w:val="EndnoteReference"/>
          <w:rFonts w:cstheme="minorHAnsi"/>
        </w:rPr>
        <w:endnoteReference w:id="80"/>
      </w:r>
      <w:r w:rsidR="00FD299A" w:rsidRPr="005B1EB5">
        <w:rPr>
          <w:rFonts w:eastAsia="Open Sans" w:cstheme="minorHAnsi"/>
        </w:rPr>
        <w:t>, provincial accreditation systems for residential facilities, where they exist at all, do not meaningfully enforce expected standards of </w:t>
      </w:r>
      <w:hyperlink r:id="rId86" w:history="1">
        <w:r w:rsidR="00FD299A" w:rsidRPr="005B1EB5">
          <w:rPr>
            <w:rStyle w:val="Hyperlink"/>
            <w:rFonts w:asciiTheme="minorHAnsi" w:eastAsia="Open Sans" w:hAnsiTheme="minorHAnsi" w:cstheme="minorHAnsi"/>
          </w:rPr>
          <w:t>care</w:t>
        </w:r>
      </w:hyperlink>
      <w:r w:rsidR="00C17FB7" w:rsidRPr="005B1EB5">
        <w:rPr>
          <w:rStyle w:val="EndnoteReference"/>
          <w:rFonts w:eastAsia="Open Sans" w:cstheme="minorHAnsi"/>
          <w:color w:val="0563C1" w:themeColor="hyperlink"/>
          <w:u w:val="single"/>
        </w:rPr>
        <w:endnoteReference w:id="81"/>
      </w:r>
      <w:r w:rsidR="00FD299A" w:rsidRPr="005B1EB5">
        <w:rPr>
          <w:rFonts w:eastAsia="Open Sans" w:cstheme="minorHAnsi"/>
        </w:rPr>
        <w:t>.</w:t>
      </w:r>
      <w:r w:rsidR="00AB09C0" w:rsidRPr="005B1EB5">
        <w:rPr>
          <w:rFonts w:eastAsia="Open Sans" w:cstheme="minorHAnsi"/>
        </w:rPr>
        <w:t xml:space="preserve"> This means </w:t>
      </w:r>
      <w:r w:rsidR="00A50E9E" w:rsidRPr="005B1EB5">
        <w:rPr>
          <w:rFonts w:eastAsia="Open Sans" w:cstheme="minorHAnsi"/>
        </w:rPr>
        <w:t xml:space="preserve">that </w:t>
      </w:r>
      <w:r w:rsidR="00AB09C0" w:rsidRPr="005B1EB5">
        <w:rPr>
          <w:rFonts w:eastAsia="Open Sans" w:cstheme="minorHAnsi"/>
        </w:rPr>
        <w:t xml:space="preserve">most places in Canada, </w:t>
      </w:r>
      <w:r w:rsidR="00FB24C6" w:rsidRPr="005B1EB5">
        <w:rPr>
          <w:rFonts w:eastAsia="Open Sans" w:cstheme="minorHAnsi"/>
        </w:rPr>
        <w:t xml:space="preserve">privately-run </w:t>
      </w:r>
      <w:r w:rsidR="00AB09C0" w:rsidRPr="005B1EB5">
        <w:rPr>
          <w:rFonts w:eastAsia="Open Sans" w:cstheme="minorHAnsi"/>
        </w:rPr>
        <w:t xml:space="preserve">treatment providers </w:t>
      </w:r>
      <w:r w:rsidR="00FB24C6" w:rsidRPr="005B1EB5">
        <w:rPr>
          <w:rFonts w:eastAsia="Open Sans" w:cstheme="minorHAnsi"/>
        </w:rPr>
        <w:t>operate without meaningful</w:t>
      </w:r>
      <w:r w:rsidR="001217FB" w:rsidRPr="005B1EB5">
        <w:rPr>
          <w:rFonts w:eastAsia="Open Sans" w:cstheme="minorHAnsi"/>
        </w:rPr>
        <w:t xml:space="preserve"> </w:t>
      </w:r>
      <w:r w:rsidR="00A50E9E" w:rsidRPr="005B1EB5">
        <w:rPr>
          <w:rFonts w:eastAsia="Open Sans" w:cstheme="minorHAnsi"/>
        </w:rPr>
        <w:t>government oversight</w:t>
      </w:r>
      <w:r w:rsidR="00FB24C6" w:rsidRPr="005B1EB5">
        <w:rPr>
          <w:rFonts w:eastAsia="Open Sans" w:cstheme="minorHAnsi"/>
        </w:rPr>
        <w:t xml:space="preserve"> </w:t>
      </w:r>
      <w:r w:rsidR="00A50E9E" w:rsidRPr="005B1EB5">
        <w:rPr>
          <w:rFonts w:eastAsia="Open Sans" w:cstheme="minorHAnsi"/>
        </w:rPr>
        <w:t>around</w:t>
      </w:r>
      <w:r w:rsidR="001217FB" w:rsidRPr="005B1EB5">
        <w:rPr>
          <w:rFonts w:eastAsia="Open Sans" w:cstheme="minorHAnsi"/>
        </w:rPr>
        <w:t xml:space="preserve"> </w:t>
      </w:r>
      <w:r w:rsidR="00A50E9E" w:rsidRPr="005B1EB5">
        <w:rPr>
          <w:rFonts w:eastAsia="Open Sans" w:cstheme="minorHAnsi"/>
        </w:rPr>
        <w:t xml:space="preserve">staff </w:t>
      </w:r>
      <w:r w:rsidR="007D1CAF" w:rsidRPr="005B1EB5">
        <w:rPr>
          <w:rFonts w:eastAsia="Open Sans" w:cstheme="minorHAnsi"/>
        </w:rPr>
        <w:t>training or certification</w:t>
      </w:r>
      <w:r w:rsidR="001217FB" w:rsidRPr="005B1EB5">
        <w:rPr>
          <w:rFonts w:eastAsia="Open Sans" w:cstheme="minorHAnsi"/>
        </w:rPr>
        <w:t>,</w:t>
      </w:r>
      <w:r w:rsidR="007D1CAF" w:rsidRPr="005B1EB5">
        <w:rPr>
          <w:rFonts w:eastAsia="Open Sans" w:cstheme="minorHAnsi"/>
        </w:rPr>
        <w:t xml:space="preserve"> standards of care</w:t>
      </w:r>
      <w:r w:rsidR="006B44A1" w:rsidRPr="005B1EB5">
        <w:rPr>
          <w:rFonts w:eastAsia="Open Sans" w:cstheme="minorHAnsi"/>
        </w:rPr>
        <w:t xml:space="preserve">, </w:t>
      </w:r>
      <w:r w:rsidR="00E82155" w:rsidRPr="005B1EB5">
        <w:rPr>
          <w:rFonts w:eastAsia="Open Sans" w:cstheme="minorHAnsi"/>
        </w:rPr>
        <w:t xml:space="preserve">or </w:t>
      </w:r>
      <w:r w:rsidR="001217FB" w:rsidRPr="005B1EB5">
        <w:rPr>
          <w:rFonts w:eastAsia="Open Sans" w:cstheme="minorHAnsi"/>
        </w:rPr>
        <w:t xml:space="preserve">what treatment they offer. </w:t>
      </w:r>
      <w:r w:rsidR="006B44A1" w:rsidRPr="005B1EB5">
        <w:rPr>
          <w:rFonts w:eastAsia="Open Sans" w:cstheme="minorHAnsi"/>
        </w:rPr>
        <w:t>R</w:t>
      </w:r>
      <w:r w:rsidRPr="005B1EB5">
        <w:rPr>
          <w:rFonts w:eastAsia="Open Sans" w:cstheme="minorHAnsi"/>
        </w:rPr>
        <w:t xml:space="preserve">esidential addiction treatment centres </w:t>
      </w:r>
      <w:r w:rsidRPr="005B1EB5">
        <w:rPr>
          <w:rFonts w:eastAsia="Times New Roman" w:cstheme="minorHAnsi"/>
        </w:rPr>
        <w:t>are not required to track service user outcomes or publicly share reports of abuse or deaths</w:t>
      </w:r>
      <w:r w:rsidRPr="005B1EB5">
        <w:rPr>
          <w:rFonts w:eastAsia="Open Sans" w:cstheme="minorHAnsi"/>
        </w:rPr>
        <w:t xml:space="preserve">. </w:t>
      </w:r>
      <w:r w:rsidR="003C5DCB" w:rsidRPr="005B1EB5">
        <w:rPr>
          <w:rFonts w:eastAsia="Open Sans" w:cstheme="minorHAnsi"/>
        </w:rPr>
        <w:t>V</w:t>
      </w:r>
      <w:r w:rsidRPr="005B1EB5">
        <w:rPr>
          <w:rFonts w:eastAsia="Open Sans" w:cstheme="minorHAnsi"/>
        </w:rPr>
        <w:t xml:space="preserve">oluntary treatment is not readily available. People seeking treatment may have to </w:t>
      </w:r>
      <w:hyperlink r:id="rId87" w:history="1">
        <w:r w:rsidRPr="005B1EB5">
          <w:rPr>
            <w:rStyle w:val="Hyperlink"/>
            <w:rFonts w:asciiTheme="minorHAnsi" w:eastAsia="Open Sans" w:hAnsiTheme="minorHAnsi" w:cstheme="minorHAnsi"/>
          </w:rPr>
          <w:t>wait months or years</w:t>
        </w:r>
      </w:hyperlink>
      <w:r w:rsidR="00241BEC" w:rsidRPr="005B1EB5">
        <w:rPr>
          <w:rStyle w:val="EndnoteReference"/>
          <w:rFonts w:eastAsia="Open Sans" w:cstheme="minorHAnsi"/>
        </w:rPr>
        <w:endnoteReference w:id="82"/>
      </w:r>
      <w:r w:rsidRPr="005B1EB5">
        <w:rPr>
          <w:rFonts w:eastAsia="Open Sans" w:cstheme="minorHAnsi"/>
        </w:rPr>
        <w:t xml:space="preserve"> for services</w:t>
      </w:r>
      <w:r w:rsidR="009E6427" w:rsidRPr="005B1EB5">
        <w:rPr>
          <w:rFonts w:eastAsia="Open Sans" w:cstheme="minorHAnsi"/>
        </w:rPr>
        <w:t xml:space="preserve"> depending on where they live</w:t>
      </w:r>
      <w:r w:rsidR="00285D24" w:rsidRPr="005B1EB5">
        <w:rPr>
          <w:rFonts w:eastAsia="Open Sans" w:cstheme="minorHAnsi"/>
        </w:rPr>
        <w:t xml:space="preserve"> and</w:t>
      </w:r>
      <w:r w:rsidRPr="005B1EB5">
        <w:rPr>
          <w:rFonts w:eastAsia="Open Sans" w:cstheme="minorHAnsi"/>
        </w:rPr>
        <w:t xml:space="preserve"> many people die while they wait.</w:t>
      </w:r>
    </w:p>
    <w:p w14:paraId="34E03231" w14:textId="18E85CA1" w:rsidR="00D9633C" w:rsidRPr="005B1EB5" w:rsidRDefault="2EA4CDB4" w:rsidP="00D9633C">
      <w:pPr>
        <w:pStyle w:val="ListParagraph"/>
        <w:numPr>
          <w:ilvl w:val="0"/>
          <w:numId w:val="4"/>
        </w:numPr>
        <w:spacing w:after="120"/>
        <w:contextualSpacing w:val="0"/>
        <w:jc w:val="both"/>
        <w:rPr>
          <w:rFonts w:eastAsia="Open Sans" w:cstheme="minorHAnsi"/>
        </w:rPr>
      </w:pPr>
      <w:r w:rsidRPr="005B1EB5">
        <w:rPr>
          <w:rFonts w:eastAsia="Open Sans" w:cstheme="minorHAnsi"/>
        </w:rPr>
        <w:t xml:space="preserve">Rather than improving </w:t>
      </w:r>
      <w:r w:rsidR="00D537C1" w:rsidRPr="005B1EB5">
        <w:rPr>
          <w:rFonts w:eastAsia="Open Sans" w:cstheme="minorHAnsi"/>
        </w:rPr>
        <w:t xml:space="preserve">access to </w:t>
      </w:r>
      <w:r w:rsidRPr="005B1EB5">
        <w:rPr>
          <w:rFonts w:eastAsia="Open Sans" w:cstheme="minorHAnsi"/>
        </w:rPr>
        <w:t>voluntary treatment services that people want and need, some provinces are prioritizing involuntary treatment.</w:t>
      </w:r>
      <w:r w:rsidR="00D9633C" w:rsidRPr="005B1EB5">
        <w:rPr>
          <w:rFonts w:eastAsia="Open Sans" w:cstheme="minorHAnsi"/>
        </w:rPr>
        <w:t xml:space="preserve"> Both </w:t>
      </w:r>
      <w:hyperlink r:id="rId88" w:history="1">
        <w:r w:rsidR="00D9633C" w:rsidRPr="005B1EB5">
          <w:rPr>
            <w:rStyle w:val="Hyperlink"/>
            <w:rFonts w:asciiTheme="minorHAnsi" w:eastAsia="Open Sans" w:hAnsiTheme="minorHAnsi" w:cstheme="minorHAnsi"/>
          </w:rPr>
          <w:t>Alberta</w:t>
        </w:r>
      </w:hyperlink>
      <w:r w:rsidR="00D9633C" w:rsidRPr="005B1EB5">
        <w:rPr>
          <w:rStyle w:val="EndnoteReference"/>
          <w:rFonts w:eastAsia="Open Sans" w:cstheme="minorHAnsi"/>
        </w:rPr>
        <w:endnoteReference w:id="83"/>
      </w:r>
      <w:r w:rsidR="00D9633C" w:rsidRPr="005B1EB5">
        <w:rPr>
          <w:rFonts w:eastAsia="Open Sans" w:cstheme="minorHAnsi"/>
        </w:rPr>
        <w:t xml:space="preserve"> and </w:t>
      </w:r>
      <w:hyperlink r:id="rId89" w:history="1">
        <w:r w:rsidR="00D9633C" w:rsidRPr="005B1EB5">
          <w:rPr>
            <w:rStyle w:val="Hyperlink"/>
            <w:rFonts w:asciiTheme="minorHAnsi" w:eastAsia="Open Sans" w:hAnsiTheme="minorHAnsi" w:cstheme="minorHAnsi"/>
          </w:rPr>
          <w:t>B.C.</w:t>
        </w:r>
      </w:hyperlink>
      <w:r w:rsidR="00D9633C" w:rsidRPr="005B1EB5">
        <w:rPr>
          <w:rStyle w:val="EndnoteReference"/>
          <w:rFonts w:eastAsia="Open Sans" w:cstheme="minorHAnsi"/>
        </w:rPr>
        <w:endnoteReference w:id="84"/>
      </w:r>
      <w:r w:rsidR="00D9633C" w:rsidRPr="005B1EB5">
        <w:rPr>
          <w:rFonts w:eastAsia="Open Sans" w:cstheme="minorHAnsi"/>
        </w:rPr>
        <w:t xml:space="preserve"> are building involuntary drug treatment facilities rather than investing public funds in improving evidence-based voluntary services.</w:t>
      </w:r>
    </w:p>
    <w:p w14:paraId="6966019F" w14:textId="1A9CD8B1" w:rsidR="2EA4CDB4" w:rsidRPr="005B1EB5" w:rsidRDefault="2EA4CDB4" w:rsidP="00D63AC0">
      <w:pPr>
        <w:pStyle w:val="ListParagraph"/>
        <w:numPr>
          <w:ilvl w:val="0"/>
          <w:numId w:val="4"/>
        </w:numPr>
        <w:spacing w:after="120"/>
        <w:contextualSpacing w:val="0"/>
        <w:jc w:val="both"/>
        <w:rPr>
          <w:rFonts w:eastAsia="Open Sans" w:cstheme="minorHAnsi"/>
        </w:rPr>
      </w:pPr>
      <w:r w:rsidRPr="005B1EB5">
        <w:rPr>
          <w:rFonts w:eastAsia="Open Sans" w:cstheme="minorHAnsi"/>
        </w:rPr>
        <w:t xml:space="preserve"> There is limited evidence to suggest that involuntary substance use treatment is </w:t>
      </w:r>
      <w:hyperlink r:id="rId90" w:history="1">
        <w:r w:rsidRPr="005B1EB5">
          <w:rPr>
            <w:rStyle w:val="Hyperlink"/>
            <w:rFonts w:asciiTheme="minorHAnsi" w:eastAsia="Times New Roman" w:hAnsiTheme="minorHAnsi" w:cstheme="minorHAnsi"/>
          </w:rPr>
          <w:t>safe</w:t>
        </w:r>
      </w:hyperlink>
      <w:r w:rsidR="0070699E" w:rsidRPr="005B1EB5">
        <w:rPr>
          <w:rStyle w:val="EndnoteReference"/>
          <w:rFonts w:eastAsia="Times New Roman" w:cstheme="minorHAnsi"/>
        </w:rPr>
        <w:endnoteReference w:id="85"/>
      </w:r>
      <w:r w:rsidRPr="005B1EB5">
        <w:rPr>
          <w:rFonts w:eastAsia="Times New Roman" w:cstheme="minorHAnsi"/>
        </w:rPr>
        <w:t xml:space="preserve"> or</w:t>
      </w:r>
      <w:r w:rsidRPr="005B1EB5">
        <w:rPr>
          <w:rFonts w:eastAsia="Open Sans" w:cstheme="minorHAnsi"/>
        </w:rPr>
        <w:t xml:space="preserve"> </w:t>
      </w:r>
      <w:hyperlink r:id="rId91" w:history="1">
        <w:r w:rsidRPr="005B1EB5">
          <w:rPr>
            <w:rStyle w:val="Hyperlink"/>
            <w:rFonts w:asciiTheme="minorHAnsi" w:eastAsia="Times New Roman" w:hAnsiTheme="minorHAnsi" w:cstheme="minorHAnsi"/>
          </w:rPr>
          <w:t>effective</w:t>
        </w:r>
      </w:hyperlink>
      <w:r w:rsidR="00E14A3A" w:rsidRPr="005B1EB5">
        <w:rPr>
          <w:rStyle w:val="EndnoteReference"/>
          <w:rFonts w:eastAsia="Times New Roman" w:cstheme="minorHAnsi"/>
        </w:rPr>
        <w:endnoteReference w:id="86"/>
      </w:r>
      <w:r w:rsidRPr="005B1EB5">
        <w:rPr>
          <w:rFonts w:eastAsia="Open Sans" w:cstheme="minorHAnsi"/>
        </w:rPr>
        <w:t xml:space="preserve">. While, coercion may keep people in a treatment facility longer, the evidence does not demonstrate that they will exit treatment healthier, happier, more stable, or with </w:t>
      </w:r>
      <w:hyperlink r:id="rId92">
        <w:r w:rsidRPr="005B1EB5">
          <w:rPr>
            <w:rStyle w:val="Hyperlink"/>
            <w:rFonts w:asciiTheme="minorHAnsi" w:eastAsia="Times New Roman" w:hAnsiTheme="minorHAnsi" w:cstheme="minorHAnsi"/>
            <w:color w:val="0563C1"/>
          </w:rPr>
          <w:t>reduced</w:t>
        </w:r>
      </w:hyperlink>
      <w:r w:rsidR="00E14A3A" w:rsidRPr="005B1EB5">
        <w:rPr>
          <w:rStyle w:val="EndnoteReference"/>
          <w:rFonts w:cstheme="minorHAnsi"/>
        </w:rPr>
        <w:endnoteReference w:id="87"/>
      </w:r>
      <w:r w:rsidRPr="005B1EB5">
        <w:rPr>
          <w:rFonts w:eastAsia="Open Sans" w:cstheme="minorHAnsi"/>
        </w:rPr>
        <w:t xml:space="preserve"> </w:t>
      </w:r>
      <w:hyperlink r:id="rId93">
        <w:r w:rsidRPr="005B1EB5">
          <w:rPr>
            <w:rStyle w:val="Hyperlink"/>
            <w:rFonts w:asciiTheme="minorHAnsi" w:eastAsia="Times New Roman" w:hAnsiTheme="minorHAnsi" w:cstheme="minorHAnsi"/>
            <w:color w:val="0563C1"/>
          </w:rPr>
          <w:t>substance</w:t>
        </w:r>
      </w:hyperlink>
      <w:r w:rsidR="00E14A3A" w:rsidRPr="005B1EB5">
        <w:rPr>
          <w:rStyle w:val="EndnoteReference"/>
          <w:rFonts w:cstheme="minorHAnsi"/>
        </w:rPr>
        <w:endnoteReference w:id="88"/>
      </w:r>
      <w:r w:rsidRPr="005B1EB5">
        <w:rPr>
          <w:rFonts w:eastAsia="Open Sans" w:cstheme="minorHAnsi"/>
        </w:rPr>
        <w:t xml:space="preserve"> </w:t>
      </w:r>
      <w:hyperlink r:id="rId94" w:history="1">
        <w:r w:rsidRPr="005B1EB5">
          <w:rPr>
            <w:rStyle w:val="Hyperlink"/>
            <w:rFonts w:asciiTheme="minorHAnsi" w:eastAsia="Times New Roman" w:hAnsiTheme="minorHAnsi" w:cstheme="minorHAnsi"/>
          </w:rPr>
          <w:t>use</w:t>
        </w:r>
      </w:hyperlink>
      <w:r w:rsidR="00E14A3A" w:rsidRPr="005B1EB5">
        <w:rPr>
          <w:rStyle w:val="EndnoteReference"/>
          <w:rFonts w:eastAsia="Times New Roman" w:cstheme="minorHAnsi"/>
        </w:rPr>
        <w:endnoteReference w:id="89"/>
      </w:r>
      <w:r w:rsidRPr="005B1EB5">
        <w:rPr>
          <w:rFonts w:eastAsia="Times New Roman" w:cstheme="minorHAnsi"/>
        </w:rPr>
        <w:t>.</w:t>
      </w:r>
      <w:r w:rsidRPr="005B1EB5">
        <w:rPr>
          <w:rFonts w:eastAsia="Open Sans" w:cstheme="minorHAnsi"/>
        </w:rPr>
        <w:t xml:space="preserve"> On the contrary, involuntary treatment is linked to increased risk of fatal and non-fatal overdose after </w:t>
      </w:r>
      <w:hyperlink r:id="rId95" w:anchor="citeas">
        <w:r w:rsidRPr="005B1EB5">
          <w:rPr>
            <w:rStyle w:val="Hyperlink"/>
            <w:rFonts w:asciiTheme="minorHAnsi" w:eastAsia="Times New Roman" w:hAnsiTheme="minorHAnsi" w:cstheme="minorHAnsi"/>
            <w:color w:val="0563C1"/>
          </w:rPr>
          <w:t>being</w:t>
        </w:r>
      </w:hyperlink>
      <w:r w:rsidR="00E14A3A" w:rsidRPr="005B1EB5">
        <w:rPr>
          <w:rStyle w:val="EndnoteReference"/>
          <w:rFonts w:cstheme="minorHAnsi"/>
        </w:rPr>
        <w:endnoteReference w:id="90"/>
      </w:r>
      <w:r w:rsidRPr="005B1EB5">
        <w:rPr>
          <w:rFonts w:eastAsia="Open Sans" w:cstheme="minorHAnsi"/>
        </w:rPr>
        <w:t xml:space="preserve"> </w:t>
      </w:r>
      <w:hyperlink r:id="rId96">
        <w:r w:rsidRPr="005B1EB5">
          <w:rPr>
            <w:rStyle w:val="Hyperlink"/>
            <w:rFonts w:asciiTheme="minorHAnsi" w:eastAsia="Times New Roman" w:hAnsiTheme="minorHAnsi" w:cstheme="minorHAnsi"/>
            <w:color w:val="0563C1"/>
          </w:rPr>
          <w:t>discharged</w:t>
        </w:r>
      </w:hyperlink>
      <w:r w:rsidR="00E14A3A" w:rsidRPr="005B1EB5">
        <w:rPr>
          <w:rStyle w:val="EndnoteReference"/>
          <w:rFonts w:cstheme="minorHAnsi"/>
        </w:rPr>
        <w:endnoteReference w:id="91"/>
      </w:r>
      <w:r w:rsidRPr="005B1EB5">
        <w:rPr>
          <w:rFonts w:eastAsia="Open Sans" w:cstheme="minorHAnsi"/>
        </w:rPr>
        <w:t xml:space="preserve">. Many people who have been treated involuntarily also associate it with persistent </w:t>
      </w:r>
      <w:r w:rsidRPr="005B1EB5">
        <w:rPr>
          <w:rFonts w:eastAsia="Times New Roman" w:cstheme="minorHAnsi"/>
        </w:rPr>
        <w:t>trauma</w:t>
      </w:r>
      <w:r w:rsidRPr="005B1EB5">
        <w:rPr>
          <w:rFonts w:eastAsia="Open Sans" w:cstheme="minorHAnsi"/>
        </w:rPr>
        <w:t xml:space="preserve"> and severe violations of their health and safety, largely because there are even </w:t>
      </w:r>
      <w:hyperlink r:id="rId97" w:anchor=":~:text=students%20and%20families-,Committed%20to%20Change%3A%20Protecting%20the%20Rights%20of%20Involuntary,under%20the%20Mental%20Health%20Act&amp;text=The%20report%20makes%2020%20findings,psychiatric%20facilities%20in%20the%20province." w:history="1">
        <w:r w:rsidRPr="005B1EB5">
          <w:rPr>
            <w:rStyle w:val="Hyperlink"/>
            <w:rFonts w:asciiTheme="minorHAnsi" w:eastAsia="Open Sans" w:hAnsiTheme="minorHAnsi" w:cstheme="minorHAnsi"/>
          </w:rPr>
          <w:t>fewer safeguards</w:t>
        </w:r>
      </w:hyperlink>
      <w:r w:rsidR="00E57CB7" w:rsidRPr="005B1EB5">
        <w:rPr>
          <w:rStyle w:val="EndnoteReference"/>
          <w:rFonts w:eastAsia="Open Sans" w:cstheme="minorHAnsi"/>
        </w:rPr>
        <w:endnoteReference w:id="92"/>
      </w:r>
      <w:r w:rsidRPr="005B1EB5">
        <w:rPr>
          <w:rFonts w:eastAsia="Open Sans" w:cstheme="minorHAnsi"/>
        </w:rPr>
        <w:t xml:space="preserve"> in place to prevent abuse for involuntary patients than there are for voluntary </w:t>
      </w:r>
      <w:hyperlink r:id="rId98">
        <w:r w:rsidRPr="005B1EB5">
          <w:rPr>
            <w:rStyle w:val="Hyperlink"/>
            <w:rFonts w:asciiTheme="minorHAnsi" w:eastAsia="Times New Roman" w:hAnsiTheme="minorHAnsi" w:cstheme="minorHAnsi"/>
            <w:color w:val="0563C1"/>
          </w:rPr>
          <w:t>patients</w:t>
        </w:r>
      </w:hyperlink>
      <w:r w:rsidR="00856387" w:rsidRPr="005B1EB5">
        <w:rPr>
          <w:rStyle w:val="EndnoteReference"/>
          <w:rFonts w:cstheme="minorHAnsi"/>
        </w:rPr>
        <w:endnoteReference w:id="93"/>
      </w:r>
      <w:r w:rsidRPr="005B1EB5">
        <w:rPr>
          <w:rFonts w:eastAsia="Open Sans" w:cstheme="minorHAnsi"/>
        </w:rPr>
        <w:t xml:space="preserve">.  People who have been subjected to involuntary treatment may be less willing to engage with voluntary health services in the future, worsening their health and social outcomes, as well as the health and social outcomes of communities </w:t>
      </w:r>
      <w:hyperlink r:id="rId99">
        <w:r w:rsidRPr="005B1EB5">
          <w:rPr>
            <w:rStyle w:val="Hyperlink"/>
            <w:rFonts w:asciiTheme="minorHAnsi" w:eastAsia="Times New Roman" w:hAnsiTheme="minorHAnsi" w:cstheme="minorHAnsi"/>
            <w:color w:val="0563C1"/>
          </w:rPr>
          <w:t>overall</w:t>
        </w:r>
      </w:hyperlink>
      <w:r w:rsidR="008A006E" w:rsidRPr="005B1EB5">
        <w:rPr>
          <w:rStyle w:val="EndnoteReference"/>
          <w:rFonts w:cstheme="minorHAnsi"/>
        </w:rPr>
        <w:endnoteReference w:id="94"/>
      </w:r>
      <w:r w:rsidRPr="005B1EB5">
        <w:rPr>
          <w:rFonts w:eastAsia="Open Sans" w:cstheme="minorHAnsi"/>
        </w:rPr>
        <w:t xml:space="preserve">. </w:t>
      </w:r>
    </w:p>
    <w:p w14:paraId="70C79556" w14:textId="6F20CBC6" w:rsidR="2EA4CDB4" w:rsidRPr="005B1EB5" w:rsidRDefault="2EA4CDB4" w:rsidP="00D63AC0">
      <w:pPr>
        <w:pStyle w:val="ListParagraph"/>
        <w:numPr>
          <w:ilvl w:val="0"/>
          <w:numId w:val="4"/>
        </w:numPr>
        <w:spacing w:after="120"/>
        <w:contextualSpacing w:val="0"/>
        <w:jc w:val="both"/>
        <w:rPr>
          <w:rFonts w:eastAsia="Open Sans" w:cstheme="minorHAnsi"/>
        </w:rPr>
      </w:pPr>
      <w:r w:rsidRPr="005B1EB5">
        <w:rPr>
          <w:rFonts w:eastAsia="Open Sans" w:cstheme="minorHAnsi"/>
        </w:rPr>
        <w:t xml:space="preserve">The province of </w:t>
      </w:r>
      <w:hyperlink r:id="rId100">
        <w:r w:rsidRPr="005B1EB5">
          <w:rPr>
            <w:rStyle w:val="Hyperlink"/>
            <w:rFonts w:asciiTheme="minorHAnsi" w:eastAsia="Times New Roman" w:hAnsiTheme="minorHAnsi" w:cstheme="minorHAnsi"/>
            <w:color w:val="0563C1"/>
          </w:rPr>
          <w:t>Alberta</w:t>
        </w:r>
      </w:hyperlink>
      <w:r w:rsidR="00656AD5" w:rsidRPr="005B1EB5">
        <w:rPr>
          <w:rStyle w:val="EndnoteReference"/>
          <w:rFonts w:eastAsia="Times New Roman" w:cstheme="minorHAnsi"/>
          <w:color w:val="0563C1"/>
          <w:u w:val="single"/>
        </w:rPr>
        <w:endnoteReference w:id="95"/>
      </w:r>
      <w:r w:rsidRPr="005B1EB5">
        <w:rPr>
          <w:rFonts w:eastAsia="Open Sans" w:cstheme="minorHAnsi"/>
        </w:rPr>
        <w:t xml:space="preserve"> has passed a deeply concerning involuntary treatment law – this law is not yet in force and should be stopped from ever being implemented due to the foreseeable harms and serious human rights abuses it poses. The Alberta law allows</w:t>
      </w:r>
      <w:r w:rsidR="002B089A" w:rsidRPr="005B1EB5">
        <w:rPr>
          <w:rFonts w:eastAsia="Open Sans" w:cstheme="minorHAnsi"/>
        </w:rPr>
        <w:t xml:space="preserve"> police to apprehend and involuntarily detain</w:t>
      </w:r>
      <w:r w:rsidRPr="005B1EB5">
        <w:rPr>
          <w:rFonts w:eastAsia="Open Sans" w:cstheme="minorHAnsi"/>
        </w:rPr>
        <w:t xml:space="preserve"> people who use drugs even when they have been deemed to </w:t>
      </w:r>
      <w:hyperlink r:id="rId101" w:history="1">
        <w:r w:rsidRPr="005B1EB5">
          <w:rPr>
            <w:rStyle w:val="Hyperlink"/>
            <w:rFonts w:asciiTheme="minorHAnsi" w:eastAsia="Open Sans" w:hAnsiTheme="minorHAnsi" w:cstheme="minorHAnsi"/>
          </w:rPr>
          <w:t>have capacity to make decisions about their care</w:t>
        </w:r>
      </w:hyperlink>
      <w:r w:rsidR="00336863" w:rsidRPr="005B1EB5">
        <w:rPr>
          <w:rStyle w:val="EndnoteReference"/>
          <w:rFonts w:eastAsia="Open Sans" w:cstheme="minorHAnsi"/>
        </w:rPr>
        <w:endnoteReference w:id="96"/>
      </w:r>
      <w:r w:rsidRPr="005B1EB5">
        <w:rPr>
          <w:rFonts w:eastAsia="Open Sans" w:cstheme="minorHAnsi"/>
        </w:rPr>
        <w:t xml:space="preserve">. The law’s </w:t>
      </w:r>
      <w:hyperlink r:id="rId102">
        <w:r w:rsidRPr="005B1EB5">
          <w:rPr>
            <w:rStyle w:val="Hyperlink"/>
            <w:rFonts w:asciiTheme="minorHAnsi" w:eastAsia="Times New Roman" w:hAnsiTheme="minorHAnsi" w:cstheme="minorHAnsi"/>
            <w:color w:val="0563C1"/>
          </w:rPr>
          <w:t>criteria for apprehension</w:t>
        </w:r>
      </w:hyperlink>
      <w:r w:rsidR="00637895" w:rsidRPr="005B1EB5">
        <w:rPr>
          <w:rStyle w:val="EndnoteReference"/>
          <w:rFonts w:eastAsia="Times New Roman" w:cstheme="minorHAnsi"/>
          <w:color w:val="0563C1"/>
          <w:u w:val="single"/>
        </w:rPr>
        <w:endnoteReference w:id="97"/>
      </w:r>
      <w:r w:rsidRPr="005B1EB5">
        <w:rPr>
          <w:rFonts w:eastAsia="Open Sans" w:cstheme="minorHAnsi"/>
        </w:rPr>
        <w:t xml:space="preserve"> focus on whether a person has a history of overdose, is struggling with daily activities, is experiencing deteriorating health, is demonstrating severe intoxication, among others. </w:t>
      </w:r>
      <w:hyperlink r:id="rId103" w:history="1">
        <w:r w:rsidRPr="005B1EB5">
          <w:rPr>
            <w:rStyle w:val="Hyperlink"/>
            <w:rFonts w:asciiTheme="minorHAnsi" w:eastAsia="Open Sans" w:hAnsiTheme="minorHAnsi" w:cstheme="minorHAnsi"/>
            <w:i/>
            <w:iCs/>
          </w:rPr>
          <w:t xml:space="preserve">None </w:t>
        </w:r>
        <w:r w:rsidRPr="005B1EB5">
          <w:rPr>
            <w:rStyle w:val="Hyperlink"/>
            <w:rFonts w:asciiTheme="minorHAnsi" w:eastAsia="Open Sans" w:hAnsiTheme="minorHAnsi" w:cstheme="minorHAnsi"/>
          </w:rPr>
          <w:t>of the criteria in the law justify the violation of bodily autonomy</w:t>
        </w:r>
      </w:hyperlink>
      <w:r w:rsidR="00336863" w:rsidRPr="005B1EB5">
        <w:rPr>
          <w:rStyle w:val="EndnoteReference"/>
          <w:rFonts w:eastAsia="Open Sans" w:cstheme="minorHAnsi"/>
        </w:rPr>
        <w:endnoteReference w:id="98"/>
      </w:r>
      <w:r w:rsidRPr="005B1EB5">
        <w:rPr>
          <w:rFonts w:eastAsia="Open Sans" w:cstheme="minorHAnsi"/>
        </w:rPr>
        <w:t xml:space="preserve"> and foreseeable risk to life and health caused by involuntarily detaining a person due to drug use. Further, none of these criteria take the unregulated and </w:t>
      </w:r>
      <w:r w:rsidRPr="005B1EB5">
        <w:rPr>
          <w:rFonts w:eastAsia="Open Sans" w:cstheme="minorHAnsi"/>
        </w:rPr>
        <w:lastRenderedPageBreak/>
        <w:t>variable drug supply into consideration in assessing the reasons why a person has a history of overdose, appears severely intoxicated or is experiencing deteriorating health.</w:t>
      </w:r>
    </w:p>
    <w:p w14:paraId="633B235E" w14:textId="613175E2" w:rsidR="2EA4CDB4" w:rsidRPr="005B1EB5" w:rsidRDefault="2EA4CDB4" w:rsidP="000D3895">
      <w:pPr>
        <w:pStyle w:val="ListParagraph"/>
        <w:numPr>
          <w:ilvl w:val="0"/>
          <w:numId w:val="4"/>
        </w:numPr>
        <w:spacing w:after="120"/>
        <w:contextualSpacing w:val="0"/>
        <w:jc w:val="both"/>
        <w:rPr>
          <w:rFonts w:eastAsia="Open Sans" w:cstheme="minorHAnsi"/>
        </w:rPr>
      </w:pPr>
      <w:r w:rsidRPr="005B1EB5">
        <w:rPr>
          <w:rFonts w:eastAsia="Open Sans" w:cstheme="minorHAnsi"/>
        </w:rPr>
        <w:t>People experiencing poverty and housing instability are disproportionately impacted by coercive treatment policies as a way to remove visibly homeless people from their communities rather than working to provide safe and adequate housing for all community members.</w:t>
      </w:r>
      <w:r w:rsidR="00316AAE" w:rsidRPr="005B1EB5">
        <w:rPr>
          <w:rFonts w:eastAsia="Open Sans" w:cstheme="minorHAnsi"/>
        </w:rPr>
        <w:t xml:space="preserve"> </w:t>
      </w:r>
      <w:r w:rsidR="005E4A72" w:rsidRPr="005B1EB5">
        <w:rPr>
          <w:rFonts w:eastAsia="Open Sans" w:cstheme="minorHAnsi"/>
        </w:rPr>
        <w:t>Governments</w:t>
      </w:r>
      <w:r w:rsidR="000D3895" w:rsidRPr="005B1EB5">
        <w:rPr>
          <w:rFonts w:eastAsia="Open Sans" w:cstheme="minorHAnsi"/>
        </w:rPr>
        <w:t xml:space="preserve"> in Canada</w:t>
      </w:r>
      <w:r w:rsidR="005E4A72" w:rsidRPr="005B1EB5">
        <w:rPr>
          <w:rFonts w:eastAsia="Open Sans" w:cstheme="minorHAnsi"/>
        </w:rPr>
        <w:t xml:space="preserve"> have failed to adequately invest in voluntary, evidence-based treatment</w:t>
      </w:r>
      <w:r w:rsidR="000A292A" w:rsidRPr="005B1EB5">
        <w:rPr>
          <w:rFonts w:eastAsia="Open Sans" w:cstheme="minorHAnsi"/>
        </w:rPr>
        <w:t xml:space="preserve">, </w:t>
      </w:r>
      <w:r w:rsidR="00316AAE" w:rsidRPr="005B1EB5">
        <w:rPr>
          <w:rFonts w:eastAsia="Open Sans" w:cstheme="minorHAnsi"/>
        </w:rPr>
        <w:t xml:space="preserve">while concurrently neglecting their obligations to address structural determinants of health, such as housing and poverty. In the </w:t>
      </w:r>
      <w:r w:rsidR="000A292A" w:rsidRPr="005B1EB5">
        <w:rPr>
          <w:rFonts w:eastAsia="Open Sans" w:cstheme="minorHAnsi"/>
        </w:rPr>
        <w:t xml:space="preserve"> resulting </w:t>
      </w:r>
      <w:r w:rsidR="00316AAE" w:rsidRPr="005B1EB5">
        <w:rPr>
          <w:rFonts w:eastAsia="Open Sans" w:cstheme="minorHAnsi"/>
        </w:rPr>
        <w:t>context</w:t>
      </w:r>
      <w:r w:rsidR="000D3895" w:rsidRPr="005B1EB5">
        <w:rPr>
          <w:rFonts w:eastAsia="Open Sans" w:cstheme="minorHAnsi"/>
        </w:rPr>
        <w:t xml:space="preserve">, provinces are </w:t>
      </w:r>
      <w:r w:rsidR="00316AAE" w:rsidRPr="005B1EB5">
        <w:rPr>
          <w:rFonts w:eastAsia="Open Sans" w:cstheme="minorHAnsi"/>
        </w:rPr>
        <w:t xml:space="preserve">deploying forced treatment to </w:t>
      </w:r>
      <w:hyperlink r:id="rId104" w:history="1">
        <w:r w:rsidR="00316AAE" w:rsidRPr="005B1EB5">
          <w:rPr>
            <w:rStyle w:val="Hyperlink"/>
            <w:rFonts w:asciiTheme="minorHAnsi" w:eastAsia="Open Sans" w:hAnsiTheme="minorHAnsi" w:cstheme="minorHAnsi"/>
          </w:rPr>
          <w:t>clear homeless encampments</w:t>
        </w:r>
      </w:hyperlink>
      <w:r w:rsidR="006F7B93" w:rsidRPr="005B1EB5">
        <w:rPr>
          <w:rStyle w:val="EndnoteReference"/>
          <w:rFonts w:eastAsia="Open Sans" w:cstheme="minorHAnsi"/>
        </w:rPr>
        <w:endnoteReference w:id="99"/>
      </w:r>
      <w:r w:rsidR="00316AAE" w:rsidRPr="005B1EB5">
        <w:rPr>
          <w:rFonts w:eastAsia="Open Sans" w:cstheme="minorHAnsi"/>
        </w:rPr>
        <w:t> and displace people deprived of housing out of public view</w:t>
      </w:r>
      <w:r w:rsidR="001B14F2" w:rsidRPr="005B1EB5">
        <w:rPr>
          <w:rFonts w:eastAsia="Open Sans" w:cstheme="minorHAnsi"/>
        </w:rPr>
        <w:t>.</w:t>
      </w:r>
    </w:p>
    <w:p w14:paraId="2D68A9CB" w14:textId="60DCBE7B" w:rsidR="2EA4CDB4" w:rsidRPr="005B1EB5" w:rsidRDefault="2EA4CDB4" w:rsidP="00D63AC0">
      <w:pPr>
        <w:pStyle w:val="ListParagraph"/>
        <w:numPr>
          <w:ilvl w:val="0"/>
          <w:numId w:val="4"/>
        </w:numPr>
        <w:spacing w:after="120"/>
        <w:contextualSpacing w:val="0"/>
        <w:jc w:val="both"/>
        <w:rPr>
          <w:rFonts w:eastAsia="Open Sans" w:cstheme="minorHAnsi"/>
        </w:rPr>
      </w:pPr>
      <w:r w:rsidRPr="005B1EB5">
        <w:rPr>
          <w:rFonts w:eastAsia="Open Sans" w:cstheme="minorHAnsi"/>
        </w:rPr>
        <w:t>Involuntary detention cannot be used as a substitute for voluntary, accessible, high-quality health care, housing, meaningful poverty reduction initiatives.</w:t>
      </w:r>
    </w:p>
    <w:p w14:paraId="2A9343FB" w14:textId="77777777" w:rsidR="002E51CB" w:rsidRPr="005B1EB5" w:rsidRDefault="00BB165C" w:rsidP="002E51CB">
      <w:pPr>
        <w:pStyle w:val="ListParagraph"/>
        <w:numPr>
          <w:ilvl w:val="0"/>
          <w:numId w:val="4"/>
        </w:numPr>
        <w:spacing w:after="120"/>
        <w:contextualSpacing w:val="0"/>
        <w:jc w:val="both"/>
        <w:rPr>
          <w:rFonts w:eastAsia="Open Sans" w:cstheme="minorHAnsi"/>
        </w:rPr>
      </w:pPr>
      <w:r w:rsidRPr="005B1EB5">
        <w:rPr>
          <w:rFonts w:eastAsia="Open Sans" w:cstheme="minorHAnsi"/>
        </w:rPr>
        <w:t>Unionized workers are also impacted by coercive treatment policies. Workers can be forced into treatment programs that are harmful to them, can lose their employment for refusing to see a doctor chosen by their employer, and can be ordered to maintain 24/7 abstinence and undergo regular drug testing for months or years – at their own expense – even if there is no reasonable employment-related justification for these measures.</w:t>
      </w:r>
    </w:p>
    <w:p w14:paraId="295B6950" w14:textId="4F936552" w:rsidR="2EA4CDB4" w:rsidRPr="005B1EB5" w:rsidRDefault="00EC6EF7" w:rsidP="002E51CB">
      <w:pPr>
        <w:pStyle w:val="ListParagraph"/>
        <w:numPr>
          <w:ilvl w:val="0"/>
          <w:numId w:val="4"/>
        </w:numPr>
        <w:spacing w:after="120"/>
        <w:contextualSpacing w:val="0"/>
        <w:jc w:val="both"/>
        <w:rPr>
          <w:rFonts w:ascii="Open Sans" w:eastAsia="Open Sans" w:hAnsi="Open Sans" w:cs="Open Sans"/>
        </w:rPr>
      </w:pPr>
      <w:r w:rsidRPr="005B1EB5">
        <w:rPr>
          <w:rFonts w:cstheme="minorHAnsi"/>
          <w:noProof/>
        </w:rPr>
        <mc:AlternateContent>
          <mc:Choice Requires="wps">
            <w:drawing>
              <wp:anchor distT="0" distB="0" distL="114300" distR="114300" simplePos="0" relativeHeight="251658241" behindDoc="0" locked="0" layoutInCell="1" allowOverlap="1" wp14:anchorId="0AB77086" wp14:editId="49D91E4F">
                <wp:simplePos x="0" y="0"/>
                <wp:positionH relativeFrom="margin">
                  <wp:posOffset>-340360</wp:posOffset>
                </wp:positionH>
                <wp:positionV relativeFrom="paragraph">
                  <wp:posOffset>1382395</wp:posOffset>
                </wp:positionV>
                <wp:extent cx="7010400" cy="2673350"/>
                <wp:effectExtent l="19050" t="19050" r="19050" b="12700"/>
                <wp:wrapSquare wrapText="bothSides"/>
                <wp:docPr id="1" name="Rectangle: Rounded Corners 1"/>
                <wp:cNvGraphicFramePr/>
                <a:graphic xmlns:a="http://schemas.openxmlformats.org/drawingml/2006/main">
                  <a:graphicData uri="http://schemas.microsoft.com/office/word/2010/wordprocessingShape">
                    <wps:wsp>
                      <wps:cNvSpPr/>
                      <wps:spPr>
                        <a:xfrm>
                          <a:off x="0" y="0"/>
                          <a:ext cx="7010400" cy="2673350"/>
                        </a:xfrm>
                        <a:prstGeom prst="roundRect">
                          <a:avLst/>
                        </a:prstGeom>
                        <a:solidFill>
                          <a:srgbClr val="F2F0E7"/>
                        </a:solidFill>
                        <a:ln w="28575">
                          <a:solidFill>
                            <a:srgbClr val="C3142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DF4D1D" w14:textId="77777777" w:rsidR="00552032" w:rsidRPr="005B1EB5" w:rsidRDefault="00552032" w:rsidP="00552032">
                            <w:pPr>
                              <w:spacing w:before="100" w:beforeAutospacing="1"/>
                              <w:rPr>
                                <w:rFonts w:cstheme="minorHAnsi"/>
                                <w:b/>
                                <w:bCs/>
                                <w:color w:val="000000" w:themeColor="text1"/>
                                <w:sz w:val="21"/>
                                <w:szCs w:val="21"/>
                              </w:rPr>
                            </w:pPr>
                            <w:r w:rsidRPr="005B1EB5">
                              <w:rPr>
                                <w:rFonts w:cstheme="minorHAnsi"/>
                                <w:b/>
                                <w:bCs/>
                                <w:color w:val="000000" w:themeColor="text1"/>
                                <w:sz w:val="21"/>
                                <w:szCs w:val="21"/>
                              </w:rPr>
                              <w:t>The Canadian Drug Policy Coalition recommends that the Committee call on Canada to:</w:t>
                            </w:r>
                          </w:p>
                          <w:p w14:paraId="5D9E2C59"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Within 1 year, complete an arms-length review of existing decriminalization policies throughout the world and craft recommendations to amend section 4 of the CDSA (prohibition of drug possession). To be led by an independent committee of qualified interdisciplinary researchers and people with lived/living experience with meaningful engagement from civil society;</w:t>
                            </w:r>
                          </w:p>
                          <w:p w14:paraId="181831DE"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Amend federal, provincial and territorial human rights laws to protect people against discrimination on the basis of social status, including housing status;</w:t>
                            </w:r>
                          </w:p>
                          <w:p w14:paraId="733DDBD3"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Rescind laws that target people who use drugs and rely on public spaces for the necessities of life and invest in housing and health and social services to provide dignified alternatives to homelessness and public drug use;</w:t>
                            </w:r>
                          </w:p>
                          <w:p w14:paraId="2727271D" w14:textId="15BAB433"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Rescind involuntary addictions treatment laws and invest in publicly administered, not-for profit, voluntary addictions treatment that is high-quality, accessible and culturally responsive;</w:t>
                            </w:r>
                          </w:p>
                          <w:p w14:paraId="241447F2"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Establish national standards for addictions treatment including client redress mechanisms, quality assurances, mandatory evaluation of outcomes and reporting of deaths and injuries.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B77086" id="Rectangle: Rounded Corners 1" o:spid="_x0000_s1028" style="position:absolute;left:0;text-align:left;margin-left:-26.8pt;margin-top:108.85pt;width:552pt;height:210.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" fillcolor="#f2f0e7" strokecolor="#c31424" strokeweight="2.25pt">
                <v:stroke joinstyle="miter"/>
                <v:textbox inset="0,0,0,0">
                  <w:txbxContent>
                    <w:p w14:paraId="3CDF4D1D" w14:textId="77777777" w:rsidR="00552032" w:rsidRPr="005B1EB5" w:rsidRDefault="00552032" w:rsidP="00552032">
                      <w:pPr>
                        <w:spacing w:before="100" w:beforeAutospacing="1"/>
                        <w:rPr>
                          <w:rFonts w:cstheme="minorHAnsi"/>
                          <w:b/>
                          <w:bCs/>
                          <w:color w:val="000000" w:themeColor="text1"/>
                          <w:sz w:val="21"/>
                          <w:szCs w:val="21"/>
                        </w:rPr>
                      </w:pPr>
                      <w:r w:rsidRPr="005B1EB5">
                        <w:rPr>
                          <w:rFonts w:cstheme="minorHAnsi"/>
                          <w:b/>
                          <w:bCs/>
                          <w:color w:val="000000" w:themeColor="text1"/>
                          <w:sz w:val="21"/>
                          <w:szCs w:val="21"/>
                        </w:rPr>
                        <w:t>The Canadian Drug Policy Coalition recommends that the Committee call on Canada to:</w:t>
                      </w:r>
                    </w:p>
                    <w:p w14:paraId="5D9E2C59"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Within 1 year, complete an arms-length review of existing decriminalization policies throughout the world and craft recommendations to amend section 4 of the CDSA (prohibition of drug possession). To be led by an independent committee of qualified interdisciplinary researchers and people with lived/living experience with meaningful engagement from civil society;</w:t>
                      </w:r>
                    </w:p>
                    <w:p w14:paraId="181831DE"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Amend federal, provincial and territorial human rights laws to protect people against discrimination on the basis of social status, including housing status;</w:t>
                      </w:r>
                    </w:p>
                    <w:p w14:paraId="733DDBD3"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Rescind laws that target people who use drugs and rely on public spaces for the necessities of life and invest in housing and health and social services to provide dignified alternatives to homelessness and public drug use;</w:t>
                      </w:r>
                    </w:p>
                    <w:p w14:paraId="2727271D" w14:textId="15BAB433"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Rescind involuntary addictions treatment laws and invest in publicly administered, not-for profit, voluntary addictions treatment that is high-quality, accessible and culturally responsive;</w:t>
                      </w:r>
                    </w:p>
                    <w:p w14:paraId="241447F2" w14:textId="77777777" w:rsidR="00552032" w:rsidRPr="005B1EB5" w:rsidRDefault="00552032" w:rsidP="00552032">
                      <w:pPr>
                        <w:pStyle w:val="ListParagraph"/>
                        <w:numPr>
                          <w:ilvl w:val="0"/>
                          <w:numId w:val="22"/>
                        </w:numPr>
                        <w:ind w:left="360"/>
                        <w:rPr>
                          <w:rFonts w:cstheme="minorHAnsi"/>
                          <w:color w:val="000000" w:themeColor="text1"/>
                          <w:sz w:val="21"/>
                          <w:szCs w:val="21"/>
                        </w:rPr>
                      </w:pPr>
                      <w:r w:rsidRPr="005B1EB5">
                        <w:rPr>
                          <w:rFonts w:cstheme="minorHAnsi"/>
                          <w:color w:val="000000" w:themeColor="text1"/>
                          <w:sz w:val="21"/>
                          <w:szCs w:val="21"/>
                        </w:rPr>
                        <w:t>Establish national standards for addictions treatment including client redress mechanisms, quality assurances, mandatory evaluation of outcomes and reporting of deaths and injuries.</w:t>
                      </w:r>
                    </w:p>
                  </w:txbxContent>
                </v:textbox>
                <w10:wrap type="square" anchorx="margin"/>
              </v:roundrect>
            </w:pict>
          </mc:Fallback>
        </mc:AlternateContent>
      </w:r>
      <w:r w:rsidR="2EA4CDB4" w:rsidRPr="005B1EB5">
        <w:rPr>
          <w:rFonts w:eastAsia="Open Sans" w:cstheme="minorHAnsi"/>
        </w:rPr>
        <w:t xml:space="preserve">In sum, involuntary addictions treatment is linked to an increased risk of death and harm contrary to Article 6. These laws and policies discriminate against people who use drugs, especially those without housing and experiencing poverty, contrary to Articles 2 and 26. The </w:t>
      </w:r>
      <w:r w:rsidR="00A7446B" w:rsidRPr="005B1EB5">
        <w:rPr>
          <w:rFonts w:eastAsia="Open Sans" w:cstheme="minorHAnsi"/>
        </w:rPr>
        <w:t xml:space="preserve">widespread </w:t>
      </w:r>
      <w:r w:rsidR="2EA4CDB4" w:rsidRPr="005B1EB5">
        <w:rPr>
          <w:rFonts w:eastAsia="Open Sans" w:cstheme="minorHAnsi"/>
        </w:rPr>
        <w:t>use of involuntary treatment is not supported by evidence and disregards informed consent raising concerns that these policies also violate Article 7 guarantees that “no one shall be subjected without his free consent to medical or scientific experimentation” and Article 9 protections against arbitrary detention.</w:t>
      </w:r>
      <w:r w:rsidR="00087427" w:rsidRPr="005B1EB5">
        <w:rPr>
          <w:noProof/>
        </w:rPr>
        <w:t xml:space="preserve"> </w:t>
      </w:r>
    </w:p>
    <w:p w14:paraId="6DE873B1" w14:textId="369B59B4" w:rsidR="005B1EB5" w:rsidRDefault="005B1EB5">
      <w:pPr>
        <w:spacing w:after="160" w:line="259" w:lineRule="auto"/>
        <w:rPr>
          <w:rFonts w:ascii="Open Sans" w:eastAsia="Open Sans" w:hAnsi="Open Sans" w:cs="Open Sans"/>
          <w:sz w:val="22"/>
          <w:szCs w:val="22"/>
        </w:rPr>
      </w:pPr>
      <w:r>
        <w:rPr>
          <w:rFonts w:ascii="Open Sans" w:eastAsia="Open Sans" w:hAnsi="Open Sans" w:cs="Open Sans"/>
          <w:sz w:val="22"/>
          <w:szCs w:val="22"/>
        </w:rPr>
        <w:br w:type="page"/>
      </w:r>
    </w:p>
    <w:p w14:paraId="0A85887D" w14:textId="1720A5CE" w:rsidR="000A0748" w:rsidRPr="002F6BB4" w:rsidRDefault="00D15C6F" w:rsidP="000A0748">
      <w:pPr>
        <w:rPr>
          <w:rFonts w:ascii="Times New Roman" w:eastAsia="Times New Roman" w:hAnsi="Times New Roman" w:cs="Times New Roman"/>
          <w:kern w:val="0"/>
          <w14:ligatures w14:val="none"/>
        </w:rPr>
      </w:pPr>
      <w:r>
        <w:rPr>
          <w:rFonts w:ascii="Times New Roman" w:eastAsia="Times New Roman" w:hAnsi="Times New Roman" w:cs="Times New Roman"/>
          <w:noProof/>
          <w:color w:val="727375"/>
          <w:kern w:val="0"/>
          <w14:ligatures w14:val="none"/>
        </w:rPr>
        <w:lastRenderedPageBreak/>
      </w:r>
      <w:r w:rsidR="00D15C6F">
        <w:rPr>
          <w:rFonts w:ascii="Times New Roman" w:eastAsia="Times New Roman" w:hAnsi="Times New Roman" w:cs="Times New Roman"/>
          <w:noProof/>
          <w:color w:val="727375"/>
          <w:kern w:val="0"/>
          <w14:ligatures w14:val="none"/>
        </w:rPr>
        <w:pict w14:anchorId="0C6DA63C">
          <v:rect id="_x0000_i1033" alt="" style="width:468pt;height:.05pt;mso-width-percent:0;mso-height-percent:0;mso-width-percent:0;mso-height-percent:0" o:hralign="center" o:hrstd="t" o:hr="t" fillcolor="#a0a0a0" stroked="f"/>
        </w:pict>
      </w:r>
    </w:p>
    <w:p w14:paraId="3FD1DB88" w14:textId="6CAE035B" w:rsidR="000A0748" w:rsidRPr="005B1EB5" w:rsidRDefault="000A0748" w:rsidP="000A0748">
      <w:pPr>
        <w:spacing w:before="100" w:beforeAutospacing="1" w:after="100" w:afterAutospacing="1"/>
        <w:outlineLvl w:val="0"/>
        <w:rPr>
          <w:rFonts w:ascii="Arial" w:eastAsia="Times New Roman" w:hAnsi="Arial" w:cs="Arial"/>
          <w:b/>
          <w:bCs/>
          <w:kern w:val="36"/>
          <w14:ligatures w14:val="none"/>
        </w:rPr>
      </w:pPr>
      <w:r w:rsidRPr="005B1EB5">
        <w:rPr>
          <w:rFonts w:ascii="Arial" w:eastAsia="Times New Roman" w:hAnsi="Arial" w:cs="Arial"/>
          <w:b/>
          <w:bCs/>
          <w:kern w:val="36"/>
          <w14:ligatures w14:val="none"/>
        </w:rPr>
        <w:t>ISSUE 4</w:t>
      </w:r>
    </w:p>
    <w:p w14:paraId="70DFCC1E" w14:textId="44B88413" w:rsidR="000A0748" w:rsidRPr="005B1EB5" w:rsidRDefault="000A0748" w:rsidP="000A0748">
      <w:pPr>
        <w:spacing w:before="100" w:beforeAutospacing="1" w:after="100" w:afterAutospacing="1"/>
        <w:outlineLvl w:val="1"/>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Closing and restricting essential health interventions</w:t>
      </w:r>
    </w:p>
    <w:p w14:paraId="54A68153" w14:textId="3E7296E1" w:rsidR="000A0748" w:rsidRPr="005B1EB5" w:rsidRDefault="000A0748" w:rsidP="000A0748">
      <w:pPr>
        <w:spacing w:before="100" w:beforeAutospacing="1" w:after="100" w:afterAutospacing="1"/>
        <w:outlineLvl w:val="2"/>
        <w:rPr>
          <w:rFonts w:eastAsia="Times New Roman" w:cstheme="minorHAnsi"/>
          <w:kern w:val="0"/>
          <w14:ligatures w14:val="none"/>
        </w:rPr>
      </w:pPr>
      <w:r w:rsidRPr="005B1EB5">
        <w:rPr>
          <w:rFonts w:eastAsia="Times New Roman" w:cstheme="minorHAnsi"/>
          <w:b/>
          <w:bCs/>
          <w:kern w:val="0"/>
          <w14:ligatures w14:val="none"/>
        </w:rPr>
        <w:t>Violations of Articles:</w:t>
      </w:r>
      <w:r w:rsidRPr="005B1EB5">
        <w:rPr>
          <w:rFonts w:eastAsia="Times New Roman" w:cstheme="minorHAnsi"/>
          <w:kern w:val="0"/>
          <w14:ligatures w14:val="none"/>
        </w:rPr>
        <w:t xml:space="preserve"> </w:t>
      </w:r>
      <w:r w:rsidR="0019068F" w:rsidRPr="005B1EB5">
        <w:rPr>
          <w:rFonts w:eastAsia="Times New Roman" w:cstheme="minorHAnsi"/>
          <w:kern w:val="0"/>
          <w14:ligatures w14:val="none"/>
        </w:rPr>
        <w:t>6</w:t>
      </w:r>
      <w:r w:rsidRPr="005B1EB5">
        <w:rPr>
          <w:rFonts w:eastAsia="Times New Roman" w:cstheme="minorHAnsi"/>
          <w:kern w:val="0"/>
          <w14:ligatures w14:val="none"/>
        </w:rPr>
        <w:t xml:space="preserve">, </w:t>
      </w:r>
      <w:r w:rsidR="4FA30E79" w:rsidRPr="005B1EB5">
        <w:rPr>
          <w:rFonts w:eastAsia="Times New Roman" w:cstheme="minorHAnsi"/>
          <w:kern w:val="0"/>
          <w14:ligatures w14:val="none"/>
        </w:rPr>
        <w:t>2, 26</w:t>
      </w:r>
    </w:p>
    <w:p w14:paraId="75F29790" w14:textId="1747AF77"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Given the scale of the</w:t>
      </w:r>
      <w:r w:rsidR="003E3894" w:rsidRPr="005B1EB5">
        <w:rPr>
          <w:rFonts w:eastAsia="Times New Roman" w:cstheme="minorHAnsi"/>
          <w:kern w:val="0"/>
          <w14:ligatures w14:val="none"/>
        </w:rPr>
        <w:t xml:space="preserve"> current</w:t>
      </w:r>
      <w:r w:rsidRPr="005B1EB5">
        <w:rPr>
          <w:rFonts w:eastAsia="Times New Roman" w:cstheme="minorHAnsi"/>
          <w:kern w:val="0"/>
          <w14:ligatures w14:val="none"/>
        </w:rPr>
        <w:t xml:space="preserve"> crisis, Canada must take stronger actions to prevent death and mitigate harm now. Harm reduction is the last line of defence for people at risk of </w:t>
      </w:r>
      <w:r w:rsidR="00314FA8" w:rsidRPr="005B1EB5">
        <w:rPr>
          <w:rFonts w:eastAsia="Times New Roman" w:cstheme="minorHAnsi"/>
          <w:kern w:val="0"/>
          <w14:ligatures w14:val="none"/>
        </w:rPr>
        <w:t xml:space="preserve">imminent </w:t>
      </w:r>
      <w:r w:rsidRPr="005B1EB5">
        <w:rPr>
          <w:rFonts w:eastAsia="Times New Roman" w:cstheme="minorHAnsi"/>
          <w:kern w:val="0"/>
          <w14:ligatures w14:val="none"/>
        </w:rPr>
        <w:t xml:space="preserve">death from unregulated drugs. “Harm reduction” describes not only a suite of health and social services; it is also a </w:t>
      </w:r>
      <w:hyperlink r:id="rId105" w:history="1">
        <w:r w:rsidRPr="005B1EB5">
          <w:rPr>
            <w:rStyle w:val="Hyperlink"/>
            <w:rFonts w:asciiTheme="minorHAnsi" w:eastAsia="Times New Roman" w:hAnsiTheme="minorHAnsi" w:cstheme="minorHAnsi"/>
            <w:kern w:val="0"/>
            <w14:ligatures w14:val="none"/>
          </w:rPr>
          <w:t>principle for interpreting law</w:t>
        </w:r>
      </w:hyperlink>
      <w:r w:rsidR="000C1F9B" w:rsidRPr="005B1EB5">
        <w:rPr>
          <w:rStyle w:val="EndnoteReference"/>
          <w:rFonts w:eastAsia="Times New Roman" w:cstheme="minorHAnsi"/>
          <w:kern w:val="0"/>
          <w14:ligatures w14:val="none"/>
        </w:rPr>
        <w:endnoteReference w:id="100"/>
      </w:r>
      <w:r w:rsidRPr="005B1EB5">
        <w:rPr>
          <w:rFonts w:eastAsia="Times New Roman" w:cstheme="minorHAnsi"/>
          <w:kern w:val="0"/>
          <w14:ligatures w14:val="none"/>
        </w:rPr>
        <w:t xml:space="preserve"> and policy and an ethos of mutual aid and care. Many harm reduction services that are now officially authorized and touted by Canada’s government emerged out of community-level action by-and-for people who use drugs and their allies.</w:t>
      </w:r>
    </w:p>
    <w:p w14:paraId="76AD6625" w14:textId="1294DF7B"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These </w:t>
      </w:r>
      <w:r w:rsidR="00753BD1" w:rsidRPr="005B1EB5">
        <w:rPr>
          <w:rFonts w:eastAsia="Times New Roman" w:cstheme="minorHAnsi"/>
          <w:kern w:val="0"/>
          <w14:ligatures w14:val="none"/>
        </w:rPr>
        <w:t xml:space="preserve">proven life-saving and health-benefitting </w:t>
      </w:r>
      <w:r w:rsidRPr="005B1EB5">
        <w:rPr>
          <w:rFonts w:eastAsia="Times New Roman" w:cstheme="minorHAnsi"/>
          <w:kern w:val="0"/>
          <w14:ligatures w14:val="none"/>
        </w:rPr>
        <w:t xml:space="preserve">services are now under attack. </w:t>
      </w:r>
      <w:hyperlink r:id="rId106" w:history="1">
        <w:r w:rsidRPr="005B1EB5">
          <w:rPr>
            <w:rStyle w:val="Hyperlink"/>
            <w:rFonts w:asciiTheme="minorHAnsi" w:eastAsia="Times New Roman" w:hAnsiTheme="minorHAnsi" w:cstheme="minorHAnsi"/>
            <w:kern w:val="0"/>
            <w14:ligatures w14:val="none"/>
          </w:rPr>
          <w:t>Political actors</w:t>
        </w:r>
      </w:hyperlink>
      <w:r w:rsidR="00C70176" w:rsidRPr="005B1EB5">
        <w:rPr>
          <w:rStyle w:val="EndnoteReference"/>
          <w:rFonts w:eastAsia="Times New Roman" w:cstheme="minorHAnsi"/>
          <w:kern w:val="0"/>
          <w14:ligatures w14:val="none"/>
        </w:rPr>
        <w:endnoteReference w:id="101"/>
      </w:r>
      <w:r w:rsidRPr="005B1EB5">
        <w:rPr>
          <w:rFonts w:eastAsia="Times New Roman" w:cstheme="minorHAnsi"/>
          <w:kern w:val="0"/>
          <w14:ligatures w14:val="none"/>
        </w:rPr>
        <w:t xml:space="preserve"> have launched </w:t>
      </w:r>
      <w:hyperlink r:id="rId107" w:history="1">
        <w:r w:rsidRPr="005B1EB5">
          <w:rPr>
            <w:rStyle w:val="Hyperlink"/>
            <w:rFonts w:asciiTheme="minorHAnsi" w:eastAsia="Times New Roman" w:hAnsiTheme="minorHAnsi" w:cstheme="minorHAnsi"/>
            <w:kern w:val="0"/>
            <w14:ligatures w14:val="none"/>
          </w:rPr>
          <w:t>misinformation campaign</w:t>
        </w:r>
        <w:r w:rsidR="009C08FA" w:rsidRPr="005B1EB5">
          <w:rPr>
            <w:rStyle w:val="Hyperlink"/>
            <w:rFonts w:asciiTheme="minorHAnsi" w:eastAsia="Times New Roman" w:hAnsiTheme="minorHAnsi" w:cstheme="minorHAnsi"/>
            <w:kern w:val="0"/>
            <w14:ligatures w14:val="none"/>
          </w:rPr>
          <w:t>s</w:t>
        </w:r>
      </w:hyperlink>
      <w:r w:rsidR="00B3761C" w:rsidRPr="005B1EB5">
        <w:rPr>
          <w:rStyle w:val="EndnoteReference"/>
          <w:rFonts w:eastAsia="Times New Roman" w:cstheme="minorHAnsi"/>
          <w:kern w:val="0"/>
          <w14:ligatures w14:val="none"/>
        </w:rPr>
        <w:endnoteReference w:id="102"/>
      </w:r>
      <w:r w:rsidRPr="005B1EB5">
        <w:rPr>
          <w:rFonts w:eastAsia="Times New Roman" w:cstheme="minorHAnsi"/>
          <w:kern w:val="0"/>
          <w14:ligatures w14:val="none"/>
        </w:rPr>
        <w:t xml:space="preserve">, used </w:t>
      </w:r>
      <w:r w:rsidR="009C78B9" w:rsidRPr="005B1EB5">
        <w:rPr>
          <w:rFonts w:eastAsia="Times New Roman" w:cstheme="minorHAnsi"/>
          <w:kern w:val="0"/>
          <w14:ligatures w14:val="none"/>
        </w:rPr>
        <w:t xml:space="preserve">a </w:t>
      </w:r>
      <w:r w:rsidRPr="005B1EB5">
        <w:rPr>
          <w:rFonts w:eastAsia="Times New Roman" w:cstheme="minorHAnsi"/>
          <w:kern w:val="0"/>
          <w14:ligatures w14:val="none"/>
        </w:rPr>
        <w:t xml:space="preserve">Parliamentary Committee </w:t>
      </w:r>
      <w:r w:rsidR="00967B81" w:rsidRPr="005B1EB5">
        <w:rPr>
          <w:rFonts w:eastAsia="Times New Roman" w:cstheme="minorHAnsi"/>
          <w:kern w:val="0"/>
          <w14:ligatures w14:val="none"/>
        </w:rPr>
        <w:t xml:space="preserve">studying the </w:t>
      </w:r>
      <w:hyperlink r:id="rId108" w:history="1">
        <w:r w:rsidR="00967B81" w:rsidRPr="005B1EB5">
          <w:rPr>
            <w:rStyle w:val="Hyperlink"/>
            <w:rFonts w:asciiTheme="minorHAnsi" w:eastAsia="Times New Roman" w:hAnsiTheme="minorHAnsi" w:cstheme="minorHAnsi"/>
            <w:kern w:val="0"/>
            <w14:ligatures w14:val="none"/>
          </w:rPr>
          <w:t>“Opioid Epidemic and Toxic Drug Crisis”</w:t>
        </w:r>
      </w:hyperlink>
      <w:r w:rsidR="00D90AC5" w:rsidRPr="005B1EB5">
        <w:rPr>
          <w:rStyle w:val="EndnoteReference"/>
          <w:rFonts w:eastAsia="Times New Roman" w:cstheme="minorHAnsi"/>
          <w:kern w:val="0"/>
          <w14:ligatures w14:val="none"/>
        </w:rPr>
        <w:endnoteReference w:id="103"/>
      </w:r>
      <w:r w:rsidRPr="005B1EB5">
        <w:rPr>
          <w:rFonts w:eastAsia="Times New Roman" w:cstheme="minorHAnsi"/>
          <w:kern w:val="0"/>
          <w14:ligatures w14:val="none"/>
        </w:rPr>
        <w:t xml:space="preserve"> on health to </w:t>
      </w:r>
      <w:hyperlink r:id="rId109" w:anchor="Int-12787647" w:history="1">
        <w:r w:rsidRPr="005B1EB5">
          <w:rPr>
            <w:rStyle w:val="Hyperlink"/>
            <w:rFonts w:asciiTheme="minorHAnsi" w:eastAsia="Times New Roman" w:hAnsiTheme="minorHAnsi" w:cstheme="minorHAnsi"/>
            <w:kern w:val="0"/>
            <w14:ligatures w14:val="none"/>
          </w:rPr>
          <w:t>spread misinformation</w:t>
        </w:r>
      </w:hyperlink>
      <w:r w:rsidR="009C08FA" w:rsidRPr="005B1EB5">
        <w:rPr>
          <w:rStyle w:val="EndnoteReference"/>
          <w:rFonts w:eastAsia="Times New Roman" w:cstheme="minorHAnsi"/>
          <w:kern w:val="0"/>
          <w14:ligatures w14:val="none"/>
        </w:rPr>
        <w:endnoteReference w:id="104"/>
      </w:r>
      <w:r w:rsidRPr="005B1EB5">
        <w:rPr>
          <w:rFonts w:eastAsia="Times New Roman" w:cstheme="minorHAnsi"/>
          <w:kern w:val="0"/>
          <w14:ligatures w14:val="none"/>
        </w:rPr>
        <w:t xml:space="preserve"> and encourage discrimination against people who use drugs, and laws and government decisions are shutting down services people rely on every day. Harm reduction services are being blamed for social inequities</w:t>
      </w:r>
      <w:r w:rsidR="0061317D" w:rsidRPr="005B1EB5">
        <w:rPr>
          <w:rFonts w:eastAsia="Times New Roman" w:cstheme="minorHAnsi"/>
          <w:kern w:val="0"/>
          <w14:ligatures w14:val="none"/>
        </w:rPr>
        <w:t>, structural and systemic problems,</w:t>
      </w:r>
      <w:r w:rsidRPr="005B1EB5">
        <w:rPr>
          <w:rFonts w:eastAsia="Times New Roman" w:cstheme="minorHAnsi"/>
          <w:kern w:val="0"/>
          <w14:ligatures w14:val="none"/>
        </w:rPr>
        <w:t xml:space="preserve"> and service-design flaws that they did not cause and do not have power to solve. </w:t>
      </w:r>
    </w:p>
    <w:p w14:paraId="75349CF0" w14:textId="124FBC15"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CDPC recognizes that neither of the services described below </w:t>
      </w:r>
      <w:r w:rsidR="00172EEF" w:rsidRPr="005B1EB5">
        <w:rPr>
          <w:rFonts w:eastAsia="Times New Roman" w:cstheme="minorHAnsi"/>
          <w:kern w:val="0"/>
          <w14:ligatures w14:val="none"/>
        </w:rPr>
        <w:t xml:space="preserve">(supervised consumption sites and prescription-based safer supply) </w:t>
      </w:r>
      <w:r w:rsidRPr="005B1EB5">
        <w:rPr>
          <w:rFonts w:eastAsia="Times New Roman" w:cstheme="minorHAnsi"/>
          <w:kern w:val="0"/>
          <w14:ligatures w14:val="none"/>
        </w:rPr>
        <w:t>can be scaled to a population level, nor are they a solution to the systemic unregulated drug crisis driven by the CDSA/FDA/FDR legal framework. They are not intended to be complete solutions, are not appropriate or available to people who only use unregulated drugs occasionally</w:t>
      </w:r>
      <w:r w:rsidR="00A06DBF" w:rsidRPr="005B1EB5">
        <w:rPr>
          <w:rFonts w:eastAsia="Times New Roman" w:cstheme="minorHAnsi"/>
          <w:kern w:val="0"/>
          <w14:ligatures w14:val="none"/>
        </w:rPr>
        <w:t>,</w:t>
      </w:r>
      <w:r w:rsidR="006923BE" w:rsidRPr="005B1EB5">
        <w:rPr>
          <w:rFonts w:eastAsia="Times New Roman" w:cstheme="minorHAnsi"/>
          <w:kern w:val="0"/>
          <w14:ligatures w14:val="none"/>
        </w:rPr>
        <w:t xml:space="preserve"> </w:t>
      </w:r>
      <w:r w:rsidRPr="005B1EB5">
        <w:rPr>
          <w:rFonts w:eastAsia="Times New Roman" w:cstheme="minorHAnsi"/>
          <w:kern w:val="0"/>
          <w14:ligatures w14:val="none"/>
        </w:rPr>
        <w:t>and</w:t>
      </w:r>
      <w:r w:rsidR="006923BE" w:rsidRPr="005B1EB5">
        <w:rPr>
          <w:rFonts w:eastAsia="Times New Roman" w:cstheme="minorHAnsi"/>
          <w:kern w:val="0"/>
          <w14:ligatures w14:val="none"/>
        </w:rPr>
        <w:t>,</w:t>
      </w:r>
      <w:r w:rsidRPr="005B1EB5">
        <w:rPr>
          <w:rFonts w:eastAsia="Times New Roman" w:cstheme="minorHAnsi"/>
          <w:kern w:val="0"/>
          <w14:ligatures w14:val="none"/>
        </w:rPr>
        <w:t xml:space="preserve"> to-date</w:t>
      </w:r>
      <w:r w:rsidR="006923BE" w:rsidRPr="005B1EB5">
        <w:rPr>
          <w:rFonts w:eastAsia="Times New Roman" w:cstheme="minorHAnsi"/>
          <w:kern w:val="0"/>
          <w14:ligatures w14:val="none"/>
        </w:rPr>
        <w:t>,</w:t>
      </w:r>
      <w:r w:rsidRPr="005B1EB5">
        <w:rPr>
          <w:rFonts w:eastAsia="Times New Roman" w:cstheme="minorHAnsi"/>
          <w:kern w:val="0"/>
          <w14:ligatures w14:val="none"/>
        </w:rPr>
        <w:t xml:space="preserve"> have been implemented with significant limitations that decrease their potential efficacy</w:t>
      </w:r>
      <w:r w:rsidR="00FD7B9D" w:rsidRPr="005B1EB5">
        <w:rPr>
          <w:rFonts w:eastAsia="Times New Roman" w:cstheme="minorHAnsi"/>
          <w:kern w:val="0"/>
          <w14:ligatures w14:val="none"/>
        </w:rPr>
        <w:t>, such as geographic barriers</w:t>
      </w:r>
      <w:r w:rsidRPr="005B1EB5">
        <w:rPr>
          <w:rFonts w:eastAsia="Times New Roman" w:cstheme="minorHAnsi"/>
          <w:kern w:val="0"/>
          <w14:ligatures w14:val="none"/>
        </w:rPr>
        <w:t>.</w:t>
      </w:r>
    </w:p>
    <w:p w14:paraId="7E759AFF" w14:textId="0A7AC495"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They do, however, save lives daily. For the thousands of people who use unregulated drugs and can access these services, they create safety and connect people to systems of care.</w:t>
      </w:r>
    </w:p>
    <w:p w14:paraId="00C81390" w14:textId="4E5A3F50" w:rsidR="00BF390E" w:rsidRPr="005B1EB5" w:rsidRDefault="00BF390E" w:rsidP="00BF390E">
      <w:pPr>
        <w:pStyle w:val="ListParagraph"/>
        <w:numPr>
          <w:ilvl w:val="1"/>
          <w:numId w:val="13"/>
        </w:numPr>
        <w:spacing w:before="100" w:beforeAutospacing="1" w:after="100" w:afterAutospacing="1"/>
        <w:ind w:left="0" w:firstLine="0"/>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Closing supervised consumption services</w:t>
      </w:r>
    </w:p>
    <w:p w14:paraId="16A33695" w14:textId="77777777" w:rsidR="00BF390E" w:rsidRPr="006A4802" w:rsidRDefault="00BF390E" w:rsidP="00BF390E">
      <w:pPr>
        <w:pStyle w:val="ListParagraph"/>
        <w:spacing w:before="100" w:beforeAutospacing="1" w:after="100" w:afterAutospacing="1"/>
        <w:ind w:left="0"/>
        <w:rPr>
          <w:rFonts w:ascii="Barlow" w:eastAsia="Times New Roman" w:hAnsi="Barlow" w:cs="Open Sans"/>
          <w:b/>
          <w:bCs/>
          <w:kern w:val="0"/>
          <w:sz w:val="22"/>
          <w:szCs w:val="22"/>
          <w14:ligatures w14:val="none"/>
        </w:rPr>
      </w:pPr>
    </w:p>
    <w:p w14:paraId="0E71BF9C" w14:textId="451C7BDB"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Canada has historically been a leader in advancing supervised consumption services (SCS), having opened InSite, the first sanctioned SCS in North America, in 2001. In 2011, the Supreme Court of Canada declared that the government’s refusal to extend the authorization InSite needed to operate was unconstitutional because it violated the right to life and security of the person. Despite this, in the last year </w:t>
      </w:r>
      <w:r w:rsidR="00FC7AD8" w:rsidRPr="005B1EB5">
        <w:rPr>
          <w:rFonts w:eastAsia="Times New Roman" w:cstheme="minorHAnsi"/>
          <w:kern w:val="0"/>
          <w14:ligatures w14:val="none"/>
        </w:rPr>
        <w:t xml:space="preserve">over half of the </w:t>
      </w:r>
      <w:r w:rsidRPr="005B1EB5">
        <w:rPr>
          <w:rFonts w:eastAsia="Times New Roman" w:cstheme="minorHAnsi"/>
          <w:kern w:val="0"/>
          <w14:ligatures w14:val="none"/>
        </w:rPr>
        <w:t xml:space="preserve">SCS in Ontario </w:t>
      </w:r>
      <w:r w:rsidR="004F6A4C" w:rsidRPr="005B1EB5">
        <w:rPr>
          <w:rFonts w:eastAsia="Times New Roman" w:cstheme="minorHAnsi"/>
          <w:kern w:val="0"/>
          <w14:ligatures w14:val="none"/>
        </w:rPr>
        <w:t xml:space="preserve">have been forced to close </w:t>
      </w:r>
      <w:r w:rsidRPr="005B1EB5">
        <w:rPr>
          <w:rFonts w:eastAsia="Times New Roman" w:cstheme="minorHAnsi"/>
          <w:kern w:val="0"/>
          <w14:ligatures w14:val="none"/>
        </w:rPr>
        <w:t>and sites in other locations are under threat.</w:t>
      </w:r>
    </w:p>
    <w:p w14:paraId="3CD07B9B" w14:textId="37AD8EAD"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The Government of Canada </w:t>
      </w:r>
      <w:hyperlink r:id="rId110" w:history="1">
        <w:r w:rsidRPr="005B1EB5">
          <w:rPr>
            <w:rStyle w:val="Hyperlink"/>
            <w:rFonts w:asciiTheme="minorHAnsi" w:eastAsia="Times New Roman" w:hAnsiTheme="minorHAnsi" w:cstheme="minorHAnsi"/>
            <w:kern w:val="0"/>
            <w14:ligatures w14:val="none"/>
          </w:rPr>
          <w:t>describe these services</w:t>
        </w:r>
      </w:hyperlink>
      <w:r w:rsidR="001C620E" w:rsidRPr="005B1EB5">
        <w:rPr>
          <w:rStyle w:val="EndnoteReference"/>
          <w:rFonts w:cstheme="minorHAnsi"/>
        </w:rPr>
        <w:endnoteReference w:id="105"/>
      </w:r>
      <w:r w:rsidRPr="005B1EB5">
        <w:rPr>
          <w:rFonts w:eastAsia="Times New Roman" w:cstheme="minorHAnsi"/>
          <w:kern w:val="0"/>
          <w14:ligatures w14:val="none"/>
        </w:rPr>
        <w:t xml:space="preserve"> as:</w:t>
      </w:r>
    </w:p>
    <w:p w14:paraId="2522C6C9" w14:textId="5E7B3811" w:rsidR="00BF390E" w:rsidRPr="005B1EB5" w:rsidRDefault="00BF390E" w:rsidP="00BF390E">
      <w:pPr>
        <w:spacing w:after="240"/>
        <w:ind w:left="630" w:right="360"/>
        <w:jc w:val="both"/>
        <w:rPr>
          <w:rFonts w:cstheme="minorHAnsi"/>
        </w:rPr>
      </w:pPr>
      <w:r w:rsidRPr="005B1EB5">
        <w:rPr>
          <w:rFonts w:cstheme="minorHAnsi"/>
          <w:i/>
          <w:iCs/>
        </w:rPr>
        <w:t>Supervised consumption services save lives and benefit communities. Supervised consumption sites provide a safe, clean space for people to bring their own drugs to use, in the presence of trained staff. This prevents accidental overdoses and reduces the spread of infectious diseases, such as HIV. Supervised consumption sites may offer a range of evidence-based harm reduction services, such as drug checking</w:t>
      </w:r>
      <w:r w:rsidRPr="005B1EB5">
        <w:rPr>
          <w:rFonts w:cstheme="minorHAnsi"/>
        </w:rPr>
        <w:t>.</w:t>
      </w:r>
    </w:p>
    <w:p w14:paraId="4230C42B" w14:textId="356BB517"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lastRenderedPageBreak/>
        <w:t>SCS operate as a low-barrier drop-in health</w:t>
      </w:r>
      <w:r w:rsidR="00626F31" w:rsidRPr="005B1EB5">
        <w:rPr>
          <w:rFonts w:eastAsia="Times New Roman" w:cstheme="minorHAnsi"/>
          <w:kern w:val="0"/>
          <w14:ligatures w14:val="none"/>
        </w:rPr>
        <w:t xml:space="preserve"> and </w:t>
      </w:r>
      <w:r w:rsidRPr="005B1EB5">
        <w:rPr>
          <w:rFonts w:eastAsia="Times New Roman" w:cstheme="minorHAnsi"/>
          <w:kern w:val="0"/>
          <w14:ligatures w14:val="none"/>
        </w:rPr>
        <w:t xml:space="preserve">social service. They are not intended or designed to act as comprehensive treatment services. By welcoming clients without expectation that they seek abstinence, SCS </w:t>
      </w:r>
      <w:r w:rsidR="00B74B6B" w:rsidRPr="005B1EB5">
        <w:rPr>
          <w:rFonts w:eastAsia="Times New Roman" w:cstheme="minorHAnsi"/>
          <w:kern w:val="0"/>
          <w14:ligatures w14:val="none"/>
        </w:rPr>
        <w:t>can</w:t>
      </w:r>
      <w:r w:rsidRPr="005B1EB5">
        <w:rPr>
          <w:rFonts w:eastAsia="Times New Roman" w:cstheme="minorHAnsi"/>
          <w:kern w:val="0"/>
          <w14:ligatures w14:val="none"/>
        </w:rPr>
        <w:t xml:space="preserve"> connect with many people who are not connected to other health and social services. They provide safety and overdose response in the moment, and over months and years build relationships to help people connect with </w:t>
      </w:r>
      <w:r w:rsidR="00452DDA" w:rsidRPr="005B1EB5">
        <w:rPr>
          <w:rFonts w:eastAsia="Times New Roman" w:cstheme="minorHAnsi"/>
          <w:kern w:val="0"/>
          <w14:ligatures w14:val="none"/>
        </w:rPr>
        <w:t>health and social supports</w:t>
      </w:r>
      <w:r w:rsidRPr="005B1EB5">
        <w:rPr>
          <w:rFonts w:eastAsia="Times New Roman" w:cstheme="minorHAnsi"/>
          <w:kern w:val="0"/>
          <w14:ligatures w14:val="none"/>
        </w:rPr>
        <w:t>.</w:t>
      </w:r>
    </w:p>
    <w:p w14:paraId="63E27378" w14:textId="2F26CFC6"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SCS are busy, and they save lives. Between January 2017 to May 2025, </w:t>
      </w:r>
      <w:hyperlink r:id="rId111" w:anchor="a5" w:history="1">
        <w:r w:rsidRPr="005B1EB5">
          <w:rPr>
            <w:rStyle w:val="Hyperlink"/>
            <w:rFonts w:asciiTheme="minorHAnsi" w:eastAsia="Times New Roman" w:hAnsiTheme="minorHAnsi" w:cstheme="minorHAnsi"/>
            <w:kern w:val="0"/>
            <w14:ligatures w14:val="none"/>
          </w:rPr>
          <w:t>SCS</w:t>
        </w:r>
      </w:hyperlink>
      <w:r w:rsidR="004F6A4C" w:rsidRPr="005B1EB5">
        <w:rPr>
          <w:rStyle w:val="EndnoteReference"/>
          <w:rFonts w:eastAsia="Times New Roman" w:cstheme="minorHAnsi"/>
          <w:kern w:val="0"/>
          <w14:ligatures w14:val="none"/>
        </w:rPr>
        <w:endnoteReference w:id="106"/>
      </w:r>
      <w:r w:rsidRPr="005B1EB5">
        <w:rPr>
          <w:rFonts w:eastAsia="Times New Roman" w:cstheme="minorHAnsi"/>
          <w:kern w:val="0"/>
          <w14:ligatures w14:val="none"/>
        </w:rPr>
        <w:t xml:space="preserve"> in Canada were visited 5,394,643 times, serving 531,495 people. SCS staff have responded to more than 65,977 overdoses. Data gathered since 2020 shows that there have been 0 </w:t>
      </w:r>
      <w:r w:rsidR="00896163" w:rsidRPr="005B1EB5">
        <w:rPr>
          <w:rFonts w:eastAsia="Times New Roman" w:cstheme="minorHAnsi"/>
          <w:kern w:val="0"/>
          <w14:ligatures w14:val="none"/>
        </w:rPr>
        <w:t xml:space="preserve">confirmed </w:t>
      </w:r>
      <w:r w:rsidRPr="005B1EB5">
        <w:rPr>
          <w:rFonts w:eastAsia="Times New Roman" w:cstheme="minorHAnsi"/>
          <w:kern w:val="0"/>
          <w14:ligatures w14:val="none"/>
        </w:rPr>
        <w:t>overdose fatalities</w:t>
      </w:r>
      <w:r w:rsidRPr="005B1EB5">
        <w:rPr>
          <w:rFonts w:eastAsia="Times New Roman" w:cstheme="minorHAnsi"/>
          <w:b/>
          <w:bCs/>
          <w:kern w:val="0"/>
          <w14:ligatures w14:val="none"/>
        </w:rPr>
        <w:t xml:space="preserve"> </w:t>
      </w:r>
      <w:r w:rsidRPr="005B1EB5">
        <w:rPr>
          <w:rFonts w:eastAsia="Times New Roman" w:cstheme="minorHAnsi"/>
          <w:kern w:val="0"/>
          <w14:ligatures w14:val="none"/>
        </w:rPr>
        <w:t>in Canada’s SCS.</w:t>
      </w:r>
    </w:p>
    <w:p w14:paraId="0174B83C" w14:textId="1DE8694D"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Over the last two years many SCS have been forced to close. Many have been defunded, new provincial laws are forcing services to close due to new requirements that they not be within 200 metres </w:t>
      </w:r>
      <w:r w:rsidR="004E2957" w:rsidRPr="005B1EB5">
        <w:rPr>
          <w:rFonts w:eastAsia="Times New Roman" w:cstheme="minorHAnsi"/>
          <w:kern w:val="0"/>
          <w14:ligatures w14:val="none"/>
        </w:rPr>
        <w:t>(</w:t>
      </w:r>
      <w:hyperlink r:id="rId112" w:history="1">
        <w:r w:rsidR="004E2957" w:rsidRPr="005B1EB5">
          <w:rPr>
            <w:rStyle w:val="Hyperlink"/>
            <w:rFonts w:asciiTheme="minorHAnsi" w:eastAsia="Times New Roman" w:hAnsiTheme="minorHAnsi" w:cstheme="minorHAnsi"/>
            <w:kern w:val="0"/>
            <w14:ligatures w14:val="none"/>
          </w:rPr>
          <w:t>Ontario</w:t>
        </w:r>
        <w:r w:rsidR="00F81A99" w:rsidRPr="005B1EB5">
          <w:rPr>
            <w:rStyle w:val="Hyperlink"/>
            <w:rFonts w:asciiTheme="minorHAnsi" w:eastAsia="Times New Roman" w:hAnsiTheme="minorHAnsi" w:cstheme="minorHAnsi"/>
            <w:kern w:val="0"/>
            <w14:ligatures w14:val="none"/>
          </w:rPr>
          <w:t xml:space="preserve">: </w:t>
        </w:r>
        <w:r w:rsidR="00F81A99" w:rsidRPr="005B1EB5">
          <w:rPr>
            <w:rStyle w:val="Hyperlink"/>
            <w:rFonts w:asciiTheme="minorHAnsi" w:eastAsia="Times New Roman" w:hAnsiTheme="minorHAnsi" w:cstheme="minorHAnsi"/>
            <w:i/>
            <w:iCs/>
            <w:kern w:val="0"/>
            <w14:ligatures w14:val="none"/>
          </w:rPr>
          <w:t>CCRA</w:t>
        </w:r>
        <w:r w:rsidR="00F81A99" w:rsidRPr="005B1EB5">
          <w:rPr>
            <w:rStyle w:val="Hyperlink"/>
            <w:rFonts w:asciiTheme="minorHAnsi" w:eastAsia="Times New Roman" w:hAnsiTheme="minorHAnsi" w:cstheme="minorHAnsi"/>
            <w:kern w:val="0"/>
            <w14:ligatures w14:val="none"/>
          </w:rPr>
          <w:t>, 2024</w:t>
        </w:r>
      </w:hyperlink>
      <w:r w:rsidR="00CC0F66" w:rsidRPr="005B1EB5">
        <w:rPr>
          <w:rStyle w:val="EndnoteReference"/>
          <w:rFonts w:eastAsia="Times New Roman" w:cstheme="minorHAnsi"/>
          <w:kern w:val="0"/>
          <w14:ligatures w14:val="none"/>
        </w:rPr>
        <w:endnoteReference w:id="107"/>
      </w:r>
      <w:r w:rsidR="004E2957" w:rsidRPr="005B1EB5">
        <w:rPr>
          <w:rFonts w:eastAsia="Times New Roman" w:cstheme="minorHAnsi"/>
          <w:kern w:val="0"/>
          <w14:ligatures w14:val="none"/>
        </w:rPr>
        <w:t>) or 150 meters (</w:t>
      </w:r>
      <w:hyperlink r:id="rId113" w:history="1">
        <w:r w:rsidR="004E2957" w:rsidRPr="005B1EB5">
          <w:rPr>
            <w:rStyle w:val="Hyperlink"/>
            <w:rFonts w:asciiTheme="minorHAnsi" w:eastAsia="Times New Roman" w:hAnsiTheme="minorHAnsi" w:cstheme="minorHAnsi"/>
            <w:kern w:val="0"/>
            <w14:ligatures w14:val="none"/>
          </w:rPr>
          <w:t>Quebec</w:t>
        </w:r>
        <w:r w:rsidR="00A162DF" w:rsidRPr="005B1EB5">
          <w:rPr>
            <w:rStyle w:val="Hyperlink"/>
            <w:rFonts w:asciiTheme="minorHAnsi" w:eastAsia="Times New Roman" w:hAnsiTheme="minorHAnsi" w:cstheme="minorHAnsi"/>
            <w:kern w:val="0"/>
            <w14:ligatures w14:val="none"/>
          </w:rPr>
          <w:t xml:space="preserve"> </w:t>
        </w:r>
        <w:r w:rsidR="00A162DF" w:rsidRPr="005B1EB5">
          <w:rPr>
            <w:rStyle w:val="Hyperlink"/>
            <w:rFonts w:asciiTheme="minorHAnsi" w:eastAsia="Times New Roman" w:hAnsiTheme="minorHAnsi" w:cstheme="minorHAnsi"/>
            <w:i/>
            <w:iCs/>
            <w:kern w:val="0"/>
            <w14:ligatures w14:val="none"/>
          </w:rPr>
          <w:t>Bill 103</w:t>
        </w:r>
        <w:r w:rsidR="00A162DF" w:rsidRPr="005B1EB5">
          <w:rPr>
            <w:rStyle w:val="Hyperlink"/>
            <w:rFonts w:asciiTheme="minorHAnsi" w:eastAsia="Times New Roman" w:hAnsiTheme="minorHAnsi" w:cstheme="minorHAnsi"/>
            <w:kern w:val="0"/>
            <w14:ligatures w14:val="none"/>
          </w:rPr>
          <w:t>, 2025</w:t>
        </w:r>
      </w:hyperlink>
      <w:r w:rsidR="00A162DF" w:rsidRPr="005B1EB5">
        <w:rPr>
          <w:rStyle w:val="EndnoteReference"/>
          <w:rFonts w:eastAsia="Times New Roman" w:cstheme="minorHAnsi"/>
          <w:kern w:val="0"/>
          <w14:ligatures w14:val="none"/>
        </w:rPr>
        <w:endnoteReference w:id="108"/>
      </w:r>
      <w:r w:rsidR="004E2957" w:rsidRPr="005B1EB5">
        <w:rPr>
          <w:rFonts w:eastAsia="Times New Roman" w:cstheme="minorHAnsi"/>
          <w:kern w:val="0"/>
          <w14:ligatures w14:val="none"/>
        </w:rPr>
        <w:t xml:space="preserve">) </w:t>
      </w:r>
      <w:r w:rsidRPr="005B1EB5">
        <w:rPr>
          <w:rFonts w:eastAsia="Times New Roman" w:cstheme="minorHAnsi"/>
          <w:kern w:val="0"/>
          <w14:ligatures w14:val="none"/>
        </w:rPr>
        <w:t>of schools, daycares</w:t>
      </w:r>
      <w:r w:rsidR="004E2957" w:rsidRPr="005B1EB5">
        <w:rPr>
          <w:rFonts w:eastAsia="Times New Roman" w:cstheme="minorHAnsi"/>
          <w:kern w:val="0"/>
          <w14:ligatures w14:val="none"/>
        </w:rPr>
        <w:t>. I</w:t>
      </w:r>
      <w:r w:rsidRPr="005B1EB5">
        <w:rPr>
          <w:rFonts w:eastAsia="Times New Roman" w:cstheme="minorHAnsi"/>
          <w:kern w:val="0"/>
          <w14:ligatures w14:val="none"/>
        </w:rPr>
        <w:t xml:space="preserve">n Ontario, municipalities and local health boards are prohibited from applying for or supporting applications to operate SCS without permission from the Ontario government. </w:t>
      </w:r>
      <w:r w:rsidR="0020046B" w:rsidRPr="005B1EB5">
        <w:rPr>
          <w:rFonts w:eastAsia="Times New Roman" w:cstheme="minorHAnsi"/>
          <w:kern w:val="0"/>
          <w14:ligatures w14:val="none"/>
        </w:rPr>
        <w:t xml:space="preserve">It is clear </w:t>
      </w:r>
      <w:r w:rsidR="00151436" w:rsidRPr="005B1EB5">
        <w:rPr>
          <w:rFonts w:eastAsia="Times New Roman" w:cstheme="minorHAnsi"/>
          <w:kern w:val="0"/>
          <w14:ligatures w14:val="none"/>
        </w:rPr>
        <w:t xml:space="preserve">the government has no intention of offering that </w:t>
      </w:r>
      <w:r w:rsidRPr="005B1EB5">
        <w:rPr>
          <w:rFonts w:eastAsia="Times New Roman" w:cstheme="minorHAnsi"/>
          <w:kern w:val="0"/>
          <w14:ligatures w14:val="none"/>
        </w:rPr>
        <w:t>permission. In the words of Ontario’s Minister of Health</w:t>
      </w:r>
      <w:r w:rsidR="0098156D" w:rsidRPr="005B1EB5">
        <w:rPr>
          <w:rFonts w:eastAsia="Times New Roman" w:cstheme="minorHAnsi"/>
          <w:kern w:val="0"/>
          <w14:ligatures w14:val="none"/>
        </w:rPr>
        <w:t>,</w:t>
      </w:r>
      <w:r w:rsidR="00C7399F" w:rsidRPr="005B1EB5">
        <w:rPr>
          <w:rFonts w:eastAsia="Times New Roman" w:cstheme="minorHAnsi"/>
          <w:kern w:val="0"/>
          <w14:ligatures w14:val="none"/>
        </w:rPr>
        <w:t xml:space="preserve"> Sylvia Jones</w:t>
      </w:r>
      <w:r w:rsidR="00151436" w:rsidRPr="005B1EB5">
        <w:rPr>
          <w:rFonts w:eastAsia="Times New Roman" w:cstheme="minorHAnsi"/>
          <w:kern w:val="0"/>
          <w14:ligatures w14:val="none"/>
        </w:rPr>
        <w:t>:</w:t>
      </w:r>
      <w:r w:rsidR="0098156D" w:rsidRPr="005B1EB5">
        <w:rPr>
          <w:rFonts w:eastAsia="Times New Roman" w:cstheme="minorHAnsi"/>
          <w:kern w:val="0"/>
          <w14:ligatures w14:val="none"/>
        </w:rPr>
        <w:t xml:space="preserve"> </w:t>
      </w:r>
      <w:hyperlink r:id="rId114" w:anchor=":~:text=Health%20Minister%20Sylvia%20Jones%20says,and%20the%20health%20minister%27s%20comments." w:history="1">
        <w:r w:rsidR="00C7399F" w:rsidRPr="005B1EB5">
          <w:rPr>
            <w:rStyle w:val="Hyperlink"/>
            <w:rFonts w:asciiTheme="minorHAnsi" w:eastAsia="Times New Roman" w:hAnsiTheme="minorHAnsi" w:cstheme="minorHAnsi"/>
            <w:kern w:val="0"/>
            <w14:ligatures w14:val="none"/>
          </w:rPr>
          <w:t>“</w:t>
        </w:r>
        <w:r w:rsidR="0098156D" w:rsidRPr="005B1EB5">
          <w:rPr>
            <w:rStyle w:val="Hyperlink"/>
            <w:rFonts w:asciiTheme="minorHAnsi" w:eastAsia="Times New Roman" w:hAnsiTheme="minorHAnsi" w:cstheme="minorHAnsi"/>
            <w:kern w:val="0"/>
            <w14:ligatures w14:val="none"/>
          </w:rPr>
          <w:t>There will be no further safe injection sites in the province of Ontario under our government</w:t>
        </w:r>
        <w:r w:rsidR="00C7399F" w:rsidRPr="005B1EB5">
          <w:rPr>
            <w:rStyle w:val="Hyperlink"/>
            <w:rFonts w:asciiTheme="minorHAnsi" w:eastAsia="Times New Roman" w:hAnsiTheme="minorHAnsi" w:cstheme="minorHAnsi"/>
            <w:kern w:val="0"/>
            <w14:ligatures w14:val="none"/>
          </w:rPr>
          <w:t>”</w:t>
        </w:r>
      </w:hyperlink>
      <w:r w:rsidR="002503F5" w:rsidRPr="005B1EB5">
        <w:rPr>
          <w:rStyle w:val="EndnoteReference"/>
          <w:rFonts w:eastAsia="Times New Roman" w:cstheme="minorHAnsi"/>
          <w:kern w:val="0"/>
          <w14:ligatures w14:val="none"/>
        </w:rPr>
        <w:endnoteReference w:id="109"/>
      </w:r>
      <w:r w:rsidR="00C7399F" w:rsidRPr="005B1EB5">
        <w:rPr>
          <w:rFonts w:eastAsia="Times New Roman" w:cstheme="minorHAnsi"/>
          <w:kern w:val="0"/>
          <w14:ligatures w14:val="none"/>
        </w:rPr>
        <w:t>.</w:t>
      </w:r>
    </w:p>
    <w:p w14:paraId="3428CD36" w14:textId="325514F9" w:rsidR="00E77F01"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Some provincial governments justify the closure of </w:t>
      </w:r>
      <w:r w:rsidR="006C6A4D" w:rsidRPr="005B1EB5">
        <w:rPr>
          <w:rFonts w:eastAsia="Times New Roman" w:cstheme="minorHAnsi"/>
          <w:kern w:val="0"/>
          <w14:ligatures w14:val="none"/>
        </w:rPr>
        <w:t xml:space="preserve">these services by inaccurately </w:t>
      </w:r>
      <w:r w:rsidRPr="005B1EB5">
        <w:rPr>
          <w:rFonts w:eastAsia="Times New Roman" w:cstheme="minorHAnsi"/>
          <w:kern w:val="0"/>
          <w14:ligatures w14:val="none"/>
        </w:rPr>
        <w:t xml:space="preserve">alleging that </w:t>
      </w:r>
      <w:r w:rsidR="006C6A4D" w:rsidRPr="005B1EB5">
        <w:rPr>
          <w:rFonts w:eastAsia="Times New Roman" w:cstheme="minorHAnsi"/>
          <w:kern w:val="0"/>
          <w14:ligatures w14:val="none"/>
        </w:rPr>
        <w:t xml:space="preserve">SCS </w:t>
      </w:r>
      <w:r w:rsidRPr="005B1EB5">
        <w:rPr>
          <w:rFonts w:eastAsia="Times New Roman" w:cstheme="minorHAnsi"/>
          <w:kern w:val="0"/>
          <w14:ligatures w14:val="none"/>
        </w:rPr>
        <w:t xml:space="preserve">increase crime and violence in their local communities. The data don’t support that story. </w:t>
      </w:r>
      <w:r w:rsidR="00C87984" w:rsidRPr="005B1EB5">
        <w:rPr>
          <w:rFonts w:eastAsia="Times New Roman" w:cstheme="minorHAnsi"/>
          <w:kern w:val="0"/>
          <w14:ligatures w14:val="none"/>
        </w:rPr>
        <w:t xml:space="preserve">Findings suggest that with the exception of break and enters, SCS in Toronto were </w:t>
      </w:r>
      <w:hyperlink r:id="rId115" w:history="1">
        <w:r w:rsidR="00C87984" w:rsidRPr="005B1EB5">
          <w:rPr>
            <w:rStyle w:val="Hyperlink"/>
            <w:rFonts w:asciiTheme="minorHAnsi" w:eastAsia="Times New Roman" w:hAnsiTheme="minorHAnsi" w:cstheme="minorHAnsi"/>
            <w:kern w:val="0"/>
            <w14:ligatures w14:val="none"/>
          </w:rPr>
          <w:t>associated with neutral to positive improvements in local crime trends</w:t>
        </w:r>
      </w:hyperlink>
      <w:r w:rsidR="002D1A1F" w:rsidRPr="005B1EB5">
        <w:rPr>
          <w:rStyle w:val="EndnoteReference"/>
          <w:rFonts w:eastAsia="Times New Roman" w:cstheme="minorHAnsi"/>
          <w:kern w:val="0"/>
          <w14:ligatures w14:val="none"/>
        </w:rPr>
        <w:endnoteReference w:id="110"/>
      </w:r>
      <w:r w:rsidR="002D1A1F" w:rsidRPr="005B1EB5">
        <w:rPr>
          <w:rFonts w:eastAsia="Times New Roman" w:cstheme="minorHAnsi"/>
          <w:kern w:val="0"/>
          <w14:ligatures w14:val="none"/>
        </w:rPr>
        <w:t xml:space="preserve"> and</w:t>
      </w:r>
      <w:r w:rsidR="00813B93" w:rsidRPr="005B1EB5">
        <w:rPr>
          <w:rFonts w:eastAsia="Times New Roman" w:cstheme="minorHAnsi"/>
          <w:kern w:val="0"/>
          <w14:ligatures w14:val="none"/>
        </w:rPr>
        <w:t xml:space="preserve"> SCS implementation was not associated with increased homicide rates but, instead, </w:t>
      </w:r>
      <w:hyperlink r:id="rId116" w:history="1">
        <w:r w:rsidR="00813B93" w:rsidRPr="005B1EB5">
          <w:rPr>
            <w:rStyle w:val="Hyperlink"/>
            <w:rFonts w:asciiTheme="minorHAnsi" w:eastAsia="Times New Roman" w:hAnsiTheme="minorHAnsi" w:cstheme="minorHAnsi"/>
            <w:kern w:val="0"/>
            <w14:ligatures w14:val="none"/>
          </w:rPr>
          <w:t>a reduction in monthly incidence near SCS</w:t>
        </w:r>
      </w:hyperlink>
      <w:r w:rsidR="00A37DBB" w:rsidRPr="005B1EB5">
        <w:rPr>
          <w:rStyle w:val="EndnoteReference"/>
          <w:rFonts w:eastAsia="Times New Roman" w:cstheme="minorHAnsi"/>
          <w:kern w:val="0"/>
          <w14:ligatures w14:val="none"/>
        </w:rPr>
        <w:endnoteReference w:id="111"/>
      </w:r>
      <w:r w:rsidR="00813B93" w:rsidRPr="005B1EB5">
        <w:rPr>
          <w:rFonts w:eastAsia="Times New Roman" w:cstheme="minorHAnsi"/>
          <w:kern w:val="0"/>
          <w14:ligatures w14:val="none"/>
        </w:rPr>
        <w:t xml:space="preserve">. </w:t>
      </w:r>
    </w:p>
    <w:p w14:paraId="75CC9003" w14:textId="0639E3FE"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The data do show that </w:t>
      </w:r>
      <w:hyperlink r:id="rId117" w:history="1">
        <w:r w:rsidRPr="005B1EB5">
          <w:rPr>
            <w:rStyle w:val="Hyperlink"/>
            <w:rFonts w:asciiTheme="minorHAnsi" w:eastAsia="Times New Roman" w:hAnsiTheme="minorHAnsi" w:cstheme="minorHAnsi"/>
            <w:kern w:val="0"/>
            <w14:ligatures w14:val="none"/>
          </w:rPr>
          <w:t>many SCS clients lack housing</w:t>
        </w:r>
      </w:hyperlink>
      <w:r w:rsidR="007116E6" w:rsidRPr="005B1EB5">
        <w:rPr>
          <w:rStyle w:val="EndnoteReference"/>
          <w:rFonts w:eastAsia="Times New Roman" w:cstheme="minorHAnsi"/>
          <w:kern w:val="0"/>
          <w14:ligatures w14:val="none"/>
        </w:rPr>
        <w:endnoteReference w:id="112"/>
      </w:r>
      <w:r w:rsidRPr="005B1EB5">
        <w:rPr>
          <w:rFonts w:eastAsia="Times New Roman" w:cstheme="minorHAnsi"/>
          <w:kern w:val="0"/>
          <w14:ligatures w14:val="none"/>
        </w:rPr>
        <w:t>, are experiencing extreme poverty, and are often coping with a number of health conditions and trauma. Many clients do not have a home or indoor place to go when SCS are closed</w:t>
      </w:r>
      <w:r w:rsidR="00BF6BF1" w:rsidRPr="005B1EB5">
        <w:rPr>
          <w:rFonts w:eastAsia="Times New Roman" w:cstheme="minorHAnsi"/>
          <w:kern w:val="0"/>
          <w14:ligatures w14:val="none"/>
        </w:rPr>
        <w:t>,</w:t>
      </w:r>
      <w:r w:rsidRPr="005B1EB5">
        <w:rPr>
          <w:rFonts w:eastAsia="Times New Roman" w:cstheme="minorHAnsi"/>
          <w:kern w:val="0"/>
          <w14:ligatures w14:val="none"/>
        </w:rPr>
        <w:t xml:space="preserve"> and some rely on poverty-driven minor crimes like shop lifting or other theft to meet their most basic daily needs. </w:t>
      </w:r>
    </w:p>
    <w:p w14:paraId="43BDC877" w14:textId="0B63247C"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SCS are now being forced to close or </w:t>
      </w:r>
      <w:r w:rsidR="00B76FE0" w:rsidRPr="005B1EB5">
        <w:rPr>
          <w:rFonts w:eastAsia="Times New Roman" w:cstheme="minorHAnsi"/>
          <w:kern w:val="0"/>
          <w14:ligatures w14:val="none"/>
        </w:rPr>
        <w:t xml:space="preserve">told </w:t>
      </w:r>
      <w:r w:rsidRPr="005B1EB5">
        <w:rPr>
          <w:rFonts w:eastAsia="Times New Roman" w:cstheme="minorHAnsi"/>
          <w:kern w:val="0"/>
          <w14:ligatures w14:val="none"/>
        </w:rPr>
        <w:t>to take responsibility to ensure people experiencing homelessness and poverty are not seen sleeping or loitering near an SCS</w:t>
      </w:r>
      <w:r w:rsidR="001532A1" w:rsidRPr="005B1EB5">
        <w:rPr>
          <w:rFonts w:eastAsia="Times New Roman" w:cstheme="minorHAnsi"/>
          <w:kern w:val="0"/>
          <w14:ligatures w14:val="none"/>
        </w:rPr>
        <w:t xml:space="preserve">. </w:t>
      </w:r>
      <w:r w:rsidR="00CC5AE1" w:rsidRPr="005B1EB5">
        <w:rPr>
          <w:rFonts w:eastAsia="Times New Roman" w:cstheme="minorHAnsi"/>
          <w:kern w:val="0"/>
          <w14:ligatures w14:val="none"/>
        </w:rPr>
        <w:t xml:space="preserve">Governments ask </w:t>
      </w:r>
      <w:r w:rsidR="001532A1" w:rsidRPr="005B1EB5">
        <w:rPr>
          <w:rFonts w:eastAsia="Times New Roman" w:cstheme="minorHAnsi"/>
          <w:kern w:val="0"/>
          <w14:ligatures w14:val="none"/>
        </w:rPr>
        <w:t>SCS</w:t>
      </w:r>
      <w:r w:rsidRPr="005B1EB5">
        <w:rPr>
          <w:rFonts w:eastAsia="Times New Roman" w:cstheme="minorHAnsi"/>
          <w:kern w:val="0"/>
          <w14:ligatures w14:val="none"/>
        </w:rPr>
        <w:t xml:space="preserve"> to provide more and more crime data when reporting on their services. It is not reasonable for small, often under-resourced SCS to be held responsible for systemic government failures to address homelessness and poverty. Governments are shifting the blame for their failures and asking too much from frontline workers who are already helping people in crisis and saving lives every day.</w:t>
      </w:r>
    </w:p>
    <w:p w14:paraId="3EFA110E" w14:textId="157A93E6" w:rsidR="00322932" w:rsidRPr="005B1EB5" w:rsidRDefault="00BF390E" w:rsidP="00FD1E80">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Governments are also intentionally limiting how SCS operate, leaving many people unable to benefit from them. </w:t>
      </w:r>
      <w:r w:rsidR="00CA54BA" w:rsidRPr="005B1EB5">
        <w:rPr>
          <w:rFonts w:eastAsia="Times New Roman" w:cstheme="minorHAnsi"/>
          <w:kern w:val="0"/>
          <w14:ligatures w14:val="none"/>
        </w:rPr>
        <w:t>In</w:t>
      </w:r>
      <w:r w:rsidR="00752612" w:rsidRPr="005B1EB5">
        <w:rPr>
          <w:rFonts w:eastAsia="Times New Roman" w:cstheme="minorHAnsi"/>
          <w:kern w:val="0"/>
          <w14:ligatures w14:val="none"/>
        </w:rPr>
        <w:t xml:space="preserve"> the last few </w:t>
      </w:r>
      <w:r w:rsidR="002E679B" w:rsidRPr="005B1EB5">
        <w:rPr>
          <w:rFonts w:eastAsia="Times New Roman" w:cstheme="minorHAnsi"/>
          <w:kern w:val="0"/>
          <w14:ligatures w14:val="none"/>
        </w:rPr>
        <w:t>years, there</w:t>
      </w:r>
      <w:r w:rsidR="00A24CF8" w:rsidRPr="005B1EB5">
        <w:rPr>
          <w:rFonts w:eastAsia="Times New Roman" w:cstheme="minorHAnsi"/>
          <w:kern w:val="0"/>
          <w14:ligatures w14:val="none"/>
        </w:rPr>
        <w:t xml:space="preserve"> has been an </w:t>
      </w:r>
      <w:hyperlink r:id="rId118" w:history="1">
        <w:r w:rsidR="00A24CF8" w:rsidRPr="005B1EB5">
          <w:rPr>
            <w:rStyle w:val="Hyperlink"/>
            <w:rFonts w:asciiTheme="minorHAnsi" w:eastAsia="Times New Roman" w:hAnsiTheme="minorHAnsi" w:cstheme="minorHAnsi"/>
            <w:kern w:val="0"/>
            <w14:ligatures w14:val="none"/>
          </w:rPr>
          <w:t>unprecedented shift from injecting to smoking</w:t>
        </w:r>
      </w:hyperlink>
      <w:r w:rsidR="002E679B" w:rsidRPr="005B1EB5">
        <w:rPr>
          <w:rStyle w:val="EndnoteReference"/>
          <w:rFonts w:eastAsia="Times New Roman" w:cstheme="minorHAnsi"/>
          <w:kern w:val="0"/>
          <w14:ligatures w14:val="none"/>
        </w:rPr>
        <w:endnoteReference w:id="113"/>
      </w:r>
      <w:r w:rsidR="00A24CF8" w:rsidRPr="005B1EB5">
        <w:rPr>
          <w:rFonts w:eastAsia="Times New Roman" w:cstheme="minorHAnsi"/>
          <w:kern w:val="0"/>
          <w14:ligatures w14:val="none"/>
        </w:rPr>
        <w:t xml:space="preserve"> unregulated drugs</w:t>
      </w:r>
      <w:r w:rsidR="00A24CF8" w:rsidRPr="005B1EB5" w:rsidDel="00A24CF8">
        <w:rPr>
          <w:rFonts w:eastAsia="Times New Roman" w:cstheme="minorHAnsi"/>
          <w:kern w:val="0"/>
          <w14:ligatures w14:val="none"/>
        </w:rPr>
        <w:t xml:space="preserve"> </w:t>
      </w:r>
      <w:r w:rsidR="002E679B" w:rsidRPr="005B1EB5">
        <w:rPr>
          <w:rFonts w:eastAsia="Times New Roman" w:cstheme="minorHAnsi"/>
          <w:kern w:val="0"/>
          <w14:ligatures w14:val="none"/>
        </w:rPr>
        <w:t xml:space="preserve">across North America. </w:t>
      </w:r>
      <w:r w:rsidR="0093560B" w:rsidRPr="005B1EB5">
        <w:rPr>
          <w:rFonts w:eastAsia="Times New Roman" w:cstheme="minorHAnsi"/>
          <w:kern w:val="0"/>
          <w14:ligatures w14:val="none"/>
        </w:rPr>
        <w:t>In B.C.</w:t>
      </w:r>
      <w:r w:rsidR="00CA54BA" w:rsidRPr="005B1EB5">
        <w:rPr>
          <w:rFonts w:eastAsia="Times New Roman" w:cstheme="minorHAnsi"/>
          <w:kern w:val="0"/>
          <w14:ligatures w14:val="none"/>
        </w:rPr>
        <w:t xml:space="preserve"> smoking-related overdose deaths increas</w:t>
      </w:r>
      <w:r w:rsidR="0093560B" w:rsidRPr="005B1EB5">
        <w:rPr>
          <w:rFonts w:eastAsia="Times New Roman" w:cstheme="minorHAnsi"/>
          <w:kern w:val="0"/>
          <w14:ligatures w14:val="none"/>
        </w:rPr>
        <w:t>ed</w:t>
      </w:r>
      <w:r w:rsidR="00CA54BA" w:rsidRPr="005B1EB5">
        <w:rPr>
          <w:rFonts w:eastAsia="Times New Roman" w:cstheme="minorHAnsi"/>
          <w:kern w:val="0"/>
          <w14:ligatures w14:val="none"/>
        </w:rPr>
        <w:t xml:space="preserve"> from 29% </w:t>
      </w:r>
      <w:r w:rsidR="004C42E9" w:rsidRPr="005B1EB5">
        <w:rPr>
          <w:rFonts w:eastAsia="Times New Roman" w:cstheme="minorHAnsi"/>
          <w:kern w:val="0"/>
          <w14:ligatures w14:val="none"/>
        </w:rPr>
        <w:t>(</w:t>
      </w:r>
      <w:r w:rsidR="00CA54BA" w:rsidRPr="005B1EB5">
        <w:rPr>
          <w:rFonts w:eastAsia="Times New Roman" w:cstheme="minorHAnsi"/>
          <w:kern w:val="0"/>
          <w14:ligatures w14:val="none"/>
        </w:rPr>
        <w:t>2016</w:t>
      </w:r>
      <w:r w:rsidR="004C42E9" w:rsidRPr="005B1EB5">
        <w:rPr>
          <w:rFonts w:eastAsia="Times New Roman" w:cstheme="minorHAnsi"/>
          <w:kern w:val="0"/>
          <w14:ligatures w14:val="none"/>
        </w:rPr>
        <w:t>)</w:t>
      </w:r>
      <w:r w:rsidR="00CA54BA" w:rsidRPr="005B1EB5">
        <w:rPr>
          <w:rFonts w:eastAsia="Times New Roman" w:cstheme="minorHAnsi"/>
          <w:kern w:val="0"/>
          <w14:ligatures w14:val="none"/>
        </w:rPr>
        <w:t xml:space="preserve"> to 65% </w:t>
      </w:r>
      <w:r w:rsidR="004C42E9" w:rsidRPr="005B1EB5">
        <w:rPr>
          <w:rFonts w:eastAsia="Times New Roman" w:cstheme="minorHAnsi"/>
          <w:kern w:val="0"/>
          <w14:ligatures w14:val="none"/>
        </w:rPr>
        <w:t>(</w:t>
      </w:r>
      <w:r w:rsidR="00CA54BA" w:rsidRPr="005B1EB5">
        <w:rPr>
          <w:rFonts w:eastAsia="Times New Roman" w:cstheme="minorHAnsi"/>
          <w:kern w:val="0"/>
          <w14:ligatures w14:val="none"/>
        </w:rPr>
        <w:t>2023</w:t>
      </w:r>
      <w:r w:rsidR="004C42E9" w:rsidRPr="005B1EB5">
        <w:rPr>
          <w:rFonts w:eastAsia="Times New Roman" w:cstheme="minorHAnsi"/>
          <w:kern w:val="0"/>
          <w14:ligatures w14:val="none"/>
        </w:rPr>
        <w:t>)</w:t>
      </w:r>
      <w:r w:rsidR="00922746" w:rsidRPr="005B1EB5">
        <w:rPr>
          <w:rFonts w:eastAsia="Times New Roman" w:cstheme="minorHAnsi"/>
          <w:kern w:val="0"/>
          <w14:ligatures w14:val="none"/>
        </w:rPr>
        <w:t>,</w:t>
      </w:r>
      <w:r w:rsidR="00675C33" w:rsidRPr="005B1EB5">
        <w:rPr>
          <w:rFonts w:eastAsia="Times New Roman" w:cstheme="minorHAnsi"/>
          <w:kern w:val="0"/>
          <w14:ligatures w14:val="none"/>
        </w:rPr>
        <w:t xml:space="preserve"> yet less than half</w:t>
      </w:r>
      <w:r w:rsidR="00C9416B" w:rsidRPr="005B1EB5">
        <w:rPr>
          <w:rFonts w:eastAsia="Times New Roman" w:cstheme="minorHAnsi"/>
          <w:kern w:val="0"/>
          <w14:ligatures w14:val="none"/>
        </w:rPr>
        <w:t xml:space="preserve"> of supervised consumption sites offered a safe place for people to smoke. </w:t>
      </w:r>
      <w:r w:rsidRPr="005B1EB5">
        <w:rPr>
          <w:rFonts w:eastAsia="Times New Roman" w:cstheme="minorHAnsi"/>
          <w:kern w:val="0"/>
          <w14:ligatures w14:val="none"/>
        </w:rPr>
        <w:t xml:space="preserve"> </w:t>
      </w:r>
      <w:r w:rsidR="007B5FDF" w:rsidRPr="005B1EB5">
        <w:rPr>
          <w:rFonts w:eastAsia="Times New Roman" w:cstheme="minorHAnsi"/>
          <w:kern w:val="0"/>
          <w14:ligatures w14:val="none"/>
        </w:rPr>
        <w:t>In</w:t>
      </w:r>
      <w:r w:rsidR="00F921B9" w:rsidRPr="005B1EB5">
        <w:rPr>
          <w:rFonts w:eastAsia="Times New Roman" w:cstheme="minorHAnsi"/>
          <w:kern w:val="0"/>
          <w14:ligatures w14:val="none"/>
        </w:rPr>
        <w:t xml:space="preserve"> </w:t>
      </w:r>
      <w:r w:rsidR="007B5FDF" w:rsidRPr="005B1EB5">
        <w:rPr>
          <w:rFonts w:eastAsia="Times New Roman" w:cstheme="minorHAnsi"/>
          <w:kern w:val="0"/>
          <w14:ligatures w14:val="none"/>
        </w:rPr>
        <w:t>Ontario, o</w:t>
      </w:r>
      <w:r w:rsidR="000A4EFD" w:rsidRPr="005B1EB5">
        <w:rPr>
          <w:rFonts w:eastAsia="Times New Roman" w:cstheme="minorHAnsi"/>
          <w:kern w:val="0"/>
          <w14:ligatures w14:val="none"/>
        </w:rPr>
        <w:t xml:space="preserve">pioid toxicity deaths where </w:t>
      </w:r>
      <w:hyperlink r:id="rId119" w:history="1">
        <w:r w:rsidR="000A4EFD" w:rsidRPr="005B1EB5">
          <w:rPr>
            <w:rStyle w:val="Hyperlink"/>
            <w:rFonts w:asciiTheme="minorHAnsi" w:eastAsia="Times New Roman" w:hAnsiTheme="minorHAnsi" w:cstheme="minorHAnsi"/>
            <w:kern w:val="0"/>
            <w14:ligatures w14:val="none"/>
          </w:rPr>
          <w:t>inhalation was the only mode of drug use almost doubled (2017-2021)</w:t>
        </w:r>
      </w:hyperlink>
      <w:r w:rsidR="00BA4152" w:rsidRPr="005B1EB5">
        <w:rPr>
          <w:rStyle w:val="EndnoteReference"/>
          <w:rFonts w:eastAsia="Times New Roman" w:cstheme="minorHAnsi"/>
          <w:kern w:val="0"/>
          <w14:ligatures w14:val="none"/>
        </w:rPr>
        <w:endnoteReference w:id="114"/>
      </w:r>
      <w:r w:rsidR="00802E29" w:rsidRPr="005B1EB5">
        <w:rPr>
          <w:rFonts w:eastAsia="Times New Roman" w:cstheme="minorHAnsi"/>
          <w:kern w:val="0"/>
          <w14:ligatures w14:val="none"/>
        </w:rPr>
        <w:t xml:space="preserve"> and</w:t>
      </w:r>
      <w:r w:rsidR="00DE19F0" w:rsidRPr="005B1EB5">
        <w:rPr>
          <w:rFonts w:eastAsia="Times New Roman" w:cstheme="minorHAnsi"/>
          <w:kern w:val="0"/>
          <w14:ligatures w14:val="none"/>
        </w:rPr>
        <w:t>,</w:t>
      </w:r>
      <w:r w:rsidR="00802E29" w:rsidRPr="005B1EB5">
        <w:rPr>
          <w:rFonts w:eastAsia="Times New Roman" w:cstheme="minorHAnsi"/>
          <w:kern w:val="0"/>
          <w14:ligatures w14:val="none"/>
        </w:rPr>
        <w:t xml:space="preserve"> </w:t>
      </w:r>
      <w:r w:rsidR="002F206B" w:rsidRPr="005B1EB5">
        <w:rPr>
          <w:rFonts w:eastAsia="Times New Roman" w:cstheme="minorHAnsi"/>
          <w:kern w:val="0"/>
          <w14:ligatures w14:val="none"/>
        </w:rPr>
        <w:t xml:space="preserve">since 2020, </w:t>
      </w:r>
      <w:hyperlink r:id="rId120" w:history="1">
        <w:r w:rsidR="002F206B" w:rsidRPr="005B1EB5">
          <w:rPr>
            <w:rStyle w:val="Hyperlink"/>
            <w:rFonts w:asciiTheme="minorHAnsi" w:eastAsia="Times New Roman" w:hAnsiTheme="minorHAnsi" w:cstheme="minorHAnsi"/>
            <w:kern w:val="0"/>
            <w14:ligatures w14:val="none"/>
          </w:rPr>
          <w:t>approximately half of opioid toxicity deaths had evidence of inhalation</w:t>
        </w:r>
      </w:hyperlink>
      <w:r w:rsidR="00984F99" w:rsidRPr="005B1EB5">
        <w:rPr>
          <w:rStyle w:val="EndnoteReference"/>
          <w:rFonts w:eastAsia="Times New Roman" w:cstheme="minorHAnsi"/>
          <w:kern w:val="0"/>
          <w14:ligatures w14:val="none"/>
        </w:rPr>
        <w:endnoteReference w:id="115"/>
      </w:r>
      <w:r w:rsidR="000A4EFD" w:rsidRPr="005B1EB5">
        <w:rPr>
          <w:rFonts w:eastAsia="Times New Roman" w:cstheme="minorHAnsi"/>
          <w:kern w:val="0"/>
          <w14:ligatures w14:val="none"/>
        </w:rPr>
        <w:t xml:space="preserve">. </w:t>
      </w:r>
      <w:r w:rsidRPr="005B1EB5">
        <w:rPr>
          <w:rFonts w:eastAsia="Times New Roman" w:cstheme="minorHAnsi"/>
          <w:kern w:val="0"/>
          <w14:ligatures w14:val="none"/>
        </w:rPr>
        <w:t xml:space="preserve"> Despite this</w:t>
      </w:r>
      <w:r w:rsidR="00484209" w:rsidRPr="005B1EB5">
        <w:rPr>
          <w:rFonts w:eastAsia="Times New Roman" w:cstheme="minorHAnsi"/>
          <w:kern w:val="0"/>
          <w14:ligatures w14:val="none"/>
        </w:rPr>
        <w:t>,</w:t>
      </w:r>
      <w:r w:rsidRPr="005B1EB5">
        <w:rPr>
          <w:rFonts w:eastAsia="Times New Roman" w:cstheme="minorHAnsi"/>
          <w:kern w:val="0"/>
          <w14:ligatures w14:val="none"/>
        </w:rPr>
        <w:t xml:space="preserve"> </w:t>
      </w:r>
      <w:r w:rsidR="002D51CE" w:rsidRPr="005B1EB5">
        <w:rPr>
          <w:rFonts w:eastAsia="Times New Roman" w:cstheme="minorHAnsi"/>
          <w:kern w:val="0"/>
          <w14:ligatures w14:val="none"/>
        </w:rPr>
        <w:t xml:space="preserve">Ontario has never funded inhalation </w:t>
      </w:r>
      <w:r w:rsidR="00FE310D" w:rsidRPr="005B1EB5">
        <w:rPr>
          <w:rFonts w:eastAsia="Times New Roman" w:cstheme="minorHAnsi"/>
          <w:kern w:val="0"/>
          <w14:ligatures w14:val="none"/>
        </w:rPr>
        <w:t>services</w:t>
      </w:r>
      <w:r w:rsidRPr="005B1EB5">
        <w:rPr>
          <w:rFonts w:eastAsia="Times New Roman" w:cstheme="minorHAnsi"/>
          <w:kern w:val="0"/>
          <w14:ligatures w14:val="none"/>
        </w:rPr>
        <w:t xml:space="preserve">. </w:t>
      </w:r>
    </w:p>
    <w:p w14:paraId="62C04888" w14:textId="4C781B5C" w:rsidR="00BF390E" w:rsidRPr="005B1EB5" w:rsidRDefault="00BF390E" w:rsidP="00BF390E">
      <w:pPr>
        <w:pStyle w:val="ListParagraph"/>
        <w:numPr>
          <w:ilvl w:val="0"/>
          <w:numId w:val="4"/>
        </w:numPr>
        <w:spacing w:after="120"/>
        <w:contextualSpacing w:val="0"/>
        <w:jc w:val="both"/>
        <w:rPr>
          <w:rFonts w:eastAsia="Times New Roman" w:cstheme="minorHAnsi"/>
          <w:kern w:val="0"/>
          <w14:ligatures w14:val="none"/>
        </w:rPr>
      </w:pPr>
      <w:r w:rsidRPr="005B1EB5">
        <w:rPr>
          <w:rFonts w:eastAsia="Times New Roman" w:cstheme="minorHAnsi"/>
          <w:kern w:val="0"/>
          <w14:ligatures w14:val="none"/>
        </w:rPr>
        <w:lastRenderedPageBreak/>
        <w:t>This is not accidental</w:t>
      </w:r>
      <w:r w:rsidR="00D724BB" w:rsidRPr="005B1EB5">
        <w:rPr>
          <w:rFonts w:eastAsia="Times New Roman" w:cstheme="minorHAnsi"/>
          <w:kern w:val="0"/>
          <w14:ligatures w14:val="none"/>
        </w:rPr>
        <w:t>:</w:t>
      </w:r>
      <w:r w:rsidRPr="005B1EB5">
        <w:rPr>
          <w:rFonts w:eastAsia="Times New Roman" w:cstheme="minorHAnsi"/>
          <w:kern w:val="0"/>
          <w14:ligatures w14:val="none"/>
        </w:rPr>
        <w:t xml:space="preserve"> it is a government choice that is causing increased foreseeable risk of death. Beyond the significant risk of death for people who inhale drugs, this government failure is also being used against existing SCS who are regularly blamed when members of the public witness a person smoking/inhaling drugs outside an SCS. SCS providers would provide safer indoor spaces for these people, if government allowed and resourced them to do so.</w:t>
      </w:r>
    </w:p>
    <w:p w14:paraId="05AB784E" w14:textId="6FEC607B" w:rsidR="00BF390E" w:rsidRPr="005B1EB5" w:rsidRDefault="00B03C7C" w:rsidP="00AA50DE">
      <w:pPr>
        <w:pStyle w:val="ListParagraph"/>
        <w:numPr>
          <w:ilvl w:val="0"/>
          <w:numId w:val="4"/>
        </w:numPr>
        <w:spacing w:after="120"/>
        <w:jc w:val="both"/>
        <w:rPr>
          <w:rFonts w:eastAsia="Times New Roman" w:cstheme="minorHAnsi"/>
          <w:kern w:val="0"/>
          <w14:ligatures w14:val="none"/>
        </w:rPr>
      </w:pPr>
      <w:r w:rsidRPr="005B1EB5">
        <w:rPr>
          <w:rFonts w:eastAsia="Times New Roman" w:cstheme="minorHAnsi"/>
          <w:kern w:val="0"/>
          <w14:ligatures w14:val="none"/>
        </w:rPr>
        <w:t>SCS</w:t>
      </w:r>
      <w:r w:rsidR="009C18A0" w:rsidRPr="005B1EB5">
        <w:rPr>
          <w:rFonts w:eastAsia="Times New Roman" w:cstheme="minorHAnsi"/>
          <w:kern w:val="0"/>
          <w14:ligatures w14:val="none"/>
        </w:rPr>
        <w:t xml:space="preserve"> closures</w:t>
      </w:r>
      <w:r w:rsidRPr="005B1EB5">
        <w:rPr>
          <w:rFonts w:eastAsia="Times New Roman" w:cstheme="minorHAnsi"/>
          <w:kern w:val="0"/>
          <w14:ligatures w14:val="none"/>
        </w:rPr>
        <w:t xml:space="preserve"> </w:t>
      </w:r>
      <w:r w:rsidR="0097072A" w:rsidRPr="005B1EB5">
        <w:rPr>
          <w:rFonts w:eastAsia="Times New Roman" w:cstheme="minorHAnsi"/>
          <w:kern w:val="0"/>
          <w14:ligatures w14:val="none"/>
        </w:rPr>
        <w:t>ha</w:t>
      </w:r>
      <w:r w:rsidR="00DB6807" w:rsidRPr="005B1EB5">
        <w:rPr>
          <w:rFonts w:eastAsia="Times New Roman" w:cstheme="minorHAnsi"/>
          <w:kern w:val="0"/>
          <w14:ligatures w14:val="none"/>
        </w:rPr>
        <w:t xml:space="preserve">ve </w:t>
      </w:r>
      <w:r w:rsidR="0097072A" w:rsidRPr="005B1EB5">
        <w:rPr>
          <w:rFonts w:eastAsia="Times New Roman" w:cstheme="minorHAnsi"/>
          <w:kern w:val="0"/>
          <w14:ligatures w14:val="none"/>
        </w:rPr>
        <w:t>significant impact</w:t>
      </w:r>
      <w:r w:rsidR="00DB6807" w:rsidRPr="005B1EB5">
        <w:rPr>
          <w:rFonts w:eastAsia="Times New Roman" w:cstheme="minorHAnsi"/>
          <w:kern w:val="0"/>
          <w14:ligatures w14:val="none"/>
        </w:rPr>
        <w:t>s</w:t>
      </w:r>
      <w:r w:rsidR="0097072A" w:rsidRPr="005B1EB5">
        <w:rPr>
          <w:rFonts w:eastAsia="Times New Roman" w:cstheme="minorHAnsi"/>
          <w:kern w:val="0"/>
          <w14:ligatures w14:val="none"/>
        </w:rPr>
        <w:t xml:space="preserve"> for people who use drugs as well as a chilling effect on harm reduction </w:t>
      </w:r>
      <w:r w:rsidR="0097360D" w:rsidRPr="005B1EB5">
        <w:rPr>
          <w:rFonts w:eastAsia="Times New Roman" w:cstheme="minorHAnsi"/>
          <w:kern w:val="0"/>
          <w14:ligatures w14:val="none"/>
        </w:rPr>
        <w:t>service</w:t>
      </w:r>
      <w:r w:rsidR="0097072A" w:rsidRPr="005B1EB5">
        <w:rPr>
          <w:rFonts w:eastAsia="Times New Roman" w:cstheme="minorHAnsi"/>
          <w:kern w:val="0"/>
          <w14:ligatures w14:val="none"/>
        </w:rPr>
        <w:t xml:space="preserve"> </w:t>
      </w:r>
      <w:r w:rsidR="0097360D" w:rsidRPr="005B1EB5">
        <w:rPr>
          <w:rFonts w:eastAsia="Times New Roman" w:cstheme="minorHAnsi"/>
          <w:kern w:val="0"/>
          <w14:ligatures w14:val="none"/>
        </w:rPr>
        <w:t>providers.</w:t>
      </w:r>
      <w:r w:rsidR="00DB6807" w:rsidRPr="005B1EB5">
        <w:rPr>
          <w:rFonts w:eastAsia="Times New Roman" w:cstheme="minorHAnsi"/>
          <w:kern w:val="0"/>
          <w14:ligatures w14:val="none"/>
        </w:rPr>
        <w:t xml:space="preserve"> A site in Lethbridge Alberta was the busiest in the world until the Alberta government </w:t>
      </w:r>
      <w:hyperlink r:id="rId121" w:anchor=":~:text=Our%20findings%20highlight,the%20same%20fate." w:history="1">
        <w:r w:rsidR="00DB6807" w:rsidRPr="005B1EB5">
          <w:rPr>
            <w:rStyle w:val="Hyperlink"/>
            <w:rFonts w:asciiTheme="minorHAnsi" w:eastAsia="Times New Roman" w:hAnsiTheme="minorHAnsi" w:cstheme="minorHAnsi"/>
            <w:kern w:val="0"/>
            <w14:ligatures w14:val="none"/>
          </w:rPr>
          <w:t>forced its closure in 2020</w:t>
        </w:r>
      </w:hyperlink>
      <w:r w:rsidR="00B217A6" w:rsidRPr="005B1EB5">
        <w:rPr>
          <w:rStyle w:val="EndnoteReference"/>
          <w:rFonts w:eastAsia="Times New Roman" w:cstheme="minorHAnsi"/>
          <w:kern w:val="0"/>
          <w14:ligatures w14:val="none"/>
        </w:rPr>
        <w:endnoteReference w:id="116"/>
      </w:r>
      <w:r w:rsidR="00DB6807" w:rsidRPr="005B1EB5">
        <w:rPr>
          <w:rFonts w:eastAsia="Times New Roman" w:cstheme="minorHAnsi"/>
          <w:kern w:val="0"/>
          <w14:ligatures w14:val="none"/>
        </w:rPr>
        <w:t xml:space="preserve">. </w:t>
      </w:r>
      <w:r w:rsidR="00FE70EC" w:rsidRPr="005B1EB5">
        <w:rPr>
          <w:rFonts w:eastAsia="Times New Roman" w:cstheme="minorHAnsi"/>
          <w:kern w:val="0"/>
          <w14:ligatures w14:val="none"/>
        </w:rPr>
        <w:t xml:space="preserve">A </w:t>
      </w:r>
      <w:hyperlink r:id="rId122" w:history="1">
        <w:r w:rsidR="00FE70EC" w:rsidRPr="005B1EB5">
          <w:rPr>
            <w:rStyle w:val="Hyperlink"/>
            <w:rFonts w:asciiTheme="minorHAnsi" w:eastAsia="Times New Roman" w:hAnsiTheme="minorHAnsi" w:cstheme="minorHAnsi"/>
            <w:kern w:val="0"/>
            <w14:ligatures w14:val="none"/>
          </w:rPr>
          <w:t>study</w:t>
        </w:r>
      </w:hyperlink>
      <w:r w:rsidR="0092709E" w:rsidRPr="005B1EB5">
        <w:rPr>
          <w:rStyle w:val="EndnoteReference"/>
          <w:rFonts w:eastAsia="Times New Roman" w:cstheme="minorHAnsi"/>
          <w:kern w:val="0"/>
          <w14:ligatures w14:val="none"/>
        </w:rPr>
        <w:endnoteReference w:id="117"/>
      </w:r>
      <w:r w:rsidR="00FE70EC" w:rsidRPr="005B1EB5">
        <w:rPr>
          <w:rFonts w:eastAsia="Times New Roman" w:cstheme="minorHAnsi"/>
          <w:kern w:val="0"/>
          <w14:ligatures w14:val="none"/>
        </w:rPr>
        <w:t xml:space="preserve"> looking at the potential closure of SCS in Toronto estimated that </w:t>
      </w:r>
      <w:r w:rsidR="00AA50DE" w:rsidRPr="005B1EB5">
        <w:rPr>
          <w:rFonts w:eastAsia="Times New Roman" w:cstheme="minorHAnsi"/>
          <w:kern w:val="0"/>
          <w14:ligatures w14:val="none"/>
        </w:rPr>
        <w:t>“</w:t>
      </w:r>
      <w:r w:rsidR="00FE70EC" w:rsidRPr="005B1EB5">
        <w:rPr>
          <w:rFonts w:eastAsia="Times New Roman" w:cstheme="minorHAnsi"/>
          <w:kern w:val="0"/>
          <w14:ligatures w14:val="none"/>
        </w:rPr>
        <w:t xml:space="preserve">a large proportion of people – almost 50% in some scenarios – </w:t>
      </w:r>
      <w:r w:rsidR="00AA50DE" w:rsidRPr="005B1EB5">
        <w:rPr>
          <w:rFonts w:eastAsia="Times New Roman" w:cstheme="minorHAnsi"/>
          <w:kern w:val="0"/>
          <w14:ligatures w14:val="none"/>
        </w:rPr>
        <w:t>would</w:t>
      </w:r>
      <w:r w:rsidR="00FE70EC" w:rsidRPr="005B1EB5">
        <w:rPr>
          <w:rFonts w:eastAsia="Times New Roman" w:cstheme="minorHAnsi"/>
          <w:kern w:val="0"/>
          <w14:ligatures w14:val="none"/>
        </w:rPr>
        <w:t xml:space="preserve"> lose access to an</w:t>
      </w:r>
      <w:r w:rsidR="00AA50DE" w:rsidRPr="005B1EB5">
        <w:rPr>
          <w:rFonts w:eastAsia="Times New Roman" w:cstheme="minorHAnsi"/>
          <w:kern w:val="0"/>
          <w14:ligatures w14:val="none"/>
        </w:rPr>
        <w:t xml:space="preserve"> </w:t>
      </w:r>
      <w:r w:rsidR="00FE70EC" w:rsidRPr="005B1EB5">
        <w:rPr>
          <w:rFonts w:eastAsia="Times New Roman" w:cstheme="minorHAnsi"/>
          <w:kern w:val="0"/>
          <w14:ligatures w14:val="none"/>
        </w:rPr>
        <w:t>intervention with a strong evidence base for improving their health and well-being</w:t>
      </w:r>
      <w:r w:rsidR="002D69AB" w:rsidRPr="005B1EB5">
        <w:rPr>
          <w:rFonts w:eastAsia="Times New Roman" w:cstheme="minorHAnsi"/>
          <w:kern w:val="0"/>
          <w14:ligatures w14:val="none"/>
        </w:rPr>
        <w:t>.</w:t>
      </w:r>
      <w:r w:rsidR="00AA50DE" w:rsidRPr="005B1EB5">
        <w:rPr>
          <w:rFonts w:eastAsia="Times New Roman" w:cstheme="minorHAnsi"/>
          <w:kern w:val="0"/>
          <w14:ligatures w14:val="none"/>
        </w:rPr>
        <w:t>” Since this study, over half the site</w:t>
      </w:r>
      <w:r w:rsidR="0019408B" w:rsidRPr="005B1EB5">
        <w:rPr>
          <w:rFonts w:eastAsia="Times New Roman" w:cstheme="minorHAnsi"/>
          <w:kern w:val="0"/>
          <w14:ligatures w14:val="none"/>
        </w:rPr>
        <w:t>s</w:t>
      </w:r>
      <w:r w:rsidR="00AA50DE" w:rsidRPr="005B1EB5">
        <w:rPr>
          <w:rFonts w:eastAsia="Times New Roman" w:cstheme="minorHAnsi"/>
          <w:kern w:val="0"/>
          <w14:ligatures w14:val="none"/>
        </w:rPr>
        <w:t xml:space="preserve"> in Toronto were forced to close</w:t>
      </w:r>
      <w:r w:rsidR="0019408B" w:rsidRPr="005B1EB5">
        <w:rPr>
          <w:rFonts w:eastAsia="Times New Roman" w:cstheme="minorHAnsi"/>
          <w:kern w:val="0"/>
          <w14:ligatures w14:val="none"/>
        </w:rPr>
        <w:t>.</w:t>
      </w:r>
    </w:p>
    <w:p w14:paraId="74C08012" w14:textId="77777777" w:rsidR="00DA1430" w:rsidRPr="005B1EB5" w:rsidRDefault="00DA1430" w:rsidP="00DA1430">
      <w:pPr>
        <w:pStyle w:val="ListParagraph"/>
        <w:spacing w:after="120"/>
        <w:ind w:left="360"/>
        <w:jc w:val="both"/>
        <w:rPr>
          <w:rFonts w:eastAsia="Times New Roman" w:cstheme="minorHAnsi"/>
          <w:kern w:val="0"/>
          <w14:ligatures w14:val="none"/>
        </w:rPr>
      </w:pPr>
    </w:p>
    <w:p w14:paraId="329274F2" w14:textId="2112669F" w:rsidR="0019408B" w:rsidRPr="005B1EB5" w:rsidRDefault="00BF390E" w:rsidP="00492A13">
      <w:pPr>
        <w:pStyle w:val="ListParagraph"/>
        <w:numPr>
          <w:ilvl w:val="0"/>
          <w:numId w:val="4"/>
        </w:numPr>
        <w:spacing w:after="240"/>
        <w:contextualSpacing w:val="0"/>
        <w:jc w:val="both"/>
        <w:rPr>
          <w:rFonts w:eastAsia="Times New Roman" w:cstheme="minorHAnsi"/>
          <w:kern w:val="0"/>
          <w14:ligatures w14:val="none"/>
        </w:rPr>
      </w:pPr>
      <w:r w:rsidRPr="005B1EB5">
        <w:rPr>
          <w:rFonts w:eastAsia="Times New Roman" w:cstheme="minorHAnsi"/>
          <w:kern w:val="0"/>
          <w14:ligatures w14:val="none"/>
        </w:rPr>
        <w:t xml:space="preserve">SCS cannot save everyone who is at risk of </w:t>
      </w:r>
      <w:r w:rsidR="002D69AB" w:rsidRPr="005B1EB5">
        <w:rPr>
          <w:rFonts w:eastAsia="Times New Roman" w:cstheme="minorHAnsi"/>
          <w:kern w:val="0"/>
          <w14:ligatures w14:val="none"/>
        </w:rPr>
        <w:t>death</w:t>
      </w:r>
      <w:r w:rsidRPr="005B1EB5">
        <w:rPr>
          <w:rFonts w:eastAsia="Times New Roman" w:cstheme="minorHAnsi"/>
          <w:kern w:val="0"/>
          <w14:ligatures w14:val="none"/>
        </w:rPr>
        <w:t>. They have, however, prevented tens of thousands of possible deaths in the last decade. Closing them is a clear violation of Article 6</w:t>
      </w:r>
      <w:r w:rsidR="002D69AB" w:rsidRPr="005B1EB5">
        <w:rPr>
          <w:rFonts w:eastAsia="Times New Roman" w:cstheme="minorHAnsi"/>
          <w:kern w:val="0"/>
          <w14:ligatures w14:val="none"/>
        </w:rPr>
        <w:t>. G</w:t>
      </w:r>
      <w:r w:rsidRPr="005B1EB5">
        <w:rPr>
          <w:rFonts w:eastAsia="Times New Roman" w:cstheme="minorHAnsi"/>
          <w:kern w:val="0"/>
          <w14:ligatures w14:val="none"/>
        </w:rPr>
        <w:t>overnment’s justifications for these closures are grounded in and perpetuate discrimination and stigma against people who use drugs, lack housing and live in poverty contrary to Articles 2 and 26.</w:t>
      </w:r>
    </w:p>
    <w:p w14:paraId="4D621771" w14:textId="1B585626" w:rsidR="0077488F" w:rsidRPr="005B1EB5" w:rsidRDefault="000A0748" w:rsidP="0077488F">
      <w:pPr>
        <w:pStyle w:val="ListParagraph"/>
        <w:numPr>
          <w:ilvl w:val="1"/>
          <w:numId w:val="12"/>
        </w:numPr>
        <w:spacing w:before="100" w:beforeAutospacing="1" w:after="100" w:afterAutospacing="1"/>
        <w:ind w:left="0" w:firstLine="0"/>
        <w:rPr>
          <w:rFonts w:ascii="Arial" w:eastAsia="Times New Roman" w:hAnsi="Arial" w:cs="Arial"/>
          <w:b/>
          <w:bCs/>
          <w:kern w:val="0"/>
          <w:sz w:val="22"/>
          <w:szCs w:val="22"/>
          <w14:ligatures w14:val="none"/>
        </w:rPr>
      </w:pPr>
      <w:r w:rsidRPr="005B1EB5">
        <w:rPr>
          <w:rFonts w:ascii="Arial" w:eastAsia="Times New Roman" w:hAnsi="Arial" w:cs="Arial"/>
          <w:b/>
          <w:bCs/>
          <w:kern w:val="0"/>
          <w:sz w:val="22"/>
          <w:szCs w:val="22"/>
          <w14:ligatures w14:val="none"/>
        </w:rPr>
        <w:t>Limiting and defunding prescription-based health programs to decrease reliance on the unregulated toxic drug supply</w:t>
      </w:r>
    </w:p>
    <w:p w14:paraId="4FF57B8D" w14:textId="77777777" w:rsidR="00931CA2" w:rsidRPr="0077488F" w:rsidRDefault="00931CA2" w:rsidP="0077488F">
      <w:pPr>
        <w:pStyle w:val="ListParagraph"/>
        <w:rPr>
          <w:rStyle w:val="normaltextrun"/>
          <w:rFonts w:ascii="Open Sans" w:hAnsi="Open Sans" w:cs="Open Sans"/>
          <w:sz w:val="22"/>
          <w:szCs w:val="22"/>
        </w:rPr>
      </w:pPr>
    </w:p>
    <w:p w14:paraId="7C51EF19" w14:textId="50BF0746" w:rsidR="00502B0B" w:rsidRPr="005B1EB5" w:rsidRDefault="00502B0B" w:rsidP="00CF056A">
      <w:pPr>
        <w:pStyle w:val="ListParagraph"/>
        <w:numPr>
          <w:ilvl w:val="0"/>
          <w:numId w:val="4"/>
        </w:numPr>
        <w:spacing w:after="120"/>
        <w:contextualSpacing w:val="0"/>
        <w:jc w:val="both"/>
        <w:rPr>
          <w:rStyle w:val="normaltextrun"/>
          <w:rFonts w:eastAsia="Times New Roman" w:cstheme="minorHAnsi"/>
          <w:kern w:val="0"/>
          <w14:ligatures w14:val="none"/>
        </w:rPr>
      </w:pPr>
      <w:r w:rsidRPr="005B1EB5">
        <w:rPr>
          <w:rStyle w:val="normaltextrun"/>
          <w:rFonts w:cstheme="minorHAnsi"/>
        </w:rPr>
        <w:t xml:space="preserve">As outlined throughout this submission – Canada’s preventable drug-related death crisis is being driven by the unregulated drug supply. In this context, pharmaceutical-grade alternatives to unregulated illegal drugs are an effective intervention to prevent death and injury, and to improve community safety. </w:t>
      </w:r>
    </w:p>
    <w:p w14:paraId="3A668A66" w14:textId="0EBE9086" w:rsidR="00502B0B" w:rsidRPr="005B1EB5" w:rsidRDefault="00502B0B" w:rsidP="0026403F">
      <w:pPr>
        <w:pStyle w:val="ListParagraph"/>
        <w:numPr>
          <w:ilvl w:val="0"/>
          <w:numId w:val="4"/>
        </w:numPr>
        <w:spacing w:after="120"/>
        <w:contextualSpacing w:val="0"/>
        <w:jc w:val="both"/>
        <w:rPr>
          <w:rStyle w:val="normaltextrun"/>
          <w:rFonts w:eastAsia="Times New Roman" w:cstheme="minorHAnsi"/>
          <w:kern w:val="0"/>
          <w14:ligatures w14:val="none"/>
        </w:rPr>
      </w:pPr>
      <w:r w:rsidRPr="005B1EB5">
        <w:rPr>
          <w:rStyle w:val="normaltextrun"/>
          <w:rFonts w:cstheme="minorHAnsi"/>
        </w:rPr>
        <w:t xml:space="preserve">Programs like this are commonly referred to as “safe supply” or “safer supply”. Safer supply includes both prescription-based services and non-medicalized compassion club models such as the model that DULF tried to implement. The goal of these programs is to reduce people’s reliance on unregulated and unpredictable drugs that are causing fatal and non-fatal overdose without requiring that people become abstinent (sober). They are designed to prioritize immediate safety and to support longer-term wellness and stability while also decreasing a person’s likelihood of being arrested and imprisoned for drug and poverty related crimes. The Government of Canada </w:t>
      </w:r>
      <w:hyperlink r:id="rId123" w:history="1">
        <w:r w:rsidRPr="005B1EB5">
          <w:rPr>
            <w:rStyle w:val="Hyperlink"/>
            <w:rFonts w:asciiTheme="minorHAnsi" w:hAnsiTheme="minorHAnsi" w:cstheme="minorHAnsi"/>
          </w:rPr>
          <w:t>defines these programs</w:t>
        </w:r>
      </w:hyperlink>
      <w:r w:rsidR="00304C3C" w:rsidRPr="005B1EB5">
        <w:rPr>
          <w:rStyle w:val="EndnoteReference"/>
          <w:rFonts w:cstheme="minorHAnsi"/>
        </w:rPr>
        <w:endnoteReference w:id="118"/>
      </w:r>
      <w:r w:rsidRPr="005B1EB5">
        <w:rPr>
          <w:rStyle w:val="normaltextrun"/>
          <w:rFonts w:cstheme="minorHAnsi"/>
        </w:rPr>
        <w:t xml:space="preserve"> as:</w:t>
      </w:r>
    </w:p>
    <w:p w14:paraId="3B495BCC" w14:textId="5053949E" w:rsidR="00502B0B" w:rsidRPr="005B1EB5" w:rsidRDefault="00502B0B" w:rsidP="0077488F">
      <w:pPr>
        <w:pStyle w:val="ListParagraph"/>
        <w:spacing w:after="120"/>
        <w:ind w:left="851" w:right="571"/>
        <w:contextualSpacing w:val="0"/>
        <w:jc w:val="both"/>
        <w:rPr>
          <w:rStyle w:val="eop"/>
          <w:rFonts w:eastAsia="Times New Roman" w:cstheme="minorHAnsi"/>
          <w:kern w:val="0"/>
          <w14:ligatures w14:val="none"/>
        </w:rPr>
      </w:pPr>
      <w:r w:rsidRPr="005B1EB5">
        <w:rPr>
          <w:rStyle w:val="normaltextrun"/>
          <w:rFonts w:cstheme="minorHAnsi"/>
          <w:i/>
        </w:rPr>
        <w:t xml:space="preserve">Safer supply refers to providing prescribed medications as a safer alternative to the toxic illegal drug supply to people who are </w:t>
      </w:r>
      <w:r w:rsidRPr="005B1EB5">
        <w:rPr>
          <w:rStyle w:val="normaltextrun"/>
          <w:rFonts w:cstheme="minorHAnsi"/>
          <w:i/>
          <w:iCs/>
        </w:rPr>
        <w:t>at high risk of overdose. Safer supply services can help prevent overdoses, save lives, and connect people who use drugs to other health and social services</w:t>
      </w:r>
      <w:r w:rsidR="000E26AD" w:rsidRPr="005B1EB5">
        <w:rPr>
          <w:rStyle w:val="superscript"/>
          <w:rFonts w:cstheme="minorHAnsi"/>
        </w:rPr>
        <w:t>.</w:t>
      </w:r>
      <w:r w:rsidRPr="005B1EB5">
        <w:rPr>
          <w:rStyle w:val="normaltextrun"/>
          <w:rFonts w:cstheme="minorHAnsi"/>
        </w:rPr>
        <w:t> </w:t>
      </w:r>
      <w:r w:rsidRPr="005B1EB5">
        <w:rPr>
          <w:rStyle w:val="eop"/>
          <w:rFonts w:cstheme="minorHAnsi"/>
        </w:rPr>
        <w:t> </w:t>
      </w:r>
    </w:p>
    <w:p w14:paraId="08D1A624" w14:textId="515424EE" w:rsidR="00502B0B" w:rsidRPr="005B1EB5" w:rsidRDefault="00502B0B" w:rsidP="00DB7CBE">
      <w:pPr>
        <w:pStyle w:val="ListParagraph"/>
        <w:numPr>
          <w:ilvl w:val="0"/>
          <w:numId w:val="4"/>
        </w:numPr>
        <w:spacing w:after="120"/>
        <w:contextualSpacing w:val="0"/>
        <w:jc w:val="both"/>
        <w:rPr>
          <w:rStyle w:val="normaltextrun"/>
          <w:rFonts w:eastAsia="Times New Roman" w:cstheme="minorHAnsi"/>
          <w:kern w:val="0"/>
          <w14:ligatures w14:val="none"/>
        </w:rPr>
      </w:pPr>
      <w:r w:rsidRPr="005B1EB5">
        <w:rPr>
          <w:rStyle w:val="normaltextrun"/>
          <w:rFonts w:cstheme="minorHAnsi"/>
        </w:rPr>
        <w:t xml:space="preserve">Currently, </w:t>
      </w:r>
      <w:r w:rsidR="00CC6B49" w:rsidRPr="005B1EB5">
        <w:rPr>
          <w:rStyle w:val="normaltextrun"/>
          <w:rFonts w:cstheme="minorHAnsi"/>
        </w:rPr>
        <w:t xml:space="preserve">the Government of Canada has </w:t>
      </w:r>
      <w:r w:rsidRPr="005B1EB5">
        <w:rPr>
          <w:rStyle w:val="normaltextrun"/>
          <w:rFonts w:cstheme="minorHAnsi"/>
        </w:rPr>
        <w:t xml:space="preserve">only </w:t>
      </w:r>
      <w:r w:rsidR="00CC6B49" w:rsidRPr="005B1EB5">
        <w:rPr>
          <w:rStyle w:val="normaltextrun"/>
          <w:rFonts w:cstheme="minorHAnsi"/>
        </w:rPr>
        <w:t xml:space="preserve">authorized </w:t>
      </w:r>
      <w:r w:rsidR="00863B99" w:rsidRPr="005B1EB5">
        <w:rPr>
          <w:rStyle w:val="normaltextrun"/>
          <w:rFonts w:cstheme="minorHAnsi"/>
        </w:rPr>
        <w:t xml:space="preserve">limited </w:t>
      </w:r>
      <w:r w:rsidRPr="005B1EB5">
        <w:rPr>
          <w:rStyle w:val="normaltextrun"/>
          <w:rFonts w:cstheme="minorHAnsi"/>
        </w:rPr>
        <w:t xml:space="preserve">prescription-based models. </w:t>
      </w:r>
      <w:r w:rsidR="00863B99" w:rsidRPr="005B1EB5">
        <w:rPr>
          <w:rStyle w:val="normaltextrun"/>
          <w:rFonts w:cstheme="minorHAnsi"/>
        </w:rPr>
        <w:t>In variations of this model</w:t>
      </w:r>
      <w:r w:rsidRPr="005B1EB5">
        <w:rPr>
          <w:rStyle w:val="normaltextrun"/>
          <w:rFonts w:cstheme="minorHAnsi"/>
        </w:rPr>
        <w:t xml:space="preserve">, a prescriber provides controlled access to pharmaceutical alternatives to the unregulated drugs that put people at risk of dying. </w:t>
      </w:r>
    </w:p>
    <w:p w14:paraId="4A09DEFD" w14:textId="6EAD831E" w:rsidR="00502B0B" w:rsidRPr="005B1EB5" w:rsidRDefault="00502B0B" w:rsidP="00DB7CBE">
      <w:pPr>
        <w:pStyle w:val="ListParagraph"/>
        <w:numPr>
          <w:ilvl w:val="0"/>
          <w:numId w:val="4"/>
        </w:numPr>
        <w:spacing w:after="120"/>
        <w:contextualSpacing w:val="0"/>
        <w:jc w:val="both"/>
        <w:rPr>
          <w:rStyle w:val="normaltextrun"/>
          <w:rFonts w:eastAsia="Times New Roman" w:cstheme="minorHAnsi"/>
          <w:kern w:val="0"/>
          <w14:ligatures w14:val="none"/>
        </w:rPr>
      </w:pPr>
      <w:r w:rsidRPr="005B1EB5">
        <w:rPr>
          <w:rStyle w:val="normaltextrun"/>
          <w:rFonts w:cstheme="minorHAnsi"/>
        </w:rPr>
        <w:t>This model creates significant limitations</w:t>
      </w:r>
      <w:r w:rsidR="006577A8" w:rsidRPr="005B1EB5">
        <w:rPr>
          <w:rStyle w:val="normaltextrun"/>
          <w:rFonts w:cstheme="minorHAnsi"/>
        </w:rPr>
        <w:t>. M</w:t>
      </w:r>
      <w:r w:rsidRPr="005B1EB5">
        <w:rPr>
          <w:rStyle w:val="normaltextrun"/>
          <w:rFonts w:cstheme="minorHAnsi"/>
        </w:rPr>
        <w:t>ost people at risk of dying do not have access to a medical prescriber</w:t>
      </w:r>
      <w:r w:rsidR="006577A8" w:rsidRPr="005B1EB5">
        <w:rPr>
          <w:rStyle w:val="normaltextrun"/>
          <w:rFonts w:cstheme="minorHAnsi"/>
        </w:rPr>
        <w:t>,</w:t>
      </w:r>
      <w:r w:rsidRPr="005B1EB5">
        <w:rPr>
          <w:rStyle w:val="normaltextrun"/>
          <w:rFonts w:cstheme="minorHAnsi"/>
        </w:rPr>
        <w:t xml:space="preserve"> and these programs have never been scaled up or designed to properly meet people’s needs. </w:t>
      </w:r>
      <w:r w:rsidRPr="005B1EB5">
        <w:rPr>
          <w:rStyle w:val="eop"/>
          <w:rFonts w:cstheme="minorHAnsi"/>
        </w:rPr>
        <w:t> </w:t>
      </w:r>
      <w:r w:rsidRPr="005B1EB5">
        <w:rPr>
          <w:rStyle w:val="normaltextrun"/>
          <w:rFonts w:cstheme="minorHAnsi"/>
        </w:rPr>
        <w:t xml:space="preserve">For example: in April 2024, </w:t>
      </w:r>
      <w:hyperlink r:id="rId124" w:history="1">
        <w:r w:rsidRPr="005B1EB5">
          <w:rPr>
            <w:rStyle w:val="Hyperlink"/>
            <w:rFonts w:asciiTheme="minorHAnsi" w:hAnsiTheme="minorHAnsi" w:cstheme="minorHAnsi"/>
          </w:rPr>
          <w:t>15 programs in Ontario</w:t>
        </w:r>
      </w:hyperlink>
      <w:r w:rsidR="00F662C6" w:rsidRPr="005B1EB5">
        <w:rPr>
          <w:rStyle w:val="EndnoteReference"/>
          <w:rFonts w:cstheme="minorHAnsi"/>
        </w:rPr>
        <w:endnoteReference w:id="119"/>
      </w:r>
      <w:r w:rsidRPr="005B1EB5">
        <w:rPr>
          <w:rStyle w:val="normaltextrun"/>
          <w:rFonts w:cstheme="minorHAnsi"/>
        </w:rPr>
        <w:t xml:space="preserve"> were providing life-saving care to about 1,500 people – a fraction of the number of people that could </w:t>
      </w:r>
      <w:r w:rsidR="001763B3" w:rsidRPr="005B1EB5">
        <w:rPr>
          <w:rStyle w:val="normaltextrun"/>
          <w:rFonts w:cstheme="minorHAnsi"/>
        </w:rPr>
        <w:t xml:space="preserve">potentially </w:t>
      </w:r>
      <w:r w:rsidRPr="005B1EB5">
        <w:rPr>
          <w:rStyle w:val="normaltextrun"/>
          <w:rFonts w:cstheme="minorHAnsi"/>
        </w:rPr>
        <w:t xml:space="preserve">have </w:t>
      </w:r>
      <w:r w:rsidRPr="005B1EB5">
        <w:rPr>
          <w:rStyle w:val="normaltextrun"/>
          <w:rFonts w:cstheme="minorHAnsi"/>
        </w:rPr>
        <w:lastRenderedPageBreak/>
        <w:t xml:space="preserve">benefited </w:t>
      </w:r>
      <w:r w:rsidR="001763B3" w:rsidRPr="005B1EB5">
        <w:rPr>
          <w:rStyle w:val="normaltextrun"/>
          <w:rFonts w:cstheme="minorHAnsi"/>
        </w:rPr>
        <w:t xml:space="preserve">from it. </w:t>
      </w:r>
      <w:r w:rsidRPr="005B1EB5">
        <w:rPr>
          <w:rStyle w:val="normaltextrun"/>
          <w:rFonts w:cstheme="minorHAnsi"/>
        </w:rPr>
        <w:t>2,224 people died of opioid toxicity in Ontario in 2024</w:t>
      </w:r>
      <w:r w:rsidR="001763B3" w:rsidRPr="005B1EB5">
        <w:rPr>
          <w:rStyle w:val="normaltextrun"/>
          <w:rFonts w:cstheme="minorHAnsi"/>
        </w:rPr>
        <w:t>. In</w:t>
      </w:r>
      <w:r w:rsidRPr="005B1EB5">
        <w:rPr>
          <w:rStyle w:val="normaltextrun"/>
          <w:rFonts w:cstheme="minorHAnsi"/>
        </w:rPr>
        <w:t xml:space="preserve"> November 2023</w:t>
      </w:r>
      <w:r w:rsidR="004A6F89" w:rsidRPr="005B1EB5">
        <w:rPr>
          <w:rStyle w:val="normaltextrun"/>
          <w:rFonts w:cstheme="minorHAnsi"/>
        </w:rPr>
        <w:t xml:space="preserve"> in British Columbia,</w:t>
      </w:r>
      <w:r w:rsidRPr="005B1EB5">
        <w:rPr>
          <w:rStyle w:val="normaltextrun"/>
          <w:rFonts w:cstheme="minorHAnsi"/>
        </w:rPr>
        <w:t xml:space="preserve"> approximately </w:t>
      </w:r>
      <w:hyperlink r:id="rId125" w:history="1">
        <w:r w:rsidRPr="005B1EB5">
          <w:rPr>
            <w:rStyle w:val="Hyperlink"/>
            <w:rFonts w:asciiTheme="minorHAnsi" w:hAnsiTheme="minorHAnsi" w:cstheme="minorHAnsi"/>
          </w:rPr>
          <w:t>3,500 people</w:t>
        </w:r>
      </w:hyperlink>
      <w:r w:rsidR="00343985" w:rsidRPr="005B1EB5">
        <w:rPr>
          <w:rStyle w:val="EndnoteReference"/>
          <w:rFonts w:cstheme="minorHAnsi"/>
        </w:rPr>
        <w:endnoteReference w:id="120"/>
      </w:r>
      <w:r w:rsidRPr="005B1EB5">
        <w:rPr>
          <w:rStyle w:val="normaltextrun"/>
          <w:rFonts w:cstheme="minorHAnsi"/>
        </w:rPr>
        <w:t xml:space="preserve"> were accessing safer supply</w:t>
      </w:r>
      <w:r w:rsidR="004A6F89" w:rsidRPr="005B1EB5">
        <w:rPr>
          <w:rStyle w:val="normaltextrun"/>
          <w:rFonts w:cstheme="minorHAnsi"/>
        </w:rPr>
        <w:t>,</w:t>
      </w:r>
      <w:r w:rsidRPr="005B1EB5">
        <w:rPr>
          <w:rStyle w:val="normaltextrun"/>
          <w:rFonts w:cstheme="minorHAnsi"/>
        </w:rPr>
        <w:t xml:space="preserve"> compared to an estimated </w:t>
      </w:r>
      <w:hyperlink r:id="rId126" w:history="1">
        <w:r w:rsidRPr="005B1EB5">
          <w:rPr>
            <w:rStyle w:val="Hyperlink"/>
            <w:rFonts w:asciiTheme="minorHAnsi" w:hAnsiTheme="minorHAnsi" w:cstheme="minorHAnsi"/>
          </w:rPr>
          <w:t>225,000 people</w:t>
        </w:r>
      </w:hyperlink>
      <w:r w:rsidR="00343985" w:rsidRPr="005B1EB5">
        <w:rPr>
          <w:rStyle w:val="EndnoteReference"/>
          <w:rFonts w:cstheme="minorHAnsi"/>
        </w:rPr>
        <w:endnoteReference w:id="121"/>
      </w:r>
      <w:r w:rsidRPr="005B1EB5">
        <w:rPr>
          <w:rStyle w:val="normaltextrun"/>
          <w:rFonts w:cstheme="minorHAnsi"/>
        </w:rPr>
        <w:t xml:space="preserve"> who access the unregulated drug supply each year.</w:t>
      </w:r>
    </w:p>
    <w:p w14:paraId="287AB542" w14:textId="6AB89DC8" w:rsidR="00DB7CBE" w:rsidRPr="005B1EB5" w:rsidRDefault="00502B0B" w:rsidP="00DB7CBE">
      <w:pPr>
        <w:pStyle w:val="ListParagraph"/>
        <w:numPr>
          <w:ilvl w:val="0"/>
          <w:numId w:val="4"/>
        </w:numPr>
        <w:spacing w:after="120"/>
        <w:contextualSpacing w:val="0"/>
        <w:jc w:val="both"/>
        <w:rPr>
          <w:rStyle w:val="normaltextrun"/>
          <w:rFonts w:eastAsia="Times New Roman" w:cstheme="minorHAnsi"/>
          <w:kern w:val="0"/>
          <w14:ligatures w14:val="none"/>
        </w:rPr>
      </w:pPr>
      <w:r w:rsidRPr="005B1EB5">
        <w:rPr>
          <w:rStyle w:val="normaltextrun"/>
          <w:rFonts w:cstheme="minorHAnsi"/>
        </w:rPr>
        <w:t>Further, the pharmaceutical alternatives available</w:t>
      </w:r>
      <w:r w:rsidR="004A6F89" w:rsidRPr="005B1EB5">
        <w:rPr>
          <w:rStyle w:val="normaltextrun"/>
          <w:rFonts w:cstheme="minorHAnsi"/>
        </w:rPr>
        <w:t xml:space="preserve"> through prescriber-based safe supply</w:t>
      </w:r>
      <w:r w:rsidRPr="005B1EB5">
        <w:rPr>
          <w:rStyle w:val="normaltextrun"/>
          <w:rFonts w:cstheme="minorHAnsi"/>
        </w:rPr>
        <w:t xml:space="preserve"> do </w:t>
      </w:r>
      <w:hyperlink r:id="rId127" w:history="1">
        <w:r w:rsidRPr="005B1EB5">
          <w:rPr>
            <w:rStyle w:val="Hyperlink"/>
            <w:rFonts w:asciiTheme="minorHAnsi" w:hAnsiTheme="minorHAnsi" w:cstheme="minorHAnsi"/>
          </w:rPr>
          <w:t>not meet the needs of all clients</w:t>
        </w:r>
      </w:hyperlink>
      <w:r w:rsidR="00043097" w:rsidRPr="005B1EB5">
        <w:rPr>
          <w:rStyle w:val="EndnoteReference"/>
          <w:rFonts w:cstheme="minorHAnsi"/>
        </w:rPr>
        <w:endnoteReference w:id="122"/>
      </w:r>
      <w:r w:rsidR="009F4209" w:rsidRPr="005B1EB5">
        <w:rPr>
          <w:rStyle w:val="normaltextrun"/>
          <w:rFonts w:cstheme="minorHAnsi"/>
        </w:rPr>
        <w:t>, limiting their efficacy</w:t>
      </w:r>
      <w:r w:rsidRPr="005B1EB5">
        <w:rPr>
          <w:rStyle w:val="normaltextrun"/>
          <w:rFonts w:cstheme="minorHAnsi"/>
        </w:rPr>
        <w:t>. For example, prescribing hydromorphone (Dilaudid) to someone who has been regularly exposed to much stronger opioids like fentanyl can be inadequate</w:t>
      </w:r>
      <w:r w:rsidR="009F4209" w:rsidRPr="005B1EB5">
        <w:rPr>
          <w:rStyle w:val="normaltextrun"/>
          <w:rFonts w:cstheme="minorHAnsi"/>
        </w:rPr>
        <w:t xml:space="preserve">. </w:t>
      </w:r>
      <w:r w:rsidR="00D01602" w:rsidRPr="005B1EB5">
        <w:rPr>
          <w:rStyle w:val="normaltextrun"/>
          <w:rFonts w:cstheme="minorHAnsi"/>
        </w:rPr>
        <w:t>Additionally, some</w:t>
      </w:r>
      <w:r w:rsidR="009F4209" w:rsidRPr="005B1EB5">
        <w:rPr>
          <w:rStyle w:val="normaltextrun"/>
          <w:rFonts w:cstheme="minorHAnsi"/>
        </w:rPr>
        <w:t xml:space="preserve"> </w:t>
      </w:r>
      <w:r w:rsidRPr="005B1EB5">
        <w:rPr>
          <w:rStyle w:val="normaltextrun"/>
          <w:rFonts w:cstheme="minorHAnsi"/>
        </w:rPr>
        <w:t xml:space="preserve">people </w:t>
      </w:r>
      <w:r w:rsidR="00D01602" w:rsidRPr="005B1EB5">
        <w:rPr>
          <w:rStyle w:val="normaltextrun"/>
          <w:rFonts w:cstheme="minorHAnsi"/>
        </w:rPr>
        <w:t>have become</w:t>
      </w:r>
      <w:r w:rsidR="00BD5C9D" w:rsidRPr="005B1EB5">
        <w:rPr>
          <w:rStyle w:val="normaltextrun"/>
          <w:rFonts w:cstheme="minorHAnsi"/>
        </w:rPr>
        <w:t xml:space="preserve"> </w:t>
      </w:r>
      <w:r w:rsidR="00453ED9" w:rsidRPr="005B1EB5">
        <w:rPr>
          <w:rStyle w:val="normaltextrun"/>
          <w:rFonts w:cstheme="minorHAnsi"/>
        </w:rPr>
        <w:t xml:space="preserve">physically </w:t>
      </w:r>
      <w:r w:rsidR="00BD5C9D" w:rsidRPr="005B1EB5">
        <w:rPr>
          <w:rStyle w:val="normaltextrun"/>
          <w:rFonts w:cstheme="minorHAnsi"/>
        </w:rPr>
        <w:t>depend</w:t>
      </w:r>
      <w:r w:rsidR="00D01602" w:rsidRPr="005B1EB5">
        <w:rPr>
          <w:rStyle w:val="normaltextrun"/>
          <w:rFonts w:cstheme="minorHAnsi"/>
        </w:rPr>
        <w:t>e</w:t>
      </w:r>
      <w:r w:rsidR="00BD5C9D" w:rsidRPr="005B1EB5">
        <w:rPr>
          <w:rStyle w:val="normaltextrun"/>
          <w:rFonts w:cstheme="minorHAnsi"/>
        </w:rPr>
        <w:t>nt</w:t>
      </w:r>
      <w:r w:rsidR="00453ED9" w:rsidRPr="005B1EB5">
        <w:rPr>
          <w:rStyle w:val="normaltextrun"/>
          <w:rFonts w:cstheme="minorHAnsi"/>
        </w:rPr>
        <w:t xml:space="preserve"> on benzodiazepines when </w:t>
      </w:r>
      <w:r w:rsidR="00511A2E" w:rsidRPr="005B1EB5">
        <w:rPr>
          <w:rStyle w:val="normaltextrun"/>
          <w:rFonts w:cstheme="minorHAnsi"/>
        </w:rPr>
        <w:t>unexpectedly</w:t>
      </w:r>
      <w:r w:rsidR="00453ED9" w:rsidRPr="005B1EB5">
        <w:rPr>
          <w:rStyle w:val="normaltextrun"/>
          <w:rFonts w:cstheme="minorHAnsi"/>
        </w:rPr>
        <w:t xml:space="preserve"> </w:t>
      </w:r>
      <w:r w:rsidRPr="005B1EB5">
        <w:rPr>
          <w:rStyle w:val="normaltextrun"/>
          <w:rFonts w:cstheme="minorHAnsi"/>
        </w:rPr>
        <w:t xml:space="preserve">exposed </w:t>
      </w:r>
      <w:r w:rsidR="00511A2E" w:rsidRPr="005B1EB5">
        <w:rPr>
          <w:rStyle w:val="normaltextrun"/>
          <w:rFonts w:cstheme="minorHAnsi"/>
        </w:rPr>
        <w:t xml:space="preserve">through contaminated </w:t>
      </w:r>
      <w:r w:rsidRPr="005B1EB5">
        <w:rPr>
          <w:rStyle w:val="normaltextrun"/>
          <w:rFonts w:cstheme="minorHAnsi"/>
        </w:rPr>
        <w:t>unregulated drugs</w:t>
      </w:r>
      <w:r w:rsidR="00CA24D5" w:rsidRPr="005B1EB5">
        <w:rPr>
          <w:rStyle w:val="normaltextrun"/>
          <w:rFonts w:cstheme="minorHAnsi"/>
        </w:rPr>
        <w:t xml:space="preserve">, but </w:t>
      </w:r>
      <w:r w:rsidRPr="005B1EB5">
        <w:rPr>
          <w:rStyle w:val="normaltextrun"/>
          <w:rFonts w:cstheme="minorHAnsi"/>
        </w:rPr>
        <w:t>benzodiazepines are not offered in some programs. Rather than improve prescription safer supply programs, governments have used these design failures as reasons to restrict or end safer supply services.</w:t>
      </w:r>
    </w:p>
    <w:p w14:paraId="10341A15" w14:textId="48CCCF14" w:rsidR="00502B0B" w:rsidRPr="005B1EB5" w:rsidRDefault="00502B0B" w:rsidP="00DB7CBE">
      <w:pPr>
        <w:pStyle w:val="ListParagraph"/>
        <w:numPr>
          <w:ilvl w:val="0"/>
          <w:numId w:val="4"/>
        </w:numPr>
        <w:spacing w:after="120"/>
        <w:contextualSpacing w:val="0"/>
        <w:jc w:val="both"/>
        <w:rPr>
          <w:rStyle w:val="normaltextrun"/>
          <w:rFonts w:eastAsia="Times New Roman" w:cstheme="minorHAnsi"/>
          <w:kern w:val="0"/>
          <w14:ligatures w14:val="none"/>
        </w:rPr>
      </w:pPr>
      <w:r w:rsidRPr="005B1EB5">
        <w:rPr>
          <w:rStyle w:val="normaltextrun"/>
          <w:rFonts w:cstheme="minorHAnsi"/>
        </w:rPr>
        <w:t xml:space="preserve">Despite these limitations, </w:t>
      </w:r>
      <w:hyperlink r:id="rId128" w:history="1">
        <w:r w:rsidRPr="005B1EB5">
          <w:rPr>
            <w:rStyle w:val="Hyperlink"/>
            <w:rFonts w:asciiTheme="minorHAnsi" w:hAnsiTheme="minorHAnsi" w:cstheme="minorHAnsi"/>
          </w:rPr>
          <w:t xml:space="preserve">people </w:t>
        </w:r>
        <w:r w:rsidR="007A7217" w:rsidRPr="005B1EB5">
          <w:rPr>
            <w:rStyle w:val="Hyperlink"/>
            <w:rFonts w:asciiTheme="minorHAnsi" w:hAnsiTheme="minorHAnsi" w:cstheme="minorHAnsi"/>
          </w:rPr>
          <w:t xml:space="preserve">accessing </w:t>
        </w:r>
        <w:r w:rsidRPr="005B1EB5">
          <w:rPr>
            <w:rStyle w:val="Hyperlink"/>
            <w:rFonts w:asciiTheme="minorHAnsi" w:hAnsiTheme="minorHAnsi" w:cstheme="minorHAnsi"/>
          </w:rPr>
          <w:t>safer supply</w:t>
        </w:r>
      </w:hyperlink>
      <w:r w:rsidR="00722D57" w:rsidRPr="005B1EB5">
        <w:rPr>
          <w:rStyle w:val="EndnoteReference"/>
          <w:rFonts w:cstheme="minorHAnsi"/>
        </w:rPr>
        <w:endnoteReference w:id="123"/>
      </w:r>
      <w:r w:rsidRPr="005B1EB5">
        <w:rPr>
          <w:rStyle w:val="normaltextrun"/>
          <w:rFonts w:cstheme="minorHAnsi"/>
        </w:rPr>
        <w:t xml:space="preserve"> are exposed to far less risk of death and injury, they are less likely to be hospitalized due to drug overdose, commit fewer poverty-related crimes, and are more likely to maintain stable housing and achieve better social outcomes such as employment. Communities also benefit from safer supply programs because emergency and other health care services are less overwhelmed.</w:t>
      </w:r>
    </w:p>
    <w:p w14:paraId="65B1DCFF" w14:textId="453151F9" w:rsidR="00502B0B" w:rsidRPr="005B1EB5" w:rsidRDefault="00502B0B" w:rsidP="00DB7CBE">
      <w:pPr>
        <w:pStyle w:val="ListParagraph"/>
        <w:numPr>
          <w:ilvl w:val="0"/>
          <w:numId w:val="4"/>
        </w:numPr>
        <w:spacing w:after="120"/>
        <w:contextualSpacing w:val="0"/>
        <w:jc w:val="both"/>
        <w:rPr>
          <w:rStyle w:val="eop"/>
          <w:rFonts w:eastAsia="Times New Roman" w:cstheme="minorHAnsi"/>
          <w:kern w:val="0"/>
          <w14:ligatures w14:val="none"/>
        </w:rPr>
      </w:pPr>
      <w:r w:rsidRPr="005B1EB5">
        <w:rPr>
          <w:rStyle w:val="normaltextrun"/>
          <w:rFonts w:cstheme="minorHAnsi"/>
        </w:rPr>
        <w:t xml:space="preserve">Between 2017 and March 2025, Health Canada funded 31 prescription-based safer supply projects across the country. </w:t>
      </w:r>
      <w:r w:rsidR="008E34FB" w:rsidRPr="005B1EB5">
        <w:rPr>
          <w:rStyle w:val="normaltextrun"/>
          <w:rFonts w:cstheme="minorHAnsi"/>
        </w:rPr>
        <w:t>Despite data showing positive outcomes, that f</w:t>
      </w:r>
      <w:r w:rsidRPr="005B1EB5">
        <w:rPr>
          <w:rStyle w:val="normaltextrun"/>
          <w:rFonts w:cstheme="minorHAnsi"/>
        </w:rPr>
        <w:t xml:space="preserve">unding was time-limited and expired on March 31, 2025. </w:t>
      </w:r>
      <w:r w:rsidRPr="005B1EB5">
        <w:rPr>
          <w:rStyle w:val="eop"/>
          <w:rFonts w:cstheme="minorHAnsi"/>
        </w:rPr>
        <w:t>Rather than working to scale up and improve these programs, Canada has abandoned them both by failing to renew their funding and, in some regions, passing legislation and policies that make these services nearly impossible to implement.</w:t>
      </w:r>
    </w:p>
    <w:p w14:paraId="7D3646C3" w14:textId="6E28BADA" w:rsidR="00502B0B" w:rsidRPr="005B1EB5" w:rsidRDefault="00502B0B" w:rsidP="00DB7CBE">
      <w:pPr>
        <w:pStyle w:val="ListParagraph"/>
        <w:numPr>
          <w:ilvl w:val="0"/>
          <w:numId w:val="4"/>
        </w:numPr>
        <w:spacing w:after="120"/>
        <w:contextualSpacing w:val="0"/>
        <w:jc w:val="both"/>
        <w:rPr>
          <w:rStyle w:val="eop"/>
          <w:rFonts w:eastAsia="Times New Roman" w:cstheme="minorHAnsi"/>
          <w:kern w:val="0"/>
          <w14:ligatures w14:val="none"/>
        </w:rPr>
      </w:pPr>
      <w:r w:rsidRPr="005B1EB5">
        <w:rPr>
          <w:rStyle w:val="eop"/>
          <w:rFonts w:cstheme="minorHAnsi"/>
        </w:rPr>
        <w:t xml:space="preserve">Every person who loses access to a safer supply program is put at immediate and longer-term foreseeable risk of death because they are being forced back into the toxic unregulated drug supply. </w:t>
      </w:r>
      <w:r w:rsidRPr="005B1EB5">
        <w:rPr>
          <w:rStyle w:val="normaltextrun"/>
          <w:rFonts w:cstheme="minorHAnsi"/>
        </w:rPr>
        <w:t xml:space="preserve">In December 2023, more than </w:t>
      </w:r>
      <w:hyperlink r:id="rId129" w:history="1">
        <w:r w:rsidRPr="005B1EB5">
          <w:rPr>
            <w:rStyle w:val="Hyperlink"/>
            <w:rFonts w:asciiTheme="minorHAnsi" w:hAnsiTheme="minorHAnsi" w:cstheme="minorHAnsi"/>
          </w:rPr>
          <w:t>130 experts</w:t>
        </w:r>
      </w:hyperlink>
      <w:r w:rsidR="006D1B74" w:rsidRPr="005B1EB5">
        <w:rPr>
          <w:rStyle w:val="EndnoteReference"/>
          <w:rFonts w:cstheme="minorHAnsi"/>
        </w:rPr>
        <w:endnoteReference w:id="124"/>
      </w:r>
      <w:r w:rsidRPr="005B1EB5">
        <w:rPr>
          <w:rStyle w:val="normaltextrun"/>
          <w:rFonts w:cstheme="minorHAnsi"/>
        </w:rPr>
        <w:t xml:space="preserve"> in substance use called on the Canadian government to continue to support and scale-up safer supply programs. They noted:</w:t>
      </w:r>
      <w:r w:rsidRPr="005B1EB5">
        <w:rPr>
          <w:rStyle w:val="eop"/>
          <w:rFonts w:cstheme="minorHAnsi"/>
        </w:rPr>
        <w:t> </w:t>
      </w:r>
    </w:p>
    <w:p w14:paraId="690900F1" w14:textId="77777777" w:rsidR="00502B0B" w:rsidRPr="005B1EB5" w:rsidRDefault="00502B0B" w:rsidP="00DB7CBE">
      <w:pPr>
        <w:pStyle w:val="ListParagraph"/>
        <w:spacing w:after="120"/>
        <w:ind w:left="851" w:right="571"/>
        <w:contextualSpacing w:val="0"/>
        <w:jc w:val="both"/>
        <w:rPr>
          <w:rStyle w:val="normaltextrun"/>
          <w:rFonts w:eastAsia="Times New Roman" w:cstheme="minorHAnsi"/>
          <w:kern w:val="0"/>
          <w14:ligatures w14:val="none"/>
        </w:rPr>
      </w:pPr>
      <w:r w:rsidRPr="005B1EB5">
        <w:rPr>
          <w:rStyle w:val="normaltextrun"/>
          <w:rFonts w:cstheme="minorHAnsi"/>
          <w:i/>
        </w:rPr>
        <w:t xml:space="preserve">Due to the complexity of their needs, there is a </w:t>
      </w:r>
      <w:r w:rsidRPr="005B1EB5">
        <w:rPr>
          <w:rStyle w:val="normaltextrun"/>
          <w:rFonts w:cstheme="minorHAnsi"/>
          <w:i/>
          <w:iCs/>
        </w:rPr>
        <w:t>strong danger that people who lose access to safer supply programs will not only lose access to a source of regulated, prescribed opioids, but will also lose access to the comprehensive primary care they have been receiving through [federally]-funded programs. This will result in poor health outcomes and even death for many people currently receiving safer supply.</w:t>
      </w:r>
    </w:p>
    <w:p w14:paraId="3B7081D8" w14:textId="6B2263B0" w:rsidR="00DB7CBE" w:rsidRPr="005B1EB5" w:rsidRDefault="00502B0B" w:rsidP="00DB7CBE">
      <w:pPr>
        <w:pStyle w:val="ListParagraph"/>
        <w:numPr>
          <w:ilvl w:val="0"/>
          <w:numId w:val="4"/>
        </w:numPr>
        <w:spacing w:after="120"/>
        <w:contextualSpacing w:val="0"/>
        <w:jc w:val="both"/>
        <w:rPr>
          <w:rStyle w:val="eop"/>
          <w:rFonts w:eastAsia="Times New Roman" w:cstheme="minorHAnsi"/>
          <w:kern w:val="0"/>
          <w14:ligatures w14:val="none"/>
        </w:rPr>
      </w:pPr>
      <w:r w:rsidRPr="005B1EB5">
        <w:rPr>
          <w:rStyle w:val="eop"/>
          <w:rFonts w:cstheme="minorHAnsi"/>
        </w:rPr>
        <w:t xml:space="preserve">A </w:t>
      </w:r>
      <w:hyperlink r:id="rId130" w:history="1">
        <w:r w:rsidRPr="005B1EB5">
          <w:rPr>
            <w:rStyle w:val="Hyperlink"/>
            <w:rFonts w:asciiTheme="minorHAnsi" w:hAnsiTheme="minorHAnsi" w:cstheme="minorHAnsi"/>
          </w:rPr>
          <w:t>2025 study</w:t>
        </w:r>
      </w:hyperlink>
      <w:r w:rsidR="002A7685" w:rsidRPr="005B1EB5">
        <w:rPr>
          <w:rStyle w:val="EndnoteReference"/>
          <w:rFonts w:cstheme="minorHAnsi"/>
        </w:rPr>
        <w:endnoteReference w:id="125"/>
      </w:r>
      <w:r w:rsidRPr="005B1EB5">
        <w:rPr>
          <w:rStyle w:val="eop"/>
          <w:rFonts w:cstheme="minorHAnsi"/>
        </w:rPr>
        <w:t xml:space="preserve"> supports their call to action, finding that closure of these programs:</w:t>
      </w:r>
    </w:p>
    <w:p w14:paraId="06473FC0" w14:textId="77777777" w:rsidR="00502B0B" w:rsidRPr="005B1EB5" w:rsidRDefault="00502B0B" w:rsidP="00DB7CBE">
      <w:pPr>
        <w:pStyle w:val="ListParagraph"/>
        <w:spacing w:after="120"/>
        <w:ind w:left="851" w:right="571"/>
        <w:contextualSpacing w:val="0"/>
        <w:jc w:val="both"/>
        <w:rPr>
          <w:rStyle w:val="normaltextrun"/>
          <w:rFonts w:eastAsia="Times New Roman" w:cstheme="minorHAnsi"/>
          <w:kern w:val="0"/>
          <w14:ligatures w14:val="none"/>
        </w:rPr>
      </w:pPr>
      <w:r w:rsidRPr="005B1EB5">
        <w:rPr>
          <w:rStyle w:val="normaltextrun"/>
          <w:rFonts w:cstheme="minorHAnsi"/>
          <w:i/>
          <w:iCs/>
        </w:rPr>
        <w:t>…may force them back into an increasingly dangerous unregulated market, ultimately putting their lives at risk, along with reversing the many benefits programs provided, such as connections to essential health and social services. By replacing harm reduction programs with treatment services, the government is not reducing the demand for opioid use; instead, it forces a return to the unregulated drug market, ultimately putting individuals at risk of overdose.</w:t>
      </w:r>
    </w:p>
    <w:p w14:paraId="5BD85392" w14:textId="4BB46DEE" w:rsidR="00DB7CBE" w:rsidRPr="005B1EB5" w:rsidRDefault="00502B0B" w:rsidP="00DB7CBE">
      <w:pPr>
        <w:pStyle w:val="ListParagraph"/>
        <w:numPr>
          <w:ilvl w:val="0"/>
          <w:numId w:val="4"/>
        </w:numPr>
        <w:spacing w:after="120"/>
        <w:contextualSpacing w:val="0"/>
        <w:jc w:val="both"/>
        <w:rPr>
          <w:rStyle w:val="normaltextrun"/>
          <w:rFonts w:eastAsia="Times New Roman" w:cstheme="minorHAnsi"/>
          <w:kern w:val="0"/>
          <w14:ligatures w14:val="none"/>
        </w:rPr>
      </w:pPr>
      <w:r w:rsidRPr="005B1EB5">
        <w:rPr>
          <w:rStyle w:val="normaltextrun"/>
          <w:rFonts w:cstheme="minorHAnsi"/>
        </w:rPr>
        <w:t>By failing to fund, improve and scale up these programs, Canada is ignoring evidence and recommendations from its own Expert Advisory Group on Safer Supply, and recommendations from researchers, clinicians, public health officials and civil society organizations.</w:t>
      </w:r>
    </w:p>
    <w:p w14:paraId="18168FCE" w14:textId="47A8E10F" w:rsidR="00502B0B" w:rsidRPr="00BD509D" w:rsidRDefault="00502B0B" w:rsidP="00DB7CBE">
      <w:pPr>
        <w:pStyle w:val="ListParagraph"/>
        <w:numPr>
          <w:ilvl w:val="0"/>
          <w:numId w:val="4"/>
        </w:numPr>
        <w:spacing w:after="120"/>
        <w:contextualSpacing w:val="0"/>
        <w:jc w:val="both"/>
        <w:rPr>
          <w:rStyle w:val="eop"/>
          <w:rFonts w:ascii="Open Sans" w:eastAsia="Times New Roman" w:hAnsi="Open Sans" w:cs="Open Sans"/>
          <w:kern w:val="0"/>
          <w:sz w:val="22"/>
          <w:szCs w:val="22"/>
          <w14:ligatures w14:val="none"/>
        </w:rPr>
      </w:pPr>
      <w:r w:rsidRPr="005B1EB5">
        <w:rPr>
          <w:rStyle w:val="normaltextrun"/>
          <w:rFonts w:cstheme="minorHAnsi"/>
        </w:rPr>
        <w:lastRenderedPageBreak/>
        <w:t>Canceling life-preserving health services and forcing people into withdrawal (whether immediately or forcing someone to taper off their medications) can be dangerous to life and health contrary to Article 6, and disrespects patient autonomy, informed consent, and the right to health and continuity of care. All of which undermines trust and can push people toward unsafe alternatives, compounding stigma and harm rather than reducing it.</w:t>
      </w:r>
      <w:r w:rsidRPr="002E56E8">
        <w:rPr>
          <w:rStyle w:val="normaltextrun"/>
          <w:rFonts w:ascii="Open Sans" w:hAnsi="Open Sans" w:cs="Open Sans"/>
          <w:sz w:val="22"/>
          <w:szCs w:val="22"/>
        </w:rPr>
        <w:t> </w:t>
      </w:r>
      <w:r w:rsidRPr="002E56E8">
        <w:rPr>
          <w:rStyle w:val="eop"/>
          <w:rFonts w:ascii="Open Sans" w:hAnsi="Open Sans" w:cs="Open Sans"/>
          <w:sz w:val="22"/>
          <w:szCs w:val="22"/>
        </w:rPr>
        <w:t> </w:t>
      </w:r>
    </w:p>
    <w:p w14:paraId="70F73FFE" w14:textId="77777777" w:rsidR="00BD509D" w:rsidRPr="00DB7CBE" w:rsidRDefault="00BD509D" w:rsidP="00BD509D">
      <w:pPr>
        <w:pStyle w:val="ListParagraph"/>
        <w:spacing w:after="120"/>
        <w:ind w:left="360"/>
        <w:contextualSpacing w:val="0"/>
        <w:jc w:val="both"/>
        <w:rPr>
          <w:rFonts w:ascii="Open Sans" w:eastAsia="Times New Roman" w:hAnsi="Open Sans" w:cs="Open Sans"/>
          <w:kern w:val="0"/>
          <w:sz w:val="22"/>
          <w:szCs w:val="22"/>
          <w14:ligatures w14:val="none"/>
        </w:rPr>
      </w:pPr>
    </w:p>
    <w:p w14:paraId="7844D8BC" w14:textId="3E48AB06" w:rsidR="007F284B" w:rsidRDefault="00D953D2" w:rsidP="007F284B">
      <w:r>
        <w:rPr>
          <w:noProof/>
          <w:sz w:val="16"/>
          <w:szCs w:val="16"/>
        </w:rPr>
        <mc:AlternateContent>
          <mc:Choice Requires="wps">
            <w:drawing>
              <wp:inline distT="0" distB="0" distL="0" distR="0" wp14:anchorId="44E0CAA9" wp14:editId="34903B68">
                <wp:extent cx="6305550" cy="3139440"/>
                <wp:effectExtent l="19050" t="19050" r="19050" b="22860"/>
                <wp:docPr id="3" name="Rectangle: Rounded Corners 3"/>
                <wp:cNvGraphicFramePr/>
                <a:graphic xmlns:a="http://schemas.openxmlformats.org/drawingml/2006/main">
                  <a:graphicData uri="http://schemas.microsoft.com/office/word/2010/wordprocessingShape">
                    <wps:wsp>
                      <wps:cNvSpPr/>
                      <wps:spPr>
                        <a:xfrm>
                          <a:off x="0" y="0"/>
                          <a:ext cx="6305550" cy="3139440"/>
                        </a:xfrm>
                        <a:prstGeom prst="roundRect">
                          <a:avLst/>
                        </a:prstGeom>
                        <a:solidFill>
                          <a:srgbClr val="F2F0E7"/>
                        </a:solidFill>
                        <a:ln w="28575">
                          <a:solidFill>
                            <a:srgbClr val="C3142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3E1957" w14:textId="77777777" w:rsidR="00D953D2" w:rsidRPr="008149D6" w:rsidRDefault="00D953D2" w:rsidP="00D953D2">
                            <w:pPr>
                              <w:spacing w:before="100" w:beforeAutospacing="1" w:after="100" w:afterAutospacing="1"/>
                              <w:rPr>
                                <w:rFonts w:ascii="Open Sans" w:hAnsi="Open Sans" w:cs="Open Sans"/>
                                <w:b/>
                                <w:bCs/>
                                <w:color w:val="000000" w:themeColor="text1"/>
                                <w:sz w:val="20"/>
                                <w:szCs w:val="20"/>
                              </w:rPr>
                            </w:pPr>
                            <w:r w:rsidRPr="008149D6">
                              <w:rPr>
                                <w:rFonts w:ascii="Open Sans" w:hAnsi="Open Sans" w:cs="Open Sans"/>
                                <w:b/>
                                <w:bCs/>
                                <w:color w:val="000000" w:themeColor="text1"/>
                                <w:sz w:val="20"/>
                                <w:szCs w:val="20"/>
                              </w:rPr>
                              <w:t>The Canadian Drug Policy Coalition recommends that</w:t>
                            </w:r>
                            <w:r>
                              <w:rPr>
                                <w:rFonts w:ascii="Open Sans" w:hAnsi="Open Sans" w:cs="Open Sans"/>
                                <w:b/>
                                <w:bCs/>
                                <w:color w:val="000000" w:themeColor="text1"/>
                                <w:sz w:val="20"/>
                                <w:szCs w:val="20"/>
                              </w:rPr>
                              <w:t xml:space="preserve"> t</w:t>
                            </w:r>
                            <w:r w:rsidRPr="008149D6">
                              <w:rPr>
                                <w:rFonts w:ascii="Open Sans" w:hAnsi="Open Sans" w:cs="Open Sans"/>
                                <w:b/>
                                <w:bCs/>
                                <w:color w:val="000000" w:themeColor="text1"/>
                                <w:sz w:val="20"/>
                                <w:szCs w:val="20"/>
                              </w:rPr>
                              <w:t>he Committee call on Canada to:</w:t>
                            </w:r>
                          </w:p>
                          <w:p w14:paraId="465ED42E" w14:textId="77777777" w:rsidR="00D953D2" w:rsidRDefault="00D953D2" w:rsidP="00D953D2">
                            <w:pPr>
                              <w:pStyle w:val="ListParagraph"/>
                              <w:numPr>
                                <w:ilvl w:val="0"/>
                                <w:numId w:val="26"/>
                              </w:numPr>
                              <w:ind w:left="270"/>
                              <w:rPr>
                                <w:rFonts w:ascii="Open Sans" w:hAnsi="Open Sans" w:cs="Open Sans"/>
                                <w:bCs/>
                                <w:color w:val="000000" w:themeColor="text1"/>
                                <w:sz w:val="20"/>
                                <w:szCs w:val="20"/>
                              </w:rPr>
                            </w:pPr>
                            <w:r>
                              <w:rPr>
                                <w:rFonts w:ascii="Open Sans" w:hAnsi="Open Sans" w:cs="Open Sans"/>
                                <w:bCs/>
                                <w:color w:val="000000" w:themeColor="text1"/>
                                <w:sz w:val="20"/>
                                <w:szCs w:val="20"/>
                              </w:rPr>
                              <w:t>Commit to</w:t>
                            </w:r>
                            <w:r w:rsidRPr="006A258A">
                              <w:rPr>
                                <w:rFonts w:ascii="Open Sans" w:hAnsi="Open Sans" w:cs="Open Sans"/>
                                <w:bCs/>
                                <w:color w:val="000000" w:themeColor="text1"/>
                                <w:sz w:val="20"/>
                                <w:szCs w:val="20"/>
                              </w:rPr>
                              <w:t xml:space="preserve"> sustaining and scaling up the number of supervised consumption services (SCS) in Canada, including by providing adequate funding for these services and </w:t>
                            </w:r>
                            <w:r>
                              <w:rPr>
                                <w:rFonts w:ascii="Open Sans" w:hAnsi="Open Sans" w:cs="Open Sans"/>
                                <w:bCs/>
                                <w:color w:val="000000" w:themeColor="text1"/>
                                <w:sz w:val="20"/>
                                <w:szCs w:val="20"/>
                              </w:rPr>
                              <w:t>ensuring that provincial laws and policies do not prohibit or unreasonably restrict SCS;</w:t>
                            </w:r>
                          </w:p>
                          <w:p w14:paraId="3EFEBDAE" w14:textId="77777777" w:rsidR="00D953D2" w:rsidRPr="006A258A" w:rsidRDefault="00D953D2" w:rsidP="00D953D2">
                            <w:pPr>
                              <w:pStyle w:val="ListParagraph"/>
                              <w:numPr>
                                <w:ilvl w:val="0"/>
                                <w:numId w:val="26"/>
                              </w:numPr>
                              <w:ind w:left="270"/>
                              <w:rPr>
                                <w:rFonts w:ascii="Open Sans" w:hAnsi="Open Sans" w:cs="Open Sans"/>
                                <w:bCs/>
                                <w:color w:val="000000" w:themeColor="text1"/>
                                <w:sz w:val="20"/>
                                <w:szCs w:val="20"/>
                              </w:rPr>
                            </w:pPr>
                            <w:r>
                              <w:rPr>
                                <w:rFonts w:ascii="Open Sans" w:hAnsi="Open Sans" w:cs="Open Sans"/>
                                <w:bCs/>
                                <w:color w:val="000000" w:themeColor="text1"/>
                                <w:sz w:val="20"/>
                                <w:szCs w:val="20"/>
                              </w:rPr>
                              <w:t>Create national standards for inhalation services in SCS and fund the establishment and operation of inhalation services in SCS anywhere where data indicate need for them;</w:t>
                            </w:r>
                          </w:p>
                          <w:p w14:paraId="4DBFA0C4" w14:textId="77777777" w:rsidR="00D953D2" w:rsidRPr="008149D6" w:rsidRDefault="00D953D2" w:rsidP="00D953D2">
                            <w:pPr>
                              <w:pStyle w:val="ListParagraph"/>
                              <w:numPr>
                                <w:ilvl w:val="0"/>
                                <w:numId w:val="26"/>
                              </w:numPr>
                              <w:ind w:left="270"/>
                              <w:rPr>
                                <w:rFonts w:ascii="Open Sans" w:hAnsi="Open Sans" w:cs="Open Sans"/>
                                <w:color w:val="000000" w:themeColor="text1"/>
                                <w:sz w:val="20"/>
                                <w:szCs w:val="20"/>
                              </w:rPr>
                            </w:pPr>
                            <w:r>
                              <w:rPr>
                                <w:rFonts w:ascii="Open Sans" w:hAnsi="Open Sans" w:cs="Open Sans"/>
                                <w:color w:val="000000" w:themeColor="text1"/>
                                <w:sz w:val="20"/>
                                <w:szCs w:val="20"/>
                              </w:rPr>
                              <w:t>Immediately re-instate funding for safer supply programs</w:t>
                            </w:r>
                            <w:r w:rsidRPr="006A258A">
                              <w:rPr>
                                <w:rFonts w:ascii="Open Sans" w:hAnsi="Open Sans" w:cs="Open Sans"/>
                                <w:color w:val="000000" w:themeColor="text1"/>
                                <w:sz w:val="20"/>
                                <w:szCs w:val="20"/>
                              </w:rPr>
                              <w:t xml:space="preserve"> </w:t>
                            </w:r>
                            <w:r>
                              <w:rPr>
                                <w:rFonts w:ascii="Open Sans" w:hAnsi="Open Sans" w:cs="Open Sans"/>
                                <w:color w:val="000000" w:themeColor="text1"/>
                                <w:sz w:val="20"/>
                                <w:szCs w:val="20"/>
                              </w:rPr>
                              <w:t xml:space="preserve">and ensure </w:t>
                            </w:r>
                            <w:r>
                              <w:rPr>
                                <w:rFonts w:ascii="Open Sans" w:hAnsi="Open Sans" w:cs="Open Sans"/>
                                <w:bCs/>
                                <w:color w:val="000000" w:themeColor="text1"/>
                                <w:sz w:val="20"/>
                                <w:szCs w:val="20"/>
                              </w:rPr>
                              <w:t>that provincial laws and policies do not prohibit or unreasonably restrict safer supply programs;</w:t>
                            </w:r>
                          </w:p>
                          <w:p w14:paraId="4B874FE7" w14:textId="77777777" w:rsidR="00D953D2" w:rsidRDefault="00D953D2" w:rsidP="00D953D2">
                            <w:pPr>
                              <w:pStyle w:val="ListParagraph"/>
                              <w:numPr>
                                <w:ilvl w:val="0"/>
                                <w:numId w:val="26"/>
                              </w:numPr>
                              <w:ind w:left="270"/>
                              <w:rPr>
                                <w:rFonts w:ascii="Open Sans" w:hAnsi="Open Sans" w:cs="Open Sans"/>
                                <w:color w:val="000000" w:themeColor="text1"/>
                                <w:sz w:val="20"/>
                                <w:szCs w:val="20"/>
                              </w:rPr>
                            </w:pPr>
                            <w:r>
                              <w:rPr>
                                <w:rFonts w:ascii="Open Sans" w:hAnsi="Open Sans" w:cs="Open Sans"/>
                                <w:color w:val="000000" w:themeColor="text1"/>
                                <w:sz w:val="20"/>
                                <w:szCs w:val="20"/>
                              </w:rPr>
                              <w:t>Implement expert recommendations for improving the accessibility and efficacy of prescription-based safer supply programs;</w:t>
                            </w:r>
                          </w:p>
                          <w:p w14:paraId="21111C73" w14:textId="77777777" w:rsidR="00D953D2" w:rsidRPr="006A258A" w:rsidRDefault="00D953D2" w:rsidP="00D953D2">
                            <w:pPr>
                              <w:pStyle w:val="ListParagraph"/>
                              <w:numPr>
                                <w:ilvl w:val="0"/>
                                <w:numId w:val="26"/>
                              </w:numPr>
                              <w:ind w:left="270"/>
                              <w:rPr>
                                <w:rFonts w:ascii="Open Sans" w:hAnsi="Open Sans" w:cs="Open Sans"/>
                                <w:color w:val="000000" w:themeColor="text1"/>
                                <w:sz w:val="20"/>
                                <w:szCs w:val="20"/>
                              </w:rPr>
                            </w:pPr>
                            <w:r>
                              <w:rPr>
                                <w:rFonts w:ascii="Open Sans" w:hAnsi="Open Sans" w:cs="Open Sans"/>
                                <w:color w:val="000000" w:themeColor="text1"/>
                                <w:sz w:val="20"/>
                                <w:szCs w:val="20"/>
                              </w:rPr>
                              <w:t>Establish national standards for non-prescription-based safer supply programs that can be implemented under the current CDSA/FDA/FDR legal framework.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44E0CAA9" id="Rectangle: Rounded Corners 3" o:spid="_x0000_s1029" style="width:496.5pt;height:247.2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" fillcolor="#f2f0e7" strokecolor="#c31424" strokeweight="2.25pt">
                <v:stroke joinstyle="miter"/>
                <v:textbox>
                  <w:txbxContent>
                    <w:p w14:paraId="013E1957" w14:textId="77777777" w:rsidR="00D953D2" w:rsidRPr="008149D6" w:rsidRDefault="00D953D2" w:rsidP="00D953D2">
                      <w:pPr>
                        <w:spacing w:before="100" w:beforeAutospacing="1" w:after="100" w:afterAutospacing="1"/>
                        <w:rPr>
                          <w:rFonts w:ascii="Open Sans" w:hAnsi="Open Sans" w:cs="Open Sans"/>
                          <w:b/>
                          <w:bCs/>
                          <w:color w:val="000000" w:themeColor="text1"/>
                          <w:sz w:val="20"/>
                          <w:szCs w:val="20"/>
                        </w:rPr>
                      </w:pPr>
                      <w:r w:rsidRPr="008149D6">
                        <w:rPr>
                          <w:rFonts w:ascii="Open Sans" w:hAnsi="Open Sans" w:cs="Open Sans"/>
                          <w:b/>
                          <w:bCs/>
                          <w:color w:val="000000" w:themeColor="text1"/>
                          <w:sz w:val="20"/>
                          <w:szCs w:val="20"/>
                        </w:rPr>
                        <w:t>The Canadian Drug Policy Coalition recommends that</w:t>
                      </w:r>
                      <w:r>
                        <w:rPr>
                          <w:rFonts w:ascii="Open Sans" w:hAnsi="Open Sans" w:cs="Open Sans"/>
                          <w:b/>
                          <w:bCs/>
                          <w:color w:val="000000" w:themeColor="text1"/>
                          <w:sz w:val="20"/>
                          <w:szCs w:val="20"/>
                        </w:rPr>
                        <w:t xml:space="preserve"> t</w:t>
                      </w:r>
                      <w:r w:rsidRPr="008149D6">
                        <w:rPr>
                          <w:rFonts w:ascii="Open Sans" w:hAnsi="Open Sans" w:cs="Open Sans"/>
                          <w:b/>
                          <w:bCs/>
                          <w:color w:val="000000" w:themeColor="text1"/>
                          <w:sz w:val="20"/>
                          <w:szCs w:val="20"/>
                        </w:rPr>
                        <w:t>he Committee call on Canada to:</w:t>
                      </w:r>
                    </w:p>
                    <w:p w14:paraId="465ED42E" w14:textId="77777777" w:rsidR="00D953D2" w:rsidRDefault="00D953D2" w:rsidP="00D953D2">
                      <w:pPr>
                        <w:pStyle w:val="ListParagraph"/>
                        <w:numPr>
                          <w:ilvl w:val="0"/>
                          <w:numId w:val="26"/>
                        </w:numPr>
                        <w:ind w:left="270"/>
                        <w:rPr>
                          <w:rFonts w:ascii="Open Sans" w:hAnsi="Open Sans" w:cs="Open Sans"/>
                          <w:bCs/>
                          <w:color w:val="000000" w:themeColor="text1"/>
                          <w:sz w:val="20"/>
                          <w:szCs w:val="20"/>
                        </w:rPr>
                      </w:pPr>
                      <w:r>
                        <w:rPr>
                          <w:rFonts w:ascii="Open Sans" w:hAnsi="Open Sans" w:cs="Open Sans"/>
                          <w:bCs/>
                          <w:color w:val="000000" w:themeColor="text1"/>
                          <w:sz w:val="20"/>
                          <w:szCs w:val="20"/>
                        </w:rPr>
                        <w:t>Commit to</w:t>
                      </w:r>
                      <w:r w:rsidRPr="006A258A">
                        <w:rPr>
                          <w:rFonts w:ascii="Open Sans" w:hAnsi="Open Sans" w:cs="Open Sans"/>
                          <w:bCs/>
                          <w:color w:val="000000" w:themeColor="text1"/>
                          <w:sz w:val="20"/>
                          <w:szCs w:val="20"/>
                        </w:rPr>
                        <w:t xml:space="preserve"> sustaining and scaling up the number of supervised consumption services (SCS) in Canada, including by providing adequate funding for these services and </w:t>
                      </w:r>
                      <w:r>
                        <w:rPr>
                          <w:rFonts w:ascii="Open Sans" w:hAnsi="Open Sans" w:cs="Open Sans"/>
                          <w:bCs/>
                          <w:color w:val="000000" w:themeColor="text1"/>
                          <w:sz w:val="20"/>
                          <w:szCs w:val="20"/>
                        </w:rPr>
                        <w:t>ensuring that provincial laws and policies do not prohibit or unreasonably restrict SCS;</w:t>
                      </w:r>
                    </w:p>
                    <w:p w14:paraId="3EFEBDAE" w14:textId="77777777" w:rsidR="00D953D2" w:rsidRPr="006A258A" w:rsidRDefault="00D953D2" w:rsidP="00D953D2">
                      <w:pPr>
                        <w:pStyle w:val="ListParagraph"/>
                        <w:numPr>
                          <w:ilvl w:val="0"/>
                          <w:numId w:val="26"/>
                        </w:numPr>
                        <w:ind w:left="270"/>
                        <w:rPr>
                          <w:rFonts w:ascii="Open Sans" w:hAnsi="Open Sans" w:cs="Open Sans"/>
                          <w:bCs/>
                          <w:color w:val="000000" w:themeColor="text1"/>
                          <w:sz w:val="20"/>
                          <w:szCs w:val="20"/>
                        </w:rPr>
                      </w:pPr>
                      <w:r>
                        <w:rPr>
                          <w:rFonts w:ascii="Open Sans" w:hAnsi="Open Sans" w:cs="Open Sans"/>
                          <w:bCs/>
                          <w:color w:val="000000" w:themeColor="text1"/>
                          <w:sz w:val="20"/>
                          <w:szCs w:val="20"/>
                        </w:rPr>
                        <w:t>Create national standards for inhalation services in SCS and fund the establishment and operation of inhalation services in SCS anywhere where data indicate need for them;</w:t>
                      </w:r>
                    </w:p>
                    <w:p w14:paraId="4DBFA0C4" w14:textId="77777777" w:rsidR="00D953D2" w:rsidRPr="008149D6" w:rsidRDefault="00D953D2" w:rsidP="00D953D2">
                      <w:pPr>
                        <w:pStyle w:val="ListParagraph"/>
                        <w:numPr>
                          <w:ilvl w:val="0"/>
                          <w:numId w:val="26"/>
                        </w:numPr>
                        <w:ind w:left="270"/>
                        <w:rPr>
                          <w:rFonts w:ascii="Open Sans" w:hAnsi="Open Sans" w:cs="Open Sans"/>
                          <w:color w:val="000000" w:themeColor="text1"/>
                          <w:sz w:val="20"/>
                          <w:szCs w:val="20"/>
                        </w:rPr>
                      </w:pPr>
                      <w:r>
                        <w:rPr>
                          <w:rFonts w:ascii="Open Sans" w:hAnsi="Open Sans" w:cs="Open Sans"/>
                          <w:color w:val="000000" w:themeColor="text1"/>
                          <w:sz w:val="20"/>
                          <w:szCs w:val="20"/>
                        </w:rPr>
                        <w:t>Immediately re-instate funding for safer supply programs</w:t>
                      </w:r>
                      <w:r w:rsidRPr="006A258A">
                        <w:rPr>
                          <w:rFonts w:ascii="Open Sans" w:hAnsi="Open Sans" w:cs="Open Sans"/>
                          <w:color w:val="000000" w:themeColor="text1"/>
                          <w:sz w:val="20"/>
                          <w:szCs w:val="20"/>
                        </w:rPr>
                        <w:t xml:space="preserve"> </w:t>
                      </w:r>
                      <w:r>
                        <w:rPr>
                          <w:rFonts w:ascii="Open Sans" w:hAnsi="Open Sans" w:cs="Open Sans"/>
                          <w:color w:val="000000" w:themeColor="text1"/>
                          <w:sz w:val="20"/>
                          <w:szCs w:val="20"/>
                        </w:rPr>
                        <w:t xml:space="preserve">and ensure </w:t>
                      </w:r>
                      <w:r>
                        <w:rPr>
                          <w:rFonts w:ascii="Open Sans" w:hAnsi="Open Sans" w:cs="Open Sans"/>
                          <w:bCs/>
                          <w:color w:val="000000" w:themeColor="text1"/>
                          <w:sz w:val="20"/>
                          <w:szCs w:val="20"/>
                        </w:rPr>
                        <w:t>that provincial laws and policies do not prohibit or unreasonably restrict safer supply programs;</w:t>
                      </w:r>
                    </w:p>
                    <w:p w14:paraId="4B874FE7" w14:textId="77777777" w:rsidR="00D953D2" w:rsidRDefault="00D953D2" w:rsidP="00D953D2">
                      <w:pPr>
                        <w:pStyle w:val="ListParagraph"/>
                        <w:numPr>
                          <w:ilvl w:val="0"/>
                          <w:numId w:val="26"/>
                        </w:numPr>
                        <w:ind w:left="270"/>
                        <w:rPr>
                          <w:rFonts w:ascii="Open Sans" w:hAnsi="Open Sans" w:cs="Open Sans"/>
                          <w:color w:val="000000" w:themeColor="text1"/>
                          <w:sz w:val="20"/>
                          <w:szCs w:val="20"/>
                        </w:rPr>
                      </w:pPr>
                      <w:r>
                        <w:rPr>
                          <w:rFonts w:ascii="Open Sans" w:hAnsi="Open Sans" w:cs="Open Sans"/>
                          <w:color w:val="000000" w:themeColor="text1"/>
                          <w:sz w:val="20"/>
                          <w:szCs w:val="20"/>
                        </w:rPr>
                        <w:t>Implement expert recommendations for improving the accessibility and efficacy of prescription-based safer supply programs;</w:t>
                      </w:r>
                    </w:p>
                    <w:p w14:paraId="21111C73" w14:textId="77777777" w:rsidR="00D953D2" w:rsidRPr="006A258A" w:rsidRDefault="00D953D2" w:rsidP="00D953D2">
                      <w:pPr>
                        <w:pStyle w:val="ListParagraph"/>
                        <w:numPr>
                          <w:ilvl w:val="0"/>
                          <w:numId w:val="26"/>
                        </w:numPr>
                        <w:ind w:left="270"/>
                        <w:rPr>
                          <w:rFonts w:ascii="Open Sans" w:hAnsi="Open Sans" w:cs="Open Sans"/>
                          <w:color w:val="000000" w:themeColor="text1"/>
                          <w:sz w:val="20"/>
                          <w:szCs w:val="20"/>
                        </w:rPr>
                      </w:pPr>
                      <w:r>
                        <w:rPr>
                          <w:rFonts w:ascii="Open Sans" w:hAnsi="Open Sans" w:cs="Open Sans"/>
                          <w:color w:val="000000" w:themeColor="text1"/>
                          <w:sz w:val="20"/>
                          <w:szCs w:val="20"/>
                        </w:rPr>
                        <w:t>Establish national standards for non-prescription-based safer supply programs that can be implemented under the current CDSA/FDA/FDR legal framework.</w:t>
                      </w:r>
                    </w:p>
                  </w:txbxContent>
                </v:textbox>
                <w10:anchorlock/>
              </v:roundrect>
            </w:pict>
          </mc:Fallback>
        </mc:AlternateContent>
      </w:r>
    </w:p>
    <w:p w14:paraId="4E13FC9D" w14:textId="77777777" w:rsidR="00BD509D" w:rsidRDefault="00BD509D">
      <w:pPr>
        <w:spacing w:after="160" w:line="259" w:lineRule="auto"/>
        <w:rPr>
          <w:rFonts w:ascii="Times New Roman" w:eastAsia="Times New Roman" w:hAnsi="Times New Roman" w:cs="Times New Roman"/>
          <w:noProof/>
          <w:color w:val="727375"/>
          <w:kern w:val="0"/>
          <w14:ligatures w14:val="none"/>
        </w:rPr>
      </w:pPr>
      <w:r>
        <w:rPr>
          <w:rFonts w:ascii="Times New Roman" w:eastAsia="Times New Roman" w:hAnsi="Times New Roman" w:cs="Times New Roman"/>
          <w:noProof/>
          <w:color w:val="727375"/>
          <w:kern w:val="0"/>
          <w14:ligatures w14:val="none"/>
        </w:rPr>
        <w:br w:type="page"/>
      </w:r>
    </w:p>
    <w:p w14:paraId="6CBEE50B" w14:textId="5A859525" w:rsidR="00975312" w:rsidRPr="002F6BB4" w:rsidRDefault="00D15C6F" w:rsidP="00975312">
      <w:pPr>
        <w:rPr>
          <w:rFonts w:ascii="Times New Roman" w:eastAsia="Times New Roman" w:hAnsi="Times New Roman" w:cs="Times New Roman"/>
          <w:kern w:val="0"/>
          <w14:ligatures w14:val="none"/>
        </w:rPr>
      </w:pPr>
      <w:r>
        <w:rPr>
          <w:rFonts w:ascii="Times New Roman" w:eastAsia="Times New Roman" w:hAnsi="Times New Roman" w:cs="Times New Roman"/>
          <w:noProof/>
          <w:color w:val="727375"/>
          <w:kern w:val="0"/>
          <w14:ligatures w14:val="none"/>
        </w:rPr>
        <w:lastRenderedPageBreak/>
      </w:r>
      <w:r w:rsidR="00D15C6F">
        <w:rPr>
          <w:rFonts w:ascii="Times New Roman" w:eastAsia="Times New Roman" w:hAnsi="Times New Roman" w:cs="Times New Roman"/>
          <w:noProof/>
          <w:color w:val="727375"/>
          <w:kern w:val="0"/>
          <w14:ligatures w14:val="none"/>
        </w:rPr>
        <w:pict w14:anchorId="3577B579">
          <v:rect id="_x0000_i1034" alt="" style="width:468pt;height:.05pt;mso-width-percent:0;mso-height-percent:0;mso-width-percent:0;mso-height-percent:0" o:hralign="center" o:hrstd="t" o:hr="t" fillcolor="#a0a0a0" stroked="f"/>
        </w:pict>
      </w:r>
    </w:p>
    <w:p w14:paraId="7265BD32" w14:textId="66A0DA11" w:rsidR="00975312" w:rsidRPr="005B1EB5" w:rsidRDefault="00975312" w:rsidP="00975312">
      <w:pPr>
        <w:spacing w:before="100" w:beforeAutospacing="1" w:after="100" w:afterAutospacing="1"/>
        <w:outlineLvl w:val="0"/>
        <w:rPr>
          <w:rFonts w:ascii="Arial" w:eastAsia="Times New Roman" w:hAnsi="Arial" w:cs="Arial"/>
          <w:b/>
          <w:bCs/>
          <w:kern w:val="36"/>
          <w14:ligatures w14:val="none"/>
        </w:rPr>
      </w:pPr>
      <w:r w:rsidRPr="005B1EB5">
        <w:rPr>
          <w:rFonts w:ascii="Arial" w:eastAsia="Times New Roman" w:hAnsi="Arial" w:cs="Arial"/>
          <w:b/>
          <w:bCs/>
          <w:kern w:val="36"/>
          <w14:ligatures w14:val="none"/>
        </w:rPr>
        <w:t>ISSUE 5</w:t>
      </w:r>
    </w:p>
    <w:p w14:paraId="27EE17E8" w14:textId="4E0DB95A" w:rsidR="00975312" w:rsidRPr="005B1EB5" w:rsidRDefault="00975312" w:rsidP="00975312">
      <w:pPr>
        <w:pStyle w:val="ListParagraph"/>
        <w:ind w:left="360"/>
        <w:rPr>
          <w:rFonts w:ascii="Arial" w:eastAsia="Times New Roman" w:hAnsi="Arial" w:cs="Arial"/>
          <w:kern w:val="0"/>
          <w:sz w:val="22"/>
          <w:szCs w:val="22"/>
          <w14:ligatures w14:val="none"/>
        </w:rPr>
      </w:pPr>
      <w:r w:rsidRPr="005B1EB5">
        <w:rPr>
          <w:rFonts w:ascii="Arial" w:eastAsia="Times New Roman" w:hAnsi="Arial" w:cs="Arial"/>
          <w:b/>
          <w:bCs/>
          <w:kern w:val="0"/>
          <w:sz w:val="22"/>
          <w:szCs w:val="22"/>
          <w14:ligatures w14:val="none"/>
        </w:rPr>
        <w:t xml:space="preserve">Restricting democratic participation in drug policy decisions </w:t>
      </w:r>
    </w:p>
    <w:p w14:paraId="02FA0E92" w14:textId="77777777" w:rsidR="00975312" w:rsidRDefault="00975312" w:rsidP="00975312"/>
    <w:p w14:paraId="0C3DB1B6" w14:textId="1BDEFB97" w:rsidR="00FA086F" w:rsidRPr="005B1EB5" w:rsidRDefault="00FA086F" w:rsidP="00377DAB">
      <w:pPr>
        <w:pStyle w:val="ListParagraph"/>
        <w:numPr>
          <w:ilvl w:val="0"/>
          <w:numId w:val="4"/>
        </w:numPr>
        <w:spacing w:after="120"/>
        <w:contextualSpacing w:val="0"/>
        <w:jc w:val="both"/>
        <w:rPr>
          <w:rStyle w:val="normaltextrun"/>
          <w:rFonts w:cstheme="minorHAnsi"/>
        </w:rPr>
      </w:pPr>
      <w:r w:rsidRPr="005B1EB5">
        <w:rPr>
          <w:rStyle w:val="normaltextrun"/>
          <w:rFonts w:cstheme="minorHAnsi"/>
        </w:rPr>
        <w:t>Finally, amidst this crisis and the significant harmful changes to policy and services outlined in this submission, CDPC has identified a decrease in transparency and accountability in government decision making. Life-altering decisions are being made without appropriate opportunities to provide input</w:t>
      </w:r>
      <w:r w:rsidR="00442599" w:rsidRPr="005B1EB5">
        <w:rPr>
          <w:rStyle w:val="normaltextrun"/>
          <w:rFonts w:cstheme="minorHAnsi"/>
        </w:rPr>
        <w:t>. W</w:t>
      </w:r>
      <w:r w:rsidRPr="005B1EB5">
        <w:rPr>
          <w:rStyle w:val="normaltextrun"/>
          <w:rFonts w:cstheme="minorHAnsi"/>
        </w:rPr>
        <w:t>here opportunities do exist, it is increasingly unclear if or how expert opinion and civil society submissions are taken into consideration in government decision-making.</w:t>
      </w:r>
    </w:p>
    <w:p w14:paraId="35D753A2" w14:textId="77777777" w:rsidR="00FA086F" w:rsidRPr="005B1EB5" w:rsidRDefault="00FA086F" w:rsidP="00377DAB">
      <w:pPr>
        <w:pStyle w:val="ListParagraph"/>
        <w:numPr>
          <w:ilvl w:val="0"/>
          <w:numId w:val="4"/>
        </w:numPr>
        <w:spacing w:after="120"/>
        <w:contextualSpacing w:val="0"/>
        <w:jc w:val="both"/>
        <w:rPr>
          <w:rStyle w:val="normaltextrun"/>
          <w:rFonts w:cstheme="minorHAnsi"/>
        </w:rPr>
      </w:pPr>
      <w:r w:rsidRPr="005B1EB5">
        <w:rPr>
          <w:rStyle w:val="normaltextrun"/>
          <w:rFonts w:cstheme="minorHAnsi"/>
        </w:rPr>
        <w:t>We are not asserting that Canada is acting in direct violation of Article 25. Rather, the violations of articles 2, 6, 7, 9, and 26 asserted in our submissions could be significantly mitigated if government decision-making was conducted more transparently and properly considered the submissions of experts and civil society groups that put significant effort into articulating the life, health and human rights implications of numerous law, regulatory and policy reforms pursued by government.</w:t>
      </w:r>
    </w:p>
    <w:p w14:paraId="16516972" w14:textId="77777777" w:rsidR="00FA086F" w:rsidRPr="005B1EB5" w:rsidRDefault="00FA086F" w:rsidP="00377DAB">
      <w:pPr>
        <w:pStyle w:val="ListParagraph"/>
        <w:numPr>
          <w:ilvl w:val="0"/>
          <w:numId w:val="4"/>
        </w:numPr>
        <w:spacing w:after="120"/>
        <w:contextualSpacing w:val="0"/>
        <w:jc w:val="both"/>
        <w:rPr>
          <w:rFonts w:cstheme="minorHAnsi"/>
        </w:rPr>
      </w:pPr>
      <w:r w:rsidRPr="005B1EB5">
        <w:rPr>
          <w:rStyle w:val="normaltextrun"/>
          <w:rFonts w:cstheme="minorHAnsi"/>
        </w:rPr>
        <w:t xml:space="preserve">Taking </w:t>
      </w:r>
      <w:r w:rsidRPr="005B1EB5">
        <w:rPr>
          <w:rFonts w:eastAsia="Times New Roman" w:cstheme="minorHAnsi"/>
          <w:kern w:val="0"/>
          <w14:ligatures w14:val="none"/>
        </w:rPr>
        <w:t xml:space="preserve">reasonable and effective measures as required under the ICCPR requires that Canada conduct its legislative and regulatory functions in a manner that allows civic engagement and ensures that government policy is grounded in reliable evidence and compliant with human rights standards. </w:t>
      </w:r>
    </w:p>
    <w:p w14:paraId="589864C9" w14:textId="77777777" w:rsidR="00464FC6" w:rsidRPr="004D3B15" w:rsidRDefault="00464FC6" w:rsidP="00464FC6">
      <w:pPr>
        <w:pStyle w:val="ListParagraph"/>
        <w:spacing w:after="120"/>
        <w:ind w:left="360"/>
        <w:contextualSpacing w:val="0"/>
        <w:jc w:val="both"/>
        <w:rPr>
          <w:rFonts w:ascii="Open Sans" w:hAnsi="Open Sans" w:cs="Open Sans"/>
          <w:sz w:val="22"/>
          <w:szCs w:val="22"/>
        </w:rPr>
      </w:pPr>
    </w:p>
    <w:p w14:paraId="7F6629AF" w14:textId="63988B36" w:rsidR="00C24202" w:rsidRDefault="00A4792D" w:rsidP="00CB2521">
      <w:pPr>
        <w:rPr>
          <w:rFonts w:ascii="Arial" w:eastAsia="Times New Roman" w:hAnsi="Arial" w:cs="Arial"/>
          <w:color w:val="000000"/>
          <w:kern w:val="0"/>
          <w:sz w:val="22"/>
          <w:szCs w:val="22"/>
          <w14:ligatures w14:val="none"/>
        </w:rPr>
      </w:pPr>
      <w:r>
        <w:rPr>
          <w:noProof/>
          <w:sz w:val="16"/>
          <w:szCs w:val="16"/>
        </w:rPr>
        <mc:AlternateContent>
          <mc:Choice Requires="wps">
            <w:drawing>
              <wp:inline distT="0" distB="0" distL="0" distR="0" wp14:anchorId="02965903" wp14:editId="7D6EB132">
                <wp:extent cx="6223000" cy="1484630"/>
                <wp:effectExtent l="19050" t="19050" r="25400" b="20320"/>
                <wp:docPr id="5" name="Rectangle: Rounded Corners 3"/>
                <wp:cNvGraphicFramePr/>
                <a:graphic xmlns:a="http://schemas.openxmlformats.org/drawingml/2006/main">
                  <a:graphicData uri="http://schemas.microsoft.com/office/word/2010/wordprocessingShape">
                    <wps:wsp>
                      <wps:cNvSpPr/>
                      <wps:spPr>
                        <a:xfrm>
                          <a:off x="0" y="0"/>
                          <a:ext cx="6223000" cy="1484630"/>
                        </a:xfrm>
                        <a:prstGeom prst="roundRect">
                          <a:avLst/>
                        </a:prstGeom>
                        <a:solidFill>
                          <a:srgbClr val="F2F0E7"/>
                        </a:solidFill>
                        <a:ln w="28575">
                          <a:solidFill>
                            <a:srgbClr val="C3142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EDADB9" w14:textId="77777777" w:rsidR="00A4792D" w:rsidRPr="005B1EB5" w:rsidRDefault="00A4792D" w:rsidP="00A4792D">
                            <w:pPr>
                              <w:spacing w:before="100" w:beforeAutospacing="1" w:after="100" w:afterAutospacing="1"/>
                              <w:rPr>
                                <w:rFonts w:cstheme="minorHAnsi"/>
                                <w:b/>
                                <w:bCs/>
                                <w:color w:val="000000" w:themeColor="text1"/>
                                <w:sz w:val="21"/>
                                <w:szCs w:val="21"/>
                              </w:rPr>
                            </w:pPr>
                            <w:r w:rsidRPr="005B1EB5">
                              <w:rPr>
                                <w:rFonts w:cstheme="minorHAnsi"/>
                                <w:b/>
                                <w:bCs/>
                                <w:color w:val="000000" w:themeColor="text1"/>
                                <w:sz w:val="21"/>
                                <w:szCs w:val="21"/>
                              </w:rPr>
                              <w:t>The Canadian Drug Policy Coalition recommends that the Committee call on Canada to:</w:t>
                            </w:r>
                          </w:p>
                          <w:p w14:paraId="612E7C01" w14:textId="77777777" w:rsidR="00A4792D" w:rsidRPr="005B1EB5" w:rsidRDefault="00A4792D" w:rsidP="00A4792D">
                            <w:pPr>
                              <w:pStyle w:val="ListParagraph"/>
                              <w:numPr>
                                <w:ilvl w:val="0"/>
                                <w:numId w:val="28"/>
                              </w:numPr>
                              <w:rPr>
                                <w:rFonts w:cstheme="minorHAnsi"/>
                                <w:color w:val="000000" w:themeColor="text1"/>
                                <w:sz w:val="21"/>
                                <w:szCs w:val="21"/>
                              </w:rPr>
                            </w:pPr>
                            <w:r w:rsidRPr="005B1EB5">
                              <w:rPr>
                                <w:rFonts w:cstheme="minorHAnsi"/>
                                <w:bCs/>
                                <w:color w:val="000000" w:themeColor="text1"/>
                                <w:sz w:val="21"/>
                                <w:szCs w:val="21"/>
                              </w:rPr>
                              <w:t xml:space="preserve">Review legislative, regulatory and federal committee processes to ensure they are transparent, provide adequate opportunity for civic engagement, that evidence submitted in such processes is properly considered, and that human rights standards and </w:t>
                            </w:r>
                            <w:r w:rsidRPr="005B1EB5">
                              <w:rPr>
                                <w:rFonts w:cstheme="minorHAnsi"/>
                                <w:bCs/>
                                <w:i/>
                                <w:iCs/>
                                <w:color w:val="000000" w:themeColor="text1"/>
                                <w:sz w:val="21"/>
                                <w:szCs w:val="21"/>
                              </w:rPr>
                              <w:t xml:space="preserve">Charter </w:t>
                            </w:r>
                            <w:r w:rsidRPr="005B1EB5">
                              <w:rPr>
                                <w:rFonts w:cstheme="minorHAnsi"/>
                                <w:bCs/>
                                <w:color w:val="000000" w:themeColor="text1"/>
                                <w:sz w:val="21"/>
                                <w:szCs w:val="21"/>
                              </w:rPr>
                              <w:t>obligations taken into consideration.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02965903" id="_x0000_s1030" style="width:490pt;height:116.9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" fillcolor="#f2f0e7" strokecolor="#c31424" strokeweight="2.25pt">
                <v:stroke joinstyle="miter"/>
                <v:textbox>
                  <w:txbxContent>
                    <w:p w14:paraId="48EDADB9" w14:textId="77777777" w:rsidR="00A4792D" w:rsidRPr="005B1EB5" w:rsidRDefault="00A4792D" w:rsidP="00A4792D">
                      <w:pPr>
                        <w:spacing w:before="100" w:beforeAutospacing="1" w:after="100" w:afterAutospacing="1"/>
                        <w:rPr>
                          <w:rFonts w:cstheme="minorHAnsi"/>
                          <w:b/>
                          <w:bCs/>
                          <w:color w:val="000000" w:themeColor="text1"/>
                          <w:sz w:val="21"/>
                          <w:szCs w:val="21"/>
                        </w:rPr>
                      </w:pPr>
                      <w:r w:rsidRPr="005B1EB5">
                        <w:rPr>
                          <w:rFonts w:cstheme="minorHAnsi"/>
                          <w:b/>
                          <w:bCs/>
                          <w:color w:val="000000" w:themeColor="text1"/>
                          <w:sz w:val="21"/>
                          <w:szCs w:val="21"/>
                        </w:rPr>
                        <w:t>The Canadian Drug Policy Coalition recommends that the Committee call on Canada to:</w:t>
                      </w:r>
                    </w:p>
                    <w:p w14:paraId="612E7C01" w14:textId="77777777" w:rsidR="00A4792D" w:rsidRPr="005B1EB5" w:rsidRDefault="00A4792D" w:rsidP="00A4792D">
                      <w:pPr>
                        <w:pStyle w:val="ListParagraph"/>
                        <w:numPr>
                          <w:ilvl w:val="0"/>
                          <w:numId w:val="28"/>
                        </w:numPr>
                        <w:rPr>
                          <w:rFonts w:cstheme="minorHAnsi"/>
                          <w:color w:val="000000" w:themeColor="text1"/>
                          <w:sz w:val="21"/>
                          <w:szCs w:val="21"/>
                        </w:rPr>
                      </w:pPr>
                      <w:r w:rsidRPr="005B1EB5">
                        <w:rPr>
                          <w:rFonts w:cstheme="minorHAnsi"/>
                          <w:bCs/>
                          <w:color w:val="000000" w:themeColor="text1"/>
                          <w:sz w:val="21"/>
                          <w:szCs w:val="21"/>
                        </w:rPr>
                        <w:t xml:space="preserve">Review legislative, regulatory and federal committee processes to ensure they are transparent, provide adequate opportunity for civic engagement, that evidence submitted in such processes is properly considered, and that human rights standards and </w:t>
                      </w:r>
                      <w:r w:rsidRPr="005B1EB5">
                        <w:rPr>
                          <w:rFonts w:cstheme="minorHAnsi"/>
                          <w:bCs/>
                          <w:i/>
                          <w:iCs/>
                          <w:color w:val="000000" w:themeColor="text1"/>
                          <w:sz w:val="21"/>
                          <w:szCs w:val="21"/>
                        </w:rPr>
                        <w:t xml:space="preserve">Charter </w:t>
                      </w:r>
                      <w:r w:rsidRPr="005B1EB5">
                        <w:rPr>
                          <w:rFonts w:cstheme="minorHAnsi"/>
                          <w:bCs/>
                          <w:color w:val="000000" w:themeColor="text1"/>
                          <w:sz w:val="21"/>
                          <w:szCs w:val="21"/>
                        </w:rPr>
                        <w:t>obligations taken into consideration.</w:t>
                      </w:r>
                    </w:p>
                  </w:txbxContent>
                </v:textbox>
                <w10:anchorlock/>
              </v:roundrect>
            </w:pict>
          </mc:Fallback>
        </mc:AlternateContent>
      </w:r>
    </w:p>
    <w:p w14:paraId="551F2CAE" w14:textId="5BA134CB" w:rsidR="00C24202" w:rsidRDefault="00C24202" w:rsidP="00CB2521"/>
    <w:p w14:paraId="51039A46" w14:textId="45882215" w:rsidR="00C24202" w:rsidRDefault="00C24202" w:rsidP="00C24202">
      <w:pPr>
        <w:spacing w:after="160" w:line="259" w:lineRule="auto"/>
      </w:pPr>
      <w:r>
        <w:br w:type="page"/>
      </w:r>
    </w:p>
    <w:p w14:paraId="795F639C" w14:textId="443C9ED0" w:rsidR="00B95572" w:rsidRDefault="00B95572" w:rsidP="00C24202">
      <w:pPr>
        <w:rPr>
          <w:rFonts w:ascii="Open Sans" w:hAnsi="Open Sans" w:cs="Open Sans"/>
          <w:b/>
          <w:bCs/>
          <w:kern w:val="0"/>
          <w:lang w:val="en-US"/>
        </w:rPr>
      </w:pPr>
      <w:r>
        <w:rPr>
          <w:noProof/>
        </w:rPr>
        <w:lastRenderedPageBreak/>
        <mc:AlternateContent>
          <mc:Choice Requires="wps">
            <w:drawing>
              <wp:inline distT="0" distB="0" distL="0" distR="0" wp14:anchorId="64A571FE" wp14:editId="6E67C5CA">
                <wp:extent cx="6126480" cy="7823200"/>
                <wp:effectExtent l="19050" t="19050" r="26670" b="25400"/>
                <wp:docPr id="1862337019" name="Rectangle: Rounded Corners 3"/>
                <wp:cNvGraphicFramePr/>
                <a:graphic xmlns:a="http://schemas.openxmlformats.org/drawingml/2006/main">
                  <a:graphicData uri="http://schemas.microsoft.com/office/word/2010/wordprocessingShape">
                    <wps:wsp>
                      <wps:cNvSpPr/>
                      <wps:spPr>
                        <a:xfrm>
                          <a:off x="0" y="0"/>
                          <a:ext cx="6126480" cy="7823200"/>
                        </a:xfrm>
                        <a:prstGeom prst="roundRect">
                          <a:avLst/>
                        </a:prstGeom>
                        <a:solidFill>
                          <a:srgbClr val="F2F0E7"/>
                        </a:solidFill>
                        <a:ln w="38100">
                          <a:solidFill>
                            <a:srgbClr val="C3142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7D5FD1" w14:textId="77777777" w:rsidR="00B95572" w:rsidRPr="005B1EB5" w:rsidRDefault="00B95572" w:rsidP="00076DA0">
                            <w:pPr>
                              <w:spacing w:after="240"/>
                              <w:jc w:val="center"/>
                              <w:rPr>
                                <w:rFonts w:ascii="Times New Roman" w:hAnsi="Times New Roman" w:cs="Times New Roman"/>
                                <w:b/>
                                <w:bCs/>
                                <w:color w:val="C31424"/>
                              </w:rPr>
                            </w:pPr>
                            <w:r w:rsidRPr="005B1EB5">
                              <w:rPr>
                                <w:rFonts w:ascii="Times New Roman" w:hAnsi="Times New Roman" w:cs="Times New Roman"/>
                                <w:b/>
                                <w:bCs/>
                                <w:color w:val="C31424"/>
                              </w:rPr>
                              <w:t>SUMMARY OF RECOMMENDATIONS PART 1</w:t>
                            </w:r>
                          </w:p>
                          <w:p w14:paraId="73D1B069" w14:textId="77777777" w:rsidR="00B95572" w:rsidRPr="005B1EB5" w:rsidRDefault="00B95572"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to mitigate death and harm caused by the unregulated drug supply:</w:t>
                            </w:r>
                          </w:p>
                          <w:p w14:paraId="4E69A407" w14:textId="77777777" w:rsidR="00B95572" w:rsidRPr="005B1EB5" w:rsidRDefault="00B95572" w:rsidP="00B95572">
                            <w:pPr>
                              <w:pStyle w:val="ListParagraph"/>
                              <w:numPr>
                                <w:ilvl w:val="0"/>
                                <w:numId w:val="30"/>
                              </w:numPr>
                              <w:spacing w:after="160" w:line="259" w:lineRule="auto"/>
                              <w:ind w:left="360"/>
                              <w:contextualSpacing w:val="0"/>
                              <w:jc w:val="both"/>
                              <w:rPr>
                                <w:rFonts w:cstheme="minorHAnsi"/>
                                <w:color w:val="212529"/>
                                <w:sz w:val="21"/>
                                <w:szCs w:val="21"/>
                              </w:rPr>
                            </w:pPr>
                            <w:r w:rsidRPr="005B1EB5">
                              <w:rPr>
                                <w:rFonts w:cstheme="minorHAnsi"/>
                                <w:color w:val="000000" w:themeColor="text1"/>
                                <w:sz w:val="21"/>
                                <w:szCs w:val="21"/>
                              </w:rPr>
                              <w:t>Immediately undertake a review of section 5 of the CDSA and relevant sections of the FDA/FDR and, within 1 year, bring forward amendments to these laws to ensure non-medicalized safer supply programs such DULF’s compassion club are able to operate lawfully;</w:t>
                            </w:r>
                          </w:p>
                          <w:p w14:paraId="45C6925C" w14:textId="77777777" w:rsidR="00B95572" w:rsidRPr="005B1EB5" w:rsidRDefault="00B95572" w:rsidP="00B95572">
                            <w:pPr>
                              <w:pStyle w:val="ListParagraph"/>
                              <w:numPr>
                                <w:ilvl w:val="0"/>
                                <w:numId w:val="30"/>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Within 1 year, complete an arms-length review of the impacts of drug law enforcement on the volatility of the drug supply, and discriminatory practices and effects of such enforcement. To be led by an independent committee of qualified interdisciplinary evaluators and people with lived/living experience with meaningful engagement from civil society;</w:t>
                            </w:r>
                          </w:p>
                          <w:p w14:paraId="6DE9A9E3" w14:textId="77777777" w:rsidR="00B95572" w:rsidRPr="005B1EB5" w:rsidRDefault="00B95572" w:rsidP="00B95572">
                            <w:pPr>
                              <w:pStyle w:val="ListParagraph"/>
                              <w:numPr>
                                <w:ilvl w:val="0"/>
                                <w:numId w:val="30"/>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Implement the recommendation of the Expert Task Force on Substance Use to create “a single public health framework with specific regulations for all psychoactive substances” including a commitment to specified goals and timelines, processes for lived/living experience and civil society engagement, and human rights accountability mechanisms to ensure that reasonable and effective measures are taken in a timely manner</w:t>
                            </w:r>
                            <w:r w:rsidRPr="005B1EB5">
                              <w:rPr>
                                <w:rFonts w:cstheme="minorHAnsi"/>
                                <w:color w:val="000000" w:themeColor="text1"/>
                                <w:sz w:val="21"/>
                                <w:szCs w:val="21"/>
                              </w:rPr>
                              <w:t>.</w:t>
                            </w:r>
                          </w:p>
                          <w:p w14:paraId="38275AD5" w14:textId="77777777" w:rsidR="00B95572" w:rsidRPr="005B1EB5" w:rsidRDefault="00B95572"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to decrease risk of dying, criminalization and arbitrary detention of people who use drugs and who provide life-saving services:</w:t>
                            </w:r>
                          </w:p>
                          <w:p w14:paraId="58D47079"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Stay all criminal charges and expunge the criminal records of the DULF founders for the involvement in the compassion club;</w:t>
                            </w:r>
                          </w:p>
                          <w:p w14:paraId="68EBBCA7"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Within 1 year, complete an arms-length review of existing decriminalization policies throughout the world and craft recommendations to amend section 4 of the CDSA (prohibition of drug possession). To be led by an independent committee of qualified interdisciplinary researchers and people with lived/living experience with meaningful engagement from civil society;</w:t>
                            </w:r>
                          </w:p>
                          <w:p w14:paraId="36B145AF"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Amend federal, provincial and territorial human rights laws to protect people against discrimination on the basis of social status, including housing status;</w:t>
                            </w:r>
                          </w:p>
                          <w:p w14:paraId="49CB1D72"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Rescind laws that target people who use drugs and rely on public spaces for the necessities of life and invest in housing and health and social services to provide dignified alternatives to homelessness and public drug use;</w:t>
                            </w:r>
                          </w:p>
                          <w:p w14:paraId="10357436"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Rescind involuntary addictions treatment laws and policies and invest in publicly administered, not-for profit, voluntary addictions treatment that is high-quality, accessible and culturally responsive.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64A571FE" id="_x0000_s1031" style="width:482.4pt;height:616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" fillcolor="#f2f0e7" strokecolor="#c31424" strokeweight="3pt">
                <v:stroke joinstyle="miter"/>
                <v:textbox>
                  <w:txbxContent>
                    <w:p w14:paraId="5B7D5FD1" w14:textId="77777777" w:rsidR="00B95572" w:rsidRPr="005B1EB5" w:rsidRDefault="00B95572" w:rsidP="00076DA0">
                      <w:pPr>
                        <w:spacing w:after="240"/>
                        <w:jc w:val="center"/>
                        <w:rPr>
                          <w:rFonts w:ascii="Times New Roman" w:hAnsi="Times New Roman" w:cs="Times New Roman"/>
                          <w:b/>
                          <w:bCs/>
                          <w:color w:val="C31424"/>
                        </w:rPr>
                      </w:pPr>
                      <w:r w:rsidRPr="005B1EB5">
                        <w:rPr>
                          <w:rFonts w:ascii="Times New Roman" w:hAnsi="Times New Roman" w:cs="Times New Roman"/>
                          <w:b/>
                          <w:bCs/>
                          <w:color w:val="C31424"/>
                        </w:rPr>
                        <w:t>SUMMARY OF RECOMMENDATIONS PART 1</w:t>
                      </w:r>
                    </w:p>
                    <w:p w14:paraId="73D1B069" w14:textId="77777777" w:rsidR="00B95572" w:rsidRPr="005B1EB5" w:rsidRDefault="00B95572"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to mitigate death and harm caused by the unregulated drug supply:</w:t>
                      </w:r>
                    </w:p>
                    <w:p w14:paraId="4E69A407" w14:textId="77777777" w:rsidR="00B95572" w:rsidRPr="005B1EB5" w:rsidRDefault="00B95572" w:rsidP="00B95572">
                      <w:pPr>
                        <w:pStyle w:val="ListParagraph"/>
                        <w:numPr>
                          <w:ilvl w:val="0"/>
                          <w:numId w:val="30"/>
                        </w:numPr>
                        <w:spacing w:after="160" w:line="259" w:lineRule="auto"/>
                        <w:ind w:left="360"/>
                        <w:contextualSpacing w:val="0"/>
                        <w:jc w:val="both"/>
                        <w:rPr>
                          <w:rFonts w:cstheme="minorHAnsi"/>
                          <w:color w:val="212529"/>
                          <w:sz w:val="21"/>
                          <w:szCs w:val="21"/>
                        </w:rPr>
                      </w:pPr>
                      <w:r w:rsidRPr="005B1EB5">
                        <w:rPr>
                          <w:rFonts w:cstheme="minorHAnsi"/>
                          <w:color w:val="000000" w:themeColor="text1"/>
                          <w:sz w:val="21"/>
                          <w:szCs w:val="21"/>
                        </w:rPr>
                        <w:t>Immediately undertake a review of section 5 of the CDSA and relevant sections of the FDA/FDR and, within 1 year, bring forward amendments to these laws to ensure non-medicalized safer supply programs such DULF’s compassion club are able to operate lawfully;</w:t>
                      </w:r>
                    </w:p>
                    <w:p w14:paraId="45C6925C" w14:textId="77777777" w:rsidR="00B95572" w:rsidRPr="005B1EB5" w:rsidRDefault="00B95572" w:rsidP="00B95572">
                      <w:pPr>
                        <w:pStyle w:val="ListParagraph"/>
                        <w:numPr>
                          <w:ilvl w:val="0"/>
                          <w:numId w:val="30"/>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Within 1 year, complete an arms-length review of the impacts of drug law enforcement on the volatility of the drug supply, and discriminatory practices and effects of such enforcement. To be led by an independent committee of qualified interdisciplinary evaluators and people with lived/living experience with meaningful engagement from civil society;</w:t>
                      </w:r>
                    </w:p>
                    <w:p w14:paraId="6DE9A9E3" w14:textId="77777777" w:rsidR="00B95572" w:rsidRPr="005B1EB5" w:rsidRDefault="00B95572" w:rsidP="00B95572">
                      <w:pPr>
                        <w:pStyle w:val="ListParagraph"/>
                        <w:numPr>
                          <w:ilvl w:val="0"/>
                          <w:numId w:val="30"/>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Implement the recommendation of the Expert Task Force on Substance Use to create “a single public health framework with specific regulations for all psychoactive substances” including a commitment to specified goals and timelines, processes for lived/living experience and civil society engagement, and human rights accountability mechanisms to ensure that reasonable and effective measures are taken in a timely manner</w:t>
                      </w:r>
                      <w:r w:rsidRPr="005B1EB5">
                        <w:rPr>
                          <w:rFonts w:cstheme="minorHAnsi"/>
                          <w:color w:val="000000" w:themeColor="text1"/>
                          <w:sz w:val="21"/>
                          <w:szCs w:val="21"/>
                        </w:rPr>
                        <w:t>.</w:t>
                      </w:r>
                    </w:p>
                    <w:p w14:paraId="38275AD5" w14:textId="77777777" w:rsidR="00B95572" w:rsidRPr="005B1EB5" w:rsidRDefault="00B95572"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to decrease risk of dying, criminalization and arbitrary detention of people who use drugs and who provide life-saving services:</w:t>
                      </w:r>
                    </w:p>
                    <w:p w14:paraId="58D47079"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Stay all criminal charges and expunge the criminal records of the DULF founders for the involvement in the compassion club;</w:t>
                      </w:r>
                    </w:p>
                    <w:p w14:paraId="68EBBCA7"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Within 1 year, complete an arms-length review of existing decriminalization policies throughout the world and craft recommendations to amend section 4 of the CDSA (prohibition of drug possession). To be led by an independent committee of qualified interdisciplinary researchers and people with lived/living experience with meaningful engagement from civil society;</w:t>
                      </w:r>
                    </w:p>
                    <w:p w14:paraId="36B145AF"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Amend federal, provincial and territorial human rights laws to protect people against discrimination on the basis of social status, including housing status;</w:t>
                      </w:r>
                    </w:p>
                    <w:p w14:paraId="49CB1D72"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Rescind laws that target people who use drugs and rely on public spaces for the necessities of life and invest in housing and health and social services to provide dignified alternatives to homelessness and public drug use;</w:t>
                      </w:r>
                    </w:p>
                    <w:p w14:paraId="10357436" w14:textId="77777777" w:rsidR="00B95572" w:rsidRPr="005B1EB5" w:rsidRDefault="00B95572" w:rsidP="00B95572">
                      <w:pPr>
                        <w:pStyle w:val="ListParagraph"/>
                        <w:numPr>
                          <w:ilvl w:val="0"/>
                          <w:numId w:val="31"/>
                        </w:numPr>
                        <w:spacing w:after="160" w:line="259" w:lineRule="auto"/>
                        <w:ind w:left="360"/>
                        <w:contextualSpacing w:val="0"/>
                        <w:jc w:val="both"/>
                        <w:rPr>
                          <w:rFonts w:cstheme="minorHAnsi"/>
                          <w:color w:val="000000" w:themeColor="text1"/>
                          <w:sz w:val="21"/>
                          <w:szCs w:val="21"/>
                        </w:rPr>
                      </w:pPr>
                      <w:r w:rsidRPr="005B1EB5">
                        <w:rPr>
                          <w:rFonts w:cstheme="minorHAnsi"/>
                          <w:color w:val="000000" w:themeColor="text1"/>
                          <w:sz w:val="21"/>
                          <w:szCs w:val="21"/>
                        </w:rPr>
                        <w:t>Rescind involuntary addictions treatment laws and policies and invest in publicly administered, not-for profit, voluntary addictions treatment that is high-quality, accessible and culturally responsive.</w:t>
                      </w:r>
                    </w:p>
                  </w:txbxContent>
                </v:textbox>
                <w10:anchorlock/>
              </v:roundrect>
            </w:pict>
          </mc:Fallback>
        </mc:AlternateContent>
      </w:r>
    </w:p>
    <w:p w14:paraId="3CEB9C5A" w14:textId="77777777" w:rsidR="00BF4A21" w:rsidRDefault="00BF4A21" w:rsidP="00C24202">
      <w:pPr>
        <w:rPr>
          <w:rFonts w:ascii="Open Sans" w:hAnsi="Open Sans" w:cs="Open Sans"/>
          <w:b/>
          <w:bCs/>
          <w:kern w:val="0"/>
          <w:lang w:val="en-US"/>
        </w:rPr>
      </w:pPr>
    </w:p>
    <w:p w14:paraId="08F3442F" w14:textId="77777777" w:rsidR="00BF4A21" w:rsidRDefault="00BF4A21" w:rsidP="00C24202">
      <w:pPr>
        <w:rPr>
          <w:rFonts w:ascii="Open Sans" w:hAnsi="Open Sans" w:cs="Open Sans"/>
          <w:b/>
          <w:bCs/>
          <w:kern w:val="0"/>
          <w:lang w:val="en-US"/>
        </w:rPr>
      </w:pPr>
    </w:p>
    <w:p w14:paraId="3D824834" w14:textId="03FA6C18" w:rsidR="00BF4A21" w:rsidRDefault="00BF4A21" w:rsidP="00C24202">
      <w:pPr>
        <w:rPr>
          <w:rFonts w:ascii="Open Sans" w:hAnsi="Open Sans" w:cs="Open Sans"/>
          <w:b/>
          <w:bCs/>
          <w:kern w:val="0"/>
          <w:lang w:val="en-US"/>
        </w:rPr>
      </w:pPr>
      <w:r>
        <w:rPr>
          <w:noProof/>
        </w:rPr>
        <w:lastRenderedPageBreak/>
        <mc:AlternateContent>
          <mc:Choice Requires="wps">
            <w:drawing>
              <wp:inline distT="0" distB="0" distL="0" distR="0" wp14:anchorId="39117DB5" wp14:editId="70EA3B6E">
                <wp:extent cx="6126480" cy="5759450"/>
                <wp:effectExtent l="19050" t="19050" r="26670" b="12700"/>
                <wp:docPr id="1609654698" name="Rectangle: Rounded Corners 2"/>
                <wp:cNvGraphicFramePr/>
                <a:graphic xmlns:a="http://schemas.openxmlformats.org/drawingml/2006/main">
                  <a:graphicData uri="http://schemas.microsoft.com/office/word/2010/wordprocessingShape">
                    <wps:wsp>
                      <wps:cNvSpPr/>
                      <wps:spPr>
                        <a:xfrm>
                          <a:off x="0" y="0"/>
                          <a:ext cx="6126480" cy="5759450"/>
                        </a:xfrm>
                        <a:prstGeom prst="roundRect">
                          <a:avLst/>
                        </a:prstGeom>
                        <a:solidFill>
                          <a:srgbClr val="F2F0E7"/>
                        </a:solidFill>
                        <a:ln w="38100">
                          <a:solidFill>
                            <a:srgbClr val="C3142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EA29DA" w14:textId="77777777" w:rsidR="00BF4A21" w:rsidRPr="005B1EB5" w:rsidRDefault="00BF4A21" w:rsidP="00076DA0">
                            <w:pPr>
                              <w:spacing w:after="240"/>
                              <w:jc w:val="center"/>
                              <w:rPr>
                                <w:rFonts w:ascii="Times New Roman" w:hAnsi="Times New Roman" w:cs="Times New Roman"/>
                                <w:b/>
                                <w:bCs/>
                                <w:color w:val="C31424"/>
                              </w:rPr>
                            </w:pPr>
                            <w:r w:rsidRPr="005B1EB5">
                              <w:rPr>
                                <w:rFonts w:ascii="Times New Roman" w:hAnsi="Times New Roman" w:cs="Times New Roman"/>
                                <w:b/>
                                <w:bCs/>
                                <w:color w:val="C31424"/>
                              </w:rPr>
                              <w:t>SUMMARY OF RECOMMENDATIONS PART 2</w:t>
                            </w:r>
                          </w:p>
                          <w:p w14:paraId="5A545E92" w14:textId="77777777" w:rsidR="00BF4A21" w:rsidRPr="005B1EB5" w:rsidRDefault="00BF4A21"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to ensure effective, evidence-based health services are available without discrimination:</w:t>
                            </w:r>
                          </w:p>
                          <w:p w14:paraId="760629AA"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Establish national standards for addictions treatment including client redress mechanisms, quality assurances, mandatory evaluation of outcomes and reporting of deaths and injuries;</w:t>
                            </w:r>
                          </w:p>
                          <w:p w14:paraId="657966C0"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Create national standards for inhalation services in SCS and fund the establishment and operation of inhalation services in SCS anywhere where data indicate need for them;</w:t>
                            </w:r>
                          </w:p>
                          <w:p w14:paraId="7D67C7A9"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Implement expert recommendations for improving the accessibility and efficacy of prescription-based safer supply programs;</w:t>
                            </w:r>
                          </w:p>
                          <w:p w14:paraId="11639E86"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000000" w:themeColor="text1"/>
                                <w:sz w:val="21"/>
                                <w:szCs w:val="21"/>
                              </w:rPr>
                            </w:pPr>
                            <w:r w:rsidRPr="005B1EB5">
                              <w:rPr>
                                <w:rFonts w:cstheme="minorHAnsi"/>
                                <w:color w:val="212529"/>
                                <w:sz w:val="21"/>
                                <w:szCs w:val="21"/>
                              </w:rPr>
                              <w:t>Establish</w:t>
                            </w:r>
                            <w:r w:rsidRPr="005B1EB5">
                              <w:rPr>
                                <w:rFonts w:cstheme="minorHAnsi"/>
                                <w:color w:val="000000" w:themeColor="text1"/>
                                <w:sz w:val="21"/>
                                <w:szCs w:val="21"/>
                              </w:rPr>
                              <w:t xml:space="preserve"> national standards for non-prescription-based safer supply programs that can be implemented under the current CDSA/FDA/FDR legal framework;</w:t>
                            </w:r>
                          </w:p>
                          <w:p w14:paraId="35C54562"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Commit to sustaining and scaling up the number of supervised consumption services (SCS) in Canada, including by providing adequate funding for these services and ensuring that provincial laws and policies do not prohibit or unreasonably restrict SCS;</w:t>
                            </w:r>
                          </w:p>
                          <w:p w14:paraId="6C039E1C"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Immediately reinstate funding for safer supply programs and ensure that provincial laws and policies do not prohibit or unreasonably restrict safer supply programs.</w:t>
                            </w:r>
                          </w:p>
                          <w:p w14:paraId="61D58C62" w14:textId="77777777" w:rsidR="00BF4A21" w:rsidRPr="005B1EB5" w:rsidRDefault="00BF4A21"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for government transparency and accountability:</w:t>
                            </w:r>
                          </w:p>
                          <w:p w14:paraId="58778150" w14:textId="2E240413" w:rsidR="00BF4A21" w:rsidRPr="005B1EB5" w:rsidRDefault="00BF4A21" w:rsidP="00BF4A21">
                            <w:pPr>
                              <w:pStyle w:val="ListParagraph"/>
                              <w:numPr>
                                <w:ilvl w:val="0"/>
                                <w:numId w:val="33"/>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Publicly release the full findings and reports of the Expert Advisory Group on Safer</w:t>
                            </w:r>
                            <w:r w:rsidR="00CF266D">
                              <w:rPr>
                                <w:rFonts w:cstheme="minorHAnsi"/>
                                <w:color w:val="212529"/>
                                <w:sz w:val="21"/>
                                <w:szCs w:val="21"/>
                              </w:rPr>
                              <w:t xml:space="preserve"> Supply</w:t>
                            </w:r>
                            <w:r w:rsidRPr="005B1EB5">
                              <w:rPr>
                                <w:rFonts w:cstheme="minorHAnsi"/>
                                <w:color w:val="212529"/>
                                <w:sz w:val="21"/>
                                <w:szCs w:val="21"/>
                              </w:rPr>
                              <w:t>;</w:t>
                            </w:r>
                          </w:p>
                          <w:p w14:paraId="7BA8C19C" w14:textId="77777777" w:rsidR="00BF4A21" w:rsidRPr="005B1EB5" w:rsidRDefault="00BF4A21" w:rsidP="00BF4A21">
                            <w:pPr>
                              <w:pStyle w:val="ListParagraph"/>
                              <w:numPr>
                                <w:ilvl w:val="0"/>
                                <w:numId w:val="33"/>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 xml:space="preserve">Review legislative, regulatory and federal committee processes to ensure they are transparent, provide adequate opportunity for civic engagement, that evidence submitted in such processes is properly considered, and that human rights standards and </w:t>
                            </w:r>
                            <w:r w:rsidRPr="005B1EB5">
                              <w:rPr>
                                <w:rFonts w:cstheme="minorHAnsi"/>
                                <w:i/>
                                <w:iCs/>
                                <w:color w:val="212529"/>
                                <w:sz w:val="21"/>
                                <w:szCs w:val="21"/>
                              </w:rPr>
                              <w:t>Charter</w:t>
                            </w:r>
                            <w:r w:rsidRPr="005B1EB5">
                              <w:rPr>
                                <w:rFonts w:cstheme="minorHAnsi"/>
                                <w:color w:val="212529"/>
                                <w:sz w:val="21"/>
                                <w:szCs w:val="21"/>
                              </w:rPr>
                              <w:t xml:space="preserve"> obligations taken into consideration.</w:t>
                            </w:r>
                          </w:p>
                          <w:p w14:paraId="14187EED" w14:textId="77777777" w:rsidR="00BF4A21" w:rsidRPr="005F25B9" w:rsidRDefault="00BF4A21" w:rsidP="00BF4A21">
                            <w:pPr>
                              <w:jc w:val="both"/>
                              <w:rPr>
                                <w:rFonts w:ascii="Open Sans" w:hAnsi="Open Sans" w:cs="Open Sans"/>
                                <w:color w:val="212529"/>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w14:anchorId="39117DB5" id="_x0000_s1032" style="width:482.4pt;height:453.5pt;visibility:visible;mso-wrap-style:square;mso-left-percent:-10001;mso-top-percent:-10001;mso-position-horizontal:absolute;mso-position-horizontal-relative:char;mso-position-vertical:absolute;mso-position-vertical-relative:line;mso-left-percent:-10001;mso-top-percent:-10001;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" fillcolor="#f2f0e7" strokecolor="#c31424" strokeweight="3pt">
                <v:stroke joinstyle="miter"/>
                <v:textbox>
                  <w:txbxContent>
                    <w:p w14:paraId="48EA29DA" w14:textId="77777777" w:rsidR="00BF4A21" w:rsidRPr="005B1EB5" w:rsidRDefault="00BF4A21" w:rsidP="00076DA0">
                      <w:pPr>
                        <w:spacing w:after="240"/>
                        <w:jc w:val="center"/>
                        <w:rPr>
                          <w:rFonts w:ascii="Times New Roman" w:hAnsi="Times New Roman" w:cs="Times New Roman"/>
                          <w:b/>
                          <w:bCs/>
                          <w:color w:val="C31424"/>
                        </w:rPr>
                      </w:pPr>
                      <w:r w:rsidRPr="005B1EB5">
                        <w:rPr>
                          <w:rFonts w:ascii="Times New Roman" w:hAnsi="Times New Roman" w:cs="Times New Roman"/>
                          <w:b/>
                          <w:bCs/>
                          <w:color w:val="C31424"/>
                        </w:rPr>
                        <w:t>SUMMARY OF RECOMMENDATIONS PART 2</w:t>
                      </w:r>
                    </w:p>
                    <w:p w14:paraId="5A545E92" w14:textId="77777777" w:rsidR="00BF4A21" w:rsidRPr="005B1EB5" w:rsidRDefault="00BF4A21"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to ensure effective, evidence-based health services are available without discrimination:</w:t>
                      </w:r>
                    </w:p>
                    <w:p w14:paraId="760629AA"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Establish national standards for addictions treatment including client redress mechanisms, quality assurances, mandatory evaluation of outcomes and reporting of deaths and injuries;</w:t>
                      </w:r>
                    </w:p>
                    <w:p w14:paraId="657966C0"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Create national standards for inhalation services in SCS and fund the establishment and operation of inhalation services in SCS anywhere where data indicate need for them;</w:t>
                      </w:r>
                    </w:p>
                    <w:p w14:paraId="7D67C7A9"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Implement expert recommendations for improving the accessibility and efficacy of prescription-based safer supply programs;</w:t>
                      </w:r>
                    </w:p>
                    <w:p w14:paraId="11639E86"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000000" w:themeColor="text1"/>
                          <w:sz w:val="21"/>
                          <w:szCs w:val="21"/>
                        </w:rPr>
                      </w:pPr>
                      <w:r w:rsidRPr="005B1EB5">
                        <w:rPr>
                          <w:rFonts w:cstheme="minorHAnsi"/>
                          <w:color w:val="212529"/>
                          <w:sz w:val="21"/>
                          <w:szCs w:val="21"/>
                        </w:rPr>
                        <w:t>Establish</w:t>
                      </w:r>
                      <w:r w:rsidRPr="005B1EB5">
                        <w:rPr>
                          <w:rFonts w:cstheme="minorHAnsi"/>
                          <w:color w:val="000000" w:themeColor="text1"/>
                          <w:sz w:val="21"/>
                          <w:szCs w:val="21"/>
                        </w:rPr>
                        <w:t xml:space="preserve"> national standards for non-prescription-based safer supply programs that can be implemented under the current CDSA/FDA/FDR legal framework;</w:t>
                      </w:r>
                    </w:p>
                    <w:p w14:paraId="35C54562"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Commit to sustaining and scaling up the number of supervised consumption services (SCS) in Canada, including by providing adequate funding for these services and ensuring that provincial laws and policies do not prohibit or unreasonably restrict SCS;</w:t>
                      </w:r>
                    </w:p>
                    <w:p w14:paraId="6C039E1C" w14:textId="77777777" w:rsidR="00BF4A21" w:rsidRPr="005B1EB5" w:rsidRDefault="00BF4A21" w:rsidP="00BF4A21">
                      <w:pPr>
                        <w:pStyle w:val="ListParagraph"/>
                        <w:numPr>
                          <w:ilvl w:val="0"/>
                          <w:numId w:val="32"/>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Immediately reinstate funding for safer supply programs and ensure that provincial laws and policies do not prohibit or unreasonably restrict safer supply programs.</w:t>
                      </w:r>
                    </w:p>
                    <w:p w14:paraId="61D58C62" w14:textId="77777777" w:rsidR="00BF4A21" w:rsidRPr="005B1EB5" w:rsidRDefault="00BF4A21" w:rsidP="00076DA0">
                      <w:pPr>
                        <w:spacing w:after="240"/>
                        <w:jc w:val="both"/>
                        <w:rPr>
                          <w:rFonts w:ascii="Arial" w:hAnsi="Arial" w:cs="Arial"/>
                          <w:b/>
                          <w:bCs/>
                          <w:color w:val="212529"/>
                          <w:sz w:val="20"/>
                          <w:szCs w:val="20"/>
                        </w:rPr>
                      </w:pPr>
                      <w:r w:rsidRPr="005B1EB5">
                        <w:rPr>
                          <w:rFonts w:ascii="Arial" w:hAnsi="Arial" w:cs="Arial"/>
                          <w:b/>
                          <w:bCs/>
                          <w:color w:val="212529"/>
                          <w:sz w:val="20"/>
                          <w:szCs w:val="20"/>
                        </w:rPr>
                        <w:t>Recommendations for government transparency and accountability:</w:t>
                      </w:r>
                    </w:p>
                    <w:p w14:paraId="58778150" w14:textId="2E240413" w:rsidR="00BF4A21" w:rsidRPr="005B1EB5" w:rsidRDefault="00BF4A21" w:rsidP="00BF4A21">
                      <w:pPr>
                        <w:pStyle w:val="ListParagraph"/>
                        <w:numPr>
                          <w:ilvl w:val="0"/>
                          <w:numId w:val="33"/>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Publicly release the full findings and reports of the Expert Advisory Group on Safer</w:t>
                      </w:r>
                      <w:r w:rsidR="00CF266D">
                        <w:rPr>
                          <w:rFonts w:cstheme="minorHAnsi"/>
                          <w:color w:val="212529"/>
                          <w:sz w:val="21"/>
                          <w:szCs w:val="21"/>
                        </w:rPr>
                        <w:t xml:space="preserve"> Supply</w:t>
                      </w:r>
                      <w:r w:rsidRPr="005B1EB5">
                        <w:rPr>
                          <w:rFonts w:cstheme="minorHAnsi"/>
                          <w:color w:val="212529"/>
                          <w:sz w:val="21"/>
                          <w:szCs w:val="21"/>
                        </w:rPr>
                        <w:t>;</w:t>
                      </w:r>
                    </w:p>
                    <w:p w14:paraId="7BA8C19C" w14:textId="77777777" w:rsidR="00BF4A21" w:rsidRPr="005B1EB5" w:rsidRDefault="00BF4A21" w:rsidP="00BF4A21">
                      <w:pPr>
                        <w:pStyle w:val="ListParagraph"/>
                        <w:numPr>
                          <w:ilvl w:val="0"/>
                          <w:numId w:val="33"/>
                        </w:numPr>
                        <w:spacing w:after="160" w:line="259" w:lineRule="auto"/>
                        <w:ind w:left="360"/>
                        <w:contextualSpacing w:val="0"/>
                        <w:jc w:val="both"/>
                        <w:rPr>
                          <w:rFonts w:cstheme="minorHAnsi"/>
                          <w:color w:val="212529"/>
                          <w:sz w:val="21"/>
                          <w:szCs w:val="21"/>
                        </w:rPr>
                      </w:pPr>
                      <w:r w:rsidRPr="005B1EB5">
                        <w:rPr>
                          <w:rFonts w:cstheme="minorHAnsi"/>
                          <w:color w:val="212529"/>
                          <w:sz w:val="21"/>
                          <w:szCs w:val="21"/>
                        </w:rPr>
                        <w:t xml:space="preserve">Review legislative, regulatory and federal committee processes to ensure they are transparent, provide adequate opportunity for civic engagement, that evidence submitted in such processes is properly considered, and that human rights standards and </w:t>
                      </w:r>
                      <w:r w:rsidRPr="005B1EB5">
                        <w:rPr>
                          <w:rFonts w:cstheme="minorHAnsi"/>
                          <w:i/>
                          <w:iCs/>
                          <w:color w:val="212529"/>
                          <w:sz w:val="21"/>
                          <w:szCs w:val="21"/>
                        </w:rPr>
                        <w:t>Charter</w:t>
                      </w:r>
                      <w:r w:rsidRPr="005B1EB5">
                        <w:rPr>
                          <w:rFonts w:cstheme="minorHAnsi"/>
                          <w:color w:val="212529"/>
                          <w:sz w:val="21"/>
                          <w:szCs w:val="21"/>
                        </w:rPr>
                        <w:t xml:space="preserve"> obligations taken into consideration.</w:t>
                      </w:r>
                    </w:p>
                    <w:p w14:paraId="14187EED" w14:textId="77777777" w:rsidR="00BF4A21" w:rsidRPr="005F25B9" w:rsidRDefault="00BF4A21" w:rsidP="00BF4A21">
                      <w:pPr>
                        <w:jc w:val="both"/>
                        <w:rPr>
                          <w:rFonts w:ascii="Open Sans" w:hAnsi="Open Sans" w:cs="Open Sans"/>
                          <w:color w:val="212529"/>
                          <w:sz w:val="18"/>
                          <w:szCs w:val="18"/>
                        </w:rPr>
                      </w:pPr>
                    </w:p>
                  </w:txbxContent>
                </v:textbox>
                <w10:anchorlock/>
              </v:roundrect>
            </w:pict>
          </mc:Fallback>
        </mc:AlternateContent>
      </w:r>
    </w:p>
    <w:p w14:paraId="334DC0CC" w14:textId="77777777" w:rsidR="00BF4A21" w:rsidRDefault="00BF4A21" w:rsidP="00C24202">
      <w:pPr>
        <w:rPr>
          <w:rFonts w:ascii="Open Sans" w:hAnsi="Open Sans" w:cs="Open Sans"/>
          <w:b/>
          <w:bCs/>
          <w:kern w:val="0"/>
          <w:lang w:val="en-US"/>
        </w:rPr>
      </w:pPr>
    </w:p>
    <w:p w14:paraId="208C686D" w14:textId="77777777" w:rsidR="00737B11" w:rsidRDefault="00737B11">
      <w:pPr>
        <w:spacing w:after="160" w:line="259" w:lineRule="auto"/>
        <w:rPr>
          <w:rFonts w:ascii="Open Sans" w:hAnsi="Open Sans" w:cs="Open Sans"/>
          <w:b/>
          <w:bCs/>
          <w:kern w:val="0"/>
          <w:lang w:val="en-US"/>
        </w:rPr>
      </w:pPr>
      <w:r>
        <w:rPr>
          <w:rFonts w:ascii="Open Sans" w:hAnsi="Open Sans" w:cs="Open Sans"/>
          <w:b/>
          <w:bCs/>
          <w:kern w:val="0"/>
          <w:lang w:val="en-US"/>
        </w:rPr>
        <w:br w:type="page"/>
      </w:r>
    </w:p>
    <w:p w14:paraId="262DBD6F" w14:textId="104E2274" w:rsidR="00C24202" w:rsidRPr="005B1EB5" w:rsidRDefault="00C24202" w:rsidP="00C24202">
      <w:pPr>
        <w:rPr>
          <w:rFonts w:ascii="Times New Roman" w:hAnsi="Times New Roman" w:cs="Times New Roman"/>
          <w:b/>
          <w:bCs/>
          <w:color w:val="C31424"/>
          <w:kern w:val="0"/>
          <w:sz w:val="28"/>
          <w:szCs w:val="28"/>
          <w:lang w:val="en-US"/>
        </w:rPr>
      </w:pPr>
      <w:r w:rsidRPr="005B1EB5">
        <w:rPr>
          <w:rFonts w:ascii="Times New Roman" w:hAnsi="Times New Roman" w:cs="Times New Roman"/>
          <w:b/>
          <w:bCs/>
          <w:color w:val="C31424"/>
          <w:kern w:val="0"/>
          <w:sz w:val="28"/>
          <w:szCs w:val="28"/>
          <w:lang w:val="en-US"/>
        </w:rPr>
        <w:lastRenderedPageBreak/>
        <w:t xml:space="preserve">A NOTE ON TERMINOLOGY: </w:t>
      </w:r>
    </w:p>
    <w:p w14:paraId="43C92204" w14:textId="77777777" w:rsidR="00C24202" w:rsidRPr="00D21A34" w:rsidRDefault="00C24202" w:rsidP="00C24202">
      <w:pPr>
        <w:rPr>
          <w:rFonts w:ascii="Open Sans" w:hAnsi="Open Sans" w:cs="Open Sans"/>
          <w:kern w:val="0"/>
          <w:lang w:val="en-US"/>
        </w:rPr>
      </w:pPr>
    </w:p>
    <w:p w14:paraId="5A4DBB26" w14:textId="4619E6A0" w:rsidR="00C24202" w:rsidRPr="005B1EB5" w:rsidRDefault="00C24202" w:rsidP="00464FC6">
      <w:pPr>
        <w:spacing w:after="120"/>
        <w:jc w:val="both"/>
        <w:rPr>
          <w:rFonts w:cstheme="minorHAnsi"/>
          <w:lang w:val="en-US"/>
        </w:rPr>
      </w:pPr>
      <w:r w:rsidRPr="005B1EB5">
        <w:rPr>
          <w:rFonts w:cstheme="minorHAnsi"/>
          <w:kern w:val="0"/>
          <w:lang w:val="en-US"/>
        </w:rPr>
        <w:t xml:space="preserve">Canada’s illegal drug supply has shifted significantly over the </w:t>
      </w:r>
      <w:r w:rsidR="00441F48" w:rsidRPr="005B1EB5">
        <w:rPr>
          <w:rFonts w:cstheme="minorHAnsi"/>
          <w:lang w:val="en-US"/>
        </w:rPr>
        <w:t>past decade</w:t>
      </w:r>
      <w:r w:rsidRPr="005B1EB5">
        <w:rPr>
          <w:rFonts w:cstheme="minorHAnsi"/>
          <w:kern w:val="0"/>
          <w:lang w:val="en-US"/>
        </w:rPr>
        <w:t xml:space="preserve"> </w:t>
      </w:r>
      <w:r w:rsidR="009414E2" w:rsidRPr="005B1EB5">
        <w:rPr>
          <w:rFonts w:cstheme="minorHAnsi"/>
          <w:kern w:val="0"/>
          <w:lang w:val="en-US"/>
        </w:rPr>
        <w:t>and t</w:t>
      </w:r>
      <w:r w:rsidR="000B368E" w:rsidRPr="005B1EB5">
        <w:rPr>
          <w:rFonts w:cstheme="minorHAnsi"/>
          <w:kern w:val="0"/>
          <w:lang w:val="en-US"/>
        </w:rPr>
        <w:t xml:space="preserve">he </w:t>
      </w:r>
      <w:r w:rsidR="009414E2" w:rsidRPr="005B1EB5">
        <w:rPr>
          <w:rFonts w:cstheme="minorHAnsi"/>
          <w:kern w:val="0"/>
          <w:lang w:val="en-US"/>
        </w:rPr>
        <w:t>language</w:t>
      </w:r>
      <w:r w:rsidR="000B368E" w:rsidRPr="005B1EB5">
        <w:rPr>
          <w:rFonts w:cstheme="minorHAnsi"/>
          <w:kern w:val="0"/>
          <w:lang w:val="en-US"/>
        </w:rPr>
        <w:t xml:space="preserve"> </w:t>
      </w:r>
      <w:r w:rsidR="004C373A" w:rsidRPr="005B1EB5">
        <w:rPr>
          <w:rFonts w:cstheme="minorHAnsi"/>
          <w:lang w:val="en-US"/>
        </w:rPr>
        <w:t xml:space="preserve">different stakeholders </w:t>
      </w:r>
      <w:r w:rsidR="000B368E" w:rsidRPr="005B1EB5">
        <w:rPr>
          <w:rFonts w:cstheme="minorHAnsi"/>
          <w:kern w:val="0"/>
          <w:lang w:val="en-US"/>
        </w:rPr>
        <w:t>use has evolved over time</w:t>
      </w:r>
      <w:r w:rsidR="009414E2" w:rsidRPr="005B1EB5">
        <w:rPr>
          <w:rFonts w:cstheme="minorHAnsi"/>
          <w:kern w:val="0"/>
          <w:lang w:val="en-US"/>
        </w:rPr>
        <w:t xml:space="preserve">. </w:t>
      </w:r>
      <w:r w:rsidRPr="005B1EB5">
        <w:rPr>
          <w:rFonts w:cstheme="minorHAnsi"/>
          <w:kern w:val="0"/>
          <w:lang w:val="en-US"/>
        </w:rPr>
        <w:t xml:space="preserve">While there are overdose deaths associated with legal (e.g. alcohol) and prescription drugs, the vast majority of drug-related acute deaths and injuries </w:t>
      </w:r>
      <w:r w:rsidR="004C373A" w:rsidRPr="005B1EB5">
        <w:rPr>
          <w:rFonts w:cstheme="minorHAnsi"/>
          <w:lang w:val="en-US"/>
        </w:rPr>
        <w:t>result from</w:t>
      </w:r>
      <w:r w:rsidRPr="005B1EB5">
        <w:rPr>
          <w:rFonts w:cstheme="minorHAnsi"/>
          <w:kern w:val="0"/>
          <w:lang w:val="en-US"/>
        </w:rPr>
        <w:t xml:space="preserve"> people consuming illegal drugs from the “unregulated drug supply</w:t>
      </w:r>
      <w:r w:rsidR="00CD335A" w:rsidRPr="005B1EB5">
        <w:rPr>
          <w:rFonts w:cstheme="minorHAnsi"/>
          <w:lang w:val="en-US"/>
        </w:rPr>
        <w:t>,</w:t>
      </w:r>
      <w:r w:rsidRPr="005B1EB5">
        <w:rPr>
          <w:rFonts w:cstheme="minorHAnsi"/>
          <w:kern w:val="0"/>
          <w:lang w:val="en-US"/>
        </w:rPr>
        <w:t>” sometimes referred to as a “toxic drug supply</w:t>
      </w:r>
      <w:r w:rsidR="004C373A" w:rsidRPr="005B1EB5">
        <w:rPr>
          <w:rFonts w:cstheme="minorHAnsi"/>
          <w:lang w:val="en-US"/>
        </w:rPr>
        <w:t>.</w:t>
      </w:r>
      <w:r w:rsidRPr="005B1EB5">
        <w:rPr>
          <w:rFonts w:cstheme="minorHAnsi"/>
          <w:kern w:val="0"/>
          <w:lang w:val="en-US"/>
        </w:rPr>
        <w:t xml:space="preserve">” </w:t>
      </w:r>
      <w:r w:rsidR="00CD335A" w:rsidRPr="005B1EB5">
        <w:rPr>
          <w:rFonts w:cstheme="minorHAnsi"/>
          <w:lang w:val="en-US"/>
        </w:rPr>
        <w:t xml:space="preserve">Many </w:t>
      </w:r>
      <w:r w:rsidR="00362EE1" w:rsidRPr="005B1EB5">
        <w:rPr>
          <w:rFonts w:cstheme="minorHAnsi"/>
          <w:lang w:val="en-US"/>
        </w:rPr>
        <w:t xml:space="preserve">community groups, researchers, academics and health care providers refer to </w:t>
      </w:r>
      <w:r w:rsidR="00853140" w:rsidRPr="005B1EB5">
        <w:rPr>
          <w:rFonts w:cstheme="minorHAnsi"/>
          <w:lang w:val="en-US"/>
        </w:rPr>
        <w:t xml:space="preserve">Canada’s ongoing crisis as the “unregulated drug crisis” to foreground the reality that it is the </w:t>
      </w:r>
      <w:r w:rsidR="007E09B3" w:rsidRPr="005B1EB5">
        <w:rPr>
          <w:rFonts w:cstheme="minorHAnsi"/>
          <w:lang w:val="en-US"/>
        </w:rPr>
        <w:t xml:space="preserve">lack of legal regulation that is driving the vast majority of death and injury. </w:t>
      </w:r>
    </w:p>
    <w:p w14:paraId="03FB5D72" w14:textId="571B97CE" w:rsidR="00C24202" w:rsidRPr="005B1EB5" w:rsidRDefault="00C24202" w:rsidP="00464FC6">
      <w:pPr>
        <w:spacing w:after="120"/>
        <w:jc w:val="both"/>
        <w:rPr>
          <w:rFonts w:cstheme="minorHAnsi"/>
          <w:kern w:val="0"/>
          <w:lang w:val="en-US"/>
        </w:rPr>
      </w:pPr>
      <w:r w:rsidRPr="005B1EB5">
        <w:rPr>
          <w:rFonts w:cstheme="minorHAnsi"/>
          <w:kern w:val="0"/>
          <w:lang w:val="en-US"/>
        </w:rPr>
        <w:t xml:space="preserve">In this submission we </w:t>
      </w:r>
      <w:r w:rsidR="281EC2E5" w:rsidRPr="005B1EB5">
        <w:rPr>
          <w:rFonts w:cstheme="minorHAnsi"/>
          <w:lang w:val="en-US"/>
        </w:rPr>
        <w:t>generally use the term “unregulated”</w:t>
      </w:r>
      <w:r w:rsidR="139FBA54" w:rsidRPr="005B1EB5">
        <w:rPr>
          <w:rFonts w:cstheme="minorHAnsi"/>
          <w:lang w:val="en-US"/>
        </w:rPr>
        <w:t>, however, o</w:t>
      </w:r>
      <w:r w:rsidR="281EC2E5" w:rsidRPr="005B1EB5">
        <w:rPr>
          <w:rFonts w:cstheme="minorHAnsi"/>
          <w:lang w:val="en-US"/>
        </w:rPr>
        <w:t xml:space="preserve">ther </w:t>
      </w:r>
      <w:r w:rsidR="3431B45A" w:rsidRPr="005B1EB5">
        <w:rPr>
          <w:rFonts w:cstheme="minorHAnsi"/>
          <w:lang w:val="en-US"/>
        </w:rPr>
        <w:t xml:space="preserve">interchangeable </w:t>
      </w:r>
      <w:r w:rsidRPr="005B1EB5">
        <w:rPr>
          <w:rFonts w:cstheme="minorHAnsi"/>
          <w:kern w:val="0"/>
          <w:lang w:val="en-US"/>
        </w:rPr>
        <w:t>terminology such as</w:t>
      </w:r>
      <w:r w:rsidR="7C4E19F7" w:rsidRPr="005B1EB5">
        <w:rPr>
          <w:rFonts w:cstheme="minorHAnsi"/>
          <w:lang w:val="en-US"/>
        </w:rPr>
        <w:t xml:space="preserve"> </w:t>
      </w:r>
      <w:r w:rsidR="16C9FCAA" w:rsidRPr="005B1EB5">
        <w:rPr>
          <w:rFonts w:cstheme="minorHAnsi"/>
          <w:lang w:val="en-US"/>
        </w:rPr>
        <w:t>o</w:t>
      </w:r>
      <w:r w:rsidRPr="005B1EB5">
        <w:rPr>
          <w:rFonts w:cstheme="minorHAnsi"/>
          <w:kern w:val="0"/>
          <w:lang w:val="en-US"/>
        </w:rPr>
        <w:t>verdose</w:t>
      </w:r>
      <w:r w:rsidR="76C04DBB" w:rsidRPr="005B1EB5">
        <w:rPr>
          <w:rFonts w:cstheme="minorHAnsi"/>
          <w:lang w:val="en-US"/>
        </w:rPr>
        <w:t>, d</w:t>
      </w:r>
      <w:r w:rsidRPr="005B1EB5">
        <w:rPr>
          <w:rFonts w:cstheme="minorHAnsi"/>
          <w:kern w:val="0"/>
          <w:lang w:val="en-US"/>
        </w:rPr>
        <w:t xml:space="preserve">rug </w:t>
      </w:r>
      <w:r w:rsidR="00564E86" w:rsidRPr="005B1EB5">
        <w:rPr>
          <w:rFonts w:cstheme="minorHAnsi"/>
          <w:kern w:val="0"/>
          <w:lang w:val="en-US"/>
        </w:rPr>
        <w:t>p</w:t>
      </w:r>
      <w:r w:rsidRPr="005B1EB5">
        <w:rPr>
          <w:rFonts w:cstheme="minorHAnsi"/>
          <w:kern w:val="0"/>
          <w:lang w:val="en-US"/>
        </w:rPr>
        <w:t>oisoning</w:t>
      </w:r>
      <w:r w:rsidR="6CBA936D" w:rsidRPr="005B1EB5">
        <w:rPr>
          <w:rFonts w:cstheme="minorHAnsi"/>
          <w:lang w:val="en-US"/>
        </w:rPr>
        <w:t>, t</w:t>
      </w:r>
      <w:r w:rsidRPr="005B1EB5">
        <w:rPr>
          <w:rFonts w:cstheme="minorHAnsi"/>
          <w:kern w:val="0"/>
          <w:lang w:val="en-US"/>
        </w:rPr>
        <w:t xml:space="preserve">oxic </w:t>
      </w:r>
      <w:r w:rsidR="00564E86" w:rsidRPr="005B1EB5">
        <w:rPr>
          <w:rFonts w:cstheme="minorHAnsi"/>
          <w:kern w:val="0"/>
          <w:lang w:val="en-US"/>
        </w:rPr>
        <w:t>d</w:t>
      </w:r>
      <w:r w:rsidRPr="005B1EB5">
        <w:rPr>
          <w:rFonts w:cstheme="minorHAnsi"/>
          <w:kern w:val="0"/>
          <w:lang w:val="en-US"/>
        </w:rPr>
        <w:t xml:space="preserve">rug </w:t>
      </w:r>
      <w:r w:rsidR="00564E86" w:rsidRPr="005B1EB5">
        <w:rPr>
          <w:rFonts w:cstheme="minorHAnsi"/>
          <w:kern w:val="0"/>
          <w:lang w:val="en-US"/>
        </w:rPr>
        <w:t>d</w:t>
      </w:r>
      <w:r w:rsidRPr="005B1EB5">
        <w:rPr>
          <w:rFonts w:cstheme="minorHAnsi"/>
          <w:kern w:val="0"/>
          <w:lang w:val="en-US"/>
        </w:rPr>
        <w:t>eath</w:t>
      </w:r>
      <w:r w:rsidR="581D2C00" w:rsidRPr="005B1EB5">
        <w:rPr>
          <w:rFonts w:cstheme="minorHAnsi"/>
          <w:lang w:val="en-US"/>
        </w:rPr>
        <w:t>, d</w:t>
      </w:r>
      <w:r w:rsidR="00FC3934" w:rsidRPr="005B1EB5">
        <w:rPr>
          <w:rFonts w:cstheme="minorHAnsi"/>
          <w:kern w:val="0"/>
          <w:lang w:val="en-US"/>
        </w:rPr>
        <w:t>rug-related death crisis</w:t>
      </w:r>
      <w:r w:rsidR="6094AED0" w:rsidRPr="005B1EB5">
        <w:rPr>
          <w:rFonts w:cstheme="minorHAnsi"/>
          <w:lang w:val="en-US"/>
        </w:rPr>
        <w:t xml:space="preserve"> also appear</w:t>
      </w:r>
      <w:r w:rsidR="6F7A3BFA" w:rsidRPr="005B1EB5">
        <w:rPr>
          <w:rFonts w:cstheme="minorHAnsi"/>
          <w:lang w:val="en-US"/>
        </w:rPr>
        <w:t>s.</w:t>
      </w:r>
      <w:r w:rsidR="6094AED0" w:rsidRPr="005B1EB5">
        <w:rPr>
          <w:rFonts w:cstheme="minorHAnsi"/>
          <w:lang w:val="en-US"/>
        </w:rPr>
        <w:t xml:space="preserve"> These </w:t>
      </w:r>
      <w:r w:rsidR="79E5D426" w:rsidRPr="005B1EB5">
        <w:rPr>
          <w:rFonts w:cstheme="minorHAnsi"/>
          <w:kern w:val="0"/>
          <w:lang w:val="en-US"/>
        </w:rPr>
        <w:t>variations reflect the different terms adopted in the research, government records,</w:t>
      </w:r>
      <w:r w:rsidR="6BC9F149" w:rsidRPr="005B1EB5">
        <w:rPr>
          <w:rFonts w:cstheme="minorHAnsi"/>
          <w:kern w:val="0"/>
          <w:lang w:val="en-US"/>
        </w:rPr>
        <w:t xml:space="preserve"> and other sources</w:t>
      </w:r>
      <w:r w:rsidR="09A08ECC" w:rsidRPr="005B1EB5">
        <w:rPr>
          <w:rFonts w:cstheme="minorHAnsi"/>
          <w:kern w:val="0"/>
          <w:lang w:val="en-US"/>
        </w:rPr>
        <w:t>.</w:t>
      </w:r>
    </w:p>
    <w:p w14:paraId="5D3C9CE7" w14:textId="36AF512E" w:rsidR="00C24202" w:rsidRPr="005B1EB5" w:rsidRDefault="00C24202" w:rsidP="00464FC6">
      <w:pPr>
        <w:spacing w:after="120"/>
        <w:jc w:val="both"/>
        <w:rPr>
          <w:rFonts w:cstheme="minorHAnsi"/>
          <w:kern w:val="0"/>
          <w:lang w:val="en-US"/>
        </w:rPr>
      </w:pPr>
      <w:r w:rsidRPr="005B1EB5">
        <w:rPr>
          <w:rFonts w:cstheme="minorHAnsi"/>
          <w:kern w:val="0"/>
          <w:lang w:val="en-US"/>
        </w:rPr>
        <w:t xml:space="preserve">“Overdose” </w:t>
      </w:r>
      <w:r w:rsidR="588AEBFA" w:rsidRPr="005B1EB5">
        <w:rPr>
          <w:rFonts w:cstheme="minorHAnsi"/>
          <w:kern w:val="0"/>
          <w:lang w:val="en-US"/>
        </w:rPr>
        <w:t xml:space="preserve">is still commonly used to refer to unregulated drug-related </w:t>
      </w:r>
      <w:r w:rsidR="0745017B" w:rsidRPr="005B1EB5">
        <w:rPr>
          <w:rFonts w:cstheme="minorHAnsi"/>
          <w:kern w:val="0"/>
          <w:lang w:val="en-US"/>
        </w:rPr>
        <w:t>harms but</w:t>
      </w:r>
      <w:r w:rsidR="3C5DD203" w:rsidRPr="005B1EB5">
        <w:rPr>
          <w:rFonts w:cstheme="minorHAnsi"/>
          <w:kern w:val="0"/>
          <w:lang w:val="en-US"/>
        </w:rPr>
        <w:t xml:space="preserve"> is not entirely accurate</w:t>
      </w:r>
      <w:r w:rsidR="588AEBFA" w:rsidRPr="005B1EB5">
        <w:rPr>
          <w:rFonts w:cstheme="minorHAnsi"/>
          <w:kern w:val="0"/>
          <w:lang w:val="en-US"/>
        </w:rPr>
        <w:t xml:space="preserve">. “Overdose” </w:t>
      </w:r>
      <w:r w:rsidRPr="005B1EB5">
        <w:rPr>
          <w:rFonts w:cstheme="minorHAnsi"/>
          <w:kern w:val="0"/>
          <w:lang w:val="en-US"/>
        </w:rPr>
        <w:t>refers to when there is too much of a drug in a person’s body</w:t>
      </w:r>
      <w:r w:rsidR="00AC4EB5" w:rsidRPr="005B1EB5">
        <w:rPr>
          <w:rFonts w:cstheme="minorHAnsi"/>
          <w:lang w:val="en-US"/>
        </w:rPr>
        <w:t xml:space="preserve">, which causes them to experience severe, sometimes </w:t>
      </w:r>
      <w:r w:rsidR="5886A59F" w:rsidRPr="005B1EB5">
        <w:rPr>
          <w:rFonts w:cstheme="minorHAnsi"/>
          <w:lang w:val="en-US"/>
        </w:rPr>
        <w:t>life-threatening</w:t>
      </w:r>
      <w:r w:rsidR="00AC4EB5" w:rsidRPr="005B1EB5">
        <w:rPr>
          <w:rFonts w:cstheme="minorHAnsi"/>
          <w:lang w:val="en-US"/>
        </w:rPr>
        <w:t xml:space="preserve"> health impacts. O</w:t>
      </w:r>
      <w:r w:rsidR="00C67C74" w:rsidRPr="005B1EB5">
        <w:rPr>
          <w:rFonts w:cstheme="minorHAnsi"/>
          <w:lang w:val="en-US"/>
        </w:rPr>
        <w:t xml:space="preserve">verdoses can be fatal and non-fatal. </w:t>
      </w:r>
      <w:r w:rsidR="00AC4EB5" w:rsidRPr="005B1EB5">
        <w:rPr>
          <w:rFonts w:cstheme="minorHAnsi"/>
          <w:lang w:val="en-US"/>
        </w:rPr>
        <w:t>The term “overdose”</w:t>
      </w:r>
      <w:r w:rsidR="00DE16F5" w:rsidRPr="005B1EB5">
        <w:rPr>
          <w:rFonts w:cstheme="minorHAnsi"/>
          <w:lang w:val="en-US"/>
        </w:rPr>
        <w:t xml:space="preserve"> </w:t>
      </w:r>
      <w:r w:rsidR="004C60D9" w:rsidRPr="005B1EB5">
        <w:rPr>
          <w:rFonts w:cstheme="minorHAnsi"/>
          <w:lang w:val="en-US"/>
        </w:rPr>
        <w:t>can inadvertently</w:t>
      </w:r>
      <w:r w:rsidR="00DE16F5" w:rsidRPr="005B1EB5">
        <w:rPr>
          <w:rFonts w:cstheme="minorHAnsi"/>
          <w:lang w:val="en-US"/>
        </w:rPr>
        <w:t xml:space="preserve"> impl</w:t>
      </w:r>
      <w:r w:rsidR="004C60D9" w:rsidRPr="005B1EB5">
        <w:rPr>
          <w:rFonts w:cstheme="minorHAnsi"/>
          <w:lang w:val="en-US"/>
        </w:rPr>
        <w:t>y</w:t>
      </w:r>
      <w:r w:rsidR="00DE16F5" w:rsidRPr="005B1EB5">
        <w:rPr>
          <w:rFonts w:cstheme="minorHAnsi"/>
          <w:lang w:val="en-US"/>
        </w:rPr>
        <w:t xml:space="preserve"> that </w:t>
      </w:r>
      <w:r w:rsidR="004C60D9" w:rsidRPr="005B1EB5">
        <w:rPr>
          <w:rFonts w:cstheme="minorHAnsi"/>
          <w:lang w:val="en-US"/>
        </w:rPr>
        <w:t xml:space="preserve">someone is aware of what a </w:t>
      </w:r>
      <w:r w:rsidR="00C67C74" w:rsidRPr="005B1EB5">
        <w:rPr>
          <w:rFonts w:cstheme="minorHAnsi"/>
          <w:lang w:val="en-US"/>
        </w:rPr>
        <w:t xml:space="preserve">dose should </w:t>
      </w:r>
      <w:r w:rsidR="00586FB5" w:rsidRPr="005B1EB5">
        <w:rPr>
          <w:rFonts w:cstheme="minorHAnsi"/>
          <w:lang w:val="en-US"/>
        </w:rPr>
        <w:t>be and</w:t>
      </w:r>
      <w:r w:rsidR="00C67C74" w:rsidRPr="005B1EB5">
        <w:rPr>
          <w:rFonts w:cstheme="minorHAnsi"/>
          <w:lang w:val="en-US"/>
        </w:rPr>
        <w:t xml:space="preserve"> has knowingly ingested more than that dose. </w:t>
      </w:r>
      <w:r w:rsidR="00822BBD" w:rsidRPr="005B1EB5">
        <w:rPr>
          <w:rFonts w:cstheme="minorHAnsi"/>
          <w:lang w:val="en-US"/>
        </w:rPr>
        <w:t>In earlier decades (pre-20</w:t>
      </w:r>
      <w:r w:rsidR="003C6F59" w:rsidRPr="005B1EB5">
        <w:rPr>
          <w:rFonts w:cstheme="minorHAnsi"/>
          <w:lang w:val="en-US"/>
        </w:rPr>
        <w:t>10)</w:t>
      </w:r>
      <w:r w:rsidRPr="005B1EB5">
        <w:rPr>
          <w:rFonts w:cstheme="minorHAnsi"/>
          <w:kern w:val="0"/>
          <w:lang w:val="en-US"/>
        </w:rPr>
        <w:t xml:space="preserve">, the </w:t>
      </w:r>
      <w:r w:rsidR="00822BBD" w:rsidRPr="005B1EB5">
        <w:rPr>
          <w:rFonts w:cstheme="minorHAnsi"/>
          <w:lang w:val="en-US"/>
        </w:rPr>
        <w:t xml:space="preserve">unregulated drug supply was less volatile in Canada. </w:t>
      </w:r>
      <w:r w:rsidR="003C6F59" w:rsidRPr="005B1EB5">
        <w:rPr>
          <w:rFonts w:cstheme="minorHAnsi"/>
          <w:lang w:val="en-US"/>
        </w:rPr>
        <w:t xml:space="preserve">At that time, the unregulated </w:t>
      </w:r>
      <w:r w:rsidRPr="005B1EB5">
        <w:rPr>
          <w:rFonts w:cstheme="minorHAnsi"/>
          <w:kern w:val="0"/>
          <w:lang w:val="en-US"/>
        </w:rPr>
        <w:t>her</w:t>
      </w:r>
      <w:r w:rsidR="009C14A0" w:rsidRPr="005B1EB5">
        <w:rPr>
          <w:rFonts w:cstheme="minorHAnsi"/>
          <w:kern w:val="0"/>
          <w:lang w:val="en-US"/>
        </w:rPr>
        <w:t>o</w:t>
      </w:r>
      <w:r w:rsidRPr="005B1EB5">
        <w:rPr>
          <w:rFonts w:cstheme="minorHAnsi"/>
          <w:kern w:val="0"/>
          <w:lang w:val="en-US"/>
        </w:rPr>
        <w:t>in supply was relatively stable, uncontaminated and less varied</w:t>
      </w:r>
      <w:r w:rsidR="003C6F59" w:rsidRPr="005B1EB5">
        <w:rPr>
          <w:rFonts w:cstheme="minorHAnsi"/>
          <w:lang w:val="en-US"/>
        </w:rPr>
        <w:t xml:space="preserve">; </w:t>
      </w:r>
      <w:r w:rsidRPr="005B1EB5">
        <w:rPr>
          <w:rFonts w:cstheme="minorHAnsi"/>
          <w:kern w:val="0"/>
          <w:lang w:val="en-US"/>
        </w:rPr>
        <w:t>however</w:t>
      </w:r>
      <w:r w:rsidR="003C6F59" w:rsidRPr="005B1EB5">
        <w:rPr>
          <w:rFonts w:cstheme="minorHAnsi"/>
          <w:lang w:val="en-US"/>
        </w:rPr>
        <w:t>,</w:t>
      </w:r>
      <w:r w:rsidRPr="005B1EB5">
        <w:rPr>
          <w:rFonts w:cstheme="minorHAnsi"/>
          <w:kern w:val="0"/>
          <w:lang w:val="en-US"/>
        </w:rPr>
        <w:t xml:space="preserve"> dosage was not easy to measure and sometimes the amount a person took overwhelmed the body. </w:t>
      </w:r>
    </w:p>
    <w:p w14:paraId="61A33AD1" w14:textId="18F3B68A" w:rsidR="00C24202" w:rsidRPr="005B1EB5" w:rsidRDefault="00C24202" w:rsidP="00464FC6">
      <w:pPr>
        <w:spacing w:after="120"/>
        <w:jc w:val="both"/>
      </w:pPr>
      <w:r w:rsidRPr="4B6D560E">
        <w:rPr>
          <w:kern w:val="0"/>
          <w:lang w:val="en-US"/>
        </w:rPr>
        <w:t>Today, dosage is still hard to measure, but the contents of drugs are far more unpredictable and varied - often with more potent and unknown adulterants, substitutes, or contaminants</w:t>
      </w:r>
      <w:r w:rsidR="00586FB5" w:rsidRPr="4B6D560E">
        <w:rPr>
          <w:kern w:val="0"/>
          <w:lang w:val="en-US"/>
        </w:rPr>
        <w:t>.</w:t>
      </w:r>
      <w:r w:rsidRPr="4B6D560E">
        <w:rPr>
          <w:kern w:val="0"/>
          <w:lang w:val="en-US"/>
        </w:rPr>
        <w:t xml:space="preserve"> </w:t>
      </w:r>
      <w:r w:rsidR="00586FB5" w:rsidRPr="4B6D560E">
        <w:rPr>
          <w:kern w:val="0"/>
          <w:lang w:val="en-US"/>
        </w:rPr>
        <w:t xml:space="preserve">This is why </w:t>
      </w:r>
      <w:r w:rsidRPr="4B6D560E">
        <w:rPr>
          <w:kern w:val="0"/>
          <w:lang w:val="en-US"/>
        </w:rPr>
        <w:t>the terms “contaminated</w:t>
      </w:r>
      <w:r w:rsidR="00586FB5" w:rsidRPr="4B6D560E">
        <w:rPr>
          <w:kern w:val="0"/>
          <w:lang w:val="en-US"/>
        </w:rPr>
        <w:t>,</w:t>
      </w:r>
      <w:r w:rsidRPr="4B6D560E">
        <w:rPr>
          <w:kern w:val="0"/>
          <w:lang w:val="en-US"/>
        </w:rPr>
        <w:t>” “tainted</w:t>
      </w:r>
      <w:r w:rsidR="00586FB5" w:rsidRPr="4B6D560E">
        <w:rPr>
          <w:kern w:val="0"/>
          <w:lang w:val="en-US"/>
        </w:rPr>
        <w:t>,</w:t>
      </w:r>
      <w:r w:rsidRPr="4B6D560E">
        <w:rPr>
          <w:kern w:val="0"/>
          <w:lang w:val="en-US"/>
        </w:rPr>
        <w:t>” “poisoned</w:t>
      </w:r>
      <w:r w:rsidR="00586FB5" w:rsidRPr="4B6D560E">
        <w:rPr>
          <w:kern w:val="0"/>
          <w:lang w:val="en-US"/>
        </w:rPr>
        <w:t>,</w:t>
      </w:r>
      <w:r w:rsidRPr="4B6D560E">
        <w:rPr>
          <w:kern w:val="0"/>
          <w:lang w:val="en-US"/>
        </w:rPr>
        <w:t xml:space="preserve">” </w:t>
      </w:r>
      <w:r w:rsidR="00586FB5" w:rsidRPr="4B6D560E">
        <w:rPr>
          <w:kern w:val="0"/>
          <w:lang w:val="en-US"/>
        </w:rPr>
        <w:t xml:space="preserve">and </w:t>
      </w:r>
      <w:r w:rsidRPr="4B6D560E">
        <w:rPr>
          <w:kern w:val="0"/>
          <w:lang w:val="en-US"/>
        </w:rPr>
        <w:t>“toxic”</w:t>
      </w:r>
      <w:r w:rsidR="00586FB5" w:rsidRPr="4B6D560E">
        <w:rPr>
          <w:kern w:val="0"/>
          <w:lang w:val="en-US"/>
        </w:rPr>
        <w:t xml:space="preserve"> are used more frequently. </w:t>
      </w:r>
      <w:r w:rsidR="00CC30FF" w:rsidRPr="4B6D560E">
        <w:rPr>
          <w:kern w:val="0"/>
          <w:lang w:val="en-US"/>
        </w:rPr>
        <w:t>The issue is less that someone has knowingly taken a higher dose (“overdose”) and more likely that they</w:t>
      </w:r>
      <w:r w:rsidRPr="4B6D560E">
        <w:rPr>
          <w:kern w:val="0"/>
          <w:lang w:val="en-US"/>
        </w:rPr>
        <w:t xml:space="preserve"> </w:t>
      </w:r>
      <w:r w:rsidR="00CC30FF" w:rsidRPr="4B6D560E">
        <w:rPr>
          <w:kern w:val="0"/>
          <w:lang w:val="en-US"/>
        </w:rPr>
        <w:t xml:space="preserve">believe they </w:t>
      </w:r>
      <w:r w:rsidRPr="4B6D560E">
        <w:rPr>
          <w:kern w:val="0"/>
          <w:lang w:val="en-US"/>
        </w:rPr>
        <w:t xml:space="preserve">are purchasing a specific drug </w:t>
      </w:r>
      <w:r w:rsidR="00CC30FF" w:rsidRPr="4B6D560E">
        <w:rPr>
          <w:kern w:val="0"/>
          <w:lang w:val="en-US"/>
        </w:rPr>
        <w:t xml:space="preserve">with specific dosing, </w:t>
      </w:r>
      <w:r w:rsidRPr="4B6D560E">
        <w:rPr>
          <w:kern w:val="0"/>
          <w:lang w:val="en-US"/>
        </w:rPr>
        <w:t>but are often unknowingly consuming other substances that cause significant unintended negative effects.</w:t>
      </w:r>
    </w:p>
    <w:p w14:paraId="00128966" w14:textId="058010E2" w:rsidR="00975312" w:rsidRDefault="00975312" w:rsidP="4B6D560E">
      <w:pPr>
        <w:spacing w:after="160" w:line="259" w:lineRule="auto"/>
        <w:rPr>
          <w:rFonts w:ascii="Open Sans" w:eastAsia="Times New Roman" w:hAnsi="Open Sans" w:cs="Open Sans"/>
          <w:b/>
          <w:color w:val="C00000"/>
          <w:sz w:val="22"/>
          <w:szCs w:val="22"/>
        </w:rPr>
      </w:pPr>
    </w:p>
    <w:sectPr w:rsidR="00975312" w:rsidSect="00F25B03">
      <w:footerReference w:type="even" r:id="rId131"/>
      <w:footerReference w:type="default" r:id="rId132"/>
      <w:footnotePr>
        <w:numFmt w:val="chicago"/>
      </w:footnotePr>
      <w:endnotePr>
        <w:numFmt w:val="decimal"/>
      </w:endnotePr>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F121D" w14:textId="77777777" w:rsidR="00660CDF" w:rsidRDefault="00660CDF" w:rsidP="00A710C9">
      <w:r>
        <w:separator/>
      </w:r>
    </w:p>
  </w:endnote>
  <w:endnote w:type="continuationSeparator" w:id="0">
    <w:p w14:paraId="75D65A18" w14:textId="77777777" w:rsidR="00660CDF" w:rsidRDefault="00660CDF" w:rsidP="00A710C9">
      <w:r>
        <w:continuationSeparator/>
      </w:r>
    </w:p>
  </w:endnote>
  <w:endnote w:type="continuationNotice" w:id="1">
    <w:p w14:paraId="51527F3E" w14:textId="77777777" w:rsidR="00660CDF" w:rsidRDefault="00660CDF"/>
  </w:endnote>
  <w:endnote w:id="2">
    <w:p w14:paraId="0A65D8A6" w14:textId="7AE4C06D" w:rsidR="00BE26A1" w:rsidRPr="005B1EB5" w:rsidRDefault="00BE26A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 w:history="1">
        <w:r w:rsidR="00D23201" w:rsidRPr="005B1EB5">
          <w:rPr>
            <w:rStyle w:val="Hyperlink"/>
            <w:rFonts w:asciiTheme="minorHAnsi" w:hAnsiTheme="minorHAnsi" w:cstheme="minorHAnsi"/>
            <w:sz w:val="18"/>
            <w:szCs w:val="18"/>
            <w:lang w:val="en-CA"/>
          </w:rPr>
          <w:t>drugpolicy.ca</w:t>
        </w:r>
      </w:hyperlink>
      <w:r w:rsidR="00D23201" w:rsidRPr="005B1EB5">
        <w:rPr>
          <w:rFonts w:asciiTheme="minorHAnsi" w:hAnsiTheme="minorHAnsi" w:cstheme="minorHAnsi"/>
          <w:sz w:val="18"/>
          <w:szCs w:val="18"/>
          <w:lang w:val="en-CA"/>
        </w:rPr>
        <w:t xml:space="preserve"> </w:t>
      </w:r>
    </w:p>
  </w:endnote>
  <w:endnote w:id="3">
    <w:p w14:paraId="251A2D01" w14:textId="4C17DB0E" w:rsidR="00EA7F51" w:rsidRPr="005B1EB5" w:rsidRDefault="00EA7F5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2" w:history="1">
        <w:r w:rsidRPr="005B1EB5">
          <w:rPr>
            <w:rStyle w:val="Hyperlink"/>
            <w:rFonts w:asciiTheme="minorHAnsi" w:hAnsiTheme="minorHAnsi" w:cstheme="minorHAnsi"/>
            <w:sz w:val="18"/>
            <w:szCs w:val="18"/>
          </w:rPr>
          <w:t>www.hivlegalnetwork.ca/index.htm</w:t>
        </w:r>
      </w:hyperlink>
      <w:r w:rsidRPr="005B1EB5">
        <w:rPr>
          <w:rFonts w:asciiTheme="minorHAnsi" w:hAnsiTheme="minorHAnsi" w:cstheme="minorHAnsi"/>
          <w:sz w:val="18"/>
          <w:szCs w:val="18"/>
        </w:rPr>
        <w:t xml:space="preserve"> </w:t>
      </w:r>
    </w:p>
  </w:endnote>
  <w:endnote w:id="4">
    <w:p w14:paraId="05207BEB" w14:textId="4A3B81DA" w:rsidR="00767C6F" w:rsidRPr="005B1EB5" w:rsidRDefault="00767C6F">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 w:history="1">
        <w:r w:rsidRPr="005B1EB5">
          <w:rPr>
            <w:rStyle w:val="Hyperlink"/>
            <w:rFonts w:asciiTheme="minorHAnsi" w:hAnsiTheme="minorHAnsi" w:cstheme="minorHAnsi"/>
            <w:sz w:val="18"/>
            <w:szCs w:val="18"/>
          </w:rPr>
          <w:t>trackinginjustice.ca</w:t>
        </w:r>
      </w:hyperlink>
      <w:r w:rsidRPr="005B1EB5">
        <w:rPr>
          <w:rFonts w:asciiTheme="minorHAnsi" w:hAnsiTheme="minorHAnsi" w:cstheme="minorHAnsi"/>
          <w:sz w:val="18"/>
          <w:szCs w:val="18"/>
        </w:rPr>
        <w:t xml:space="preserve"> </w:t>
      </w:r>
    </w:p>
  </w:endnote>
  <w:endnote w:id="5">
    <w:p w14:paraId="60ED0901" w14:textId="67F152E6" w:rsidR="009B1776" w:rsidRPr="005B1EB5" w:rsidRDefault="009B177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4" w:history="1">
        <w:r w:rsidRPr="005B1EB5">
          <w:rPr>
            <w:rStyle w:val="Hyperlink"/>
            <w:rFonts w:asciiTheme="minorHAnsi" w:hAnsiTheme="minorHAnsi" w:cstheme="minorHAnsi"/>
            <w:sz w:val="18"/>
            <w:szCs w:val="18"/>
          </w:rPr>
          <w:t>amnesty.ca</w:t>
        </w:r>
      </w:hyperlink>
      <w:r w:rsidRPr="005B1EB5">
        <w:rPr>
          <w:rFonts w:asciiTheme="minorHAnsi" w:hAnsiTheme="minorHAnsi" w:cstheme="minorHAnsi"/>
          <w:sz w:val="18"/>
          <w:szCs w:val="18"/>
        </w:rPr>
        <w:t xml:space="preserve"> </w:t>
      </w:r>
    </w:p>
  </w:endnote>
  <w:endnote w:id="6">
    <w:p w14:paraId="41FE2CB6" w14:textId="30061F11" w:rsidR="00B27B05" w:rsidRPr="005B1EB5" w:rsidRDefault="00B27B0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 w:history="1">
        <w:r w:rsidRPr="005B1EB5">
          <w:rPr>
            <w:rStyle w:val="Hyperlink"/>
            <w:rFonts w:asciiTheme="minorHAnsi" w:hAnsiTheme="minorHAnsi" w:cstheme="minorHAnsi"/>
            <w:sz w:val="18"/>
            <w:szCs w:val="18"/>
          </w:rPr>
          <w:t>housingrights.ca/wp-content/uploads/Canada_ICCPR_Session145_CivilSocietySubmission_NRHN-WNHHN-CCHR_March2026_pdf.pdf</w:t>
        </w:r>
      </w:hyperlink>
      <w:r w:rsidRPr="005B1EB5">
        <w:rPr>
          <w:rFonts w:asciiTheme="minorHAnsi" w:hAnsiTheme="minorHAnsi" w:cstheme="minorHAnsi"/>
          <w:sz w:val="18"/>
          <w:szCs w:val="18"/>
        </w:rPr>
        <w:t xml:space="preserve"> </w:t>
      </w:r>
    </w:p>
  </w:endnote>
  <w:endnote w:id="7">
    <w:p w14:paraId="7E6929AE" w14:textId="75E29D06" w:rsidR="00060406" w:rsidRPr="005B1EB5" w:rsidRDefault="00060406" w:rsidP="0006040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 w:history="1">
        <w:r w:rsidRPr="005B1EB5">
          <w:rPr>
            <w:rStyle w:val="Hyperlink"/>
            <w:rFonts w:asciiTheme="minorHAnsi" w:hAnsiTheme="minorHAnsi" w:cstheme="minorHAnsi"/>
            <w:sz w:val="18"/>
            <w:szCs w:val="18"/>
          </w:rPr>
          <w:t>health-infobase.canada.ca/substance-related-harms/opioids-stimulants/</w:t>
        </w:r>
      </w:hyperlink>
      <w:r w:rsidRPr="005B1EB5">
        <w:rPr>
          <w:rFonts w:asciiTheme="minorHAnsi" w:hAnsiTheme="minorHAnsi" w:cstheme="minorHAnsi"/>
          <w:sz w:val="18"/>
          <w:szCs w:val="18"/>
        </w:rPr>
        <w:t xml:space="preserve"> </w:t>
      </w:r>
    </w:p>
  </w:endnote>
  <w:endnote w:id="8">
    <w:p w14:paraId="1F17FFD3" w14:textId="11AEE4D2" w:rsidR="002B3105" w:rsidRPr="005B1EB5" w:rsidRDefault="002B3105" w:rsidP="002B310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00752563" w:rsidRPr="005B1EB5">
        <w:rPr>
          <w:rFonts w:asciiTheme="minorHAnsi" w:hAnsiTheme="minorHAnsi" w:cstheme="minorHAnsi"/>
          <w:color w:val="094FD1"/>
          <w:sz w:val="18"/>
          <w:szCs w:val="18"/>
        </w:rPr>
        <w:t xml:space="preserve"> </w:t>
      </w:r>
      <w:r w:rsidR="007B60D2" w:rsidRPr="005B1EB5">
        <w:rPr>
          <w:rFonts w:asciiTheme="minorHAnsi" w:hAnsiTheme="minorHAnsi" w:cstheme="minorHAnsi"/>
          <w:color w:val="094FD1"/>
          <w:sz w:val="18"/>
          <w:szCs w:val="18"/>
          <w:u w:val="single" w:color="094FD1"/>
        </w:rPr>
        <w:t>www.brainstreams.ca/news/beyond-the-overdose-a-brain-injury-lens-on-addiction-and-drug-policy-in-bc/</w:t>
      </w:r>
      <w:r w:rsidR="007B60D2" w:rsidRPr="005B1EB5">
        <w:rPr>
          <w:rFonts w:asciiTheme="minorHAnsi" w:hAnsiTheme="minorHAnsi" w:cstheme="minorHAnsi"/>
          <w:sz w:val="18"/>
          <w:szCs w:val="18"/>
        </w:rPr>
        <w:t xml:space="preserve"> </w:t>
      </w:r>
    </w:p>
  </w:endnote>
  <w:endnote w:id="9">
    <w:p w14:paraId="2C1488C9" w14:textId="7D8D0681" w:rsidR="00170B13" w:rsidRPr="005B1EB5" w:rsidRDefault="00170B1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 w:anchor="fig0001" w:history="1">
        <w:r w:rsidR="00A45911" w:rsidRPr="005B1EB5">
          <w:rPr>
            <w:rStyle w:val="Hyperlink"/>
            <w:rFonts w:asciiTheme="minorHAnsi" w:hAnsiTheme="minorHAnsi" w:cstheme="minorHAnsi"/>
            <w:sz w:val="18"/>
            <w:szCs w:val="18"/>
          </w:rPr>
          <w:t>www.sciencedirect.com/science/article/pii/S0955395925003184#fig0001</w:t>
        </w:r>
      </w:hyperlink>
      <w:r w:rsidR="00A45911" w:rsidRPr="005B1EB5">
        <w:rPr>
          <w:rFonts w:asciiTheme="minorHAnsi" w:hAnsiTheme="minorHAnsi" w:cstheme="minorHAnsi"/>
          <w:sz w:val="18"/>
          <w:szCs w:val="18"/>
        </w:rPr>
        <w:t xml:space="preserve"> </w:t>
      </w:r>
    </w:p>
  </w:endnote>
  <w:endnote w:id="10">
    <w:p w14:paraId="5F5D591B" w14:textId="263F883D" w:rsidR="00C906E6" w:rsidRPr="005B1EB5" w:rsidRDefault="00C906E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 w:history="1">
        <w:r w:rsidRPr="005B1EB5">
          <w:rPr>
            <w:rFonts w:asciiTheme="minorHAnsi" w:hAnsiTheme="minorHAnsi" w:cstheme="minorHAnsi"/>
            <w:color w:val="094FD1"/>
            <w:sz w:val="18"/>
            <w:szCs w:val="18"/>
            <w:u w:val="single" w:color="094FD1"/>
          </w:rPr>
          <w:t>health-infobase.canada.ca/substance-related-harms/opioids-stimulants/graphs.html?ind=661&amp;unit=1</w:t>
        </w:r>
      </w:hyperlink>
      <w:r w:rsidRPr="005B1EB5">
        <w:rPr>
          <w:rFonts w:asciiTheme="minorHAnsi" w:hAnsiTheme="minorHAnsi" w:cstheme="minorHAnsi"/>
          <w:sz w:val="18"/>
          <w:szCs w:val="18"/>
        </w:rPr>
        <w:t xml:space="preserve"> </w:t>
      </w:r>
    </w:p>
  </w:endnote>
  <w:endnote w:id="11">
    <w:p w14:paraId="3AAC4722" w14:textId="2B553CCF" w:rsidR="00E92E09" w:rsidRPr="005B1EB5" w:rsidRDefault="00E92E09">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 w:anchor=":~:text=the%20prevalence%20of%20substance%20use%20disorders%20did%20not%20increase%20from%202012%20to%202022" w:history="1">
        <w:r w:rsidR="00865305" w:rsidRPr="005B1EB5">
          <w:rPr>
            <w:rStyle w:val="Hyperlink"/>
            <w:rFonts w:asciiTheme="minorHAnsi" w:hAnsiTheme="minorHAnsi" w:cstheme="minorHAnsi"/>
            <w:sz w:val="18"/>
            <w:szCs w:val="18"/>
          </w:rPr>
          <w:t>150.statcan.gc.ca/n1/pub/75-006-x/2023001/article/00011-eng.htm</w:t>
        </w:r>
      </w:hyperlink>
      <w:r w:rsidR="00865305" w:rsidRPr="005B1EB5">
        <w:rPr>
          <w:rFonts w:asciiTheme="minorHAnsi" w:hAnsiTheme="minorHAnsi" w:cstheme="minorHAnsi"/>
          <w:sz w:val="18"/>
          <w:szCs w:val="18"/>
        </w:rPr>
        <w:t xml:space="preserve"> </w:t>
      </w:r>
    </w:p>
  </w:endnote>
  <w:endnote w:id="12">
    <w:p w14:paraId="772C2022" w14:textId="6E5A4BEC" w:rsidR="002E5F1D" w:rsidRPr="005B1EB5" w:rsidRDefault="002E5F1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 w:history="1">
        <w:r w:rsidRPr="005B1EB5">
          <w:rPr>
            <w:rStyle w:val="Hyperlink"/>
            <w:rFonts w:asciiTheme="minorHAnsi" w:hAnsiTheme="minorHAnsi" w:cstheme="minorHAnsi"/>
            <w:sz w:val="18"/>
            <w:szCs w:val="18"/>
          </w:rPr>
          <w:t>www.catie.ca/prevention-in-focus/what-makes-canadas-illegal-drug-supply-dangerous</w:t>
        </w:r>
      </w:hyperlink>
      <w:r w:rsidRPr="005B1EB5">
        <w:rPr>
          <w:rFonts w:asciiTheme="minorHAnsi" w:hAnsiTheme="minorHAnsi" w:cstheme="minorHAnsi"/>
          <w:sz w:val="18"/>
          <w:szCs w:val="18"/>
        </w:rPr>
        <w:t xml:space="preserve"> </w:t>
      </w:r>
    </w:p>
  </w:endnote>
  <w:endnote w:id="13">
    <w:p w14:paraId="7CD50160" w14:textId="191F8CAE" w:rsidR="00882CB7" w:rsidRPr="005B1EB5" w:rsidRDefault="00882CB7">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 w:anchor="drug" w:history="1">
        <w:r w:rsidR="002E5F1D" w:rsidRPr="005B1EB5">
          <w:rPr>
            <w:rStyle w:val="Hyperlink"/>
            <w:rFonts w:asciiTheme="minorHAnsi" w:hAnsiTheme="minorHAnsi" w:cstheme="minorHAnsi"/>
            <w:sz w:val="18"/>
            <w:szCs w:val="18"/>
          </w:rPr>
          <w:t>www.canada.ca/en/health-canada/services/health-concerns/controlled-substances-precursor-chemicals/drug-analysis-service.html#drug</w:t>
        </w:r>
      </w:hyperlink>
      <w:r w:rsidR="002E5F1D" w:rsidRPr="005B1EB5">
        <w:rPr>
          <w:rFonts w:asciiTheme="minorHAnsi" w:hAnsiTheme="minorHAnsi" w:cstheme="minorHAnsi"/>
          <w:sz w:val="18"/>
          <w:szCs w:val="18"/>
        </w:rPr>
        <w:t xml:space="preserve"> </w:t>
      </w:r>
    </w:p>
  </w:endnote>
  <w:endnote w:id="14">
    <w:p w14:paraId="3E6FA53C" w14:textId="6A64B0EC" w:rsidR="00955F88" w:rsidRPr="005B1EB5" w:rsidRDefault="00955F88">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 w:history="1">
        <w:r w:rsidRPr="005B1EB5">
          <w:rPr>
            <w:rStyle w:val="Hyperlink"/>
            <w:rFonts w:asciiTheme="minorHAnsi" w:hAnsiTheme="minorHAnsi" w:cstheme="minorHAnsi"/>
            <w:sz w:val="18"/>
            <w:szCs w:val="18"/>
          </w:rPr>
          <w:t>www.ccsa.ca/sites/default/files/2020-04/CCSA-CCENDU-Adulterants-Contaminants-Co-occurring-Substances-in-Drugs-Canada-Report-2020-en.pdf</w:t>
        </w:r>
      </w:hyperlink>
      <w:r w:rsidRPr="005B1EB5">
        <w:rPr>
          <w:rFonts w:asciiTheme="minorHAnsi" w:hAnsiTheme="minorHAnsi" w:cstheme="minorHAnsi"/>
          <w:sz w:val="18"/>
          <w:szCs w:val="18"/>
        </w:rPr>
        <w:t xml:space="preserve"> </w:t>
      </w:r>
    </w:p>
  </w:endnote>
  <w:endnote w:id="15">
    <w:p w14:paraId="0571DAB0" w14:textId="33E4330A" w:rsidR="0048188C" w:rsidRPr="005B1EB5" w:rsidRDefault="0048188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3" w:history="1">
        <w:r w:rsidRPr="005B1EB5">
          <w:rPr>
            <w:rStyle w:val="Hyperlink"/>
            <w:rFonts w:asciiTheme="minorHAnsi" w:hAnsiTheme="minorHAnsi" w:cstheme="minorHAnsi"/>
            <w:sz w:val="18"/>
            <w:szCs w:val="18"/>
          </w:rPr>
          <w:t>drugpolicy.ca/about/publication/submission-to-health-canada-on-a-proposal-to-control-the-derivatives-and-analogues-of-4-piperidone-and-its-salts-under-the-controlled-drugs-and-substances-act/</w:t>
        </w:r>
      </w:hyperlink>
      <w:r w:rsidRPr="005B1EB5">
        <w:rPr>
          <w:rFonts w:asciiTheme="minorHAnsi" w:hAnsiTheme="minorHAnsi" w:cstheme="minorHAnsi"/>
          <w:sz w:val="18"/>
          <w:szCs w:val="18"/>
        </w:rPr>
        <w:t xml:space="preserve"> </w:t>
      </w:r>
    </w:p>
  </w:endnote>
  <w:endnote w:id="16">
    <w:p w14:paraId="313D5CB4" w14:textId="5486D049" w:rsidR="003C60F9" w:rsidRPr="005B1EB5" w:rsidRDefault="003C60F9">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4" w:history="1">
        <w:r w:rsidR="00A23AD0" w:rsidRPr="005B1EB5">
          <w:rPr>
            <w:rStyle w:val="Hyperlink"/>
            <w:rFonts w:asciiTheme="minorHAnsi" w:hAnsiTheme="minorHAnsi" w:cstheme="minorHAnsi"/>
            <w:sz w:val="18"/>
            <w:szCs w:val="18"/>
          </w:rPr>
          <w:t>www.ccsa.ca/sites/default/files/2025-01/CCENDU-Newsletter-Issue-3-en.pdf</w:t>
        </w:r>
      </w:hyperlink>
      <w:r w:rsidRPr="005B1EB5">
        <w:rPr>
          <w:rFonts w:asciiTheme="minorHAnsi" w:hAnsiTheme="minorHAnsi" w:cstheme="minorHAnsi"/>
          <w:sz w:val="18"/>
          <w:szCs w:val="18"/>
        </w:rPr>
        <w:t xml:space="preserve"> </w:t>
      </w:r>
    </w:p>
  </w:endnote>
  <w:endnote w:id="17">
    <w:p w14:paraId="16C73B50" w14:textId="52F16F90" w:rsidR="00590A0A" w:rsidRPr="005B1EB5" w:rsidRDefault="00590A0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5" w:history="1">
        <w:r w:rsidRPr="005B1EB5">
          <w:rPr>
            <w:rStyle w:val="Hyperlink"/>
            <w:rFonts w:asciiTheme="minorHAnsi" w:hAnsiTheme="minorHAnsi" w:cstheme="minorHAnsi"/>
            <w:sz w:val="18"/>
            <w:szCs w:val="18"/>
          </w:rPr>
          <w:t>www.canada.ca/en/health-canada/services/publications/healthy-living/emergence-nitazenes-brorphine-canada-2019.html</w:t>
        </w:r>
      </w:hyperlink>
      <w:r w:rsidRPr="005B1EB5">
        <w:rPr>
          <w:rFonts w:asciiTheme="minorHAnsi" w:hAnsiTheme="minorHAnsi" w:cstheme="minorHAnsi"/>
          <w:sz w:val="18"/>
          <w:szCs w:val="18"/>
        </w:rPr>
        <w:t xml:space="preserve"> </w:t>
      </w:r>
    </w:p>
  </w:endnote>
  <w:endnote w:id="18">
    <w:p w14:paraId="4D17CCBE" w14:textId="1351C87F" w:rsidR="00373844" w:rsidRPr="005B1EB5" w:rsidRDefault="00373844">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6" w:history="1">
        <w:r w:rsidRPr="005B1EB5">
          <w:rPr>
            <w:rStyle w:val="Hyperlink"/>
            <w:rFonts w:asciiTheme="minorHAnsi" w:hAnsiTheme="minorHAnsi" w:cstheme="minorHAnsi"/>
            <w:sz w:val="18"/>
            <w:szCs w:val="18"/>
          </w:rPr>
          <w:t>www.ccsa.ca/sites/default/files/2024-11/CCENDU-Newsletter-Issue-2-en.pdf</w:t>
        </w:r>
      </w:hyperlink>
      <w:r w:rsidRPr="005B1EB5">
        <w:rPr>
          <w:rFonts w:asciiTheme="minorHAnsi" w:hAnsiTheme="minorHAnsi" w:cstheme="minorHAnsi"/>
          <w:sz w:val="18"/>
          <w:szCs w:val="18"/>
        </w:rPr>
        <w:t xml:space="preserve"> </w:t>
      </w:r>
    </w:p>
  </w:endnote>
  <w:endnote w:id="19">
    <w:p w14:paraId="179DBE0D" w14:textId="646E440C" w:rsidR="00490BB9" w:rsidRPr="005B1EB5" w:rsidRDefault="00490BB9">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7" w:history="1">
        <w:r w:rsidR="00D8130F" w:rsidRPr="005B1EB5">
          <w:rPr>
            <w:rStyle w:val="Hyperlink"/>
            <w:rFonts w:asciiTheme="minorHAnsi" w:hAnsiTheme="minorHAnsi" w:cstheme="minorHAnsi"/>
            <w:sz w:val="18"/>
            <w:szCs w:val="18"/>
          </w:rPr>
          <w:t>www.sciencedirect.com/science/article/pii/S0955395924003153</w:t>
        </w:r>
      </w:hyperlink>
      <w:r w:rsidR="00BF3648" w:rsidRPr="005B1EB5">
        <w:rPr>
          <w:rFonts w:asciiTheme="minorHAnsi" w:hAnsiTheme="minorHAnsi" w:cstheme="minorHAnsi"/>
          <w:sz w:val="18"/>
          <w:szCs w:val="18"/>
        </w:rPr>
        <w:t xml:space="preserve"> </w:t>
      </w:r>
    </w:p>
  </w:endnote>
  <w:endnote w:id="20">
    <w:p w14:paraId="5E784084" w14:textId="763146E1" w:rsidR="00655E64" w:rsidRPr="005B1EB5" w:rsidRDefault="00655E64">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8" w:history="1">
        <w:r w:rsidR="00D8130F" w:rsidRPr="005B1EB5">
          <w:rPr>
            <w:rStyle w:val="Hyperlink"/>
            <w:rFonts w:asciiTheme="minorHAnsi" w:hAnsiTheme="minorHAnsi" w:cstheme="minorHAnsi"/>
            <w:sz w:val="18"/>
            <w:szCs w:val="18"/>
          </w:rPr>
          <w:t>pmc.ncbi.nlm.nih.gov/articles/PMC6291395/</w:t>
        </w:r>
      </w:hyperlink>
      <w:r w:rsidR="007C178A" w:rsidRPr="005B1EB5">
        <w:rPr>
          <w:rFonts w:asciiTheme="minorHAnsi" w:hAnsiTheme="minorHAnsi" w:cstheme="minorHAnsi"/>
          <w:sz w:val="18"/>
          <w:szCs w:val="18"/>
        </w:rPr>
        <w:t xml:space="preserve"> </w:t>
      </w:r>
    </w:p>
  </w:endnote>
  <w:endnote w:id="21">
    <w:p w14:paraId="4CC2CD33" w14:textId="2BA14C68" w:rsidR="005431B8" w:rsidRPr="005B1EB5" w:rsidRDefault="005431B8">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9" w:history="1">
        <w:r w:rsidRPr="005B1EB5">
          <w:rPr>
            <w:rStyle w:val="Hyperlink"/>
            <w:rFonts w:asciiTheme="minorHAnsi" w:hAnsiTheme="minorHAnsi" w:cstheme="minorHAnsi"/>
            <w:sz w:val="18"/>
            <w:szCs w:val="18"/>
          </w:rPr>
          <w:t>publications.gc.ca/collections/collection_2024/jus/J4-162-2024-eng.pdf</w:t>
        </w:r>
      </w:hyperlink>
      <w:r w:rsidRPr="005B1EB5">
        <w:rPr>
          <w:rFonts w:asciiTheme="minorHAnsi" w:hAnsiTheme="minorHAnsi" w:cstheme="minorHAnsi"/>
          <w:sz w:val="18"/>
          <w:szCs w:val="18"/>
        </w:rPr>
        <w:t xml:space="preserve"> </w:t>
      </w:r>
    </w:p>
  </w:endnote>
  <w:endnote w:id="22">
    <w:p w14:paraId="16379F89" w14:textId="65FD0ADE" w:rsidR="00A4094C" w:rsidRPr="005B1EB5" w:rsidRDefault="00A4094C" w:rsidP="00A409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heme="minorHAnsi"/>
          <w:kern w:val="0"/>
          <w:sz w:val="18"/>
          <w:szCs w:val="18"/>
          <w:lang w:val="en-US"/>
          <w14:ligatures w14:val="none"/>
        </w:rPr>
      </w:pPr>
      <w:r w:rsidRPr="005B1EB5">
        <w:rPr>
          <w:rStyle w:val="EndnoteReference"/>
          <w:rFonts w:cstheme="minorHAnsi"/>
          <w:sz w:val="18"/>
          <w:szCs w:val="18"/>
        </w:rPr>
        <w:endnoteRef/>
      </w:r>
      <w:r w:rsidRPr="005B1EB5">
        <w:rPr>
          <w:rFonts w:cstheme="minorHAnsi"/>
          <w:sz w:val="18"/>
          <w:szCs w:val="18"/>
        </w:rPr>
        <w:t xml:space="preserve"> </w:t>
      </w:r>
      <w:hyperlink r:id="rId20" w:history="1">
        <w:r w:rsidRPr="005B1EB5">
          <w:rPr>
            <w:rFonts w:cstheme="minorHAnsi"/>
            <w:color w:val="094FD1"/>
            <w:kern w:val="0"/>
            <w:sz w:val="18"/>
            <w:szCs w:val="18"/>
            <w:u w:val="single" w:color="094FD1"/>
            <w:lang w:val="en-US"/>
            <w14:ligatures w14:val="none"/>
          </w:rPr>
          <w:t>drugpolicy.ca/resources/guides/racism/</w:t>
        </w:r>
      </w:hyperlink>
      <w:r w:rsidRPr="005B1EB5">
        <w:rPr>
          <w:rFonts w:cstheme="minorHAnsi"/>
          <w:kern w:val="0"/>
          <w:sz w:val="18"/>
          <w:szCs w:val="18"/>
          <w:lang w:val="en-US"/>
          <w14:ligatures w14:val="none"/>
        </w:rPr>
        <w:t xml:space="preserve"> </w:t>
      </w:r>
    </w:p>
  </w:endnote>
  <w:endnote w:id="23">
    <w:p w14:paraId="0A422AAB" w14:textId="3796E5BA" w:rsidR="00004706" w:rsidRPr="005B1EB5" w:rsidRDefault="0000470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21" w:history="1">
        <w:r w:rsidRPr="005B1EB5">
          <w:rPr>
            <w:rStyle w:val="Hyperlink"/>
            <w:rFonts w:asciiTheme="minorHAnsi" w:hAnsiTheme="minorHAnsi" w:cstheme="minorHAnsi"/>
            <w:sz w:val="18"/>
            <w:szCs w:val="18"/>
          </w:rPr>
          <w:t>www.sciencedirect.com/science/article/abs/pii/S095539591830269X</w:t>
        </w:r>
      </w:hyperlink>
      <w:r w:rsidRPr="005B1EB5">
        <w:rPr>
          <w:rFonts w:asciiTheme="minorHAnsi" w:hAnsiTheme="minorHAnsi" w:cstheme="minorHAnsi"/>
          <w:sz w:val="18"/>
          <w:szCs w:val="18"/>
        </w:rPr>
        <w:t xml:space="preserve"> </w:t>
      </w:r>
    </w:p>
  </w:endnote>
  <w:endnote w:id="24">
    <w:p w14:paraId="4055C014" w14:textId="32F7ECCF" w:rsidR="00E72585" w:rsidRPr="005B1EB5" w:rsidRDefault="00E7258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22" w:history="1">
        <w:r w:rsidRPr="005B1EB5">
          <w:rPr>
            <w:rStyle w:val="Hyperlink"/>
            <w:rFonts w:asciiTheme="minorHAnsi" w:hAnsiTheme="minorHAnsi" w:cstheme="minorHAnsi"/>
            <w:sz w:val="18"/>
            <w:szCs w:val="18"/>
          </w:rPr>
          <w:t>www.liverpooluniversitypress.co.uk/doi/abs/10.3828/jlcds.2024.6</w:t>
        </w:r>
      </w:hyperlink>
      <w:r w:rsidRPr="005B1EB5">
        <w:rPr>
          <w:rFonts w:asciiTheme="minorHAnsi" w:hAnsiTheme="minorHAnsi" w:cstheme="minorHAnsi"/>
          <w:sz w:val="18"/>
          <w:szCs w:val="18"/>
        </w:rPr>
        <w:t xml:space="preserve"> </w:t>
      </w:r>
    </w:p>
  </w:endnote>
  <w:endnote w:id="25">
    <w:p w14:paraId="5CAEF539" w14:textId="6C448BAD" w:rsidR="00DE5B41" w:rsidRPr="005B1EB5" w:rsidRDefault="00DE5B4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23" w:history="1">
        <w:r w:rsidRPr="005B1EB5">
          <w:rPr>
            <w:rFonts w:asciiTheme="minorHAnsi" w:hAnsiTheme="minorHAnsi" w:cstheme="minorHAnsi"/>
            <w:color w:val="094FD1"/>
            <w:sz w:val="18"/>
            <w:szCs w:val="18"/>
            <w:u w:val="single" w:color="094FD1"/>
          </w:rPr>
          <w:t>drugpolicy.ca/about/publication/submission-to-the-united-nations-office-of-the-high-commissioner-on-human-rights-study-on-the-decriminalization-of-homelessness-and-extreme-poverty/</w:t>
        </w:r>
      </w:hyperlink>
      <w:r w:rsidRPr="005B1EB5">
        <w:rPr>
          <w:rFonts w:asciiTheme="minorHAnsi" w:hAnsiTheme="minorHAnsi" w:cstheme="minorHAnsi"/>
          <w:sz w:val="18"/>
          <w:szCs w:val="18"/>
        </w:rPr>
        <w:t xml:space="preserve"> </w:t>
      </w:r>
    </w:p>
  </w:endnote>
  <w:endnote w:id="26">
    <w:p w14:paraId="766CC659" w14:textId="77777777" w:rsidR="00B608C1" w:rsidRPr="005B1EB5" w:rsidRDefault="00B608C1" w:rsidP="00B608C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r w:rsidRPr="005B1EB5">
        <w:rPr>
          <w:rStyle w:val="normaltextrun"/>
          <w:rFonts w:asciiTheme="minorHAnsi" w:hAnsiTheme="minorHAnsi" w:cstheme="minorHAnsi"/>
          <w:color w:val="212529"/>
          <w:sz w:val="18"/>
          <w:szCs w:val="18"/>
          <w:shd w:val="clear" w:color="auto" w:fill="F9FAFB"/>
        </w:rPr>
        <w:t>For example: </w:t>
      </w:r>
      <w:hyperlink r:id="rId24" w:tgtFrame="_blank" w:history="1">
        <w:r w:rsidRPr="005B1EB5">
          <w:rPr>
            <w:rStyle w:val="normaltextrun"/>
            <w:rFonts w:asciiTheme="minorHAnsi" w:hAnsiTheme="minorHAnsi" w:cstheme="minorHAnsi"/>
            <w:i/>
            <w:iCs/>
            <w:color w:val="0563C1"/>
            <w:sz w:val="18"/>
            <w:szCs w:val="18"/>
            <w:u w:val="single"/>
            <w:shd w:val="clear" w:color="auto" w:fill="F9FAFB"/>
          </w:rPr>
          <w:t>R. v. Wilson</w:t>
        </w:r>
      </w:hyperlink>
      <w:r w:rsidRPr="005B1EB5">
        <w:rPr>
          <w:rStyle w:val="normaltextrun"/>
          <w:rFonts w:asciiTheme="minorHAnsi" w:hAnsiTheme="minorHAnsi" w:cstheme="minorHAnsi"/>
          <w:color w:val="212529"/>
          <w:sz w:val="18"/>
          <w:szCs w:val="18"/>
          <w:shd w:val="clear" w:color="auto" w:fill="F9FAFB"/>
        </w:rPr>
        <w:t>, 2025 SCC 32 – Canada’s highest court finds arresting people who call for medical help at the scene of an overdose to be unconstitutional because it increases the risk of death and injury; </w:t>
      </w:r>
      <w:hyperlink r:id="rId25" w:tgtFrame="_blank" w:history="1">
        <w:r w:rsidRPr="005B1EB5">
          <w:rPr>
            <w:rStyle w:val="normaltextrun"/>
            <w:rFonts w:asciiTheme="minorHAnsi" w:hAnsiTheme="minorHAnsi" w:cstheme="minorHAnsi"/>
            <w:i/>
            <w:iCs/>
            <w:color w:val="0563C1"/>
            <w:sz w:val="18"/>
            <w:szCs w:val="18"/>
            <w:u w:val="single"/>
            <w:shd w:val="clear" w:color="auto" w:fill="F9FAFB"/>
          </w:rPr>
          <w:t>Black v Alberta</w:t>
        </w:r>
      </w:hyperlink>
      <w:r w:rsidRPr="005B1EB5">
        <w:rPr>
          <w:rStyle w:val="normaltextrun"/>
          <w:rFonts w:asciiTheme="minorHAnsi" w:hAnsiTheme="minorHAnsi" w:cstheme="minorHAnsi"/>
          <w:color w:val="212529"/>
          <w:sz w:val="18"/>
          <w:szCs w:val="18"/>
          <w:shd w:val="clear" w:color="auto" w:fill="F9FAFB"/>
        </w:rPr>
        <w:t>, 2023 ABKB 123 – Alberta ordered to continue allowing a client and her prescriber to access substances through a safer supply program; </w:t>
      </w:r>
      <w:hyperlink r:id="rId26" w:tgtFrame="_blank" w:history="1">
        <w:r w:rsidRPr="005B1EB5">
          <w:rPr>
            <w:rStyle w:val="normaltextrun"/>
            <w:rFonts w:asciiTheme="minorHAnsi" w:hAnsiTheme="minorHAnsi" w:cstheme="minorHAnsi"/>
            <w:i/>
            <w:iCs/>
            <w:color w:val="0563C1"/>
            <w:sz w:val="18"/>
            <w:szCs w:val="18"/>
            <w:u w:val="single"/>
            <w:shd w:val="clear" w:color="auto" w:fill="F9FAFB"/>
          </w:rPr>
          <w:t>Harm Reduction Nurses Association v British Columbia (Attorney General)</w:t>
        </w:r>
      </w:hyperlink>
      <w:r w:rsidRPr="005B1EB5">
        <w:rPr>
          <w:rStyle w:val="normaltextrun"/>
          <w:rFonts w:asciiTheme="minorHAnsi" w:hAnsiTheme="minorHAnsi" w:cstheme="minorHAnsi"/>
          <w:color w:val="212529"/>
          <w:sz w:val="18"/>
          <w:szCs w:val="18"/>
          <w:shd w:val="clear" w:color="auto" w:fill="F9FAFB"/>
        </w:rPr>
        <w:t>, 2023 BCSC 2290 – BC prohibited from implementing a law criminalizing people who use unregulated drugs in public spaces; </w:t>
      </w:r>
      <w:hyperlink r:id="rId27" w:anchor="par1" w:tgtFrame="_blank" w:history="1">
        <w:r w:rsidRPr="005B1EB5">
          <w:rPr>
            <w:rStyle w:val="normaltextrun"/>
            <w:rFonts w:asciiTheme="minorHAnsi" w:hAnsiTheme="minorHAnsi" w:cstheme="minorHAnsi"/>
            <w:i/>
            <w:iCs/>
            <w:color w:val="0563C1"/>
            <w:sz w:val="18"/>
            <w:szCs w:val="18"/>
            <w:u w:val="single"/>
            <w:shd w:val="clear" w:color="auto" w:fill="F9FAFB"/>
          </w:rPr>
          <w:t>R. v. Lloyd</w:t>
        </w:r>
      </w:hyperlink>
      <w:r w:rsidRPr="005B1EB5">
        <w:rPr>
          <w:rStyle w:val="normaltextrun"/>
          <w:rFonts w:asciiTheme="minorHAnsi" w:hAnsiTheme="minorHAnsi" w:cstheme="minorHAnsi"/>
          <w:color w:val="212529"/>
          <w:sz w:val="18"/>
          <w:szCs w:val="18"/>
          <w:shd w:val="clear" w:color="auto" w:fill="F9FAFB"/>
        </w:rPr>
        <w:t>, 2016 SCC 13 – Canada’s highest court declares mandatory minimum sentencing of 1 year imprisonment for “possession for the purpose of trafficking” unconstitutional because it constitutes cruel and unusual punishment; </w:t>
      </w:r>
      <w:hyperlink r:id="rId28" w:tgtFrame="_blank" w:history="1">
        <w:r w:rsidRPr="005B1EB5">
          <w:rPr>
            <w:rStyle w:val="normaltextrun"/>
            <w:rFonts w:asciiTheme="minorHAnsi" w:hAnsiTheme="minorHAnsi" w:cstheme="minorHAnsi"/>
            <w:i/>
            <w:iCs/>
            <w:color w:val="0563C1"/>
            <w:sz w:val="18"/>
            <w:szCs w:val="18"/>
            <w:u w:val="single"/>
            <w:shd w:val="clear" w:color="auto" w:fill="F9FAFB"/>
          </w:rPr>
          <w:t>Providence Health Care Society v. Canada (Attorney General)</w:t>
        </w:r>
      </w:hyperlink>
      <w:r w:rsidRPr="005B1EB5">
        <w:rPr>
          <w:rStyle w:val="normaltextrun"/>
          <w:rFonts w:asciiTheme="minorHAnsi" w:hAnsiTheme="minorHAnsi" w:cstheme="minorHAnsi"/>
          <w:color w:val="212529"/>
          <w:sz w:val="18"/>
          <w:szCs w:val="18"/>
          <w:shd w:val="clear" w:color="auto" w:fill="F9FAFB"/>
        </w:rPr>
        <w:t>, 2014 BCSC 936 – Canada ordered to allow clients of a heroin-assisted treatment program to continue accessing pharmaceutical diacetylmorphine (heroin) through the </w:t>
      </w:r>
      <w:r w:rsidRPr="005B1EB5">
        <w:rPr>
          <w:rStyle w:val="normaltextrun"/>
          <w:rFonts w:asciiTheme="minorHAnsi" w:hAnsiTheme="minorHAnsi" w:cstheme="minorHAnsi"/>
          <w:i/>
          <w:iCs/>
          <w:color w:val="212529"/>
          <w:sz w:val="18"/>
          <w:szCs w:val="18"/>
          <w:shd w:val="clear" w:color="auto" w:fill="F9FAFB"/>
        </w:rPr>
        <w:t>Food and Drug Regulations</w:t>
      </w:r>
      <w:r w:rsidRPr="005B1EB5">
        <w:rPr>
          <w:rStyle w:val="normaltextrun"/>
          <w:rFonts w:asciiTheme="minorHAnsi" w:hAnsiTheme="minorHAnsi" w:cstheme="minorHAnsi"/>
          <w:color w:val="212529"/>
          <w:sz w:val="18"/>
          <w:szCs w:val="18"/>
          <w:shd w:val="clear" w:color="auto" w:fill="F9FAFB"/>
        </w:rPr>
        <w:t>; </w:t>
      </w:r>
      <w:hyperlink r:id="rId29" w:tgtFrame="_blank" w:history="1">
        <w:r w:rsidRPr="005B1EB5">
          <w:rPr>
            <w:rStyle w:val="normaltextrun"/>
            <w:rFonts w:asciiTheme="minorHAnsi" w:hAnsiTheme="minorHAnsi" w:cstheme="minorHAnsi"/>
            <w:i/>
            <w:iCs/>
            <w:color w:val="0563C1"/>
            <w:sz w:val="18"/>
            <w:szCs w:val="18"/>
            <w:u w:val="single"/>
            <w:shd w:val="clear" w:color="auto" w:fill="F9FAFB"/>
          </w:rPr>
          <w:t>Canada (Attorney General) v. PHS Community Services Society</w:t>
        </w:r>
      </w:hyperlink>
      <w:r w:rsidRPr="005B1EB5">
        <w:rPr>
          <w:rStyle w:val="normaltextrun"/>
          <w:rFonts w:asciiTheme="minorHAnsi" w:hAnsiTheme="minorHAnsi" w:cstheme="minorHAnsi"/>
          <w:color w:val="212529"/>
          <w:sz w:val="18"/>
          <w:szCs w:val="18"/>
          <w:shd w:val="clear" w:color="auto" w:fill="F9FAFB"/>
        </w:rPr>
        <w:t>, 2011 SCC 44 - Canada’s highest Court declares the government’s decision to force the closure of North America’s first government-sanctioned safe consumption site.</w:t>
      </w:r>
      <w:r w:rsidRPr="005B1EB5">
        <w:rPr>
          <w:rStyle w:val="eop"/>
          <w:rFonts w:asciiTheme="minorHAnsi" w:hAnsiTheme="minorHAnsi" w:cstheme="minorHAnsi"/>
          <w:color w:val="212529"/>
          <w:sz w:val="18"/>
          <w:szCs w:val="18"/>
          <w:shd w:val="clear" w:color="auto" w:fill="FFFFFF"/>
        </w:rPr>
        <w:t> </w:t>
      </w:r>
    </w:p>
  </w:endnote>
  <w:endnote w:id="27">
    <w:p w14:paraId="11142EBA" w14:textId="1CAF5AD2" w:rsidR="00B730ED" w:rsidRPr="005B1EB5" w:rsidRDefault="00B730E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0" w:history="1">
        <w:r w:rsidRPr="005B1EB5">
          <w:rPr>
            <w:rStyle w:val="Hyperlink"/>
            <w:rFonts w:asciiTheme="minorHAnsi" w:hAnsiTheme="minorHAnsi" w:cstheme="minorHAnsi"/>
            <w:sz w:val="18"/>
            <w:szCs w:val="18"/>
          </w:rPr>
          <w:t>www.unodc.org/unodc/en/commissions/CND/Mandate_Functions/conventions.html</w:t>
        </w:r>
      </w:hyperlink>
      <w:r w:rsidRPr="005B1EB5">
        <w:rPr>
          <w:rFonts w:asciiTheme="minorHAnsi" w:hAnsiTheme="minorHAnsi" w:cstheme="minorHAnsi"/>
          <w:sz w:val="18"/>
          <w:szCs w:val="18"/>
        </w:rPr>
        <w:t xml:space="preserve"> </w:t>
      </w:r>
    </w:p>
  </w:endnote>
  <w:endnote w:id="28">
    <w:p w14:paraId="020285B9" w14:textId="175D8F6B" w:rsidR="00F879E8" w:rsidRPr="005B1EB5" w:rsidRDefault="00F879E8">
      <w:pPr>
        <w:pStyle w:val="EndnoteText"/>
        <w:rPr>
          <w:rFonts w:asciiTheme="minorHAnsi" w:hAnsiTheme="minorHAnsi" w:cstheme="minorHAnsi"/>
        </w:rPr>
      </w:pPr>
      <w:r w:rsidRPr="005B1EB5">
        <w:rPr>
          <w:rStyle w:val="EndnoteReference"/>
          <w:rFonts w:asciiTheme="minorHAnsi" w:hAnsiTheme="minorHAnsi" w:cstheme="minorHAnsi"/>
        </w:rPr>
        <w:endnoteRef/>
      </w:r>
      <w:r w:rsidRPr="005B1EB5">
        <w:rPr>
          <w:rFonts w:asciiTheme="minorHAnsi" w:hAnsiTheme="minorHAnsi" w:cstheme="minorHAnsi"/>
        </w:rPr>
        <w:t xml:space="preserve"> </w:t>
      </w:r>
      <w:hyperlink r:id="rId31" w:history="1">
        <w:r w:rsidRPr="000C2BDC">
          <w:rPr>
            <w:rStyle w:val="Hyperlink"/>
            <w:rFonts w:asciiTheme="minorHAnsi" w:hAnsiTheme="minorHAnsi" w:cstheme="minorHAnsi"/>
            <w:sz w:val="18"/>
            <w:szCs w:val="18"/>
          </w:rPr>
          <w:t>idpc.net/blog/2024/11/the-drugs-omnibus-resolution-2024-the-cold-war-between-drug-free-world-and-harm-reduction</w:t>
        </w:r>
      </w:hyperlink>
    </w:p>
  </w:endnote>
  <w:endnote w:id="29">
    <w:p w14:paraId="1FBFE736" w14:textId="0E3BDE38" w:rsidR="00B730ED" w:rsidRPr="005B1EB5" w:rsidRDefault="00B730E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2" w:history="1">
        <w:r w:rsidRPr="005B1EB5">
          <w:rPr>
            <w:rStyle w:val="Hyperlink"/>
            <w:rFonts w:asciiTheme="minorHAnsi" w:hAnsiTheme="minorHAnsi" w:cstheme="minorHAnsi"/>
            <w:sz w:val="18"/>
            <w:szCs w:val="18"/>
          </w:rPr>
          <w:t>drugpolicy.ca/about/publication/submission-to-the-canada-gazette-part-i-volume-158-number-22-controlled-substances-regulations/</w:t>
        </w:r>
      </w:hyperlink>
      <w:r w:rsidRPr="005B1EB5">
        <w:rPr>
          <w:rFonts w:asciiTheme="minorHAnsi" w:hAnsiTheme="minorHAnsi" w:cstheme="minorHAnsi"/>
          <w:sz w:val="18"/>
          <w:szCs w:val="18"/>
        </w:rPr>
        <w:t xml:space="preserve"> </w:t>
      </w:r>
    </w:p>
  </w:endnote>
  <w:endnote w:id="30">
    <w:p w14:paraId="1DE199F3" w14:textId="7B53BD21" w:rsidR="00F879E8" w:rsidRPr="005B1EB5" w:rsidRDefault="00F879E8">
      <w:pPr>
        <w:pStyle w:val="EndnoteText"/>
        <w:rPr>
          <w:rFonts w:asciiTheme="minorHAnsi" w:hAnsiTheme="minorHAnsi" w:cstheme="minorHAnsi"/>
        </w:rPr>
      </w:pPr>
      <w:r w:rsidRPr="005B1EB5">
        <w:rPr>
          <w:rStyle w:val="EndnoteReference"/>
          <w:rFonts w:asciiTheme="minorHAnsi" w:hAnsiTheme="minorHAnsi" w:cstheme="minorHAnsi"/>
        </w:rPr>
        <w:endnoteRef/>
      </w:r>
      <w:r w:rsidRPr="005B1EB5">
        <w:rPr>
          <w:rFonts w:asciiTheme="minorHAnsi" w:hAnsiTheme="minorHAnsi" w:cstheme="minorHAnsi"/>
        </w:rPr>
        <w:t xml:space="preserve"> </w:t>
      </w:r>
      <w:hyperlink r:id="rId33" w:history="1">
        <w:r w:rsidRPr="008E7A06">
          <w:rPr>
            <w:rStyle w:val="Hyperlink"/>
            <w:rFonts w:asciiTheme="minorHAnsi" w:hAnsiTheme="minorHAnsi" w:cstheme="minorHAnsi"/>
            <w:sz w:val="18"/>
            <w:szCs w:val="18"/>
          </w:rPr>
          <w:t>transformdrugs.org/blog/cnd-2025-what-future-for-the-un-drug-control-system</w:t>
        </w:r>
      </w:hyperlink>
    </w:p>
  </w:endnote>
  <w:endnote w:id="31">
    <w:p w14:paraId="193DCC55" w14:textId="6292744F" w:rsidR="00FD2511" w:rsidRPr="005B1EB5" w:rsidRDefault="00FD251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rPr>
        <w:endnoteRef/>
      </w:r>
      <w:r w:rsidRPr="005B1EB5">
        <w:rPr>
          <w:rFonts w:asciiTheme="minorHAnsi" w:hAnsiTheme="minorHAnsi" w:cstheme="minorHAnsi"/>
        </w:rPr>
        <w:t xml:space="preserve"> </w:t>
      </w:r>
      <w:hyperlink r:id="rId34" w:history="1">
        <w:r w:rsidR="00B83EE9" w:rsidRPr="005B1EB5">
          <w:rPr>
            <w:rStyle w:val="Hyperlink"/>
            <w:rFonts w:asciiTheme="minorHAnsi" w:hAnsiTheme="minorHAnsi" w:cstheme="minorHAnsi"/>
            <w:sz w:val="18"/>
            <w:szCs w:val="18"/>
          </w:rPr>
          <w:t>laws-lois.justice.gc.ca/eng/acts/c-38.8/</w:t>
        </w:r>
      </w:hyperlink>
      <w:r w:rsidR="005404B5" w:rsidRPr="005B1EB5">
        <w:rPr>
          <w:rFonts w:asciiTheme="minorHAnsi" w:hAnsiTheme="minorHAnsi" w:cstheme="minorHAnsi"/>
          <w:sz w:val="18"/>
          <w:szCs w:val="18"/>
        </w:rPr>
        <w:t xml:space="preserve"> </w:t>
      </w:r>
    </w:p>
  </w:endnote>
  <w:endnote w:id="32">
    <w:p w14:paraId="74D72AED" w14:textId="6CE9292B" w:rsidR="00B83EE9" w:rsidRPr="005B1EB5" w:rsidRDefault="00B83EE9">
      <w:pPr>
        <w:pStyle w:val="EndnoteText"/>
        <w:rPr>
          <w:rFonts w:asciiTheme="minorHAnsi" w:hAnsiTheme="minorHAnsi" w:cstheme="minorHAnsi"/>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5" w:history="1">
        <w:r w:rsidRPr="005B1EB5">
          <w:rPr>
            <w:rStyle w:val="Hyperlink"/>
            <w:rFonts w:asciiTheme="minorHAnsi" w:hAnsiTheme="minorHAnsi" w:cstheme="minorHAnsi"/>
            <w:sz w:val="18"/>
            <w:szCs w:val="18"/>
          </w:rPr>
          <w:t>laws-lois.justice.gc.ca/eng/Regulations/c.r.c.,_c._870/</w:t>
        </w:r>
      </w:hyperlink>
      <w:r w:rsidRPr="005B1EB5">
        <w:rPr>
          <w:rFonts w:asciiTheme="minorHAnsi" w:hAnsiTheme="minorHAnsi" w:cstheme="minorHAnsi"/>
        </w:rPr>
        <w:t xml:space="preserve"> </w:t>
      </w:r>
    </w:p>
  </w:endnote>
  <w:endnote w:id="33">
    <w:p w14:paraId="076E46DD" w14:textId="29C8B91A" w:rsidR="00A350DF" w:rsidRPr="005B1EB5" w:rsidRDefault="00A350DF">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6" w:history="1">
        <w:r w:rsidR="001D0028" w:rsidRPr="005B1EB5">
          <w:rPr>
            <w:rFonts w:asciiTheme="minorHAnsi" w:hAnsiTheme="minorHAnsi" w:cstheme="minorHAnsi"/>
            <w:color w:val="094FD1"/>
            <w:sz w:val="18"/>
            <w:szCs w:val="18"/>
            <w:u w:val="single" w:color="094FD1"/>
          </w:rPr>
          <w:t>www.cbc.ca/news/canada/opioid-overdose-crisis-street-drug-government-funding-9.6976562</w:t>
        </w:r>
      </w:hyperlink>
    </w:p>
  </w:endnote>
  <w:endnote w:id="34">
    <w:p w14:paraId="66B6CBAC" w14:textId="1471DB1D" w:rsidR="0085073E" w:rsidRPr="005B1EB5" w:rsidRDefault="0085073E">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7" w:history="1">
        <w:r w:rsidRPr="005B1EB5">
          <w:rPr>
            <w:rFonts w:asciiTheme="minorHAnsi" w:hAnsiTheme="minorHAnsi" w:cstheme="minorHAnsi"/>
            <w:color w:val="094FD1"/>
            <w:sz w:val="18"/>
            <w:szCs w:val="18"/>
            <w:u w:val="single" w:color="094FD1"/>
          </w:rPr>
          <w:t>www.canada.ca/en/health-canada/corporate/about-health-canada/public-engagement/external-advisory-bodies/expert-task-force-substance-use/reports/report-2-2021.html</w:t>
        </w:r>
      </w:hyperlink>
      <w:r w:rsidRPr="005B1EB5">
        <w:rPr>
          <w:rFonts w:asciiTheme="minorHAnsi" w:hAnsiTheme="minorHAnsi" w:cstheme="minorHAnsi"/>
          <w:sz w:val="18"/>
          <w:szCs w:val="18"/>
        </w:rPr>
        <w:t xml:space="preserve"> </w:t>
      </w:r>
    </w:p>
  </w:endnote>
  <w:endnote w:id="35">
    <w:p w14:paraId="04FDC668" w14:textId="6EEF91A4" w:rsidR="00B4549C" w:rsidRPr="005B1EB5" w:rsidRDefault="00B4549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8" w:history="1">
        <w:r w:rsidRPr="005B1EB5">
          <w:rPr>
            <w:rStyle w:val="Hyperlink"/>
            <w:rFonts w:asciiTheme="minorHAnsi" w:hAnsiTheme="minorHAnsi" w:cstheme="minorHAnsi"/>
            <w:sz w:val="18"/>
            <w:szCs w:val="18"/>
          </w:rPr>
          <w:t>www.ohchr.org/en/documents/thematic-reports/ahrc5453-human-rights-challenges-addressing-and-countering-all-aspects</w:t>
        </w:r>
      </w:hyperlink>
      <w:r w:rsidRPr="005B1EB5">
        <w:rPr>
          <w:rFonts w:asciiTheme="minorHAnsi" w:hAnsiTheme="minorHAnsi" w:cstheme="minorHAnsi"/>
          <w:sz w:val="18"/>
          <w:szCs w:val="18"/>
        </w:rPr>
        <w:t xml:space="preserve"> </w:t>
      </w:r>
    </w:p>
  </w:endnote>
  <w:endnote w:id="36">
    <w:p w14:paraId="74D207FD" w14:textId="77777777" w:rsidR="00233F54" w:rsidRPr="005B1EB5" w:rsidRDefault="00233F54" w:rsidP="00233F54">
      <w:pPr>
        <w:pStyle w:val="EndnoteText"/>
        <w:rPr>
          <w:rFonts w:asciiTheme="minorHAnsi" w:hAnsiTheme="minorHAnsi" w:cstheme="minorHAnsi"/>
          <w:sz w:val="18"/>
          <w:szCs w:val="18"/>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39" w:history="1">
        <w:r w:rsidRPr="005B1EB5">
          <w:rPr>
            <w:rStyle w:val="Hyperlink"/>
            <w:rFonts w:asciiTheme="minorHAnsi" w:eastAsiaTheme="majorEastAsia" w:hAnsiTheme="minorHAnsi" w:cstheme="minorHAnsi"/>
            <w:sz w:val="18"/>
            <w:szCs w:val="18"/>
          </w:rPr>
          <w:t>www2.gov.bc.ca/assets/gov/birth-adoption-death-marriage-and-divorce/deaths/coroners-service/death-review-panel/an_urgent_response_to_a_continuing_crisis_report.pdf</w:t>
        </w:r>
      </w:hyperlink>
      <w:r w:rsidRPr="005B1EB5">
        <w:rPr>
          <w:rFonts w:asciiTheme="minorHAnsi" w:hAnsiTheme="minorHAnsi" w:cstheme="minorHAnsi"/>
          <w:sz w:val="18"/>
          <w:szCs w:val="18"/>
        </w:rPr>
        <w:t xml:space="preserve"> </w:t>
      </w:r>
    </w:p>
  </w:endnote>
  <w:endnote w:id="37">
    <w:p w14:paraId="3889666D" w14:textId="4DA3FB37" w:rsidR="00233F54" w:rsidRPr="005B1EB5" w:rsidRDefault="00233F54" w:rsidP="00233F54">
      <w:pPr>
        <w:pStyle w:val="EndnoteText"/>
        <w:rPr>
          <w:rFonts w:asciiTheme="minorHAnsi" w:hAnsiTheme="minorHAnsi" w:cstheme="minorHAnsi"/>
          <w:sz w:val="18"/>
          <w:szCs w:val="18"/>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40" w:history="1">
        <w:r w:rsidR="007D34E8" w:rsidRPr="005B1EB5">
          <w:rPr>
            <w:rStyle w:val="Hyperlink"/>
            <w:rFonts w:asciiTheme="minorHAnsi" w:eastAsiaTheme="majorEastAsia" w:hAnsiTheme="minorHAnsi" w:cstheme="minorHAnsi"/>
            <w:sz w:val="18"/>
            <w:szCs w:val="18"/>
          </w:rPr>
          <w:t xml:space="preserve">www2.gov.bc.ca/assets/gov/health/about-bc-s-health-care-system/office-of-the-provincial-health-officer/reports-publications/special-reports/alternatives_to_unregulated_drugs.pdf </w:t>
        </w:r>
      </w:hyperlink>
      <w:r w:rsidRPr="005B1EB5">
        <w:rPr>
          <w:rFonts w:asciiTheme="minorHAnsi" w:hAnsiTheme="minorHAnsi" w:cstheme="minorHAnsi"/>
          <w:sz w:val="18"/>
          <w:szCs w:val="18"/>
        </w:rPr>
        <w:t xml:space="preserve"> </w:t>
      </w:r>
    </w:p>
  </w:endnote>
  <w:endnote w:id="38">
    <w:p w14:paraId="0A2B44A2" w14:textId="77777777" w:rsidR="00233F54" w:rsidRPr="005B1EB5" w:rsidRDefault="00233F54" w:rsidP="00233F54">
      <w:pPr>
        <w:pStyle w:val="EndnoteText"/>
        <w:rPr>
          <w:rFonts w:asciiTheme="minorHAnsi" w:hAnsiTheme="minorHAnsi" w:cstheme="minorHAnsi"/>
          <w:sz w:val="18"/>
          <w:szCs w:val="18"/>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41" w:history="1">
        <w:r w:rsidRPr="005B1EB5">
          <w:rPr>
            <w:rStyle w:val="Hyperlink"/>
            <w:rFonts w:asciiTheme="minorHAnsi" w:eastAsiaTheme="majorEastAsia" w:hAnsiTheme="minorHAnsi" w:cstheme="minorHAnsi"/>
            <w:sz w:val="18"/>
            <w:szCs w:val="18"/>
          </w:rPr>
          <w:t>www.ontario.ca/page/chief-medical-officer-health-2023-annual-report</w:t>
        </w:r>
      </w:hyperlink>
      <w:r w:rsidRPr="005B1EB5">
        <w:rPr>
          <w:rFonts w:asciiTheme="minorHAnsi" w:hAnsiTheme="minorHAnsi" w:cstheme="minorHAnsi"/>
          <w:sz w:val="18"/>
          <w:szCs w:val="18"/>
        </w:rPr>
        <w:t xml:space="preserve"> </w:t>
      </w:r>
    </w:p>
  </w:endnote>
  <w:endnote w:id="39">
    <w:p w14:paraId="1540DE69" w14:textId="4D38CFBC" w:rsidR="006D3B70" w:rsidRPr="005B1EB5" w:rsidRDefault="006D3B70">
      <w:pPr>
        <w:pStyle w:val="EndnoteText"/>
        <w:rPr>
          <w:rFonts w:asciiTheme="minorHAnsi" w:hAnsiTheme="minorHAnsi" w:cstheme="minorHAnsi"/>
          <w:lang w:val="en-CA"/>
        </w:rPr>
      </w:pPr>
      <w:r w:rsidRPr="005B1EB5">
        <w:rPr>
          <w:rStyle w:val="EndnoteReference"/>
          <w:rFonts w:asciiTheme="minorHAnsi" w:hAnsiTheme="minorHAnsi" w:cstheme="minorHAnsi"/>
        </w:rPr>
        <w:endnoteRef/>
      </w:r>
      <w:r w:rsidRPr="005B1EB5">
        <w:rPr>
          <w:rFonts w:asciiTheme="minorHAnsi" w:hAnsiTheme="minorHAnsi" w:cstheme="minorHAnsi"/>
        </w:rPr>
        <w:t xml:space="preserve"> </w:t>
      </w:r>
      <w:hyperlink r:id="rId42" w:history="1">
        <w:r w:rsidRPr="005B1EB5">
          <w:rPr>
            <w:rStyle w:val="Hyperlink"/>
            <w:rFonts w:asciiTheme="minorHAnsi" w:hAnsiTheme="minorHAnsi" w:cstheme="minorHAnsi"/>
            <w:sz w:val="18"/>
            <w:szCs w:val="18"/>
          </w:rPr>
          <w:t>www.canada.ca/content/dam/hc-sc/documents/services/publications/healthy-living/evolution-fentanyl-canada-11-years/evolution-fentanyl-canada-11-years-en.pdf</w:t>
        </w:r>
      </w:hyperlink>
      <w:r w:rsidRPr="005B1EB5">
        <w:rPr>
          <w:rFonts w:asciiTheme="minorHAnsi" w:hAnsiTheme="minorHAnsi" w:cstheme="minorHAnsi"/>
          <w:sz w:val="18"/>
          <w:szCs w:val="18"/>
        </w:rPr>
        <w:t xml:space="preserve"> </w:t>
      </w:r>
    </w:p>
  </w:endnote>
  <w:endnote w:id="40">
    <w:p w14:paraId="64D655E3" w14:textId="1CF326CF" w:rsidR="00C727CF" w:rsidRPr="005B1EB5" w:rsidRDefault="00C727CF">
      <w:pPr>
        <w:pStyle w:val="EndnoteText"/>
        <w:rPr>
          <w:rFonts w:asciiTheme="minorHAnsi" w:hAnsiTheme="minorHAnsi" w:cstheme="minorHAnsi"/>
          <w:lang w:val="en-CA"/>
        </w:rPr>
      </w:pPr>
      <w:r w:rsidRPr="005B1EB5">
        <w:rPr>
          <w:rStyle w:val="EndnoteReference"/>
          <w:rFonts w:asciiTheme="minorHAnsi" w:hAnsiTheme="minorHAnsi" w:cstheme="minorHAnsi"/>
        </w:rPr>
        <w:endnoteRef/>
      </w:r>
      <w:r w:rsidRPr="005B1EB5">
        <w:rPr>
          <w:rFonts w:asciiTheme="minorHAnsi" w:hAnsiTheme="minorHAnsi" w:cstheme="minorHAnsi"/>
        </w:rPr>
        <w:t xml:space="preserve"> </w:t>
      </w:r>
      <w:hyperlink r:id="rId43" w:history="1">
        <w:r w:rsidRPr="005B1EB5">
          <w:rPr>
            <w:rStyle w:val="Hyperlink"/>
            <w:rFonts w:asciiTheme="minorHAnsi" w:hAnsiTheme="minorHAnsi" w:cstheme="minorHAnsi"/>
            <w:sz w:val="18"/>
            <w:szCs w:val="18"/>
          </w:rPr>
          <w:t>drugchecking.community/reports</w:t>
        </w:r>
      </w:hyperlink>
      <w:r w:rsidRPr="005B1EB5">
        <w:rPr>
          <w:rFonts w:asciiTheme="minorHAnsi" w:hAnsiTheme="minorHAnsi" w:cstheme="minorHAnsi"/>
        </w:rPr>
        <w:t xml:space="preserve"> </w:t>
      </w:r>
    </w:p>
  </w:endnote>
  <w:endnote w:id="41">
    <w:p w14:paraId="37CB34B4" w14:textId="77777777" w:rsidR="008E72AC" w:rsidRPr="005B1EB5" w:rsidRDefault="008E72AC" w:rsidP="008E72AC">
      <w:pPr>
        <w:pStyle w:val="EndnoteText"/>
        <w:rPr>
          <w:rFonts w:asciiTheme="minorHAnsi" w:hAnsiTheme="minorHAnsi" w:cstheme="minorHAnsi"/>
          <w:lang w:val="en-CA"/>
        </w:rPr>
      </w:pPr>
      <w:r w:rsidRPr="005B1EB5">
        <w:rPr>
          <w:rStyle w:val="EndnoteReference"/>
          <w:rFonts w:asciiTheme="minorHAnsi" w:hAnsiTheme="minorHAnsi" w:cstheme="minorHAnsi"/>
        </w:rPr>
        <w:endnoteRef/>
      </w:r>
      <w:r w:rsidRPr="005B1EB5">
        <w:rPr>
          <w:rFonts w:asciiTheme="minorHAnsi" w:hAnsiTheme="minorHAnsi" w:cstheme="minorHAnsi"/>
        </w:rPr>
        <w:t xml:space="preserve"> </w:t>
      </w:r>
      <w:hyperlink r:id="rId44" w:anchor=":~:text=An%20overview%20of%20data%20collected%20by%20Health%20Canada%20from%20January%202023%20to%20December%202024.%20A%20total%20of%20450%20identifications%20were%20made%20across%20the%20data%20sources%20amounting%20to%20300%20new%20and%20emerging%20unique%20substances" w:history="1">
        <w:r w:rsidRPr="000C2BDC">
          <w:rPr>
            <w:rStyle w:val="Hyperlink"/>
            <w:rFonts w:asciiTheme="minorHAnsi" w:hAnsiTheme="minorHAnsi" w:cstheme="minorHAnsi"/>
            <w:sz w:val="18"/>
            <w:szCs w:val="18"/>
          </w:rPr>
          <w:t>health-infobase.canada.ca/canadian-drug-and-substance-watch/</w:t>
        </w:r>
      </w:hyperlink>
      <w:r w:rsidRPr="000C2BDC">
        <w:rPr>
          <w:rFonts w:asciiTheme="minorHAnsi" w:hAnsiTheme="minorHAnsi" w:cstheme="minorHAnsi"/>
          <w:sz w:val="18"/>
          <w:szCs w:val="18"/>
        </w:rPr>
        <w:t xml:space="preserve"> </w:t>
      </w:r>
    </w:p>
  </w:endnote>
  <w:endnote w:id="42">
    <w:p w14:paraId="7DB7CAD0" w14:textId="77B343ED" w:rsidR="00AD0556" w:rsidRPr="005B1EB5" w:rsidRDefault="00AD0556">
      <w:pPr>
        <w:pStyle w:val="EndnoteText"/>
        <w:rPr>
          <w:rFonts w:asciiTheme="minorHAnsi" w:hAnsiTheme="minorHAnsi" w:cstheme="minorHAnsi"/>
          <w:sz w:val="18"/>
          <w:szCs w:val="18"/>
          <w:lang w:val="fr-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lang w:val="fr-CA"/>
        </w:rPr>
        <w:t xml:space="preserve"> </w:t>
      </w:r>
      <w:hyperlink r:id="rId45" w:history="1">
        <w:r w:rsidRPr="005B1EB5">
          <w:rPr>
            <w:rStyle w:val="Hyperlink"/>
            <w:rFonts w:asciiTheme="minorHAnsi" w:hAnsiTheme="minorHAnsi" w:cstheme="minorHAnsi"/>
            <w:sz w:val="18"/>
            <w:szCs w:val="18"/>
            <w:lang w:val="fr-CA"/>
          </w:rPr>
          <w:t>ajph.aphapublications.org/doi/10.2105/AJPH.2023.307291</w:t>
        </w:r>
      </w:hyperlink>
      <w:r w:rsidRPr="005B1EB5">
        <w:rPr>
          <w:rFonts w:asciiTheme="minorHAnsi" w:hAnsiTheme="minorHAnsi" w:cstheme="minorHAnsi"/>
          <w:sz w:val="18"/>
          <w:szCs w:val="18"/>
          <w:lang w:val="fr-CA"/>
        </w:rPr>
        <w:t xml:space="preserve"> </w:t>
      </w:r>
    </w:p>
  </w:endnote>
  <w:endnote w:id="43">
    <w:p w14:paraId="5C15D1A6" w14:textId="65059C06" w:rsidR="000E4E06" w:rsidRPr="005B1EB5" w:rsidRDefault="000E4E06">
      <w:pPr>
        <w:pStyle w:val="EndnoteText"/>
        <w:rPr>
          <w:rFonts w:asciiTheme="minorHAnsi" w:hAnsiTheme="minorHAnsi" w:cstheme="minorHAnsi"/>
          <w:sz w:val="18"/>
          <w:szCs w:val="18"/>
          <w:lang w:val="fr-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lang w:val="fr-CA"/>
        </w:rPr>
        <w:t xml:space="preserve"> </w:t>
      </w:r>
      <w:hyperlink r:id="rId46" w:anchor=":~:text=They%20found%20that%20within%20a,%2C%20two%2C%20and%20three%20weeks" w:history="1">
        <w:r w:rsidR="006A0183" w:rsidRPr="005B1EB5">
          <w:rPr>
            <w:rStyle w:val="Hyperlink"/>
            <w:rFonts w:asciiTheme="minorHAnsi" w:hAnsiTheme="minorHAnsi" w:cstheme="minorHAnsi"/>
            <w:sz w:val="18"/>
            <w:szCs w:val="18"/>
            <w:lang w:val="fr-CA"/>
          </w:rPr>
          <w:t>pmc.ncbi.nlm.nih.gov/articles/PMC10262240/</w:t>
        </w:r>
      </w:hyperlink>
      <w:r w:rsidRPr="005B1EB5">
        <w:rPr>
          <w:rFonts w:asciiTheme="minorHAnsi" w:hAnsiTheme="minorHAnsi" w:cstheme="minorHAnsi"/>
          <w:sz w:val="18"/>
          <w:szCs w:val="18"/>
          <w:lang w:val="fr-CA"/>
        </w:rPr>
        <w:t xml:space="preserve">. </w:t>
      </w:r>
    </w:p>
  </w:endnote>
  <w:endnote w:id="44">
    <w:p w14:paraId="6091F32A" w14:textId="0A12B98D" w:rsidR="007D757B" w:rsidRPr="005B1EB5" w:rsidRDefault="007D757B">
      <w:pPr>
        <w:pStyle w:val="EndnoteText"/>
        <w:rPr>
          <w:rFonts w:asciiTheme="minorHAnsi" w:hAnsiTheme="minorHAnsi" w:cstheme="minorHAnsi"/>
          <w:lang w:val="fr-CA"/>
        </w:rPr>
      </w:pPr>
      <w:r w:rsidRPr="005B1EB5">
        <w:rPr>
          <w:rStyle w:val="EndnoteReference"/>
          <w:rFonts w:asciiTheme="minorHAnsi" w:hAnsiTheme="minorHAnsi" w:cstheme="minorHAnsi"/>
        </w:rPr>
        <w:endnoteRef/>
      </w:r>
      <w:r w:rsidRPr="005B1EB5">
        <w:rPr>
          <w:rFonts w:asciiTheme="minorHAnsi" w:hAnsiTheme="minorHAnsi" w:cstheme="minorHAnsi"/>
          <w:lang w:val="fr-CA"/>
        </w:rPr>
        <w:t xml:space="preserve"> </w:t>
      </w:r>
      <w:hyperlink r:id="rId47" w:history="1">
        <w:r w:rsidRPr="005B1EB5">
          <w:rPr>
            <w:rStyle w:val="Hyperlink"/>
            <w:rFonts w:asciiTheme="minorHAnsi" w:hAnsiTheme="minorHAnsi" w:cstheme="minorHAnsi"/>
            <w:sz w:val="18"/>
            <w:szCs w:val="18"/>
            <w:lang w:val="fr-CA"/>
          </w:rPr>
          <w:t>www.ohchr.org/en/statements-and-speeches/2022/06/end-war-drugs-and-promote-policies-rooted-human-rights-un-experts</w:t>
        </w:r>
      </w:hyperlink>
    </w:p>
  </w:endnote>
  <w:endnote w:id="45">
    <w:p w14:paraId="52DB84C6" w14:textId="7D2E5141" w:rsidR="00835F66" w:rsidRPr="005B1EB5" w:rsidRDefault="00835F66">
      <w:pPr>
        <w:pStyle w:val="EndnoteText"/>
        <w:rPr>
          <w:rFonts w:asciiTheme="minorHAnsi" w:hAnsiTheme="minorHAnsi" w:cstheme="minorHAnsi"/>
          <w:sz w:val="18"/>
          <w:szCs w:val="18"/>
          <w:lang w:val="fr-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lang w:val="fr-CA"/>
        </w:rPr>
        <w:t xml:space="preserve"> </w:t>
      </w:r>
      <w:hyperlink r:id="rId48" w:history="1">
        <w:r w:rsidRPr="005B1EB5">
          <w:rPr>
            <w:rStyle w:val="Hyperlink"/>
            <w:rFonts w:asciiTheme="minorHAnsi" w:hAnsiTheme="minorHAnsi" w:cstheme="minorHAnsi"/>
            <w:sz w:val="18"/>
            <w:szCs w:val="18"/>
            <w:lang w:val="fr-CA"/>
          </w:rPr>
          <w:t>pubmed.ncbi.nlm.nih.gov/38211403/</w:t>
        </w:r>
      </w:hyperlink>
      <w:r w:rsidRPr="005B1EB5">
        <w:rPr>
          <w:rFonts w:asciiTheme="minorHAnsi" w:hAnsiTheme="minorHAnsi" w:cstheme="minorHAnsi"/>
          <w:sz w:val="18"/>
          <w:szCs w:val="18"/>
          <w:lang w:val="fr-CA"/>
        </w:rPr>
        <w:t xml:space="preserve"> </w:t>
      </w:r>
    </w:p>
  </w:endnote>
  <w:endnote w:id="46">
    <w:p w14:paraId="6D144434" w14:textId="74F031C8" w:rsidR="0085073E" w:rsidRPr="005B1EB5" w:rsidRDefault="0085073E">
      <w:pPr>
        <w:pStyle w:val="EndnoteText"/>
        <w:rPr>
          <w:rFonts w:asciiTheme="minorHAnsi" w:hAnsiTheme="minorHAnsi" w:cstheme="minorHAnsi"/>
          <w:sz w:val="18"/>
          <w:szCs w:val="18"/>
          <w:lang w:val="fr-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lang w:val="fr-CA"/>
        </w:rPr>
        <w:t xml:space="preserve"> </w:t>
      </w:r>
      <w:hyperlink r:id="rId49" w:history="1">
        <w:r w:rsidR="00361629" w:rsidRPr="005B1EB5">
          <w:rPr>
            <w:rFonts w:asciiTheme="minorHAnsi" w:hAnsiTheme="minorHAnsi" w:cstheme="minorHAnsi"/>
            <w:color w:val="094FD1"/>
            <w:sz w:val="18"/>
            <w:szCs w:val="18"/>
            <w:u w:val="single" w:color="094FD1"/>
            <w:lang w:val="fr-CA"/>
          </w:rPr>
          <w:t>www.canlii.org/en/bc/bcsc/doc/2025/2025bcsc2225/2025bcsc2225</w:t>
        </w:r>
      </w:hyperlink>
      <w:r w:rsidRPr="005B1EB5">
        <w:rPr>
          <w:rFonts w:asciiTheme="minorHAnsi" w:hAnsiTheme="minorHAnsi" w:cstheme="minorHAnsi"/>
          <w:sz w:val="18"/>
          <w:szCs w:val="18"/>
          <w:lang w:val="fr-CA"/>
        </w:rPr>
        <w:t xml:space="preserve"> </w:t>
      </w:r>
    </w:p>
  </w:endnote>
  <w:endnote w:id="47">
    <w:p w14:paraId="5AC32A6C" w14:textId="3DB2B992" w:rsidR="00A463B3" w:rsidRPr="005B1EB5" w:rsidRDefault="00A463B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0" w:history="1">
        <w:r w:rsidRPr="005B1EB5">
          <w:rPr>
            <w:rFonts w:asciiTheme="minorHAnsi" w:hAnsiTheme="minorHAnsi" w:cstheme="minorHAnsi"/>
            <w:color w:val="094FD1"/>
            <w:sz w:val="18"/>
            <w:szCs w:val="18"/>
            <w:u w:val="single" w:color="094FD1"/>
          </w:rPr>
          <w:t>news.gov.bc.ca/releases/2016hlth0026-000568</w:t>
        </w:r>
      </w:hyperlink>
    </w:p>
  </w:endnote>
  <w:endnote w:id="48">
    <w:p w14:paraId="12905715" w14:textId="0C85EFE2" w:rsidR="00230142" w:rsidRPr="005B1EB5" w:rsidRDefault="00230142">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1" w:history="1">
        <w:r w:rsidR="00A463B3" w:rsidRPr="005B1EB5">
          <w:rPr>
            <w:rFonts w:asciiTheme="minorHAnsi" w:hAnsiTheme="minorHAnsi" w:cstheme="minorHAnsi"/>
            <w:color w:val="094FD1"/>
            <w:sz w:val="18"/>
            <w:szCs w:val="18"/>
            <w:u w:val="single" w:color="094FD1"/>
          </w:rPr>
          <w:t>dulf.ca/program-documents/</w:t>
        </w:r>
      </w:hyperlink>
    </w:p>
  </w:endnote>
  <w:endnote w:id="49">
    <w:p w14:paraId="7D1808A1" w14:textId="09505C6A" w:rsidR="00C55B84" w:rsidRPr="005B1EB5" w:rsidRDefault="00C55B84">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2" w:history="1">
        <w:r w:rsidRPr="005B1EB5">
          <w:rPr>
            <w:rFonts w:asciiTheme="minorHAnsi" w:hAnsiTheme="minorHAnsi" w:cstheme="minorHAnsi"/>
            <w:color w:val="094FD1"/>
            <w:sz w:val="18"/>
            <w:szCs w:val="18"/>
            <w:u w:val="single" w:color="094FD1"/>
          </w:rPr>
          <w:t>thetyee.ca/News/2025/12/02/What-Stake-DULF-Constitutional-Challenge/</w:t>
        </w:r>
      </w:hyperlink>
    </w:p>
  </w:endnote>
  <w:endnote w:id="50">
    <w:p w14:paraId="26563E87" w14:textId="6AF60188" w:rsidR="00E26991" w:rsidRPr="005B1EB5" w:rsidRDefault="00E2699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3" w:anchor="sec0001" w:history="1">
        <w:r w:rsidRPr="005B1EB5">
          <w:rPr>
            <w:rFonts w:asciiTheme="minorHAnsi" w:hAnsiTheme="minorHAnsi" w:cstheme="minorHAnsi"/>
            <w:color w:val="094FD1"/>
            <w:sz w:val="18"/>
            <w:szCs w:val="18"/>
            <w:u w:val="single" w:color="094FD1"/>
          </w:rPr>
          <w:t>www.sciencedirect.com/science/article/pii/S095539592400015X#sec0001</w:t>
        </w:r>
      </w:hyperlink>
    </w:p>
  </w:endnote>
  <w:endnote w:id="51">
    <w:p w14:paraId="31D37C23" w14:textId="7AA5B2FE" w:rsidR="00DC6DEC" w:rsidRPr="005B1EB5" w:rsidRDefault="00DC6DE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4" w:anchor=":~:text=Asked%20whether%20police%20were%20concerned%20the%20seizure%20could%20result%20in%20drug%20users%20who%20rely%20on%20the%20compassion%20club's%20services%20taking%20more%20dangerous%20substances%2C%20Heard%20said%20%22absolutely.%22" w:history="1">
        <w:r w:rsidR="0035225C" w:rsidRPr="005B1EB5">
          <w:rPr>
            <w:rStyle w:val="Hyperlink"/>
            <w:rFonts w:asciiTheme="minorHAnsi" w:hAnsiTheme="minorHAnsi" w:cstheme="minorHAnsi"/>
            <w:sz w:val="18"/>
            <w:szCs w:val="18"/>
          </w:rPr>
          <w:t>www.ctvnews.ca/vancouver/article/2-arrested-in-vancouver-police-crackdown-on-unsanctioned-safe-drug-supply-program/</w:t>
        </w:r>
      </w:hyperlink>
      <w:r w:rsidR="0035225C" w:rsidRPr="005B1EB5">
        <w:rPr>
          <w:rFonts w:asciiTheme="minorHAnsi" w:hAnsiTheme="minorHAnsi" w:cstheme="minorHAnsi"/>
          <w:sz w:val="18"/>
          <w:szCs w:val="18"/>
        </w:rPr>
        <w:t xml:space="preserve"> </w:t>
      </w:r>
    </w:p>
  </w:endnote>
  <w:endnote w:id="52">
    <w:p w14:paraId="7D5614C3" w14:textId="41D0AC64" w:rsidR="008D69D0" w:rsidRPr="005B1EB5" w:rsidRDefault="008D69D0">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5" w:history="1">
        <w:r w:rsidRPr="005B1EB5">
          <w:rPr>
            <w:rFonts w:asciiTheme="minorHAnsi" w:hAnsiTheme="minorHAnsi" w:cstheme="minorHAnsi"/>
            <w:color w:val="094FD1"/>
            <w:sz w:val="18"/>
            <w:szCs w:val="18"/>
            <w:u w:val="single" w:color="094FD1"/>
          </w:rPr>
          <w:t>drugpolicy.ca/when-law-and-policy-is-unjust-communities-have-no-choice-but-to-act/</w:t>
        </w:r>
      </w:hyperlink>
    </w:p>
  </w:endnote>
  <w:endnote w:id="53">
    <w:p w14:paraId="3C4E97AC" w14:textId="7D724460" w:rsidR="004B6CF2" w:rsidRPr="005B1EB5" w:rsidRDefault="004B6CF2">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6" w:history="1">
        <w:r w:rsidRPr="005B1EB5">
          <w:rPr>
            <w:rFonts w:asciiTheme="minorHAnsi" w:hAnsiTheme="minorHAnsi" w:cstheme="minorHAnsi"/>
            <w:color w:val="094FD1"/>
            <w:sz w:val="18"/>
            <w:szCs w:val="18"/>
            <w:u w:val="single" w:color="094FD1"/>
          </w:rPr>
          <w:t>www.cbc.ca/news/canada/opioid-overdose-crisis-street-drug-government-funding-9.6976562</w:t>
        </w:r>
      </w:hyperlink>
    </w:p>
  </w:endnote>
  <w:endnote w:id="54">
    <w:p w14:paraId="3736A3DF" w14:textId="23B62517" w:rsidR="00130D9D" w:rsidRPr="005B1EB5" w:rsidRDefault="00130D9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7" w:history="1">
        <w:r w:rsidRPr="005B1EB5">
          <w:rPr>
            <w:rFonts w:asciiTheme="minorHAnsi" w:hAnsiTheme="minorHAnsi" w:cstheme="minorHAnsi"/>
            <w:color w:val="094FD1"/>
            <w:sz w:val="18"/>
            <w:szCs w:val="18"/>
            <w:u w:val="single" w:color="094FD1"/>
          </w:rPr>
          <w:t>ccprcentre.org/files/media/ICCPR_easy_to_read_commentary_WEB.pdf</w:t>
        </w:r>
      </w:hyperlink>
      <w:r w:rsidRPr="005B1EB5">
        <w:rPr>
          <w:rFonts w:asciiTheme="minorHAnsi" w:hAnsiTheme="minorHAnsi" w:cstheme="minorHAnsi"/>
          <w:sz w:val="18"/>
          <w:szCs w:val="18"/>
        </w:rPr>
        <w:t xml:space="preserve"> </w:t>
      </w:r>
    </w:p>
  </w:endnote>
  <w:endnote w:id="55">
    <w:p w14:paraId="4D13D494" w14:textId="1DB9B3C2" w:rsidR="00F132A2" w:rsidRPr="005B1EB5" w:rsidRDefault="00F132A2">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8" w:history="1">
        <w:r w:rsidRPr="005B1EB5">
          <w:rPr>
            <w:rFonts w:asciiTheme="minorHAnsi" w:hAnsiTheme="minorHAnsi" w:cstheme="minorHAnsi"/>
            <w:color w:val="094FD1"/>
            <w:sz w:val="18"/>
            <w:szCs w:val="18"/>
            <w:u w:val="single" w:color="094FD1"/>
          </w:rPr>
          <w:t>www.ohchr.org/en/press-releases/2009/10/un-human-rights-chief-calls-international-drugs-policy-include-focus-human</w:t>
        </w:r>
      </w:hyperlink>
      <w:r w:rsidRPr="005B1EB5">
        <w:rPr>
          <w:rFonts w:asciiTheme="minorHAnsi" w:hAnsiTheme="minorHAnsi" w:cstheme="minorHAnsi"/>
          <w:sz w:val="18"/>
          <w:szCs w:val="18"/>
        </w:rPr>
        <w:t xml:space="preserve"> </w:t>
      </w:r>
    </w:p>
  </w:endnote>
  <w:endnote w:id="56">
    <w:p w14:paraId="39885BE4" w14:textId="7831C921" w:rsidR="00C248CC" w:rsidRPr="005B1EB5" w:rsidRDefault="00C248C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59" w:history="1">
        <w:r w:rsidR="00056396" w:rsidRPr="005B1EB5">
          <w:rPr>
            <w:rStyle w:val="Hyperlink"/>
            <w:rFonts w:asciiTheme="minorHAnsi" w:hAnsiTheme="minorHAnsi" w:cstheme="minorHAnsi"/>
            <w:sz w:val="18"/>
            <w:szCs w:val="18"/>
          </w:rPr>
          <w:t>www.talkingdrugs.org/drug-decriminalisation/</w:t>
        </w:r>
      </w:hyperlink>
      <w:r w:rsidR="00056396" w:rsidRPr="005B1EB5">
        <w:rPr>
          <w:rFonts w:asciiTheme="minorHAnsi" w:hAnsiTheme="minorHAnsi" w:cstheme="minorHAnsi"/>
          <w:sz w:val="18"/>
          <w:szCs w:val="18"/>
        </w:rPr>
        <w:t xml:space="preserve"> </w:t>
      </w:r>
    </w:p>
  </w:endnote>
  <w:endnote w:id="57">
    <w:p w14:paraId="65701FAD" w14:textId="3EA0D3B2" w:rsidR="007E56F4" w:rsidRPr="005B1EB5" w:rsidRDefault="007E56F4">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r w:rsidR="00454E17" w:rsidRPr="005B1EB5">
        <w:rPr>
          <w:rFonts w:asciiTheme="minorHAnsi" w:hAnsiTheme="minorHAnsi" w:cstheme="minorHAnsi"/>
          <w:sz w:val="18"/>
          <w:szCs w:val="18"/>
        </w:rPr>
        <w:t xml:space="preserve">Ranger, C., 2025, Updating </w:t>
      </w:r>
      <w:r w:rsidR="00504271" w:rsidRPr="005B1EB5">
        <w:rPr>
          <w:rFonts w:asciiTheme="minorHAnsi" w:hAnsiTheme="minorHAnsi" w:cstheme="minorHAnsi"/>
          <w:sz w:val="18"/>
          <w:szCs w:val="18"/>
        </w:rPr>
        <w:t>Decriminalization</w:t>
      </w:r>
      <w:r w:rsidR="00454E17" w:rsidRPr="005B1EB5">
        <w:rPr>
          <w:rFonts w:asciiTheme="minorHAnsi" w:hAnsiTheme="minorHAnsi" w:cstheme="minorHAnsi"/>
          <w:sz w:val="18"/>
          <w:szCs w:val="18"/>
        </w:rPr>
        <w:t xml:space="preserve"> Across the World: Synthesis of Evidence, Rights-Holder Analysis, and Theory of Change [Unpublished manuscript].</w:t>
      </w:r>
    </w:p>
  </w:endnote>
  <w:endnote w:id="58">
    <w:p w14:paraId="388B9A54" w14:textId="28FDE4E9" w:rsidR="007C1761" w:rsidRPr="005B1EB5" w:rsidRDefault="007C176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0" w:history="1">
        <w:r w:rsidR="00FF3B74" w:rsidRPr="005B1EB5">
          <w:rPr>
            <w:rStyle w:val="Hyperlink"/>
            <w:rFonts w:asciiTheme="minorHAnsi" w:hAnsiTheme="minorHAnsi" w:cstheme="minorHAnsi"/>
            <w:sz w:val="18"/>
            <w:szCs w:val="18"/>
          </w:rPr>
          <w:t>www.bccdc.ca/health-info/prevention-public-health/decriminalization-in-bc</w:t>
        </w:r>
      </w:hyperlink>
      <w:r w:rsidR="00FF3B74" w:rsidRPr="005B1EB5">
        <w:rPr>
          <w:rFonts w:asciiTheme="minorHAnsi" w:hAnsiTheme="minorHAnsi" w:cstheme="minorHAnsi"/>
          <w:sz w:val="18"/>
          <w:szCs w:val="18"/>
        </w:rPr>
        <w:t xml:space="preserve"> </w:t>
      </w:r>
    </w:p>
  </w:endnote>
  <w:endnote w:id="59">
    <w:p w14:paraId="2C741506" w14:textId="2F43841B" w:rsidR="00A301D1" w:rsidRPr="005B1EB5" w:rsidRDefault="00A301D1">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1" w:history="1">
        <w:r w:rsidRPr="005B1EB5">
          <w:rPr>
            <w:rStyle w:val="Hyperlink"/>
            <w:rFonts w:asciiTheme="minorHAnsi" w:hAnsiTheme="minorHAnsi" w:cstheme="minorHAnsi"/>
            <w:sz w:val="18"/>
            <w:szCs w:val="18"/>
          </w:rPr>
          <w:t>www2.gov.bc.ca/assets/gov/health/about-bc-s-health-care-system/office-of-the-provincial-health-officer/reports-publications/special-reports/stopping-the-harm-report.pdf</w:t>
        </w:r>
      </w:hyperlink>
      <w:r w:rsidRPr="005B1EB5">
        <w:rPr>
          <w:rFonts w:asciiTheme="minorHAnsi" w:hAnsiTheme="minorHAnsi" w:cstheme="minorHAnsi"/>
          <w:sz w:val="18"/>
          <w:szCs w:val="18"/>
        </w:rPr>
        <w:t xml:space="preserve">   </w:t>
      </w:r>
    </w:p>
  </w:endnote>
  <w:endnote w:id="60">
    <w:p w14:paraId="175B3583" w14:textId="4C2FC1E5" w:rsidR="00337943" w:rsidRPr="005B1EB5" w:rsidRDefault="0033794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2" w:history="1">
        <w:r w:rsidRPr="005B1EB5">
          <w:rPr>
            <w:rStyle w:val="Hyperlink"/>
            <w:rFonts w:asciiTheme="minorHAnsi" w:hAnsiTheme="minorHAnsi" w:cstheme="minorHAnsi"/>
            <w:sz w:val="18"/>
            <w:szCs w:val="18"/>
          </w:rPr>
          <w:t>www.tdin.ca/res_documents/Drug%20Toxicity%20on%20Release.pdf</w:t>
        </w:r>
      </w:hyperlink>
      <w:r w:rsidRPr="005B1EB5">
        <w:rPr>
          <w:rFonts w:asciiTheme="minorHAnsi" w:hAnsiTheme="minorHAnsi" w:cstheme="minorHAnsi"/>
          <w:sz w:val="18"/>
          <w:szCs w:val="18"/>
        </w:rPr>
        <w:t xml:space="preserve"> </w:t>
      </w:r>
    </w:p>
  </w:endnote>
  <w:endnote w:id="61">
    <w:p w14:paraId="371AF321" w14:textId="5F2E4FF9" w:rsidR="005758E8" w:rsidRPr="005B1EB5" w:rsidRDefault="005758E8">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3" w:history="1">
        <w:r w:rsidRPr="005B1EB5">
          <w:rPr>
            <w:rStyle w:val="Hyperlink"/>
            <w:rFonts w:asciiTheme="minorHAnsi" w:hAnsiTheme="minorHAnsi" w:cstheme="minorHAnsi"/>
            <w:sz w:val="18"/>
            <w:szCs w:val="18"/>
          </w:rPr>
          <w:t>www.sciencedirect.com/science/article/pii/S0955395924001634</w:t>
        </w:r>
      </w:hyperlink>
      <w:r w:rsidRPr="005B1EB5">
        <w:rPr>
          <w:rFonts w:asciiTheme="minorHAnsi" w:hAnsiTheme="minorHAnsi" w:cstheme="minorHAnsi"/>
          <w:sz w:val="18"/>
          <w:szCs w:val="18"/>
        </w:rPr>
        <w:t xml:space="preserve"> </w:t>
      </w:r>
    </w:p>
  </w:endnote>
  <w:endnote w:id="62">
    <w:p w14:paraId="5A8CCBB3" w14:textId="0EBEDEDF" w:rsidR="00A05D78" w:rsidRPr="005B1EB5" w:rsidRDefault="00A05D78">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4" w:history="1">
        <w:r w:rsidR="0087524E" w:rsidRPr="005B1EB5">
          <w:rPr>
            <w:rStyle w:val="Hyperlink"/>
            <w:rFonts w:asciiTheme="minorHAnsi" w:hAnsiTheme="minorHAnsi" w:cstheme="minorHAnsi"/>
            <w:sz w:val="18"/>
            <w:szCs w:val="18"/>
          </w:rPr>
          <w:t>link.springer.com/article/10.1186/s13011-023-00547-w</w:t>
        </w:r>
      </w:hyperlink>
      <w:r w:rsidR="0087524E" w:rsidRPr="005B1EB5">
        <w:rPr>
          <w:rFonts w:asciiTheme="minorHAnsi" w:hAnsiTheme="minorHAnsi" w:cstheme="minorHAnsi"/>
          <w:sz w:val="18"/>
          <w:szCs w:val="18"/>
        </w:rPr>
        <w:t xml:space="preserve"> </w:t>
      </w:r>
    </w:p>
  </w:endnote>
  <w:endnote w:id="63">
    <w:p w14:paraId="05FB9AEA" w14:textId="4B78DB91" w:rsidR="008126FF" w:rsidRPr="005B1EB5" w:rsidRDefault="008126FF">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5" w:history="1">
        <w:r w:rsidRPr="005B1EB5">
          <w:rPr>
            <w:rStyle w:val="Hyperlink"/>
            <w:rFonts w:asciiTheme="minorHAnsi" w:hAnsiTheme="minorHAnsi" w:cstheme="minorHAnsi"/>
            <w:sz w:val="18"/>
            <w:szCs w:val="18"/>
          </w:rPr>
          <w:t>www2.gov.bc.ca/assets/gov/overdose-awareness/data_report_to_health_canada_august_2025.pdf</w:t>
        </w:r>
      </w:hyperlink>
      <w:r w:rsidRPr="005B1EB5">
        <w:rPr>
          <w:rFonts w:asciiTheme="minorHAnsi" w:hAnsiTheme="minorHAnsi" w:cstheme="minorHAnsi"/>
          <w:sz w:val="18"/>
          <w:szCs w:val="18"/>
        </w:rPr>
        <w:t xml:space="preserve"> </w:t>
      </w:r>
    </w:p>
  </w:endnote>
  <w:endnote w:id="64">
    <w:p w14:paraId="6E877389" w14:textId="768C193F" w:rsidR="00E74A39" w:rsidRPr="005B1EB5" w:rsidRDefault="00E74A39" w:rsidP="00E74A39">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6" w:history="1">
        <w:r w:rsidRPr="005B1EB5">
          <w:rPr>
            <w:rFonts w:asciiTheme="minorHAnsi" w:hAnsiTheme="minorHAnsi" w:cstheme="minorHAnsi"/>
            <w:color w:val="094FD1"/>
            <w:sz w:val="18"/>
            <w:szCs w:val="18"/>
            <w:u w:val="single" w:color="094FD1"/>
          </w:rPr>
          <w:t>www.dal.ca/news/media/media-releases/2025/04/14/media_release__study_finds_drug_decriminalization_in_british_columbia_linked_to_significant_reduction_in_criminal_justice_involvement.html</w:t>
        </w:r>
      </w:hyperlink>
      <w:r w:rsidRPr="005B1EB5">
        <w:rPr>
          <w:rFonts w:asciiTheme="minorHAnsi" w:hAnsiTheme="minorHAnsi" w:cstheme="minorHAnsi"/>
          <w:sz w:val="18"/>
          <w:szCs w:val="18"/>
        </w:rPr>
        <w:t xml:space="preserve"> </w:t>
      </w:r>
    </w:p>
  </w:endnote>
  <w:endnote w:id="65">
    <w:p w14:paraId="296B9FF4" w14:textId="77B18257" w:rsidR="00DE49A7" w:rsidRPr="005B1EB5" w:rsidRDefault="00DE49A7">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7" w:history="1">
        <w:r w:rsidRPr="005B1EB5">
          <w:rPr>
            <w:rFonts w:asciiTheme="minorHAnsi" w:hAnsiTheme="minorHAnsi" w:cstheme="minorHAnsi"/>
            <w:color w:val="094FD1"/>
            <w:sz w:val="18"/>
            <w:szCs w:val="18"/>
            <w:u w:val="single" w:color="094FD1"/>
          </w:rPr>
          <w:t>drugpolicy.ca/bc-revives-criminalization/</w:t>
        </w:r>
      </w:hyperlink>
      <w:r w:rsidRPr="005B1EB5">
        <w:rPr>
          <w:rFonts w:asciiTheme="minorHAnsi" w:hAnsiTheme="minorHAnsi" w:cstheme="minorHAnsi"/>
          <w:sz w:val="18"/>
          <w:szCs w:val="18"/>
        </w:rPr>
        <w:t xml:space="preserve"> </w:t>
      </w:r>
    </w:p>
  </w:endnote>
  <w:endnote w:id="66">
    <w:p w14:paraId="36AF78BE" w14:textId="6FE23891" w:rsidR="000626FF" w:rsidRPr="005B1EB5" w:rsidRDefault="000626FF">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8" w:history="1">
        <w:r w:rsidRPr="005B1EB5">
          <w:rPr>
            <w:rFonts w:asciiTheme="minorHAnsi" w:hAnsiTheme="minorHAnsi" w:cstheme="minorHAnsi"/>
            <w:color w:val="094FD1"/>
            <w:sz w:val="18"/>
            <w:szCs w:val="18"/>
            <w:u w:val="single" w:color="094FD1"/>
          </w:rPr>
          <w:t>www.canada.ca/en/health-canada/news/2024/05/statement-from-the-minister-of-mental-health-and-addictions-and-associate-minister-of-health0.html</w:t>
        </w:r>
      </w:hyperlink>
    </w:p>
  </w:endnote>
  <w:endnote w:id="67">
    <w:p w14:paraId="62A1996D" w14:textId="54A10158" w:rsidR="00F229BD" w:rsidRPr="005B1EB5" w:rsidRDefault="00F229B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69" w:history="1">
        <w:r w:rsidRPr="005B1EB5">
          <w:rPr>
            <w:rFonts w:asciiTheme="minorHAnsi" w:hAnsiTheme="minorHAnsi" w:cstheme="minorHAnsi"/>
            <w:color w:val="094FD1"/>
            <w:sz w:val="18"/>
            <w:szCs w:val="18"/>
            <w:u w:val="single" w:color="094FD1"/>
          </w:rPr>
          <w:t>www.ontario.ca/laws/statute/24c27a</w:t>
        </w:r>
      </w:hyperlink>
    </w:p>
  </w:endnote>
  <w:endnote w:id="68">
    <w:p w14:paraId="55E39F3D" w14:textId="3FBD71BF" w:rsidR="00020C03" w:rsidRPr="005B1EB5" w:rsidRDefault="00020C0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0" w:history="1">
        <w:r w:rsidRPr="005B1EB5">
          <w:rPr>
            <w:rFonts w:asciiTheme="minorHAnsi" w:hAnsiTheme="minorHAnsi" w:cstheme="minorHAnsi"/>
            <w:color w:val="094FD1"/>
            <w:sz w:val="18"/>
            <w:szCs w:val="18"/>
            <w:u w:val="single" w:color="094FD1"/>
          </w:rPr>
          <w:t>housingrights.ca/wp-content/uploads/Canada_ICCPR_Session145_CivilSocietySubmission_NRHN-WNHHN-CCHR_March2026_pdf.pdf</w:t>
        </w:r>
      </w:hyperlink>
      <w:r w:rsidRPr="005B1EB5">
        <w:rPr>
          <w:rFonts w:asciiTheme="minorHAnsi" w:hAnsiTheme="minorHAnsi" w:cstheme="minorHAnsi"/>
          <w:sz w:val="18"/>
          <w:szCs w:val="18"/>
        </w:rPr>
        <w:t xml:space="preserve"> </w:t>
      </w:r>
    </w:p>
  </w:endnote>
  <w:endnote w:id="69">
    <w:p w14:paraId="5CA3884F" w14:textId="61C191FD" w:rsidR="00914073" w:rsidRPr="005B1EB5" w:rsidRDefault="0091407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1" w:history="1">
        <w:r w:rsidRPr="005B1EB5">
          <w:rPr>
            <w:rFonts w:asciiTheme="minorHAnsi" w:hAnsiTheme="minorHAnsi" w:cstheme="minorHAnsi"/>
            <w:color w:val="094FD1"/>
            <w:sz w:val="18"/>
            <w:szCs w:val="18"/>
            <w:u w:val="single" w:color="094FD1"/>
          </w:rPr>
          <w:t>drugpolicy.ca/for-immediate-release-bc-supreme-court-rules-in-favour-of-harm-reduction-nurses-association-pauses-coming-into-force-of-bcs-public-drug-consumption-law/</w:t>
        </w:r>
      </w:hyperlink>
      <w:r w:rsidRPr="005B1EB5">
        <w:rPr>
          <w:rFonts w:asciiTheme="minorHAnsi" w:hAnsiTheme="minorHAnsi" w:cstheme="minorHAnsi"/>
          <w:sz w:val="18"/>
          <w:szCs w:val="18"/>
        </w:rPr>
        <w:t xml:space="preserve"> </w:t>
      </w:r>
    </w:p>
  </w:endnote>
  <w:endnote w:id="70">
    <w:p w14:paraId="3FE6D207" w14:textId="5A0A7C70" w:rsidR="00E30D1D" w:rsidRPr="005B1EB5" w:rsidRDefault="00E30D1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2" w:history="1">
        <w:r w:rsidRPr="005B1EB5">
          <w:rPr>
            <w:rFonts w:asciiTheme="minorHAnsi" w:hAnsiTheme="minorHAnsi" w:cstheme="minorHAnsi"/>
            <w:color w:val="094FD1"/>
            <w:sz w:val="18"/>
            <w:szCs w:val="18"/>
            <w:u w:val="single" w:color="094FD1"/>
          </w:rPr>
          <w:t>drugpolicy.ca/about/publication/submission-to-the-united-nations-high-commissioner-for-human-rights/</w:t>
        </w:r>
      </w:hyperlink>
    </w:p>
  </w:endnote>
  <w:endnote w:id="71">
    <w:p w14:paraId="15C486D9" w14:textId="5F54B33F" w:rsidR="00E7361D" w:rsidRPr="005B1EB5" w:rsidRDefault="00E7361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3" w:history="1">
        <w:r w:rsidRPr="005B1EB5">
          <w:rPr>
            <w:rStyle w:val="Hyperlink"/>
            <w:rFonts w:asciiTheme="minorHAnsi" w:hAnsiTheme="minorHAnsi" w:cstheme="minorHAnsi"/>
            <w:sz w:val="18"/>
            <w:szCs w:val="18"/>
          </w:rPr>
          <w:t>www.canlii.org/en/bc/bcsc/doc/2023/2023bcsc2290/2023bcsc2290.html</w:t>
        </w:r>
      </w:hyperlink>
      <w:r w:rsidRPr="005B1EB5">
        <w:rPr>
          <w:rFonts w:asciiTheme="minorHAnsi" w:hAnsiTheme="minorHAnsi" w:cstheme="minorHAnsi"/>
          <w:sz w:val="18"/>
          <w:szCs w:val="18"/>
        </w:rPr>
        <w:t xml:space="preserve"> </w:t>
      </w:r>
    </w:p>
  </w:endnote>
  <w:endnote w:id="72">
    <w:p w14:paraId="18500380" w14:textId="4F6D5A91" w:rsidR="0006406A" w:rsidRPr="005B1EB5" w:rsidRDefault="0006406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4" w:history="1">
        <w:r w:rsidRPr="005B1EB5">
          <w:rPr>
            <w:rFonts w:asciiTheme="minorHAnsi" w:hAnsiTheme="minorHAnsi" w:cstheme="minorHAnsi"/>
            <w:color w:val="094FD1"/>
            <w:sz w:val="18"/>
            <w:szCs w:val="18"/>
            <w:u w:val="single" w:color="094FD1"/>
          </w:rPr>
          <w:t>www.ontario.ca/laws/statute/s25005</w:t>
        </w:r>
      </w:hyperlink>
      <w:r w:rsidRPr="005B1EB5">
        <w:rPr>
          <w:rFonts w:asciiTheme="minorHAnsi" w:hAnsiTheme="minorHAnsi" w:cstheme="minorHAnsi"/>
          <w:sz w:val="18"/>
          <w:szCs w:val="18"/>
        </w:rPr>
        <w:t xml:space="preserve"> </w:t>
      </w:r>
    </w:p>
  </w:endnote>
  <w:endnote w:id="73">
    <w:p w14:paraId="48BF3262" w14:textId="31384EFC" w:rsidR="007E4724" w:rsidRPr="005B1EB5" w:rsidRDefault="007E4724">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5" w:history="1">
        <w:r w:rsidRPr="005B1EB5">
          <w:rPr>
            <w:rStyle w:val="Hyperlink"/>
            <w:rFonts w:asciiTheme="minorHAnsi" w:hAnsiTheme="minorHAnsi" w:cstheme="minorHAnsi"/>
            <w:sz w:val="18"/>
            <w:szCs w:val="18"/>
          </w:rPr>
          <w:t>ajph.aphapublications.org/doi/full/10.2105/AJPH.2023.307291?role=tab</w:t>
        </w:r>
      </w:hyperlink>
      <w:r w:rsidRPr="005B1EB5">
        <w:rPr>
          <w:rFonts w:asciiTheme="minorHAnsi" w:hAnsiTheme="minorHAnsi" w:cstheme="minorHAnsi"/>
          <w:sz w:val="18"/>
          <w:szCs w:val="18"/>
        </w:rPr>
        <w:t xml:space="preserve"> </w:t>
      </w:r>
    </w:p>
  </w:endnote>
  <w:endnote w:id="74">
    <w:p w14:paraId="46054595" w14:textId="583AD903" w:rsidR="008A0862" w:rsidRPr="005B1EB5" w:rsidRDefault="008A0862">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6" w:history="1">
        <w:r w:rsidRPr="005B1EB5">
          <w:rPr>
            <w:rStyle w:val="Hyperlink"/>
            <w:rFonts w:asciiTheme="minorHAnsi" w:hAnsiTheme="minorHAnsi" w:cstheme="minorHAnsi"/>
            <w:sz w:val="18"/>
            <w:szCs w:val="18"/>
          </w:rPr>
          <w:t>www.cbc.ca/news/canada/edmonton/alberta-involuntary-treatment-centres-addictions-1.7467178</w:t>
        </w:r>
      </w:hyperlink>
      <w:r w:rsidRPr="005B1EB5">
        <w:rPr>
          <w:rFonts w:asciiTheme="minorHAnsi" w:hAnsiTheme="minorHAnsi" w:cstheme="minorHAnsi"/>
          <w:sz w:val="18"/>
          <w:szCs w:val="18"/>
        </w:rPr>
        <w:t xml:space="preserve"> </w:t>
      </w:r>
    </w:p>
  </w:endnote>
  <w:endnote w:id="75">
    <w:p w14:paraId="457090B9" w14:textId="64A41C28" w:rsidR="00CD248D" w:rsidRPr="005B1EB5" w:rsidRDefault="00CD248D">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7" w:history="1">
        <w:r w:rsidRPr="005B1EB5">
          <w:rPr>
            <w:rStyle w:val="Hyperlink"/>
            <w:rFonts w:asciiTheme="minorHAnsi" w:hAnsiTheme="minorHAnsi" w:cstheme="minorHAnsi"/>
            <w:sz w:val="18"/>
            <w:szCs w:val="18"/>
          </w:rPr>
          <w:t>journals.sagepub.com/doi/abs/10.1177/1073110520979384</w:t>
        </w:r>
      </w:hyperlink>
      <w:r w:rsidRPr="005B1EB5">
        <w:rPr>
          <w:rFonts w:asciiTheme="minorHAnsi" w:hAnsiTheme="minorHAnsi" w:cstheme="minorHAnsi"/>
          <w:sz w:val="18"/>
          <w:szCs w:val="18"/>
        </w:rPr>
        <w:t xml:space="preserve"> </w:t>
      </w:r>
    </w:p>
  </w:endnote>
  <w:endnote w:id="76">
    <w:p w14:paraId="702AC493" w14:textId="06D92318" w:rsidR="005A4FB0" w:rsidRPr="005B1EB5" w:rsidRDefault="005A4FB0">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8" w:history="1">
        <w:r w:rsidRPr="005B1EB5">
          <w:rPr>
            <w:rStyle w:val="Hyperlink"/>
            <w:rFonts w:asciiTheme="minorHAnsi" w:hAnsiTheme="minorHAnsi" w:cstheme="minorHAnsi"/>
            <w:sz w:val="18"/>
            <w:szCs w:val="18"/>
          </w:rPr>
          <w:t>drugpolicy.ca/our-work/addiction-treatment-position-statement/</w:t>
        </w:r>
      </w:hyperlink>
      <w:r w:rsidRPr="005B1EB5">
        <w:rPr>
          <w:rFonts w:asciiTheme="minorHAnsi" w:hAnsiTheme="minorHAnsi" w:cstheme="minorHAnsi"/>
          <w:sz w:val="18"/>
          <w:szCs w:val="18"/>
        </w:rPr>
        <w:t xml:space="preserve"> </w:t>
      </w:r>
    </w:p>
  </w:endnote>
  <w:endnote w:id="77">
    <w:p w14:paraId="141CD11C" w14:textId="53240D29" w:rsidR="00672BE9" w:rsidRPr="005B1EB5" w:rsidRDefault="00672BE9">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79" w:history="1">
        <w:r w:rsidRPr="005B1EB5">
          <w:rPr>
            <w:rStyle w:val="Hyperlink"/>
            <w:rFonts w:asciiTheme="minorHAnsi" w:hAnsiTheme="minorHAnsi" w:cstheme="minorHAnsi"/>
            <w:sz w:val="18"/>
            <w:szCs w:val="18"/>
          </w:rPr>
          <w:t>www.ccsa.ca/sites/default/files/2023-05/Accountability-in-Bed-Based-Addiction-Treatment.pdf</w:t>
        </w:r>
      </w:hyperlink>
      <w:r w:rsidRPr="005B1EB5">
        <w:rPr>
          <w:rFonts w:asciiTheme="minorHAnsi" w:hAnsiTheme="minorHAnsi" w:cstheme="minorHAnsi"/>
          <w:sz w:val="18"/>
          <w:szCs w:val="18"/>
        </w:rPr>
        <w:t xml:space="preserve"> </w:t>
      </w:r>
    </w:p>
  </w:endnote>
  <w:endnote w:id="78">
    <w:p w14:paraId="529C0271" w14:textId="0721F3CD" w:rsidR="005C2A28" w:rsidRPr="005B1EB5" w:rsidRDefault="005C2A28">
      <w:pPr>
        <w:pStyle w:val="EndnoteText"/>
        <w:rPr>
          <w:rFonts w:asciiTheme="minorHAnsi" w:hAnsiTheme="minorHAnsi" w:cstheme="minorHAnsi"/>
          <w:lang w:val="en-CA"/>
        </w:rPr>
      </w:pPr>
      <w:r w:rsidRPr="008E7A06">
        <w:rPr>
          <w:rStyle w:val="EndnoteReference"/>
          <w:rFonts w:asciiTheme="minorHAnsi" w:hAnsiTheme="minorHAnsi" w:cstheme="minorHAnsi"/>
          <w:sz w:val="18"/>
          <w:szCs w:val="18"/>
        </w:rPr>
        <w:endnoteRef/>
      </w:r>
      <w:r w:rsidRPr="008E7A06">
        <w:rPr>
          <w:rFonts w:asciiTheme="minorHAnsi" w:hAnsiTheme="minorHAnsi" w:cstheme="minorHAnsi"/>
          <w:sz w:val="18"/>
          <w:szCs w:val="18"/>
        </w:rPr>
        <w:t xml:space="preserve"> </w:t>
      </w:r>
      <w:hyperlink r:id="rId80" w:history="1">
        <w:r w:rsidRPr="008E7A06">
          <w:rPr>
            <w:rStyle w:val="Hyperlink"/>
            <w:rFonts w:asciiTheme="minorHAnsi" w:hAnsiTheme="minorHAnsi" w:cstheme="minorHAnsi"/>
            <w:sz w:val="18"/>
            <w:szCs w:val="18"/>
          </w:rPr>
          <w:t>www.hivlegalnetwork.ca/site/dependent-on-rights-assessing-treatment-of-drug-dependence-from-a-human-rights-perspective/?lang=en</w:t>
        </w:r>
      </w:hyperlink>
    </w:p>
  </w:endnote>
  <w:endnote w:id="79">
    <w:p w14:paraId="75F904A6" w14:textId="2919B5A3" w:rsidR="008025F9" w:rsidRPr="005B1EB5" w:rsidRDefault="008025F9">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1" w:history="1">
        <w:r w:rsidRPr="005B1EB5">
          <w:rPr>
            <w:rStyle w:val="Hyperlink"/>
            <w:rFonts w:asciiTheme="minorHAnsi" w:hAnsiTheme="minorHAnsi" w:cstheme="minorHAnsi"/>
            <w:sz w:val="18"/>
            <w:szCs w:val="18"/>
          </w:rPr>
          <w:t>www.cbc.ca/news/canada/private-addiction-treatment-centres-unregulated-danger-9.6948952</w:t>
        </w:r>
      </w:hyperlink>
      <w:r w:rsidRPr="005B1EB5">
        <w:rPr>
          <w:rFonts w:asciiTheme="minorHAnsi" w:hAnsiTheme="minorHAnsi" w:cstheme="minorHAnsi"/>
          <w:sz w:val="18"/>
          <w:szCs w:val="18"/>
        </w:rPr>
        <w:t xml:space="preserve"> </w:t>
      </w:r>
    </w:p>
  </w:endnote>
  <w:endnote w:id="80">
    <w:p w14:paraId="617DBB73" w14:textId="43AB28DC" w:rsidR="00D64A60" w:rsidRPr="005B1EB5" w:rsidRDefault="00D64A60">
      <w:pPr>
        <w:pStyle w:val="EndnoteText"/>
        <w:rPr>
          <w:rFonts w:asciiTheme="minorHAnsi" w:hAnsiTheme="minorHAnsi" w:cstheme="minorHAnsi"/>
          <w:sz w:val="18"/>
          <w:szCs w:val="18"/>
          <w:lang w:val="fr-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lang w:val="fr-CA"/>
        </w:rPr>
        <w:t xml:space="preserve"> </w:t>
      </w:r>
      <w:hyperlink r:id="rId82" w:history="1">
        <w:r w:rsidR="000E4DCB" w:rsidRPr="005B1EB5">
          <w:rPr>
            <w:rStyle w:val="Hyperlink"/>
            <w:rFonts w:asciiTheme="minorHAnsi" w:hAnsiTheme="minorHAnsi" w:cstheme="minorHAnsi"/>
            <w:sz w:val="18"/>
            <w:szCs w:val="18"/>
            <w:lang w:val="fr-CA"/>
          </w:rPr>
          <w:t>www.legisquebec.gouv.qc.ca/fr/document/rc/S-4.2, r. 0.1?langCont=en</w:t>
        </w:r>
      </w:hyperlink>
      <w:r w:rsidR="000E4DCB" w:rsidRPr="005B1EB5">
        <w:rPr>
          <w:rFonts w:asciiTheme="minorHAnsi" w:hAnsiTheme="minorHAnsi" w:cstheme="minorHAnsi"/>
          <w:sz w:val="18"/>
          <w:szCs w:val="18"/>
          <w:lang w:val="fr-CA"/>
        </w:rPr>
        <w:t xml:space="preserve"> </w:t>
      </w:r>
    </w:p>
  </w:endnote>
  <w:endnote w:id="81">
    <w:p w14:paraId="226FBE1C" w14:textId="493C068B" w:rsidR="00C17FB7" w:rsidRPr="005B1EB5" w:rsidRDefault="00C17FB7">
      <w:pPr>
        <w:pStyle w:val="EndnoteText"/>
        <w:rPr>
          <w:rFonts w:asciiTheme="minorHAnsi" w:hAnsiTheme="minorHAnsi" w:cstheme="minorHAnsi"/>
          <w:sz w:val="18"/>
          <w:szCs w:val="18"/>
          <w:lang w:val="fr-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lang w:val="fr-CA"/>
        </w:rPr>
        <w:t xml:space="preserve"> </w:t>
      </w:r>
      <w:hyperlink r:id="rId83" w:history="1">
        <w:r w:rsidR="0062641B" w:rsidRPr="005B1EB5">
          <w:rPr>
            <w:rStyle w:val="Hyperlink"/>
            <w:rFonts w:asciiTheme="minorHAnsi" w:hAnsiTheme="minorHAnsi" w:cstheme="minorHAnsi"/>
            <w:sz w:val="18"/>
            <w:szCs w:val="18"/>
            <w:lang w:val="fr-CA"/>
          </w:rPr>
          <w:t>pubmed.ncbi.nlm.nih.gov/40157735/</w:t>
        </w:r>
      </w:hyperlink>
      <w:r w:rsidR="0062641B" w:rsidRPr="005B1EB5">
        <w:rPr>
          <w:rFonts w:asciiTheme="minorHAnsi" w:hAnsiTheme="minorHAnsi" w:cstheme="minorHAnsi"/>
          <w:sz w:val="18"/>
          <w:szCs w:val="18"/>
          <w:lang w:val="fr-CA"/>
        </w:rPr>
        <w:t xml:space="preserve"> </w:t>
      </w:r>
    </w:p>
  </w:endnote>
  <w:endnote w:id="82">
    <w:p w14:paraId="0E5D5E32" w14:textId="1ED3EC99" w:rsidR="00241BEC" w:rsidRPr="005B1EB5" w:rsidRDefault="00241BE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4" w:history="1">
        <w:r w:rsidRPr="005B1EB5">
          <w:rPr>
            <w:rStyle w:val="Hyperlink"/>
            <w:rFonts w:asciiTheme="minorHAnsi" w:hAnsiTheme="minorHAnsi" w:cstheme="minorHAnsi"/>
            <w:sz w:val="18"/>
            <w:szCs w:val="18"/>
          </w:rPr>
          <w:t>amho.ca/wp-content/uploads/2025/03/Unlocking-Solutions_Understanding-and-Addressing-Ontarios-Mental-Health-and-Addictions-Supportive-Housing-Needs-AMHO2025.pdf</w:t>
        </w:r>
      </w:hyperlink>
      <w:r w:rsidRPr="005B1EB5">
        <w:rPr>
          <w:rFonts w:asciiTheme="minorHAnsi" w:hAnsiTheme="minorHAnsi" w:cstheme="minorHAnsi"/>
          <w:sz w:val="18"/>
          <w:szCs w:val="18"/>
        </w:rPr>
        <w:t xml:space="preserve"> </w:t>
      </w:r>
    </w:p>
  </w:endnote>
  <w:endnote w:id="83">
    <w:p w14:paraId="2976F282" w14:textId="432864DA" w:rsidR="00D9633C" w:rsidRPr="005B1EB5" w:rsidRDefault="00D9633C" w:rsidP="00D9633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5" w:history="1">
        <w:r w:rsidRPr="005B1EB5">
          <w:rPr>
            <w:rFonts w:asciiTheme="minorHAnsi" w:hAnsiTheme="minorHAnsi" w:cstheme="minorHAnsi"/>
            <w:color w:val="094FD1"/>
            <w:sz w:val="18"/>
            <w:szCs w:val="18"/>
            <w:u w:val="single" w:color="094FD1"/>
          </w:rPr>
          <w:t>calgaryherald.com/news/politics/alberta-build-mandatory-drug-treatment-centres-calgary</w:t>
        </w:r>
      </w:hyperlink>
    </w:p>
  </w:endnote>
  <w:endnote w:id="84">
    <w:p w14:paraId="534240A3" w14:textId="7FB1CCAB" w:rsidR="00D9633C" w:rsidRPr="005B1EB5" w:rsidRDefault="00D9633C" w:rsidP="00D9633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6" w:history="1">
        <w:r w:rsidRPr="005B1EB5">
          <w:rPr>
            <w:rStyle w:val="Hyperlink"/>
            <w:rFonts w:asciiTheme="minorHAnsi" w:hAnsiTheme="minorHAnsi" w:cstheme="minorHAnsi"/>
            <w:sz w:val="18"/>
            <w:szCs w:val="18"/>
          </w:rPr>
          <w:t>news.gov.bc.ca/releases/2024PREM0043-001532</w:t>
        </w:r>
      </w:hyperlink>
      <w:r w:rsidRPr="005B1EB5">
        <w:rPr>
          <w:rFonts w:asciiTheme="minorHAnsi" w:hAnsiTheme="minorHAnsi" w:cstheme="minorHAnsi"/>
          <w:sz w:val="18"/>
          <w:szCs w:val="18"/>
        </w:rPr>
        <w:t xml:space="preserve"> </w:t>
      </w:r>
    </w:p>
  </w:endnote>
  <w:endnote w:id="85">
    <w:p w14:paraId="68A06F92" w14:textId="6305B547" w:rsidR="0070699E" w:rsidRPr="005B1EB5" w:rsidRDefault="0070699E">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7" w:history="1">
        <w:r w:rsidRPr="005B1EB5">
          <w:rPr>
            <w:rStyle w:val="Hyperlink"/>
            <w:rFonts w:asciiTheme="minorHAnsi" w:hAnsiTheme="minorHAnsi" w:cstheme="minorHAnsi"/>
            <w:sz w:val="18"/>
            <w:szCs w:val="18"/>
          </w:rPr>
          <w:t>journals.lww.com/cja/abstract/2023/06000/involuntary_treatment_for_adult_nonoffenders_with.5.aspx</w:t>
        </w:r>
      </w:hyperlink>
      <w:r w:rsidRPr="005B1EB5">
        <w:rPr>
          <w:rFonts w:asciiTheme="minorHAnsi" w:hAnsiTheme="minorHAnsi" w:cstheme="minorHAnsi"/>
          <w:sz w:val="18"/>
          <w:szCs w:val="18"/>
        </w:rPr>
        <w:t xml:space="preserve"> </w:t>
      </w:r>
    </w:p>
  </w:endnote>
  <w:endnote w:id="86">
    <w:p w14:paraId="20868AFA" w14:textId="6D085A0E" w:rsidR="00E14A3A" w:rsidRPr="005B1EB5" w:rsidRDefault="00E14A3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8" w:history="1">
        <w:r w:rsidRPr="005B1EB5">
          <w:rPr>
            <w:rStyle w:val="Hyperlink"/>
            <w:rFonts w:asciiTheme="minorHAnsi" w:hAnsiTheme="minorHAnsi" w:cstheme="minorHAnsi"/>
            <w:sz w:val="18"/>
            <w:szCs w:val="18"/>
          </w:rPr>
          <w:t>journals.lww.com/cja/fulltext/2023/12000/effectiveness_of_involuntary_treatment_for.2.aspx</w:t>
        </w:r>
      </w:hyperlink>
      <w:r w:rsidRPr="005B1EB5">
        <w:rPr>
          <w:rFonts w:asciiTheme="minorHAnsi" w:hAnsiTheme="minorHAnsi" w:cstheme="minorHAnsi"/>
          <w:sz w:val="18"/>
          <w:szCs w:val="18"/>
        </w:rPr>
        <w:t xml:space="preserve"> </w:t>
      </w:r>
    </w:p>
  </w:endnote>
  <w:endnote w:id="87">
    <w:p w14:paraId="7A62F6FC" w14:textId="7473AF30" w:rsidR="00E14A3A" w:rsidRPr="005B1EB5" w:rsidRDefault="00E14A3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89" w:history="1">
        <w:r w:rsidRPr="005B1EB5">
          <w:rPr>
            <w:rStyle w:val="Hyperlink"/>
            <w:rFonts w:asciiTheme="minorHAnsi" w:hAnsiTheme="minorHAnsi" w:cstheme="minorHAnsi"/>
            <w:sz w:val="18"/>
            <w:szCs w:val="18"/>
          </w:rPr>
          <w:t>pmc.ncbi.nlm.nih.gov/articles/PMC4752879/pdf/nihms751135.pdf</w:t>
        </w:r>
      </w:hyperlink>
      <w:r w:rsidRPr="005B1EB5">
        <w:rPr>
          <w:rFonts w:asciiTheme="minorHAnsi" w:hAnsiTheme="minorHAnsi" w:cstheme="minorHAnsi"/>
          <w:sz w:val="18"/>
          <w:szCs w:val="18"/>
        </w:rPr>
        <w:t xml:space="preserve"> </w:t>
      </w:r>
    </w:p>
  </w:endnote>
  <w:endnote w:id="88">
    <w:p w14:paraId="2F9958F2" w14:textId="1514B80E" w:rsidR="00E14A3A" w:rsidRPr="005B1EB5" w:rsidRDefault="00E14A3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0" w:history="1">
        <w:r w:rsidRPr="005B1EB5">
          <w:rPr>
            <w:rStyle w:val="Hyperlink"/>
            <w:rFonts w:asciiTheme="minorHAnsi" w:hAnsiTheme="minorHAnsi" w:cstheme="minorHAnsi"/>
            <w:sz w:val="18"/>
            <w:szCs w:val="18"/>
          </w:rPr>
          <w:t>pubmed.ncbi.nlm.nih.gov/27964869/</w:t>
        </w:r>
      </w:hyperlink>
      <w:r w:rsidRPr="005B1EB5">
        <w:rPr>
          <w:rFonts w:asciiTheme="minorHAnsi" w:hAnsiTheme="minorHAnsi" w:cstheme="minorHAnsi"/>
          <w:sz w:val="18"/>
          <w:szCs w:val="18"/>
        </w:rPr>
        <w:t xml:space="preserve"> </w:t>
      </w:r>
    </w:p>
  </w:endnote>
  <w:endnote w:id="89">
    <w:p w14:paraId="54659F7B" w14:textId="56E5AF0D" w:rsidR="00E14A3A" w:rsidRPr="005B1EB5" w:rsidRDefault="00E14A3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1" w:history="1">
        <w:r w:rsidRPr="005B1EB5">
          <w:rPr>
            <w:rStyle w:val="Hyperlink"/>
            <w:rFonts w:asciiTheme="minorHAnsi" w:hAnsiTheme="minorHAnsi" w:cstheme="minorHAnsi"/>
            <w:sz w:val="18"/>
            <w:szCs w:val="18"/>
          </w:rPr>
          <w:t>onlinelibrary.wiley.com/doi/abs/10.1111/add.14769</w:t>
        </w:r>
      </w:hyperlink>
      <w:r w:rsidRPr="005B1EB5">
        <w:rPr>
          <w:rFonts w:asciiTheme="minorHAnsi" w:hAnsiTheme="minorHAnsi" w:cstheme="minorHAnsi"/>
          <w:sz w:val="18"/>
          <w:szCs w:val="18"/>
        </w:rPr>
        <w:t xml:space="preserve"> </w:t>
      </w:r>
    </w:p>
  </w:endnote>
  <w:endnote w:id="90">
    <w:p w14:paraId="7301EFB3" w14:textId="447967E1" w:rsidR="00E14A3A" w:rsidRPr="005B1EB5" w:rsidRDefault="00E14A3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2" w:anchor="citeas" w:history="1">
        <w:r w:rsidRPr="005B1EB5">
          <w:rPr>
            <w:rStyle w:val="Hyperlink"/>
            <w:rFonts w:asciiTheme="minorHAnsi" w:hAnsiTheme="minorHAnsi" w:cstheme="minorHAnsi"/>
            <w:sz w:val="18"/>
            <w:szCs w:val="18"/>
          </w:rPr>
          <w:t>harmreductionjournal.biomedcentral.com/articles/10.1186/s12954-024-00999-8#citeas</w:t>
        </w:r>
      </w:hyperlink>
      <w:r w:rsidRPr="005B1EB5">
        <w:rPr>
          <w:rFonts w:asciiTheme="minorHAnsi" w:hAnsiTheme="minorHAnsi" w:cstheme="minorHAnsi"/>
          <w:sz w:val="18"/>
          <w:szCs w:val="18"/>
        </w:rPr>
        <w:t xml:space="preserve"> </w:t>
      </w:r>
    </w:p>
  </w:endnote>
  <w:endnote w:id="91">
    <w:p w14:paraId="7D69BBB6" w14:textId="0092FAA2" w:rsidR="00E14A3A" w:rsidRPr="005B1EB5" w:rsidRDefault="00E14A3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3" w:history="1">
        <w:r w:rsidRPr="005B1EB5">
          <w:rPr>
            <w:rStyle w:val="Hyperlink"/>
            <w:rFonts w:asciiTheme="minorHAnsi" w:hAnsiTheme="minorHAnsi" w:cstheme="minorHAnsi"/>
            <w:sz w:val="18"/>
            <w:szCs w:val="18"/>
          </w:rPr>
          <w:t>journals.sagepub.com/doi/abs/10.1177/1073110520979384</w:t>
        </w:r>
      </w:hyperlink>
      <w:r w:rsidRPr="005B1EB5">
        <w:rPr>
          <w:rFonts w:asciiTheme="minorHAnsi" w:hAnsiTheme="minorHAnsi" w:cstheme="minorHAnsi"/>
          <w:sz w:val="18"/>
          <w:szCs w:val="18"/>
        </w:rPr>
        <w:t xml:space="preserve"> </w:t>
      </w:r>
    </w:p>
  </w:endnote>
  <w:endnote w:id="92">
    <w:p w14:paraId="7E73BC42" w14:textId="21A5CECD" w:rsidR="00E57CB7" w:rsidRPr="005B1EB5" w:rsidRDefault="00E57CB7">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4" w:history="1">
        <w:r w:rsidRPr="005B1EB5">
          <w:rPr>
            <w:rStyle w:val="Hyperlink"/>
            <w:rFonts w:asciiTheme="minorHAnsi" w:hAnsiTheme="minorHAnsi" w:cstheme="minorHAnsi"/>
            <w:sz w:val="18"/>
            <w:szCs w:val="18"/>
          </w:rPr>
          <w:t>bcombudsperson.ca/investigative_report/committed-to-change-protecting-the-rights-of-involuntary-patients-under-the-mental-health-act/</w:t>
        </w:r>
      </w:hyperlink>
      <w:r w:rsidRPr="005B1EB5">
        <w:rPr>
          <w:rFonts w:asciiTheme="minorHAnsi" w:hAnsiTheme="minorHAnsi" w:cstheme="minorHAnsi"/>
          <w:sz w:val="18"/>
          <w:szCs w:val="18"/>
        </w:rPr>
        <w:t xml:space="preserve"> </w:t>
      </w:r>
    </w:p>
  </w:endnote>
  <w:endnote w:id="93">
    <w:p w14:paraId="3AFCC931" w14:textId="70FB5FEB" w:rsidR="00856387" w:rsidRPr="005B1EB5" w:rsidRDefault="00856387">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5" w:history="1">
        <w:r w:rsidRPr="005B1EB5">
          <w:rPr>
            <w:rStyle w:val="Hyperlink"/>
            <w:rFonts w:asciiTheme="minorHAnsi" w:hAnsiTheme="minorHAnsi" w:cstheme="minorHAnsi"/>
            <w:sz w:val="18"/>
            <w:szCs w:val="18"/>
          </w:rPr>
          <w:t>bcombudsperson.ca/wp-content/uploads/2025/08/OMB-Committed-to-Change-FINAL-web.pdf</w:t>
        </w:r>
      </w:hyperlink>
      <w:r w:rsidRPr="005B1EB5">
        <w:rPr>
          <w:rFonts w:asciiTheme="minorHAnsi" w:hAnsiTheme="minorHAnsi" w:cstheme="minorHAnsi"/>
          <w:sz w:val="18"/>
          <w:szCs w:val="18"/>
        </w:rPr>
        <w:t xml:space="preserve"> </w:t>
      </w:r>
    </w:p>
  </w:endnote>
  <w:endnote w:id="94">
    <w:p w14:paraId="0E31B8E6" w14:textId="769BB0B8" w:rsidR="008A006E" w:rsidRPr="005B1EB5" w:rsidRDefault="008A006E">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6" w:history="1">
        <w:r w:rsidRPr="005B1EB5">
          <w:rPr>
            <w:rStyle w:val="Hyperlink"/>
            <w:rFonts w:asciiTheme="minorHAnsi" w:hAnsiTheme="minorHAnsi" w:cstheme="minorHAnsi"/>
            <w:sz w:val="18"/>
            <w:szCs w:val="18"/>
          </w:rPr>
          <w:t>journals.lww.com/cja/abstract/2020/03000/the_ethics_of_compulsory_treatment_of_addictions.2.aspx</w:t>
        </w:r>
      </w:hyperlink>
      <w:r w:rsidRPr="005B1EB5">
        <w:rPr>
          <w:rFonts w:asciiTheme="minorHAnsi" w:hAnsiTheme="minorHAnsi" w:cstheme="minorHAnsi"/>
          <w:sz w:val="18"/>
          <w:szCs w:val="18"/>
        </w:rPr>
        <w:t xml:space="preserve"> </w:t>
      </w:r>
    </w:p>
  </w:endnote>
  <w:endnote w:id="95">
    <w:p w14:paraId="48E3DF77" w14:textId="4DD76C1E" w:rsidR="00656AD5" w:rsidRPr="005B1EB5" w:rsidRDefault="00656AD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7" w:history="1">
        <w:r w:rsidR="00482C4D" w:rsidRPr="005B1EB5">
          <w:rPr>
            <w:rStyle w:val="Hyperlink"/>
            <w:rFonts w:asciiTheme="minorHAnsi" w:hAnsiTheme="minorHAnsi" w:cstheme="minorHAnsi"/>
            <w:sz w:val="18"/>
            <w:szCs w:val="18"/>
          </w:rPr>
          <w:t>www.alberta.ca/providing-life-saving-treatment-for-substance-abuse-and-addiction</w:t>
        </w:r>
      </w:hyperlink>
      <w:r w:rsidR="00482C4D" w:rsidRPr="005B1EB5">
        <w:rPr>
          <w:rFonts w:asciiTheme="minorHAnsi" w:hAnsiTheme="minorHAnsi" w:cstheme="minorHAnsi"/>
          <w:sz w:val="18"/>
          <w:szCs w:val="18"/>
        </w:rPr>
        <w:t xml:space="preserve"> </w:t>
      </w:r>
    </w:p>
  </w:endnote>
  <w:endnote w:id="96">
    <w:p w14:paraId="0326DD28" w14:textId="5C5B9CAE" w:rsidR="00336863" w:rsidRPr="005B1EB5" w:rsidRDefault="0033686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8" w:history="1">
        <w:r w:rsidRPr="005B1EB5">
          <w:rPr>
            <w:rFonts w:asciiTheme="minorHAnsi" w:hAnsiTheme="minorHAnsi" w:cstheme="minorHAnsi"/>
            <w:color w:val="094FD1"/>
            <w:sz w:val="18"/>
            <w:szCs w:val="18"/>
            <w:u w:val="single" w:color="094FD1"/>
          </w:rPr>
          <w:t>pmc.ncbi.nlm.nih.gov/articles/PMC12638111/</w:t>
        </w:r>
      </w:hyperlink>
      <w:r w:rsidRPr="005B1EB5">
        <w:rPr>
          <w:rFonts w:asciiTheme="minorHAnsi" w:hAnsiTheme="minorHAnsi" w:cstheme="minorHAnsi"/>
          <w:sz w:val="18"/>
          <w:szCs w:val="18"/>
        </w:rPr>
        <w:t xml:space="preserve"> </w:t>
      </w:r>
    </w:p>
  </w:endnote>
  <w:endnote w:id="97">
    <w:p w14:paraId="4AFE9677" w14:textId="41969AA0" w:rsidR="00637895" w:rsidRPr="005B1EB5" w:rsidRDefault="0063789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99" w:history="1">
        <w:r w:rsidRPr="005B1EB5">
          <w:rPr>
            <w:rFonts w:asciiTheme="minorHAnsi" w:hAnsiTheme="minorHAnsi" w:cstheme="minorHAnsi"/>
            <w:color w:val="094FD1"/>
            <w:sz w:val="18"/>
            <w:szCs w:val="18"/>
            <w:u w:val="single" w:color="094FD1"/>
          </w:rPr>
          <w:t>www.canlii.org/en/ab/laws/stat/sa-2025-c-c-21.5/latest/sa-2025-c-c-21.5.html</w:t>
        </w:r>
      </w:hyperlink>
    </w:p>
  </w:endnote>
  <w:endnote w:id="98">
    <w:p w14:paraId="23048C0F" w14:textId="49B6B6AE" w:rsidR="00336863" w:rsidRPr="005B1EB5" w:rsidRDefault="0033686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0" w:history="1">
        <w:r w:rsidRPr="005B1EB5">
          <w:rPr>
            <w:rStyle w:val="Hyperlink"/>
            <w:rFonts w:asciiTheme="minorHAnsi" w:hAnsiTheme="minorHAnsi" w:cstheme="minorHAnsi"/>
            <w:sz w:val="18"/>
            <w:szCs w:val="18"/>
          </w:rPr>
          <w:t>www.aclrc.com/blog/albertas-compassionate-intervention-act-and-charter-rights/</w:t>
        </w:r>
      </w:hyperlink>
      <w:r w:rsidRPr="005B1EB5">
        <w:rPr>
          <w:rFonts w:asciiTheme="minorHAnsi" w:hAnsiTheme="minorHAnsi" w:cstheme="minorHAnsi"/>
          <w:sz w:val="18"/>
          <w:szCs w:val="18"/>
        </w:rPr>
        <w:t xml:space="preserve">  </w:t>
      </w:r>
    </w:p>
  </w:endnote>
  <w:endnote w:id="99">
    <w:p w14:paraId="61A5408D" w14:textId="018B00CA" w:rsidR="006F7B93" w:rsidRPr="005B1EB5" w:rsidRDefault="006F7B93">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1" w:history="1">
        <w:r w:rsidR="0099714B" w:rsidRPr="005B1EB5">
          <w:rPr>
            <w:rStyle w:val="Hyperlink"/>
            <w:rFonts w:asciiTheme="minorHAnsi" w:hAnsiTheme="minorHAnsi" w:cstheme="minorHAnsi"/>
            <w:sz w:val="18"/>
            <w:szCs w:val="18"/>
          </w:rPr>
          <w:t>www.thetrillium.ca/news/health/growing-encampments-prompt-ontario-mayors-to-call-for-forced-treatment-9604774</w:t>
        </w:r>
      </w:hyperlink>
      <w:r w:rsidR="0099714B" w:rsidRPr="005B1EB5">
        <w:rPr>
          <w:rFonts w:asciiTheme="minorHAnsi" w:hAnsiTheme="minorHAnsi" w:cstheme="minorHAnsi"/>
          <w:sz w:val="18"/>
          <w:szCs w:val="18"/>
        </w:rPr>
        <w:t xml:space="preserve"> </w:t>
      </w:r>
    </w:p>
  </w:endnote>
  <w:endnote w:id="100">
    <w:p w14:paraId="34232992" w14:textId="5E0699F6" w:rsidR="000C1F9B" w:rsidRPr="005B1EB5" w:rsidRDefault="000C1F9B">
      <w:pPr>
        <w:pStyle w:val="EndnoteText"/>
        <w:rPr>
          <w:rFonts w:asciiTheme="minorHAnsi" w:hAnsiTheme="minorHAnsi" w:cstheme="minorHAnsi"/>
        </w:rPr>
      </w:pPr>
      <w:r w:rsidRPr="005B1EB5">
        <w:rPr>
          <w:rStyle w:val="EndnoteReference"/>
          <w:rFonts w:asciiTheme="minorHAnsi" w:hAnsiTheme="minorHAnsi" w:cstheme="minorHAnsi"/>
        </w:rPr>
        <w:endnoteRef/>
      </w:r>
      <w:r w:rsidRPr="005B1EB5">
        <w:rPr>
          <w:rFonts w:asciiTheme="minorHAnsi" w:hAnsiTheme="minorHAnsi" w:cstheme="minorHAnsi"/>
        </w:rPr>
        <w:t xml:space="preserve"> </w:t>
      </w:r>
      <w:hyperlink r:id="rId102" w:history="1">
        <w:r w:rsidR="005B26A3" w:rsidRPr="005B1EB5">
          <w:rPr>
            <w:rStyle w:val="Hyperlink"/>
            <w:rFonts w:asciiTheme="minorHAnsi" w:hAnsiTheme="minorHAnsi" w:cstheme="minorHAnsi"/>
            <w:i/>
            <w:iCs/>
            <w:sz w:val="18"/>
            <w:szCs w:val="18"/>
            <w:shd w:val="clear" w:color="auto" w:fill="F9FAFB"/>
          </w:rPr>
          <w:t>R. v. Wilson</w:t>
        </w:r>
      </w:hyperlink>
      <w:r w:rsidR="005B26A3" w:rsidRPr="005B1EB5">
        <w:rPr>
          <w:rFonts w:asciiTheme="minorHAnsi" w:hAnsiTheme="minorHAnsi" w:cstheme="minorHAnsi"/>
          <w:color w:val="212529"/>
          <w:sz w:val="18"/>
          <w:szCs w:val="18"/>
          <w:shd w:val="clear" w:color="auto" w:fill="F9FAFB"/>
        </w:rPr>
        <w:t>, 2025 SCC 32</w:t>
      </w:r>
    </w:p>
  </w:endnote>
  <w:endnote w:id="101">
    <w:p w14:paraId="6232FA6E" w14:textId="4CA9F51D" w:rsidR="00C70176" w:rsidRPr="005B1EB5" w:rsidRDefault="00C7017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3" w:history="1">
        <w:r w:rsidRPr="005B1EB5">
          <w:rPr>
            <w:rStyle w:val="Hyperlink"/>
            <w:rFonts w:asciiTheme="minorHAnsi" w:hAnsiTheme="minorHAnsi" w:cstheme="minorHAnsi"/>
            <w:sz w:val="18"/>
            <w:szCs w:val="18"/>
          </w:rPr>
          <w:t>www.cbc.ca/news/canada/british-columbia/supervised-consumption-site-scale-back-poilievre-1.7262063</w:t>
        </w:r>
      </w:hyperlink>
      <w:r w:rsidRPr="005B1EB5">
        <w:rPr>
          <w:rFonts w:asciiTheme="minorHAnsi" w:hAnsiTheme="minorHAnsi" w:cstheme="minorHAnsi"/>
          <w:sz w:val="18"/>
          <w:szCs w:val="18"/>
        </w:rPr>
        <w:t xml:space="preserve"> </w:t>
      </w:r>
    </w:p>
  </w:endnote>
  <w:endnote w:id="102">
    <w:p w14:paraId="744E26A8" w14:textId="2F2D2810" w:rsidR="00B3761C" w:rsidRPr="005B1EB5" w:rsidRDefault="00B3761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4" w:history="1">
        <w:r w:rsidR="00040DE6" w:rsidRPr="005B1EB5">
          <w:rPr>
            <w:rStyle w:val="Hyperlink"/>
            <w:rFonts w:asciiTheme="minorHAnsi" w:hAnsiTheme="minorHAnsi" w:cstheme="minorHAnsi"/>
            <w:sz w:val="18"/>
            <w:szCs w:val="18"/>
          </w:rPr>
          <w:t>pressprogress.ca/why-pierre-poilievres-video-attacking-safe-supply-is-misleading-and-dangerous/</w:t>
        </w:r>
      </w:hyperlink>
      <w:r w:rsidR="00040DE6" w:rsidRPr="005B1EB5">
        <w:rPr>
          <w:rFonts w:asciiTheme="minorHAnsi" w:hAnsiTheme="minorHAnsi" w:cstheme="minorHAnsi"/>
          <w:sz w:val="18"/>
          <w:szCs w:val="18"/>
        </w:rPr>
        <w:t xml:space="preserve"> </w:t>
      </w:r>
    </w:p>
  </w:endnote>
  <w:endnote w:id="103">
    <w:p w14:paraId="2013219E" w14:textId="7266BA89" w:rsidR="00D90AC5" w:rsidRPr="005B1EB5" w:rsidRDefault="00D90AC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5" w:history="1">
        <w:r w:rsidR="00AA2467" w:rsidRPr="005B1EB5">
          <w:rPr>
            <w:rStyle w:val="Hyperlink"/>
            <w:rFonts w:asciiTheme="minorHAnsi" w:hAnsiTheme="minorHAnsi" w:cstheme="minorHAnsi"/>
            <w:sz w:val="18"/>
            <w:szCs w:val="18"/>
          </w:rPr>
          <w:t>www.ourcommons.ca/committees/en/HESA/StudyActivity?studyActivityId=12437048</w:t>
        </w:r>
      </w:hyperlink>
      <w:r w:rsidR="00AA2467" w:rsidRPr="005B1EB5">
        <w:rPr>
          <w:rFonts w:asciiTheme="minorHAnsi" w:hAnsiTheme="minorHAnsi" w:cstheme="minorHAnsi"/>
          <w:sz w:val="18"/>
          <w:szCs w:val="18"/>
        </w:rPr>
        <w:t xml:space="preserve"> </w:t>
      </w:r>
    </w:p>
  </w:endnote>
  <w:endnote w:id="104">
    <w:p w14:paraId="7D839EFE" w14:textId="6A0F19F8" w:rsidR="009C08FA" w:rsidRPr="005B1EB5" w:rsidRDefault="009C08FA">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6" w:anchor="Int-12787647" w:history="1">
        <w:r w:rsidRPr="005B1EB5">
          <w:rPr>
            <w:rStyle w:val="Hyperlink"/>
            <w:rFonts w:asciiTheme="minorHAnsi" w:hAnsiTheme="minorHAnsi" w:cstheme="minorHAnsi"/>
            <w:sz w:val="18"/>
            <w:szCs w:val="18"/>
          </w:rPr>
          <w:t>www.ourcommons.ca/documentviewer/en/44-1/HESA/meeting-120/evidence#Int-12787647</w:t>
        </w:r>
      </w:hyperlink>
      <w:r w:rsidRPr="005B1EB5">
        <w:rPr>
          <w:rFonts w:asciiTheme="minorHAnsi" w:hAnsiTheme="minorHAnsi" w:cstheme="minorHAnsi"/>
          <w:sz w:val="18"/>
          <w:szCs w:val="18"/>
        </w:rPr>
        <w:t xml:space="preserve"> </w:t>
      </w:r>
    </w:p>
  </w:endnote>
  <w:endnote w:id="105">
    <w:p w14:paraId="281CCE69" w14:textId="77777777" w:rsidR="001C620E" w:rsidRPr="005B1EB5" w:rsidRDefault="001C620E" w:rsidP="001C620E">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7" w:history="1">
        <w:r w:rsidRPr="005B1EB5">
          <w:rPr>
            <w:rStyle w:val="Hyperlink"/>
            <w:rFonts w:asciiTheme="minorHAnsi" w:hAnsiTheme="minorHAnsi" w:cstheme="minorHAnsi"/>
            <w:sz w:val="18"/>
            <w:szCs w:val="18"/>
          </w:rPr>
          <w:t>www.canada.ca/en/health-canada/services/substance-use/supervised-consumption-sites/explained.html</w:t>
        </w:r>
      </w:hyperlink>
      <w:r w:rsidRPr="005B1EB5">
        <w:rPr>
          <w:rFonts w:asciiTheme="minorHAnsi" w:hAnsiTheme="minorHAnsi" w:cstheme="minorHAnsi"/>
          <w:sz w:val="18"/>
          <w:szCs w:val="18"/>
        </w:rPr>
        <w:t xml:space="preserve"> </w:t>
      </w:r>
    </w:p>
  </w:endnote>
  <w:endnote w:id="106">
    <w:p w14:paraId="7EFDBADD" w14:textId="7FA6A63F" w:rsidR="004F6A4C" w:rsidRPr="005B1EB5" w:rsidRDefault="004F6A4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8" w:anchor="a5" w:history="1">
        <w:r w:rsidRPr="005B1EB5">
          <w:rPr>
            <w:rStyle w:val="Hyperlink"/>
            <w:rFonts w:asciiTheme="minorHAnsi" w:hAnsiTheme="minorHAnsi" w:cstheme="minorHAnsi"/>
            <w:sz w:val="18"/>
            <w:szCs w:val="18"/>
          </w:rPr>
          <w:t>health-infobase.canada.ca/supervised-consumption-sites/#a5</w:t>
        </w:r>
      </w:hyperlink>
      <w:r w:rsidRPr="005B1EB5">
        <w:rPr>
          <w:rFonts w:asciiTheme="minorHAnsi" w:hAnsiTheme="minorHAnsi" w:cstheme="minorHAnsi"/>
          <w:sz w:val="18"/>
          <w:szCs w:val="18"/>
        </w:rPr>
        <w:t xml:space="preserve"> </w:t>
      </w:r>
    </w:p>
  </w:endnote>
  <w:endnote w:id="107">
    <w:p w14:paraId="4F971168" w14:textId="3744AF5B" w:rsidR="00CC0F66" w:rsidRPr="005B1EB5" w:rsidRDefault="00CC0F6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09" w:history="1">
        <w:r w:rsidRPr="005B1EB5">
          <w:rPr>
            <w:rStyle w:val="Hyperlink"/>
            <w:rFonts w:asciiTheme="minorHAnsi" w:hAnsiTheme="minorHAnsi" w:cstheme="minorHAnsi"/>
            <w:sz w:val="18"/>
            <w:szCs w:val="18"/>
          </w:rPr>
          <w:t>www.ontario.ca/laws/statute/24c27a</w:t>
        </w:r>
      </w:hyperlink>
      <w:r w:rsidRPr="005B1EB5">
        <w:rPr>
          <w:rFonts w:asciiTheme="minorHAnsi" w:hAnsiTheme="minorHAnsi" w:cstheme="minorHAnsi"/>
          <w:sz w:val="18"/>
          <w:szCs w:val="18"/>
        </w:rPr>
        <w:t xml:space="preserve"> </w:t>
      </w:r>
    </w:p>
  </w:endnote>
  <w:endnote w:id="108">
    <w:p w14:paraId="6E18828D" w14:textId="61080242" w:rsidR="00A162DF" w:rsidRPr="005B1EB5" w:rsidRDefault="00A162DF">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0" w:history="1">
        <w:r w:rsidRPr="005B1EB5">
          <w:rPr>
            <w:rStyle w:val="Hyperlink"/>
            <w:rFonts w:asciiTheme="minorHAnsi" w:hAnsiTheme="minorHAnsi" w:cstheme="minorHAnsi"/>
            <w:sz w:val="18"/>
            <w:szCs w:val="18"/>
          </w:rPr>
          <w:t>www.publicationsduquebec.gouv.qc.ca/fileadmin/Fichiers_client/lois_et_reglements/LoisAnnuelles/en/2025/2025C34A.PDF</w:t>
        </w:r>
      </w:hyperlink>
      <w:r w:rsidRPr="005B1EB5">
        <w:rPr>
          <w:rFonts w:asciiTheme="minorHAnsi" w:hAnsiTheme="minorHAnsi" w:cstheme="minorHAnsi"/>
          <w:sz w:val="18"/>
          <w:szCs w:val="18"/>
        </w:rPr>
        <w:t xml:space="preserve"> </w:t>
      </w:r>
    </w:p>
  </w:endnote>
  <w:endnote w:id="109">
    <w:p w14:paraId="381AE558" w14:textId="0B4B93C4" w:rsidR="002503F5" w:rsidRPr="005B1EB5" w:rsidRDefault="002503F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1" w:history="1">
        <w:r w:rsidRPr="005B1EB5">
          <w:rPr>
            <w:rStyle w:val="Hyperlink"/>
            <w:rFonts w:asciiTheme="minorHAnsi" w:hAnsiTheme="minorHAnsi" w:cstheme="minorHAnsi"/>
            <w:sz w:val="18"/>
            <w:szCs w:val="18"/>
          </w:rPr>
          <w:t>www.cbc.ca/news/canada/toronto/legal-challenge-ontario-law-supervised-consumption-sites-free-to-relocate</w:t>
        </w:r>
      </w:hyperlink>
      <w:r w:rsidRPr="005B1EB5">
        <w:rPr>
          <w:rFonts w:asciiTheme="minorHAnsi" w:hAnsiTheme="minorHAnsi" w:cstheme="minorHAnsi"/>
          <w:sz w:val="18"/>
          <w:szCs w:val="18"/>
        </w:rPr>
        <w:t xml:space="preserve">. </w:t>
      </w:r>
    </w:p>
  </w:endnote>
  <w:endnote w:id="110">
    <w:p w14:paraId="62D5735A" w14:textId="6D708E5B" w:rsidR="002D1A1F" w:rsidRPr="005B1EB5" w:rsidRDefault="002D1A1F">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2" w:history="1">
        <w:r w:rsidRPr="005B1EB5">
          <w:rPr>
            <w:rFonts w:asciiTheme="minorHAnsi" w:hAnsiTheme="minorHAnsi" w:cstheme="minorHAnsi"/>
            <w:color w:val="094FD1"/>
            <w:sz w:val="18"/>
            <w:szCs w:val="18"/>
            <w:u w:val="single" w:color="094FD1"/>
          </w:rPr>
          <w:t>jamanetwork.com/journals/jamanetworkopen/fullarticle/2841824</w:t>
        </w:r>
      </w:hyperlink>
      <w:r w:rsidRPr="005B1EB5">
        <w:rPr>
          <w:rFonts w:asciiTheme="minorHAnsi" w:hAnsiTheme="minorHAnsi" w:cstheme="minorHAnsi"/>
          <w:sz w:val="18"/>
          <w:szCs w:val="18"/>
        </w:rPr>
        <w:t xml:space="preserve"> </w:t>
      </w:r>
    </w:p>
  </w:endnote>
  <w:endnote w:id="111">
    <w:p w14:paraId="2D2FAE4B" w14:textId="12123631" w:rsidR="00A37DBB" w:rsidRPr="005B1EB5" w:rsidRDefault="00A37DBB">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3" w:history="1">
        <w:r w:rsidRPr="005B1EB5">
          <w:rPr>
            <w:rFonts w:asciiTheme="minorHAnsi" w:hAnsiTheme="minorHAnsi" w:cstheme="minorHAnsi"/>
            <w:color w:val="094FD1"/>
            <w:sz w:val="18"/>
            <w:szCs w:val="18"/>
            <w:u w:val="single" w:color="094FD1"/>
          </w:rPr>
          <w:t>www.thelancet.com/journals/lanam/article/PIIS2667-193X(25)00032-8/fulltext</w:t>
        </w:r>
      </w:hyperlink>
      <w:r w:rsidRPr="005B1EB5">
        <w:rPr>
          <w:rFonts w:asciiTheme="minorHAnsi" w:hAnsiTheme="minorHAnsi" w:cstheme="minorHAnsi"/>
          <w:sz w:val="18"/>
          <w:szCs w:val="18"/>
        </w:rPr>
        <w:t xml:space="preserve"> </w:t>
      </w:r>
    </w:p>
  </w:endnote>
  <w:endnote w:id="112">
    <w:p w14:paraId="38009B54" w14:textId="5FB5B650" w:rsidR="007116E6" w:rsidRPr="005B1EB5" w:rsidRDefault="007116E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4" w:history="1">
        <w:r w:rsidRPr="005B1EB5">
          <w:rPr>
            <w:rStyle w:val="Hyperlink"/>
            <w:rFonts w:asciiTheme="minorHAnsi" w:hAnsiTheme="minorHAnsi" w:cstheme="minorHAnsi"/>
            <w:sz w:val="18"/>
            <w:szCs w:val="18"/>
          </w:rPr>
          <w:t>www.sciencedirect.com/science/article/abs/pii/S037687162030243X</w:t>
        </w:r>
      </w:hyperlink>
      <w:r w:rsidRPr="005B1EB5">
        <w:rPr>
          <w:rFonts w:asciiTheme="minorHAnsi" w:hAnsiTheme="minorHAnsi" w:cstheme="minorHAnsi"/>
          <w:sz w:val="18"/>
          <w:szCs w:val="18"/>
        </w:rPr>
        <w:t xml:space="preserve"> </w:t>
      </w:r>
    </w:p>
  </w:endnote>
  <w:endnote w:id="113">
    <w:p w14:paraId="7CA36829" w14:textId="592003F6" w:rsidR="002E679B" w:rsidRPr="005B1EB5" w:rsidRDefault="002E679B">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5" w:history="1">
        <w:r w:rsidR="00CE2B43" w:rsidRPr="005B1EB5">
          <w:rPr>
            <w:rStyle w:val="Hyperlink"/>
            <w:rFonts w:asciiTheme="minorHAnsi" w:hAnsiTheme="minorHAnsi" w:cstheme="minorHAnsi"/>
            <w:sz w:val="18"/>
            <w:szCs w:val="18"/>
          </w:rPr>
          <w:t>www.sciencedirect.com/science/article/pii/S0376871624001960</w:t>
        </w:r>
      </w:hyperlink>
      <w:r w:rsidR="00CE2B43" w:rsidRPr="005B1EB5">
        <w:rPr>
          <w:rFonts w:asciiTheme="minorHAnsi" w:hAnsiTheme="minorHAnsi" w:cstheme="minorHAnsi"/>
          <w:sz w:val="18"/>
          <w:szCs w:val="18"/>
        </w:rPr>
        <w:t xml:space="preserve"> </w:t>
      </w:r>
    </w:p>
  </w:endnote>
  <w:endnote w:id="114">
    <w:p w14:paraId="7891F6D8" w14:textId="3C44D999" w:rsidR="00BA4152" w:rsidRPr="005B1EB5" w:rsidRDefault="00BA4152">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6" w:history="1">
        <w:r w:rsidRPr="005B1EB5">
          <w:rPr>
            <w:rStyle w:val="Hyperlink"/>
            <w:rFonts w:asciiTheme="minorHAnsi" w:hAnsiTheme="minorHAnsi" w:cstheme="minorHAnsi"/>
            <w:sz w:val="18"/>
            <w:szCs w:val="18"/>
          </w:rPr>
          <w:t>www.sciencedirect.com/science/article/pii/S095539592300244X?via%3Dihub</w:t>
        </w:r>
      </w:hyperlink>
      <w:r w:rsidRPr="005B1EB5">
        <w:rPr>
          <w:rFonts w:asciiTheme="minorHAnsi" w:hAnsiTheme="minorHAnsi" w:cstheme="minorHAnsi"/>
          <w:sz w:val="18"/>
          <w:szCs w:val="18"/>
        </w:rPr>
        <w:t xml:space="preserve"> </w:t>
      </w:r>
    </w:p>
  </w:endnote>
  <w:endnote w:id="115">
    <w:p w14:paraId="261A774F" w14:textId="385C8545" w:rsidR="00984F99" w:rsidRPr="005B1EB5" w:rsidRDefault="00984F99">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7" w:history="1">
        <w:r w:rsidRPr="005B1EB5">
          <w:rPr>
            <w:rStyle w:val="Hyperlink"/>
            <w:rFonts w:asciiTheme="minorHAnsi" w:hAnsiTheme="minorHAnsi" w:cstheme="minorHAnsi"/>
            <w:sz w:val="18"/>
            <w:szCs w:val="18"/>
          </w:rPr>
          <w:t>odprn.ca/wp-content/uploads/2024/11/OCC_Opioid-Mortality-Summary-2024_Q2-October-2024.pdf</w:t>
        </w:r>
      </w:hyperlink>
      <w:r w:rsidRPr="005B1EB5">
        <w:rPr>
          <w:rFonts w:asciiTheme="minorHAnsi" w:hAnsiTheme="minorHAnsi" w:cstheme="minorHAnsi"/>
          <w:sz w:val="18"/>
          <w:szCs w:val="18"/>
        </w:rPr>
        <w:t xml:space="preserve"> </w:t>
      </w:r>
    </w:p>
  </w:endnote>
  <w:endnote w:id="116">
    <w:p w14:paraId="27C7F923" w14:textId="507174DE" w:rsidR="00B217A6" w:rsidRPr="005B1EB5" w:rsidRDefault="00B217A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8" w:history="1">
        <w:r w:rsidRPr="005B1EB5">
          <w:rPr>
            <w:rStyle w:val="Hyperlink"/>
            <w:rFonts w:asciiTheme="minorHAnsi" w:hAnsiTheme="minorHAnsi" w:cstheme="minorHAnsi"/>
            <w:sz w:val="18"/>
            <w:szCs w:val="18"/>
          </w:rPr>
          <w:t>pmc.ncbi.nlm.nih.gov/articles/PMC12142985/</w:t>
        </w:r>
      </w:hyperlink>
      <w:r w:rsidRPr="005B1EB5">
        <w:rPr>
          <w:rFonts w:asciiTheme="minorHAnsi" w:hAnsiTheme="minorHAnsi" w:cstheme="minorHAnsi"/>
          <w:sz w:val="18"/>
          <w:szCs w:val="18"/>
        </w:rPr>
        <w:t xml:space="preserve"> </w:t>
      </w:r>
    </w:p>
  </w:endnote>
  <w:endnote w:id="117">
    <w:p w14:paraId="5A3E5375" w14:textId="2B9D4975" w:rsidR="0092709E" w:rsidRPr="005B1EB5" w:rsidRDefault="0092709E">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19" w:history="1">
        <w:r w:rsidRPr="005B1EB5">
          <w:rPr>
            <w:rFonts w:asciiTheme="minorHAnsi" w:hAnsiTheme="minorHAnsi" w:cstheme="minorHAnsi"/>
            <w:color w:val="094FD1"/>
            <w:sz w:val="18"/>
            <w:szCs w:val="18"/>
            <w:u w:val="single" w:color="094FD1"/>
          </w:rPr>
          <w:t>odprn.ca/wp-content/uploads/2024/11/Estimating-the-Effects-of-Closing-Supervised-Consumption-Sites-in-Toronto.pdf</w:t>
        </w:r>
      </w:hyperlink>
      <w:r w:rsidRPr="005B1EB5">
        <w:rPr>
          <w:rFonts w:asciiTheme="minorHAnsi" w:hAnsiTheme="minorHAnsi" w:cstheme="minorHAnsi"/>
          <w:sz w:val="18"/>
          <w:szCs w:val="18"/>
        </w:rPr>
        <w:t xml:space="preserve"> </w:t>
      </w:r>
    </w:p>
  </w:endnote>
  <w:endnote w:id="118">
    <w:p w14:paraId="3FBB27BE" w14:textId="170D85BE" w:rsidR="00304C3C" w:rsidRPr="005B1EB5" w:rsidRDefault="00304C3C">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0" w:history="1">
        <w:r w:rsidRPr="005B1EB5">
          <w:rPr>
            <w:rStyle w:val="Hyperlink"/>
            <w:rFonts w:asciiTheme="minorHAnsi" w:hAnsiTheme="minorHAnsi" w:cstheme="minorHAnsi"/>
            <w:sz w:val="18"/>
            <w:szCs w:val="18"/>
          </w:rPr>
          <w:t>www.canada.ca/en/health-canada/services/opioids/responding-canada-opioid-crisis/safer-supply.html</w:t>
        </w:r>
      </w:hyperlink>
      <w:r w:rsidRPr="005B1EB5">
        <w:rPr>
          <w:rFonts w:asciiTheme="minorHAnsi" w:hAnsiTheme="minorHAnsi" w:cstheme="minorHAnsi"/>
          <w:sz w:val="18"/>
          <w:szCs w:val="18"/>
        </w:rPr>
        <w:t xml:space="preserve"> </w:t>
      </w:r>
    </w:p>
  </w:endnote>
  <w:endnote w:id="119">
    <w:p w14:paraId="2CDB99F1" w14:textId="568BA335" w:rsidR="00F662C6" w:rsidRPr="005B1EB5" w:rsidRDefault="00F662C6">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1" w:history="1">
        <w:r w:rsidR="00EE0E8A" w:rsidRPr="005B1EB5">
          <w:rPr>
            <w:rStyle w:val="Hyperlink"/>
            <w:rFonts w:asciiTheme="minorHAnsi" w:hAnsiTheme="minorHAnsi" w:cstheme="minorHAnsi"/>
            <w:sz w:val="18"/>
            <w:szCs w:val="18"/>
          </w:rPr>
          <w:t>www.substanceusehealth.ca/sites/default/files/Prescribed Alternatives Programs in Ontario - Briefing Note April 2024.pdf</w:t>
        </w:r>
      </w:hyperlink>
      <w:r w:rsidR="00EE0E8A" w:rsidRPr="005B1EB5">
        <w:rPr>
          <w:rFonts w:asciiTheme="minorHAnsi" w:hAnsiTheme="minorHAnsi" w:cstheme="minorHAnsi"/>
          <w:sz w:val="18"/>
          <w:szCs w:val="18"/>
        </w:rPr>
        <w:t xml:space="preserve"> </w:t>
      </w:r>
    </w:p>
  </w:endnote>
  <w:endnote w:id="120">
    <w:p w14:paraId="542685F4" w14:textId="46010AA2" w:rsidR="00343985" w:rsidRPr="005B1EB5" w:rsidRDefault="0034398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2" w:history="1">
        <w:r w:rsidRPr="005B1EB5">
          <w:rPr>
            <w:rStyle w:val="Hyperlink"/>
            <w:rFonts w:asciiTheme="minorHAnsi" w:hAnsiTheme="minorHAnsi" w:cstheme="minorHAnsi"/>
            <w:sz w:val="18"/>
            <w:szCs w:val="18"/>
          </w:rPr>
          <w:t>www.bccdc.ca/health-professionals/data-reports/substance-use-harm-reduction-dashboard</w:t>
        </w:r>
      </w:hyperlink>
      <w:r w:rsidRPr="005B1EB5">
        <w:rPr>
          <w:rFonts w:asciiTheme="minorHAnsi" w:hAnsiTheme="minorHAnsi" w:cstheme="minorHAnsi"/>
          <w:sz w:val="18"/>
          <w:szCs w:val="18"/>
        </w:rPr>
        <w:t xml:space="preserve"> </w:t>
      </w:r>
    </w:p>
  </w:endnote>
  <w:endnote w:id="121">
    <w:p w14:paraId="118C09F7" w14:textId="3101D5A6" w:rsidR="00343985" w:rsidRPr="005B1EB5" w:rsidRDefault="0034398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3" w:history="1">
        <w:r w:rsidR="00FE68F5" w:rsidRPr="005B1EB5">
          <w:rPr>
            <w:rStyle w:val="Hyperlink"/>
            <w:rFonts w:asciiTheme="minorHAnsi" w:hAnsiTheme="minorHAnsi" w:cstheme="minorHAnsi"/>
            <w:sz w:val="18"/>
            <w:szCs w:val="18"/>
          </w:rPr>
          <w:t>www2.gov.bc.ca/assets/gov/birth-adoption-death-marriage-and-divorce/deaths/coroners-service/death-review-panel/review_of_illicit_drug_toxicity_deaths_2022.pdf</w:t>
        </w:r>
      </w:hyperlink>
      <w:r w:rsidR="00FE68F5" w:rsidRPr="005B1EB5">
        <w:rPr>
          <w:rFonts w:asciiTheme="minorHAnsi" w:hAnsiTheme="minorHAnsi" w:cstheme="minorHAnsi"/>
          <w:sz w:val="18"/>
          <w:szCs w:val="18"/>
        </w:rPr>
        <w:t xml:space="preserve"> </w:t>
      </w:r>
    </w:p>
  </w:endnote>
  <w:endnote w:id="122">
    <w:p w14:paraId="4789EBFB" w14:textId="2E6E1141" w:rsidR="00043097" w:rsidRPr="005B1EB5" w:rsidRDefault="00043097">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4" w:history="1">
        <w:r w:rsidRPr="005B1EB5">
          <w:rPr>
            <w:rStyle w:val="Hyperlink"/>
            <w:rFonts w:asciiTheme="minorHAnsi" w:hAnsiTheme="minorHAnsi" w:cstheme="minorHAnsi"/>
            <w:sz w:val="18"/>
            <w:szCs w:val="18"/>
          </w:rPr>
          <w:t>drugpolicy.ca/wp-content/uploads/2023/10/Canadian-Civil-Society-Advancing-Safe-Supply_Policy-Brief-and-Recommendations_Feb-2023-1.pdf</w:t>
        </w:r>
      </w:hyperlink>
      <w:r w:rsidRPr="005B1EB5">
        <w:rPr>
          <w:rFonts w:asciiTheme="minorHAnsi" w:hAnsiTheme="minorHAnsi" w:cstheme="minorHAnsi"/>
          <w:sz w:val="18"/>
          <w:szCs w:val="18"/>
        </w:rPr>
        <w:t xml:space="preserve"> </w:t>
      </w:r>
    </w:p>
  </w:endnote>
  <w:endnote w:id="123">
    <w:p w14:paraId="743107FB" w14:textId="4F98BD2F" w:rsidR="00722D57" w:rsidRPr="005B1EB5" w:rsidRDefault="00722D57">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5" w:history="1">
        <w:r w:rsidRPr="005B1EB5">
          <w:rPr>
            <w:rStyle w:val="Hyperlink"/>
            <w:rFonts w:asciiTheme="minorHAnsi" w:hAnsiTheme="minorHAnsi" w:cstheme="minorHAnsi"/>
            <w:sz w:val="18"/>
            <w:szCs w:val="18"/>
          </w:rPr>
          <w:t>odprn.ca/wp-content/uploads/2023/07/Safer-Opioid-Supply-Rapid-Review.pdf</w:t>
        </w:r>
      </w:hyperlink>
      <w:r w:rsidRPr="005B1EB5">
        <w:rPr>
          <w:rFonts w:asciiTheme="minorHAnsi" w:hAnsiTheme="minorHAnsi" w:cstheme="minorHAnsi"/>
          <w:sz w:val="18"/>
          <w:szCs w:val="18"/>
        </w:rPr>
        <w:t xml:space="preserve"> </w:t>
      </w:r>
    </w:p>
  </w:endnote>
  <w:endnote w:id="124">
    <w:p w14:paraId="1CD8D851" w14:textId="319E945C" w:rsidR="006D1B74" w:rsidRPr="005B1EB5" w:rsidRDefault="006D1B74">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6" w:history="1">
        <w:r w:rsidRPr="005B1EB5">
          <w:rPr>
            <w:rStyle w:val="Hyperlink"/>
            <w:rFonts w:asciiTheme="minorHAnsi" w:hAnsiTheme="minorHAnsi" w:cstheme="minorHAnsi"/>
            <w:sz w:val="18"/>
            <w:szCs w:val="18"/>
          </w:rPr>
          <w:t>www.ourcommons.ca/Content/Committee/441/HESA/Brief/BR12961854/br-external/KollaGillian-e.pdf</w:t>
        </w:r>
      </w:hyperlink>
      <w:r w:rsidRPr="005B1EB5">
        <w:rPr>
          <w:rFonts w:asciiTheme="minorHAnsi" w:hAnsiTheme="minorHAnsi" w:cstheme="minorHAnsi"/>
          <w:sz w:val="18"/>
          <w:szCs w:val="18"/>
        </w:rPr>
        <w:t xml:space="preserve"> </w:t>
      </w:r>
    </w:p>
  </w:endnote>
  <w:endnote w:id="125">
    <w:p w14:paraId="21574D1A" w14:textId="2BAE508F" w:rsidR="002A7685" w:rsidRPr="005B1EB5" w:rsidRDefault="002A7685">
      <w:pPr>
        <w:pStyle w:val="EndnoteText"/>
        <w:rPr>
          <w:rFonts w:asciiTheme="minorHAnsi" w:hAnsiTheme="minorHAnsi" w:cstheme="minorHAnsi"/>
          <w:sz w:val="18"/>
          <w:szCs w:val="18"/>
          <w:lang w:val="en-CA"/>
        </w:rPr>
      </w:pPr>
      <w:r w:rsidRPr="005B1EB5">
        <w:rPr>
          <w:rStyle w:val="EndnoteReference"/>
          <w:rFonts w:asciiTheme="minorHAnsi" w:hAnsiTheme="minorHAnsi" w:cstheme="minorHAnsi"/>
          <w:sz w:val="18"/>
          <w:szCs w:val="18"/>
        </w:rPr>
        <w:endnoteRef/>
      </w:r>
      <w:r w:rsidRPr="005B1EB5">
        <w:rPr>
          <w:rFonts w:asciiTheme="minorHAnsi" w:hAnsiTheme="minorHAnsi" w:cstheme="minorHAnsi"/>
          <w:sz w:val="18"/>
          <w:szCs w:val="18"/>
        </w:rPr>
        <w:t xml:space="preserve"> </w:t>
      </w:r>
      <w:hyperlink r:id="rId127" w:history="1">
        <w:r w:rsidRPr="005B1EB5">
          <w:rPr>
            <w:rStyle w:val="Hyperlink"/>
            <w:rFonts w:asciiTheme="minorHAnsi" w:hAnsiTheme="minorHAnsi" w:cstheme="minorHAnsi"/>
            <w:sz w:val="18"/>
            <w:szCs w:val="18"/>
          </w:rPr>
          <w:t>odprn.ca/research/publications/closingscs-toronto/</w:t>
        </w:r>
      </w:hyperlink>
      <w:r w:rsidRPr="005B1EB5">
        <w:rPr>
          <w:rFonts w:asciiTheme="minorHAnsi" w:hAnsiTheme="minorHAnsi" w:cstheme="minorHAnsi"/>
          <w:sz w:val="18"/>
          <w:szCs w:val="18"/>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Barlow">
    <w:panose1 w:val="00000500000000000000"/>
    <w:charset w:val="00"/>
    <w:family w:val="auto"/>
    <w:pitch w:val="variable"/>
    <w:sig w:usb0="20000007" w:usb1="00000000" w:usb2="00000000" w:usb3="00000000" w:csb0="00000193" w:csb1="00000000"/>
  </w:font>
  <w:font w:name="Faustina">
    <w:panose1 w:val="00000000000000000000"/>
    <w:charset w:val="00"/>
    <w:family w:val="auto"/>
    <w:pitch w:val="variable"/>
    <w:sig w:usb0="A00000FF" w:usb1="5001205B" w:usb2="00000000" w:usb3="00000000" w:csb0="000001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7072114"/>
      <w:docPartObj>
        <w:docPartGallery w:val="Page Numbers (Bottom of Page)"/>
        <w:docPartUnique/>
      </w:docPartObj>
    </w:sdtPr>
    <w:sdtEndPr>
      <w:rPr>
        <w:rStyle w:val="PageNumber"/>
      </w:rPr>
    </w:sdtEndPr>
    <w:sdtContent>
      <w:p w14:paraId="4319A55D" w14:textId="2821ECDB" w:rsidR="0051622C" w:rsidRDefault="0051622C" w:rsidP="00375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A095549" w14:textId="77777777" w:rsidR="0051622C" w:rsidRDefault="0051622C" w:rsidP="00F64C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4684133"/>
      <w:docPartObj>
        <w:docPartGallery w:val="Page Numbers (Bottom of Page)"/>
        <w:docPartUnique/>
      </w:docPartObj>
    </w:sdtPr>
    <w:sdtEndPr>
      <w:rPr>
        <w:rStyle w:val="PageNumber"/>
      </w:rPr>
    </w:sdtEndPr>
    <w:sdtContent>
      <w:p w14:paraId="1BB3F530" w14:textId="2BC71907" w:rsidR="0051622C" w:rsidRDefault="0051622C" w:rsidP="00375C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3818ABC" w14:textId="77777777" w:rsidR="0051622C" w:rsidRDefault="0051622C" w:rsidP="00F64CC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96716" w14:textId="77777777" w:rsidR="00660CDF" w:rsidRDefault="00660CDF" w:rsidP="00A710C9">
      <w:r>
        <w:separator/>
      </w:r>
    </w:p>
  </w:footnote>
  <w:footnote w:type="continuationSeparator" w:id="0">
    <w:p w14:paraId="24F86327" w14:textId="77777777" w:rsidR="00660CDF" w:rsidRDefault="00660CDF" w:rsidP="00A710C9">
      <w:r>
        <w:continuationSeparator/>
      </w:r>
    </w:p>
  </w:footnote>
  <w:footnote w:type="continuationNotice" w:id="1">
    <w:p w14:paraId="77AF04F4" w14:textId="77777777" w:rsidR="00660CDF" w:rsidRDefault="00660CDF"/>
  </w:footnote>
  <w:footnote w:id="2">
    <w:p w14:paraId="34117B5D" w14:textId="5F227926" w:rsidR="00226812" w:rsidRDefault="00226812" w:rsidP="00BF2B40">
      <w:pPr>
        <w:pStyle w:val="FootnoteText"/>
        <w:jc w:val="both"/>
      </w:pPr>
      <w:r w:rsidRPr="00BF2B40">
        <w:rPr>
          <w:rStyle w:val="FootnoteReference"/>
        </w:rPr>
        <w:footnoteRef/>
      </w:r>
      <w:r w:rsidRPr="00BF2B40">
        <w:t xml:space="preserve"> </w:t>
      </w:r>
      <w:r w:rsidR="00FD5E63" w:rsidRPr="00BF2B40">
        <w:t>Opioids are a class of drug</w:t>
      </w:r>
      <w:r w:rsidR="009B389F" w:rsidRPr="00BF2B40">
        <w:t xml:space="preserve"> </w:t>
      </w:r>
      <w:r w:rsidR="00BB5319" w:rsidRPr="00BF2B40">
        <w:t>that includes</w:t>
      </w:r>
      <w:r w:rsidR="00E81B73" w:rsidRPr="00BF2B40">
        <w:t xml:space="preserve"> substances like</w:t>
      </w:r>
      <w:r w:rsidR="00BB5319" w:rsidRPr="00BF2B40">
        <w:t xml:space="preserve"> heroin, codeine, morphine,</w:t>
      </w:r>
      <w:r w:rsidR="00E81B73" w:rsidRPr="00BF2B40">
        <w:t xml:space="preserve"> and fentanyl. </w:t>
      </w:r>
      <w:r w:rsidR="00644F40" w:rsidRPr="00BF2B40">
        <w:t xml:space="preserve">Opioids </w:t>
      </w:r>
      <w:r w:rsidR="0080458D" w:rsidRPr="00BF2B40">
        <w:t xml:space="preserve">are </w:t>
      </w:r>
      <w:r w:rsidR="00644F40" w:rsidRPr="00BF2B40">
        <w:t>prescribed</w:t>
      </w:r>
      <w:r w:rsidR="0080458D" w:rsidRPr="00BF2B40">
        <w:t xml:space="preserve"> for pain relief</w:t>
      </w:r>
      <w:r w:rsidR="009B389F" w:rsidRPr="00BF2B40">
        <w:t xml:space="preserve"> in medical contexts </w:t>
      </w:r>
      <w:r w:rsidR="0080458D" w:rsidRPr="00BF2B40">
        <w:t>and used safely every day in hospitals across Canada. These</w:t>
      </w:r>
      <w:r w:rsidR="00376F5A" w:rsidRPr="00BF2B40">
        <w:t xml:space="preserve"> pharmaceutical drugs </w:t>
      </w:r>
      <w:r w:rsidR="0080458D" w:rsidRPr="00BF2B40">
        <w:t xml:space="preserve">are </w:t>
      </w:r>
      <w:r w:rsidR="00376F5A" w:rsidRPr="00BF2B40">
        <w:t>produced with strict regulations to ensure dosage and purity. O</w:t>
      </w:r>
      <w:r w:rsidR="0091592C" w:rsidRPr="00BF2B40">
        <w:t xml:space="preserve">utside of medical context </w:t>
      </w:r>
      <w:r w:rsidR="00376F5A" w:rsidRPr="00BF2B40">
        <w:t xml:space="preserve">opioids are used </w:t>
      </w:r>
      <w:r w:rsidR="0091592C" w:rsidRPr="00BF2B40">
        <w:t>recreationally</w:t>
      </w:r>
      <w:r w:rsidR="009B70EF" w:rsidRPr="00BF2B40">
        <w:t xml:space="preserve">, </w:t>
      </w:r>
      <w:r w:rsidR="00CF4148" w:rsidRPr="00BF2B40">
        <w:t>for untreated pain and trauma, and</w:t>
      </w:r>
      <w:r w:rsidR="0091592C" w:rsidRPr="00BF2B40">
        <w:t xml:space="preserve"> by people with physical dependencies</w:t>
      </w:r>
      <w:r w:rsidR="00376F5A" w:rsidRPr="00BF2B40">
        <w:t>. Often, these are</w:t>
      </w:r>
      <w:r w:rsidR="005142CA" w:rsidRPr="00BF2B40">
        <w:t xml:space="preserve"> prod</w:t>
      </w:r>
      <w:r w:rsidR="00E0384A" w:rsidRPr="00BF2B40">
        <w:t xml:space="preserve">uced illegally, outside of </w:t>
      </w:r>
      <w:r w:rsidR="00F54B62" w:rsidRPr="00BF2B40">
        <w:t>regulatory</w:t>
      </w:r>
      <w:r w:rsidR="00E0384A" w:rsidRPr="00BF2B40">
        <w:t xml:space="preserve"> frameworks</w:t>
      </w:r>
      <w:r w:rsidR="00F54B62" w:rsidRPr="00BF2B40">
        <w:t xml:space="preserve">. </w:t>
      </w:r>
      <w:r w:rsidR="00472462" w:rsidRPr="00BF2B40">
        <w:t xml:space="preserve"> </w:t>
      </w:r>
      <w:r w:rsidR="00BF768F" w:rsidRPr="00BF2B40">
        <w:t xml:space="preserve">When using </w:t>
      </w:r>
      <w:r w:rsidR="00D1617B" w:rsidRPr="00BF2B40">
        <w:t>“unregulated” or illegally produced drugs, dosage, purity and consistency is never assured.</w:t>
      </w:r>
      <w:r w:rsidR="00CB5587">
        <w:t xml:space="preserve"> </w:t>
      </w:r>
    </w:p>
  </w:footnote>
  <w:footnote w:id="3">
    <w:p w14:paraId="0F5FC425" w14:textId="7B9E187F" w:rsidR="00F84354" w:rsidRDefault="00F84354" w:rsidP="00DB5CF6">
      <w:pPr>
        <w:pStyle w:val="FootnoteText"/>
        <w:jc w:val="both"/>
      </w:pPr>
      <w:r>
        <w:rPr>
          <w:rStyle w:val="FootnoteReference"/>
        </w:rPr>
        <w:footnoteRef/>
      </w:r>
      <w:r>
        <w:t xml:space="preserve"> </w:t>
      </w:r>
      <w:r w:rsidRPr="00CA52F6">
        <w:rPr>
          <w:rFonts w:eastAsia="Times New Roman" w:cstheme="minorHAnsi"/>
          <w:kern w:val="0"/>
          <w14:ligatures w14:val="none"/>
        </w:rPr>
        <w:t>Novel or unexpected substances often cause unintended effects that increase risks and harms - for example, benzodiazepines mixed with opioids may cause the combined effects (e.g. reduced breathing) to be greater than those from either drug alone</w:t>
      </w:r>
      <w:r w:rsidR="00FC2944">
        <w:rPr>
          <w:rFonts w:eastAsia="Times New Roman" w:cstheme="minorHAnsi"/>
          <w:kern w:val="0"/>
          <w14:ligatures w14:val="none"/>
        </w:rPr>
        <w:t xml:space="preserve"> and </w:t>
      </w:r>
      <w:r w:rsidR="00E926FF">
        <w:rPr>
          <w:rFonts w:eastAsia="Times New Roman" w:cstheme="minorHAnsi"/>
          <w:kern w:val="0"/>
          <w14:ligatures w14:val="none"/>
        </w:rPr>
        <w:t>nalo</w:t>
      </w:r>
      <w:r w:rsidR="00D915D3">
        <w:rPr>
          <w:rFonts w:eastAsia="Times New Roman" w:cstheme="minorHAnsi"/>
          <w:kern w:val="0"/>
          <w14:ligatures w14:val="none"/>
        </w:rPr>
        <w:t>xone (an opioid</w:t>
      </w:r>
      <w:r w:rsidR="00E926FF">
        <w:rPr>
          <w:rFonts w:eastAsia="Times New Roman" w:cstheme="minorHAnsi"/>
          <w:kern w:val="0"/>
          <w14:ligatures w14:val="none"/>
        </w:rPr>
        <w:t xml:space="preserve"> </w:t>
      </w:r>
      <w:r w:rsidR="00FC2944">
        <w:rPr>
          <w:rFonts w:eastAsia="Times New Roman" w:cstheme="minorHAnsi"/>
          <w:kern w:val="0"/>
          <w14:ligatures w14:val="none"/>
        </w:rPr>
        <w:t>overdose</w:t>
      </w:r>
      <w:r w:rsidR="00D915D3">
        <w:rPr>
          <w:rFonts w:eastAsia="Times New Roman" w:cstheme="minorHAnsi"/>
          <w:kern w:val="0"/>
          <w14:ligatures w14:val="none"/>
        </w:rPr>
        <w:t xml:space="preserve"> </w:t>
      </w:r>
      <w:r w:rsidR="00FC2944">
        <w:rPr>
          <w:rFonts w:eastAsia="Times New Roman" w:cstheme="minorHAnsi"/>
          <w:kern w:val="0"/>
          <w14:ligatures w14:val="none"/>
        </w:rPr>
        <w:t>reversal medication</w:t>
      </w:r>
      <w:r w:rsidR="00D915D3">
        <w:rPr>
          <w:rFonts w:eastAsia="Times New Roman" w:cstheme="minorHAnsi"/>
          <w:kern w:val="0"/>
          <w14:ligatures w14:val="none"/>
        </w:rPr>
        <w:t>)</w:t>
      </w:r>
      <w:r w:rsidR="00FC2944">
        <w:rPr>
          <w:rFonts w:eastAsia="Times New Roman" w:cstheme="minorHAnsi"/>
          <w:kern w:val="0"/>
          <w14:ligatures w14:val="none"/>
        </w:rPr>
        <w:t xml:space="preserve"> do</w:t>
      </w:r>
      <w:r w:rsidR="00D915D3">
        <w:rPr>
          <w:rFonts w:eastAsia="Times New Roman" w:cstheme="minorHAnsi"/>
          <w:kern w:val="0"/>
          <w14:ligatures w14:val="none"/>
        </w:rPr>
        <w:t>es</w:t>
      </w:r>
      <w:r w:rsidR="00FC2944">
        <w:rPr>
          <w:rFonts w:eastAsia="Times New Roman" w:cstheme="minorHAnsi"/>
          <w:kern w:val="0"/>
          <w14:ligatures w14:val="none"/>
        </w:rPr>
        <w:t xml:space="preserve"> not work on benzo</w:t>
      </w:r>
      <w:r w:rsidR="0073139A">
        <w:rPr>
          <w:rFonts w:eastAsia="Times New Roman" w:cstheme="minorHAnsi"/>
          <w:kern w:val="0"/>
          <w14:ligatures w14:val="none"/>
        </w:rPr>
        <w:t>diazepines</w:t>
      </w:r>
      <w:r w:rsidRPr="00CA52F6">
        <w:rPr>
          <w:rFonts w:eastAsia="Times New Roman" w:cstheme="minorHAnsi"/>
          <w:kern w:val="0"/>
          <w14:ligatures w14:val="none"/>
        </w:rPr>
        <w:t>. This can increase the risk of death and complicates overdose response. As well, regular exposure to benzodiazepines can lead to life threatening withdrawal.</w:t>
      </w:r>
      <w:r>
        <w:rPr>
          <w:rFonts w:ascii="Open Sans" w:eastAsia="Times New Roman" w:hAnsi="Open Sans" w:cs="Open Sans"/>
          <w:kern w:val="0"/>
          <w:sz w:val="22"/>
          <w:szCs w:val="22"/>
          <w14:ligatures w14:val="none"/>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25FC"/>
    <w:multiLevelType w:val="multilevel"/>
    <w:tmpl w:val="D1FAF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14548"/>
    <w:multiLevelType w:val="hybridMultilevel"/>
    <w:tmpl w:val="E69EBF9E"/>
    <w:lvl w:ilvl="0" w:tplc="0409000F">
      <w:start w:val="1"/>
      <w:numFmt w:val="decimal"/>
      <w:lvlText w:val="%1."/>
      <w:lvlJc w:val="left"/>
      <w:pPr>
        <w:ind w:left="630" w:hanging="360"/>
      </w:pPr>
      <w:rPr>
        <w:rFonts w:hint="default"/>
        <w:color w:val="72737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80CCB"/>
    <w:multiLevelType w:val="hybridMultilevel"/>
    <w:tmpl w:val="F4EE137C"/>
    <w:lvl w:ilvl="0" w:tplc="0256FF8C">
      <w:start w:val="1"/>
      <w:numFmt w:val="decimal"/>
      <w:lvlText w:val="%1."/>
      <w:lvlJc w:val="left"/>
      <w:pPr>
        <w:ind w:left="1080" w:hanging="360"/>
      </w:pPr>
      <w:rPr>
        <w:color w:val="72737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B01A69"/>
    <w:multiLevelType w:val="multilevel"/>
    <w:tmpl w:val="C8A634AA"/>
    <w:lvl w:ilvl="0">
      <w:start w:val="3"/>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10180A1F"/>
    <w:multiLevelType w:val="hybridMultilevel"/>
    <w:tmpl w:val="7510514E"/>
    <w:lvl w:ilvl="0" w:tplc="0409000F">
      <w:start w:val="1"/>
      <w:numFmt w:val="decimal"/>
      <w:lvlText w:val="%1."/>
      <w:lvlJc w:val="left"/>
      <w:pPr>
        <w:ind w:left="776" w:hanging="360"/>
      </w:pPr>
      <w:rPr>
        <w:rFonts w:hint="default"/>
        <w:color w:val="727375"/>
      </w:rPr>
    </w:lvl>
    <w:lvl w:ilvl="1" w:tplc="FFFFFFFF" w:tentative="1">
      <w:start w:val="1"/>
      <w:numFmt w:val="bullet"/>
      <w:lvlText w:val="o"/>
      <w:lvlJc w:val="left"/>
      <w:pPr>
        <w:ind w:left="1496" w:hanging="360"/>
      </w:pPr>
      <w:rPr>
        <w:rFonts w:ascii="Courier New" w:hAnsi="Courier New" w:cs="Courier New" w:hint="default"/>
      </w:rPr>
    </w:lvl>
    <w:lvl w:ilvl="2" w:tplc="FFFFFFFF" w:tentative="1">
      <w:start w:val="1"/>
      <w:numFmt w:val="bullet"/>
      <w:lvlText w:val=""/>
      <w:lvlJc w:val="left"/>
      <w:pPr>
        <w:ind w:left="2216" w:hanging="360"/>
      </w:pPr>
      <w:rPr>
        <w:rFonts w:ascii="Wingdings" w:hAnsi="Wingdings" w:hint="default"/>
      </w:rPr>
    </w:lvl>
    <w:lvl w:ilvl="3" w:tplc="FFFFFFFF" w:tentative="1">
      <w:start w:val="1"/>
      <w:numFmt w:val="bullet"/>
      <w:lvlText w:val=""/>
      <w:lvlJc w:val="left"/>
      <w:pPr>
        <w:ind w:left="2936" w:hanging="360"/>
      </w:pPr>
      <w:rPr>
        <w:rFonts w:ascii="Symbol" w:hAnsi="Symbol" w:hint="default"/>
      </w:rPr>
    </w:lvl>
    <w:lvl w:ilvl="4" w:tplc="FFFFFFFF" w:tentative="1">
      <w:start w:val="1"/>
      <w:numFmt w:val="bullet"/>
      <w:lvlText w:val="o"/>
      <w:lvlJc w:val="left"/>
      <w:pPr>
        <w:ind w:left="3656" w:hanging="360"/>
      </w:pPr>
      <w:rPr>
        <w:rFonts w:ascii="Courier New" w:hAnsi="Courier New" w:cs="Courier New" w:hint="default"/>
      </w:rPr>
    </w:lvl>
    <w:lvl w:ilvl="5" w:tplc="FFFFFFFF" w:tentative="1">
      <w:start w:val="1"/>
      <w:numFmt w:val="bullet"/>
      <w:lvlText w:val=""/>
      <w:lvlJc w:val="left"/>
      <w:pPr>
        <w:ind w:left="4376" w:hanging="360"/>
      </w:pPr>
      <w:rPr>
        <w:rFonts w:ascii="Wingdings" w:hAnsi="Wingdings" w:hint="default"/>
      </w:rPr>
    </w:lvl>
    <w:lvl w:ilvl="6" w:tplc="FFFFFFFF" w:tentative="1">
      <w:start w:val="1"/>
      <w:numFmt w:val="bullet"/>
      <w:lvlText w:val=""/>
      <w:lvlJc w:val="left"/>
      <w:pPr>
        <w:ind w:left="5096" w:hanging="360"/>
      </w:pPr>
      <w:rPr>
        <w:rFonts w:ascii="Symbol" w:hAnsi="Symbol" w:hint="default"/>
      </w:rPr>
    </w:lvl>
    <w:lvl w:ilvl="7" w:tplc="FFFFFFFF" w:tentative="1">
      <w:start w:val="1"/>
      <w:numFmt w:val="bullet"/>
      <w:lvlText w:val="o"/>
      <w:lvlJc w:val="left"/>
      <w:pPr>
        <w:ind w:left="5816" w:hanging="360"/>
      </w:pPr>
      <w:rPr>
        <w:rFonts w:ascii="Courier New" w:hAnsi="Courier New" w:cs="Courier New" w:hint="default"/>
      </w:rPr>
    </w:lvl>
    <w:lvl w:ilvl="8" w:tplc="FFFFFFFF" w:tentative="1">
      <w:start w:val="1"/>
      <w:numFmt w:val="bullet"/>
      <w:lvlText w:val=""/>
      <w:lvlJc w:val="left"/>
      <w:pPr>
        <w:ind w:left="6536" w:hanging="360"/>
      </w:pPr>
      <w:rPr>
        <w:rFonts w:ascii="Wingdings" w:hAnsi="Wingdings" w:hint="default"/>
      </w:rPr>
    </w:lvl>
  </w:abstractNum>
  <w:abstractNum w:abstractNumId="5" w15:restartNumberingAfterBreak="0">
    <w:nsid w:val="136C4F1C"/>
    <w:multiLevelType w:val="hybridMultilevel"/>
    <w:tmpl w:val="651C8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22A75"/>
    <w:multiLevelType w:val="hybridMultilevel"/>
    <w:tmpl w:val="3E98B0CE"/>
    <w:lvl w:ilvl="0" w:tplc="6C1CD7D6">
      <w:start w:val="1"/>
      <w:numFmt w:val="decimal"/>
      <w:lvlText w:val="%1."/>
      <w:lvlJc w:val="left"/>
      <w:pPr>
        <w:ind w:left="720" w:hanging="360"/>
      </w:pPr>
      <w:rPr>
        <w:b/>
        <w:bCs/>
        <w:color w:val="2125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DE6E98"/>
    <w:multiLevelType w:val="multilevel"/>
    <w:tmpl w:val="31C6CD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3753F3"/>
    <w:multiLevelType w:val="multilevel"/>
    <w:tmpl w:val="C500427E"/>
    <w:lvl w:ilvl="0">
      <w:start w:val="1"/>
      <w:numFmt w:val="decimal"/>
      <w:lvlText w:val="%1."/>
      <w:lvlJc w:val="left"/>
      <w:pPr>
        <w:ind w:left="360" w:hanging="360"/>
      </w:pPr>
      <w:rPr>
        <w:rFonts w:hint="default"/>
        <w:color w:val="727375"/>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1B3860"/>
    <w:multiLevelType w:val="hybridMultilevel"/>
    <w:tmpl w:val="7CD80CA2"/>
    <w:lvl w:ilvl="0" w:tplc="F6A6BF66">
      <w:start w:val="5"/>
      <w:numFmt w:val="decimal"/>
      <w:lvlText w:val="%1."/>
      <w:lvlJc w:val="left"/>
      <w:pPr>
        <w:ind w:left="720" w:hanging="360"/>
      </w:pPr>
    </w:lvl>
    <w:lvl w:ilvl="1" w:tplc="3224FD8A">
      <w:start w:val="1"/>
      <w:numFmt w:val="lowerLetter"/>
      <w:lvlText w:val="%2."/>
      <w:lvlJc w:val="left"/>
      <w:pPr>
        <w:ind w:left="1440" w:hanging="360"/>
      </w:pPr>
    </w:lvl>
    <w:lvl w:ilvl="2" w:tplc="5B88EFE2">
      <w:start w:val="1"/>
      <w:numFmt w:val="lowerRoman"/>
      <w:lvlText w:val="%3."/>
      <w:lvlJc w:val="right"/>
      <w:pPr>
        <w:ind w:left="2160" w:hanging="180"/>
      </w:pPr>
    </w:lvl>
    <w:lvl w:ilvl="3" w:tplc="68609388">
      <w:start w:val="1"/>
      <w:numFmt w:val="decimal"/>
      <w:lvlText w:val="%4."/>
      <w:lvlJc w:val="left"/>
      <w:pPr>
        <w:ind w:left="2880" w:hanging="360"/>
      </w:pPr>
    </w:lvl>
    <w:lvl w:ilvl="4" w:tplc="4ACE422E">
      <w:start w:val="1"/>
      <w:numFmt w:val="lowerLetter"/>
      <w:lvlText w:val="%5."/>
      <w:lvlJc w:val="left"/>
      <w:pPr>
        <w:ind w:left="3600" w:hanging="360"/>
      </w:pPr>
    </w:lvl>
    <w:lvl w:ilvl="5" w:tplc="3940A758">
      <w:start w:val="1"/>
      <w:numFmt w:val="lowerRoman"/>
      <w:lvlText w:val="%6."/>
      <w:lvlJc w:val="right"/>
      <w:pPr>
        <w:ind w:left="4320" w:hanging="180"/>
      </w:pPr>
    </w:lvl>
    <w:lvl w:ilvl="6" w:tplc="667E542A">
      <w:start w:val="1"/>
      <w:numFmt w:val="decimal"/>
      <w:lvlText w:val="%7."/>
      <w:lvlJc w:val="left"/>
      <w:pPr>
        <w:ind w:left="5040" w:hanging="360"/>
      </w:pPr>
    </w:lvl>
    <w:lvl w:ilvl="7" w:tplc="38466738">
      <w:start w:val="1"/>
      <w:numFmt w:val="lowerLetter"/>
      <w:lvlText w:val="%8."/>
      <w:lvlJc w:val="left"/>
      <w:pPr>
        <w:ind w:left="5760" w:hanging="360"/>
      </w:pPr>
    </w:lvl>
    <w:lvl w:ilvl="8" w:tplc="5AE4325C">
      <w:start w:val="1"/>
      <w:numFmt w:val="lowerRoman"/>
      <w:lvlText w:val="%9."/>
      <w:lvlJc w:val="right"/>
      <w:pPr>
        <w:ind w:left="6480" w:hanging="180"/>
      </w:pPr>
    </w:lvl>
  </w:abstractNum>
  <w:abstractNum w:abstractNumId="10" w15:restartNumberingAfterBreak="0">
    <w:nsid w:val="209362DB"/>
    <w:multiLevelType w:val="hybridMultilevel"/>
    <w:tmpl w:val="609CD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628AF"/>
    <w:multiLevelType w:val="hybridMultilevel"/>
    <w:tmpl w:val="15548BA2"/>
    <w:lvl w:ilvl="0" w:tplc="32F2EEF0">
      <w:start w:val="1"/>
      <w:numFmt w:val="bullet"/>
      <w:lvlText w:val=""/>
      <w:lvlJc w:val="left"/>
      <w:pPr>
        <w:ind w:left="776" w:hanging="360"/>
      </w:pPr>
      <w:rPr>
        <w:rFonts w:ascii="Symbol" w:hAnsi="Symbol" w:hint="default"/>
        <w:color w:val="727375"/>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12" w15:restartNumberingAfterBreak="0">
    <w:nsid w:val="2F730CD9"/>
    <w:multiLevelType w:val="hybridMultilevel"/>
    <w:tmpl w:val="D7E89986"/>
    <w:lvl w:ilvl="0" w:tplc="5E901434">
      <w:start w:val="2026"/>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7C37D8"/>
    <w:multiLevelType w:val="multilevel"/>
    <w:tmpl w:val="C500427E"/>
    <w:lvl w:ilvl="0">
      <w:start w:val="1"/>
      <w:numFmt w:val="decimal"/>
      <w:lvlText w:val="%1."/>
      <w:lvlJc w:val="left"/>
      <w:pPr>
        <w:ind w:left="360" w:hanging="360"/>
      </w:pPr>
      <w:rPr>
        <w:rFonts w:hint="default"/>
        <w:color w:val="727375"/>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1444BEE"/>
    <w:multiLevelType w:val="multilevel"/>
    <w:tmpl w:val="023E81B0"/>
    <w:lvl w:ilvl="0">
      <w:start w:val="1"/>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7927ED"/>
    <w:multiLevelType w:val="multilevel"/>
    <w:tmpl w:val="EFD68B94"/>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DAC662F"/>
    <w:multiLevelType w:val="hybridMultilevel"/>
    <w:tmpl w:val="F370B0EA"/>
    <w:lvl w:ilvl="0" w:tplc="7A5A64E4">
      <w:start w:val="1"/>
      <w:numFmt w:val="decimal"/>
      <w:lvlText w:val="%1."/>
      <w:lvlJc w:val="left"/>
      <w:pPr>
        <w:ind w:left="720" w:hanging="360"/>
      </w:pPr>
    </w:lvl>
    <w:lvl w:ilvl="1" w:tplc="19623324">
      <w:start w:val="1"/>
      <w:numFmt w:val="lowerLetter"/>
      <w:lvlText w:val="%2."/>
      <w:lvlJc w:val="left"/>
      <w:pPr>
        <w:ind w:left="1440" w:hanging="360"/>
      </w:pPr>
    </w:lvl>
    <w:lvl w:ilvl="2" w:tplc="5B5E8A22">
      <w:start w:val="1"/>
      <w:numFmt w:val="lowerRoman"/>
      <w:lvlText w:val="%3."/>
      <w:lvlJc w:val="right"/>
      <w:pPr>
        <w:ind w:left="2160" w:hanging="180"/>
      </w:pPr>
    </w:lvl>
    <w:lvl w:ilvl="3" w:tplc="D2104D08">
      <w:start w:val="1"/>
      <w:numFmt w:val="decimal"/>
      <w:lvlText w:val="%4."/>
      <w:lvlJc w:val="left"/>
      <w:pPr>
        <w:ind w:left="2880" w:hanging="360"/>
      </w:pPr>
    </w:lvl>
    <w:lvl w:ilvl="4" w:tplc="851E4248">
      <w:start w:val="1"/>
      <w:numFmt w:val="lowerLetter"/>
      <w:lvlText w:val="%5."/>
      <w:lvlJc w:val="left"/>
      <w:pPr>
        <w:ind w:left="3600" w:hanging="360"/>
      </w:pPr>
    </w:lvl>
    <w:lvl w:ilvl="5" w:tplc="513CEDB6">
      <w:start w:val="1"/>
      <w:numFmt w:val="lowerRoman"/>
      <w:lvlText w:val="%6."/>
      <w:lvlJc w:val="right"/>
      <w:pPr>
        <w:ind w:left="4320" w:hanging="180"/>
      </w:pPr>
    </w:lvl>
    <w:lvl w:ilvl="6" w:tplc="12302686">
      <w:start w:val="1"/>
      <w:numFmt w:val="decimal"/>
      <w:lvlText w:val="%7."/>
      <w:lvlJc w:val="left"/>
      <w:pPr>
        <w:ind w:left="5040" w:hanging="360"/>
      </w:pPr>
    </w:lvl>
    <w:lvl w:ilvl="7" w:tplc="377AB0D0">
      <w:start w:val="1"/>
      <w:numFmt w:val="lowerLetter"/>
      <w:lvlText w:val="%8."/>
      <w:lvlJc w:val="left"/>
      <w:pPr>
        <w:ind w:left="5760" w:hanging="360"/>
      </w:pPr>
    </w:lvl>
    <w:lvl w:ilvl="8" w:tplc="A2B0A84C">
      <w:start w:val="1"/>
      <w:numFmt w:val="lowerRoman"/>
      <w:lvlText w:val="%9."/>
      <w:lvlJc w:val="right"/>
      <w:pPr>
        <w:ind w:left="6480" w:hanging="180"/>
      </w:pPr>
    </w:lvl>
  </w:abstractNum>
  <w:abstractNum w:abstractNumId="17" w15:restartNumberingAfterBreak="0">
    <w:nsid w:val="4EE9052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15A27E5"/>
    <w:multiLevelType w:val="hybridMultilevel"/>
    <w:tmpl w:val="3E98B0CE"/>
    <w:lvl w:ilvl="0" w:tplc="6C1CD7D6">
      <w:start w:val="1"/>
      <w:numFmt w:val="decimal"/>
      <w:lvlText w:val="%1."/>
      <w:lvlJc w:val="left"/>
      <w:pPr>
        <w:ind w:left="720" w:hanging="360"/>
      </w:pPr>
      <w:rPr>
        <w:b/>
        <w:bCs/>
        <w:color w:val="2125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677DF4"/>
    <w:multiLevelType w:val="multilevel"/>
    <w:tmpl w:val="AAD439A0"/>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575A4171"/>
    <w:multiLevelType w:val="hybridMultilevel"/>
    <w:tmpl w:val="B8FC146A"/>
    <w:lvl w:ilvl="0" w:tplc="AA201172">
      <w:start w:val="1"/>
      <w:numFmt w:val="decimal"/>
      <w:lvlText w:val="%1."/>
      <w:lvlJc w:val="left"/>
      <w:pPr>
        <w:ind w:left="720" w:hanging="360"/>
      </w:pPr>
    </w:lvl>
    <w:lvl w:ilvl="1" w:tplc="AB72DECA">
      <w:start w:val="1"/>
      <w:numFmt w:val="lowerLetter"/>
      <w:lvlText w:val="%2."/>
      <w:lvlJc w:val="left"/>
      <w:pPr>
        <w:ind w:left="1440" w:hanging="360"/>
      </w:pPr>
    </w:lvl>
    <w:lvl w:ilvl="2" w:tplc="768AF8CA">
      <w:start w:val="1"/>
      <w:numFmt w:val="lowerRoman"/>
      <w:lvlText w:val="%3."/>
      <w:lvlJc w:val="right"/>
      <w:pPr>
        <w:ind w:left="2160" w:hanging="180"/>
      </w:pPr>
    </w:lvl>
    <w:lvl w:ilvl="3" w:tplc="E7E02C62">
      <w:start w:val="1"/>
      <w:numFmt w:val="decimal"/>
      <w:lvlText w:val="%4."/>
      <w:lvlJc w:val="left"/>
      <w:pPr>
        <w:ind w:left="2880" w:hanging="360"/>
      </w:pPr>
    </w:lvl>
    <w:lvl w:ilvl="4" w:tplc="1EAAD40E">
      <w:start w:val="1"/>
      <w:numFmt w:val="lowerLetter"/>
      <w:lvlText w:val="%5."/>
      <w:lvlJc w:val="left"/>
      <w:pPr>
        <w:ind w:left="3600" w:hanging="360"/>
      </w:pPr>
    </w:lvl>
    <w:lvl w:ilvl="5" w:tplc="DB247940">
      <w:start w:val="1"/>
      <w:numFmt w:val="lowerRoman"/>
      <w:lvlText w:val="%6."/>
      <w:lvlJc w:val="right"/>
      <w:pPr>
        <w:ind w:left="4320" w:hanging="180"/>
      </w:pPr>
    </w:lvl>
    <w:lvl w:ilvl="6" w:tplc="27204D1E">
      <w:start w:val="1"/>
      <w:numFmt w:val="decimal"/>
      <w:lvlText w:val="%7."/>
      <w:lvlJc w:val="left"/>
      <w:pPr>
        <w:ind w:left="5040" w:hanging="360"/>
      </w:pPr>
    </w:lvl>
    <w:lvl w:ilvl="7" w:tplc="0F7AF6AC">
      <w:start w:val="1"/>
      <w:numFmt w:val="lowerLetter"/>
      <w:lvlText w:val="%8."/>
      <w:lvlJc w:val="left"/>
      <w:pPr>
        <w:ind w:left="5760" w:hanging="360"/>
      </w:pPr>
    </w:lvl>
    <w:lvl w:ilvl="8" w:tplc="A762FB70">
      <w:start w:val="1"/>
      <w:numFmt w:val="lowerRoman"/>
      <w:lvlText w:val="%9."/>
      <w:lvlJc w:val="right"/>
      <w:pPr>
        <w:ind w:left="6480" w:hanging="180"/>
      </w:pPr>
    </w:lvl>
  </w:abstractNum>
  <w:abstractNum w:abstractNumId="21" w15:restartNumberingAfterBreak="0">
    <w:nsid w:val="57757760"/>
    <w:multiLevelType w:val="multilevel"/>
    <w:tmpl w:val="2646A960"/>
    <w:styleLink w:val="CurrentList1"/>
    <w:lvl w:ilvl="0">
      <w:start w:val="4"/>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5A56E90F"/>
    <w:multiLevelType w:val="hybridMultilevel"/>
    <w:tmpl w:val="42123970"/>
    <w:lvl w:ilvl="0" w:tplc="FD461B40">
      <w:start w:val="1"/>
      <w:numFmt w:val="decimal"/>
      <w:lvlText w:val="%1."/>
      <w:lvlJc w:val="left"/>
      <w:pPr>
        <w:ind w:left="720" w:hanging="360"/>
      </w:pPr>
    </w:lvl>
    <w:lvl w:ilvl="1" w:tplc="A9CC7386">
      <w:start w:val="4"/>
      <w:numFmt w:val="decimal"/>
      <w:lvlText w:val="%2.1"/>
      <w:lvlJc w:val="left"/>
      <w:pPr>
        <w:ind w:left="1440" w:hanging="360"/>
      </w:pPr>
    </w:lvl>
    <w:lvl w:ilvl="2" w:tplc="78D27D04">
      <w:start w:val="1"/>
      <w:numFmt w:val="lowerRoman"/>
      <w:lvlText w:val="%3."/>
      <w:lvlJc w:val="right"/>
      <w:pPr>
        <w:ind w:left="2160" w:hanging="180"/>
      </w:pPr>
    </w:lvl>
    <w:lvl w:ilvl="3" w:tplc="70B0AAFA">
      <w:start w:val="1"/>
      <w:numFmt w:val="decimal"/>
      <w:lvlText w:val="%4."/>
      <w:lvlJc w:val="left"/>
      <w:pPr>
        <w:ind w:left="2880" w:hanging="360"/>
      </w:pPr>
    </w:lvl>
    <w:lvl w:ilvl="4" w:tplc="D3DC3D2E">
      <w:start w:val="1"/>
      <w:numFmt w:val="lowerLetter"/>
      <w:lvlText w:val="%5."/>
      <w:lvlJc w:val="left"/>
      <w:pPr>
        <w:ind w:left="3600" w:hanging="360"/>
      </w:pPr>
    </w:lvl>
    <w:lvl w:ilvl="5" w:tplc="634A6EF4">
      <w:start w:val="1"/>
      <w:numFmt w:val="lowerRoman"/>
      <w:lvlText w:val="%6."/>
      <w:lvlJc w:val="right"/>
      <w:pPr>
        <w:ind w:left="4320" w:hanging="180"/>
      </w:pPr>
    </w:lvl>
    <w:lvl w:ilvl="6" w:tplc="2528D8A0">
      <w:start w:val="1"/>
      <w:numFmt w:val="decimal"/>
      <w:lvlText w:val="%7."/>
      <w:lvlJc w:val="left"/>
      <w:pPr>
        <w:ind w:left="5040" w:hanging="360"/>
      </w:pPr>
    </w:lvl>
    <w:lvl w:ilvl="7" w:tplc="F7E0EBEE">
      <w:start w:val="1"/>
      <w:numFmt w:val="lowerLetter"/>
      <w:lvlText w:val="%8."/>
      <w:lvlJc w:val="left"/>
      <w:pPr>
        <w:ind w:left="5760" w:hanging="360"/>
      </w:pPr>
    </w:lvl>
    <w:lvl w:ilvl="8" w:tplc="89DE9C54">
      <w:start w:val="1"/>
      <w:numFmt w:val="lowerRoman"/>
      <w:lvlText w:val="%9."/>
      <w:lvlJc w:val="right"/>
      <w:pPr>
        <w:ind w:left="6480" w:hanging="180"/>
      </w:pPr>
    </w:lvl>
  </w:abstractNum>
  <w:abstractNum w:abstractNumId="23" w15:restartNumberingAfterBreak="0">
    <w:nsid w:val="62E40345"/>
    <w:multiLevelType w:val="multilevel"/>
    <w:tmpl w:val="2646A960"/>
    <w:lvl w:ilvl="0">
      <w:start w:val="4"/>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63310DE5"/>
    <w:multiLevelType w:val="hybridMultilevel"/>
    <w:tmpl w:val="674C3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34A4A03"/>
    <w:multiLevelType w:val="hybridMultilevel"/>
    <w:tmpl w:val="310857FE"/>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26" w15:restartNumberingAfterBreak="0">
    <w:nsid w:val="69D43359"/>
    <w:multiLevelType w:val="multilevel"/>
    <w:tmpl w:val="3D565930"/>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A213902"/>
    <w:multiLevelType w:val="hybridMultilevel"/>
    <w:tmpl w:val="3E98B0CE"/>
    <w:lvl w:ilvl="0" w:tplc="6C1CD7D6">
      <w:start w:val="1"/>
      <w:numFmt w:val="decimal"/>
      <w:lvlText w:val="%1."/>
      <w:lvlJc w:val="left"/>
      <w:pPr>
        <w:ind w:left="720" w:hanging="360"/>
      </w:pPr>
      <w:rPr>
        <w:b/>
        <w:bCs/>
        <w:color w:val="2125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1855003"/>
    <w:multiLevelType w:val="hybridMultilevel"/>
    <w:tmpl w:val="297E3BEE"/>
    <w:lvl w:ilvl="0" w:tplc="AC20E8EC">
      <w:start w:val="1"/>
      <w:numFmt w:val="decimal"/>
      <w:lvlText w:val="%1."/>
      <w:lvlJc w:val="left"/>
      <w:pPr>
        <w:ind w:left="776" w:hanging="360"/>
      </w:pPr>
      <w:rPr>
        <w:rFonts w:hint="default"/>
        <w:b w:val="0"/>
        <w:bCs w:val="0"/>
        <w:color w:val="727375"/>
      </w:rPr>
    </w:lvl>
    <w:lvl w:ilvl="1" w:tplc="FFFFFFFF" w:tentative="1">
      <w:start w:val="1"/>
      <w:numFmt w:val="bullet"/>
      <w:lvlText w:val="o"/>
      <w:lvlJc w:val="left"/>
      <w:pPr>
        <w:ind w:left="1496" w:hanging="360"/>
      </w:pPr>
      <w:rPr>
        <w:rFonts w:ascii="Courier New" w:hAnsi="Courier New" w:cs="Courier New" w:hint="default"/>
      </w:rPr>
    </w:lvl>
    <w:lvl w:ilvl="2" w:tplc="FFFFFFFF" w:tentative="1">
      <w:start w:val="1"/>
      <w:numFmt w:val="bullet"/>
      <w:lvlText w:val=""/>
      <w:lvlJc w:val="left"/>
      <w:pPr>
        <w:ind w:left="2216" w:hanging="360"/>
      </w:pPr>
      <w:rPr>
        <w:rFonts w:ascii="Wingdings" w:hAnsi="Wingdings" w:hint="default"/>
      </w:rPr>
    </w:lvl>
    <w:lvl w:ilvl="3" w:tplc="FFFFFFFF" w:tentative="1">
      <w:start w:val="1"/>
      <w:numFmt w:val="bullet"/>
      <w:lvlText w:val=""/>
      <w:lvlJc w:val="left"/>
      <w:pPr>
        <w:ind w:left="2936" w:hanging="360"/>
      </w:pPr>
      <w:rPr>
        <w:rFonts w:ascii="Symbol" w:hAnsi="Symbol" w:hint="default"/>
      </w:rPr>
    </w:lvl>
    <w:lvl w:ilvl="4" w:tplc="FFFFFFFF" w:tentative="1">
      <w:start w:val="1"/>
      <w:numFmt w:val="bullet"/>
      <w:lvlText w:val="o"/>
      <w:lvlJc w:val="left"/>
      <w:pPr>
        <w:ind w:left="3656" w:hanging="360"/>
      </w:pPr>
      <w:rPr>
        <w:rFonts w:ascii="Courier New" w:hAnsi="Courier New" w:cs="Courier New" w:hint="default"/>
      </w:rPr>
    </w:lvl>
    <w:lvl w:ilvl="5" w:tplc="FFFFFFFF" w:tentative="1">
      <w:start w:val="1"/>
      <w:numFmt w:val="bullet"/>
      <w:lvlText w:val=""/>
      <w:lvlJc w:val="left"/>
      <w:pPr>
        <w:ind w:left="4376" w:hanging="360"/>
      </w:pPr>
      <w:rPr>
        <w:rFonts w:ascii="Wingdings" w:hAnsi="Wingdings" w:hint="default"/>
      </w:rPr>
    </w:lvl>
    <w:lvl w:ilvl="6" w:tplc="FFFFFFFF" w:tentative="1">
      <w:start w:val="1"/>
      <w:numFmt w:val="bullet"/>
      <w:lvlText w:val=""/>
      <w:lvlJc w:val="left"/>
      <w:pPr>
        <w:ind w:left="5096" w:hanging="360"/>
      </w:pPr>
      <w:rPr>
        <w:rFonts w:ascii="Symbol" w:hAnsi="Symbol" w:hint="default"/>
      </w:rPr>
    </w:lvl>
    <w:lvl w:ilvl="7" w:tplc="FFFFFFFF" w:tentative="1">
      <w:start w:val="1"/>
      <w:numFmt w:val="bullet"/>
      <w:lvlText w:val="o"/>
      <w:lvlJc w:val="left"/>
      <w:pPr>
        <w:ind w:left="5816" w:hanging="360"/>
      </w:pPr>
      <w:rPr>
        <w:rFonts w:ascii="Courier New" w:hAnsi="Courier New" w:cs="Courier New" w:hint="default"/>
      </w:rPr>
    </w:lvl>
    <w:lvl w:ilvl="8" w:tplc="FFFFFFFF" w:tentative="1">
      <w:start w:val="1"/>
      <w:numFmt w:val="bullet"/>
      <w:lvlText w:val=""/>
      <w:lvlJc w:val="left"/>
      <w:pPr>
        <w:ind w:left="6536" w:hanging="360"/>
      </w:pPr>
      <w:rPr>
        <w:rFonts w:ascii="Wingdings" w:hAnsi="Wingdings" w:hint="default"/>
      </w:rPr>
    </w:lvl>
  </w:abstractNum>
  <w:abstractNum w:abstractNumId="29" w15:restartNumberingAfterBreak="0">
    <w:nsid w:val="77832BE4"/>
    <w:multiLevelType w:val="hybridMultilevel"/>
    <w:tmpl w:val="3E98B0CE"/>
    <w:lvl w:ilvl="0" w:tplc="6C1CD7D6">
      <w:start w:val="1"/>
      <w:numFmt w:val="decimal"/>
      <w:lvlText w:val="%1."/>
      <w:lvlJc w:val="left"/>
      <w:pPr>
        <w:ind w:left="720" w:hanging="360"/>
      </w:pPr>
      <w:rPr>
        <w:b/>
        <w:bCs/>
        <w:color w:val="21252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2518B5"/>
    <w:multiLevelType w:val="hybridMultilevel"/>
    <w:tmpl w:val="B8B46E2E"/>
    <w:lvl w:ilvl="0" w:tplc="0409000F">
      <w:start w:val="1"/>
      <w:numFmt w:val="decimal"/>
      <w:lvlText w:val="%1."/>
      <w:lvlJc w:val="left"/>
      <w:pPr>
        <w:ind w:left="630" w:hanging="360"/>
      </w:pPr>
      <w:rPr>
        <w:rFonts w:hint="default"/>
        <w:color w:val="727375"/>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1" w15:restartNumberingAfterBreak="0">
    <w:nsid w:val="7C506E5E"/>
    <w:multiLevelType w:val="hybridMultilevel"/>
    <w:tmpl w:val="B8227634"/>
    <w:lvl w:ilvl="0" w:tplc="82C43EE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D99254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57438040">
    <w:abstractNumId w:val="17"/>
  </w:num>
  <w:num w:numId="2" w16cid:durableId="638146418">
    <w:abstractNumId w:val="7"/>
  </w:num>
  <w:num w:numId="3" w16cid:durableId="1621692613">
    <w:abstractNumId w:val="11"/>
  </w:num>
  <w:num w:numId="4" w16cid:durableId="1177311195">
    <w:abstractNumId w:val="14"/>
  </w:num>
  <w:num w:numId="5" w16cid:durableId="155414064">
    <w:abstractNumId w:val="10"/>
  </w:num>
  <w:num w:numId="6" w16cid:durableId="1575974448">
    <w:abstractNumId w:val="5"/>
  </w:num>
  <w:num w:numId="7" w16cid:durableId="1246767979">
    <w:abstractNumId w:val="32"/>
  </w:num>
  <w:num w:numId="8" w16cid:durableId="1140151438">
    <w:abstractNumId w:val="15"/>
  </w:num>
  <w:num w:numId="9" w16cid:durableId="1681008109">
    <w:abstractNumId w:val="3"/>
  </w:num>
  <w:num w:numId="10" w16cid:durableId="1216503133">
    <w:abstractNumId w:val="26"/>
  </w:num>
  <w:num w:numId="11" w16cid:durableId="1241450834">
    <w:abstractNumId w:val="31"/>
  </w:num>
  <w:num w:numId="12" w16cid:durableId="192573898">
    <w:abstractNumId w:val="23"/>
  </w:num>
  <w:num w:numId="13" w16cid:durableId="1902599208">
    <w:abstractNumId w:val="19"/>
  </w:num>
  <w:num w:numId="14" w16cid:durableId="799225658">
    <w:abstractNumId w:val="24"/>
  </w:num>
  <w:num w:numId="15" w16cid:durableId="1714690988">
    <w:abstractNumId w:val="12"/>
  </w:num>
  <w:num w:numId="16" w16cid:durableId="192771535">
    <w:abstractNumId w:val="30"/>
  </w:num>
  <w:num w:numId="17" w16cid:durableId="1350765033">
    <w:abstractNumId w:val="1"/>
  </w:num>
  <w:num w:numId="18" w16cid:durableId="832139132">
    <w:abstractNumId w:val="4"/>
  </w:num>
  <w:num w:numId="19" w16cid:durableId="1090345328">
    <w:abstractNumId w:val="28"/>
  </w:num>
  <w:num w:numId="20" w16cid:durableId="918254262">
    <w:abstractNumId w:val="0"/>
  </w:num>
  <w:num w:numId="21" w16cid:durableId="1637487466">
    <w:abstractNumId w:val="16"/>
  </w:num>
  <w:num w:numId="22" w16cid:durableId="840894795">
    <w:abstractNumId w:val="2"/>
  </w:num>
  <w:num w:numId="23" w16cid:durableId="2074548843">
    <w:abstractNumId w:val="9"/>
  </w:num>
  <w:num w:numId="24" w16cid:durableId="1603681107">
    <w:abstractNumId w:val="22"/>
  </w:num>
  <w:num w:numId="25" w16cid:durableId="427895928">
    <w:abstractNumId w:val="20"/>
  </w:num>
  <w:num w:numId="26" w16cid:durableId="826823357">
    <w:abstractNumId w:val="13"/>
  </w:num>
  <w:num w:numId="27" w16cid:durableId="2008246217">
    <w:abstractNumId w:val="21"/>
  </w:num>
  <w:num w:numId="28" w16cid:durableId="518005522">
    <w:abstractNumId w:val="8"/>
  </w:num>
  <w:num w:numId="29" w16cid:durableId="1239242024">
    <w:abstractNumId w:val="25"/>
  </w:num>
  <w:num w:numId="30" w16cid:durableId="446890808">
    <w:abstractNumId w:val="6"/>
  </w:num>
  <w:num w:numId="31" w16cid:durableId="386153089">
    <w:abstractNumId w:val="18"/>
  </w:num>
  <w:num w:numId="32" w16cid:durableId="1781683641">
    <w:abstractNumId w:val="29"/>
  </w:num>
  <w:num w:numId="33" w16cid:durableId="38780100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defaultTabStop w:val="720"/>
  <w:characterSpacingControl w:val="doNotCompress"/>
  <w:footnotePr>
    <w:numFmt w:val="chicago"/>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D3F"/>
    <w:rsid w:val="00000082"/>
    <w:rsid w:val="000043EB"/>
    <w:rsid w:val="00004706"/>
    <w:rsid w:val="000055DD"/>
    <w:rsid w:val="0000585D"/>
    <w:rsid w:val="0000706B"/>
    <w:rsid w:val="00007315"/>
    <w:rsid w:val="00010193"/>
    <w:rsid w:val="0001376C"/>
    <w:rsid w:val="000159AB"/>
    <w:rsid w:val="00017117"/>
    <w:rsid w:val="00017901"/>
    <w:rsid w:val="00020C03"/>
    <w:rsid w:val="00022074"/>
    <w:rsid w:val="000246F6"/>
    <w:rsid w:val="00025B32"/>
    <w:rsid w:val="00025E20"/>
    <w:rsid w:val="0003024C"/>
    <w:rsid w:val="000311BF"/>
    <w:rsid w:val="0003359F"/>
    <w:rsid w:val="00035B6F"/>
    <w:rsid w:val="00037696"/>
    <w:rsid w:val="00040DE6"/>
    <w:rsid w:val="00043097"/>
    <w:rsid w:val="000438E8"/>
    <w:rsid w:val="00055671"/>
    <w:rsid w:val="000562C9"/>
    <w:rsid w:val="00056396"/>
    <w:rsid w:val="00057AB4"/>
    <w:rsid w:val="00060406"/>
    <w:rsid w:val="00060C26"/>
    <w:rsid w:val="00061826"/>
    <w:rsid w:val="000626FF"/>
    <w:rsid w:val="0006406A"/>
    <w:rsid w:val="00065562"/>
    <w:rsid w:val="00065862"/>
    <w:rsid w:val="0006625A"/>
    <w:rsid w:val="00067118"/>
    <w:rsid w:val="000679F7"/>
    <w:rsid w:val="000701C9"/>
    <w:rsid w:val="00076DA0"/>
    <w:rsid w:val="00080575"/>
    <w:rsid w:val="00083574"/>
    <w:rsid w:val="00083831"/>
    <w:rsid w:val="00083AF4"/>
    <w:rsid w:val="00086F76"/>
    <w:rsid w:val="000871B6"/>
    <w:rsid w:val="00087427"/>
    <w:rsid w:val="0008765C"/>
    <w:rsid w:val="00087CEA"/>
    <w:rsid w:val="00087DE3"/>
    <w:rsid w:val="0009105C"/>
    <w:rsid w:val="00091933"/>
    <w:rsid w:val="00093A6D"/>
    <w:rsid w:val="00096E27"/>
    <w:rsid w:val="0009707D"/>
    <w:rsid w:val="000979A3"/>
    <w:rsid w:val="000A0450"/>
    <w:rsid w:val="000A0748"/>
    <w:rsid w:val="000A1AA2"/>
    <w:rsid w:val="000A292A"/>
    <w:rsid w:val="000A4734"/>
    <w:rsid w:val="000A4EFD"/>
    <w:rsid w:val="000A6C3D"/>
    <w:rsid w:val="000B2F15"/>
    <w:rsid w:val="000B368E"/>
    <w:rsid w:val="000B3D09"/>
    <w:rsid w:val="000B5A20"/>
    <w:rsid w:val="000B5E0E"/>
    <w:rsid w:val="000B60FF"/>
    <w:rsid w:val="000B6B41"/>
    <w:rsid w:val="000B6DF9"/>
    <w:rsid w:val="000C18B1"/>
    <w:rsid w:val="000C1F9B"/>
    <w:rsid w:val="000C2BDC"/>
    <w:rsid w:val="000C4A37"/>
    <w:rsid w:val="000C51E9"/>
    <w:rsid w:val="000C5EE1"/>
    <w:rsid w:val="000C63DC"/>
    <w:rsid w:val="000C7528"/>
    <w:rsid w:val="000C7DE4"/>
    <w:rsid w:val="000D09B3"/>
    <w:rsid w:val="000D1245"/>
    <w:rsid w:val="000D169E"/>
    <w:rsid w:val="000D3895"/>
    <w:rsid w:val="000D798D"/>
    <w:rsid w:val="000E1ACD"/>
    <w:rsid w:val="000E237E"/>
    <w:rsid w:val="000E26AD"/>
    <w:rsid w:val="000E3775"/>
    <w:rsid w:val="000E39D0"/>
    <w:rsid w:val="000E4DCB"/>
    <w:rsid w:val="000E4E06"/>
    <w:rsid w:val="000E5354"/>
    <w:rsid w:val="000E539F"/>
    <w:rsid w:val="000E7E24"/>
    <w:rsid w:val="000F1726"/>
    <w:rsid w:val="000F179C"/>
    <w:rsid w:val="000F22C7"/>
    <w:rsid w:val="000F33C3"/>
    <w:rsid w:val="000F49B6"/>
    <w:rsid w:val="000F4A3B"/>
    <w:rsid w:val="000F794A"/>
    <w:rsid w:val="00100768"/>
    <w:rsid w:val="00101434"/>
    <w:rsid w:val="001032AC"/>
    <w:rsid w:val="00103B8B"/>
    <w:rsid w:val="00105FA9"/>
    <w:rsid w:val="00112503"/>
    <w:rsid w:val="00112BD6"/>
    <w:rsid w:val="00113A20"/>
    <w:rsid w:val="00114818"/>
    <w:rsid w:val="00115AB0"/>
    <w:rsid w:val="00120E67"/>
    <w:rsid w:val="001217FB"/>
    <w:rsid w:val="00121D42"/>
    <w:rsid w:val="001264D4"/>
    <w:rsid w:val="00126BD6"/>
    <w:rsid w:val="00130D9D"/>
    <w:rsid w:val="00131F81"/>
    <w:rsid w:val="00134B42"/>
    <w:rsid w:val="00135D15"/>
    <w:rsid w:val="001437DD"/>
    <w:rsid w:val="00143C18"/>
    <w:rsid w:val="00151436"/>
    <w:rsid w:val="00151981"/>
    <w:rsid w:val="00152617"/>
    <w:rsid w:val="001532A1"/>
    <w:rsid w:val="001542DF"/>
    <w:rsid w:val="00154456"/>
    <w:rsid w:val="00154938"/>
    <w:rsid w:val="00155274"/>
    <w:rsid w:val="00155D51"/>
    <w:rsid w:val="00157487"/>
    <w:rsid w:val="00157F26"/>
    <w:rsid w:val="00160B28"/>
    <w:rsid w:val="00165F77"/>
    <w:rsid w:val="001665C3"/>
    <w:rsid w:val="00170B13"/>
    <w:rsid w:val="00171AF0"/>
    <w:rsid w:val="00171F29"/>
    <w:rsid w:val="00172EEF"/>
    <w:rsid w:val="00175B60"/>
    <w:rsid w:val="00175E49"/>
    <w:rsid w:val="001763B3"/>
    <w:rsid w:val="0017645B"/>
    <w:rsid w:val="00182F31"/>
    <w:rsid w:val="001840B1"/>
    <w:rsid w:val="001874BC"/>
    <w:rsid w:val="0019068F"/>
    <w:rsid w:val="001919F6"/>
    <w:rsid w:val="00192C78"/>
    <w:rsid w:val="0019353B"/>
    <w:rsid w:val="0019408B"/>
    <w:rsid w:val="001941C9"/>
    <w:rsid w:val="001953EE"/>
    <w:rsid w:val="00195E1C"/>
    <w:rsid w:val="001A059F"/>
    <w:rsid w:val="001A0A08"/>
    <w:rsid w:val="001A1ED8"/>
    <w:rsid w:val="001A2BBE"/>
    <w:rsid w:val="001A4488"/>
    <w:rsid w:val="001B14F2"/>
    <w:rsid w:val="001B1DAB"/>
    <w:rsid w:val="001B3933"/>
    <w:rsid w:val="001C1BD7"/>
    <w:rsid w:val="001C31C1"/>
    <w:rsid w:val="001C620E"/>
    <w:rsid w:val="001C6E0D"/>
    <w:rsid w:val="001C79DA"/>
    <w:rsid w:val="001D0028"/>
    <w:rsid w:val="001D08B1"/>
    <w:rsid w:val="001D0B81"/>
    <w:rsid w:val="001D1528"/>
    <w:rsid w:val="001D15E6"/>
    <w:rsid w:val="001D1B75"/>
    <w:rsid w:val="001D633C"/>
    <w:rsid w:val="001D63FC"/>
    <w:rsid w:val="001D6C06"/>
    <w:rsid w:val="001D7EE5"/>
    <w:rsid w:val="001E19C6"/>
    <w:rsid w:val="001E1FE0"/>
    <w:rsid w:val="001E2F66"/>
    <w:rsid w:val="001E35B4"/>
    <w:rsid w:val="001E376D"/>
    <w:rsid w:val="001E4DD1"/>
    <w:rsid w:val="001E721B"/>
    <w:rsid w:val="001F1CBB"/>
    <w:rsid w:val="001F331E"/>
    <w:rsid w:val="001F4495"/>
    <w:rsid w:val="001F56E7"/>
    <w:rsid w:val="001F6376"/>
    <w:rsid w:val="0020046B"/>
    <w:rsid w:val="002013B5"/>
    <w:rsid w:val="00201D38"/>
    <w:rsid w:val="002050A3"/>
    <w:rsid w:val="00205DE5"/>
    <w:rsid w:val="00206E14"/>
    <w:rsid w:val="0021086B"/>
    <w:rsid w:val="002113B3"/>
    <w:rsid w:val="00211922"/>
    <w:rsid w:val="00211D0D"/>
    <w:rsid w:val="00212290"/>
    <w:rsid w:val="00214E48"/>
    <w:rsid w:val="00215CB4"/>
    <w:rsid w:val="00216845"/>
    <w:rsid w:val="00220081"/>
    <w:rsid w:val="0022026D"/>
    <w:rsid w:val="002218A6"/>
    <w:rsid w:val="0022256F"/>
    <w:rsid w:val="00222926"/>
    <w:rsid w:val="00225F6F"/>
    <w:rsid w:val="00226289"/>
    <w:rsid w:val="00226812"/>
    <w:rsid w:val="00230142"/>
    <w:rsid w:val="00233364"/>
    <w:rsid w:val="0023382E"/>
    <w:rsid w:val="00233A02"/>
    <w:rsid w:val="00233F54"/>
    <w:rsid w:val="00234FA1"/>
    <w:rsid w:val="00236E30"/>
    <w:rsid w:val="00236EAD"/>
    <w:rsid w:val="002376B6"/>
    <w:rsid w:val="0024154E"/>
    <w:rsid w:val="002418F4"/>
    <w:rsid w:val="00241BEC"/>
    <w:rsid w:val="00243ACE"/>
    <w:rsid w:val="002449A0"/>
    <w:rsid w:val="0024641E"/>
    <w:rsid w:val="0024768F"/>
    <w:rsid w:val="002503F5"/>
    <w:rsid w:val="0025106F"/>
    <w:rsid w:val="00251CC7"/>
    <w:rsid w:val="00251F24"/>
    <w:rsid w:val="0025298A"/>
    <w:rsid w:val="002555BE"/>
    <w:rsid w:val="00256CC7"/>
    <w:rsid w:val="00260481"/>
    <w:rsid w:val="002614E7"/>
    <w:rsid w:val="002623F0"/>
    <w:rsid w:val="00263913"/>
    <w:rsid w:val="0026403F"/>
    <w:rsid w:val="0026430D"/>
    <w:rsid w:val="00266852"/>
    <w:rsid w:val="00266CF8"/>
    <w:rsid w:val="002726D1"/>
    <w:rsid w:val="0027320F"/>
    <w:rsid w:val="002733DF"/>
    <w:rsid w:val="00274258"/>
    <w:rsid w:val="00274950"/>
    <w:rsid w:val="002762B5"/>
    <w:rsid w:val="002805C3"/>
    <w:rsid w:val="00280901"/>
    <w:rsid w:val="0028412B"/>
    <w:rsid w:val="00285D24"/>
    <w:rsid w:val="00287714"/>
    <w:rsid w:val="00293E8C"/>
    <w:rsid w:val="00295C92"/>
    <w:rsid w:val="002A1958"/>
    <w:rsid w:val="002A1AD9"/>
    <w:rsid w:val="002A1E0F"/>
    <w:rsid w:val="002A23A3"/>
    <w:rsid w:val="002A2C4C"/>
    <w:rsid w:val="002A4273"/>
    <w:rsid w:val="002A491A"/>
    <w:rsid w:val="002A4EC8"/>
    <w:rsid w:val="002A5999"/>
    <w:rsid w:val="002A65D6"/>
    <w:rsid w:val="002A66D8"/>
    <w:rsid w:val="002A73C9"/>
    <w:rsid w:val="002A7685"/>
    <w:rsid w:val="002A7D3D"/>
    <w:rsid w:val="002B089A"/>
    <w:rsid w:val="002B0D3F"/>
    <w:rsid w:val="002B2E98"/>
    <w:rsid w:val="002B3105"/>
    <w:rsid w:val="002B3A4E"/>
    <w:rsid w:val="002B4AD9"/>
    <w:rsid w:val="002C1177"/>
    <w:rsid w:val="002C2555"/>
    <w:rsid w:val="002C411A"/>
    <w:rsid w:val="002C6319"/>
    <w:rsid w:val="002C6BAA"/>
    <w:rsid w:val="002D1A1F"/>
    <w:rsid w:val="002D2AB1"/>
    <w:rsid w:val="002D322C"/>
    <w:rsid w:val="002D3D71"/>
    <w:rsid w:val="002D51CE"/>
    <w:rsid w:val="002D554F"/>
    <w:rsid w:val="002D635F"/>
    <w:rsid w:val="002D679B"/>
    <w:rsid w:val="002D69AB"/>
    <w:rsid w:val="002E0297"/>
    <w:rsid w:val="002E07EE"/>
    <w:rsid w:val="002E42B3"/>
    <w:rsid w:val="002E45C5"/>
    <w:rsid w:val="002E51CB"/>
    <w:rsid w:val="002E5F1D"/>
    <w:rsid w:val="002E679B"/>
    <w:rsid w:val="002F04DD"/>
    <w:rsid w:val="002F0F99"/>
    <w:rsid w:val="002F206B"/>
    <w:rsid w:val="002F24BE"/>
    <w:rsid w:val="002F43E3"/>
    <w:rsid w:val="002F4620"/>
    <w:rsid w:val="002F5FB5"/>
    <w:rsid w:val="002F6388"/>
    <w:rsid w:val="0030068B"/>
    <w:rsid w:val="00300A6A"/>
    <w:rsid w:val="00303FC8"/>
    <w:rsid w:val="00304C3C"/>
    <w:rsid w:val="00304D76"/>
    <w:rsid w:val="00307792"/>
    <w:rsid w:val="003079AC"/>
    <w:rsid w:val="00310E4B"/>
    <w:rsid w:val="00310FE8"/>
    <w:rsid w:val="00313153"/>
    <w:rsid w:val="003131FC"/>
    <w:rsid w:val="003139B3"/>
    <w:rsid w:val="00314FA8"/>
    <w:rsid w:val="003164AC"/>
    <w:rsid w:val="00316951"/>
    <w:rsid w:val="00316AAE"/>
    <w:rsid w:val="0032104F"/>
    <w:rsid w:val="00321A7F"/>
    <w:rsid w:val="003221BA"/>
    <w:rsid w:val="00322932"/>
    <w:rsid w:val="00323A02"/>
    <w:rsid w:val="00324717"/>
    <w:rsid w:val="0032528A"/>
    <w:rsid w:val="0032700E"/>
    <w:rsid w:val="00331DB9"/>
    <w:rsid w:val="00336863"/>
    <w:rsid w:val="00337943"/>
    <w:rsid w:val="003417F7"/>
    <w:rsid w:val="00342E2F"/>
    <w:rsid w:val="00343985"/>
    <w:rsid w:val="00345465"/>
    <w:rsid w:val="00346B89"/>
    <w:rsid w:val="003520CD"/>
    <w:rsid w:val="0035225C"/>
    <w:rsid w:val="00352C97"/>
    <w:rsid w:val="00354331"/>
    <w:rsid w:val="003549DD"/>
    <w:rsid w:val="00354E6B"/>
    <w:rsid w:val="00360A37"/>
    <w:rsid w:val="00361629"/>
    <w:rsid w:val="00361D5C"/>
    <w:rsid w:val="00362A15"/>
    <w:rsid w:val="00362EE1"/>
    <w:rsid w:val="00364475"/>
    <w:rsid w:val="003653DB"/>
    <w:rsid w:val="00366BB9"/>
    <w:rsid w:val="003700B7"/>
    <w:rsid w:val="00370CE1"/>
    <w:rsid w:val="00370EF1"/>
    <w:rsid w:val="00370F1E"/>
    <w:rsid w:val="00373844"/>
    <w:rsid w:val="00374718"/>
    <w:rsid w:val="0037599A"/>
    <w:rsid w:val="00375CCB"/>
    <w:rsid w:val="0037601E"/>
    <w:rsid w:val="003764B3"/>
    <w:rsid w:val="00376DA7"/>
    <w:rsid w:val="00376F5A"/>
    <w:rsid w:val="00377DAB"/>
    <w:rsid w:val="003802B7"/>
    <w:rsid w:val="003807B2"/>
    <w:rsid w:val="00381590"/>
    <w:rsid w:val="00381E8B"/>
    <w:rsid w:val="003820E5"/>
    <w:rsid w:val="0038428A"/>
    <w:rsid w:val="003843BF"/>
    <w:rsid w:val="00385E62"/>
    <w:rsid w:val="00386055"/>
    <w:rsid w:val="0038648C"/>
    <w:rsid w:val="00386D95"/>
    <w:rsid w:val="00387235"/>
    <w:rsid w:val="00390327"/>
    <w:rsid w:val="003939EB"/>
    <w:rsid w:val="00397E65"/>
    <w:rsid w:val="003A023D"/>
    <w:rsid w:val="003A1316"/>
    <w:rsid w:val="003A62C3"/>
    <w:rsid w:val="003A68D1"/>
    <w:rsid w:val="003A7657"/>
    <w:rsid w:val="003B10FD"/>
    <w:rsid w:val="003B2EE6"/>
    <w:rsid w:val="003B3A83"/>
    <w:rsid w:val="003B739F"/>
    <w:rsid w:val="003C14D6"/>
    <w:rsid w:val="003C2941"/>
    <w:rsid w:val="003C4FD9"/>
    <w:rsid w:val="003C5DCB"/>
    <w:rsid w:val="003C60B3"/>
    <w:rsid w:val="003C60F9"/>
    <w:rsid w:val="003C6C75"/>
    <w:rsid w:val="003C6F59"/>
    <w:rsid w:val="003D1D54"/>
    <w:rsid w:val="003D388B"/>
    <w:rsid w:val="003D6518"/>
    <w:rsid w:val="003D6635"/>
    <w:rsid w:val="003D6F8E"/>
    <w:rsid w:val="003D7959"/>
    <w:rsid w:val="003E2973"/>
    <w:rsid w:val="003E3894"/>
    <w:rsid w:val="003E3AC1"/>
    <w:rsid w:val="003E45A6"/>
    <w:rsid w:val="003E56F6"/>
    <w:rsid w:val="003E683A"/>
    <w:rsid w:val="003E68F7"/>
    <w:rsid w:val="003E7B1B"/>
    <w:rsid w:val="003F1C98"/>
    <w:rsid w:val="003F2772"/>
    <w:rsid w:val="003F2F6F"/>
    <w:rsid w:val="003F3B81"/>
    <w:rsid w:val="003F4019"/>
    <w:rsid w:val="003F4CE1"/>
    <w:rsid w:val="003F5228"/>
    <w:rsid w:val="003F555F"/>
    <w:rsid w:val="003F7B74"/>
    <w:rsid w:val="00400281"/>
    <w:rsid w:val="00400C43"/>
    <w:rsid w:val="00401DB1"/>
    <w:rsid w:val="0040418D"/>
    <w:rsid w:val="004062E9"/>
    <w:rsid w:val="004078F0"/>
    <w:rsid w:val="004135F1"/>
    <w:rsid w:val="00414143"/>
    <w:rsid w:val="00414707"/>
    <w:rsid w:val="0041482F"/>
    <w:rsid w:val="00415E90"/>
    <w:rsid w:val="004161B7"/>
    <w:rsid w:val="00417A0F"/>
    <w:rsid w:val="00420227"/>
    <w:rsid w:val="00423F77"/>
    <w:rsid w:val="004243DF"/>
    <w:rsid w:val="00426EC6"/>
    <w:rsid w:val="00431FE6"/>
    <w:rsid w:val="004331C1"/>
    <w:rsid w:val="00433352"/>
    <w:rsid w:val="004349A2"/>
    <w:rsid w:val="00435A2D"/>
    <w:rsid w:val="00435D0D"/>
    <w:rsid w:val="00436E5D"/>
    <w:rsid w:val="0044011F"/>
    <w:rsid w:val="00440B08"/>
    <w:rsid w:val="0044111E"/>
    <w:rsid w:val="00441F48"/>
    <w:rsid w:val="00442239"/>
    <w:rsid w:val="00442599"/>
    <w:rsid w:val="0044365B"/>
    <w:rsid w:val="00443ABB"/>
    <w:rsid w:val="004442CE"/>
    <w:rsid w:val="00446895"/>
    <w:rsid w:val="00451049"/>
    <w:rsid w:val="0045223C"/>
    <w:rsid w:val="00452DDA"/>
    <w:rsid w:val="00453ED9"/>
    <w:rsid w:val="00454CF3"/>
    <w:rsid w:val="00454DE7"/>
    <w:rsid w:val="00454E17"/>
    <w:rsid w:val="004554C2"/>
    <w:rsid w:val="00456D08"/>
    <w:rsid w:val="004579FD"/>
    <w:rsid w:val="00462737"/>
    <w:rsid w:val="004630FF"/>
    <w:rsid w:val="004635D1"/>
    <w:rsid w:val="00464527"/>
    <w:rsid w:val="00464FC6"/>
    <w:rsid w:val="0047040E"/>
    <w:rsid w:val="00472462"/>
    <w:rsid w:val="004732C6"/>
    <w:rsid w:val="00476394"/>
    <w:rsid w:val="00476C92"/>
    <w:rsid w:val="004771D4"/>
    <w:rsid w:val="004802A2"/>
    <w:rsid w:val="0048064C"/>
    <w:rsid w:val="004808FE"/>
    <w:rsid w:val="0048101A"/>
    <w:rsid w:val="0048188C"/>
    <w:rsid w:val="00482C4D"/>
    <w:rsid w:val="00483AD1"/>
    <w:rsid w:val="00484209"/>
    <w:rsid w:val="0048483E"/>
    <w:rsid w:val="00485E42"/>
    <w:rsid w:val="00486931"/>
    <w:rsid w:val="00486C28"/>
    <w:rsid w:val="00487369"/>
    <w:rsid w:val="0048747F"/>
    <w:rsid w:val="004876E1"/>
    <w:rsid w:val="00490BB9"/>
    <w:rsid w:val="00492A13"/>
    <w:rsid w:val="00492A6A"/>
    <w:rsid w:val="00494370"/>
    <w:rsid w:val="0049438E"/>
    <w:rsid w:val="00494D6A"/>
    <w:rsid w:val="00497064"/>
    <w:rsid w:val="004A2D08"/>
    <w:rsid w:val="004A6F89"/>
    <w:rsid w:val="004A7112"/>
    <w:rsid w:val="004B3D58"/>
    <w:rsid w:val="004B6CF2"/>
    <w:rsid w:val="004B7956"/>
    <w:rsid w:val="004C2DD2"/>
    <w:rsid w:val="004C34F8"/>
    <w:rsid w:val="004C373A"/>
    <w:rsid w:val="004C42E9"/>
    <w:rsid w:val="004C60D9"/>
    <w:rsid w:val="004C60F2"/>
    <w:rsid w:val="004C62A9"/>
    <w:rsid w:val="004C688D"/>
    <w:rsid w:val="004C6CE2"/>
    <w:rsid w:val="004C6D65"/>
    <w:rsid w:val="004D068F"/>
    <w:rsid w:val="004D2725"/>
    <w:rsid w:val="004D2D78"/>
    <w:rsid w:val="004D3059"/>
    <w:rsid w:val="004D415C"/>
    <w:rsid w:val="004D7487"/>
    <w:rsid w:val="004E0B39"/>
    <w:rsid w:val="004E1C66"/>
    <w:rsid w:val="004E2957"/>
    <w:rsid w:val="004E523C"/>
    <w:rsid w:val="004E6603"/>
    <w:rsid w:val="004F3675"/>
    <w:rsid w:val="004F3A57"/>
    <w:rsid w:val="004F402C"/>
    <w:rsid w:val="004F5E52"/>
    <w:rsid w:val="004F6A4C"/>
    <w:rsid w:val="004F7E13"/>
    <w:rsid w:val="00502B0B"/>
    <w:rsid w:val="00504271"/>
    <w:rsid w:val="00504CCA"/>
    <w:rsid w:val="005101D4"/>
    <w:rsid w:val="00511A2E"/>
    <w:rsid w:val="00511D94"/>
    <w:rsid w:val="00512BC6"/>
    <w:rsid w:val="005142CA"/>
    <w:rsid w:val="0051622C"/>
    <w:rsid w:val="00516915"/>
    <w:rsid w:val="00517C72"/>
    <w:rsid w:val="00520ABB"/>
    <w:rsid w:val="00521077"/>
    <w:rsid w:val="00523BA1"/>
    <w:rsid w:val="00523F09"/>
    <w:rsid w:val="00526B4C"/>
    <w:rsid w:val="00527459"/>
    <w:rsid w:val="00527ECB"/>
    <w:rsid w:val="005308EE"/>
    <w:rsid w:val="005357D6"/>
    <w:rsid w:val="00535A03"/>
    <w:rsid w:val="00535B1C"/>
    <w:rsid w:val="00536C74"/>
    <w:rsid w:val="005402FA"/>
    <w:rsid w:val="005404B5"/>
    <w:rsid w:val="00540D61"/>
    <w:rsid w:val="00540F07"/>
    <w:rsid w:val="00541502"/>
    <w:rsid w:val="00541AF5"/>
    <w:rsid w:val="00542D8E"/>
    <w:rsid w:val="005431B8"/>
    <w:rsid w:val="005431E6"/>
    <w:rsid w:val="005439D6"/>
    <w:rsid w:val="00543AA4"/>
    <w:rsid w:val="005449E1"/>
    <w:rsid w:val="00544D52"/>
    <w:rsid w:val="00550330"/>
    <w:rsid w:val="00552032"/>
    <w:rsid w:val="005523C7"/>
    <w:rsid w:val="00554716"/>
    <w:rsid w:val="00556A4D"/>
    <w:rsid w:val="00556A70"/>
    <w:rsid w:val="00557A68"/>
    <w:rsid w:val="00557DB3"/>
    <w:rsid w:val="00561D4B"/>
    <w:rsid w:val="005620C2"/>
    <w:rsid w:val="00562911"/>
    <w:rsid w:val="00562A2C"/>
    <w:rsid w:val="00564290"/>
    <w:rsid w:val="00564E86"/>
    <w:rsid w:val="00567C44"/>
    <w:rsid w:val="005703CF"/>
    <w:rsid w:val="00570620"/>
    <w:rsid w:val="005708A8"/>
    <w:rsid w:val="0057365B"/>
    <w:rsid w:val="005758E8"/>
    <w:rsid w:val="005826F9"/>
    <w:rsid w:val="00583E33"/>
    <w:rsid w:val="00584C53"/>
    <w:rsid w:val="0058612D"/>
    <w:rsid w:val="00586FB5"/>
    <w:rsid w:val="00587E4E"/>
    <w:rsid w:val="00590A0A"/>
    <w:rsid w:val="005910ED"/>
    <w:rsid w:val="0059283E"/>
    <w:rsid w:val="00593699"/>
    <w:rsid w:val="00593D21"/>
    <w:rsid w:val="005A0E55"/>
    <w:rsid w:val="005A2396"/>
    <w:rsid w:val="005A40F8"/>
    <w:rsid w:val="005A4FB0"/>
    <w:rsid w:val="005A5B5B"/>
    <w:rsid w:val="005A5C2C"/>
    <w:rsid w:val="005A6072"/>
    <w:rsid w:val="005A728D"/>
    <w:rsid w:val="005B1230"/>
    <w:rsid w:val="005B1E18"/>
    <w:rsid w:val="005B1EB5"/>
    <w:rsid w:val="005B2293"/>
    <w:rsid w:val="005B26A3"/>
    <w:rsid w:val="005B3511"/>
    <w:rsid w:val="005B3B7D"/>
    <w:rsid w:val="005B4AC0"/>
    <w:rsid w:val="005B4CAB"/>
    <w:rsid w:val="005B4D48"/>
    <w:rsid w:val="005B4DF8"/>
    <w:rsid w:val="005B6004"/>
    <w:rsid w:val="005C065A"/>
    <w:rsid w:val="005C2A28"/>
    <w:rsid w:val="005C2BEE"/>
    <w:rsid w:val="005C4213"/>
    <w:rsid w:val="005C7B4C"/>
    <w:rsid w:val="005D093B"/>
    <w:rsid w:val="005D1A87"/>
    <w:rsid w:val="005D2DE5"/>
    <w:rsid w:val="005D3F57"/>
    <w:rsid w:val="005D4403"/>
    <w:rsid w:val="005D5CC0"/>
    <w:rsid w:val="005D67D5"/>
    <w:rsid w:val="005E13F4"/>
    <w:rsid w:val="005E1D6B"/>
    <w:rsid w:val="005E2C17"/>
    <w:rsid w:val="005E3FF2"/>
    <w:rsid w:val="005E4A72"/>
    <w:rsid w:val="005E5056"/>
    <w:rsid w:val="005E5777"/>
    <w:rsid w:val="005F00A0"/>
    <w:rsid w:val="005F3B12"/>
    <w:rsid w:val="005F552D"/>
    <w:rsid w:val="005F56B2"/>
    <w:rsid w:val="005F5EA4"/>
    <w:rsid w:val="005F6884"/>
    <w:rsid w:val="005F6939"/>
    <w:rsid w:val="006015FB"/>
    <w:rsid w:val="00604F65"/>
    <w:rsid w:val="00605CB4"/>
    <w:rsid w:val="00607B69"/>
    <w:rsid w:val="0061317D"/>
    <w:rsid w:val="00613CAD"/>
    <w:rsid w:val="00615405"/>
    <w:rsid w:val="0061696F"/>
    <w:rsid w:val="006173A9"/>
    <w:rsid w:val="00620001"/>
    <w:rsid w:val="0062008B"/>
    <w:rsid w:val="00620F4D"/>
    <w:rsid w:val="0062149A"/>
    <w:rsid w:val="00623E9E"/>
    <w:rsid w:val="00623F8F"/>
    <w:rsid w:val="00624413"/>
    <w:rsid w:val="00624D70"/>
    <w:rsid w:val="0062641B"/>
    <w:rsid w:val="00626F31"/>
    <w:rsid w:val="00627A98"/>
    <w:rsid w:val="00631C48"/>
    <w:rsid w:val="00631DE1"/>
    <w:rsid w:val="00632133"/>
    <w:rsid w:val="00632457"/>
    <w:rsid w:val="00633C74"/>
    <w:rsid w:val="00635849"/>
    <w:rsid w:val="0063716B"/>
    <w:rsid w:val="00637895"/>
    <w:rsid w:val="006420B8"/>
    <w:rsid w:val="00644F40"/>
    <w:rsid w:val="00652095"/>
    <w:rsid w:val="0065441B"/>
    <w:rsid w:val="0065454B"/>
    <w:rsid w:val="00655E64"/>
    <w:rsid w:val="00656AD5"/>
    <w:rsid w:val="00657520"/>
    <w:rsid w:val="006577A8"/>
    <w:rsid w:val="00660CDF"/>
    <w:rsid w:val="0066287D"/>
    <w:rsid w:val="006629CC"/>
    <w:rsid w:val="0066313A"/>
    <w:rsid w:val="006671BC"/>
    <w:rsid w:val="00670A19"/>
    <w:rsid w:val="00670A6F"/>
    <w:rsid w:val="00671355"/>
    <w:rsid w:val="00672BE9"/>
    <w:rsid w:val="00673CFA"/>
    <w:rsid w:val="00675C33"/>
    <w:rsid w:val="00675DBA"/>
    <w:rsid w:val="00675FC6"/>
    <w:rsid w:val="00676D36"/>
    <w:rsid w:val="00676F34"/>
    <w:rsid w:val="00677064"/>
    <w:rsid w:val="00681F3B"/>
    <w:rsid w:val="0068392F"/>
    <w:rsid w:val="0068395D"/>
    <w:rsid w:val="00684E0D"/>
    <w:rsid w:val="00690BC1"/>
    <w:rsid w:val="006916CB"/>
    <w:rsid w:val="00691DBD"/>
    <w:rsid w:val="006923BE"/>
    <w:rsid w:val="0069269B"/>
    <w:rsid w:val="006941C5"/>
    <w:rsid w:val="006943EB"/>
    <w:rsid w:val="00694C1C"/>
    <w:rsid w:val="00695166"/>
    <w:rsid w:val="006955F5"/>
    <w:rsid w:val="006A0183"/>
    <w:rsid w:val="006A11BF"/>
    <w:rsid w:val="006A1433"/>
    <w:rsid w:val="006A2E40"/>
    <w:rsid w:val="006A4802"/>
    <w:rsid w:val="006A4D85"/>
    <w:rsid w:val="006A71F8"/>
    <w:rsid w:val="006B039B"/>
    <w:rsid w:val="006B0828"/>
    <w:rsid w:val="006B0CDD"/>
    <w:rsid w:val="006B1472"/>
    <w:rsid w:val="006B2352"/>
    <w:rsid w:val="006B279F"/>
    <w:rsid w:val="006B34CC"/>
    <w:rsid w:val="006B44A1"/>
    <w:rsid w:val="006B4619"/>
    <w:rsid w:val="006B4DF3"/>
    <w:rsid w:val="006B7C66"/>
    <w:rsid w:val="006C173C"/>
    <w:rsid w:val="006C38A5"/>
    <w:rsid w:val="006C38E3"/>
    <w:rsid w:val="006C57D4"/>
    <w:rsid w:val="006C6A4D"/>
    <w:rsid w:val="006D0568"/>
    <w:rsid w:val="006D1B4C"/>
    <w:rsid w:val="006D1B74"/>
    <w:rsid w:val="006D20C8"/>
    <w:rsid w:val="006D3B70"/>
    <w:rsid w:val="006D4D9C"/>
    <w:rsid w:val="006D5A3B"/>
    <w:rsid w:val="006D6EBD"/>
    <w:rsid w:val="006E0733"/>
    <w:rsid w:val="006E53FE"/>
    <w:rsid w:val="006F1F5C"/>
    <w:rsid w:val="006F2F92"/>
    <w:rsid w:val="006F42AB"/>
    <w:rsid w:val="006F77D7"/>
    <w:rsid w:val="006F7AE8"/>
    <w:rsid w:val="006F7B93"/>
    <w:rsid w:val="006F7BC7"/>
    <w:rsid w:val="00703C95"/>
    <w:rsid w:val="007041C7"/>
    <w:rsid w:val="0070699E"/>
    <w:rsid w:val="00706B8C"/>
    <w:rsid w:val="0070707C"/>
    <w:rsid w:val="00707B14"/>
    <w:rsid w:val="007113BB"/>
    <w:rsid w:val="007116E6"/>
    <w:rsid w:val="007128B1"/>
    <w:rsid w:val="007137AA"/>
    <w:rsid w:val="0071400B"/>
    <w:rsid w:val="00714C4D"/>
    <w:rsid w:val="007156EC"/>
    <w:rsid w:val="007203E3"/>
    <w:rsid w:val="00722D57"/>
    <w:rsid w:val="00723411"/>
    <w:rsid w:val="007242CD"/>
    <w:rsid w:val="00731214"/>
    <w:rsid w:val="0073139A"/>
    <w:rsid w:val="007324E1"/>
    <w:rsid w:val="00734FD0"/>
    <w:rsid w:val="007353A4"/>
    <w:rsid w:val="00737B11"/>
    <w:rsid w:val="00740EC9"/>
    <w:rsid w:val="00741213"/>
    <w:rsid w:val="00742839"/>
    <w:rsid w:val="007434F2"/>
    <w:rsid w:val="00744025"/>
    <w:rsid w:val="00744268"/>
    <w:rsid w:val="007442E5"/>
    <w:rsid w:val="0074527D"/>
    <w:rsid w:val="007459E8"/>
    <w:rsid w:val="0075229D"/>
    <w:rsid w:val="00752563"/>
    <w:rsid w:val="00752612"/>
    <w:rsid w:val="00753BD1"/>
    <w:rsid w:val="00753F94"/>
    <w:rsid w:val="00753FF4"/>
    <w:rsid w:val="0075550A"/>
    <w:rsid w:val="00755CD0"/>
    <w:rsid w:val="007562B8"/>
    <w:rsid w:val="00756BAA"/>
    <w:rsid w:val="00756CA0"/>
    <w:rsid w:val="007601F2"/>
    <w:rsid w:val="00760546"/>
    <w:rsid w:val="00760E00"/>
    <w:rsid w:val="0076236D"/>
    <w:rsid w:val="0076282A"/>
    <w:rsid w:val="00763194"/>
    <w:rsid w:val="0076345D"/>
    <w:rsid w:val="00766814"/>
    <w:rsid w:val="00767C6F"/>
    <w:rsid w:val="007731B3"/>
    <w:rsid w:val="0077488F"/>
    <w:rsid w:val="00776B85"/>
    <w:rsid w:val="00777F47"/>
    <w:rsid w:val="007802BB"/>
    <w:rsid w:val="007811DE"/>
    <w:rsid w:val="007827C1"/>
    <w:rsid w:val="0078300E"/>
    <w:rsid w:val="00793F22"/>
    <w:rsid w:val="007945A7"/>
    <w:rsid w:val="00796045"/>
    <w:rsid w:val="007A0125"/>
    <w:rsid w:val="007A3EE4"/>
    <w:rsid w:val="007A4374"/>
    <w:rsid w:val="007A540E"/>
    <w:rsid w:val="007A7217"/>
    <w:rsid w:val="007B0823"/>
    <w:rsid w:val="007B1C2F"/>
    <w:rsid w:val="007B2C6C"/>
    <w:rsid w:val="007B46A8"/>
    <w:rsid w:val="007B4E2B"/>
    <w:rsid w:val="007B5A76"/>
    <w:rsid w:val="007B5FDF"/>
    <w:rsid w:val="007B60D2"/>
    <w:rsid w:val="007B728F"/>
    <w:rsid w:val="007B772E"/>
    <w:rsid w:val="007C0664"/>
    <w:rsid w:val="007C1478"/>
    <w:rsid w:val="007C1761"/>
    <w:rsid w:val="007C178A"/>
    <w:rsid w:val="007C2048"/>
    <w:rsid w:val="007C3C8B"/>
    <w:rsid w:val="007C4171"/>
    <w:rsid w:val="007C426A"/>
    <w:rsid w:val="007C71D3"/>
    <w:rsid w:val="007C78F4"/>
    <w:rsid w:val="007D1053"/>
    <w:rsid w:val="007D1CAF"/>
    <w:rsid w:val="007D266F"/>
    <w:rsid w:val="007D34E8"/>
    <w:rsid w:val="007D4AEC"/>
    <w:rsid w:val="007D757B"/>
    <w:rsid w:val="007D7851"/>
    <w:rsid w:val="007E09B3"/>
    <w:rsid w:val="007E0DBC"/>
    <w:rsid w:val="007E1E64"/>
    <w:rsid w:val="007E2DF6"/>
    <w:rsid w:val="007E31B9"/>
    <w:rsid w:val="007E3EF4"/>
    <w:rsid w:val="007E4724"/>
    <w:rsid w:val="007E522D"/>
    <w:rsid w:val="007E56F4"/>
    <w:rsid w:val="007E629B"/>
    <w:rsid w:val="007E64F3"/>
    <w:rsid w:val="007E7F50"/>
    <w:rsid w:val="007F05E3"/>
    <w:rsid w:val="007F063D"/>
    <w:rsid w:val="007F2654"/>
    <w:rsid w:val="007F273A"/>
    <w:rsid w:val="007F284B"/>
    <w:rsid w:val="007F4339"/>
    <w:rsid w:val="007F4A21"/>
    <w:rsid w:val="007F6418"/>
    <w:rsid w:val="007F7EA6"/>
    <w:rsid w:val="00800727"/>
    <w:rsid w:val="00800CBD"/>
    <w:rsid w:val="00801571"/>
    <w:rsid w:val="008025F9"/>
    <w:rsid w:val="00802A96"/>
    <w:rsid w:val="00802E29"/>
    <w:rsid w:val="0080458D"/>
    <w:rsid w:val="00804D5B"/>
    <w:rsid w:val="008063A9"/>
    <w:rsid w:val="008079AF"/>
    <w:rsid w:val="008101F4"/>
    <w:rsid w:val="008126FF"/>
    <w:rsid w:val="00812A7B"/>
    <w:rsid w:val="00813B93"/>
    <w:rsid w:val="008147B4"/>
    <w:rsid w:val="00815F84"/>
    <w:rsid w:val="00822640"/>
    <w:rsid w:val="00822A1E"/>
    <w:rsid w:val="00822BBD"/>
    <w:rsid w:val="008231E9"/>
    <w:rsid w:val="0082396A"/>
    <w:rsid w:val="00824D0E"/>
    <w:rsid w:val="00824FDF"/>
    <w:rsid w:val="00826BF0"/>
    <w:rsid w:val="008277A2"/>
    <w:rsid w:val="00827B08"/>
    <w:rsid w:val="00827F62"/>
    <w:rsid w:val="008305FA"/>
    <w:rsid w:val="00831E1E"/>
    <w:rsid w:val="00833BE3"/>
    <w:rsid w:val="00834F65"/>
    <w:rsid w:val="00835949"/>
    <w:rsid w:val="00835F66"/>
    <w:rsid w:val="0084086F"/>
    <w:rsid w:val="00841D7B"/>
    <w:rsid w:val="008422F7"/>
    <w:rsid w:val="00846975"/>
    <w:rsid w:val="0085073E"/>
    <w:rsid w:val="008509AC"/>
    <w:rsid w:val="00850F7D"/>
    <w:rsid w:val="00851C31"/>
    <w:rsid w:val="008521C5"/>
    <w:rsid w:val="0085222E"/>
    <w:rsid w:val="00853140"/>
    <w:rsid w:val="00853D1F"/>
    <w:rsid w:val="00854843"/>
    <w:rsid w:val="0085569B"/>
    <w:rsid w:val="00856387"/>
    <w:rsid w:val="00856B4C"/>
    <w:rsid w:val="008577BC"/>
    <w:rsid w:val="00860A3F"/>
    <w:rsid w:val="00861263"/>
    <w:rsid w:val="008617A3"/>
    <w:rsid w:val="00861F02"/>
    <w:rsid w:val="00863B99"/>
    <w:rsid w:val="00864409"/>
    <w:rsid w:val="00865305"/>
    <w:rsid w:val="00865455"/>
    <w:rsid w:val="00871760"/>
    <w:rsid w:val="00871D57"/>
    <w:rsid w:val="00872CD8"/>
    <w:rsid w:val="00872D62"/>
    <w:rsid w:val="008730BA"/>
    <w:rsid w:val="00873D9A"/>
    <w:rsid w:val="00874A9C"/>
    <w:rsid w:val="0087524E"/>
    <w:rsid w:val="00875E8A"/>
    <w:rsid w:val="008771FF"/>
    <w:rsid w:val="00877FE9"/>
    <w:rsid w:val="0088021C"/>
    <w:rsid w:val="00880781"/>
    <w:rsid w:val="00880A01"/>
    <w:rsid w:val="00881C9C"/>
    <w:rsid w:val="008826A4"/>
    <w:rsid w:val="00882998"/>
    <w:rsid w:val="00882BC5"/>
    <w:rsid w:val="00882CB7"/>
    <w:rsid w:val="0089250B"/>
    <w:rsid w:val="00893856"/>
    <w:rsid w:val="00894AC3"/>
    <w:rsid w:val="008957A6"/>
    <w:rsid w:val="00896163"/>
    <w:rsid w:val="0089797D"/>
    <w:rsid w:val="008A006E"/>
    <w:rsid w:val="008A01C6"/>
    <w:rsid w:val="008A0862"/>
    <w:rsid w:val="008A22FD"/>
    <w:rsid w:val="008A2BCA"/>
    <w:rsid w:val="008A5B15"/>
    <w:rsid w:val="008A64B6"/>
    <w:rsid w:val="008A6774"/>
    <w:rsid w:val="008B058F"/>
    <w:rsid w:val="008B30A0"/>
    <w:rsid w:val="008B37F7"/>
    <w:rsid w:val="008B59DB"/>
    <w:rsid w:val="008B62F7"/>
    <w:rsid w:val="008B630C"/>
    <w:rsid w:val="008B69A9"/>
    <w:rsid w:val="008C117D"/>
    <w:rsid w:val="008C1596"/>
    <w:rsid w:val="008C4BC7"/>
    <w:rsid w:val="008C4C07"/>
    <w:rsid w:val="008D0DE0"/>
    <w:rsid w:val="008D1081"/>
    <w:rsid w:val="008D175B"/>
    <w:rsid w:val="008D1C6B"/>
    <w:rsid w:val="008D246D"/>
    <w:rsid w:val="008D3453"/>
    <w:rsid w:val="008D4E8E"/>
    <w:rsid w:val="008D69D0"/>
    <w:rsid w:val="008D6BB7"/>
    <w:rsid w:val="008E34FB"/>
    <w:rsid w:val="008E35F0"/>
    <w:rsid w:val="008E3841"/>
    <w:rsid w:val="008E5D73"/>
    <w:rsid w:val="008E61F3"/>
    <w:rsid w:val="008E6640"/>
    <w:rsid w:val="008E6FFD"/>
    <w:rsid w:val="008E72AC"/>
    <w:rsid w:val="008E7A06"/>
    <w:rsid w:val="008E7EA6"/>
    <w:rsid w:val="008F0858"/>
    <w:rsid w:val="008F2BE5"/>
    <w:rsid w:val="008F3377"/>
    <w:rsid w:val="008F5467"/>
    <w:rsid w:val="008F5C9D"/>
    <w:rsid w:val="008F6FED"/>
    <w:rsid w:val="008F7775"/>
    <w:rsid w:val="008F7EE2"/>
    <w:rsid w:val="009003F1"/>
    <w:rsid w:val="00901A77"/>
    <w:rsid w:val="00903B47"/>
    <w:rsid w:val="00904E48"/>
    <w:rsid w:val="009063CD"/>
    <w:rsid w:val="00907000"/>
    <w:rsid w:val="00910B10"/>
    <w:rsid w:val="009118AC"/>
    <w:rsid w:val="00911B6C"/>
    <w:rsid w:val="0091298A"/>
    <w:rsid w:val="00914073"/>
    <w:rsid w:val="009146BB"/>
    <w:rsid w:val="0091505A"/>
    <w:rsid w:val="0091575B"/>
    <w:rsid w:val="0091592C"/>
    <w:rsid w:val="00917B89"/>
    <w:rsid w:val="00921178"/>
    <w:rsid w:val="0092228E"/>
    <w:rsid w:val="00922746"/>
    <w:rsid w:val="0092295B"/>
    <w:rsid w:val="00923FCE"/>
    <w:rsid w:val="00924E5E"/>
    <w:rsid w:val="00926849"/>
    <w:rsid w:val="00926907"/>
    <w:rsid w:val="0092709E"/>
    <w:rsid w:val="00927402"/>
    <w:rsid w:val="0092779A"/>
    <w:rsid w:val="00927DA2"/>
    <w:rsid w:val="00931526"/>
    <w:rsid w:val="0093197C"/>
    <w:rsid w:val="00931B3D"/>
    <w:rsid w:val="00931CA2"/>
    <w:rsid w:val="00931EEE"/>
    <w:rsid w:val="00933438"/>
    <w:rsid w:val="00935527"/>
    <w:rsid w:val="0093560B"/>
    <w:rsid w:val="009364AB"/>
    <w:rsid w:val="00937294"/>
    <w:rsid w:val="00937B47"/>
    <w:rsid w:val="0094065A"/>
    <w:rsid w:val="009414E2"/>
    <w:rsid w:val="00941F83"/>
    <w:rsid w:val="00946FD1"/>
    <w:rsid w:val="0095159D"/>
    <w:rsid w:val="00951603"/>
    <w:rsid w:val="00951BF1"/>
    <w:rsid w:val="0095289D"/>
    <w:rsid w:val="00952B16"/>
    <w:rsid w:val="009536B0"/>
    <w:rsid w:val="00954F9B"/>
    <w:rsid w:val="00954FC4"/>
    <w:rsid w:val="00955F88"/>
    <w:rsid w:val="0095704C"/>
    <w:rsid w:val="00962F42"/>
    <w:rsid w:val="009646BD"/>
    <w:rsid w:val="00965941"/>
    <w:rsid w:val="00966746"/>
    <w:rsid w:val="009676FF"/>
    <w:rsid w:val="00967B81"/>
    <w:rsid w:val="00970621"/>
    <w:rsid w:val="0097072A"/>
    <w:rsid w:val="00971D7D"/>
    <w:rsid w:val="0097360D"/>
    <w:rsid w:val="00973D1D"/>
    <w:rsid w:val="00974431"/>
    <w:rsid w:val="00975312"/>
    <w:rsid w:val="00975E70"/>
    <w:rsid w:val="00976481"/>
    <w:rsid w:val="009776C6"/>
    <w:rsid w:val="0098156D"/>
    <w:rsid w:val="00982014"/>
    <w:rsid w:val="00982B7C"/>
    <w:rsid w:val="0098461C"/>
    <w:rsid w:val="00984F99"/>
    <w:rsid w:val="009854B1"/>
    <w:rsid w:val="00986B99"/>
    <w:rsid w:val="00986E02"/>
    <w:rsid w:val="00986FB8"/>
    <w:rsid w:val="0098730B"/>
    <w:rsid w:val="00987966"/>
    <w:rsid w:val="00990ACB"/>
    <w:rsid w:val="00991AFC"/>
    <w:rsid w:val="00991EE0"/>
    <w:rsid w:val="0099265A"/>
    <w:rsid w:val="00995B45"/>
    <w:rsid w:val="0099714B"/>
    <w:rsid w:val="009975A1"/>
    <w:rsid w:val="00997B75"/>
    <w:rsid w:val="009A483C"/>
    <w:rsid w:val="009A6A0E"/>
    <w:rsid w:val="009A6BFE"/>
    <w:rsid w:val="009A7ECF"/>
    <w:rsid w:val="009B0A2A"/>
    <w:rsid w:val="009B1776"/>
    <w:rsid w:val="009B389F"/>
    <w:rsid w:val="009B683B"/>
    <w:rsid w:val="009B6DFC"/>
    <w:rsid w:val="009B6E61"/>
    <w:rsid w:val="009B70EF"/>
    <w:rsid w:val="009B74E5"/>
    <w:rsid w:val="009C08FA"/>
    <w:rsid w:val="009C113C"/>
    <w:rsid w:val="009C14A0"/>
    <w:rsid w:val="009C172D"/>
    <w:rsid w:val="009C18A0"/>
    <w:rsid w:val="009C3F3F"/>
    <w:rsid w:val="009C637D"/>
    <w:rsid w:val="009C78B9"/>
    <w:rsid w:val="009D011C"/>
    <w:rsid w:val="009D13B5"/>
    <w:rsid w:val="009D2C66"/>
    <w:rsid w:val="009D38AD"/>
    <w:rsid w:val="009D4032"/>
    <w:rsid w:val="009D5D5F"/>
    <w:rsid w:val="009D6189"/>
    <w:rsid w:val="009E408D"/>
    <w:rsid w:val="009E6427"/>
    <w:rsid w:val="009E76FD"/>
    <w:rsid w:val="009E7997"/>
    <w:rsid w:val="009E7B61"/>
    <w:rsid w:val="009F1C6F"/>
    <w:rsid w:val="009F1DC0"/>
    <w:rsid w:val="009F279A"/>
    <w:rsid w:val="009F281F"/>
    <w:rsid w:val="009F4209"/>
    <w:rsid w:val="009F6A4A"/>
    <w:rsid w:val="009F7B02"/>
    <w:rsid w:val="00A01B79"/>
    <w:rsid w:val="00A02F46"/>
    <w:rsid w:val="00A05D78"/>
    <w:rsid w:val="00A05F5D"/>
    <w:rsid w:val="00A06DBF"/>
    <w:rsid w:val="00A07A1A"/>
    <w:rsid w:val="00A115D5"/>
    <w:rsid w:val="00A136FD"/>
    <w:rsid w:val="00A14224"/>
    <w:rsid w:val="00A14B3D"/>
    <w:rsid w:val="00A158A8"/>
    <w:rsid w:val="00A162DF"/>
    <w:rsid w:val="00A17F5B"/>
    <w:rsid w:val="00A204AC"/>
    <w:rsid w:val="00A206F4"/>
    <w:rsid w:val="00A20D42"/>
    <w:rsid w:val="00A2146B"/>
    <w:rsid w:val="00A22153"/>
    <w:rsid w:val="00A23AD0"/>
    <w:rsid w:val="00A24390"/>
    <w:rsid w:val="00A24643"/>
    <w:rsid w:val="00A24A12"/>
    <w:rsid w:val="00A24CF8"/>
    <w:rsid w:val="00A25251"/>
    <w:rsid w:val="00A25815"/>
    <w:rsid w:val="00A266FD"/>
    <w:rsid w:val="00A26822"/>
    <w:rsid w:val="00A3018B"/>
    <w:rsid w:val="00A301D1"/>
    <w:rsid w:val="00A31BFA"/>
    <w:rsid w:val="00A3252F"/>
    <w:rsid w:val="00A34051"/>
    <w:rsid w:val="00A350DF"/>
    <w:rsid w:val="00A37416"/>
    <w:rsid w:val="00A37806"/>
    <w:rsid w:val="00A3793A"/>
    <w:rsid w:val="00A37A6B"/>
    <w:rsid w:val="00A37DBB"/>
    <w:rsid w:val="00A40249"/>
    <w:rsid w:val="00A4094C"/>
    <w:rsid w:val="00A414DA"/>
    <w:rsid w:val="00A41883"/>
    <w:rsid w:val="00A43A31"/>
    <w:rsid w:val="00A449C5"/>
    <w:rsid w:val="00A45911"/>
    <w:rsid w:val="00A46370"/>
    <w:rsid w:val="00A463B3"/>
    <w:rsid w:val="00A4792D"/>
    <w:rsid w:val="00A479B7"/>
    <w:rsid w:val="00A50D27"/>
    <w:rsid w:val="00A50E9E"/>
    <w:rsid w:val="00A52B2C"/>
    <w:rsid w:val="00A550F9"/>
    <w:rsid w:val="00A57A24"/>
    <w:rsid w:val="00A57E0A"/>
    <w:rsid w:val="00A61CBF"/>
    <w:rsid w:val="00A63CF4"/>
    <w:rsid w:val="00A64B6D"/>
    <w:rsid w:val="00A70D6A"/>
    <w:rsid w:val="00A70DED"/>
    <w:rsid w:val="00A710C9"/>
    <w:rsid w:val="00A71AA5"/>
    <w:rsid w:val="00A72E7C"/>
    <w:rsid w:val="00A734C6"/>
    <w:rsid w:val="00A73A88"/>
    <w:rsid w:val="00A7446B"/>
    <w:rsid w:val="00A746C2"/>
    <w:rsid w:val="00A75333"/>
    <w:rsid w:val="00A77376"/>
    <w:rsid w:val="00A77D72"/>
    <w:rsid w:val="00A8120C"/>
    <w:rsid w:val="00A82440"/>
    <w:rsid w:val="00A8329A"/>
    <w:rsid w:val="00A87D55"/>
    <w:rsid w:val="00A90E39"/>
    <w:rsid w:val="00A92B59"/>
    <w:rsid w:val="00A93253"/>
    <w:rsid w:val="00A9360A"/>
    <w:rsid w:val="00A953A6"/>
    <w:rsid w:val="00A974EC"/>
    <w:rsid w:val="00A97EC7"/>
    <w:rsid w:val="00AA0435"/>
    <w:rsid w:val="00AA1048"/>
    <w:rsid w:val="00AA1615"/>
    <w:rsid w:val="00AA2467"/>
    <w:rsid w:val="00AA34A9"/>
    <w:rsid w:val="00AA508E"/>
    <w:rsid w:val="00AA50DE"/>
    <w:rsid w:val="00AA53B5"/>
    <w:rsid w:val="00AA5D64"/>
    <w:rsid w:val="00AB0258"/>
    <w:rsid w:val="00AB059B"/>
    <w:rsid w:val="00AB08F3"/>
    <w:rsid w:val="00AB09C0"/>
    <w:rsid w:val="00AB0A2E"/>
    <w:rsid w:val="00AB2AC4"/>
    <w:rsid w:val="00AB2B21"/>
    <w:rsid w:val="00AB38ED"/>
    <w:rsid w:val="00AB553C"/>
    <w:rsid w:val="00AB5790"/>
    <w:rsid w:val="00AB6D45"/>
    <w:rsid w:val="00AB7BC7"/>
    <w:rsid w:val="00AC0193"/>
    <w:rsid w:val="00AC0E2B"/>
    <w:rsid w:val="00AC1AF2"/>
    <w:rsid w:val="00AC32BB"/>
    <w:rsid w:val="00AC426E"/>
    <w:rsid w:val="00AC4ABF"/>
    <w:rsid w:val="00AC4EB5"/>
    <w:rsid w:val="00AC5936"/>
    <w:rsid w:val="00AD0556"/>
    <w:rsid w:val="00AD06E2"/>
    <w:rsid w:val="00AD1132"/>
    <w:rsid w:val="00AD140B"/>
    <w:rsid w:val="00AD1EE3"/>
    <w:rsid w:val="00AD2177"/>
    <w:rsid w:val="00AD26C3"/>
    <w:rsid w:val="00AD7833"/>
    <w:rsid w:val="00AE08A0"/>
    <w:rsid w:val="00AE1B7C"/>
    <w:rsid w:val="00AE1C31"/>
    <w:rsid w:val="00AE3396"/>
    <w:rsid w:val="00AE3BF2"/>
    <w:rsid w:val="00AF126C"/>
    <w:rsid w:val="00AF133F"/>
    <w:rsid w:val="00AF39BD"/>
    <w:rsid w:val="00AF4A8A"/>
    <w:rsid w:val="00AF6C82"/>
    <w:rsid w:val="00AF7B13"/>
    <w:rsid w:val="00B00469"/>
    <w:rsid w:val="00B00887"/>
    <w:rsid w:val="00B00ED3"/>
    <w:rsid w:val="00B022A4"/>
    <w:rsid w:val="00B03C7C"/>
    <w:rsid w:val="00B05AC3"/>
    <w:rsid w:val="00B07560"/>
    <w:rsid w:val="00B10E3A"/>
    <w:rsid w:val="00B10F81"/>
    <w:rsid w:val="00B146B0"/>
    <w:rsid w:val="00B15335"/>
    <w:rsid w:val="00B17A54"/>
    <w:rsid w:val="00B20E3B"/>
    <w:rsid w:val="00B217A6"/>
    <w:rsid w:val="00B21B1C"/>
    <w:rsid w:val="00B220CC"/>
    <w:rsid w:val="00B23D9F"/>
    <w:rsid w:val="00B27B05"/>
    <w:rsid w:val="00B316B9"/>
    <w:rsid w:val="00B31B48"/>
    <w:rsid w:val="00B32D63"/>
    <w:rsid w:val="00B333CA"/>
    <w:rsid w:val="00B34258"/>
    <w:rsid w:val="00B34EFA"/>
    <w:rsid w:val="00B35721"/>
    <w:rsid w:val="00B3761C"/>
    <w:rsid w:val="00B40B22"/>
    <w:rsid w:val="00B42760"/>
    <w:rsid w:val="00B430DE"/>
    <w:rsid w:val="00B4549C"/>
    <w:rsid w:val="00B47EE4"/>
    <w:rsid w:val="00B508F4"/>
    <w:rsid w:val="00B51639"/>
    <w:rsid w:val="00B53F60"/>
    <w:rsid w:val="00B54909"/>
    <w:rsid w:val="00B56A33"/>
    <w:rsid w:val="00B575B8"/>
    <w:rsid w:val="00B57614"/>
    <w:rsid w:val="00B608C1"/>
    <w:rsid w:val="00B62FE2"/>
    <w:rsid w:val="00B64A34"/>
    <w:rsid w:val="00B64E44"/>
    <w:rsid w:val="00B6540D"/>
    <w:rsid w:val="00B65804"/>
    <w:rsid w:val="00B66802"/>
    <w:rsid w:val="00B66CFB"/>
    <w:rsid w:val="00B675C6"/>
    <w:rsid w:val="00B67B0F"/>
    <w:rsid w:val="00B701A9"/>
    <w:rsid w:val="00B707E5"/>
    <w:rsid w:val="00B70F16"/>
    <w:rsid w:val="00B71B72"/>
    <w:rsid w:val="00B71FDC"/>
    <w:rsid w:val="00B730ED"/>
    <w:rsid w:val="00B73D3A"/>
    <w:rsid w:val="00B74B6B"/>
    <w:rsid w:val="00B757C9"/>
    <w:rsid w:val="00B76FE0"/>
    <w:rsid w:val="00B77223"/>
    <w:rsid w:val="00B77D47"/>
    <w:rsid w:val="00B824DA"/>
    <w:rsid w:val="00B83EE9"/>
    <w:rsid w:val="00B849F3"/>
    <w:rsid w:val="00B87942"/>
    <w:rsid w:val="00B90A64"/>
    <w:rsid w:val="00B91D31"/>
    <w:rsid w:val="00B9442A"/>
    <w:rsid w:val="00B951EC"/>
    <w:rsid w:val="00B95572"/>
    <w:rsid w:val="00B95B2F"/>
    <w:rsid w:val="00BA0DDE"/>
    <w:rsid w:val="00BA17F6"/>
    <w:rsid w:val="00BA1952"/>
    <w:rsid w:val="00BA1D23"/>
    <w:rsid w:val="00BA24FA"/>
    <w:rsid w:val="00BA3299"/>
    <w:rsid w:val="00BA4152"/>
    <w:rsid w:val="00BA5A33"/>
    <w:rsid w:val="00BA61C8"/>
    <w:rsid w:val="00BA7AC1"/>
    <w:rsid w:val="00BA7C08"/>
    <w:rsid w:val="00BA7E7C"/>
    <w:rsid w:val="00BB165C"/>
    <w:rsid w:val="00BB381C"/>
    <w:rsid w:val="00BB3CF3"/>
    <w:rsid w:val="00BB5319"/>
    <w:rsid w:val="00BB593E"/>
    <w:rsid w:val="00BB5CBF"/>
    <w:rsid w:val="00BB5F2A"/>
    <w:rsid w:val="00BB6B6A"/>
    <w:rsid w:val="00BC02C3"/>
    <w:rsid w:val="00BC19D9"/>
    <w:rsid w:val="00BC1AAD"/>
    <w:rsid w:val="00BC2FB5"/>
    <w:rsid w:val="00BC359F"/>
    <w:rsid w:val="00BD181F"/>
    <w:rsid w:val="00BD2193"/>
    <w:rsid w:val="00BD2649"/>
    <w:rsid w:val="00BD2B10"/>
    <w:rsid w:val="00BD408D"/>
    <w:rsid w:val="00BD4892"/>
    <w:rsid w:val="00BD4C94"/>
    <w:rsid w:val="00BD4ED1"/>
    <w:rsid w:val="00BD509D"/>
    <w:rsid w:val="00BD555D"/>
    <w:rsid w:val="00BD5A48"/>
    <w:rsid w:val="00BD5C9D"/>
    <w:rsid w:val="00BD6F10"/>
    <w:rsid w:val="00BD7907"/>
    <w:rsid w:val="00BD7B8B"/>
    <w:rsid w:val="00BE16F9"/>
    <w:rsid w:val="00BE26A1"/>
    <w:rsid w:val="00BE2E69"/>
    <w:rsid w:val="00BE33A2"/>
    <w:rsid w:val="00BE661F"/>
    <w:rsid w:val="00BE6F44"/>
    <w:rsid w:val="00BE73FE"/>
    <w:rsid w:val="00BF0736"/>
    <w:rsid w:val="00BF0CF3"/>
    <w:rsid w:val="00BF2B40"/>
    <w:rsid w:val="00BF3648"/>
    <w:rsid w:val="00BF390E"/>
    <w:rsid w:val="00BF49C3"/>
    <w:rsid w:val="00BF4A21"/>
    <w:rsid w:val="00BF5A59"/>
    <w:rsid w:val="00BF5A6E"/>
    <w:rsid w:val="00BF5E40"/>
    <w:rsid w:val="00BF611E"/>
    <w:rsid w:val="00BF63D0"/>
    <w:rsid w:val="00BF6840"/>
    <w:rsid w:val="00BF6BF1"/>
    <w:rsid w:val="00BF768F"/>
    <w:rsid w:val="00C00EAF"/>
    <w:rsid w:val="00C011DA"/>
    <w:rsid w:val="00C0442C"/>
    <w:rsid w:val="00C0480C"/>
    <w:rsid w:val="00C05099"/>
    <w:rsid w:val="00C112E4"/>
    <w:rsid w:val="00C114E8"/>
    <w:rsid w:val="00C11DAA"/>
    <w:rsid w:val="00C123FC"/>
    <w:rsid w:val="00C1492C"/>
    <w:rsid w:val="00C16630"/>
    <w:rsid w:val="00C1672A"/>
    <w:rsid w:val="00C17FB7"/>
    <w:rsid w:val="00C2044B"/>
    <w:rsid w:val="00C21319"/>
    <w:rsid w:val="00C2165F"/>
    <w:rsid w:val="00C22482"/>
    <w:rsid w:val="00C23480"/>
    <w:rsid w:val="00C23DE5"/>
    <w:rsid w:val="00C24202"/>
    <w:rsid w:val="00C248CC"/>
    <w:rsid w:val="00C24DCB"/>
    <w:rsid w:val="00C251EF"/>
    <w:rsid w:val="00C3066A"/>
    <w:rsid w:val="00C33795"/>
    <w:rsid w:val="00C340F6"/>
    <w:rsid w:val="00C3615E"/>
    <w:rsid w:val="00C36A20"/>
    <w:rsid w:val="00C36B1D"/>
    <w:rsid w:val="00C3747C"/>
    <w:rsid w:val="00C40308"/>
    <w:rsid w:val="00C42A80"/>
    <w:rsid w:val="00C43DC7"/>
    <w:rsid w:val="00C47107"/>
    <w:rsid w:val="00C50663"/>
    <w:rsid w:val="00C51B94"/>
    <w:rsid w:val="00C52104"/>
    <w:rsid w:val="00C5389D"/>
    <w:rsid w:val="00C5402F"/>
    <w:rsid w:val="00C55B84"/>
    <w:rsid w:val="00C563D5"/>
    <w:rsid w:val="00C60821"/>
    <w:rsid w:val="00C62693"/>
    <w:rsid w:val="00C64DB8"/>
    <w:rsid w:val="00C668E3"/>
    <w:rsid w:val="00C67C74"/>
    <w:rsid w:val="00C70176"/>
    <w:rsid w:val="00C72094"/>
    <w:rsid w:val="00C727CF"/>
    <w:rsid w:val="00C7399F"/>
    <w:rsid w:val="00C7452A"/>
    <w:rsid w:val="00C74D41"/>
    <w:rsid w:val="00C7790C"/>
    <w:rsid w:val="00C81E3D"/>
    <w:rsid w:val="00C822A7"/>
    <w:rsid w:val="00C84B70"/>
    <w:rsid w:val="00C85C2E"/>
    <w:rsid w:val="00C86B63"/>
    <w:rsid w:val="00C86E96"/>
    <w:rsid w:val="00C87984"/>
    <w:rsid w:val="00C87A5D"/>
    <w:rsid w:val="00C906E6"/>
    <w:rsid w:val="00C91E05"/>
    <w:rsid w:val="00C92064"/>
    <w:rsid w:val="00C92344"/>
    <w:rsid w:val="00C93DCB"/>
    <w:rsid w:val="00C940DE"/>
    <w:rsid w:val="00C9416B"/>
    <w:rsid w:val="00C94225"/>
    <w:rsid w:val="00C953A5"/>
    <w:rsid w:val="00C96E62"/>
    <w:rsid w:val="00C97B7C"/>
    <w:rsid w:val="00CA18AC"/>
    <w:rsid w:val="00CA24D5"/>
    <w:rsid w:val="00CA50EC"/>
    <w:rsid w:val="00CA52F6"/>
    <w:rsid w:val="00CA54BA"/>
    <w:rsid w:val="00CB0109"/>
    <w:rsid w:val="00CB2521"/>
    <w:rsid w:val="00CB253D"/>
    <w:rsid w:val="00CB2DF1"/>
    <w:rsid w:val="00CB5587"/>
    <w:rsid w:val="00CB725E"/>
    <w:rsid w:val="00CC0F66"/>
    <w:rsid w:val="00CC1802"/>
    <w:rsid w:val="00CC2320"/>
    <w:rsid w:val="00CC2BB2"/>
    <w:rsid w:val="00CC30FF"/>
    <w:rsid w:val="00CC3CF8"/>
    <w:rsid w:val="00CC5810"/>
    <w:rsid w:val="00CC5AE1"/>
    <w:rsid w:val="00CC605A"/>
    <w:rsid w:val="00CC699A"/>
    <w:rsid w:val="00CC6B49"/>
    <w:rsid w:val="00CD0548"/>
    <w:rsid w:val="00CD134D"/>
    <w:rsid w:val="00CD1CB8"/>
    <w:rsid w:val="00CD248D"/>
    <w:rsid w:val="00CD2ECD"/>
    <w:rsid w:val="00CD335A"/>
    <w:rsid w:val="00CD6B54"/>
    <w:rsid w:val="00CE1D65"/>
    <w:rsid w:val="00CE2B43"/>
    <w:rsid w:val="00CE344E"/>
    <w:rsid w:val="00CE3CD1"/>
    <w:rsid w:val="00CE512A"/>
    <w:rsid w:val="00CE6A93"/>
    <w:rsid w:val="00CF039A"/>
    <w:rsid w:val="00CF056A"/>
    <w:rsid w:val="00CF07CD"/>
    <w:rsid w:val="00CF0BB0"/>
    <w:rsid w:val="00CF17A5"/>
    <w:rsid w:val="00CF266D"/>
    <w:rsid w:val="00CF31BB"/>
    <w:rsid w:val="00CF36D1"/>
    <w:rsid w:val="00CF3C34"/>
    <w:rsid w:val="00CF4148"/>
    <w:rsid w:val="00CF52EA"/>
    <w:rsid w:val="00D003A9"/>
    <w:rsid w:val="00D0062D"/>
    <w:rsid w:val="00D00F44"/>
    <w:rsid w:val="00D01602"/>
    <w:rsid w:val="00D033DC"/>
    <w:rsid w:val="00D0625B"/>
    <w:rsid w:val="00D06AE3"/>
    <w:rsid w:val="00D10031"/>
    <w:rsid w:val="00D1063E"/>
    <w:rsid w:val="00D113DE"/>
    <w:rsid w:val="00D15C6F"/>
    <w:rsid w:val="00D1617B"/>
    <w:rsid w:val="00D17334"/>
    <w:rsid w:val="00D177C3"/>
    <w:rsid w:val="00D17F6B"/>
    <w:rsid w:val="00D20B55"/>
    <w:rsid w:val="00D21A34"/>
    <w:rsid w:val="00D21DA3"/>
    <w:rsid w:val="00D2233C"/>
    <w:rsid w:val="00D22D09"/>
    <w:rsid w:val="00D23201"/>
    <w:rsid w:val="00D23A9E"/>
    <w:rsid w:val="00D23B76"/>
    <w:rsid w:val="00D24459"/>
    <w:rsid w:val="00D2483C"/>
    <w:rsid w:val="00D2668A"/>
    <w:rsid w:val="00D30364"/>
    <w:rsid w:val="00D30391"/>
    <w:rsid w:val="00D303E2"/>
    <w:rsid w:val="00D329A5"/>
    <w:rsid w:val="00D34E0A"/>
    <w:rsid w:val="00D3562F"/>
    <w:rsid w:val="00D36209"/>
    <w:rsid w:val="00D36C3D"/>
    <w:rsid w:val="00D412FC"/>
    <w:rsid w:val="00D42BBE"/>
    <w:rsid w:val="00D42C99"/>
    <w:rsid w:val="00D46366"/>
    <w:rsid w:val="00D4655A"/>
    <w:rsid w:val="00D46C41"/>
    <w:rsid w:val="00D47B83"/>
    <w:rsid w:val="00D50020"/>
    <w:rsid w:val="00D5034D"/>
    <w:rsid w:val="00D504B1"/>
    <w:rsid w:val="00D51CE0"/>
    <w:rsid w:val="00D537C1"/>
    <w:rsid w:val="00D552B9"/>
    <w:rsid w:val="00D557C7"/>
    <w:rsid w:val="00D559F9"/>
    <w:rsid w:val="00D55F97"/>
    <w:rsid w:val="00D56150"/>
    <w:rsid w:val="00D57F3A"/>
    <w:rsid w:val="00D63AC0"/>
    <w:rsid w:val="00D63C0B"/>
    <w:rsid w:val="00D64A60"/>
    <w:rsid w:val="00D65E03"/>
    <w:rsid w:val="00D705D1"/>
    <w:rsid w:val="00D70BD5"/>
    <w:rsid w:val="00D724BB"/>
    <w:rsid w:val="00D72DA1"/>
    <w:rsid w:val="00D73ACE"/>
    <w:rsid w:val="00D75394"/>
    <w:rsid w:val="00D7717A"/>
    <w:rsid w:val="00D80703"/>
    <w:rsid w:val="00D8130F"/>
    <w:rsid w:val="00D831FC"/>
    <w:rsid w:val="00D83C09"/>
    <w:rsid w:val="00D84C86"/>
    <w:rsid w:val="00D854EF"/>
    <w:rsid w:val="00D8663C"/>
    <w:rsid w:val="00D86DC8"/>
    <w:rsid w:val="00D901A1"/>
    <w:rsid w:val="00D90AC5"/>
    <w:rsid w:val="00D915D3"/>
    <w:rsid w:val="00D929B9"/>
    <w:rsid w:val="00D92E35"/>
    <w:rsid w:val="00D953D2"/>
    <w:rsid w:val="00D9633C"/>
    <w:rsid w:val="00D967F9"/>
    <w:rsid w:val="00DA1430"/>
    <w:rsid w:val="00DA5EE4"/>
    <w:rsid w:val="00DA5F75"/>
    <w:rsid w:val="00DB0ABE"/>
    <w:rsid w:val="00DB0B13"/>
    <w:rsid w:val="00DB0F43"/>
    <w:rsid w:val="00DB122D"/>
    <w:rsid w:val="00DB509C"/>
    <w:rsid w:val="00DB5CF6"/>
    <w:rsid w:val="00DB6807"/>
    <w:rsid w:val="00DB7CBE"/>
    <w:rsid w:val="00DC2C8E"/>
    <w:rsid w:val="00DC43D0"/>
    <w:rsid w:val="00DC47D8"/>
    <w:rsid w:val="00DC6BC7"/>
    <w:rsid w:val="00DC6DEC"/>
    <w:rsid w:val="00DC7EB1"/>
    <w:rsid w:val="00DD090E"/>
    <w:rsid w:val="00DD38FB"/>
    <w:rsid w:val="00DD72E5"/>
    <w:rsid w:val="00DE032D"/>
    <w:rsid w:val="00DE16F5"/>
    <w:rsid w:val="00DE18DA"/>
    <w:rsid w:val="00DE19F0"/>
    <w:rsid w:val="00DE4925"/>
    <w:rsid w:val="00DE49A7"/>
    <w:rsid w:val="00DE5B41"/>
    <w:rsid w:val="00DE71BD"/>
    <w:rsid w:val="00DF1234"/>
    <w:rsid w:val="00DF1BFB"/>
    <w:rsid w:val="00DF24E8"/>
    <w:rsid w:val="00DF2EFC"/>
    <w:rsid w:val="00DF4976"/>
    <w:rsid w:val="00DF6EF4"/>
    <w:rsid w:val="00E034E0"/>
    <w:rsid w:val="00E0384A"/>
    <w:rsid w:val="00E03886"/>
    <w:rsid w:val="00E04797"/>
    <w:rsid w:val="00E04CB5"/>
    <w:rsid w:val="00E079EF"/>
    <w:rsid w:val="00E10A10"/>
    <w:rsid w:val="00E11589"/>
    <w:rsid w:val="00E11DBC"/>
    <w:rsid w:val="00E12102"/>
    <w:rsid w:val="00E12C83"/>
    <w:rsid w:val="00E13FC8"/>
    <w:rsid w:val="00E14271"/>
    <w:rsid w:val="00E14759"/>
    <w:rsid w:val="00E14A3A"/>
    <w:rsid w:val="00E14AA7"/>
    <w:rsid w:val="00E14BDB"/>
    <w:rsid w:val="00E227F5"/>
    <w:rsid w:val="00E24808"/>
    <w:rsid w:val="00E2580A"/>
    <w:rsid w:val="00E2620F"/>
    <w:rsid w:val="00E26991"/>
    <w:rsid w:val="00E27AD8"/>
    <w:rsid w:val="00E30D1D"/>
    <w:rsid w:val="00E355A8"/>
    <w:rsid w:val="00E35617"/>
    <w:rsid w:val="00E35E03"/>
    <w:rsid w:val="00E36F9A"/>
    <w:rsid w:val="00E4377E"/>
    <w:rsid w:val="00E43B7B"/>
    <w:rsid w:val="00E45023"/>
    <w:rsid w:val="00E45D5D"/>
    <w:rsid w:val="00E47624"/>
    <w:rsid w:val="00E504D9"/>
    <w:rsid w:val="00E52360"/>
    <w:rsid w:val="00E527FA"/>
    <w:rsid w:val="00E53060"/>
    <w:rsid w:val="00E536A9"/>
    <w:rsid w:val="00E55AAB"/>
    <w:rsid w:val="00E579A6"/>
    <w:rsid w:val="00E57CB7"/>
    <w:rsid w:val="00E65CA2"/>
    <w:rsid w:val="00E667B9"/>
    <w:rsid w:val="00E67F34"/>
    <w:rsid w:val="00E72585"/>
    <w:rsid w:val="00E7327A"/>
    <w:rsid w:val="00E7356C"/>
    <w:rsid w:val="00E7361D"/>
    <w:rsid w:val="00E74A39"/>
    <w:rsid w:val="00E76712"/>
    <w:rsid w:val="00E77F01"/>
    <w:rsid w:val="00E8082E"/>
    <w:rsid w:val="00E81B73"/>
    <w:rsid w:val="00E82155"/>
    <w:rsid w:val="00E82F93"/>
    <w:rsid w:val="00E83E98"/>
    <w:rsid w:val="00E846E3"/>
    <w:rsid w:val="00E847A4"/>
    <w:rsid w:val="00E85BBF"/>
    <w:rsid w:val="00E85CEC"/>
    <w:rsid w:val="00E85DE2"/>
    <w:rsid w:val="00E8757B"/>
    <w:rsid w:val="00E877DF"/>
    <w:rsid w:val="00E87A37"/>
    <w:rsid w:val="00E91BF0"/>
    <w:rsid w:val="00E922A5"/>
    <w:rsid w:val="00E92510"/>
    <w:rsid w:val="00E92626"/>
    <w:rsid w:val="00E926FF"/>
    <w:rsid w:val="00E92E09"/>
    <w:rsid w:val="00E95977"/>
    <w:rsid w:val="00E95EA2"/>
    <w:rsid w:val="00E96332"/>
    <w:rsid w:val="00E97F6E"/>
    <w:rsid w:val="00EA081A"/>
    <w:rsid w:val="00EA2AF2"/>
    <w:rsid w:val="00EA3EB5"/>
    <w:rsid w:val="00EA652E"/>
    <w:rsid w:val="00EA7238"/>
    <w:rsid w:val="00EA7AC5"/>
    <w:rsid w:val="00EA7F51"/>
    <w:rsid w:val="00EB291A"/>
    <w:rsid w:val="00EB2CFB"/>
    <w:rsid w:val="00EB480B"/>
    <w:rsid w:val="00EB55F1"/>
    <w:rsid w:val="00EB68BF"/>
    <w:rsid w:val="00EC1402"/>
    <w:rsid w:val="00EC2AB7"/>
    <w:rsid w:val="00EC4BA5"/>
    <w:rsid w:val="00EC6EF7"/>
    <w:rsid w:val="00EC71B1"/>
    <w:rsid w:val="00ED143B"/>
    <w:rsid w:val="00ED1644"/>
    <w:rsid w:val="00ED194A"/>
    <w:rsid w:val="00ED264C"/>
    <w:rsid w:val="00ED3E13"/>
    <w:rsid w:val="00ED58CE"/>
    <w:rsid w:val="00ED7A53"/>
    <w:rsid w:val="00EE0E8A"/>
    <w:rsid w:val="00EE1EB3"/>
    <w:rsid w:val="00EE2E89"/>
    <w:rsid w:val="00EE4301"/>
    <w:rsid w:val="00EE64FF"/>
    <w:rsid w:val="00EE7C33"/>
    <w:rsid w:val="00EF0318"/>
    <w:rsid w:val="00EF0681"/>
    <w:rsid w:val="00EF1A5E"/>
    <w:rsid w:val="00EF27A6"/>
    <w:rsid w:val="00EF2904"/>
    <w:rsid w:val="00EF4035"/>
    <w:rsid w:val="00EF698C"/>
    <w:rsid w:val="00F00F88"/>
    <w:rsid w:val="00F013B7"/>
    <w:rsid w:val="00F01EF2"/>
    <w:rsid w:val="00F020F2"/>
    <w:rsid w:val="00F069DD"/>
    <w:rsid w:val="00F11C1F"/>
    <w:rsid w:val="00F132A2"/>
    <w:rsid w:val="00F13DDC"/>
    <w:rsid w:val="00F13E0F"/>
    <w:rsid w:val="00F15101"/>
    <w:rsid w:val="00F15B18"/>
    <w:rsid w:val="00F1618C"/>
    <w:rsid w:val="00F17506"/>
    <w:rsid w:val="00F17799"/>
    <w:rsid w:val="00F1799D"/>
    <w:rsid w:val="00F203AA"/>
    <w:rsid w:val="00F2237B"/>
    <w:rsid w:val="00F229BD"/>
    <w:rsid w:val="00F25B03"/>
    <w:rsid w:val="00F26D7D"/>
    <w:rsid w:val="00F27AA2"/>
    <w:rsid w:val="00F27F4F"/>
    <w:rsid w:val="00F30D57"/>
    <w:rsid w:val="00F31402"/>
    <w:rsid w:val="00F32327"/>
    <w:rsid w:val="00F35C2E"/>
    <w:rsid w:val="00F372DE"/>
    <w:rsid w:val="00F402EF"/>
    <w:rsid w:val="00F423DC"/>
    <w:rsid w:val="00F43666"/>
    <w:rsid w:val="00F448D4"/>
    <w:rsid w:val="00F46819"/>
    <w:rsid w:val="00F468C3"/>
    <w:rsid w:val="00F46B73"/>
    <w:rsid w:val="00F47864"/>
    <w:rsid w:val="00F530DB"/>
    <w:rsid w:val="00F54184"/>
    <w:rsid w:val="00F54B62"/>
    <w:rsid w:val="00F55095"/>
    <w:rsid w:val="00F55D6E"/>
    <w:rsid w:val="00F55F5E"/>
    <w:rsid w:val="00F566E8"/>
    <w:rsid w:val="00F6017B"/>
    <w:rsid w:val="00F61099"/>
    <w:rsid w:val="00F612C2"/>
    <w:rsid w:val="00F64CC4"/>
    <w:rsid w:val="00F650B5"/>
    <w:rsid w:val="00F65DC6"/>
    <w:rsid w:val="00F661AA"/>
    <w:rsid w:val="00F662C6"/>
    <w:rsid w:val="00F6636D"/>
    <w:rsid w:val="00F70EC6"/>
    <w:rsid w:val="00F71CC1"/>
    <w:rsid w:val="00F72079"/>
    <w:rsid w:val="00F73169"/>
    <w:rsid w:val="00F7329F"/>
    <w:rsid w:val="00F760D0"/>
    <w:rsid w:val="00F770DE"/>
    <w:rsid w:val="00F807A6"/>
    <w:rsid w:val="00F81132"/>
    <w:rsid w:val="00F81A99"/>
    <w:rsid w:val="00F81E34"/>
    <w:rsid w:val="00F81E70"/>
    <w:rsid w:val="00F83801"/>
    <w:rsid w:val="00F84354"/>
    <w:rsid w:val="00F879E8"/>
    <w:rsid w:val="00F9000F"/>
    <w:rsid w:val="00F921B9"/>
    <w:rsid w:val="00F92619"/>
    <w:rsid w:val="00F9262B"/>
    <w:rsid w:val="00F932C4"/>
    <w:rsid w:val="00F93517"/>
    <w:rsid w:val="00FA037B"/>
    <w:rsid w:val="00FA086F"/>
    <w:rsid w:val="00FA0874"/>
    <w:rsid w:val="00FA50C2"/>
    <w:rsid w:val="00FA5720"/>
    <w:rsid w:val="00FB0A1F"/>
    <w:rsid w:val="00FB1B73"/>
    <w:rsid w:val="00FB24C6"/>
    <w:rsid w:val="00FB2CB4"/>
    <w:rsid w:val="00FB6570"/>
    <w:rsid w:val="00FC172A"/>
    <w:rsid w:val="00FC1AF6"/>
    <w:rsid w:val="00FC21C4"/>
    <w:rsid w:val="00FC2944"/>
    <w:rsid w:val="00FC3934"/>
    <w:rsid w:val="00FC5456"/>
    <w:rsid w:val="00FC6B1D"/>
    <w:rsid w:val="00FC7AD8"/>
    <w:rsid w:val="00FD0580"/>
    <w:rsid w:val="00FD1617"/>
    <w:rsid w:val="00FD1E80"/>
    <w:rsid w:val="00FD2511"/>
    <w:rsid w:val="00FD299A"/>
    <w:rsid w:val="00FD3718"/>
    <w:rsid w:val="00FD4BD3"/>
    <w:rsid w:val="00FD5247"/>
    <w:rsid w:val="00FD5E63"/>
    <w:rsid w:val="00FD6C11"/>
    <w:rsid w:val="00FD7B9D"/>
    <w:rsid w:val="00FE1772"/>
    <w:rsid w:val="00FE2280"/>
    <w:rsid w:val="00FE310D"/>
    <w:rsid w:val="00FE4BBC"/>
    <w:rsid w:val="00FE667D"/>
    <w:rsid w:val="00FE68F5"/>
    <w:rsid w:val="00FE70EC"/>
    <w:rsid w:val="00FE7947"/>
    <w:rsid w:val="00FF0ACB"/>
    <w:rsid w:val="00FF11D5"/>
    <w:rsid w:val="00FF2327"/>
    <w:rsid w:val="00FF3B74"/>
    <w:rsid w:val="00FF3BD0"/>
    <w:rsid w:val="00FF3C29"/>
    <w:rsid w:val="00FF3FAC"/>
    <w:rsid w:val="00FF69E6"/>
    <w:rsid w:val="010A5456"/>
    <w:rsid w:val="043FE589"/>
    <w:rsid w:val="05455D41"/>
    <w:rsid w:val="05AEFDEB"/>
    <w:rsid w:val="0621F07A"/>
    <w:rsid w:val="0745017B"/>
    <w:rsid w:val="09A08ECC"/>
    <w:rsid w:val="0D22A3DB"/>
    <w:rsid w:val="0F538F31"/>
    <w:rsid w:val="118A4ED9"/>
    <w:rsid w:val="120398FC"/>
    <w:rsid w:val="139FBA54"/>
    <w:rsid w:val="13CBD2CD"/>
    <w:rsid w:val="159C631B"/>
    <w:rsid w:val="164048FF"/>
    <w:rsid w:val="16C9FCAA"/>
    <w:rsid w:val="1992F44B"/>
    <w:rsid w:val="1A3C3A0E"/>
    <w:rsid w:val="1A5ECB0D"/>
    <w:rsid w:val="1B810DBD"/>
    <w:rsid w:val="1B82A403"/>
    <w:rsid w:val="211E5CEF"/>
    <w:rsid w:val="22DD2B10"/>
    <w:rsid w:val="273B6707"/>
    <w:rsid w:val="274D508F"/>
    <w:rsid w:val="281EC2E5"/>
    <w:rsid w:val="292561EF"/>
    <w:rsid w:val="2EA4CDB4"/>
    <w:rsid w:val="32A7D41F"/>
    <w:rsid w:val="3431B45A"/>
    <w:rsid w:val="38B108BE"/>
    <w:rsid w:val="3C5DD203"/>
    <w:rsid w:val="3E151C02"/>
    <w:rsid w:val="4020F56E"/>
    <w:rsid w:val="45858FA6"/>
    <w:rsid w:val="45BB3D55"/>
    <w:rsid w:val="47B0F014"/>
    <w:rsid w:val="4B6D560E"/>
    <w:rsid w:val="4B7587F6"/>
    <w:rsid w:val="4F1CC5EC"/>
    <w:rsid w:val="4FA30E79"/>
    <w:rsid w:val="554C2DB4"/>
    <w:rsid w:val="5570E5AA"/>
    <w:rsid w:val="55BE9963"/>
    <w:rsid w:val="579E4BB5"/>
    <w:rsid w:val="581D2C00"/>
    <w:rsid w:val="5886A59F"/>
    <w:rsid w:val="588AEBFA"/>
    <w:rsid w:val="592285D6"/>
    <w:rsid w:val="5B148F16"/>
    <w:rsid w:val="5FC8C841"/>
    <w:rsid w:val="603D4A49"/>
    <w:rsid w:val="6094AED0"/>
    <w:rsid w:val="612EE99C"/>
    <w:rsid w:val="6376218A"/>
    <w:rsid w:val="63A42759"/>
    <w:rsid w:val="63E0DC59"/>
    <w:rsid w:val="64E569AD"/>
    <w:rsid w:val="67E3F3B5"/>
    <w:rsid w:val="68FE78C5"/>
    <w:rsid w:val="6A48E291"/>
    <w:rsid w:val="6B320AFE"/>
    <w:rsid w:val="6BC9F149"/>
    <w:rsid w:val="6CBA936D"/>
    <w:rsid w:val="6D3A9691"/>
    <w:rsid w:val="6D73329F"/>
    <w:rsid w:val="6E26CEB3"/>
    <w:rsid w:val="6F7A3BFA"/>
    <w:rsid w:val="70E805FC"/>
    <w:rsid w:val="70F71E0A"/>
    <w:rsid w:val="76A81A3C"/>
    <w:rsid w:val="76C04DBB"/>
    <w:rsid w:val="786E72CC"/>
    <w:rsid w:val="78E66690"/>
    <w:rsid w:val="79C408D0"/>
    <w:rsid w:val="79E5D426"/>
    <w:rsid w:val="7B3A2C4A"/>
    <w:rsid w:val="7C4E19F7"/>
    <w:rsid w:val="7D6D9AE8"/>
    <w:rsid w:val="7E81A086"/>
    <w:rsid w:val="7EC282A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1B1068FD"/>
  <w15:chartTrackingRefBased/>
  <w15:docId w15:val="{63B21CD3-5ADC-4D79-8B84-FA6B99845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748"/>
    <w:pPr>
      <w:spacing w:after="0" w:line="240" w:lineRule="auto"/>
    </w:pPr>
    <w:rPr>
      <w:kern w:val="2"/>
      <w:sz w:val="24"/>
      <w:szCs w:val="24"/>
      <w:lang w:val="en-C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0D3F"/>
    <w:rPr>
      <w:rFonts w:ascii="Times New Roman" w:hAnsi="Times New Roman"/>
      <w:color w:val="0563C1" w:themeColor="hyperlink"/>
      <w:sz w:val="24"/>
      <w:u w:val="single"/>
    </w:rPr>
  </w:style>
  <w:style w:type="paragraph" w:styleId="ListParagraph">
    <w:name w:val="List Paragraph"/>
    <w:basedOn w:val="Normal"/>
    <w:uiPriority w:val="1"/>
    <w:qFormat/>
    <w:rsid w:val="002B0D3F"/>
    <w:pPr>
      <w:ind w:left="720"/>
      <w:contextualSpacing/>
    </w:pPr>
  </w:style>
  <w:style w:type="character" w:styleId="CommentReference">
    <w:name w:val="annotation reference"/>
    <w:basedOn w:val="DefaultParagraphFont"/>
    <w:uiPriority w:val="99"/>
    <w:semiHidden/>
    <w:unhideWhenUsed/>
    <w:rsid w:val="002B0D3F"/>
    <w:rPr>
      <w:sz w:val="16"/>
      <w:szCs w:val="16"/>
    </w:rPr>
  </w:style>
  <w:style w:type="paragraph" w:styleId="CommentText">
    <w:name w:val="annotation text"/>
    <w:basedOn w:val="Normal"/>
    <w:link w:val="CommentTextChar"/>
    <w:uiPriority w:val="99"/>
    <w:semiHidden/>
    <w:unhideWhenUsed/>
    <w:rsid w:val="002B0D3F"/>
    <w:rPr>
      <w:sz w:val="20"/>
      <w:szCs w:val="20"/>
    </w:rPr>
  </w:style>
  <w:style w:type="character" w:customStyle="1" w:styleId="CommentTextChar">
    <w:name w:val="Comment Text Char"/>
    <w:basedOn w:val="DefaultParagraphFont"/>
    <w:link w:val="CommentText"/>
    <w:uiPriority w:val="99"/>
    <w:semiHidden/>
    <w:rsid w:val="002B0D3F"/>
    <w:rPr>
      <w:kern w:val="2"/>
      <w:sz w:val="20"/>
      <w:szCs w:val="20"/>
      <w:lang w:val="en-CA"/>
      <w14:ligatures w14:val="standardContextual"/>
    </w:rPr>
  </w:style>
  <w:style w:type="paragraph" w:customStyle="1" w:styleId="mb-4">
    <w:name w:val="mb-4"/>
    <w:basedOn w:val="Normal"/>
    <w:rsid w:val="002B0D3F"/>
    <w:pPr>
      <w:spacing w:before="100" w:beforeAutospacing="1" w:after="100" w:afterAutospacing="1"/>
    </w:pPr>
    <w:rPr>
      <w:rFonts w:ascii="Times New Roman" w:eastAsia="Times New Roman" w:hAnsi="Times New Roman" w:cs="Times New Roman"/>
      <w:kern w:val="0"/>
      <w:lang w:val="en-US"/>
      <w14:ligatures w14:val="none"/>
    </w:rPr>
  </w:style>
  <w:style w:type="paragraph" w:styleId="CommentSubject">
    <w:name w:val="annotation subject"/>
    <w:basedOn w:val="CommentText"/>
    <w:next w:val="CommentText"/>
    <w:link w:val="CommentSubjectChar"/>
    <w:uiPriority w:val="99"/>
    <w:semiHidden/>
    <w:unhideWhenUsed/>
    <w:rsid w:val="002B0D3F"/>
    <w:rPr>
      <w:b/>
      <w:bCs/>
    </w:rPr>
  </w:style>
  <w:style w:type="character" w:customStyle="1" w:styleId="CommentSubjectChar">
    <w:name w:val="Comment Subject Char"/>
    <w:basedOn w:val="CommentTextChar"/>
    <w:link w:val="CommentSubject"/>
    <w:uiPriority w:val="99"/>
    <w:semiHidden/>
    <w:rsid w:val="002B0D3F"/>
    <w:rPr>
      <w:b/>
      <w:bCs/>
      <w:kern w:val="2"/>
      <w:sz w:val="20"/>
      <w:szCs w:val="20"/>
      <w:lang w:val="en-CA"/>
      <w14:ligatures w14:val="standardContextual"/>
    </w:rPr>
  </w:style>
  <w:style w:type="character" w:styleId="UnresolvedMention">
    <w:name w:val="Unresolved Mention"/>
    <w:basedOn w:val="DefaultParagraphFont"/>
    <w:uiPriority w:val="99"/>
    <w:semiHidden/>
    <w:unhideWhenUsed/>
    <w:rsid w:val="00A3018B"/>
    <w:rPr>
      <w:color w:val="605E5C"/>
      <w:shd w:val="clear" w:color="auto" w:fill="E1DFDD"/>
    </w:rPr>
  </w:style>
  <w:style w:type="paragraph" w:styleId="EndnoteText">
    <w:name w:val="endnote text"/>
    <w:basedOn w:val="Normal"/>
    <w:link w:val="EndnoteTextChar"/>
    <w:uiPriority w:val="99"/>
    <w:semiHidden/>
    <w:unhideWhenUsed/>
    <w:rsid w:val="00E034E0"/>
    <w:pPr>
      <w:widowControl w:val="0"/>
      <w:autoSpaceDE w:val="0"/>
      <w:autoSpaceDN w:val="0"/>
    </w:pPr>
    <w:rPr>
      <w:rFonts w:ascii="Times New Roman" w:eastAsia="Times New Roman" w:hAnsi="Times New Roman" w:cs="Times New Roman"/>
      <w:kern w:val="0"/>
      <w:sz w:val="20"/>
      <w:szCs w:val="20"/>
      <w:lang w:val="en-US"/>
      <w14:ligatures w14:val="none"/>
    </w:rPr>
  </w:style>
  <w:style w:type="character" w:customStyle="1" w:styleId="EndnoteTextChar">
    <w:name w:val="Endnote Text Char"/>
    <w:basedOn w:val="DefaultParagraphFont"/>
    <w:link w:val="EndnoteText"/>
    <w:uiPriority w:val="99"/>
    <w:semiHidden/>
    <w:rsid w:val="00E034E0"/>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E034E0"/>
    <w:rPr>
      <w:vertAlign w:val="superscript"/>
    </w:rPr>
  </w:style>
  <w:style w:type="paragraph" w:styleId="NormalWeb">
    <w:name w:val="Normal (Web)"/>
    <w:basedOn w:val="Normal"/>
    <w:uiPriority w:val="99"/>
    <w:unhideWhenUsed/>
    <w:rsid w:val="007B2C6C"/>
    <w:pPr>
      <w:spacing w:before="100" w:beforeAutospacing="1" w:after="100" w:afterAutospacing="1"/>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A37A6B"/>
    <w:pPr>
      <w:tabs>
        <w:tab w:val="center" w:pos="4680"/>
        <w:tab w:val="right" w:pos="9360"/>
      </w:tabs>
    </w:pPr>
  </w:style>
  <w:style w:type="character" w:customStyle="1" w:styleId="HeaderChar">
    <w:name w:val="Header Char"/>
    <w:basedOn w:val="DefaultParagraphFont"/>
    <w:link w:val="Header"/>
    <w:uiPriority w:val="99"/>
    <w:rsid w:val="00A37A6B"/>
    <w:rPr>
      <w:kern w:val="2"/>
      <w:sz w:val="24"/>
      <w:szCs w:val="24"/>
      <w:lang w:val="en-CA"/>
      <w14:ligatures w14:val="standardContextual"/>
    </w:rPr>
  </w:style>
  <w:style w:type="paragraph" w:styleId="Footer">
    <w:name w:val="footer"/>
    <w:basedOn w:val="Normal"/>
    <w:link w:val="FooterChar"/>
    <w:uiPriority w:val="99"/>
    <w:unhideWhenUsed/>
    <w:rsid w:val="00A37A6B"/>
    <w:pPr>
      <w:tabs>
        <w:tab w:val="center" w:pos="4680"/>
        <w:tab w:val="right" w:pos="9360"/>
      </w:tabs>
    </w:pPr>
  </w:style>
  <w:style w:type="character" w:customStyle="1" w:styleId="FooterChar">
    <w:name w:val="Footer Char"/>
    <w:basedOn w:val="DefaultParagraphFont"/>
    <w:link w:val="Footer"/>
    <w:uiPriority w:val="99"/>
    <w:rsid w:val="00A37A6B"/>
    <w:rPr>
      <w:kern w:val="2"/>
      <w:sz w:val="24"/>
      <w:szCs w:val="24"/>
      <w:lang w:val="en-CA"/>
      <w14:ligatures w14:val="standardContextual"/>
    </w:rPr>
  </w:style>
  <w:style w:type="paragraph" w:styleId="FootnoteText">
    <w:name w:val="footnote text"/>
    <w:basedOn w:val="Normal"/>
    <w:link w:val="FootnoteTextChar"/>
    <w:uiPriority w:val="99"/>
    <w:semiHidden/>
    <w:unhideWhenUsed/>
    <w:rsid w:val="00544D52"/>
    <w:rPr>
      <w:sz w:val="20"/>
      <w:szCs w:val="20"/>
    </w:rPr>
  </w:style>
  <w:style w:type="character" w:customStyle="1" w:styleId="FootnoteTextChar">
    <w:name w:val="Footnote Text Char"/>
    <w:basedOn w:val="DefaultParagraphFont"/>
    <w:link w:val="FootnoteText"/>
    <w:uiPriority w:val="99"/>
    <w:semiHidden/>
    <w:rsid w:val="00544D52"/>
    <w:rPr>
      <w:kern w:val="2"/>
      <w:sz w:val="20"/>
      <w:szCs w:val="20"/>
      <w:lang w:val="en-CA"/>
      <w14:ligatures w14:val="standardContextual"/>
    </w:rPr>
  </w:style>
  <w:style w:type="character" w:styleId="FootnoteReference">
    <w:name w:val="footnote reference"/>
    <w:basedOn w:val="DefaultParagraphFont"/>
    <w:uiPriority w:val="99"/>
    <w:semiHidden/>
    <w:unhideWhenUsed/>
    <w:rsid w:val="00544D52"/>
    <w:rPr>
      <w:vertAlign w:val="superscript"/>
    </w:rPr>
  </w:style>
  <w:style w:type="paragraph" w:customStyle="1" w:styleId="paragraph">
    <w:name w:val="paragraph"/>
    <w:basedOn w:val="Normal"/>
    <w:rsid w:val="00933438"/>
    <w:pPr>
      <w:spacing w:before="100" w:beforeAutospacing="1" w:after="100" w:afterAutospacing="1"/>
    </w:pPr>
    <w:rPr>
      <w:rFonts w:ascii="Times New Roman" w:eastAsia="Times New Roman" w:hAnsi="Times New Roman" w:cs="Times New Roman"/>
      <w:kern w:val="0"/>
      <w:lang w:val="en-US"/>
      <w14:ligatures w14:val="none"/>
    </w:rPr>
  </w:style>
  <w:style w:type="character" w:customStyle="1" w:styleId="normaltextrun">
    <w:name w:val="normaltextrun"/>
    <w:basedOn w:val="DefaultParagraphFont"/>
    <w:rsid w:val="00933438"/>
  </w:style>
  <w:style w:type="character" w:customStyle="1" w:styleId="scxw125582314">
    <w:name w:val="scxw125582314"/>
    <w:basedOn w:val="DefaultParagraphFont"/>
    <w:rsid w:val="00933438"/>
  </w:style>
  <w:style w:type="character" w:customStyle="1" w:styleId="eop">
    <w:name w:val="eop"/>
    <w:basedOn w:val="DefaultParagraphFont"/>
    <w:rsid w:val="00933438"/>
  </w:style>
  <w:style w:type="character" w:customStyle="1" w:styleId="superscript">
    <w:name w:val="superscript"/>
    <w:basedOn w:val="DefaultParagraphFont"/>
    <w:rsid w:val="00933438"/>
  </w:style>
  <w:style w:type="character" w:styleId="FollowedHyperlink">
    <w:name w:val="FollowedHyperlink"/>
    <w:basedOn w:val="DefaultParagraphFont"/>
    <w:uiPriority w:val="99"/>
    <w:semiHidden/>
    <w:unhideWhenUsed/>
    <w:rsid w:val="00BA3299"/>
    <w:rPr>
      <w:color w:val="954F72" w:themeColor="followedHyperlink"/>
      <w:u w:val="single"/>
    </w:rPr>
  </w:style>
  <w:style w:type="paragraph" w:styleId="Revision">
    <w:name w:val="Revision"/>
    <w:hidden/>
    <w:uiPriority w:val="99"/>
    <w:semiHidden/>
    <w:rsid w:val="00222926"/>
    <w:pPr>
      <w:spacing w:after="0" w:line="240" w:lineRule="auto"/>
    </w:pPr>
    <w:rPr>
      <w:kern w:val="2"/>
      <w:sz w:val="24"/>
      <w:szCs w:val="24"/>
      <w:lang w:val="en-CA"/>
      <w14:ligatures w14:val="standardContextual"/>
    </w:rPr>
  </w:style>
  <w:style w:type="character" w:styleId="Emphasis">
    <w:name w:val="Emphasis"/>
    <w:basedOn w:val="DefaultParagraphFont"/>
    <w:uiPriority w:val="20"/>
    <w:qFormat/>
    <w:rsid w:val="00F54184"/>
    <w:rPr>
      <w:i/>
      <w:iCs/>
    </w:rPr>
  </w:style>
  <w:style w:type="numbering" w:customStyle="1" w:styleId="CurrentList1">
    <w:name w:val="Current List1"/>
    <w:uiPriority w:val="99"/>
    <w:rsid w:val="00FB2CB4"/>
    <w:pPr>
      <w:numPr>
        <w:numId w:val="27"/>
      </w:numPr>
    </w:pPr>
  </w:style>
  <w:style w:type="character" w:styleId="PageNumber">
    <w:name w:val="page number"/>
    <w:basedOn w:val="DefaultParagraphFont"/>
    <w:uiPriority w:val="99"/>
    <w:semiHidden/>
    <w:unhideWhenUsed/>
    <w:rsid w:val="00516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sciencedirect.com/science/article/abs/pii/S037687162030243X" TargetMode="External"/><Relationship Id="rId21" Type="http://schemas.openxmlformats.org/officeDocument/2006/relationships/hyperlink" Target="https://www.sciencedirect.com/science/article/pii/S0955395925003184" TargetMode="External"/><Relationship Id="rId42" Type="http://schemas.openxmlformats.org/officeDocument/2006/relationships/hyperlink" Target="https://laws-lois.justice.gc.ca/eng/Regulations/c.r.c.,_c._870/" TargetMode="External"/><Relationship Id="rId63" Type="http://schemas.openxmlformats.org/officeDocument/2006/relationships/hyperlink" Target="https://www.bccdc.ca/health-info/prevention-public-health/decriminalization-in-bc" TargetMode="External"/><Relationship Id="rId84" Type="http://schemas.openxmlformats.org/officeDocument/2006/relationships/hyperlink" Target="https://www.cbc.ca/news/canada/private-addiction-treatment-centres-unregulated-danger-9.6948952" TargetMode="External"/><Relationship Id="rId16" Type="http://schemas.openxmlformats.org/officeDocument/2006/relationships/hyperlink" Target="https://housingrights.ca/wp-content/uploads/Canada_ICCPR_Session145_CivilSocietySubmission_NRHN-WNHHN-CCHR_March2026_pdf.pdf" TargetMode="External"/><Relationship Id="rId107" Type="http://schemas.openxmlformats.org/officeDocument/2006/relationships/hyperlink" Target="https://pressprogress.ca/why-pierre-poilievres-video-attacking-safe-supply-is-misleading-and-dangerous/" TargetMode="External"/><Relationship Id="rId11" Type="http://schemas.openxmlformats.org/officeDocument/2006/relationships/hyperlink" Target="mailto:info@drugpolicy.ca" TargetMode="External"/><Relationship Id="rId32" Type="http://schemas.openxmlformats.org/officeDocument/2006/relationships/hyperlink" Target="https://publications.gc.ca/collections/collection_2024/jus/J4-162-2024-eng.pdf" TargetMode="External"/><Relationship Id="rId37" Type="http://schemas.openxmlformats.org/officeDocument/2006/relationships/hyperlink" Target="https://www.unodc.org/unodc/en/commissions/CND/Mandate_Functions/conventions.html" TargetMode="External"/><Relationship Id="rId53" Type="http://schemas.openxmlformats.org/officeDocument/2006/relationships/hyperlink" Target="https://news.gov.bc.ca/releases/2016hlth0026-000568" TargetMode="External"/><Relationship Id="rId58" Type="http://schemas.openxmlformats.org/officeDocument/2006/relationships/hyperlink" Target="https://drugpolicy.ca/when-law-and-policy-is-unjust-communities-have-no-choice-but-to-act/" TargetMode="External"/><Relationship Id="rId74" Type="http://schemas.openxmlformats.org/officeDocument/2006/relationships/hyperlink" Target="https://drugpolicy.ca/for-immediate-release-bc-supreme-court-rules-in-favour-of-harm-reduction-nurses-association-pauses-coming-into-force-of-bcs-public-drug-consumption-law/" TargetMode="External"/><Relationship Id="rId79" Type="http://schemas.openxmlformats.org/officeDocument/2006/relationships/hyperlink" Target="https://www.cbc.ca/news/canada/edmonton/alberta-involuntary-treatment-centres-addictions-1.7467178" TargetMode="External"/><Relationship Id="rId102" Type="http://schemas.openxmlformats.org/officeDocument/2006/relationships/hyperlink" Target="https://www.canlii.org/en/ab/laws/stat/sa-2025-c-c-21.5/latest/sa-2025-c-c-21.5.html" TargetMode="External"/><Relationship Id="rId123" Type="http://schemas.openxmlformats.org/officeDocument/2006/relationships/hyperlink" Target="https://www.canada.ca/en/health-canada/services/opioids/responding-canada-opioid-crisis/safer-supply.html" TargetMode="External"/><Relationship Id="rId128" Type="http://schemas.openxmlformats.org/officeDocument/2006/relationships/hyperlink" Target="https://odprn.ca/wp-content/uploads/2023/07/Safer-Opioid-Supply-Rapid-Review.pdf" TargetMode="External"/><Relationship Id="rId5" Type="http://schemas.openxmlformats.org/officeDocument/2006/relationships/numbering" Target="numbering.xml"/><Relationship Id="rId90" Type="http://schemas.openxmlformats.org/officeDocument/2006/relationships/hyperlink" Target="https://journals.lww.com/cja/abstract/2023/06000/involuntary_treatment_for_adult_nonoffenders_with.5.aspx" TargetMode="External"/><Relationship Id="rId95" Type="http://schemas.openxmlformats.org/officeDocument/2006/relationships/hyperlink" Target="https://harmreductionjournal.biomedcentral.com/articles/10.1186/s12954-024-00999-8" TargetMode="External"/><Relationship Id="rId22" Type="http://schemas.openxmlformats.org/officeDocument/2006/relationships/hyperlink" Target="https://www150.statcan.gc.ca/n1/pub/75-006-x/2023001/article/00011-eng.htm" TargetMode="External"/><Relationship Id="rId27" Type="http://schemas.openxmlformats.org/officeDocument/2006/relationships/hyperlink" Target="https://www.ccsa.ca/sites/default/files/2025-01/CCENDU-Newsletter-Issue-3-en.pdf" TargetMode="External"/><Relationship Id="rId43" Type="http://schemas.openxmlformats.org/officeDocument/2006/relationships/hyperlink" Target="https://www.cbc.ca/news/canada/opioid-overdose-crisis-street-drug-government-funding-9.6976562" TargetMode="External"/><Relationship Id="rId48" Type="http://schemas.openxmlformats.org/officeDocument/2006/relationships/hyperlink" Target="https://ajph.aphapublications.org/doi/10.2105/AJPH.2023.307291" TargetMode="External"/><Relationship Id="rId64" Type="http://schemas.openxmlformats.org/officeDocument/2006/relationships/hyperlink" Target="https://www2.gov.bc.ca/assets/gov/health/about-bc-s-health-care-system/office-of-the-provincial-health-officer/reports-publications/special-reports/stopping-the-harm-report.pdf" TargetMode="External"/><Relationship Id="rId69" Type="http://schemas.openxmlformats.org/officeDocument/2006/relationships/hyperlink" Target="https://www.dal.ca/news/media/media-releases/2025/04/14/media_release__study_finds_drug_decriminalization_in_british_columbia_linked_to_significant_reduction_in_criminal_justice_involvement.html" TargetMode="External"/><Relationship Id="rId113" Type="http://schemas.openxmlformats.org/officeDocument/2006/relationships/hyperlink" Target="https://www.publicationsduquebec.gouv.qc.ca/fileadmin/Fichiers_client/lois_et_reglements/LoisAnnuelles/en/2025/2025C34A.PDF" TargetMode="External"/><Relationship Id="rId118" Type="http://schemas.openxmlformats.org/officeDocument/2006/relationships/hyperlink" Target="https://www.sciencedirect.com/science/article/pii/S0376871624001960" TargetMode="External"/><Relationship Id="rId134" Type="http://schemas.openxmlformats.org/officeDocument/2006/relationships/theme" Target="theme/theme1.xml"/><Relationship Id="rId80" Type="http://schemas.openxmlformats.org/officeDocument/2006/relationships/hyperlink" Target="https://journals.sagepub.com/doi/abs/10.1177/1073110520979384" TargetMode="External"/><Relationship Id="rId85" Type="http://schemas.openxmlformats.org/officeDocument/2006/relationships/hyperlink" Target="https://www.legisquebec.gouv.qc.ca/fr/document/rc/S-4.2,%20r.%200.1?&amp;cible=&amp;langCont=en" TargetMode="External"/><Relationship Id="rId12" Type="http://schemas.openxmlformats.org/officeDocument/2006/relationships/hyperlink" Target="http://www.drugpolicy.ca/" TargetMode="External"/><Relationship Id="rId17" Type="http://schemas.openxmlformats.org/officeDocument/2006/relationships/hyperlink" Target="https://health-infobase.canada.ca/substance-related-harms/opioids-stimulants/" TargetMode="External"/><Relationship Id="rId33" Type="http://schemas.openxmlformats.org/officeDocument/2006/relationships/hyperlink" Target="https://drugpolicy.ca/resources/guides/racism/" TargetMode="External"/><Relationship Id="rId38" Type="http://schemas.openxmlformats.org/officeDocument/2006/relationships/hyperlink" Target="https://transformdrugs.org/blog/cnd-2025-what-future-for-the-un-drug-control-system" TargetMode="External"/><Relationship Id="rId59" Type="http://schemas.openxmlformats.org/officeDocument/2006/relationships/hyperlink" Target="https://www.cbc.ca/news/canada/opioid-overdose-crisis-street-drug-government-funding-9.6976562" TargetMode="External"/><Relationship Id="rId103" Type="http://schemas.openxmlformats.org/officeDocument/2006/relationships/hyperlink" Target="https://www.aclrc.com/blog/albertas-compassionate-intervention-act-and-charter-rights/" TargetMode="External"/><Relationship Id="rId108" Type="http://schemas.openxmlformats.org/officeDocument/2006/relationships/hyperlink" Target="https://www.ourcommons.ca/committees/en/HESA/StudyActivity?studyActivityId=12437048" TargetMode="External"/><Relationship Id="rId124" Type="http://schemas.openxmlformats.org/officeDocument/2006/relationships/hyperlink" Target="https://www.substanceusehealth.ca/sites/default/files/Prescribed%20Alternatives%20Programs%20in%20Ontario%20-%20Briefing%20Note%20April%202024.pdf" TargetMode="External"/><Relationship Id="rId129" Type="http://schemas.openxmlformats.org/officeDocument/2006/relationships/hyperlink" Target="https://www.ourcommons.ca/Content/Committee/441/HESA/Brief/BR12961854/br-external/KollaGillian-e.pdf" TargetMode="External"/><Relationship Id="rId54" Type="http://schemas.openxmlformats.org/officeDocument/2006/relationships/hyperlink" Target="https://dulf.ca/program-documents/" TargetMode="External"/><Relationship Id="rId70" Type="http://schemas.openxmlformats.org/officeDocument/2006/relationships/hyperlink" Target="https://drugpolicy.ca/bc-revives-criminalization/" TargetMode="External"/><Relationship Id="rId75" Type="http://schemas.openxmlformats.org/officeDocument/2006/relationships/hyperlink" Target="https://drugpolicy.ca/about/publication/submission-to-the-united-nations-high-commissioner-for-human-rights/" TargetMode="External"/><Relationship Id="rId91" Type="http://schemas.openxmlformats.org/officeDocument/2006/relationships/hyperlink" Target="https://journals.lww.com/cja/fulltext/2023/12000/effectiveness_of_involuntary_treatment_for.2.aspx" TargetMode="External"/><Relationship Id="rId96" Type="http://schemas.openxmlformats.org/officeDocument/2006/relationships/hyperlink" Target="https://journals.sagepub.com/doi/abs/10.1177/1073110520979384"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catie.ca/prevention-in-focus/what-makes-canadas-illegal-drug-supply-dangerous" TargetMode="External"/><Relationship Id="rId28" Type="http://schemas.openxmlformats.org/officeDocument/2006/relationships/hyperlink" Target="https://www.canada.ca/en/health-canada/services/publications/healthy-living/emergence-nitazenes-brorphine-canada-2019.html" TargetMode="External"/><Relationship Id="rId49" Type="http://schemas.openxmlformats.org/officeDocument/2006/relationships/hyperlink" Target="https://pmc.ncbi.nlm.nih.gov/articles/PMC10262240/" TargetMode="External"/><Relationship Id="rId114" Type="http://schemas.openxmlformats.org/officeDocument/2006/relationships/hyperlink" Target="https://www.cbc.ca/news/canada/toronto/legal-challenge-ontario-law-supervised-consumption-sites-free-to-relocate-1.7492994" TargetMode="External"/><Relationship Id="rId119" Type="http://schemas.openxmlformats.org/officeDocument/2006/relationships/hyperlink" Target="https://www.sciencedirect.com/science/article/pii/S095539592300244X?via%3Dihub" TargetMode="External"/><Relationship Id="rId44" Type="http://schemas.openxmlformats.org/officeDocument/2006/relationships/hyperlink" Target="https://www.ohchr.org/en/documents/thematic-reports/ahrc5453-human-rights-challenges-addressing-and-countering-all-aspects" TargetMode="External"/><Relationship Id="rId60" Type="http://schemas.openxmlformats.org/officeDocument/2006/relationships/hyperlink" Target="https://ccprcentre.org/files/media/ICCPR_easy_to_read_commentary_WEB.pdf" TargetMode="External"/><Relationship Id="rId65" Type="http://schemas.openxmlformats.org/officeDocument/2006/relationships/hyperlink" Target="https://www.tdin.ca/res_documents/Drug%20Toxicity%20on%20Release.pdf" TargetMode="External"/><Relationship Id="rId81" Type="http://schemas.openxmlformats.org/officeDocument/2006/relationships/hyperlink" Target="https://drugpolicy.ca/our-work/addiction-treatment-position-statement/" TargetMode="External"/><Relationship Id="rId86" Type="http://schemas.openxmlformats.org/officeDocument/2006/relationships/hyperlink" Target="https://pubmed.ncbi.nlm.nih.gov/40157735/" TargetMode="External"/><Relationship Id="rId130" Type="http://schemas.openxmlformats.org/officeDocument/2006/relationships/hyperlink" Target="https://odprn.ca/research/publications/closingscs-toronto/" TargetMode="External"/><Relationship Id="rId13" Type="http://schemas.openxmlformats.org/officeDocument/2006/relationships/hyperlink" Target="https://www.hivlegalnetwork.ca/index.htm" TargetMode="External"/><Relationship Id="rId18" Type="http://schemas.openxmlformats.org/officeDocument/2006/relationships/hyperlink" Target="https://www.brainstreams.ca/news/beyond-the-overdose-a-brain-injury-lens-on-addiction-and-drug-policy-in-bc/" TargetMode="External"/><Relationship Id="rId39" Type="http://schemas.openxmlformats.org/officeDocument/2006/relationships/hyperlink" Target="https://idpc.net/blog/2024/11/the-drugs-omnibus-resolution-2024-the-cold-war-between-drug-free-world-and-harm-reduction" TargetMode="External"/><Relationship Id="rId109" Type="http://schemas.openxmlformats.org/officeDocument/2006/relationships/hyperlink" Target="https://www.ourcommons.ca/documentviewer/en/44-1/HESA/meeting-120/evidence" TargetMode="External"/><Relationship Id="rId34" Type="http://schemas.openxmlformats.org/officeDocument/2006/relationships/hyperlink" Target="https://www.sciencedirect.com/science/article/abs/pii/S095539591830269X" TargetMode="External"/><Relationship Id="rId50" Type="http://schemas.openxmlformats.org/officeDocument/2006/relationships/hyperlink" Target="https://www.ohchr.org/en/statements-and-speeches/2022/06/end-war-drugs-and-promote-policies-rooted-human-rights-un-experts" TargetMode="External"/><Relationship Id="rId55" Type="http://schemas.openxmlformats.org/officeDocument/2006/relationships/hyperlink" Target="https://thetyee.ca/News/2025/12/02/What-Stake-DULF-Constitutional-Challenge/" TargetMode="External"/><Relationship Id="rId76" Type="http://schemas.openxmlformats.org/officeDocument/2006/relationships/hyperlink" Target="https://www.canlii.org/en/bc/bcsc/doc/2023/2023bcsc2290/2023bcsc2290.html" TargetMode="External"/><Relationship Id="rId97" Type="http://schemas.openxmlformats.org/officeDocument/2006/relationships/hyperlink" Target="https://bcombudsperson.ca/investigative_report/committed-to-change-protecting-the-rights-of-involuntary-patients-under-the-mental-health-act/" TargetMode="External"/><Relationship Id="rId104" Type="http://schemas.openxmlformats.org/officeDocument/2006/relationships/hyperlink" Target="https://www.thetrillium.ca/news/health/growing-encampments-prompt-ontario-mayors-to-call-for-forced-treatment-9604774" TargetMode="External"/><Relationship Id="rId120" Type="http://schemas.openxmlformats.org/officeDocument/2006/relationships/hyperlink" Target="https://odprn.ca/wp-content/uploads/2024/11/OCC_Opioid-Mortality-Summary-2024_Q2-October-2024.pdf" TargetMode="External"/><Relationship Id="rId125" Type="http://schemas.openxmlformats.org/officeDocument/2006/relationships/hyperlink" Target="https://www.bccdc.ca/health-professionals/data-reports/substance-use-harm-reduction-dashboard" TargetMode="External"/><Relationship Id="rId7" Type="http://schemas.openxmlformats.org/officeDocument/2006/relationships/settings" Target="settings.xml"/><Relationship Id="rId71" Type="http://schemas.openxmlformats.org/officeDocument/2006/relationships/hyperlink" Target="https://www.canada.ca/en/health-canada/news/2024/05/statement-from-the-minister-of-mental-health-and-addictions-and-associate-minister-of-health0.html" TargetMode="External"/><Relationship Id="rId92" Type="http://schemas.openxmlformats.org/officeDocument/2006/relationships/hyperlink" Target="https://pmc.ncbi.nlm.nih.gov/articles/PMC4752879/pdf/nihms751135.pdf" TargetMode="External"/><Relationship Id="rId2" Type="http://schemas.openxmlformats.org/officeDocument/2006/relationships/customXml" Target="../customXml/item2.xml"/><Relationship Id="rId29" Type="http://schemas.openxmlformats.org/officeDocument/2006/relationships/hyperlink" Target="https://www.ccsa.ca/sites/default/files/2024-11/CCENDU-Newsletter-Issue-2-en.pdf" TargetMode="External"/><Relationship Id="rId24" Type="http://schemas.openxmlformats.org/officeDocument/2006/relationships/hyperlink" Target="https://www.canada.ca/en/health-canada/services/health-concerns/controlled-substances-precursor-chemicals/drug-analysis-service.html" TargetMode="External"/><Relationship Id="rId40" Type="http://schemas.openxmlformats.org/officeDocument/2006/relationships/hyperlink" Target="https://drugpolicy.ca/about/publication/submission-to-the-canada-gazette-part-i-volume-158-number-22-controlled-substances-regulations/" TargetMode="External"/><Relationship Id="rId45" Type="http://schemas.openxmlformats.org/officeDocument/2006/relationships/hyperlink" Target="https://www.canada.ca/content/dam/hc-sc/documents/services/publications/healthy-living/evolution-fentanyl-canada-11-years/evolution-fentanyl-canada-11-years-en.pdf" TargetMode="External"/><Relationship Id="rId66" Type="http://schemas.openxmlformats.org/officeDocument/2006/relationships/hyperlink" Target="https://www.sciencedirect.com/science/article/pii/S0955395924001634" TargetMode="External"/><Relationship Id="rId87" Type="http://schemas.openxmlformats.org/officeDocument/2006/relationships/hyperlink" Target="https://amho.ca/wp-content/uploads/2025/03/Unlocking-Solutions_Understanding-and-Addressing-Ontarios-Mental-Health-and-Addictions-Supportive-Housing-Needs-AMHO2025.pdf" TargetMode="External"/><Relationship Id="rId110" Type="http://schemas.openxmlformats.org/officeDocument/2006/relationships/hyperlink" Target="http://www.canada.ca/en/health-canada/services/substance-use/supervised-consumption-sites/explained.html" TargetMode="External"/><Relationship Id="rId115" Type="http://schemas.openxmlformats.org/officeDocument/2006/relationships/hyperlink" Target="https://jamanetwork.com/journals/jamanetworkopen/fullarticle/2841824" TargetMode="External"/><Relationship Id="rId131" Type="http://schemas.openxmlformats.org/officeDocument/2006/relationships/footer" Target="footer1.xml"/><Relationship Id="rId61" Type="http://schemas.openxmlformats.org/officeDocument/2006/relationships/hyperlink" Target="https://www.ohchr.org/en/press-releases/2009/10/un-human-rights-chief-calls-international-drugs-policy-include-focus-human" TargetMode="External"/><Relationship Id="rId82" Type="http://schemas.openxmlformats.org/officeDocument/2006/relationships/hyperlink" Target="https://www.ccsa.ca/sites/default/files/2023-05/Accountability-in-Bed-Based-Addiction-Treatment.pdf" TargetMode="External"/><Relationship Id="rId19" Type="http://schemas.openxmlformats.org/officeDocument/2006/relationships/hyperlink" Target="https://www.sciencedirect.com/science/article/pii/S0955395925003184" TargetMode="External"/><Relationship Id="rId14" Type="http://schemas.openxmlformats.org/officeDocument/2006/relationships/hyperlink" Target="https://trackinginjustice.ca/" TargetMode="External"/><Relationship Id="rId30" Type="http://schemas.openxmlformats.org/officeDocument/2006/relationships/hyperlink" Target="https://www.sciencedirect.com/science/article/pii/S0955395924003153" TargetMode="External"/><Relationship Id="rId35" Type="http://schemas.openxmlformats.org/officeDocument/2006/relationships/hyperlink" Target="https://www.liverpooluniversitypress.co.uk/doi/abs/10.3828/jlcds.2024.6" TargetMode="External"/><Relationship Id="rId56" Type="http://schemas.openxmlformats.org/officeDocument/2006/relationships/hyperlink" Target="https://www.sciencedirect.com/science/article/pii/S095539592400015X" TargetMode="External"/><Relationship Id="rId77" Type="http://schemas.openxmlformats.org/officeDocument/2006/relationships/hyperlink" Target="https://www.ontario.ca/laws/statute/s25005" TargetMode="External"/><Relationship Id="rId100" Type="http://schemas.openxmlformats.org/officeDocument/2006/relationships/hyperlink" Target="https://www.alberta.ca/providing-life-saving-treatment-for-substance-abuse-and-addiction" TargetMode="External"/><Relationship Id="rId105" Type="http://schemas.openxmlformats.org/officeDocument/2006/relationships/hyperlink" Target="https://www.canlii.org/en/ca/scc/doc/2025/2025scc32/2025scc32.html?searchUrlHash=AAAAAAAAAAEAFDIwMTEgU0NDIDQ0IChDYW5MSUkpAAAAAQAOLzIwMTFjc2Mtc2NjNDQB" TargetMode="External"/><Relationship Id="rId126" Type="http://schemas.openxmlformats.org/officeDocument/2006/relationships/hyperlink" Target="https://www2.gov.bc.ca/assets/gov/birth-adoption-death-marriage-and-divorce/deaths/coroners-service/death-review-panel/review_of_illicit_drug_toxicity_deaths_2022.pdf" TargetMode="External"/><Relationship Id="rId8" Type="http://schemas.openxmlformats.org/officeDocument/2006/relationships/webSettings" Target="webSettings.xml"/><Relationship Id="rId51" Type="http://schemas.openxmlformats.org/officeDocument/2006/relationships/hyperlink" Target="https://pubmed.ncbi.nlm.nih.gov/38211403/" TargetMode="External"/><Relationship Id="rId72" Type="http://schemas.openxmlformats.org/officeDocument/2006/relationships/hyperlink" Target="https://www.ontario.ca/laws/statute/24c27a" TargetMode="External"/><Relationship Id="rId93" Type="http://schemas.openxmlformats.org/officeDocument/2006/relationships/hyperlink" Target="https://pubmed.ncbi.nlm.nih.gov/27964869/" TargetMode="External"/><Relationship Id="rId98" Type="http://schemas.openxmlformats.org/officeDocument/2006/relationships/hyperlink" Target="https://bcombudsperson.ca/wp-content/uploads/2025/08/OMB-Committed-to-Change-FINAL-web.pdf" TargetMode="External"/><Relationship Id="rId121" Type="http://schemas.openxmlformats.org/officeDocument/2006/relationships/hyperlink" Target="https://pmc.ncbi.nlm.nih.gov/articles/PMC12142985/" TargetMode="External"/><Relationship Id="rId3" Type="http://schemas.openxmlformats.org/officeDocument/2006/relationships/customXml" Target="../customXml/item3.xml"/><Relationship Id="rId25" Type="http://schemas.openxmlformats.org/officeDocument/2006/relationships/hyperlink" Target="https://www.ccsa.ca/sites/default/files/2020-04/CCSA-CCENDU-Adulterants-Contaminants-Co-occurring-Substances-in-Drugs-Canada-Report-2020-en.pdf" TargetMode="External"/><Relationship Id="rId46" Type="http://schemas.openxmlformats.org/officeDocument/2006/relationships/hyperlink" Target="https://drugchecking.community/reports/" TargetMode="External"/><Relationship Id="rId67" Type="http://schemas.openxmlformats.org/officeDocument/2006/relationships/hyperlink" Target="https://link.springer.com/article/10.1186/s13011-023-00547-w" TargetMode="External"/><Relationship Id="rId116" Type="http://schemas.openxmlformats.org/officeDocument/2006/relationships/hyperlink" Target="https://www.thelancet.com/journals/lanam/article/PIIS2667-193X(25)00032-8/fulltext" TargetMode="External"/><Relationship Id="rId20" Type="http://schemas.openxmlformats.org/officeDocument/2006/relationships/hyperlink" Target="https://health-infobase.canada.ca/substance-related-harms/opioids-stimulants/graphs.html?ind=661&amp;unit=1" TargetMode="External"/><Relationship Id="rId41" Type="http://schemas.openxmlformats.org/officeDocument/2006/relationships/hyperlink" Target="https://laws-lois.justice.gc.ca/eng/acts/c-38.8/" TargetMode="External"/><Relationship Id="rId62" Type="http://schemas.openxmlformats.org/officeDocument/2006/relationships/hyperlink" Target="https://www.talkingdrugs.org/drug-decriminalisation/" TargetMode="External"/><Relationship Id="rId83" Type="http://schemas.openxmlformats.org/officeDocument/2006/relationships/hyperlink" Target="https://www.hivlegalnetwork.ca/site/dependent-on-rights-assessing-treatment-of-drug-dependence-from-a-human-rights-perspective/?lang=en" TargetMode="External"/><Relationship Id="rId88" Type="http://schemas.openxmlformats.org/officeDocument/2006/relationships/hyperlink" Target="https://calgaryherald.com/news/politics/alberta-build-mandatory-drug-treatment-centres-calgary" TargetMode="External"/><Relationship Id="rId111" Type="http://schemas.openxmlformats.org/officeDocument/2006/relationships/hyperlink" Target="https://health-infobase.canada.ca/supervised-consumption-sites/" TargetMode="External"/><Relationship Id="rId132" Type="http://schemas.openxmlformats.org/officeDocument/2006/relationships/footer" Target="footer2.xml"/><Relationship Id="rId15" Type="http://schemas.openxmlformats.org/officeDocument/2006/relationships/hyperlink" Target="https://amnesty.ca/" TargetMode="External"/><Relationship Id="rId36" Type="http://schemas.openxmlformats.org/officeDocument/2006/relationships/hyperlink" Target="https://drugpolicy.ca/about/publication/submission-to-the-united-nations-office-of-the-high-commissioner-on-human-rights-study-on-the-decriminalization-of-homelessness-and-extreme-poverty/" TargetMode="External"/><Relationship Id="rId57" Type="http://schemas.openxmlformats.org/officeDocument/2006/relationships/hyperlink" Target="https://www.ctvnews.ca/vancouver/article/2-arrested-in-vancouver-police-crackdown-on-unsanctioned-safe-drug-supply-program/" TargetMode="External"/><Relationship Id="rId106" Type="http://schemas.openxmlformats.org/officeDocument/2006/relationships/hyperlink" Target="https://www.cbc.ca/news/canada/british-columbia/supervised-consumption-site-scale-back-poilievre-1.7262063" TargetMode="External"/><Relationship Id="rId127" Type="http://schemas.openxmlformats.org/officeDocument/2006/relationships/hyperlink" Target="https://drugpolicy.ca/wp-content/uploads/2023/10/Canadian-Civil-Society-Advancing-Safe-Supply_Policy-Brief-and-Recommendations_Feb-2023-1.pdf" TargetMode="External"/><Relationship Id="rId10" Type="http://schemas.openxmlformats.org/officeDocument/2006/relationships/endnotes" Target="endnotes.xml"/><Relationship Id="rId31" Type="http://schemas.openxmlformats.org/officeDocument/2006/relationships/hyperlink" Target="https://pmc.ncbi.nlm.nih.gov/articles/PMC6291395/" TargetMode="External"/><Relationship Id="rId52" Type="http://schemas.openxmlformats.org/officeDocument/2006/relationships/hyperlink" Target="https://www.canlii.org/en/bc/bcsc/doc/2025/2025bcsc2225/2025bcsc2225.html?resultId=e423a9f23a8c4d65bb1702ddca6391e4&amp;searchId=2026-01-31T12:36:16:936/09787b9b4f44489ea82148cbf5123c9d" TargetMode="External"/><Relationship Id="rId73" Type="http://schemas.openxmlformats.org/officeDocument/2006/relationships/hyperlink" Target="https://housingrights.ca/wp-content/uploads/Canada_ICCPR_Session145_CivilSocietySubmission_NRHN-WNHHN-CCHR_March2026_pdf.pdf" TargetMode="External"/><Relationship Id="rId78" Type="http://schemas.openxmlformats.org/officeDocument/2006/relationships/hyperlink" Target="https://ajph.aphapublications.org/doi/full/10.2105/AJPH.2023.307291?role=tab" TargetMode="External"/><Relationship Id="rId94" Type="http://schemas.openxmlformats.org/officeDocument/2006/relationships/hyperlink" Target="https://onlinelibrary.wiley.com/doi/abs/10.1111/add.14769" TargetMode="External"/><Relationship Id="rId99" Type="http://schemas.openxmlformats.org/officeDocument/2006/relationships/hyperlink" Target="https://journals.lww.com/cja/abstract/2020/03000/the_ethics_of_compulsory_treatment_of_addictions.2.aspx" TargetMode="External"/><Relationship Id="rId101" Type="http://schemas.openxmlformats.org/officeDocument/2006/relationships/hyperlink" Target="https://pmc.ncbi.nlm.nih.gov/articles/PMC12638111/" TargetMode="External"/><Relationship Id="rId122" Type="http://schemas.openxmlformats.org/officeDocument/2006/relationships/hyperlink" Target="https://odprn.ca/wp-content/uploads/2024/11/Estimating-the-Effects-of-Closing-Supervised-Consumption-Sites-in-Toronto.pdf"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drugpolicy.ca/about/publication/submission-to-health-canada-on-a-proposal-to-control-the-derivatives-and-analogues-of-4-piperidone-and-its-salts-under-the-controlled-drugs-and-substances-act/" TargetMode="External"/><Relationship Id="rId47" Type="http://schemas.openxmlformats.org/officeDocument/2006/relationships/hyperlink" Target="https://health-infobase.canada.ca/canadian-drug-and-substance-watch/" TargetMode="External"/><Relationship Id="rId68" Type="http://schemas.openxmlformats.org/officeDocument/2006/relationships/hyperlink" Target="https://www2.gov.bc.ca/assets/gov/overdose-awareness/data_report_to_health_canada_august_2025.pdf" TargetMode="External"/><Relationship Id="rId89" Type="http://schemas.openxmlformats.org/officeDocument/2006/relationships/hyperlink" Target="https://news.gov.bc.ca/releases/2024PREM0043-001532" TargetMode="External"/><Relationship Id="rId112" Type="http://schemas.openxmlformats.org/officeDocument/2006/relationships/hyperlink" Target="https://www.ontario.ca/laws/statute/24c27a" TargetMode="External"/><Relationship Id="rId133"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www.canlii.org/en/bc/bcsc/doc/2023/2023bcsc2290/2023bcsc2290.html?resultId=15d3375a00284bb9aae8a597f5eedb94&amp;searchId=2026-02-02T11:53:21:909/e98972a0253c4308804ab384471efed4" TargetMode="External"/><Relationship Id="rId117" Type="http://schemas.openxmlformats.org/officeDocument/2006/relationships/hyperlink" Target="https://odprn.ca/wp-content/uploads/2024/11/OCC_Opioid-Mortality-Summary-2024_Q2-October-2024.pdf" TargetMode="External"/><Relationship Id="rId21" Type="http://schemas.openxmlformats.org/officeDocument/2006/relationships/hyperlink" Target="https://www.sciencedirect.com/science/article/abs/pii/S095539591830269X" TargetMode="External"/><Relationship Id="rId42" Type="http://schemas.openxmlformats.org/officeDocument/2006/relationships/hyperlink" Target="https://www.canada.ca/content/dam/hc-sc/documents/services/publications/healthy-living/evolution-fentanyl-canada-11-years/evolution-fentanyl-canada-11-years-en.pdf" TargetMode="External"/><Relationship Id="rId47" Type="http://schemas.openxmlformats.org/officeDocument/2006/relationships/hyperlink" Target="https://www.ohchr.org/en/statements-and-speeches/2022/06/end-war-drugs-and-promote-policies-rooted-human-rights-un-experts" TargetMode="External"/><Relationship Id="rId63" Type="http://schemas.openxmlformats.org/officeDocument/2006/relationships/hyperlink" Target="https://www.sciencedirect.com/science/article/pii/S0955395924001634" TargetMode="External"/><Relationship Id="rId68" Type="http://schemas.openxmlformats.org/officeDocument/2006/relationships/hyperlink" Target="https://www.canada.ca/en/health-canada/news/2024/05/statement-from-the-minister-of-mental-health-and-addictions-and-associate-minister-of-health0.html" TargetMode="External"/><Relationship Id="rId84" Type="http://schemas.openxmlformats.org/officeDocument/2006/relationships/hyperlink" Target="https://amho.ca/wp-content/uploads/2025/03/Unlocking-Solutions_Understanding-and-Addressing-Ontarios-Mental-Health-and-Addictions-Supportive-Housing-Needs-AMHO2025.pdf" TargetMode="External"/><Relationship Id="rId89" Type="http://schemas.openxmlformats.org/officeDocument/2006/relationships/hyperlink" Target="https://pmc.ncbi.nlm.nih.gov/articles/PMC4752879/pdf/nihms751135.pdf" TargetMode="External"/><Relationship Id="rId112" Type="http://schemas.openxmlformats.org/officeDocument/2006/relationships/hyperlink" Target="https://jamanetwork.com/journals/jamanetworkopen/fullarticle/2841824" TargetMode="External"/><Relationship Id="rId16" Type="http://schemas.openxmlformats.org/officeDocument/2006/relationships/hyperlink" Target="https://www.ccsa.ca/sites/default/files/2024-11/CCENDU-Newsletter-Issue-2-en.pdf" TargetMode="External"/><Relationship Id="rId107" Type="http://schemas.openxmlformats.org/officeDocument/2006/relationships/hyperlink" Target="https://www.canada.ca/en/health-canada/services/substance-use/supervised-consumption-sites/explained.html" TargetMode="External"/><Relationship Id="rId11" Type="http://schemas.openxmlformats.org/officeDocument/2006/relationships/hyperlink" Target="https://www.canada.ca/en/health-canada/services/health-concerns/controlled-substances-precursor-chemicals/drug-analysis-service.html" TargetMode="External"/><Relationship Id="rId32" Type="http://schemas.openxmlformats.org/officeDocument/2006/relationships/hyperlink" Target="https://drugpolicy.ca/about/publication/submission-to-the-canada-gazette-part-i-volume-158-number-22-controlled-substances-regulations/" TargetMode="External"/><Relationship Id="rId37" Type="http://schemas.openxmlformats.org/officeDocument/2006/relationships/hyperlink" Target="https://www.canada.ca/en/health-canada/corporate/about-health-canada/public-engagement/external-advisory-bodies/expert-task-force-substance-use/reports/report-2-2021.html" TargetMode="External"/><Relationship Id="rId53" Type="http://schemas.openxmlformats.org/officeDocument/2006/relationships/hyperlink" Target="https://www.sciencedirect.com/science/article/pii/S095539592400015X" TargetMode="External"/><Relationship Id="rId58" Type="http://schemas.openxmlformats.org/officeDocument/2006/relationships/hyperlink" Target="https://www.ohchr.org/en/press-releases/2009/10/un-human-rights-chief-calls-international-drugs-policy-include-focus-human" TargetMode="External"/><Relationship Id="rId74" Type="http://schemas.openxmlformats.org/officeDocument/2006/relationships/hyperlink" Target="https://www.ontario.ca/laws/statute/s25005" TargetMode="External"/><Relationship Id="rId79" Type="http://schemas.openxmlformats.org/officeDocument/2006/relationships/hyperlink" Target="https://www.ccsa.ca/sites/default/files/2023-05/Accountability-in-Bed-Based-Addiction-Treatment.pdf" TargetMode="External"/><Relationship Id="rId102" Type="http://schemas.openxmlformats.org/officeDocument/2006/relationships/hyperlink" Target="https://www.canlii.org/en/ca/scc/doc/2025/2025scc32/2025scc32.html?searchUrlHash=AAAAAAAAAAEAFDIwMTEgU0NDIDQ0IChDYW5MSUkpAAAAAQAOLzIwMTFjc2Mtc2NjNDQB" TargetMode="External"/><Relationship Id="rId123" Type="http://schemas.openxmlformats.org/officeDocument/2006/relationships/hyperlink" Target="https://www2.gov.bc.ca/assets/gov/birth-adoption-death-marriage-and-divorce/deaths/coroners-service/death-review-panel/review_of_illicit_drug_toxicity_deaths_2022.pdf" TargetMode="External"/><Relationship Id="rId5" Type="http://schemas.openxmlformats.org/officeDocument/2006/relationships/hyperlink" Target="https://housingrights.ca/wp-content/uploads/Canada_ICCPR_Session145_CivilSocietySubmission_NRHN-WNHHN-CCHR_March2026_pdf.pdf" TargetMode="External"/><Relationship Id="rId90" Type="http://schemas.openxmlformats.org/officeDocument/2006/relationships/hyperlink" Target="https://pubmed.ncbi.nlm.nih.gov/27964869/" TargetMode="External"/><Relationship Id="rId95" Type="http://schemas.openxmlformats.org/officeDocument/2006/relationships/hyperlink" Target="https://bcombudsperson.ca/wp-content/uploads/2025/08/OMB-Committed-to-Change-FINAL-web.pdf" TargetMode="External"/><Relationship Id="rId22" Type="http://schemas.openxmlformats.org/officeDocument/2006/relationships/hyperlink" Target="https://www.liverpooluniversitypress.co.uk/doi/abs/10.3828/jlcds.2024.6" TargetMode="External"/><Relationship Id="rId27" Type="http://schemas.openxmlformats.org/officeDocument/2006/relationships/hyperlink" Target="https://www.canlii.org/en/ca/scc/doc/2016/2016scc13/2016scc13.html" TargetMode="External"/><Relationship Id="rId43" Type="http://schemas.openxmlformats.org/officeDocument/2006/relationships/hyperlink" Target="https://1sfu.sharepoint.com/teams/CanadianDrugPolicyCoalition-CDPC-SFUTeams/Shared%20Documents/Research_Policy%20Development/International/ICCPR/NGO%202026%20shadow%20reports/drugchecking.community/reports" TargetMode="External"/><Relationship Id="rId48" Type="http://schemas.openxmlformats.org/officeDocument/2006/relationships/hyperlink" Target="https://pubmed.ncbi.nlm.nih.gov/38211403/" TargetMode="External"/><Relationship Id="rId64" Type="http://schemas.openxmlformats.org/officeDocument/2006/relationships/hyperlink" Target="https://link.springer.com/article/10.1186/s13011-023-00547-w" TargetMode="External"/><Relationship Id="rId69" Type="http://schemas.openxmlformats.org/officeDocument/2006/relationships/hyperlink" Target="https://www.ontario.ca/laws/statute/24c27a" TargetMode="External"/><Relationship Id="rId113" Type="http://schemas.openxmlformats.org/officeDocument/2006/relationships/hyperlink" Target="https://www.thelancet.com/journals/lanam/article/PIIS2667-193X(25)00032-8/fulltext" TargetMode="External"/><Relationship Id="rId118" Type="http://schemas.openxmlformats.org/officeDocument/2006/relationships/hyperlink" Target="https://pmc.ncbi.nlm.nih.gov/articles/PMC12142985/" TargetMode="External"/><Relationship Id="rId80" Type="http://schemas.openxmlformats.org/officeDocument/2006/relationships/hyperlink" Target="https://www.hivlegalnetwork.ca/site/dependent-on-rights-assessing-treatment-of-drug-dependence-from-a-human-rights-perspective/?lang=en" TargetMode="External"/><Relationship Id="rId85" Type="http://schemas.openxmlformats.org/officeDocument/2006/relationships/hyperlink" Target="https://calgaryherald.com/news/politics/alberta-build-mandatory-drug-treatment-centres-calgary" TargetMode="External"/><Relationship Id="rId12" Type="http://schemas.openxmlformats.org/officeDocument/2006/relationships/hyperlink" Target="https://www.ccsa.ca/sites/default/files/2020-04/CCSA-CCENDU-Adulterants-Contaminants-Co-occurring-Substances-in-Drugs-Canada-Report-2020-en.pdf" TargetMode="External"/><Relationship Id="rId17" Type="http://schemas.openxmlformats.org/officeDocument/2006/relationships/hyperlink" Target="https://www.sciencedirect.com/science/article/pii/S0955395924003153" TargetMode="External"/><Relationship Id="rId33" Type="http://schemas.openxmlformats.org/officeDocument/2006/relationships/hyperlink" Target="https://transformdrugs.org/blog/cnd-2025-what-future-for-the-un-drug-control-system" TargetMode="External"/><Relationship Id="rId38" Type="http://schemas.openxmlformats.org/officeDocument/2006/relationships/hyperlink" Target="https://www.ohchr.org/en/documents/thematic-reports/ahrc5453-human-rights-challenges-addressing-and-countering-all-aspects" TargetMode="External"/><Relationship Id="rId59" Type="http://schemas.openxmlformats.org/officeDocument/2006/relationships/hyperlink" Target="https://www.talkingdrugs.org/drug-decriminalisation/" TargetMode="External"/><Relationship Id="rId103" Type="http://schemas.openxmlformats.org/officeDocument/2006/relationships/hyperlink" Target="https://www.cbc.ca/news/canada/british-columbia/supervised-consumption-site-scale-back-poilievre-1.7262063" TargetMode="External"/><Relationship Id="rId108" Type="http://schemas.openxmlformats.org/officeDocument/2006/relationships/hyperlink" Target="https://health-infobase.canada.ca/supervised-consumption-sites/" TargetMode="External"/><Relationship Id="rId124" Type="http://schemas.openxmlformats.org/officeDocument/2006/relationships/hyperlink" Target="https://drugpolicy.ca/wp-content/uploads/2023/10/Canadian-Civil-Society-Advancing-Safe-Supply_Policy-Brief-and-Recommendations_Feb-2023-1.pdf" TargetMode="External"/><Relationship Id="rId54" Type="http://schemas.openxmlformats.org/officeDocument/2006/relationships/hyperlink" Target="https://www.ctvnews.ca/vancouver/article/2-arrested-in-vancouver-police-crackdown-on-unsanctioned-safe-drug-supply-program/" TargetMode="External"/><Relationship Id="rId70" Type="http://schemas.openxmlformats.org/officeDocument/2006/relationships/hyperlink" Target="https://housingrights.ca/wp-content/uploads/Canada_ICCPR_Session145_CivilSocietySubmission_NRHN-WNHHN-CCHR_March2026_pdf.pdf" TargetMode="External"/><Relationship Id="rId75" Type="http://schemas.openxmlformats.org/officeDocument/2006/relationships/hyperlink" Target="https://ajph.aphapublications.org/doi/full/10.2105/AJPH.2023.307291?role=tab" TargetMode="External"/><Relationship Id="rId91" Type="http://schemas.openxmlformats.org/officeDocument/2006/relationships/hyperlink" Target="https://onlinelibrary.wiley.com/doi/abs/10.1111/add.14769" TargetMode="External"/><Relationship Id="rId96" Type="http://schemas.openxmlformats.org/officeDocument/2006/relationships/hyperlink" Target="https://journals.lww.com/cja/abstract/2020/03000/the_ethics_of_compulsory_treatment_of_addictions.2.aspx" TargetMode="External"/><Relationship Id="rId1" Type="http://schemas.openxmlformats.org/officeDocument/2006/relationships/hyperlink" Target="http://www.drugpolicy.ca" TargetMode="External"/><Relationship Id="rId6" Type="http://schemas.openxmlformats.org/officeDocument/2006/relationships/hyperlink" Target="https://health-infobase.canada.ca/substance-related-harms/opioids-stimulants/" TargetMode="External"/><Relationship Id="rId23" Type="http://schemas.openxmlformats.org/officeDocument/2006/relationships/hyperlink" Target="https://drugpolicy.ca/about/publication/submission-to-the-united-nations-office-of-the-high-commissioner-on-human-rights-study-on-the-decriminalization-of-homelessness-and-extreme-poverty/" TargetMode="External"/><Relationship Id="rId28" Type="http://schemas.openxmlformats.org/officeDocument/2006/relationships/hyperlink" Target="https://www.canlii.org/en/bc/bcsc/doc/2014/2014bcsc936/2014bcsc936.html?resultId=2e27c5e3ba01476398485caad08fc08b&amp;searchId=2026-02-02T11:47:35:922/3ebd7db68b9e42019820e5e800467eb9" TargetMode="External"/><Relationship Id="rId49" Type="http://schemas.openxmlformats.org/officeDocument/2006/relationships/hyperlink" Target="https://www.canlii.org/en/bc/bcsc/doc/2025/2025bcsc2225/2025bcsc2225.html?resultId=e423a9f23a8c4d65bb1702ddca6391e4&amp;searchId=2026-01-31T12:36:16:936/09787b9b4f44489ea82148cbf5123c9d" TargetMode="External"/><Relationship Id="rId114" Type="http://schemas.openxmlformats.org/officeDocument/2006/relationships/hyperlink" Target="https://www.sciencedirect.com/science/article/abs/pii/S037687162030243X" TargetMode="External"/><Relationship Id="rId119" Type="http://schemas.openxmlformats.org/officeDocument/2006/relationships/hyperlink" Target="https://odprn.ca/wp-content/uploads/2024/11/Estimating-the-Effects-of-Closing-Supervised-Consumption-Sites-in-Toronto.pdf" TargetMode="External"/><Relationship Id="rId44" Type="http://schemas.openxmlformats.org/officeDocument/2006/relationships/hyperlink" Target="https://health-infobase.canada.ca/canadian-drug-and-substance-watch/" TargetMode="External"/><Relationship Id="rId60" Type="http://schemas.openxmlformats.org/officeDocument/2006/relationships/hyperlink" Target="https://www.bccdc.ca/health-info/prevention-public-health/decriminalization-in-bc" TargetMode="External"/><Relationship Id="rId65" Type="http://schemas.openxmlformats.org/officeDocument/2006/relationships/hyperlink" Target="https://www2.gov.bc.ca/assets/gov/overdose-awareness/data_report_to_health_canada_august_2025.pdf" TargetMode="External"/><Relationship Id="rId81" Type="http://schemas.openxmlformats.org/officeDocument/2006/relationships/hyperlink" Target="https://www.cbc.ca/news/canada/private-addiction-treatment-centres-unregulated-danger-9.6948952" TargetMode="External"/><Relationship Id="rId86" Type="http://schemas.openxmlformats.org/officeDocument/2006/relationships/hyperlink" Target="https://news.gov.bc.ca/releases/2024PREM0043-001532" TargetMode="External"/><Relationship Id="rId13" Type="http://schemas.openxmlformats.org/officeDocument/2006/relationships/hyperlink" Target="https://drugpolicy.ca/about/publication/submission-to-health-canada-on-a-proposal-to-control-the-derivatives-and-analogues-of-4-piperidone-and-its-salts-under-the-controlled-drugs-and-substances-act/" TargetMode="External"/><Relationship Id="rId18" Type="http://schemas.openxmlformats.org/officeDocument/2006/relationships/hyperlink" Target="https://pmc.ncbi.nlm.nih.gov/articles/PMC6291395/" TargetMode="External"/><Relationship Id="rId39" Type="http://schemas.openxmlformats.org/officeDocument/2006/relationships/hyperlink" Target="https://www2.gov.bc.ca/assets/gov/birth-adoption-death-marriage-and-divorce/deaths/coroners-service/death-review-panel/an_urgent_response_to_a_continuing_crisis_report.pdf" TargetMode="External"/><Relationship Id="rId109" Type="http://schemas.openxmlformats.org/officeDocument/2006/relationships/hyperlink" Target="https://www.ontario.ca/laws/statute/24c27a" TargetMode="External"/><Relationship Id="rId34" Type="http://schemas.openxmlformats.org/officeDocument/2006/relationships/hyperlink" Target="https://laws-lois.justice.gc.ca/eng/acts/c-38.8/" TargetMode="External"/><Relationship Id="rId50" Type="http://schemas.openxmlformats.org/officeDocument/2006/relationships/hyperlink" Target="https://news.gov.bc.ca/releases/2016hlth0026-000568" TargetMode="External"/><Relationship Id="rId55" Type="http://schemas.openxmlformats.org/officeDocument/2006/relationships/hyperlink" Target="https://drugpolicy.ca/when-law-and-policy-is-unjust-communities-have-no-choice-but-to-act/" TargetMode="External"/><Relationship Id="rId76" Type="http://schemas.openxmlformats.org/officeDocument/2006/relationships/hyperlink" Target="https://www.cbc.ca/news/canada/edmonton/alberta-involuntary-treatment-centres-addictions-1.7467178" TargetMode="External"/><Relationship Id="rId97" Type="http://schemas.openxmlformats.org/officeDocument/2006/relationships/hyperlink" Target="https://www.alberta.ca/providing-life-saving-treatment-for-substance-abuse-and-addiction" TargetMode="External"/><Relationship Id="rId104" Type="http://schemas.openxmlformats.org/officeDocument/2006/relationships/hyperlink" Target="https://pressprogress.ca/why-pierre-poilievres-video-attacking-safe-supply-is-misleading-and-dangerous/" TargetMode="External"/><Relationship Id="rId120" Type="http://schemas.openxmlformats.org/officeDocument/2006/relationships/hyperlink" Target="https://www.canada.ca/en/health-canada/services/opioids/responding-canada-opioid-crisis/safer-supply.html" TargetMode="External"/><Relationship Id="rId125" Type="http://schemas.openxmlformats.org/officeDocument/2006/relationships/hyperlink" Target="https://odprn.ca/wp-content/uploads/2023/07/Safer-Opioid-Supply-Rapid-Review.pdf" TargetMode="External"/><Relationship Id="rId7" Type="http://schemas.openxmlformats.org/officeDocument/2006/relationships/hyperlink" Target="https://www.sciencedirect.com/science/article/pii/S0955395925003184" TargetMode="External"/><Relationship Id="rId71" Type="http://schemas.openxmlformats.org/officeDocument/2006/relationships/hyperlink" Target="https://drugpolicy.ca/for-immediate-release-bc-supreme-court-rules-in-favour-of-harm-reduction-nurses-association-pauses-coming-into-force-of-bcs-public-drug-consumption-law/" TargetMode="External"/><Relationship Id="rId92" Type="http://schemas.openxmlformats.org/officeDocument/2006/relationships/hyperlink" Target="https://harmreductionjournal.biomedcentral.com/articles/10.1186/s12954-024-00999-8" TargetMode="External"/><Relationship Id="rId2" Type="http://schemas.openxmlformats.org/officeDocument/2006/relationships/hyperlink" Target="https://www.hivlegalnetwork.ca/index.htm" TargetMode="External"/><Relationship Id="rId29" Type="http://schemas.openxmlformats.org/officeDocument/2006/relationships/hyperlink" Target="https://www.canlii.org/en/ca/scc/doc/2011/2011scc44/2011scc44.html?resultId=00277b01b4d241c9a70d0d45aac1ec3d&amp;searchId=2026-02-02T11:43:48:075/253b5c2bfaaa43579a9f432f3e19f6d5" TargetMode="External"/><Relationship Id="rId24" Type="http://schemas.openxmlformats.org/officeDocument/2006/relationships/hyperlink" Target="https://www.canlii.org/en/ca/scc/doc/2025/2025scc32/2025scc32.html?searchUrlHash=AAAAAAAAAAEAFDIwMTEgU0NDIDQ0IChDYW5MSUkpAAAAAQAOLzIwMTFjc2Mtc2NjNDQB" TargetMode="External"/><Relationship Id="rId40" Type="http://schemas.openxmlformats.org/officeDocument/2006/relationships/hyperlink" Target="https://www2.gov.bc.ca/assets/gov/health/about-bc-s-health-care-system/office-of-the-provincial-health-officer/reports-publications/special-reports/alternatives_to_unregulated_drugs.pdf" TargetMode="External"/><Relationship Id="rId45" Type="http://schemas.openxmlformats.org/officeDocument/2006/relationships/hyperlink" Target="https://ajph.aphapublications.org/doi/10.2105/AJPH.2023.307291" TargetMode="External"/><Relationship Id="rId66" Type="http://schemas.openxmlformats.org/officeDocument/2006/relationships/hyperlink" Target="https://www.dal.ca/news/media/media-releases/2025/04/14/media_release__study_finds_drug_decriminalization_in_british_columbia_linked_to_significant_reduction_in_criminal_justice_involvement.html" TargetMode="External"/><Relationship Id="rId87" Type="http://schemas.openxmlformats.org/officeDocument/2006/relationships/hyperlink" Target="https://journals.lww.com/cja/abstract/2023/06000/involuntary_treatment_for_adult_nonoffenders_with.5.aspx" TargetMode="External"/><Relationship Id="rId110" Type="http://schemas.openxmlformats.org/officeDocument/2006/relationships/hyperlink" Target="https://www.publicationsduquebec.gouv.qc.ca/fileadmin/Fichiers_client/lois_et_reglements/LoisAnnuelles/en/2025/2025C34A.PDF" TargetMode="External"/><Relationship Id="rId115" Type="http://schemas.openxmlformats.org/officeDocument/2006/relationships/hyperlink" Target="https://www.sciencedirect.com/science/article/pii/S0376871624001960" TargetMode="External"/><Relationship Id="rId61" Type="http://schemas.openxmlformats.org/officeDocument/2006/relationships/hyperlink" Target="https://www2.gov.bc.ca/assets/gov/health/about-bc-s-health-care-system/office-of-the-provincial-health-officer/reports-publications/special-reports/stopping-the-harm-report.pdf" TargetMode="External"/><Relationship Id="rId82" Type="http://schemas.openxmlformats.org/officeDocument/2006/relationships/hyperlink" Target="https://www.legisquebec.gouv.qc.ca/fr/document/rc/S-4.2,%20r.%200.1?langCont=en" TargetMode="External"/><Relationship Id="rId19" Type="http://schemas.openxmlformats.org/officeDocument/2006/relationships/hyperlink" Target="https://publications.gc.ca/collections/collection_2024/jus/J4-162-2024-eng.pdf" TargetMode="External"/><Relationship Id="rId14" Type="http://schemas.openxmlformats.org/officeDocument/2006/relationships/hyperlink" Target="https://www.ccsa.ca/sites/default/files/2025-01/CCENDU-Newsletter-Issue-3-en.pdf" TargetMode="External"/><Relationship Id="rId30" Type="http://schemas.openxmlformats.org/officeDocument/2006/relationships/hyperlink" Target="https://www.unodc.org/unodc/en/commissions/CND/Mandate_Functions/conventions.html" TargetMode="External"/><Relationship Id="rId35" Type="http://schemas.openxmlformats.org/officeDocument/2006/relationships/hyperlink" Target="https://laws-lois.justice.gc.ca/eng/Regulations/c.r.c.,_c._870/" TargetMode="External"/><Relationship Id="rId56" Type="http://schemas.openxmlformats.org/officeDocument/2006/relationships/hyperlink" Target="https://www.cbc.ca/news/canada/opioid-overdose-crisis-street-drug-government-funding-9.6976562" TargetMode="External"/><Relationship Id="rId77" Type="http://schemas.openxmlformats.org/officeDocument/2006/relationships/hyperlink" Target="https://journals.sagepub.com/doi/abs/10.1177/1073110520979384" TargetMode="External"/><Relationship Id="rId100" Type="http://schemas.openxmlformats.org/officeDocument/2006/relationships/hyperlink" Target="https://www.aclrc.com/blog/albertas-compassionate-intervention-act-and-charter-rights/" TargetMode="External"/><Relationship Id="rId105" Type="http://schemas.openxmlformats.org/officeDocument/2006/relationships/hyperlink" Target="https://www.ourcommons.ca/committees/en/HESA/StudyActivity?studyActivityId=12437048" TargetMode="External"/><Relationship Id="rId126" Type="http://schemas.openxmlformats.org/officeDocument/2006/relationships/hyperlink" Target="https://www.ourcommons.ca/Content/Committee/441/HESA/Brief/BR12961854/br-external/KollaGillian-e.pdf" TargetMode="External"/><Relationship Id="rId8" Type="http://schemas.openxmlformats.org/officeDocument/2006/relationships/hyperlink" Target="https://health-infobase.canada.ca/substance-related-harms/opioids-stimulants/graphs.html?ind=661&amp;unit=1" TargetMode="External"/><Relationship Id="rId51" Type="http://schemas.openxmlformats.org/officeDocument/2006/relationships/hyperlink" Target="https://dulf.ca/program-documents/" TargetMode="External"/><Relationship Id="rId72" Type="http://schemas.openxmlformats.org/officeDocument/2006/relationships/hyperlink" Target="https://drugpolicy.ca/about/publication/submission-to-the-united-nations-high-commissioner-for-human-rights/" TargetMode="External"/><Relationship Id="rId93" Type="http://schemas.openxmlformats.org/officeDocument/2006/relationships/hyperlink" Target="https://journals.sagepub.com/doi/abs/10.1177/1073110520979384" TargetMode="External"/><Relationship Id="rId98" Type="http://schemas.openxmlformats.org/officeDocument/2006/relationships/hyperlink" Target="https://pmc.ncbi.nlm.nih.gov/articles/PMC12638111/" TargetMode="External"/><Relationship Id="rId121" Type="http://schemas.openxmlformats.org/officeDocument/2006/relationships/hyperlink" Target="https://www.substanceusehealth.ca/sites/default/files/Prescribed%20Alternatives%20Programs%20in%20Ontario%20-%20Briefing%20Note%20April%202024.pdf" TargetMode="External"/><Relationship Id="rId3" Type="http://schemas.openxmlformats.org/officeDocument/2006/relationships/hyperlink" Target="https://trackinginjustice.ca" TargetMode="External"/><Relationship Id="rId25" Type="http://schemas.openxmlformats.org/officeDocument/2006/relationships/hyperlink" Target="http://canlii.org/en/ab/abkb/doc/2023/2023abkb123/2023abkb123.html?resultId=c6df8aeb58b7432c9b2cbc277cffaec2&amp;searchId=2026-02-02T11:47:23:143/82eed7cf2d2c425490c666cf16f874d7&amp;searchUrlHash=AAAAAAAAAAEAFDIwMTEgU0NDIDQ0IChDYW5MSUkpAAAAAQAOLzIwMTFjc2Mtc2NjNDQB" TargetMode="External"/><Relationship Id="rId46" Type="http://schemas.openxmlformats.org/officeDocument/2006/relationships/hyperlink" Target="https://pmc.ncbi.nlm.nih.gov/articles/PMC10262240/" TargetMode="External"/><Relationship Id="rId67" Type="http://schemas.openxmlformats.org/officeDocument/2006/relationships/hyperlink" Target="https://drugpolicy.ca/bc-revives-criminalization/" TargetMode="External"/><Relationship Id="rId116" Type="http://schemas.openxmlformats.org/officeDocument/2006/relationships/hyperlink" Target="https://www.sciencedirect.com/science/article/pii/S095539592300244X?via%3Dihub" TargetMode="External"/><Relationship Id="rId20" Type="http://schemas.openxmlformats.org/officeDocument/2006/relationships/hyperlink" Target="https://drugpolicy.ca/resources/guides/racism/" TargetMode="External"/><Relationship Id="rId41" Type="http://schemas.openxmlformats.org/officeDocument/2006/relationships/hyperlink" Target="https://www.ontario.ca/page/chief-medical-officer-health-2023-annual-report" TargetMode="External"/><Relationship Id="rId62" Type="http://schemas.openxmlformats.org/officeDocument/2006/relationships/hyperlink" Target="https://www.tdin.ca/res_documents/Drug%20Toxicity%20on%20Release.pdf" TargetMode="External"/><Relationship Id="rId83" Type="http://schemas.openxmlformats.org/officeDocument/2006/relationships/hyperlink" Target="https://pubmed.ncbi.nlm.nih.gov/40157735/" TargetMode="External"/><Relationship Id="rId88" Type="http://schemas.openxmlformats.org/officeDocument/2006/relationships/hyperlink" Target="https://journals.lww.com/cja/fulltext/2023/12000/effectiveness_of_involuntary_treatment_for.2.aspx" TargetMode="External"/><Relationship Id="rId111" Type="http://schemas.openxmlformats.org/officeDocument/2006/relationships/hyperlink" Target="https://www.cbc.ca/news/canada/toronto/legal-challenge-ontario-law-supervised-consumption-sites-free-to-relocate" TargetMode="External"/><Relationship Id="rId15" Type="http://schemas.openxmlformats.org/officeDocument/2006/relationships/hyperlink" Target="https://www.canada.ca/en/health-canada/services/publications/healthy-living/emergence-nitazenes-brorphine-canada-2019.html" TargetMode="External"/><Relationship Id="rId36" Type="http://schemas.openxmlformats.org/officeDocument/2006/relationships/hyperlink" Target="https://www.cbc.ca/news/canada/opioid-overdose-crisis-street-drug-government-funding-9.6976562" TargetMode="External"/><Relationship Id="rId57" Type="http://schemas.openxmlformats.org/officeDocument/2006/relationships/hyperlink" Target="https://ccprcentre.org/files/media/ICCPR_easy_to_read_commentary_WEB.pdf" TargetMode="External"/><Relationship Id="rId106" Type="http://schemas.openxmlformats.org/officeDocument/2006/relationships/hyperlink" Target="https://www.ourcommons.ca/documentviewer/en/44-1/HESA/meeting-120/evidence" TargetMode="External"/><Relationship Id="rId127" Type="http://schemas.openxmlformats.org/officeDocument/2006/relationships/hyperlink" Target="https://odprn.ca/research/publications/closingscs-toronto/" TargetMode="External"/><Relationship Id="rId10" Type="http://schemas.openxmlformats.org/officeDocument/2006/relationships/hyperlink" Target="https://www.catie.ca/prevention-in-focus/what-makes-canadas-illegal-drug-supply-dangerous" TargetMode="External"/><Relationship Id="rId31" Type="http://schemas.openxmlformats.org/officeDocument/2006/relationships/hyperlink" Target="https://idpc.net/blog/2024/11/the-drugs-omnibus-resolution-2024-the-cold-war-between-drug-free-world-and-harm-reduction" TargetMode="External"/><Relationship Id="rId52" Type="http://schemas.openxmlformats.org/officeDocument/2006/relationships/hyperlink" Target="https://thetyee.ca/News/2025/12/02/What-Stake-DULF-Constitutional-Challenge/" TargetMode="External"/><Relationship Id="rId73" Type="http://schemas.openxmlformats.org/officeDocument/2006/relationships/hyperlink" Target="https://www.canlii.org/en/bc/bcsc/doc/2023/2023bcsc2290/2023bcsc2290.html" TargetMode="External"/><Relationship Id="rId78" Type="http://schemas.openxmlformats.org/officeDocument/2006/relationships/hyperlink" Target="https://drugpolicy.ca/our-work/addiction-treatment-position-statement/" TargetMode="External"/><Relationship Id="rId94" Type="http://schemas.openxmlformats.org/officeDocument/2006/relationships/hyperlink" Target="https://bcombudsperson.ca/investigative_report/committed-to-change-protecting-the-rights-of-involuntary-patients-under-the-mental-health-act/" TargetMode="External"/><Relationship Id="rId99" Type="http://schemas.openxmlformats.org/officeDocument/2006/relationships/hyperlink" Target="https://www.canlii.org/en/ab/laws/stat/sa-2025-c-c-21.5/latest/sa-2025-c-c-21.5.html" TargetMode="External"/><Relationship Id="rId101" Type="http://schemas.openxmlformats.org/officeDocument/2006/relationships/hyperlink" Target="https://www.thetrillium.ca/news/health/growing-encampments-prompt-ontario-mayors-to-call-for-forced-treatment-9604774" TargetMode="External"/><Relationship Id="rId122" Type="http://schemas.openxmlformats.org/officeDocument/2006/relationships/hyperlink" Target="https://www.bccdc.ca/health-professionals/data-reports/substance-use-harm-reduction-dashboard" TargetMode="External"/><Relationship Id="rId4" Type="http://schemas.openxmlformats.org/officeDocument/2006/relationships/hyperlink" Target="https://amnesty.ca" TargetMode="External"/><Relationship Id="rId9" Type="http://schemas.openxmlformats.org/officeDocument/2006/relationships/hyperlink" Target="https://www150.statcan.gc.ca/n1/pub/75-006-x/2023001/article/00011-eng.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caa2c89-4892-4440-9f30-59daa5a3597e" xsi:nil="true"/>
    <lcf76f155ced4ddcb4097134ff3c332f xmlns="2b1bdfc4-a260-464b-855c-9717a75631c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004AA1826EDC47889E6BC430FCFEE4" ma:contentTypeVersion="17" ma:contentTypeDescription="Create a new document." ma:contentTypeScope="" ma:versionID="9a13e0899cdffed19b8ca8add74badfa">
  <xsd:schema xmlns:xsd="http://www.w3.org/2001/XMLSchema" xmlns:xs="http://www.w3.org/2001/XMLSchema" xmlns:p="http://schemas.microsoft.com/office/2006/metadata/properties" xmlns:ns2="2b1bdfc4-a260-464b-855c-9717a75631cc" xmlns:ns3="2caa2c89-4892-4440-9f30-59daa5a3597e" targetNamespace="http://schemas.microsoft.com/office/2006/metadata/properties" ma:root="true" ma:fieldsID="e173cb763fc4113bf9c75b10b37e0313" ns2:_="" ns3:_="">
    <xsd:import namespace="2b1bdfc4-a260-464b-855c-9717a75631cc"/>
    <xsd:import namespace="2caa2c89-4892-4440-9f30-59daa5a3597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bdfc4-a260-464b-855c-9717a75631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aa0ad0-c4c5-4ed8-abb5-19e3095d9e3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aa2c89-4892-4440-9f30-59daa5a3597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5f13415-5ee8-4aec-8a4c-5b846c362355}" ma:internalName="TaxCatchAll" ma:showField="CatchAllData" ma:web="2caa2c89-4892-4440-9f30-59daa5a3597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B12D2B-64A6-40BF-A749-B59B9002F2A8}">
  <ds:schemaRefs>
    <ds:schemaRef ds:uri="http://schemas.microsoft.com/sharepoint/v3/contenttype/forms"/>
  </ds:schemaRefs>
</ds:datastoreItem>
</file>

<file path=customXml/itemProps2.xml><?xml version="1.0" encoding="utf-8"?>
<ds:datastoreItem xmlns:ds="http://schemas.openxmlformats.org/officeDocument/2006/customXml" ds:itemID="{95EECE22-9DC4-4E5C-89F3-320CCDA69C27}">
  <ds:schemaRefs>
    <ds:schemaRef ds:uri="http://schemas.microsoft.com/office/2006/metadata/properties"/>
    <ds:schemaRef ds:uri="http://schemas.microsoft.com/office/infopath/2007/PartnerControls"/>
    <ds:schemaRef ds:uri="2caa2c89-4892-4440-9f30-59daa5a3597e"/>
    <ds:schemaRef ds:uri="2b1bdfc4-a260-464b-855c-9717a75631cc"/>
  </ds:schemaRefs>
</ds:datastoreItem>
</file>

<file path=customXml/itemProps3.xml><?xml version="1.0" encoding="utf-8"?>
<ds:datastoreItem xmlns:ds="http://schemas.openxmlformats.org/officeDocument/2006/customXml" ds:itemID="{9257CFE4-8852-4DBA-A9E1-C18C27B9F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1bdfc4-a260-464b-855c-9717a75631cc"/>
    <ds:schemaRef ds:uri="2caa2c89-4892-4440-9f30-59daa5a359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7F4524-296B-4847-9732-C60627548FBD}">
  <ds:schemaRefs>
    <ds:schemaRef ds:uri="http://schemas.openxmlformats.org/officeDocument/2006/bibliography"/>
  </ds:schemaRefs>
</ds:datastoreItem>
</file>

<file path=docMetadata/LabelInfo.xml><?xml version="1.0" encoding="utf-8"?>
<clbl:labelList xmlns:clbl="http://schemas.microsoft.com/office/2020/mipLabelMetadata">
  <clbl:label id="{04e8677e-c989-47b9-8619-d83d5a5f6c67}" enabled="0" method="" siteId="{04e8677e-c989-47b9-8619-d83d5a5f6c67}" removed="1"/>
</clbl:labelList>
</file>

<file path=docProps/app.xml><?xml version="1.0" encoding="utf-8"?>
<Properties xmlns="http://schemas.openxmlformats.org/officeDocument/2006/extended-properties" xmlns:vt="http://schemas.openxmlformats.org/officeDocument/2006/docPropsVTypes">
  <Template>Normal.dotm</Template>
  <TotalTime>19</TotalTime>
  <Pages>26</Pages>
  <Words>10192</Words>
  <Characters>57693</Characters>
  <Application>Microsoft Office Word</Application>
  <DocSecurity>0</DocSecurity>
  <Lines>901</Lines>
  <Paragraphs>256</Paragraphs>
  <ScaleCrop>false</ScaleCrop>
  <Company/>
  <LinksUpToDate>false</LinksUpToDate>
  <CharactersWithSpaces>67629</CharactersWithSpaces>
  <SharedDoc>false</SharedDoc>
  <HLinks>
    <vt:vector size="1146" baseType="variant">
      <vt:variant>
        <vt:i4>393293</vt:i4>
      </vt:variant>
      <vt:variant>
        <vt:i4>279</vt:i4>
      </vt:variant>
      <vt:variant>
        <vt:i4>0</vt:i4>
      </vt:variant>
      <vt:variant>
        <vt:i4>5</vt:i4>
      </vt:variant>
      <vt:variant>
        <vt:lpwstr>https://www2.gov.bc.ca/assets/gov/birth-adoption-death-marriage-and-divorce/deaths/coroners-service/death-review-panel/review_of_illicit_drug_toxicity_deaths_2022.pdf</vt:lpwstr>
      </vt:variant>
      <vt:variant>
        <vt:lpwstr/>
      </vt:variant>
      <vt:variant>
        <vt:i4>720906</vt:i4>
      </vt:variant>
      <vt:variant>
        <vt:i4>276</vt:i4>
      </vt:variant>
      <vt:variant>
        <vt:i4>0</vt:i4>
      </vt:variant>
      <vt:variant>
        <vt:i4>5</vt:i4>
      </vt:variant>
      <vt:variant>
        <vt:lpwstr>https://www.bccdc.ca/health-professionals/data-reports/substance-use-harm-reduction-dashboard</vt:lpwstr>
      </vt:variant>
      <vt:variant>
        <vt:lpwstr/>
      </vt:variant>
      <vt:variant>
        <vt:i4>6881393</vt:i4>
      </vt:variant>
      <vt:variant>
        <vt:i4>273</vt:i4>
      </vt:variant>
      <vt:variant>
        <vt:i4>0</vt:i4>
      </vt:variant>
      <vt:variant>
        <vt:i4>5</vt:i4>
      </vt:variant>
      <vt:variant>
        <vt:lpwstr>https://pmc.ncbi.nlm.nih.gov/articles/PMC12142985/</vt:lpwstr>
      </vt:variant>
      <vt:variant>
        <vt:lpwstr>:~:text=Our%20findings%20highlight,the%20same%20fate.</vt:lpwstr>
      </vt:variant>
      <vt:variant>
        <vt:i4>327755</vt:i4>
      </vt:variant>
      <vt:variant>
        <vt:i4>270</vt:i4>
      </vt:variant>
      <vt:variant>
        <vt:i4>0</vt:i4>
      </vt:variant>
      <vt:variant>
        <vt:i4>5</vt:i4>
      </vt:variant>
      <vt:variant>
        <vt:lpwstr>https://odprn.ca/wp-content/uploads/2024/11/OCC_Opioid-Mortality-Summary-2024_Q2-October-2024.pdf</vt:lpwstr>
      </vt:variant>
      <vt:variant>
        <vt:lpwstr/>
      </vt:variant>
      <vt:variant>
        <vt:i4>7864372</vt:i4>
      </vt:variant>
      <vt:variant>
        <vt:i4>267</vt:i4>
      </vt:variant>
      <vt:variant>
        <vt:i4>0</vt:i4>
      </vt:variant>
      <vt:variant>
        <vt:i4>5</vt:i4>
      </vt:variant>
      <vt:variant>
        <vt:lpwstr>https://www.sciencedirect.com/science/article/pii/S095539592300244X?via%3Dihub</vt:lpwstr>
      </vt:variant>
      <vt:variant>
        <vt:lpwstr/>
      </vt:variant>
      <vt:variant>
        <vt:i4>6881398</vt:i4>
      </vt:variant>
      <vt:variant>
        <vt:i4>264</vt:i4>
      </vt:variant>
      <vt:variant>
        <vt:i4>0</vt:i4>
      </vt:variant>
      <vt:variant>
        <vt:i4>5</vt:i4>
      </vt:variant>
      <vt:variant>
        <vt:lpwstr>https://www.sciencedirect.com/science/article/pii/S0376871624001960</vt:lpwstr>
      </vt:variant>
      <vt:variant>
        <vt:lpwstr/>
      </vt:variant>
      <vt:variant>
        <vt:i4>2162797</vt:i4>
      </vt:variant>
      <vt:variant>
        <vt:i4>261</vt:i4>
      </vt:variant>
      <vt:variant>
        <vt:i4>0</vt:i4>
      </vt:variant>
      <vt:variant>
        <vt:i4>5</vt:i4>
      </vt:variant>
      <vt:variant>
        <vt:lpwstr>https://www.sciencedirect.com/science/article/abs/pii/S037687162030243X</vt:lpwstr>
      </vt:variant>
      <vt:variant>
        <vt:lpwstr/>
      </vt:variant>
      <vt:variant>
        <vt:i4>3735652</vt:i4>
      </vt:variant>
      <vt:variant>
        <vt:i4>258</vt:i4>
      </vt:variant>
      <vt:variant>
        <vt:i4>0</vt:i4>
      </vt:variant>
      <vt:variant>
        <vt:i4>5</vt:i4>
      </vt:variant>
      <vt:variant>
        <vt:lpwstr>https://www.thelancet.com/journals/lanam/article/PIIS2667-193X(25)00032-8/fulltext</vt:lpwstr>
      </vt:variant>
      <vt:variant>
        <vt:lpwstr/>
      </vt:variant>
      <vt:variant>
        <vt:i4>262234</vt:i4>
      </vt:variant>
      <vt:variant>
        <vt:i4>255</vt:i4>
      </vt:variant>
      <vt:variant>
        <vt:i4>0</vt:i4>
      </vt:variant>
      <vt:variant>
        <vt:i4>5</vt:i4>
      </vt:variant>
      <vt:variant>
        <vt:lpwstr>https://jamanetwork.com/journals/jamanetworkopen/fullarticle/2841824</vt:lpwstr>
      </vt:variant>
      <vt:variant>
        <vt:lpwstr/>
      </vt:variant>
      <vt:variant>
        <vt:i4>1376329</vt:i4>
      </vt:variant>
      <vt:variant>
        <vt:i4>252</vt:i4>
      </vt:variant>
      <vt:variant>
        <vt:i4>0</vt:i4>
      </vt:variant>
      <vt:variant>
        <vt:i4>5</vt:i4>
      </vt:variant>
      <vt:variant>
        <vt:lpwstr>https://www.cbc.ca/news/canada/toronto/legal-challenge-ontario-law-supervised-consumption-sites-free-to-relocate-1.7492994</vt:lpwstr>
      </vt:variant>
      <vt:variant>
        <vt:lpwstr>:~:text=Health%20Minister%20Sylvia%20Jones%20says,and%20the%20health%20minister%27s%20comments.</vt:lpwstr>
      </vt:variant>
      <vt:variant>
        <vt:i4>4653106</vt:i4>
      </vt:variant>
      <vt:variant>
        <vt:i4>249</vt:i4>
      </vt:variant>
      <vt:variant>
        <vt:i4>0</vt:i4>
      </vt:variant>
      <vt:variant>
        <vt:i4>5</vt:i4>
      </vt:variant>
      <vt:variant>
        <vt:lpwstr>https://www.publicationsduquebec.gouv.qc.ca/fileadmin/Fichiers_client/lois_et_reglements/LoisAnnuelles/en/2025/2025C34A.PDF</vt:lpwstr>
      </vt:variant>
      <vt:variant>
        <vt:lpwstr/>
      </vt:variant>
      <vt:variant>
        <vt:i4>6881404</vt:i4>
      </vt:variant>
      <vt:variant>
        <vt:i4>246</vt:i4>
      </vt:variant>
      <vt:variant>
        <vt:i4>0</vt:i4>
      </vt:variant>
      <vt:variant>
        <vt:i4>5</vt:i4>
      </vt:variant>
      <vt:variant>
        <vt:lpwstr>https://www.ontario.ca/laws/statute/24c27a</vt:lpwstr>
      </vt:variant>
      <vt:variant>
        <vt:lpwstr/>
      </vt:variant>
      <vt:variant>
        <vt:i4>5374025</vt:i4>
      </vt:variant>
      <vt:variant>
        <vt:i4>243</vt:i4>
      </vt:variant>
      <vt:variant>
        <vt:i4>0</vt:i4>
      </vt:variant>
      <vt:variant>
        <vt:i4>5</vt:i4>
      </vt:variant>
      <vt:variant>
        <vt:lpwstr>https://health-infobase.canada.ca/supervised-consumption-sites/</vt:lpwstr>
      </vt:variant>
      <vt:variant>
        <vt:lpwstr>a5</vt:lpwstr>
      </vt:variant>
      <vt:variant>
        <vt:i4>3080231</vt:i4>
      </vt:variant>
      <vt:variant>
        <vt:i4>240</vt:i4>
      </vt:variant>
      <vt:variant>
        <vt:i4>0</vt:i4>
      </vt:variant>
      <vt:variant>
        <vt:i4>5</vt:i4>
      </vt:variant>
      <vt:variant>
        <vt:lpwstr>https://www.ourcommons.ca/committees/en/HESA/StudyActivity?studyActivityId=12437048</vt:lpwstr>
      </vt:variant>
      <vt:variant>
        <vt:lpwstr/>
      </vt:variant>
      <vt:variant>
        <vt:i4>7274547</vt:i4>
      </vt:variant>
      <vt:variant>
        <vt:i4>237</vt:i4>
      </vt:variant>
      <vt:variant>
        <vt:i4>0</vt:i4>
      </vt:variant>
      <vt:variant>
        <vt:i4>5</vt:i4>
      </vt:variant>
      <vt:variant>
        <vt:lpwstr>https://drugpolicy.ca/our-work/addiction-treatment-position-statement/</vt:lpwstr>
      </vt:variant>
      <vt:variant>
        <vt:lpwstr>0729ca3c-b7e5-4a45-a381-01e058337622</vt:lpwstr>
      </vt:variant>
      <vt:variant>
        <vt:i4>4259917</vt:i4>
      </vt:variant>
      <vt:variant>
        <vt:i4>234</vt:i4>
      </vt:variant>
      <vt:variant>
        <vt:i4>0</vt:i4>
      </vt:variant>
      <vt:variant>
        <vt:i4>5</vt:i4>
      </vt:variant>
      <vt:variant>
        <vt:lpwstr>https://www.thetrillium.ca/news/health/growing-encampments-prompt-ontario-mayors-to-call-for-forced-treatment-9604774</vt:lpwstr>
      </vt:variant>
      <vt:variant>
        <vt:lpwstr/>
      </vt:variant>
      <vt:variant>
        <vt:i4>8192106</vt:i4>
      </vt:variant>
      <vt:variant>
        <vt:i4>231</vt:i4>
      </vt:variant>
      <vt:variant>
        <vt:i4>0</vt:i4>
      </vt:variant>
      <vt:variant>
        <vt:i4>5</vt:i4>
      </vt:variant>
      <vt:variant>
        <vt:lpwstr>https://www.aclrc.com/blog/albertas-compassionate-intervention-act-and-charter-rights/</vt:lpwstr>
      </vt:variant>
      <vt:variant>
        <vt:lpwstr/>
      </vt:variant>
      <vt:variant>
        <vt:i4>5308441</vt:i4>
      </vt:variant>
      <vt:variant>
        <vt:i4>228</vt:i4>
      </vt:variant>
      <vt:variant>
        <vt:i4>0</vt:i4>
      </vt:variant>
      <vt:variant>
        <vt:i4>5</vt:i4>
      </vt:variant>
      <vt:variant>
        <vt:lpwstr>https://www.canlii.org/en/ab/laws/stat/sa-2025-c-c-21.5/latest/sa-2025-c-c-21.5.html</vt:lpwstr>
      </vt:variant>
      <vt:variant>
        <vt:lpwstr/>
      </vt:variant>
      <vt:variant>
        <vt:i4>3932194</vt:i4>
      </vt:variant>
      <vt:variant>
        <vt:i4>225</vt:i4>
      </vt:variant>
      <vt:variant>
        <vt:i4>0</vt:i4>
      </vt:variant>
      <vt:variant>
        <vt:i4>5</vt:i4>
      </vt:variant>
      <vt:variant>
        <vt:lpwstr>https://pmc.ncbi.nlm.nih.gov/articles/PMC12638111/</vt:lpwstr>
      </vt:variant>
      <vt:variant>
        <vt:lpwstr/>
      </vt:variant>
      <vt:variant>
        <vt:i4>5308490</vt:i4>
      </vt:variant>
      <vt:variant>
        <vt:i4>222</vt:i4>
      </vt:variant>
      <vt:variant>
        <vt:i4>0</vt:i4>
      </vt:variant>
      <vt:variant>
        <vt:i4>5</vt:i4>
      </vt:variant>
      <vt:variant>
        <vt:lpwstr>https://www.alberta.ca/providing-life-saving-treatment-for-substance-abuse-and-addiction</vt:lpwstr>
      </vt:variant>
      <vt:variant>
        <vt:lpwstr/>
      </vt:variant>
      <vt:variant>
        <vt:i4>3145830</vt:i4>
      </vt:variant>
      <vt:variant>
        <vt:i4>219</vt:i4>
      </vt:variant>
      <vt:variant>
        <vt:i4>0</vt:i4>
      </vt:variant>
      <vt:variant>
        <vt:i4>5</vt:i4>
      </vt:variant>
      <vt:variant>
        <vt:lpwstr>https://drugpolicy.ca/our-work/addiction-treatment-position-statement/</vt:lpwstr>
      </vt:variant>
      <vt:variant>
        <vt:lpwstr>f346c4ba-1c5b-48a5-ab4e-0426d2d92ea7</vt:lpwstr>
      </vt:variant>
      <vt:variant>
        <vt:i4>3473441</vt:i4>
      </vt:variant>
      <vt:variant>
        <vt:i4>216</vt:i4>
      </vt:variant>
      <vt:variant>
        <vt:i4>0</vt:i4>
      </vt:variant>
      <vt:variant>
        <vt:i4>5</vt:i4>
      </vt:variant>
      <vt:variant>
        <vt:lpwstr>https://journals.lww.com/cja/abstract/2020/03000/the_ethics_of_compulsory_treatment_of_addictions.2.aspx</vt:lpwstr>
      </vt:variant>
      <vt:variant>
        <vt:lpwstr/>
      </vt:variant>
      <vt:variant>
        <vt:i4>3801197</vt:i4>
      </vt:variant>
      <vt:variant>
        <vt:i4>213</vt:i4>
      </vt:variant>
      <vt:variant>
        <vt:i4>0</vt:i4>
      </vt:variant>
      <vt:variant>
        <vt:i4>5</vt:i4>
      </vt:variant>
      <vt:variant>
        <vt:lpwstr>https://drugpolicy.ca/our-work/addiction-treatment-position-statement/</vt:lpwstr>
      </vt:variant>
      <vt:variant>
        <vt:lpwstr>8656330f-d182-4775-a6f4-4e54a4a6ac6a</vt:lpwstr>
      </vt:variant>
      <vt:variant>
        <vt:i4>3604578</vt:i4>
      </vt:variant>
      <vt:variant>
        <vt:i4>210</vt:i4>
      </vt:variant>
      <vt:variant>
        <vt:i4>0</vt:i4>
      </vt:variant>
      <vt:variant>
        <vt:i4>5</vt:i4>
      </vt:variant>
      <vt:variant>
        <vt:lpwstr>https://drugpolicy.ca/our-work/addiction-treatment-position-statement/</vt:lpwstr>
      </vt:variant>
      <vt:variant>
        <vt:lpwstr>4cdef8ba-cac2-4a9b-a894-415a4cca4d1b</vt:lpwstr>
      </vt:variant>
      <vt:variant>
        <vt:i4>983084</vt:i4>
      </vt:variant>
      <vt:variant>
        <vt:i4>207</vt:i4>
      </vt:variant>
      <vt:variant>
        <vt:i4>0</vt:i4>
      </vt:variant>
      <vt:variant>
        <vt:i4>5</vt:i4>
      </vt:variant>
      <vt:variant>
        <vt:lpwstr>https://bcombudsperson.ca/investigative_report/committed-to-change-protecting-the-rights-of-involuntary-patients-under-the-mental-health-act/</vt:lpwstr>
      </vt:variant>
      <vt:variant>
        <vt:lpwstr>:~:text=students%20and%20families-,Committed%20to%20Change%3A%20Protecting%20the%20Rights%20of%20Involuntary,under%20the%20Mental%20Health%20Act&amp;text=The%20report%20makes%2020%20findings,psychiatric%20facilities%20in%20the%20province.</vt:lpwstr>
      </vt:variant>
      <vt:variant>
        <vt:i4>1900619</vt:i4>
      </vt:variant>
      <vt:variant>
        <vt:i4>204</vt:i4>
      </vt:variant>
      <vt:variant>
        <vt:i4>0</vt:i4>
      </vt:variant>
      <vt:variant>
        <vt:i4>5</vt:i4>
      </vt:variant>
      <vt:variant>
        <vt:lpwstr>https://journals.sagepub.com/doi/abs/10.1177/1073110520979383</vt:lpwstr>
      </vt:variant>
      <vt:variant>
        <vt:lpwstr/>
      </vt:variant>
      <vt:variant>
        <vt:i4>7143533</vt:i4>
      </vt:variant>
      <vt:variant>
        <vt:i4>201</vt:i4>
      </vt:variant>
      <vt:variant>
        <vt:i4>0</vt:i4>
      </vt:variant>
      <vt:variant>
        <vt:i4>5</vt:i4>
      </vt:variant>
      <vt:variant>
        <vt:lpwstr>https://drugpolicy.ca/our-work/addiction-treatment-position-statement/</vt:lpwstr>
      </vt:variant>
      <vt:variant>
        <vt:lpwstr>b35ae809-6b7d-4aab-ad75-b3f8da4d8162</vt:lpwstr>
      </vt:variant>
      <vt:variant>
        <vt:i4>3539048</vt:i4>
      </vt:variant>
      <vt:variant>
        <vt:i4>198</vt:i4>
      </vt:variant>
      <vt:variant>
        <vt:i4>0</vt:i4>
      </vt:variant>
      <vt:variant>
        <vt:i4>5</vt:i4>
      </vt:variant>
      <vt:variant>
        <vt:lpwstr>https://drugpolicy.ca/our-work/addiction-treatment-position-statement/</vt:lpwstr>
      </vt:variant>
      <vt:variant>
        <vt:lpwstr>894858af-43ed-4325-8571-3c483239f533</vt:lpwstr>
      </vt:variant>
      <vt:variant>
        <vt:i4>1900619</vt:i4>
      </vt:variant>
      <vt:variant>
        <vt:i4>195</vt:i4>
      </vt:variant>
      <vt:variant>
        <vt:i4>0</vt:i4>
      </vt:variant>
      <vt:variant>
        <vt:i4>5</vt:i4>
      </vt:variant>
      <vt:variant>
        <vt:lpwstr>https://journals.sagepub.com/doi/abs/10.1177/1073110520979384</vt:lpwstr>
      </vt:variant>
      <vt:variant>
        <vt:lpwstr/>
      </vt:variant>
      <vt:variant>
        <vt:i4>1769484</vt:i4>
      </vt:variant>
      <vt:variant>
        <vt:i4>192</vt:i4>
      </vt:variant>
      <vt:variant>
        <vt:i4>0</vt:i4>
      </vt:variant>
      <vt:variant>
        <vt:i4>5</vt:i4>
      </vt:variant>
      <vt:variant>
        <vt:lpwstr>https://harmreductionjournal.biomedcentral.com/articles/10.1186/s12954-024-00999-8</vt:lpwstr>
      </vt:variant>
      <vt:variant>
        <vt:lpwstr>citeas</vt:lpwstr>
      </vt:variant>
      <vt:variant>
        <vt:i4>3670122</vt:i4>
      </vt:variant>
      <vt:variant>
        <vt:i4>189</vt:i4>
      </vt:variant>
      <vt:variant>
        <vt:i4>0</vt:i4>
      </vt:variant>
      <vt:variant>
        <vt:i4>5</vt:i4>
      </vt:variant>
      <vt:variant>
        <vt:lpwstr>https://drugpolicy.ca/our-work/addiction-treatment-position-statement/</vt:lpwstr>
      </vt:variant>
      <vt:variant>
        <vt:lpwstr>8ae55ec6-fe16-4dbb-99d6-b0a3659744da</vt:lpwstr>
      </vt:variant>
      <vt:variant>
        <vt:i4>6619239</vt:i4>
      </vt:variant>
      <vt:variant>
        <vt:i4>186</vt:i4>
      </vt:variant>
      <vt:variant>
        <vt:i4>0</vt:i4>
      </vt:variant>
      <vt:variant>
        <vt:i4>5</vt:i4>
      </vt:variant>
      <vt:variant>
        <vt:lpwstr>https://drugpolicy.ca/our-work/addiction-treatment-position-statement/</vt:lpwstr>
      </vt:variant>
      <vt:variant>
        <vt:lpwstr>0d8fef8e-5c47-4936-a410-ec452f68fea0</vt:lpwstr>
      </vt:variant>
      <vt:variant>
        <vt:i4>3538992</vt:i4>
      </vt:variant>
      <vt:variant>
        <vt:i4>183</vt:i4>
      </vt:variant>
      <vt:variant>
        <vt:i4>0</vt:i4>
      </vt:variant>
      <vt:variant>
        <vt:i4>5</vt:i4>
      </vt:variant>
      <vt:variant>
        <vt:lpwstr>https://drugpolicy.ca/our-work/addiction-treatment-position-statement/</vt:lpwstr>
      </vt:variant>
      <vt:variant>
        <vt:lpwstr>cce8fa61-e0fa-4867-b5a8-0c94553d8d87</vt:lpwstr>
      </vt:variant>
      <vt:variant>
        <vt:i4>786516</vt:i4>
      </vt:variant>
      <vt:variant>
        <vt:i4>180</vt:i4>
      </vt:variant>
      <vt:variant>
        <vt:i4>0</vt:i4>
      </vt:variant>
      <vt:variant>
        <vt:i4>5</vt:i4>
      </vt:variant>
      <vt:variant>
        <vt:lpwstr>https://onlinelibrary.wiley.com/doi/abs/10.1111/add.14769</vt:lpwstr>
      </vt:variant>
      <vt:variant>
        <vt:lpwstr/>
      </vt:variant>
      <vt:variant>
        <vt:i4>655374</vt:i4>
      </vt:variant>
      <vt:variant>
        <vt:i4>177</vt:i4>
      </vt:variant>
      <vt:variant>
        <vt:i4>0</vt:i4>
      </vt:variant>
      <vt:variant>
        <vt:i4>5</vt:i4>
      </vt:variant>
      <vt:variant>
        <vt:lpwstr>https://pubmed.ncbi.nlm.nih.gov/27964869/</vt:lpwstr>
      </vt:variant>
      <vt:variant>
        <vt:lpwstr/>
      </vt:variant>
      <vt:variant>
        <vt:i4>5832718</vt:i4>
      </vt:variant>
      <vt:variant>
        <vt:i4>174</vt:i4>
      </vt:variant>
      <vt:variant>
        <vt:i4>0</vt:i4>
      </vt:variant>
      <vt:variant>
        <vt:i4>5</vt:i4>
      </vt:variant>
      <vt:variant>
        <vt:lpwstr>https://pmc.ncbi.nlm.nih.gov/articles/PMC4752879/pdf/nihms751135.pdf</vt:lpwstr>
      </vt:variant>
      <vt:variant>
        <vt:lpwstr/>
      </vt:variant>
      <vt:variant>
        <vt:i4>3866678</vt:i4>
      </vt:variant>
      <vt:variant>
        <vt:i4>171</vt:i4>
      </vt:variant>
      <vt:variant>
        <vt:i4>0</vt:i4>
      </vt:variant>
      <vt:variant>
        <vt:i4>5</vt:i4>
      </vt:variant>
      <vt:variant>
        <vt:lpwstr>https://drugpolicy.ca/our-work/addiction-treatment-position-statement/</vt:lpwstr>
      </vt:variant>
      <vt:variant>
        <vt:lpwstr>fbe8b118-21d7-4e5d-803b-3265739d6f9e</vt:lpwstr>
      </vt:variant>
      <vt:variant>
        <vt:i4>6815855</vt:i4>
      </vt:variant>
      <vt:variant>
        <vt:i4>168</vt:i4>
      </vt:variant>
      <vt:variant>
        <vt:i4>0</vt:i4>
      </vt:variant>
      <vt:variant>
        <vt:i4>5</vt:i4>
      </vt:variant>
      <vt:variant>
        <vt:lpwstr>https://drugpolicy.ca/our-work/addiction-treatment-position-statement/</vt:lpwstr>
      </vt:variant>
      <vt:variant>
        <vt:lpwstr>30ed8783-a7ea-4119-8411-2a89da878b66</vt:lpwstr>
      </vt:variant>
      <vt:variant>
        <vt:i4>3080309</vt:i4>
      </vt:variant>
      <vt:variant>
        <vt:i4>165</vt:i4>
      </vt:variant>
      <vt:variant>
        <vt:i4>0</vt:i4>
      </vt:variant>
      <vt:variant>
        <vt:i4>5</vt:i4>
      </vt:variant>
      <vt:variant>
        <vt:lpwstr>https://journals.lww.com/cja/fulltext/2023/12000/effectiveness_of_involuntary_treatment_for.2.aspx?ref=drugdatadecoded.ca</vt:lpwstr>
      </vt:variant>
      <vt:variant>
        <vt:lpwstr/>
      </vt:variant>
      <vt:variant>
        <vt:i4>8126529</vt:i4>
      </vt:variant>
      <vt:variant>
        <vt:i4>162</vt:i4>
      </vt:variant>
      <vt:variant>
        <vt:i4>0</vt:i4>
      </vt:variant>
      <vt:variant>
        <vt:i4>5</vt:i4>
      </vt:variant>
      <vt:variant>
        <vt:lpwstr>https://journals.lww.com/cja/abstract/2023/06000/involuntary_treatment_for_adult_nonoffenders_with.5.aspx</vt:lpwstr>
      </vt:variant>
      <vt:variant>
        <vt:lpwstr/>
      </vt:variant>
      <vt:variant>
        <vt:i4>2359328</vt:i4>
      </vt:variant>
      <vt:variant>
        <vt:i4>159</vt:i4>
      </vt:variant>
      <vt:variant>
        <vt:i4>0</vt:i4>
      </vt:variant>
      <vt:variant>
        <vt:i4>5</vt:i4>
      </vt:variant>
      <vt:variant>
        <vt:lpwstr>https://news.gov.bc.ca/releases/2024PREM0043-001532</vt:lpwstr>
      </vt:variant>
      <vt:variant>
        <vt:lpwstr/>
      </vt:variant>
      <vt:variant>
        <vt:i4>8323124</vt:i4>
      </vt:variant>
      <vt:variant>
        <vt:i4>156</vt:i4>
      </vt:variant>
      <vt:variant>
        <vt:i4>0</vt:i4>
      </vt:variant>
      <vt:variant>
        <vt:i4>5</vt:i4>
      </vt:variant>
      <vt:variant>
        <vt:lpwstr>https://calgaryherald.com/news/politics/alberta-build-mandatory-drug-treatment-centres-calgary</vt:lpwstr>
      </vt:variant>
      <vt:variant>
        <vt:lpwstr/>
      </vt:variant>
      <vt:variant>
        <vt:i4>851974</vt:i4>
      </vt:variant>
      <vt:variant>
        <vt:i4>153</vt:i4>
      </vt:variant>
      <vt:variant>
        <vt:i4>0</vt:i4>
      </vt:variant>
      <vt:variant>
        <vt:i4>5</vt:i4>
      </vt:variant>
      <vt:variant>
        <vt:lpwstr>https://pubmed.ncbi.nlm.nih.gov/40157735/</vt:lpwstr>
      </vt:variant>
      <vt:variant>
        <vt:lpwstr/>
      </vt:variant>
      <vt:variant>
        <vt:i4>7667763</vt:i4>
      </vt:variant>
      <vt:variant>
        <vt:i4>150</vt:i4>
      </vt:variant>
      <vt:variant>
        <vt:i4>0</vt:i4>
      </vt:variant>
      <vt:variant>
        <vt:i4>5</vt:i4>
      </vt:variant>
      <vt:variant>
        <vt:lpwstr>https://www.legisquebec.gouv.qc.ca/fr/document/rc/S-4.2, r. 0.1?&amp;cible=&amp;langCont=en</vt:lpwstr>
      </vt:variant>
      <vt:variant>
        <vt:lpwstr/>
      </vt:variant>
      <vt:variant>
        <vt:i4>7471231</vt:i4>
      </vt:variant>
      <vt:variant>
        <vt:i4>147</vt:i4>
      </vt:variant>
      <vt:variant>
        <vt:i4>0</vt:i4>
      </vt:variant>
      <vt:variant>
        <vt:i4>5</vt:i4>
      </vt:variant>
      <vt:variant>
        <vt:lpwstr>https://www.cbc.ca/news/canada/private-addiction-treatment-centres-unregulated-danger-9.6948952</vt:lpwstr>
      </vt:variant>
      <vt:variant>
        <vt:lpwstr/>
      </vt:variant>
      <vt:variant>
        <vt:i4>6619233</vt:i4>
      </vt:variant>
      <vt:variant>
        <vt:i4>144</vt:i4>
      </vt:variant>
      <vt:variant>
        <vt:i4>0</vt:i4>
      </vt:variant>
      <vt:variant>
        <vt:i4>5</vt:i4>
      </vt:variant>
      <vt:variant>
        <vt:lpwstr>https://drugpolicy.ca/our-work/addiction-treatment-position-statement/</vt:lpwstr>
      </vt:variant>
      <vt:variant>
        <vt:lpwstr>8da63237-f54d-45d0-a3ee-c4ac0eae9d25</vt:lpwstr>
      </vt:variant>
      <vt:variant>
        <vt:i4>6881402</vt:i4>
      </vt:variant>
      <vt:variant>
        <vt:i4>141</vt:i4>
      </vt:variant>
      <vt:variant>
        <vt:i4>0</vt:i4>
      </vt:variant>
      <vt:variant>
        <vt:i4>5</vt:i4>
      </vt:variant>
      <vt:variant>
        <vt:lpwstr>https://www.hivlegalnetwork.ca/site/dependent-on-rights-assessing-treatment-of-drug-dependence-from-a-human-rights-perspective/?lang=en</vt:lpwstr>
      </vt:variant>
      <vt:variant>
        <vt:lpwstr/>
      </vt:variant>
      <vt:variant>
        <vt:i4>6750263</vt:i4>
      </vt:variant>
      <vt:variant>
        <vt:i4>138</vt:i4>
      </vt:variant>
      <vt:variant>
        <vt:i4>0</vt:i4>
      </vt:variant>
      <vt:variant>
        <vt:i4>5</vt:i4>
      </vt:variant>
      <vt:variant>
        <vt:lpwstr>https://drugpolicy.ca/our-work/addiction-treatment-position-statement/</vt:lpwstr>
      </vt:variant>
      <vt:variant>
        <vt:lpwstr/>
      </vt:variant>
      <vt:variant>
        <vt:i4>2293878</vt:i4>
      </vt:variant>
      <vt:variant>
        <vt:i4>135</vt:i4>
      </vt:variant>
      <vt:variant>
        <vt:i4>0</vt:i4>
      </vt:variant>
      <vt:variant>
        <vt:i4>5</vt:i4>
      </vt:variant>
      <vt:variant>
        <vt:lpwstr>https://www.cbc.ca/news/canada/edmonton/alberta-involuntary-treatment-centres-addictions-1.7467178</vt:lpwstr>
      </vt:variant>
      <vt:variant>
        <vt:lpwstr/>
      </vt:variant>
      <vt:variant>
        <vt:i4>4259869</vt:i4>
      </vt:variant>
      <vt:variant>
        <vt:i4>132</vt:i4>
      </vt:variant>
      <vt:variant>
        <vt:i4>0</vt:i4>
      </vt:variant>
      <vt:variant>
        <vt:i4>5</vt:i4>
      </vt:variant>
      <vt:variant>
        <vt:lpwstr>https://www.canlii.org/en/bc/bcsc/doc/2023/2023bcsc2290/2023bcsc2290.html</vt:lpwstr>
      </vt:variant>
      <vt:variant>
        <vt:lpwstr/>
      </vt:variant>
      <vt:variant>
        <vt:i4>6160405</vt:i4>
      </vt:variant>
      <vt:variant>
        <vt:i4>129</vt:i4>
      </vt:variant>
      <vt:variant>
        <vt:i4>0</vt:i4>
      </vt:variant>
      <vt:variant>
        <vt:i4>5</vt:i4>
      </vt:variant>
      <vt:variant>
        <vt:lpwstr>https://drugpolicy.ca/about/publication/submission-to-the-united-nations-high-commissioner-for-human-rights/</vt:lpwstr>
      </vt:variant>
      <vt:variant>
        <vt:lpwstr/>
      </vt:variant>
      <vt:variant>
        <vt:i4>7078007</vt:i4>
      </vt:variant>
      <vt:variant>
        <vt:i4>126</vt:i4>
      </vt:variant>
      <vt:variant>
        <vt:i4>0</vt:i4>
      </vt:variant>
      <vt:variant>
        <vt:i4>5</vt:i4>
      </vt:variant>
      <vt:variant>
        <vt:lpwstr>https://housingrights.ca/wp-content/uploads/Canada_ICCPR_Session145_CivilSocietySubmission_NRHN-WNHHN-CCHR_March2026_pdf.pdf</vt:lpwstr>
      </vt:variant>
      <vt:variant>
        <vt:lpwstr/>
      </vt:variant>
      <vt:variant>
        <vt:i4>6881404</vt:i4>
      </vt:variant>
      <vt:variant>
        <vt:i4>123</vt:i4>
      </vt:variant>
      <vt:variant>
        <vt:i4>0</vt:i4>
      </vt:variant>
      <vt:variant>
        <vt:i4>5</vt:i4>
      </vt:variant>
      <vt:variant>
        <vt:lpwstr>https://www.ontario.ca/laws/statute/24c27a</vt:lpwstr>
      </vt:variant>
      <vt:variant>
        <vt:lpwstr/>
      </vt:variant>
      <vt:variant>
        <vt:i4>7471145</vt:i4>
      </vt:variant>
      <vt:variant>
        <vt:i4>120</vt:i4>
      </vt:variant>
      <vt:variant>
        <vt:i4>0</vt:i4>
      </vt:variant>
      <vt:variant>
        <vt:i4>5</vt:i4>
      </vt:variant>
      <vt:variant>
        <vt:lpwstr>https://www.canada.ca/en/health-canada/news/2024/05/statement-from-the-minister-of-mental-health-and-addictions-and-associate-minister-of-health0.html</vt:lpwstr>
      </vt:variant>
      <vt:variant>
        <vt:lpwstr/>
      </vt:variant>
      <vt:variant>
        <vt:i4>5767190</vt:i4>
      </vt:variant>
      <vt:variant>
        <vt:i4>117</vt:i4>
      </vt:variant>
      <vt:variant>
        <vt:i4>0</vt:i4>
      </vt:variant>
      <vt:variant>
        <vt:i4>5</vt:i4>
      </vt:variant>
      <vt:variant>
        <vt:lpwstr>https://drugpolicy.ca/bc-revives-criminalization/</vt:lpwstr>
      </vt:variant>
      <vt:variant>
        <vt:lpwstr/>
      </vt:variant>
      <vt:variant>
        <vt:i4>7471192</vt:i4>
      </vt:variant>
      <vt:variant>
        <vt:i4>114</vt:i4>
      </vt:variant>
      <vt:variant>
        <vt:i4>0</vt:i4>
      </vt:variant>
      <vt:variant>
        <vt:i4>5</vt:i4>
      </vt:variant>
      <vt:variant>
        <vt:lpwstr>https://www.dal.ca/news/media/media-releases/2025/04/14/media_release__study_finds_drug_decriminalization_in_british_columbia_linked_to_significant_reduction_in_criminal_justice_involvement.html</vt:lpwstr>
      </vt:variant>
      <vt:variant>
        <vt:lpwstr/>
      </vt:variant>
      <vt:variant>
        <vt:i4>7274543</vt:i4>
      </vt:variant>
      <vt:variant>
        <vt:i4>111</vt:i4>
      </vt:variant>
      <vt:variant>
        <vt:i4>0</vt:i4>
      </vt:variant>
      <vt:variant>
        <vt:i4>5</vt:i4>
      </vt:variant>
      <vt:variant>
        <vt:lpwstr>https://www2.gov.bc.ca/assets/gov/overdose-awareness/data_report_to_health_canada_august_2025.pdf</vt:lpwstr>
      </vt:variant>
      <vt:variant>
        <vt:lpwstr/>
      </vt:variant>
      <vt:variant>
        <vt:i4>5111816</vt:i4>
      </vt:variant>
      <vt:variant>
        <vt:i4>108</vt:i4>
      </vt:variant>
      <vt:variant>
        <vt:i4>0</vt:i4>
      </vt:variant>
      <vt:variant>
        <vt:i4>5</vt:i4>
      </vt:variant>
      <vt:variant>
        <vt:lpwstr>https://www2.gov.bc.ca/assets/gov/health/about-bc-s-health-care-system/office-of-the-provincial-health-officer/reports-publications/special-reports/stopping-the-harm-report.pdf</vt:lpwstr>
      </vt:variant>
      <vt:variant>
        <vt:lpwstr/>
      </vt:variant>
      <vt:variant>
        <vt:i4>458840</vt:i4>
      </vt:variant>
      <vt:variant>
        <vt:i4>105</vt:i4>
      </vt:variant>
      <vt:variant>
        <vt:i4>0</vt:i4>
      </vt:variant>
      <vt:variant>
        <vt:i4>5</vt:i4>
      </vt:variant>
      <vt:variant>
        <vt:lpwstr>https://www.bccdc.ca/health-info/prevention-public-health/decriminalization-in-bc</vt:lpwstr>
      </vt:variant>
      <vt:variant>
        <vt:lpwstr/>
      </vt:variant>
      <vt:variant>
        <vt:i4>4522060</vt:i4>
      </vt:variant>
      <vt:variant>
        <vt:i4>102</vt:i4>
      </vt:variant>
      <vt:variant>
        <vt:i4>0</vt:i4>
      </vt:variant>
      <vt:variant>
        <vt:i4>5</vt:i4>
      </vt:variant>
      <vt:variant>
        <vt:lpwstr>https://www.talkingdrugs.org/drug-decriminalisation/</vt:lpwstr>
      </vt:variant>
      <vt:variant>
        <vt:lpwstr/>
      </vt:variant>
      <vt:variant>
        <vt:i4>524348</vt:i4>
      </vt:variant>
      <vt:variant>
        <vt:i4>99</vt:i4>
      </vt:variant>
      <vt:variant>
        <vt:i4>0</vt:i4>
      </vt:variant>
      <vt:variant>
        <vt:i4>5</vt:i4>
      </vt:variant>
      <vt:variant>
        <vt:lpwstr>https://ccprcentre.org/files/media/ICCPR_easy_to_read_commentary_WEB.pdf</vt:lpwstr>
      </vt:variant>
      <vt:variant>
        <vt:lpwstr/>
      </vt:variant>
      <vt:variant>
        <vt:i4>2424881</vt:i4>
      </vt:variant>
      <vt:variant>
        <vt:i4>96</vt:i4>
      </vt:variant>
      <vt:variant>
        <vt:i4>0</vt:i4>
      </vt:variant>
      <vt:variant>
        <vt:i4>5</vt:i4>
      </vt:variant>
      <vt:variant>
        <vt:lpwstr>https://www.cbc.ca/news/canada/opioid-overdose-crisis-street-drug-government-funding-9.6976562</vt:lpwstr>
      </vt:variant>
      <vt:variant>
        <vt:lpwstr/>
      </vt:variant>
      <vt:variant>
        <vt:i4>4128817</vt:i4>
      </vt:variant>
      <vt:variant>
        <vt:i4>93</vt:i4>
      </vt:variant>
      <vt:variant>
        <vt:i4>0</vt:i4>
      </vt:variant>
      <vt:variant>
        <vt:i4>5</vt:i4>
      </vt:variant>
      <vt:variant>
        <vt:lpwstr>https://drugpolicy.ca/when-law-and-policy-is-unjust-communities-have-no-choice-but-to-act/</vt:lpwstr>
      </vt:variant>
      <vt:variant>
        <vt:lpwstr/>
      </vt:variant>
      <vt:variant>
        <vt:i4>7078001</vt:i4>
      </vt:variant>
      <vt:variant>
        <vt:i4>90</vt:i4>
      </vt:variant>
      <vt:variant>
        <vt:i4>0</vt:i4>
      </vt:variant>
      <vt:variant>
        <vt:i4>5</vt:i4>
      </vt:variant>
      <vt:variant>
        <vt:lpwstr>https://www.ctvnews.ca/vancouver/article/2-arrested-in-vancouver-police-crackdown-on-unsanctioned-safe-drug-supply-program/</vt:lpwstr>
      </vt:variant>
      <vt:variant>
        <vt:lpwstr>:~:text=Asked%20whether%20police%20were%20concerned%20the%20seizure%20could%20result%20in%20drug%20users%20who%20rely%20on%20the%20compassion%20club's%20services%20taking%20more%20dangerous%20substances%2C%20Heard%20said%20%22absolutely.%22</vt:lpwstr>
      </vt:variant>
      <vt:variant>
        <vt:i4>196694</vt:i4>
      </vt:variant>
      <vt:variant>
        <vt:i4>87</vt:i4>
      </vt:variant>
      <vt:variant>
        <vt:i4>0</vt:i4>
      </vt:variant>
      <vt:variant>
        <vt:i4>5</vt:i4>
      </vt:variant>
      <vt:variant>
        <vt:lpwstr>https://www.sciencedirect.com/science/article/pii/S095539592400015X</vt:lpwstr>
      </vt:variant>
      <vt:variant>
        <vt:lpwstr>sec0001</vt:lpwstr>
      </vt:variant>
      <vt:variant>
        <vt:i4>5308501</vt:i4>
      </vt:variant>
      <vt:variant>
        <vt:i4>84</vt:i4>
      </vt:variant>
      <vt:variant>
        <vt:i4>0</vt:i4>
      </vt:variant>
      <vt:variant>
        <vt:i4>5</vt:i4>
      </vt:variant>
      <vt:variant>
        <vt:lpwstr>https://thetyee.ca/News/2025/12/02/What-Stake-DULF-Constitutional-Challenge/</vt:lpwstr>
      </vt:variant>
      <vt:variant>
        <vt:lpwstr/>
      </vt:variant>
      <vt:variant>
        <vt:i4>3342448</vt:i4>
      </vt:variant>
      <vt:variant>
        <vt:i4>81</vt:i4>
      </vt:variant>
      <vt:variant>
        <vt:i4>0</vt:i4>
      </vt:variant>
      <vt:variant>
        <vt:i4>5</vt:i4>
      </vt:variant>
      <vt:variant>
        <vt:lpwstr>https://dulf.ca/program-documents/</vt:lpwstr>
      </vt:variant>
      <vt:variant>
        <vt:lpwstr/>
      </vt:variant>
      <vt:variant>
        <vt:i4>3932204</vt:i4>
      </vt:variant>
      <vt:variant>
        <vt:i4>78</vt:i4>
      </vt:variant>
      <vt:variant>
        <vt:i4>0</vt:i4>
      </vt:variant>
      <vt:variant>
        <vt:i4>5</vt:i4>
      </vt:variant>
      <vt:variant>
        <vt:lpwstr>https://news.gov.bc.ca/releases/2016hlth0026-000568</vt:lpwstr>
      </vt:variant>
      <vt:variant>
        <vt:lpwstr/>
      </vt:variant>
      <vt:variant>
        <vt:i4>1966167</vt:i4>
      </vt:variant>
      <vt:variant>
        <vt:i4>75</vt:i4>
      </vt:variant>
      <vt:variant>
        <vt:i4>0</vt:i4>
      </vt:variant>
      <vt:variant>
        <vt:i4>5</vt:i4>
      </vt:variant>
      <vt:variant>
        <vt:lpwstr>https://www.canlii.org/en/bc/bcsc/doc/2025/2025bcsc2225/2025bcsc2225.html?resultId=e423a9f23a8c4d65bb1702ddca6391e4&amp;searchId=2026-01-31T12:36:16:936/09787b9b4f44489ea82148cbf5123c9d</vt:lpwstr>
      </vt:variant>
      <vt:variant>
        <vt:lpwstr/>
      </vt:variant>
      <vt:variant>
        <vt:i4>262151</vt:i4>
      </vt:variant>
      <vt:variant>
        <vt:i4>72</vt:i4>
      </vt:variant>
      <vt:variant>
        <vt:i4>0</vt:i4>
      </vt:variant>
      <vt:variant>
        <vt:i4>5</vt:i4>
      </vt:variant>
      <vt:variant>
        <vt:lpwstr>https://pubmed.ncbi.nlm.nih.gov/38211403/</vt:lpwstr>
      </vt:variant>
      <vt:variant>
        <vt:lpwstr/>
      </vt:variant>
      <vt:variant>
        <vt:i4>7077994</vt:i4>
      </vt:variant>
      <vt:variant>
        <vt:i4>69</vt:i4>
      </vt:variant>
      <vt:variant>
        <vt:i4>0</vt:i4>
      </vt:variant>
      <vt:variant>
        <vt:i4>5</vt:i4>
      </vt:variant>
      <vt:variant>
        <vt:lpwstr>https://www.ohchr.org/en/documents/thematic-reports/ahrc5453-human-rights-challenges-addressing-and-countering-all-aspects</vt:lpwstr>
      </vt:variant>
      <vt:variant>
        <vt:lpwstr/>
      </vt:variant>
      <vt:variant>
        <vt:i4>6422650</vt:i4>
      </vt:variant>
      <vt:variant>
        <vt:i4>66</vt:i4>
      </vt:variant>
      <vt:variant>
        <vt:i4>0</vt:i4>
      </vt:variant>
      <vt:variant>
        <vt:i4>5</vt:i4>
      </vt:variant>
      <vt:variant>
        <vt:lpwstr>https://www.canada.ca/en/health-canada/corporate/about-health-canada/public-engagement/external-advisory-bodies/expert-task-force-substance-use/reports/report-2-2021.html</vt:lpwstr>
      </vt:variant>
      <vt:variant>
        <vt:lpwstr/>
      </vt:variant>
      <vt:variant>
        <vt:i4>2424881</vt:i4>
      </vt:variant>
      <vt:variant>
        <vt:i4>63</vt:i4>
      </vt:variant>
      <vt:variant>
        <vt:i4>0</vt:i4>
      </vt:variant>
      <vt:variant>
        <vt:i4>5</vt:i4>
      </vt:variant>
      <vt:variant>
        <vt:lpwstr>https://www.cbc.ca/news/canada/opioid-overdose-crisis-street-drug-government-funding-9.6976562</vt:lpwstr>
      </vt:variant>
      <vt:variant>
        <vt:lpwstr/>
      </vt:variant>
      <vt:variant>
        <vt:i4>7077925</vt:i4>
      </vt:variant>
      <vt:variant>
        <vt:i4>60</vt:i4>
      </vt:variant>
      <vt:variant>
        <vt:i4>0</vt:i4>
      </vt:variant>
      <vt:variant>
        <vt:i4>5</vt:i4>
      </vt:variant>
      <vt:variant>
        <vt:lpwstr>https://drugpolicy.ca/about/publication/submission-to-the-canada-gazette-part-i-volume-158-number-22-controlled-substances-regulations/</vt:lpwstr>
      </vt:variant>
      <vt:variant>
        <vt:lpwstr/>
      </vt:variant>
      <vt:variant>
        <vt:i4>1507360</vt:i4>
      </vt:variant>
      <vt:variant>
        <vt:i4>57</vt:i4>
      </vt:variant>
      <vt:variant>
        <vt:i4>0</vt:i4>
      </vt:variant>
      <vt:variant>
        <vt:i4>5</vt:i4>
      </vt:variant>
      <vt:variant>
        <vt:lpwstr>https://www.unodc.org/unodc/en/commissions/CND/Mandate_Functions/conventions.html</vt:lpwstr>
      </vt:variant>
      <vt:variant>
        <vt:lpwstr/>
      </vt:variant>
      <vt:variant>
        <vt:i4>2752548</vt:i4>
      </vt:variant>
      <vt:variant>
        <vt:i4>54</vt:i4>
      </vt:variant>
      <vt:variant>
        <vt:i4>0</vt:i4>
      </vt:variant>
      <vt:variant>
        <vt:i4>5</vt:i4>
      </vt:variant>
      <vt:variant>
        <vt:lpwstr>https://drugpolicy.ca/resources/guides/racism/</vt:lpwstr>
      </vt:variant>
      <vt:variant>
        <vt:lpwstr/>
      </vt:variant>
      <vt:variant>
        <vt:i4>1310805</vt:i4>
      </vt:variant>
      <vt:variant>
        <vt:i4>51</vt:i4>
      </vt:variant>
      <vt:variant>
        <vt:i4>0</vt:i4>
      </vt:variant>
      <vt:variant>
        <vt:i4>5</vt:i4>
      </vt:variant>
      <vt:variant>
        <vt:lpwstr>https://www.ccsa.ca/sites/default/files/2024-11/CCENDU-Newsletter-Issue-2-en.pdf</vt:lpwstr>
      </vt:variant>
      <vt:variant>
        <vt:lpwstr/>
      </vt:variant>
      <vt:variant>
        <vt:i4>1310804</vt:i4>
      </vt:variant>
      <vt:variant>
        <vt:i4>48</vt:i4>
      </vt:variant>
      <vt:variant>
        <vt:i4>0</vt:i4>
      </vt:variant>
      <vt:variant>
        <vt:i4>5</vt:i4>
      </vt:variant>
      <vt:variant>
        <vt:lpwstr>https://www.ccsa.ca/sites/default/files/2025-01/CCENDU-Newsletter-Issue-3-en.pdf</vt:lpwstr>
      </vt:variant>
      <vt:variant>
        <vt:lpwstr/>
      </vt:variant>
      <vt:variant>
        <vt:i4>3211385</vt:i4>
      </vt:variant>
      <vt:variant>
        <vt:i4>45</vt:i4>
      </vt:variant>
      <vt:variant>
        <vt:i4>0</vt:i4>
      </vt:variant>
      <vt:variant>
        <vt:i4>5</vt:i4>
      </vt:variant>
      <vt:variant>
        <vt:lpwstr>https://drugpolicy.ca/about/publication/submission-to-health-canada-on-a-proposal-to-control-the-derivatives-and-analogues-of-4-piperidone-and-its-salts-under-the-controlled-drugs-and-substances-act/</vt:lpwstr>
      </vt:variant>
      <vt:variant>
        <vt:lpwstr/>
      </vt:variant>
      <vt:variant>
        <vt:i4>3276838</vt:i4>
      </vt:variant>
      <vt:variant>
        <vt:i4>42</vt:i4>
      </vt:variant>
      <vt:variant>
        <vt:i4>0</vt:i4>
      </vt:variant>
      <vt:variant>
        <vt:i4>5</vt:i4>
      </vt:variant>
      <vt:variant>
        <vt:lpwstr>https://www.ccsa.ca/sites/default/files/2020-04/CCSA-CCENDU-Adulterants-Contaminants-Co-occurring-Substances-in-Drugs-Canada-Report-2020-en.pdf</vt:lpwstr>
      </vt:variant>
      <vt:variant>
        <vt:lpwstr/>
      </vt:variant>
      <vt:variant>
        <vt:i4>1048642</vt:i4>
      </vt:variant>
      <vt:variant>
        <vt:i4>39</vt:i4>
      </vt:variant>
      <vt:variant>
        <vt:i4>0</vt:i4>
      </vt:variant>
      <vt:variant>
        <vt:i4>5</vt:i4>
      </vt:variant>
      <vt:variant>
        <vt:lpwstr>https://www.canada.ca/en/health-canada/services/health-concerns/controlled-substances-precursor-chemicals/drug-analysis-service.html</vt:lpwstr>
      </vt:variant>
      <vt:variant>
        <vt:lpwstr>drug</vt:lpwstr>
      </vt:variant>
      <vt:variant>
        <vt:i4>1835103</vt:i4>
      </vt:variant>
      <vt:variant>
        <vt:i4>36</vt:i4>
      </vt:variant>
      <vt:variant>
        <vt:i4>0</vt:i4>
      </vt:variant>
      <vt:variant>
        <vt:i4>5</vt:i4>
      </vt:variant>
      <vt:variant>
        <vt:lpwstr>https://www.catie.ca/prevention-in-focus/what-makes-canadas-illegal-drug-supply-dangerous</vt:lpwstr>
      </vt:variant>
      <vt:variant>
        <vt:lpwstr/>
      </vt:variant>
      <vt:variant>
        <vt:i4>2883623</vt:i4>
      </vt:variant>
      <vt:variant>
        <vt:i4>33</vt:i4>
      </vt:variant>
      <vt:variant>
        <vt:i4>0</vt:i4>
      </vt:variant>
      <vt:variant>
        <vt:i4>5</vt:i4>
      </vt:variant>
      <vt:variant>
        <vt:lpwstr>https://www150.statcan.gc.ca/n1/pub/75-006-x/2023001/article/00011-eng.htm</vt:lpwstr>
      </vt:variant>
      <vt:variant>
        <vt:lpwstr>:~:text=the%20prevalence%20of%20substance%20use%20disorders%20did%20not%20increase%20from%202012%20to%202022</vt:lpwstr>
      </vt:variant>
      <vt:variant>
        <vt:i4>852055</vt:i4>
      </vt:variant>
      <vt:variant>
        <vt:i4>30</vt:i4>
      </vt:variant>
      <vt:variant>
        <vt:i4>0</vt:i4>
      </vt:variant>
      <vt:variant>
        <vt:i4>5</vt:i4>
      </vt:variant>
      <vt:variant>
        <vt:lpwstr>https://www.sciencedirect.com/science/article/pii/S0955395925003184</vt:lpwstr>
      </vt:variant>
      <vt:variant>
        <vt:lpwstr>sec0001</vt:lpwstr>
      </vt:variant>
      <vt:variant>
        <vt:i4>6684769</vt:i4>
      </vt:variant>
      <vt:variant>
        <vt:i4>27</vt:i4>
      </vt:variant>
      <vt:variant>
        <vt:i4>0</vt:i4>
      </vt:variant>
      <vt:variant>
        <vt:i4>5</vt:i4>
      </vt:variant>
      <vt:variant>
        <vt:lpwstr>https://health-infobase.canada.ca/substance-related-harms/opioids-stimulants/graphs.html?ind=661&amp;unit=1</vt:lpwstr>
      </vt:variant>
      <vt:variant>
        <vt:lpwstr/>
      </vt:variant>
      <vt:variant>
        <vt:i4>65606</vt:i4>
      </vt:variant>
      <vt:variant>
        <vt:i4>24</vt:i4>
      </vt:variant>
      <vt:variant>
        <vt:i4>0</vt:i4>
      </vt:variant>
      <vt:variant>
        <vt:i4>5</vt:i4>
      </vt:variant>
      <vt:variant>
        <vt:lpwstr>https://www.sciencedirect.com/science/article/pii/S0955395925003184</vt:lpwstr>
      </vt:variant>
      <vt:variant>
        <vt:lpwstr>fig0001</vt:lpwstr>
      </vt:variant>
      <vt:variant>
        <vt:i4>1114207</vt:i4>
      </vt:variant>
      <vt:variant>
        <vt:i4>21</vt:i4>
      </vt:variant>
      <vt:variant>
        <vt:i4>0</vt:i4>
      </vt:variant>
      <vt:variant>
        <vt:i4>5</vt:i4>
      </vt:variant>
      <vt:variant>
        <vt:lpwstr>https://www.brainstreams.ca/news/beyond-the-overdose-a-brain-injury-lens-on-addiction-and-drug-policy-in-bc/</vt:lpwstr>
      </vt:variant>
      <vt:variant>
        <vt:lpwstr/>
      </vt:variant>
      <vt:variant>
        <vt:i4>1376348</vt:i4>
      </vt:variant>
      <vt:variant>
        <vt:i4>18</vt:i4>
      </vt:variant>
      <vt:variant>
        <vt:i4>0</vt:i4>
      </vt:variant>
      <vt:variant>
        <vt:i4>5</vt:i4>
      </vt:variant>
      <vt:variant>
        <vt:lpwstr>https://health-infobase.canada.ca/substance-related-harms/opioids-stimulants/</vt:lpwstr>
      </vt:variant>
      <vt:variant>
        <vt:lpwstr/>
      </vt:variant>
      <vt:variant>
        <vt:i4>7078007</vt:i4>
      </vt:variant>
      <vt:variant>
        <vt:i4>15</vt:i4>
      </vt:variant>
      <vt:variant>
        <vt:i4>0</vt:i4>
      </vt:variant>
      <vt:variant>
        <vt:i4>5</vt:i4>
      </vt:variant>
      <vt:variant>
        <vt:lpwstr>https://housingrights.ca/wp-content/uploads/Canada_ICCPR_Session145_CivilSocietySubmission_NRHN-WNHHN-CCHR_March2026_pdf.pdf</vt:lpwstr>
      </vt:variant>
      <vt:variant>
        <vt:lpwstr/>
      </vt:variant>
      <vt:variant>
        <vt:i4>2228262</vt:i4>
      </vt:variant>
      <vt:variant>
        <vt:i4>12</vt:i4>
      </vt:variant>
      <vt:variant>
        <vt:i4>0</vt:i4>
      </vt:variant>
      <vt:variant>
        <vt:i4>5</vt:i4>
      </vt:variant>
      <vt:variant>
        <vt:lpwstr>https://amnesty.ca/</vt:lpwstr>
      </vt:variant>
      <vt:variant>
        <vt:lpwstr/>
      </vt:variant>
      <vt:variant>
        <vt:i4>5046351</vt:i4>
      </vt:variant>
      <vt:variant>
        <vt:i4>9</vt:i4>
      </vt:variant>
      <vt:variant>
        <vt:i4>0</vt:i4>
      </vt:variant>
      <vt:variant>
        <vt:i4>5</vt:i4>
      </vt:variant>
      <vt:variant>
        <vt:lpwstr>https://trackinginjustice.ca/</vt:lpwstr>
      </vt:variant>
      <vt:variant>
        <vt:lpwstr/>
      </vt:variant>
      <vt:variant>
        <vt:i4>1638489</vt:i4>
      </vt:variant>
      <vt:variant>
        <vt:i4>6</vt:i4>
      </vt:variant>
      <vt:variant>
        <vt:i4>0</vt:i4>
      </vt:variant>
      <vt:variant>
        <vt:i4>5</vt:i4>
      </vt:variant>
      <vt:variant>
        <vt:lpwstr>https://www.hivlegalnetwork.ca/index.htm</vt:lpwstr>
      </vt:variant>
      <vt:variant>
        <vt:lpwstr/>
      </vt:variant>
      <vt:variant>
        <vt:i4>655449</vt:i4>
      </vt:variant>
      <vt:variant>
        <vt:i4>3</vt:i4>
      </vt:variant>
      <vt:variant>
        <vt:i4>0</vt:i4>
      </vt:variant>
      <vt:variant>
        <vt:i4>5</vt:i4>
      </vt:variant>
      <vt:variant>
        <vt:lpwstr>http://www.drugpolicy.ca/</vt:lpwstr>
      </vt:variant>
      <vt:variant>
        <vt:lpwstr/>
      </vt:variant>
      <vt:variant>
        <vt:i4>1572904</vt:i4>
      </vt:variant>
      <vt:variant>
        <vt:i4>0</vt:i4>
      </vt:variant>
      <vt:variant>
        <vt:i4>0</vt:i4>
      </vt:variant>
      <vt:variant>
        <vt:i4>5</vt:i4>
      </vt:variant>
      <vt:variant>
        <vt:lpwstr>mailto:cdpc@sfu.ca</vt:lpwstr>
      </vt:variant>
      <vt:variant>
        <vt:lpwstr/>
      </vt:variant>
      <vt:variant>
        <vt:i4>2031643</vt:i4>
      </vt:variant>
      <vt:variant>
        <vt:i4>93</vt:i4>
      </vt:variant>
      <vt:variant>
        <vt:i4>0</vt:i4>
      </vt:variant>
      <vt:variant>
        <vt:i4>5</vt:i4>
      </vt:variant>
      <vt:variant>
        <vt:lpwstr>https://odprn.ca/wp-content/uploads/2024/11/Estimating-the-Effects-of-Closing-Supervised-Consumption-Sites-in-Toronto.pdf</vt:lpwstr>
      </vt:variant>
      <vt:variant>
        <vt:lpwstr/>
      </vt:variant>
      <vt:variant>
        <vt:i4>2752547</vt:i4>
      </vt:variant>
      <vt:variant>
        <vt:i4>90</vt:i4>
      </vt:variant>
      <vt:variant>
        <vt:i4>0</vt:i4>
      </vt:variant>
      <vt:variant>
        <vt:i4>5</vt:i4>
      </vt:variant>
      <vt:variant>
        <vt:lpwstr>https://news.ontario.ca/en/release/1004955/ontario-protecting-communities-and-supporting-addiction-recovery-with-new-treatment-hubs</vt:lpwstr>
      </vt:variant>
      <vt:variant>
        <vt:lpwstr/>
      </vt:variant>
      <vt:variant>
        <vt:i4>3670057</vt:i4>
      </vt:variant>
      <vt:variant>
        <vt:i4>87</vt:i4>
      </vt:variant>
      <vt:variant>
        <vt:i4>0</vt:i4>
      </vt:variant>
      <vt:variant>
        <vt:i4>5</vt:i4>
      </vt:variant>
      <vt:variant>
        <vt:lpwstr>https://pmc.ncbi.nlm.nih.gov/articles/PMC12142985/</vt:lpwstr>
      </vt:variant>
      <vt:variant>
        <vt:lpwstr/>
      </vt:variant>
      <vt:variant>
        <vt:i4>5374025</vt:i4>
      </vt:variant>
      <vt:variant>
        <vt:i4>84</vt:i4>
      </vt:variant>
      <vt:variant>
        <vt:i4>0</vt:i4>
      </vt:variant>
      <vt:variant>
        <vt:i4>5</vt:i4>
      </vt:variant>
      <vt:variant>
        <vt:lpwstr>https://health-infobase.canada.ca/supervised-consumption-sites/</vt:lpwstr>
      </vt:variant>
      <vt:variant>
        <vt:lpwstr>a5</vt:lpwstr>
      </vt:variant>
      <vt:variant>
        <vt:i4>4915293</vt:i4>
      </vt:variant>
      <vt:variant>
        <vt:i4>81</vt:i4>
      </vt:variant>
      <vt:variant>
        <vt:i4>0</vt:i4>
      </vt:variant>
      <vt:variant>
        <vt:i4>5</vt:i4>
      </vt:variant>
      <vt:variant>
        <vt:lpwstr>https://www.ourcommons.ca/Content/Committee/441/HESA/Evidence/EV12924822/HESAEV104-E.PDF</vt:lpwstr>
      </vt:variant>
      <vt:variant>
        <vt:lpwstr/>
      </vt:variant>
      <vt:variant>
        <vt:i4>7536699</vt:i4>
      </vt:variant>
      <vt:variant>
        <vt:i4>78</vt:i4>
      </vt:variant>
      <vt:variant>
        <vt:i4>0</vt:i4>
      </vt:variant>
      <vt:variant>
        <vt:i4>5</vt:i4>
      </vt:variant>
      <vt:variant>
        <vt:lpwstr>https://www.westernstandard.news/news/bc-conservatives-accuse-ndp-of-betraying-richmond-residents-by-giving-controversial-supportive-housing-site-green-light/61995</vt:lpwstr>
      </vt:variant>
      <vt:variant>
        <vt:lpwstr/>
      </vt:variant>
      <vt:variant>
        <vt:i4>3211379</vt:i4>
      </vt:variant>
      <vt:variant>
        <vt:i4>75</vt:i4>
      </vt:variant>
      <vt:variant>
        <vt:i4>0</vt:i4>
      </vt:variant>
      <vt:variant>
        <vt:i4>5</vt:i4>
      </vt:variant>
      <vt:variant>
        <vt:lpwstr>https://globalnews.ca/news/10619667/pierre-poilievre-supervised-consumption-sites-drug-dens-close/</vt:lpwstr>
      </vt:variant>
      <vt:variant>
        <vt:lpwstr/>
      </vt:variant>
      <vt:variant>
        <vt:i4>2621481</vt:i4>
      </vt:variant>
      <vt:variant>
        <vt:i4>72</vt:i4>
      </vt:variant>
      <vt:variant>
        <vt:i4>0</vt:i4>
      </vt:variant>
      <vt:variant>
        <vt:i4>5</vt:i4>
      </vt:variant>
      <vt:variant>
        <vt:lpwstr>https://www.youtube.com/watch?v=DlFQmZsXZhI</vt:lpwstr>
      </vt:variant>
      <vt:variant>
        <vt:lpwstr/>
      </vt:variant>
      <vt:variant>
        <vt:i4>3145852</vt:i4>
      </vt:variant>
      <vt:variant>
        <vt:i4>69</vt:i4>
      </vt:variant>
      <vt:variant>
        <vt:i4>0</vt:i4>
      </vt:variant>
      <vt:variant>
        <vt:i4>5</vt:i4>
      </vt:variant>
      <vt:variant>
        <vt:lpwstr>https://www.cbc.ca/news/canada/british-columbia/supervised-consumption-site-scale-back-poilievre-1.7262063</vt:lpwstr>
      </vt:variant>
      <vt:variant>
        <vt:lpwstr/>
      </vt:variant>
      <vt:variant>
        <vt:i4>2359328</vt:i4>
      </vt:variant>
      <vt:variant>
        <vt:i4>66</vt:i4>
      </vt:variant>
      <vt:variant>
        <vt:i4>0</vt:i4>
      </vt:variant>
      <vt:variant>
        <vt:i4>5</vt:i4>
      </vt:variant>
      <vt:variant>
        <vt:lpwstr>https://news.gov.bc.ca/releases/2024PREM0043-001532</vt:lpwstr>
      </vt:variant>
      <vt:variant>
        <vt:lpwstr/>
      </vt:variant>
      <vt:variant>
        <vt:i4>6488101</vt:i4>
      </vt:variant>
      <vt:variant>
        <vt:i4>63</vt:i4>
      </vt:variant>
      <vt:variant>
        <vt:i4>0</vt:i4>
      </vt:variant>
      <vt:variant>
        <vt:i4>5</vt:i4>
      </vt:variant>
      <vt:variant>
        <vt:lpwstr>https://www.ccsa.ca/sites/default/files/2023-05/Accountability-in-Bed-Based-Addiction-Treatment.pdf</vt:lpwstr>
      </vt:variant>
      <vt:variant>
        <vt:lpwstr/>
      </vt:variant>
      <vt:variant>
        <vt:i4>7340064</vt:i4>
      </vt:variant>
      <vt:variant>
        <vt:i4>60</vt:i4>
      </vt:variant>
      <vt:variant>
        <vt:i4>0</vt:i4>
      </vt:variant>
      <vt:variant>
        <vt:i4>5</vt:i4>
      </vt:variant>
      <vt:variant>
        <vt:lpwstr>https://drugpolicy.ca/for-immediate-release-bc-supreme-court-rules-in-favour-of-harm-reduction-nurses-association-pauses-coming-into-force-of-bcs-public-drug-consumption-law/</vt:lpwstr>
      </vt:variant>
      <vt:variant>
        <vt:lpwstr/>
      </vt:variant>
      <vt:variant>
        <vt:i4>6357105</vt:i4>
      </vt:variant>
      <vt:variant>
        <vt:i4>57</vt:i4>
      </vt:variant>
      <vt:variant>
        <vt:i4>0</vt:i4>
      </vt:variant>
      <vt:variant>
        <vt:i4>5</vt:i4>
      </vt:variant>
      <vt:variant>
        <vt:lpwstr>https://www.sciencedirect.com/science/article/pii/S0955395924001634</vt:lpwstr>
      </vt:variant>
      <vt:variant>
        <vt:lpwstr/>
      </vt:variant>
      <vt:variant>
        <vt:i4>2949234</vt:i4>
      </vt:variant>
      <vt:variant>
        <vt:i4>54</vt:i4>
      </vt:variant>
      <vt:variant>
        <vt:i4>0</vt:i4>
      </vt:variant>
      <vt:variant>
        <vt:i4>5</vt:i4>
      </vt:variant>
      <vt:variant>
        <vt:lpwstr>https://kmb.camh.ca/eenet/resources/research-snapshot-study-findings-highlight-problems-with-british-columbia-s-2-5-gram-decriminalization-threshold-for-illegal-drugs</vt:lpwstr>
      </vt:variant>
      <vt:variant>
        <vt:lpwstr/>
      </vt:variant>
      <vt:variant>
        <vt:i4>3604514</vt:i4>
      </vt:variant>
      <vt:variant>
        <vt:i4>51</vt:i4>
      </vt:variant>
      <vt:variant>
        <vt:i4>0</vt:i4>
      </vt:variant>
      <vt:variant>
        <vt:i4>5</vt:i4>
      </vt:variant>
      <vt:variant>
        <vt:lpwstr>https://pmc.ncbi.nlm.nih.gov/articles/PMC12522839/</vt:lpwstr>
      </vt:variant>
      <vt:variant>
        <vt:lpwstr/>
      </vt:variant>
      <vt:variant>
        <vt:i4>4128817</vt:i4>
      </vt:variant>
      <vt:variant>
        <vt:i4>48</vt:i4>
      </vt:variant>
      <vt:variant>
        <vt:i4>0</vt:i4>
      </vt:variant>
      <vt:variant>
        <vt:i4>5</vt:i4>
      </vt:variant>
      <vt:variant>
        <vt:lpwstr>https://drugpolicy.ca/when-law-and-policy-is-unjust-communities-have-no-choice-but-to-act/</vt:lpwstr>
      </vt:variant>
      <vt:variant>
        <vt:lpwstr/>
      </vt:variant>
      <vt:variant>
        <vt:i4>262151</vt:i4>
      </vt:variant>
      <vt:variant>
        <vt:i4>45</vt:i4>
      </vt:variant>
      <vt:variant>
        <vt:i4>0</vt:i4>
      </vt:variant>
      <vt:variant>
        <vt:i4>5</vt:i4>
      </vt:variant>
      <vt:variant>
        <vt:lpwstr>https://pubmed.ncbi.nlm.nih.gov/38211403/</vt:lpwstr>
      </vt:variant>
      <vt:variant>
        <vt:lpwstr/>
      </vt:variant>
      <vt:variant>
        <vt:i4>3539043</vt:i4>
      </vt:variant>
      <vt:variant>
        <vt:i4>42</vt:i4>
      </vt:variant>
      <vt:variant>
        <vt:i4>0</vt:i4>
      </vt:variant>
      <vt:variant>
        <vt:i4>5</vt:i4>
      </vt:variant>
      <vt:variant>
        <vt:lpwstr>https://ajph.aphapublications.org/doi/10.2105/AJPH.2023.307291</vt:lpwstr>
      </vt:variant>
      <vt:variant>
        <vt:lpwstr/>
      </vt:variant>
      <vt:variant>
        <vt:i4>3539043</vt:i4>
      </vt:variant>
      <vt:variant>
        <vt:i4>39</vt:i4>
      </vt:variant>
      <vt:variant>
        <vt:i4>0</vt:i4>
      </vt:variant>
      <vt:variant>
        <vt:i4>5</vt:i4>
      </vt:variant>
      <vt:variant>
        <vt:lpwstr>https://ajph.aphapublications.org/doi/10.2105/AJPH.2023.307291</vt:lpwstr>
      </vt:variant>
      <vt:variant>
        <vt:lpwstr/>
      </vt:variant>
      <vt:variant>
        <vt:i4>6029365</vt:i4>
      </vt:variant>
      <vt:variant>
        <vt:i4>36</vt:i4>
      </vt:variant>
      <vt:variant>
        <vt:i4>0</vt:i4>
      </vt:variant>
      <vt:variant>
        <vt:i4>5</vt:i4>
      </vt:variant>
      <vt:variant>
        <vt:lpwstr>https://www.tdin.ca/res_documents/Drug Toxicity on Release.pdf</vt:lpwstr>
      </vt:variant>
      <vt:variant>
        <vt:lpwstr/>
      </vt:variant>
      <vt:variant>
        <vt:i4>4784196</vt:i4>
      </vt:variant>
      <vt:variant>
        <vt:i4>33</vt:i4>
      </vt:variant>
      <vt:variant>
        <vt:i4>0</vt:i4>
      </vt:variant>
      <vt:variant>
        <vt:i4>5</vt:i4>
      </vt:variant>
      <vt:variant>
        <vt:lpwstr>https://www.cmajopen.ca/content/9/3/E907</vt:lpwstr>
      </vt:variant>
      <vt:variant>
        <vt:lpwstr/>
      </vt:variant>
      <vt:variant>
        <vt:i4>3866681</vt:i4>
      </vt:variant>
      <vt:variant>
        <vt:i4>30</vt:i4>
      </vt:variant>
      <vt:variant>
        <vt:i4>0</vt:i4>
      </vt:variant>
      <vt:variant>
        <vt:i4>5</vt:i4>
      </vt:variant>
      <vt:variant>
        <vt:lpwstr>https://www.canada.ca/en/health-canada/services/publications/healthy-living/emergence-nitazenes-brorphine-canada-2019.html</vt:lpwstr>
      </vt:variant>
      <vt:variant>
        <vt:lpwstr/>
      </vt:variant>
      <vt:variant>
        <vt:i4>8257648</vt:i4>
      </vt:variant>
      <vt:variant>
        <vt:i4>27</vt:i4>
      </vt:variant>
      <vt:variant>
        <vt:i4>0</vt:i4>
      </vt:variant>
      <vt:variant>
        <vt:i4>5</vt:i4>
      </vt:variant>
      <vt:variant>
        <vt:lpwstr>https://www.canada.ca/content/dam/hc-sc/documents/services/publications/healthy-living/evolution-fentanyl-canada-11-years/evolution-fentanyl-canada-11-years-en.pdf</vt:lpwstr>
      </vt:variant>
      <vt:variant>
        <vt:lpwstr/>
      </vt:variant>
      <vt:variant>
        <vt:i4>1310805</vt:i4>
      </vt:variant>
      <vt:variant>
        <vt:i4>24</vt:i4>
      </vt:variant>
      <vt:variant>
        <vt:i4>0</vt:i4>
      </vt:variant>
      <vt:variant>
        <vt:i4>5</vt:i4>
      </vt:variant>
      <vt:variant>
        <vt:lpwstr>https://www.ccsa.ca/sites/default/files/2024-11/CCENDU-Newsletter-Issue-2-en.pdf</vt:lpwstr>
      </vt:variant>
      <vt:variant>
        <vt:lpwstr/>
      </vt:variant>
      <vt:variant>
        <vt:i4>1310804</vt:i4>
      </vt:variant>
      <vt:variant>
        <vt:i4>21</vt:i4>
      </vt:variant>
      <vt:variant>
        <vt:i4>0</vt:i4>
      </vt:variant>
      <vt:variant>
        <vt:i4>5</vt:i4>
      </vt:variant>
      <vt:variant>
        <vt:lpwstr>https://www.ccsa.ca/sites/default/files/2025-01/CCENDU-Newsletter-Issue-3-en.pdf</vt:lpwstr>
      </vt:variant>
      <vt:variant>
        <vt:lpwstr/>
      </vt:variant>
      <vt:variant>
        <vt:i4>1310801</vt:i4>
      </vt:variant>
      <vt:variant>
        <vt:i4>18</vt:i4>
      </vt:variant>
      <vt:variant>
        <vt:i4>0</vt:i4>
      </vt:variant>
      <vt:variant>
        <vt:i4>5</vt:i4>
      </vt:variant>
      <vt:variant>
        <vt:lpwstr>https://www.ccsa.ca/sites/default/files/2025-03/CCENDU-Newsletter-Issue-4-en.pdf</vt:lpwstr>
      </vt:variant>
      <vt:variant>
        <vt:lpwstr/>
      </vt:variant>
      <vt:variant>
        <vt:i4>6881333</vt:i4>
      </vt:variant>
      <vt:variant>
        <vt:i4>15</vt:i4>
      </vt:variant>
      <vt:variant>
        <vt:i4>0</vt:i4>
      </vt:variant>
      <vt:variant>
        <vt:i4>5</vt:i4>
      </vt:variant>
      <vt:variant>
        <vt:lpwstr>https://drugchecking.community/reports/</vt:lpwstr>
      </vt:variant>
      <vt:variant>
        <vt:lpwstr/>
      </vt:variant>
      <vt:variant>
        <vt:i4>1114115</vt:i4>
      </vt:variant>
      <vt:variant>
        <vt:i4>12</vt:i4>
      </vt:variant>
      <vt:variant>
        <vt:i4>0</vt:i4>
      </vt:variant>
      <vt:variant>
        <vt:i4>5</vt:i4>
      </vt:variant>
      <vt:variant>
        <vt:lpwstr>https://health-infobase.canada.ca/canadian-drug-and-substance-watch/</vt:lpwstr>
      </vt:variant>
      <vt:variant>
        <vt:lpwstr/>
      </vt:variant>
      <vt:variant>
        <vt:i4>3932209</vt:i4>
      </vt:variant>
      <vt:variant>
        <vt:i4>9</vt:i4>
      </vt:variant>
      <vt:variant>
        <vt:i4>0</vt:i4>
      </vt:variant>
      <vt:variant>
        <vt:i4>5</vt:i4>
      </vt:variant>
      <vt:variant>
        <vt:lpwstr>https://www.ourcommons.ca/Content/Committee/432/SECU/Reports/RP11434998/securp06/securp06-e.pdf</vt:lpwstr>
      </vt:variant>
      <vt:variant>
        <vt:lpwstr/>
      </vt:variant>
      <vt:variant>
        <vt:i4>2883704</vt:i4>
      </vt:variant>
      <vt:variant>
        <vt:i4>6</vt:i4>
      </vt:variant>
      <vt:variant>
        <vt:i4>0</vt:i4>
      </vt:variant>
      <vt:variant>
        <vt:i4>5</vt:i4>
      </vt:variant>
      <vt:variant>
        <vt:lpwstr>https://www.canada.ca/en/department-justice/news/2021/12/rooting-out-systemic-racism-is-key-to-a-fair-and-effective-justice-system.html</vt:lpwstr>
      </vt:variant>
      <vt:variant>
        <vt:lpwstr/>
      </vt:variant>
      <vt:variant>
        <vt:i4>5046336</vt:i4>
      </vt:variant>
      <vt:variant>
        <vt:i4>3</vt:i4>
      </vt:variant>
      <vt:variant>
        <vt:i4>0</vt:i4>
      </vt:variant>
      <vt:variant>
        <vt:i4>5</vt:i4>
      </vt:variant>
      <vt:variant>
        <vt:lpwstr>https://ccla.org/wp-content/uploads/2021/12/Anti-Black-Racism-Fact-Sheet-2021.pdf</vt:lpwstr>
      </vt:variant>
      <vt:variant>
        <vt:lpwstr/>
      </vt:variant>
      <vt:variant>
        <vt:i4>2752548</vt:i4>
      </vt:variant>
      <vt:variant>
        <vt:i4>0</vt:i4>
      </vt:variant>
      <vt:variant>
        <vt:i4>0</vt:i4>
      </vt:variant>
      <vt:variant>
        <vt:i4>5</vt:i4>
      </vt:variant>
      <vt:variant>
        <vt:lpwstr>https://drugpolicy.ca/resources/guides/racism/</vt:lpwstr>
      </vt:variant>
      <vt:variant>
        <vt:lpwstr/>
      </vt:variant>
      <vt:variant>
        <vt:i4>3670057</vt:i4>
      </vt:variant>
      <vt:variant>
        <vt:i4>192</vt:i4>
      </vt:variant>
      <vt:variant>
        <vt:i4>0</vt:i4>
      </vt:variant>
      <vt:variant>
        <vt:i4>5</vt:i4>
      </vt:variant>
      <vt:variant>
        <vt:lpwstr>https://pmc.ncbi.nlm.nih.gov/articles/PMC12142985/</vt:lpwstr>
      </vt:variant>
      <vt:variant>
        <vt:lpwstr/>
      </vt:variant>
      <vt:variant>
        <vt:i4>327755</vt:i4>
      </vt:variant>
      <vt:variant>
        <vt:i4>189</vt:i4>
      </vt:variant>
      <vt:variant>
        <vt:i4>0</vt:i4>
      </vt:variant>
      <vt:variant>
        <vt:i4>5</vt:i4>
      </vt:variant>
      <vt:variant>
        <vt:lpwstr>https://odprn.ca/wp-content/uploads/2024/11/OCC_Opioid-Mortality-Summary-2024_Q2-October-2024.pdf</vt:lpwstr>
      </vt:variant>
      <vt:variant>
        <vt:lpwstr/>
      </vt:variant>
      <vt:variant>
        <vt:i4>7864372</vt:i4>
      </vt:variant>
      <vt:variant>
        <vt:i4>186</vt:i4>
      </vt:variant>
      <vt:variant>
        <vt:i4>0</vt:i4>
      </vt:variant>
      <vt:variant>
        <vt:i4>5</vt:i4>
      </vt:variant>
      <vt:variant>
        <vt:lpwstr>https://www.sciencedirect.com/science/article/pii/S095539592300244X?via%3Dihub</vt:lpwstr>
      </vt:variant>
      <vt:variant>
        <vt:lpwstr/>
      </vt:variant>
      <vt:variant>
        <vt:i4>6881398</vt:i4>
      </vt:variant>
      <vt:variant>
        <vt:i4>183</vt:i4>
      </vt:variant>
      <vt:variant>
        <vt:i4>0</vt:i4>
      </vt:variant>
      <vt:variant>
        <vt:i4>5</vt:i4>
      </vt:variant>
      <vt:variant>
        <vt:lpwstr>https://www.sciencedirect.com/science/article/pii/S0376871624001960</vt:lpwstr>
      </vt:variant>
      <vt:variant>
        <vt:lpwstr/>
      </vt:variant>
      <vt:variant>
        <vt:i4>2162797</vt:i4>
      </vt:variant>
      <vt:variant>
        <vt:i4>180</vt:i4>
      </vt:variant>
      <vt:variant>
        <vt:i4>0</vt:i4>
      </vt:variant>
      <vt:variant>
        <vt:i4>5</vt:i4>
      </vt:variant>
      <vt:variant>
        <vt:lpwstr>https://www.sciencedirect.com/science/article/abs/pii/S037687162030243X</vt:lpwstr>
      </vt:variant>
      <vt:variant>
        <vt:lpwstr/>
      </vt:variant>
      <vt:variant>
        <vt:i4>3735652</vt:i4>
      </vt:variant>
      <vt:variant>
        <vt:i4>177</vt:i4>
      </vt:variant>
      <vt:variant>
        <vt:i4>0</vt:i4>
      </vt:variant>
      <vt:variant>
        <vt:i4>5</vt:i4>
      </vt:variant>
      <vt:variant>
        <vt:lpwstr>https://www.thelancet.com/journals/lanam/article/PIIS2667-193X(25)00032-8/fulltext</vt:lpwstr>
      </vt:variant>
      <vt:variant>
        <vt:lpwstr/>
      </vt:variant>
      <vt:variant>
        <vt:i4>262234</vt:i4>
      </vt:variant>
      <vt:variant>
        <vt:i4>174</vt:i4>
      </vt:variant>
      <vt:variant>
        <vt:i4>0</vt:i4>
      </vt:variant>
      <vt:variant>
        <vt:i4>5</vt:i4>
      </vt:variant>
      <vt:variant>
        <vt:lpwstr>https://jamanetwork.com/journals/jamanetworkopen/fullarticle/2841824</vt:lpwstr>
      </vt:variant>
      <vt:variant>
        <vt:lpwstr/>
      </vt:variant>
      <vt:variant>
        <vt:i4>6029376</vt:i4>
      </vt:variant>
      <vt:variant>
        <vt:i4>171</vt:i4>
      </vt:variant>
      <vt:variant>
        <vt:i4>0</vt:i4>
      </vt:variant>
      <vt:variant>
        <vt:i4>5</vt:i4>
      </vt:variant>
      <vt:variant>
        <vt:lpwstr>https://www.cbc.ca/news/canada/toronto/legal-challenge-ontario-law-supervised-consumption-sites-free-to-relocate</vt:lpwstr>
      </vt:variant>
      <vt:variant>
        <vt:lpwstr/>
      </vt:variant>
      <vt:variant>
        <vt:i4>4653106</vt:i4>
      </vt:variant>
      <vt:variant>
        <vt:i4>168</vt:i4>
      </vt:variant>
      <vt:variant>
        <vt:i4>0</vt:i4>
      </vt:variant>
      <vt:variant>
        <vt:i4>5</vt:i4>
      </vt:variant>
      <vt:variant>
        <vt:lpwstr>https://www.publicationsduquebec.gouv.qc.ca/fileadmin/Fichiers_client/lois_et_reglements/LoisAnnuelles/en/2025/2025C34A.PDF</vt:lpwstr>
      </vt:variant>
      <vt:variant>
        <vt:lpwstr/>
      </vt:variant>
      <vt:variant>
        <vt:i4>6881404</vt:i4>
      </vt:variant>
      <vt:variant>
        <vt:i4>165</vt:i4>
      </vt:variant>
      <vt:variant>
        <vt:i4>0</vt:i4>
      </vt:variant>
      <vt:variant>
        <vt:i4>5</vt:i4>
      </vt:variant>
      <vt:variant>
        <vt:lpwstr>https://www.ontario.ca/laws/statute/24c27a</vt:lpwstr>
      </vt:variant>
      <vt:variant>
        <vt:lpwstr/>
      </vt:variant>
      <vt:variant>
        <vt:i4>1835008</vt:i4>
      </vt:variant>
      <vt:variant>
        <vt:i4>162</vt:i4>
      </vt:variant>
      <vt:variant>
        <vt:i4>0</vt:i4>
      </vt:variant>
      <vt:variant>
        <vt:i4>5</vt:i4>
      </vt:variant>
      <vt:variant>
        <vt:lpwstr>https://www.canada.ca/en/health-canada/services/substance-use/supervised-consumption-sites/explained.html</vt:lpwstr>
      </vt:variant>
      <vt:variant>
        <vt:lpwstr/>
      </vt:variant>
      <vt:variant>
        <vt:i4>3080231</vt:i4>
      </vt:variant>
      <vt:variant>
        <vt:i4>159</vt:i4>
      </vt:variant>
      <vt:variant>
        <vt:i4>0</vt:i4>
      </vt:variant>
      <vt:variant>
        <vt:i4>5</vt:i4>
      </vt:variant>
      <vt:variant>
        <vt:lpwstr>https://www.ourcommons.ca/committees/en/HESA/StudyActivity?studyActivityId=12437048</vt:lpwstr>
      </vt:variant>
      <vt:variant>
        <vt:lpwstr/>
      </vt:variant>
      <vt:variant>
        <vt:i4>8192106</vt:i4>
      </vt:variant>
      <vt:variant>
        <vt:i4>156</vt:i4>
      </vt:variant>
      <vt:variant>
        <vt:i4>0</vt:i4>
      </vt:variant>
      <vt:variant>
        <vt:i4>5</vt:i4>
      </vt:variant>
      <vt:variant>
        <vt:lpwstr>https://www.aclrc.com/blog/albertas-compassionate-intervention-act-and-charter-rights/</vt:lpwstr>
      </vt:variant>
      <vt:variant>
        <vt:lpwstr/>
      </vt:variant>
      <vt:variant>
        <vt:i4>5308441</vt:i4>
      </vt:variant>
      <vt:variant>
        <vt:i4>153</vt:i4>
      </vt:variant>
      <vt:variant>
        <vt:i4>0</vt:i4>
      </vt:variant>
      <vt:variant>
        <vt:i4>5</vt:i4>
      </vt:variant>
      <vt:variant>
        <vt:lpwstr>https://www.canlii.org/en/ab/laws/stat/sa-2025-c-c-21.5/latest/sa-2025-c-c-21.5.html</vt:lpwstr>
      </vt:variant>
      <vt:variant>
        <vt:lpwstr/>
      </vt:variant>
      <vt:variant>
        <vt:i4>3932194</vt:i4>
      </vt:variant>
      <vt:variant>
        <vt:i4>150</vt:i4>
      </vt:variant>
      <vt:variant>
        <vt:i4>0</vt:i4>
      </vt:variant>
      <vt:variant>
        <vt:i4>5</vt:i4>
      </vt:variant>
      <vt:variant>
        <vt:lpwstr>https://pmc.ncbi.nlm.nih.gov/articles/PMC12638111/</vt:lpwstr>
      </vt:variant>
      <vt:variant>
        <vt:lpwstr/>
      </vt:variant>
      <vt:variant>
        <vt:i4>5308490</vt:i4>
      </vt:variant>
      <vt:variant>
        <vt:i4>147</vt:i4>
      </vt:variant>
      <vt:variant>
        <vt:i4>0</vt:i4>
      </vt:variant>
      <vt:variant>
        <vt:i4>5</vt:i4>
      </vt:variant>
      <vt:variant>
        <vt:lpwstr>https://www.alberta.ca/providing-life-saving-treatment-for-substance-abuse-and-addiction</vt:lpwstr>
      </vt:variant>
      <vt:variant>
        <vt:lpwstr/>
      </vt:variant>
      <vt:variant>
        <vt:i4>1900619</vt:i4>
      </vt:variant>
      <vt:variant>
        <vt:i4>144</vt:i4>
      </vt:variant>
      <vt:variant>
        <vt:i4>0</vt:i4>
      </vt:variant>
      <vt:variant>
        <vt:i4>5</vt:i4>
      </vt:variant>
      <vt:variant>
        <vt:lpwstr>https://journals.sagepub.com/doi/abs/10.1177/1073110520979383</vt:lpwstr>
      </vt:variant>
      <vt:variant>
        <vt:lpwstr/>
      </vt:variant>
      <vt:variant>
        <vt:i4>2359328</vt:i4>
      </vt:variant>
      <vt:variant>
        <vt:i4>141</vt:i4>
      </vt:variant>
      <vt:variant>
        <vt:i4>0</vt:i4>
      </vt:variant>
      <vt:variant>
        <vt:i4>5</vt:i4>
      </vt:variant>
      <vt:variant>
        <vt:lpwstr>https://news.gov.bc.ca/releases/2024PREM0043-001532</vt:lpwstr>
      </vt:variant>
      <vt:variant>
        <vt:lpwstr/>
      </vt:variant>
      <vt:variant>
        <vt:i4>8323124</vt:i4>
      </vt:variant>
      <vt:variant>
        <vt:i4>138</vt:i4>
      </vt:variant>
      <vt:variant>
        <vt:i4>0</vt:i4>
      </vt:variant>
      <vt:variant>
        <vt:i4>5</vt:i4>
      </vt:variant>
      <vt:variant>
        <vt:lpwstr>https://calgaryherald.com/news/politics/alberta-build-mandatory-drug-treatment-centres-calgary</vt:lpwstr>
      </vt:variant>
      <vt:variant>
        <vt:lpwstr/>
      </vt:variant>
      <vt:variant>
        <vt:i4>7471231</vt:i4>
      </vt:variant>
      <vt:variant>
        <vt:i4>135</vt:i4>
      </vt:variant>
      <vt:variant>
        <vt:i4>0</vt:i4>
      </vt:variant>
      <vt:variant>
        <vt:i4>5</vt:i4>
      </vt:variant>
      <vt:variant>
        <vt:lpwstr>https://www.cbc.ca/news/canada/private-addiction-treatment-centres-unregulated-danger-9.6948952</vt:lpwstr>
      </vt:variant>
      <vt:variant>
        <vt:lpwstr/>
      </vt:variant>
      <vt:variant>
        <vt:i4>6750263</vt:i4>
      </vt:variant>
      <vt:variant>
        <vt:i4>132</vt:i4>
      </vt:variant>
      <vt:variant>
        <vt:i4>0</vt:i4>
      </vt:variant>
      <vt:variant>
        <vt:i4>5</vt:i4>
      </vt:variant>
      <vt:variant>
        <vt:lpwstr>https://drugpolicy.ca/our-work/addiction-treatment-position-statement/</vt:lpwstr>
      </vt:variant>
      <vt:variant>
        <vt:lpwstr/>
      </vt:variant>
      <vt:variant>
        <vt:i4>2293878</vt:i4>
      </vt:variant>
      <vt:variant>
        <vt:i4>129</vt:i4>
      </vt:variant>
      <vt:variant>
        <vt:i4>0</vt:i4>
      </vt:variant>
      <vt:variant>
        <vt:i4>5</vt:i4>
      </vt:variant>
      <vt:variant>
        <vt:lpwstr>https://www.cbc.ca/news/canada/edmonton/alberta-involuntary-treatment-centres-addictions-1.7467178</vt:lpwstr>
      </vt:variant>
      <vt:variant>
        <vt:lpwstr/>
      </vt:variant>
      <vt:variant>
        <vt:i4>4259869</vt:i4>
      </vt:variant>
      <vt:variant>
        <vt:i4>126</vt:i4>
      </vt:variant>
      <vt:variant>
        <vt:i4>0</vt:i4>
      </vt:variant>
      <vt:variant>
        <vt:i4>5</vt:i4>
      </vt:variant>
      <vt:variant>
        <vt:lpwstr>https://www.canlii.org/en/bc/bcsc/doc/2023/2023bcsc2290/2023bcsc2290.html</vt:lpwstr>
      </vt:variant>
      <vt:variant>
        <vt:lpwstr/>
      </vt:variant>
      <vt:variant>
        <vt:i4>6160405</vt:i4>
      </vt:variant>
      <vt:variant>
        <vt:i4>123</vt:i4>
      </vt:variant>
      <vt:variant>
        <vt:i4>0</vt:i4>
      </vt:variant>
      <vt:variant>
        <vt:i4>5</vt:i4>
      </vt:variant>
      <vt:variant>
        <vt:lpwstr>https://drugpolicy.ca/about/publication/submission-to-the-united-nations-high-commissioner-for-human-rights/</vt:lpwstr>
      </vt:variant>
      <vt:variant>
        <vt:lpwstr/>
      </vt:variant>
      <vt:variant>
        <vt:i4>7078007</vt:i4>
      </vt:variant>
      <vt:variant>
        <vt:i4>120</vt:i4>
      </vt:variant>
      <vt:variant>
        <vt:i4>0</vt:i4>
      </vt:variant>
      <vt:variant>
        <vt:i4>5</vt:i4>
      </vt:variant>
      <vt:variant>
        <vt:lpwstr>https://housingrights.ca/wp-content/uploads/Canada_ICCPR_Session145_CivilSocietySubmission_NRHN-WNHHN-CCHR_March2026_pdf.pdf</vt:lpwstr>
      </vt:variant>
      <vt:variant>
        <vt:lpwstr/>
      </vt:variant>
      <vt:variant>
        <vt:i4>6881404</vt:i4>
      </vt:variant>
      <vt:variant>
        <vt:i4>117</vt:i4>
      </vt:variant>
      <vt:variant>
        <vt:i4>0</vt:i4>
      </vt:variant>
      <vt:variant>
        <vt:i4>5</vt:i4>
      </vt:variant>
      <vt:variant>
        <vt:lpwstr>https://www.ontario.ca/laws/statute/24c27a</vt:lpwstr>
      </vt:variant>
      <vt:variant>
        <vt:lpwstr/>
      </vt:variant>
      <vt:variant>
        <vt:i4>7471145</vt:i4>
      </vt:variant>
      <vt:variant>
        <vt:i4>114</vt:i4>
      </vt:variant>
      <vt:variant>
        <vt:i4>0</vt:i4>
      </vt:variant>
      <vt:variant>
        <vt:i4>5</vt:i4>
      </vt:variant>
      <vt:variant>
        <vt:lpwstr>https://www.canada.ca/en/health-canada/news/2024/05/statement-from-the-minister-of-mental-health-and-addictions-and-associate-minister-of-health0.html</vt:lpwstr>
      </vt:variant>
      <vt:variant>
        <vt:lpwstr/>
      </vt:variant>
      <vt:variant>
        <vt:i4>5767190</vt:i4>
      </vt:variant>
      <vt:variant>
        <vt:i4>111</vt:i4>
      </vt:variant>
      <vt:variant>
        <vt:i4>0</vt:i4>
      </vt:variant>
      <vt:variant>
        <vt:i4>5</vt:i4>
      </vt:variant>
      <vt:variant>
        <vt:lpwstr>https://drugpolicy.ca/bc-revives-criminalization/</vt:lpwstr>
      </vt:variant>
      <vt:variant>
        <vt:lpwstr/>
      </vt:variant>
      <vt:variant>
        <vt:i4>7471192</vt:i4>
      </vt:variant>
      <vt:variant>
        <vt:i4>108</vt:i4>
      </vt:variant>
      <vt:variant>
        <vt:i4>0</vt:i4>
      </vt:variant>
      <vt:variant>
        <vt:i4>5</vt:i4>
      </vt:variant>
      <vt:variant>
        <vt:lpwstr>https://www.dal.ca/news/media/media-releases/2025/04/14/media_release__study_finds_drug_decriminalization_in_british_columbia_linked_to_significant_reduction_in_criminal_justice_involvement.html</vt:lpwstr>
      </vt:variant>
      <vt:variant>
        <vt:lpwstr/>
      </vt:variant>
      <vt:variant>
        <vt:i4>7274543</vt:i4>
      </vt:variant>
      <vt:variant>
        <vt:i4>105</vt:i4>
      </vt:variant>
      <vt:variant>
        <vt:i4>0</vt:i4>
      </vt:variant>
      <vt:variant>
        <vt:i4>5</vt:i4>
      </vt:variant>
      <vt:variant>
        <vt:lpwstr>https://www2.gov.bc.ca/assets/gov/overdose-awareness/data_report_to_health_canada_august_2025.pdf</vt:lpwstr>
      </vt:variant>
      <vt:variant>
        <vt:lpwstr/>
      </vt:variant>
      <vt:variant>
        <vt:i4>5111816</vt:i4>
      </vt:variant>
      <vt:variant>
        <vt:i4>102</vt:i4>
      </vt:variant>
      <vt:variant>
        <vt:i4>0</vt:i4>
      </vt:variant>
      <vt:variant>
        <vt:i4>5</vt:i4>
      </vt:variant>
      <vt:variant>
        <vt:lpwstr>https://www2.gov.bc.ca/assets/gov/health/about-bc-s-health-care-system/office-of-the-provincial-health-officer/reports-publications/special-reports/stopping-the-harm-report.pdf</vt:lpwstr>
      </vt:variant>
      <vt:variant>
        <vt:lpwstr/>
      </vt:variant>
      <vt:variant>
        <vt:i4>458840</vt:i4>
      </vt:variant>
      <vt:variant>
        <vt:i4>99</vt:i4>
      </vt:variant>
      <vt:variant>
        <vt:i4>0</vt:i4>
      </vt:variant>
      <vt:variant>
        <vt:i4>5</vt:i4>
      </vt:variant>
      <vt:variant>
        <vt:lpwstr>https://www.bccdc.ca/health-info/prevention-public-health/decriminalization-in-bc</vt:lpwstr>
      </vt:variant>
      <vt:variant>
        <vt:lpwstr/>
      </vt:variant>
      <vt:variant>
        <vt:i4>4522060</vt:i4>
      </vt:variant>
      <vt:variant>
        <vt:i4>96</vt:i4>
      </vt:variant>
      <vt:variant>
        <vt:i4>0</vt:i4>
      </vt:variant>
      <vt:variant>
        <vt:i4>5</vt:i4>
      </vt:variant>
      <vt:variant>
        <vt:lpwstr>https://www.talkingdrugs.org/drug-decriminalisation/</vt:lpwstr>
      </vt:variant>
      <vt:variant>
        <vt:lpwstr/>
      </vt:variant>
      <vt:variant>
        <vt:i4>524348</vt:i4>
      </vt:variant>
      <vt:variant>
        <vt:i4>93</vt:i4>
      </vt:variant>
      <vt:variant>
        <vt:i4>0</vt:i4>
      </vt:variant>
      <vt:variant>
        <vt:i4>5</vt:i4>
      </vt:variant>
      <vt:variant>
        <vt:lpwstr>https://ccprcentre.org/files/media/ICCPR_easy_to_read_commentary_WEB.pdf</vt:lpwstr>
      </vt:variant>
      <vt:variant>
        <vt:lpwstr/>
      </vt:variant>
      <vt:variant>
        <vt:i4>2424881</vt:i4>
      </vt:variant>
      <vt:variant>
        <vt:i4>90</vt:i4>
      </vt:variant>
      <vt:variant>
        <vt:i4>0</vt:i4>
      </vt:variant>
      <vt:variant>
        <vt:i4>5</vt:i4>
      </vt:variant>
      <vt:variant>
        <vt:lpwstr>https://www.cbc.ca/news/canada/opioid-overdose-crisis-street-drug-government-funding-9.6976562</vt:lpwstr>
      </vt:variant>
      <vt:variant>
        <vt:lpwstr/>
      </vt:variant>
      <vt:variant>
        <vt:i4>4128817</vt:i4>
      </vt:variant>
      <vt:variant>
        <vt:i4>87</vt:i4>
      </vt:variant>
      <vt:variant>
        <vt:i4>0</vt:i4>
      </vt:variant>
      <vt:variant>
        <vt:i4>5</vt:i4>
      </vt:variant>
      <vt:variant>
        <vt:lpwstr>https://drugpolicy.ca/when-law-and-policy-is-unjust-communities-have-no-choice-but-to-act/</vt:lpwstr>
      </vt:variant>
      <vt:variant>
        <vt:lpwstr/>
      </vt:variant>
      <vt:variant>
        <vt:i4>7078001</vt:i4>
      </vt:variant>
      <vt:variant>
        <vt:i4>84</vt:i4>
      </vt:variant>
      <vt:variant>
        <vt:i4>0</vt:i4>
      </vt:variant>
      <vt:variant>
        <vt:i4>5</vt:i4>
      </vt:variant>
      <vt:variant>
        <vt:lpwstr>https://www.ctvnews.ca/vancouver/article/2-arrested-in-vancouver-police-crackdown-on-unsanctioned-safe-drug-supply-program/</vt:lpwstr>
      </vt:variant>
      <vt:variant>
        <vt:lpwstr>:~:text=Asked%20whether%20police%20were%20concerned%20the%20seizure%20could%20result%20in%20drug%20users%20who%20rely%20on%20the%20compassion%20club's%20services%20taking%20more%20dangerous%20substances%2C%20Heard%20said%20%22absolutely.%22</vt:lpwstr>
      </vt:variant>
      <vt:variant>
        <vt:i4>196694</vt:i4>
      </vt:variant>
      <vt:variant>
        <vt:i4>81</vt:i4>
      </vt:variant>
      <vt:variant>
        <vt:i4>0</vt:i4>
      </vt:variant>
      <vt:variant>
        <vt:i4>5</vt:i4>
      </vt:variant>
      <vt:variant>
        <vt:lpwstr>https://www.sciencedirect.com/science/article/pii/S095539592400015X</vt:lpwstr>
      </vt:variant>
      <vt:variant>
        <vt:lpwstr>sec0001</vt:lpwstr>
      </vt:variant>
      <vt:variant>
        <vt:i4>5308501</vt:i4>
      </vt:variant>
      <vt:variant>
        <vt:i4>78</vt:i4>
      </vt:variant>
      <vt:variant>
        <vt:i4>0</vt:i4>
      </vt:variant>
      <vt:variant>
        <vt:i4>5</vt:i4>
      </vt:variant>
      <vt:variant>
        <vt:lpwstr>https://thetyee.ca/News/2025/12/02/What-Stake-DULF-Constitutional-Challenge/</vt:lpwstr>
      </vt:variant>
      <vt:variant>
        <vt:lpwstr/>
      </vt:variant>
      <vt:variant>
        <vt:i4>3342448</vt:i4>
      </vt:variant>
      <vt:variant>
        <vt:i4>75</vt:i4>
      </vt:variant>
      <vt:variant>
        <vt:i4>0</vt:i4>
      </vt:variant>
      <vt:variant>
        <vt:i4>5</vt:i4>
      </vt:variant>
      <vt:variant>
        <vt:lpwstr>https://dulf.ca/program-documents/</vt:lpwstr>
      </vt:variant>
      <vt:variant>
        <vt:lpwstr/>
      </vt:variant>
      <vt:variant>
        <vt:i4>3932204</vt:i4>
      </vt:variant>
      <vt:variant>
        <vt:i4>72</vt:i4>
      </vt:variant>
      <vt:variant>
        <vt:i4>0</vt:i4>
      </vt:variant>
      <vt:variant>
        <vt:i4>5</vt:i4>
      </vt:variant>
      <vt:variant>
        <vt:lpwstr>https://news.gov.bc.ca/releases/2016hlth0026-000568</vt:lpwstr>
      </vt:variant>
      <vt:variant>
        <vt:lpwstr/>
      </vt:variant>
      <vt:variant>
        <vt:i4>1966167</vt:i4>
      </vt:variant>
      <vt:variant>
        <vt:i4>69</vt:i4>
      </vt:variant>
      <vt:variant>
        <vt:i4>0</vt:i4>
      </vt:variant>
      <vt:variant>
        <vt:i4>5</vt:i4>
      </vt:variant>
      <vt:variant>
        <vt:lpwstr>https://www.canlii.org/en/bc/bcsc/doc/2025/2025bcsc2225/2025bcsc2225.html?resultId=e423a9f23a8c4d65bb1702ddca6391e4&amp;searchId=2026-01-31T12:36:16:936/09787b9b4f44489ea82148cbf5123c9d</vt:lpwstr>
      </vt:variant>
      <vt:variant>
        <vt:lpwstr/>
      </vt:variant>
      <vt:variant>
        <vt:i4>262151</vt:i4>
      </vt:variant>
      <vt:variant>
        <vt:i4>66</vt:i4>
      </vt:variant>
      <vt:variant>
        <vt:i4>0</vt:i4>
      </vt:variant>
      <vt:variant>
        <vt:i4>5</vt:i4>
      </vt:variant>
      <vt:variant>
        <vt:lpwstr>https://pubmed.ncbi.nlm.nih.gov/38211403/</vt:lpwstr>
      </vt:variant>
      <vt:variant>
        <vt:lpwstr/>
      </vt:variant>
      <vt:variant>
        <vt:i4>3473510</vt:i4>
      </vt:variant>
      <vt:variant>
        <vt:i4>63</vt:i4>
      </vt:variant>
      <vt:variant>
        <vt:i4>0</vt:i4>
      </vt:variant>
      <vt:variant>
        <vt:i4>5</vt:i4>
      </vt:variant>
      <vt:variant>
        <vt:lpwstr>https://www.ontario.ca/page/chief-medical-officer-health-2023-annual-report</vt:lpwstr>
      </vt:variant>
      <vt:variant>
        <vt:lpwstr/>
      </vt:variant>
      <vt:variant>
        <vt:i4>5046368</vt:i4>
      </vt:variant>
      <vt:variant>
        <vt:i4>60</vt:i4>
      </vt:variant>
      <vt:variant>
        <vt:i4>0</vt:i4>
      </vt:variant>
      <vt:variant>
        <vt:i4>5</vt:i4>
      </vt:variant>
      <vt:variant>
        <vt:lpwstr>https://www2.gov.bc.ca/assets/gov/health/about-bc-s-health-care-system/office-of-the-provincial-health-officer/reports-publications/special-reports/alternatives_to_unregulated_drugs.pdf</vt:lpwstr>
      </vt:variant>
      <vt:variant>
        <vt:lpwstr/>
      </vt:variant>
      <vt:variant>
        <vt:i4>4915234</vt:i4>
      </vt:variant>
      <vt:variant>
        <vt:i4>57</vt:i4>
      </vt:variant>
      <vt:variant>
        <vt:i4>0</vt:i4>
      </vt:variant>
      <vt:variant>
        <vt:i4>5</vt:i4>
      </vt:variant>
      <vt:variant>
        <vt:lpwstr>https://www2.gov.bc.ca/assets/gov/birth-adoption-death-marriage-and-divorce/deaths/coroners-service/death-review-panel/an_urgent_response_to_a_continuing_crisis_report.pdf</vt:lpwstr>
      </vt:variant>
      <vt:variant>
        <vt:lpwstr/>
      </vt:variant>
      <vt:variant>
        <vt:i4>7077994</vt:i4>
      </vt:variant>
      <vt:variant>
        <vt:i4>54</vt:i4>
      </vt:variant>
      <vt:variant>
        <vt:i4>0</vt:i4>
      </vt:variant>
      <vt:variant>
        <vt:i4>5</vt:i4>
      </vt:variant>
      <vt:variant>
        <vt:lpwstr>https://www.ohchr.org/en/documents/thematic-reports/ahrc5453-human-rights-challenges-addressing-and-countering-all-aspects</vt:lpwstr>
      </vt:variant>
      <vt:variant>
        <vt:lpwstr/>
      </vt:variant>
      <vt:variant>
        <vt:i4>6422650</vt:i4>
      </vt:variant>
      <vt:variant>
        <vt:i4>51</vt:i4>
      </vt:variant>
      <vt:variant>
        <vt:i4>0</vt:i4>
      </vt:variant>
      <vt:variant>
        <vt:i4>5</vt:i4>
      </vt:variant>
      <vt:variant>
        <vt:lpwstr>https://www.canada.ca/en/health-canada/corporate/about-health-canada/public-engagement/external-advisory-bodies/expert-task-force-substance-use/reports/report-2-2021.html</vt:lpwstr>
      </vt:variant>
      <vt:variant>
        <vt:lpwstr/>
      </vt:variant>
      <vt:variant>
        <vt:i4>2424881</vt:i4>
      </vt:variant>
      <vt:variant>
        <vt:i4>48</vt:i4>
      </vt:variant>
      <vt:variant>
        <vt:i4>0</vt:i4>
      </vt:variant>
      <vt:variant>
        <vt:i4>5</vt:i4>
      </vt:variant>
      <vt:variant>
        <vt:lpwstr>https://www.cbc.ca/news/canada/opioid-overdose-crisis-street-drug-government-funding-9.6976562</vt:lpwstr>
      </vt:variant>
      <vt:variant>
        <vt:lpwstr/>
      </vt:variant>
      <vt:variant>
        <vt:i4>2752548</vt:i4>
      </vt:variant>
      <vt:variant>
        <vt:i4>45</vt:i4>
      </vt:variant>
      <vt:variant>
        <vt:i4>0</vt:i4>
      </vt:variant>
      <vt:variant>
        <vt:i4>5</vt:i4>
      </vt:variant>
      <vt:variant>
        <vt:lpwstr>https://drugpolicy.ca/resources/guides/racism/</vt:lpwstr>
      </vt:variant>
      <vt:variant>
        <vt:lpwstr/>
      </vt:variant>
      <vt:variant>
        <vt:i4>1310805</vt:i4>
      </vt:variant>
      <vt:variant>
        <vt:i4>42</vt:i4>
      </vt:variant>
      <vt:variant>
        <vt:i4>0</vt:i4>
      </vt:variant>
      <vt:variant>
        <vt:i4>5</vt:i4>
      </vt:variant>
      <vt:variant>
        <vt:lpwstr>https://www.ccsa.ca/sites/default/files/2024-11/CCENDU-Newsletter-Issue-2-en.pdf</vt:lpwstr>
      </vt:variant>
      <vt:variant>
        <vt:lpwstr/>
      </vt:variant>
      <vt:variant>
        <vt:i4>1310804</vt:i4>
      </vt:variant>
      <vt:variant>
        <vt:i4>39</vt:i4>
      </vt:variant>
      <vt:variant>
        <vt:i4>0</vt:i4>
      </vt:variant>
      <vt:variant>
        <vt:i4>5</vt:i4>
      </vt:variant>
      <vt:variant>
        <vt:lpwstr>https://www.ccsa.ca/sites/default/files/2025-01/CCENDU-Newsletter-Issue-3-en.pdf</vt:lpwstr>
      </vt:variant>
      <vt:variant>
        <vt:lpwstr/>
      </vt:variant>
      <vt:variant>
        <vt:i4>3211385</vt:i4>
      </vt:variant>
      <vt:variant>
        <vt:i4>36</vt:i4>
      </vt:variant>
      <vt:variant>
        <vt:i4>0</vt:i4>
      </vt:variant>
      <vt:variant>
        <vt:i4>5</vt:i4>
      </vt:variant>
      <vt:variant>
        <vt:lpwstr>https://drugpolicy.ca/about/publication/submission-to-health-canada-on-a-proposal-to-control-the-derivatives-and-analogues-of-4-piperidone-and-its-salts-under-the-controlled-drugs-and-substances-act/</vt:lpwstr>
      </vt:variant>
      <vt:variant>
        <vt:lpwstr/>
      </vt:variant>
      <vt:variant>
        <vt:i4>3276838</vt:i4>
      </vt:variant>
      <vt:variant>
        <vt:i4>33</vt:i4>
      </vt:variant>
      <vt:variant>
        <vt:i4>0</vt:i4>
      </vt:variant>
      <vt:variant>
        <vt:i4>5</vt:i4>
      </vt:variant>
      <vt:variant>
        <vt:lpwstr>https://www.ccsa.ca/sites/default/files/2020-04/CCSA-CCENDU-Adulterants-Contaminants-Co-occurring-Substances-in-Drugs-Canada-Report-2020-en.pdf</vt:lpwstr>
      </vt:variant>
      <vt:variant>
        <vt:lpwstr/>
      </vt:variant>
      <vt:variant>
        <vt:i4>1048642</vt:i4>
      </vt:variant>
      <vt:variant>
        <vt:i4>30</vt:i4>
      </vt:variant>
      <vt:variant>
        <vt:i4>0</vt:i4>
      </vt:variant>
      <vt:variant>
        <vt:i4>5</vt:i4>
      </vt:variant>
      <vt:variant>
        <vt:lpwstr>https://www.canada.ca/en/health-canada/services/health-concerns/controlled-substances-precursor-chemicals/drug-analysis-service.html</vt:lpwstr>
      </vt:variant>
      <vt:variant>
        <vt:lpwstr>drug</vt:lpwstr>
      </vt:variant>
      <vt:variant>
        <vt:i4>1835103</vt:i4>
      </vt:variant>
      <vt:variant>
        <vt:i4>27</vt:i4>
      </vt:variant>
      <vt:variant>
        <vt:i4>0</vt:i4>
      </vt:variant>
      <vt:variant>
        <vt:i4>5</vt:i4>
      </vt:variant>
      <vt:variant>
        <vt:lpwstr>https://www.catie.ca/prevention-in-focus/what-makes-canadas-illegal-drug-supply-dangerous</vt:lpwstr>
      </vt:variant>
      <vt:variant>
        <vt:lpwstr/>
      </vt:variant>
      <vt:variant>
        <vt:i4>2883623</vt:i4>
      </vt:variant>
      <vt:variant>
        <vt:i4>24</vt:i4>
      </vt:variant>
      <vt:variant>
        <vt:i4>0</vt:i4>
      </vt:variant>
      <vt:variant>
        <vt:i4>5</vt:i4>
      </vt:variant>
      <vt:variant>
        <vt:lpwstr>https://www150.statcan.gc.ca/n1/pub/75-006-x/2023001/article/00011-eng.htm</vt:lpwstr>
      </vt:variant>
      <vt:variant>
        <vt:lpwstr>:~:text=the%20prevalence%20of%20substance%20use%20disorders%20did%20not%20increase%20from%202012%20to%202022</vt:lpwstr>
      </vt:variant>
      <vt:variant>
        <vt:i4>6684769</vt:i4>
      </vt:variant>
      <vt:variant>
        <vt:i4>21</vt:i4>
      </vt:variant>
      <vt:variant>
        <vt:i4>0</vt:i4>
      </vt:variant>
      <vt:variant>
        <vt:i4>5</vt:i4>
      </vt:variant>
      <vt:variant>
        <vt:lpwstr>https://health-infobase.canada.ca/substance-related-harms/opioids-stimulants/graphs.html?ind=661&amp;unit=1</vt:lpwstr>
      </vt:variant>
      <vt:variant>
        <vt:lpwstr/>
      </vt:variant>
      <vt:variant>
        <vt:i4>65606</vt:i4>
      </vt:variant>
      <vt:variant>
        <vt:i4>18</vt:i4>
      </vt:variant>
      <vt:variant>
        <vt:i4>0</vt:i4>
      </vt:variant>
      <vt:variant>
        <vt:i4>5</vt:i4>
      </vt:variant>
      <vt:variant>
        <vt:lpwstr>https://www.sciencedirect.com/science/article/pii/S0955395925003184</vt:lpwstr>
      </vt:variant>
      <vt:variant>
        <vt:lpwstr>fig0001</vt:lpwstr>
      </vt:variant>
      <vt:variant>
        <vt:i4>1376348</vt:i4>
      </vt:variant>
      <vt:variant>
        <vt:i4>15</vt:i4>
      </vt:variant>
      <vt:variant>
        <vt:i4>0</vt:i4>
      </vt:variant>
      <vt:variant>
        <vt:i4>5</vt:i4>
      </vt:variant>
      <vt:variant>
        <vt:lpwstr>https://health-infobase.canada.ca/substance-related-harms/opioids-stimulants/</vt:lpwstr>
      </vt:variant>
      <vt:variant>
        <vt:lpwstr/>
      </vt:variant>
      <vt:variant>
        <vt:i4>7078007</vt:i4>
      </vt:variant>
      <vt:variant>
        <vt:i4>12</vt:i4>
      </vt:variant>
      <vt:variant>
        <vt:i4>0</vt:i4>
      </vt:variant>
      <vt:variant>
        <vt:i4>5</vt:i4>
      </vt:variant>
      <vt:variant>
        <vt:lpwstr>https://housingrights.ca/wp-content/uploads/Canada_ICCPR_Session145_CivilSocietySubmission_NRHN-WNHHN-CCHR_March2026_pdf.pdf</vt:lpwstr>
      </vt:variant>
      <vt:variant>
        <vt:lpwstr/>
      </vt:variant>
      <vt:variant>
        <vt:i4>2228262</vt:i4>
      </vt:variant>
      <vt:variant>
        <vt:i4>9</vt:i4>
      </vt:variant>
      <vt:variant>
        <vt:i4>0</vt:i4>
      </vt:variant>
      <vt:variant>
        <vt:i4>5</vt:i4>
      </vt:variant>
      <vt:variant>
        <vt:lpwstr>https://amnesty.ca/</vt:lpwstr>
      </vt:variant>
      <vt:variant>
        <vt:lpwstr/>
      </vt:variant>
      <vt:variant>
        <vt:i4>5046351</vt:i4>
      </vt:variant>
      <vt:variant>
        <vt:i4>6</vt:i4>
      </vt:variant>
      <vt:variant>
        <vt:i4>0</vt:i4>
      </vt:variant>
      <vt:variant>
        <vt:i4>5</vt:i4>
      </vt:variant>
      <vt:variant>
        <vt:lpwstr>https://trackinginjustice.ca/</vt:lpwstr>
      </vt:variant>
      <vt:variant>
        <vt:lpwstr/>
      </vt:variant>
      <vt:variant>
        <vt:i4>1638489</vt:i4>
      </vt:variant>
      <vt:variant>
        <vt:i4>3</vt:i4>
      </vt:variant>
      <vt:variant>
        <vt:i4>0</vt:i4>
      </vt:variant>
      <vt:variant>
        <vt:i4>5</vt:i4>
      </vt:variant>
      <vt:variant>
        <vt:lpwstr>https://www.hivlegalnetwork.ca/index.htm</vt:lpwstr>
      </vt:variant>
      <vt:variant>
        <vt:lpwstr/>
      </vt:variant>
      <vt:variant>
        <vt:i4>655449</vt:i4>
      </vt:variant>
      <vt:variant>
        <vt:i4>0</vt:i4>
      </vt:variant>
      <vt:variant>
        <vt:i4>0</vt:i4>
      </vt:variant>
      <vt:variant>
        <vt:i4>5</vt:i4>
      </vt:variant>
      <vt:variant>
        <vt:lpwstr>http://www.drugpolicy.ca/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 Larkin</dc:creator>
  <cp:keywords/>
  <dc:description/>
  <cp:lastModifiedBy>Nicholas Boyce</cp:lastModifiedBy>
  <cp:revision>9</cp:revision>
  <dcterms:created xsi:type="dcterms:W3CDTF">2026-02-02T21:16:00Z</dcterms:created>
  <dcterms:modified xsi:type="dcterms:W3CDTF">2026-02-02T21:46:00Z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0x0101007E004AA1826EDC47889E6BC430FCFEE4</vt:lpwstr>
  </property>
  <property fmtid="{D5CDD505-2E9C-101B-9397-08002B2CF9AE}" pid="3" name="MediaServiceImageTags">
    <vt:lpwstr/>
  </property>
</Properties>
</file>