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DC368" w14:textId="77777777" w:rsidR="00C32711" w:rsidRDefault="00C32711" w:rsidP="008F47F3">
      <w:pPr>
        <w:spacing w:after="0" w:line="276" w:lineRule="auto"/>
        <w:ind w:left="720" w:hanging="720"/>
        <w:jc w:val="right"/>
        <w:rPr>
          <w:rFonts w:ascii="Times New Roman" w:eastAsia="Times New Roman" w:hAnsi="Times New Roman" w:cs="Times New Roman"/>
          <w:sz w:val="24"/>
          <w:szCs w:val="24"/>
          <w:lang w:val="es-CO"/>
        </w:rPr>
      </w:pPr>
    </w:p>
    <w:p w14:paraId="1C8EA397" w14:textId="79984A16" w:rsidR="00D95515" w:rsidRPr="00A60861" w:rsidRDefault="006370CB" w:rsidP="008F47F3">
      <w:pPr>
        <w:spacing w:after="0" w:line="276" w:lineRule="auto"/>
        <w:ind w:left="720" w:hanging="720"/>
        <w:jc w:val="right"/>
        <w:rPr>
          <w:rFonts w:ascii="Times New Roman" w:eastAsia="Times New Roman" w:hAnsi="Times New Roman" w:cs="Times New Roman"/>
          <w:sz w:val="24"/>
          <w:szCs w:val="24"/>
          <w:lang w:val="es-CO"/>
        </w:rPr>
      </w:pPr>
      <w:r w:rsidRPr="00A60861">
        <w:rPr>
          <w:rFonts w:ascii="Times New Roman" w:eastAsia="Times New Roman" w:hAnsi="Times New Roman" w:cs="Times New Roman"/>
          <w:sz w:val="24"/>
          <w:szCs w:val="24"/>
          <w:lang w:val="es-CO"/>
        </w:rPr>
        <w:t xml:space="preserve"> </w:t>
      </w:r>
      <w:r w:rsidR="00D95515" w:rsidRPr="00A60861">
        <w:rPr>
          <w:rFonts w:ascii="Times New Roman" w:eastAsia="Times New Roman" w:hAnsi="Times New Roman" w:cs="Times New Roman"/>
          <w:sz w:val="24"/>
          <w:szCs w:val="24"/>
          <w:lang w:val="es-CO"/>
        </w:rPr>
        <w:t>Bogotá</w:t>
      </w:r>
      <w:r w:rsidR="00D3335F" w:rsidRPr="00A60861">
        <w:rPr>
          <w:rFonts w:ascii="Times New Roman" w:eastAsia="Times New Roman" w:hAnsi="Times New Roman" w:cs="Times New Roman"/>
          <w:sz w:val="24"/>
          <w:szCs w:val="24"/>
          <w:lang w:val="es-CO"/>
        </w:rPr>
        <w:t xml:space="preserve"> D.C.</w:t>
      </w:r>
      <w:r w:rsidR="00D95515" w:rsidRPr="00A60861">
        <w:rPr>
          <w:rFonts w:ascii="Times New Roman" w:eastAsia="Times New Roman" w:hAnsi="Times New Roman" w:cs="Times New Roman"/>
          <w:sz w:val="24"/>
          <w:szCs w:val="24"/>
          <w:lang w:val="es-ES"/>
        </w:rPr>
        <w:t xml:space="preserve">, </w:t>
      </w:r>
      <w:r w:rsidR="00C91F64">
        <w:rPr>
          <w:rFonts w:ascii="Times New Roman" w:eastAsia="Times New Roman" w:hAnsi="Times New Roman" w:cs="Times New Roman"/>
          <w:sz w:val="24"/>
          <w:szCs w:val="24"/>
          <w:lang w:val="es-ES"/>
        </w:rPr>
        <w:t xml:space="preserve">Ciudad de Guatemala, </w:t>
      </w:r>
      <w:r w:rsidR="00472794">
        <w:rPr>
          <w:rFonts w:ascii="Times New Roman" w:eastAsia="Times New Roman" w:hAnsi="Times New Roman" w:cs="Times New Roman"/>
          <w:sz w:val="24"/>
          <w:szCs w:val="24"/>
          <w:lang w:val="es-ES"/>
        </w:rPr>
        <w:t xml:space="preserve">15 de abril </w:t>
      </w:r>
      <w:r w:rsidR="00D95515" w:rsidRPr="00A60861">
        <w:rPr>
          <w:rFonts w:ascii="Times New Roman" w:eastAsia="Times New Roman" w:hAnsi="Times New Roman" w:cs="Times New Roman"/>
          <w:sz w:val="24"/>
          <w:szCs w:val="24"/>
          <w:lang w:val="es-CO"/>
        </w:rPr>
        <w:t>de 202</w:t>
      </w:r>
      <w:r w:rsidR="00A46284" w:rsidRPr="00A60861">
        <w:rPr>
          <w:rFonts w:ascii="Times New Roman" w:eastAsia="Times New Roman" w:hAnsi="Times New Roman" w:cs="Times New Roman"/>
          <w:sz w:val="24"/>
          <w:szCs w:val="24"/>
          <w:lang w:val="es-CO"/>
        </w:rPr>
        <w:t>4</w:t>
      </w:r>
    </w:p>
    <w:p w14:paraId="3235EBBD" w14:textId="77777777" w:rsidR="00171351" w:rsidRDefault="00171351" w:rsidP="008F47F3">
      <w:pPr>
        <w:spacing w:after="0" w:line="276" w:lineRule="auto"/>
        <w:jc w:val="right"/>
        <w:rPr>
          <w:rFonts w:ascii="Times New Roman" w:eastAsia="Times New Roman" w:hAnsi="Times New Roman" w:cs="Times New Roman"/>
          <w:sz w:val="24"/>
          <w:szCs w:val="24"/>
          <w:lang w:val="es-CO"/>
        </w:rPr>
      </w:pPr>
    </w:p>
    <w:p w14:paraId="6BCBD2A2" w14:textId="77777777" w:rsidR="00C77435" w:rsidRPr="00A60861" w:rsidRDefault="00C77435" w:rsidP="008F47F3">
      <w:pPr>
        <w:spacing w:after="0" w:line="276" w:lineRule="auto"/>
        <w:jc w:val="right"/>
        <w:rPr>
          <w:rFonts w:ascii="Times New Roman" w:eastAsia="Times New Roman" w:hAnsi="Times New Roman" w:cs="Times New Roman"/>
          <w:sz w:val="24"/>
          <w:szCs w:val="24"/>
          <w:lang w:val="es-CO"/>
        </w:rPr>
      </w:pPr>
    </w:p>
    <w:p w14:paraId="27268783" w14:textId="32C52A74" w:rsidR="00D95515" w:rsidRPr="00A60861" w:rsidRDefault="00D95515" w:rsidP="008F47F3">
      <w:pPr>
        <w:spacing w:after="0" w:line="276" w:lineRule="auto"/>
        <w:rPr>
          <w:rFonts w:ascii="Times New Roman" w:eastAsia="Times New Roman" w:hAnsi="Times New Roman" w:cs="Times New Roman"/>
          <w:b/>
          <w:bCs/>
          <w:sz w:val="24"/>
          <w:szCs w:val="24"/>
          <w:lang w:val="es-CO"/>
        </w:rPr>
      </w:pPr>
      <w:r w:rsidRPr="00A60861">
        <w:rPr>
          <w:rFonts w:ascii="Times New Roman" w:eastAsia="Times New Roman" w:hAnsi="Times New Roman" w:cs="Times New Roman"/>
          <w:b/>
          <w:bCs/>
          <w:sz w:val="24"/>
          <w:szCs w:val="24"/>
          <w:lang w:val="es-CO"/>
        </w:rPr>
        <w:t xml:space="preserve">Secretaría del Comité </w:t>
      </w:r>
      <w:r w:rsidR="00A06848" w:rsidRPr="00A60861">
        <w:rPr>
          <w:rFonts w:ascii="Times New Roman" w:eastAsia="Times New Roman" w:hAnsi="Times New Roman" w:cs="Times New Roman"/>
          <w:b/>
          <w:bCs/>
          <w:sz w:val="24"/>
          <w:szCs w:val="24"/>
          <w:lang w:val="es-CO"/>
        </w:rPr>
        <w:t>de los Derechos del Niño</w:t>
      </w:r>
    </w:p>
    <w:p w14:paraId="0C297426" w14:textId="77777777" w:rsidR="00D95515" w:rsidRPr="00A60861" w:rsidRDefault="00D95515" w:rsidP="008F47F3">
      <w:pPr>
        <w:spacing w:after="0" w:line="276" w:lineRule="auto"/>
        <w:rPr>
          <w:rFonts w:ascii="Times New Roman" w:eastAsia="Times New Roman" w:hAnsi="Times New Roman" w:cs="Times New Roman"/>
          <w:sz w:val="24"/>
          <w:szCs w:val="24"/>
          <w:lang w:val="es-CO"/>
        </w:rPr>
      </w:pPr>
      <w:r w:rsidRPr="00A60861">
        <w:rPr>
          <w:rFonts w:ascii="Times New Roman" w:eastAsia="Times New Roman" w:hAnsi="Times New Roman" w:cs="Times New Roman"/>
          <w:sz w:val="24"/>
          <w:szCs w:val="24"/>
          <w:lang w:val="es-CO"/>
        </w:rPr>
        <w:t>Oficina del Alto Comisionado para los Derechos Humanos de las Naciones Unidas</w:t>
      </w:r>
    </w:p>
    <w:p w14:paraId="2D599B31" w14:textId="77777777" w:rsidR="00D95515" w:rsidRPr="00A60861" w:rsidRDefault="00D95515" w:rsidP="008F47F3">
      <w:pPr>
        <w:spacing w:after="0" w:line="276" w:lineRule="auto"/>
        <w:rPr>
          <w:rFonts w:ascii="Times New Roman" w:eastAsia="Times New Roman" w:hAnsi="Times New Roman" w:cs="Times New Roman"/>
          <w:sz w:val="24"/>
          <w:szCs w:val="24"/>
          <w:lang w:val="fr-CA"/>
        </w:rPr>
      </w:pPr>
      <w:r w:rsidRPr="00A60861">
        <w:rPr>
          <w:rFonts w:ascii="Times New Roman" w:eastAsia="Times New Roman" w:hAnsi="Times New Roman" w:cs="Times New Roman"/>
          <w:sz w:val="24"/>
          <w:szCs w:val="24"/>
          <w:lang w:val="fr-CA"/>
        </w:rPr>
        <w:t>Palais Wilson</w:t>
      </w:r>
    </w:p>
    <w:p w14:paraId="61A361EB" w14:textId="77777777" w:rsidR="00D95515" w:rsidRPr="00A60861" w:rsidRDefault="00D95515" w:rsidP="008F47F3">
      <w:pPr>
        <w:spacing w:after="0" w:line="276" w:lineRule="auto"/>
        <w:rPr>
          <w:rFonts w:ascii="Times New Roman" w:eastAsia="Times New Roman" w:hAnsi="Times New Roman" w:cs="Times New Roman"/>
          <w:sz w:val="24"/>
          <w:szCs w:val="24"/>
          <w:lang w:val="fr-CA"/>
        </w:rPr>
      </w:pPr>
      <w:r w:rsidRPr="00A60861">
        <w:rPr>
          <w:rFonts w:ascii="Times New Roman" w:eastAsia="Times New Roman" w:hAnsi="Times New Roman" w:cs="Times New Roman"/>
          <w:sz w:val="24"/>
          <w:szCs w:val="24"/>
          <w:lang w:val="fr-CA"/>
        </w:rPr>
        <w:t>52, rue des Pâquis</w:t>
      </w:r>
    </w:p>
    <w:p w14:paraId="53F05A46" w14:textId="77777777" w:rsidR="00D95515" w:rsidRDefault="00D95515" w:rsidP="008F47F3">
      <w:pPr>
        <w:spacing w:after="0" w:line="276" w:lineRule="auto"/>
        <w:rPr>
          <w:rFonts w:ascii="Times New Roman" w:eastAsia="Times New Roman" w:hAnsi="Times New Roman" w:cs="Times New Roman"/>
          <w:sz w:val="24"/>
          <w:szCs w:val="24"/>
          <w:lang w:val="fr-CA"/>
        </w:rPr>
      </w:pPr>
      <w:r w:rsidRPr="00A60861">
        <w:rPr>
          <w:rFonts w:ascii="Times New Roman" w:eastAsia="Times New Roman" w:hAnsi="Times New Roman" w:cs="Times New Roman"/>
          <w:sz w:val="24"/>
          <w:szCs w:val="24"/>
          <w:lang w:val="fr-CA"/>
        </w:rPr>
        <w:t>CH-1211 Ginebra 10, Suiza</w:t>
      </w:r>
    </w:p>
    <w:p w14:paraId="48A63552" w14:textId="77777777" w:rsidR="00C77435" w:rsidRPr="00A60861" w:rsidRDefault="00C77435" w:rsidP="008F47F3">
      <w:pPr>
        <w:spacing w:after="0" w:line="276" w:lineRule="auto"/>
        <w:rPr>
          <w:rFonts w:ascii="Times New Roman" w:eastAsia="Times New Roman" w:hAnsi="Times New Roman" w:cs="Times New Roman"/>
          <w:sz w:val="24"/>
          <w:szCs w:val="24"/>
          <w:lang w:val="fr-CA"/>
        </w:rPr>
      </w:pPr>
    </w:p>
    <w:p w14:paraId="20E8336C" w14:textId="77777777" w:rsidR="00171351" w:rsidRPr="00A60861" w:rsidRDefault="00171351" w:rsidP="008F47F3">
      <w:pPr>
        <w:spacing w:after="0" w:line="276" w:lineRule="auto"/>
        <w:rPr>
          <w:rFonts w:ascii="Times New Roman" w:eastAsia="Times New Roman" w:hAnsi="Times New Roman" w:cs="Times New Roman"/>
          <w:sz w:val="24"/>
          <w:szCs w:val="24"/>
          <w:lang w:val="fr-CA"/>
        </w:rPr>
      </w:pPr>
    </w:p>
    <w:p w14:paraId="46C40A78" w14:textId="7133F28D" w:rsidR="00D95515" w:rsidRDefault="00D95515" w:rsidP="008F47F3">
      <w:pPr>
        <w:spacing w:after="0" w:line="276" w:lineRule="auto"/>
        <w:ind w:left="3402"/>
        <w:jc w:val="both"/>
        <w:rPr>
          <w:rFonts w:ascii="Times New Roman" w:eastAsia="Times New Roman" w:hAnsi="Times New Roman" w:cs="Times New Roman"/>
          <w:b/>
          <w:bCs/>
          <w:sz w:val="24"/>
          <w:szCs w:val="24"/>
          <w:lang w:val="es-CO"/>
        </w:rPr>
      </w:pPr>
      <w:r w:rsidRPr="00A60861">
        <w:rPr>
          <w:rFonts w:ascii="Times New Roman" w:eastAsia="Times New Roman" w:hAnsi="Times New Roman" w:cs="Times New Roman"/>
          <w:b/>
          <w:bCs/>
          <w:sz w:val="24"/>
          <w:szCs w:val="24"/>
          <w:lang w:val="es-CO"/>
        </w:rPr>
        <w:t xml:space="preserve">Re: Información sobre Guatemala para el </w:t>
      </w:r>
      <w:r w:rsidRPr="00A60861">
        <w:rPr>
          <w:rFonts w:ascii="Times New Roman" w:hAnsi="Times New Roman" w:cs="Times New Roman"/>
          <w:sz w:val="24"/>
          <w:szCs w:val="24"/>
          <w:lang w:val="es-ES"/>
        </w:rPr>
        <w:br/>
      </w:r>
      <w:r w:rsidR="00A06848" w:rsidRPr="00A60861">
        <w:rPr>
          <w:rFonts w:ascii="Times New Roman" w:eastAsia="Times New Roman" w:hAnsi="Times New Roman" w:cs="Times New Roman"/>
          <w:b/>
          <w:bCs/>
          <w:sz w:val="24"/>
          <w:szCs w:val="24"/>
          <w:lang w:val="es-CO"/>
        </w:rPr>
        <w:t>9</w:t>
      </w:r>
      <w:r w:rsidR="00161CC9">
        <w:rPr>
          <w:rFonts w:ascii="Times New Roman" w:eastAsia="Times New Roman" w:hAnsi="Times New Roman" w:cs="Times New Roman"/>
          <w:b/>
          <w:bCs/>
          <w:sz w:val="24"/>
          <w:szCs w:val="24"/>
          <w:lang w:val="es-CO"/>
        </w:rPr>
        <w:t>6</w:t>
      </w:r>
      <w:r w:rsidR="0052215D" w:rsidRPr="00A60861">
        <w:rPr>
          <w:rFonts w:ascii="Times New Roman" w:eastAsia="Times New Roman" w:hAnsi="Times New Roman" w:cs="Times New Roman"/>
          <w:b/>
          <w:bCs/>
          <w:sz w:val="24"/>
          <w:szCs w:val="24"/>
          <w:lang w:val="es-CO"/>
        </w:rPr>
        <w:t>°</w:t>
      </w:r>
      <w:r w:rsidR="00A06848" w:rsidRPr="00A60861">
        <w:rPr>
          <w:rFonts w:ascii="Times New Roman" w:eastAsia="Times New Roman" w:hAnsi="Times New Roman" w:cs="Times New Roman"/>
          <w:b/>
          <w:bCs/>
          <w:sz w:val="24"/>
          <w:szCs w:val="24"/>
          <w:lang w:val="es-CO"/>
        </w:rPr>
        <w:t xml:space="preserve"> </w:t>
      </w:r>
      <w:r w:rsidRPr="00A60861">
        <w:rPr>
          <w:rFonts w:ascii="Times New Roman" w:eastAsia="Times New Roman" w:hAnsi="Times New Roman" w:cs="Times New Roman"/>
          <w:b/>
          <w:bCs/>
          <w:sz w:val="24"/>
          <w:szCs w:val="24"/>
          <w:lang w:val="es-CO"/>
        </w:rPr>
        <w:t xml:space="preserve">período de </w:t>
      </w:r>
      <w:r w:rsidR="00A06848" w:rsidRPr="00A60861">
        <w:rPr>
          <w:rFonts w:ascii="Times New Roman" w:eastAsia="Times New Roman" w:hAnsi="Times New Roman" w:cs="Times New Roman"/>
          <w:b/>
          <w:bCs/>
          <w:sz w:val="24"/>
          <w:szCs w:val="24"/>
          <w:lang w:val="es-CO"/>
        </w:rPr>
        <w:t>sesiones</w:t>
      </w:r>
      <w:r w:rsidRPr="00A60861">
        <w:rPr>
          <w:rFonts w:ascii="Times New Roman" w:eastAsia="Times New Roman" w:hAnsi="Times New Roman" w:cs="Times New Roman"/>
          <w:b/>
          <w:bCs/>
          <w:sz w:val="24"/>
          <w:szCs w:val="24"/>
          <w:lang w:val="es-CO"/>
        </w:rPr>
        <w:t xml:space="preserve"> del Comité </w:t>
      </w:r>
      <w:r w:rsidR="00A06848" w:rsidRPr="00A60861">
        <w:rPr>
          <w:rFonts w:ascii="Times New Roman" w:eastAsia="Times New Roman" w:hAnsi="Times New Roman" w:cs="Times New Roman"/>
          <w:b/>
          <w:bCs/>
          <w:sz w:val="24"/>
          <w:szCs w:val="24"/>
          <w:lang w:val="es-CO"/>
        </w:rPr>
        <w:t>de los Derechos del Niño</w:t>
      </w:r>
      <w:r w:rsidR="00171351" w:rsidRPr="00A60861">
        <w:rPr>
          <w:rFonts w:ascii="Times New Roman" w:eastAsia="Times New Roman" w:hAnsi="Times New Roman" w:cs="Times New Roman"/>
          <w:b/>
          <w:bCs/>
          <w:sz w:val="24"/>
          <w:szCs w:val="24"/>
          <w:lang w:val="es-CO"/>
        </w:rPr>
        <w:t>.</w:t>
      </w:r>
    </w:p>
    <w:p w14:paraId="1FDC90FE" w14:textId="77777777" w:rsidR="00A415E9" w:rsidRPr="00A60861" w:rsidRDefault="00A415E9" w:rsidP="008F47F3">
      <w:pPr>
        <w:spacing w:after="0" w:line="276" w:lineRule="auto"/>
        <w:ind w:left="3402"/>
        <w:jc w:val="both"/>
        <w:rPr>
          <w:rFonts w:ascii="Times New Roman" w:eastAsia="Times New Roman" w:hAnsi="Times New Roman" w:cs="Times New Roman"/>
          <w:b/>
          <w:bCs/>
          <w:sz w:val="24"/>
          <w:szCs w:val="24"/>
          <w:lang w:val="es-CO"/>
        </w:rPr>
      </w:pPr>
    </w:p>
    <w:p w14:paraId="0683D121" w14:textId="77777777" w:rsidR="00171351" w:rsidRPr="00A60861" w:rsidRDefault="00171351" w:rsidP="008F47F3">
      <w:pPr>
        <w:spacing w:after="0" w:line="276" w:lineRule="auto"/>
        <w:ind w:left="3402"/>
        <w:jc w:val="both"/>
        <w:rPr>
          <w:rFonts w:ascii="Times New Roman" w:eastAsia="Times New Roman" w:hAnsi="Times New Roman" w:cs="Times New Roman"/>
          <w:b/>
          <w:bCs/>
          <w:sz w:val="24"/>
          <w:szCs w:val="24"/>
          <w:lang w:val="es-CO"/>
        </w:rPr>
      </w:pPr>
    </w:p>
    <w:p w14:paraId="6AB26958" w14:textId="41D6508D" w:rsidR="00171351" w:rsidRPr="00A60861" w:rsidRDefault="00D95515" w:rsidP="008F47F3">
      <w:pPr>
        <w:pStyle w:val="Encabezado1"/>
        <w:spacing w:after="0" w:line="276" w:lineRule="auto"/>
        <w:rPr>
          <w:rFonts w:eastAsia="Times New Roman" w:cs="Times New Roman"/>
          <w:sz w:val="24"/>
          <w:szCs w:val="24"/>
        </w:rPr>
      </w:pPr>
      <w:r w:rsidRPr="00A60861">
        <w:rPr>
          <w:rFonts w:eastAsia="Times New Roman" w:cs="Times New Roman"/>
          <w:sz w:val="24"/>
          <w:szCs w:val="24"/>
        </w:rPr>
        <w:t>Distinguidos</w:t>
      </w:r>
      <w:r w:rsidRPr="00A60861">
        <w:rPr>
          <w:rFonts w:eastAsia="Times New Roman" w:cs="Times New Roman"/>
          <w:snapToGrid w:val="0"/>
          <w:sz w:val="24"/>
          <w:szCs w:val="24"/>
        </w:rPr>
        <w:t>/as</w:t>
      </w:r>
      <w:r w:rsidRPr="00A60861">
        <w:rPr>
          <w:rFonts w:eastAsia="Times New Roman" w:cs="Times New Roman"/>
          <w:sz w:val="24"/>
          <w:szCs w:val="24"/>
        </w:rPr>
        <w:t xml:space="preserve"> Miembros del </w:t>
      </w:r>
      <w:r w:rsidR="00A06848" w:rsidRPr="00A60861">
        <w:rPr>
          <w:rFonts w:eastAsia="Times New Roman" w:cs="Times New Roman"/>
          <w:sz w:val="24"/>
          <w:szCs w:val="24"/>
        </w:rPr>
        <w:t>Comité de los Derechos del Niño</w:t>
      </w:r>
      <w:r w:rsidR="3F33CF1F" w:rsidRPr="00A60861">
        <w:rPr>
          <w:rFonts w:eastAsia="Times New Roman" w:cs="Times New Roman"/>
          <w:sz w:val="24"/>
          <w:szCs w:val="24"/>
        </w:rPr>
        <w:t>,</w:t>
      </w:r>
      <w:r w:rsidRPr="00A60861">
        <w:rPr>
          <w:rFonts w:eastAsia="Times New Roman" w:cs="Times New Roman"/>
          <w:sz w:val="24"/>
          <w:szCs w:val="24"/>
        </w:rPr>
        <w:t xml:space="preserve"> </w:t>
      </w:r>
    </w:p>
    <w:p w14:paraId="49CD28AD" w14:textId="77777777" w:rsidR="00171351" w:rsidRPr="00A60861" w:rsidRDefault="00171351" w:rsidP="008F47F3">
      <w:pPr>
        <w:spacing w:after="0" w:line="276" w:lineRule="auto"/>
        <w:rPr>
          <w:rFonts w:ascii="Times New Roman" w:eastAsia="Times New Roman" w:hAnsi="Times New Roman" w:cs="Times New Roman"/>
          <w:sz w:val="24"/>
          <w:szCs w:val="24"/>
          <w:lang w:val="es-CO"/>
        </w:rPr>
      </w:pPr>
    </w:p>
    <w:p w14:paraId="36416249" w14:textId="7D3F8412" w:rsidR="001E4BB8" w:rsidRPr="00A60861" w:rsidRDefault="00BB2275" w:rsidP="008F47F3">
      <w:pPr>
        <w:pStyle w:val="TextoCarta"/>
        <w:spacing w:after="0" w:line="276" w:lineRule="auto"/>
        <w:rPr>
          <w:rFonts w:ascii="Times New Roman" w:eastAsia="Times New Roman" w:hAnsi="Times New Roman" w:cs="Times New Roman"/>
          <w:sz w:val="24"/>
          <w:szCs w:val="24"/>
          <w:lang w:val="es-ES"/>
        </w:rPr>
      </w:pPr>
      <w:r w:rsidRPr="00BB2275">
        <w:rPr>
          <w:rFonts w:ascii="Times New Roman" w:eastAsia="Times New Roman" w:hAnsi="Times New Roman" w:cs="Times New Roman"/>
          <w:sz w:val="24"/>
          <w:szCs w:val="24"/>
          <w:lang w:val="es-ES"/>
        </w:rPr>
        <w:t xml:space="preserve">Mujeres Transformando el Mundo (“MTM”) es una organización no gubernamental multidisciplinaria feminista que realiza litigio estratégico con enfoque de género para reducir toda forma de violencia, especialmente violencia sexual y discriminación. </w:t>
      </w:r>
      <w:r w:rsidR="4B1EB8CB" w:rsidRPr="00A60861">
        <w:rPr>
          <w:rFonts w:ascii="Times New Roman" w:eastAsia="Times New Roman" w:hAnsi="Times New Roman" w:cs="Times New Roman"/>
          <w:sz w:val="24"/>
          <w:szCs w:val="24"/>
          <w:lang w:val="es-ES"/>
        </w:rPr>
        <w:t>El Centro de Derechos Reproductivos (el "Centro")</w:t>
      </w:r>
      <w:r w:rsidR="00E15AC7" w:rsidRPr="0287B8B7">
        <w:rPr>
          <w:rStyle w:val="EndnoteReference"/>
          <w:rFonts w:eastAsia="Times New Roman" w:cs="Times New Roman"/>
          <w:b w:val="0"/>
          <w:lang w:val="es-ES"/>
        </w:rPr>
        <w:endnoteReference w:id="2"/>
      </w:r>
      <w:r w:rsidR="4B1EB8CB" w:rsidRPr="00A60861">
        <w:rPr>
          <w:rFonts w:ascii="Times New Roman" w:eastAsia="Times New Roman" w:hAnsi="Times New Roman" w:cs="Times New Roman"/>
          <w:sz w:val="24"/>
          <w:szCs w:val="24"/>
          <w:lang w:val="es-ES"/>
        </w:rPr>
        <w:t xml:space="preserve">, </w:t>
      </w:r>
      <w:r w:rsidR="512269BF" w:rsidRPr="00A60861">
        <w:rPr>
          <w:rFonts w:ascii="Times New Roman" w:eastAsia="Times New Roman" w:hAnsi="Times New Roman" w:cs="Times New Roman"/>
          <w:sz w:val="24"/>
          <w:szCs w:val="24"/>
          <w:lang w:val="es-ES"/>
        </w:rPr>
        <w:t xml:space="preserve">es una organización </w:t>
      </w:r>
      <w:r w:rsidR="0E4D187D" w:rsidRPr="00A60861">
        <w:rPr>
          <w:rFonts w:ascii="Times New Roman" w:eastAsia="Times New Roman" w:hAnsi="Times New Roman" w:cs="Times New Roman"/>
          <w:sz w:val="24"/>
          <w:szCs w:val="24"/>
          <w:lang w:val="es-ES"/>
        </w:rPr>
        <w:t xml:space="preserve">global y </w:t>
      </w:r>
      <w:r w:rsidR="512269BF" w:rsidRPr="00A60861">
        <w:rPr>
          <w:rFonts w:ascii="Times New Roman" w:eastAsia="Times New Roman" w:hAnsi="Times New Roman" w:cs="Times New Roman"/>
          <w:sz w:val="24"/>
          <w:szCs w:val="24"/>
          <w:lang w:val="es-ES"/>
        </w:rPr>
        <w:t>no gubernamental</w:t>
      </w:r>
      <w:r w:rsidR="4B1EB8CB" w:rsidRPr="00A60861">
        <w:rPr>
          <w:rFonts w:ascii="Times New Roman" w:eastAsia="Times New Roman" w:hAnsi="Times New Roman" w:cs="Times New Roman"/>
          <w:sz w:val="24"/>
          <w:szCs w:val="24"/>
          <w:lang w:val="es-ES"/>
        </w:rPr>
        <w:t xml:space="preserve"> que trabaja para promover y garantizar los derechos humanos de las mujeres, específicamente la autonomía reproductiva y los derechos sexuales y reproductivos. </w:t>
      </w:r>
      <w:r w:rsidR="79248E2E" w:rsidRPr="00A60861">
        <w:rPr>
          <w:rFonts w:ascii="Times New Roman" w:eastAsia="Times New Roman" w:hAnsi="Times New Roman" w:cs="Times New Roman"/>
          <w:sz w:val="24"/>
          <w:szCs w:val="24"/>
          <w:lang w:val="es-ES"/>
        </w:rPr>
        <w:t xml:space="preserve">En el marco del </w:t>
      </w:r>
      <w:r w:rsidR="14CDD543" w:rsidRPr="00A60861">
        <w:rPr>
          <w:rFonts w:ascii="Times New Roman" w:eastAsia="Times New Roman" w:hAnsi="Times New Roman" w:cs="Times New Roman"/>
          <w:sz w:val="24"/>
          <w:szCs w:val="24"/>
          <w:lang w:val="es-ES"/>
        </w:rPr>
        <w:t>9</w:t>
      </w:r>
      <w:r w:rsidR="00EB2468">
        <w:rPr>
          <w:rFonts w:ascii="Times New Roman" w:eastAsia="Times New Roman" w:hAnsi="Times New Roman" w:cs="Times New Roman"/>
          <w:sz w:val="24"/>
          <w:szCs w:val="24"/>
          <w:lang w:val="es-ES"/>
        </w:rPr>
        <w:t>6</w:t>
      </w:r>
      <w:r w:rsidR="14CDD543" w:rsidRPr="00A60861">
        <w:rPr>
          <w:rFonts w:ascii="Times New Roman" w:eastAsia="Times New Roman" w:hAnsi="Times New Roman" w:cs="Times New Roman"/>
          <w:sz w:val="24"/>
          <w:szCs w:val="24"/>
          <w:lang w:val="es-ES"/>
        </w:rPr>
        <w:t>° período de sesiones del Comité de los Derechos del Niño</w:t>
      </w:r>
      <w:r w:rsidR="79248E2E" w:rsidRPr="00A60861">
        <w:rPr>
          <w:rFonts w:ascii="Times New Roman" w:eastAsia="Times New Roman" w:hAnsi="Times New Roman" w:cs="Times New Roman"/>
          <w:sz w:val="24"/>
          <w:szCs w:val="24"/>
          <w:lang w:val="es-ES"/>
        </w:rPr>
        <w:t xml:space="preserve"> (el "</w:t>
      </w:r>
      <w:r w:rsidR="79248E2E" w:rsidRPr="00A60861">
        <w:rPr>
          <w:rFonts w:ascii="Times New Roman" w:eastAsia="Times New Roman" w:hAnsi="Times New Roman" w:cs="Times New Roman"/>
          <w:sz w:val="24"/>
          <w:szCs w:val="24"/>
          <w:u w:val="single"/>
          <w:lang w:val="es-ES"/>
        </w:rPr>
        <w:t>Comité</w:t>
      </w:r>
      <w:r w:rsidR="79248E2E" w:rsidRPr="00A60861">
        <w:rPr>
          <w:rFonts w:ascii="Times New Roman" w:eastAsia="Times New Roman" w:hAnsi="Times New Roman" w:cs="Times New Roman"/>
          <w:sz w:val="24"/>
          <w:szCs w:val="24"/>
          <w:lang w:val="es-ES"/>
        </w:rPr>
        <w:t xml:space="preserve">"), </w:t>
      </w:r>
      <w:r w:rsidR="14CDD543" w:rsidRPr="00A60861">
        <w:rPr>
          <w:rFonts w:ascii="Times New Roman" w:eastAsia="Times New Roman" w:hAnsi="Times New Roman" w:cs="Times New Roman"/>
          <w:sz w:val="24"/>
          <w:szCs w:val="24"/>
          <w:lang w:val="es-ES"/>
        </w:rPr>
        <w:t>presenta</w:t>
      </w:r>
      <w:r w:rsidR="4DB79148" w:rsidRPr="00A60861">
        <w:rPr>
          <w:rFonts w:ascii="Times New Roman" w:eastAsia="Times New Roman" w:hAnsi="Times New Roman" w:cs="Times New Roman"/>
          <w:sz w:val="24"/>
          <w:szCs w:val="24"/>
          <w:lang w:val="es-ES"/>
        </w:rPr>
        <w:t>mos</w:t>
      </w:r>
      <w:r w:rsidR="79248E2E" w:rsidRPr="00A60861">
        <w:rPr>
          <w:rFonts w:ascii="Times New Roman" w:eastAsia="Times New Roman" w:hAnsi="Times New Roman" w:cs="Times New Roman"/>
          <w:sz w:val="24"/>
          <w:szCs w:val="24"/>
          <w:lang w:val="es-ES"/>
        </w:rPr>
        <w:t xml:space="preserve"> esta comunicación, aportando información </w:t>
      </w:r>
      <w:r w:rsidR="32F65849" w:rsidRPr="00A60861">
        <w:rPr>
          <w:rFonts w:ascii="Times New Roman" w:eastAsia="Times New Roman" w:hAnsi="Times New Roman" w:cs="Times New Roman"/>
          <w:sz w:val="24"/>
          <w:szCs w:val="24"/>
          <w:lang w:val="es-ES"/>
        </w:rPr>
        <w:t xml:space="preserve">adicional </w:t>
      </w:r>
      <w:r w:rsidR="79248E2E" w:rsidRPr="00A60861">
        <w:rPr>
          <w:rFonts w:ascii="Times New Roman" w:eastAsia="Times New Roman" w:hAnsi="Times New Roman" w:cs="Times New Roman"/>
          <w:sz w:val="24"/>
          <w:szCs w:val="24"/>
          <w:lang w:val="es-ES"/>
        </w:rPr>
        <w:t>actualizada respecto de las obligaciones de Guatemala de garantizar los derechos de l</w:t>
      </w:r>
      <w:r w:rsidR="0EDDB36C" w:rsidRPr="00A60861">
        <w:rPr>
          <w:rFonts w:ascii="Times New Roman" w:eastAsia="Times New Roman" w:hAnsi="Times New Roman" w:cs="Times New Roman"/>
          <w:sz w:val="24"/>
          <w:szCs w:val="24"/>
          <w:lang w:val="es-ES"/>
        </w:rPr>
        <w:t xml:space="preserve">as </w:t>
      </w:r>
      <w:r w:rsidR="14CDD543" w:rsidRPr="00A60861">
        <w:rPr>
          <w:rFonts w:ascii="Times New Roman" w:eastAsia="Times New Roman" w:hAnsi="Times New Roman" w:cs="Times New Roman"/>
          <w:sz w:val="24"/>
          <w:szCs w:val="24"/>
          <w:lang w:val="es-ES"/>
        </w:rPr>
        <w:t xml:space="preserve">niñas y adolescentes </w:t>
      </w:r>
      <w:r w:rsidR="51C71940" w:rsidRPr="00A60861">
        <w:rPr>
          <w:rFonts w:ascii="Times New Roman" w:eastAsia="Times New Roman" w:hAnsi="Times New Roman" w:cs="Times New Roman"/>
          <w:sz w:val="24"/>
          <w:szCs w:val="24"/>
          <w:lang w:val="es-ES"/>
        </w:rPr>
        <w:t xml:space="preserve">con capacidad de gestar </w:t>
      </w:r>
      <w:r w:rsidR="79248E2E" w:rsidRPr="00A60861">
        <w:rPr>
          <w:rFonts w:ascii="Times New Roman" w:eastAsia="Times New Roman" w:hAnsi="Times New Roman" w:cs="Times New Roman"/>
          <w:sz w:val="24"/>
          <w:szCs w:val="24"/>
          <w:lang w:val="es-ES"/>
        </w:rPr>
        <w:t>protegidos bajo la Convención sobre</w:t>
      </w:r>
      <w:r w:rsidR="3D2662EC" w:rsidRPr="00A60861">
        <w:rPr>
          <w:rFonts w:ascii="Times New Roman" w:eastAsia="Times New Roman" w:hAnsi="Times New Roman" w:cs="Times New Roman"/>
          <w:sz w:val="24"/>
          <w:szCs w:val="24"/>
          <w:lang w:val="es-ES"/>
        </w:rPr>
        <w:t xml:space="preserve"> los Derechos del Niño </w:t>
      </w:r>
      <w:r w:rsidR="79248E2E" w:rsidRPr="00A60861">
        <w:rPr>
          <w:rFonts w:ascii="Times New Roman" w:eastAsia="Times New Roman" w:hAnsi="Times New Roman" w:cs="Times New Roman"/>
          <w:sz w:val="24"/>
          <w:szCs w:val="24"/>
          <w:lang w:val="es-ES"/>
        </w:rPr>
        <w:t>(C</w:t>
      </w:r>
      <w:r w:rsidR="3D2662EC" w:rsidRPr="00A60861">
        <w:rPr>
          <w:rFonts w:ascii="Times New Roman" w:eastAsia="Times New Roman" w:hAnsi="Times New Roman" w:cs="Times New Roman"/>
          <w:sz w:val="24"/>
          <w:szCs w:val="24"/>
          <w:lang w:val="es-ES"/>
        </w:rPr>
        <w:t>DN</w:t>
      </w:r>
      <w:r w:rsidR="79248E2E" w:rsidRPr="00A60861">
        <w:rPr>
          <w:rFonts w:ascii="Times New Roman" w:eastAsia="Times New Roman" w:hAnsi="Times New Roman" w:cs="Times New Roman"/>
          <w:sz w:val="24"/>
          <w:szCs w:val="24"/>
          <w:lang w:val="es-ES"/>
        </w:rPr>
        <w:t xml:space="preserve">). </w:t>
      </w:r>
    </w:p>
    <w:p w14:paraId="1D6299DC" w14:textId="77777777" w:rsidR="00171351" w:rsidRPr="00A60861" w:rsidRDefault="00171351" w:rsidP="008F47F3">
      <w:pPr>
        <w:pStyle w:val="TextoCarta"/>
        <w:spacing w:after="0" w:line="276" w:lineRule="auto"/>
        <w:rPr>
          <w:rFonts w:ascii="Times New Roman" w:eastAsia="Times New Roman" w:hAnsi="Times New Roman" w:cs="Times New Roman"/>
          <w:sz w:val="24"/>
          <w:szCs w:val="24"/>
          <w:lang w:val="es-ES"/>
        </w:rPr>
      </w:pPr>
    </w:p>
    <w:p w14:paraId="695B57EA" w14:textId="5F82D859" w:rsidR="00D95515" w:rsidRPr="00A60861" w:rsidRDefault="001E4BB8" w:rsidP="008F47F3">
      <w:pPr>
        <w:pStyle w:val="TextoCarta"/>
        <w:spacing w:after="0" w:line="276" w:lineRule="auto"/>
        <w:rPr>
          <w:rFonts w:ascii="Times New Roman" w:eastAsia="Times New Roman" w:hAnsi="Times New Roman" w:cs="Times New Roman"/>
          <w:sz w:val="24"/>
          <w:szCs w:val="24"/>
          <w:lang w:val="es-ES"/>
        </w:rPr>
      </w:pPr>
      <w:r w:rsidRPr="00A60861">
        <w:rPr>
          <w:rFonts w:ascii="Times New Roman" w:eastAsia="Times New Roman" w:hAnsi="Times New Roman" w:cs="Times New Roman"/>
          <w:sz w:val="24"/>
          <w:szCs w:val="24"/>
          <w:lang w:val="es-ES"/>
        </w:rPr>
        <w:t xml:space="preserve">Esta carta está dividida en </w:t>
      </w:r>
      <w:r w:rsidR="00CF3FF9" w:rsidRPr="00A60861">
        <w:rPr>
          <w:rFonts w:ascii="Times New Roman" w:eastAsia="Times New Roman" w:hAnsi="Times New Roman" w:cs="Times New Roman"/>
          <w:sz w:val="24"/>
          <w:szCs w:val="24"/>
          <w:lang w:val="es-ES"/>
        </w:rPr>
        <w:t>tres</w:t>
      </w:r>
      <w:r w:rsidRPr="00A60861">
        <w:rPr>
          <w:rFonts w:ascii="Times New Roman" w:eastAsia="Times New Roman" w:hAnsi="Times New Roman" w:cs="Times New Roman"/>
          <w:sz w:val="24"/>
          <w:szCs w:val="24"/>
          <w:lang w:val="es-ES"/>
        </w:rPr>
        <w:t xml:space="preserve"> apartados. El </w:t>
      </w:r>
      <w:r w:rsidRPr="00A60861">
        <w:rPr>
          <w:rFonts w:ascii="Times New Roman" w:eastAsia="Times New Roman" w:hAnsi="Times New Roman" w:cs="Times New Roman"/>
          <w:i/>
          <w:iCs/>
          <w:sz w:val="24"/>
          <w:szCs w:val="24"/>
          <w:lang w:val="es-ES"/>
        </w:rPr>
        <w:t>primero,</w:t>
      </w:r>
      <w:r w:rsidRPr="00A60861">
        <w:rPr>
          <w:rFonts w:ascii="Times New Roman" w:eastAsia="Times New Roman" w:hAnsi="Times New Roman" w:cs="Times New Roman"/>
          <w:sz w:val="24"/>
          <w:szCs w:val="24"/>
          <w:lang w:val="es-ES"/>
        </w:rPr>
        <w:t xml:space="preserve"> </w:t>
      </w:r>
      <w:r w:rsidR="00AD5E02" w:rsidRPr="00A60861">
        <w:rPr>
          <w:rFonts w:ascii="Times New Roman" w:eastAsia="Times New Roman" w:hAnsi="Times New Roman" w:cs="Times New Roman"/>
          <w:sz w:val="24"/>
          <w:szCs w:val="24"/>
          <w:lang w:val="es-ES"/>
        </w:rPr>
        <w:t xml:space="preserve">examina la </w:t>
      </w:r>
      <w:r w:rsidR="00AD5E02" w:rsidRPr="00A60861">
        <w:rPr>
          <w:rFonts w:ascii="Times New Roman" w:eastAsia="Times New Roman" w:hAnsi="Times New Roman" w:cs="Times New Roman"/>
          <w:b/>
          <w:bCs/>
          <w:sz w:val="24"/>
          <w:szCs w:val="24"/>
          <w:lang w:val="es-ES"/>
        </w:rPr>
        <w:t>situación de acceso al aborto y la criminalización de este servicio de salud en Guatemala</w:t>
      </w:r>
      <w:r w:rsidR="00304D51" w:rsidRPr="00A60861">
        <w:rPr>
          <w:rFonts w:ascii="Times New Roman" w:eastAsia="Times New Roman" w:hAnsi="Times New Roman" w:cs="Times New Roman"/>
          <w:sz w:val="24"/>
          <w:szCs w:val="24"/>
          <w:lang w:val="es-ES"/>
        </w:rPr>
        <w:t xml:space="preserve">. El </w:t>
      </w:r>
      <w:r w:rsidR="00304D51" w:rsidRPr="00A60861">
        <w:rPr>
          <w:rFonts w:ascii="Times New Roman" w:eastAsia="Times New Roman" w:hAnsi="Times New Roman" w:cs="Times New Roman"/>
          <w:i/>
          <w:iCs/>
          <w:sz w:val="24"/>
          <w:szCs w:val="24"/>
          <w:lang w:val="es-ES"/>
        </w:rPr>
        <w:t>segundo</w:t>
      </w:r>
      <w:r w:rsidR="00AD5E02" w:rsidRPr="00A60861">
        <w:rPr>
          <w:rFonts w:ascii="Times New Roman" w:eastAsia="Times New Roman" w:hAnsi="Times New Roman" w:cs="Times New Roman"/>
          <w:i/>
          <w:iCs/>
          <w:sz w:val="24"/>
          <w:szCs w:val="24"/>
          <w:lang w:val="es-ES"/>
        </w:rPr>
        <w:t xml:space="preserve">, </w:t>
      </w:r>
      <w:r w:rsidR="00AD5E02" w:rsidRPr="00A60861">
        <w:rPr>
          <w:rFonts w:ascii="Times New Roman" w:eastAsia="Times New Roman" w:hAnsi="Times New Roman" w:cs="Times New Roman"/>
          <w:sz w:val="24"/>
          <w:szCs w:val="24"/>
          <w:lang w:val="es-ES"/>
        </w:rPr>
        <w:t>analiza la</w:t>
      </w:r>
      <w:r w:rsidR="00AD5E02" w:rsidRPr="00A60861">
        <w:rPr>
          <w:rFonts w:ascii="Times New Roman" w:eastAsia="Times New Roman" w:hAnsi="Times New Roman" w:cs="Times New Roman"/>
          <w:b/>
          <w:bCs/>
          <w:sz w:val="24"/>
          <w:szCs w:val="24"/>
          <w:lang w:val="es-ES"/>
        </w:rPr>
        <w:t xml:space="preserve"> prevalencia de violencia sexual y embarazos forzados contra NNA </w:t>
      </w:r>
      <w:r w:rsidR="00AD5E02" w:rsidRPr="00A60861">
        <w:rPr>
          <w:rFonts w:ascii="Times New Roman" w:eastAsia="Times New Roman" w:hAnsi="Times New Roman" w:cs="Times New Roman"/>
          <w:sz w:val="24"/>
          <w:szCs w:val="24"/>
          <w:lang w:val="es-ES"/>
        </w:rPr>
        <w:t>en el país objeto de este informe</w:t>
      </w:r>
      <w:r w:rsidRPr="00A60861">
        <w:rPr>
          <w:rFonts w:ascii="Times New Roman" w:eastAsia="Times New Roman" w:hAnsi="Times New Roman" w:cs="Times New Roman"/>
          <w:sz w:val="24"/>
          <w:szCs w:val="24"/>
          <w:lang w:val="es-ES"/>
        </w:rPr>
        <w:t>.</w:t>
      </w:r>
      <w:r w:rsidR="00304D51" w:rsidRPr="00A60861">
        <w:rPr>
          <w:rFonts w:ascii="Times New Roman" w:eastAsia="Times New Roman" w:hAnsi="Times New Roman" w:cs="Times New Roman"/>
          <w:sz w:val="24"/>
          <w:szCs w:val="24"/>
          <w:lang w:val="es-ES"/>
        </w:rPr>
        <w:t xml:space="preserve"> </w:t>
      </w:r>
      <w:r w:rsidR="00686A31">
        <w:rPr>
          <w:rFonts w:ascii="Times New Roman" w:eastAsia="Times New Roman" w:hAnsi="Times New Roman" w:cs="Times New Roman"/>
          <w:sz w:val="24"/>
          <w:szCs w:val="24"/>
          <w:lang w:val="es-ES"/>
        </w:rPr>
        <w:t xml:space="preserve">El </w:t>
      </w:r>
      <w:r w:rsidR="00686A31" w:rsidRPr="006D5319">
        <w:rPr>
          <w:rFonts w:ascii="Times New Roman" w:eastAsia="Times New Roman" w:hAnsi="Times New Roman" w:cs="Times New Roman"/>
          <w:i/>
          <w:iCs/>
          <w:sz w:val="24"/>
          <w:szCs w:val="24"/>
          <w:lang w:val="es-ES"/>
        </w:rPr>
        <w:t>t</w:t>
      </w:r>
      <w:r w:rsidR="00763373" w:rsidRPr="006D5319">
        <w:rPr>
          <w:rFonts w:ascii="Times New Roman" w:eastAsia="Times New Roman" w:hAnsi="Times New Roman" w:cs="Times New Roman"/>
          <w:i/>
          <w:iCs/>
          <w:sz w:val="24"/>
          <w:szCs w:val="24"/>
          <w:lang w:val="es-ES"/>
        </w:rPr>
        <w:t>ercero</w:t>
      </w:r>
      <w:r w:rsidR="00763373">
        <w:rPr>
          <w:rFonts w:ascii="Times New Roman" w:eastAsia="Times New Roman" w:hAnsi="Times New Roman" w:cs="Times New Roman"/>
          <w:sz w:val="24"/>
          <w:szCs w:val="24"/>
          <w:lang w:val="es-ES"/>
        </w:rPr>
        <w:t xml:space="preserve">, </w:t>
      </w:r>
      <w:r w:rsidR="005569F3">
        <w:rPr>
          <w:rFonts w:ascii="Times New Roman" w:eastAsia="Times New Roman" w:hAnsi="Times New Roman" w:cs="Times New Roman"/>
          <w:sz w:val="24"/>
          <w:szCs w:val="24"/>
          <w:lang w:val="es-ES"/>
        </w:rPr>
        <w:t>expon</w:t>
      </w:r>
      <w:r w:rsidR="00686A31">
        <w:rPr>
          <w:rFonts w:ascii="Times New Roman" w:eastAsia="Times New Roman" w:hAnsi="Times New Roman" w:cs="Times New Roman"/>
          <w:sz w:val="24"/>
          <w:szCs w:val="24"/>
          <w:lang w:val="es-ES"/>
        </w:rPr>
        <w:t>e</w:t>
      </w:r>
      <w:r w:rsidR="005569F3">
        <w:rPr>
          <w:rFonts w:ascii="Times New Roman" w:eastAsia="Times New Roman" w:hAnsi="Times New Roman" w:cs="Times New Roman"/>
          <w:sz w:val="24"/>
          <w:szCs w:val="24"/>
          <w:lang w:val="es-ES"/>
        </w:rPr>
        <w:t xml:space="preserve"> la falta de educación sexual integral en el país. </w:t>
      </w:r>
      <w:r w:rsidR="00CF3FF9" w:rsidRPr="00A60861">
        <w:rPr>
          <w:rFonts w:ascii="Times New Roman" w:eastAsia="Times New Roman" w:hAnsi="Times New Roman" w:cs="Times New Roman"/>
          <w:sz w:val="24"/>
          <w:szCs w:val="24"/>
          <w:lang w:val="es-ES"/>
        </w:rPr>
        <w:t xml:space="preserve">Finalmente </w:t>
      </w:r>
      <w:r w:rsidR="00686A31">
        <w:rPr>
          <w:rFonts w:ascii="Times New Roman" w:eastAsia="Times New Roman" w:hAnsi="Times New Roman" w:cs="Times New Roman"/>
          <w:sz w:val="24"/>
          <w:szCs w:val="24"/>
          <w:lang w:val="es-ES"/>
        </w:rPr>
        <w:t>se plantean</w:t>
      </w:r>
      <w:r w:rsidR="00686A31" w:rsidRPr="00A60861">
        <w:rPr>
          <w:rFonts w:ascii="Times New Roman" w:eastAsia="Times New Roman" w:hAnsi="Times New Roman" w:cs="Times New Roman"/>
          <w:sz w:val="24"/>
          <w:szCs w:val="24"/>
          <w:lang w:val="es-ES"/>
        </w:rPr>
        <w:t xml:space="preserve"> </w:t>
      </w:r>
      <w:r w:rsidR="009C4C07" w:rsidRPr="00A60861">
        <w:rPr>
          <w:rFonts w:ascii="Times New Roman" w:eastAsia="Times New Roman" w:hAnsi="Times New Roman" w:cs="Times New Roman"/>
          <w:sz w:val="24"/>
          <w:szCs w:val="24"/>
          <w:lang w:val="es-ES"/>
        </w:rPr>
        <w:t xml:space="preserve">las </w:t>
      </w:r>
      <w:r w:rsidR="009C4C07" w:rsidRPr="00A60861">
        <w:rPr>
          <w:rFonts w:ascii="Times New Roman" w:eastAsia="Times New Roman" w:hAnsi="Times New Roman" w:cs="Times New Roman"/>
          <w:b/>
          <w:bCs/>
          <w:sz w:val="24"/>
          <w:szCs w:val="24"/>
          <w:lang w:val="es-ES"/>
        </w:rPr>
        <w:t>recomendaciones</w:t>
      </w:r>
      <w:r w:rsidR="009C4C07" w:rsidRPr="00A60861">
        <w:rPr>
          <w:rFonts w:ascii="Times New Roman" w:eastAsia="Times New Roman" w:hAnsi="Times New Roman" w:cs="Times New Roman"/>
          <w:sz w:val="24"/>
          <w:szCs w:val="24"/>
          <w:lang w:val="es-ES"/>
        </w:rPr>
        <w:t xml:space="preserve"> que respetuosamente sug</w:t>
      </w:r>
      <w:r w:rsidR="002B2A19" w:rsidRPr="00A60861">
        <w:rPr>
          <w:rFonts w:ascii="Times New Roman" w:eastAsia="Times New Roman" w:hAnsi="Times New Roman" w:cs="Times New Roman"/>
          <w:sz w:val="24"/>
          <w:szCs w:val="24"/>
          <w:lang w:val="es-ES"/>
        </w:rPr>
        <w:t>erimos</w:t>
      </w:r>
      <w:r w:rsidR="009C4C07" w:rsidRPr="00A60861">
        <w:rPr>
          <w:rFonts w:ascii="Times New Roman" w:eastAsia="Times New Roman" w:hAnsi="Times New Roman" w:cs="Times New Roman"/>
          <w:sz w:val="24"/>
          <w:szCs w:val="24"/>
          <w:lang w:val="es-ES"/>
        </w:rPr>
        <w:t xml:space="preserve"> para el Estado de Guatemala</w:t>
      </w:r>
      <w:r w:rsidRPr="00A60861">
        <w:rPr>
          <w:rFonts w:ascii="Times New Roman" w:eastAsia="Times New Roman" w:hAnsi="Times New Roman" w:cs="Times New Roman"/>
          <w:sz w:val="24"/>
          <w:szCs w:val="24"/>
          <w:lang w:val="es-ES"/>
        </w:rPr>
        <w:t>.</w:t>
      </w:r>
    </w:p>
    <w:p w14:paraId="470F93BE" w14:textId="77777777" w:rsidR="00171351" w:rsidRPr="00A60861" w:rsidRDefault="00171351" w:rsidP="008F47F3">
      <w:pPr>
        <w:pStyle w:val="TextoCarta"/>
        <w:spacing w:after="0" w:line="276" w:lineRule="auto"/>
        <w:rPr>
          <w:rFonts w:ascii="Times New Roman" w:eastAsia="Times New Roman" w:hAnsi="Times New Roman" w:cs="Times New Roman"/>
          <w:sz w:val="24"/>
          <w:szCs w:val="24"/>
          <w:lang w:val="es-ES"/>
        </w:rPr>
      </w:pPr>
    </w:p>
    <w:p w14:paraId="164A0B4C" w14:textId="1F486DE8" w:rsidR="002A7B75" w:rsidRPr="00A60861" w:rsidRDefault="002A7B75" w:rsidP="008F47F3">
      <w:pPr>
        <w:pStyle w:val="ListParagraph"/>
        <w:numPr>
          <w:ilvl w:val="0"/>
          <w:numId w:val="7"/>
        </w:numPr>
        <w:spacing w:line="276" w:lineRule="auto"/>
        <w:ind w:left="720"/>
        <w:rPr>
          <w:rFonts w:ascii="Times New Roman" w:eastAsia="Times New Roman" w:hAnsi="Times New Roman" w:cs="Times New Roman"/>
          <w:b/>
          <w:bCs/>
          <w:sz w:val="24"/>
          <w:szCs w:val="24"/>
          <w:lang w:val="es-CO"/>
        </w:rPr>
      </w:pPr>
      <w:r w:rsidRPr="00A60861">
        <w:rPr>
          <w:rFonts w:ascii="Times New Roman" w:eastAsia="Times New Roman" w:hAnsi="Times New Roman" w:cs="Times New Roman"/>
          <w:b/>
          <w:bCs/>
          <w:sz w:val="24"/>
          <w:szCs w:val="24"/>
          <w:lang w:val="es-CO"/>
        </w:rPr>
        <w:t xml:space="preserve">Guatemala prohíbe de forma </w:t>
      </w:r>
      <w:proofErr w:type="spellStart"/>
      <w:r w:rsidRPr="00A60861">
        <w:rPr>
          <w:rFonts w:ascii="Times New Roman" w:eastAsia="Times New Roman" w:hAnsi="Times New Roman" w:cs="Times New Roman"/>
          <w:b/>
          <w:bCs/>
          <w:sz w:val="24"/>
          <w:szCs w:val="24"/>
          <w:lang w:val="es-CO"/>
        </w:rPr>
        <w:t>cuasi-absoluta</w:t>
      </w:r>
      <w:proofErr w:type="spellEnd"/>
      <w:r w:rsidRPr="00A60861">
        <w:rPr>
          <w:rFonts w:ascii="Times New Roman" w:eastAsia="Times New Roman" w:hAnsi="Times New Roman" w:cs="Times New Roman"/>
          <w:b/>
          <w:bCs/>
          <w:sz w:val="24"/>
          <w:szCs w:val="24"/>
          <w:lang w:val="es-CO"/>
        </w:rPr>
        <w:t xml:space="preserve"> el aborto</w:t>
      </w:r>
      <w:r w:rsidR="00C96094" w:rsidRPr="00A60861">
        <w:rPr>
          <w:rFonts w:ascii="Times New Roman" w:eastAsia="Times New Roman" w:hAnsi="Times New Roman" w:cs="Times New Roman"/>
          <w:b/>
          <w:bCs/>
          <w:sz w:val="24"/>
          <w:szCs w:val="24"/>
          <w:lang w:val="es-CO"/>
        </w:rPr>
        <w:t>.</w:t>
      </w:r>
    </w:p>
    <w:p w14:paraId="572DBB34" w14:textId="5E00CAF8" w:rsidR="0093467E" w:rsidRDefault="0093467E" w:rsidP="008F47F3">
      <w:pPr>
        <w:snapToGrid w:val="0"/>
        <w:spacing w:after="0" w:line="276" w:lineRule="auto"/>
        <w:jc w:val="both"/>
        <w:rPr>
          <w:rFonts w:ascii="Times New Roman" w:eastAsia="Times New Roman" w:hAnsi="Times New Roman" w:cs="Times New Roman"/>
          <w:sz w:val="24"/>
          <w:szCs w:val="24"/>
          <w:lang w:val="es-ES"/>
        </w:rPr>
      </w:pPr>
      <w:r w:rsidRPr="0093467E">
        <w:rPr>
          <w:rFonts w:ascii="Times New Roman" w:eastAsia="Times New Roman" w:hAnsi="Times New Roman" w:cs="Times New Roman"/>
          <w:sz w:val="24"/>
          <w:szCs w:val="24"/>
          <w:lang w:val="es-ES"/>
        </w:rPr>
        <w:t>Guatemala criminaliza el aborto en cualquier circunstancia, siendo la única excepción el aborto terapéutico para proteger la vida de la madre en caso de peligro y bajo circunstancias muy limitadas.</w:t>
      </w:r>
      <w:r w:rsidRPr="00DB5279">
        <w:rPr>
          <w:rStyle w:val="EndnoteReference"/>
          <w:rFonts w:eastAsia="Times New Roman" w:cs="Times New Roman"/>
          <w:b w:val="0"/>
          <w:szCs w:val="24"/>
          <w:lang w:val="es-ES"/>
        </w:rPr>
        <w:endnoteReference w:id="3"/>
      </w:r>
      <w:r w:rsidRPr="0093467E">
        <w:rPr>
          <w:rFonts w:ascii="Times New Roman" w:eastAsia="Times New Roman" w:hAnsi="Times New Roman" w:cs="Times New Roman"/>
          <w:sz w:val="24"/>
          <w:szCs w:val="24"/>
          <w:lang w:val="es-ES"/>
        </w:rPr>
        <w:t xml:space="preserve"> La realización de un aborto dentro de la excepción riesgo para la vida, según el marco </w:t>
      </w:r>
      <w:r w:rsidRPr="0093467E">
        <w:rPr>
          <w:rFonts w:ascii="Times New Roman" w:eastAsia="Times New Roman" w:hAnsi="Times New Roman" w:cs="Times New Roman"/>
          <w:sz w:val="24"/>
          <w:szCs w:val="24"/>
          <w:lang w:val="es-ES"/>
        </w:rPr>
        <w:lastRenderedPageBreak/>
        <w:t>legal interno, debe ser por un médico, previo diagnóstico favorable de por lo menos otro médico, después de haber agotado todos los medios científicos.</w:t>
      </w:r>
      <w:r w:rsidRPr="00DB5279">
        <w:rPr>
          <w:rStyle w:val="EndnoteReference"/>
          <w:rFonts w:eastAsia="Times New Roman" w:cs="Times New Roman"/>
          <w:b w:val="0"/>
          <w:szCs w:val="24"/>
        </w:rPr>
        <w:endnoteReference w:id="4"/>
      </w:r>
      <w:r w:rsidRPr="0093467E">
        <w:rPr>
          <w:rFonts w:ascii="Times New Roman" w:eastAsia="Times New Roman" w:hAnsi="Times New Roman" w:cs="Times New Roman"/>
          <w:b/>
          <w:bCs/>
          <w:sz w:val="24"/>
          <w:szCs w:val="24"/>
          <w:lang w:val="es-ES"/>
        </w:rPr>
        <w:t xml:space="preserve"> </w:t>
      </w:r>
      <w:r w:rsidRPr="0093467E">
        <w:rPr>
          <w:rFonts w:ascii="Times New Roman" w:eastAsia="Times New Roman" w:hAnsi="Times New Roman" w:cs="Times New Roman"/>
          <w:sz w:val="24"/>
          <w:szCs w:val="24"/>
          <w:lang w:val="es-ES"/>
        </w:rPr>
        <w:t xml:space="preserve">En consecuencia, en Guatemala opera en la práctica una criminalización </w:t>
      </w:r>
      <w:proofErr w:type="spellStart"/>
      <w:r w:rsidRPr="0093467E">
        <w:rPr>
          <w:rFonts w:ascii="Times New Roman" w:eastAsia="Times New Roman" w:hAnsi="Times New Roman" w:cs="Times New Roman"/>
          <w:sz w:val="24"/>
          <w:szCs w:val="24"/>
          <w:lang w:val="es-ES"/>
        </w:rPr>
        <w:t>cuasi-absoluta</w:t>
      </w:r>
      <w:proofErr w:type="spellEnd"/>
      <w:r w:rsidRPr="0093467E">
        <w:rPr>
          <w:rFonts w:ascii="Times New Roman" w:eastAsia="Times New Roman" w:hAnsi="Times New Roman" w:cs="Times New Roman"/>
          <w:sz w:val="24"/>
          <w:szCs w:val="24"/>
          <w:lang w:val="es-ES"/>
        </w:rPr>
        <w:t xml:space="preserve"> del aborto. </w:t>
      </w:r>
    </w:p>
    <w:p w14:paraId="061D8A81" w14:textId="77777777" w:rsidR="00D43FF7" w:rsidRPr="00A60861" w:rsidRDefault="00D43FF7" w:rsidP="008F47F3">
      <w:pPr>
        <w:snapToGrid w:val="0"/>
        <w:spacing w:after="0" w:line="276" w:lineRule="auto"/>
        <w:jc w:val="both"/>
        <w:rPr>
          <w:rFonts w:ascii="Times New Roman" w:eastAsia="Times New Roman" w:hAnsi="Times New Roman" w:cs="Times New Roman"/>
          <w:sz w:val="24"/>
          <w:szCs w:val="24"/>
          <w:lang w:val="es-ES"/>
        </w:rPr>
      </w:pPr>
    </w:p>
    <w:p w14:paraId="1184D18B" w14:textId="77777777" w:rsidR="00460F21" w:rsidRPr="00DB5279" w:rsidRDefault="00460F21" w:rsidP="008F47F3">
      <w:pPr>
        <w:pStyle w:val="ListParagraph"/>
        <w:spacing w:after="0" w:line="276" w:lineRule="auto"/>
        <w:ind w:left="0"/>
        <w:jc w:val="both"/>
        <w:rPr>
          <w:rFonts w:ascii="Times New Roman" w:eastAsia="Times New Roman" w:hAnsi="Times New Roman" w:cs="Times New Roman"/>
          <w:sz w:val="24"/>
          <w:szCs w:val="24"/>
          <w:lang w:val="es-ES"/>
        </w:rPr>
      </w:pPr>
      <w:r w:rsidRPr="00DB5279">
        <w:rPr>
          <w:rFonts w:ascii="Times New Roman" w:eastAsia="Times New Roman" w:hAnsi="Times New Roman" w:cs="Times New Roman"/>
          <w:sz w:val="24"/>
          <w:szCs w:val="24"/>
          <w:lang w:val="es-ES"/>
        </w:rPr>
        <w:t>Lo anterior es de extremo problemático</w:t>
      </w:r>
      <w:r w:rsidR="002615DB">
        <w:rPr>
          <w:rFonts w:ascii="Times New Roman" w:eastAsia="Times New Roman" w:hAnsi="Times New Roman" w:cs="Times New Roman"/>
          <w:sz w:val="24"/>
          <w:szCs w:val="24"/>
          <w:lang w:val="es-ES"/>
        </w:rPr>
        <w:t>,</w:t>
      </w:r>
      <w:r w:rsidRPr="00DB5279">
        <w:rPr>
          <w:rFonts w:ascii="Times New Roman" w:eastAsia="Times New Roman" w:hAnsi="Times New Roman" w:cs="Times New Roman"/>
          <w:sz w:val="24"/>
          <w:szCs w:val="24"/>
          <w:lang w:val="es-ES"/>
        </w:rPr>
        <w:t xml:space="preserve"> sobre todo en casos de embarazos forzados en niñas y adolescentes, por cuanto la evidencia ha demostrado que estos embarazos producto de violaciones sexuales y las consecuentes maternidades forzadas, afectan de manera perjudicial y definitiva todas las esferas de la vida de las niñas y adolescentes, incluyendo su salud emocional y social, así como los proyectos de vida y su futuro</w:t>
      </w:r>
      <w:r w:rsidRPr="00DB5279">
        <w:rPr>
          <w:rStyle w:val="EndnoteReference"/>
          <w:rFonts w:eastAsia="Times New Roman" w:cs="Times New Roman"/>
          <w:b w:val="0"/>
          <w:szCs w:val="24"/>
        </w:rPr>
        <w:endnoteReference w:id="5"/>
      </w:r>
      <w:r w:rsidRPr="00DB5279">
        <w:rPr>
          <w:rFonts w:ascii="Times New Roman" w:eastAsia="Times New Roman" w:hAnsi="Times New Roman" w:cs="Times New Roman"/>
          <w:b/>
          <w:bCs/>
          <w:sz w:val="24"/>
          <w:szCs w:val="24"/>
          <w:lang w:val="es-ES"/>
        </w:rPr>
        <w:t>.</w:t>
      </w:r>
      <w:r w:rsidRPr="00DB5279">
        <w:rPr>
          <w:rFonts w:ascii="Times New Roman" w:eastAsia="Times New Roman" w:hAnsi="Times New Roman" w:cs="Times New Roman"/>
          <w:sz w:val="24"/>
          <w:szCs w:val="24"/>
          <w:lang w:val="es-ES"/>
        </w:rPr>
        <w:t xml:space="preserve"> Por ejemplo, las complicaciones durante el embarazo y el parto son la segunda causa de muerte entre las adolescentes de 15 a 19 años en todo el mundo</w:t>
      </w:r>
      <w:r w:rsidRPr="00DB5279">
        <w:rPr>
          <w:rStyle w:val="EndnoteReference"/>
          <w:rFonts w:eastAsia="Times New Roman" w:cs="Times New Roman"/>
          <w:b w:val="0"/>
          <w:szCs w:val="24"/>
        </w:rPr>
        <w:endnoteReference w:id="6"/>
      </w:r>
      <w:r w:rsidRPr="00DB5279">
        <w:rPr>
          <w:rFonts w:ascii="Times New Roman" w:eastAsia="Times New Roman" w:hAnsi="Times New Roman" w:cs="Times New Roman"/>
          <w:b/>
          <w:bCs/>
          <w:sz w:val="24"/>
          <w:szCs w:val="24"/>
          <w:lang w:val="es-ES"/>
        </w:rPr>
        <w:t xml:space="preserve"> </w:t>
      </w:r>
      <w:r w:rsidRPr="00DB5279">
        <w:rPr>
          <w:rFonts w:ascii="Times New Roman" w:eastAsia="Times New Roman" w:hAnsi="Times New Roman" w:cs="Times New Roman"/>
          <w:sz w:val="24"/>
          <w:szCs w:val="24"/>
          <w:lang w:val="es-ES"/>
        </w:rPr>
        <w:t>y el riesgo de muerte por las complicaciones relacionadas con el embarazo son mayores para las niñas menores de 15 años.</w:t>
      </w:r>
      <w:r w:rsidRPr="00DB5279">
        <w:rPr>
          <w:rStyle w:val="EndnoteReference"/>
          <w:rFonts w:eastAsia="Times New Roman" w:cs="Times New Roman"/>
          <w:b w:val="0"/>
          <w:szCs w:val="24"/>
        </w:rPr>
        <w:endnoteReference w:id="7"/>
      </w:r>
      <w:r w:rsidRPr="00DB5279">
        <w:rPr>
          <w:rFonts w:ascii="Times New Roman" w:eastAsia="Times New Roman" w:hAnsi="Times New Roman" w:cs="Times New Roman"/>
          <w:b/>
          <w:bCs/>
          <w:sz w:val="24"/>
          <w:szCs w:val="24"/>
          <w:lang w:val="es-ES"/>
        </w:rPr>
        <w:t xml:space="preserve"> </w:t>
      </w:r>
    </w:p>
    <w:p w14:paraId="2F677DD1" w14:textId="77777777" w:rsidR="00D43FF7" w:rsidRPr="00DB5279" w:rsidRDefault="00D43FF7" w:rsidP="008F47F3">
      <w:pPr>
        <w:pStyle w:val="ListParagraph"/>
        <w:snapToGrid w:val="0"/>
        <w:spacing w:after="0" w:line="276" w:lineRule="auto"/>
        <w:ind w:left="0"/>
        <w:jc w:val="both"/>
        <w:rPr>
          <w:rFonts w:ascii="Times New Roman" w:eastAsia="Times New Roman" w:hAnsi="Times New Roman" w:cs="Times New Roman"/>
          <w:sz w:val="24"/>
          <w:szCs w:val="24"/>
          <w:lang w:val="es-ES"/>
        </w:rPr>
      </w:pPr>
    </w:p>
    <w:p w14:paraId="305276DF" w14:textId="77777777" w:rsidR="005D471F" w:rsidRPr="00DB5279" w:rsidRDefault="00EF5801" w:rsidP="008F47F3">
      <w:pPr>
        <w:pStyle w:val="ListParagraph"/>
        <w:snapToGrid w:val="0"/>
        <w:spacing w:after="0" w:line="276" w:lineRule="auto"/>
        <w:ind w:left="0"/>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A pesar de lo anterior</w:t>
      </w:r>
      <w:r w:rsidR="57E2F8C3" w:rsidRPr="00DB5279">
        <w:rPr>
          <w:rFonts w:ascii="Times New Roman" w:eastAsia="Times New Roman" w:hAnsi="Times New Roman" w:cs="Times New Roman"/>
          <w:sz w:val="24"/>
          <w:szCs w:val="24"/>
          <w:lang w:val="es-ES"/>
        </w:rPr>
        <w:t xml:space="preserve">, </w:t>
      </w:r>
      <w:r w:rsidR="00E27C38" w:rsidRPr="00DB5279">
        <w:rPr>
          <w:rFonts w:ascii="Times New Roman" w:eastAsia="Times New Roman" w:hAnsi="Times New Roman" w:cs="Times New Roman"/>
          <w:sz w:val="24"/>
          <w:szCs w:val="24"/>
          <w:lang w:val="es-ES"/>
        </w:rPr>
        <w:t>la</w:t>
      </w:r>
      <w:r w:rsidR="57E2F8C3" w:rsidRPr="00DB5279">
        <w:rPr>
          <w:rFonts w:ascii="Times New Roman" w:eastAsia="Times New Roman" w:hAnsi="Times New Roman" w:cs="Times New Roman"/>
          <w:sz w:val="24"/>
          <w:szCs w:val="24"/>
          <w:lang w:val="es-ES"/>
        </w:rPr>
        <w:t xml:space="preserve"> criminalización</w:t>
      </w:r>
      <w:r w:rsidR="00E27C38" w:rsidRPr="00DB5279">
        <w:rPr>
          <w:rFonts w:ascii="Times New Roman" w:eastAsia="Times New Roman" w:hAnsi="Times New Roman" w:cs="Times New Roman"/>
          <w:sz w:val="24"/>
          <w:szCs w:val="24"/>
          <w:lang w:val="es-ES"/>
        </w:rPr>
        <w:t xml:space="preserve"> del aborto en Guatemala</w:t>
      </w:r>
      <w:r w:rsidR="57E2F8C3" w:rsidRPr="00DB5279">
        <w:rPr>
          <w:rFonts w:ascii="Times New Roman" w:eastAsia="Times New Roman" w:hAnsi="Times New Roman" w:cs="Times New Roman"/>
          <w:sz w:val="24"/>
          <w:szCs w:val="24"/>
          <w:lang w:val="es-ES"/>
        </w:rPr>
        <w:t xml:space="preserve"> se mantiene incluso en los casos de embarazos de niñas menores de 14 años</w:t>
      </w:r>
      <w:r w:rsidR="20B13DE8" w:rsidRPr="00DB5279">
        <w:rPr>
          <w:rFonts w:ascii="Times New Roman" w:eastAsia="Times New Roman" w:hAnsi="Times New Roman" w:cs="Times New Roman"/>
          <w:sz w:val="24"/>
          <w:szCs w:val="24"/>
          <w:lang w:val="es-ES"/>
        </w:rPr>
        <w:t xml:space="preserve">, donde las rutas de atención disponibles </w:t>
      </w:r>
      <w:r w:rsidR="20B13DE8" w:rsidRPr="00DB5279">
        <w:rPr>
          <w:rFonts w:ascii="Times New Roman" w:eastAsia="Times New Roman" w:hAnsi="Times New Roman" w:cs="Times New Roman"/>
          <w:sz w:val="24"/>
          <w:szCs w:val="24"/>
          <w:u w:val="single"/>
          <w:lang w:val="es-ES"/>
        </w:rPr>
        <w:t>no contemplan la protección de la salud mental, ni el acceso al aborto legal</w:t>
      </w:r>
      <w:r w:rsidR="00C96094" w:rsidRPr="00DB5279">
        <w:rPr>
          <w:rFonts w:ascii="Times New Roman" w:eastAsia="Times New Roman" w:hAnsi="Times New Roman" w:cs="Times New Roman"/>
          <w:sz w:val="24"/>
          <w:szCs w:val="24"/>
          <w:u w:val="single"/>
          <w:lang w:val="es-ES"/>
        </w:rPr>
        <w:t>.</w:t>
      </w:r>
      <w:r w:rsidR="00B579EC" w:rsidRPr="00DB5279">
        <w:rPr>
          <w:rStyle w:val="EndnoteReference"/>
          <w:rFonts w:eastAsia="Times New Roman" w:cs="Times New Roman"/>
          <w:b w:val="0"/>
          <w:szCs w:val="24"/>
        </w:rPr>
        <w:endnoteReference w:id="8"/>
      </w:r>
      <w:r w:rsidR="57E2F8C3" w:rsidRPr="00DB5279">
        <w:rPr>
          <w:rFonts w:ascii="Times New Roman" w:eastAsia="Times New Roman" w:hAnsi="Times New Roman" w:cs="Times New Roman"/>
          <w:sz w:val="24"/>
          <w:szCs w:val="24"/>
          <w:lang w:val="es-ES"/>
        </w:rPr>
        <w:t xml:space="preserve"> </w:t>
      </w:r>
      <w:r w:rsidR="0A9DC60C" w:rsidRPr="00DB5279">
        <w:rPr>
          <w:rFonts w:ascii="Times New Roman" w:eastAsia="Times New Roman" w:hAnsi="Times New Roman" w:cs="Times New Roman"/>
          <w:sz w:val="24"/>
          <w:szCs w:val="24"/>
          <w:lang w:val="es-ES"/>
        </w:rPr>
        <w:t>La "</w:t>
      </w:r>
      <w:r w:rsidR="0A9DC60C" w:rsidRPr="00DB5279">
        <w:rPr>
          <w:rFonts w:ascii="Times New Roman" w:eastAsia="Times New Roman" w:hAnsi="Times New Roman" w:cs="Times New Roman"/>
          <w:i/>
          <w:iCs/>
          <w:sz w:val="24"/>
          <w:szCs w:val="24"/>
          <w:lang w:val="es-ES"/>
        </w:rPr>
        <w:t>Guía para la atención integral de la hemorragia del primer y segundo trimestre y del postaborto y sus complicaciones</w:t>
      </w:r>
      <w:r w:rsidR="0A9DC60C" w:rsidRPr="00DB5279">
        <w:rPr>
          <w:rFonts w:ascii="Times New Roman" w:eastAsia="Times New Roman" w:hAnsi="Times New Roman" w:cs="Times New Roman"/>
          <w:sz w:val="24"/>
          <w:szCs w:val="24"/>
          <w:lang w:val="es-ES"/>
        </w:rPr>
        <w:t>" del Ministerio de Salud guatemalteco no contempla el caso específico del acceso al aborto legal de las niñas menores de 14 años</w:t>
      </w:r>
      <w:r w:rsidR="00740E91" w:rsidRPr="00DB5279">
        <w:rPr>
          <w:rFonts w:ascii="Times New Roman" w:eastAsia="Times New Roman" w:hAnsi="Times New Roman" w:cs="Times New Roman"/>
          <w:sz w:val="24"/>
          <w:szCs w:val="24"/>
          <w:lang w:val="es-ES"/>
        </w:rPr>
        <w:t>.</w:t>
      </w:r>
      <w:r w:rsidR="006D4B9C" w:rsidRPr="00DB5279">
        <w:rPr>
          <w:rStyle w:val="EndnoteReference"/>
          <w:rFonts w:eastAsia="Times New Roman" w:cs="Times New Roman"/>
          <w:b w:val="0"/>
          <w:szCs w:val="24"/>
        </w:rPr>
        <w:endnoteReference w:id="9"/>
      </w:r>
      <w:r w:rsidR="0A9DC60C" w:rsidRPr="00DB5279">
        <w:rPr>
          <w:rFonts w:ascii="Times New Roman" w:eastAsia="Times New Roman" w:hAnsi="Times New Roman" w:cs="Times New Roman"/>
          <w:sz w:val="24"/>
          <w:szCs w:val="24"/>
          <w:lang w:val="es-ES"/>
        </w:rPr>
        <w:t xml:space="preserve"> </w:t>
      </w:r>
      <w:r w:rsidR="57E2F8C3" w:rsidRPr="00DB5279">
        <w:rPr>
          <w:rFonts w:ascii="Times New Roman" w:eastAsia="Times New Roman" w:hAnsi="Times New Roman" w:cs="Times New Roman"/>
          <w:sz w:val="24"/>
          <w:szCs w:val="24"/>
          <w:lang w:val="es-ES"/>
        </w:rPr>
        <w:t xml:space="preserve">Ello a pesar de que i) estos embarazos son considerados de por sí de alto riesgo; </w:t>
      </w:r>
      <w:proofErr w:type="spellStart"/>
      <w:r w:rsidR="57E2F8C3" w:rsidRPr="00DB5279">
        <w:rPr>
          <w:rFonts w:ascii="Times New Roman" w:eastAsia="Times New Roman" w:hAnsi="Times New Roman" w:cs="Times New Roman"/>
          <w:sz w:val="24"/>
          <w:szCs w:val="24"/>
          <w:lang w:val="es-ES"/>
        </w:rPr>
        <w:t>ii</w:t>
      </w:r>
      <w:proofErr w:type="spellEnd"/>
      <w:r w:rsidR="57E2F8C3" w:rsidRPr="00DB5279">
        <w:rPr>
          <w:rFonts w:ascii="Times New Roman" w:eastAsia="Times New Roman" w:hAnsi="Times New Roman" w:cs="Times New Roman"/>
          <w:sz w:val="24"/>
          <w:szCs w:val="24"/>
          <w:lang w:val="es-ES"/>
        </w:rPr>
        <w:t>) tienen implicaciones graves e irreversibles para la vida y la salud física y mental de las niñas</w:t>
      </w:r>
      <w:r w:rsidR="002A7B75" w:rsidRPr="00DB5279">
        <w:rPr>
          <w:rStyle w:val="EndnoteReference"/>
          <w:rFonts w:eastAsia="Times New Roman" w:cs="Times New Roman"/>
          <w:b w:val="0"/>
          <w:szCs w:val="24"/>
        </w:rPr>
        <w:endnoteReference w:id="10"/>
      </w:r>
      <w:r w:rsidR="57E2F8C3" w:rsidRPr="00DB5279">
        <w:rPr>
          <w:rFonts w:ascii="Times New Roman" w:eastAsia="Times New Roman" w:hAnsi="Times New Roman" w:cs="Times New Roman"/>
          <w:sz w:val="24"/>
          <w:szCs w:val="24"/>
          <w:lang w:val="es-ES"/>
        </w:rPr>
        <w:t xml:space="preserve">; y </w:t>
      </w:r>
      <w:proofErr w:type="spellStart"/>
      <w:r w:rsidR="57E2F8C3" w:rsidRPr="00DB5279">
        <w:rPr>
          <w:rFonts w:ascii="Times New Roman" w:eastAsia="Times New Roman" w:hAnsi="Times New Roman" w:cs="Times New Roman"/>
          <w:sz w:val="24"/>
          <w:szCs w:val="24"/>
          <w:lang w:val="es-ES"/>
        </w:rPr>
        <w:t>iii</w:t>
      </w:r>
      <w:proofErr w:type="spellEnd"/>
      <w:r w:rsidR="57E2F8C3" w:rsidRPr="00DB5279">
        <w:rPr>
          <w:rFonts w:ascii="Times New Roman" w:eastAsia="Times New Roman" w:hAnsi="Times New Roman" w:cs="Times New Roman"/>
          <w:sz w:val="24"/>
          <w:szCs w:val="24"/>
          <w:lang w:val="es-ES"/>
        </w:rPr>
        <w:t>) el Código Penal establece que las relaciones sexuales con menores de 14 años se consideran violaciones</w:t>
      </w:r>
      <w:r w:rsidR="00740E91" w:rsidRPr="00DB5279">
        <w:rPr>
          <w:rFonts w:ascii="Times New Roman" w:eastAsia="Times New Roman" w:hAnsi="Times New Roman" w:cs="Times New Roman"/>
          <w:sz w:val="24"/>
          <w:szCs w:val="24"/>
          <w:lang w:val="es-ES"/>
        </w:rPr>
        <w:t>.</w:t>
      </w:r>
      <w:r w:rsidR="002A7B75" w:rsidRPr="00DB5279">
        <w:rPr>
          <w:rStyle w:val="EndnoteReference"/>
          <w:rFonts w:eastAsia="Times New Roman" w:cs="Times New Roman"/>
          <w:b w:val="0"/>
          <w:szCs w:val="24"/>
        </w:rPr>
        <w:endnoteReference w:id="11"/>
      </w:r>
      <w:r w:rsidR="57E2F8C3" w:rsidRPr="00DB5279">
        <w:rPr>
          <w:rFonts w:ascii="Times New Roman" w:eastAsia="Times New Roman" w:hAnsi="Times New Roman" w:cs="Times New Roman"/>
          <w:sz w:val="24"/>
          <w:szCs w:val="24"/>
          <w:lang w:val="es-ES"/>
        </w:rPr>
        <w:t xml:space="preserve"> </w:t>
      </w:r>
    </w:p>
    <w:p w14:paraId="66A70879" w14:textId="77777777" w:rsidR="005D471F" w:rsidRPr="00DB5279" w:rsidRDefault="005D471F" w:rsidP="008F47F3">
      <w:pPr>
        <w:pStyle w:val="ListParagraph"/>
        <w:snapToGrid w:val="0"/>
        <w:spacing w:after="0" w:line="276" w:lineRule="auto"/>
        <w:ind w:left="0"/>
        <w:jc w:val="both"/>
        <w:rPr>
          <w:rFonts w:ascii="Times New Roman" w:eastAsia="Times New Roman" w:hAnsi="Times New Roman" w:cs="Times New Roman"/>
          <w:sz w:val="24"/>
          <w:szCs w:val="24"/>
          <w:lang w:val="es-ES"/>
        </w:rPr>
      </w:pPr>
    </w:p>
    <w:p w14:paraId="30FD0464" w14:textId="351A131A" w:rsidR="001777E8" w:rsidRDefault="00351969" w:rsidP="008F47F3">
      <w:pPr>
        <w:pStyle w:val="ListParagraph"/>
        <w:snapToGrid w:val="0"/>
        <w:spacing w:after="0" w:line="276" w:lineRule="auto"/>
        <w:ind w:left="0"/>
        <w:jc w:val="both"/>
        <w:rPr>
          <w:rFonts w:ascii="Times New Roman" w:eastAsiaTheme="majorEastAsia" w:hAnsi="Times New Roman" w:cs="Times New Roman"/>
          <w:sz w:val="24"/>
          <w:szCs w:val="24"/>
          <w:lang w:val="es-ES"/>
        </w:rPr>
      </w:pPr>
      <w:r w:rsidRPr="00DB5279">
        <w:rPr>
          <w:rFonts w:ascii="Times New Roman" w:eastAsia="Times New Roman" w:hAnsi="Times New Roman" w:cs="Times New Roman"/>
          <w:sz w:val="24"/>
          <w:szCs w:val="24"/>
          <w:lang w:val="es-ES"/>
        </w:rPr>
        <w:t>Au</w:t>
      </w:r>
      <w:r w:rsidR="00B90BFB">
        <w:rPr>
          <w:rFonts w:ascii="Times New Roman" w:eastAsia="Times New Roman" w:hAnsi="Times New Roman" w:cs="Times New Roman"/>
          <w:sz w:val="24"/>
          <w:szCs w:val="24"/>
          <w:lang w:val="es-ES"/>
        </w:rPr>
        <w:t>na</w:t>
      </w:r>
      <w:r w:rsidRPr="00DB5279">
        <w:rPr>
          <w:rFonts w:ascii="Times New Roman" w:eastAsia="Times New Roman" w:hAnsi="Times New Roman" w:cs="Times New Roman"/>
          <w:sz w:val="24"/>
          <w:szCs w:val="24"/>
          <w:lang w:val="es-ES"/>
        </w:rPr>
        <w:t>do</w:t>
      </w:r>
      <w:r w:rsidR="003079E6" w:rsidRPr="00DB5279">
        <w:rPr>
          <w:rFonts w:ascii="Times New Roman" w:eastAsia="Times New Roman" w:hAnsi="Times New Roman" w:cs="Times New Roman"/>
          <w:sz w:val="24"/>
          <w:szCs w:val="24"/>
          <w:lang w:val="es-ES"/>
        </w:rPr>
        <w:t xml:space="preserve"> a lo anterior, en los últimos años se han promovido</w:t>
      </w:r>
      <w:r w:rsidR="00B44F9A">
        <w:rPr>
          <w:rFonts w:ascii="Times New Roman" w:eastAsia="Times New Roman" w:hAnsi="Times New Roman" w:cs="Times New Roman"/>
          <w:sz w:val="24"/>
          <w:szCs w:val="24"/>
          <w:lang w:val="es-ES"/>
        </w:rPr>
        <w:t xml:space="preserve"> preocupantes</w:t>
      </w:r>
      <w:r w:rsidR="003079E6" w:rsidRPr="00DB5279">
        <w:rPr>
          <w:rFonts w:ascii="Times New Roman" w:eastAsia="Times New Roman" w:hAnsi="Times New Roman" w:cs="Times New Roman"/>
          <w:sz w:val="24"/>
          <w:szCs w:val="24"/>
          <w:lang w:val="es-ES"/>
        </w:rPr>
        <w:t xml:space="preserve"> iniciativas </w:t>
      </w:r>
      <w:r w:rsidR="00B44F9A">
        <w:rPr>
          <w:rFonts w:ascii="Times New Roman" w:eastAsia="Times New Roman" w:hAnsi="Times New Roman" w:cs="Times New Roman"/>
          <w:sz w:val="24"/>
          <w:szCs w:val="24"/>
          <w:lang w:val="es-ES"/>
        </w:rPr>
        <w:t xml:space="preserve">regresivas </w:t>
      </w:r>
      <w:r w:rsidR="003079E6" w:rsidRPr="00DB5279">
        <w:rPr>
          <w:rFonts w:ascii="Times New Roman" w:eastAsia="Times New Roman" w:hAnsi="Times New Roman" w:cs="Times New Roman"/>
          <w:sz w:val="24"/>
          <w:szCs w:val="24"/>
          <w:lang w:val="es-ES"/>
        </w:rPr>
        <w:t>para aumentar las restricciones y penas por acceder a este servicio de salud</w:t>
      </w:r>
      <w:r w:rsidR="00740E91" w:rsidRPr="00DB5279">
        <w:rPr>
          <w:rFonts w:ascii="Times New Roman" w:eastAsia="Times New Roman" w:hAnsi="Times New Roman" w:cs="Times New Roman"/>
          <w:sz w:val="24"/>
          <w:szCs w:val="24"/>
          <w:lang w:val="es-ES"/>
        </w:rPr>
        <w:t>.</w:t>
      </w:r>
      <w:r w:rsidR="005D471F" w:rsidRPr="00DB5279">
        <w:rPr>
          <w:rFonts w:ascii="Times New Roman" w:eastAsia="Times New Roman" w:hAnsi="Times New Roman" w:cs="Times New Roman"/>
          <w:sz w:val="24"/>
          <w:szCs w:val="24"/>
          <w:lang w:val="es-ES"/>
        </w:rPr>
        <w:t xml:space="preserve"> Tal es el caso de la i</w:t>
      </w:r>
      <w:r w:rsidR="007F083B" w:rsidRPr="00DB5279">
        <w:rPr>
          <w:rFonts w:ascii="Times New Roman" w:eastAsiaTheme="majorEastAsia" w:hAnsi="Times New Roman" w:cs="Times New Roman"/>
          <w:sz w:val="24"/>
          <w:szCs w:val="24"/>
          <w:lang w:val="es-ES"/>
        </w:rPr>
        <w:t>niciativa 5.272, "ley para la protección de la vida y la familia"</w:t>
      </w:r>
      <w:r w:rsidR="008B7FA0" w:rsidRPr="00DB5279">
        <w:rPr>
          <w:rFonts w:ascii="Times New Roman" w:eastAsiaTheme="majorEastAsia" w:hAnsi="Times New Roman" w:cs="Times New Roman"/>
          <w:sz w:val="24"/>
          <w:szCs w:val="24"/>
          <w:lang w:val="es-ES"/>
        </w:rPr>
        <w:t>, presentada en 2018,</w:t>
      </w:r>
      <w:r w:rsidR="007F083B" w:rsidRPr="00DB5279">
        <w:rPr>
          <w:rFonts w:ascii="Times New Roman" w:eastAsiaTheme="majorEastAsia" w:hAnsi="Times New Roman" w:cs="Times New Roman"/>
          <w:sz w:val="24"/>
          <w:szCs w:val="24"/>
          <w:lang w:val="es-ES"/>
        </w:rPr>
        <w:t xml:space="preserve"> que buscaba incrementar las penas del delito de aborto, </w:t>
      </w:r>
      <w:r w:rsidR="007F083B" w:rsidRPr="00DB5279">
        <w:rPr>
          <w:rFonts w:ascii="Times New Roman" w:eastAsiaTheme="majorEastAsia" w:hAnsi="Times New Roman" w:cs="Times New Roman"/>
          <w:sz w:val="24"/>
          <w:szCs w:val="24"/>
          <w:u w:val="single"/>
          <w:lang w:val="es-ES"/>
        </w:rPr>
        <w:t xml:space="preserve">incluyendo penas para el aborto espontáneo. </w:t>
      </w:r>
      <w:r w:rsidRPr="00DB5279">
        <w:rPr>
          <w:rFonts w:ascii="Times New Roman" w:eastAsiaTheme="majorEastAsia" w:hAnsi="Times New Roman" w:cs="Times New Roman"/>
          <w:sz w:val="24"/>
          <w:szCs w:val="24"/>
          <w:u w:val="single"/>
          <w:lang w:val="es-ES"/>
        </w:rPr>
        <w:t>Con esta iniciativa se pretendía restringir</w:t>
      </w:r>
      <w:r>
        <w:rPr>
          <w:rFonts w:ascii="Times New Roman" w:eastAsiaTheme="majorEastAsia" w:hAnsi="Times New Roman" w:cs="Times New Roman"/>
          <w:sz w:val="24"/>
          <w:szCs w:val="24"/>
          <w:u w:val="single"/>
          <w:lang w:val="es-ES"/>
        </w:rPr>
        <w:t xml:space="preserve"> aún más</w:t>
      </w:r>
      <w:r w:rsidRPr="00DB5279">
        <w:rPr>
          <w:rFonts w:ascii="Times New Roman" w:eastAsiaTheme="majorEastAsia" w:hAnsi="Times New Roman" w:cs="Times New Roman"/>
          <w:sz w:val="24"/>
          <w:szCs w:val="24"/>
          <w:u w:val="single"/>
          <w:lang w:val="es-ES"/>
        </w:rPr>
        <w:t xml:space="preserve"> la única excepción vigente para el delito de aborto, prohibiéndolo por completo</w:t>
      </w:r>
      <w:r w:rsidRPr="00842783">
        <w:rPr>
          <w:rStyle w:val="EndnoteReference"/>
          <w:rFonts w:eastAsiaTheme="majorEastAsia" w:cs="Times New Roman"/>
          <w:b w:val="0"/>
          <w:bCs/>
          <w:szCs w:val="24"/>
        </w:rPr>
        <w:endnoteReference w:id="12"/>
      </w:r>
      <w:r w:rsidRPr="00DB5279">
        <w:rPr>
          <w:rFonts w:ascii="Times New Roman" w:eastAsiaTheme="majorEastAsia" w:hAnsi="Times New Roman" w:cs="Times New Roman"/>
          <w:sz w:val="24"/>
          <w:szCs w:val="24"/>
          <w:lang w:val="es-ES"/>
        </w:rPr>
        <w:t xml:space="preserve">. La iniciativa recibió dictamen favorable de la Comisión de Legislación y Puntos Constitucionales del Congreso de la República el 7 de junio de 2018 y fue aprobada en primera y segunda lectura. En marzo de 2022 se discutió nuevamente este proyecto de ley en el </w:t>
      </w:r>
      <w:r w:rsidRPr="00DB5279" w:rsidDel="1909367F">
        <w:rPr>
          <w:rFonts w:ascii="Times New Roman" w:eastAsiaTheme="majorEastAsia" w:hAnsi="Times New Roman" w:cs="Times New Roman"/>
          <w:sz w:val="24"/>
          <w:szCs w:val="24"/>
          <w:lang w:val="es-ES"/>
        </w:rPr>
        <w:t>c</w:t>
      </w:r>
      <w:r w:rsidRPr="00DB5279">
        <w:rPr>
          <w:rFonts w:ascii="Times New Roman" w:eastAsiaTheme="majorEastAsia" w:hAnsi="Times New Roman" w:cs="Times New Roman"/>
          <w:sz w:val="24"/>
          <w:szCs w:val="24"/>
          <w:lang w:val="es-ES"/>
        </w:rPr>
        <w:t>ongreso</w:t>
      </w:r>
      <w:r w:rsidRPr="00A46F9F">
        <w:rPr>
          <w:rStyle w:val="EndnoteReference"/>
          <w:rFonts w:eastAsiaTheme="majorEastAsia" w:cs="Times New Roman"/>
          <w:b w:val="0"/>
          <w:bCs/>
          <w:szCs w:val="24"/>
        </w:rPr>
        <w:endnoteReference w:id="13"/>
      </w:r>
      <w:r w:rsidRPr="00DB5279">
        <w:rPr>
          <w:rFonts w:ascii="Times New Roman" w:eastAsiaTheme="majorEastAsia" w:hAnsi="Times New Roman" w:cs="Times New Roman"/>
          <w:sz w:val="24"/>
          <w:szCs w:val="24"/>
          <w:lang w:val="es-ES"/>
        </w:rPr>
        <w:t xml:space="preserve">. Finalmente, esta ley fue objetada en mayo de 2022 por el </w:t>
      </w:r>
      <w:bookmarkStart w:id="0" w:name="_Int_C8Yd9wbR"/>
      <w:r>
        <w:rPr>
          <w:rFonts w:ascii="Times New Roman" w:eastAsiaTheme="majorEastAsia" w:hAnsi="Times New Roman" w:cs="Times New Roman"/>
          <w:sz w:val="24"/>
          <w:szCs w:val="24"/>
          <w:lang w:val="es-ES"/>
        </w:rPr>
        <w:t xml:space="preserve">entonces </w:t>
      </w:r>
      <w:proofErr w:type="gramStart"/>
      <w:r w:rsidRPr="00DB5279">
        <w:rPr>
          <w:rFonts w:ascii="Times New Roman" w:eastAsiaTheme="majorEastAsia" w:hAnsi="Times New Roman" w:cs="Times New Roman"/>
          <w:sz w:val="24"/>
          <w:szCs w:val="24"/>
          <w:lang w:val="es-ES"/>
        </w:rPr>
        <w:t>Presidente</w:t>
      </w:r>
      <w:bookmarkEnd w:id="0"/>
      <w:proofErr w:type="gramEnd"/>
      <w:r w:rsidRPr="00DB5279">
        <w:rPr>
          <w:rFonts w:ascii="Times New Roman" w:eastAsiaTheme="majorEastAsia" w:hAnsi="Times New Roman" w:cs="Times New Roman"/>
          <w:sz w:val="24"/>
          <w:szCs w:val="24"/>
          <w:lang w:val="es-ES"/>
        </w:rPr>
        <w:t xml:space="preserve"> de la República y, después de un proceso de movilización social de las organizaciones guatemaltecas, nunca llegó a ser aplicada</w:t>
      </w:r>
      <w:r w:rsidRPr="00A46F9F">
        <w:rPr>
          <w:rStyle w:val="EndnoteReference"/>
          <w:rFonts w:eastAsiaTheme="majorEastAsia" w:cs="Times New Roman"/>
          <w:b w:val="0"/>
          <w:bCs/>
          <w:szCs w:val="24"/>
        </w:rPr>
        <w:endnoteReference w:id="14"/>
      </w:r>
      <w:r w:rsidRPr="00DB5279">
        <w:rPr>
          <w:rFonts w:ascii="Times New Roman" w:eastAsiaTheme="majorEastAsia" w:hAnsi="Times New Roman" w:cs="Times New Roman"/>
          <w:sz w:val="24"/>
          <w:szCs w:val="24"/>
          <w:lang w:val="es-ES"/>
        </w:rPr>
        <w:t>.</w:t>
      </w:r>
      <w:r w:rsidR="007F083B" w:rsidRPr="00DB5279">
        <w:rPr>
          <w:rFonts w:ascii="Times New Roman" w:eastAsiaTheme="majorEastAsia" w:hAnsi="Times New Roman" w:cs="Times New Roman"/>
          <w:sz w:val="24"/>
          <w:szCs w:val="24"/>
          <w:lang w:val="es-ES"/>
        </w:rPr>
        <w:t xml:space="preserve"> Al respecto, tanto la Oficina del Alto Comisionado para los Derechos Humanos en Guatemala, como numerosas organizaciones no-gubernamentales de protección de derechos humanos</w:t>
      </w:r>
      <w:r w:rsidR="007F083B" w:rsidRPr="00DB5279">
        <w:rPr>
          <w:rStyle w:val="EndnoteReference"/>
          <w:rFonts w:cs="Times New Roman"/>
          <w:szCs w:val="24"/>
        </w:rPr>
        <w:endnoteReference w:id="15"/>
      </w:r>
      <w:r w:rsidR="007F083B" w:rsidRPr="00DB5279">
        <w:rPr>
          <w:rFonts w:ascii="Times New Roman" w:eastAsiaTheme="majorEastAsia" w:hAnsi="Times New Roman" w:cs="Times New Roman"/>
          <w:sz w:val="24"/>
          <w:szCs w:val="24"/>
          <w:lang w:val="es-ES"/>
        </w:rPr>
        <w:t>,</w:t>
      </w:r>
      <w:r w:rsidR="007F083B" w:rsidRPr="00DB5279">
        <w:rPr>
          <w:rFonts w:ascii="Times New Roman" w:eastAsiaTheme="majorEastAsia" w:hAnsi="Times New Roman" w:cs="Times New Roman"/>
          <w:b/>
          <w:bCs/>
          <w:sz w:val="24"/>
          <w:szCs w:val="24"/>
          <w:lang w:val="es-ES"/>
        </w:rPr>
        <w:t xml:space="preserve"> </w:t>
      </w:r>
      <w:r w:rsidR="007F083B" w:rsidRPr="00DB5279">
        <w:rPr>
          <w:rFonts w:ascii="Times New Roman" w:eastAsiaTheme="majorEastAsia" w:hAnsi="Times New Roman" w:cs="Times New Roman"/>
          <w:sz w:val="24"/>
          <w:szCs w:val="24"/>
          <w:lang w:val="es-ES"/>
        </w:rPr>
        <w:t>expresaron en su momento preocupación por esta iniciativa de ley regresiva, al ser manifiestamente contraria a los estándares internacionales sobre los derechos de las mujeres y niñas, en particular su derecho a la vida, la integridad, la autonomía reproductiva, la salud y la no discriminación, entre otros</w:t>
      </w:r>
      <w:r w:rsidR="007F083B" w:rsidRPr="00A46F9F">
        <w:rPr>
          <w:rStyle w:val="EndnoteReference"/>
          <w:rFonts w:cs="Times New Roman"/>
          <w:b w:val="0"/>
          <w:szCs w:val="24"/>
        </w:rPr>
        <w:endnoteReference w:id="16"/>
      </w:r>
      <w:r w:rsidR="007F083B" w:rsidRPr="00DB5279">
        <w:rPr>
          <w:rFonts w:ascii="Times New Roman" w:eastAsiaTheme="majorEastAsia" w:hAnsi="Times New Roman" w:cs="Times New Roman"/>
          <w:sz w:val="24"/>
          <w:szCs w:val="24"/>
          <w:lang w:val="es-ES"/>
        </w:rPr>
        <w:t>.</w:t>
      </w:r>
    </w:p>
    <w:p w14:paraId="13F414A2" w14:textId="77777777" w:rsidR="00AC2698" w:rsidRDefault="00AC2698" w:rsidP="008F47F3">
      <w:pPr>
        <w:pStyle w:val="ListParagraph"/>
        <w:snapToGrid w:val="0"/>
        <w:spacing w:after="0" w:line="276" w:lineRule="auto"/>
        <w:ind w:left="0"/>
        <w:jc w:val="both"/>
        <w:rPr>
          <w:rFonts w:ascii="Times New Roman" w:eastAsiaTheme="majorEastAsia" w:hAnsi="Times New Roman" w:cs="Times New Roman"/>
          <w:sz w:val="24"/>
          <w:szCs w:val="24"/>
          <w:lang w:val="es-ES"/>
        </w:rPr>
      </w:pPr>
    </w:p>
    <w:p w14:paraId="37B47B6F" w14:textId="77777777" w:rsidR="00AC2698" w:rsidRPr="00DB5279" w:rsidRDefault="00AC2698" w:rsidP="008F47F3">
      <w:pPr>
        <w:pStyle w:val="pf0"/>
        <w:spacing w:before="0" w:beforeAutospacing="0" w:after="0" w:afterAutospacing="0" w:line="276" w:lineRule="auto"/>
        <w:contextualSpacing/>
        <w:jc w:val="both"/>
        <w:rPr>
          <w:lang w:val="es-ES"/>
        </w:rPr>
      </w:pPr>
      <w:r w:rsidRPr="00DB5279">
        <w:rPr>
          <w:rStyle w:val="cf01"/>
          <w:rFonts w:ascii="Times New Roman" w:hAnsi="Times New Roman" w:cs="Times New Roman"/>
          <w:sz w:val="24"/>
          <w:szCs w:val="24"/>
          <w:lang w:val="es-ES"/>
        </w:rPr>
        <w:lastRenderedPageBreak/>
        <w:t xml:space="preserve">Las Directrices sobre la atención para el aborto emitidas por la Organización Mundial de la Salud (OMS), en 2022, disponen que el aborto </w:t>
      </w:r>
      <w:r>
        <w:rPr>
          <w:rStyle w:val="cf01"/>
          <w:rFonts w:ascii="Times New Roman" w:hAnsi="Times New Roman" w:cs="Times New Roman"/>
          <w:sz w:val="24"/>
          <w:szCs w:val="24"/>
          <w:lang w:val="es-ES"/>
        </w:rPr>
        <w:t xml:space="preserve">debe ser </w:t>
      </w:r>
      <w:r w:rsidRPr="00DB5279">
        <w:rPr>
          <w:rStyle w:val="cf01"/>
          <w:rFonts w:ascii="Times New Roman" w:hAnsi="Times New Roman" w:cs="Times New Roman"/>
          <w:sz w:val="24"/>
          <w:szCs w:val="24"/>
          <w:lang w:val="es-ES"/>
        </w:rPr>
        <w:t>accesible a demanda de la mujer, niña u otra persona embarazada</w:t>
      </w:r>
      <w:r>
        <w:rPr>
          <w:rStyle w:val="cf01"/>
          <w:rFonts w:ascii="Times New Roman" w:hAnsi="Times New Roman" w:cs="Times New Roman"/>
          <w:sz w:val="24"/>
          <w:szCs w:val="24"/>
          <w:lang w:val="es-ES"/>
        </w:rPr>
        <w:t xml:space="preserve">, puesto que </w:t>
      </w:r>
      <w:r w:rsidRPr="00DB5279">
        <w:rPr>
          <w:rStyle w:val="cf01"/>
          <w:rFonts w:ascii="Times New Roman" w:hAnsi="Times New Roman" w:cs="Times New Roman"/>
          <w:sz w:val="24"/>
          <w:szCs w:val="24"/>
          <w:lang w:val="es-ES"/>
        </w:rPr>
        <w:t xml:space="preserve">los enfoques basados en causales </w:t>
      </w:r>
      <w:r>
        <w:rPr>
          <w:rStyle w:val="cf01"/>
          <w:rFonts w:ascii="Times New Roman" w:hAnsi="Times New Roman" w:cs="Times New Roman"/>
          <w:sz w:val="24"/>
          <w:szCs w:val="24"/>
          <w:lang w:val="es-ES"/>
        </w:rPr>
        <w:t>restringen</w:t>
      </w:r>
      <w:r w:rsidRPr="00DB5279">
        <w:rPr>
          <w:rStyle w:val="cf01"/>
          <w:rFonts w:ascii="Times New Roman" w:hAnsi="Times New Roman" w:cs="Times New Roman"/>
          <w:sz w:val="24"/>
          <w:szCs w:val="24"/>
          <w:lang w:val="es-ES"/>
        </w:rPr>
        <w:t xml:space="preserve"> el acceso al aborto.</w:t>
      </w:r>
      <w:r w:rsidRPr="00DB5279">
        <w:rPr>
          <w:rStyle w:val="EndnoteReference"/>
          <w:b w:val="0"/>
          <w:lang w:val="es-ES"/>
        </w:rPr>
        <w:endnoteReference w:id="17"/>
      </w:r>
      <w:r w:rsidRPr="00DB5279">
        <w:rPr>
          <w:rStyle w:val="cf01"/>
          <w:rFonts w:ascii="Times New Roman" w:hAnsi="Times New Roman" w:cs="Times New Roman"/>
          <w:sz w:val="24"/>
          <w:szCs w:val="24"/>
          <w:lang w:val="es-ES"/>
        </w:rPr>
        <w:t xml:space="preserve"> En efecto, la OMS recomienda eliminar el aborto de todas las leyes penales y garantizar que no haya sanciones penales por tener, asistir, proporcionar información sobre éste o proporcionarlo.</w:t>
      </w:r>
      <w:r w:rsidRPr="00DB5279">
        <w:rPr>
          <w:rStyle w:val="EndnoteReference"/>
          <w:b w:val="0"/>
          <w:lang w:val="es-ES"/>
        </w:rPr>
        <w:endnoteReference w:id="18"/>
      </w:r>
      <w:r w:rsidRPr="00DB5279">
        <w:rPr>
          <w:rStyle w:val="cf01"/>
          <w:rFonts w:ascii="Times New Roman" w:hAnsi="Times New Roman" w:cs="Times New Roman"/>
          <w:sz w:val="24"/>
          <w:szCs w:val="24"/>
          <w:lang w:val="es-ES"/>
        </w:rPr>
        <w:t xml:space="preserve"> Además, el Comité de Derechos Humanos establece que "los Estados Parte no pueden regular el embarazo o el aborto […] de manera contraria a su deber de garantizar que las mujeres y niñas no tengan que someterse a abortos peligrosos...".</w:t>
      </w:r>
      <w:r w:rsidRPr="00DB5279">
        <w:rPr>
          <w:rStyle w:val="EndnoteReference"/>
          <w:b w:val="0"/>
          <w:lang w:val="es-ES"/>
        </w:rPr>
        <w:endnoteReference w:id="19"/>
      </w:r>
      <w:r w:rsidRPr="00DB5279">
        <w:rPr>
          <w:rStyle w:val="cf01"/>
          <w:rFonts w:ascii="Times New Roman" w:hAnsi="Times New Roman" w:cs="Times New Roman"/>
          <w:sz w:val="24"/>
          <w:szCs w:val="24"/>
          <w:lang w:val="es-ES"/>
        </w:rPr>
        <w:t xml:space="preserve"> </w:t>
      </w:r>
    </w:p>
    <w:p w14:paraId="3CC43CEE" w14:textId="77777777" w:rsidR="00AC2698" w:rsidRDefault="00AC2698" w:rsidP="008F47F3">
      <w:pPr>
        <w:pStyle w:val="ListParagraph"/>
        <w:snapToGrid w:val="0"/>
        <w:spacing w:after="0" w:line="276" w:lineRule="auto"/>
        <w:ind w:left="0"/>
        <w:jc w:val="both"/>
        <w:rPr>
          <w:rFonts w:ascii="Times New Roman" w:eastAsiaTheme="majorEastAsia" w:hAnsi="Times New Roman" w:cs="Times New Roman"/>
          <w:sz w:val="24"/>
          <w:szCs w:val="24"/>
          <w:lang w:val="es-ES"/>
        </w:rPr>
      </w:pPr>
    </w:p>
    <w:p w14:paraId="4E8F7AB5" w14:textId="77777777" w:rsidR="00AC2698" w:rsidRDefault="00AC2698" w:rsidP="008F47F3">
      <w:pPr>
        <w:pStyle w:val="pf0"/>
        <w:spacing w:before="0" w:beforeAutospacing="0" w:after="0" w:afterAutospacing="0" w:line="276" w:lineRule="auto"/>
        <w:contextualSpacing/>
        <w:jc w:val="both"/>
        <w:rPr>
          <w:lang w:val="es-ES"/>
        </w:rPr>
      </w:pPr>
      <w:r w:rsidRPr="00DB5279">
        <w:rPr>
          <w:rStyle w:val="cf01"/>
          <w:rFonts w:ascii="Times New Roman" w:hAnsi="Times New Roman" w:cs="Times New Roman"/>
          <w:sz w:val="24"/>
          <w:szCs w:val="24"/>
          <w:lang w:val="es-ES"/>
        </w:rPr>
        <w:t>Adicionalmente, la existencia del delito de aborto es una barrera que impide que las mujeres, niñas, y adolescentes, sobre todo aquellas en situaciones de vulnerabilidad, opten y/o puedan acceder a un aborto, incluso estando la causal autorizada.</w:t>
      </w:r>
      <w:r w:rsidRPr="00DB5279">
        <w:rPr>
          <w:rStyle w:val="EndnoteReference"/>
          <w:b w:val="0"/>
          <w:lang w:val="es-ES"/>
        </w:rPr>
        <w:endnoteReference w:id="20"/>
      </w:r>
      <w:r w:rsidRPr="00DB5279">
        <w:rPr>
          <w:rStyle w:val="cf01"/>
          <w:rFonts w:ascii="Times New Roman" w:hAnsi="Times New Roman" w:cs="Times New Roman"/>
          <w:sz w:val="24"/>
          <w:szCs w:val="24"/>
          <w:lang w:val="es-ES"/>
        </w:rPr>
        <w:t xml:space="preserve"> Es importante resaltar que este Comité</w:t>
      </w:r>
      <w:r w:rsidRPr="00DB5279">
        <w:rPr>
          <w:rStyle w:val="EndnoteReference"/>
          <w:lang w:val="es-ES"/>
        </w:rPr>
        <w:t xml:space="preserve"> </w:t>
      </w:r>
      <w:r w:rsidRPr="00DB5279">
        <w:rPr>
          <w:rStyle w:val="cf01"/>
          <w:rFonts w:ascii="Times New Roman" w:eastAsiaTheme="minorEastAsia" w:hAnsi="Times New Roman" w:cs="Times New Roman"/>
          <w:sz w:val="24"/>
          <w:szCs w:val="24"/>
          <w:lang w:val="es-ES"/>
        </w:rPr>
        <w:t>ha señalado claramente que la denegación del acceso al aborto por parte del Estado y el posterior procesamiento pueden ser constitutivos de un trato cruel, inhumano y degradante, así como una forma de violencia de género.</w:t>
      </w:r>
      <w:r w:rsidRPr="00DB5279">
        <w:rPr>
          <w:rStyle w:val="EndnoteReference"/>
          <w:b w:val="0"/>
          <w:bCs/>
          <w:lang w:val="es-ES"/>
        </w:rPr>
        <w:endnoteReference w:id="21"/>
      </w:r>
      <w:r w:rsidRPr="00DB5279">
        <w:rPr>
          <w:rStyle w:val="EndnoteReference"/>
          <w:lang w:val="es-ES"/>
        </w:rPr>
        <w:t xml:space="preserve">  </w:t>
      </w:r>
    </w:p>
    <w:p w14:paraId="71636225" w14:textId="77777777" w:rsidR="00AC2698" w:rsidRDefault="00AC2698" w:rsidP="008F47F3">
      <w:pPr>
        <w:pStyle w:val="pf0"/>
        <w:spacing w:before="0" w:beforeAutospacing="0" w:after="0" w:afterAutospacing="0" w:line="276" w:lineRule="auto"/>
        <w:contextualSpacing/>
        <w:jc w:val="both"/>
        <w:rPr>
          <w:lang w:val="es-ES"/>
        </w:rPr>
      </w:pPr>
    </w:p>
    <w:p w14:paraId="0CB910F8" w14:textId="77777777" w:rsidR="00AC2698" w:rsidRDefault="00AC2698" w:rsidP="008F47F3">
      <w:pPr>
        <w:pStyle w:val="pf0"/>
        <w:spacing w:before="0" w:beforeAutospacing="0" w:after="0" w:afterAutospacing="0" w:line="276" w:lineRule="auto"/>
        <w:contextualSpacing/>
        <w:jc w:val="both"/>
        <w:rPr>
          <w:lang w:val="es-ES"/>
        </w:rPr>
      </w:pPr>
      <w:r>
        <w:rPr>
          <w:rStyle w:val="cf01"/>
          <w:rFonts w:ascii="Times New Roman" w:eastAsiaTheme="minorEastAsia" w:hAnsi="Times New Roman" w:cs="Times New Roman"/>
          <w:sz w:val="24"/>
          <w:szCs w:val="24"/>
          <w:lang w:val="es-ES"/>
        </w:rPr>
        <w:t>Este Comité señala</w:t>
      </w:r>
      <w:r w:rsidRPr="00DB5279">
        <w:rPr>
          <w:rStyle w:val="cf01"/>
          <w:rFonts w:ascii="Times New Roman" w:eastAsiaTheme="minorEastAsia" w:hAnsi="Times New Roman" w:cs="Times New Roman"/>
          <w:sz w:val="24"/>
          <w:szCs w:val="24"/>
          <w:lang w:val="es-ES"/>
        </w:rPr>
        <w:t xml:space="preserve"> que puede configurarse una violación del derecho a la no discriminación puesto que las restricciones en el acceso al aborto son frecuentemente un castigo por no cumplir con los estereotipos de género relativos a la función reproductiva.</w:t>
      </w:r>
      <w:r w:rsidRPr="00DB5279">
        <w:rPr>
          <w:rStyle w:val="EndnoteReference"/>
          <w:rFonts w:eastAsiaTheme="minorEastAsia"/>
          <w:b w:val="0"/>
          <w:bCs/>
          <w:lang w:val="es-ES"/>
        </w:rPr>
        <w:endnoteReference w:id="22"/>
      </w:r>
      <w:r w:rsidRPr="00DB5279">
        <w:rPr>
          <w:rStyle w:val="cf01"/>
          <w:rFonts w:ascii="Times New Roman" w:eastAsiaTheme="minorEastAsia" w:hAnsi="Times New Roman" w:cs="Times New Roman"/>
          <w:b/>
          <w:bCs/>
          <w:sz w:val="24"/>
          <w:szCs w:val="24"/>
          <w:lang w:val="es-ES"/>
        </w:rPr>
        <w:t xml:space="preserve"> </w:t>
      </w:r>
      <w:r w:rsidRPr="00DB5279">
        <w:rPr>
          <w:rStyle w:val="cf01"/>
          <w:rFonts w:ascii="Times New Roman" w:hAnsi="Times New Roman" w:cs="Times New Roman"/>
          <w:sz w:val="24"/>
          <w:szCs w:val="24"/>
          <w:lang w:val="es-ES"/>
        </w:rPr>
        <w:t xml:space="preserve">En el caso específico </w:t>
      </w:r>
      <w:r w:rsidRPr="00DB5279">
        <w:rPr>
          <w:lang w:val="es-ES"/>
        </w:rPr>
        <w:t>de niñas embarazadas, este Comité ha señalado que debe valorarse la “afectación especial y diferenciada de la salud física y mental que supone el embarazo en la niñez, así como el riesgo particularmente importante para la vida de las niñas —derivado de posibles complicaciones en el embarazo y el parto— y la afectación potencialmente grave en su desarrollo y proyecto de vida”.</w:t>
      </w:r>
      <w:r w:rsidRPr="00DB5279">
        <w:rPr>
          <w:rStyle w:val="EndnoteReference"/>
          <w:b w:val="0"/>
          <w:bCs/>
          <w:lang w:val="es-ES"/>
        </w:rPr>
        <w:endnoteReference w:id="23"/>
      </w:r>
    </w:p>
    <w:p w14:paraId="75C6C74E" w14:textId="77777777" w:rsidR="00AC2698" w:rsidRDefault="00AC2698" w:rsidP="008F47F3">
      <w:pPr>
        <w:pStyle w:val="pf0"/>
        <w:spacing w:before="0" w:beforeAutospacing="0" w:after="0" w:afterAutospacing="0" w:line="276" w:lineRule="auto"/>
        <w:contextualSpacing/>
        <w:jc w:val="both"/>
        <w:rPr>
          <w:lang w:val="es-ES"/>
        </w:rPr>
      </w:pPr>
    </w:p>
    <w:p w14:paraId="3E009D36" w14:textId="390F85FB" w:rsidR="00C93282" w:rsidRPr="00C93282" w:rsidRDefault="00C93282" w:rsidP="008F47F3">
      <w:pPr>
        <w:pStyle w:val="TextoCarta"/>
        <w:spacing w:line="276" w:lineRule="auto"/>
        <w:ind w:left="-76" w:firstLine="0"/>
        <w:contextualSpacing/>
        <w:rPr>
          <w:rFonts w:ascii="Times New Roman" w:eastAsiaTheme="majorEastAsia" w:hAnsi="Times New Roman" w:cs="Times New Roman"/>
          <w:sz w:val="24"/>
          <w:szCs w:val="24"/>
          <w:lang w:val="es-ES"/>
        </w:rPr>
      </w:pPr>
      <w:r w:rsidRPr="00DB5279">
        <w:rPr>
          <w:rFonts w:ascii="Times New Roman" w:eastAsiaTheme="majorEastAsia" w:hAnsi="Times New Roman" w:cs="Times New Roman"/>
          <w:sz w:val="24"/>
          <w:szCs w:val="24"/>
          <w:lang w:val="es-ES"/>
        </w:rPr>
        <w:t>En los últimos años, los órganos de derechos humanos han venido articulando las obligaciones de los Estados de garantizar el acceso al aborto sin hacer referencia a los requisitos mínimos de leyes basadas en causales y señalando cómo las regulaciones del aborto no deben obligar a las personas a someterse a abortos inseguros</w:t>
      </w:r>
      <w:r w:rsidRPr="000016F1">
        <w:rPr>
          <w:rStyle w:val="EndnoteReference"/>
          <w:rFonts w:eastAsiaTheme="majorEastAsia" w:cs="Times New Roman"/>
          <w:b w:val="0"/>
          <w:bCs/>
          <w:szCs w:val="24"/>
        </w:rPr>
        <w:endnoteReference w:id="24"/>
      </w:r>
      <w:r w:rsidRPr="00DB5279">
        <w:rPr>
          <w:rFonts w:ascii="Times New Roman" w:eastAsiaTheme="majorEastAsia" w:hAnsi="Times New Roman" w:cs="Times New Roman"/>
          <w:sz w:val="24"/>
          <w:szCs w:val="24"/>
          <w:lang w:val="es-ES"/>
        </w:rPr>
        <w:t>. En consonancia con estos estándares, la OMS recomienda eliminar los obstáculos normativos innecesarios desde el punto de vista médico para el aborto seguro, como la penalización, los tiempos de espera obligatorios, y los límites sobre el momento del embarazo en que se puede realizar un aborto</w:t>
      </w:r>
      <w:r w:rsidRPr="00DB5279">
        <w:rPr>
          <w:rStyle w:val="EndnoteReference"/>
          <w:rFonts w:eastAsiaTheme="majorEastAsia" w:cs="Times New Roman"/>
          <w:szCs w:val="24"/>
        </w:rPr>
        <w:endnoteReference w:id="25"/>
      </w:r>
      <w:r w:rsidR="005435CD">
        <w:rPr>
          <w:rFonts w:ascii="Times New Roman" w:eastAsiaTheme="majorEastAsia" w:hAnsi="Times New Roman" w:cs="Times New Roman"/>
          <w:sz w:val="24"/>
          <w:szCs w:val="24"/>
          <w:lang w:val="es-ES"/>
        </w:rPr>
        <w:t>.</w:t>
      </w:r>
    </w:p>
    <w:p w14:paraId="7B77D823" w14:textId="5DE5F188" w:rsidR="00012661" w:rsidRDefault="005C52D0" w:rsidP="008F47F3">
      <w:pPr>
        <w:pStyle w:val="ListParagraph"/>
        <w:numPr>
          <w:ilvl w:val="1"/>
          <w:numId w:val="7"/>
        </w:numPr>
        <w:spacing w:line="276" w:lineRule="auto"/>
        <w:rPr>
          <w:rFonts w:ascii="Times New Roman" w:eastAsia="Times New Roman" w:hAnsi="Times New Roman" w:cs="Times New Roman"/>
          <w:b/>
          <w:bCs/>
          <w:sz w:val="24"/>
          <w:szCs w:val="24"/>
          <w:lang w:val="es-CO"/>
        </w:rPr>
      </w:pPr>
      <w:r>
        <w:rPr>
          <w:rFonts w:ascii="Times New Roman" w:eastAsia="Times New Roman" w:hAnsi="Times New Roman" w:cs="Times New Roman"/>
          <w:b/>
          <w:bCs/>
          <w:sz w:val="24"/>
          <w:szCs w:val="24"/>
          <w:lang w:val="es-CO"/>
        </w:rPr>
        <w:t>Recomendaciones realizadas a Guatemala sobre la prohibición del aborto</w:t>
      </w:r>
    </w:p>
    <w:p w14:paraId="49C7241C" w14:textId="77777777" w:rsidR="008011A5" w:rsidRDefault="007F083B" w:rsidP="008F47F3">
      <w:pPr>
        <w:pStyle w:val="TextoCarta"/>
        <w:spacing w:line="276" w:lineRule="auto"/>
        <w:ind w:left="-76" w:firstLine="0"/>
        <w:contextualSpacing/>
        <w:rPr>
          <w:rFonts w:ascii="Times New Roman" w:eastAsiaTheme="majorEastAsia" w:hAnsi="Times New Roman" w:cs="Times New Roman"/>
          <w:b/>
          <w:bCs/>
          <w:sz w:val="24"/>
          <w:szCs w:val="24"/>
          <w:lang w:val="es-ES"/>
        </w:rPr>
      </w:pPr>
      <w:r w:rsidRPr="00B86DA6">
        <w:rPr>
          <w:rFonts w:ascii="Times New Roman" w:eastAsiaTheme="majorEastAsia" w:hAnsi="Times New Roman" w:cs="Times New Roman"/>
          <w:sz w:val="24"/>
          <w:szCs w:val="24"/>
          <w:lang w:val="es-ES"/>
        </w:rPr>
        <w:t>Por su parte, órganos de tratado ya han referido preocupación por la continua criminalización del aborto en Guatemala. Por ejemplo, en sus observaciones de 2022</w:t>
      </w:r>
      <w:r w:rsidRPr="000016F1">
        <w:rPr>
          <w:rStyle w:val="EndnoteReference"/>
          <w:rFonts w:eastAsiaTheme="majorEastAsia" w:cs="Times New Roman"/>
          <w:b w:val="0"/>
          <w:szCs w:val="24"/>
        </w:rPr>
        <w:endnoteReference w:id="26"/>
      </w:r>
      <w:r w:rsidRPr="00B86DA6">
        <w:rPr>
          <w:rFonts w:ascii="Times New Roman" w:eastAsiaTheme="majorEastAsia" w:hAnsi="Times New Roman" w:cs="Times New Roman"/>
          <w:sz w:val="24"/>
          <w:szCs w:val="24"/>
          <w:lang w:val="es-ES"/>
        </w:rPr>
        <w:t xml:space="preserve"> a Guatemala</w:t>
      </w:r>
      <w:r w:rsidR="00606981" w:rsidRPr="00B86DA6">
        <w:rPr>
          <w:rFonts w:ascii="Times New Roman" w:eastAsiaTheme="majorEastAsia" w:hAnsi="Times New Roman" w:cs="Times New Roman"/>
          <w:sz w:val="24"/>
          <w:szCs w:val="24"/>
          <w:lang w:val="es-ES"/>
        </w:rPr>
        <w:t>,</w:t>
      </w:r>
      <w:r w:rsidRPr="00B86DA6">
        <w:rPr>
          <w:rFonts w:ascii="Times New Roman" w:eastAsiaTheme="majorEastAsia" w:hAnsi="Times New Roman" w:cs="Times New Roman"/>
          <w:sz w:val="24"/>
          <w:szCs w:val="24"/>
          <w:lang w:val="es-ES"/>
        </w:rPr>
        <w:t xml:space="preserve"> el Comité de Derechos Económicos, Sociales y Culturales (Comité DESC) </w:t>
      </w:r>
      <w:r w:rsidR="00B86DA6" w:rsidRPr="00B86DA6">
        <w:rPr>
          <w:rFonts w:ascii="Times New Roman" w:eastAsiaTheme="majorEastAsia" w:hAnsi="Times New Roman" w:cs="Times New Roman"/>
          <w:sz w:val="24"/>
          <w:szCs w:val="24"/>
          <w:lang w:val="es-ES"/>
        </w:rPr>
        <w:t>expresó su preocupación respecto a que existe una</w:t>
      </w:r>
      <w:r w:rsidR="00650C12">
        <w:rPr>
          <w:rFonts w:ascii="Times New Roman" w:eastAsiaTheme="majorEastAsia" w:hAnsi="Times New Roman" w:cs="Times New Roman"/>
          <w:sz w:val="24"/>
          <w:szCs w:val="24"/>
          <w:lang w:val="es-ES"/>
        </w:rPr>
        <w:t xml:space="preserve"> </w:t>
      </w:r>
      <w:r w:rsidRPr="00B86DA6">
        <w:rPr>
          <w:rFonts w:ascii="Times New Roman" w:eastAsiaTheme="majorEastAsia" w:hAnsi="Times New Roman" w:cs="Times New Roman"/>
          <w:sz w:val="24"/>
          <w:szCs w:val="24"/>
          <w:lang w:val="es-ES"/>
        </w:rPr>
        <w:t>“</w:t>
      </w:r>
      <w:r w:rsidR="00916219" w:rsidRPr="00B86DA6">
        <w:rPr>
          <w:rFonts w:ascii="Times New Roman" w:eastAsiaTheme="majorEastAsia" w:hAnsi="Times New Roman" w:cs="Times New Roman"/>
          <w:sz w:val="24"/>
          <w:szCs w:val="24"/>
          <w:lang w:val="es-ES"/>
        </w:rPr>
        <w:t xml:space="preserve">prohibición restrictiva del aborto cuya única excepción es el aborto terapéutico para proteger la vida de la madre y bajo condiciones estrictas. Preocupa al Comité las altas tasas de embarazo en la adolescencia y las elevadas tasas de mortalidad materna que, entre otros factores, se deben a la falta de disponibilidad y accesibilidad de servicios adecuados de salud sexual y </w:t>
      </w:r>
      <w:r w:rsidR="00916219" w:rsidRPr="00B86DA6">
        <w:rPr>
          <w:rFonts w:ascii="Times New Roman" w:eastAsiaTheme="majorEastAsia" w:hAnsi="Times New Roman" w:cs="Times New Roman"/>
          <w:sz w:val="24"/>
          <w:szCs w:val="24"/>
          <w:lang w:val="es-ES"/>
        </w:rPr>
        <w:lastRenderedPageBreak/>
        <w:t>reproductiva y de información</w:t>
      </w:r>
      <w:r w:rsidRPr="00FF496D">
        <w:rPr>
          <w:rFonts w:ascii="Times New Roman" w:eastAsiaTheme="majorEastAsia" w:hAnsi="Times New Roman" w:cs="Times New Roman"/>
          <w:sz w:val="24"/>
          <w:szCs w:val="24"/>
          <w:lang w:val="es-ES"/>
        </w:rPr>
        <w:t>”</w:t>
      </w:r>
      <w:r w:rsidRPr="000016F1">
        <w:rPr>
          <w:rStyle w:val="EndnoteReference"/>
          <w:rFonts w:eastAsiaTheme="majorEastAsia" w:cs="Times New Roman"/>
          <w:b w:val="0"/>
          <w:szCs w:val="24"/>
        </w:rPr>
        <w:endnoteReference w:id="27"/>
      </w:r>
      <w:r w:rsidRPr="000016F1">
        <w:rPr>
          <w:rFonts w:ascii="Times New Roman" w:eastAsiaTheme="majorEastAsia" w:hAnsi="Times New Roman" w:cs="Times New Roman"/>
          <w:sz w:val="24"/>
          <w:szCs w:val="24"/>
          <w:lang w:val="es-ES"/>
        </w:rPr>
        <w:t xml:space="preserve">. </w:t>
      </w:r>
      <w:r w:rsidRPr="00FF496D">
        <w:rPr>
          <w:rFonts w:ascii="Times New Roman" w:eastAsiaTheme="majorEastAsia" w:hAnsi="Times New Roman" w:cs="Times New Roman"/>
          <w:sz w:val="24"/>
          <w:szCs w:val="24"/>
          <w:lang w:val="es-ES"/>
        </w:rPr>
        <w:t xml:space="preserve">Por ello recomendó al Estado, </w:t>
      </w:r>
      <w:r w:rsidR="000F20DB" w:rsidRPr="00FF496D">
        <w:rPr>
          <w:rFonts w:ascii="Times New Roman" w:eastAsiaTheme="majorEastAsia" w:hAnsi="Times New Roman" w:cs="Times New Roman"/>
          <w:sz w:val="24"/>
          <w:szCs w:val="24"/>
          <w:lang w:val="es-ES"/>
        </w:rPr>
        <w:t xml:space="preserve">revisar </w:t>
      </w:r>
      <w:r w:rsidRPr="00FF496D">
        <w:rPr>
          <w:rFonts w:ascii="Times New Roman" w:eastAsiaTheme="majorEastAsia" w:hAnsi="Times New Roman" w:cs="Times New Roman"/>
          <w:sz w:val="24"/>
          <w:szCs w:val="24"/>
          <w:lang w:val="es-ES"/>
        </w:rPr>
        <w:t>“</w:t>
      </w:r>
      <w:r w:rsidR="000F20DB" w:rsidRPr="00FF496D">
        <w:rPr>
          <w:rFonts w:ascii="Times New Roman" w:eastAsiaTheme="majorEastAsia" w:hAnsi="Times New Roman" w:cs="Times New Roman"/>
          <w:sz w:val="24"/>
          <w:szCs w:val="24"/>
          <w:lang w:val="es-ES"/>
        </w:rPr>
        <w:t>la actual prohibición del aborto a fin de hacerla compatible con otros derechos fundamentales, como el de la salud y la vida de la mujer, así como con su dignidad</w:t>
      </w:r>
      <w:r w:rsidRPr="00FF496D">
        <w:rPr>
          <w:rFonts w:ascii="Times New Roman" w:eastAsiaTheme="majorEastAsia" w:hAnsi="Times New Roman" w:cs="Times New Roman"/>
          <w:sz w:val="24"/>
          <w:szCs w:val="24"/>
          <w:lang w:val="es-ES"/>
        </w:rPr>
        <w:t>”</w:t>
      </w:r>
      <w:r w:rsidRPr="000016F1">
        <w:rPr>
          <w:rStyle w:val="EndnoteReference"/>
          <w:rFonts w:eastAsiaTheme="majorEastAsia" w:cs="Times New Roman"/>
          <w:b w:val="0"/>
          <w:szCs w:val="24"/>
        </w:rPr>
        <w:endnoteReference w:id="28"/>
      </w:r>
      <w:r w:rsidRPr="00FF496D">
        <w:rPr>
          <w:rFonts w:ascii="Times New Roman" w:eastAsiaTheme="majorEastAsia" w:hAnsi="Times New Roman" w:cs="Times New Roman"/>
          <w:sz w:val="24"/>
          <w:szCs w:val="24"/>
          <w:lang w:val="es-ES"/>
        </w:rPr>
        <w:t>.</w:t>
      </w:r>
      <w:r w:rsidRPr="00DB5279">
        <w:rPr>
          <w:rFonts w:ascii="Times New Roman" w:eastAsiaTheme="majorEastAsia" w:hAnsi="Times New Roman" w:cs="Times New Roman"/>
          <w:b/>
          <w:bCs/>
          <w:sz w:val="24"/>
          <w:szCs w:val="24"/>
          <w:lang w:val="es-ES"/>
        </w:rPr>
        <w:t xml:space="preserve"> </w:t>
      </w:r>
    </w:p>
    <w:p w14:paraId="77C121A8" w14:textId="77777777" w:rsidR="008011A5" w:rsidRDefault="008011A5" w:rsidP="008F47F3">
      <w:pPr>
        <w:pStyle w:val="TextoCarta"/>
        <w:spacing w:line="276" w:lineRule="auto"/>
        <w:ind w:left="-76" w:firstLine="0"/>
        <w:contextualSpacing/>
        <w:rPr>
          <w:rFonts w:ascii="Times New Roman" w:eastAsiaTheme="majorEastAsia" w:hAnsi="Times New Roman" w:cs="Times New Roman"/>
          <w:sz w:val="24"/>
          <w:szCs w:val="24"/>
          <w:lang w:val="es-ES"/>
        </w:rPr>
      </w:pPr>
    </w:p>
    <w:p w14:paraId="473521EB" w14:textId="77777777" w:rsidR="00EF5242" w:rsidRDefault="003C0937" w:rsidP="008F47F3">
      <w:pPr>
        <w:pStyle w:val="TextoCarta"/>
        <w:spacing w:line="276" w:lineRule="auto"/>
        <w:ind w:left="-76" w:firstLine="0"/>
        <w:contextualSpacing/>
        <w:rPr>
          <w:rFonts w:ascii="Times New Roman" w:eastAsiaTheme="majorEastAsia" w:hAnsi="Times New Roman" w:cs="Times New Roman"/>
          <w:sz w:val="24"/>
          <w:szCs w:val="24"/>
          <w:lang w:val="es-ES"/>
        </w:rPr>
      </w:pPr>
      <w:r w:rsidRPr="00DB5279">
        <w:rPr>
          <w:rFonts w:ascii="Times New Roman" w:eastAsiaTheme="majorEastAsia" w:hAnsi="Times New Roman" w:cs="Times New Roman"/>
          <w:sz w:val="24"/>
          <w:szCs w:val="24"/>
          <w:lang w:val="es-ES"/>
        </w:rPr>
        <w:t>En el mismo sentido, e</w:t>
      </w:r>
      <w:r w:rsidR="007F083B" w:rsidRPr="00DB5279">
        <w:rPr>
          <w:rFonts w:ascii="Times New Roman" w:eastAsiaTheme="majorEastAsia" w:hAnsi="Times New Roman" w:cs="Times New Roman"/>
          <w:sz w:val="24"/>
          <w:szCs w:val="24"/>
          <w:lang w:val="es-ES"/>
        </w:rPr>
        <w:t>l Comité de Derechos Humanos constató que la criminalización del aborto en Guatemala “resulta en un elevado número de abortos inseguros y en procesamientos y condenas a penas excesivas de prisión”</w:t>
      </w:r>
      <w:r w:rsidR="007F083B" w:rsidRPr="000016F1">
        <w:rPr>
          <w:rStyle w:val="EndnoteReference"/>
          <w:rFonts w:eastAsiaTheme="majorEastAsia" w:cs="Times New Roman"/>
          <w:b w:val="0"/>
          <w:szCs w:val="24"/>
        </w:rPr>
        <w:endnoteReference w:id="29"/>
      </w:r>
      <w:r w:rsidR="007F083B" w:rsidRPr="00DB5279">
        <w:rPr>
          <w:rFonts w:ascii="Times New Roman" w:eastAsiaTheme="majorEastAsia" w:hAnsi="Times New Roman" w:cs="Times New Roman"/>
          <w:sz w:val="24"/>
          <w:szCs w:val="24"/>
          <w:lang w:val="es-ES"/>
        </w:rPr>
        <w:t>, por lo que recomendó a Guatemala velar porque ni las mujeres ni las niñas que recurren al aborto, ni tampoco el personal médico que presta estos servicios, sean objeto de sanciones penales ya que las mismas obligan a las mujeres y a las niñas recurrir a los abortos inseguros</w:t>
      </w:r>
      <w:r w:rsidR="007F083B" w:rsidRPr="000016F1">
        <w:rPr>
          <w:rStyle w:val="EndnoteReference"/>
          <w:rFonts w:eastAsiaTheme="majorEastAsia" w:cs="Times New Roman"/>
          <w:b w:val="0"/>
          <w:szCs w:val="24"/>
        </w:rPr>
        <w:endnoteReference w:id="30"/>
      </w:r>
      <w:r w:rsidR="007F083B" w:rsidRPr="00DB5279">
        <w:rPr>
          <w:rFonts w:ascii="Times New Roman" w:eastAsiaTheme="majorEastAsia" w:hAnsi="Times New Roman" w:cs="Times New Roman"/>
          <w:sz w:val="24"/>
          <w:szCs w:val="24"/>
          <w:lang w:val="es-ES"/>
        </w:rPr>
        <w:t xml:space="preserve">. </w:t>
      </w:r>
    </w:p>
    <w:p w14:paraId="5C62FFD3" w14:textId="77777777" w:rsidR="00EF5242" w:rsidRDefault="00EF5242" w:rsidP="008F47F3">
      <w:pPr>
        <w:pStyle w:val="TextoCarta"/>
        <w:spacing w:line="276" w:lineRule="auto"/>
        <w:ind w:left="-76" w:firstLine="0"/>
        <w:contextualSpacing/>
        <w:rPr>
          <w:rFonts w:ascii="Times New Roman" w:eastAsiaTheme="majorEastAsia" w:hAnsi="Times New Roman" w:cs="Times New Roman"/>
          <w:sz w:val="24"/>
          <w:szCs w:val="24"/>
          <w:lang w:val="es-ES"/>
        </w:rPr>
      </w:pPr>
    </w:p>
    <w:p w14:paraId="74932843" w14:textId="6967B369" w:rsidR="007F083B" w:rsidRDefault="00DB5279" w:rsidP="008F47F3">
      <w:pPr>
        <w:pStyle w:val="TextoCarta"/>
        <w:spacing w:line="276" w:lineRule="auto"/>
        <w:ind w:left="-76" w:firstLine="0"/>
        <w:contextualSpacing/>
        <w:rPr>
          <w:rFonts w:ascii="Times New Roman" w:eastAsiaTheme="majorEastAsia" w:hAnsi="Times New Roman" w:cs="Times New Roman"/>
          <w:sz w:val="24"/>
          <w:szCs w:val="24"/>
          <w:lang w:val="es-ES"/>
        </w:rPr>
      </w:pPr>
      <w:r w:rsidRPr="00C17888">
        <w:rPr>
          <w:rFonts w:ascii="Times New Roman" w:eastAsiaTheme="majorEastAsia" w:hAnsi="Times New Roman" w:cs="Times New Roman"/>
          <w:sz w:val="24"/>
          <w:szCs w:val="24"/>
          <w:lang w:val="es-ES"/>
        </w:rPr>
        <w:t>También</w:t>
      </w:r>
      <w:r w:rsidR="00143F5A">
        <w:rPr>
          <w:rFonts w:ascii="Times New Roman" w:eastAsiaTheme="majorEastAsia" w:hAnsi="Times New Roman" w:cs="Times New Roman"/>
          <w:sz w:val="24"/>
          <w:szCs w:val="24"/>
          <w:lang w:val="es-ES"/>
        </w:rPr>
        <w:t>, este</w:t>
      </w:r>
      <w:r w:rsidRPr="00C17888">
        <w:rPr>
          <w:rFonts w:ascii="Times New Roman" w:eastAsiaTheme="majorEastAsia" w:hAnsi="Times New Roman" w:cs="Times New Roman"/>
          <w:sz w:val="24"/>
          <w:szCs w:val="24"/>
          <w:lang w:val="es-ES"/>
        </w:rPr>
        <w:t xml:space="preserve"> Comité en sus observaciones finales de 20</w:t>
      </w:r>
      <w:r w:rsidR="0087036F" w:rsidRPr="00C17888">
        <w:rPr>
          <w:rFonts w:ascii="Times New Roman" w:eastAsiaTheme="majorEastAsia" w:hAnsi="Times New Roman" w:cs="Times New Roman"/>
          <w:sz w:val="24"/>
          <w:szCs w:val="24"/>
          <w:lang w:val="es-ES"/>
        </w:rPr>
        <w:t>23</w:t>
      </w:r>
      <w:r w:rsidRPr="00C17888">
        <w:rPr>
          <w:rFonts w:ascii="Times New Roman" w:eastAsiaTheme="majorEastAsia" w:hAnsi="Times New Roman" w:cs="Times New Roman"/>
          <w:sz w:val="24"/>
          <w:szCs w:val="24"/>
          <w:lang w:val="es-ES"/>
        </w:rPr>
        <w:t xml:space="preserve"> recomendó a Guatemala </w:t>
      </w:r>
      <w:r w:rsidR="008F0EFC" w:rsidRPr="00C17888">
        <w:rPr>
          <w:rFonts w:ascii="Times New Roman" w:eastAsiaTheme="majorEastAsia" w:hAnsi="Times New Roman" w:cs="Times New Roman"/>
          <w:sz w:val="24"/>
          <w:szCs w:val="24"/>
          <w:lang w:val="es-ES"/>
        </w:rPr>
        <w:t>“</w:t>
      </w:r>
      <w:r w:rsidR="00C17888" w:rsidRPr="00C17888">
        <w:rPr>
          <w:rFonts w:ascii="Times New Roman" w:eastAsiaTheme="majorEastAsia" w:hAnsi="Times New Roman" w:cs="Times New Roman"/>
          <w:sz w:val="24"/>
          <w:szCs w:val="24"/>
          <w:lang w:val="es-ES"/>
        </w:rPr>
        <w:t xml:space="preserve">[modificar] </w:t>
      </w:r>
      <w:r w:rsidR="008F0EFC" w:rsidRPr="00C17888">
        <w:rPr>
          <w:rFonts w:ascii="Times New Roman" w:eastAsiaTheme="majorEastAsia" w:hAnsi="Times New Roman" w:cs="Times New Roman"/>
          <w:sz w:val="24"/>
          <w:szCs w:val="24"/>
          <w:lang w:val="es-ES"/>
        </w:rPr>
        <w:t>el artículo 139 del Código Penal para legalizar el aborto y despenalizarlo en todos los casos y garantizar que las mujeres y adolescentes tengan acceso adecuado a servicios de aborto seguro y postaborto para garantizar la plena realización de los derechos de las mujeres, su igualdad y su autonomía económica y corporal para tomar libremente decisiones sobre sus derechos reproductivos; y refuerce las medidas para reducir la alarmante tasa de mortalidad materna</w:t>
      </w:r>
      <w:r w:rsidR="00C17888" w:rsidRPr="00C17888">
        <w:rPr>
          <w:rFonts w:ascii="Times New Roman" w:eastAsiaTheme="majorEastAsia" w:hAnsi="Times New Roman" w:cs="Times New Roman"/>
          <w:sz w:val="24"/>
          <w:szCs w:val="24"/>
          <w:lang w:val="es-ES"/>
        </w:rPr>
        <w:t>”</w:t>
      </w:r>
      <w:r w:rsidR="00191ECF">
        <w:rPr>
          <w:rStyle w:val="EndnoteReference"/>
          <w:rFonts w:eastAsiaTheme="majorEastAsia" w:cs="Times New Roman"/>
          <w:szCs w:val="24"/>
          <w:lang w:val="es-ES"/>
        </w:rPr>
        <w:endnoteReference w:id="31"/>
      </w:r>
      <w:r w:rsidR="00C17888" w:rsidRPr="00C17888">
        <w:rPr>
          <w:rFonts w:ascii="Times New Roman" w:eastAsiaTheme="majorEastAsia" w:hAnsi="Times New Roman" w:cs="Times New Roman"/>
          <w:sz w:val="24"/>
          <w:szCs w:val="24"/>
          <w:lang w:val="es-ES"/>
        </w:rPr>
        <w:t>.</w:t>
      </w:r>
    </w:p>
    <w:p w14:paraId="61091BEF" w14:textId="77777777" w:rsidR="008011A5" w:rsidRPr="00DB5279" w:rsidRDefault="008011A5" w:rsidP="008F47F3">
      <w:pPr>
        <w:pStyle w:val="TextoCarta"/>
        <w:spacing w:line="276" w:lineRule="auto"/>
        <w:ind w:left="-76" w:firstLine="0"/>
        <w:contextualSpacing/>
        <w:rPr>
          <w:rFonts w:ascii="Times New Roman" w:eastAsiaTheme="majorEastAsia" w:hAnsi="Times New Roman" w:cs="Times New Roman"/>
          <w:sz w:val="24"/>
          <w:szCs w:val="24"/>
          <w:lang w:val="es-ES"/>
        </w:rPr>
      </w:pPr>
    </w:p>
    <w:p w14:paraId="473C2E63" w14:textId="2431F851" w:rsidR="001A5FCD" w:rsidRDefault="002A3967" w:rsidP="008F47F3">
      <w:pPr>
        <w:pStyle w:val="TextoCarta"/>
        <w:spacing w:line="276" w:lineRule="auto"/>
        <w:ind w:left="-76" w:firstLine="0"/>
        <w:contextualSpacing/>
        <w:rPr>
          <w:rFonts w:ascii="Times New Roman" w:eastAsiaTheme="majorEastAsia" w:hAnsi="Times New Roman" w:cs="Times New Roman"/>
          <w:sz w:val="24"/>
          <w:szCs w:val="24"/>
          <w:lang w:val="es-ES"/>
        </w:rPr>
      </w:pPr>
      <w:r>
        <w:rPr>
          <w:rFonts w:ascii="Times New Roman" w:eastAsiaTheme="majorEastAsia" w:hAnsi="Times New Roman" w:cs="Times New Roman"/>
          <w:sz w:val="24"/>
          <w:szCs w:val="24"/>
          <w:lang w:val="es-ES"/>
        </w:rPr>
        <w:t xml:space="preserve">A pesar de </w:t>
      </w:r>
      <w:r w:rsidR="005C4B0C">
        <w:rPr>
          <w:rFonts w:ascii="Times New Roman" w:eastAsiaTheme="majorEastAsia" w:hAnsi="Times New Roman" w:cs="Times New Roman"/>
          <w:sz w:val="24"/>
          <w:szCs w:val="24"/>
          <w:lang w:val="es-ES"/>
        </w:rPr>
        <w:t>los claros estándares que existen en materia de acceso al aborto</w:t>
      </w:r>
      <w:r w:rsidR="00686A31">
        <w:rPr>
          <w:rFonts w:ascii="Times New Roman" w:eastAsiaTheme="majorEastAsia" w:hAnsi="Times New Roman" w:cs="Times New Roman"/>
          <w:sz w:val="24"/>
          <w:szCs w:val="24"/>
          <w:lang w:val="es-ES"/>
        </w:rPr>
        <w:t>,</w:t>
      </w:r>
      <w:r w:rsidR="005C4B0C">
        <w:rPr>
          <w:rFonts w:ascii="Times New Roman" w:eastAsiaTheme="majorEastAsia" w:hAnsi="Times New Roman" w:cs="Times New Roman"/>
          <w:sz w:val="24"/>
          <w:szCs w:val="24"/>
          <w:lang w:val="es-ES"/>
        </w:rPr>
        <w:t xml:space="preserve"> </w:t>
      </w:r>
      <w:r w:rsidR="00686A31">
        <w:rPr>
          <w:rFonts w:ascii="Times New Roman" w:eastAsiaTheme="majorEastAsia" w:hAnsi="Times New Roman" w:cs="Times New Roman"/>
          <w:sz w:val="24"/>
          <w:szCs w:val="24"/>
          <w:lang w:val="es-ES"/>
        </w:rPr>
        <w:t>e</w:t>
      </w:r>
      <w:r w:rsidR="005C4B0C">
        <w:rPr>
          <w:rFonts w:ascii="Times New Roman" w:eastAsiaTheme="majorEastAsia" w:hAnsi="Times New Roman" w:cs="Times New Roman"/>
          <w:sz w:val="24"/>
          <w:szCs w:val="24"/>
          <w:lang w:val="es-ES"/>
        </w:rPr>
        <w:t>l Estado, en el informe presentado en 2023 a este Comité señaló que “</w:t>
      </w:r>
      <w:r w:rsidR="00731B62">
        <w:rPr>
          <w:rFonts w:ascii="Times New Roman" w:eastAsiaTheme="majorEastAsia" w:hAnsi="Times New Roman" w:cs="Times New Roman"/>
          <w:sz w:val="24"/>
          <w:szCs w:val="24"/>
          <w:lang w:val="es-ES"/>
        </w:rPr>
        <w:t>[l]</w:t>
      </w:r>
      <w:r w:rsidR="001A5FCD" w:rsidRPr="001A5FCD">
        <w:rPr>
          <w:rFonts w:ascii="Times New Roman" w:eastAsiaTheme="majorEastAsia" w:hAnsi="Times New Roman" w:cs="Times New Roman"/>
          <w:sz w:val="24"/>
          <w:szCs w:val="24"/>
          <w:lang w:val="es-ES"/>
        </w:rPr>
        <w:t xml:space="preserve">a legislación promulgada por el Congreso está limitada por disposiciones constitucionales, que no debe violar. El artículo 3 de la Constitución señala que el Estado garantiza y protege la vida humana </w:t>
      </w:r>
      <w:r w:rsidR="002238C3">
        <w:rPr>
          <w:rFonts w:ascii="Times New Roman" w:eastAsiaTheme="majorEastAsia" w:hAnsi="Times New Roman" w:cs="Times New Roman"/>
          <w:sz w:val="24"/>
          <w:szCs w:val="24"/>
          <w:lang w:val="es-ES"/>
        </w:rPr>
        <w:t>‘</w:t>
      </w:r>
      <w:r w:rsidR="001A5FCD" w:rsidRPr="001A5FCD">
        <w:rPr>
          <w:rFonts w:ascii="Times New Roman" w:eastAsiaTheme="majorEastAsia" w:hAnsi="Times New Roman" w:cs="Times New Roman"/>
          <w:sz w:val="24"/>
          <w:szCs w:val="24"/>
          <w:lang w:val="es-ES"/>
        </w:rPr>
        <w:t>desde el momento de la concepción</w:t>
      </w:r>
      <w:r w:rsidR="002238C3">
        <w:rPr>
          <w:rFonts w:ascii="Times New Roman" w:eastAsiaTheme="majorEastAsia" w:hAnsi="Times New Roman" w:cs="Times New Roman"/>
          <w:sz w:val="24"/>
          <w:szCs w:val="24"/>
          <w:lang w:val="es-ES"/>
        </w:rPr>
        <w:t>’</w:t>
      </w:r>
      <w:r w:rsidR="001A5FCD" w:rsidRPr="001A5FCD">
        <w:rPr>
          <w:rFonts w:ascii="Times New Roman" w:eastAsiaTheme="majorEastAsia" w:hAnsi="Times New Roman" w:cs="Times New Roman"/>
          <w:sz w:val="24"/>
          <w:szCs w:val="24"/>
          <w:lang w:val="es-ES"/>
        </w:rPr>
        <w:t xml:space="preserve">, y el artículo 4 (1) de la Convención Americana sobre Derechos Humanos establece que </w:t>
      </w:r>
      <w:r w:rsidR="002238C3">
        <w:rPr>
          <w:rFonts w:ascii="Times New Roman" w:eastAsiaTheme="majorEastAsia" w:hAnsi="Times New Roman" w:cs="Times New Roman"/>
          <w:sz w:val="24"/>
          <w:szCs w:val="24"/>
          <w:lang w:val="es-ES"/>
        </w:rPr>
        <w:t>‘</w:t>
      </w:r>
      <w:r w:rsidR="001A5FCD" w:rsidRPr="001A5FCD">
        <w:rPr>
          <w:rFonts w:ascii="Times New Roman" w:eastAsiaTheme="majorEastAsia" w:hAnsi="Times New Roman" w:cs="Times New Roman"/>
          <w:sz w:val="24"/>
          <w:szCs w:val="24"/>
          <w:lang w:val="es-ES"/>
        </w:rPr>
        <w:t>toda persona tiene derecho a que se respete su vida</w:t>
      </w:r>
      <w:r w:rsidR="002238C3">
        <w:rPr>
          <w:rFonts w:ascii="Times New Roman" w:eastAsiaTheme="majorEastAsia" w:hAnsi="Times New Roman" w:cs="Times New Roman"/>
          <w:sz w:val="24"/>
          <w:szCs w:val="24"/>
          <w:lang w:val="es-ES"/>
        </w:rPr>
        <w:t>’</w:t>
      </w:r>
      <w:r w:rsidR="001A5FCD" w:rsidRPr="001A5FCD">
        <w:rPr>
          <w:rFonts w:ascii="Times New Roman" w:eastAsiaTheme="majorEastAsia" w:hAnsi="Times New Roman" w:cs="Times New Roman"/>
          <w:sz w:val="24"/>
          <w:szCs w:val="24"/>
          <w:lang w:val="es-ES"/>
        </w:rPr>
        <w:t>.</w:t>
      </w:r>
      <w:r w:rsidR="003E057D">
        <w:rPr>
          <w:rFonts w:ascii="Times New Roman" w:eastAsiaTheme="majorEastAsia" w:hAnsi="Times New Roman" w:cs="Times New Roman"/>
          <w:sz w:val="24"/>
          <w:szCs w:val="24"/>
          <w:lang w:val="es-ES"/>
        </w:rPr>
        <w:t xml:space="preserve"> </w:t>
      </w:r>
      <w:r w:rsidR="001A5FCD" w:rsidRPr="001A5FCD">
        <w:rPr>
          <w:rFonts w:ascii="Times New Roman" w:eastAsiaTheme="majorEastAsia" w:hAnsi="Times New Roman" w:cs="Times New Roman"/>
          <w:sz w:val="24"/>
          <w:szCs w:val="24"/>
          <w:lang w:val="es-ES"/>
        </w:rPr>
        <w:t>El aborto está actualmente regulado de acuerdo con estos parámetros, principios y garantías constitucionales</w:t>
      </w:r>
      <w:r w:rsidR="00734939">
        <w:rPr>
          <w:rFonts w:ascii="Times New Roman" w:eastAsiaTheme="majorEastAsia" w:hAnsi="Times New Roman" w:cs="Times New Roman"/>
          <w:sz w:val="24"/>
          <w:szCs w:val="24"/>
          <w:lang w:val="es-ES"/>
        </w:rPr>
        <w:t>.” Por lo tanto, resulta preocupante que el Estado se mantenga firme en</w:t>
      </w:r>
      <w:r>
        <w:rPr>
          <w:rFonts w:ascii="Times New Roman" w:eastAsiaTheme="majorEastAsia" w:hAnsi="Times New Roman" w:cs="Times New Roman"/>
          <w:sz w:val="24"/>
          <w:szCs w:val="24"/>
          <w:lang w:val="es-ES"/>
        </w:rPr>
        <w:t xml:space="preserve"> defender la </w:t>
      </w:r>
      <w:proofErr w:type="spellStart"/>
      <w:r>
        <w:rPr>
          <w:rFonts w:ascii="Times New Roman" w:eastAsiaTheme="majorEastAsia" w:hAnsi="Times New Roman" w:cs="Times New Roman"/>
          <w:sz w:val="24"/>
          <w:szCs w:val="24"/>
          <w:lang w:val="es-ES"/>
        </w:rPr>
        <w:t>quasi</w:t>
      </w:r>
      <w:proofErr w:type="spellEnd"/>
      <w:r>
        <w:rPr>
          <w:rFonts w:ascii="Times New Roman" w:eastAsiaTheme="majorEastAsia" w:hAnsi="Times New Roman" w:cs="Times New Roman"/>
          <w:sz w:val="24"/>
          <w:szCs w:val="24"/>
          <w:lang w:val="es-ES"/>
        </w:rPr>
        <w:t>-prohibición</w:t>
      </w:r>
      <w:r w:rsidR="00686A31">
        <w:rPr>
          <w:rFonts w:ascii="Times New Roman" w:eastAsiaTheme="majorEastAsia" w:hAnsi="Times New Roman" w:cs="Times New Roman"/>
          <w:sz w:val="24"/>
          <w:szCs w:val="24"/>
          <w:lang w:val="es-ES"/>
        </w:rPr>
        <w:t xml:space="preserve"> absoluta</w:t>
      </w:r>
      <w:r>
        <w:rPr>
          <w:rFonts w:ascii="Times New Roman" w:eastAsiaTheme="majorEastAsia" w:hAnsi="Times New Roman" w:cs="Times New Roman"/>
          <w:sz w:val="24"/>
          <w:szCs w:val="24"/>
          <w:lang w:val="es-ES"/>
        </w:rPr>
        <w:t xml:space="preserve"> del aborto y c</w:t>
      </w:r>
      <w:r w:rsidR="00686A31">
        <w:rPr>
          <w:rFonts w:ascii="Times New Roman" w:eastAsiaTheme="majorEastAsia" w:hAnsi="Times New Roman" w:cs="Times New Roman"/>
          <w:sz w:val="24"/>
          <w:szCs w:val="24"/>
          <w:lang w:val="es-ES"/>
        </w:rPr>
        <w:t>onsidere</w:t>
      </w:r>
      <w:r>
        <w:rPr>
          <w:rFonts w:ascii="Times New Roman" w:eastAsiaTheme="majorEastAsia" w:hAnsi="Times New Roman" w:cs="Times New Roman"/>
          <w:sz w:val="24"/>
          <w:szCs w:val="24"/>
          <w:lang w:val="es-ES"/>
        </w:rPr>
        <w:t xml:space="preserve"> que los derechos sexuales y reproductivos de las niñas y adolescentes se “</w:t>
      </w:r>
      <w:r w:rsidR="00FB4C9C" w:rsidRPr="00FB4C9C">
        <w:rPr>
          <w:rFonts w:ascii="Times New Roman" w:eastAsiaTheme="majorEastAsia" w:hAnsi="Times New Roman" w:cs="Times New Roman"/>
          <w:sz w:val="24"/>
          <w:szCs w:val="24"/>
          <w:lang w:val="es-ES"/>
        </w:rPr>
        <w:t>cumple</w:t>
      </w:r>
      <w:r w:rsidR="00686A31">
        <w:rPr>
          <w:rFonts w:ascii="Times New Roman" w:eastAsiaTheme="majorEastAsia" w:hAnsi="Times New Roman" w:cs="Times New Roman"/>
          <w:sz w:val="24"/>
          <w:szCs w:val="24"/>
          <w:lang w:val="es-ES"/>
        </w:rPr>
        <w:t>n</w:t>
      </w:r>
      <w:r w:rsidR="00FB4C9C" w:rsidRPr="00FB4C9C">
        <w:rPr>
          <w:rFonts w:ascii="Times New Roman" w:eastAsiaTheme="majorEastAsia" w:hAnsi="Times New Roman" w:cs="Times New Roman"/>
          <w:sz w:val="24"/>
          <w:szCs w:val="24"/>
          <w:lang w:val="es-ES"/>
        </w:rPr>
        <w:t xml:space="preserve"> con brindar acompañamiento psicoterapéutico y empoderamiento a</w:t>
      </w:r>
      <w:r>
        <w:rPr>
          <w:rFonts w:ascii="Times New Roman" w:eastAsiaTheme="majorEastAsia" w:hAnsi="Times New Roman" w:cs="Times New Roman"/>
          <w:sz w:val="24"/>
          <w:szCs w:val="24"/>
          <w:lang w:val="es-ES"/>
        </w:rPr>
        <w:t xml:space="preserve"> </w:t>
      </w:r>
      <w:r w:rsidR="00FB4C9C" w:rsidRPr="00FB4C9C">
        <w:rPr>
          <w:rFonts w:ascii="Times New Roman" w:eastAsiaTheme="majorEastAsia" w:hAnsi="Times New Roman" w:cs="Times New Roman"/>
          <w:sz w:val="24"/>
          <w:szCs w:val="24"/>
          <w:lang w:val="es-ES"/>
        </w:rPr>
        <w:t>las niñas y adolescentes embarazadas o a madres</w:t>
      </w:r>
      <w:r>
        <w:rPr>
          <w:rFonts w:ascii="Times New Roman" w:eastAsiaTheme="majorEastAsia" w:hAnsi="Times New Roman" w:cs="Times New Roman"/>
          <w:sz w:val="24"/>
          <w:szCs w:val="24"/>
          <w:lang w:val="es-ES"/>
        </w:rPr>
        <w:t>”</w:t>
      </w:r>
      <w:r w:rsidR="00D472B9" w:rsidRPr="002A3967">
        <w:rPr>
          <w:rStyle w:val="EndnoteReference"/>
          <w:rFonts w:eastAsiaTheme="majorEastAsia" w:cs="Times New Roman"/>
          <w:b w:val="0"/>
          <w:bCs/>
          <w:szCs w:val="24"/>
          <w:lang w:val="es-ES"/>
        </w:rPr>
        <w:endnoteReference w:id="32"/>
      </w:r>
      <w:r>
        <w:rPr>
          <w:rFonts w:ascii="Times New Roman" w:eastAsiaTheme="majorEastAsia" w:hAnsi="Times New Roman" w:cs="Times New Roman"/>
          <w:sz w:val="24"/>
          <w:szCs w:val="24"/>
          <w:lang w:val="es-ES"/>
        </w:rPr>
        <w:t>.</w:t>
      </w:r>
    </w:p>
    <w:p w14:paraId="3D8DBFFC" w14:textId="2E81EF54" w:rsidR="008011A5" w:rsidRDefault="008011A5" w:rsidP="008F47F3">
      <w:pPr>
        <w:pStyle w:val="TextoCarta"/>
        <w:spacing w:line="276" w:lineRule="auto"/>
        <w:ind w:left="-76" w:firstLine="0"/>
        <w:contextualSpacing/>
        <w:rPr>
          <w:rFonts w:ascii="Times New Roman" w:eastAsiaTheme="majorEastAsia" w:hAnsi="Times New Roman" w:cs="Times New Roman"/>
          <w:sz w:val="24"/>
          <w:szCs w:val="24"/>
          <w:lang w:val="es-ES"/>
        </w:rPr>
      </w:pPr>
    </w:p>
    <w:p w14:paraId="2C2192BA" w14:textId="6931C145" w:rsidR="429A9872" w:rsidRDefault="2B537C74" w:rsidP="008F47F3">
      <w:pPr>
        <w:pStyle w:val="TextoCarta"/>
        <w:spacing w:line="276" w:lineRule="auto"/>
        <w:ind w:left="-76" w:firstLine="0"/>
        <w:contextualSpacing/>
        <w:rPr>
          <w:rFonts w:ascii="Times New Roman" w:hAnsi="Times New Roman" w:cs="Times New Roman"/>
          <w:sz w:val="24"/>
          <w:szCs w:val="24"/>
          <w:lang w:val="es-ES"/>
        </w:rPr>
      </w:pPr>
      <w:r w:rsidRPr="00DB5279">
        <w:rPr>
          <w:rFonts w:ascii="Times New Roman" w:hAnsi="Times New Roman" w:cs="Times New Roman"/>
          <w:sz w:val="24"/>
          <w:szCs w:val="24"/>
          <w:lang w:val="es-ES"/>
        </w:rPr>
        <w:t>Por todo lo anteriormente expuesto, s</w:t>
      </w:r>
      <w:r w:rsidR="57E2F8C3" w:rsidRPr="00DB5279">
        <w:rPr>
          <w:rFonts w:ascii="Times New Roman" w:hAnsi="Times New Roman" w:cs="Times New Roman"/>
          <w:sz w:val="24"/>
          <w:szCs w:val="24"/>
          <w:lang w:val="es-ES"/>
        </w:rPr>
        <w:t xml:space="preserve">olicitamos respetuosamente a este Comité recomendar al Estado guatemalteco </w:t>
      </w:r>
      <w:r w:rsidR="002F6742" w:rsidRPr="00DB5279">
        <w:rPr>
          <w:rStyle w:val="cf01"/>
          <w:rFonts w:ascii="Times New Roman" w:eastAsiaTheme="minorEastAsia" w:hAnsi="Times New Roman" w:cs="Times New Roman"/>
          <w:sz w:val="24"/>
          <w:szCs w:val="24"/>
          <w:lang w:val="es-ES"/>
        </w:rPr>
        <w:t>despenalizar el aborto en todos los casos</w:t>
      </w:r>
      <w:r w:rsidR="16990764" w:rsidRPr="00DB5279">
        <w:rPr>
          <w:rStyle w:val="cf01"/>
          <w:rFonts w:ascii="Times New Roman" w:eastAsiaTheme="minorEastAsia" w:hAnsi="Times New Roman" w:cs="Times New Roman"/>
          <w:sz w:val="24"/>
          <w:szCs w:val="24"/>
          <w:lang w:val="es-ES"/>
        </w:rPr>
        <w:t>, particularmente en casos</w:t>
      </w:r>
      <w:r w:rsidR="002F6742" w:rsidRPr="00DB5279">
        <w:rPr>
          <w:rStyle w:val="cf01"/>
          <w:rFonts w:ascii="Times New Roman" w:eastAsiaTheme="minorEastAsia" w:hAnsi="Times New Roman" w:cs="Times New Roman"/>
          <w:sz w:val="24"/>
          <w:szCs w:val="24"/>
          <w:lang w:val="es-ES"/>
        </w:rPr>
        <w:t xml:space="preserve"> de embarazo infantil, garantizar el acceso a servicios de aborto seguro y atención postaborto para las niñas embarazadas, y modificar la normativa que regula el acceso al aborto terapéutico para prever su aplicación específica a las niñas</w:t>
      </w:r>
      <w:r w:rsidR="00561907">
        <w:rPr>
          <w:rStyle w:val="cf01"/>
          <w:rFonts w:ascii="Times New Roman" w:eastAsiaTheme="minorEastAsia" w:hAnsi="Times New Roman" w:cs="Times New Roman"/>
          <w:sz w:val="24"/>
          <w:szCs w:val="24"/>
          <w:lang w:val="es-ES"/>
        </w:rPr>
        <w:t>, todo ello,</w:t>
      </w:r>
      <w:r w:rsidR="002F6742" w:rsidRPr="00DB5279">
        <w:rPr>
          <w:rStyle w:val="cf01"/>
          <w:rFonts w:ascii="Times New Roman" w:eastAsiaTheme="minorEastAsia" w:hAnsi="Times New Roman" w:cs="Times New Roman"/>
          <w:sz w:val="24"/>
          <w:szCs w:val="24"/>
          <w:lang w:val="es-ES"/>
        </w:rPr>
        <w:t xml:space="preserve"> </w:t>
      </w:r>
      <w:r w:rsidR="2BCEDDDE" w:rsidRPr="00DB5279">
        <w:rPr>
          <w:rFonts w:ascii="Times New Roman" w:hAnsi="Times New Roman" w:cs="Times New Roman"/>
          <w:sz w:val="24"/>
          <w:szCs w:val="24"/>
          <w:lang w:val="es-ES"/>
        </w:rPr>
        <w:t>de conformidad con las más recientes guías de la OMS</w:t>
      </w:r>
      <w:r w:rsidR="00B70BCD" w:rsidRPr="00DB5279">
        <w:rPr>
          <w:rStyle w:val="EndnoteReference"/>
          <w:rFonts w:cs="Times New Roman"/>
          <w:b w:val="0"/>
          <w:szCs w:val="24"/>
          <w:lang w:val="es-ES"/>
        </w:rPr>
        <w:endnoteReference w:id="33"/>
      </w:r>
      <w:r w:rsidR="009A0180">
        <w:rPr>
          <w:rFonts w:ascii="Times New Roman" w:hAnsi="Times New Roman" w:cs="Times New Roman"/>
          <w:sz w:val="24"/>
          <w:szCs w:val="24"/>
          <w:lang w:val="es-ES"/>
        </w:rPr>
        <w:t>.</w:t>
      </w:r>
    </w:p>
    <w:p w14:paraId="2E1A8F33" w14:textId="77777777" w:rsidR="008F47F3" w:rsidRDefault="008F47F3" w:rsidP="008F47F3">
      <w:pPr>
        <w:pStyle w:val="TextoCarta"/>
        <w:spacing w:line="276" w:lineRule="auto"/>
        <w:ind w:left="-76" w:firstLine="0"/>
        <w:contextualSpacing/>
        <w:rPr>
          <w:rFonts w:ascii="Times New Roman" w:hAnsi="Times New Roman" w:cs="Times New Roman"/>
          <w:sz w:val="24"/>
          <w:szCs w:val="24"/>
          <w:lang w:val="es-ES"/>
        </w:rPr>
      </w:pPr>
    </w:p>
    <w:p w14:paraId="6A7A87AF" w14:textId="77777777" w:rsidR="008F47F3" w:rsidRDefault="008F47F3" w:rsidP="008F47F3">
      <w:pPr>
        <w:pStyle w:val="TextoCarta"/>
        <w:spacing w:line="276" w:lineRule="auto"/>
        <w:ind w:left="-76" w:firstLine="0"/>
        <w:contextualSpacing/>
        <w:rPr>
          <w:rFonts w:ascii="Times New Roman" w:hAnsi="Times New Roman" w:cs="Times New Roman"/>
          <w:sz w:val="24"/>
          <w:szCs w:val="24"/>
          <w:lang w:val="es-ES"/>
        </w:rPr>
      </w:pPr>
    </w:p>
    <w:p w14:paraId="139719C7" w14:textId="77777777" w:rsidR="008F47F3" w:rsidRPr="008011A5" w:rsidRDefault="008F47F3" w:rsidP="008F47F3">
      <w:pPr>
        <w:pStyle w:val="TextoCarta"/>
        <w:spacing w:line="276" w:lineRule="auto"/>
        <w:ind w:left="-76" w:firstLine="0"/>
        <w:contextualSpacing/>
        <w:rPr>
          <w:rFonts w:ascii="Times New Roman" w:eastAsiaTheme="majorEastAsia" w:hAnsi="Times New Roman" w:cs="Times New Roman"/>
          <w:sz w:val="24"/>
          <w:szCs w:val="24"/>
          <w:lang w:val="es-ES"/>
        </w:rPr>
      </w:pPr>
    </w:p>
    <w:p w14:paraId="2C0C876F" w14:textId="67AA9604" w:rsidR="00D95515" w:rsidRPr="00A60861" w:rsidRDefault="00C23305" w:rsidP="008F47F3">
      <w:pPr>
        <w:pStyle w:val="ListParagraph"/>
        <w:numPr>
          <w:ilvl w:val="0"/>
          <w:numId w:val="7"/>
        </w:numPr>
        <w:spacing w:after="0" w:line="276" w:lineRule="auto"/>
        <w:ind w:left="720"/>
        <w:rPr>
          <w:rFonts w:ascii="Times New Roman" w:eastAsia="Times New Roman" w:hAnsi="Times New Roman" w:cs="Times New Roman"/>
          <w:b/>
          <w:bCs/>
          <w:sz w:val="24"/>
          <w:szCs w:val="24"/>
          <w:lang w:val="es-CO"/>
        </w:rPr>
      </w:pPr>
      <w:r w:rsidRPr="00A60861">
        <w:rPr>
          <w:rFonts w:ascii="Times New Roman" w:eastAsia="Times New Roman" w:hAnsi="Times New Roman" w:cs="Times New Roman"/>
          <w:b/>
          <w:bCs/>
          <w:sz w:val="24"/>
          <w:szCs w:val="24"/>
          <w:lang w:val="es-CO"/>
        </w:rPr>
        <w:lastRenderedPageBreak/>
        <w:t>V</w:t>
      </w:r>
      <w:r w:rsidR="007D3EE2" w:rsidRPr="00A60861">
        <w:rPr>
          <w:rFonts w:ascii="Times New Roman" w:eastAsia="Times New Roman" w:hAnsi="Times New Roman" w:cs="Times New Roman"/>
          <w:b/>
          <w:bCs/>
          <w:sz w:val="24"/>
          <w:szCs w:val="24"/>
          <w:lang w:val="es-CO"/>
        </w:rPr>
        <w:t>iolencia sexual y embarazos forzados de niñas y adolescentes</w:t>
      </w:r>
      <w:r w:rsidR="007E1A66" w:rsidRPr="00A60861">
        <w:rPr>
          <w:rFonts w:ascii="Times New Roman" w:eastAsia="Times New Roman" w:hAnsi="Times New Roman" w:cs="Times New Roman"/>
          <w:b/>
          <w:bCs/>
          <w:sz w:val="24"/>
          <w:szCs w:val="24"/>
          <w:lang w:val="es-CO"/>
        </w:rPr>
        <w:t>.</w:t>
      </w:r>
    </w:p>
    <w:p w14:paraId="41C5ABC0" w14:textId="77777777" w:rsidR="000F0970" w:rsidRPr="00A60861" w:rsidRDefault="000F0970" w:rsidP="008F47F3">
      <w:pPr>
        <w:spacing w:after="0" w:line="276" w:lineRule="auto"/>
        <w:rPr>
          <w:rFonts w:ascii="Times New Roman" w:eastAsia="Times New Roman" w:hAnsi="Times New Roman" w:cs="Times New Roman"/>
          <w:b/>
          <w:bCs/>
          <w:sz w:val="24"/>
          <w:szCs w:val="24"/>
          <w:lang w:val="es-CO"/>
        </w:rPr>
      </w:pPr>
    </w:p>
    <w:p w14:paraId="56685799" w14:textId="0885A20D" w:rsidR="00803DAB" w:rsidRPr="001B026B" w:rsidRDefault="00803DAB" w:rsidP="008F47F3">
      <w:pPr>
        <w:pStyle w:val="ListParagraph"/>
        <w:snapToGrid w:val="0"/>
        <w:spacing w:after="0" w:line="276" w:lineRule="auto"/>
        <w:ind w:left="0"/>
        <w:jc w:val="both"/>
        <w:rPr>
          <w:rFonts w:ascii="Times New Roman" w:eastAsia="Times New Roman" w:hAnsi="Times New Roman" w:cs="Times New Roman"/>
          <w:sz w:val="24"/>
          <w:szCs w:val="24"/>
          <w:lang w:val="es-ES"/>
        </w:rPr>
      </w:pPr>
      <w:r w:rsidRPr="001B026B">
        <w:rPr>
          <w:rFonts w:ascii="Times New Roman" w:eastAsia="Times New Roman" w:hAnsi="Times New Roman" w:cs="Times New Roman"/>
          <w:sz w:val="24"/>
          <w:szCs w:val="24"/>
          <w:lang w:val="es-ES"/>
        </w:rPr>
        <w:t>La tasa de fecundidad de adolescentes en Guatemala es 21% mayor al promedio regional, con 92 nacimientos por 1.000 adolescentes de 15 a 19 años contra un promedio de 76 en la región.</w:t>
      </w:r>
      <w:r w:rsidRPr="001B026B">
        <w:rPr>
          <w:rStyle w:val="EndnoteReference"/>
          <w:rFonts w:eastAsia="Times New Roman" w:cs="Times New Roman"/>
          <w:b w:val="0"/>
          <w:szCs w:val="24"/>
        </w:rPr>
        <w:endnoteReference w:id="34"/>
      </w:r>
      <w:r w:rsidRPr="001B026B">
        <w:rPr>
          <w:rFonts w:ascii="Times New Roman" w:eastAsia="Times New Roman" w:hAnsi="Times New Roman" w:cs="Times New Roman"/>
          <w:b/>
          <w:bCs/>
          <w:sz w:val="24"/>
          <w:szCs w:val="24"/>
          <w:lang w:val="es-ES"/>
        </w:rPr>
        <w:t xml:space="preserve"> </w:t>
      </w:r>
      <w:r w:rsidRPr="001B026B">
        <w:rPr>
          <w:rFonts w:ascii="Times New Roman" w:eastAsia="Times New Roman" w:hAnsi="Times New Roman" w:cs="Times New Roman"/>
          <w:sz w:val="24"/>
          <w:szCs w:val="24"/>
          <w:lang w:val="es-ES"/>
        </w:rPr>
        <w:t>De acuerdo con el Observatorio en Salud Reproductiva (OSAR), de enero a octubre de 2023, se han reportado 52,878 registros de nacimiento de madres adolescentes, en los que 1.954 son madres entre los 10 y 14 años de edad y 50,924 son madres entre los 15 y 19 años de edad.</w:t>
      </w:r>
      <w:r w:rsidRPr="001B026B">
        <w:rPr>
          <w:rStyle w:val="EndnoteReference"/>
          <w:rFonts w:eastAsia="Times New Roman" w:cs="Times New Roman"/>
          <w:b w:val="0"/>
          <w:szCs w:val="24"/>
        </w:rPr>
        <w:endnoteReference w:id="35"/>
      </w:r>
      <w:r w:rsidRPr="001B026B">
        <w:rPr>
          <w:rFonts w:ascii="Times New Roman" w:eastAsia="Times New Roman" w:hAnsi="Times New Roman" w:cs="Times New Roman"/>
          <w:sz w:val="24"/>
          <w:szCs w:val="24"/>
          <w:lang w:val="es-ES"/>
        </w:rPr>
        <w:t xml:space="preserve"> Por su parte, el Plan Nacional para la Prevención y Erradicación de la Violencia Contra las Mujeres 2020-2029 (</w:t>
      </w:r>
      <w:proofErr w:type="spellStart"/>
      <w:r w:rsidRPr="001B026B">
        <w:rPr>
          <w:rFonts w:ascii="Times New Roman" w:eastAsia="Times New Roman" w:hAnsi="Times New Roman" w:cs="Times New Roman"/>
          <w:sz w:val="24"/>
          <w:szCs w:val="24"/>
          <w:lang w:val="es-ES"/>
        </w:rPr>
        <w:t>Planovi</w:t>
      </w:r>
      <w:proofErr w:type="spellEnd"/>
      <w:r w:rsidRPr="001B026B">
        <w:rPr>
          <w:rFonts w:ascii="Times New Roman" w:eastAsia="Times New Roman" w:hAnsi="Times New Roman" w:cs="Times New Roman"/>
          <w:sz w:val="24"/>
          <w:szCs w:val="24"/>
          <w:lang w:val="es-ES"/>
        </w:rPr>
        <w:t>)</w:t>
      </w:r>
      <w:r w:rsidRPr="001B026B">
        <w:rPr>
          <w:rStyle w:val="EndnoteReference"/>
          <w:rFonts w:eastAsia="Times New Roman" w:cs="Times New Roman"/>
          <w:b w:val="0"/>
          <w:szCs w:val="24"/>
          <w:lang w:val="es-ES"/>
        </w:rPr>
        <w:endnoteReference w:id="36"/>
      </w:r>
      <w:r w:rsidRPr="001B026B">
        <w:rPr>
          <w:rFonts w:ascii="Times New Roman" w:eastAsia="Times New Roman" w:hAnsi="Times New Roman" w:cs="Times New Roman"/>
          <w:sz w:val="24"/>
          <w:szCs w:val="24"/>
          <w:lang w:val="es-ES"/>
        </w:rPr>
        <w:t xml:space="preserve">, reportó que en 2019 "alrededor de un 25% de mujeres dio a luz por primera vez estando en un rango de edad entre 15 y 17 años, y un 2% antes de los 15 años, lo que </w:t>
      </w:r>
      <w:r w:rsidR="005E3387">
        <w:rPr>
          <w:rFonts w:ascii="Times New Roman" w:eastAsia="Times New Roman" w:hAnsi="Times New Roman" w:cs="Times New Roman"/>
          <w:sz w:val="24"/>
          <w:szCs w:val="24"/>
          <w:lang w:val="es-ES"/>
        </w:rPr>
        <w:t>implica</w:t>
      </w:r>
      <w:r w:rsidRPr="001B026B">
        <w:rPr>
          <w:rFonts w:ascii="Times New Roman" w:eastAsia="Times New Roman" w:hAnsi="Times New Roman" w:cs="Times New Roman"/>
          <w:sz w:val="24"/>
          <w:szCs w:val="24"/>
          <w:lang w:val="es-ES"/>
        </w:rPr>
        <w:t xml:space="preserve"> que </w:t>
      </w:r>
      <w:r w:rsidRPr="001B026B">
        <w:rPr>
          <w:rFonts w:ascii="Times New Roman" w:eastAsia="Times New Roman" w:hAnsi="Times New Roman" w:cs="Times New Roman"/>
          <w:b/>
          <w:bCs/>
          <w:sz w:val="24"/>
          <w:szCs w:val="24"/>
          <w:lang w:val="es-ES"/>
        </w:rPr>
        <w:t>cerca de un 30% de las mujeres tienen su primer hijo siendo menores de edad</w:t>
      </w:r>
      <w:r w:rsidRPr="001B026B">
        <w:rPr>
          <w:rFonts w:ascii="Times New Roman" w:eastAsia="Times New Roman" w:hAnsi="Times New Roman" w:cs="Times New Roman"/>
          <w:sz w:val="24"/>
          <w:szCs w:val="24"/>
          <w:lang w:val="es-ES"/>
        </w:rPr>
        <w:t>" (énfasis fuera del original).</w:t>
      </w:r>
      <w:r w:rsidRPr="001B026B">
        <w:rPr>
          <w:rStyle w:val="EndnoteReference"/>
          <w:rFonts w:eastAsia="Times New Roman" w:cs="Times New Roman"/>
          <w:b w:val="0"/>
          <w:szCs w:val="24"/>
        </w:rPr>
        <w:endnoteReference w:id="37"/>
      </w:r>
      <w:r w:rsidRPr="001B026B">
        <w:rPr>
          <w:rFonts w:ascii="Times New Roman" w:eastAsia="Times New Roman" w:hAnsi="Times New Roman" w:cs="Times New Roman"/>
          <w:sz w:val="24"/>
          <w:szCs w:val="24"/>
          <w:lang w:val="es-ES"/>
        </w:rPr>
        <w:t xml:space="preserve"> OSAR también ha podido documentar, en años anteriores, que esta alarmante situación se ha mantenido estable, incluso notando un alza en los embarazos adolescentes en 2019.</w:t>
      </w:r>
      <w:r w:rsidRPr="001B026B">
        <w:rPr>
          <w:rStyle w:val="EndnoteReference"/>
          <w:rFonts w:eastAsia="Times New Roman" w:cs="Times New Roman"/>
          <w:b w:val="0"/>
          <w:szCs w:val="24"/>
          <w:lang w:val="es-ES"/>
        </w:rPr>
        <w:endnoteReference w:id="38"/>
      </w:r>
      <w:r w:rsidRPr="001B026B">
        <w:rPr>
          <w:rFonts w:ascii="Times New Roman" w:eastAsia="Times New Roman" w:hAnsi="Times New Roman" w:cs="Times New Roman"/>
          <w:sz w:val="24"/>
          <w:szCs w:val="24"/>
          <w:lang w:val="es-ES"/>
        </w:rPr>
        <w:t xml:space="preserve"> Durante el 2018, por ejemplo, OSAR registró </w:t>
      </w:r>
      <w:r w:rsidRPr="001B026B">
        <w:rPr>
          <w:rFonts w:ascii="Times New Roman" w:eastAsia="Times New Roman" w:hAnsi="Times New Roman" w:cs="Times New Roman"/>
          <w:b/>
          <w:bCs/>
          <w:sz w:val="24"/>
          <w:szCs w:val="24"/>
          <w:lang w:val="es-ES"/>
        </w:rPr>
        <w:t>116,773</w:t>
      </w:r>
      <w:r w:rsidRPr="001B026B">
        <w:rPr>
          <w:rFonts w:ascii="Times New Roman" w:eastAsia="Times New Roman" w:hAnsi="Times New Roman" w:cs="Times New Roman"/>
          <w:sz w:val="24"/>
          <w:szCs w:val="24"/>
          <w:lang w:val="es-ES"/>
        </w:rPr>
        <w:t xml:space="preserve"> nacimientos </w:t>
      </w:r>
      <w:r w:rsidR="000F3184">
        <w:rPr>
          <w:rFonts w:ascii="Times New Roman" w:eastAsia="Times New Roman" w:hAnsi="Times New Roman" w:cs="Times New Roman"/>
          <w:sz w:val="24"/>
          <w:szCs w:val="24"/>
          <w:lang w:val="es-ES"/>
        </w:rPr>
        <w:t xml:space="preserve">producto </w:t>
      </w:r>
      <w:r w:rsidRPr="001B026B">
        <w:rPr>
          <w:rFonts w:ascii="Times New Roman" w:eastAsia="Times New Roman" w:hAnsi="Times New Roman" w:cs="Times New Roman"/>
          <w:sz w:val="24"/>
          <w:szCs w:val="24"/>
          <w:lang w:val="es-ES"/>
        </w:rPr>
        <w:t xml:space="preserve">de </w:t>
      </w:r>
      <w:r w:rsidR="000F3184">
        <w:rPr>
          <w:rFonts w:ascii="Times New Roman" w:eastAsia="Times New Roman" w:hAnsi="Times New Roman" w:cs="Times New Roman"/>
          <w:sz w:val="24"/>
          <w:szCs w:val="24"/>
          <w:lang w:val="es-ES"/>
        </w:rPr>
        <w:t xml:space="preserve">embarazos </w:t>
      </w:r>
      <w:r w:rsidRPr="001B026B">
        <w:rPr>
          <w:rFonts w:ascii="Times New Roman" w:eastAsia="Times New Roman" w:hAnsi="Times New Roman" w:cs="Times New Roman"/>
          <w:sz w:val="24"/>
          <w:szCs w:val="24"/>
          <w:lang w:val="es-ES"/>
        </w:rPr>
        <w:t xml:space="preserve">de niñas y adolescentes entre 10 y 19 años, entre las cuales </w:t>
      </w:r>
      <w:r w:rsidRPr="001B026B">
        <w:rPr>
          <w:rFonts w:ascii="Times New Roman" w:eastAsia="Times New Roman" w:hAnsi="Times New Roman" w:cs="Times New Roman"/>
          <w:b/>
          <w:bCs/>
          <w:sz w:val="24"/>
          <w:szCs w:val="24"/>
          <w:lang w:val="es-ES"/>
        </w:rPr>
        <w:t>4,629</w:t>
      </w:r>
      <w:r w:rsidRPr="001B026B">
        <w:rPr>
          <w:rFonts w:ascii="Times New Roman" w:eastAsia="Times New Roman" w:hAnsi="Times New Roman" w:cs="Times New Roman"/>
          <w:sz w:val="24"/>
          <w:szCs w:val="24"/>
          <w:lang w:val="es-ES"/>
        </w:rPr>
        <w:t xml:space="preserve"> </w:t>
      </w:r>
      <w:r w:rsidRPr="001B026B">
        <w:rPr>
          <w:rFonts w:ascii="Times New Roman" w:eastAsia="Times New Roman" w:hAnsi="Times New Roman" w:cs="Times New Roman"/>
          <w:b/>
          <w:bCs/>
          <w:sz w:val="24"/>
          <w:szCs w:val="24"/>
          <w:lang w:val="es-ES"/>
        </w:rPr>
        <w:t>fueron de niñas de 14 años o menos.</w:t>
      </w:r>
      <w:r w:rsidRPr="001B026B">
        <w:rPr>
          <w:rStyle w:val="EndnoteReference"/>
          <w:rFonts w:eastAsia="Times New Roman" w:cs="Times New Roman"/>
          <w:b w:val="0"/>
          <w:szCs w:val="24"/>
          <w:lang w:val="es-ES"/>
        </w:rPr>
        <w:endnoteReference w:id="39"/>
      </w:r>
      <w:r w:rsidRPr="001B026B">
        <w:rPr>
          <w:rFonts w:ascii="Times New Roman" w:eastAsia="Times New Roman" w:hAnsi="Times New Roman" w:cs="Times New Roman"/>
          <w:bCs/>
          <w:sz w:val="24"/>
          <w:szCs w:val="24"/>
          <w:lang w:val="es-ES"/>
        </w:rPr>
        <w:t xml:space="preserve"> </w:t>
      </w:r>
    </w:p>
    <w:p w14:paraId="7BF57EE4" w14:textId="77777777" w:rsidR="00803DAB" w:rsidRPr="001B026B" w:rsidRDefault="00803DAB" w:rsidP="008F47F3">
      <w:pPr>
        <w:pStyle w:val="TextoCarta"/>
        <w:tabs>
          <w:tab w:val="left" w:pos="720"/>
        </w:tabs>
        <w:spacing w:after="0" w:line="276" w:lineRule="auto"/>
        <w:ind w:hanging="360"/>
        <w:contextualSpacing/>
        <w:rPr>
          <w:rFonts w:ascii="Times New Roman" w:eastAsia="Times New Roman" w:hAnsi="Times New Roman" w:cs="Times New Roman"/>
          <w:sz w:val="24"/>
          <w:szCs w:val="24"/>
          <w:lang w:val="es-ES"/>
        </w:rPr>
      </w:pPr>
    </w:p>
    <w:p w14:paraId="0C2ACACA" w14:textId="33D92F24" w:rsidR="00D070D7" w:rsidRDefault="00053953" w:rsidP="008F47F3">
      <w:pPr>
        <w:pStyle w:val="TextoCarta"/>
        <w:spacing w:line="276" w:lineRule="auto"/>
        <w:ind w:firstLine="0"/>
        <w:contextualSpacing/>
        <w:rPr>
          <w:rFonts w:ascii="Times New Roman" w:eastAsiaTheme="majorEastAsia" w:hAnsi="Times New Roman" w:cs="Times New Roman"/>
          <w:sz w:val="24"/>
          <w:szCs w:val="24"/>
          <w:lang w:val="es-ES"/>
        </w:rPr>
      </w:pPr>
      <w:r w:rsidRPr="001B026B">
        <w:rPr>
          <w:rFonts w:ascii="Times New Roman" w:eastAsiaTheme="majorEastAsia" w:hAnsi="Times New Roman" w:cs="Times New Roman"/>
          <w:sz w:val="24"/>
          <w:szCs w:val="24"/>
          <w:lang w:val="es-ES"/>
        </w:rPr>
        <w:t>El embarazo en mujeres jóvenes y adolescentes está también asociado a la presencia de violencia intrafamiliar, y violencia sexual</w:t>
      </w:r>
      <w:r w:rsidR="00803DAB" w:rsidRPr="001B026B">
        <w:rPr>
          <w:rFonts w:ascii="Times New Roman" w:eastAsia="Times New Roman" w:hAnsi="Times New Roman" w:cs="Times New Roman"/>
          <w:sz w:val="24"/>
          <w:szCs w:val="24"/>
          <w:lang w:val="es-ES"/>
        </w:rPr>
        <w:t>, de acuerdo con cifras del gobierno guatemalteco tan sólo en el 2019 se presentaron 10.824 denuncias por delitos de violencia sexual.</w:t>
      </w:r>
      <w:r w:rsidR="00803DAB" w:rsidRPr="001B026B">
        <w:rPr>
          <w:rStyle w:val="EndnoteReference"/>
          <w:rFonts w:eastAsia="Times New Roman" w:cs="Times New Roman"/>
          <w:b w:val="0"/>
          <w:szCs w:val="24"/>
        </w:rPr>
        <w:endnoteReference w:id="40"/>
      </w:r>
      <w:r w:rsidR="00803DAB" w:rsidRPr="001B026B">
        <w:rPr>
          <w:rFonts w:ascii="Times New Roman" w:eastAsia="Times New Roman" w:hAnsi="Times New Roman" w:cs="Times New Roman"/>
          <w:sz w:val="24"/>
          <w:szCs w:val="24"/>
          <w:lang w:val="es-ES"/>
        </w:rPr>
        <w:t xml:space="preserve"> Además, la mayoría de los embarazos de niñas son el resultado de una violación, con frecuencia por miembros de la familia u otros hombres cercanos a ellas.</w:t>
      </w:r>
      <w:r w:rsidR="00803DAB" w:rsidRPr="001B026B">
        <w:rPr>
          <w:rStyle w:val="EndnoteReference"/>
          <w:rFonts w:eastAsia="Times New Roman" w:cs="Times New Roman"/>
          <w:b w:val="0"/>
          <w:szCs w:val="24"/>
        </w:rPr>
        <w:endnoteReference w:id="41"/>
      </w:r>
      <w:r w:rsidR="00803DAB" w:rsidRPr="001B026B">
        <w:rPr>
          <w:rFonts w:ascii="Times New Roman" w:eastAsia="Times New Roman" w:hAnsi="Times New Roman" w:cs="Times New Roman"/>
          <w:b/>
          <w:bCs/>
          <w:sz w:val="24"/>
          <w:szCs w:val="24"/>
          <w:lang w:val="es-ES"/>
        </w:rPr>
        <w:t xml:space="preserve"> </w:t>
      </w:r>
      <w:r w:rsidR="00803DAB" w:rsidRPr="001B026B">
        <w:rPr>
          <w:rFonts w:ascii="Times New Roman" w:eastAsia="Times New Roman" w:hAnsi="Times New Roman" w:cs="Times New Roman"/>
          <w:sz w:val="24"/>
          <w:szCs w:val="24"/>
          <w:lang w:val="es-ES"/>
        </w:rPr>
        <w:t>Esto quiere decir que en Guatemala cada 46 minutos una niña es víctima de violencia sexual y cada día se producen 5 embarazos de niñas menores de 14 años.</w:t>
      </w:r>
      <w:r w:rsidR="00803DAB" w:rsidRPr="001B026B">
        <w:rPr>
          <w:rStyle w:val="EndnoteReference"/>
          <w:rFonts w:eastAsia="Times New Roman" w:cs="Times New Roman"/>
          <w:b w:val="0"/>
          <w:szCs w:val="24"/>
          <w:lang w:val="es-ES"/>
        </w:rPr>
        <w:endnoteReference w:id="42"/>
      </w:r>
      <w:r w:rsidR="00803DAB" w:rsidRPr="001B026B">
        <w:rPr>
          <w:rFonts w:ascii="Times New Roman" w:eastAsia="Times New Roman" w:hAnsi="Times New Roman" w:cs="Times New Roman"/>
          <w:sz w:val="24"/>
          <w:szCs w:val="24"/>
          <w:lang w:val="es-ES"/>
        </w:rPr>
        <w:t xml:space="preserve"> </w:t>
      </w:r>
      <w:r w:rsidR="00D070D7" w:rsidRPr="001B026B">
        <w:rPr>
          <w:rFonts w:ascii="Times New Roman" w:eastAsiaTheme="majorEastAsia" w:hAnsi="Times New Roman" w:cs="Times New Roman"/>
          <w:sz w:val="24"/>
          <w:szCs w:val="24"/>
          <w:lang w:val="es-ES"/>
        </w:rPr>
        <w:t>El número de embarazos producto de una violación sexual</w:t>
      </w:r>
      <w:r w:rsidR="002F4AB8">
        <w:rPr>
          <w:rFonts w:ascii="Times New Roman" w:eastAsiaTheme="majorEastAsia" w:hAnsi="Times New Roman" w:cs="Times New Roman"/>
          <w:sz w:val="24"/>
          <w:szCs w:val="24"/>
          <w:lang w:val="es-ES"/>
        </w:rPr>
        <w:t>, ocurridos</w:t>
      </w:r>
      <w:r w:rsidR="00D070D7" w:rsidRPr="001B026B">
        <w:rPr>
          <w:rFonts w:ascii="Times New Roman" w:eastAsiaTheme="majorEastAsia" w:hAnsi="Times New Roman" w:cs="Times New Roman"/>
          <w:sz w:val="24"/>
          <w:szCs w:val="24"/>
          <w:lang w:val="es-ES"/>
        </w:rPr>
        <w:t xml:space="preserve"> </w:t>
      </w:r>
      <w:r w:rsidR="002F4AB8" w:rsidRPr="001B026B">
        <w:rPr>
          <w:rFonts w:ascii="Times New Roman" w:eastAsiaTheme="majorEastAsia" w:hAnsi="Times New Roman" w:cs="Times New Roman"/>
          <w:sz w:val="24"/>
          <w:szCs w:val="24"/>
          <w:lang w:val="es-ES"/>
        </w:rPr>
        <w:t>en el período 2010 – 2014</w:t>
      </w:r>
      <w:r w:rsidR="002F4AB8">
        <w:rPr>
          <w:rFonts w:ascii="Times New Roman" w:eastAsiaTheme="majorEastAsia" w:hAnsi="Times New Roman" w:cs="Times New Roman"/>
          <w:sz w:val="24"/>
          <w:szCs w:val="24"/>
          <w:lang w:val="es-ES"/>
        </w:rPr>
        <w:t xml:space="preserve">, </w:t>
      </w:r>
      <w:r w:rsidR="00D070D7" w:rsidRPr="001B026B">
        <w:rPr>
          <w:rFonts w:ascii="Times New Roman" w:eastAsiaTheme="majorEastAsia" w:hAnsi="Times New Roman" w:cs="Times New Roman"/>
          <w:sz w:val="24"/>
          <w:szCs w:val="24"/>
          <w:lang w:val="es-ES"/>
        </w:rPr>
        <w:t xml:space="preserve">en niñas de 10 a 14 años </w:t>
      </w:r>
      <w:r w:rsidR="002F4AB8">
        <w:rPr>
          <w:rFonts w:ascii="Times New Roman" w:eastAsiaTheme="majorEastAsia" w:hAnsi="Times New Roman" w:cs="Times New Roman"/>
          <w:sz w:val="24"/>
          <w:szCs w:val="24"/>
          <w:lang w:val="es-ES"/>
        </w:rPr>
        <w:t xml:space="preserve">alcanzó la alarmante cifra de </w:t>
      </w:r>
      <w:r w:rsidR="00D070D7" w:rsidRPr="001B026B">
        <w:rPr>
          <w:rFonts w:ascii="Times New Roman" w:eastAsiaTheme="majorEastAsia" w:hAnsi="Times New Roman" w:cs="Times New Roman"/>
          <w:sz w:val="24"/>
          <w:szCs w:val="24"/>
          <w:lang w:val="es-ES"/>
        </w:rPr>
        <w:t>2,683 casos, evidenci</w:t>
      </w:r>
      <w:r w:rsidR="002F4AB8">
        <w:rPr>
          <w:rFonts w:ascii="Times New Roman" w:eastAsiaTheme="majorEastAsia" w:hAnsi="Times New Roman" w:cs="Times New Roman"/>
          <w:sz w:val="24"/>
          <w:szCs w:val="24"/>
          <w:lang w:val="es-ES"/>
        </w:rPr>
        <w:t xml:space="preserve">ando que esta </w:t>
      </w:r>
      <w:r w:rsidR="00D070D7" w:rsidRPr="001B026B">
        <w:rPr>
          <w:rFonts w:ascii="Times New Roman" w:eastAsiaTheme="majorEastAsia" w:hAnsi="Times New Roman" w:cs="Times New Roman"/>
          <w:sz w:val="24"/>
          <w:szCs w:val="24"/>
          <w:lang w:val="es-ES"/>
        </w:rPr>
        <w:t>situación</w:t>
      </w:r>
      <w:r w:rsidR="002F4AB8">
        <w:rPr>
          <w:rFonts w:ascii="Times New Roman" w:eastAsiaTheme="majorEastAsia" w:hAnsi="Times New Roman" w:cs="Times New Roman"/>
          <w:sz w:val="24"/>
          <w:szCs w:val="24"/>
          <w:lang w:val="es-ES"/>
        </w:rPr>
        <w:t xml:space="preserve"> no es nueva.</w:t>
      </w:r>
      <w:r w:rsidR="00D070D7" w:rsidRPr="002F4AB8">
        <w:rPr>
          <w:rStyle w:val="EndnoteReference"/>
          <w:rFonts w:cs="Times New Roman"/>
          <w:b w:val="0"/>
          <w:bCs/>
          <w:szCs w:val="24"/>
        </w:rPr>
        <w:endnoteReference w:id="43"/>
      </w:r>
    </w:p>
    <w:p w14:paraId="08BEDD82" w14:textId="47D23F1D" w:rsidR="00577345" w:rsidRDefault="002F4AB8" w:rsidP="008F47F3">
      <w:pPr>
        <w:pStyle w:val="Cita1"/>
        <w:spacing w:line="276" w:lineRule="auto"/>
        <w:ind w:left="0"/>
        <w:contextualSpacing/>
        <w:rPr>
          <w:rFonts w:ascii="Times New Roman" w:eastAsiaTheme="majorEastAsia" w:hAnsi="Times New Roman" w:cs="Times New Roman"/>
          <w:i w:val="0"/>
          <w:iCs/>
          <w:sz w:val="24"/>
          <w:szCs w:val="24"/>
        </w:rPr>
      </w:pPr>
      <w:r>
        <w:rPr>
          <w:rFonts w:ascii="Times New Roman" w:eastAsiaTheme="majorEastAsia" w:hAnsi="Times New Roman" w:cs="Times New Roman"/>
          <w:i w:val="0"/>
          <w:iCs/>
          <w:sz w:val="24"/>
          <w:szCs w:val="24"/>
        </w:rPr>
        <w:t>Más preocupante aún</w:t>
      </w:r>
      <w:r w:rsidR="00577345" w:rsidRPr="001B026B">
        <w:rPr>
          <w:rFonts w:ascii="Times New Roman" w:eastAsiaTheme="majorEastAsia" w:hAnsi="Times New Roman" w:cs="Times New Roman"/>
          <w:i w:val="0"/>
          <w:iCs/>
          <w:sz w:val="24"/>
          <w:szCs w:val="24"/>
        </w:rPr>
        <w:t>, la violencia sexual contra niñas y mujeres ha ido en aumento entre 2017 y 2019, según datos del Instituto Nacional de Ciencias Forenses de Guatemala</w:t>
      </w:r>
      <w:r w:rsidR="005E3387">
        <w:rPr>
          <w:rFonts w:ascii="Times New Roman" w:eastAsiaTheme="majorEastAsia" w:hAnsi="Times New Roman" w:cs="Times New Roman"/>
          <w:i w:val="0"/>
          <w:iCs/>
          <w:sz w:val="24"/>
          <w:szCs w:val="24"/>
        </w:rPr>
        <w:t>. Además,</w:t>
      </w:r>
      <w:r w:rsidR="00577345" w:rsidRPr="001B026B">
        <w:rPr>
          <w:rFonts w:ascii="Times New Roman" w:eastAsiaTheme="majorEastAsia" w:hAnsi="Times New Roman" w:cs="Times New Roman"/>
          <w:i w:val="0"/>
          <w:iCs/>
          <w:sz w:val="24"/>
          <w:szCs w:val="24"/>
        </w:rPr>
        <w:t xml:space="preserve"> la mayoría de los reconocimientos médicos por delitos sexuales fueron realizados a niñas y adolescentes menores de edad, con 60.9% de los </w:t>
      </w:r>
      <w:r w:rsidR="00577345" w:rsidRPr="00B73431">
        <w:rPr>
          <w:rFonts w:ascii="Times New Roman" w:eastAsiaTheme="majorEastAsia" w:hAnsi="Times New Roman" w:cs="Times New Roman"/>
          <w:i w:val="0"/>
          <w:iCs/>
          <w:sz w:val="24"/>
          <w:szCs w:val="24"/>
        </w:rPr>
        <w:t>casos</w:t>
      </w:r>
      <w:r w:rsidR="00577345" w:rsidRPr="00B73431">
        <w:rPr>
          <w:rStyle w:val="EndnoteReference"/>
          <w:rFonts w:cs="Times New Roman"/>
          <w:b w:val="0"/>
          <w:bCs/>
          <w:i w:val="0"/>
          <w:iCs/>
          <w:szCs w:val="24"/>
        </w:rPr>
        <w:endnoteReference w:id="44"/>
      </w:r>
      <w:r w:rsidR="00B73431">
        <w:rPr>
          <w:rFonts w:ascii="Times New Roman" w:eastAsiaTheme="majorEastAsia" w:hAnsi="Times New Roman" w:cs="Times New Roman"/>
          <w:i w:val="0"/>
          <w:iCs/>
          <w:sz w:val="24"/>
          <w:szCs w:val="24"/>
        </w:rPr>
        <w:t>.</w:t>
      </w:r>
      <w:r w:rsidR="00577345" w:rsidRPr="00B73431">
        <w:rPr>
          <w:rFonts w:ascii="Times New Roman" w:eastAsiaTheme="majorEastAsia" w:hAnsi="Times New Roman" w:cs="Times New Roman"/>
          <w:b/>
          <w:bCs/>
          <w:i w:val="0"/>
          <w:iCs/>
          <w:sz w:val="24"/>
          <w:szCs w:val="24"/>
        </w:rPr>
        <w:t xml:space="preserve"> </w:t>
      </w:r>
      <w:r w:rsidR="00577345" w:rsidRPr="001B026B">
        <w:rPr>
          <w:rFonts w:ascii="Times New Roman" w:eastAsiaTheme="majorEastAsia" w:hAnsi="Times New Roman" w:cs="Times New Roman"/>
          <w:i w:val="0"/>
          <w:iCs/>
          <w:sz w:val="24"/>
          <w:szCs w:val="24"/>
        </w:rPr>
        <w:t>Según cifras</w:t>
      </w:r>
      <w:r w:rsidR="00D806D0">
        <w:rPr>
          <w:rFonts w:ascii="Times New Roman" w:eastAsiaTheme="majorEastAsia" w:hAnsi="Times New Roman" w:cs="Times New Roman"/>
          <w:i w:val="0"/>
          <w:iCs/>
          <w:sz w:val="24"/>
          <w:szCs w:val="24"/>
        </w:rPr>
        <w:t xml:space="preserve"> de OSAR</w:t>
      </w:r>
      <w:r w:rsidR="00577345" w:rsidRPr="001B026B">
        <w:rPr>
          <w:rFonts w:ascii="Times New Roman" w:eastAsiaTheme="majorEastAsia" w:hAnsi="Times New Roman" w:cs="Times New Roman"/>
          <w:i w:val="0"/>
          <w:iCs/>
          <w:sz w:val="24"/>
          <w:szCs w:val="24"/>
        </w:rPr>
        <w:t>, reportadas por el Procurador de los Derechos Humanos de Guatemala, entre 1 de enero y 31 de agosto de 2019 el Registro Nacional de las Personas de Guatemala registró "85,619 embarazos en niñas, adolescentes y jóvenes comprendidas en las edades de 10 a 19 años, siendo que, 238 corresponden a niñas de 10 a 12 años y que 40,861 lo constituyen adolescentes de 13 a 17 años"</w:t>
      </w:r>
      <w:r w:rsidR="00577345" w:rsidRPr="00D806D0">
        <w:rPr>
          <w:rStyle w:val="EndnoteReference"/>
          <w:rFonts w:cs="Times New Roman"/>
          <w:b w:val="0"/>
          <w:bCs/>
          <w:i w:val="0"/>
          <w:iCs/>
          <w:szCs w:val="24"/>
        </w:rPr>
        <w:endnoteReference w:id="45"/>
      </w:r>
      <w:r w:rsidR="00577345" w:rsidRPr="001B026B">
        <w:rPr>
          <w:rFonts w:ascii="Times New Roman" w:eastAsiaTheme="majorEastAsia" w:hAnsi="Times New Roman" w:cs="Times New Roman"/>
          <w:i w:val="0"/>
          <w:iCs/>
          <w:sz w:val="24"/>
          <w:szCs w:val="24"/>
        </w:rPr>
        <w:t>. A partir de estas cifras el Procurador de los Derechos Humanos concluy</w:t>
      </w:r>
      <w:r w:rsidR="005E3387">
        <w:rPr>
          <w:rFonts w:ascii="Times New Roman" w:eastAsiaTheme="majorEastAsia" w:hAnsi="Times New Roman" w:cs="Times New Roman"/>
          <w:i w:val="0"/>
          <w:iCs/>
          <w:sz w:val="24"/>
          <w:szCs w:val="24"/>
        </w:rPr>
        <w:t>ó que</w:t>
      </w:r>
      <w:r w:rsidR="00577345" w:rsidRPr="001B026B">
        <w:rPr>
          <w:rFonts w:ascii="Times New Roman" w:eastAsiaTheme="majorEastAsia" w:hAnsi="Times New Roman" w:cs="Times New Roman"/>
          <w:i w:val="0"/>
          <w:iCs/>
          <w:sz w:val="24"/>
          <w:szCs w:val="24"/>
        </w:rPr>
        <w:t>:</w:t>
      </w:r>
    </w:p>
    <w:p w14:paraId="1D446CFD" w14:textId="77777777" w:rsidR="00577345" w:rsidRPr="001B026B" w:rsidRDefault="00577345" w:rsidP="008F47F3">
      <w:pPr>
        <w:pStyle w:val="Cita1"/>
        <w:spacing w:line="276" w:lineRule="auto"/>
        <w:ind w:left="0"/>
        <w:contextualSpacing/>
        <w:rPr>
          <w:rFonts w:ascii="Times New Roman" w:hAnsi="Times New Roman" w:cs="Times New Roman"/>
          <w:sz w:val="24"/>
          <w:szCs w:val="24"/>
        </w:rPr>
      </w:pPr>
    </w:p>
    <w:p w14:paraId="2DF37B8F" w14:textId="01817A5F" w:rsidR="00577345" w:rsidRDefault="00577345" w:rsidP="008F47F3">
      <w:pPr>
        <w:pStyle w:val="Cita1"/>
        <w:spacing w:line="276" w:lineRule="auto"/>
        <w:contextualSpacing/>
        <w:rPr>
          <w:rFonts w:ascii="Times New Roman" w:eastAsiaTheme="majorEastAsia" w:hAnsi="Times New Roman" w:cs="Times New Roman"/>
          <w:sz w:val="24"/>
          <w:szCs w:val="24"/>
        </w:rPr>
      </w:pPr>
      <w:r w:rsidRPr="001B026B">
        <w:rPr>
          <w:rFonts w:ascii="Times New Roman" w:eastAsiaTheme="majorEastAsia" w:hAnsi="Times New Roman" w:cs="Times New Roman"/>
          <w:sz w:val="24"/>
          <w:szCs w:val="24"/>
        </w:rPr>
        <w:t xml:space="preserve">"Los datos evidencian que las niñas y las adolescentes están mucho más expuestas a la violencia sexual, situación que demuestra la necesidad y urgencia de enfocar esfuerzos institucionales orientados a la prevención de la violencia que se ejerce en contra de las </w:t>
      </w:r>
      <w:r w:rsidRPr="001B026B">
        <w:rPr>
          <w:rFonts w:ascii="Times New Roman" w:eastAsiaTheme="majorEastAsia" w:hAnsi="Times New Roman" w:cs="Times New Roman"/>
          <w:sz w:val="24"/>
          <w:szCs w:val="24"/>
        </w:rPr>
        <w:lastRenderedPageBreak/>
        <w:t>mujeres de todas las edades, sin perder de vista la importancia de la denuncia de este delito."</w:t>
      </w:r>
      <w:r w:rsidRPr="001B026B">
        <w:rPr>
          <w:rStyle w:val="EndnoteReference"/>
          <w:rFonts w:cs="Times New Roman"/>
          <w:szCs w:val="24"/>
        </w:rPr>
        <w:endnoteReference w:id="46"/>
      </w:r>
    </w:p>
    <w:p w14:paraId="3A67CFA7" w14:textId="71269320" w:rsidR="0287B8B7" w:rsidRPr="005E2C1C" w:rsidRDefault="00486FC3" w:rsidP="008F47F3">
      <w:pPr>
        <w:pStyle w:val="NormalWeb"/>
        <w:spacing w:line="276" w:lineRule="auto"/>
        <w:jc w:val="both"/>
        <w:rPr>
          <w:color w:val="000000"/>
          <w:lang w:val="es-ES"/>
        </w:rPr>
      </w:pPr>
      <w:r w:rsidRPr="0287B8B7">
        <w:rPr>
          <w:color w:val="000000" w:themeColor="text1"/>
          <w:lang w:val="es-ES"/>
        </w:rPr>
        <w:t xml:space="preserve">De acuerdo con la información publicada por el Ministerio Público de Guatemala en 2022, los delitos contra la niñez y las mujeres son de los más denunciados en el sistema de justicia del país, siendo la </w:t>
      </w:r>
      <w:proofErr w:type="gramStart"/>
      <w:r w:rsidRPr="0287B8B7">
        <w:rPr>
          <w:color w:val="000000" w:themeColor="text1"/>
          <w:lang w:val="es-ES"/>
        </w:rPr>
        <w:t>agresión sexual y la violación sexual</w:t>
      </w:r>
      <w:proofErr w:type="gramEnd"/>
      <w:r w:rsidRPr="0287B8B7">
        <w:rPr>
          <w:color w:val="000000" w:themeColor="text1"/>
          <w:lang w:val="es-ES"/>
        </w:rPr>
        <w:t xml:space="preserve"> dos de los delitos más reportados. De hecho, de acuerdo con la información ahí expuesta, en 2022 se recibieron alrededor de 24 denuncias diarias solo de violación sexual, es decir, más de 6.500 denuncias en lo que lleva el año, en su mayoría de niñas. Según la misma página se “protegió o respondió con justicia” a 298 víctimas, menos del 5% de esta población. Estas alarmantes cifras reflejan un problema sistémico de inacción estatal en casos de violencia sexual, lo que perpetúa la impunidad y favorece que historias como la de Fátima se sigan repitiendo.</w:t>
      </w:r>
    </w:p>
    <w:p w14:paraId="0588771B" w14:textId="21A227C1" w:rsidR="001B026B" w:rsidRDefault="001B026B" w:rsidP="008F47F3">
      <w:pPr>
        <w:pStyle w:val="TextoCarta"/>
        <w:spacing w:line="276" w:lineRule="auto"/>
        <w:ind w:firstLine="0"/>
        <w:contextualSpacing/>
        <w:rPr>
          <w:rFonts w:ascii="Times New Roman" w:eastAsiaTheme="majorEastAsia" w:hAnsi="Times New Roman" w:cs="Times New Roman"/>
          <w:sz w:val="24"/>
          <w:szCs w:val="24"/>
          <w:lang w:val="es-ES"/>
        </w:rPr>
      </w:pPr>
      <w:r w:rsidRPr="001B026B">
        <w:rPr>
          <w:rFonts w:ascii="Times New Roman" w:eastAsiaTheme="majorEastAsia" w:hAnsi="Times New Roman" w:cs="Times New Roman"/>
          <w:sz w:val="24"/>
          <w:szCs w:val="24"/>
          <w:lang w:val="es-ES"/>
        </w:rPr>
        <w:t>En el derecho internacional de los derechos humanos, se ha reconocido que forzar a una mujer a llevar a término un embarazo producto de una violación tiene impactos severos en su salud mental y constituye una violación de su derecho a la salud, a su dignidad y a su privacidad. Así lo ha referido el Comité DESC</w:t>
      </w:r>
      <w:r w:rsidRPr="00EB31FA">
        <w:rPr>
          <w:rStyle w:val="EndnoteReference"/>
          <w:rFonts w:eastAsiaTheme="majorEastAsia" w:cs="Times New Roman"/>
          <w:b w:val="0"/>
          <w:bCs/>
          <w:szCs w:val="24"/>
        </w:rPr>
        <w:endnoteReference w:id="47"/>
      </w:r>
      <w:r w:rsidRPr="001B026B">
        <w:rPr>
          <w:rFonts w:ascii="Times New Roman" w:eastAsiaTheme="majorEastAsia" w:hAnsi="Times New Roman" w:cs="Times New Roman"/>
          <w:sz w:val="24"/>
          <w:szCs w:val="24"/>
          <w:lang w:val="es-ES"/>
        </w:rPr>
        <w:t>, el Comité de Derechos Humanos</w:t>
      </w:r>
      <w:r w:rsidRPr="00EB31FA">
        <w:rPr>
          <w:rStyle w:val="EndnoteReference"/>
          <w:rFonts w:eastAsiaTheme="majorEastAsia" w:cs="Times New Roman"/>
          <w:b w:val="0"/>
          <w:bCs/>
          <w:szCs w:val="24"/>
        </w:rPr>
        <w:endnoteReference w:id="48"/>
      </w:r>
      <w:r w:rsidRPr="001B026B">
        <w:rPr>
          <w:rFonts w:ascii="Times New Roman" w:eastAsiaTheme="majorEastAsia" w:hAnsi="Times New Roman" w:cs="Times New Roman"/>
          <w:sz w:val="24"/>
          <w:szCs w:val="24"/>
          <w:lang w:val="es-ES"/>
        </w:rPr>
        <w:t>, e</w:t>
      </w:r>
      <w:r w:rsidR="00E1109A">
        <w:rPr>
          <w:rFonts w:ascii="Times New Roman" w:eastAsiaTheme="majorEastAsia" w:hAnsi="Times New Roman" w:cs="Times New Roman"/>
          <w:sz w:val="24"/>
          <w:szCs w:val="24"/>
          <w:lang w:val="es-ES"/>
        </w:rPr>
        <w:t>l</w:t>
      </w:r>
      <w:r w:rsidRPr="001B026B">
        <w:rPr>
          <w:rFonts w:ascii="Times New Roman" w:eastAsiaTheme="majorEastAsia" w:hAnsi="Times New Roman" w:cs="Times New Roman"/>
          <w:sz w:val="24"/>
          <w:szCs w:val="24"/>
          <w:lang w:val="es-ES"/>
        </w:rPr>
        <w:t xml:space="preserve"> Comité CEDAW</w:t>
      </w:r>
      <w:r w:rsidRPr="00EB31FA">
        <w:rPr>
          <w:rStyle w:val="EndnoteReference"/>
          <w:rFonts w:eastAsiaTheme="majorEastAsia" w:cs="Times New Roman"/>
          <w:b w:val="0"/>
          <w:bCs/>
          <w:szCs w:val="24"/>
        </w:rPr>
        <w:endnoteReference w:id="49"/>
      </w:r>
      <w:r w:rsidRPr="001B026B">
        <w:rPr>
          <w:rFonts w:ascii="Times New Roman" w:eastAsiaTheme="majorEastAsia" w:hAnsi="Times New Roman" w:cs="Times New Roman"/>
          <w:sz w:val="24"/>
          <w:szCs w:val="24"/>
          <w:lang w:val="es-ES"/>
        </w:rPr>
        <w:t>, el Comité contra la Tortura</w:t>
      </w:r>
      <w:r w:rsidRPr="00EB31FA">
        <w:rPr>
          <w:rStyle w:val="EndnoteReference"/>
          <w:rFonts w:eastAsiaTheme="majorEastAsia" w:cs="Times New Roman"/>
          <w:b w:val="0"/>
          <w:bCs/>
          <w:szCs w:val="24"/>
        </w:rPr>
        <w:endnoteReference w:id="50"/>
      </w:r>
      <w:r w:rsidRPr="001B026B">
        <w:rPr>
          <w:rFonts w:ascii="Times New Roman" w:eastAsiaTheme="majorEastAsia" w:hAnsi="Times New Roman" w:cs="Times New Roman"/>
          <w:b/>
          <w:bCs/>
          <w:sz w:val="24"/>
          <w:szCs w:val="24"/>
          <w:lang w:val="es-ES"/>
        </w:rPr>
        <w:t xml:space="preserve"> </w:t>
      </w:r>
      <w:r w:rsidRPr="001B026B">
        <w:rPr>
          <w:rFonts w:ascii="Times New Roman" w:eastAsiaTheme="majorEastAsia" w:hAnsi="Times New Roman" w:cs="Times New Roman"/>
          <w:sz w:val="24"/>
          <w:szCs w:val="24"/>
          <w:lang w:val="es-ES"/>
        </w:rPr>
        <w:t>y el Relator Especial sobre la Tortura</w:t>
      </w:r>
      <w:r w:rsidRPr="00EB31FA">
        <w:rPr>
          <w:rStyle w:val="EndnoteReference"/>
          <w:rFonts w:eastAsiaTheme="majorEastAsia" w:cs="Times New Roman"/>
          <w:b w:val="0"/>
          <w:bCs/>
          <w:szCs w:val="24"/>
        </w:rPr>
        <w:endnoteReference w:id="51"/>
      </w:r>
      <w:r w:rsidRPr="001B026B">
        <w:rPr>
          <w:rFonts w:ascii="Times New Roman" w:eastAsiaTheme="majorEastAsia" w:hAnsi="Times New Roman" w:cs="Times New Roman"/>
          <w:b/>
          <w:bCs/>
          <w:sz w:val="24"/>
          <w:szCs w:val="24"/>
          <w:lang w:val="es-ES"/>
        </w:rPr>
        <w:t>.</w:t>
      </w:r>
      <w:r w:rsidRPr="001B026B">
        <w:rPr>
          <w:rFonts w:ascii="Times New Roman" w:eastAsiaTheme="majorEastAsia" w:hAnsi="Times New Roman" w:cs="Times New Roman"/>
          <w:sz w:val="24"/>
          <w:szCs w:val="24"/>
          <w:lang w:val="es-ES"/>
        </w:rPr>
        <w:t xml:space="preserve"> </w:t>
      </w:r>
      <w:r w:rsidR="00E1109A">
        <w:rPr>
          <w:rFonts w:ascii="Times New Roman" w:eastAsiaTheme="majorEastAsia" w:hAnsi="Times New Roman" w:cs="Times New Roman"/>
          <w:sz w:val="24"/>
          <w:szCs w:val="24"/>
          <w:lang w:val="es-ES"/>
        </w:rPr>
        <w:t xml:space="preserve">La </w:t>
      </w:r>
      <w:r w:rsidRPr="001B026B">
        <w:rPr>
          <w:rFonts w:ascii="Times New Roman" w:eastAsiaTheme="majorEastAsia" w:hAnsi="Times New Roman" w:cs="Times New Roman"/>
          <w:sz w:val="24"/>
          <w:szCs w:val="24"/>
          <w:lang w:val="es-ES"/>
        </w:rPr>
        <w:t>falta de acceso a los servicios de salud reproductiva, como el aborto, “repercute de manera sumamente negativa en la salud de las niñas y las mujeres” y estos efectos negativos “se agravan cuando se trata de embarazos no deseados y de maternidad forzada como consecuencia de actos de violencia sexual”</w:t>
      </w:r>
      <w:r w:rsidRPr="00DB3EFC">
        <w:rPr>
          <w:rStyle w:val="EndnoteReference"/>
          <w:rFonts w:eastAsiaTheme="majorEastAsia" w:cs="Times New Roman"/>
          <w:b w:val="0"/>
          <w:bCs/>
          <w:szCs w:val="24"/>
        </w:rPr>
        <w:endnoteReference w:id="52"/>
      </w:r>
      <w:r w:rsidRPr="001B026B">
        <w:rPr>
          <w:rFonts w:ascii="Times New Roman" w:eastAsiaTheme="majorEastAsia" w:hAnsi="Times New Roman" w:cs="Times New Roman"/>
          <w:sz w:val="24"/>
          <w:szCs w:val="24"/>
          <w:lang w:val="es-ES"/>
        </w:rPr>
        <w:t>. Adicionalmente, en los casos de niñas y adolescentes, los embarazos y maternidades forzadas también afectan de manera irreversible su acceso a la educación, siendo el embarazo adolescente una de las principales causas de abandono escolar, lo que obstaculiza su desarrollo psicosocial</w:t>
      </w:r>
      <w:r w:rsidRPr="00DB3EFC">
        <w:rPr>
          <w:rStyle w:val="EndnoteReference"/>
          <w:rFonts w:eastAsiaTheme="majorEastAsia" w:cs="Times New Roman"/>
          <w:b w:val="0"/>
          <w:bCs/>
          <w:szCs w:val="24"/>
        </w:rPr>
        <w:endnoteReference w:id="53"/>
      </w:r>
      <w:r>
        <w:rPr>
          <w:rFonts w:ascii="Times New Roman" w:eastAsiaTheme="majorEastAsia" w:hAnsi="Times New Roman" w:cs="Times New Roman"/>
          <w:sz w:val="24"/>
          <w:szCs w:val="24"/>
          <w:lang w:val="es-ES"/>
        </w:rPr>
        <w:t>.</w:t>
      </w:r>
    </w:p>
    <w:p w14:paraId="4271D048" w14:textId="019370EC" w:rsidR="00DC2F41" w:rsidRPr="00DC2F41" w:rsidRDefault="00DC2F41" w:rsidP="008F47F3">
      <w:pPr>
        <w:pStyle w:val="NormalWeb"/>
        <w:spacing w:line="276" w:lineRule="auto"/>
        <w:jc w:val="both"/>
        <w:rPr>
          <w:color w:val="000000"/>
          <w:lang w:val="es-ES"/>
        </w:rPr>
      </w:pPr>
      <w:r w:rsidRPr="001B026B">
        <w:rPr>
          <w:rFonts w:eastAsiaTheme="majorEastAsia"/>
          <w:lang w:val="es-ES"/>
        </w:rPr>
        <w:t>Por todo lo anterior, podemos decir que Guatemala no ha cumplido con su obligación de prevenir y sancionar adecuadamente la violencia sexual y evitar los embarazos forzados como una grave violación a derechos humanos que afecta de manera permanente el proyecto de vida de las mujeres y niñas.</w:t>
      </w:r>
      <w:r w:rsidRPr="00235D01">
        <w:rPr>
          <w:rStyle w:val="normaltextrun"/>
          <w:color w:val="000000" w:themeColor="text1"/>
          <w:lang w:val="es-ES"/>
        </w:rPr>
        <w:t xml:space="preserve"> </w:t>
      </w:r>
      <w:r w:rsidRPr="00A60861">
        <w:rPr>
          <w:rStyle w:val="normaltextrun"/>
          <w:color w:val="000000" w:themeColor="text1"/>
          <w:lang w:val="es-ES"/>
        </w:rPr>
        <w:t>Tal y como ha señalado este Comité, la falta de información sobre el acceso a los servicios de atención al embarazo expone a las niñas a un “riesgo real, personal y previsible para su vida y su salud" y puede ser violatorio de su derecho a buscar y recibir información.</w:t>
      </w:r>
      <w:r w:rsidRPr="00A60861">
        <w:rPr>
          <w:rStyle w:val="EndnoteReference"/>
          <w:b w:val="0"/>
          <w:color w:val="000000" w:themeColor="text1"/>
          <w:lang w:val="es-ES"/>
        </w:rPr>
        <w:endnoteReference w:id="54"/>
      </w:r>
      <w:r w:rsidRPr="002E02C3">
        <w:rPr>
          <w:color w:val="000000"/>
          <w:lang w:val="es-ES"/>
        </w:rPr>
        <w:t xml:space="preserve"> </w:t>
      </w:r>
    </w:p>
    <w:p w14:paraId="55DAC198" w14:textId="77777777" w:rsidR="00916965" w:rsidRDefault="002035CC" w:rsidP="008F47F3">
      <w:pPr>
        <w:pStyle w:val="ListParagraph"/>
        <w:numPr>
          <w:ilvl w:val="1"/>
          <w:numId w:val="7"/>
        </w:numPr>
        <w:spacing w:after="0" w:line="276" w:lineRule="auto"/>
        <w:rPr>
          <w:rFonts w:ascii="Times New Roman" w:eastAsia="Times New Roman" w:hAnsi="Times New Roman" w:cs="Times New Roman"/>
          <w:b/>
          <w:bCs/>
          <w:sz w:val="24"/>
          <w:szCs w:val="24"/>
          <w:lang w:val="es-CO"/>
        </w:rPr>
      </w:pPr>
      <w:r w:rsidRPr="00916965">
        <w:rPr>
          <w:rFonts w:ascii="Times New Roman" w:eastAsia="Times New Roman" w:hAnsi="Times New Roman" w:cs="Times New Roman"/>
          <w:b/>
          <w:bCs/>
          <w:sz w:val="24"/>
          <w:szCs w:val="24"/>
          <w:lang w:val="es-CO"/>
        </w:rPr>
        <w:t>El caso de Fátima</w:t>
      </w:r>
    </w:p>
    <w:p w14:paraId="297B533E" w14:textId="77777777" w:rsidR="00460B39" w:rsidRDefault="00460B39" w:rsidP="008F47F3">
      <w:pPr>
        <w:pStyle w:val="ListParagraph"/>
        <w:spacing w:after="0" w:line="276" w:lineRule="auto"/>
        <w:ind w:left="1440"/>
        <w:rPr>
          <w:rFonts w:ascii="Times New Roman" w:eastAsia="Times New Roman" w:hAnsi="Times New Roman" w:cs="Times New Roman"/>
          <w:b/>
          <w:bCs/>
          <w:sz w:val="24"/>
          <w:szCs w:val="24"/>
          <w:lang w:val="es-CO"/>
        </w:rPr>
      </w:pPr>
    </w:p>
    <w:p w14:paraId="198E192A" w14:textId="63873A77" w:rsidR="00460B39" w:rsidRPr="00133707" w:rsidRDefault="00460B39" w:rsidP="008F47F3">
      <w:pPr>
        <w:pStyle w:val="ListParagraph"/>
        <w:numPr>
          <w:ilvl w:val="2"/>
          <w:numId w:val="7"/>
        </w:numPr>
        <w:spacing w:after="0" w:line="276" w:lineRule="auto"/>
        <w:rPr>
          <w:rFonts w:ascii="Times New Roman" w:eastAsia="Times New Roman" w:hAnsi="Times New Roman" w:cs="Times New Roman"/>
          <w:b/>
          <w:sz w:val="24"/>
          <w:szCs w:val="24"/>
          <w:lang w:val="es-CO"/>
        </w:rPr>
      </w:pPr>
      <w:r>
        <w:rPr>
          <w:rFonts w:ascii="Times New Roman" w:eastAsia="Times New Roman" w:hAnsi="Times New Roman" w:cs="Times New Roman"/>
          <w:b/>
          <w:bCs/>
          <w:sz w:val="24"/>
          <w:szCs w:val="24"/>
          <w:lang w:val="es-CO"/>
        </w:rPr>
        <w:t>Hechos del caso</w:t>
      </w:r>
    </w:p>
    <w:p w14:paraId="5487BA0A" w14:textId="77777777" w:rsidR="00A60861" w:rsidRPr="00A60861" w:rsidRDefault="00A60861" w:rsidP="008F47F3">
      <w:pPr>
        <w:snapToGrid w:val="0"/>
        <w:spacing w:after="0" w:line="276" w:lineRule="auto"/>
        <w:jc w:val="both"/>
        <w:rPr>
          <w:rFonts w:ascii="Times New Roman" w:eastAsia="Times New Roman" w:hAnsi="Times New Roman" w:cs="Times New Roman"/>
          <w:sz w:val="24"/>
          <w:szCs w:val="24"/>
          <w:lang w:val="es-ES"/>
        </w:rPr>
      </w:pPr>
    </w:p>
    <w:p w14:paraId="5AD79D25" w14:textId="634228F2" w:rsidR="00E079E3" w:rsidRDefault="00DB3EFC" w:rsidP="008F47F3">
      <w:pPr>
        <w:snapToGrid w:val="0"/>
        <w:spacing w:after="0" w:line="276" w:lineRule="auto"/>
        <w:jc w:val="both"/>
        <w:rPr>
          <w:rStyle w:val="eop"/>
          <w:rFonts w:ascii="Times New Roman" w:eastAsia="Times New Roman" w:hAnsi="Times New Roman" w:cs="Times New Roman"/>
          <w:color w:val="000000"/>
          <w:sz w:val="24"/>
          <w:szCs w:val="24"/>
          <w:lang w:val="es-ES"/>
        </w:rPr>
      </w:pPr>
      <w:r>
        <w:rPr>
          <w:rFonts w:ascii="Times New Roman" w:eastAsia="Times New Roman" w:hAnsi="Times New Roman" w:cs="Times New Roman"/>
          <w:sz w:val="24"/>
          <w:szCs w:val="24"/>
          <w:lang w:val="es-ES"/>
        </w:rPr>
        <w:t>El</w:t>
      </w:r>
      <w:r w:rsidR="00A60861" w:rsidRPr="00A60861">
        <w:rPr>
          <w:rFonts w:ascii="Times New Roman" w:eastAsia="Times New Roman" w:hAnsi="Times New Roman" w:cs="Times New Roman"/>
          <w:sz w:val="24"/>
          <w:szCs w:val="24"/>
          <w:lang w:val="es-ES"/>
        </w:rPr>
        <w:t xml:space="preserve"> Centro de Derechos Reproductivos</w:t>
      </w:r>
      <w:r w:rsidR="005E3387">
        <w:rPr>
          <w:rFonts w:ascii="Times New Roman" w:eastAsia="Times New Roman" w:hAnsi="Times New Roman" w:cs="Times New Roman"/>
          <w:sz w:val="24"/>
          <w:szCs w:val="24"/>
          <w:lang w:val="es-ES"/>
        </w:rPr>
        <w:t>, M</w:t>
      </w:r>
      <w:r w:rsidR="00F8665E">
        <w:rPr>
          <w:rFonts w:ascii="Times New Roman" w:eastAsia="Times New Roman" w:hAnsi="Times New Roman" w:cs="Times New Roman"/>
          <w:sz w:val="24"/>
          <w:szCs w:val="24"/>
          <w:lang w:val="es-ES"/>
        </w:rPr>
        <w:t xml:space="preserve">ujeres </w:t>
      </w:r>
      <w:r w:rsidR="005E3387">
        <w:rPr>
          <w:rFonts w:ascii="Times New Roman" w:eastAsia="Times New Roman" w:hAnsi="Times New Roman" w:cs="Times New Roman"/>
          <w:sz w:val="24"/>
          <w:szCs w:val="24"/>
          <w:lang w:val="es-ES"/>
        </w:rPr>
        <w:t>T</w:t>
      </w:r>
      <w:r w:rsidR="00F8665E">
        <w:rPr>
          <w:rFonts w:ascii="Times New Roman" w:eastAsia="Times New Roman" w:hAnsi="Times New Roman" w:cs="Times New Roman"/>
          <w:sz w:val="24"/>
          <w:szCs w:val="24"/>
          <w:lang w:val="es-ES"/>
        </w:rPr>
        <w:t xml:space="preserve">ransformando el </w:t>
      </w:r>
      <w:r w:rsidR="005E3387">
        <w:rPr>
          <w:rFonts w:ascii="Times New Roman" w:eastAsia="Times New Roman" w:hAnsi="Times New Roman" w:cs="Times New Roman"/>
          <w:sz w:val="24"/>
          <w:szCs w:val="24"/>
          <w:lang w:val="es-ES"/>
        </w:rPr>
        <w:t>M</w:t>
      </w:r>
      <w:r w:rsidR="00F8665E">
        <w:rPr>
          <w:rFonts w:ascii="Times New Roman" w:eastAsia="Times New Roman" w:hAnsi="Times New Roman" w:cs="Times New Roman"/>
          <w:sz w:val="24"/>
          <w:szCs w:val="24"/>
          <w:lang w:val="es-ES"/>
        </w:rPr>
        <w:t>undo</w:t>
      </w:r>
      <w:r w:rsidR="00A60861" w:rsidRPr="00A60861">
        <w:rPr>
          <w:rFonts w:ascii="Times New Roman" w:eastAsia="Times New Roman" w:hAnsi="Times New Roman" w:cs="Times New Roman"/>
          <w:sz w:val="24"/>
          <w:szCs w:val="24"/>
          <w:lang w:val="es-ES"/>
        </w:rPr>
        <w:t xml:space="preserve"> y </w:t>
      </w:r>
      <w:r w:rsidR="0003236F">
        <w:rPr>
          <w:rFonts w:ascii="Times New Roman" w:eastAsia="Times New Roman" w:hAnsi="Times New Roman" w:cs="Times New Roman"/>
          <w:sz w:val="24"/>
          <w:szCs w:val="24"/>
          <w:lang w:val="es-ES"/>
        </w:rPr>
        <w:t xml:space="preserve">otras </w:t>
      </w:r>
      <w:r w:rsidR="00A60861" w:rsidRPr="00A60861">
        <w:rPr>
          <w:rFonts w:ascii="Times New Roman" w:eastAsia="Times New Roman" w:hAnsi="Times New Roman" w:cs="Times New Roman"/>
          <w:sz w:val="24"/>
          <w:szCs w:val="24"/>
          <w:lang w:val="es-ES"/>
        </w:rPr>
        <w:t xml:space="preserve">organizaciones aliadas, representamos el caso de </w:t>
      </w:r>
      <w:r w:rsidR="00A60861" w:rsidRPr="00A60861">
        <w:rPr>
          <w:rFonts w:ascii="Times New Roman" w:eastAsia="Times New Roman" w:hAnsi="Times New Roman" w:cs="Times New Roman"/>
          <w:i/>
          <w:iCs/>
          <w:sz w:val="24"/>
          <w:szCs w:val="24"/>
          <w:lang w:val="es-ES"/>
        </w:rPr>
        <w:t>Fátima</w:t>
      </w:r>
      <w:r w:rsidR="00A60861" w:rsidRPr="00A60861">
        <w:rPr>
          <w:rStyle w:val="EndnoteReference"/>
          <w:rFonts w:eastAsia="Times New Roman" w:cs="Times New Roman"/>
          <w:b w:val="0"/>
          <w:bCs/>
          <w:i/>
          <w:iCs/>
          <w:szCs w:val="24"/>
          <w:lang w:val="es-ES"/>
        </w:rPr>
        <w:endnoteReference w:id="55"/>
      </w:r>
      <w:r w:rsidR="00A60861" w:rsidRPr="00A60861">
        <w:rPr>
          <w:rFonts w:ascii="Times New Roman" w:eastAsia="Times New Roman" w:hAnsi="Times New Roman" w:cs="Times New Roman"/>
          <w:sz w:val="24"/>
          <w:szCs w:val="24"/>
          <w:lang w:val="es-ES"/>
        </w:rPr>
        <w:t>, quien</w:t>
      </w:r>
      <w:r w:rsidR="00A60861" w:rsidRPr="00A60861">
        <w:rPr>
          <w:rStyle w:val="normaltextrun"/>
          <w:rFonts w:ascii="Times New Roman" w:eastAsia="Times New Roman" w:hAnsi="Times New Roman" w:cs="Times New Roman"/>
          <w:sz w:val="24"/>
          <w:szCs w:val="24"/>
          <w:lang w:val="es-CO"/>
        </w:rPr>
        <w:t xml:space="preserve"> fue víctima de actos de violencia sexual por parte del director de la guardería pública a la que asistía. Ella no contó con educación sexual integral que le permitiera identificar y denunciar estos actos.</w:t>
      </w:r>
      <w:r w:rsidR="00A60861" w:rsidRPr="00A60861">
        <w:rPr>
          <w:rStyle w:val="EndnoteReference"/>
          <w:rFonts w:eastAsia="Times New Roman" w:cs="Times New Roman"/>
          <w:b w:val="0"/>
          <w:szCs w:val="24"/>
          <w:lang w:val="es-CO"/>
        </w:rPr>
        <w:endnoteReference w:id="56"/>
      </w:r>
      <w:r w:rsidR="00A60861" w:rsidRPr="00A60861">
        <w:rPr>
          <w:rStyle w:val="normaltextrun"/>
          <w:rFonts w:ascii="Times New Roman" w:eastAsia="Times New Roman" w:hAnsi="Times New Roman" w:cs="Times New Roman"/>
          <w:sz w:val="24"/>
          <w:szCs w:val="24"/>
          <w:lang w:val="es-CO"/>
        </w:rPr>
        <w:t xml:space="preserve"> </w:t>
      </w:r>
      <w:r w:rsidR="00A60861" w:rsidRPr="00A60861">
        <w:rPr>
          <w:rStyle w:val="normaltextrun"/>
          <w:rFonts w:ascii="Times New Roman" w:eastAsia="Times New Roman" w:hAnsi="Times New Roman" w:cs="Times New Roman"/>
          <w:color w:val="000000"/>
          <w:sz w:val="24"/>
          <w:szCs w:val="24"/>
          <w:lang w:val="es-CO"/>
        </w:rPr>
        <w:t xml:space="preserve">El agresor, aprovechándose de su </w:t>
      </w:r>
      <w:r w:rsidR="00A60861" w:rsidRPr="00A60861">
        <w:rPr>
          <w:rStyle w:val="normaltextrun"/>
          <w:rFonts w:ascii="Times New Roman" w:eastAsia="Times New Roman" w:hAnsi="Times New Roman" w:cs="Times New Roman"/>
          <w:color w:val="000000"/>
          <w:sz w:val="24"/>
          <w:szCs w:val="24"/>
          <w:lang w:val="es-CO"/>
        </w:rPr>
        <w:lastRenderedPageBreak/>
        <w:t xml:space="preserve">calidad de agente estatal y de la confianza que en él habían depositado, la forzó a tener relaciones sexuales con él cuando ella tenía 13 años. </w:t>
      </w:r>
      <w:r w:rsidR="00A60861" w:rsidRPr="00A60861">
        <w:rPr>
          <w:rStyle w:val="normaltextrun"/>
          <w:rFonts w:ascii="Times New Roman" w:eastAsia="Times New Roman" w:hAnsi="Times New Roman" w:cs="Times New Roman"/>
          <w:color w:val="000000"/>
          <w:sz w:val="24"/>
          <w:szCs w:val="24"/>
          <w:lang w:val="es-ES"/>
        </w:rPr>
        <w:t>Como consecuencia de ello, Fátima quedó en estado de embarazo.</w:t>
      </w:r>
      <w:r w:rsidR="00A60861" w:rsidRPr="00A60861">
        <w:rPr>
          <w:rStyle w:val="eop"/>
          <w:rFonts w:ascii="Times New Roman" w:eastAsia="Times New Roman" w:hAnsi="Times New Roman" w:cs="Times New Roman"/>
          <w:color w:val="000000"/>
          <w:sz w:val="24"/>
          <w:szCs w:val="24"/>
          <w:lang w:val="es-ES"/>
        </w:rPr>
        <w:t> </w:t>
      </w:r>
    </w:p>
    <w:p w14:paraId="72168723" w14:textId="77777777" w:rsidR="00E079E3" w:rsidRDefault="00E079E3" w:rsidP="008F47F3">
      <w:pPr>
        <w:snapToGrid w:val="0"/>
        <w:spacing w:after="0" w:line="276" w:lineRule="auto"/>
        <w:jc w:val="both"/>
        <w:rPr>
          <w:rStyle w:val="eop"/>
          <w:rFonts w:ascii="Times New Roman" w:eastAsia="Times New Roman" w:hAnsi="Times New Roman" w:cs="Times New Roman"/>
          <w:color w:val="000000"/>
          <w:sz w:val="24"/>
          <w:szCs w:val="24"/>
          <w:lang w:val="es-ES"/>
        </w:rPr>
      </w:pPr>
    </w:p>
    <w:p w14:paraId="06C9AF2B" w14:textId="207533DF" w:rsidR="00E079E3" w:rsidRDefault="00A60861" w:rsidP="008F47F3">
      <w:pPr>
        <w:snapToGrid w:val="0"/>
        <w:spacing w:after="0" w:line="276" w:lineRule="auto"/>
        <w:jc w:val="both"/>
        <w:rPr>
          <w:rStyle w:val="normaltextrun"/>
          <w:rFonts w:ascii="Times New Roman" w:eastAsia="Times New Roman" w:hAnsi="Times New Roman" w:cs="Times New Roman"/>
          <w:color w:val="000000"/>
          <w:sz w:val="24"/>
          <w:szCs w:val="24"/>
          <w:lang w:val="es-ES"/>
        </w:rPr>
      </w:pPr>
      <w:r w:rsidRPr="00A60861">
        <w:rPr>
          <w:rStyle w:val="normaltextrun"/>
          <w:rFonts w:ascii="Times New Roman" w:eastAsia="Times New Roman" w:hAnsi="Times New Roman" w:cs="Times New Roman"/>
          <w:color w:val="000000"/>
          <w:sz w:val="24"/>
          <w:szCs w:val="24"/>
          <w:lang w:val="es-ES"/>
        </w:rPr>
        <w:t xml:space="preserve">Tanto la violación sexual como el embarazo no deseado causaron graves </w:t>
      </w:r>
      <w:r w:rsidRPr="00A60861">
        <w:rPr>
          <w:rStyle w:val="normaltextrun"/>
          <w:rFonts w:ascii="Times New Roman" w:eastAsia="Times New Roman" w:hAnsi="Times New Roman" w:cs="Times New Roman"/>
          <w:color w:val="000000"/>
          <w:sz w:val="24"/>
          <w:szCs w:val="24"/>
          <w:shd w:val="clear" w:color="auto" w:fill="FFFFFF"/>
          <w:lang w:val="es-ES"/>
        </w:rPr>
        <w:t>consecuencias físicas y psicológicas para Fátima y</w:t>
      </w:r>
      <w:r w:rsidRPr="00A60861">
        <w:rPr>
          <w:rStyle w:val="normaltextrun"/>
          <w:rFonts w:ascii="Times New Roman" w:eastAsia="Times New Roman" w:hAnsi="Times New Roman" w:cs="Times New Roman"/>
          <w:color w:val="000000"/>
          <w:sz w:val="24"/>
          <w:szCs w:val="24"/>
          <w:lang w:val="es-ES"/>
        </w:rPr>
        <w:t xml:space="preserve"> se determinó que el embarazo era de alto riesgo para su vida y salud. A pesar de ello, y de que Fátima manifestó en varias oportunidades que no quería continuar con el embarazo</w:t>
      </w:r>
      <w:r w:rsidRPr="00A60861">
        <w:rPr>
          <w:rStyle w:val="normaltextrun"/>
          <w:rFonts w:ascii="Times New Roman" w:eastAsia="Times New Roman" w:hAnsi="Times New Roman" w:cs="Times New Roman"/>
          <w:sz w:val="24"/>
          <w:szCs w:val="24"/>
          <w:lang w:val="es-ES"/>
        </w:rPr>
        <w:t>, fue forzada</w:t>
      </w:r>
      <w:r w:rsidRPr="00A60861">
        <w:rPr>
          <w:rStyle w:val="normaltextrun"/>
          <w:rFonts w:ascii="Times New Roman" w:eastAsia="Times New Roman" w:hAnsi="Times New Roman" w:cs="Times New Roman"/>
          <w:color w:val="000000"/>
          <w:sz w:val="24"/>
          <w:szCs w:val="24"/>
          <w:lang w:val="es-ES"/>
        </w:rPr>
        <w:t xml:space="preserve"> a llevarlo a término, a someterse a una cesárea que puso en peligro su vida y a responsabilizarse de una maternidad que no deseaba.</w:t>
      </w:r>
      <w:r w:rsidRPr="00A60861">
        <w:rPr>
          <w:rStyle w:val="EndnoteReference"/>
          <w:rFonts w:eastAsia="Times New Roman" w:cs="Times New Roman"/>
          <w:b w:val="0"/>
          <w:bCs/>
          <w:color w:val="000000"/>
          <w:szCs w:val="24"/>
          <w:lang w:val="es-ES"/>
        </w:rPr>
        <w:endnoteReference w:id="57"/>
      </w:r>
    </w:p>
    <w:p w14:paraId="237F811D" w14:textId="77777777" w:rsidR="00E079E3" w:rsidRDefault="00E079E3" w:rsidP="008F47F3">
      <w:pPr>
        <w:snapToGrid w:val="0"/>
        <w:spacing w:after="0" w:line="276" w:lineRule="auto"/>
        <w:jc w:val="both"/>
        <w:rPr>
          <w:rStyle w:val="normaltextrun"/>
          <w:rFonts w:ascii="Times New Roman" w:eastAsia="Times New Roman" w:hAnsi="Times New Roman" w:cs="Times New Roman"/>
          <w:color w:val="000000"/>
          <w:sz w:val="24"/>
          <w:szCs w:val="24"/>
          <w:lang w:val="es-ES"/>
        </w:rPr>
      </w:pPr>
    </w:p>
    <w:p w14:paraId="1FCB8139" w14:textId="49BAEF6A" w:rsidR="00A60861" w:rsidRPr="00A60861" w:rsidRDefault="00E079E3" w:rsidP="008F47F3">
      <w:pPr>
        <w:snapToGrid w:val="0"/>
        <w:spacing w:after="0" w:line="276" w:lineRule="auto"/>
        <w:jc w:val="both"/>
        <w:rPr>
          <w:rStyle w:val="normaltextrun"/>
          <w:rFonts w:ascii="Times New Roman" w:eastAsia="Times New Roman" w:hAnsi="Times New Roman" w:cs="Times New Roman"/>
          <w:sz w:val="24"/>
          <w:szCs w:val="24"/>
          <w:lang w:val="es-ES"/>
        </w:rPr>
      </w:pPr>
      <w:r>
        <w:rPr>
          <w:rStyle w:val="normaltextrun"/>
          <w:rFonts w:ascii="Times New Roman" w:eastAsia="Times New Roman" w:hAnsi="Times New Roman" w:cs="Times New Roman"/>
          <w:color w:val="000000"/>
          <w:sz w:val="24"/>
          <w:szCs w:val="24"/>
          <w:lang w:val="es-ES"/>
        </w:rPr>
        <w:t>S</w:t>
      </w:r>
      <w:r w:rsidR="00F655E2">
        <w:rPr>
          <w:rStyle w:val="normaltextrun"/>
          <w:rFonts w:ascii="Times New Roman" w:eastAsia="Times New Roman" w:hAnsi="Times New Roman" w:cs="Times New Roman"/>
          <w:color w:val="000000"/>
          <w:sz w:val="24"/>
          <w:szCs w:val="24"/>
          <w:lang w:val="es-ES"/>
        </w:rPr>
        <w:t>u caso</w:t>
      </w:r>
      <w:r>
        <w:rPr>
          <w:rStyle w:val="normaltextrun"/>
          <w:rFonts w:ascii="Times New Roman" w:eastAsia="Times New Roman" w:hAnsi="Times New Roman" w:cs="Times New Roman"/>
          <w:color w:val="000000"/>
          <w:sz w:val="24"/>
          <w:szCs w:val="24"/>
          <w:lang w:val="es-ES"/>
        </w:rPr>
        <w:t>, además,</w:t>
      </w:r>
      <w:r w:rsidR="00F655E2">
        <w:rPr>
          <w:rStyle w:val="normaltextrun"/>
          <w:rFonts w:ascii="Times New Roman" w:eastAsia="Times New Roman" w:hAnsi="Times New Roman" w:cs="Times New Roman"/>
          <w:color w:val="000000"/>
          <w:sz w:val="24"/>
          <w:szCs w:val="24"/>
          <w:lang w:val="es-ES"/>
        </w:rPr>
        <w:t xml:space="preserve"> continúa en la impunidad</w:t>
      </w:r>
      <w:r w:rsidR="00107EDA">
        <w:rPr>
          <w:rStyle w:val="normaltextrun"/>
          <w:rFonts w:ascii="Times New Roman" w:eastAsia="Times New Roman" w:hAnsi="Times New Roman" w:cs="Times New Roman"/>
          <w:color w:val="000000"/>
          <w:sz w:val="24"/>
          <w:szCs w:val="24"/>
          <w:lang w:val="es-ES"/>
        </w:rPr>
        <w:t>.</w:t>
      </w:r>
      <w:r w:rsidR="00D736B4" w:rsidRPr="00D736B4">
        <w:rPr>
          <w:color w:val="000000"/>
          <w:lang w:val="es-ES"/>
        </w:rPr>
        <w:t xml:space="preserve"> </w:t>
      </w:r>
      <w:r w:rsidR="00D736B4" w:rsidRPr="00D736B4">
        <w:rPr>
          <w:rFonts w:ascii="Times New Roman" w:hAnsi="Times New Roman" w:cs="Times New Roman"/>
          <w:color w:val="000000"/>
          <w:sz w:val="24"/>
          <w:szCs w:val="24"/>
          <w:lang w:val="es-ES"/>
        </w:rPr>
        <w:t>Hasta este momento, han transcurrido casi catorce (14) años sin avances en el proceso penal. La policía no ha detenido al agresor, a pesar de la orden de aprehensión que fue dictada en su contra y el suministro constante de información que han proporcionado las víctimas.</w:t>
      </w:r>
    </w:p>
    <w:p w14:paraId="2F107959" w14:textId="43B3D286" w:rsidR="00235D01" w:rsidRPr="00235D01" w:rsidRDefault="00235D01" w:rsidP="008F47F3">
      <w:pPr>
        <w:spacing w:after="0" w:line="276" w:lineRule="auto"/>
        <w:rPr>
          <w:rFonts w:ascii="Times New Roman" w:eastAsia="Times New Roman" w:hAnsi="Times New Roman" w:cs="Times New Roman"/>
          <w:sz w:val="24"/>
          <w:szCs w:val="24"/>
          <w:lang w:val="es-CO"/>
        </w:rPr>
      </w:pPr>
    </w:p>
    <w:p w14:paraId="4A45AC94" w14:textId="3B712020" w:rsidR="002035CC" w:rsidRPr="00A60861" w:rsidRDefault="002035CC" w:rsidP="008F47F3">
      <w:pPr>
        <w:pStyle w:val="ListParagraph"/>
        <w:numPr>
          <w:ilvl w:val="2"/>
          <w:numId w:val="7"/>
        </w:numPr>
        <w:spacing w:after="0" w:line="276" w:lineRule="auto"/>
        <w:rPr>
          <w:rFonts w:ascii="Times New Roman" w:eastAsia="Times New Roman" w:hAnsi="Times New Roman" w:cs="Times New Roman"/>
          <w:b/>
          <w:bCs/>
          <w:sz w:val="24"/>
          <w:szCs w:val="24"/>
          <w:lang w:val="es-CO"/>
        </w:rPr>
      </w:pPr>
      <w:r w:rsidRPr="00A60861">
        <w:rPr>
          <w:rFonts w:ascii="Times New Roman" w:eastAsia="Times New Roman" w:hAnsi="Times New Roman" w:cs="Times New Roman"/>
          <w:b/>
          <w:bCs/>
          <w:sz w:val="24"/>
          <w:szCs w:val="24"/>
          <w:lang w:val="es-CO"/>
        </w:rPr>
        <w:t>Sobre el proceso penal</w:t>
      </w:r>
    </w:p>
    <w:p w14:paraId="142BC088" w14:textId="6C0D63A9" w:rsidR="000F0970" w:rsidRPr="00A60861" w:rsidRDefault="00306169" w:rsidP="008F47F3">
      <w:pPr>
        <w:pStyle w:val="NormalWeb"/>
        <w:spacing w:line="276" w:lineRule="auto"/>
        <w:jc w:val="both"/>
        <w:rPr>
          <w:color w:val="000000"/>
          <w:lang w:val="es-ES"/>
        </w:rPr>
      </w:pPr>
      <w:r>
        <w:rPr>
          <w:color w:val="000000"/>
          <w:lang w:val="es-ES"/>
        </w:rPr>
        <w:t>La señora</w:t>
      </w:r>
      <w:r w:rsidR="000F0970" w:rsidRPr="00A60861">
        <w:rPr>
          <w:color w:val="000000"/>
          <w:lang w:val="es-ES"/>
        </w:rPr>
        <w:t xml:space="preserve"> Magnolia, madre de Fátima, presentó la denuncia por la violencia sexual de su hija en la Fiscalía Distrital de Huehuetenango el 17 de marzo de 2010.</w:t>
      </w:r>
      <w:r w:rsidR="004E4655">
        <w:rPr>
          <w:color w:val="000000"/>
          <w:lang w:val="es-ES"/>
        </w:rPr>
        <w:t xml:space="preserve"> </w:t>
      </w:r>
      <w:r w:rsidR="000F0970" w:rsidRPr="00A60861">
        <w:rPr>
          <w:color w:val="000000"/>
          <w:lang w:val="es-ES"/>
        </w:rPr>
        <w:t>Luego de dos (2) meses de presentada la denuncia ante la Fiscalía, el 3 de mayo de 2010, el Juzgado de Primera Instancia Penal emitió la orden de aprehensión en contra del agresor, Eduardo Santiago. Un mes después, el 6 de junio de 2010, la P</w:t>
      </w:r>
      <w:r w:rsidR="004E4655">
        <w:rPr>
          <w:color w:val="000000"/>
          <w:lang w:val="es-ES"/>
        </w:rPr>
        <w:t xml:space="preserve">olicía </w:t>
      </w:r>
      <w:r w:rsidR="000F0970" w:rsidRPr="00A60861">
        <w:rPr>
          <w:color w:val="000000"/>
          <w:lang w:val="es-ES"/>
        </w:rPr>
        <w:t>N</w:t>
      </w:r>
      <w:r w:rsidR="004E4655">
        <w:rPr>
          <w:color w:val="000000"/>
          <w:lang w:val="es-ES"/>
        </w:rPr>
        <w:t xml:space="preserve">acional </w:t>
      </w:r>
      <w:r w:rsidR="000F0970" w:rsidRPr="00A60861">
        <w:rPr>
          <w:color w:val="000000"/>
          <w:lang w:val="es-ES"/>
        </w:rPr>
        <w:t>C</w:t>
      </w:r>
      <w:r w:rsidR="004E4655">
        <w:rPr>
          <w:color w:val="000000"/>
          <w:lang w:val="es-ES"/>
        </w:rPr>
        <w:t>ivil (PNC)</w:t>
      </w:r>
      <w:r w:rsidR="000F0970" w:rsidRPr="00A60861">
        <w:rPr>
          <w:color w:val="000000"/>
          <w:lang w:val="es-ES"/>
        </w:rPr>
        <w:t xml:space="preserve"> realizó el primer allanamiento en el domicilio que habitaba el agresor, pero ya no lo encontraron. Como ya habían pasado 81 días desde la presentación de la denuncia, de la cual el agresor tenía conocimiento, este largo plazo facilitó su fuga.</w:t>
      </w:r>
    </w:p>
    <w:p w14:paraId="6D85E643" w14:textId="22BA099F" w:rsidR="000F0970" w:rsidRPr="00A60861" w:rsidRDefault="000F0970" w:rsidP="008F47F3">
      <w:pPr>
        <w:pStyle w:val="NormalWeb"/>
        <w:spacing w:line="276" w:lineRule="auto"/>
        <w:jc w:val="both"/>
        <w:rPr>
          <w:color w:val="000000"/>
          <w:lang w:val="es-ES"/>
        </w:rPr>
      </w:pPr>
      <w:r w:rsidRPr="00A60861">
        <w:rPr>
          <w:color w:val="000000"/>
          <w:lang w:val="es-ES"/>
        </w:rPr>
        <w:t xml:space="preserve">El 14 de julio de 2010, como no se había realizado otro allanamiento para aprehender al agresor, la abogada </w:t>
      </w:r>
      <w:r w:rsidR="00306169">
        <w:rPr>
          <w:color w:val="000000"/>
          <w:lang w:val="es-ES"/>
        </w:rPr>
        <w:t>de la señora</w:t>
      </w:r>
      <w:r w:rsidRPr="00A60861">
        <w:rPr>
          <w:color w:val="000000"/>
          <w:lang w:val="es-ES"/>
        </w:rPr>
        <w:t xml:space="preserve"> Magnolia solicitó en forma oral, ante el Juzgado de Primera Instancia Penal, una audiencia de solicitud de arraigo en contra del presunto sindicado, la cual se fijó para el 11 de agosto de 2010.</w:t>
      </w:r>
    </w:p>
    <w:p w14:paraId="44DF95C5" w14:textId="6FAE1E0D" w:rsidR="000F0970" w:rsidRPr="00A60861" w:rsidRDefault="000F0970" w:rsidP="008F47F3">
      <w:pPr>
        <w:pStyle w:val="NormalWeb"/>
        <w:spacing w:line="276" w:lineRule="auto"/>
        <w:jc w:val="both"/>
        <w:rPr>
          <w:color w:val="000000"/>
          <w:lang w:val="es-ES"/>
        </w:rPr>
      </w:pPr>
      <w:r w:rsidRPr="00A60861">
        <w:rPr>
          <w:color w:val="000000"/>
          <w:lang w:val="es-ES"/>
        </w:rPr>
        <w:t xml:space="preserve">El 20 de julio de 2010, la abogada </w:t>
      </w:r>
      <w:bookmarkStart w:id="1" w:name="_Hlk161919465"/>
      <w:r w:rsidRPr="00A60861">
        <w:rPr>
          <w:color w:val="000000"/>
          <w:lang w:val="es-ES"/>
        </w:rPr>
        <w:t>de</w:t>
      </w:r>
      <w:r w:rsidR="00306169">
        <w:rPr>
          <w:color w:val="000000"/>
          <w:lang w:val="es-ES"/>
        </w:rPr>
        <w:t xml:space="preserve"> la</w:t>
      </w:r>
      <w:r w:rsidRPr="00A60861">
        <w:rPr>
          <w:color w:val="000000"/>
          <w:lang w:val="es-ES"/>
        </w:rPr>
        <w:t xml:space="preserve"> </w:t>
      </w:r>
      <w:r w:rsidR="00306169">
        <w:rPr>
          <w:color w:val="000000"/>
          <w:lang w:val="es-ES"/>
        </w:rPr>
        <w:t>señora</w:t>
      </w:r>
      <w:r w:rsidRPr="00A60861">
        <w:rPr>
          <w:color w:val="000000"/>
          <w:lang w:val="es-ES"/>
        </w:rPr>
        <w:t xml:space="preserve"> </w:t>
      </w:r>
      <w:bookmarkEnd w:id="1"/>
      <w:r w:rsidRPr="00A60861">
        <w:rPr>
          <w:color w:val="000000"/>
          <w:lang w:val="es-ES"/>
        </w:rPr>
        <w:t>Magnolia solicitó que se realizara un allanamiento en la casa de la progenitora del sindicado, sospechando que podía estar allí escondido por haber visto a su esposa ingresar de manera frecuente. Sin embargo, nunca recibió respuesta sobre esta solicitud y no se realizó el allanamiento.</w:t>
      </w:r>
    </w:p>
    <w:p w14:paraId="5081831A" w14:textId="187FE02D" w:rsidR="000F0970" w:rsidRPr="00A60861" w:rsidRDefault="000F0970" w:rsidP="008F47F3">
      <w:pPr>
        <w:pStyle w:val="NormalWeb"/>
        <w:spacing w:line="276" w:lineRule="auto"/>
        <w:jc w:val="both"/>
        <w:rPr>
          <w:color w:val="000000"/>
          <w:lang w:val="es-ES"/>
        </w:rPr>
      </w:pPr>
      <w:r w:rsidRPr="00A60861">
        <w:rPr>
          <w:color w:val="000000"/>
          <w:lang w:val="es-ES"/>
        </w:rPr>
        <w:t xml:space="preserve">El 11 de agosto de 2010, se canceló la audiencia prevista para tratar la solicitud de arraigo en contra del sindicado, porque no acudió a la audiencia el representante del Ministerio Público. El 18 de agosto de 2010, la abogada </w:t>
      </w:r>
      <w:r w:rsidR="00C8257A" w:rsidRPr="00A60861">
        <w:rPr>
          <w:color w:val="000000"/>
          <w:lang w:val="es-ES"/>
        </w:rPr>
        <w:t>de</w:t>
      </w:r>
      <w:r w:rsidR="00C8257A">
        <w:rPr>
          <w:color w:val="000000"/>
          <w:lang w:val="es-ES"/>
        </w:rPr>
        <w:t xml:space="preserve"> la</w:t>
      </w:r>
      <w:r w:rsidR="00C8257A" w:rsidRPr="00A60861">
        <w:rPr>
          <w:color w:val="000000"/>
          <w:lang w:val="es-ES"/>
        </w:rPr>
        <w:t xml:space="preserve"> </w:t>
      </w:r>
      <w:r w:rsidR="00C8257A">
        <w:rPr>
          <w:color w:val="000000"/>
          <w:lang w:val="es-ES"/>
        </w:rPr>
        <w:t>señora</w:t>
      </w:r>
      <w:r w:rsidR="00C8257A" w:rsidRPr="00A60861">
        <w:rPr>
          <w:color w:val="000000"/>
          <w:lang w:val="es-ES"/>
        </w:rPr>
        <w:t xml:space="preserve"> </w:t>
      </w:r>
      <w:r w:rsidRPr="00A60861">
        <w:rPr>
          <w:color w:val="000000"/>
          <w:lang w:val="es-ES"/>
        </w:rPr>
        <w:t xml:space="preserve">Magnolia volvió a solicitar la audiencia de solicitud de arraigo, la cual fue fijada para el 8 de septiembre de 2010. Finalmente, ese día, el Juzgado de </w:t>
      </w:r>
      <w:r w:rsidRPr="00A60861">
        <w:rPr>
          <w:color w:val="000000"/>
          <w:lang w:val="es-ES"/>
        </w:rPr>
        <w:lastRenderedPageBreak/>
        <w:t>Primera Instancia Penal decretó el arraigo en contra del presunto sindicado y se giraron las órdenes correspondientes a la Dirección General de Migración.</w:t>
      </w:r>
    </w:p>
    <w:p w14:paraId="138F62CD" w14:textId="53F7E284" w:rsidR="000F0970" w:rsidRPr="00A60861" w:rsidRDefault="000F0970" w:rsidP="008F47F3">
      <w:pPr>
        <w:pStyle w:val="NormalWeb"/>
        <w:spacing w:line="276" w:lineRule="auto"/>
        <w:jc w:val="both"/>
        <w:rPr>
          <w:color w:val="000000"/>
          <w:lang w:val="es-ES"/>
        </w:rPr>
      </w:pPr>
      <w:r w:rsidRPr="00A60861">
        <w:rPr>
          <w:color w:val="000000"/>
          <w:lang w:val="es-ES"/>
        </w:rPr>
        <w:t xml:space="preserve">El 7 de diciembre de 2011, </w:t>
      </w:r>
      <w:r w:rsidR="00C8257A">
        <w:rPr>
          <w:color w:val="000000"/>
          <w:lang w:val="es-ES"/>
        </w:rPr>
        <w:t>la</w:t>
      </w:r>
      <w:r w:rsidR="00C8257A" w:rsidRPr="00A60861">
        <w:rPr>
          <w:color w:val="000000"/>
          <w:lang w:val="es-ES"/>
        </w:rPr>
        <w:t xml:space="preserve"> </w:t>
      </w:r>
      <w:r w:rsidR="00C8257A">
        <w:rPr>
          <w:color w:val="000000"/>
          <w:lang w:val="es-ES"/>
        </w:rPr>
        <w:t>señora</w:t>
      </w:r>
      <w:r w:rsidRPr="00A60861">
        <w:rPr>
          <w:color w:val="000000"/>
          <w:lang w:val="es-ES"/>
        </w:rPr>
        <w:t xml:space="preserve"> Magnolia se presentó ante la Fiscalía para prestar declaración en virtud de que no se había hecho efectiva la aprehensión del sindicado y proporcionó información sobre cuatro propiedades donde la policía lo podría buscar. El 8 de diciembre de 2011, la PNC realizó el allanamiento de los cuatro inmuebles, pero no se encontró al presunto sindicado.</w:t>
      </w:r>
    </w:p>
    <w:p w14:paraId="7ECE0A97" w14:textId="77777777" w:rsidR="000F0970" w:rsidRPr="00A60861" w:rsidRDefault="000F0970" w:rsidP="008F47F3">
      <w:pPr>
        <w:pStyle w:val="NormalWeb"/>
        <w:spacing w:line="276" w:lineRule="auto"/>
        <w:jc w:val="both"/>
        <w:rPr>
          <w:color w:val="000000"/>
          <w:lang w:val="es-ES"/>
        </w:rPr>
      </w:pPr>
      <w:r w:rsidRPr="00A60861">
        <w:rPr>
          <w:color w:val="000000"/>
          <w:lang w:val="es-ES"/>
        </w:rPr>
        <w:t>En paralelo a estas actuaciones, el abogado del agresor presentó tres (3) recursos idénticos en contra de la orden de aprehensión, respectivamente en junio de 2010, marzo de 2011 y diciembre de 2011, y apeló cada una de las decisiones negativas del Juzgado de Primera Instancia Penal ante la Corte de Apelaciones, quien también las rechazó. De acuerdo con la legislación guatemalteca, esta práctica representa un abuso procesal. Además, como indicó la Corte de Apelaciones, el 5 de julio de 2010, al negar el recurso del imputado, según el art. 404 del Código Procesal Penal, se pueden apelar las medidas coercitivas como la detención preventiva, cuando se ha realizado y existe efectivamente privación de libertad. En este caso, el imputado no podía legalmente apelar su detención, pues ésta no se había realizado. Además, los fundamentos de la medida de coerción, a saber “evitar un peligro de fuga o de obstaculización para la averiguación de la verdad” no habían variado en este caso. Al contrario, el imputado estaba en fuga, no se le había podido encontrar durante los allanamientos y no había sido detenido.</w:t>
      </w:r>
    </w:p>
    <w:p w14:paraId="417944EE" w14:textId="6CA59A1D" w:rsidR="000F0970" w:rsidRPr="00A60861" w:rsidRDefault="00D74119" w:rsidP="008F47F3">
      <w:pPr>
        <w:pStyle w:val="NormalWeb"/>
        <w:spacing w:line="276" w:lineRule="auto"/>
        <w:jc w:val="both"/>
        <w:rPr>
          <w:color w:val="000000"/>
          <w:lang w:val="es-ES"/>
        </w:rPr>
      </w:pPr>
      <w:r>
        <w:rPr>
          <w:color w:val="000000"/>
          <w:lang w:val="es-ES"/>
        </w:rPr>
        <w:t>La</w:t>
      </w:r>
      <w:r w:rsidRPr="00D74119">
        <w:rPr>
          <w:color w:val="000000"/>
          <w:lang w:val="es-ES"/>
        </w:rPr>
        <w:t xml:space="preserve"> señora</w:t>
      </w:r>
      <w:r w:rsidR="000F0970" w:rsidRPr="00A60861">
        <w:rPr>
          <w:color w:val="000000"/>
          <w:lang w:val="es-ES"/>
        </w:rPr>
        <w:t xml:space="preserve"> Magnolia y su abogada continuaron brindándole seguimiento al caso y regularmente acudieron a la Fiscalía para averiguar sobre algún avance en el proceso, así como para acercar información sobre la posible ubicación del sindicado y proponer estrategias para capturarlo.</w:t>
      </w:r>
    </w:p>
    <w:p w14:paraId="645644E3" w14:textId="3E316D60" w:rsidR="000F0970" w:rsidRPr="00A60861" w:rsidRDefault="000F0970" w:rsidP="008F47F3">
      <w:pPr>
        <w:pStyle w:val="NormalWeb"/>
        <w:spacing w:line="276" w:lineRule="auto"/>
        <w:jc w:val="both"/>
        <w:rPr>
          <w:color w:val="000000"/>
          <w:lang w:val="es-ES"/>
        </w:rPr>
      </w:pPr>
      <w:r w:rsidRPr="00A60861">
        <w:rPr>
          <w:color w:val="000000"/>
          <w:lang w:val="es-ES"/>
        </w:rPr>
        <w:t xml:space="preserve">El 11 de abril de 2012, la abogada </w:t>
      </w:r>
      <w:r w:rsidR="00356969" w:rsidRPr="00A60861">
        <w:rPr>
          <w:color w:val="000000"/>
          <w:lang w:val="es-ES"/>
        </w:rPr>
        <w:t>de</w:t>
      </w:r>
      <w:r w:rsidR="00356969">
        <w:rPr>
          <w:color w:val="000000"/>
          <w:lang w:val="es-ES"/>
        </w:rPr>
        <w:t xml:space="preserve"> la</w:t>
      </w:r>
      <w:r w:rsidR="00356969" w:rsidRPr="00A60861">
        <w:rPr>
          <w:color w:val="000000"/>
          <w:lang w:val="es-ES"/>
        </w:rPr>
        <w:t xml:space="preserve"> </w:t>
      </w:r>
      <w:r w:rsidR="00356969">
        <w:rPr>
          <w:color w:val="000000"/>
          <w:lang w:val="es-ES"/>
        </w:rPr>
        <w:t>señora</w:t>
      </w:r>
      <w:r w:rsidR="00356969" w:rsidRPr="00A60861">
        <w:rPr>
          <w:color w:val="000000"/>
          <w:lang w:val="es-ES"/>
        </w:rPr>
        <w:t xml:space="preserve"> </w:t>
      </w:r>
      <w:r w:rsidRPr="00A60861">
        <w:rPr>
          <w:color w:val="000000"/>
          <w:lang w:val="es-ES"/>
        </w:rPr>
        <w:t>Magnolia solicitó que se realizara la extracción de sangre del hijo de Fátima como anticipo de prueba. Además, solicitó que se realizaran allanamientos en cuatro (4) residencias donde el sindicado se podía encontrar, así como las diligencias necesarias para la captura a nivel internacional. Los allanamientos no se realizaron.</w:t>
      </w:r>
    </w:p>
    <w:p w14:paraId="5C9D9DEB" w14:textId="77777777" w:rsidR="000F0970" w:rsidRPr="00A60861" w:rsidRDefault="000F0970" w:rsidP="008F47F3">
      <w:pPr>
        <w:pStyle w:val="NormalWeb"/>
        <w:spacing w:line="276" w:lineRule="auto"/>
        <w:jc w:val="both"/>
        <w:rPr>
          <w:color w:val="000000"/>
          <w:lang w:val="es-ES"/>
        </w:rPr>
      </w:pPr>
      <w:r w:rsidRPr="00A60861">
        <w:rPr>
          <w:color w:val="000000"/>
          <w:lang w:val="es-ES"/>
        </w:rPr>
        <w:t>En julio de 2014, la misma abogada informó a la Policía que tenía información de que el agresor transitaba de Guatemala a México y acordaron oralmente con la Policía que se realizarían las coordinaciones necesarias con la INTERPOL en aras de procurar su captura. Sin embargo, la Policía no tomó ninguna acción, excusándose posteriormente en una falta de personal y de recursos.</w:t>
      </w:r>
    </w:p>
    <w:p w14:paraId="25C017F7" w14:textId="3C88BF4B" w:rsidR="000F0970" w:rsidRPr="00A60861" w:rsidRDefault="000F0970" w:rsidP="008F47F3">
      <w:pPr>
        <w:pStyle w:val="NormalWeb"/>
        <w:spacing w:line="276" w:lineRule="auto"/>
        <w:jc w:val="both"/>
        <w:rPr>
          <w:color w:val="000000"/>
          <w:lang w:val="es-ES"/>
        </w:rPr>
      </w:pPr>
      <w:r w:rsidRPr="00A60861">
        <w:rPr>
          <w:color w:val="000000"/>
          <w:lang w:val="es-ES"/>
        </w:rPr>
        <w:t xml:space="preserve">A inicios de 2015, el </w:t>
      </w:r>
      <w:proofErr w:type="gramStart"/>
      <w:r w:rsidRPr="00A60861">
        <w:rPr>
          <w:color w:val="000000"/>
          <w:lang w:val="es-ES"/>
        </w:rPr>
        <w:t>Comandante</w:t>
      </w:r>
      <w:proofErr w:type="gramEnd"/>
      <w:r w:rsidRPr="00A60861">
        <w:rPr>
          <w:color w:val="000000"/>
          <w:lang w:val="es-ES"/>
        </w:rPr>
        <w:t xml:space="preserve"> Bryan Herrera de la DEIC de la PNC le pidió a </w:t>
      </w:r>
      <w:r w:rsidR="00AD1652" w:rsidRPr="00AD1652">
        <w:rPr>
          <w:color w:val="000000"/>
          <w:lang w:val="es-ES"/>
        </w:rPr>
        <w:t xml:space="preserve">la señora </w:t>
      </w:r>
      <w:r w:rsidRPr="00A60861">
        <w:rPr>
          <w:color w:val="000000"/>
          <w:lang w:val="es-ES"/>
        </w:rPr>
        <w:t>Magnolia que reconociera la voz del agresor en una llamada telefónica que realizaron</w:t>
      </w:r>
      <w:r w:rsidR="00AD1652">
        <w:rPr>
          <w:color w:val="000000"/>
          <w:lang w:val="es-ES"/>
        </w:rPr>
        <w:t>, ella efectivamente</w:t>
      </w:r>
      <w:r w:rsidRPr="00A60861">
        <w:rPr>
          <w:color w:val="000000"/>
          <w:lang w:val="es-ES"/>
        </w:rPr>
        <w:t xml:space="preserve"> lo reconoció y el Comandante le aseguró que lo tenían localizado y que lo capturaría muy pronto, ya que conocían sus movimientos y, gracias a la información bancaria recogida, </w:t>
      </w:r>
      <w:r w:rsidRPr="00A60861">
        <w:rPr>
          <w:color w:val="000000"/>
          <w:lang w:val="es-ES"/>
        </w:rPr>
        <w:lastRenderedPageBreak/>
        <w:t xml:space="preserve">sabían que él se dirigiría al banco en Huehuetenango. Sin embargo, nunca fue informada de la detención del agresor. </w:t>
      </w:r>
      <w:r w:rsidR="00016FB5">
        <w:rPr>
          <w:color w:val="000000"/>
          <w:lang w:val="es-ES"/>
        </w:rPr>
        <w:t>L</w:t>
      </w:r>
      <w:r w:rsidR="00016FB5" w:rsidRPr="00016FB5">
        <w:rPr>
          <w:color w:val="000000"/>
          <w:lang w:val="es-ES"/>
        </w:rPr>
        <w:t xml:space="preserve">a señora </w:t>
      </w:r>
      <w:r w:rsidRPr="00A60861">
        <w:rPr>
          <w:color w:val="000000"/>
          <w:lang w:val="es-ES"/>
        </w:rPr>
        <w:t xml:space="preserve">Magnolia llamó por teléfono al </w:t>
      </w:r>
      <w:r w:rsidR="00016FB5" w:rsidRPr="00A60861">
        <w:rPr>
          <w:color w:val="000000"/>
          <w:lang w:val="es-ES"/>
        </w:rPr>
        <w:t>comandante</w:t>
      </w:r>
      <w:r w:rsidRPr="00A60861">
        <w:rPr>
          <w:color w:val="000000"/>
          <w:lang w:val="es-ES"/>
        </w:rPr>
        <w:t xml:space="preserve">, pero éste no le respondió las llamadas. También se dirigió a la Fiscalía, para preguntar cómo podía contactar a la DEIC ya que le habían asegurado tener al agresor ubicado, pero el agente fiscal que atendía en ese momento el caso le comunicó a </w:t>
      </w:r>
      <w:r w:rsidR="00016FB5" w:rsidRPr="00016FB5">
        <w:rPr>
          <w:color w:val="000000"/>
          <w:lang w:val="es-ES"/>
        </w:rPr>
        <w:t>la señora</w:t>
      </w:r>
      <w:r w:rsidRPr="00A60861">
        <w:rPr>
          <w:color w:val="000000"/>
          <w:lang w:val="es-ES"/>
        </w:rPr>
        <w:t xml:space="preserve"> Magnolia que ya no le correspondía seguir investigando e involucrándose en el caso porque su hija Fátima ya había cumplido la mayoría de edad.</w:t>
      </w:r>
    </w:p>
    <w:p w14:paraId="55641F2B" w14:textId="5B04C93C" w:rsidR="000F0970" w:rsidRPr="00A60861" w:rsidRDefault="000F0970" w:rsidP="008F47F3">
      <w:pPr>
        <w:pStyle w:val="NormalWeb"/>
        <w:spacing w:line="276" w:lineRule="auto"/>
        <w:jc w:val="both"/>
        <w:rPr>
          <w:color w:val="000000"/>
          <w:lang w:val="es-ES"/>
        </w:rPr>
      </w:pPr>
      <w:r w:rsidRPr="00A60861">
        <w:rPr>
          <w:color w:val="000000"/>
          <w:lang w:val="es-ES"/>
        </w:rPr>
        <w:t xml:space="preserve">En 2016, la Fiscal encargada del caso, Fabiola Barrios, llamó por teléfono a </w:t>
      </w:r>
      <w:r w:rsidR="00016FB5" w:rsidRPr="00016FB5">
        <w:rPr>
          <w:color w:val="000000"/>
          <w:lang w:val="es-ES"/>
        </w:rPr>
        <w:t>la señora</w:t>
      </w:r>
      <w:r w:rsidRPr="00A60861">
        <w:rPr>
          <w:color w:val="000000"/>
          <w:lang w:val="es-ES"/>
        </w:rPr>
        <w:t xml:space="preserve"> Magnolia para que se dirigiera a identificar el agresor, a quien ésta reconoció en una tienda de un centro comercial en el Municipio de Chiantla, del departamento de Huehuetenango. Sin embargo, cuando la mamá de Fátima llegó al punto de encuentro, la Fiscal ya se había ido. Posteriormente cuando </w:t>
      </w:r>
      <w:r w:rsidR="00CD628C" w:rsidRPr="00CD628C">
        <w:rPr>
          <w:color w:val="000000"/>
          <w:lang w:val="es-ES"/>
        </w:rPr>
        <w:t>la señora</w:t>
      </w:r>
      <w:r w:rsidRPr="00A60861">
        <w:rPr>
          <w:color w:val="000000"/>
          <w:lang w:val="es-ES"/>
        </w:rPr>
        <w:t xml:space="preserve"> Magnolia le reclamó por qué no lo habían detenido, la Fiscal se excusó diciéndole que ella no tenía esta facultad y que primero lo tenía que haber identificado </w:t>
      </w:r>
      <w:r w:rsidR="00CD628C" w:rsidRPr="00CD628C">
        <w:rPr>
          <w:color w:val="000000"/>
          <w:lang w:val="es-ES"/>
        </w:rPr>
        <w:t xml:space="preserve">la señora </w:t>
      </w:r>
      <w:r w:rsidRPr="00A60861">
        <w:rPr>
          <w:color w:val="000000"/>
          <w:lang w:val="es-ES"/>
        </w:rPr>
        <w:t>Magnolia, como querellante adhesiva. Sin embargo, las normas internas de Guatemala no estipulan esta condición. La fiscal pudo haber llamado inmediatamente a la PNC con la finalidad de identificarlo, sin necesidad de que la mamá de Fátima esté presente.</w:t>
      </w:r>
    </w:p>
    <w:p w14:paraId="7D0C968D" w14:textId="7B1415B1" w:rsidR="000F0970" w:rsidRPr="00A60861" w:rsidRDefault="000F0970" w:rsidP="008F47F3">
      <w:pPr>
        <w:pStyle w:val="NormalWeb"/>
        <w:spacing w:line="276" w:lineRule="auto"/>
        <w:jc w:val="both"/>
        <w:rPr>
          <w:color w:val="000000"/>
          <w:lang w:val="es-ES"/>
        </w:rPr>
      </w:pPr>
      <w:r w:rsidRPr="00A60861">
        <w:rPr>
          <w:color w:val="000000"/>
          <w:lang w:val="es-ES"/>
        </w:rPr>
        <w:t xml:space="preserve">El 13 de marzo de 2017, la abogada </w:t>
      </w:r>
      <w:r w:rsidR="00B92288" w:rsidRPr="00B92288">
        <w:rPr>
          <w:color w:val="000000"/>
          <w:lang w:val="es-ES"/>
        </w:rPr>
        <w:t xml:space="preserve">de la señora </w:t>
      </w:r>
      <w:r w:rsidRPr="00A60861">
        <w:rPr>
          <w:color w:val="000000"/>
          <w:lang w:val="es-ES"/>
        </w:rPr>
        <w:t>Magnolia acudió a la Fiscalía para pedir información sobre el proceso, a lo cual la Auxiliar Fiscal le respondió que el caso seguía abierto, pero que no había ningún avance que señalar debido a que no se había podido ejecutar la orden de aprehensión. Las autoridades simplemente dejaron de buscar al presunto sindicado y el proceso quedó paralizado.</w:t>
      </w:r>
    </w:p>
    <w:p w14:paraId="66F88892" w14:textId="564B3CCA" w:rsidR="000F0970" w:rsidRPr="00A60861" w:rsidRDefault="000F0970" w:rsidP="008F47F3">
      <w:pPr>
        <w:pStyle w:val="NormalWeb"/>
        <w:spacing w:line="276" w:lineRule="auto"/>
        <w:jc w:val="both"/>
        <w:rPr>
          <w:color w:val="000000"/>
          <w:lang w:val="es-ES"/>
        </w:rPr>
      </w:pPr>
      <w:r w:rsidRPr="00A60861">
        <w:rPr>
          <w:color w:val="000000"/>
          <w:lang w:val="es-ES"/>
        </w:rPr>
        <w:t xml:space="preserve">A pesar de que </w:t>
      </w:r>
      <w:r w:rsidR="00B92288" w:rsidRPr="00B92288">
        <w:rPr>
          <w:color w:val="000000"/>
          <w:lang w:val="es-ES"/>
        </w:rPr>
        <w:t>la señora</w:t>
      </w:r>
      <w:r w:rsidRPr="00A60861">
        <w:rPr>
          <w:color w:val="000000"/>
          <w:lang w:val="es-ES"/>
        </w:rPr>
        <w:t xml:space="preserve"> Magnolia y sus abogadas tomaron la iniciativa de investigar ellas mismas y facilitarle información a la policía y a la Fiscalía sobre el posible paradero del agresor, rol que le corresponde ejercer a las fuerzas de investigación, las autoridades no avanzaron en la captura del agresor impidiendo el avance del proceso judicial.</w:t>
      </w:r>
    </w:p>
    <w:p w14:paraId="679C31DD" w14:textId="6F55974C" w:rsidR="000F0970" w:rsidRPr="00A60861" w:rsidRDefault="000F0970" w:rsidP="008F47F3">
      <w:pPr>
        <w:pStyle w:val="NormalWeb"/>
        <w:spacing w:line="276" w:lineRule="auto"/>
        <w:jc w:val="both"/>
        <w:rPr>
          <w:color w:val="000000"/>
          <w:lang w:val="es-ES"/>
        </w:rPr>
      </w:pPr>
      <w:r w:rsidRPr="00A60861">
        <w:rPr>
          <w:color w:val="000000"/>
          <w:lang w:val="es-ES"/>
        </w:rPr>
        <w:t xml:space="preserve">En sus informes, el Estado ha justificado el retraso del proceso penal en su incapacidad de aprehensión del imputado. Sin embargo, dichas fallas son atribuibles a su propia negligencia </w:t>
      </w:r>
      <w:r w:rsidR="006E5725">
        <w:rPr>
          <w:color w:val="000000"/>
          <w:lang w:val="es-ES"/>
        </w:rPr>
        <w:t>y</w:t>
      </w:r>
      <w:r w:rsidRPr="00A60861">
        <w:rPr>
          <w:color w:val="000000"/>
          <w:lang w:val="es-ES"/>
        </w:rPr>
        <w:t xml:space="preserve"> la </w:t>
      </w:r>
      <w:r w:rsidR="006E5725">
        <w:rPr>
          <w:color w:val="000000"/>
          <w:lang w:val="es-ES"/>
        </w:rPr>
        <w:t>falta</w:t>
      </w:r>
      <w:r w:rsidRPr="00A60861">
        <w:rPr>
          <w:color w:val="000000"/>
          <w:lang w:val="es-ES"/>
        </w:rPr>
        <w:t xml:space="preserve"> de </w:t>
      </w:r>
      <w:r w:rsidR="006E5725">
        <w:rPr>
          <w:color w:val="000000"/>
          <w:lang w:val="es-ES"/>
        </w:rPr>
        <w:t>debida diligencia</w:t>
      </w:r>
      <w:r w:rsidRPr="00A60861">
        <w:rPr>
          <w:color w:val="000000"/>
          <w:lang w:val="es-ES"/>
        </w:rPr>
        <w:t xml:space="preserve"> en la estrategia de investigación. Asimismo, a pesar de que el Estado ha señalado diligencias que se habrían realizado tras la notificación de la existencia de este proceso internacional, estas acciones no son evidencia de que se haya avanzado con el proceso penal. En efecto, de los informes del Estado se desprende que este se ha limitado a girar oficios que no demuestran un objetivo investigativo en pro de que el proceso penal avance de manera significativa, lo que ha provocado que el caso no haya superado ni siquiera la primera etapa del proceso penal. De este modo, el caso sigue en la impunidad y el proceso se encuentra en la misma etapa procesal que hace 14 años, lo que le ha impedido a Fátima conseguir justicia y reparación por las violaciones a sus derechos humanos.</w:t>
      </w:r>
    </w:p>
    <w:p w14:paraId="17F6B896" w14:textId="304A0CD7" w:rsidR="00FB5F2B" w:rsidRPr="006D35E0" w:rsidRDefault="000A0122" w:rsidP="008F47F3">
      <w:pPr>
        <w:pStyle w:val="NormalWeb"/>
        <w:spacing w:line="276" w:lineRule="auto"/>
        <w:jc w:val="both"/>
        <w:rPr>
          <w:color w:val="000000"/>
          <w:lang w:val="es-ES"/>
        </w:rPr>
      </w:pPr>
      <w:r>
        <w:rPr>
          <w:color w:val="000000"/>
          <w:lang w:val="es-ES"/>
        </w:rPr>
        <w:lastRenderedPageBreak/>
        <w:t>Ante este panorama de impunidad, las organizaciones firmantes</w:t>
      </w:r>
      <w:r w:rsidR="006D35E0" w:rsidRPr="006D35E0">
        <w:rPr>
          <w:color w:val="000000"/>
          <w:lang w:val="es-ES"/>
        </w:rPr>
        <w:t xml:space="preserve"> </w:t>
      </w:r>
      <w:r w:rsidR="00562542">
        <w:rPr>
          <w:color w:val="000000"/>
          <w:lang w:val="es-ES"/>
        </w:rPr>
        <w:t>presentamos el caso de Fátima</w:t>
      </w:r>
      <w:r w:rsidR="006D35E0">
        <w:rPr>
          <w:color w:val="000000"/>
          <w:lang w:val="es-ES"/>
        </w:rPr>
        <w:t xml:space="preserve"> </w:t>
      </w:r>
      <w:r w:rsidR="00562542" w:rsidRPr="006D35E0">
        <w:rPr>
          <w:color w:val="000000"/>
          <w:lang w:val="es-ES"/>
        </w:rPr>
        <w:t>ante el</w:t>
      </w:r>
      <w:r w:rsidR="00562542">
        <w:rPr>
          <w:color w:val="000000"/>
          <w:lang w:val="es-ES"/>
        </w:rPr>
        <w:t xml:space="preserve"> Comité de Derechos Humanos </w:t>
      </w:r>
      <w:r w:rsidR="00EA137A">
        <w:rPr>
          <w:color w:val="000000"/>
          <w:lang w:val="es-ES"/>
        </w:rPr>
        <w:t>en</w:t>
      </w:r>
      <w:r w:rsidRPr="000A0122">
        <w:rPr>
          <w:color w:val="000000"/>
          <w:lang w:val="es-ES"/>
        </w:rPr>
        <w:t xml:space="preserve"> 2019</w:t>
      </w:r>
      <w:r w:rsidR="006D35E0">
        <w:rPr>
          <w:color w:val="000000"/>
          <w:lang w:val="es-ES"/>
        </w:rPr>
        <w:t>.</w:t>
      </w:r>
      <w:r w:rsidR="00965B9F">
        <w:rPr>
          <w:rStyle w:val="EndnoteReference"/>
          <w:color w:val="000000"/>
          <w:lang w:val="es-ES"/>
        </w:rPr>
        <w:endnoteReference w:id="58"/>
      </w:r>
      <w:r w:rsidR="006D35E0">
        <w:rPr>
          <w:color w:val="000000"/>
          <w:lang w:val="es-ES"/>
        </w:rPr>
        <w:t xml:space="preserve"> Debido a que las violaciones a los derechos sexuales y reproductivos que enfrentó Fátima no </w:t>
      </w:r>
      <w:r w:rsidR="00562542">
        <w:rPr>
          <w:color w:val="000000"/>
          <w:lang w:val="es-ES"/>
        </w:rPr>
        <w:t>son un caso aislado</w:t>
      </w:r>
      <w:r w:rsidR="006D35E0">
        <w:rPr>
          <w:color w:val="000000"/>
          <w:lang w:val="es-ES"/>
        </w:rPr>
        <w:t xml:space="preserve">, esperamos que </w:t>
      </w:r>
      <w:r w:rsidR="004E2679">
        <w:rPr>
          <w:color w:val="000000"/>
          <w:lang w:val="es-ES"/>
        </w:rPr>
        <w:t xml:space="preserve">con su lucha se logre </w:t>
      </w:r>
      <w:r w:rsidR="000A0355">
        <w:rPr>
          <w:color w:val="000000"/>
          <w:lang w:val="es-ES"/>
        </w:rPr>
        <w:t>determinar</w:t>
      </w:r>
      <w:r w:rsidR="004E2679" w:rsidRPr="004E2679">
        <w:rPr>
          <w:color w:val="000000"/>
          <w:lang w:val="es-ES"/>
        </w:rPr>
        <w:t xml:space="preserve"> que criminalizar un servicio de salud como el aborto constituye una violación </w:t>
      </w:r>
      <w:r w:rsidR="000A0355">
        <w:rPr>
          <w:color w:val="000000"/>
          <w:lang w:val="es-ES"/>
        </w:rPr>
        <w:t>a los derechos humanos</w:t>
      </w:r>
      <w:r w:rsidR="004E2679" w:rsidRPr="004E2679">
        <w:rPr>
          <w:color w:val="000000"/>
          <w:lang w:val="es-ES"/>
        </w:rPr>
        <w:t xml:space="preserve"> y en ese </w:t>
      </w:r>
      <w:r w:rsidR="000A0355">
        <w:rPr>
          <w:color w:val="000000"/>
          <w:lang w:val="es-ES"/>
        </w:rPr>
        <w:t>sentido el</w:t>
      </w:r>
      <w:r w:rsidR="004E2679" w:rsidRPr="004E2679">
        <w:rPr>
          <w:color w:val="000000"/>
          <w:lang w:val="es-ES"/>
        </w:rPr>
        <w:t xml:space="preserve"> Estad</w:t>
      </w:r>
      <w:r w:rsidR="000A0355">
        <w:rPr>
          <w:color w:val="000000"/>
          <w:lang w:val="es-ES"/>
        </w:rPr>
        <w:t>o</w:t>
      </w:r>
      <w:r w:rsidR="004E2679" w:rsidRPr="004E2679">
        <w:rPr>
          <w:color w:val="000000"/>
          <w:lang w:val="es-ES"/>
        </w:rPr>
        <w:t xml:space="preserve"> elimine este delito y regule la interrupción del embarazo mediante iniciativas de salud.</w:t>
      </w:r>
    </w:p>
    <w:p w14:paraId="0201E726" w14:textId="79698DCA" w:rsidR="007F083B" w:rsidRDefault="00033AE1" w:rsidP="008F47F3">
      <w:pPr>
        <w:pStyle w:val="ListParagraph"/>
        <w:numPr>
          <w:ilvl w:val="0"/>
          <w:numId w:val="7"/>
        </w:numPr>
        <w:spacing w:after="0" w:line="276" w:lineRule="auto"/>
        <w:rPr>
          <w:rFonts w:ascii="Times New Roman" w:eastAsia="Times New Roman" w:hAnsi="Times New Roman" w:cs="Times New Roman"/>
          <w:b/>
          <w:bCs/>
          <w:sz w:val="24"/>
          <w:szCs w:val="24"/>
          <w:lang w:val="es-ES"/>
        </w:rPr>
      </w:pPr>
      <w:r>
        <w:rPr>
          <w:rFonts w:ascii="Times New Roman" w:eastAsia="Times New Roman" w:hAnsi="Times New Roman" w:cs="Times New Roman"/>
          <w:b/>
          <w:bCs/>
          <w:sz w:val="24"/>
          <w:szCs w:val="24"/>
          <w:lang w:val="es-ES"/>
        </w:rPr>
        <w:t xml:space="preserve">Falta de acceso a </w:t>
      </w:r>
      <w:r w:rsidR="007F083B">
        <w:rPr>
          <w:rFonts w:ascii="Times New Roman" w:eastAsia="Times New Roman" w:hAnsi="Times New Roman" w:cs="Times New Roman"/>
          <w:b/>
          <w:bCs/>
          <w:sz w:val="24"/>
          <w:szCs w:val="24"/>
          <w:lang w:val="es-ES"/>
        </w:rPr>
        <w:t xml:space="preserve">Educación </w:t>
      </w:r>
      <w:r>
        <w:rPr>
          <w:rFonts w:ascii="Times New Roman" w:eastAsia="Times New Roman" w:hAnsi="Times New Roman" w:cs="Times New Roman"/>
          <w:b/>
          <w:bCs/>
          <w:sz w:val="24"/>
          <w:szCs w:val="24"/>
          <w:lang w:val="es-ES"/>
        </w:rPr>
        <w:t>S</w:t>
      </w:r>
      <w:r w:rsidR="007F083B">
        <w:rPr>
          <w:rFonts w:ascii="Times New Roman" w:eastAsia="Times New Roman" w:hAnsi="Times New Roman" w:cs="Times New Roman"/>
          <w:b/>
          <w:bCs/>
          <w:sz w:val="24"/>
          <w:szCs w:val="24"/>
          <w:lang w:val="es-ES"/>
        </w:rPr>
        <w:t>exual integral</w:t>
      </w:r>
      <w:r>
        <w:rPr>
          <w:rFonts w:ascii="Times New Roman" w:eastAsia="Times New Roman" w:hAnsi="Times New Roman" w:cs="Times New Roman"/>
          <w:b/>
          <w:bCs/>
          <w:sz w:val="24"/>
          <w:szCs w:val="24"/>
          <w:lang w:val="es-ES"/>
        </w:rPr>
        <w:t xml:space="preserve"> (ESI)</w:t>
      </w:r>
    </w:p>
    <w:p w14:paraId="51CAF086" w14:textId="77777777" w:rsidR="007F083B" w:rsidRDefault="007F083B" w:rsidP="008F47F3">
      <w:pPr>
        <w:spacing w:after="0" w:line="276" w:lineRule="auto"/>
        <w:rPr>
          <w:rFonts w:ascii="Times New Roman" w:eastAsia="Times New Roman" w:hAnsi="Times New Roman" w:cs="Times New Roman"/>
          <w:b/>
          <w:bCs/>
          <w:sz w:val="24"/>
          <w:szCs w:val="24"/>
          <w:lang w:val="es-ES"/>
        </w:rPr>
      </w:pPr>
    </w:p>
    <w:p w14:paraId="05F7D8FE" w14:textId="4AB28969" w:rsidR="00B40A4B" w:rsidRPr="003C2E6A" w:rsidRDefault="00B40A4B" w:rsidP="008F47F3">
      <w:pPr>
        <w:pStyle w:val="TextoCarta"/>
        <w:spacing w:line="276" w:lineRule="auto"/>
        <w:ind w:firstLine="0"/>
        <w:rPr>
          <w:rFonts w:ascii="Times New Roman" w:eastAsiaTheme="majorEastAsia" w:hAnsi="Times New Roman" w:cs="Times New Roman"/>
          <w:sz w:val="24"/>
          <w:szCs w:val="24"/>
          <w:lang w:val="es-ES"/>
        </w:rPr>
      </w:pPr>
      <w:r w:rsidRPr="003C2E6A">
        <w:rPr>
          <w:rFonts w:ascii="Times New Roman" w:eastAsiaTheme="majorEastAsia" w:hAnsi="Times New Roman" w:cs="Times New Roman"/>
          <w:sz w:val="24"/>
          <w:szCs w:val="24"/>
          <w:lang w:val="es-ES"/>
        </w:rPr>
        <w:t xml:space="preserve">La falta de acceso a información, educación y servicios de salud en materia sexual y reproductiva, en Guatemala, impide el pleno goce de los derechos humanos de las mujeres, niñas y adolescentes; contribuye a los altos índices de embarazo en niñas; </w:t>
      </w:r>
      <w:r w:rsidR="006456C4" w:rsidRPr="003C2E6A">
        <w:rPr>
          <w:rFonts w:ascii="Times New Roman" w:eastAsiaTheme="majorEastAsia" w:hAnsi="Times New Roman" w:cs="Times New Roman"/>
          <w:sz w:val="24"/>
          <w:szCs w:val="24"/>
          <w:lang w:val="es-ES"/>
        </w:rPr>
        <w:t>y,</w:t>
      </w:r>
      <w:r w:rsidRPr="003C2E6A">
        <w:rPr>
          <w:rFonts w:ascii="Times New Roman" w:eastAsiaTheme="majorEastAsia" w:hAnsi="Times New Roman" w:cs="Times New Roman"/>
          <w:sz w:val="24"/>
          <w:szCs w:val="24"/>
          <w:lang w:val="es-ES"/>
        </w:rPr>
        <w:t xml:space="preserve"> en consecuencia, tiene serios impactos sobre sus planes de vida y reduce drásticamente las posibilidades de las niñas y adolescentes de estudiar</w:t>
      </w:r>
      <w:r w:rsidRPr="006456C4">
        <w:rPr>
          <w:rStyle w:val="EndnoteReference"/>
          <w:rFonts w:eastAsiaTheme="majorEastAsia" w:cs="Times New Roman"/>
          <w:b w:val="0"/>
          <w:bCs/>
          <w:szCs w:val="24"/>
        </w:rPr>
        <w:endnoteReference w:id="59"/>
      </w:r>
      <w:r w:rsidRPr="003C2E6A">
        <w:rPr>
          <w:rFonts w:ascii="Times New Roman" w:eastAsiaTheme="majorEastAsia" w:hAnsi="Times New Roman" w:cs="Times New Roman"/>
          <w:sz w:val="24"/>
          <w:szCs w:val="24"/>
          <w:lang w:val="es-ES"/>
        </w:rPr>
        <w:t xml:space="preserve">. </w:t>
      </w:r>
    </w:p>
    <w:p w14:paraId="104C35C2" w14:textId="19A387DD" w:rsidR="00B40A4B" w:rsidRPr="003C2E6A" w:rsidRDefault="00B40A4B" w:rsidP="008F47F3">
      <w:pPr>
        <w:pStyle w:val="TextoCarta"/>
        <w:spacing w:line="276" w:lineRule="auto"/>
        <w:ind w:firstLine="0"/>
        <w:rPr>
          <w:rFonts w:ascii="Times New Roman" w:eastAsiaTheme="majorEastAsia" w:hAnsi="Times New Roman" w:cs="Times New Roman"/>
          <w:b/>
          <w:bCs/>
          <w:sz w:val="24"/>
          <w:szCs w:val="24"/>
          <w:lang w:val="es-ES"/>
        </w:rPr>
      </w:pPr>
      <w:r w:rsidRPr="003C2E6A">
        <w:rPr>
          <w:rFonts w:ascii="Times New Roman" w:eastAsiaTheme="majorEastAsia" w:hAnsi="Times New Roman" w:cs="Times New Roman"/>
          <w:sz w:val="24"/>
          <w:szCs w:val="24"/>
          <w:lang w:val="es-ES"/>
        </w:rPr>
        <w:t>Guatemala evidencia rezagos importantes en materia de disponibilidad de servicios integrales de salud sexual y reproductiva, como por ejemplo</w:t>
      </w:r>
      <w:r w:rsidR="00BC66C4">
        <w:rPr>
          <w:rFonts w:ascii="Times New Roman" w:eastAsiaTheme="majorEastAsia" w:hAnsi="Times New Roman" w:cs="Times New Roman"/>
          <w:sz w:val="24"/>
          <w:szCs w:val="24"/>
          <w:lang w:val="es-ES"/>
        </w:rPr>
        <w:t xml:space="preserve"> la</w:t>
      </w:r>
      <w:r w:rsidRPr="003C2E6A">
        <w:rPr>
          <w:rFonts w:ascii="Times New Roman" w:eastAsiaTheme="majorEastAsia" w:hAnsi="Times New Roman" w:cs="Times New Roman"/>
          <w:sz w:val="24"/>
          <w:szCs w:val="24"/>
          <w:lang w:val="es-ES"/>
        </w:rPr>
        <w:t xml:space="preserve"> disponibilidad de métodos anticonceptivos. A su vez, en Guatemala el acceso a una educación sexual y reproductiva de calidad sigue siendo un desafío. Según datos de la Encuesta Nacional de Salud Materno Infantil 2014-2015 ("</w:t>
      </w:r>
      <w:r w:rsidRPr="003C2E6A">
        <w:rPr>
          <w:rFonts w:ascii="Times New Roman" w:eastAsiaTheme="majorEastAsia" w:hAnsi="Times New Roman" w:cs="Times New Roman"/>
          <w:sz w:val="24"/>
          <w:szCs w:val="24"/>
          <w:u w:val="single"/>
          <w:lang w:val="es-ES"/>
        </w:rPr>
        <w:t>ENSMI</w:t>
      </w:r>
      <w:r w:rsidRPr="003C2E6A">
        <w:rPr>
          <w:rFonts w:ascii="Times New Roman" w:eastAsiaTheme="majorEastAsia" w:hAnsi="Times New Roman" w:cs="Times New Roman"/>
          <w:sz w:val="24"/>
          <w:szCs w:val="24"/>
          <w:lang w:val="es-ES"/>
        </w:rPr>
        <w:t>")</w:t>
      </w:r>
      <w:r w:rsidRPr="00703BD0">
        <w:rPr>
          <w:rStyle w:val="EndnoteReference"/>
          <w:rFonts w:eastAsiaTheme="majorEastAsia" w:cs="Times New Roman"/>
          <w:b w:val="0"/>
          <w:bCs/>
          <w:szCs w:val="24"/>
        </w:rPr>
        <w:endnoteReference w:id="60"/>
      </w:r>
      <w:r w:rsidRPr="003C2E6A">
        <w:rPr>
          <w:rFonts w:ascii="Times New Roman" w:eastAsiaTheme="majorEastAsia" w:hAnsi="Times New Roman" w:cs="Times New Roman"/>
          <w:sz w:val="24"/>
          <w:szCs w:val="24"/>
          <w:lang w:val="es-ES"/>
        </w:rPr>
        <w:t xml:space="preserve">, "únicamente el 10% de mujeres adolescentes entre 15 y 19 </w:t>
      </w:r>
      <w:proofErr w:type="gramStart"/>
      <w:r w:rsidRPr="003C2E6A">
        <w:rPr>
          <w:rFonts w:ascii="Times New Roman" w:eastAsiaTheme="majorEastAsia" w:hAnsi="Times New Roman" w:cs="Times New Roman"/>
          <w:sz w:val="24"/>
          <w:szCs w:val="24"/>
          <w:lang w:val="es-ES"/>
        </w:rPr>
        <w:t>años de edad</w:t>
      </w:r>
      <w:proofErr w:type="gramEnd"/>
      <w:r w:rsidRPr="003C2E6A">
        <w:rPr>
          <w:rFonts w:ascii="Times New Roman" w:eastAsiaTheme="majorEastAsia" w:hAnsi="Times New Roman" w:cs="Times New Roman"/>
          <w:sz w:val="24"/>
          <w:szCs w:val="24"/>
          <w:lang w:val="es-ES"/>
        </w:rPr>
        <w:t xml:space="preserve"> utiliza algún método anticonceptivo y de éste, sólo el 8% utiliza algún método moderno."</w:t>
      </w:r>
      <w:r w:rsidRPr="00703BD0">
        <w:rPr>
          <w:rStyle w:val="EndnoteReference"/>
          <w:rFonts w:eastAsiaTheme="majorEastAsia" w:cs="Times New Roman"/>
          <w:b w:val="0"/>
          <w:bCs/>
          <w:szCs w:val="24"/>
        </w:rPr>
        <w:endnoteReference w:id="61"/>
      </w:r>
      <w:r w:rsidRPr="003C2E6A">
        <w:rPr>
          <w:rFonts w:ascii="Times New Roman" w:eastAsiaTheme="majorEastAsia" w:hAnsi="Times New Roman" w:cs="Times New Roman"/>
          <w:sz w:val="24"/>
          <w:szCs w:val="24"/>
          <w:lang w:val="es-ES"/>
        </w:rPr>
        <w:t xml:space="preserve"> Por otra parte, </w:t>
      </w:r>
      <w:r w:rsidR="00BC66C4">
        <w:rPr>
          <w:rFonts w:ascii="Times New Roman" w:eastAsiaTheme="majorEastAsia" w:hAnsi="Times New Roman" w:cs="Times New Roman"/>
          <w:sz w:val="24"/>
          <w:szCs w:val="24"/>
          <w:lang w:val="es-ES"/>
        </w:rPr>
        <w:t>el grupo de</w:t>
      </w:r>
      <w:r w:rsidRPr="003C2E6A">
        <w:rPr>
          <w:rFonts w:ascii="Times New Roman" w:eastAsiaTheme="majorEastAsia" w:hAnsi="Times New Roman" w:cs="Times New Roman"/>
          <w:sz w:val="24"/>
          <w:szCs w:val="24"/>
          <w:lang w:val="es-ES"/>
        </w:rPr>
        <w:t xml:space="preserve"> mujeres adolescentes entre 15 y 19 años "presenta la mayor demanda insatisfecha en planificación familiar. Ésta es del 21.9%, porcentaje que es hasta cuatro puntos mayor comparado con la población total de mujeres en edad fértil (MEF) que es de 14%. (…). Está demanda insatisfecha equivale al porcentaje que tenían todas las MEF en el año 2008-2009, lo cual representa un rezago de aproximadamente nueve años para este grupo"</w:t>
      </w:r>
      <w:r w:rsidRPr="00703BD0">
        <w:rPr>
          <w:rStyle w:val="EndnoteReference"/>
          <w:rFonts w:eastAsiaTheme="majorEastAsia" w:cs="Times New Roman"/>
          <w:b w:val="0"/>
          <w:bCs/>
          <w:szCs w:val="24"/>
        </w:rPr>
        <w:endnoteReference w:id="62"/>
      </w:r>
      <w:r w:rsidRPr="003C2E6A">
        <w:rPr>
          <w:rFonts w:ascii="Times New Roman" w:eastAsiaTheme="majorEastAsia" w:hAnsi="Times New Roman" w:cs="Times New Roman"/>
          <w:sz w:val="24"/>
          <w:szCs w:val="24"/>
          <w:lang w:val="es-ES"/>
        </w:rPr>
        <w:t xml:space="preserve">. </w:t>
      </w:r>
    </w:p>
    <w:p w14:paraId="56B710C4" w14:textId="77777777" w:rsidR="00B40A4B" w:rsidRPr="003C2E6A" w:rsidRDefault="00B40A4B" w:rsidP="008F47F3">
      <w:pPr>
        <w:pStyle w:val="TextoCarta"/>
        <w:spacing w:line="276" w:lineRule="auto"/>
        <w:ind w:left="-76" w:firstLine="0"/>
        <w:rPr>
          <w:rFonts w:ascii="Times New Roman" w:eastAsiaTheme="majorEastAsia" w:hAnsi="Times New Roman" w:cs="Times New Roman"/>
          <w:sz w:val="24"/>
          <w:szCs w:val="24"/>
          <w:lang w:val="es-ES"/>
        </w:rPr>
      </w:pPr>
      <w:r w:rsidRPr="003C2E6A">
        <w:rPr>
          <w:rFonts w:ascii="Times New Roman" w:eastAsiaTheme="majorEastAsia" w:hAnsi="Times New Roman" w:cs="Times New Roman"/>
          <w:sz w:val="24"/>
          <w:szCs w:val="24"/>
          <w:lang w:val="es-ES"/>
        </w:rPr>
        <w:t>En materia de educación sexual integral (ESI), el informe de la ENSMI revela que "únicamente el 22% de las mujeres y los hombres de 15 a 24 años tienen conocimiento comprensivo sobre el VIH/ SIDA. El porcentaje de mujeres y hombres con menor conocimiento comprensivo se encuentra en los rangos de edad de 15 a 17 años (19 y 15% respectivamente)</w:t>
      </w:r>
      <w:r w:rsidRPr="00703BD0">
        <w:rPr>
          <w:rFonts w:ascii="Times New Roman" w:eastAsiaTheme="majorEastAsia" w:hAnsi="Times New Roman" w:cs="Times New Roman"/>
          <w:sz w:val="24"/>
          <w:szCs w:val="24"/>
          <w:lang w:val="es-ES"/>
        </w:rPr>
        <w:t>"</w:t>
      </w:r>
      <w:r w:rsidRPr="00703BD0">
        <w:rPr>
          <w:rStyle w:val="EndnoteReference"/>
          <w:rFonts w:eastAsiaTheme="majorEastAsia" w:cs="Times New Roman"/>
          <w:b w:val="0"/>
          <w:bCs/>
          <w:szCs w:val="24"/>
        </w:rPr>
        <w:endnoteReference w:id="63"/>
      </w:r>
      <w:r w:rsidRPr="003C2E6A">
        <w:rPr>
          <w:rFonts w:ascii="Times New Roman" w:eastAsiaTheme="majorEastAsia" w:hAnsi="Times New Roman" w:cs="Times New Roman"/>
          <w:sz w:val="24"/>
          <w:szCs w:val="24"/>
          <w:lang w:val="es-ES"/>
        </w:rPr>
        <w:t>. Así, por ejemplo, "el 81% de las mujeres y el 85% de los hombres adolescentes y los jóvenes no saben que el uso consistente del condón durante las relaciones sexuales puede reducir el riesgo de adquirir el VIH/ SIDA"</w:t>
      </w:r>
      <w:r w:rsidRPr="003C2E6A">
        <w:rPr>
          <w:rStyle w:val="EndnoteReference"/>
          <w:rFonts w:eastAsiaTheme="majorEastAsia" w:cs="Times New Roman"/>
          <w:szCs w:val="24"/>
        </w:rPr>
        <w:endnoteReference w:id="64"/>
      </w:r>
      <w:r w:rsidRPr="003C2E6A">
        <w:rPr>
          <w:rFonts w:ascii="Times New Roman" w:eastAsiaTheme="majorEastAsia" w:hAnsi="Times New Roman" w:cs="Times New Roman"/>
          <w:sz w:val="24"/>
          <w:szCs w:val="24"/>
          <w:lang w:val="es-ES"/>
        </w:rPr>
        <w:t xml:space="preserve">. </w:t>
      </w:r>
      <w:r w:rsidRPr="003C2E6A">
        <w:rPr>
          <w:rFonts w:ascii="Times New Roman" w:eastAsiaTheme="majorEastAsia" w:hAnsi="Times New Roman" w:cs="Times New Roman"/>
          <w:b/>
          <w:bCs/>
          <w:sz w:val="24"/>
          <w:szCs w:val="24"/>
          <w:lang w:val="es-ES"/>
        </w:rPr>
        <w:t>Por otra parte, tan solo el 43.53% de adolescentes "indicó haber recibido información sobre cómo prevenir el embarazo" y el restante 56.47% manifestó no contar con esta información</w:t>
      </w:r>
      <w:r w:rsidRPr="003C2E6A">
        <w:rPr>
          <w:rStyle w:val="EndnoteReference"/>
          <w:rFonts w:eastAsiaTheme="majorEastAsia" w:cs="Times New Roman"/>
          <w:szCs w:val="24"/>
        </w:rPr>
        <w:endnoteReference w:id="65"/>
      </w:r>
      <w:r w:rsidRPr="003C2E6A">
        <w:rPr>
          <w:rFonts w:ascii="Times New Roman" w:eastAsiaTheme="majorEastAsia" w:hAnsi="Times New Roman" w:cs="Times New Roman"/>
          <w:b/>
          <w:bCs/>
          <w:sz w:val="24"/>
          <w:szCs w:val="24"/>
          <w:lang w:val="es-ES"/>
        </w:rPr>
        <w:t>. Existen, además, diferencias por grupo étnico, siendo más alto el porcentaje de adolescentes indígenas (67.8%) que reporta no tener información sobre cómo prevenir el embarazo</w:t>
      </w:r>
      <w:r w:rsidRPr="003C2E6A">
        <w:rPr>
          <w:rStyle w:val="EndnoteReference"/>
          <w:rFonts w:eastAsiaTheme="majorEastAsia" w:cs="Times New Roman"/>
          <w:szCs w:val="24"/>
        </w:rPr>
        <w:endnoteReference w:id="66"/>
      </w:r>
      <w:r w:rsidRPr="003C2E6A">
        <w:rPr>
          <w:rFonts w:ascii="Times New Roman" w:eastAsiaTheme="majorEastAsia" w:hAnsi="Times New Roman" w:cs="Times New Roman"/>
          <w:b/>
          <w:bCs/>
          <w:sz w:val="24"/>
          <w:szCs w:val="24"/>
          <w:lang w:val="es-ES"/>
        </w:rPr>
        <w:t xml:space="preserve">. </w:t>
      </w:r>
    </w:p>
    <w:p w14:paraId="480B1F5F" w14:textId="77777777" w:rsidR="00B40A4B" w:rsidRPr="003C2E6A" w:rsidRDefault="00B40A4B" w:rsidP="008F47F3">
      <w:pPr>
        <w:pStyle w:val="TextoCarta"/>
        <w:spacing w:line="276" w:lineRule="auto"/>
        <w:ind w:left="-76" w:firstLine="0"/>
        <w:rPr>
          <w:rFonts w:ascii="Times New Roman" w:eastAsiaTheme="majorEastAsia" w:hAnsi="Times New Roman" w:cs="Times New Roman"/>
          <w:sz w:val="24"/>
          <w:szCs w:val="24"/>
          <w:lang w:val="es-ES"/>
        </w:rPr>
      </w:pPr>
      <w:r w:rsidRPr="003C2E6A">
        <w:rPr>
          <w:rFonts w:ascii="Times New Roman" w:eastAsiaTheme="majorEastAsia" w:hAnsi="Times New Roman" w:cs="Times New Roman"/>
          <w:sz w:val="24"/>
          <w:szCs w:val="24"/>
          <w:lang w:val="es-ES"/>
        </w:rPr>
        <w:t xml:space="preserve">Esta falta de información y acceso a servicios de salud sexual y reproductiva encuentra parte de sus orígenes en los tabús culturales y los estereotipos de género que permean la sociedad guatemalteca, incluyendo a los propios docentes encargados de impartir información y educación sexual. De </w:t>
      </w:r>
      <w:r w:rsidRPr="003C2E6A">
        <w:rPr>
          <w:rFonts w:ascii="Times New Roman" w:eastAsiaTheme="majorEastAsia" w:hAnsi="Times New Roman" w:cs="Times New Roman"/>
          <w:sz w:val="24"/>
          <w:szCs w:val="24"/>
          <w:lang w:val="es-ES"/>
        </w:rPr>
        <w:lastRenderedPageBreak/>
        <w:t xml:space="preserve">hecho, en una prueba de conocimientos sobre el cuerpo humano, reproducción, anatomía y fisiología humana realizada al personal docente, basada en el currículo base para primaria, </w:t>
      </w:r>
      <w:r w:rsidRPr="00695EE5">
        <w:rPr>
          <w:rFonts w:ascii="Times New Roman" w:eastAsiaTheme="majorEastAsia" w:hAnsi="Times New Roman" w:cs="Times New Roman"/>
          <w:sz w:val="24"/>
          <w:szCs w:val="24"/>
          <w:lang w:val="es-ES"/>
        </w:rPr>
        <w:t xml:space="preserve">los docentes tan solo contestaron 5 de 9 preguntas de forma correcta, demostrando no tener </w:t>
      </w:r>
      <w:r w:rsidRPr="003C2E6A">
        <w:rPr>
          <w:rFonts w:ascii="Times New Roman" w:eastAsiaTheme="majorEastAsia" w:hAnsi="Times New Roman" w:cs="Times New Roman"/>
          <w:sz w:val="24"/>
          <w:szCs w:val="24"/>
          <w:lang w:val="es-ES"/>
        </w:rPr>
        <w:t>el nivel de conocimiento requerido para instruir la materia de educación sexual integral a sus alumnos</w:t>
      </w:r>
      <w:r w:rsidRPr="00695EE5">
        <w:rPr>
          <w:rStyle w:val="EndnoteReference"/>
          <w:rFonts w:eastAsiaTheme="majorEastAsia" w:cs="Times New Roman"/>
          <w:b w:val="0"/>
          <w:bCs/>
          <w:szCs w:val="24"/>
        </w:rPr>
        <w:endnoteReference w:id="67"/>
      </w:r>
      <w:r w:rsidRPr="00695EE5">
        <w:rPr>
          <w:rFonts w:ascii="Times New Roman" w:eastAsiaTheme="majorEastAsia" w:hAnsi="Times New Roman" w:cs="Times New Roman"/>
          <w:sz w:val="24"/>
          <w:szCs w:val="24"/>
          <w:lang w:val="es-ES"/>
        </w:rPr>
        <w:t xml:space="preserve">. </w:t>
      </w:r>
      <w:r w:rsidRPr="003C2E6A">
        <w:rPr>
          <w:rFonts w:ascii="Times New Roman" w:eastAsiaTheme="majorEastAsia" w:hAnsi="Times New Roman" w:cs="Times New Roman"/>
          <w:b/>
          <w:bCs/>
          <w:sz w:val="24"/>
          <w:szCs w:val="24"/>
          <w:lang w:val="es-ES"/>
        </w:rPr>
        <w:t>Desde el punto de vista de los alumnos, menos del 7% de los estudiantes reporta haber aprendido sobre todos los temas que hacen parte del currículo, y manifiestan que "se da más énfasis en fisiología reproductiva que en derechos sexuales y reproductivos, género, valores y habilidades para la prevención de embarazos</w:t>
      </w:r>
      <w:r w:rsidRPr="003C2E6A">
        <w:rPr>
          <w:rFonts w:ascii="Times New Roman" w:eastAsiaTheme="majorEastAsia" w:hAnsi="Times New Roman" w:cs="Times New Roman"/>
          <w:sz w:val="24"/>
          <w:szCs w:val="24"/>
          <w:lang w:val="es-ES"/>
        </w:rPr>
        <w:t>"</w:t>
      </w:r>
      <w:r w:rsidRPr="003C2E6A">
        <w:rPr>
          <w:rStyle w:val="EndnoteReference"/>
          <w:rFonts w:eastAsiaTheme="majorEastAsia" w:cs="Times New Roman"/>
          <w:szCs w:val="24"/>
        </w:rPr>
        <w:endnoteReference w:id="68"/>
      </w:r>
      <w:r w:rsidRPr="003C2E6A">
        <w:rPr>
          <w:rFonts w:ascii="Times New Roman" w:eastAsiaTheme="majorEastAsia" w:hAnsi="Times New Roman" w:cs="Times New Roman"/>
          <w:sz w:val="24"/>
          <w:szCs w:val="24"/>
          <w:lang w:val="es-ES"/>
        </w:rPr>
        <w:t xml:space="preserve">. </w:t>
      </w:r>
    </w:p>
    <w:p w14:paraId="6DBF5620" w14:textId="61717C7C" w:rsidR="00B40A4B" w:rsidRPr="003C2E6A" w:rsidRDefault="00B40A4B" w:rsidP="008F47F3">
      <w:pPr>
        <w:pStyle w:val="TextoCarta"/>
        <w:spacing w:line="276" w:lineRule="auto"/>
        <w:ind w:left="-76" w:firstLine="0"/>
        <w:rPr>
          <w:rFonts w:ascii="Times New Roman" w:eastAsiaTheme="majorEastAsia" w:hAnsi="Times New Roman" w:cs="Times New Roman"/>
          <w:sz w:val="24"/>
          <w:szCs w:val="24"/>
          <w:lang w:val="es-ES"/>
        </w:rPr>
      </w:pPr>
      <w:r w:rsidRPr="003C2E6A">
        <w:rPr>
          <w:rFonts w:ascii="Times New Roman" w:eastAsiaTheme="majorEastAsia" w:hAnsi="Times New Roman" w:cs="Times New Roman"/>
          <w:sz w:val="24"/>
          <w:szCs w:val="24"/>
          <w:lang w:val="es-ES"/>
        </w:rPr>
        <w:t xml:space="preserve">Como consecuencia de lo anterior, el Gobierno de Guatemala de hecho </w:t>
      </w:r>
      <w:r w:rsidR="00FD0D98">
        <w:rPr>
          <w:rFonts w:ascii="Times New Roman" w:eastAsiaTheme="majorEastAsia" w:hAnsi="Times New Roman" w:cs="Times New Roman"/>
          <w:sz w:val="24"/>
          <w:szCs w:val="24"/>
          <w:lang w:val="es-ES"/>
        </w:rPr>
        <w:t xml:space="preserve">ha </w:t>
      </w:r>
      <w:r w:rsidRPr="003C2E6A">
        <w:rPr>
          <w:rFonts w:ascii="Times New Roman" w:eastAsiaTheme="majorEastAsia" w:hAnsi="Times New Roman" w:cs="Times New Roman"/>
          <w:sz w:val="24"/>
          <w:szCs w:val="24"/>
          <w:lang w:val="es-ES"/>
        </w:rPr>
        <w:t>reconoc</w:t>
      </w:r>
      <w:r w:rsidR="00FD0D98">
        <w:rPr>
          <w:rFonts w:ascii="Times New Roman" w:eastAsiaTheme="majorEastAsia" w:hAnsi="Times New Roman" w:cs="Times New Roman"/>
          <w:sz w:val="24"/>
          <w:szCs w:val="24"/>
          <w:lang w:val="es-ES"/>
        </w:rPr>
        <w:t>ido</w:t>
      </w:r>
      <w:r w:rsidRPr="003C2E6A">
        <w:rPr>
          <w:rFonts w:ascii="Times New Roman" w:eastAsiaTheme="majorEastAsia" w:hAnsi="Times New Roman" w:cs="Times New Roman"/>
          <w:sz w:val="24"/>
          <w:szCs w:val="24"/>
          <w:lang w:val="es-ES"/>
        </w:rPr>
        <w:t xml:space="preserve"> que "son motivo de gran preocupación los precarios índices de salud sexual y reproductiva de los adolescentes, la persistencia y la tendencia al incremento de la iniciación sexual temprana sin información o por violencia, los embarazos no planificados, los nacimientos en niñas menores de 14 años, la violencia sexual contra las niñas, las muertes maternas y la creciente actividad sexual sin protección"</w:t>
      </w:r>
      <w:r w:rsidRPr="008652C6">
        <w:rPr>
          <w:rStyle w:val="EndnoteReference"/>
          <w:rFonts w:eastAsiaTheme="majorEastAsia" w:cs="Times New Roman"/>
          <w:b w:val="0"/>
          <w:bCs/>
          <w:szCs w:val="24"/>
        </w:rPr>
        <w:endnoteReference w:id="69"/>
      </w:r>
      <w:r w:rsidRPr="003C2E6A">
        <w:rPr>
          <w:rFonts w:ascii="Times New Roman" w:eastAsiaTheme="majorEastAsia" w:hAnsi="Times New Roman" w:cs="Times New Roman"/>
          <w:sz w:val="24"/>
          <w:szCs w:val="24"/>
          <w:lang w:val="es-ES"/>
        </w:rPr>
        <w:t>.</w:t>
      </w:r>
    </w:p>
    <w:p w14:paraId="67C6BCD8" w14:textId="77777777" w:rsidR="0030767C" w:rsidRDefault="00B40A4B" w:rsidP="008F47F3">
      <w:pPr>
        <w:pStyle w:val="TextoCarta"/>
        <w:spacing w:line="276" w:lineRule="auto"/>
        <w:ind w:left="-76" w:firstLine="0"/>
        <w:rPr>
          <w:rFonts w:ascii="Times New Roman" w:eastAsiaTheme="majorEastAsia" w:hAnsi="Times New Roman" w:cs="Times New Roman"/>
          <w:sz w:val="24"/>
          <w:szCs w:val="24"/>
          <w:lang w:val="es-ES"/>
        </w:rPr>
      </w:pPr>
      <w:r w:rsidRPr="003C2E6A">
        <w:rPr>
          <w:rFonts w:ascii="Times New Roman" w:eastAsiaTheme="majorEastAsia" w:hAnsi="Times New Roman" w:cs="Times New Roman"/>
          <w:sz w:val="24"/>
          <w:szCs w:val="24"/>
          <w:lang w:val="es-ES"/>
        </w:rPr>
        <w:t>Garantizar el acceso a la información y educación sexual integral ha sido reconocido ampliamente por numerosos órganos de tratado como un mecanismo esencial para garantizar los derechos de las niñas y adolescentes, incluyendo su autonomía reproductiva y su dignidad. El Comité DESC, por ejemplo, ha referido que todas las personas, “incluidos los adolescentes y jóvenes”, tienen derecho a recibir información con base empírica sobre la salud sexual y reproductiva. Esto incluye información sobre “la salud materna, los anticonceptivos, la planificación familiar, las infecciones de transmisión sexual, la prevención del VIH, el aborto sin riesgo y la asistencia posterior en casos de aborto, la fecundidad y las opciones de fecundidad, y el cáncer del sistema reproductor”, proporcionada de manera que responda a las necesidades de la persona y de la comunidad</w:t>
      </w:r>
      <w:r w:rsidRPr="00D27429">
        <w:rPr>
          <w:rStyle w:val="EndnoteReference"/>
          <w:rFonts w:eastAsiaTheme="majorEastAsia" w:cs="Times New Roman"/>
          <w:b w:val="0"/>
          <w:bCs/>
          <w:szCs w:val="24"/>
          <w:lang w:val="es-ES"/>
        </w:rPr>
        <w:endnoteReference w:id="70"/>
      </w:r>
      <w:r w:rsidRPr="003C2E6A">
        <w:rPr>
          <w:rFonts w:ascii="Times New Roman" w:eastAsiaTheme="majorEastAsia" w:hAnsi="Times New Roman" w:cs="Times New Roman"/>
          <w:sz w:val="24"/>
          <w:szCs w:val="24"/>
          <w:lang w:val="es-ES"/>
        </w:rPr>
        <w:t xml:space="preserve">. </w:t>
      </w:r>
    </w:p>
    <w:p w14:paraId="605808ED" w14:textId="4FD2DF20" w:rsidR="00B40A4B" w:rsidRPr="003C2E6A" w:rsidRDefault="00B40A4B" w:rsidP="008F47F3">
      <w:pPr>
        <w:pStyle w:val="TextoCarta"/>
        <w:spacing w:line="276" w:lineRule="auto"/>
        <w:ind w:left="-76" w:firstLine="0"/>
        <w:rPr>
          <w:rFonts w:ascii="Times New Roman" w:eastAsiaTheme="majorEastAsia" w:hAnsi="Times New Roman" w:cs="Times New Roman"/>
          <w:sz w:val="24"/>
          <w:szCs w:val="24"/>
          <w:lang w:val="es-ES"/>
        </w:rPr>
      </w:pPr>
      <w:r w:rsidRPr="003C2E6A">
        <w:rPr>
          <w:rFonts w:ascii="Times New Roman" w:eastAsiaTheme="majorEastAsia" w:hAnsi="Times New Roman" w:cs="Times New Roman"/>
          <w:sz w:val="24"/>
          <w:szCs w:val="24"/>
          <w:lang w:val="es-ES"/>
        </w:rPr>
        <w:t>En una línea similar se ha pronunciado el Comité CEDAW</w:t>
      </w:r>
      <w:r w:rsidRPr="00D27429">
        <w:rPr>
          <w:rStyle w:val="EndnoteReference"/>
          <w:rFonts w:eastAsiaTheme="majorEastAsia" w:cs="Times New Roman"/>
          <w:b w:val="0"/>
          <w:bCs/>
          <w:szCs w:val="24"/>
          <w:lang w:val="es-ES"/>
        </w:rPr>
        <w:endnoteReference w:id="71"/>
      </w:r>
      <w:r w:rsidRPr="003C2E6A">
        <w:rPr>
          <w:rFonts w:ascii="Times New Roman" w:eastAsiaTheme="majorEastAsia" w:hAnsi="Times New Roman" w:cs="Times New Roman"/>
          <w:sz w:val="24"/>
          <w:szCs w:val="24"/>
          <w:lang w:val="es-ES"/>
        </w:rPr>
        <w:t>, el Comité de los Derechos de los Niños</w:t>
      </w:r>
      <w:r w:rsidRPr="00D27429">
        <w:rPr>
          <w:rStyle w:val="EndnoteReference"/>
          <w:rFonts w:eastAsiaTheme="majorEastAsia" w:cs="Times New Roman"/>
          <w:b w:val="0"/>
          <w:bCs/>
          <w:szCs w:val="24"/>
          <w:lang w:val="es-ES"/>
        </w:rPr>
        <w:endnoteReference w:id="72"/>
      </w:r>
      <w:r w:rsidRPr="003C2E6A">
        <w:rPr>
          <w:rFonts w:ascii="Times New Roman" w:eastAsiaTheme="majorEastAsia" w:hAnsi="Times New Roman" w:cs="Times New Roman"/>
          <w:sz w:val="24"/>
          <w:szCs w:val="24"/>
          <w:lang w:val="es-ES"/>
        </w:rPr>
        <w:t xml:space="preserve"> así como varios Relatores Especiales</w:t>
      </w:r>
      <w:r w:rsidRPr="00D27429">
        <w:rPr>
          <w:rStyle w:val="EndnoteReference"/>
          <w:rFonts w:eastAsiaTheme="majorEastAsia" w:cs="Times New Roman"/>
          <w:b w:val="0"/>
          <w:bCs/>
          <w:szCs w:val="24"/>
          <w:lang w:val="es-ES"/>
        </w:rPr>
        <w:endnoteReference w:id="73"/>
      </w:r>
      <w:r w:rsidRPr="003C2E6A">
        <w:rPr>
          <w:rFonts w:ascii="Times New Roman" w:eastAsiaTheme="majorEastAsia" w:hAnsi="Times New Roman" w:cs="Times New Roman"/>
          <w:sz w:val="24"/>
          <w:szCs w:val="24"/>
          <w:lang w:val="es-ES"/>
        </w:rPr>
        <w:t xml:space="preserve">, al referir que la información y educación sobre salud sexual y reproductiva </w:t>
      </w:r>
      <w:r w:rsidRPr="00D27429">
        <w:rPr>
          <w:rFonts w:ascii="Times New Roman" w:eastAsiaTheme="majorEastAsia" w:hAnsi="Times New Roman" w:cs="Times New Roman"/>
          <w:b/>
          <w:bCs/>
          <w:sz w:val="24"/>
          <w:szCs w:val="24"/>
          <w:lang w:val="es-ES"/>
        </w:rPr>
        <w:t>es imprescindible</w:t>
      </w:r>
      <w:r w:rsidRPr="003C2E6A">
        <w:rPr>
          <w:rFonts w:ascii="Times New Roman" w:eastAsiaTheme="majorEastAsia" w:hAnsi="Times New Roman" w:cs="Times New Roman"/>
          <w:sz w:val="24"/>
          <w:szCs w:val="24"/>
          <w:lang w:val="es-ES"/>
        </w:rPr>
        <w:t xml:space="preserve"> para la toma</w:t>
      </w:r>
      <w:r w:rsidR="00D27429">
        <w:rPr>
          <w:rFonts w:ascii="Times New Roman" w:eastAsiaTheme="majorEastAsia" w:hAnsi="Times New Roman" w:cs="Times New Roman"/>
          <w:sz w:val="24"/>
          <w:szCs w:val="24"/>
          <w:lang w:val="es-ES"/>
        </w:rPr>
        <w:t xml:space="preserve"> de </w:t>
      </w:r>
      <w:r w:rsidRPr="003C2E6A">
        <w:rPr>
          <w:rFonts w:ascii="Times New Roman" w:eastAsiaTheme="majorEastAsia" w:hAnsi="Times New Roman" w:cs="Times New Roman"/>
          <w:sz w:val="24"/>
          <w:szCs w:val="24"/>
          <w:lang w:val="es-ES"/>
        </w:rPr>
        <w:t>decisiones reproductivas y en particular, empodera a las niñas a tomar decisiones informadas y autónomas, de acuerdo con la evolución de sus capacidades, sobre su cuerpo, salud, y reproducción y así permite la efectiva reivindicación de sus derechos.</w:t>
      </w:r>
      <w:r w:rsidRPr="003C2E6A">
        <w:rPr>
          <w:rFonts w:ascii="Times New Roman" w:hAnsi="Times New Roman" w:cs="Times New Roman"/>
          <w:sz w:val="24"/>
          <w:szCs w:val="24"/>
          <w:lang w:val="es-ES"/>
        </w:rPr>
        <w:t xml:space="preserve"> Como es evidente, l</w:t>
      </w:r>
      <w:r w:rsidRPr="003C2E6A">
        <w:rPr>
          <w:rFonts w:ascii="Times New Roman" w:eastAsiaTheme="majorEastAsia" w:hAnsi="Times New Roman" w:cs="Times New Roman"/>
          <w:sz w:val="24"/>
          <w:szCs w:val="24"/>
          <w:lang w:val="es-ES"/>
        </w:rPr>
        <w:t>os órganos de tratado, así como la OMS, han sostenido que las niñas y adolescentes necesitan recibir información, educación y consejería técnica completa, veraz y oportuna, de acuerdo con la evolución de sus capacidades, que faciliten la toma de decisiones autónomas y libres para asumir comportamientos sexuales responsables</w:t>
      </w:r>
      <w:r w:rsidRPr="003C2E6A">
        <w:rPr>
          <w:rStyle w:val="EndnoteReference"/>
          <w:rFonts w:eastAsiaTheme="majorEastAsia" w:cs="Times New Roman"/>
          <w:szCs w:val="24"/>
          <w:lang w:val="es-ES"/>
        </w:rPr>
        <w:endnoteReference w:id="74"/>
      </w:r>
      <w:r w:rsidRPr="003C2E6A">
        <w:rPr>
          <w:rFonts w:ascii="Times New Roman" w:eastAsiaTheme="majorEastAsia" w:hAnsi="Times New Roman" w:cs="Times New Roman"/>
          <w:sz w:val="24"/>
          <w:szCs w:val="24"/>
          <w:lang w:val="es-ES"/>
        </w:rPr>
        <w:t>. Este Comité también recomendó los Estados que faciliten el acceso a la información y los servicios de salud sexual y reproductiva, incluida la educación sexual integral, dentro y fuera de las escuelas, independientemente de la edad y sin el consentimiento de los padres o tutores</w:t>
      </w:r>
      <w:r w:rsidRPr="00631BA7">
        <w:rPr>
          <w:rStyle w:val="EndnoteReference"/>
          <w:rFonts w:eastAsiaTheme="majorEastAsia" w:cs="Times New Roman"/>
          <w:b w:val="0"/>
          <w:bCs/>
          <w:szCs w:val="24"/>
          <w:lang w:val="es-ES"/>
        </w:rPr>
        <w:endnoteReference w:id="75"/>
      </w:r>
      <w:r w:rsidRPr="003C2E6A">
        <w:rPr>
          <w:rFonts w:ascii="Times New Roman" w:eastAsiaTheme="majorEastAsia" w:hAnsi="Times New Roman" w:cs="Times New Roman"/>
          <w:sz w:val="24"/>
          <w:szCs w:val="24"/>
          <w:lang w:val="es-ES"/>
        </w:rPr>
        <w:t xml:space="preserve">. </w:t>
      </w:r>
    </w:p>
    <w:p w14:paraId="2C5B5D51" w14:textId="77777777" w:rsidR="00B40A4B" w:rsidRPr="003C2E6A" w:rsidRDefault="00B40A4B" w:rsidP="008F47F3">
      <w:pPr>
        <w:pStyle w:val="TextoCarta"/>
        <w:spacing w:line="276" w:lineRule="auto"/>
        <w:ind w:left="-76" w:firstLine="0"/>
        <w:rPr>
          <w:rFonts w:ascii="Times New Roman" w:eastAsiaTheme="majorEastAsia" w:hAnsi="Times New Roman" w:cs="Times New Roman"/>
          <w:sz w:val="24"/>
          <w:szCs w:val="24"/>
          <w:lang w:val="es-ES"/>
        </w:rPr>
      </w:pPr>
      <w:r w:rsidRPr="003C2E6A">
        <w:rPr>
          <w:rFonts w:ascii="Times New Roman" w:eastAsiaTheme="majorEastAsia" w:hAnsi="Times New Roman" w:cs="Times New Roman"/>
          <w:sz w:val="24"/>
          <w:szCs w:val="24"/>
          <w:lang w:val="es-ES"/>
        </w:rPr>
        <w:t>De forma particular, el Comité DESC le recomendó a Guatemala “</w:t>
      </w:r>
      <w:proofErr w:type="spellStart"/>
      <w:r w:rsidRPr="003C2E6A">
        <w:rPr>
          <w:rFonts w:ascii="Times New Roman" w:eastAsiaTheme="majorEastAsia" w:hAnsi="Times New Roman" w:cs="Times New Roman"/>
          <w:sz w:val="24"/>
          <w:szCs w:val="24"/>
          <w:lang w:val="es-ES"/>
        </w:rPr>
        <w:t>incorpor</w:t>
      </w:r>
      <w:proofErr w:type="spellEnd"/>
      <w:r w:rsidRPr="003C2E6A">
        <w:rPr>
          <w:rFonts w:ascii="Times New Roman" w:eastAsiaTheme="majorEastAsia" w:hAnsi="Times New Roman" w:cs="Times New Roman"/>
          <w:sz w:val="24"/>
          <w:szCs w:val="24"/>
          <w:lang w:val="es-ES"/>
        </w:rPr>
        <w:t xml:space="preserve">[ar] una amplia educación sobre salud sexual y reproductiva en los programas escolares, tomando en consideración </w:t>
      </w:r>
      <w:r w:rsidRPr="003C2E6A">
        <w:rPr>
          <w:rFonts w:ascii="Times New Roman" w:eastAsiaTheme="majorEastAsia" w:hAnsi="Times New Roman" w:cs="Times New Roman"/>
          <w:sz w:val="24"/>
          <w:szCs w:val="24"/>
          <w:lang w:val="es-ES"/>
        </w:rPr>
        <w:lastRenderedPageBreak/>
        <w:t>la edad de los niños, en la enseñanza primaria y secundaria, e implante programas de educación y concienciación de la opinión pública a este respecto”</w:t>
      </w:r>
      <w:r w:rsidRPr="00631BA7">
        <w:rPr>
          <w:rStyle w:val="EndnoteReference"/>
          <w:rFonts w:eastAsiaTheme="majorEastAsia" w:cs="Times New Roman"/>
          <w:b w:val="0"/>
          <w:bCs/>
          <w:szCs w:val="24"/>
        </w:rPr>
        <w:endnoteReference w:id="76"/>
      </w:r>
      <w:r w:rsidRPr="003C2E6A">
        <w:rPr>
          <w:rFonts w:ascii="Times New Roman" w:eastAsiaTheme="majorEastAsia" w:hAnsi="Times New Roman" w:cs="Times New Roman"/>
          <w:sz w:val="24"/>
          <w:szCs w:val="24"/>
          <w:lang w:val="es-ES"/>
        </w:rPr>
        <w:t xml:space="preserve">. </w:t>
      </w:r>
    </w:p>
    <w:p w14:paraId="4817B182" w14:textId="77777777" w:rsidR="00B40A4B" w:rsidRDefault="00B40A4B" w:rsidP="008F47F3">
      <w:pPr>
        <w:pStyle w:val="TextoCarta"/>
        <w:spacing w:line="276" w:lineRule="auto"/>
        <w:ind w:left="-76" w:firstLine="0"/>
        <w:rPr>
          <w:rFonts w:ascii="Times New Roman" w:eastAsiaTheme="majorEastAsia" w:hAnsi="Times New Roman" w:cs="Times New Roman"/>
          <w:sz w:val="24"/>
          <w:szCs w:val="24"/>
          <w:lang w:val="es-ES"/>
        </w:rPr>
      </w:pPr>
      <w:r w:rsidRPr="003C2E6A">
        <w:rPr>
          <w:rFonts w:ascii="Times New Roman" w:eastAsiaTheme="majorEastAsia" w:hAnsi="Times New Roman" w:cs="Times New Roman"/>
          <w:sz w:val="24"/>
          <w:szCs w:val="24"/>
          <w:lang w:val="es-ES"/>
        </w:rPr>
        <w:t>Similarmente, recientemente el Comité de los Derechos del Niño manifestó preocupación por "las barreras que continúan enfrentando los adolescentes [en Guatemala] en el acceso a servicios de salud en materia sexual y reproductiva y en educación, la alta incidencia de embarazos adolescentes y los elevados riesgos de mortalidad materna en madres adolescentes, y el acceso insuficiente a métodos anticonceptivos modernos" con base en lo cual recomendó al Estado “</w:t>
      </w:r>
      <w:proofErr w:type="spellStart"/>
      <w:r w:rsidRPr="003C2E6A">
        <w:rPr>
          <w:rFonts w:ascii="Times New Roman" w:eastAsiaTheme="majorEastAsia" w:hAnsi="Times New Roman" w:cs="Times New Roman"/>
          <w:sz w:val="24"/>
          <w:szCs w:val="24"/>
          <w:lang w:val="es-ES"/>
        </w:rPr>
        <w:t>garanti</w:t>
      </w:r>
      <w:proofErr w:type="spellEnd"/>
      <w:r w:rsidRPr="003C2E6A">
        <w:rPr>
          <w:rFonts w:ascii="Times New Roman" w:eastAsiaTheme="majorEastAsia" w:hAnsi="Times New Roman" w:cs="Times New Roman"/>
          <w:sz w:val="24"/>
          <w:szCs w:val="24"/>
          <w:lang w:val="es-ES"/>
        </w:rPr>
        <w:t>[zar] que la educación sobre salud sexual y reproductiva forme parte del plan de estudios escolar obligatorio, y que para su desarrollo se cuente con la participación de adolescentes de ambos sexos y se preste particular atención a la prevención de los embarazos precoces y las infecciones de transmisión sexual”</w:t>
      </w:r>
      <w:r w:rsidRPr="003C2E6A">
        <w:rPr>
          <w:rStyle w:val="EndnoteReference"/>
          <w:rFonts w:eastAsiaTheme="majorEastAsia" w:cs="Times New Roman"/>
          <w:szCs w:val="24"/>
        </w:rPr>
        <w:endnoteReference w:id="77"/>
      </w:r>
      <w:r w:rsidRPr="003C2E6A">
        <w:rPr>
          <w:rFonts w:ascii="Times New Roman" w:eastAsiaTheme="majorEastAsia" w:hAnsi="Times New Roman" w:cs="Times New Roman"/>
          <w:sz w:val="24"/>
          <w:szCs w:val="24"/>
          <w:lang w:val="es-ES"/>
        </w:rPr>
        <w:t xml:space="preserve">. </w:t>
      </w:r>
    </w:p>
    <w:p w14:paraId="4002D111" w14:textId="729EF994" w:rsidR="006D5319" w:rsidRDefault="0030767C" w:rsidP="008F47F3">
      <w:pPr>
        <w:pStyle w:val="TextoCarta"/>
        <w:spacing w:line="276" w:lineRule="auto"/>
        <w:ind w:left="-76" w:firstLine="0"/>
        <w:rPr>
          <w:rFonts w:ascii="Times New Roman" w:eastAsiaTheme="majorEastAsia" w:hAnsi="Times New Roman" w:cs="Times New Roman"/>
          <w:sz w:val="24"/>
          <w:szCs w:val="24"/>
          <w:lang w:val="es-ES"/>
        </w:rPr>
      </w:pPr>
      <w:r>
        <w:rPr>
          <w:rFonts w:ascii="Times New Roman" w:eastAsiaTheme="majorEastAsia" w:hAnsi="Times New Roman" w:cs="Times New Roman"/>
          <w:sz w:val="24"/>
          <w:szCs w:val="24"/>
          <w:lang w:val="es-ES"/>
        </w:rPr>
        <w:t>A nivel regional</w:t>
      </w:r>
      <w:r w:rsidR="000C53B3" w:rsidDel="009078D6">
        <w:rPr>
          <w:rFonts w:ascii="Times New Roman" w:eastAsiaTheme="majorEastAsia" w:hAnsi="Times New Roman" w:cs="Times New Roman"/>
          <w:sz w:val="24"/>
          <w:szCs w:val="24"/>
          <w:lang w:val="es-ES"/>
        </w:rPr>
        <w:t xml:space="preserve">, </w:t>
      </w:r>
      <w:r w:rsidR="000C53B3">
        <w:rPr>
          <w:rFonts w:ascii="Times New Roman" w:eastAsiaTheme="majorEastAsia" w:hAnsi="Times New Roman" w:cs="Times New Roman"/>
          <w:sz w:val="24"/>
          <w:szCs w:val="24"/>
          <w:lang w:val="es-ES"/>
        </w:rPr>
        <w:t>la Corte Interamericana de Derechos Humanos señaló que “</w:t>
      </w:r>
      <w:r w:rsidR="000C53B3" w:rsidRPr="000C53B3">
        <w:rPr>
          <w:rFonts w:ascii="Times New Roman" w:eastAsiaTheme="majorEastAsia" w:hAnsi="Times New Roman" w:cs="Times New Roman"/>
          <w:sz w:val="24"/>
          <w:szCs w:val="24"/>
          <w:lang w:val="es-ES"/>
        </w:rPr>
        <w:t>Una obligación estatal relativa al derecho a la salud sexual y reproductiva es</w:t>
      </w:r>
      <w:r w:rsidR="000C53B3">
        <w:rPr>
          <w:rFonts w:ascii="Times New Roman" w:eastAsiaTheme="majorEastAsia" w:hAnsi="Times New Roman" w:cs="Times New Roman"/>
          <w:sz w:val="24"/>
          <w:szCs w:val="24"/>
          <w:lang w:val="es-ES"/>
        </w:rPr>
        <w:t xml:space="preserve"> </w:t>
      </w:r>
      <w:r w:rsidR="000C53B3" w:rsidRPr="000C53B3">
        <w:rPr>
          <w:rFonts w:ascii="Times New Roman" w:eastAsiaTheme="majorEastAsia" w:hAnsi="Times New Roman" w:cs="Times New Roman"/>
          <w:sz w:val="24"/>
          <w:szCs w:val="24"/>
          <w:lang w:val="es-ES"/>
        </w:rPr>
        <w:t xml:space="preserve">brindar </w:t>
      </w:r>
      <w:r w:rsidR="000C53B3">
        <w:rPr>
          <w:rFonts w:ascii="Times New Roman" w:eastAsiaTheme="majorEastAsia" w:hAnsi="Times New Roman" w:cs="Times New Roman"/>
          <w:sz w:val="24"/>
          <w:szCs w:val="24"/>
          <w:lang w:val="es-ES"/>
        </w:rPr>
        <w:t>‘</w:t>
      </w:r>
      <w:r w:rsidR="000C53B3" w:rsidRPr="000C53B3">
        <w:rPr>
          <w:rFonts w:ascii="Times New Roman" w:eastAsiaTheme="majorEastAsia" w:hAnsi="Times New Roman" w:cs="Times New Roman"/>
          <w:sz w:val="24"/>
          <w:szCs w:val="24"/>
          <w:lang w:val="es-ES"/>
        </w:rPr>
        <w:t>educación e información integrales</w:t>
      </w:r>
      <w:r w:rsidR="000C53B3">
        <w:rPr>
          <w:rFonts w:ascii="Times New Roman" w:eastAsiaTheme="majorEastAsia" w:hAnsi="Times New Roman" w:cs="Times New Roman"/>
          <w:sz w:val="24"/>
          <w:szCs w:val="24"/>
          <w:lang w:val="es-ES"/>
        </w:rPr>
        <w:t>’</w:t>
      </w:r>
      <w:r w:rsidR="000C53B3" w:rsidRPr="000C53B3">
        <w:rPr>
          <w:rFonts w:ascii="Times New Roman" w:eastAsiaTheme="majorEastAsia" w:hAnsi="Times New Roman" w:cs="Times New Roman"/>
          <w:sz w:val="24"/>
          <w:szCs w:val="24"/>
          <w:lang w:val="es-ES"/>
        </w:rPr>
        <w:t xml:space="preserve">, teniendo en cuenta </w:t>
      </w:r>
      <w:r w:rsidR="000C53B3">
        <w:rPr>
          <w:rFonts w:ascii="Times New Roman" w:eastAsiaTheme="majorEastAsia" w:hAnsi="Times New Roman" w:cs="Times New Roman"/>
          <w:sz w:val="24"/>
          <w:szCs w:val="24"/>
          <w:lang w:val="es-ES"/>
        </w:rPr>
        <w:t>‘</w:t>
      </w:r>
      <w:r w:rsidR="000C53B3" w:rsidRPr="000C53B3">
        <w:rPr>
          <w:rFonts w:ascii="Times New Roman" w:eastAsiaTheme="majorEastAsia" w:hAnsi="Times New Roman" w:cs="Times New Roman"/>
          <w:sz w:val="24"/>
          <w:szCs w:val="24"/>
          <w:lang w:val="es-ES"/>
        </w:rPr>
        <w:t>las capacidades</w:t>
      </w:r>
      <w:r w:rsidR="000C53B3">
        <w:rPr>
          <w:rFonts w:ascii="Times New Roman" w:eastAsiaTheme="majorEastAsia" w:hAnsi="Times New Roman" w:cs="Times New Roman"/>
          <w:sz w:val="24"/>
          <w:szCs w:val="24"/>
          <w:lang w:val="es-ES"/>
        </w:rPr>
        <w:t xml:space="preserve"> </w:t>
      </w:r>
      <w:r w:rsidR="000C53B3" w:rsidRPr="000C53B3">
        <w:rPr>
          <w:rFonts w:ascii="Times New Roman" w:eastAsiaTheme="majorEastAsia" w:hAnsi="Times New Roman" w:cs="Times New Roman"/>
          <w:sz w:val="24"/>
          <w:szCs w:val="24"/>
          <w:lang w:val="es-ES"/>
        </w:rPr>
        <w:t>evolutivas de los niños y los adolescentes</w:t>
      </w:r>
      <w:r w:rsidR="000C53B3">
        <w:rPr>
          <w:rFonts w:ascii="Times New Roman" w:eastAsiaTheme="majorEastAsia" w:hAnsi="Times New Roman" w:cs="Times New Roman"/>
          <w:sz w:val="24"/>
          <w:szCs w:val="24"/>
          <w:lang w:val="es-ES"/>
        </w:rPr>
        <w:t>’</w:t>
      </w:r>
      <w:r w:rsidR="000C53B3" w:rsidRPr="000C53B3">
        <w:rPr>
          <w:rFonts w:ascii="Times New Roman" w:eastAsiaTheme="majorEastAsia" w:hAnsi="Times New Roman" w:cs="Times New Roman"/>
          <w:sz w:val="24"/>
          <w:szCs w:val="24"/>
          <w:lang w:val="es-ES"/>
        </w:rPr>
        <w:t>. Dicha educación debe ser apta para</w:t>
      </w:r>
      <w:r w:rsidR="000C53B3">
        <w:rPr>
          <w:rFonts w:ascii="Times New Roman" w:eastAsiaTheme="majorEastAsia" w:hAnsi="Times New Roman" w:cs="Times New Roman"/>
          <w:sz w:val="24"/>
          <w:szCs w:val="24"/>
          <w:lang w:val="es-ES"/>
        </w:rPr>
        <w:t xml:space="preserve"> </w:t>
      </w:r>
      <w:r w:rsidR="000C53B3" w:rsidRPr="000C53B3">
        <w:rPr>
          <w:rFonts w:ascii="Times New Roman" w:eastAsiaTheme="majorEastAsia" w:hAnsi="Times New Roman" w:cs="Times New Roman"/>
          <w:sz w:val="24"/>
          <w:szCs w:val="24"/>
          <w:lang w:val="es-ES"/>
        </w:rPr>
        <w:t>posibilitar a las niñas y los niños un adecuado entendimiento de las implicancias de las</w:t>
      </w:r>
      <w:r w:rsidR="000C53B3">
        <w:rPr>
          <w:rFonts w:ascii="Times New Roman" w:eastAsiaTheme="majorEastAsia" w:hAnsi="Times New Roman" w:cs="Times New Roman"/>
          <w:sz w:val="24"/>
          <w:szCs w:val="24"/>
          <w:lang w:val="es-ES"/>
        </w:rPr>
        <w:t xml:space="preserve"> </w:t>
      </w:r>
      <w:r w:rsidR="000C53B3" w:rsidRPr="000C53B3">
        <w:rPr>
          <w:rFonts w:ascii="Times New Roman" w:eastAsiaTheme="majorEastAsia" w:hAnsi="Times New Roman" w:cs="Times New Roman"/>
          <w:sz w:val="24"/>
          <w:szCs w:val="24"/>
          <w:lang w:val="es-ES"/>
        </w:rPr>
        <w:t>relaciones sexuales y afectivas, particularmente en relación con el consentimiento para</w:t>
      </w:r>
      <w:r w:rsidR="000C53B3">
        <w:rPr>
          <w:rFonts w:ascii="Times New Roman" w:eastAsiaTheme="majorEastAsia" w:hAnsi="Times New Roman" w:cs="Times New Roman"/>
          <w:sz w:val="24"/>
          <w:szCs w:val="24"/>
          <w:lang w:val="es-ES"/>
        </w:rPr>
        <w:t xml:space="preserve"> </w:t>
      </w:r>
      <w:r w:rsidR="000C53B3" w:rsidRPr="000C53B3">
        <w:rPr>
          <w:rFonts w:ascii="Times New Roman" w:eastAsiaTheme="majorEastAsia" w:hAnsi="Times New Roman" w:cs="Times New Roman"/>
          <w:sz w:val="24"/>
          <w:szCs w:val="24"/>
          <w:lang w:val="es-ES"/>
        </w:rPr>
        <w:t>tales vínculos y el ejercicio de las libertades respecto a sus derechos sexuales y</w:t>
      </w:r>
      <w:r w:rsidR="000C53B3">
        <w:rPr>
          <w:rFonts w:ascii="Times New Roman" w:eastAsiaTheme="majorEastAsia" w:hAnsi="Times New Roman" w:cs="Times New Roman"/>
          <w:sz w:val="24"/>
          <w:szCs w:val="24"/>
          <w:lang w:val="es-ES"/>
        </w:rPr>
        <w:t xml:space="preserve"> </w:t>
      </w:r>
      <w:r w:rsidR="000C53B3" w:rsidRPr="000C53B3">
        <w:rPr>
          <w:rFonts w:ascii="Times New Roman" w:eastAsiaTheme="majorEastAsia" w:hAnsi="Times New Roman" w:cs="Times New Roman"/>
          <w:sz w:val="24"/>
          <w:szCs w:val="24"/>
          <w:lang w:val="es-ES"/>
        </w:rPr>
        <w:t>reproductivos</w:t>
      </w:r>
      <w:r w:rsidR="000C53B3">
        <w:rPr>
          <w:rFonts w:ascii="Times New Roman" w:eastAsiaTheme="majorEastAsia" w:hAnsi="Times New Roman" w:cs="Times New Roman"/>
          <w:sz w:val="24"/>
          <w:szCs w:val="24"/>
          <w:lang w:val="es-ES"/>
        </w:rPr>
        <w:t>”</w:t>
      </w:r>
      <w:r w:rsidR="000C53B3" w:rsidRPr="000C53B3">
        <w:rPr>
          <w:rStyle w:val="EndnoteReference"/>
          <w:rFonts w:eastAsiaTheme="majorEastAsia" w:cs="Times New Roman"/>
          <w:b w:val="0"/>
          <w:bCs/>
          <w:szCs w:val="24"/>
          <w:lang w:val="es-ES"/>
        </w:rPr>
        <w:endnoteReference w:id="78"/>
      </w:r>
      <w:r w:rsidR="000C53B3">
        <w:rPr>
          <w:rFonts w:ascii="Times New Roman" w:eastAsiaTheme="majorEastAsia" w:hAnsi="Times New Roman" w:cs="Times New Roman"/>
          <w:sz w:val="24"/>
          <w:szCs w:val="24"/>
          <w:lang w:val="es-ES"/>
        </w:rPr>
        <w:t>.</w:t>
      </w:r>
    </w:p>
    <w:p w14:paraId="2BEF9097" w14:textId="15A8BECA" w:rsidR="007F083B" w:rsidRPr="003C2E6A" w:rsidRDefault="00B40A4B" w:rsidP="008F47F3">
      <w:pPr>
        <w:pStyle w:val="TextoCarta"/>
        <w:spacing w:line="276" w:lineRule="auto"/>
        <w:ind w:left="-76" w:firstLine="0"/>
        <w:rPr>
          <w:rFonts w:ascii="Times New Roman" w:eastAsiaTheme="majorEastAsia" w:hAnsi="Times New Roman" w:cs="Times New Roman"/>
          <w:b/>
          <w:bCs/>
          <w:sz w:val="24"/>
          <w:szCs w:val="24"/>
          <w:lang w:val="es-ES"/>
        </w:rPr>
      </w:pPr>
      <w:r w:rsidRPr="003C2E6A">
        <w:rPr>
          <w:rFonts w:ascii="Times New Roman" w:eastAsiaTheme="majorEastAsia" w:hAnsi="Times New Roman" w:cs="Times New Roman"/>
          <w:b/>
          <w:bCs/>
          <w:sz w:val="24"/>
          <w:szCs w:val="24"/>
          <w:lang w:val="es-ES"/>
        </w:rPr>
        <w:t>No obstante, hasta la fecha, Guatemala no ha tomado medidas para implementar estas recomendaciones o ampliar sus políticas de acceso a la información científica y veraz en materia de derechos reproductivos, como se evidencia en este documento, el seguimiento de la evolución de los problemas identificados.</w:t>
      </w:r>
    </w:p>
    <w:p w14:paraId="028FB9E4" w14:textId="77777777" w:rsidR="007F083B" w:rsidRPr="007F083B" w:rsidRDefault="007F083B" w:rsidP="008F47F3">
      <w:pPr>
        <w:spacing w:after="0" w:line="276" w:lineRule="auto"/>
        <w:rPr>
          <w:rFonts w:ascii="Times New Roman" w:eastAsia="Times New Roman" w:hAnsi="Times New Roman" w:cs="Times New Roman"/>
          <w:b/>
          <w:bCs/>
          <w:sz w:val="24"/>
          <w:szCs w:val="24"/>
          <w:lang w:val="es-ES"/>
        </w:rPr>
      </w:pPr>
    </w:p>
    <w:p w14:paraId="7D1BB59C" w14:textId="10B8C1DA" w:rsidR="009F53FE" w:rsidRPr="00A60861" w:rsidRDefault="009F53FE" w:rsidP="008F47F3">
      <w:pPr>
        <w:pStyle w:val="ListParagraph"/>
        <w:numPr>
          <w:ilvl w:val="0"/>
          <w:numId w:val="7"/>
        </w:numPr>
        <w:spacing w:after="0" w:line="276" w:lineRule="auto"/>
        <w:rPr>
          <w:rFonts w:ascii="Times New Roman" w:eastAsia="Times New Roman" w:hAnsi="Times New Roman" w:cs="Times New Roman"/>
          <w:b/>
          <w:bCs/>
          <w:sz w:val="24"/>
          <w:szCs w:val="24"/>
          <w:lang w:val="es-ES"/>
        </w:rPr>
      </w:pPr>
      <w:r w:rsidRPr="00A60861">
        <w:rPr>
          <w:rFonts w:ascii="Times New Roman" w:eastAsia="Times New Roman" w:hAnsi="Times New Roman" w:cs="Times New Roman"/>
          <w:b/>
          <w:bCs/>
          <w:sz w:val="24"/>
          <w:szCs w:val="24"/>
          <w:lang w:val="es-ES"/>
        </w:rPr>
        <w:t>Recomendaciones sugeridas</w:t>
      </w:r>
    </w:p>
    <w:p w14:paraId="78B94A3A" w14:textId="77777777" w:rsidR="003A4F0D" w:rsidRPr="00A60861" w:rsidRDefault="003A4F0D" w:rsidP="008F47F3">
      <w:pPr>
        <w:spacing w:after="0" w:line="276" w:lineRule="auto"/>
        <w:rPr>
          <w:rFonts w:ascii="Times New Roman" w:eastAsia="Times New Roman" w:hAnsi="Times New Roman" w:cs="Times New Roman"/>
          <w:sz w:val="24"/>
          <w:szCs w:val="24"/>
          <w:lang w:val="es-ES"/>
        </w:rPr>
      </w:pPr>
    </w:p>
    <w:p w14:paraId="72BF8312" w14:textId="2F5C6DBC" w:rsidR="009C7872" w:rsidRPr="009C7872" w:rsidRDefault="009C7872" w:rsidP="008F47F3">
      <w:pPr>
        <w:pStyle w:val="BodyText"/>
        <w:numPr>
          <w:ilvl w:val="0"/>
          <w:numId w:val="18"/>
        </w:numPr>
        <w:snapToGrid w:val="0"/>
        <w:spacing w:line="276" w:lineRule="auto"/>
        <w:jc w:val="both"/>
        <w:rPr>
          <w:rFonts w:ascii="Times New Roman" w:hAnsi="Times New Roman" w:cs="Times New Roman"/>
          <w:sz w:val="24"/>
          <w:szCs w:val="24"/>
        </w:rPr>
      </w:pPr>
      <w:r w:rsidRPr="009C7872">
        <w:rPr>
          <w:rFonts w:ascii="Times New Roman" w:hAnsi="Times New Roman" w:cs="Times New Roman"/>
          <w:sz w:val="24"/>
          <w:szCs w:val="24"/>
        </w:rPr>
        <w:t>Garanti</w:t>
      </w:r>
      <w:r w:rsidR="00BC66C4">
        <w:rPr>
          <w:rFonts w:ascii="Times New Roman" w:hAnsi="Times New Roman" w:cs="Times New Roman"/>
          <w:sz w:val="24"/>
          <w:szCs w:val="24"/>
        </w:rPr>
        <w:t>zar</w:t>
      </w:r>
      <w:r w:rsidRPr="009C7872">
        <w:rPr>
          <w:rFonts w:ascii="Times New Roman" w:hAnsi="Times New Roman" w:cs="Times New Roman"/>
          <w:sz w:val="24"/>
          <w:szCs w:val="24"/>
        </w:rPr>
        <w:t xml:space="preserve"> el acceso al aborto sin restricciones</w:t>
      </w:r>
      <w:r w:rsidR="00CD66B0">
        <w:rPr>
          <w:rFonts w:ascii="Times New Roman" w:hAnsi="Times New Roman" w:cs="Times New Roman"/>
          <w:sz w:val="24"/>
          <w:szCs w:val="24"/>
        </w:rPr>
        <w:t>,</w:t>
      </w:r>
      <w:r w:rsidRPr="009C7872">
        <w:rPr>
          <w:rFonts w:ascii="Times New Roman" w:hAnsi="Times New Roman" w:cs="Times New Roman"/>
          <w:sz w:val="24"/>
          <w:szCs w:val="24"/>
        </w:rPr>
        <w:t xml:space="preserve"> en consonancia con las Directrices de la OMS para la Atención del Aborto (2022). </w:t>
      </w:r>
    </w:p>
    <w:p w14:paraId="6EE94875" w14:textId="7A69D02F" w:rsidR="0053512E" w:rsidRDefault="009C7872" w:rsidP="008F47F3">
      <w:pPr>
        <w:pStyle w:val="BodyText"/>
        <w:numPr>
          <w:ilvl w:val="0"/>
          <w:numId w:val="18"/>
        </w:numPr>
        <w:snapToGrid w:val="0"/>
        <w:spacing w:line="276" w:lineRule="auto"/>
        <w:jc w:val="both"/>
        <w:rPr>
          <w:rFonts w:ascii="Times New Roman" w:hAnsi="Times New Roman" w:cs="Times New Roman"/>
          <w:sz w:val="24"/>
          <w:szCs w:val="24"/>
        </w:rPr>
      </w:pPr>
      <w:r w:rsidRPr="0053512E">
        <w:rPr>
          <w:rFonts w:ascii="Times New Roman" w:hAnsi="Times New Roman" w:cs="Times New Roman"/>
          <w:sz w:val="24"/>
          <w:szCs w:val="24"/>
        </w:rPr>
        <w:t>Promover la eliminación de obstáculos en la prestación del servicio de aborto y garantizar su disponibilidad en condiciones de calidad, privacidad y dignidad para las niñas que lo requieran en su territorio.</w:t>
      </w:r>
    </w:p>
    <w:p w14:paraId="2EC04D25" w14:textId="77777777" w:rsidR="006C03BB" w:rsidRDefault="0053512E" w:rsidP="008F47F3">
      <w:pPr>
        <w:pStyle w:val="BodyText"/>
        <w:numPr>
          <w:ilvl w:val="0"/>
          <w:numId w:val="18"/>
        </w:numPr>
        <w:snapToGrid w:val="0"/>
        <w:spacing w:line="276" w:lineRule="auto"/>
        <w:jc w:val="both"/>
        <w:rPr>
          <w:rFonts w:ascii="Times New Roman" w:hAnsi="Times New Roman" w:cs="Times New Roman"/>
          <w:sz w:val="24"/>
          <w:szCs w:val="24"/>
        </w:rPr>
      </w:pPr>
      <w:r w:rsidRPr="0053512E">
        <w:rPr>
          <w:rFonts w:ascii="Times New Roman" w:eastAsiaTheme="minorEastAsia" w:hAnsi="Times New Roman" w:cs="Times New Roman"/>
          <w:sz w:val="24"/>
          <w:szCs w:val="24"/>
        </w:rPr>
        <w:t>Eliminar el aborto de todas las leyes penales/delictivas, no aplicar otros delitos punibles (por ejemplo, asesinato, homicidio) al aborto, y garantizar que no haya sanciones penales por abortar, ayudar a abortar, proporcionar información sobre el aborto o practicar un aborto, para todos los agentes participantes.</w:t>
      </w:r>
      <w:r w:rsidR="007B33C9" w:rsidRPr="0053512E">
        <w:rPr>
          <w:rFonts w:ascii="Times New Roman" w:hAnsi="Times New Roman" w:cs="Times New Roman"/>
          <w:sz w:val="24"/>
          <w:szCs w:val="24"/>
        </w:rPr>
        <w:t xml:space="preserve">             </w:t>
      </w:r>
    </w:p>
    <w:p w14:paraId="4C2E1F28" w14:textId="1162C84E" w:rsidR="0053512E" w:rsidRPr="006C03BB" w:rsidRDefault="006C03BB" w:rsidP="008F47F3">
      <w:pPr>
        <w:pStyle w:val="BodyText"/>
        <w:numPr>
          <w:ilvl w:val="0"/>
          <w:numId w:val="18"/>
        </w:numPr>
        <w:snapToGrid w:val="0"/>
        <w:spacing w:line="276" w:lineRule="auto"/>
        <w:jc w:val="both"/>
        <w:rPr>
          <w:rFonts w:ascii="Times New Roman" w:hAnsi="Times New Roman" w:cs="Times New Roman"/>
          <w:sz w:val="24"/>
          <w:szCs w:val="24"/>
        </w:rPr>
      </w:pPr>
      <w:r w:rsidRPr="00D37923">
        <w:rPr>
          <w:rFonts w:ascii="Times New Roman" w:hAnsi="Times New Roman" w:cs="Times New Roman"/>
          <w:spacing w:val="1"/>
          <w:sz w:val="24"/>
          <w:szCs w:val="24"/>
        </w:rPr>
        <w:t xml:space="preserve">Regular el acceso al servicio médico de aborto fuera del derecho penal, a través de la normativa de salud y sus respectivas instituciones, en compatibilidad con las más recientes guías de la OMS y previendo su aplicación especifica a las niñas. </w:t>
      </w:r>
      <w:r w:rsidR="007B33C9" w:rsidRPr="006C03BB">
        <w:rPr>
          <w:rFonts w:ascii="Times New Roman" w:hAnsi="Times New Roman" w:cs="Times New Roman"/>
          <w:sz w:val="24"/>
          <w:szCs w:val="24"/>
        </w:rPr>
        <w:t xml:space="preserve">                                                                                                                                                                                                                                                                                                                                                                                                                                                                                                                                                                                                                                                                                                                                                                                                                                                                                                                                                                                                                                                                                                                                                                                                                                                                                                                                                                                                                                                                                                                                                                                                                                                                                                                                                                                                                                                                                                                                                                                                                                                                                                                                                                                                                                                                                                                                                                                                                                                                                                                                                                                                                                                                                                                                                                                                                                                                                                                                                                                                                                                                                                                                                                                                                                                                                                                                                                                                                                                                                                                                                                                                                                                                                                                                                                                                                                                                                                                                            </w:t>
      </w:r>
    </w:p>
    <w:p w14:paraId="3FF9C129" w14:textId="57D988BE" w:rsidR="00D37923" w:rsidRDefault="28F47027" w:rsidP="008F47F3">
      <w:pPr>
        <w:pStyle w:val="BodyText"/>
        <w:numPr>
          <w:ilvl w:val="0"/>
          <w:numId w:val="18"/>
        </w:numPr>
        <w:snapToGrid w:val="0"/>
        <w:spacing w:line="276" w:lineRule="auto"/>
        <w:jc w:val="both"/>
        <w:rPr>
          <w:rStyle w:val="cf01"/>
          <w:rFonts w:ascii="Times New Roman" w:hAnsi="Times New Roman" w:cs="Times New Roman"/>
          <w:sz w:val="24"/>
          <w:szCs w:val="24"/>
        </w:rPr>
      </w:pPr>
      <w:r w:rsidRPr="0053512E">
        <w:rPr>
          <w:rStyle w:val="cf01"/>
          <w:rFonts w:ascii="Times New Roman" w:hAnsi="Times New Roman" w:cs="Times New Roman"/>
          <w:sz w:val="24"/>
          <w:szCs w:val="24"/>
        </w:rPr>
        <w:t>Garantizar el acceso al aborto</w:t>
      </w:r>
      <w:r w:rsidR="0BD3DC92" w:rsidRPr="0053512E">
        <w:rPr>
          <w:rStyle w:val="cf01"/>
          <w:rFonts w:ascii="Times New Roman" w:hAnsi="Times New Roman" w:cs="Times New Roman"/>
          <w:sz w:val="24"/>
          <w:szCs w:val="24"/>
        </w:rPr>
        <w:t xml:space="preserve"> y</w:t>
      </w:r>
      <w:r w:rsidR="0BD3DC92" w:rsidRPr="0053512E">
        <w:rPr>
          <w:rStyle w:val="cf01"/>
          <w:rFonts w:ascii="Times New Roman" w:eastAsiaTheme="minorEastAsia" w:hAnsi="Times New Roman" w:cs="Times New Roman"/>
          <w:sz w:val="24"/>
          <w:szCs w:val="24"/>
        </w:rPr>
        <w:t xml:space="preserve"> atención </w:t>
      </w:r>
      <w:r w:rsidR="002543ED" w:rsidRPr="0053512E">
        <w:rPr>
          <w:rStyle w:val="cf01"/>
          <w:rFonts w:ascii="Times New Roman" w:eastAsiaTheme="minorEastAsia" w:hAnsi="Times New Roman" w:cs="Times New Roman"/>
          <w:sz w:val="24"/>
          <w:szCs w:val="24"/>
        </w:rPr>
        <w:t>postaborto</w:t>
      </w:r>
      <w:r w:rsidR="0BD3DC92" w:rsidRPr="0053512E">
        <w:rPr>
          <w:rStyle w:val="cf01"/>
          <w:rFonts w:ascii="Times New Roman" w:eastAsiaTheme="minorEastAsia" w:hAnsi="Times New Roman" w:cs="Times New Roman"/>
          <w:sz w:val="24"/>
          <w:szCs w:val="24"/>
        </w:rPr>
        <w:t xml:space="preserve"> para las niñas embarazadas, </w:t>
      </w:r>
      <w:r w:rsidR="0BD3DC92" w:rsidRPr="0053512E">
        <w:rPr>
          <w:rStyle w:val="cf01"/>
          <w:rFonts w:ascii="Times New Roman" w:eastAsiaTheme="minorEastAsia" w:hAnsi="Times New Roman" w:cs="Times New Roman"/>
          <w:sz w:val="24"/>
          <w:szCs w:val="24"/>
        </w:rPr>
        <w:lastRenderedPageBreak/>
        <w:t xml:space="preserve">particularmente en casos de riesgo para la vida y la salud de la </w:t>
      </w:r>
      <w:r w:rsidR="002B6BC4">
        <w:rPr>
          <w:rStyle w:val="cf01"/>
          <w:rFonts w:ascii="Times New Roman" w:eastAsiaTheme="minorEastAsia" w:hAnsi="Times New Roman" w:cs="Times New Roman"/>
          <w:sz w:val="24"/>
          <w:szCs w:val="24"/>
        </w:rPr>
        <w:t>gestante</w:t>
      </w:r>
      <w:r w:rsidR="0BD3DC92" w:rsidRPr="0053512E">
        <w:rPr>
          <w:rStyle w:val="cf01"/>
          <w:rFonts w:ascii="Times New Roman" w:eastAsiaTheme="minorEastAsia" w:hAnsi="Times New Roman" w:cs="Times New Roman"/>
          <w:sz w:val="24"/>
          <w:szCs w:val="24"/>
        </w:rPr>
        <w:t>, violación o incesto.</w:t>
      </w:r>
    </w:p>
    <w:p w14:paraId="45208956" w14:textId="5F28412C" w:rsidR="00D37923" w:rsidRPr="000D0FC4" w:rsidRDefault="009D44A4" w:rsidP="008F47F3">
      <w:pPr>
        <w:pStyle w:val="BodyText"/>
        <w:numPr>
          <w:ilvl w:val="0"/>
          <w:numId w:val="18"/>
        </w:numPr>
        <w:snapToGrid w:val="0"/>
        <w:spacing w:line="276" w:lineRule="auto"/>
        <w:jc w:val="both"/>
        <w:rPr>
          <w:rFonts w:ascii="Times New Roman" w:hAnsi="Times New Roman" w:cs="Times New Roman"/>
          <w:sz w:val="24"/>
          <w:szCs w:val="24"/>
        </w:rPr>
      </w:pPr>
      <w:r w:rsidRPr="00D37923">
        <w:rPr>
          <w:rFonts w:ascii="Times New Roman" w:eastAsia="Times New Roman" w:hAnsi="Times New Roman" w:cs="Times New Roman"/>
          <w:sz w:val="24"/>
          <w:szCs w:val="24"/>
        </w:rPr>
        <w:t xml:space="preserve">Adoptar una política pública de educación sexual integral </w:t>
      </w:r>
      <w:r w:rsidR="002B6BC4">
        <w:rPr>
          <w:rFonts w:ascii="Times New Roman" w:eastAsia="Times New Roman" w:hAnsi="Times New Roman" w:cs="Times New Roman"/>
          <w:sz w:val="24"/>
          <w:szCs w:val="24"/>
        </w:rPr>
        <w:t xml:space="preserve">(ESI) </w:t>
      </w:r>
      <w:r w:rsidRPr="00D37923">
        <w:rPr>
          <w:rFonts w:ascii="Times New Roman" w:eastAsia="Times New Roman" w:hAnsi="Times New Roman" w:cs="Times New Roman"/>
          <w:sz w:val="24"/>
          <w:szCs w:val="24"/>
        </w:rPr>
        <w:t>de conformidad con los más altos estándares internacionales en la materia.</w:t>
      </w:r>
    </w:p>
    <w:p w14:paraId="4FFD7D98" w14:textId="77777777" w:rsidR="002B6BC4" w:rsidRPr="00133707" w:rsidRDefault="000D0FC4" w:rsidP="008F47F3">
      <w:pPr>
        <w:pStyle w:val="BodyText"/>
        <w:numPr>
          <w:ilvl w:val="0"/>
          <w:numId w:val="18"/>
        </w:numPr>
        <w:snapToGrid w:val="0"/>
        <w:spacing w:line="276" w:lineRule="auto"/>
        <w:jc w:val="both"/>
        <w:rPr>
          <w:rFonts w:ascii="Times New Roman" w:hAnsi="Times New Roman" w:cs="Times New Roman"/>
          <w:sz w:val="24"/>
          <w:szCs w:val="24"/>
        </w:rPr>
      </w:pPr>
      <w:r w:rsidRPr="00D37923">
        <w:rPr>
          <w:rFonts w:ascii="Times New Roman" w:eastAsia="Times New Roman" w:hAnsi="Times New Roman" w:cs="Times New Roman"/>
          <w:sz w:val="24"/>
          <w:szCs w:val="24"/>
        </w:rPr>
        <w:t xml:space="preserve">Tomar medidas de carácter inmediato para prevenir embarazos forzados, sobre todo en niñas víctimas de violencia sexual, mediante la difusión de información </w:t>
      </w:r>
      <w:r w:rsidR="002B6BC4">
        <w:rPr>
          <w:rFonts w:ascii="Times New Roman" w:eastAsia="Times New Roman" w:hAnsi="Times New Roman" w:cs="Times New Roman"/>
          <w:sz w:val="24"/>
          <w:szCs w:val="24"/>
        </w:rPr>
        <w:t xml:space="preserve">imparcial, </w:t>
      </w:r>
      <w:r w:rsidRPr="00D37923">
        <w:rPr>
          <w:rFonts w:ascii="Times New Roman" w:eastAsia="Times New Roman" w:hAnsi="Times New Roman" w:cs="Times New Roman"/>
          <w:sz w:val="24"/>
          <w:szCs w:val="24"/>
        </w:rPr>
        <w:t>científica y de calidad sobre la identificación de violencia sexual y sus rutas de atención.</w:t>
      </w:r>
    </w:p>
    <w:p w14:paraId="4D7EE846" w14:textId="27CCB3BC" w:rsidR="000D0FC4" w:rsidRPr="00152926" w:rsidRDefault="002B6BC4" w:rsidP="008F47F3">
      <w:pPr>
        <w:pStyle w:val="BodyText"/>
        <w:numPr>
          <w:ilvl w:val="0"/>
          <w:numId w:val="18"/>
        </w:numPr>
        <w:snapToGrid w:val="0"/>
        <w:spacing w:line="276" w:lineRule="auto"/>
        <w:jc w:val="both"/>
        <w:rPr>
          <w:rFonts w:ascii="Times New Roman" w:hAnsi="Times New Roman" w:cs="Times New Roman"/>
          <w:sz w:val="24"/>
          <w:szCs w:val="24"/>
        </w:rPr>
      </w:pPr>
      <w:r>
        <w:rPr>
          <w:rFonts w:ascii="Times New Roman" w:eastAsia="Times New Roman" w:hAnsi="Times New Roman" w:cs="Times New Roman"/>
          <w:sz w:val="24"/>
          <w:szCs w:val="24"/>
        </w:rPr>
        <w:t>G</w:t>
      </w:r>
      <w:r w:rsidR="000D0FC4" w:rsidRPr="00D37923">
        <w:rPr>
          <w:rFonts w:ascii="Times New Roman" w:eastAsia="Times New Roman" w:hAnsi="Times New Roman" w:cs="Times New Roman"/>
          <w:sz w:val="24"/>
          <w:szCs w:val="24"/>
        </w:rPr>
        <w:t>arantizar el acceso e información sobre el aborto como servicio de salud.</w:t>
      </w:r>
    </w:p>
    <w:p w14:paraId="2C879628" w14:textId="794D289D" w:rsidR="000D0FC4" w:rsidRPr="000D0FC4" w:rsidRDefault="000D0FC4" w:rsidP="008F47F3">
      <w:pPr>
        <w:pStyle w:val="BodyText"/>
        <w:numPr>
          <w:ilvl w:val="0"/>
          <w:numId w:val="18"/>
        </w:numPr>
        <w:snapToGrid w:val="0"/>
        <w:spacing w:line="276" w:lineRule="auto"/>
        <w:jc w:val="both"/>
        <w:rPr>
          <w:rFonts w:ascii="Times New Roman" w:hAnsi="Times New Roman" w:cs="Times New Roman"/>
          <w:sz w:val="24"/>
          <w:szCs w:val="24"/>
        </w:rPr>
      </w:pPr>
      <w:r w:rsidRPr="00152926">
        <w:rPr>
          <w:rFonts w:ascii="Times New Roman" w:hAnsi="Times New Roman" w:cs="Times New Roman"/>
          <w:sz w:val="24"/>
          <w:szCs w:val="24"/>
        </w:rPr>
        <w:t>Tom</w:t>
      </w:r>
      <w:r w:rsidR="00BC66C4">
        <w:rPr>
          <w:rFonts w:ascii="Times New Roman" w:hAnsi="Times New Roman" w:cs="Times New Roman"/>
          <w:sz w:val="24"/>
          <w:szCs w:val="24"/>
        </w:rPr>
        <w:t>ar</w:t>
      </w:r>
      <w:r w:rsidRPr="00152926">
        <w:rPr>
          <w:rFonts w:ascii="Times New Roman" w:hAnsi="Times New Roman" w:cs="Times New Roman"/>
          <w:sz w:val="24"/>
          <w:szCs w:val="24"/>
        </w:rPr>
        <w:t xml:space="preserve"> las medidas necesarias para garantizar el acceso a la justicia y reparación integral para las sobrevivientes de violencia sexual</w:t>
      </w:r>
      <w:r w:rsidR="006F0139">
        <w:rPr>
          <w:rFonts w:ascii="Times New Roman" w:hAnsi="Times New Roman" w:cs="Times New Roman"/>
          <w:sz w:val="24"/>
          <w:szCs w:val="24"/>
        </w:rPr>
        <w:t>, en especial a niñas y adolescentes,</w:t>
      </w:r>
      <w:r w:rsidRPr="00152926">
        <w:rPr>
          <w:rFonts w:ascii="Times New Roman" w:hAnsi="Times New Roman" w:cs="Times New Roman"/>
          <w:sz w:val="24"/>
          <w:szCs w:val="24"/>
        </w:rPr>
        <w:t xml:space="preserve"> y tomar las medidas necesarias de no repetición necesarias para evitar futuras violaciones.</w:t>
      </w:r>
    </w:p>
    <w:p w14:paraId="1311E1BC" w14:textId="0EEF7BA2" w:rsidR="00152926" w:rsidRPr="0044151E" w:rsidRDefault="009F53FE" w:rsidP="008F47F3">
      <w:pPr>
        <w:pStyle w:val="BodyText"/>
        <w:numPr>
          <w:ilvl w:val="0"/>
          <w:numId w:val="18"/>
        </w:numPr>
        <w:snapToGrid w:val="0"/>
        <w:spacing w:line="276" w:lineRule="auto"/>
        <w:jc w:val="both"/>
        <w:rPr>
          <w:rFonts w:ascii="Times New Roman" w:hAnsi="Times New Roman" w:cs="Times New Roman"/>
          <w:sz w:val="24"/>
          <w:szCs w:val="24"/>
        </w:rPr>
      </w:pPr>
      <w:r w:rsidRPr="00D37923">
        <w:rPr>
          <w:rFonts w:ascii="Times New Roman" w:eastAsia="Times New Roman" w:hAnsi="Times New Roman" w:cs="Times New Roman"/>
          <w:sz w:val="24"/>
          <w:szCs w:val="24"/>
        </w:rPr>
        <w:t xml:space="preserve">Incluir dentro del protocolo de atención a víctimas de violencia sexual el acceso legal a </w:t>
      </w:r>
      <w:r w:rsidR="007013F5">
        <w:rPr>
          <w:rFonts w:ascii="Times New Roman" w:eastAsia="Times New Roman" w:hAnsi="Times New Roman" w:cs="Times New Roman"/>
          <w:sz w:val="24"/>
          <w:szCs w:val="24"/>
        </w:rPr>
        <w:t xml:space="preserve">servicios médicos de </w:t>
      </w:r>
      <w:r w:rsidRPr="00D37923">
        <w:rPr>
          <w:rFonts w:ascii="Times New Roman" w:eastAsia="Times New Roman" w:hAnsi="Times New Roman" w:cs="Times New Roman"/>
          <w:sz w:val="24"/>
          <w:szCs w:val="24"/>
        </w:rPr>
        <w:t xml:space="preserve">interrupción del embarazo. </w:t>
      </w:r>
    </w:p>
    <w:p w14:paraId="60794DC6" w14:textId="77777777" w:rsidR="006C051B" w:rsidRPr="00A60861" w:rsidRDefault="006C051B" w:rsidP="008F47F3">
      <w:pPr>
        <w:pStyle w:val="Recomendaciones"/>
        <w:numPr>
          <w:ilvl w:val="0"/>
          <w:numId w:val="0"/>
        </w:numPr>
        <w:spacing w:after="0" w:line="276" w:lineRule="auto"/>
        <w:rPr>
          <w:rFonts w:ascii="Times New Roman" w:eastAsia="Times New Roman" w:hAnsi="Times New Roman" w:cs="Times New Roman"/>
          <w:sz w:val="24"/>
          <w:szCs w:val="24"/>
        </w:rPr>
      </w:pPr>
    </w:p>
    <w:p w14:paraId="17A09204" w14:textId="0CA425AB" w:rsidR="006C051B" w:rsidRPr="00A60861" w:rsidRDefault="006C051B" w:rsidP="008F47F3">
      <w:pPr>
        <w:pStyle w:val="Recomendaciones"/>
        <w:numPr>
          <w:ilvl w:val="0"/>
          <w:numId w:val="0"/>
        </w:numPr>
        <w:spacing w:after="0" w:line="276" w:lineRule="auto"/>
        <w:rPr>
          <w:rFonts w:ascii="Times New Roman" w:eastAsia="Times New Roman" w:hAnsi="Times New Roman" w:cs="Times New Roman"/>
          <w:sz w:val="24"/>
          <w:szCs w:val="24"/>
        </w:rPr>
      </w:pPr>
      <w:r w:rsidRPr="00A60861">
        <w:rPr>
          <w:rFonts w:ascii="Times New Roman" w:eastAsia="Times New Roman" w:hAnsi="Times New Roman" w:cs="Times New Roman"/>
          <w:sz w:val="24"/>
          <w:szCs w:val="24"/>
        </w:rPr>
        <w:t>Agradecemos el compromiso que tiene este Comité con los derechos reproductivos y con el acceso a los servicios de salud reproductiva de las niñas en Guatemala. Estamos a entera disposición del Comité en caso de preguntas o si desean información adicional.</w:t>
      </w:r>
    </w:p>
    <w:p w14:paraId="060E6C36" w14:textId="77777777" w:rsidR="006C051B" w:rsidRPr="00A60861" w:rsidRDefault="006C051B" w:rsidP="008F47F3">
      <w:pPr>
        <w:pStyle w:val="Recomendaciones"/>
        <w:numPr>
          <w:ilvl w:val="0"/>
          <w:numId w:val="0"/>
        </w:numPr>
        <w:spacing w:after="0" w:line="276" w:lineRule="auto"/>
        <w:rPr>
          <w:rFonts w:ascii="Times New Roman" w:eastAsia="Times New Roman" w:hAnsi="Times New Roman" w:cs="Times New Roman"/>
          <w:sz w:val="24"/>
          <w:szCs w:val="24"/>
        </w:rPr>
      </w:pPr>
    </w:p>
    <w:p w14:paraId="725A1567" w14:textId="77777777" w:rsidR="006C051B" w:rsidRPr="00A60861" w:rsidRDefault="006C051B" w:rsidP="008F47F3">
      <w:pPr>
        <w:pStyle w:val="Recomendaciones"/>
        <w:numPr>
          <w:ilvl w:val="0"/>
          <w:numId w:val="0"/>
        </w:numPr>
        <w:spacing w:after="0" w:line="276" w:lineRule="auto"/>
        <w:rPr>
          <w:rFonts w:ascii="Times New Roman" w:eastAsia="Times New Roman" w:hAnsi="Times New Roman" w:cs="Times New Roman"/>
          <w:sz w:val="24"/>
          <w:szCs w:val="24"/>
        </w:rPr>
      </w:pPr>
      <w:r w:rsidRPr="00A60861">
        <w:rPr>
          <w:rFonts w:ascii="Times New Roman" w:eastAsia="Times New Roman" w:hAnsi="Times New Roman" w:cs="Times New Roman"/>
          <w:sz w:val="24"/>
          <w:szCs w:val="24"/>
        </w:rPr>
        <w:t xml:space="preserve">Respetuosamente, </w:t>
      </w:r>
    </w:p>
    <w:p w14:paraId="04F3FCB1" w14:textId="77777777" w:rsidR="006C051B" w:rsidRPr="00A60861" w:rsidRDefault="006C051B" w:rsidP="008F47F3">
      <w:pPr>
        <w:pStyle w:val="Recomendaciones"/>
        <w:numPr>
          <w:ilvl w:val="0"/>
          <w:numId w:val="0"/>
        </w:numPr>
        <w:spacing w:after="0" w:line="276" w:lineRule="auto"/>
        <w:rPr>
          <w:rFonts w:ascii="Times New Roman" w:eastAsia="Times New Roman" w:hAnsi="Times New Roman" w:cs="Times New Roman"/>
          <w:sz w:val="24"/>
          <w:szCs w:val="24"/>
        </w:rPr>
      </w:pPr>
    </w:p>
    <w:p w14:paraId="594C42A2" w14:textId="57A08BCB" w:rsidR="00A6037E" w:rsidRDefault="006C051B" w:rsidP="008F47F3">
      <w:pPr>
        <w:pStyle w:val="Recomendaciones"/>
        <w:numPr>
          <w:ilvl w:val="0"/>
          <w:numId w:val="0"/>
        </w:numPr>
        <w:spacing w:after="0" w:line="276" w:lineRule="auto"/>
        <w:rPr>
          <w:rFonts w:ascii="Times New Roman" w:eastAsia="Times New Roman" w:hAnsi="Times New Roman" w:cs="Times New Roman"/>
          <w:b/>
          <w:bCs/>
          <w:sz w:val="24"/>
          <w:szCs w:val="24"/>
        </w:rPr>
      </w:pPr>
      <w:r w:rsidRPr="00A60861">
        <w:rPr>
          <w:rFonts w:ascii="Times New Roman" w:eastAsia="Times New Roman" w:hAnsi="Times New Roman" w:cs="Times New Roman"/>
          <w:b/>
          <w:bCs/>
          <w:sz w:val="24"/>
          <w:szCs w:val="24"/>
        </w:rPr>
        <w:t>Centro de Derechos Reproductivos</w:t>
      </w:r>
    </w:p>
    <w:p w14:paraId="72129A24" w14:textId="0052A7FD" w:rsidR="001D1BDB" w:rsidRDefault="001D1BDB" w:rsidP="008F47F3">
      <w:pPr>
        <w:pStyle w:val="Recomendaciones"/>
        <w:numPr>
          <w:ilvl w:val="0"/>
          <w:numId w:val="0"/>
        </w:numPr>
        <w:spacing w:after="0" w:line="276"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Mujeres Transformando el Mundo</w:t>
      </w:r>
    </w:p>
    <w:p w14:paraId="5DED6643" w14:textId="07AF16CE" w:rsidR="006F2779" w:rsidRPr="00A60861" w:rsidRDefault="006F2779" w:rsidP="008F47F3">
      <w:pPr>
        <w:pStyle w:val="Recomendaciones"/>
        <w:numPr>
          <w:ilvl w:val="0"/>
          <w:numId w:val="0"/>
        </w:numPr>
        <w:spacing w:after="0" w:line="276" w:lineRule="auto"/>
        <w:rPr>
          <w:rFonts w:ascii="Times New Roman" w:eastAsia="Times New Roman" w:hAnsi="Times New Roman" w:cs="Times New Roman"/>
          <w:b/>
          <w:bCs/>
          <w:sz w:val="24"/>
          <w:szCs w:val="24"/>
        </w:rPr>
      </w:pPr>
    </w:p>
    <w:sectPr w:rsidR="006F2779" w:rsidRPr="00A60861">
      <w:headerReference w:type="default" r:id="rId11"/>
      <w:footerReference w:type="default" r:id="rId12"/>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E53E5" w14:textId="77777777" w:rsidR="004178AF" w:rsidRDefault="004178AF" w:rsidP="00F22AFF">
      <w:pPr>
        <w:spacing w:after="0" w:line="240" w:lineRule="auto"/>
      </w:pPr>
      <w:r>
        <w:separator/>
      </w:r>
    </w:p>
  </w:endnote>
  <w:endnote w:type="continuationSeparator" w:id="0">
    <w:p w14:paraId="2692C41F" w14:textId="77777777" w:rsidR="004178AF" w:rsidRDefault="004178AF" w:rsidP="00F22AFF">
      <w:pPr>
        <w:spacing w:after="0" w:line="240" w:lineRule="auto"/>
      </w:pPr>
      <w:r>
        <w:continuationSeparator/>
      </w:r>
    </w:p>
  </w:endnote>
  <w:endnote w:type="continuationNotice" w:id="1">
    <w:p w14:paraId="661C61CF" w14:textId="77777777" w:rsidR="004178AF" w:rsidRDefault="004178AF">
      <w:pPr>
        <w:spacing w:after="0" w:line="240" w:lineRule="auto"/>
      </w:pPr>
    </w:p>
  </w:endnote>
  <w:endnote w:id="2">
    <w:p w14:paraId="73DBF48F" w14:textId="7744895F" w:rsidR="00E15AC7" w:rsidRPr="00DC2F4A" w:rsidRDefault="00E15AC7" w:rsidP="00DC2F4A">
      <w:pPr>
        <w:pStyle w:val="EndnoteText"/>
        <w:jc w:val="both"/>
        <w:rPr>
          <w:rFonts w:ascii="Times New Roman" w:hAnsi="Times New Roman"/>
        </w:rPr>
      </w:pPr>
      <w:r w:rsidRPr="00DC2F4A">
        <w:rPr>
          <w:rStyle w:val="EndnoteReference"/>
          <w:b w:val="0"/>
          <w:sz w:val="20"/>
        </w:rPr>
        <w:endnoteRef/>
      </w:r>
      <w:r w:rsidRPr="00DC2F4A">
        <w:rPr>
          <w:rFonts w:ascii="Times New Roman" w:hAnsi="Times New Roman"/>
        </w:rPr>
        <w:t xml:space="preserve"> En esta ocasión nos dirigimos desde el programa para América Latina y el Caribe</w:t>
      </w:r>
      <w:r w:rsidR="00956862" w:rsidRPr="00DC2F4A">
        <w:rPr>
          <w:rFonts w:ascii="Times New Roman" w:hAnsi="Times New Roman"/>
        </w:rPr>
        <w:t xml:space="preserve"> del Centro de Derechos Reproductivos</w:t>
      </w:r>
      <w:r w:rsidRPr="00DC2F4A">
        <w:rPr>
          <w:rFonts w:ascii="Times New Roman" w:hAnsi="Times New Roman"/>
        </w:rPr>
        <w:t>.</w:t>
      </w:r>
    </w:p>
  </w:endnote>
  <w:endnote w:id="3">
    <w:p w14:paraId="2E9F92DC" w14:textId="77777777" w:rsidR="0093467E" w:rsidRPr="00DC2F4A" w:rsidRDefault="0093467E" w:rsidP="00DC2F4A">
      <w:pPr>
        <w:pStyle w:val="EndnoteText"/>
        <w:jc w:val="both"/>
        <w:rPr>
          <w:rFonts w:ascii="Times New Roman" w:hAnsi="Times New Roman"/>
          <w:b/>
        </w:rPr>
      </w:pPr>
      <w:r w:rsidRPr="00DC2F4A">
        <w:rPr>
          <w:rStyle w:val="EndnoteReference"/>
          <w:b w:val="0"/>
          <w:sz w:val="20"/>
        </w:rPr>
        <w:endnoteRef/>
      </w:r>
      <w:r w:rsidRPr="00DC2F4A">
        <w:rPr>
          <w:rFonts w:ascii="Times New Roman" w:hAnsi="Times New Roman"/>
          <w:b/>
        </w:rPr>
        <w:t xml:space="preserve"> </w:t>
      </w:r>
      <w:hyperlink r:id="rId1" w:history="1">
        <w:r w:rsidRPr="00DC2F4A">
          <w:rPr>
            <w:rStyle w:val="Hyperlink"/>
            <w:rFonts w:ascii="Times New Roman" w:hAnsi="Times New Roman"/>
          </w:rPr>
          <w:t>Código Penal de Guatemala</w:t>
        </w:r>
      </w:hyperlink>
      <w:r w:rsidRPr="00DC2F4A">
        <w:rPr>
          <w:rStyle w:val="Hyperlink"/>
          <w:rFonts w:ascii="Times New Roman" w:hAnsi="Times New Roman"/>
        </w:rPr>
        <w:t>.</w:t>
      </w:r>
      <w:r w:rsidRPr="00DC2F4A">
        <w:rPr>
          <w:rFonts w:ascii="Times New Roman" w:hAnsi="Times New Roman"/>
        </w:rPr>
        <w:t xml:space="preserve"> [C.P.G]. Decreto No. 17-71. Artículos 133-135. 14 de diciembre de 1992 (Guatemala). </w:t>
      </w:r>
    </w:p>
  </w:endnote>
  <w:endnote w:id="4">
    <w:p w14:paraId="3AD1CF53" w14:textId="77777777" w:rsidR="0093467E" w:rsidRPr="00DC2F4A" w:rsidRDefault="0093467E" w:rsidP="00DC2F4A">
      <w:pPr>
        <w:pStyle w:val="EndnoteText"/>
        <w:jc w:val="both"/>
        <w:rPr>
          <w:rFonts w:ascii="Times New Roman" w:hAnsi="Times New Roman"/>
          <w:i/>
        </w:rPr>
      </w:pPr>
      <w:r w:rsidRPr="00DC2F4A">
        <w:rPr>
          <w:rStyle w:val="EndnoteReference"/>
          <w:b w:val="0"/>
          <w:sz w:val="20"/>
        </w:rPr>
        <w:endnoteRef/>
      </w:r>
      <w:r w:rsidRPr="00DC2F4A">
        <w:rPr>
          <w:rFonts w:ascii="Times New Roman" w:hAnsi="Times New Roman"/>
        </w:rPr>
        <w:t xml:space="preserve"> Artículo 137 del </w:t>
      </w:r>
      <w:hyperlink r:id="rId2" w:history="1">
        <w:r w:rsidRPr="00DC2F4A">
          <w:rPr>
            <w:rStyle w:val="Hyperlink"/>
            <w:rFonts w:ascii="Times New Roman" w:hAnsi="Times New Roman"/>
          </w:rPr>
          <w:t>Código Penal de Guatemala</w:t>
        </w:r>
      </w:hyperlink>
      <w:r w:rsidRPr="00DC2F4A">
        <w:rPr>
          <w:rFonts w:ascii="Times New Roman" w:hAnsi="Times New Roman"/>
        </w:rPr>
        <w:t xml:space="preserve"> establece: "</w:t>
      </w:r>
      <w:r w:rsidRPr="00DC2F4A">
        <w:rPr>
          <w:rFonts w:ascii="Times New Roman" w:hAnsi="Times New Roman"/>
          <w:i/>
        </w:rPr>
        <w:t>No es punible el aborto practicado por un médico, con el consentimiento de la mujer, previo diagnóstico favorable de por lo menos otro médico; si se realizó sin la intención de procurar directamente la muerte del producto de la concepción y con el solo fin de evitar un peligro, debidamente establecido, para la vida de la madre, después de agotados todos los medios científicos y técnicos."</w:t>
      </w:r>
    </w:p>
  </w:endnote>
  <w:endnote w:id="5">
    <w:p w14:paraId="759E4286" w14:textId="77777777" w:rsidR="00460F21" w:rsidRPr="00DC2F4A" w:rsidRDefault="00460F21" w:rsidP="00DC2F4A">
      <w:pPr>
        <w:pStyle w:val="EndnoteText"/>
        <w:jc w:val="both"/>
        <w:rPr>
          <w:rFonts w:ascii="Times New Roman" w:hAnsi="Times New Roman"/>
          <w:lang w:val="es-ES"/>
        </w:rPr>
      </w:pPr>
      <w:r w:rsidRPr="00DC2F4A">
        <w:rPr>
          <w:rStyle w:val="EndnoteReference"/>
          <w:b w:val="0"/>
          <w:sz w:val="20"/>
        </w:rPr>
        <w:endnoteRef/>
      </w:r>
      <w:r w:rsidRPr="00DC2F4A">
        <w:rPr>
          <w:rFonts w:ascii="Times New Roman" w:hAnsi="Times New Roman"/>
        </w:rPr>
        <w:t xml:space="preserve"> Asamblea General </w:t>
      </w:r>
      <w:r w:rsidRPr="00DC2F4A">
        <w:rPr>
          <w:rFonts w:ascii="Times New Roman" w:hAnsi="Times New Roman"/>
          <w:lang w:val="es-ES"/>
        </w:rPr>
        <w:t>de Naciones Unidas</w:t>
      </w:r>
      <w:r w:rsidRPr="00DC2F4A">
        <w:rPr>
          <w:rFonts w:ascii="Times New Roman" w:hAnsi="Times New Roman"/>
        </w:rPr>
        <w:t xml:space="preserve">. </w:t>
      </w:r>
      <w:hyperlink r:id="rId3" w:history="1">
        <w:r w:rsidRPr="00DC2F4A">
          <w:rPr>
            <w:rStyle w:val="Hyperlink"/>
            <w:rFonts w:ascii="Times New Roman" w:hAnsi="Times New Roman"/>
            <w:i/>
          </w:rPr>
          <w:t>Informe del Grupo de Trabajo sobre la cuestión de la discriminación contra la mujer en la legislación y en la práctica</w:t>
        </w:r>
      </w:hyperlink>
      <w:r w:rsidRPr="00DC2F4A">
        <w:rPr>
          <w:rFonts w:ascii="Times New Roman" w:hAnsi="Times New Roman"/>
        </w:rPr>
        <w:t xml:space="preserve">, párr. 34. UN Doc. A/HRC/32/44, (8 de abril de 2016). </w:t>
      </w:r>
      <w:r w:rsidRPr="00DC2F4A">
        <w:rPr>
          <w:rFonts w:ascii="Times New Roman" w:hAnsi="Times New Roman"/>
          <w:lang w:val="es-US"/>
        </w:rPr>
        <w:t>En su informe temático el Grupo refirió que “</w:t>
      </w:r>
      <w:r w:rsidRPr="00DC2F4A">
        <w:rPr>
          <w:rFonts w:ascii="Times New Roman" w:hAnsi="Times New Roman"/>
        </w:rPr>
        <w:t xml:space="preserve">el embarazo en la adolescencia </w:t>
      </w:r>
      <w:r w:rsidRPr="00DC2F4A">
        <w:rPr>
          <w:rFonts w:ascii="Times New Roman" w:hAnsi="Times New Roman"/>
        </w:rPr>
        <w:t xml:space="preserve">tiene[…] efectos duraderos en la integridad física y la salud mental de las niñas” y que “[a] escala mundial, el embarazo y el parto considerados conjuntamente son la segunda causa de muerte de las niñas de 15 a 19 años de edad, es decir, que son las más expuestas al riesgo de morir o sufrir lesiones graves </w:t>
      </w:r>
      <w:r w:rsidRPr="00DC2F4A">
        <w:rPr>
          <w:rFonts w:ascii="Times New Roman" w:hAnsi="Times New Roman"/>
          <w:u w:val="single"/>
        </w:rPr>
        <w:t>para toda la vida a consecuencia del embarazo</w:t>
      </w:r>
      <w:r w:rsidRPr="00DC2F4A">
        <w:rPr>
          <w:rFonts w:ascii="Times New Roman" w:hAnsi="Times New Roman"/>
        </w:rPr>
        <w:t>”.</w:t>
      </w:r>
    </w:p>
  </w:endnote>
  <w:endnote w:id="6">
    <w:p w14:paraId="536AF27C" w14:textId="77777777" w:rsidR="00460F21" w:rsidRPr="00DC2F4A" w:rsidRDefault="00460F21" w:rsidP="00DC2F4A">
      <w:pPr>
        <w:pStyle w:val="EndnoteText"/>
        <w:jc w:val="both"/>
        <w:rPr>
          <w:rFonts w:ascii="Times New Roman" w:hAnsi="Times New Roman"/>
        </w:rPr>
      </w:pPr>
      <w:r w:rsidRPr="00DC2F4A">
        <w:rPr>
          <w:rStyle w:val="EndnoteReference"/>
          <w:b w:val="0"/>
          <w:sz w:val="20"/>
        </w:rPr>
        <w:endnoteRef/>
      </w:r>
      <w:r w:rsidRPr="00DC2F4A">
        <w:rPr>
          <w:rFonts w:ascii="Times New Roman" w:hAnsi="Times New Roman"/>
        </w:rPr>
        <w:t xml:space="preserve"> UNFPA. </w:t>
      </w:r>
      <w:hyperlink r:id="rId4" w:history="1">
        <w:r w:rsidRPr="00DC2F4A">
          <w:rPr>
            <w:rStyle w:val="Hyperlink"/>
            <w:rFonts w:ascii="Times New Roman" w:hAnsi="Times New Roman"/>
            <w:i/>
          </w:rPr>
          <w:t>Embarazo Adolescente</w:t>
        </w:r>
      </w:hyperlink>
      <w:r w:rsidRPr="00DC2F4A">
        <w:rPr>
          <w:rFonts w:ascii="Times New Roman" w:hAnsi="Times New Roman"/>
          <w:i/>
        </w:rPr>
        <w:t xml:space="preserve">, </w:t>
      </w:r>
      <w:r w:rsidRPr="00DC2F4A">
        <w:rPr>
          <w:rFonts w:ascii="Times New Roman" w:hAnsi="Times New Roman"/>
        </w:rPr>
        <w:t>(2024).</w:t>
      </w:r>
    </w:p>
  </w:endnote>
  <w:endnote w:id="7">
    <w:p w14:paraId="48E556CA" w14:textId="38138F4C" w:rsidR="00460F21" w:rsidRPr="00DC2F4A" w:rsidRDefault="00A1018B" w:rsidP="00DC2F4A">
      <w:pPr>
        <w:pStyle w:val="EndnoteText"/>
        <w:jc w:val="both"/>
        <w:rPr>
          <w:rFonts w:ascii="Times New Roman" w:hAnsi="Times New Roman"/>
        </w:rPr>
      </w:pPr>
      <w:r>
        <w:rPr>
          <w:rStyle w:val="EndnoteReference"/>
        </w:rPr>
        <w:endnoteRef/>
      </w:r>
      <w:r w:rsidR="00460F21" w:rsidRPr="00DC2F4A">
        <w:rPr>
          <w:rStyle w:val="EndnoteReference"/>
          <w:b w:val="0"/>
          <w:sz w:val="20"/>
        </w:rPr>
        <w:endnoteRef/>
      </w:r>
      <w:r w:rsidR="00460F21" w:rsidRPr="00DC2F4A">
        <w:rPr>
          <w:rFonts w:ascii="Times New Roman" w:hAnsi="Times New Roman"/>
        </w:rPr>
        <w:t xml:space="preserve"> Plan International. </w:t>
      </w:r>
      <w:hyperlink r:id="rId5" w:history="1">
        <w:r w:rsidR="00460F21" w:rsidRPr="00DC2F4A">
          <w:rPr>
            <w:rStyle w:val="Hyperlink"/>
            <w:rFonts w:ascii="Times New Roman" w:hAnsi="Times New Roman"/>
          </w:rPr>
          <w:t>Embarazo adolescente o embarazo precoz</w:t>
        </w:r>
      </w:hyperlink>
      <w:r w:rsidR="00460F21" w:rsidRPr="00DC2F4A">
        <w:rPr>
          <w:rFonts w:ascii="Times New Roman" w:hAnsi="Times New Roman"/>
        </w:rPr>
        <w:t>. (2024)</w:t>
      </w:r>
    </w:p>
  </w:endnote>
  <w:endnote w:id="8">
    <w:p w14:paraId="213F51C3" w14:textId="77777777" w:rsidR="00B579EC" w:rsidRPr="00DC2F4A" w:rsidRDefault="00B579EC" w:rsidP="00DC2F4A">
      <w:pPr>
        <w:pStyle w:val="EndnoteText"/>
        <w:jc w:val="both"/>
        <w:rPr>
          <w:rFonts w:ascii="Times New Roman" w:hAnsi="Times New Roman"/>
          <w:lang w:val="es-ES_tradnl"/>
        </w:rPr>
      </w:pPr>
      <w:r w:rsidRPr="00DC2F4A">
        <w:rPr>
          <w:rStyle w:val="EndnoteReference"/>
          <w:b w:val="0"/>
          <w:sz w:val="20"/>
        </w:rPr>
        <w:endnoteRef/>
      </w:r>
      <w:r w:rsidRPr="00DC2F4A">
        <w:rPr>
          <w:rFonts w:ascii="Times New Roman" w:hAnsi="Times New Roman"/>
          <w:lang w:val="es-ES_tradnl"/>
        </w:rPr>
        <w:t xml:space="preserve"> Gobierno de Guatemala</w:t>
      </w:r>
      <w:r w:rsidRPr="00DC2F4A">
        <w:rPr>
          <w:rFonts w:ascii="Times New Roman" w:hAnsi="Times New Roman"/>
          <w:i/>
          <w:lang w:val="es-ES_tradnl"/>
        </w:rPr>
        <w:t xml:space="preserve">. </w:t>
      </w:r>
      <w:hyperlink r:id="rId6" w:history="1">
        <w:r w:rsidRPr="00DC2F4A">
          <w:rPr>
            <w:rStyle w:val="Hyperlink"/>
            <w:rFonts w:ascii="Times New Roman" w:hAnsi="Times New Roman"/>
            <w:i/>
            <w:lang w:val="es-ES_tradnl"/>
          </w:rPr>
          <w:t>Gobierno de Guatemala Presenta Ruta de Atención a Niñas Embarazadas de 14 años</w:t>
        </w:r>
        <w:r w:rsidRPr="00DC2F4A">
          <w:rPr>
            <w:rStyle w:val="Hyperlink"/>
            <w:rFonts w:ascii="Times New Roman" w:hAnsi="Times New Roman"/>
            <w:lang w:val="es-ES_tradnl"/>
          </w:rPr>
          <w:t>,</w:t>
        </w:r>
      </w:hyperlink>
      <w:r w:rsidRPr="00DC2F4A">
        <w:rPr>
          <w:rFonts w:ascii="Times New Roman" w:hAnsi="Times New Roman"/>
          <w:lang w:val="es-ES_tradnl"/>
        </w:rPr>
        <w:t xml:space="preserve"> </w:t>
      </w:r>
      <w:r w:rsidR="007A77A6" w:rsidRPr="00DC2F4A">
        <w:rPr>
          <w:rFonts w:ascii="Times New Roman" w:hAnsi="Times New Roman"/>
          <w:lang w:val="es-ES_tradnl"/>
        </w:rPr>
        <w:t xml:space="preserve">(5 octubre </w:t>
      </w:r>
      <w:r w:rsidRPr="00DC2F4A">
        <w:rPr>
          <w:rFonts w:ascii="Times New Roman" w:hAnsi="Times New Roman"/>
          <w:lang w:val="es-ES_tradnl"/>
        </w:rPr>
        <w:t>2016</w:t>
      </w:r>
      <w:r w:rsidR="007A77A6" w:rsidRPr="00DC2F4A">
        <w:rPr>
          <w:rFonts w:ascii="Times New Roman" w:hAnsi="Times New Roman"/>
          <w:lang w:val="es-ES_tradnl"/>
        </w:rPr>
        <w:t>)</w:t>
      </w:r>
      <w:r w:rsidRPr="00DC2F4A">
        <w:rPr>
          <w:rFonts w:ascii="Times New Roman" w:hAnsi="Times New Roman"/>
          <w:lang w:val="es-ES_tradnl"/>
        </w:rPr>
        <w:t xml:space="preserve">. Ver también: Rutas Internas, </w:t>
      </w:r>
      <w:hyperlink r:id="rId7" w:history="1">
        <w:r w:rsidRPr="00DC2F4A">
          <w:rPr>
            <w:rStyle w:val="Hyperlink"/>
            <w:rFonts w:ascii="Times New Roman" w:hAnsi="Times New Roman"/>
            <w:i/>
            <w:lang w:val="es-ES_tradnl"/>
          </w:rPr>
          <w:t xml:space="preserve">Abordaje de Embarazos en Niñas y Adolescentes menores de 14 </w:t>
        </w:r>
        <w:r w:rsidRPr="00DC2F4A">
          <w:rPr>
            <w:rStyle w:val="Hyperlink"/>
            <w:rFonts w:ascii="Times New Roman" w:hAnsi="Times New Roman"/>
            <w:i/>
            <w:lang w:val="es-ES_tradnl"/>
          </w:rPr>
          <w:t>años de edad</w:t>
        </w:r>
      </w:hyperlink>
      <w:r w:rsidRPr="00DC2F4A">
        <w:rPr>
          <w:rFonts w:ascii="Times New Roman" w:hAnsi="Times New Roman"/>
          <w:i/>
          <w:lang w:val="es-ES_tradnl"/>
        </w:rPr>
        <w:t>,</w:t>
      </w:r>
      <w:r w:rsidRPr="00DC2F4A">
        <w:rPr>
          <w:rFonts w:ascii="Times New Roman" w:hAnsi="Times New Roman"/>
          <w:lang w:val="es-ES_tradnl"/>
        </w:rPr>
        <w:t xml:space="preserve"> 2016.</w:t>
      </w:r>
    </w:p>
  </w:endnote>
  <w:endnote w:id="9">
    <w:p w14:paraId="1530592B" w14:textId="77777777" w:rsidR="006D4B9C" w:rsidRPr="00DC2F4A" w:rsidRDefault="006D4B9C" w:rsidP="00DC2F4A">
      <w:pPr>
        <w:pStyle w:val="EndnoteText"/>
        <w:jc w:val="both"/>
        <w:rPr>
          <w:rFonts w:ascii="Times New Roman" w:hAnsi="Times New Roman"/>
        </w:rPr>
      </w:pPr>
      <w:r w:rsidRPr="00DC2F4A">
        <w:rPr>
          <w:rStyle w:val="EndnoteReference"/>
          <w:b w:val="0"/>
          <w:sz w:val="20"/>
        </w:rPr>
        <w:endnoteRef/>
      </w:r>
      <w:r w:rsidRPr="00DC2F4A">
        <w:rPr>
          <w:rFonts w:ascii="Times New Roman" w:hAnsi="Times New Roman"/>
        </w:rPr>
        <w:t xml:space="preserve"> </w:t>
      </w:r>
      <w:r w:rsidRPr="00DC2F4A">
        <w:rPr>
          <w:rFonts w:ascii="Times New Roman" w:hAnsi="Times New Roman"/>
          <w:lang w:val="es-ES_tradnl"/>
        </w:rPr>
        <w:t xml:space="preserve">Ministerio de Salud </w:t>
      </w:r>
      <w:r w:rsidR="007A77A6" w:rsidRPr="00DC2F4A">
        <w:rPr>
          <w:rFonts w:ascii="Times New Roman" w:hAnsi="Times New Roman"/>
          <w:lang w:val="es-ES_tradnl"/>
        </w:rPr>
        <w:t>P</w:t>
      </w:r>
      <w:r w:rsidRPr="00DC2F4A">
        <w:rPr>
          <w:rFonts w:ascii="Times New Roman" w:hAnsi="Times New Roman"/>
          <w:lang w:val="es-ES_tradnl"/>
        </w:rPr>
        <w:t xml:space="preserve">ública y </w:t>
      </w:r>
      <w:r w:rsidR="007A77A6" w:rsidRPr="00DC2F4A">
        <w:rPr>
          <w:rFonts w:ascii="Times New Roman" w:hAnsi="Times New Roman"/>
          <w:lang w:val="es-ES_tradnl"/>
        </w:rPr>
        <w:t>A</w:t>
      </w:r>
      <w:r w:rsidRPr="00DC2F4A">
        <w:rPr>
          <w:rFonts w:ascii="Times New Roman" w:hAnsi="Times New Roman"/>
          <w:lang w:val="es-ES_tradnl"/>
        </w:rPr>
        <w:t xml:space="preserve">sistencia </w:t>
      </w:r>
      <w:r w:rsidR="007A77A6" w:rsidRPr="00DC2F4A">
        <w:rPr>
          <w:rFonts w:ascii="Times New Roman" w:hAnsi="Times New Roman"/>
          <w:lang w:val="es-ES_tradnl"/>
        </w:rPr>
        <w:t>S</w:t>
      </w:r>
      <w:r w:rsidRPr="00DC2F4A">
        <w:rPr>
          <w:rFonts w:ascii="Times New Roman" w:hAnsi="Times New Roman"/>
          <w:lang w:val="es-ES_tradnl"/>
        </w:rPr>
        <w:t xml:space="preserve">ocial. </w:t>
      </w:r>
      <w:hyperlink r:id="rId8" w:history="1">
        <w:r w:rsidRPr="00DC2F4A">
          <w:rPr>
            <w:rStyle w:val="Hyperlink"/>
            <w:rFonts w:ascii="Times New Roman" w:hAnsi="Times New Roman"/>
            <w:i/>
          </w:rPr>
          <w:t xml:space="preserve">Guía para la atención integral de la hemorragia del primer y segundo trimestre y del </w:t>
        </w:r>
        <w:r w:rsidRPr="00DC2F4A">
          <w:rPr>
            <w:rStyle w:val="Hyperlink"/>
            <w:rFonts w:ascii="Times New Roman" w:hAnsi="Times New Roman"/>
            <w:i/>
          </w:rPr>
          <w:t>post-aborto y sus complicaciones</w:t>
        </w:r>
      </w:hyperlink>
      <w:r w:rsidRPr="00DC2F4A">
        <w:rPr>
          <w:rFonts w:ascii="Times New Roman" w:hAnsi="Times New Roman"/>
          <w:i/>
        </w:rPr>
        <w:t xml:space="preserve"> </w:t>
      </w:r>
      <w:r w:rsidRPr="00DC2F4A">
        <w:rPr>
          <w:rFonts w:ascii="Times New Roman" w:hAnsi="Times New Roman"/>
        </w:rPr>
        <w:t>(2011).</w:t>
      </w:r>
    </w:p>
  </w:endnote>
  <w:endnote w:id="10">
    <w:p w14:paraId="7AD98A5A" w14:textId="2EA77ADA" w:rsidR="002A7B75" w:rsidRPr="00DC2F4A" w:rsidRDefault="002A7B75" w:rsidP="00DC2F4A">
      <w:pPr>
        <w:pStyle w:val="EndnoteText"/>
        <w:jc w:val="both"/>
        <w:rPr>
          <w:rFonts w:ascii="Times New Roman" w:hAnsi="Times New Roman"/>
        </w:rPr>
      </w:pPr>
      <w:r w:rsidRPr="00DC2F4A">
        <w:rPr>
          <w:rStyle w:val="EndnoteReference"/>
          <w:b w:val="0"/>
          <w:sz w:val="20"/>
        </w:rPr>
        <w:endnoteRef/>
      </w:r>
      <w:r w:rsidRPr="00DC2F4A">
        <w:rPr>
          <w:rStyle w:val="EndnoteReference"/>
          <w:b w:val="0"/>
          <w:sz w:val="20"/>
        </w:rPr>
        <w:t xml:space="preserve"> </w:t>
      </w:r>
      <w:r w:rsidRPr="00DC2F4A">
        <w:rPr>
          <w:rFonts w:ascii="Times New Roman" w:hAnsi="Times New Roman"/>
        </w:rPr>
        <w:t xml:space="preserve"> Ver por ejempl</w:t>
      </w:r>
      <w:r w:rsidR="00AE4B11" w:rsidRPr="00DC2F4A">
        <w:rPr>
          <w:rFonts w:ascii="Times New Roman" w:hAnsi="Times New Roman"/>
        </w:rPr>
        <w:t>o:</w:t>
      </w:r>
      <w:r w:rsidRPr="00DC2F4A">
        <w:rPr>
          <w:rFonts w:ascii="Times New Roman" w:hAnsi="Times New Roman"/>
        </w:rPr>
        <w:t xml:space="preserve"> </w:t>
      </w:r>
      <w:r w:rsidRPr="00DC2F4A">
        <w:rPr>
          <w:rFonts w:ascii="Times New Roman" w:hAnsi="Times New Roman"/>
          <w:lang w:val="es-ES_tradnl"/>
        </w:rPr>
        <w:t xml:space="preserve">Organización Mundial de la Salud, </w:t>
      </w:r>
      <w:hyperlink r:id="rId9" w:history="1">
        <w:r w:rsidRPr="00DC2F4A">
          <w:rPr>
            <w:rStyle w:val="Hyperlink"/>
            <w:rFonts w:ascii="Times New Roman" w:hAnsi="Times New Roman"/>
            <w:i/>
            <w:lang w:val="es-ES_tradnl"/>
          </w:rPr>
          <w:t>Adolescent pregnancy</w:t>
        </w:r>
      </w:hyperlink>
      <w:r w:rsidR="00DC6704" w:rsidRPr="00DC2F4A">
        <w:rPr>
          <w:rStyle w:val="Hyperlink"/>
          <w:rFonts w:ascii="Times New Roman" w:hAnsi="Times New Roman"/>
          <w:i/>
          <w:color w:val="auto"/>
          <w:u w:val="none"/>
          <w:lang w:val="es-ES_tradnl"/>
        </w:rPr>
        <w:t xml:space="preserve">, </w:t>
      </w:r>
      <w:r w:rsidR="00DC6704" w:rsidRPr="00DC2F4A">
        <w:rPr>
          <w:rStyle w:val="Hyperlink"/>
          <w:rFonts w:ascii="Times New Roman" w:hAnsi="Times New Roman"/>
          <w:color w:val="auto"/>
          <w:u w:val="none"/>
          <w:lang w:val="es-ES_tradnl"/>
        </w:rPr>
        <w:t>(2 junio 2023)</w:t>
      </w:r>
      <w:r w:rsidRPr="00DC2F4A">
        <w:rPr>
          <w:rFonts w:ascii="Times New Roman" w:hAnsi="Times New Roman"/>
        </w:rPr>
        <w:t xml:space="preserve">; </w:t>
      </w:r>
      <w:r w:rsidRPr="00DC2F4A">
        <w:rPr>
          <w:rFonts w:ascii="Times New Roman" w:hAnsi="Times New Roman"/>
          <w:lang w:val="es-ES_tradnl"/>
        </w:rPr>
        <w:t xml:space="preserve">UNFPA, </w:t>
      </w:r>
      <w:hyperlink r:id="rId10" w:history="1">
        <w:r w:rsidRPr="00DC2F4A">
          <w:rPr>
            <w:rStyle w:val="Hyperlink"/>
            <w:rFonts w:ascii="Times New Roman" w:hAnsi="Times New Roman"/>
            <w:i/>
            <w:lang w:val="es-ES_tradnl"/>
          </w:rPr>
          <w:t>Adolescent pregnancy</w:t>
        </w:r>
      </w:hyperlink>
      <w:r w:rsidRPr="00DC2F4A">
        <w:rPr>
          <w:rFonts w:ascii="Times New Roman" w:hAnsi="Times New Roman"/>
          <w:lang w:val="es-ES_tradnl"/>
        </w:rPr>
        <w:t xml:space="preserve">; </w:t>
      </w:r>
      <w:r w:rsidRPr="00DC2F4A">
        <w:rPr>
          <w:rFonts w:ascii="Times New Roman" w:hAnsi="Times New Roman"/>
        </w:rPr>
        <w:t xml:space="preserve">Organización Panamericana de la Salud, Fondo de Población de las Naciones Unidas y Fondo de las Naciones Unidas para la Infancia, </w:t>
      </w:r>
      <w:hyperlink r:id="rId11" w:history="1">
        <w:r w:rsidR="00351969" w:rsidRPr="00DC2F4A">
          <w:rPr>
            <w:rStyle w:val="Hyperlink"/>
            <w:rFonts w:ascii="Times New Roman" w:hAnsi="Times New Roman"/>
            <w:bCs/>
            <w:i/>
            <w:iCs/>
            <w:lang w:val="es-ES"/>
          </w:rPr>
          <w:t>Acelerar</w:t>
        </w:r>
        <w:r w:rsidRPr="00DC2F4A">
          <w:rPr>
            <w:rStyle w:val="Hyperlink"/>
            <w:rFonts w:ascii="Times New Roman" w:hAnsi="Times New Roman"/>
            <w:i/>
            <w:lang w:val="es-ES"/>
          </w:rPr>
          <w:t xml:space="preserve"> el progreso hacia la reducción del embarazo en la adolescencia en América Latina y el Caribe</w:t>
        </w:r>
      </w:hyperlink>
      <w:r w:rsidRPr="00DC2F4A">
        <w:rPr>
          <w:rFonts w:ascii="Times New Roman" w:hAnsi="Times New Roman"/>
          <w:lang w:val="es-ES"/>
        </w:rPr>
        <w:t xml:space="preserve">, </w:t>
      </w:r>
      <w:r w:rsidR="00217A8C" w:rsidRPr="00DC2F4A">
        <w:rPr>
          <w:rFonts w:ascii="Times New Roman" w:hAnsi="Times New Roman"/>
          <w:lang w:val="es-ES"/>
        </w:rPr>
        <w:t xml:space="preserve">p. 17 y 35, </w:t>
      </w:r>
      <w:r w:rsidRPr="00DC2F4A">
        <w:rPr>
          <w:rFonts w:ascii="Times New Roman" w:hAnsi="Times New Roman"/>
          <w:lang w:val="es-ES"/>
        </w:rPr>
        <w:t>(2018)</w:t>
      </w:r>
      <w:r w:rsidR="00217A8C" w:rsidRPr="00DC2F4A">
        <w:rPr>
          <w:rFonts w:ascii="Times New Roman" w:hAnsi="Times New Roman"/>
          <w:lang w:val="es-ES"/>
        </w:rPr>
        <w:t>.</w:t>
      </w:r>
    </w:p>
  </w:endnote>
  <w:endnote w:id="11">
    <w:p w14:paraId="069DA6B2" w14:textId="77777777" w:rsidR="002A7B75" w:rsidRPr="00DC2F4A" w:rsidRDefault="002A7B75" w:rsidP="00DC2F4A">
      <w:pPr>
        <w:pStyle w:val="EndnoteText"/>
        <w:jc w:val="both"/>
        <w:rPr>
          <w:rFonts w:ascii="Times New Roman" w:hAnsi="Times New Roman"/>
          <w:lang w:val="es-ES_tradnl"/>
        </w:rPr>
      </w:pPr>
      <w:r w:rsidRPr="00DC2F4A">
        <w:rPr>
          <w:rStyle w:val="EndnoteReference"/>
          <w:b w:val="0"/>
          <w:sz w:val="20"/>
        </w:rPr>
        <w:endnoteRef/>
      </w:r>
      <w:r w:rsidRPr="00DC2F4A">
        <w:rPr>
          <w:rFonts w:ascii="Times New Roman" w:hAnsi="Times New Roman"/>
        </w:rPr>
        <w:t xml:space="preserve"> </w:t>
      </w:r>
      <w:hyperlink r:id="rId12" w:history="1">
        <w:r w:rsidR="00217A8C" w:rsidRPr="00DC2F4A">
          <w:rPr>
            <w:rStyle w:val="Hyperlink"/>
            <w:rFonts w:ascii="Times New Roman" w:hAnsi="Times New Roman"/>
          </w:rPr>
          <w:t>Código Penal de Guatemala</w:t>
        </w:r>
      </w:hyperlink>
      <w:r w:rsidR="00217A8C" w:rsidRPr="00DC2F4A">
        <w:rPr>
          <w:rStyle w:val="Hyperlink"/>
          <w:rFonts w:ascii="Times New Roman" w:hAnsi="Times New Roman"/>
        </w:rPr>
        <w:t>.</w:t>
      </w:r>
      <w:r w:rsidR="00217A8C" w:rsidRPr="00DC2F4A">
        <w:rPr>
          <w:rFonts w:ascii="Times New Roman" w:hAnsi="Times New Roman"/>
        </w:rPr>
        <w:t xml:space="preserve"> [C.P.G]. Decreto No. 17-71. Artículo 173. 14 de diciembre de 1992 (Guatemala). </w:t>
      </w:r>
      <w:r w:rsidRPr="00DC2F4A">
        <w:rPr>
          <w:rFonts w:ascii="Times New Roman" w:hAnsi="Times New Roman"/>
          <w:lang w:val="es-ES_tradnl"/>
        </w:rPr>
        <w:t xml:space="preserve">Reformado por </w:t>
      </w:r>
      <w:r w:rsidR="001E1184" w:rsidRPr="00DC2F4A">
        <w:rPr>
          <w:rFonts w:ascii="Times New Roman" w:hAnsi="Times New Roman"/>
          <w:lang w:val="es-ES_tradnl"/>
        </w:rPr>
        <w:t>el Decreto</w:t>
      </w:r>
      <w:r w:rsidR="00027CD3" w:rsidRPr="00DC2F4A">
        <w:rPr>
          <w:rFonts w:ascii="Times New Roman" w:hAnsi="Times New Roman"/>
          <w:lang w:val="es-ES_tradnl"/>
        </w:rPr>
        <w:t xml:space="preserve"> 9-2009.</w:t>
      </w:r>
      <w:r w:rsidRPr="00DC2F4A">
        <w:rPr>
          <w:rFonts w:ascii="Times New Roman" w:hAnsi="Times New Roman"/>
          <w:lang w:val="es-ES_tradnl"/>
        </w:rPr>
        <w:t xml:space="preserve"> </w:t>
      </w:r>
      <w:hyperlink r:id="rId13" w:history="1">
        <w:r w:rsidRPr="00DC2F4A">
          <w:rPr>
            <w:rStyle w:val="Hyperlink"/>
            <w:rFonts w:ascii="Times New Roman" w:hAnsi="Times New Roman"/>
            <w:lang w:val="es-ES_tradnl"/>
          </w:rPr>
          <w:t>Ley Contra la Violencia Sexual, Explotación y Trata de Personas</w:t>
        </w:r>
      </w:hyperlink>
      <w:r w:rsidR="00027CD3" w:rsidRPr="00DC2F4A">
        <w:rPr>
          <w:rFonts w:ascii="Times New Roman" w:hAnsi="Times New Roman"/>
          <w:lang w:val="es-ES_tradnl"/>
        </w:rPr>
        <w:t>.</w:t>
      </w:r>
      <w:r w:rsidRPr="00DC2F4A">
        <w:rPr>
          <w:rFonts w:ascii="Times New Roman" w:hAnsi="Times New Roman"/>
          <w:lang w:val="es-ES_tradnl"/>
        </w:rPr>
        <w:t>16 de marzo de 2009.</w:t>
      </w:r>
    </w:p>
  </w:endnote>
  <w:endnote w:id="12">
    <w:p w14:paraId="6910A1D9" w14:textId="77777777" w:rsidR="00351969" w:rsidRPr="00DC2F4A" w:rsidRDefault="00351969" w:rsidP="00DC2F4A">
      <w:pPr>
        <w:pStyle w:val="EndnoteText"/>
        <w:jc w:val="both"/>
        <w:rPr>
          <w:rStyle w:val="Hyperlink"/>
          <w:rFonts w:ascii="Times New Roman" w:hAnsi="Times New Roman"/>
          <w:highlight w:val="yellow"/>
          <w:lang w:val="es-ES"/>
        </w:rPr>
      </w:pPr>
      <w:r w:rsidRPr="00DC2F4A">
        <w:rPr>
          <w:rStyle w:val="EndnoteReference"/>
          <w:sz w:val="20"/>
        </w:rPr>
        <w:endnoteRef/>
      </w:r>
      <w:r w:rsidRPr="00DC2F4A">
        <w:rPr>
          <w:rFonts w:ascii="Times New Roman" w:eastAsiaTheme="majorEastAsia" w:hAnsi="Times New Roman"/>
        </w:rPr>
        <w:t xml:space="preserve">Congreso de la República de Guatemala. </w:t>
      </w:r>
      <w:hyperlink r:id="rId14">
        <w:r w:rsidRPr="00DC2F4A">
          <w:rPr>
            <w:rStyle w:val="Hyperlink"/>
            <w:rFonts w:ascii="Times New Roman" w:eastAsiaTheme="majorEastAsia" w:hAnsi="Times New Roman"/>
            <w:i/>
          </w:rPr>
          <w:t>Iniciativa 5272.</w:t>
        </w:r>
      </w:hyperlink>
      <w:r w:rsidRPr="00DC2F4A">
        <w:rPr>
          <w:rFonts w:ascii="Times New Roman" w:eastAsiaTheme="majorEastAsia" w:hAnsi="Times New Roman"/>
          <w:i/>
        </w:rPr>
        <w:t xml:space="preserve"> </w:t>
      </w:r>
      <w:r w:rsidRPr="00DC2F4A">
        <w:rPr>
          <w:rFonts w:ascii="Times New Roman" w:eastAsiaTheme="majorEastAsia" w:hAnsi="Times New Roman"/>
        </w:rPr>
        <w:t xml:space="preserve"> 2022. </w:t>
      </w:r>
    </w:p>
  </w:endnote>
  <w:endnote w:id="13">
    <w:p w14:paraId="3E1E01F6" w14:textId="77777777" w:rsidR="00351969" w:rsidRPr="00DC2F4A" w:rsidRDefault="00351969" w:rsidP="00DC2F4A">
      <w:pPr>
        <w:pStyle w:val="EndnoteText"/>
        <w:jc w:val="both"/>
        <w:rPr>
          <w:rFonts w:ascii="Times New Roman" w:eastAsiaTheme="majorEastAsia" w:hAnsi="Times New Roman"/>
        </w:rPr>
      </w:pPr>
      <w:r w:rsidRPr="00DC2F4A">
        <w:rPr>
          <w:rStyle w:val="EndnoteReference"/>
          <w:rFonts w:eastAsiaTheme="majorEastAsia"/>
          <w:sz w:val="20"/>
        </w:rPr>
        <w:endnoteRef/>
      </w:r>
      <w:r w:rsidRPr="00DC2F4A">
        <w:rPr>
          <w:rFonts w:ascii="Times New Roman" w:eastAsiaTheme="majorEastAsia" w:hAnsi="Times New Roman"/>
        </w:rPr>
        <w:t xml:space="preserve"> Redacción BBC News Mundo.</w:t>
      </w:r>
      <w:r w:rsidRPr="00DC2F4A">
        <w:rPr>
          <w:rFonts w:ascii="Times New Roman" w:eastAsiaTheme="majorEastAsia" w:hAnsi="Times New Roman"/>
          <w:i/>
        </w:rPr>
        <w:t xml:space="preserve"> </w:t>
      </w:r>
      <w:hyperlink r:id="rId15">
        <w:r w:rsidRPr="00DC2F4A">
          <w:rPr>
            <w:rStyle w:val="Hyperlink"/>
            <w:rFonts w:ascii="Times New Roman" w:eastAsiaTheme="majorEastAsia" w:hAnsi="Times New Roman"/>
            <w:i/>
          </w:rPr>
          <w:t>Guatemala: el Congreso aprueba una ley que prohíbe el matrimonio homosexual y eleva las penas por aborto</w:t>
        </w:r>
      </w:hyperlink>
      <w:r w:rsidRPr="00DC2F4A">
        <w:rPr>
          <w:rFonts w:ascii="Times New Roman" w:eastAsiaTheme="majorEastAsia" w:hAnsi="Times New Roman"/>
        </w:rPr>
        <w:t>. (9 marzo, 2022).</w:t>
      </w:r>
    </w:p>
  </w:endnote>
  <w:endnote w:id="14">
    <w:p w14:paraId="203E0513" w14:textId="77777777" w:rsidR="00351969" w:rsidRPr="00DC2F4A" w:rsidRDefault="00351969" w:rsidP="00DC2F4A">
      <w:pPr>
        <w:pStyle w:val="EndnoteText"/>
        <w:jc w:val="both"/>
        <w:rPr>
          <w:rFonts w:ascii="Times New Roman" w:eastAsiaTheme="majorEastAsia" w:hAnsi="Times New Roman"/>
        </w:rPr>
      </w:pPr>
      <w:r w:rsidRPr="00DC2F4A">
        <w:rPr>
          <w:rStyle w:val="EndnoteReference"/>
          <w:rFonts w:eastAsiaTheme="majorEastAsia"/>
          <w:sz w:val="20"/>
        </w:rPr>
        <w:endnoteRef/>
      </w:r>
      <w:r w:rsidRPr="00DC2F4A">
        <w:rPr>
          <w:rFonts w:ascii="Times New Roman" w:eastAsiaTheme="majorEastAsia" w:hAnsi="Times New Roman"/>
        </w:rPr>
        <w:t xml:space="preserve"> Daniel García Clemente</w:t>
      </w:r>
      <w:r w:rsidRPr="00DC2F4A">
        <w:rPr>
          <w:rFonts w:ascii="Times New Roman" w:eastAsiaTheme="majorEastAsia" w:hAnsi="Times New Roman"/>
          <w:i/>
        </w:rPr>
        <w:t xml:space="preserve">. </w:t>
      </w:r>
      <w:hyperlink r:id="rId16">
        <w:r w:rsidRPr="00DC2F4A">
          <w:rPr>
            <w:rStyle w:val="Hyperlink"/>
            <w:rFonts w:ascii="Times New Roman" w:eastAsiaTheme="majorEastAsia" w:hAnsi="Times New Roman"/>
            <w:i/>
          </w:rPr>
          <w:t>Movilización social tumba la Ley 5272 contra las mujeres en Guatemala</w:t>
        </w:r>
      </w:hyperlink>
      <w:r w:rsidRPr="00DC2F4A">
        <w:rPr>
          <w:rFonts w:ascii="Times New Roman" w:eastAsiaTheme="majorEastAsia" w:hAnsi="Times New Roman"/>
          <w:i/>
        </w:rPr>
        <w:t>.</w:t>
      </w:r>
      <w:r w:rsidRPr="00DC2F4A">
        <w:rPr>
          <w:rFonts w:ascii="Times New Roman" w:eastAsiaTheme="majorEastAsia" w:hAnsi="Times New Roman"/>
        </w:rPr>
        <w:t xml:space="preserve"> (18 marzo, 2022) y</w:t>
      </w:r>
      <w:r w:rsidRPr="00DC2F4A">
        <w:rPr>
          <w:rFonts w:ascii="Times New Roman" w:eastAsiaTheme="majorEastAsia" w:hAnsi="Times New Roman"/>
          <w:color w:val="000000" w:themeColor="text1"/>
        </w:rPr>
        <w:t xml:space="preserve"> Centro de Derechos Reproductivos </w:t>
      </w:r>
      <w:r w:rsidRPr="00DC2F4A">
        <w:rPr>
          <w:rFonts w:ascii="Times New Roman" w:eastAsiaTheme="majorEastAsia" w:hAnsi="Times New Roman"/>
          <w:i/>
          <w:color w:val="000000" w:themeColor="text1"/>
        </w:rPr>
        <w:t>et al</w:t>
      </w:r>
      <w:r w:rsidRPr="00DC2F4A">
        <w:rPr>
          <w:rFonts w:ascii="Times New Roman" w:eastAsiaTheme="majorEastAsia" w:hAnsi="Times New Roman"/>
          <w:color w:val="000000" w:themeColor="text1"/>
        </w:rPr>
        <w:t>,</w:t>
      </w:r>
      <w:r w:rsidRPr="00DC2F4A">
        <w:rPr>
          <w:rFonts w:ascii="Times New Roman" w:eastAsiaTheme="majorEastAsia" w:hAnsi="Times New Roman"/>
          <w:i/>
          <w:color w:val="000000" w:themeColor="text1"/>
        </w:rPr>
        <w:t xml:space="preserve"> </w:t>
      </w:r>
      <w:hyperlink r:id="rId17">
        <w:r w:rsidRPr="00DC2F4A">
          <w:rPr>
            <w:rStyle w:val="Hyperlink"/>
            <w:rFonts w:ascii="Times New Roman" w:eastAsiaTheme="majorEastAsia" w:hAnsi="Times New Roman"/>
            <w:i/>
          </w:rPr>
          <w:t>Declaración conjunta acerca de rechazo a la Iniciativa de Ley No. 5272.</w:t>
        </w:r>
      </w:hyperlink>
      <w:r w:rsidRPr="00DC2F4A">
        <w:rPr>
          <w:rFonts w:ascii="Times New Roman" w:eastAsiaTheme="majorEastAsia" w:hAnsi="Times New Roman"/>
        </w:rPr>
        <w:t xml:space="preserve"> (septiembre 12, 2018).</w:t>
      </w:r>
    </w:p>
  </w:endnote>
  <w:endnote w:id="15">
    <w:p w14:paraId="0655610E" w14:textId="77777777" w:rsidR="007F083B" w:rsidRPr="00DC2F4A" w:rsidRDefault="007F083B" w:rsidP="00DC2F4A">
      <w:pPr>
        <w:spacing w:after="0" w:line="240" w:lineRule="auto"/>
        <w:jc w:val="both"/>
        <w:rPr>
          <w:rFonts w:ascii="Times New Roman" w:eastAsiaTheme="majorEastAsia" w:hAnsi="Times New Roman" w:cs="Times New Roman"/>
          <w:color w:val="000000" w:themeColor="text1"/>
          <w:sz w:val="20"/>
          <w:szCs w:val="20"/>
          <w:lang w:val="es-CO"/>
        </w:rPr>
      </w:pPr>
      <w:r w:rsidRPr="00DC2F4A">
        <w:rPr>
          <w:rStyle w:val="EndnoteReference"/>
          <w:rFonts w:cs="Times New Roman"/>
          <w:sz w:val="20"/>
          <w:szCs w:val="20"/>
        </w:rPr>
        <w:endnoteRef/>
      </w:r>
      <w:r w:rsidRPr="00DC2F4A">
        <w:rPr>
          <w:rFonts w:ascii="Times New Roman" w:eastAsiaTheme="majorEastAsia" w:hAnsi="Times New Roman" w:cs="Times New Roman"/>
          <w:sz w:val="20"/>
          <w:szCs w:val="20"/>
          <w:lang w:val="es-ES"/>
        </w:rPr>
        <w:t xml:space="preserve"> </w:t>
      </w:r>
      <w:r w:rsidRPr="00DC2F4A">
        <w:rPr>
          <w:rFonts w:ascii="Times New Roman" w:eastAsiaTheme="majorEastAsia" w:hAnsi="Times New Roman" w:cs="Times New Roman"/>
          <w:color w:val="000000" w:themeColor="text1"/>
          <w:sz w:val="20"/>
          <w:szCs w:val="20"/>
          <w:lang w:val="es-CO"/>
        </w:rPr>
        <w:t>Oficina del Alto Comisionado de las Naciones Unidas para los Derechos Humanos – Guatemala.</w:t>
      </w:r>
      <w:r w:rsidRPr="00DC2F4A">
        <w:rPr>
          <w:rFonts w:ascii="Times New Roman" w:eastAsiaTheme="majorEastAsia" w:hAnsi="Times New Roman" w:cs="Times New Roman"/>
          <w:i/>
          <w:sz w:val="20"/>
          <w:szCs w:val="20"/>
          <w:lang w:val="es-ES"/>
        </w:rPr>
        <w:t xml:space="preserve"> </w:t>
      </w:r>
      <w:hyperlink r:id="rId18">
        <w:r w:rsidRPr="00DC2F4A">
          <w:rPr>
            <w:rStyle w:val="Hyperlink"/>
            <w:rFonts w:ascii="Times New Roman" w:eastAsiaTheme="majorEastAsia" w:hAnsi="Times New Roman" w:cs="Times New Roman"/>
            <w:i/>
            <w:sz w:val="20"/>
            <w:szCs w:val="20"/>
            <w:lang w:val="es-CO"/>
          </w:rPr>
          <w:t>Estándares internacionales sobre derechos humanos aplicables.</w:t>
        </w:r>
      </w:hyperlink>
      <w:r w:rsidRPr="00DC2F4A">
        <w:rPr>
          <w:rFonts w:ascii="Times New Roman" w:eastAsiaTheme="majorEastAsia" w:hAnsi="Times New Roman" w:cs="Times New Roman"/>
          <w:color w:val="000000" w:themeColor="text1"/>
          <w:sz w:val="20"/>
          <w:szCs w:val="20"/>
          <w:lang w:val="es-CO"/>
        </w:rPr>
        <w:t xml:space="preserve"> At párr. 80. (agosto 2, 2018).</w:t>
      </w:r>
    </w:p>
  </w:endnote>
  <w:endnote w:id="16">
    <w:p w14:paraId="1478FD93" w14:textId="714CCA38" w:rsidR="007F083B" w:rsidRPr="00DC2F4A" w:rsidRDefault="007F083B" w:rsidP="00DC2F4A">
      <w:pPr>
        <w:pStyle w:val="EndnoteText"/>
        <w:jc w:val="both"/>
        <w:rPr>
          <w:rFonts w:ascii="Times New Roman" w:eastAsiaTheme="majorEastAsia" w:hAnsi="Times New Roman"/>
        </w:rPr>
      </w:pPr>
      <w:r w:rsidRPr="00DC2F4A">
        <w:rPr>
          <w:rStyle w:val="EndnoteReference"/>
          <w:sz w:val="20"/>
        </w:rPr>
        <w:endnoteRef/>
      </w:r>
      <w:r w:rsidRPr="00DC2F4A">
        <w:rPr>
          <w:rFonts w:ascii="Times New Roman" w:hAnsi="Times New Roman"/>
        </w:rPr>
        <w:t xml:space="preserve"> </w:t>
      </w:r>
      <w:r w:rsidRPr="00DC2F4A">
        <w:rPr>
          <w:rFonts w:ascii="Times New Roman" w:eastAsiaTheme="majorEastAsia" w:hAnsi="Times New Roman"/>
        </w:rPr>
        <w:t xml:space="preserve">Ver, </w:t>
      </w:r>
      <w:r w:rsidRPr="00DC2F4A">
        <w:rPr>
          <w:rFonts w:ascii="Times New Roman" w:eastAsiaTheme="majorEastAsia" w:hAnsi="Times New Roman"/>
          <w:i/>
        </w:rPr>
        <w:t xml:space="preserve">inter </w:t>
      </w:r>
      <w:r w:rsidRPr="00DC2F4A">
        <w:rPr>
          <w:rFonts w:ascii="Times New Roman" w:eastAsiaTheme="majorEastAsia" w:hAnsi="Times New Roman"/>
          <w:i/>
        </w:rPr>
        <w:t>alia:</w:t>
      </w:r>
      <w:r w:rsidRPr="00DC2F4A">
        <w:rPr>
          <w:rFonts w:ascii="Times New Roman" w:eastAsiaTheme="majorEastAsia" w:hAnsi="Times New Roman"/>
        </w:rPr>
        <w:t xml:space="preserve"> Comité de Derechos Económicos, Sociales y Culturales, Observación General No. 22: relativa al derecho a la salud sexual y reproductiva (artículo 12 del Pacto Internacional de Derechos Económicos, Sociales y Culturales), U.N. Doc. E/C.12/GC/22 (2016), para. 10; Comité para la Eliminación de la Discriminación contra la Mujer, Recomendación General No. 35 sobre la violencia por razón de género contra la mujer, por la que se actualiza la recomendación General No. 19, U.N. Doc. CEDAW/C/GC/35 (2017), para. 18.; Comité para la Eliminación de la Discriminación contra la Mujer, Recomendación General No. 24, La mujer y la salud (artículo 12 de la Convención sobre la eliminación de todas las formas de discriminación contra la mujer), paras. 12(d), 17, U.N. Doc. A/54/38/Rev.1, chap I (1999), paras. </w:t>
      </w:r>
      <w:r w:rsidR="00351969" w:rsidRPr="00DC2F4A">
        <w:rPr>
          <w:rFonts w:ascii="Times New Roman" w:eastAsiaTheme="majorEastAsia" w:hAnsi="Times New Roman"/>
        </w:rPr>
        <w:t>11, 14</w:t>
      </w:r>
      <w:r w:rsidR="00DC2F4A">
        <w:rPr>
          <w:rFonts w:ascii="Times New Roman" w:eastAsiaTheme="majorEastAsia" w:hAnsi="Times New Roman"/>
        </w:rPr>
        <w:t>.</w:t>
      </w:r>
    </w:p>
  </w:endnote>
  <w:endnote w:id="17">
    <w:p w14:paraId="21F0119D" w14:textId="77777777" w:rsidR="00AC2698" w:rsidRPr="00DC2F4A" w:rsidRDefault="00AC2698" w:rsidP="00DC2F4A">
      <w:pPr>
        <w:pStyle w:val="EndnoteText"/>
        <w:jc w:val="both"/>
        <w:rPr>
          <w:rFonts w:ascii="Times New Roman" w:hAnsi="Times New Roman"/>
        </w:rPr>
      </w:pPr>
      <w:r w:rsidRPr="00DC2F4A">
        <w:rPr>
          <w:rStyle w:val="EndnoteReference"/>
          <w:b w:val="0"/>
          <w:sz w:val="20"/>
        </w:rPr>
        <w:endnoteRef/>
      </w:r>
      <w:r w:rsidRPr="00DC2F4A">
        <w:rPr>
          <w:rFonts w:ascii="Times New Roman" w:hAnsi="Times New Roman"/>
        </w:rPr>
        <w:t xml:space="preserve"> </w:t>
      </w:r>
      <w:r w:rsidRPr="00DC2F4A">
        <w:rPr>
          <w:rFonts w:ascii="Times New Roman" w:hAnsi="Times New Roman"/>
          <w:lang w:val="es-ES"/>
        </w:rPr>
        <w:t xml:space="preserve">Organización Mundial de la Salud. </w:t>
      </w:r>
      <w:hyperlink r:id="rId19" w:history="1">
        <w:r w:rsidRPr="00DC2F4A">
          <w:rPr>
            <w:rStyle w:val="Hyperlink"/>
            <w:rFonts w:ascii="Times New Roman" w:hAnsi="Times New Roman"/>
            <w:i/>
            <w:lang w:val="es-ES"/>
          </w:rPr>
          <w:t>Directrices sobre la atención para el aborto</w:t>
        </w:r>
      </w:hyperlink>
      <w:r w:rsidRPr="00DC2F4A">
        <w:rPr>
          <w:rFonts w:ascii="Times New Roman" w:hAnsi="Times New Roman"/>
          <w:lang w:val="es-ES"/>
        </w:rPr>
        <w:t xml:space="preserve">, </w:t>
      </w:r>
      <w:r w:rsidRPr="00DC2F4A">
        <w:rPr>
          <w:rFonts w:ascii="Times New Roman" w:hAnsi="Times New Roman"/>
        </w:rPr>
        <w:t xml:space="preserve">Sección 2.2.2 (pp. 26–27), </w:t>
      </w:r>
      <w:r w:rsidRPr="00DC2F4A">
        <w:rPr>
          <w:rFonts w:ascii="Times New Roman" w:hAnsi="Times New Roman"/>
          <w:lang w:val="es-ES"/>
        </w:rPr>
        <w:t>(marzo 8, 2022)</w:t>
      </w:r>
      <w:r w:rsidRPr="00DC2F4A">
        <w:rPr>
          <w:rFonts w:ascii="Times New Roman" w:hAnsi="Times New Roman"/>
        </w:rPr>
        <w:t xml:space="preserve">. Puede ver también, Centro de Derechos Reproductivos, </w:t>
      </w:r>
      <w:hyperlink r:id="rId20" w:history="1">
        <w:r w:rsidRPr="00DC2F4A">
          <w:rPr>
            <w:rStyle w:val="Hyperlink"/>
            <w:rFonts w:ascii="Times New Roman" w:hAnsi="Times New Roman"/>
          </w:rPr>
          <w:t>Las nuevas Directrices sobre la atención para el Aborto de la OMS: Lo más destacado de sus Recomendaciones Legislación y Políticas</w:t>
        </w:r>
      </w:hyperlink>
      <w:r w:rsidRPr="00DC2F4A">
        <w:rPr>
          <w:rFonts w:ascii="Times New Roman" w:hAnsi="Times New Roman"/>
        </w:rPr>
        <w:t xml:space="preserve"> (2022), Recomendación legal y de políticas 2: enfoques basados en causales</w:t>
      </w:r>
    </w:p>
  </w:endnote>
  <w:endnote w:id="18">
    <w:p w14:paraId="11E08808" w14:textId="77777777" w:rsidR="00AC2698" w:rsidRPr="00DC2F4A" w:rsidRDefault="00AC2698" w:rsidP="00DC2F4A">
      <w:pPr>
        <w:pStyle w:val="EndnoteText"/>
        <w:jc w:val="both"/>
        <w:rPr>
          <w:rFonts w:ascii="Times New Roman" w:hAnsi="Times New Roman"/>
          <w:lang w:val="es-ES"/>
        </w:rPr>
      </w:pPr>
      <w:r w:rsidRPr="00DC2F4A">
        <w:rPr>
          <w:rStyle w:val="EndnoteReference"/>
          <w:b w:val="0"/>
          <w:sz w:val="20"/>
        </w:rPr>
        <w:endnoteRef/>
      </w:r>
      <w:r w:rsidRPr="00DC2F4A">
        <w:rPr>
          <w:rFonts w:ascii="Times New Roman" w:hAnsi="Times New Roman"/>
          <w:b/>
        </w:rPr>
        <w:t xml:space="preserve"> </w:t>
      </w:r>
      <w:r w:rsidRPr="00DC2F4A">
        <w:rPr>
          <w:rFonts w:ascii="Times New Roman" w:hAnsi="Times New Roman"/>
          <w:lang w:val="es-ES"/>
        </w:rPr>
        <w:t xml:space="preserve">Organización Mundial de la Salud. </w:t>
      </w:r>
      <w:hyperlink r:id="rId21" w:history="1">
        <w:r w:rsidRPr="00DC2F4A">
          <w:rPr>
            <w:rStyle w:val="Hyperlink"/>
            <w:rFonts w:ascii="Times New Roman" w:hAnsi="Times New Roman"/>
            <w:i/>
            <w:lang w:val="es-ES"/>
          </w:rPr>
          <w:t>Directrices sobre la atención para el aborto</w:t>
        </w:r>
      </w:hyperlink>
      <w:r w:rsidRPr="00DC2F4A">
        <w:rPr>
          <w:rFonts w:ascii="Times New Roman" w:hAnsi="Times New Roman"/>
          <w:lang w:val="es-ES"/>
        </w:rPr>
        <w:t xml:space="preserve">, (marzo 8, 2022). Vea también: Centro de Derechos Reproductivos, Las nuevas Directrices sobre la atención para el Aborto de la OMS: Lo </w:t>
      </w:r>
      <w:hyperlink r:id="rId22" w:history="1">
        <w:r w:rsidRPr="00DC2F4A">
          <w:rPr>
            <w:rStyle w:val="Hyperlink"/>
            <w:rFonts w:ascii="Times New Roman" w:hAnsi="Times New Roman"/>
            <w:lang w:val="es-ES"/>
          </w:rPr>
          <w:t>más destacado de sus Recomendaciones Legislación y Políticas (2022)</w:t>
        </w:r>
      </w:hyperlink>
      <w:r w:rsidRPr="00DC2F4A">
        <w:rPr>
          <w:rFonts w:ascii="Times New Roman" w:hAnsi="Times New Roman"/>
          <w:lang w:val="es-ES"/>
        </w:rPr>
        <w:t>, Recomendación legal y de políticas 1: penalización. Adicionalmente, en los últimos años, los órganos de derechos humanos han venido expresado la obligación de los Estados de garantizar el acceso al aborto sin hacer referencia a los requisitos mínimos de las leyes basadas en motivos y señalando que las normas sobre el aborto no deben obligar a las personas a someterse a abortos peligrosos, en consonancia con las recientes directrices de la OMS que demuestran que las leyes basadas en causales provocan abortos peligrosos.</w:t>
      </w:r>
    </w:p>
  </w:endnote>
  <w:endnote w:id="19">
    <w:p w14:paraId="6DCF6622" w14:textId="77777777" w:rsidR="00AC2698" w:rsidRPr="00DC2F4A" w:rsidRDefault="00AC2698" w:rsidP="00DC2F4A">
      <w:pPr>
        <w:pStyle w:val="EndnoteText"/>
        <w:jc w:val="both"/>
        <w:rPr>
          <w:rFonts w:ascii="Times New Roman" w:hAnsi="Times New Roman"/>
        </w:rPr>
      </w:pPr>
      <w:r w:rsidRPr="00DC2F4A">
        <w:rPr>
          <w:rStyle w:val="EndnoteReference"/>
          <w:sz w:val="20"/>
        </w:rPr>
        <w:endnoteRef/>
      </w:r>
      <w:r w:rsidRPr="00DC2F4A">
        <w:rPr>
          <w:rFonts w:ascii="Times New Roman" w:hAnsi="Times New Roman"/>
        </w:rPr>
        <w:t xml:space="preserve"> Comité de Derechos Humanos. </w:t>
      </w:r>
      <w:hyperlink r:id="rId23" w:history="1">
        <w:r w:rsidRPr="00DC2F4A">
          <w:rPr>
            <w:rStyle w:val="Hyperlink"/>
            <w:rFonts w:ascii="Times New Roman" w:hAnsi="Times New Roman"/>
            <w:i/>
          </w:rPr>
          <w:t xml:space="preserve">Observación general </w:t>
        </w:r>
        <w:r w:rsidRPr="00DC2F4A">
          <w:rPr>
            <w:rStyle w:val="Hyperlink"/>
            <w:rFonts w:ascii="Times New Roman" w:hAnsi="Times New Roman"/>
            <w:i/>
          </w:rPr>
          <w:t>nº 36 Art. 6: derecho a la vida</w:t>
        </w:r>
        <w:r w:rsidRPr="00DC2F4A">
          <w:rPr>
            <w:rStyle w:val="Hyperlink"/>
            <w:rFonts w:ascii="Times New Roman" w:hAnsi="Times New Roman"/>
          </w:rPr>
          <w:t>,</w:t>
        </w:r>
      </w:hyperlink>
      <w:r w:rsidRPr="00DC2F4A">
        <w:rPr>
          <w:rFonts w:ascii="Times New Roman" w:hAnsi="Times New Roman"/>
        </w:rPr>
        <w:t xml:space="preserve"> párr. 8, CCPR/C/GC/36 (3 septiembre 2019). </w:t>
      </w:r>
      <w:r w:rsidRPr="00DC2F4A">
        <w:rPr>
          <w:rFonts w:ascii="Times New Roman" w:eastAsia="Times New Roman" w:hAnsi="Times New Roman"/>
          <w:kern w:val="2"/>
          <w:lang w:val="es-ES"/>
          <w14:ligatures w14:val="standardContextual"/>
        </w:rPr>
        <w:t xml:space="preserve"> Adicionalmente, la Recomendación General nº 30 del Comité de la CEDAW señala que los Estados deben "[a]segurar que la atención de la salud sexual y reproductiva incluya el acceso a información sobre la salud y los derechos sexuales y </w:t>
      </w:r>
      <w:r w:rsidRPr="00DC2F4A">
        <w:rPr>
          <w:rFonts w:ascii="Times New Roman" w:eastAsia="Times New Roman" w:hAnsi="Times New Roman"/>
          <w:kern w:val="2"/>
          <w:lang w:val="es-ES"/>
          <w14:ligatures w14:val="standardContextual"/>
        </w:rPr>
        <w:t xml:space="preserve">reproductivos;... servicios de aborto seguro; atención posterior al aborto..." En Comité para la Eliminación de la Discriminación contra la Mujer. </w:t>
      </w:r>
      <w:hyperlink r:id="rId24" w:history="1">
        <w:r w:rsidRPr="00DC2F4A">
          <w:rPr>
            <w:rStyle w:val="Hyperlink"/>
            <w:rFonts w:ascii="Times New Roman" w:eastAsia="Times New Roman" w:hAnsi="Times New Roman"/>
            <w:i/>
            <w:kern w:val="2"/>
            <w:lang w:val="es-ES"/>
            <w14:ligatures w14:val="standardContextual"/>
          </w:rPr>
          <w:t>Recomendación general núm. 30 sobre la mujer en la prevención de conflictos y en situaciones de conflicto y posteriores a conflictos</w:t>
        </w:r>
      </w:hyperlink>
      <w:r w:rsidRPr="00DC2F4A">
        <w:rPr>
          <w:rFonts w:ascii="Times New Roman" w:eastAsia="Times New Roman" w:hAnsi="Times New Roman"/>
          <w:kern w:val="2"/>
          <w:lang w:val="es-ES"/>
          <w14:ligatures w14:val="standardContextual"/>
        </w:rPr>
        <w:t xml:space="preserve">, párr. 52, CEDAW/C/GC/30 (1 noviembre 2013); El Comité de Derechos Económicos, Sociales y Culturales ha afirmado que para prevenir los abortos peligrosos es necesario que los Estados liberalicen las leyes restrictivas sobre el aborto y eliminen las leyes y políticas que menoscaban la autonomía y el derecho a la igualdad y a la no discriminación en el pleno disfrute del derecho a la salud sexual y reproductiva, por ejemplo, poniendo fin a la penalización del aborto o eliminando las leyes restrictivas sobre el aborto, Comité de Derechos Económicos, Sociales y Culturales. </w:t>
      </w:r>
      <w:hyperlink r:id="rId25" w:history="1">
        <w:r w:rsidRPr="00DC2F4A">
          <w:rPr>
            <w:rStyle w:val="Hyperlink"/>
            <w:rFonts w:ascii="Times New Roman" w:eastAsia="Times New Roman" w:hAnsi="Times New Roman"/>
            <w:i/>
            <w:kern w:val="2"/>
            <w:lang w:val="es-ES"/>
            <w14:ligatures w14:val="standardContextual"/>
          </w:rPr>
          <w:t>Observación general n.º 22 (2016) sobre el derecho a la salud sexual y reproductiva (artículo 12 del Pacto Internacional de Derechos Económicos, Sociales y Culturales)</w:t>
        </w:r>
      </w:hyperlink>
      <w:r w:rsidRPr="00DC2F4A">
        <w:rPr>
          <w:rFonts w:ascii="Times New Roman" w:eastAsia="Times New Roman" w:hAnsi="Times New Roman"/>
          <w:kern w:val="2"/>
          <w:lang w:val="es-ES"/>
          <w14:ligatures w14:val="standardContextual"/>
        </w:rPr>
        <w:t xml:space="preserve">, paras 28, 34. E/C.12/GC/22,  (2 mayo 2016).  </w:t>
      </w:r>
    </w:p>
  </w:endnote>
  <w:endnote w:id="20">
    <w:p w14:paraId="32CCA062" w14:textId="77777777" w:rsidR="00AC2698" w:rsidRPr="00DC2F4A" w:rsidRDefault="00AC2698" w:rsidP="00DC2F4A">
      <w:pPr>
        <w:pStyle w:val="EndnoteText"/>
        <w:jc w:val="both"/>
        <w:rPr>
          <w:rFonts w:ascii="Times New Roman" w:hAnsi="Times New Roman"/>
          <w:b/>
          <w:lang w:val="en-US"/>
        </w:rPr>
      </w:pPr>
      <w:r w:rsidRPr="00DC2F4A">
        <w:rPr>
          <w:rStyle w:val="EndnoteReference"/>
          <w:b w:val="0"/>
          <w:sz w:val="20"/>
        </w:rPr>
        <w:endnoteRef/>
      </w:r>
      <w:r w:rsidRPr="00DC2F4A">
        <w:rPr>
          <w:rFonts w:ascii="Times New Roman" w:hAnsi="Times New Roman"/>
          <w:b/>
          <w:lang w:val="es-ES"/>
        </w:rPr>
        <w:t xml:space="preserve"> </w:t>
      </w:r>
      <w:r w:rsidRPr="00DC2F4A">
        <w:rPr>
          <w:rFonts w:ascii="Times New Roman" w:hAnsi="Times New Roman"/>
        </w:rPr>
        <w:t>Comisión Interamericana de Derechos Humanos</w:t>
      </w:r>
      <w:r w:rsidRPr="00DC2F4A">
        <w:rPr>
          <w:rFonts w:ascii="Times New Roman" w:hAnsi="Times New Roman"/>
          <w:i/>
        </w:rPr>
        <w:t xml:space="preserve">, </w:t>
      </w:r>
      <w:hyperlink r:id="rId26" w:history="1">
        <w:r w:rsidRPr="00DC2F4A">
          <w:rPr>
            <w:rStyle w:val="Hyperlink"/>
            <w:rFonts w:ascii="Times New Roman" w:hAnsi="Times New Roman"/>
            <w:i/>
            <w:lang w:val="es-ES"/>
          </w:rPr>
          <w:t>Informe Anual 2018. Nicaragua</w:t>
        </w:r>
      </w:hyperlink>
      <w:r w:rsidRPr="00DC2F4A">
        <w:rPr>
          <w:rFonts w:ascii="Times New Roman" w:hAnsi="Times New Roman"/>
          <w:i/>
          <w:lang w:val="es-ES"/>
        </w:rPr>
        <w:t>. Capítulo IV.B</w:t>
      </w:r>
      <w:r w:rsidRPr="00DC2F4A">
        <w:rPr>
          <w:rFonts w:ascii="Times New Roman" w:hAnsi="Times New Roman"/>
          <w:lang w:val="es-ES"/>
        </w:rPr>
        <w:t xml:space="preserve">, párr. 219, (2018); </w:t>
      </w:r>
      <w:r w:rsidRPr="00DC2F4A">
        <w:rPr>
          <w:rFonts w:ascii="Times New Roman" w:hAnsi="Times New Roman"/>
        </w:rPr>
        <w:t>Comisión Interamericana de Derechos Humanos,</w:t>
      </w:r>
      <w:r w:rsidRPr="00DC2F4A">
        <w:rPr>
          <w:rFonts w:ascii="Times New Roman" w:hAnsi="Times New Roman"/>
          <w:lang w:val="es-ES"/>
        </w:rPr>
        <w:t xml:space="preserve"> </w:t>
      </w:r>
      <w:hyperlink r:id="rId27" w:history="1">
        <w:r w:rsidRPr="00DC2F4A">
          <w:rPr>
            <w:rStyle w:val="Hyperlink"/>
            <w:rFonts w:ascii="Times New Roman" w:hAnsi="Times New Roman"/>
            <w:i/>
            <w:lang w:val="es-ES"/>
          </w:rPr>
          <w:t xml:space="preserve">Informe Anual 2018. </w:t>
        </w:r>
        <w:r w:rsidRPr="00DC2F4A">
          <w:rPr>
            <w:rStyle w:val="Hyperlink"/>
            <w:rFonts w:ascii="Times New Roman" w:hAnsi="Times New Roman"/>
            <w:i/>
            <w:lang w:val="en-US"/>
          </w:rPr>
          <w:t xml:space="preserve">República Dominicana – </w:t>
        </w:r>
        <w:r w:rsidRPr="00DC2F4A">
          <w:rPr>
            <w:rStyle w:val="Hyperlink"/>
            <w:rFonts w:ascii="Times New Roman" w:hAnsi="Times New Roman"/>
            <w:i/>
            <w:lang w:val="en-US"/>
          </w:rPr>
          <w:t>Capítulo V</w:t>
        </w:r>
      </w:hyperlink>
      <w:r w:rsidRPr="00DC2F4A">
        <w:rPr>
          <w:rFonts w:ascii="Times New Roman" w:hAnsi="Times New Roman"/>
          <w:lang w:val="en-US"/>
        </w:rPr>
        <w:t xml:space="preserve">, párr. 94,  (2018), and Diana Greene Foster &amp; Katrina Kimport, </w:t>
      </w:r>
      <w:hyperlink r:id="rId28" w:history="1">
        <w:r w:rsidRPr="00DC2F4A">
          <w:rPr>
            <w:rStyle w:val="Hyperlink"/>
            <w:rFonts w:ascii="Times New Roman" w:hAnsi="Times New Roman"/>
            <w:i/>
            <w:lang w:val="en-US"/>
          </w:rPr>
          <w:t>Who seeks abortions at or after 20 weeks?</w:t>
        </w:r>
      </w:hyperlink>
      <w:r w:rsidRPr="00DC2F4A">
        <w:rPr>
          <w:rStyle w:val="Hyperlink"/>
          <w:rFonts w:ascii="Times New Roman" w:hAnsi="Times New Roman"/>
          <w:i/>
          <w:lang w:val="en-US"/>
        </w:rPr>
        <w:t>,</w:t>
      </w:r>
      <w:r w:rsidRPr="00DC2F4A">
        <w:rPr>
          <w:rFonts w:ascii="Times New Roman" w:hAnsi="Times New Roman"/>
          <w:lang w:val="en-US"/>
        </w:rPr>
        <w:t xml:space="preserve"> 45, Perspect Sex Reprod Health, 210–18, (2013).</w:t>
      </w:r>
    </w:p>
  </w:endnote>
  <w:endnote w:id="21">
    <w:p w14:paraId="6F31A278" w14:textId="4AD634A3" w:rsidR="00AC2698" w:rsidRPr="00DC2F4A" w:rsidRDefault="00AC2698" w:rsidP="00DC2F4A">
      <w:pPr>
        <w:spacing w:after="0" w:line="240" w:lineRule="auto"/>
        <w:ind w:left="-20" w:right="-20"/>
        <w:jc w:val="both"/>
        <w:rPr>
          <w:rFonts w:ascii="Times New Roman" w:hAnsi="Times New Roman" w:cs="Times New Roman"/>
          <w:sz w:val="20"/>
          <w:szCs w:val="20"/>
          <w:lang w:val="es-ES"/>
        </w:rPr>
      </w:pPr>
      <w:r w:rsidRPr="00DC2F4A">
        <w:rPr>
          <w:rStyle w:val="EndnoteReference"/>
          <w:rFonts w:cs="Times New Roman"/>
          <w:b w:val="0"/>
          <w:sz w:val="20"/>
          <w:szCs w:val="20"/>
        </w:rPr>
        <w:endnoteRef/>
      </w:r>
      <w:r w:rsidRPr="00DC2F4A">
        <w:rPr>
          <w:rFonts w:ascii="Times New Roman" w:hAnsi="Times New Roman" w:cs="Times New Roman"/>
          <w:b/>
          <w:sz w:val="20"/>
          <w:szCs w:val="20"/>
          <w:lang w:val="es-ES"/>
        </w:rPr>
        <w:t xml:space="preserve"> </w:t>
      </w:r>
      <w:r w:rsidRPr="00DC2F4A">
        <w:rPr>
          <w:rFonts w:ascii="Times New Roman" w:eastAsia="Times New Roman" w:hAnsi="Times New Roman" w:cs="Times New Roman"/>
          <w:sz w:val="20"/>
          <w:szCs w:val="20"/>
          <w:lang w:val="es-CO"/>
        </w:rPr>
        <w:t>Adicionalmente el Comité ha dicho que los Estados deben garantizar que los sistemas y servicios de salud puedan satisfacer las necesidades de salud sexual y reproductiva de los y las adolescentes, en particular mediante una planificación familiar segura, servicios de aborto y atención psicológica.</w:t>
      </w:r>
      <w:r w:rsidRPr="00DC2F4A">
        <w:rPr>
          <w:rFonts w:ascii="Times New Roman" w:eastAsiaTheme="minorEastAsia" w:hAnsi="Times New Roman" w:cs="Times New Roman"/>
          <w:sz w:val="20"/>
          <w:szCs w:val="20"/>
          <w:lang w:val="es-ES"/>
        </w:rPr>
        <w:t xml:space="preserve"> Comité de los Derechos del Niño. </w:t>
      </w:r>
      <w:r w:rsidR="003479C0">
        <w:rPr>
          <w:rFonts w:ascii="Times New Roman" w:eastAsiaTheme="minorEastAsia" w:hAnsi="Times New Roman" w:cs="Times New Roman"/>
          <w:sz w:val="20"/>
          <w:szCs w:val="20"/>
          <w:lang w:val="es-ES"/>
        </w:rPr>
        <w:t xml:space="preserve">Casp Camila v. Perú. </w:t>
      </w:r>
      <w:hyperlink r:id="rId29" w:history="1">
        <w:r w:rsidRPr="00DC2F4A">
          <w:rPr>
            <w:rStyle w:val="Hyperlink"/>
            <w:rFonts w:ascii="Times New Roman" w:eastAsiaTheme="minorEastAsia" w:hAnsi="Times New Roman" w:cs="Times New Roman"/>
            <w:i/>
            <w:sz w:val="20"/>
            <w:szCs w:val="20"/>
            <w:lang w:val="es-ES"/>
          </w:rPr>
          <w:t>Dictamen aprobado por el Comité en relación con el Protocolo Facultativo de la Convención sobre los Derechos del Niño relativo a un procedimiento de comunicaciones, respecto de la comunicación núm. 136/2021</w:t>
        </w:r>
      </w:hyperlink>
      <w:r w:rsidRPr="00DC2F4A">
        <w:rPr>
          <w:rFonts w:ascii="Times New Roman" w:eastAsiaTheme="minorEastAsia" w:hAnsi="Times New Roman" w:cs="Times New Roman"/>
          <w:sz w:val="20"/>
          <w:szCs w:val="20"/>
          <w:lang w:val="es-ES"/>
        </w:rPr>
        <w:t xml:space="preserve">, párr. 8.11, CRC/C/93/D/136/2021, (13 junio 2023). </w:t>
      </w:r>
    </w:p>
  </w:endnote>
  <w:endnote w:id="22">
    <w:p w14:paraId="5E32D1C0" w14:textId="77777777" w:rsidR="00AC2698" w:rsidRPr="00DC2F4A" w:rsidRDefault="00AC2698" w:rsidP="00DC2F4A">
      <w:pPr>
        <w:spacing w:after="0" w:line="240" w:lineRule="auto"/>
        <w:ind w:left="-20" w:right="-20"/>
        <w:jc w:val="both"/>
        <w:rPr>
          <w:rFonts w:ascii="Times New Roman" w:eastAsia="Times New Roman" w:hAnsi="Times New Roman" w:cs="Times New Roman"/>
          <w:sz w:val="20"/>
          <w:szCs w:val="20"/>
          <w:lang w:val="es"/>
        </w:rPr>
      </w:pPr>
      <w:r w:rsidRPr="00DC2F4A">
        <w:rPr>
          <w:rStyle w:val="EndnoteReference"/>
          <w:rFonts w:cs="Times New Roman"/>
          <w:b w:val="0"/>
          <w:sz w:val="20"/>
          <w:szCs w:val="20"/>
        </w:rPr>
        <w:endnoteRef/>
      </w:r>
      <w:r w:rsidRPr="00DC2F4A">
        <w:rPr>
          <w:rFonts w:ascii="Times New Roman" w:hAnsi="Times New Roman" w:cs="Times New Roman"/>
          <w:sz w:val="20"/>
          <w:szCs w:val="20"/>
          <w:lang w:val="es-ES"/>
        </w:rPr>
        <w:t xml:space="preserve"> </w:t>
      </w:r>
      <w:r w:rsidRPr="00DC2F4A">
        <w:rPr>
          <w:rFonts w:ascii="Times New Roman" w:eastAsiaTheme="minorEastAsia" w:hAnsi="Times New Roman" w:cs="Times New Roman"/>
          <w:i/>
          <w:sz w:val="20"/>
          <w:szCs w:val="20"/>
          <w:lang w:val="es-ES"/>
        </w:rPr>
        <w:t>Ibid.</w:t>
      </w:r>
      <w:r w:rsidRPr="00DC2F4A">
        <w:rPr>
          <w:rFonts w:ascii="Times New Roman" w:eastAsiaTheme="minorEastAsia" w:hAnsi="Times New Roman" w:cs="Times New Roman"/>
          <w:sz w:val="20"/>
          <w:szCs w:val="20"/>
          <w:lang w:val="es-ES"/>
        </w:rPr>
        <w:t xml:space="preserve"> párr. 8.15</w:t>
      </w:r>
    </w:p>
  </w:endnote>
  <w:endnote w:id="23">
    <w:p w14:paraId="5EA58BD7" w14:textId="77777777" w:rsidR="00AC2698" w:rsidRPr="00DC2F4A" w:rsidRDefault="00AC2698" w:rsidP="00DC2F4A">
      <w:pPr>
        <w:pStyle w:val="EndnoteText"/>
        <w:jc w:val="both"/>
        <w:rPr>
          <w:rFonts w:ascii="Times New Roman" w:hAnsi="Times New Roman"/>
        </w:rPr>
      </w:pPr>
      <w:r w:rsidRPr="00DC2F4A">
        <w:rPr>
          <w:rStyle w:val="EndnoteReference"/>
          <w:b w:val="0"/>
          <w:sz w:val="20"/>
        </w:rPr>
        <w:endnoteRef/>
      </w:r>
      <w:r w:rsidRPr="00DC2F4A">
        <w:rPr>
          <w:rFonts w:ascii="Times New Roman" w:hAnsi="Times New Roman"/>
          <w:i/>
        </w:rPr>
        <w:t>Ibid.</w:t>
      </w:r>
    </w:p>
  </w:endnote>
  <w:endnote w:id="24">
    <w:p w14:paraId="07B9E75E" w14:textId="35A55A52" w:rsidR="00C93282" w:rsidRPr="00DC2F4A" w:rsidRDefault="00C93282" w:rsidP="00DC2F4A">
      <w:pPr>
        <w:pStyle w:val="paragraph"/>
        <w:spacing w:before="0" w:beforeAutospacing="0" w:after="0" w:afterAutospacing="0"/>
        <w:jc w:val="both"/>
        <w:textAlignment w:val="baseline"/>
        <w:rPr>
          <w:sz w:val="20"/>
          <w:szCs w:val="20"/>
          <w:lang w:val="es-CO"/>
        </w:rPr>
      </w:pPr>
      <w:r w:rsidRPr="00DC2F4A">
        <w:rPr>
          <w:rStyle w:val="EndnoteReference"/>
          <w:sz w:val="20"/>
          <w:szCs w:val="20"/>
        </w:rPr>
        <w:endnoteRef/>
      </w:r>
      <w:r w:rsidRPr="00DC2F4A">
        <w:rPr>
          <w:sz w:val="20"/>
          <w:szCs w:val="20"/>
          <w:lang w:val="es-CO"/>
        </w:rPr>
        <w:t xml:space="preserve"> </w:t>
      </w:r>
      <w:r w:rsidRPr="00DC2F4A">
        <w:rPr>
          <w:rStyle w:val="normaltextrun"/>
          <w:sz w:val="20"/>
          <w:szCs w:val="20"/>
          <w:lang w:val="es-CO"/>
        </w:rPr>
        <w:t xml:space="preserve"> Tanto el Comité CEDAW como el Comité DESC han pedido a los Estados que garanticen el acceso al aborto seguro sin especificar una norma mínima basada en excepciones. Ver:  Comité para la Eliminación de la Discriminación contra la Mujer. </w:t>
      </w:r>
      <w:hyperlink r:id="rId30" w:history="1">
        <w:r w:rsidRPr="00DC2F4A">
          <w:rPr>
            <w:rStyle w:val="Hyperlink"/>
            <w:i/>
            <w:sz w:val="20"/>
            <w:szCs w:val="20"/>
            <w:lang w:val="es-CO"/>
          </w:rPr>
          <w:t xml:space="preserve">Recomendación general núm. 30 sobre las mujeres en la prevención de conflictos y en situaciones de </w:t>
        </w:r>
        <w:r w:rsidRPr="00DC2F4A">
          <w:rPr>
            <w:rStyle w:val="Hyperlink"/>
            <w:i/>
            <w:sz w:val="20"/>
            <w:szCs w:val="20"/>
            <w:lang w:val="es-CO"/>
          </w:rPr>
          <w:t>conflicto  y posteriores a conflictos</w:t>
        </w:r>
      </w:hyperlink>
      <w:r w:rsidRPr="00DC2F4A">
        <w:rPr>
          <w:rStyle w:val="normaltextrun"/>
          <w:sz w:val="20"/>
          <w:szCs w:val="20"/>
          <w:lang w:val="es-CO"/>
        </w:rPr>
        <w:t xml:space="preserve">, párr. 52, CEDAW/C/GC/30 (noviembre 1, 2013); y </w:t>
      </w:r>
      <w:r w:rsidRPr="00DC2F4A">
        <w:rPr>
          <w:rFonts w:eastAsiaTheme="majorEastAsia"/>
          <w:sz w:val="20"/>
          <w:szCs w:val="20"/>
          <w:lang w:val="es-CO"/>
        </w:rPr>
        <w:t xml:space="preserve">Comité de Derechos Económicos, Sociales y Culturales. </w:t>
      </w:r>
      <w:hyperlink r:id="rId31">
        <w:r w:rsidRPr="00DC2F4A">
          <w:rPr>
            <w:rStyle w:val="Hyperlink"/>
            <w:rFonts w:eastAsiaTheme="majorEastAsia"/>
            <w:i/>
            <w:sz w:val="20"/>
            <w:szCs w:val="20"/>
            <w:lang w:val="es-CO"/>
          </w:rPr>
          <w:t>Observación general núm. 22 (2016), relativa al derecho a la salud sexual y reproductiva (artículo 12 del Pacto Internacional de Derechos Económicos, Sociales y Culturales).</w:t>
        </w:r>
      </w:hyperlink>
      <w:r w:rsidRPr="00DC2F4A">
        <w:rPr>
          <w:rFonts w:eastAsiaTheme="majorEastAsia"/>
          <w:sz w:val="20"/>
          <w:szCs w:val="20"/>
          <w:lang w:val="es-CO"/>
        </w:rPr>
        <w:t xml:space="preserve"> párr. 28 y 34. E/C.12/GC/22 (mayo 2, 2016).</w:t>
      </w:r>
      <w:r w:rsidR="003479C0">
        <w:rPr>
          <w:rFonts w:eastAsiaTheme="majorEastAsia"/>
          <w:sz w:val="20"/>
          <w:szCs w:val="20"/>
          <w:lang w:val="es-CO"/>
        </w:rPr>
        <w:t xml:space="preserve"> </w:t>
      </w:r>
      <w:r w:rsidRPr="00DC2F4A">
        <w:rPr>
          <w:rStyle w:val="normaltextrun"/>
          <w:sz w:val="20"/>
          <w:szCs w:val="20"/>
          <w:lang w:val="es-CO"/>
        </w:rPr>
        <w:t>Asimismo, el Comité de Derechos Humanos en su Observación General </w:t>
      </w:r>
      <w:r w:rsidRPr="00DC2F4A">
        <w:rPr>
          <w:rStyle w:val="normaltextrun"/>
          <w:sz w:val="20"/>
          <w:szCs w:val="20"/>
          <w:lang w:val="es-CO"/>
        </w:rPr>
        <w:t xml:space="preserve">nº 36 a la vez que articulaba el marco mínimo basado en excepciones que los Estados tienen la obligación de cumplir, también articulaba la obligación de que "los Estados Partes no pueden regular el embarazo o el aborto en todos los demás casos de manera contraria a su deber de garantizar que las mujeres y las niñas no tengan que someterse a abortos peligrosos." en Comité de Derechos Humanos, </w:t>
      </w:r>
      <w:hyperlink r:id="rId32" w:history="1">
        <w:r w:rsidRPr="00DC2F4A">
          <w:rPr>
            <w:rStyle w:val="Hyperlink"/>
            <w:i/>
            <w:sz w:val="20"/>
            <w:szCs w:val="20"/>
            <w:lang w:val="es-CO"/>
          </w:rPr>
          <w:t>Observación General 36</w:t>
        </w:r>
      </w:hyperlink>
      <w:r w:rsidRPr="00DC2F4A">
        <w:rPr>
          <w:rStyle w:val="normaltextrun"/>
          <w:sz w:val="20"/>
          <w:szCs w:val="20"/>
          <w:lang w:val="es-CO"/>
        </w:rPr>
        <w:t>, párr. 8, CCPR/C/GC/36, (septiembre 3, 2019).</w:t>
      </w:r>
    </w:p>
  </w:endnote>
  <w:endnote w:id="25">
    <w:p w14:paraId="01EDAB90" w14:textId="77777777" w:rsidR="00C93282" w:rsidRPr="00DC2F4A" w:rsidRDefault="00C93282" w:rsidP="00DC2F4A">
      <w:pPr>
        <w:pStyle w:val="EndnoteText"/>
        <w:jc w:val="both"/>
        <w:rPr>
          <w:rFonts w:ascii="Times New Roman" w:hAnsi="Times New Roman"/>
        </w:rPr>
      </w:pPr>
      <w:r w:rsidRPr="00DC2F4A">
        <w:rPr>
          <w:rStyle w:val="EndnoteReference"/>
          <w:sz w:val="20"/>
        </w:rPr>
        <w:endnoteRef/>
      </w:r>
      <w:r w:rsidRPr="00DC2F4A">
        <w:rPr>
          <w:rFonts w:ascii="Times New Roman" w:hAnsi="Times New Roman"/>
        </w:rPr>
        <w:t xml:space="preserve"> Organización Mundial de la Salud</w:t>
      </w:r>
      <w:r w:rsidRPr="00DC2F4A">
        <w:rPr>
          <w:rFonts w:ascii="Times New Roman" w:hAnsi="Times New Roman"/>
          <w:i/>
          <w:iCs/>
        </w:rPr>
        <w:t xml:space="preserve">, </w:t>
      </w:r>
      <w:hyperlink r:id="rId33" w:history="1">
        <w:r w:rsidRPr="00DC2F4A">
          <w:rPr>
            <w:rStyle w:val="Hyperlink"/>
            <w:rFonts w:ascii="Times New Roman" w:hAnsi="Times New Roman"/>
            <w:i/>
            <w:iCs/>
          </w:rPr>
          <w:t>Directrices sobre la atención para el aborto</w:t>
        </w:r>
      </w:hyperlink>
      <w:r w:rsidRPr="00DC2F4A">
        <w:rPr>
          <w:rFonts w:ascii="Times New Roman" w:hAnsi="Times New Roman"/>
        </w:rPr>
        <w:t xml:space="preserve">; sección 2.2.1 (pp. 24–25); sección 3.3.1 (pp. 41–42) y </w:t>
      </w:r>
      <w:r w:rsidRPr="00DC2F4A">
        <w:rPr>
          <w:rFonts w:ascii="Times New Roman" w:hAnsi="Times New Roman"/>
        </w:rPr>
        <w:t>sección  3.3.2 (pp. 42–44), (2022).</w:t>
      </w:r>
    </w:p>
  </w:endnote>
  <w:endnote w:id="26">
    <w:p w14:paraId="47892DDD" w14:textId="77777777" w:rsidR="007F083B" w:rsidRPr="00DC2F4A" w:rsidRDefault="007F083B" w:rsidP="00DC2F4A">
      <w:pPr>
        <w:pStyle w:val="EndnoteText"/>
        <w:jc w:val="both"/>
        <w:rPr>
          <w:rFonts w:ascii="Times New Roman" w:eastAsiaTheme="majorEastAsia" w:hAnsi="Times New Roman"/>
          <w:i/>
        </w:rPr>
      </w:pPr>
      <w:r w:rsidRPr="00DC2F4A">
        <w:rPr>
          <w:rStyle w:val="EndnoteReference"/>
          <w:rFonts w:eastAsiaTheme="majorEastAsia"/>
          <w:sz w:val="20"/>
        </w:rPr>
        <w:endnoteRef/>
      </w:r>
      <w:r w:rsidR="008E70BC" w:rsidRPr="00DC2F4A">
        <w:rPr>
          <w:rFonts w:ascii="Times New Roman" w:eastAsiaTheme="majorEastAsia" w:hAnsi="Times New Roman"/>
        </w:rPr>
        <w:t xml:space="preserve"> </w:t>
      </w:r>
      <w:r w:rsidRPr="00DC2F4A">
        <w:rPr>
          <w:rFonts w:ascii="Times New Roman" w:eastAsiaTheme="majorEastAsia" w:hAnsi="Times New Roman"/>
        </w:rPr>
        <w:t>Naciones Unidas, Consejo Económico y Social [ECOSOC].</w:t>
      </w:r>
      <w:r w:rsidRPr="00DC2F4A">
        <w:rPr>
          <w:rFonts w:ascii="Times New Roman" w:eastAsiaTheme="majorEastAsia" w:hAnsi="Times New Roman"/>
          <w:i/>
        </w:rPr>
        <w:t xml:space="preserve"> </w:t>
      </w:r>
      <w:hyperlink r:id="rId34" w:history="1">
        <w:r w:rsidRPr="00DC2F4A">
          <w:rPr>
            <w:rStyle w:val="Hyperlink"/>
            <w:rFonts w:ascii="Times New Roman" w:eastAsiaTheme="majorEastAsia" w:hAnsi="Times New Roman"/>
            <w:i/>
          </w:rPr>
          <w:t>Observaciones finales sobre el cuarto informe periódico de Guatemala</w:t>
        </w:r>
      </w:hyperlink>
      <w:r w:rsidRPr="00DC2F4A">
        <w:rPr>
          <w:rFonts w:ascii="Times New Roman" w:eastAsiaTheme="majorEastAsia" w:hAnsi="Times New Roman"/>
          <w:i/>
        </w:rPr>
        <w:t xml:space="preserve">, </w:t>
      </w:r>
      <w:r w:rsidRPr="00DC2F4A">
        <w:rPr>
          <w:rFonts w:ascii="Times New Roman" w:hAnsi="Times New Roman"/>
        </w:rPr>
        <w:br/>
      </w:r>
      <w:r w:rsidRPr="00DC2F4A">
        <w:rPr>
          <w:rFonts w:ascii="Times New Roman" w:eastAsiaTheme="majorEastAsia" w:hAnsi="Times New Roman"/>
        </w:rPr>
        <w:t>E/C.12/GTM/CO/4. (noviembre 11, 2022)</w:t>
      </w:r>
    </w:p>
  </w:endnote>
  <w:endnote w:id="27">
    <w:p w14:paraId="74B15099" w14:textId="4CFCE9DE" w:rsidR="007F083B" w:rsidRPr="00DC2F4A" w:rsidRDefault="007F083B" w:rsidP="00DC2F4A">
      <w:pPr>
        <w:pStyle w:val="EndnoteText"/>
        <w:jc w:val="both"/>
        <w:rPr>
          <w:rFonts w:ascii="Times New Roman" w:eastAsiaTheme="majorEastAsia" w:hAnsi="Times New Roman"/>
          <w:highlight w:val="yellow"/>
        </w:rPr>
      </w:pPr>
      <w:r w:rsidRPr="00DC2F4A">
        <w:rPr>
          <w:rStyle w:val="EndnoteReference"/>
          <w:rFonts w:eastAsiaTheme="majorEastAsia"/>
          <w:sz w:val="20"/>
        </w:rPr>
        <w:endnoteRef/>
      </w:r>
      <w:r w:rsidR="000016F1" w:rsidRPr="00DC2F4A">
        <w:rPr>
          <w:rFonts w:ascii="Times New Roman" w:eastAsiaTheme="majorEastAsia" w:hAnsi="Times New Roman"/>
        </w:rPr>
        <w:t xml:space="preserve"> </w:t>
      </w:r>
      <w:r w:rsidR="003479C0" w:rsidRPr="003479C0">
        <w:rPr>
          <w:rFonts w:ascii="Times New Roman" w:eastAsiaTheme="majorEastAsia" w:hAnsi="Times New Roman"/>
          <w:i/>
          <w:iCs/>
        </w:rPr>
        <w:t>Ibid.</w:t>
      </w:r>
      <w:r w:rsidR="003479C0">
        <w:rPr>
          <w:rFonts w:ascii="Times New Roman" w:eastAsiaTheme="majorEastAsia" w:hAnsi="Times New Roman"/>
        </w:rPr>
        <w:t xml:space="preserve"> </w:t>
      </w:r>
      <w:r w:rsidR="000016F1" w:rsidRPr="00DC2F4A">
        <w:rPr>
          <w:rFonts w:ascii="Times New Roman" w:eastAsiaTheme="majorEastAsia" w:hAnsi="Times New Roman"/>
        </w:rPr>
        <w:t xml:space="preserve"> Párr. 46</w:t>
      </w:r>
    </w:p>
  </w:endnote>
  <w:endnote w:id="28">
    <w:p w14:paraId="516DEB34" w14:textId="5E167EFB" w:rsidR="007F083B" w:rsidRPr="00DC2F4A" w:rsidRDefault="007F083B" w:rsidP="00DC2F4A">
      <w:pPr>
        <w:pStyle w:val="EndnoteText"/>
        <w:jc w:val="both"/>
        <w:rPr>
          <w:rFonts w:ascii="Times New Roman" w:eastAsiaTheme="majorEastAsia" w:hAnsi="Times New Roman"/>
          <w:highlight w:val="yellow"/>
        </w:rPr>
      </w:pPr>
      <w:r w:rsidRPr="00DC2F4A">
        <w:rPr>
          <w:rStyle w:val="EndnoteReference"/>
          <w:rFonts w:eastAsiaTheme="majorEastAsia"/>
          <w:sz w:val="20"/>
        </w:rPr>
        <w:endnoteRef/>
      </w:r>
      <w:r w:rsidR="000016F1" w:rsidRPr="00DC2F4A">
        <w:rPr>
          <w:rFonts w:ascii="Times New Roman" w:eastAsiaTheme="majorEastAsia" w:hAnsi="Times New Roman"/>
        </w:rPr>
        <w:t xml:space="preserve"> </w:t>
      </w:r>
      <w:r w:rsidR="003479C0" w:rsidRPr="003479C0">
        <w:rPr>
          <w:rFonts w:ascii="Times New Roman" w:eastAsiaTheme="majorEastAsia" w:hAnsi="Times New Roman"/>
          <w:i/>
          <w:iCs/>
        </w:rPr>
        <w:t>Ibid.</w:t>
      </w:r>
      <w:r w:rsidR="003479C0">
        <w:rPr>
          <w:rFonts w:ascii="Times New Roman" w:eastAsiaTheme="majorEastAsia" w:hAnsi="Times New Roman"/>
          <w:i/>
          <w:iCs/>
        </w:rPr>
        <w:t xml:space="preserve"> </w:t>
      </w:r>
      <w:r w:rsidR="000016F1" w:rsidRPr="00DC2F4A">
        <w:rPr>
          <w:rFonts w:ascii="Times New Roman" w:eastAsiaTheme="majorEastAsia" w:hAnsi="Times New Roman"/>
        </w:rPr>
        <w:t xml:space="preserve">Párr. 47.a </w:t>
      </w:r>
    </w:p>
  </w:endnote>
  <w:endnote w:id="29">
    <w:p w14:paraId="00E4F9D8" w14:textId="77777777" w:rsidR="007F083B" w:rsidRPr="00DC2F4A" w:rsidRDefault="007F083B" w:rsidP="00DC2F4A">
      <w:pPr>
        <w:pStyle w:val="EndnoteText"/>
        <w:jc w:val="both"/>
        <w:rPr>
          <w:rFonts w:ascii="Times New Roman" w:eastAsiaTheme="majorEastAsia" w:hAnsi="Times New Roman"/>
        </w:rPr>
      </w:pPr>
      <w:r w:rsidRPr="00DC2F4A">
        <w:rPr>
          <w:rStyle w:val="EndnoteReference"/>
          <w:rFonts w:eastAsiaTheme="majorEastAsia"/>
          <w:sz w:val="20"/>
        </w:rPr>
        <w:endnoteRef/>
      </w:r>
      <w:r w:rsidRPr="00DC2F4A">
        <w:rPr>
          <w:rFonts w:ascii="Times New Roman" w:eastAsiaTheme="majorEastAsia" w:hAnsi="Times New Roman"/>
        </w:rPr>
        <w:t xml:space="preserve"> Comité de Derechos Humanos.</w:t>
      </w:r>
      <w:r w:rsidRPr="00DC2F4A">
        <w:rPr>
          <w:rFonts w:ascii="Times New Roman" w:eastAsiaTheme="majorEastAsia" w:hAnsi="Times New Roman"/>
          <w:i/>
        </w:rPr>
        <w:t xml:space="preserve"> </w:t>
      </w:r>
      <w:hyperlink r:id="rId35">
        <w:r w:rsidRPr="00DC2F4A">
          <w:rPr>
            <w:rStyle w:val="Hyperlink"/>
            <w:rFonts w:ascii="Times New Roman" w:eastAsiaTheme="majorEastAsia" w:hAnsi="Times New Roman"/>
            <w:i/>
          </w:rPr>
          <w:t>Observaciones finales sobre el cuarto informe periódico de Guatemala.</w:t>
        </w:r>
      </w:hyperlink>
      <w:r w:rsidRPr="00DC2F4A">
        <w:rPr>
          <w:rFonts w:ascii="Times New Roman" w:eastAsiaTheme="majorEastAsia" w:hAnsi="Times New Roman"/>
          <w:i/>
        </w:rPr>
        <w:t xml:space="preserve"> </w:t>
      </w:r>
      <w:r w:rsidRPr="00DC2F4A">
        <w:rPr>
          <w:rFonts w:ascii="Times New Roman" w:eastAsiaTheme="majorEastAsia" w:hAnsi="Times New Roman"/>
        </w:rPr>
        <w:t>párr. 14. CCPR/C/GTM/CO/4, (mayo 7, 2018).</w:t>
      </w:r>
    </w:p>
  </w:endnote>
  <w:endnote w:id="30">
    <w:p w14:paraId="6B517FAD" w14:textId="7B495E6E" w:rsidR="007F083B" w:rsidRPr="00DC2F4A" w:rsidRDefault="007F083B" w:rsidP="00DC2F4A">
      <w:pPr>
        <w:pStyle w:val="EndnoteText"/>
        <w:jc w:val="both"/>
        <w:rPr>
          <w:rFonts w:ascii="Times New Roman" w:eastAsiaTheme="majorEastAsia" w:hAnsi="Times New Roman"/>
        </w:rPr>
      </w:pPr>
      <w:r w:rsidRPr="00DC2F4A">
        <w:rPr>
          <w:rStyle w:val="EndnoteReference"/>
          <w:sz w:val="20"/>
        </w:rPr>
        <w:endnoteRef/>
      </w:r>
      <w:r w:rsidR="000016F1" w:rsidRPr="00DC2F4A">
        <w:rPr>
          <w:rFonts w:ascii="Times New Roman" w:hAnsi="Times New Roman"/>
        </w:rPr>
        <w:t xml:space="preserve"> </w:t>
      </w:r>
      <w:r w:rsidR="003479C0" w:rsidRPr="003479C0">
        <w:rPr>
          <w:rFonts w:ascii="Times New Roman" w:eastAsiaTheme="majorEastAsia" w:hAnsi="Times New Roman"/>
          <w:i/>
          <w:iCs/>
        </w:rPr>
        <w:t>Ibid.</w:t>
      </w:r>
    </w:p>
  </w:endnote>
  <w:endnote w:id="31">
    <w:p w14:paraId="309BF022" w14:textId="77777777" w:rsidR="00191ECF" w:rsidRPr="00DC2F4A" w:rsidRDefault="00191ECF" w:rsidP="00DC2F4A">
      <w:pPr>
        <w:pStyle w:val="EndnoteText"/>
        <w:jc w:val="both"/>
        <w:rPr>
          <w:rFonts w:ascii="Times New Roman" w:hAnsi="Times New Roman"/>
        </w:rPr>
      </w:pPr>
      <w:r w:rsidRPr="00DC2F4A">
        <w:rPr>
          <w:rStyle w:val="EndnoteReference"/>
          <w:sz w:val="20"/>
        </w:rPr>
        <w:endnoteRef/>
      </w:r>
      <w:r w:rsidRPr="00DC2F4A">
        <w:rPr>
          <w:rFonts w:ascii="Times New Roman" w:hAnsi="Times New Roman"/>
        </w:rPr>
        <w:t xml:space="preserve"> </w:t>
      </w:r>
      <w:r w:rsidRPr="00DC2F4A">
        <w:rPr>
          <w:rFonts w:ascii="Times New Roman" w:hAnsi="Times New Roman"/>
          <w:lang w:val="es-ES"/>
        </w:rPr>
        <w:t xml:space="preserve">Comité para la Eliminación de la Discriminación contra la Mujer. </w:t>
      </w:r>
      <w:hyperlink r:id="rId36" w:history="1">
        <w:r w:rsidRPr="00DC2F4A">
          <w:rPr>
            <w:rStyle w:val="Hyperlink"/>
            <w:rFonts w:ascii="Times New Roman" w:hAnsi="Times New Roman"/>
            <w:lang w:val="es-ES"/>
          </w:rPr>
          <w:t>Observaciones finales sobre el décimo informe periódico de Guatemala</w:t>
        </w:r>
      </w:hyperlink>
      <w:r w:rsidRPr="00DC2F4A">
        <w:rPr>
          <w:rFonts w:ascii="Times New Roman" w:hAnsi="Times New Roman"/>
          <w:lang w:val="es-ES"/>
        </w:rPr>
        <w:t xml:space="preserve"> (2023) CEDAW/C/GTM/CO/10. 14 de noviembre de 2023</w:t>
      </w:r>
    </w:p>
  </w:endnote>
  <w:endnote w:id="32">
    <w:p w14:paraId="3BF86860" w14:textId="77777777" w:rsidR="00D472B9" w:rsidRPr="00DC2F4A" w:rsidRDefault="00D472B9" w:rsidP="00DC2F4A">
      <w:pPr>
        <w:pStyle w:val="EndnoteText"/>
        <w:jc w:val="both"/>
        <w:rPr>
          <w:rFonts w:ascii="Times New Roman" w:hAnsi="Times New Roman"/>
        </w:rPr>
      </w:pPr>
      <w:r w:rsidRPr="00DC2F4A">
        <w:rPr>
          <w:rStyle w:val="EndnoteReference"/>
          <w:b w:val="0"/>
          <w:sz w:val="20"/>
        </w:rPr>
        <w:endnoteRef/>
      </w:r>
      <w:r w:rsidRPr="00DC2F4A">
        <w:rPr>
          <w:rFonts w:ascii="Times New Roman" w:hAnsi="Times New Roman"/>
          <w:b/>
        </w:rPr>
        <w:t xml:space="preserve"> </w:t>
      </w:r>
      <w:r w:rsidR="00827732" w:rsidRPr="00DC2F4A">
        <w:rPr>
          <w:rFonts w:ascii="Times New Roman" w:hAnsi="Times New Roman"/>
        </w:rPr>
        <w:t xml:space="preserve">Comité de los Derechos del Niño. </w:t>
      </w:r>
      <w:hyperlink r:id="rId37" w:history="1">
        <w:r w:rsidR="00827732" w:rsidRPr="00DC2F4A">
          <w:rPr>
            <w:rStyle w:val="Hyperlink"/>
            <w:rFonts w:ascii="Times New Roman" w:hAnsi="Times New Roman"/>
          </w:rPr>
          <w:t>Séptimo informe periódico que Guatemala debía presentar en 2023 en virtud del artículo 44 de la Convención</w:t>
        </w:r>
      </w:hyperlink>
      <w:r w:rsidR="00827732" w:rsidRPr="00DC2F4A">
        <w:rPr>
          <w:rFonts w:ascii="Times New Roman" w:hAnsi="Times New Roman"/>
        </w:rPr>
        <w:t xml:space="preserve">. </w:t>
      </w:r>
      <w:r w:rsidR="00811EF2" w:rsidRPr="00DC2F4A">
        <w:rPr>
          <w:rFonts w:ascii="Times New Roman" w:hAnsi="Times New Roman"/>
        </w:rPr>
        <w:t xml:space="preserve">(12 de octubre de 2023) CRC/C/GTM/7. </w:t>
      </w:r>
      <w:r w:rsidR="001018D5" w:rsidRPr="00DC2F4A">
        <w:rPr>
          <w:rFonts w:ascii="Times New Roman" w:hAnsi="Times New Roman"/>
        </w:rPr>
        <w:t>Párr. 163-164</w:t>
      </w:r>
    </w:p>
  </w:endnote>
  <w:endnote w:id="33">
    <w:p w14:paraId="66D689C2" w14:textId="77FA0038" w:rsidR="77814389" w:rsidRPr="00DC2F4A" w:rsidRDefault="77814389" w:rsidP="00DC2F4A">
      <w:pPr>
        <w:spacing w:after="0" w:line="240" w:lineRule="auto"/>
        <w:ind w:left="-20" w:right="-20"/>
        <w:jc w:val="both"/>
        <w:rPr>
          <w:rFonts w:ascii="Times New Roman" w:hAnsi="Times New Roman" w:cs="Times New Roman"/>
          <w:sz w:val="20"/>
          <w:szCs w:val="20"/>
          <w:lang w:val="es-ES"/>
        </w:rPr>
      </w:pPr>
      <w:r w:rsidRPr="00DC2F4A">
        <w:rPr>
          <w:rStyle w:val="EndnoteReference"/>
          <w:rFonts w:cs="Times New Roman"/>
          <w:b w:val="0"/>
          <w:sz w:val="20"/>
          <w:szCs w:val="20"/>
        </w:rPr>
        <w:endnoteRef/>
      </w:r>
      <w:r w:rsidRPr="00DC2F4A">
        <w:rPr>
          <w:rFonts w:ascii="Times New Roman" w:hAnsi="Times New Roman" w:cs="Times New Roman"/>
          <w:b/>
          <w:sz w:val="20"/>
          <w:szCs w:val="20"/>
          <w:lang w:val="es-ES"/>
        </w:rPr>
        <w:t xml:space="preserve"> </w:t>
      </w:r>
      <w:r w:rsidR="00884240" w:rsidRPr="00DC2F4A">
        <w:rPr>
          <w:rFonts w:ascii="Times New Roman" w:hAnsi="Times New Roman" w:cs="Times New Roman"/>
          <w:sz w:val="20"/>
          <w:szCs w:val="20"/>
          <w:lang w:val="es-ES"/>
        </w:rPr>
        <w:t xml:space="preserve">De </w:t>
      </w:r>
      <w:r w:rsidR="005C4967" w:rsidRPr="00DC2F4A">
        <w:rPr>
          <w:rFonts w:ascii="Times New Roman" w:hAnsi="Times New Roman" w:cs="Times New Roman"/>
          <w:sz w:val="20"/>
          <w:szCs w:val="20"/>
          <w:lang w:val="es-ES"/>
        </w:rPr>
        <w:t xml:space="preserve">acuerdo </w:t>
      </w:r>
      <w:r w:rsidR="00884240" w:rsidRPr="00DC2F4A">
        <w:rPr>
          <w:rFonts w:ascii="Times New Roman" w:hAnsi="Times New Roman" w:cs="Times New Roman"/>
          <w:sz w:val="20"/>
          <w:szCs w:val="20"/>
          <w:lang w:val="es-ES"/>
        </w:rPr>
        <w:t xml:space="preserve">con la Organización Mundial de la Salud. </w:t>
      </w:r>
      <w:hyperlink r:id="rId38" w:history="1">
        <w:r w:rsidR="00884240" w:rsidRPr="00DC2F4A">
          <w:rPr>
            <w:rStyle w:val="Hyperlink"/>
            <w:rFonts w:ascii="Times New Roman" w:hAnsi="Times New Roman" w:cs="Times New Roman"/>
            <w:i/>
            <w:sz w:val="20"/>
            <w:szCs w:val="20"/>
            <w:lang w:val="es-ES"/>
          </w:rPr>
          <w:t>Directrices sobre la atención para el aborto</w:t>
        </w:r>
      </w:hyperlink>
      <w:r w:rsidR="00884240" w:rsidRPr="00DC2F4A">
        <w:rPr>
          <w:rFonts w:ascii="Times New Roman" w:hAnsi="Times New Roman" w:cs="Times New Roman"/>
          <w:sz w:val="20"/>
          <w:szCs w:val="20"/>
          <w:lang w:val="es-ES"/>
        </w:rPr>
        <w:t xml:space="preserve">, (marzo 8, 2022) </w:t>
      </w:r>
      <w:r w:rsidR="00AB5277" w:rsidRPr="00DC2F4A">
        <w:rPr>
          <w:rFonts w:ascii="Times New Roman" w:hAnsi="Times New Roman" w:cs="Times New Roman"/>
          <w:sz w:val="20"/>
          <w:szCs w:val="20"/>
          <w:lang w:val="es-ES"/>
        </w:rPr>
        <w:t>se recomienda</w:t>
      </w:r>
      <w:r w:rsidRPr="00DC2F4A">
        <w:rPr>
          <w:rFonts w:ascii="Times New Roman" w:hAnsi="Times New Roman" w:cs="Times New Roman"/>
          <w:sz w:val="20"/>
          <w:szCs w:val="20"/>
          <w:lang w:val="es-ES"/>
        </w:rPr>
        <w:t xml:space="preserve"> además que el aborto esté disponible a petición de la mujer, niña u otra persona embarazada [</w:t>
      </w:r>
      <w:r w:rsidR="00883E0B" w:rsidRPr="00DC2F4A">
        <w:rPr>
          <w:rFonts w:ascii="Times New Roman" w:eastAsia="Times New Roman" w:hAnsi="Times New Roman" w:cs="Times New Roman"/>
          <w:color w:val="000000" w:themeColor="text1"/>
          <w:sz w:val="20"/>
          <w:szCs w:val="20"/>
          <w:lang w:val="es-ES"/>
        </w:rPr>
        <w:t>Sección</w:t>
      </w:r>
      <w:r w:rsidRPr="00DC2F4A">
        <w:rPr>
          <w:rFonts w:ascii="Times New Roman" w:eastAsia="Times New Roman" w:hAnsi="Times New Roman" w:cs="Times New Roman"/>
          <w:color w:val="000000" w:themeColor="text1"/>
          <w:sz w:val="20"/>
          <w:szCs w:val="20"/>
          <w:lang w:val="es-ES"/>
        </w:rPr>
        <w:t xml:space="preserve"> 2.2.3 (pp. 28–29)],</w:t>
      </w:r>
      <w:r w:rsidRPr="00DC2F4A">
        <w:rPr>
          <w:rFonts w:ascii="Times New Roman" w:hAnsi="Times New Roman" w:cs="Times New Roman"/>
          <w:sz w:val="20"/>
          <w:szCs w:val="20"/>
          <w:lang w:val="es-ES"/>
        </w:rPr>
        <w:t xml:space="preserve"> en contra de los límites de edad gestacional [</w:t>
      </w:r>
      <w:r w:rsidRPr="00DC2F4A">
        <w:rPr>
          <w:rFonts w:ascii="Times New Roman" w:eastAsia="Times New Roman" w:hAnsi="Times New Roman" w:cs="Times New Roman"/>
          <w:color w:val="000000" w:themeColor="text1"/>
          <w:sz w:val="20"/>
          <w:szCs w:val="20"/>
          <w:lang w:val="es-ES"/>
        </w:rPr>
        <w:t xml:space="preserve">Id. </w:t>
      </w:r>
      <w:r w:rsidR="00883E0B" w:rsidRPr="00DC2F4A">
        <w:rPr>
          <w:rFonts w:ascii="Times New Roman" w:eastAsia="Times New Roman" w:hAnsi="Times New Roman" w:cs="Times New Roman"/>
          <w:color w:val="000000" w:themeColor="text1"/>
          <w:sz w:val="20"/>
          <w:szCs w:val="20"/>
          <w:lang w:val="es-ES"/>
        </w:rPr>
        <w:t>Sección</w:t>
      </w:r>
      <w:r w:rsidRPr="00DC2F4A">
        <w:rPr>
          <w:rFonts w:ascii="Times New Roman" w:eastAsia="Times New Roman" w:hAnsi="Times New Roman" w:cs="Times New Roman"/>
          <w:color w:val="000000" w:themeColor="text1"/>
          <w:sz w:val="20"/>
          <w:szCs w:val="20"/>
          <w:lang w:val="es-ES"/>
        </w:rPr>
        <w:t xml:space="preserve"> 2.2.1 (pp. 24–25)]</w:t>
      </w:r>
      <w:r w:rsidRPr="00DC2F4A">
        <w:rPr>
          <w:rFonts w:ascii="Times New Roman" w:hAnsi="Times New Roman" w:cs="Times New Roman"/>
          <w:sz w:val="20"/>
          <w:szCs w:val="20"/>
          <w:lang w:val="es-ES"/>
        </w:rPr>
        <w:t xml:space="preserve">, los periodos de espera obligatorios para abortar </w:t>
      </w:r>
      <w:r w:rsidRPr="00DC2F4A">
        <w:rPr>
          <w:rFonts w:ascii="Times New Roman" w:eastAsia="Times New Roman" w:hAnsi="Times New Roman" w:cs="Times New Roman"/>
          <w:color w:val="000000" w:themeColor="text1"/>
          <w:sz w:val="20"/>
          <w:szCs w:val="20"/>
          <w:lang w:val="es-ES"/>
        </w:rPr>
        <w:t xml:space="preserve">Id. at </w:t>
      </w:r>
      <w:r w:rsidR="00883E0B" w:rsidRPr="00DC2F4A">
        <w:rPr>
          <w:rFonts w:ascii="Times New Roman" w:eastAsia="Times New Roman" w:hAnsi="Times New Roman" w:cs="Times New Roman"/>
          <w:color w:val="000000" w:themeColor="text1"/>
          <w:sz w:val="20"/>
          <w:szCs w:val="20"/>
          <w:lang w:val="es-ES"/>
        </w:rPr>
        <w:t>Sección</w:t>
      </w:r>
      <w:r w:rsidRPr="00DC2F4A">
        <w:rPr>
          <w:rFonts w:ascii="Times New Roman" w:eastAsia="Times New Roman" w:hAnsi="Times New Roman" w:cs="Times New Roman"/>
          <w:color w:val="000000" w:themeColor="text1"/>
          <w:sz w:val="20"/>
          <w:szCs w:val="20"/>
          <w:lang w:val="es-ES"/>
        </w:rPr>
        <w:t xml:space="preserve"> 3.3.1 (pp. 41–42).</w:t>
      </w:r>
      <w:r w:rsidRPr="00DC2F4A">
        <w:rPr>
          <w:rFonts w:ascii="Times New Roman" w:hAnsi="Times New Roman" w:cs="Times New Roman"/>
          <w:sz w:val="20"/>
          <w:szCs w:val="20"/>
          <w:lang w:val="es-ES"/>
        </w:rPr>
        <w:t xml:space="preserve"> y la autorización de terceros </w:t>
      </w:r>
      <w:r w:rsidRPr="00DC2F4A">
        <w:rPr>
          <w:rFonts w:ascii="Times New Roman" w:eastAsia="Times New Roman" w:hAnsi="Times New Roman" w:cs="Times New Roman"/>
          <w:color w:val="000000" w:themeColor="text1"/>
          <w:sz w:val="20"/>
          <w:szCs w:val="20"/>
          <w:lang w:val="es-ES"/>
        </w:rPr>
        <w:t xml:space="preserve">Id. at </w:t>
      </w:r>
      <w:r w:rsidR="00883E0B" w:rsidRPr="00DC2F4A">
        <w:rPr>
          <w:rFonts w:ascii="Times New Roman" w:eastAsia="Times New Roman" w:hAnsi="Times New Roman" w:cs="Times New Roman"/>
          <w:color w:val="000000" w:themeColor="text1"/>
          <w:sz w:val="20"/>
          <w:szCs w:val="20"/>
          <w:lang w:val="es-ES"/>
        </w:rPr>
        <w:t>Sección</w:t>
      </w:r>
      <w:r w:rsidRPr="00DC2F4A">
        <w:rPr>
          <w:rFonts w:ascii="Times New Roman" w:eastAsia="Times New Roman" w:hAnsi="Times New Roman" w:cs="Times New Roman"/>
          <w:color w:val="000000" w:themeColor="text1"/>
          <w:sz w:val="20"/>
          <w:szCs w:val="20"/>
          <w:lang w:val="es-ES"/>
        </w:rPr>
        <w:t xml:space="preserve"> 3.3.2 (pp. 42–44).</w:t>
      </w:r>
      <w:r w:rsidRPr="00DC2F4A">
        <w:rPr>
          <w:rFonts w:ascii="Times New Roman" w:hAnsi="Times New Roman" w:cs="Times New Roman"/>
          <w:sz w:val="20"/>
          <w:szCs w:val="20"/>
          <w:lang w:val="es-ES"/>
        </w:rPr>
        <w:t xml:space="preserve">; </w:t>
      </w:r>
      <w:r w:rsidR="00A87AA3" w:rsidRPr="00DC2F4A">
        <w:rPr>
          <w:rFonts w:ascii="Times New Roman" w:hAnsi="Times New Roman" w:cs="Times New Roman"/>
          <w:sz w:val="20"/>
          <w:szCs w:val="20"/>
          <w:lang w:val="es-ES"/>
        </w:rPr>
        <w:t>así</w:t>
      </w:r>
      <w:r w:rsidRPr="00DC2F4A">
        <w:rPr>
          <w:rFonts w:ascii="Times New Roman" w:hAnsi="Times New Roman" w:cs="Times New Roman"/>
          <w:sz w:val="20"/>
          <w:szCs w:val="20"/>
          <w:lang w:val="es-ES"/>
        </w:rPr>
        <w:t xml:space="preserve"> como que el aborto puede ser proporcionado de forma segura por una amplia gama de trabajadores de la salud en diversos entornos, y autogestionado de forma segura en las primeras etapas del embarazo</w:t>
      </w:r>
      <w:r w:rsidR="00883E0B" w:rsidRPr="00DC2F4A">
        <w:rPr>
          <w:rFonts w:ascii="Times New Roman" w:hAnsi="Times New Roman" w:cs="Times New Roman"/>
          <w:sz w:val="20"/>
          <w:szCs w:val="20"/>
          <w:lang w:val="es-ES"/>
        </w:rPr>
        <w:t xml:space="preserve"> </w:t>
      </w:r>
      <w:r w:rsidRPr="00DC2F4A">
        <w:rPr>
          <w:rFonts w:ascii="Times New Roman" w:hAnsi="Times New Roman" w:cs="Times New Roman"/>
          <w:sz w:val="20"/>
          <w:szCs w:val="20"/>
          <w:lang w:val="es-ES"/>
        </w:rPr>
        <w:t>[Sección 2.2.2 (pp. 26–27)]</w:t>
      </w:r>
      <w:r w:rsidR="00883E0B" w:rsidRPr="00DC2F4A">
        <w:rPr>
          <w:rFonts w:ascii="Times New Roman" w:hAnsi="Times New Roman" w:cs="Times New Roman"/>
          <w:sz w:val="20"/>
          <w:szCs w:val="20"/>
          <w:lang w:val="es-ES"/>
        </w:rPr>
        <w:t>.</w:t>
      </w:r>
    </w:p>
  </w:endnote>
  <w:endnote w:id="34">
    <w:p w14:paraId="0E41BE47" w14:textId="77777777" w:rsidR="00803DAB" w:rsidRPr="00DC2F4A" w:rsidRDefault="00803DAB" w:rsidP="00DC2F4A">
      <w:pPr>
        <w:pStyle w:val="EndnoteText"/>
        <w:jc w:val="both"/>
        <w:rPr>
          <w:rFonts w:ascii="Times New Roman" w:hAnsi="Times New Roman"/>
        </w:rPr>
      </w:pPr>
      <w:r w:rsidRPr="00DC2F4A">
        <w:rPr>
          <w:rStyle w:val="EndnoteReference"/>
          <w:b w:val="0"/>
          <w:sz w:val="20"/>
        </w:rPr>
        <w:endnoteRef/>
      </w:r>
      <w:r w:rsidRPr="00DC2F4A">
        <w:rPr>
          <w:rFonts w:ascii="Times New Roman" w:hAnsi="Times New Roman"/>
        </w:rPr>
        <w:t xml:space="preserve"> Vicepresidencia de la República de Guatemala. </w:t>
      </w:r>
      <w:hyperlink r:id="rId39" w:history="1">
        <w:r w:rsidRPr="00DC2F4A">
          <w:rPr>
            <w:rStyle w:val="Hyperlink"/>
            <w:rFonts w:ascii="Times New Roman" w:hAnsi="Times New Roman"/>
          </w:rPr>
          <w:t>Plan Nacional de Prevención de Embarazos en Adolescentes (Planea) 2018-2022</w:t>
        </w:r>
      </w:hyperlink>
      <w:r w:rsidRPr="00DC2F4A">
        <w:rPr>
          <w:rFonts w:ascii="Times New Roman" w:hAnsi="Times New Roman"/>
        </w:rPr>
        <w:t>, p. 21. (</w:t>
      </w:r>
      <w:r w:rsidRPr="00DC2F4A">
        <w:rPr>
          <w:rFonts w:ascii="Times New Roman" w:hAnsi="Times New Roman"/>
        </w:rPr>
        <w:t>Diciembre 2017).</w:t>
      </w:r>
    </w:p>
  </w:endnote>
  <w:endnote w:id="35">
    <w:p w14:paraId="0B2D5481" w14:textId="77777777" w:rsidR="00803DAB" w:rsidRPr="00DC2F4A" w:rsidRDefault="00803DAB" w:rsidP="00DC2F4A">
      <w:pPr>
        <w:pStyle w:val="EndnoteText"/>
        <w:jc w:val="both"/>
        <w:rPr>
          <w:rFonts w:ascii="Times New Roman" w:eastAsiaTheme="majorEastAsia" w:hAnsi="Times New Roman"/>
        </w:rPr>
      </w:pPr>
      <w:r w:rsidRPr="00DC2F4A">
        <w:rPr>
          <w:rStyle w:val="EndnoteReference"/>
          <w:rFonts w:eastAsiaTheme="majorEastAsia"/>
          <w:b w:val="0"/>
          <w:sz w:val="20"/>
        </w:rPr>
        <w:endnoteRef/>
      </w:r>
      <w:r w:rsidRPr="00DC2F4A">
        <w:rPr>
          <w:rFonts w:ascii="Times New Roman" w:eastAsiaTheme="majorEastAsia" w:hAnsi="Times New Roman"/>
        </w:rPr>
        <w:t xml:space="preserve"> Observatorio de Salud Reproductiva</w:t>
      </w:r>
      <w:hyperlink r:id="rId40" w:history="1">
        <w:r w:rsidRPr="00DC2F4A">
          <w:rPr>
            <w:rStyle w:val="Hyperlink"/>
            <w:rFonts w:ascii="Times New Roman" w:eastAsiaTheme="majorEastAsia" w:hAnsi="Times New Roman"/>
            <w:i/>
          </w:rPr>
          <w:t>. Registros de nacimiento y embarazos en madres adolescentes – Año 2023,</w:t>
        </w:r>
      </w:hyperlink>
      <w:r w:rsidRPr="00DC2F4A">
        <w:rPr>
          <w:rFonts w:ascii="Times New Roman" w:eastAsiaTheme="majorEastAsia" w:hAnsi="Times New Roman"/>
          <w:i/>
        </w:rPr>
        <w:t xml:space="preserve"> </w:t>
      </w:r>
      <w:r w:rsidRPr="00DC2F4A">
        <w:rPr>
          <w:rFonts w:ascii="Times New Roman" w:eastAsiaTheme="majorEastAsia" w:hAnsi="Times New Roman"/>
        </w:rPr>
        <w:t>(2023).</w:t>
      </w:r>
    </w:p>
  </w:endnote>
  <w:endnote w:id="36">
    <w:p w14:paraId="650FA0DE" w14:textId="77777777" w:rsidR="00803DAB" w:rsidRPr="00DC2F4A" w:rsidRDefault="00803DAB" w:rsidP="00DC2F4A">
      <w:pPr>
        <w:pStyle w:val="EndnoteText"/>
        <w:jc w:val="both"/>
        <w:rPr>
          <w:rFonts w:ascii="Times New Roman" w:hAnsi="Times New Roman"/>
        </w:rPr>
      </w:pPr>
      <w:r w:rsidRPr="00DC2F4A">
        <w:rPr>
          <w:rStyle w:val="EndnoteReference"/>
          <w:b w:val="0"/>
          <w:sz w:val="20"/>
        </w:rPr>
        <w:endnoteRef/>
      </w:r>
      <w:r w:rsidRPr="00DC2F4A">
        <w:rPr>
          <w:rFonts w:ascii="Times New Roman" w:hAnsi="Times New Roman"/>
          <w:b/>
        </w:rPr>
        <w:t xml:space="preserve"> </w:t>
      </w:r>
      <w:r w:rsidRPr="00DC2F4A">
        <w:rPr>
          <w:rFonts w:ascii="Times New Roman" w:hAnsi="Times New Roman"/>
        </w:rPr>
        <w:t xml:space="preserve">Este Plan fue elaborado por distintos órganos del alto gobierno de Guatemala con la participación de </w:t>
      </w:r>
      <w:r w:rsidRPr="00DC2F4A">
        <w:rPr>
          <w:rFonts w:ascii="Times New Roman" w:hAnsi="Times New Roman"/>
        </w:rPr>
        <w:t>ONGs locales.</w:t>
      </w:r>
    </w:p>
  </w:endnote>
  <w:endnote w:id="37">
    <w:p w14:paraId="239B53D8" w14:textId="77777777" w:rsidR="00803DAB" w:rsidRPr="00DC2F4A" w:rsidRDefault="00803DAB" w:rsidP="00DC2F4A">
      <w:pPr>
        <w:pStyle w:val="EndnoteText"/>
        <w:jc w:val="both"/>
        <w:rPr>
          <w:rFonts w:ascii="Times New Roman" w:hAnsi="Times New Roman"/>
        </w:rPr>
      </w:pPr>
      <w:r w:rsidRPr="00DC2F4A">
        <w:rPr>
          <w:rStyle w:val="EndnoteReference"/>
          <w:b w:val="0"/>
          <w:sz w:val="20"/>
        </w:rPr>
        <w:endnoteRef/>
      </w:r>
      <w:r w:rsidRPr="00DC2F4A">
        <w:rPr>
          <w:rFonts w:ascii="Times New Roman" w:hAnsi="Times New Roman"/>
        </w:rPr>
        <w:t xml:space="preserve"> Coordinadora Nacional para la Prevención de la Violencia Intrafamiliar y en contra de la Mujer, </w:t>
      </w:r>
      <w:hyperlink r:id="rId41" w:history="1">
        <w:r w:rsidRPr="00DC2F4A">
          <w:rPr>
            <w:rStyle w:val="Hyperlink"/>
            <w:rFonts w:ascii="Times New Roman" w:hAnsi="Times New Roman"/>
            <w:i/>
          </w:rPr>
          <w:t>Plan Nacional para la Prevención y Erradicación de la Violencia Contra las Mujeres 2020-2029</w:t>
        </w:r>
      </w:hyperlink>
      <w:hyperlink r:id="rId42" w:history="1">
        <w:r w:rsidRPr="00DC2F4A">
          <w:rPr>
            <w:rStyle w:val="Hyperlink"/>
            <w:rFonts w:ascii="Times New Roman" w:hAnsi="Times New Roman"/>
            <w:i/>
          </w:rPr>
          <w:t xml:space="preserve">, </w:t>
        </w:r>
        <w:r w:rsidRPr="00DC2F4A">
          <w:rPr>
            <w:rStyle w:val="Hyperlink"/>
            <w:rFonts w:ascii="Times New Roman" w:hAnsi="Times New Roman"/>
            <w:i/>
          </w:rPr>
          <w:t>Planovi</w:t>
        </w:r>
      </w:hyperlink>
      <w:r w:rsidRPr="00DC2F4A">
        <w:rPr>
          <w:rFonts w:ascii="Times New Roman" w:hAnsi="Times New Roman"/>
          <w:i/>
        </w:rPr>
        <w:t>,</w:t>
      </w:r>
      <w:r w:rsidRPr="00DC2F4A">
        <w:rPr>
          <w:rFonts w:ascii="Times New Roman" w:hAnsi="Times New Roman"/>
        </w:rPr>
        <w:t xml:space="preserve"> p. 289, (noviembre 2019).</w:t>
      </w:r>
    </w:p>
  </w:endnote>
  <w:endnote w:id="38">
    <w:p w14:paraId="18EC4E3A" w14:textId="77777777" w:rsidR="00803DAB" w:rsidRPr="00DC2F4A" w:rsidRDefault="00803DAB" w:rsidP="00DC2F4A">
      <w:pPr>
        <w:pStyle w:val="EndnoteText"/>
        <w:jc w:val="both"/>
        <w:rPr>
          <w:rFonts w:ascii="Times New Roman" w:hAnsi="Times New Roman"/>
          <w:lang w:val="es-ES"/>
        </w:rPr>
      </w:pPr>
      <w:r w:rsidRPr="00DC2F4A">
        <w:rPr>
          <w:rStyle w:val="EndnoteReference"/>
          <w:b w:val="0"/>
          <w:sz w:val="20"/>
        </w:rPr>
        <w:endnoteRef/>
      </w:r>
      <w:r w:rsidRPr="00DC2F4A">
        <w:rPr>
          <w:rFonts w:ascii="Times New Roman" w:hAnsi="Times New Roman"/>
        </w:rPr>
        <w:t xml:space="preserve"> Observatorio de Salud Sexual y Reproductiva (OSAR). </w:t>
      </w:r>
      <w:hyperlink r:id="rId43" w:history="1">
        <w:r w:rsidRPr="00DC2F4A">
          <w:rPr>
            <w:rStyle w:val="Hyperlink"/>
            <w:rFonts w:ascii="Times New Roman" w:hAnsi="Times New Roman"/>
            <w:i/>
          </w:rPr>
          <w:t>Embarazos en adolescentes del año 2015 a 2019</w:t>
        </w:r>
      </w:hyperlink>
      <w:r w:rsidRPr="00DC2F4A">
        <w:rPr>
          <w:rFonts w:ascii="Times New Roman" w:hAnsi="Times New Roman"/>
        </w:rPr>
        <w:t>, (2019) y</w:t>
      </w:r>
      <w:r w:rsidRPr="00DC2F4A">
        <w:rPr>
          <w:rFonts w:ascii="Times New Roman" w:hAnsi="Times New Roman"/>
          <w:i/>
        </w:rPr>
        <w:t xml:space="preserve"> </w:t>
      </w:r>
      <w:hyperlink r:id="rId44" w:history="1">
        <w:r w:rsidRPr="00DC2F4A">
          <w:rPr>
            <w:rStyle w:val="Hyperlink"/>
            <w:rFonts w:ascii="Times New Roman" w:hAnsi="Times New Roman"/>
            <w:i/>
          </w:rPr>
          <w:t>Embarazos y registro de nacimientos de madres adolescentes – año 2019</w:t>
        </w:r>
      </w:hyperlink>
      <w:r w:rsidRPr="00DC2F4A">
        <w:rPr>
          <w:rStyle w:val="Hyperlink"/>
          <w:rFonts w:ascii="Times New Roman" w:hAnsi="Times New Roman"/>
          <w:i/>
        </w:rPr>
        <w:t>,</w:t>
      </w:r>
      <w:r w:rsidRPr="00DC2F4A">
        <w:rPr>
          <w:rStyle w:val="Hyperlink"/>
          <w:rFonts w:ascii="Times New Roman" w:hAnsi="Times New Roman"/>
          <w:color w:val="auto"/>
          <w:u w:val="none"/>
        </w:rPr>
        <w:t xml:space="preserve"> (2019).</w:t>
      </w:r>
    </w:p>
  </w:endnote>
  <w:endnote w:id="39">
    <w:p w14:paraId="3C81C8DC" w14:textId="77777777" w:rsidR="00803DAB" w:rsidRPr="00DC2F4A" w:rsidRDefault="00803DAB" w:rsidP="00DC2F4A">
      <w:pPr>
        <w:pStyle w:val="EndnoteText"/>
        <w:jc w:val="both"/>
        <w:rPr>
          <w:rFonts w:ascii="Times New Roman" w:hAnsi="Times New Roman"/>
          <w:lang w:val="es-ES"/>
        </w:rPr>
      </w:pPr>
      <w:r w:rsidRPr="00DC2F4A">
        <w:rPr>
          <w:rStyle w:val="EndnoteReference"/>
          <w:b w:val="0"/>
          <w:sz w:val="20"/>
        </w:rPr>
        <w:endnoteRef/>
      </w:r>
      <w:r w:rsidRPr="00DC2F4A">
        <w:rPr>
          <w:rFonts w:ascii="Times New Roman" w:hAnsi="Times New Roman"/>
        </w:rPr>
        <w:t xml:space="preserve"> Observatorio de Salud Sexual y Reproductiva (OSAR), </w:t>
      </w:r>
      <w:hyperlink r:id="rId45" w:history="1">
        <w:r w:rsidRPr="00DC2F4A">
          <w:rPr>
            <w:rStyle w:val="Hyperlink"/>
            <w:rFonts w:ascii="Times New Roman" w:hAnsi="Times New Roman"/>
            <w:i/>
          </w:rPr>
          <w:t>Embarazo y registro de nacimientos de madres adolescentes -año 2018</w:t>
        </w:r>
      </w:hyperlink>
      <w:r w:rsidRPr="00DC2F4A">
        <w:rPr>
          <w:rStyle w:val="Hyperlink"/>
          <w:rFonts w:ascii="Times New Roman" w:hAnsi="Times New Roman"/>
          <w:i/>
        </w:rPr>
        <w:t>,</w:t>
      </w:r>
      <w:r w:rsidRPr="00DC2F4A">
        <w:rPr>
          <w:rFonts w:ascii="Times New Roman" w:hAnsi="Times New Roman"/>
        </w:rPr>
        <w:t xml:space="preserve"> (2018). </w:t>
      </w:r>
    </w:p>
  </w:endnote>
  <w:endnote w:id="40">
    <w:p w14:paraId="5A0365D4" w14:textId="77777777" w:rsidR="00803DAB" w:rsidRPr="00DC2F4A" w:rsidRDefault="00803DAB" w:rsidP="00DC2F4A">
      <w:pPr>
        <w:pStyle w:val="EndnoteText"/>
        <w:jc w:val="both"/>
        <w:rPr>
          <w:rFonts w:ascii="Times New Roman" w:hAnsi="Times New Roman"/>
        </w:rPr>
      </w:pPr>
      <w:r w:rsidRPr="00DC2F4A">
        <w:rPr>
          <w:rStyle w:val="EndnoteReference"/>
          <w:b w:val="0"/>
          <w:sz w:val="20"/>
        </w:rPr>
        <w:endnoteRef/>
      </w:r>
      <w:r w:rsidRPr="00DC2F4A">
        <w:rPr>
          <w:rFonts w:ascii="Times New Roman" w:hAnsi="Times New Roman"/>
        </w:rPr>
        <w:t xml:space="preserve"> Secretaría contra la violencia sexual, explotación y trata de personas de Guatemala,</w:t>
      </w:r>
      <w:r w:rsidRPr="00DC2F4A">
        <w:rPr>
          <w:rFonts w:ascii="Times New Roman" w:hAnsi="Times New Roman"/>
          <w:i/>
        </w:rPr>
        <w:t xml:space="preserve"> </w:t>
      </w:r>
      <w:hyperlink r:id="rId46" w:history="1">
        <w:r w:rsidRPr="00DC2F4A">
          <w:rPr>
            <w:rStyle w:val="Hyperlink"/>
            <w:rFonts w:ascii="Times New Roman" w:hAnsi="Times New Roman"/>
            <w:i/>
          </w:rPr>
          <w:t>Plan estratégico institucional 2023 – 2027</w:t>
        </w:r>
      </w:hyperlink>
      <w:r w:rsidRPr="00DC2F4A">
        <w:rPr>
          <w:rStyle w:val="Hyperlink"/>
          <w:rFonts w:ascii="Times New Roman" w:hAnsi="Times New Roman"/>
          <w:i/>
        </w:rPr>
        <w:t>,</w:t>
      </w:r>
      <w:r w:rsidRPr="00DC2F4A">
        <w:rPr>
          <w:rFonts w:ascii="Times New Roman" w:hAnsi="Times New Roman"/>
        </w:rPr>
        <w:t xml:space="preserve"> p. 17, (abril 2022).</w:t>
      </w:r>
    </w:p>
  </w:endnote>
  <w:endnote w:id="41">
    <w:p w14:paraId="4F6661E9" w14:textId="77777777" w:rsidR="00803DAB" w:rsidRPr="00DC2F4A" w:rsidRDefault="00803DAB" w:rsidP="00DC2F4A">
      <w:pPr>
        <w:pStyle w:val="EndnoteText"/>
        <w:jc w:val="both"/>
        <w:rPr>
          <w:rFonts w:ascii="Times New Roman" w:hAnsi="Times New Roman"/>
        </w:rPr>
      </w:pPr>
      <w:r w:rsidRPr="00DC2F4A">
        <w:rPr>
          <w:rStyle w:val="EndnoteReference"/>
          <w:b w:val="0"/>
          <w:sz w:val="20"/>
        </w:rPr>
        <w:endnoteRef/>
      </w:r>
      <w:r w:rsidRPr="00DC2F4A">
        <w:rPr>
          <w:rFonts w:ascii="Times New Roman" w:hAnsi="Times New Roman"/>
        </w:rPr>
        <w:t xml:space="preserve"> Mujeres Transformado el Mundo (MTM), </w:t>
      </w:r>
      <w:hyperlink r:id="rId47" w:history="1">
        <w:r w:rsidRPr="00DC2F4A">
          <w:rPr>
            <w:rStyle w:val="Hyperlink"/>
            <w:rFonts w:ascii="Times New Roman" w:hAnsi="Times New Roman"/>
            <w:i/>
          </w:rPr>
          <w:t>Los embarazos en niñas y adolescentes en Guatemala</w:t>
        </w:r>
      </w:hyperlink>
      <w:r w:rsidRPr="00DC2F4A">
        <w:rPr>
          <w:rFonts w:ascii="Times New Roman" w:hAnsi="Times New Roman"/>
          <w:i/>
        </w:rPr>
        <w:t>.</w:t>
      </w:r>
      <w:r w:rsidRPr="00DC2F4A">
        <w:rPr>
          <w:rFonts w:ascii="Times New Roman" w:hAnsi="Times New Roman"/>
        </w:rPr>
        <w:t xml:space="preserve"> p. 64. (2015). </w:t>
      </w:r>
    </w:p>
  </w:endnote>
  <w:endnote w:id="42">
    <w:p w14:paraId="25C71711" w14:textId="77777777" w:rsidR="00803DAB" w:rsidRPr="00DC2F4A" w:rsidRDefault="00803DAB" w:rsidP="00DC2F4A">
      <w:pPr>
        <w:pStyle w:val="EndnoteText"/>
        <w:jc w:val="both"/>
        <w:rPr>
          <w:rFonts w:ascii="Times New Roman" w:hAnsi="Times New Roman"/>
          <w:lang w:val="es-ES"/>
        </w:rPr>
      </w:pPr>
      <w:r w:rsidRPr="00DC2F4A">
        <w:rPr>
          <w:rStyle w:val="EndnoteReference"/>
          <w:b w:val="0"/>
          <w:sz w:val="20"/>
        </w:rPr>
        <w:endnoteRef/>
      </w:r>
      <w:r w:rsidRPr="00DC2F4A">
        <w:rPr>
          <w:rFonts w:ascii="Times New Roman" w:hAnsi="Times New Roman"/>
        </w:rPr>
        <w:t xml:space="preserve"> Mariana Carbajal, </w:t>
      </w:r>
      <w:hyperlink r:id="rId48" w:history="1">
        <w:r w:rsidRPr="00DC2F4A">
          <w:rPr>
            <w:rStyle w:val="Hyperlink"/>
            <w:rFonts w:ascii="Times New Roman" w:hAnsi="Times New Roman"/>
            <w:i/>
          </w:rPr>
          <w:t>El crimen de la maternidad forzada</w:t>
        </w:r>
      </w:hyperlink>
      <w:r w:rsidRPr="00DC2F4A">
        <w:rPr>
          <w:rStyle w:val="Hyperlink"/>
          <w:rFonts w:ascii="Times New Roman" w:hAnsi="Times New Roman"/>
          <w:i/>
        </w:rPr>
        <w:t>,</w:t>
      </w:r>
      <w:r w:rsidRPr="00DC2F4A">
        <w:rPr>
          <w:rStyle w:val="Hyperlink"/>
          <w:rFonts w:ascii="Times New Roman" w:hAnsi="Times New Roman"/>
          <w:color w:val="auto"/>
          <w:u w:val="none"/>
        </w:rPr>
        <w:t xml:space="preserve"> (25 octubre 2017).</w:t>
      </w:r>
    </w:p>
  </w:endnote>
  <w:endnote w:id="43">
    <w:p w14:paraId="372066E7" w14:textId="77777777" w:rsidR="00D070D7" w:rsidRPr="00DC2F4A" w:rsidRDefault="00D070D7" w:rsidP="00DC2F4A">
      <w:pPr>
        <w:pStyle w:val="EndnoteText"/>
        <w:jc w:val="both"/>
        <w:rPr>
          <w:rFonts w:ascii="Times New Roman" w:eastAsiaTheme="majorEastAsia" w:hAnsi="Times New Roman"/>
        </w:rPr>
      </w:pPr>
      <w:r w:rsidRPr="00DC2F4A">
        <w:rPr>
          <w:rStyle w:val="EndnoteReference"/>
          <w:sz w:val="20"/>
        </w:rPr>
        <w:endnoteRef/>
      </w:r>
      <w:r w:rsidRPr="00DC2F4A">
        <w:rPr>
          <w:rFonts w:ascii="Times New Roman" w:eastAsiaTheme="majorEastAsia" w:hAnsi="Times New Roman"/>
        </w:rPr>
        <w:t xml:space="preserve"> </w:t>
      </w:r>
      <w:r w:rsidRPr="00DC2F4A">
        <w:rPr>
          <w:rFonts w:ascii="Times New Roman" w:eastAsiaTheme="majorEastAsia" w:hAnsi="Times New Roman"/>
          <w:i/>
        </w:rPr>
        <w:t>Ibidem.</w:t>
      </w:r>
    </w:p>
  </w:endnote>
  <w:endnote w:id="44">
    <w:p w14:paraId="16ED46D7" w14:textId="77777777" w:rsidR="00577345" w:rsidRPr="00DC2F4A" w:rsidRDefault="00577345" w:rsidP="00DC2F4A">
      <w:pPr>
        <w:pStyle w:val="EndnoteText"/>
        <w:jc w:val="both"/>
        <w:rPr>
          <w:rFonts w:ascii="Times New Roman" w:hAnsi="Times New Roman"/>
        </w:rPr>
      </w:pPr>
      <w:r w:rsidRPr="00DC2F4A">
        <w:rPr>
          <w:rStyle w:val="EndnoteReference"/>
          <w:sz w:val="20"/>
        </w:rPr>
        <w:endnoteRef/>
      </w:r>
      <w:r w:rsidRPr="00DC2F4A">
        <w:rPr>
          <w:rFonts w:ascii="Times New Roman" w:hAnsi="Times New Roman"/>
        </w:rPr>
        <w:t xml:space="preserve"> </w:t>
      </w:r>
      <w:r w:rsidRPr="00DC2F4A">
        <w:rPr>
          <w:rFonts w:ascii="Times New Roman" w:eastAsiaTheme="majorEastAsia" w:hAnsi="Times New Roman"/>
        </w:rPr>
        <w:t>Procurador de los Derechos Humanos, Guatemala.</w:t>
      </w:r>
      <w:r w:rsidRPr="00DC2F4A">
        <w:rPr>
          <w:rFonts w:ascii="Times New Roman" w:eastAsiaTheme="majorEastAsia" w:hAnsi="Times New Roman"/>
          <w:i/>
        </w:rPr>
        <w:t xml:space="preserve"> </w:t>
      </w:r>
      <w:hyperlink r:id="rId49">
        <w:r w:rsidRPr="00DC2F4A">
          <w:rPr>
            <w:rStyle w:val="Hyperlink"/>
            <w:rFonts w:ascii="Times New Roman" w:eastAsiaTheme="majorEastAsia" w:hAnsi="Times New Roman"/>
            <w:i/>
          </w:rPr>
          <w:t>Informe sobre el Cumplimiento de las Recomendaciones de la CEDAW relativas al Derecho de las Mujeres a Vivir sin Discriminación y Libres de Violencia por parte del Estado de Guatemala</w:t>
        </w:r>
      </w:hyperlink>
      <w:r w:rsidRPr="00DC2F4A">
        <w:rPr>
          <w:rFonts w:ascii="Times New Roman" w:eastAsiaTheme="majorEastAsia" w:hAnsi="Times New Roman"/>
        </w:rPr>
        <w:t>. pág. 19, (2019).</w:t>
      </w:r>
    </w:p>
  </w:endnote>
  <w:endnote w:id="45">
    <w:p w14:paraId="27C3651F" w14:textId="77777777" w:rsidR="00577345" w:rsidRPr="00DC2F4A" w:rsidRDefault="00577345" w:rsidP="00DC2F4A">
      <w:pPr>
        <w:pStyle w:val="EndnoteText"/>
        <w:jc w:val="both"/>
        <w:rPr>
          <w:rFonts w:ascii="Times New Roman" w:eastAsiaTheme="majorEastAsia" w:hAnsi="Times New Roman"/>
        </w:rPr>
      </w:pPr>
      <w:r w:rsidRPr="00DC2F4A">
        <w:rPr>
          <w:rStyle w:val="EndnoteReference"/>
          <w:sz w:val="20"/>
        </w:rPr>
        <w:endnoteRef/>
      </w:r>
      <w:r w:rsidRPr="00DC2F4A">
        <w:rPr>
          <w:rFonts w:ascii="Times New Roman" w:eastAsiaTheme="majorEastAsia" w:hAnsi="Times New Roman"/>
        </w:rPr>
        <w:t xml:space="preserve"> </w:t>
      </w:r>
      <w:r w:rsidRPr="00DC2F4A">
        <w:rPr>
          <w:rFonts w:ascii="Times New Roman" w:eastAsiaTheme="majorEastAsia" w:hAnsi="Times New Roman"/>
          <w:i/>
        </w:rPr>
        <w:t>Ibidem.</w:t>
      </w:r>
    </w:p>
  </w:endnote>
  <w:endnote w:id="46">
    <w:p w14:paraId="0E0B26E3" w14:textId="77777777" w:rsidR="00577345" w:rsidRPr="00DC2F4A" w:rsidRDefault="00577345" w:rsidP="00DC2F4A">
      <w:pPr>
        <w:pStyle w:val="EndnoteText"/>
        <w:jc w:val="both"/>
        <w:rPr>
          <w:rFonts w:ascii="Times New Roman" w:eastAsiaTheme="majorEastAsia" w:hAnsi="Times New Roman"/>
        </w:rPr>
      </w:pPr>
      <w:r w:rsidRPr="00DC2F4A">
        <w:rPr>
          <w:rStyle w:val="EndnoteReference"/>
          <w:sz w:val="20"/>
        </w:rPr>
        <w:endnoteRef/>
      </w:r>
      <w:r w:rsidRPr="00DC2F4A">
        <w:rPr>
          <w:rFonts w:ascii="Times New Roman" w:eastAsiaTheme="majorEastAsia" w:hAnsi="Times New Roman"/>
        </w:rPr>
        <w:t xml:space="preserve"> </w:t>
      </w:r>
      <w:r w:rsidRPr="00DC2F4A">
        <w:rPr>
          <w:rFonts w:ascii="Times New Roman" w:eastAsiaTheme="majorEastAsia" w:hAnsi="Times New Roman"/>
          <w:i/>
        </w:rPr>
        <w:t>Ibidem.</w:t>
      </w:r>
      <w:r w:rsidRPr="00DC2F4A">
        <w:rPr>
          <w:rFonts w:ascii="Times New Roman" w:eastAsiaTheme="majorEastAsia" w:hAnsi="Times New Roman"/>
        </w:rPr>
        <w:t xml:space="preserve"> </w:t>
      </w:r>
    </w:p>
  </w:endnote>
  <w:endnote w:id="47">
    <w:p w14:paraId="4E790954" w14:textId="77777777" w:rsidR="001B026B" w:rsidRPr="00DC2F4A" w:rsidRDefault="001B026B" w:rsidP="00DC2F4A">
      <w:pPr>
        <w:pStyle w:val="EndnoteText"/>
        <w:jc w:val="both"/>
        <w:rPr>
          <w:rFonts w:ascii="Times New Roman" w:eastAsiaTheme="majorEastAsia" w:hAnsi="Times New Roman"/>
          <w:highlight w:val="yellow"/>
        </w:rPr>
      </w:pPr>
      <w:r w:rsidRPr="00DC2F4A">
        <w:rPr>
          <w:rStyle w:val="EndnoteReference"/>
          <w:rFonts w:eastAsiaTheme="majorEastAsia"/>
          <w:sz w:val="20"/>
        </w:rPr>
        <w:endnoteRef/>
      </w:r>
      <w:r w:rsidRPr="00DC2F4A">
        <w:rPr>
          <w:rFonts w:ascii="Times New Roman" w:eastAsiaTheme="majorEastAsia" w:hAnsi="Times New Roman"/>
        </w:rPr>
        <w:t xml:space="preserve"> Comité de Derechos Económicos, sociales y culturales. </w:t>
      </w:r>
      <w:hyperlink r:id="rId50">
        <w:r w:rsidRPr="00DC2F4A">
          <w:rPr>
            <w:rStyle w:val="Hyperlink"/>
            <w:rFonts w:ascii="Times New Roman" w:eastAsiaTheme="majorEastAsia" w:hAnsi="Times New Roman"/>
            <w:i/>
          </w:rPr>
          <w:t>Observación general núm. 22 (2016), relativa al derecho a la salud sexual y reproductiva (artículo 12 del Pacto Internacional de Derechos Económicos, Sociales y Culturales)</w:t>
        </w:r>
      </w:hyperlink>
      <w:r w:rsidRPr="00DC2F4A">
        <w:rPr>
          <w:rFonts w:ascii="Times New Roman" w:eastAsiaTheme="majorEastAsia" w:hAnsi="Times New Roman"/>
          <w:i/>
        </w:rPr>
        <w:t xml:space="preserve"> </w:t>
      </w:r>
      <w:r w:rsidRPr="00DC2F4A">
        <w:rPr>
          <w:rFonts w:ascii="Times New Roman" w:eastAsiaTheme="majorEastAsia" w:hAnsi="Times New Roman"/>
        </w:rPr>
        <w:t>párr. 10, E/C.12/GC/22, (mayo 2, 2016)</w:t>
      </w:r>
    </w:p>
  </w:endnote>
  <w:endnote w:id="48">
    <w:p w14:paraId="1467B402" w14:textId="77777777" w:rsidR="001B026B" w:rsidRPr="00DC2F4A" w:rsidRDefault="001B026B" w:rsidP="00DC2F4A">
      <w:pPr>
        <w:pStyle w:val="EndnoteText"/>
        <w:jc w:val="both"/>
        <w:rPr>
          <w:rFonts w:ascii="Times New Roman" w:eastAsiaTheme="majorEastAsia" w:hAnsi="Times New Roman"/>
          <w:lang w:val="es-ES"/>
        </w:rPr>
      </w:pPr>
      <w:r w:rsidRPr="00DC2F4A">
        <w:rPr>
          <w:rStyle w:val="EndnoteReference"/>
          <w:rFonts w:eastAsiaTheme="majorEastAsia"/>
          <w:sz w:val="20"/>
        </w:rPr>
        <w:endnoteRef/>
      </w:r>
      <w:r w:rsidRPr="00DC2F4A">
        <w:rPr>
          <w:rFonts w:ascii="Times New Roman" w:eastAsiaTheme="majorEastAsia" w:hAnsi="Times New Roman"/>
        </w:rPr>
        <w:t xml:space="preserve"> En el caso de K.L. vs Perú, el Comité de Derechos Humanos reconoció la violación del derecho a la vida de una mujer de 17 años que fue forzada a llevar a término su embarazo, a pesar de que, durante el embarazo, los médicos diagnosticaron que el feto era anencefálico, por lo cual moriría al poco tiempo de nacer. Comité de Derechos Humanos.</w:t>
      </w:r>
      <w:r w:rsidRPr="00DC2F4A">
        <w:rPr>
          <w:rFonts w:ascii="Times New Roman" w:eastAsiaTheme="majorEastAsia" w:hAnsi="Times New Roman"/>
          <w:i/>
        </w:rPr>
        <w:t xml:space="preserve"> </w:t>
      </w:r>
      <w:hyperlink r:id="rId51">
        <w:r w:rsidRPr="00DC2F4A">
          <w:rPr>
            <w:rStyle w:val="Hyperlink"/>
            <w:rFonts w:ascii="Times New Roman" w:eastAsiaTheme="majorEastAsia" w:hAnsi="Times New Roman"/>
            <w:i/>
          </w:rPr>
          <w:t xml:space="preserve">Dictamen - Comunicación </w:t>
        </w:r>
        <w:r w:rsidRPr="00DC2F4A">
          <w:rPr>
            <w:rStyle w:val="Hyperlink"/>
            <w:rFonts w:ascii="Times New Roman" w:eastAsiaTheme="majorEastAsia" w:hAnsi="Times New Roman"/>
            <w:i/>
          </w:rPr>
          <w:t xml:space="preserve">no.. </w:t>
        </w:r>
        <w:r w:rsidRPr="00DC2F4A">
          <w:rPr>
            <w:rStyle w:val="Hyperlink"/>
            <w:rFonts w:ascii="Times New Roman" w:eastAsiaTheme="majorEastAsia" w:hAnsi="Times New Roman"/>
            <w:i/>
            <w:lang w:val="es-ES"/>
          </w:rPr>
          <w:t>1153/2003</w:t>
        </w:r>
      </w:hyperlink>
      <w:r w:rsidRPr="00DC2F4A">
        <w:rPr>
          <w:rFonts w:ascii="Times New Roman" w:eastAsiaTheme="majorEastAsia" w:hAnsi="Times New Roman"/>
        </w:rPr>
        <w:t xml:space="preserve">, </w:t>
      </w:r>
      <w:r w:rsidRPr="00DC2F4A">
        <w:rPr>
          <w:rFonts w:ascii="Times New Roman" w:eastAsiaTheme="majorEastAsia" w:hAnsi="Times New Roman"/>
          <w:lang w:val="es-ES"/>
        </w:rPr>
        <w:t>CCPR/C/85/D/1153/2003, (</w:t>
      </w:r>
      <w:r w:rsidRPr="00DC2F4A">
        <w:rPr>
          <w:rFonts w:ascii="Times New Roman" w:eastAsiaTheme="majorEastAsia" w:hAnsi="Times New Roman"/>
        </w:rPr>
        <w:t>noviembre 22, 2005).</w:t>
      </w:r>
    </w:p>
    <w:p w14:paraId="4117AE4B" w14:textId="13C7F336" w:rsidR="001B026B" w:rsidRPr="00DC2F4A" w:rsidRDefault="001B026B" w:rsidP="00DC2F4A">
      <w:pPr>
        <w:pStyle w:val="EndnoteText"/>
        <w:jc w:val="both"/>
        <w:rPr>
          <w:rFonts w:ascii="Times New Roman" w:eastAsiaTheme="majorEastAsia" w:hAnsi="Times New Roman"/>
          <w:lang w:val="es-ES"/>
        </w:rPr>
      </w:pPr>
      <w:r w:rsidRPr="00DC2F4A">
        <w:rPr>
          <w:rFonts w:ascii="Times New Roman" w:eastAsiaTheme="majorEastAsia" w:hAnsi="Times New Roman"/>
        </w:rPr>
        <w:t xml:space="preserve">En el caso </w:t>
      </w:r>
      <w:r w:rsidRPr="00DC2F4A">
        <w:rPr>
          <w:rFonts w:ascii="Times New Roman" w:eastAsiaTheme="majorEastAsia" w:hAnsi="Times New Roman"/>
        </w:rPr>
        <w:t>Whelan vs. Irlanda, el mismo Comité reconoció que obligar a una mujer a llevar su embarazo a término a pesar de saber que el feto era inviable constituye un trato cruel, inhumano o degradante que afectó gravemente la salud física y mental de la reclamante. Comité de Derechos Humanos.</w:t>
      </w:r>
      <w:r w:rsidRPr="00DC2F4A">
        <w:rPr>
          <w:rFonts w:ascii="Times New Roman" w:eastAsiaTheme="majorEastAsia" w:hAnsi="Times New Roman"/>
          <w:i/>
        </w:rPr>
        <w:t xml:space="preserve"> </w:t>
      </w:r>
      <w:hyperlink r:id="rId52">
        <w:r w:rsidRPr="00DC2F4A">
          <w:rPr>
            <w:rStyle w:val="Hyperlink"/>
            <w:rFonts w:ascii="Times New Roman" w:eastAsiaTheme="majorEastAsia" w:hAnsi="Times New Roman"/>
            <w:i/>
          </w:rPr>
          <w:t>Dictamen aprobado por el Comité a tenor del artículo 5, párrafo 4, del Protocolo Facultativo, respecto de la comunicación núm. 2425/2014,</w:t>
        </w:r>
      </w:hyperlink>
      <w:r w:rsidRPr="00DC2F4A">
        <w:rPr>
          <w:rFonts w:ascii="Times New Roman" w:eastAsiaTheme="majorEastAsia" w:hAnsi="Times New Roman"/>
        </w:rPr>
        <w:t xml:space="preserve"> párr. 7.5-7.7., CCPR/C/119/D/2425/2014, (julio 11, 2017).</w:t>
      </w:r>
      <w:r w:rsidR="00AD5C52">
        <w:rPr>
          <w:rFonts w:ascii="Times New Roman" w:eastAsiaTheme="majorEastAsia" w:hAnsi="Times New Roman"/>
        </w:rPr>
        <w:t xml:space="preserve"> </w:t>
      </w:r>
      <w:r w:rsidRPr="00DC2F4A">
        <w:rPr>
          <w:rFonts w:ascii="Times New Roman" w:eastAsiaTheme="majorEastAsia" w:hAnsi="Times New Roman"/>
        </w:rPr>
        <w:t>Ver también: Comité de Derechos Humanos.</w:t>
      </w:r>
      <w:r w:rsidRPr="00DC2F4A">
        <w:rPr>
          <w:rFonts w:ascii="Times New Roman" w:eastAsiaTheme="majorEastAsia" w:hAnsi="Times New Roman"/>
          <w:i/>
        </w:rPr>
        <w:t xml:space="preserve"> </w:t>
      </w:r>
      <w:hyperlink r:id="rId53">
        <w:r w:rsidRPr="00DC2F4A">
          <w:rPr>
            <w:rStyle w:val="Hyperlink"/>
            <w:rFonts w:ascii="Times New Roman" w:eastAsiaTheme="majorEastAsia" w:hAnsi="Times New Roman"/>
            <w:i/>
          </w:rPr>
          <w:t>Dictamen aprobado por el Comité a tenor del artículo 5, párrafo 4, del Protocolo Facultativo, respecto de la comunicación núm. 2324/2013</w:t>
        </w:r>
      </w:hyperlink>
      <w:r w:rsidRPr="00DC2F4A">
        <w:rPr>
          <w:rFonts w:ascii="Times New Roman" w:eastAsiaTheme="majorEastAsia" w:hAnsi="Times New Roman"/>
          <w:i/>
        </w:rPr>
        <w:t>,</w:t>
      </w:r>
      <w:r w:rsidRPr="00DC2F4A">
        <w:rPr>
          <w:rFonts w:ascii="Times New Roman" w:eastAsiaTheme="majorEastAsia" w:hAnsi="Times New Roman"/>
        </w:rPr>
        <w:t xml:space="preserve"> párr. 7.10 y 7.11, CCPR/C/116/D/2324/2013, (noviembre 17, 2016)</w:t>
      </w:r>
    </w:p>
  </w:endnote>
  <w:endnote w:id="49">
    <w:p w14:paraId="6C87D659" w14:textId="3CE8FFC4" w:rsidR="001B026B" w:rsidRPr="00DC2F4A" w:rsidRDefault="001B026B" w:rsidP="00DC2F4A">
      <w:pPr>
        <w:pStyle w:val="EndnoteText"/>
        <w:jc w:val="both"/>
        <w:rPr>
          <w:rFonts w:ascii="Times New Roman" w:eastAsiaTheme="majorEastAsia" w:hAnsi="Times New Roman"/>
          <w:highlight w:val="yellow"/>
        </w:rPr>
      </w:pPr>
      <w:r w:rsidRPr="00DC2F4A">
        <w:rPr>
          <w:rStyle w:val="EndnoteReference"/>
          <w:rFonts w:eastAsiaTheme="majorEastAsia"/>
          <w:sz w:val="20"/>
        </w:rPr>
        <w:endnoteRef/>
      </w:r>
      <w:r w:rsidRPr="00DC2F4A">
        <w:rPr>
          <w:rFonts w:ascii="Times New Roman" w:eastAsiaTheme="majorEastAsia" w:hAnsi="Times New Roman"/>
        </w:rPr>
        <w:t xml:space="preserve"> Comité para la Eliminación de la Discriminación contra la Mujer.</w:t>
      </w:r>
      <w:r w:rsidRPr="00DC2F4A">
        <w:rPr>
          <w:rFonts w:ascii="Times New Roman" w:eastAsiaTheme="majorEastAsia" w:hAnsi="Times New Roman"/>
          <w:i/>
        </w:rPr>
        <w:t xml:space="preserve"> </w:t>
      </w:r>
      <w:hyperlink r:id="rId54">
        <w:r w:rsidRPr="00DC2F4A">
          <w:rPr>
            <w:rStyle w:val="Hyperlink"/>
            <w:rFonts w:ascii="Times New Roman" w:eastAsiaTheme="majorEastAsia" w:hAnsi="Times New Roman"/>
            <w:i/>
          </w:rPr>
          <w:t xml:space="preserve">Recomendación general </w:t>
        </w:r>
        <w:r w:rsidRPr="00DC2F4A">
          <w:rPr>
            <w:rStyle w:val="Hyperlink"/>
            <w:rFonts w:ascii="Times New Roman" w:eastAsiaTheme="majorEastAsia" w:hAnsi="Times New Roman"/>
            <w:i/>
          </w:rPr>
          <w:t>num. 35 sobre la violencia por razón de género contra la mujer, por la que se actualiza la recomendación general num. 19</w:t>
        </w:r>
      </w:hyperlink>
      <w:r w:rsidRPr="00DC2F4A">
        <w:rPr>
          <w:rFonts w:ascii="Times New Roman" w:eastAsiaTheme="majorEastAsia" w:hAnsi="Times New Roman"/>
        </w:rPr>
        <w:t xml:space="preserve"> , párr. 18 y 31, CEDAW/C/GC/35,</w:t>
      </w:r>
      <w:r w:rsidRPr="00DC2F4A">
        <w:rPr>
          <w:rFonts w:ascii="Times New Roman" w:eastAsiaTheme="majorEastAsia" w:hAnsi="Times New Roman"/>
          <w:lang w:val="es-US"/>
        </w:rPr>
        <w:t xml:space="preserve"> (julio 26, 2017).</w:t>
      </w:r>
      <w:r w:rsidR="00AD5C52">
        <w:rPr>
          <w:rFonts w:ascii="Times New Roman" w:eastAsiaTheme="majorEastAsia" w:hAnsi="Times New Roman"/>
          <w:lang w:val="es-US"/>
        </w:rPr>
        <w:t xml:space="preserve"> </w:t>
      </w:r>
      <w:r w:rsidRPr="00DC2F4A">
        <w:rPr>
          <w:rFonts w:ascii="Times New Roman" w:eastAsiaTheme="majorEastAsia" w:hAnsi="Times New Roman"/>
          <w:lang w:val="es-US"/>
        </w:rPr>
        <w:t xml:space="preserve">Ver también: Comité para la Eliminación de la Discriminación contra la Mujer, </w:t>
      </w:r>
      <w:hyperlink r:id="rId55">
        <w:r w:rsidRPr="00DC2F4A">
          <w:rPr>
            <w:rStyle w:val="Hyperlink"/>
            <w:rFonts w:ascii="Times New Roman" w:eastAsiaTheme="majorEastAsia" w:hAnsi="Times New Roman"/>
            <w:i/>
            <w:lang w:val="es-US"/>
          </w:rPr>
          <w:t>Comunicación No. 22/2009</w:t>
        </w:r>
      </w:hyperlink>
      <w:r w:rsidRPr="00DC2F4A">
        <w:rPr>
          <w:rFonts w:ascii="Times New Roman" w:eastAsiaTheme="majorEastAsia" w:hAnsi="Times New Roman"/>
          <w:i/>
          <w:lang w:val="es-US"/>
        </w:rPr>
        <w:t xml:space="preserve"> </w:t>
      </w:r>
      <w:r w:rsidRPr="00DC2F4A">
        <w:rPr>
          <w:rFonts w:ascii="Times New Roman" w:eastAsiaTheme="majorEastAsia" w:hAnsi="Times New Roman"/>
          <w:lang w:val="es-US"/>
        </w:rPr>
        <w:t>párr. 8.18, CEDAW/C/50/D/22/2009, (octubre 17, 2011)</w:t>
      </w:r>
    </w:p>
  </w:endnote>
  <w:endnote w:id="50">
    <w:p w14:paraId="3236F9F0" w14:textId="77777777" w:rsidR="001B026B" w:rsidRPr="00DC2F4A" w:rsidRDefault="001B026B" w:rsidP="00DC2F4A">
      <w:pPr>
        <w:pStyle w:val="EndnoteText"/>
        <w:jc w:val="both"/>
        <w:rPr>
          <w:rFonts w:ascii="Times New Roman" w:eastAsiaTheme="majorEastAsia" w:hAnsi="Times New Roman"/>
          <w:lang w:val="es-US"/>
        </w:rPr>
      </w:pPr>
      <w:r w:rsidRPr="00DC2F4A">
        <w:rPr>
          <w:rStyle w:val="EndnoteReference"/>
          <w:rFonts w:eastAsiaTheme="majorEastAsia"/>
          <w:sz w:val="20"/>
        </w:rPr>
        <w:endnoteRef/>
      </w:r>
      <w:r w:rsidRPr="00DC2F4A">
        <w:rPr>
          <w:rFonts w:ascii="Times New Roman" w:eastAsiaTheme="majorEastAsia" w:hAnsi="Times New Roman"/>
          <w:lang w:val="es-US"/>
        </w:rPr>
        <w:t xml:space="preserve"> Comité Contra la Tortura. </w:t>
      </w:r>
      <w:hyperlink r:id="rId56">
        <w:r w:rsidRPr="00DC2F4A">
          <w:rPr>
            <w:rStyle w:val="Hyperlink"/>
            <w:rFonts w:ascii="Times New Roman" w:eastAsiaTheme="majorEastAsia" w:hAnsi="Times New Roman"/>
            <w:i/>
            <w:lang w:val="es-US"/>
          </w:rPr>
          <w:t>Conclusiones y recomendaciones del Comité contra la Tortura: Perú</w:t>
        </w:r>
      </w:hyperlink>
      <w:r w:rsidRPr="00DC2F4A">
        <w:rPr>
          <w:rFonts w:ascii="Times New Roman" w:eastAsiaTheme="majorEastAsia" w:hAnsi="Times New Roman"/>
          <w:lang w:val="es-US"/>
        </w:rPr>
        <w:t xml:space="preserve">, párr. 23, PER⁄ CAT/C/PER/CO/4, (julio 25, 2006); Comité Contra la Tortura, </w:t>
      </w:r>
      <w:hyperlink r:id="rId57">
        <w:r w:rsidRPr="00DC2F4A">
          <w:rPr>
            <w:rStyle w:val="Hyperlink"/>
            <w:rFonts w:ascii="Times New Roman" w:eastAsiaTheme="majorEastAsia" w:hAnsi="Times New Roman"/>
            <w:i/>
            <w:lang w:val="es-US"/>
          </w:rPr>
          <w:t>Observaciones finales del Comité contra la Tortura: Nicaragua,</w:t>
        </w:r>
      </w:hyperlink>
      <w:r w:rsidRPr="00DC2F4A">
        <w:rPr>
          <w:rFonts w:ascii="Times New Roman" w:eastAsiaTheme="majorEastAsia" w:hAnsi="Times New Roman"/>
          <w:lang w:val="es-US"/>
        </w:rPr>
        <w:t xml:space="preserve"> párr. 16, CAT/C/NIC/CO/1,  (junio 10, 2009); y Comité Contra la Tortura, </w:t>
      </w:r>
      <w:hyperlink r:id="rId58">
        <w:r w:rsidRPr="00DC2F4A">
          <w:rPr>
            <w:rStyle w:val="Hyperlink"/>
            <w:rFonts w:ascii="Times New Roman" w:eastAsiaTheme="majorEastAsia" w:hAnsi="Times New Roman"/>
            <w:i/>
            <w:lang w:val="es-US"/>
          </w:rPr>
          <w:t>Conclusiones y recomendaciones del Comité contra la Tortura: Chile</w:t>
        </w:r>
      </w:hyperlink>
      <w:r w:rsidRPr="00DC2F4A">
        <w:rPr>
          <w:rFonts w:ascii="Times New Roman" w:eastAsiaTheme="majorEastAsia" w:hAnsi="Times New Roman"/>
          <w:lang w:val="es-US"/>
        </w:rPr>
        <w:t xml:space="preserve">, </w:t>
      </w:r>
      <w:r w:rsidRPr="00DC2F4A">
        <w:rPr>
          <w:rFonts w:ascii="Times New Roman" w:eastAsiaTheme="majorEastAsia" w:hAnsi="Times New Roman"/>
          <w:lang w:val="es-US"/>
        </w:rPr>
        <w:t xml:space="preserve">párr 7, CAT/C/CR/32/5, (junio 14, 2004); Asamblea General. </w:t>
      </w:r>
      <w:hyperlink r:id="rId59">
        <w:r w:rsidRPr="00DC2F4A">
          <w:rPr>
            <w:rStyle w:val="Hyperlink"/>
            <w:rFonts w:ascii="Times New Roman" w:eastAsiaTheme="majorEastAsia" w:hAnsi="Times New Roman"/>
            <w:i/>
            <w:lang w:val="es-US"/>
          </w:rPr>
          <w:t>Informe del Relator Especial sobre la tortura y otros tratos o penas crueles, inhumanos o degradantes</w:t>
        </w:r>
      </w:hyperlink>
      <w:r w:rsidRPr="00DC2F4A">
        <w:rPr>
          <w:rFonts w:ascii="Times New Roman" w:eastAsiaTheme="majorEastAsia" w:hAnsi="Times New Roman"/>
          <w:lang w:val="es-US"/>
        </w:rPr>
        <w:t>, párr. 43, A/HRC/31/57, (enero 5, 2016).</w:t>
      </w:r>
    </w:p>
  </w:endnote>
  <w:endnote w:id="51">
    <w:p w14:paraId="021F2B5B" w14:textId="4CE752DD" w:rsidR="001B026B" w:rsidRPr="00DC2F4A" w:rsidRDefault="001B026B" w:rsidP="00DC2F4A">
      <w:pPr>
        <w:pStyle w:val="EndnoteText"/>
        <w:jc w:val="both"/>
        <w:rPr>
          <w:rFonts w:ascii="Times New Roman" w:eastAsiaTheme="majorEastAsia" w:hAnsi="Times New Roman"/>
        </w:rPr>
      </w:pPr>
      <w:r w:rsidRPr="00DC2F4A">
        <w:rPr>
          <w:rStyle w:val="EndnoteReference"/>
          <w:rFonts w:eastAsiaTheme="majorEastAsia"/>
          <w:sz w:val="20"/>
        </w:rPr>
        <w:endnoteRef/>
      </w:r>
      <w:r w:rsidRPr="00DC2F4A">
        <w:rPr>
          <w:rFonts w:ascii="Times New Roman" w:eastAsiaTheme="majorEastAsia" w:hAnsi="Times New Roman"/>
        </w:rPr>
        <w:t xml:space="preserve"> </w:t>
      </w:r>
      <w:r w:rsidRPr="00DC2F4A">
        <w:rPr>
          <w:rFonts w:ascii="Times New Roman" w:eastAsiaTheme="majorEastAsia" w:hAnsi="Times New Roman"/>
          <w:lang w:val="es-US"/>
        </w:rPr>
        <w:t xml:space="preserve">De acuerdo con un </w:t>
      </w:r>
      <w:r w:rsidRPr="00DC2F4A">
        <w:rPr>
          <w:rFonts w:ascii="Times New Roman" w:eastAsiaTheme="majorEastAsia" w:hAnsi="Times New Roman"/>
          <w:i/>
          <w:lang w:val="es-US"/>
        </w:rPr>
        <w:t>Informe del Relator Especial sobre T</w:t>
      </w:r>
      <w:r w:rsidRPr="00DC2F4A">
        <w:rPr>
          <w:rFonts w:ascii="Times New Roman" w:eastAsiaTheme="majorEastAsia" w:hAnsi="Times New Roman"/>
          <w:i/>
        </w:rPr>
        <w:t>ortura y otros tratos o penas crueles, inhumanos o degradantes</w:t>
      </w:r>
      <w:r w:rsidRPr="00DC2F4A">
        <w:rPr>
          <w:rFonts w:ascii="Times New Roman" w:eastAsiaTheme="majorEastAsia" w:hAnsi="Times New Roman"/>
          <w:lang w:val="es-US"/>
        </w:rPr>
        <w:t xml:space="preserve"> no sólo “[e]stá demostrado que la violación y otras formas de violencia sexual pueden constituir tortura y malos tratos” sino que</w:t>
      </w:r>
      <w:r w:rsidRPr="00DC2F4A">
        <w:rPr>
          <w:rFonts w:ascii="Times New Roman" w:eastAsiaTheme="majorEastAsia" w:hAnsi="Times New Roman"/>
        </w:rPr>
        <w:t xml:space="preserve"> </w:t>
      </w:r>
      <w:r w:rsidRPr="00DC2F4A">
        <w:rPr>
          <w:rFonts w:ascii="Times New Roman" w:eastAsiaTheme="majorEastAsia" w:hAnsi="Times New Roman"/>
          <w:lang w:val="es-US"/>
        </w:rPr>
        <w:t>“[a]</w:t>
      </w:r>
      <w:r w:rsidRPr="00DC2F4A">
        <w:rPr>
          <w:rFonts w:ascii="Times New Roman" w:eastAsiaTheme="majorEastAsia" w:hAnsi="Times New Roman"/>
        </w:rPr>
        <w:t xml:space="preserve">demás de los traumas físicos, el dolor y el sufrimiento psíquico infligido a las víctimas de violación y otras formas de violencia sexual suelen ser duraderos debido, entre otras cosas, </w:t>
      </w:r>
      <w:r w:rsidRPr="00DC2F4A">
        <w:rPr>
          <w:rFonts w:ascii="Times New Roman" w:eastAsiaTheme="majorEastAsia" w:hAnsi="Times New Roman"/>
          <w:lang w:val="es-US"/>
        </w:rPr>
        <w:t xml:space="preserve">[… a tener que enfrentar] </w:t>
      </w:r>
      <w:r w:rsidRPr="00DC2F4A">
        <w:rPr>
          <w:rFonts w:ascii="Times New Roman" w:eastAsiaTheme="majorEastAsia" w:hAnsi="Times New Roman"/>
        </w:rPr>
        <w:t xml:space="preserve">embarazos no deseados, abortos espontáneos e interrupciones forzadas del embarazo o denegación de los servicios abortivos”. Además, el Relator Especial refirió que </w:t>
      </w:r>
      <w:r w:rsidRPr="00DC2F4A">
        <w:rPr>
          <w:rFonts w:ascii="Times New Roman" w:eastAsiaTheme="majorEastAsia" w:hAnsi="Times New Roman"/>
          <w:lang w:val="es-US"/>
        </w:rPr>
        <w:t>“[t]</w:t>
      </w:r>
      <w:r w:rsidRPr="00DC2F4A">
        <w:rPr>
          <w:rFonts w:ascii="Times New Roman" w:eastAsiaTheme="majorEastAsia" w:hAnsi="Times New Roman"/>
        </w:rPr>
        <w:t xml:space="preserve">ambién aparecen consecuencias físicas y psicológicas a corto y largo plazo cuando las mujeres se someten a abortos en condiciones de riesgo y </w:t>
      </w:r>
      <w:r w:rsidRPr="00DC2F4A">
        <w:rPr>
          <w:rFonts w:ascii="Times New Roman" w:eastAsiaTheme="majorEastAsia" w:hAnsi="Times New Roman"/>
          <w:u w:val="single"/>
        </w:rPr>
        <w:t>cuando se ven obligadas a llevar el embarazo a término contra su voluntad</w:t>
      </w:r>
      <w:r w:rsidRPr="00DC2F4A">
        <w:rPr>
          <w:rFonts w:ascii="Times New Roman" w:eastAsiaTheme="majorEastAsia" w:hAnsi="Times New Roman"/>
        </w:rPr>
        <w:t>”.</w:t>
      </w:r>
      <w:r w:rsidRPr="00DC2F4A">
        <w:rPr>
          <w:rFonts w:ascii="Times New Roman" w:eastAsiaTheme="majorEastAsia" w:hAnsi="Times New Roman"/>
          <w:lang w:val="es-ES"/>
        </w:rPr>
        <w:t xml:space="preserve"> Asamblea General de Naciones Unidas, </w:t>
      </w:r>
      <w:hyperlink r:id="rId60">
        <w:r w:rsidRPr="00DC2F4A">
          <w:rPr>
            <w:rStyle w:val="Hyperlink"/>
            <w:rFonts w:ascii="Times New Roman" w:eastAsiaTheme="majorEastAsia" w:hAnsi="Times New Roman"/>
            <w:i/>
            <w:lang w:val="es-US"/>
          </w:rPr>
          <w:t>Informe del Relator Especial sobre T</w:t>
        </w:r>
        <w:r w:rsidRPr="00DC2F4A">
          <w:rPr>
            <w:rStyle w:val="Hyperlink"/>
            <w:rFonts w:ascii="Times New Roman" w:eastAsiaTheme="majorEastAsia" w:hAnsi="Times New Roman"/>
            <w:i/>
          </w:rPr>
          <w:t>ortura y otros tratos o penas crueles, inhumanos o degradantes,</w:t>
        </w:r>
      </w:hyperlink>
      <w:r w:rsidRPr="00DC2F4A">
        <w:rPr>
          <w:rFonts w:ascii="Times New Roman" w:eastAsiaTheme="majorEastAsia" w:hAnsi="Times New Roman"/>
          <w:i/>
        </w:rPr>
        <w:t xml:space="preserve"> </w:t>
      </w:r>
      <w:r w:rsidRPr="00DC2F4A">
        <w:rPr>
          <w:rFonts w:ascii="Times New Roman" w:eastAsiaTheme="majorEastAsia" w:hAnsi="Times New Roman"/>
        </w:rPr>
        <w:t>párr 51, A/HRC/31/57, (enero 5, 2016)</w:t>
      </w:r>
      <w:r w:rsidRPr="00DC2F4A">
        <w:rPr>
          <w:rFonts w:ascii="Times New Roman" w:eastAsiaTheme="majorEastAsia" w:hAnsi="Times New Roman"/>
          <w:lang w:val="es-US"/>
        </w:rPr>
        <w:t xml:space="preserve"> </w:t>
      </w:r>
    </w:p>
  </w:endnote>
  <w:endnote w:id="52">
    <w:p w14:paraId="00CEFA42" w14:textId="77777777" w:rsidR="001B026B" w:rsidRPr="00DC2F4A" w:rsidRDefault="001B026B" w:rsidP="00DC2F4A">
      <w:pPr>
        <w:spacing w:after="0" w:line="240" w:lineRule="auto"/>
        <w:jc w:val="both"/>
        <w:rPr>
          <w:rFonts w:ascii="Times New Roman" w:eastAsiaTheme="majorEastAsia" w:hAnsi="Times New Roman" w:cs="Times New Roman"/>
          <w:sz w:val="20"/>
          <w:szCs w:val="20"/>
          <w:lang w:val="es-ES"/>
        </w:rPr>
      </w:pPr>
      <w:r w:rsidRPr="00DC2F4A">
        <w:rPr>
          <w:rStyle w:val="EndnoteReference"/>
          <w:rFonts w:eastAsiaTheme="majorEastAsia" w:cs="Times New Roman"/>
          <w:sz w:val="20"/>
          <w:szCs w:val="20"/>
        </w:rPr>
        <w:endnoteRef/>
      </w:r>
      <w:r w:rsidRPr="00DC2F4A">
        <w:rPr>
          <w:rFonts w:ascii="Times New Roman" w:eastAsiaTheme="majorEastAsia" w:hAnsi="Times New Roman" w:cs="Times New Roman"/>
          <w:sz w:val="20"/>
          <w:szCs w:val="20"/>
          <w:lang w:val="es-ES"/>
        </w:rPr>
        <w:t xml:space="preserve"> Asamblea General de Naciones Unidas, </w:t>
      </w:r>
      <w:hyperlink r:id="rId61">
        <w:r w:rsidRPr="00DC2F4A">
          <w:rPr>
            <w:rStyle w:val="Hyperlink"/>
            <w:rFonts w:ascii="Times New Roman" w:eastAsiaTheme="majorEastAsia" w:hAnsi="Times New Roman" w:cs="Times New Roman"/>
            <w:i/>
            <w:sz w:val="20"/>
            <w:szCs w:val="20"/>
            <w:lang w:val="es-ES"/>
          </w:rPr>
          <w:t>Visita al Ecuador: Informe del Relator Especial sobre el derecho de toda persona al disfrute del más alto nivel posible de salud física y mental</w:t>
        </w:r>
      </w:hyperlink>
      <w:r w:rsidRPr="00DC2F4A">
        <w:rPr>
          <w:rFonts w:ascii="Times New Roman" w:eastAsiaTheme="majorEastAsia" w:hAnsi="Times New Roman" w:cs="Times New Roman"/>
          <w:sz w:val="20"/>
          <w:szCs w:val="20"/>
          <w:lang w:val="es-ES"/>
        </w:rPr>
        <w:t>, párr. 48, A/HRC/44/48/Add.1, (mayo 6, 2020)</w:t>
      </w:r>
    </w:p>
  </w:endnote>
  <w:endnote w:id="53">
    <w:p w14:paraId="1F63724C" w14:textId="77777777" w:rsidR="001B026B" w:rsidRPr="00DC2F4A" w:rsidRDefault="001B026B" w:rsidP="00DC2F4A">
      <w:pPr>
        <w:pStyle w:val="EndnoteText"/>
        <w:jc w:val="both"/>
        <w:rPr>
          <w:rFonts w:ascii="Times New Roman" w:eastAsiaTheme="majorEastAsia" w:hAnsi="Times New Roman"/>
          <w:lang w:val="es-ES"/>
        </w:rPr>
      </w:pPr>
      <w:r w:rsidRPr="00DC2F4A">
        <w:rPr>
          <w:rStyle w:val="EndnoteReference"/>
          <w:rFonts w:eastAsiaTheme="majorEastAsia"/>
          <w:sz w:val="20"/>
        </w:rPr>
        <w:endnoteRef/>
      </w:r>
      <w:r w:rsidRPr="00DC2F4A">
        <w:rPr>
          <w:rFonts w:ascii="Times New Roman" w:eastAsiaTheme="majorEastAsia" w:hAnsi="Times New Roman"/>
        </w:rPr>
        <w:t xml:space="preserve"> Organización Panamericana de la Salud</w:t>
      </w:r>
      <w:r w:rsidRPr="00DC2F4A">
        <w:rPr>
          <w:rFonts w:ascii="Times New Roman" w:eastAsiaTheme="majorEastAsia" w:hAnsi="Times New Roman"/>
          <w:lang w:val="es-US"/>
        </w:rPr>
        <w:t xml:space="preserve">, </w:t>
      </w:r>
      <w:hyperlink r:id="rId62">
        <w:r w:rsidRPr="00DC2F4A">
          <w:rPr>
            <w:rStyle w:val="Hyperlink"/>
            <w:rFonts w:ascii="Times New Roman" w:eastAsiaTheme="majorEastAsia" w:hAnsi="Times New Roman"/>
            <w:i/>
            <w:lang w:val="es-ES"/>
          </w:rPr>
          <w:t>Acelerar el progreso hacia la reducción del embarazo en la adolescencia en América Latina y el Caribe</w:t>
        </w:r>
      </w:hyperlink>
      <w:r w:rsidRPr="00DC2F4A">
        <w:rPr>
          <w:rFonts w:ascii="Times New Roman" w:eastAsiaTheme="majorEastAsia" w:hAnsi="Times New Roman"/>
          <w:lang w:val="es-ES"/>
        </w:rPr>
        <w:t>, pág. 17, (2018)</w:t>
      </w:r>
    </w:p>
  </w:endnote>
  <w:endnote w:id="54">
    <w:p w14:paraId="76025C64" w14:textId="77777777" w:rsidR="00DC2F41" w:rsidRPr="00DC2F4A" w:rsidRDefault="00DC2F41" w:rsidP="00DC2F4A">
      <w:pPr>
        <w:spacing w:after="0" w:line="240" w:lineRule="auto"/>
        <w:ind w:left="-20" w:right="-20"/>
        <w:jc w:val="both"/>
        <w:rPr>
          <w:rStyle w:val="normaltextrun"/>
          <w:rFonts w:ascii="Times New Roman" w:eastAsia="Times New Roman" w:hAnsi="Times New Roman" w:cs="Times New Roman"/>
          <w:sz w:val="20"/>
          <w:szCs w:val="20"/>
          <w:lang w:val="es"/>
        </w:rPr>
      </w:pPr>
      <w:r w:rsidRPr="00DC2F4A">
        <w:rPr>
          <w:rStyle w:val="EndnoteReference"/>
          <w:rFonts w:cs="Times New Roman"/>
          <w:b w:val="0"/>
          <w:sz w:val="20"/>
          <w:szCs w:val="20"/>
        </w:rPr>
        <w:endnoteRef/>
      </w:r>
      <w:r w:rsidRPr="00DC2F4A">
        <w:rPr>
          <w:rFonts w:ascii="Times New Roman" w:hAnsi="Times New Roman" w:cs="Times New Roman"/>
          <w:b/>
          <w:sz w:val="20"/>
          <w:szCs w:val="20"/>
          <w:lang w:val="es-CO"/>
        </w:rPr>
        <w:t xml:space="preserve"> </w:t>
      </w:r>
      <w:r w:rsidRPr="00DC2F4A">
        <w:rPr>
          <w:rFonts w:ascii="Times New Roman" w:eastAsiaTheme="minorEastAsia" w:hAnsi="Times New Roman" w:cs="Times New Roman"/>
          <w:sz w:val="20"/>
          <w:szCs w:val="20"/>
          <w:lang w:val="es-ES"/>
        </w:rPr>
        <w:t xml:space="preserve">Comité de los Derechos del Niño. </w:t>
      </w:r>
      <w:hyperlink r:id="rId63" w:history="1">
        <w:r w:rsidRPr="00DC2F4A">
          <w:rPr>
            <w:rStyle w:val="Hyperlink"/>
            <w:rFonts w:ascii="Times New Roman" w:eastAsiaTheme="minorEastAsia" w:hAnsi="Times New Roman" w:cs="Times New Roman"/>
            <w:i/>
            <w:sz w:val="20"/>
            <w:szCs w:val="20"/>
            <w:lang w:val="es-ES"/>
          </w:rPr>
          <w:t>Dictamen aprobado por el Comité en relación con el Protocolo Facultativo de la Convención sobre los Derechos del Niño relativo a un procedimiento de comunicaciones, respecto de la comunicación núm. 136/2021</w:t>
        </w:r>
      </w:hyperlink>
      <w:r w:rsidRPr="00DC2F4A">
        <w:rPr>
          <w:rFonts w:ascii="Times New Roman" w:eastAsiaTheme="minorEastAsia" w:hAnsi="Times New Roman" w:cs="Times New Roman"/>
          <w:sz w:val="20"/>
          <w:szCs w:val="20"/>
          <w:lang w:val="es-ES"/>
        </w:rPr>
        <w:t>, párr. 8.14, CRC/C/93/D/136/2021, (13 junio 2023).</w:t>
      </w:r>
    </w:p>
  </w:endnote>
  <w:endnote w:id="55">
    <w:p w14:paraId="5D29211A" w14:textId="77777777" w:rsidR="00A60861" w:rsidRPr="00DC2F4A" w:rsidRDefault="00A60861" w:rsidP="00DC2F4A">
      <w:pPr>
        <w:pStyle w:val="EndnoteText"/>
        <w:jc w:val="both"/>
        <w:rPr>
          <w:rFonts w:ascii="Times New Roman" w:hAnsi="Times New Roman"/>
        </w:rPr>
      </w:pPr>
      <w:r w:rsidRPr="00DC2F4A">
        <w:rPr>
          <w:rStyle w:val="EndnoteReference"/>
          <w:sz w:val="20"/>
        </w:rPr>
        <w:endnoteRef/>
      </w:r>
      <w:r w:rsidRPr="00DC2F4A">
        <w:rPr>
          <w:rFonts w:ascii="Times New Roman" w:hAnsi="Times New Roman"/>
        </w:rPr>
        <w:t xml:space="preserve"> Fátima es un pseudónimo elegido para proteger su identidad.</w:t>
      </w:r>
    </w:p>
  </w:endnote>
  <w:endnote w:id="56">
    <w:p w14:paraId="0DE7D889" w14:textId="77777777" w:rsidR="00A60861" w:rsidRPr="00DC2F4A" w:rsidRDefault="00A60861" w:rsidP="00DC2F4A">
      <w:pPr>
        <w:pStyle w:val="EndnoteText"/>
        <w:jc w:val="both"/>
        <w:rPr>
          <w:rFonts w:ascii="Times New Roman" w:hAnsi="Times New Roman"/>
        </w:rPr>
      </w:pPr>
      <w:r w:rsidRPr="00DC2F4A">
        <w:rPr>
          <w:rStyle w:val="EndnoteReference"/>
          <w:b w:val="0"/>
          <w:sz w:val="20"/>
        </w:rPr>
        <w:endnoteRef/>
      </w:r>
      <w:r w:rsidRPr="00DC2F4A">
        <w:rPr>
          <w:rFonts w:ascii="Times New Roman" w:hAnsi="Times New Roman"/>
          <w:b/>
        </w:rPr>
        <w:t xml:space="preserve"> </w:t>
      </w:r>
      <w:r w:rsidRPr="00DC2F4A">
        <w:rPr>
          <w:rFonts w:ascii="Times New Roman" w:hAnsi="Times New Roman"/>
        </w:rPr>
        <w:t xml:space="preserve">En el fallo del caso Guzmán Albarracín y otras vs. Ecuador, la Corte IDH estableció que el acceso a educación e información oportuna, integral, veraz, no discriminatoria, adecuada a la edad de la niñas, niños y adolescentes, y científicamente rigurosa, es necesaria para garantizar que ellas puedan, de acuerdo con la evolución de sus capacidades, tomar decisiones autónomas y libres sobre su sexualidad y reproducción y así asumir comportamientos sexuales responsables. Adicionalmente, el acceso a la información y educación en sexualidad integral es una condición sin qua non para que las niñas, niños y adolescentes puedan comprender lo que constituye actos de violencia sexual y dónde denunciar y buscar apoyo, así como “las implicancias de las relaciones sexuales y afectivas”. También comprender qué constituye “el consentimiento para tales vínculos”, y “el ejercicio de las libertades respecto a sus derechos sexuales y reproductivos”. Corte Interamericana de Justicia. </w:t>
      </w:r>
      <w:hyperlink r:id="rId64" w:history="1">
        <w:r w:rsidRPr="00DC2F4A">
          <w:rPr>
            <w:rStyle w:val="Hyperlink"/>
            <w:rFonts w:ascii="Times New Roman" w:hAnsi="Times New Roman"/>
            <w:i/>
          </w:rPr>
          <w:t>Caso Guzmán Albarracín y otras vs. Ecuador. Sentencia del 24 de junio de 2020. (Fondo, Reparaciones y Costas)</w:t>
        </w:r>
      </w:hyperlink>
      <w:r w:rsidRPr="00DC2F4A">
        <w:rPr>
          <w:rFonts w:ascii="Times New Roman" w:hAnsi="Times New Roman"/>
        </w:rPr>
        <w:t>, párr. 139. Serie C No. 405.</w:t>
      </w:r>
    </w:p>
  </w:endnote>
  <w:endnote w:id="57">
    <w:p w14:paraId="126ABD70" w14:textId="77777777" w:rsidR="00A60861" w:rsidRPr="00DC2F4A" w:rsidRDefault="00A60861" w:rsidP="00DC2F4A">
      <w:pPr>
        <w:pStyle w:val="EndnoteText"/>
        <w:jc w:val="both"/>
        <w:rPr>
          <w:rFonts w:ascii="Times New Roman" w:hAnsi="Times New Roman"/>
        </w:rPr>
      </w:pPr>
      <w:r w:rsidRPr="00DC2F4A">
        <w:rPr>
          <w:rStyle w:val="EndnoteReference"/>
          <w:b w:val="0"/>
          <w:sz w:val="20"/>
        </w:rPr>
        <w:endnoteRef/>
      </w:r>
      <w:r w:rsidRPr="00DC2F4A">
        <w:rPr>
          <w:rFonts w:ascii="Times New Roman" w:hAnsi="Times New Roman"/>
        </w:rPr>
        <w:t xml:space="preserve"> </w:t>
      </w:r>
      <w:r w:rsidRPr="00DC2F4A">
        <w:rPr>
          <w:rFonts w:ascii="Times New Roman" w:hAnsi="Times New Roman"/>
        </w:rPr>
        <w:t xml:space="preserve">NoFicción. </w:t>
      </w:r>
      <w:hyperlink r:id="rId65" w:anchor=":~:text=El%2027%20de%20noviembre%20de,supuestamente%20ir%20a%20un%20evento." w:history="1">
        <w:r w:rsidRPr="00DC2F4A">
          <w:rPr>
            <w:rStyle w:val="Hyperlink"/>
            <w:rFonts w:ascii="Times New Roman" w:hAnsi="Times New Roman"/>
            <w:i/>
          </w:rPr>
          <w:t>Fátima contra el Estado de Guatemala</w:t>
        </w:r>
      </w:hyperlink>
      <w:r w:rsidRPr="00DC2F4A">
        <w:rPr>
          <w:rFonts w:ascii="Times New Roman" w:hAnsi="Times New Roman"/>
        </w:rPr>
        <w:t xml:space="preserve"> (04 de mayo de 2021)</w:t>
      </w:r>
    </w:p>
  </w:endnote>
  <w:endnote w:id="58">
    <w:p w14:paraId="23DB6CF9" w14:textId="231A53C2" w:rsidR="00965B9F" w:rsidRPr="00965B9F" w:rsidRDefault="00965B9F">
      <w:pPr>
        <w:pStyle w:val="EndnoteText"/>
        <w:rPr>
          <w:lang w:val="en-US"/>
        </w:rPr>
      </w:pPr>
      <w:r>
        <w:rPr>
          <w:rStyle w:val="EndnoteReference"/>
        </w:rPr>
        <w:endnoteRef/>
      </w:r>
      <w:r w:rsidRPr="00965B9F">
        <w:rPr>
          <w:lang w:val="en-US"/>
        </w:rPr>
        <w:t xml:space="preserve"> </w:t>
      </w:r>
      <w:hyperlink r:id="rId66" w:history="1">
        <w:r w:rsidRPr="00965B9F">
          <w:rPr>
            <w:rStyle w:val="Hyperlink"/>
            <w:lang w:val="en-US"/>
          </w:rPr>
          <w:t>Innovative litigation filed against three countries to protect girls’ rights in Latin America | Center for Reproductive Rights</w:t>
        </w:r>
      </w:hyperlink>
    </w:p>
  </w:endnote>
  <w:endnote w:id="59">
    <w:p w14:paraId="6C6AD88C" w14:textId="77777777" w:rsidR="00B40A4B" w:rsidRPr="00DC2F4A" w:rsidRDefault="00B40A4B" w:rsidP="00DC2F4A">
      <w:pPr>
        <w:pStyle w:val="EndnoteText"/>
        <w:jc w:val="both"/>
        <w:rPr>
          <w:rFonts w:ascii="Times New Roman" w:hAnsi="Times New Roman"/>
        </w:rPr>
      </w:pPr>
      <w:r w:rsidRPr="00DC2F4A">
        <w:rPr>
          <w:rStyle w:val="EndnoteReference"/>
          <w:sz w:val="20"/>
        </w:rPr>
        <w:endnoteRef/>
      </w:r>
      <w:r w:rsidRPr="00DC2F4A">
        <w:rPr>
          <w:rFonts w:ascii="Times New Roman" w:hAnsi="Times New Roman"/>
        </w:rPr>
        <w:t xml:space="preserve"> ONU Mujeres. </w:t>
      </w:r>
      <w:hyperlink r:id="rId67" w:history="1">
        <w:r w:rsidRPr="00DC2F4A">
          <w:rPr>
            <w:rStyle w:val="Hyperlink"/>
            <w:rFonts w:ascii="Times New Roman" w:hAnsi="Times New Roman"/>
            <w:i/>
          </w:rPr>
          <w:t>Promover la Igualdad de Género En La Salud Sexual, Reproductiva, Materna, Neonatal, Infantil y Adolescente</w:t>
        </w:r>
      </w:hyperlink>
      <w:r w:rsidRPr="00DC2F4A">
        <w:rPr>
          <w:rFonts w:ascii="Times New Roman" w:hAnsi="Times New Roman"/>
        </w:rPr>
        <w:t>, pp. 55-68, (2019)</w:t>
      </w:r>
    </w:p>
  </w:endnote>
  <w:endnote w:id="60">
    <w:p w14:paraId="5A0272C3" w14:textId="77777777" w:rsidR="00B40A4B" w:rsidRPr="00DC2F4A" w:rsidRDefault="00B40A4B" w:rsidP="00DC2F4A">
      <w:pPr>
        <w:pStyle w:val="EndnoteText"/>
        <w:jc w:val="both"/>
        <w:rPr>
          <w:rFonts w:ascii="Times New Roman" w:eastAsiaTheme="majorEastAsia" w:hAnsi="Times New Roman"/>
        </w:rPr>
      </w:pPr>
      <w:r w:rsidRPr="00DC2F4A">
        <w:rPr>
          <w:rStyle w:val="EndnoteReference"/>
          <w:rFonts w:eastAsiaTheme="majorEastAsia"/>
          <w:sz w:val="20"/>
        </w:rPr>
        <w:endnoteRef/>
      </w:r>
      <w:r w:rsidRPr="00DC2F4A">
        <w:rPr>
          <w:rFonts w:ascii="Times New Roman" w:eastAsiaTheme="majorEastAsia" w:hAnsi="Times New Roman"/>
        </w:rPr>
        <w:t xml:space="preserve"> Esta es la encuesta más reciente que se encuentra disponible, pese a que se ha aprobado el proyecto para una encuesta para el periodo 2022-23. </w:t>
      </w:r>
    </w:p>
  </w:endnote>
  <w:endnote w:id="61">
    <w:p w14:paraId="2AF97F14" w14:textId="77777777" w:rsidR="00B40A4B" w:rsidRPr="00DC2F4A" w:rsidRDefault="00B40A4B" w:rsidP="00DC2F4A">
      <w:pPr>
        <w:pStyle w:val="EndnoteText"/>
        <w:jc w:val="both"/>
        <w:rPr>
          <w:rFonts w:ascii="Times New Roman" w:eastAsiaTheme="majorEastAsia" w:hAnsi="Times New Roman"/>
        </w:rPr>
      </w:pPr>
      <w:r w:rsidRPr="00DC2F4A">
        <w:rPr>
          <w:rStyle w:val="EndnoteReference"/>
          <w:rFonts w:eastAsiaTheme="majorEastAsia"/>
          <w:sz w:val="20"/>
        </w:rPr>
        <w:endnoteRef/>
      </w:r>
      <w:r w:rsidRPr="00DC2F4A">
        <w:rPr>
          <w:rFonts w:ascii="Times New Roman" w:eastAsiaTheme="majorEastAsia" w:hAnsi="Times New Roman"/>
        </w:rPr>
        <w:t xml:space="preserve"> Vicepresidencia de la República de Guatemala. </w:t>
      </w:r>
      <w:hyperlink r:id="rId68">
        <w:r w:rsidRPr="00DC2F4A">
          <w:rPr>
            <w:rStyle w:val="Hyperlink"/>
            <w:rFonts w:ascii="Times New Roman" w:eastAsiaTheme="majorEastAsia" w:hAnsi="Times New Roman"/>
            <w:i/>
          </w:rPr>
          <w:t>Plan Nacional de Prevención de Embarazos en Adolescentes (Planea) 2018-2022</w:t>
        </w:r>
      </w:hyperlink>
      <w:r w:rsidRPr="00DC2F4A">
        <w:rPr>
          <w:rFonts w:ascii="Times New Roman" w:eastAsiaTheme="majorEastAsia" w:hAnsi="Times New Roman"/>
          <w:i/>
        </w:rPr>
        <w:t xml:space="preserve">. </w:t>
      </w:r>
      <w:r w:rsidRPr="00DC2F4A">
        <w:rPr>
          <w:rFonts w:ascii="Times New Roman" w:eastAsiaTheme="majorEastAsia" w:hAnsi="Times New Roman"/>
        </w:rPr>
        <w:t>pág. 23. (diciembre, 2017).</w:t>
      </w:r>
    </w:p>
  </w:endnote>
  <w:endnote w:id="62">
    <w:p w14:paraId="408CECBF" w14:textId="1A1DE89E" w:rsidR="00B40A4B" w:rsidRPr="00DC2F4A" w:rsidRDefault="00B40A4B" w:rsidP="00DC2F4A">
      <w:pPr>
        <w:pStyle w:val="EndnoteText"/>
        <w:jc w:val="both"/>
        <w:rPr>
          <w:rFonts w:ascii="Times New Roman" w:eastAsiaTheme="majorEastAsia" w:hAnsi="Times New Roman"/>
        </w:rPr>
      </w:pPr>
      <w:r w:rsidRPr="00DC2F4A">
        <w:rPr>
          <w:rStyle w:val="EndnoteReference"/>
          <w:rFonts w:eastAsiaTheme="majorEastAsia"/>
          <w:sz w:val="20"/>
        </w:rPr>
        <w:endnoteRef/>
      </w:r>
      <w:r w:rsidRPr="00DC2F4A">
        <w:rPr>
          <w:rFonts w:ascii="Times New Roman" w:eastAsiaTheme="majorEastAsia" w:hAnsi="Times New Roman"/>
        </w:rPr>
        <w:t xml:space="preserve"> </w:t>
      </w:r>
      <w:r w:rsidR="009566FC" w:rsidRPr="003479C0">
        <w:rPr>
          <w:rFonts w:ascii="Times New Roman" w:eastAsiaTheme="majorEastAsia" w:hAnsi="Times New Roman"/>
          <w:i/>
          <w:iCs/>
        </w:rPr>
        <w:t>Ibid.</w:t>
      </w:r>
    </w:p>
  </w:endnote>
  <w:endnote w:id="63">
    <w:p w14:paraId="796323FD" w14:textId="5636F3A5" w:rsidR="00B40A4B" w:rsidRPr="00DC2F4A" w:rsidRDefault="00B40A4B" w:rsidP="00DC2F4A">
      <w:pPr>
        <w:pStyle w:val="EndnoteText"/>
        <w:jc w:val="both"/>
        <w:rPr>
          <w:rFonts w:ascii="Times New Roman" w:eastAsiaTheme="majorEastAsia" w:hAnsi="Times New Roman"/>
        </w:rPr>
      </w:pPr>
      <w:r w:rsidRPr="00DC2F4A">
        <w:rPr>
          <w:rStyle w:val="EndnoteReference"/>
          <w:rFonts w:eastAsiaTheme="majorEastAsia"/>
          <w:sz w:val="20"/>
        </w:rPr>
        <w:endnoteRef/>
      </w:r>
      <w:r w:rsidRPr="00DC2F4A">
        <w:rPr>
          <w:rFonts w:ascii="Times New Roman" w:eastAsiaTheme="majorEastAsia" w:hAnsi="Times New Roman"/>
        </w:rPr>
        <w:t xml:space="preserve"> </w:t>
      </w:r>
      <w:r w:rsidR="009566FC" w:rsidRPr="003479C0">
        <w:rPr>
          <w:rFonts w:ascii="Times New Roman" w:eastAsiaTheme="majorEastAsia" w:hAnsi="Times New Roman"/>
          <w:i/>
          <w:iCs/>
        </w:rPr>
        <w:t>Ibid.</w:t>
      </w:r>
      <w:r w:rsidR="009566FC">
        <w:rPr>
          <w:rFonts w:ascii="Times New Roman" w:eastAsiaTheme="majorEastAsia" w:hAnsi="Times New Roman"/>
          <w:i/>
          <w:iCs/>
        </w:rPr>
        <w:t xml:space="preserve"> </w:t>
      </w:r>
      <w:r w:rsidRPr="00DC2F4A">
        <w:rPr>
          <w:rFonts w:ascii="Times New Roman" w:eastAsiaTheme="majorEastAsia" w:hAnsi="Times New Roman"/>
        </w:rPr>
        <w:t xml:space="preserve">pág. 24. </w:t>
      </w:r>
    </w:p>
  </w:endnote>
  <w:endnote w:id="64">
    <w:p w14:paraId="6B68A17C" w14:textId="0C84FE3F" w:rsidR="00B40A4B" w:rsidRPr="00DC2F4A" w:rsidRDefault="00B40A4B" w:rsidP="00DC2F4A">
      <w:pPr>
        <w:pStyle w:val="EndnoteText"/>
        <w:jc w:val="both"/>
        <w:rPr>
          <w:rFonts w:ascii="Times New Roman" w:eastAsiaTheme="majorEastAsia" w:hAnsi="Times New Roman"/>
        </w:rPr>
      </w:pPr>
      <w:r w:rsidRPr="00DC2F4A">
        <w:rPr>
          <w:rStyle w:val="EndnoteReference"/>
          <w:rFonts w:eastAsiaTheme="majorEastAsia"/>
          <w:sz w:val="20"/>
        </w:rPr>
        <w:endnoteRef/>
      </w:r>
      <w:r w:rsidRPr="00DC2F4A">
        <w:rPr>
          <w:rFonts w:ascii="Times New Roman" w:eastAsiaTheme="majorEastAsia" w:hAnsi="Times New Roman"/>
        </w:rPr>
        <w:t xml:space="preserve"> </w:t>
      </w:r>
      <w:r w:rsidR="009566FC" w:rsidRPr="003479C0">
        <w:rPr>
          <w:rFonts w:ascii="Times New Roman" w:eastAsiaTheme="majorEastAsia" w:hAnsi="Times New Roman"/>
          <w:i/>
          <w:iCs/>
        </w:rPr>
        <w:t>Ibid.</w:t>
      </w:r>
    </w:p>
  </w:endnote>
  <w:endnote w:id="65">
    <w:p w14:paraId="28080690" w14:textId="4E65AC1E" w:rsidR="00B40A4B" w:rsidRPr="00DC2F4A" w:rsidRDefault="00B40A4B" w:rsidP="00DC2F4A">
      <w:pPr>
        <w:pStyle w:val="EndnoteText"/>
        <w:jc w:val="both"/>
        <w:rPr>
          <w:rFonts w:ascii="Times New Roman" w:eastAsiaTheme="majorEastAsia" w:hAnsi="Times New Roman"/>
        </w:rPr>
      </w:pPr>
      <w:r w:rsidRPr="00DC2F4A">
        <w:rPr>
          <w:rStyle w:val="EndnoteReference"/>
          <w:rFonts w:eastAsiaTheme="majorEastAsia"/>
          <w:sz w:val="20"/>
        </w:rPr>
        <w:endnoteRef/>
      </w:r>
      <w:r w:rsidRPr="00DC2F4A">
        <w:rPr>
          <w:rFonts w:ascii="Times New Roman" w:eastAsiaTheme="majorEastAsia" w:hAnsi="Times New Roman"/>
        </w:rPr>
        <w:t xml:space="preserve"> </w:t>
      </w:r>
      <w:r w:rsidR="009566FC" w:rsidRPr="003479C0">
        <w:rPr>
          <w:rFonts w:ascii="Times New Roman" w:eastAsiaTheme="majorEastAsia" w:hAnsi="Times New Roman"/>
          <w:i/>
          <w:iCs/>
        </w:rPr>
        <w:t>Ibid</w:t>
      </w:r>
      <w:r w:rsidRPr="00DC2F4A">
        <w:rPr>
          <w:rFonts w:ascii="Times New Roman" w:eastAsiaTheme="majorEastAsia" w:hAnsi="Times New Roman"/>
          <w:i/>
          <w:iCs/>
        </w:rPr>
        <w:t xml:space="preserve">. </w:t>
      </w:r>
      <w:r w:rsidRPr="00DC2F4A">
        <w:rPr>
          <w:rFonts w:ascii="Times New Roman" w:eastAsiaTheme="majorEastAsia" w:hAnsi="Times New Roman"/>
        </w:rPr>
        <w:t xml:space="preserve">pág. 25. </w:t>
      </w:r>
    </w:p>
  </w:endnote>
  <w:endnote w:id="66">
    <w:p w14:paraId="56F0872C" w14:textId="446F5A10" w:rsidR="00B40A4B" w:rsidRPr="00DC2F4A" w:rsidRDefault="00B40A4B" w:rsidP="00DC2F4A">
      <w:pPr>
        <w:pStyle w:val="EndnoteText"/>
        <w:jc w:val="both"/>
        <w:rPr>
          <w:rFonts w:ascii="Times New Roman" w:eastAsiaTheme="majorEastAsia" w:hAnsi="Times New Roman"/>
        </w:rPr>
      </w:pPr>
      <w:r w:rsidRPr="00DC2F4A">
        <w:rPr>
          <w:rStyle w:val="EndnoteReference"/>
          <w:rFonts w:eastAsiaTheme="majorEastAsia"/>
          <w:sz w:val="20"/>
        </w:rPr>
        <w:endnoteRef/>
      </w:r>
      <w:r w:rsidRPr="00DC2F4A">
        <w:rPr>
          <w:rFonts w:ascii="Times New Roman" w:eastAsiaTheme="majorEastAsia" w:hAnsi="Times New Roman"/>
        </w:rPr>
        <w:t xml:space="preserve"> </w:t>
      </w:r>
      <w:r w:rsidR="009566FC" w:rsidRPr="003479C0">
        <w:rPr>
          <w:rFonts w:ascii="Times New Roman" w:eastAsiaTheme="majorEastAsia" w:hAnsi="Times New Roman"/>
          <w:i/>
          <w:iCs/>
        </w:rPr>
        <w:t>Ibid.</w:t>
      </w:r>
    </w:p>
  </w:endnote>
  <w:endnote w:id="67">
    <w:p w14:paraId="647E7A0D" w14:textId="65CFD748" w:rsidR="00B40A4B" w:rsidRPr="00DC2F4A" w:rsidRDefault="00B40A4B" w:rsidP="00DC2F4A">
      <w:pPr>
        <w:pStyle w:val="EndnoteText"/>
        <w:jc w:val="both"/>
        <w:rPr>
          <w:rFonts w:ascii="Times New Roman" w:eastAsiaTheme="majorEastAsia" w:hAnsi="Times New Roman"/>
          <w:lang w:val="es-ES"/>
        </w:rPr>
      </w:pPr>
      <w:r w:rsidRPr="00DC2F4A">
        <w:rPr>
          <w:rStyle w:val="EndnoteReference"/>
          <w:rFonts w:eastAsiaTheme="majorEastAsia"/>
          <w:sz w:val="20"/>
        </w:rPr>
        <w:endnoteRef/>
      </w:r>
      <w:r w:rsidRPr="00DC2F4A">
        <w:rPr>
          <w:rFonts w:ascii="Times New Roman" w:eastAsiaTheme="majorEastAsia" w:hAnsi="Times New Roman"/>
          <w:lang w:val="es-ES"/>
        </w:rPr>
        <w:t xml:space="preserve"> </w:t>
      </w:r>
      <w:r w:rsidR="009566FC" w:rsidRPr="003479C0">
        <w:rPr>
          <w:rFonts w:ascii="Times New Roman" w:eastAsiaTheme="majorEastAsia" w:hAnsi="Times New Roman"/>
          <w:i/>
          <w:iCs/>
        </w:rPr>
        <w:t>Ibid.</w:t>
      </w:r>
      <w:r w:rsidR="009566FC">
        <w:rPr>
          <w:rFonts w:ascii="Times New Roman" w:eastAsiaTheme="majorEastAsia" w:hAnsi="Times New Roman"/>
          <w:i/>
          <w:iCs/>
        </w:rPr>
        <w:t xml:space="preserve"> </w:t>
      </w:r>
      <w:r w:rsidRPr="00DC2F4A">
        <w:rPr>
          <w:rFonts w:ascii="Times New Roman" w:eastAsiaTheme="majorEastAsia" w:hAnsi="Times New Roman"/>
        </w:rPr>
        <w:t xml:space="preserve">pág. 26. </w:t>
      </w:r>
    </w:p>
  </w:endnote>
  <w:endnote w:id="68">
    <w:p w14:paraId="631D211C" w14:textId="00AB8AE4" w:rsidR="00B40A4B" w:rsidRPr="009566FC" w:rsidRDefault="00B40A4B" w:rsidP="00DC2F4A">
      <w:pPr>
        <w:pStyle w:val="EndnoteText"/>
        <w:jc w:val="both"/>
        <w:rPr>
          <w:rFonts w:ascii="Times New Roman" w:eastAsiaTheme="majorEastAsia" w:hAnsi="Times New Roman"/>
          <w:lang w:val="en-US"/>
        </w:rPr>
      </w:pPr>
      <w:r w:rsidRPr="00DC2F4A">
        <w:rPr>
          <w:rStyle w:val="EndnoteReference"/>
          <w:rFonts w:eastAsiaTheme="majorEastAsia"/>
          <w:sz w:val="20"/>
        </w:rPr>
        <w:endnoteRef/>
      </w:r>
      <w:r w:rsidRPr="009566FC">
        <w:rPr>
          <w:rFonts w:ascii="Times New Roman" w:eastAsiaTheme="majorEastAsia" w:hAnsi="Times New Roman"/>
          <w:lang w:val="en-US"/>
        </w:rPr>
        <w:t xml:space="preserve"> </w:t>
      </w:r>
      <w:r w:rsidR="009566FC" w:rsidRPr="009566FC">
        <w:rPr>
          <w:rFonts w:ascii="Times New Roman" w:eastAsiaTheme="majorEastAsia" w:hAnsi="Times New Roman"/>
          <w:i/>
          <w:iCs/>
          <w:lang w:val="en-US"/>
        </w:rPr>
        <w:t>Ibid.</w:t>
      </w:r>
    </w:p>
  </w:endnote>
  <w:endnote w:id="69">
    <w:p w14:paraId="6A0BEC37" w14:textId="337F5FD6" w:rsidR="00B40A4B" w:rsidRPr="00DC2F4A" w:rsidRDefault="00B40A4B" w:rsidP="00DC2F4A">
      <w:pPr>
        <w:pStyle w:val="EndnoteText"/>
        <w:jc w:val="both"/>
        <w:rPr>
          <w:rFonts w:ascii="Times New Roman" w:eastAsiaTheme="majorEastAsia" w:hAnsi="Times New Roman"/>
        </w:rPr>
      </w:pPr>
      <w:r w:rsidRPr="00DC2F4A">
        <w:rPr>
          <w:rStyle w:val="EndnoteReference"/>
          <w:rFonts w:eastAsiaTheme="majorEastAsia"/>
          <w:sz w:val="20"/>
        </w:rPr>
        <w:endnoteRef/>
      </w:r>
      <w:r w:rsidRPr="009566FC">
        <w:rPr>
          <w:rFonts w:ascii="Times New Roman" w:eastAsiaTheme="majorEastAsia" w:hAnsi="Times New Roman"/>
          <w:lang w:val="en-US"/>
        </w:rPr>
        <w:t xml:space="preserve"> </w:t>
      </w:r>
      <w:r w:rsidR="009566FC" w:rsidRPr="009566FC">
        <w:rPr>
          <w:rFonts w:ascii="Times New Roman" w:eastAsiaTheme="majorEastAsia" w:hAnsi="Times New Roman"/>
          <w:i/>
          <w:iCs/>
          <w:lang w:val="en-US"/>
        </w:rPr>
        <w:t xml:space="preserve">Ibid. </w:t>
      </w:r>
      <w:r w:rsidRPr="009566FC">
        <w:rPr>
          <w:rFonts w:ascii="Times New Roman" w:eastAsiaTheme="majorEastAsia" w:hAnsi="Times New Roman"/>
          <w:lang w:val="en-US"/>
        </w:rPr>
        <w:t>pág. 24</w:t>
      </w:r>
      <w:r w:rsidR="009566FC" w:rsidRPr="009566FC">
        <w:rPr>
          <w:rFonts w:ascii="Times New Roman" w:eastAsiaTheme="majorEastAsia" w:hAnsi="Times New Roman"/>
          <w:lang w:val="en-US"/>
        </w:rPr>
        <w:t xml:space="preserve"> </w:t>
      </w:r>
      <w:r w:rsidRPr="009566FC">
        <w:rPr>
          <w:rFonts w:ascii="Times New Roman" w:eastAsiaTheme="majorEastAsia" w:hAnsi="Times New Roman"/>
          <w:lang w:val="en-US"/>
        </w:rPr>
        <w:t xml:space="preserve">Ver también: Planned Parenthood Federation - Western Hemisphere Region. </w:t>
      </w:r>
      <w:hyperlink r:id="rId69">
        <w:r w:rsidRPr="00DC2F4A">
          <w:rPr>
            <w:rStyle w:val="Hyperlink"/>
            <w:rFonts w:ascii="Times New Roman" w:eastAsiaTheme="majorEastAsia" w:hAnsi="Times New Roman"/>
            <w:i/>
          </w:rPr>
          <w:t>Informe del Monitoreo Social de los Compromisos en Derechos Sexuales y Derechos Reproductivos del Consenso de Montevideo – 2017.</w:t>
        </w:r>
      </w:hyperlink>
      <w:r w:rsidRPr="00DC2F4A">
        <w:rPr>
          <w:rFonts w:ascii="Times New Roman" w:eastAsiaTheme="majorEastAsia" w:hAnsi="Times New Roman"/>
        </w:rPr>
        <w:t xml:space="preserve"> pág. 33. Refiriéndose a Guatemala, dice el informe: "En educación integral en sexualidad hay un marco programático sumamente débil, una nula capacitación a profesores e inexistentes campañas de difusión, por lo cual existen muchas áreas de oportunidad para mejorar."</w:t>
      </w:r>
    </w:p>
  </w:endnote>
  <w:endnote w:id="70">
    <w:p w14:paraId="6671FB61" w14:textId="77777777" w:rsidR="00B40A4B" w:rsidRPr="00DC2F4A" w:rsidRDefault="00B40A4B" w:rsidP="00DC2F4A">
      <w:pPr>
        <w:pStyle w:val="EndnoteText"/>
        <w:jc w:val="both"/>
        <w:rPr>
          <w:rFonts w:ascii="Times New Roman" w:eastAsiaTheme="majorEastAsia" w:hAnsi="Times New Roman"/>
          <w:highlight w:val="yellow"/>
          <w:lang w:val="es-ES"/>
        </w:rPr>
      </w:pPr>
      <w:r w:rsidRPr="00DC2F4A">
        <w:rPr>
          <w:rStyle w:val="EndnoteReference"/>
          <w:rFonts w:eastAsiaTheme="majorEastAsia"/>
          <w:sz w:val="20"/>
        </w:rPr>
        <w:endnoteRef/>
      </w:r>
      <w:r w:rsidRPr="00DC2F4A">
        <w:rPr>
          <w:rFonts w:ascii="Times New Roman" w:eastAsiaTheme="majorEastAsia" w:hAnsi="Times New Roman"/>
        </w:rPr>
        <w:t xml:space="preserve"> Comité de Derechos Económicos, Sociales y Culturales. </w:t>
      </w:r>
      <w:hyperlink r:id="rId70">
        <w:r w:rsidRPr="00DC2F4A">
          <w:rPr>
            <w:rStyle w:val="Hyperlink"/>
            <w:rFonts w:ascii="Times New Roman" w:eastAsiaTheme="majorEastAsia" w:hAnsi="Times New Roman"/>
            <w:i/>
          </w:rPr>
          <w:t>Observación general núm. 22 (2016), relativa al derecho a la salud sexual y reproductiva (artículo 12 del Pacto Internacional de Derechos Económicos, Sociales y Culturales).</w:t>
        </w:r>
      </w:hyperlink>
      <w:r w:rsidRPr="00DC2F4A">
        <w:rPr>
          <w:rFonts w:ascii="Times New Roman" w:eastAsiaTheme="majorEastAsia" w:hAnsi="Times New Roman"/>
        </w:rPr>
        <w:t xml:space="preserve"> párr. 18 y 19. E/C.12/GC/22 (mayo 2, 2016).</w:t>
      </w:r>
    </w:p>
  </w:endnote>
  <w:endnote w:id="71">
    <w:p w14:paraId="2B3F6CEC" w14:textId="6113EFD6" w:rsidR="00B40A4B" w:rsidRPr="009566FC" w:rsidRDefault="00B40A4B" w:rsidP="009566FC">
      <w:pPr>
        <w:spacing w:after="0" w:line="240" w:lineRule="auto"/>
        <w:jc w:val="both"/>
        <w:rPr>
          <w:rFonts w:ascii="Times New Roman" w:eastAsiaTheme="majorEastAsia" w:hAnsi="Times New Roman" w:cs="Times New Roman"/>
          <w:color w:val="000000" w:themeColor="text1"/>
          <w:sz w:val="20"/>
          <w:szCs w:val="20"/>
          <w:lang w:val="es-CO"/>
        </w:rPr>
      </w:pPr>
      <w:r w:rsidRPr="00DC2F4A">
        <w:rPr>
          <w:rStyle w:val="EndnoteReference"/>
          <w:rFonts w:eastAsiaTheme="majorEastAsia" w:cs="Times New Roman"/>
          <w:sz w:val="20"/>
          <w:szCs w:val="20"/>
        </w:rPr>
        <w:endnoteRef/>
      </w:r>
      <w:r w:rsidRPr="00DC2F4A">
        <w:rPr>
          <w:rFonts w:ascii="Times New Roman" w:eastAsiaTheme="majorEastAsia" w:hAnsi="Times New Roman" w:cs="Times New Roman"/>
          <w:color w:val="000000" w:themeColor="text1"/>
          <w:sz w:val="20"/>
          <w:szCs w:val="20"/>
          <w:lang w:val="es-CO"/>
        </w:rPr>
        <w:t>El Comité CEDAW ha afirmado que los programas de educación sobre la salud reproductiva deberían estar especialmente concebidos e impartidos por personal debidamente capacitado y de una forma que respete los derechos a la intimidad y la confidencialidad de los participantes. Todas las mujeres y niñas deberían tener acceso asequible tanto a educación e información sobre la salud sexual apropiada para cada edad, como a “métodos anticonceptivos modernos”</w:t>
      </w:r>
      <w:r w:rsidRPr="00DC2F4A">
        <w:rPr>
          <w:rFonts w:ascii="Times New Roman" w:eastAsiaTheme="majorEastAsia" w:hAnsi="Times New Roman" w:cs="Times New Roman"/>
          <w:color w:val="000000" w:themeColor="text1"/>
          <w:sz w:val="20"/>
          <w:szCs w:val="20"/>
          <w:vertAlign w:val="superscript"/>
          <w:lang w:val="es-CO"/>
        </w:rPr>
        <w:t xml:space="preserve"> </w:t>
      </w:r>
      <w:r w:rsidRPr="00DC2F4A">
        <w:rPr>
          <w:rFonts w:ascii="Times New Roman" w:eastAsiaTheme="majorEastAsia" w:hAnsi="Times New Roman" w:cs="Times New Roman"/>
          <w:color w:val="000000" w:themeColor="text1"/>
          <w:sz w:val="20"/>
          <w:szCs w:val="20"/>
          <w:lang w:val="es-CO"/>
        </w:rPr>
        <w:t xml:space="preserve">y el Comité CEDAW reconoce la importancia de contar con el consentimiento libre e informado de la persona para los procedimientos médicos, así como de proporcionarle información sobre el procedimiento. </w:t>
      </w:r>
      <w:r w:rsidR="009566FC">
        <w:rPr>
          <w:rFonts w:ascii="Times New Roman" w:eastAsiaTheme="majorEastAsia" w:hAnsi="Times New Roman" w:cs="Times New Roman"/>
          <w:color w:val="000000" w:themeColor="text1"/>
          <w:sz w:val="20"/>
          <w:szCs w:val="20"/>
          <w:lang w:val="es-CO"/>
        </w:rPr>
        <w:t xml:space="preserve"> </w:t>
      </w:r>
      <w:r w:rsidRPr="00DC2F4A">
        <w:rPr>
          <w:rFonts w:ascii="Times New Roman" w:eastAsiaTheme="majorEastAsia" w:hAnsi="Times New Roman" w:cs="Times New Roman"/>
          <w:color w:val="000000" w:themeColor="text1"/>
          <w:sz w:val="20"/>
          <w:szCs w:val="20"/>
        </w:rPr>
        <w:t xml:space="preserve">Ver: </w:t>
      </w:r>
      <w:r w:rsidRPr="00DC2F4A">
        <w:rPr>
          <w:rFonts w:ascii="Times New Roman" w:eastAsiaTheme="majorEastAsia" w:hAnsi="Times New Roman" w:cs="Times New Roman"/>
          <w:color w:val="000000" w:themeColor="text1"/>
          <w:sz w:val="20"/>
          <w:szCs w:val="20"/>
        </w:rPr>
        <w:t xml:space="preserve">Asamblea General. </w:t>
      </w:r>
      <w:hyperlink r:id="rId71">
        <w:r w:rsidRPr="00DC2F4A">
          <w:rPr>
            <w:rStyle w:val="Hyperlink"/>
            <w:rFonts w:ascii="Times New Roman" w:eastAsiaTheme="majorEastAsia" w:hAnsi="Times New Roman" w:cs="Times New Roman"/>
            <w:i/>
            <w:sz w:val="20"/>
            <w:szCs w:val="20"/>
          </w:rPr>
          <w:t>Report of the Committee on the Elimination of Discrimination against Women.</w:t>
        </w:r>
      </w:hyperlink>
      <w:r w:rsidRPr="00DC2F4A">
        <w:rPr>
          <w:rFonts w:ascii="Times New Roman" w:eastAsiaTheme="majorEastAsia" w:hAnsi="Times New Roman" w:cs="Times New Roman"/>
          <w:color w:val="000000" w:themeColor="text1"/>
          <w:sz w:val="20"/>
          <w:szCs w:val="20"/>
        </w:rPr>
        <w:t xml:space="preserve"> </w:t>
      </w:r>
      <w:r w:rsidRPr="001D1BDB">
        <w:rPr>
          <w:rFonts w:ascii="Times New Roman" w:eastAsiaTheme="majorEastAsia" w:hAnsi="Times New Roman" w:cs="Times New Roman"/>
          <w:color w:val="000000" w:themeColor="text1"/>
          <w:sz w:val="20"/>
          <w:szCs w:val="20"/>
          <w:lang w:val="es-ES"/>
        </w:rPr>
        <w:t xml:space="preserve">Párr. 18, 22 y 31 literal e). (1999). </w:t>
      </w:r>
      <w:r w:rsidRPr="009566FC">
        <w:rPr>
          <w:rFonts w:ascii="Times New Roman" w:eastAsiaTheme="majorEastAsia" w:hAnsi="Times New Roman" w:cs="Times New Roman"/>
          <w:color w:val="000000" w:themeColor="text1"/>
          <w:sz w:val="20"/>
          <w:szCs w:val="20"/>
          <w:lang w:val="es-ES"/>
        </w:rPr>
        <w:t xml:space="preserve">Igualmente, en el párrafo </w:t>
      </w:r>
      <w:r w:rsidRPr="00DC2F4A">
        <w:rPr>
          <w:rFonts w:ascii="Times New Roman" w:eastAsiaTheme="majorEastAsia" w:hAnsi="Times New Roman" w:cs="Times New Roman"/>
          <w:color w:val="000000" w:themeColor="text1"/>
          <w:sz w:val="20"/>
          <w:szCs w:val="20"/>
          <w:lang w:val="es"/>
        </w:rPr>
        <w:t>23 sobre la educación sobre la salud debería abarcar cuestiones como los métodos de planificación de la familia, la igualdad entre los sexos, la violencia, la prevención de enfermedades de transmisión sexual y los derechos relativos a la salud reproductiva y sexual;</w:t>
      </w:r>
      <w:r w:rsidR="009566FC">
        <w:rPr>
          <w:rFonts w:ascii="Times New Roman" w:eastAsiaTheme="majorEastAsia" w:hAnsi="Times New Roman" w:cs="Times New Roman"/>
          <w:color w:val="000000" w:themeColor="text1"/>
          <w:sz w:val="20"/>
          <w:szCs w:val="20"/>
          <w:lang w:val="es"/>
        </w:rPr>
        <w:t xml:space="preserve"> </w:t>
      </w:r>
      <w:r w:rsidRPr="00DC2F4A">
        <w:rPr>
          <w:rFonts w:ascii="Times New Roman" w:eastAsiaTheme="majorEastAsia" w:hAnsi="Times New Roman" w:cs="Times New Roman"/>
          <w:color w:val="000000" w:themeColor="text1"/>
          <w:sz w:val="20"/>
          <w:szCs w:val="20"/>
          <w:lang w:val="es"/>
        </w:rPr>
        <w:t xml:space="preserve">Comité para la eliminación de la discriminación contra la mujer. </w:t>
      </w:r>
      <w:hyperlink r:id="rId72">
        <w:r w:rsidRPr="00DC2F4A">
          <w:rPr>
            <w:rStyle w:val="Hyperlink"/>
            <w:rFonts w:ascii="Times New Roman" w:eastAsiaTheme="majorEastAsia" w:hAnsi="Times New Roman" w:cs="Times New Roman"/>
            <w:i/>
            <w:sz w:val="20"/>
            <w:szCs w:val="20"/>
            <w:lang w:val="es"/>
          </w:rPr>
          <w:t>Recomendación general Nº 21: La igualdad en el matrimonio y en las relaciones familiares.</w:t>
        </w:r>
      </w:hyperlink>
      <w:r w:rsidRPr="00DC2F4A">
        <w:rPr>
          <w:rFonts w:ascii="Times New Roman" w:eastAsiaTheme="majorEastAsia" w:hAnsi="Times New Roman" w:cs="Times New Roman"/>
          <w:color w:val="000000" w:themeColor="text1"/>
          <w:sz w:val="20"/>
          <w:szCs w:val="20"/>
          <w:lang w:val="es"/>
        </w:rPr>
        <w:t xml:space="preserve"> Párr. 22. A/49/38. (1994);</w:t>
      </w:r>
      <w:r w:rsidR="009566FC">
        <w:rPr>
          <w:rFonts w:ascii="Times New Roman" w:eastAsiaTheme="majorEastAsia" w:hAnsi="Times New Roman" w:cs="Times New Roman"/>
          <w:color w:val="000000" w:themeColor="text1"/>
          <w:sz w:val="20"/>
          <w:szCs w:val="20"/>
          <w:lang w:val="es"/>
        </w:rPr>
        <w:t xml:space="preserve"> </w:t>
      </w:r>
      <w:r w:rsidRPr="00DC2F4A">
        <w:rPr>
          <w:rFonts w:ascii="Times New Roman" w:eastAsiaTheme="majorEastAsia" w:hAnsi="Times New Roman" w:cs="Times New Roman"/>
          <w:color w:val="000000" w:themeColor="text1"/>
          <w:sz w:val="20"/>
          <w:szCs w:val="20"/>
          <w:lang w:val="es"/>
        </w:rPr>
        <w:t>Comité para la Eliminación de la Discriminación contra la Mujer.</w:t>
      </w:r>
      <w:r w:rsidRPr="00DC2F4A">
        <w:rPr>
          <w:rFonts w:ascii="Times New Roman" w:eastAsiaTheme="majorEastAsia" w:hAnsi="Times New Roman" w:cs="Times New Roman"/>
          <w:i/>
          <w:color w:val="000000" w:themeColor="text1"/>
          <w:sz w:val="20"/>
          <w:szCs w:val="20"/>
          <w:lang w:val="es"/>
        </w:rPr>
        <w:t xml:space="preserve"> </w:t>
      </w:r>
      <w:hyperlink r:id="rId73">
        <w:r w:rsidRPr="00DC2F4A">
          <w:rPr>
            <w:rStyle w:val="Hyperlink"/>
            <w:rFonts w:ascii="Times New Roman" w:eastAsiaTheme="majorEastAsia" w:hAnsi="Times New Roman" w:cs="Times New Roman"/>
            <w:i/>
            <w:sz w:val="20"/>
            <w:szCs w:val="20"/>
            <w:lang w:val="es"/>
          </w:rPr>
          <w:t>Observaciones finales del Comité para la Eliminación de la Discriminación contra la Mujer: Nicaragua.</w:t>
        </w:r>
      </w:hyperlink>
      <w:r w:rsidRPr="00DC2F4A">
        <w:rPr>
          <w:rFonts w:ascii="Times New Roman" w:eastAsiaTheme="majorEastAsia" w:hAnsi="Times New Roman" w:cs="Times New Roman"/>
          <w:color w:val="000000" w:themeColor="text1"/>
          <w:sz w:val="20"/>
          <w:szCs w:val="20"/>
          <w:lang w:val="es"/>
        </w:rPr>
        <w:t xml:space="preserve"> párr. 18. CEDAW/C/NIC/CO/6. (febrero 2, 2007);</w:t>
      </w:r>
      <w:r w:rsidR="009566FC">
        <w:rPr>
          <w:rFonts w:ascii="Times New Roman" w:eastAsiaTheme="majorEastAsia" w:hAnsi="Times New Roman" w:cs="Times New Roman"/>
          <w:color w:val="000000" w:themeColor="text1"/>
          <w:sz w:val="20"/>
          <w:szCs w:val="20"/>
          <w:lang w:val="es"/>
        </w:rPr>
        <w:t xml:space="preserve"> </w:t>
      </w:r>
      <w:r w:rsidRPr="00DC2F4A">
        <w:rPr>
          <w:rFonts w:ascii="Times New Roman" w:eastAsiaTheme="majorEastAsia" w:hAnsi="Times New Roman" w:cs="Times New Roman"/>
          <w:color w:val="000000" w:themeColor="text1"/>
          <w:sz w:val="20"/>
          <w:szCs w:val="20"/>
          <w:lang w:val="es"/>
        </w:rPr>
        <w:t>Comité para la Eliminación de la Discriminación contra la Mujer.</w:t>
      </w:r>
      <w:r w:rsidRPr="00DC2F4A">
        <w:rPr>
          <w:rFonts w:ascii="Times New Roman" w:eastAsiaTheme="majorEastAsia" w:hAnsi="Times New Roman" w:cs="Times New Roman"/>
          <w:i/>
          <w:color w:val="000000" w:themeColor="text1"/>
          <w:sz w:val="20"/>
          <w:szCs w:val="20"/>
          <w:lang w:val="es"/>
        </w:rPr>
        <w:t xml:space="preserve"> </w:t>
      </w:r>
      <w:hyperlink r:id="rId74">
        <w:r w:rsidRPr="00DC2F4A">
          <w:rPr>
            <w:rStyle w:val="Hyperlink"/>
            <w:rFonts w:ascii="Times New Roman" w:eastAsiaTheme="majorEastAsia" w:hAnsi="Times New Roman" w:cs="Times New Roman"/>
            <w:i/>
            <w:sz w:val="20"/>
            <w:szCs w:val="20"/>
            <w:lang w:val="es"/>
          </w:rPr>
          <w:t xml:space="preserve">Observaciones finales sobre los informes periódicos octavo y </w:t>
        </w:r>
        <w:r w:rsidRPr="00DC2F4A">
          <w:rPr>
            <w:rStyle w:val="Hyperlink"/>
            <w:rFonts w:ascii="Times New Roman" w:eastAsiaTheme="majorEastAsia" w:hAnsi="Times New Roman" w:cs="Times New Roman"/>
            <w:i/>
            <w:sz w:val="20"/>
            <w:szCs w:val="20"/>
            <w:lang w:val="es"/>
          </w:rPr>
          <w:t>noveno combinados del Ecuador</w:t>
        </w:r>
      </w:hyperlink>
      <w:r w:rsidRPr="00DC2F4A">
        <w:rPr>
          <w:rFonts w:ascii="Times New Roman" w:eastAsiaTheme="majorEastAsia" w:hAnsi="Times New Roman" w:cs="Times New Roman"/>
          <w:color w:val="000000" w:themeColor="text1"/>
          <w:sz w:val="20"/>
          <w:szCs w:val="20"/>
          <w:lang w:val="es"/>
        </w:rPr>
        <w:t>. párr 33. literal d. CEDAW/C/ECU/CO/8-9. (marzo 11, 2015);</w:t>
      </w:r>
      <w:r w:rsidR="009566FC">
        <w:rPr>
          <w:rFonts w:ascii="Times New Roman" w:eastAsiaTheme="majorEastAsia" w:hAnsi="Times New Roman" w:cs="Times New Roman"/>
          <w:color w:val="000000" w:themeColor="text1"/>
          <w:sz w:val="20"/>
          <w:szCs w:val="20"/>
          <w:lang w:val="es"/>
        </w:rPr>
        <w:t xml:space="preserve"> </w:t>
      </w:r>
      <w:r w:rsidRPr="00DC2F4A">
        <w:rPr>
          <w:rFonts w:ascii="Times New Roman" w:eastAsiaTheme="majorEastAsia" w:hAnsi="Times New Roman" w:cs="Times New Roman"/>
          <w:color w:val="000000" w:themeColor="text1"/>
          <w:sz w:val="20"/>
          <w:szCs w:val="20"/>
          <w:lang w:val="es"/>
        </w:rPr>
        <w:t xml:space="preserve">Comité para la Eliminación de la Discriminación contra la Mujer. </w:t>
      </w:r>
      <w:hyperlink r:id="rId75">
        <w:r w:rsidRPr="00DC2F4A">
          <w:rPr>
            <w:rStyle w:val="Hyperlink"/>
            <w:rFonts w:ascii="Times New Roman" w:eastAsiaTheme="majorEastAsia" w:hAnsi="Times New Roman" w:cs="Times New Roman"/>
            <w:i/>
            <w:sz w:val="20"/>
            <w:szCs w:val="20"/>
            <w:lang w:val="es"/>
          </w:rPr>
          <w:t>Observaciones finales sobre el sexto informe periódico de la República Checa.</w:t>
        </w:r>
      </w:hyperlink>
      <w:r w:rsidRPr="00DC2F4A">
        <w:rPr>
          <w:rFonts w:ascii="Times New Roman" w:eastAsiaTheme="majorEastAsia" w:hAnsi="Times New Roman" w:cs="Times New Roman"/>
          <w:color w:val="000000" w:themeColor="text1"/>
          <w:sz w:val="20"/>
          <w:szCs w:val="20"/>
          <w:lang w:val="es"/>
        </w:rPr>
        <w:t xml:space="preserve"> párr. 31. literal c. CEDAW/C/CZE/CO/6, (marzo 14, 2016);</w:t>
      </w:r>
      <w:r w:rsidR="009566FC">
        <w:rPr>
          <w:rFonts w:ascii="Times New Roman" w:eastAsiaTheme="majorEastAsia" w:hAnsi="Times New Roman" w:cs="Times New Roman"/>
          <w:color w:val="000000" w:themeColor="text1"/>
          <w:sz w:val="20"/>
          <w:szCs w:val="20"/>
          <w:lang w:val="es"/>
        </w:rPr>
        <w:t xml:space="preserve"> </w:t>
      </w:r>
      <w:r w:rsidRPr="00DC2F4A">
        <w:rPr>
          <w:rFonts w:ascii="Times New Roman" w:eastAsiaTheme="majorEastAsia" w:hAnsi="Times New Roman" w:cs="Times New Roman"/>
          <w:color w:val="000000" w:themeColor="text1"/>
          <w:sz w:val="20"/>
          <w:szCs w:val="20"/>
          <w:lang w:val="es"/>
        </w:rPr>
        <w:t xml:space="preserve">Comité para la Eliminación de la Discriminación contra la Mujer. </w:t>
      </w:r>
      <w:hyperlink r:id="rId76">
        <w:r w:rsidRPr="00DC2F4A">
          <w:rPr>
            <w:rStyle w:val="Hyperlink"/>
            <w:rFonts w:ascii="Times New Roman" w:eastAsiaTheme="majorEastAsia" w:hAnsi="Times New Roman" w:cs="Times New Roman"/>
            <w:i/>
            <w:sz w:val="20"/>
            <w:szCs w:val="20"/>
            <w:lang w:val="es"/>
          </w:rPr>
          <w:t>Communication No. 4/200.</w:t>
        </w:r>
      </w:hyperlink>
      <w:r w:rsidRPr="00DC2F4A">
        <w:rPr>
          <w:rFonts w:ascii="Times New Roman" w:eastAsiaTheme="majorEastAsia" w:hAnsi="Times New Roman" w:cs="Times New Roman"/>
          <w:color w:val="000000" w:themeColor="text1"/>
          <w:sz w:val="20"/>
          <w:szCs w:val="20"/>
          <w:lang w:val="es"/>
        </w:rPr>
        <w:t xml:space="preserve"> párr 11.2. CEDAW/C/36/D/4/2004, (agosto 29, 2006).</w:t>
      </w:r>
    </w:p>
  </w:endnote>
  <w:endnote w:id="72">
    <w:p w14:paraId="3B4270F4" w14:textId="7B80229F" w:rsidR="00B40A4B" w:rsidRPr="00DC2F4A" w:rsidRDefault="00B40A4B" w:rsidP="00DC2F4A">
      <w:pPr>
        <w:pStyle w:val="EndnoteText"/>
        <w:jc w:val="both"/>
        <w:rPr>
          <w:rFonts w:ascii="Times New Roman" w:hAnsi="Times New Roman"/>
          <w:lang w:val="es-ES"/>
        </w:rPr>
      </w:pPr>
      <w:r w:rsidRPr="00DC2F4A">
        <w:rPr>
          <w:rStyle w:val="EndnoteReference"/>
          <w:rFonts w:eastAsiaTheme="majorEastAsia"/>
          <w:sz w:val="20"/>
        </w:rPr>
        <w:endnoteRef/>
      </w:r>
      <w:r w:rsidRPr="00DC2F4A">
        <w:rPr>
          <w:rFonts w:ascii="Times New Roman" w:eastAsiaTheme="majorEastAsia" w:hAnsi="Times New Roman"/>
        </w:rPr>
        <w:t xml:space="preserve"> </w:t>
      </w:r>
      <w:r w:rsidRPr="00DC2F4A">
        <w:rPr>
          <w:rFonts w:ascii="Times New Roman" w:eastAsiaTheme="majorEastAsia" w:hAnsi="Times New Roman"/>
          <w:color w:val="000000" w:themeColor="text1"/>
          <w:lang w:val="es"/>
        </w:rPr>
        <w:t xml:space="preserve">Comité para la eliminación de la discriminación contra la mujer. Comité de los Derechos del Niño. </w:t>
      </w:r>
      <w:hyperlink r:id="rId77">
        <w:r w:rsidRPr="00DC2F4A">
          <w:rPr>
            <w:rStyle w:val="Hyperlink"/>
            <w:rFonts w:ascii="Times New Roman" w:eastAsiaTheme="majorEastAsia" w:hAnsi="Times New Roman"/>
            <w:i/>
            <w:lang w:val="es"/>
          </w:rPr>
          <w:t>Recomendación general núm. 31 del Comité para la Eliminación de la Discriminación contra la Mujer y observación general núm. 18 del Comité de los Derechos del Niño sobre las prácticas nocivas, adoptadas de manera conjunta.</w:t>
        </w:r>
      </w:hyperlink>
      <w:r w:rsidRPr="00DC2F4A">
        <w:rPr>
          <w:rFonts w:ascii="Times New Roman" w:eastAsiaTheme="majorEastAsia" w:hAnsi="Times New Roman"/>
          <w:i/>
          <w:color w:val="000000" w:themeColor="text1"/>
          <w:lang w:val="es"/>
        </w:rPr>
        <w:t xml:space="preserve"> </w:t>
      </w:r>
      <w:r w:rsidRPr="00DC2F4A">
        <w:rPr>
          <w:rFonts w:ascii="Times New Roman" w:eastAsiaTheme="majorEastAsia" w:hAnsi="Times New Roman"/>
          <w:color w:val="000000" w:themeColor="text1"/>
          <w:lang w:val="es"/>
        </w:rPr>
        <w:t>párr. 68. CEDAW/C/GC/31/CRC/C/GC/18, (noviembre 14, 2014)</w:t>
      </w:r>
    </w:p>
  </w:endnote>
  <w:endnote w:id="73">
    <w:p w14:paraId="7EF40499" w14:textId="77777777" w:rsidR="00B40A4B" w:rsidRPr="00DC2F4A" w:rsidRDefault="00B40A4B" w:rsidP="00DC2F4A">
      <w:pPr>
        <w:spacing w:after="0" w:line="240" w:lineRule="auto"/>
        <w:jc w:val="both"/>
        <w:rPr>
          <w:rFonts w:ascii="Times New Roman" w:eastAsiaTheme="majorEastAsia" w:hAnsi="Times New Roman" w:cs="Times New Roman"/>
          <w:color w:val="000000" w:themeColor="text1"/>
          <w:sz w:val="20"/>
          <w:szCs w:val="20"/>
          <w:lang w:val="es-CO"/>
        </w:rPr>
      </w:pPr>
      <w:r w:rsidRPr="00DC2F4A">
        <w:rPr>
          <w:rStyle w:val="EndnoteReference"/>
          <w:rFonts w:eastAsiaTheme="majorEastAsia" w:cs="Times New Roman"/>
          <w:sz w:val="20"/>
          <w:szCs w:val="20"/>
        </w:rPr>
        <w:endnoteRef/>
      </w:r>
      <w:r w:rsidRPr="00DC2F4A">
        <w:rPr>
          <w:rFonts w:ascii="Times New Roman" w:eastAsiaTheme="majorEastAsia" w:hAnsi="Times New Roman" w:cs="Times New Roman"/>
          <w:sz w:val="20"/>
          <w:szCs w:val="20"/>
          <w:lang w:val="es-CO"/>
        </w:rPr>
        <w:t xml:space="preserve"> </w:t>
      </w:r>
      <w:r w:rsidRPr="00DC2F4A">
        <w:rPr>
          <w:rFonts w:ascii="Times New Roman" w:eastAsiaTheme="majorEastAsia" w:hAnsi="Times New Roman" w:cs="Times New Roman"/>
          <w:color w:val="000000" w:themeColor="text1"/>
          <w:sz w:val="20"/>
          <w:szCs w:val="20"/>
          <w:lang w:val="es"/>
        </w:rPr>
        <w:t xml:space="preserve">Por ejemplo, el antiguo </w:t>
      </w:r>
      <w:r w:rsidRPr="00DC2F4A">
        <w:rPr>
          <w:rFonts w:ascii="Times New Roman" w:eastAsiaTheme="majorEastAsia" w:hAnsi="Times New Roman" w:cs="Times New Roman"/>
          <w:sz w:val="20"/>
          <w:szCs w:val="20"/>
          <w:lang w:val="es-ES"/>
        </w:rPr>
        <w:t xml:space="preserve">Relator Especial sobre la Tortura afirmó que “el acceso a la información sobre la salud reproductiva es </w:t>
      </w:r>
      <w:r w:rsidRPr="00DC2F4A">
        <w:rPr>
          <w:rFonts w:ascii="Times New Roman" w:eastAsiaTheme="majorEastAsia" w:hAnsi="Times New Roman" w:cs="Times New Roman"/>
          <w:sz w:val="20"/>
          <w:szCs w:val="20"/>
          <w:u w:val="single"/>
          <w:lang w:val="es-ES"/>
        </w:rPr>
        <w:t>imprescindible</w:t>
      </w:r>
      <w:r w:rsidRPr="00DC2F4A">
        <w:rPr>
          <w:rFonts w:ascii="Times New Roman" w:eastAsiaTheme="majorEastAsia" w:hAnsi="Times New Roman" w:cs="Times New Roman"/>
          <w:sz w:val="20"/>
          <w:szCs w:val="20"/>
          <w:lang w:val="es-ES"/>
        </w:rPr>
        <w:t xml:space="preserve"> para que una mujer pueda ejercer su autonomía reproductiva, y sus derechos a la salud y a la integridad física”. </w:t>
      </w:r>
      <w:r w:rsidRPr="00DC2F4A">
        <w:rPr>
          <w:rFonts w:ascii="Times New Roman" w:eastAsiaTheme="majorEastAsia" w:hAnsi="Times New Roman" w:cs="Times New Roman"/>
          <w:sz w:val="20"/>
          <w:szCs w:val="20"/>
          <w:lang w:val="es-CO"/>
        </w:rPr>
        <w:t xml:space="preserve">Asamblea General. </w:t>
      </w:r>
      <w:r w:rsidRPr="00DC2F4A">
        <w:rPr>
          <w:rFonts w:ascii="Times New Roman" w:eastAsiaTheme="majorEastAsia" w:hAnsi="Times New Roman" w:cs="Times New Roman"/>
          <w:i/>
          <w:sz w:val="20"/>
          <w:szCs w:val="20"/>
          <w:lang w:val="es-CO"/>
        </w:rPr>
        <w:t>I</w:t>
      </w:r>
      <w:hyperlink r:id="rId78">
        <w:r w:rsidRPr="00DC2F4A">
          <w:rPr>
            <w:rStyle w:val="Hyperlink"/>
            <w:rFonts w:ascii="Times New Roman" w:eastAsiaTheme="majorEastAsia" w:hAnsi="Times New Roman" w:cs="Times New Roman"/>
            <w:i/>
            <w:sz w:val="20"/>
            <w:szCs w:val="20"/>
            <w:lang w:val="es-CO"/>
          </w:rPr>
          <w:t>nforme del Relator Especial sobre la tortura y otros tratos o penas crueles, inhumanos o degradantes, Juan E. Méndez</w:t>
        </w:r>
      </w:hyperlink>
      <w:r w:rsidRPr="00DC2F4A">
        <w:rPr>
          <w:rFonts w:ascii="Times New Roman" w:eastAsiaTheme="majorEastAsia" w:hAnsi="Times New Roman" w:cs="Times New Roman"/>
          <w:i/>
          <w:color w:val="000000" w:themeColor="text1"/>
          <w:sz w:val="20"/>
          <w:szCs w:val="20"/>
          <w:lang w:val="es-CO"/>
        </w:rPr>
        <w:t>,</w:t>
      </w:r>
      <w:r w:rsidRPr="00DC2F4A">
        <w:rPr>
          <w:rFonts w:ascii="Times New Roman" w:eastAsiaTheme="majorEastAsia" w:hAnsi="Times New Roman" w:cs="Times New Roman"/>
          <w:color w:val="000000" w:themeColor="text1"/>
          <w:sz w:val="20"/>
          <w:szCs w:val="20"/>
          <w:lang w:val="es-CO"/>
        </w:rPr>
        <w:t xml:space="preserve"> párr. 47, A/HRC/22/53, (febrero 1, 2013), (subrayado propio); y </w:t>
      </w:r>
      <w:r w:rsidRPr="00DC2F4A">
        <w:rPr>
          <w:rFonts w:ascii="Times New Roman" w:eastAsiaTheme="majorEastAsia" w:hAnsi="Times New Roman" w:cs="Times New Roman"/>
          <w:sz w:val="20"/>
          <w:szCs w:val="20"/>
          <w:lang w:val="es-ES"/>
        </w:rPr>
        <w:t>e</w:t>
      </w:r>
      <w:r w:rsidRPr="00DC2F4A">
        <w:rPr>
          <w:rFonts w:ascii="Times New Roman" w:eastAsiaTheme="majorEastAsia" w:hAnsi="Times New Roman" w:cs="Times New Roman"/>
          <w:color w:val="000000" w:themeColor="text1"/>
          <w:sz w:val="20"/>
          <w:szCs w:val="20"/>
          <w:lang w:val="es"/>
        </w:rPr>
        <w:t xml:space="preserve">l antiguo </w:t>
      </w:r>
      <w:r w:rsidRPr="00DC2F4A">
        <w:rPr>
          <w:rFonts w:ascii="Times New Roman" w:eastAsiaTheme="majorEastAsia" w:hAnsi="Times New Roman" w:cs="Times New Roman"/>
          <w:sz w:val="20"/>
          <w:szCs w:val="20"/>
          <w:lang w:val="es-ES"/>
        </w:rPr>
        <w:t>Relator Especial sobre el Derecho de Toda Persona al Disfrute del Más Alto Nivel Posible de Salud Física y Mental de Naciones Unidas (en adelante, Relator sobre el Derecho a la Salud) observó que “el ejercicio del derecho de la mujer a la salud conlleva el deber de suprimir todas las barreras que impiden el acceso de la mujer a los servicios de salud, educación e información, en particular en la esfera de la salud sexual y reproductiva.” Asamblea General.</w:t>
      </w:r>
      <w:r w:rsidRPr="00DC2F4A">
        <w:rPr>
          <w:rFonts w:ascii="Times New Roman" w:eastAsiaTheme="majorEastAsia" w:hAnsi="Times New Roman" w:cs="Times New Roman"/>
          <w:i/>
          <w:sz w:val="20"/>
          <w:szCs w:val="20"/>
          <w:lang w:val="es-ES"/>
        </w:rPr>
        <w:t xml:space="preserve"> </w:t>
      </w:r>
      <w:hyperlink r:id="rId79">
        <w:r w:rsidRPr="00DC2F4A">
          <w:rPr>
            <w:rStyle w:val="Hyperlink"/>
            <w:rFonts w:ascii="Times New Roman" w:eastAsiaTheme="majorEastAsia" w:hAnsi="Times New Roman" w:cs="Times New Roman"/>
            <w:i/>
            <w:sz w:val="20"/>
            <w:szCs w:val="20"/>
            <w:lang w:val="es-CO"/>
          </w:rPr>
          <w:t>El derecho de toda persona al disfrute del más alto nivel posible de salud física y mental</w:t>
        </w:r>
      </w:hyperlink>
      <w:r w:rsidRPr="00DC2F4A">
        <w:rPr>
          <w:rFonts w:ascii="Times New Roman" w:eastAsiaTheme="majorEastAsia" w:hAnsi="Times New Roman" w:cs="Times New Roman"/>
          <w:color w:val="000000" w:themeColor="text1"/>
          <w:sz w:val="20"/>
          <w:szCs w:val="20"/>
          <w:lang w:val="es-CO"/>
        </w:rPr>
        <w:t>, párr. 6, A/66/254, (agosto 3, 2011</w:t>
      </w:r>
      <w:r w:rsidRPr="00DC2F4A">
        <w:rPr>
          <w:rFonts w:ascii="Times New Roman" w:eastAsiaTheme="majorEastAsia" w:hAnsi="Times New Roman" w:cs="Times New Roman"/>
          <w:color w:val="000000" w:themeColor="text1"/>
          <w:sz w:val="20"/>
          <w:szCs w:val="20"/>
          <w:lang w:val="es-CO"/>
        </w:rPr>
        <w:t>).Ver también: Asamblea General.</w:t>
      </w:r>
      <w:r w:rsidRPr="00DC2F4A">
        <w:rPr>
          <w:rFonts w:ascii="Times New Roman" w:eastAsiaTheme="majorEastAsia" w:hAnsi="Times New Roman" w:cs="Times New Roman"/>
          <w:i/>
          <w:color w:val="000000" w:themeColor="text1"/>
          <w:sz w:val="20"/>
          <w:szCs w:val="20"/>
          <w:lang w:val="es-CO"/>
        </w:rPr>
        <w:t xml:space="preserve"> </w:t>
      </w:r>
      <w:hyperlink r:id="rId80">
        <w:r w:rsidRPr="00DC2F4A">
          <w:rPr>
            <w:rStyle w:val="Hyperlink"/>
            <w:rFonts w:ascii="Times New Roman" w:eastAsiaTheme="majorEastAsia" w:hAnsi="Times New Roman" w:cs="Times New Roman"/>
            <w:i/>
            <w:sz w:val="20"/>
            <w:szCs w:val="20"/>
            <w:lang w:val="es-CO"/>
          </w:rPr>
          <w:t>Promoción y protección del derecho a la libertad de opinión y de expresión</w:t>
        </w:r>
      </w:hyperlink>
      <w:r w:rsidRPr="00DC2F4A">
        <w:rPr>
          <w:rFonts w:ascii="Times New Roman" w:eastAsiaTheme="majorEastAsia" w:hAnsi="Times New Roman" w:cs="Times New Roman"/>
          <w:color w:val="000000" w:themeColor="text1"/>
          <w:sz w:val="20"/>
          <w:szCs w:val="20"/>
          <w:lang w:val="es-CO"/>
        </w:rPr>
        <w:t>, párr. 40, A/68/362, (septiembre 4, 2013).</w:t>
      </w:r>
    </w:p>
  </w:endnote>
  <w:endnote w:id="74">
    <w:p w14:paraId="7261581E" w14:textId="24C1D63A" w:rsidR="00B40A4B" w:rsidRPr="00DC2F4A" w:rsidRDefault="00B40A4B" w:rsidP="00DC2F4A">
      <w:pPr>
        <w:pStyle w:val="EndnoteText"/>
        <w:jc w:val="both"/>
        <w:rPr>
          <w:rFonts w:ascii="Times New Roman" w:eastAsiaTheme="majorEastAsia" w:hAnsi="Times New Roman"/>
          <w:lang w:val="es-ES"/>
        </w:rPr>
      </w:pPr>
      <w:r w:rsidRPr="00DC2F4A">
        <w:rPr>
          <w:rStyle w:val="EndnoteReference"/>
          <w:rFonts w:eastAsiaTheme="majorEastAsia"/>
          <w:sz w:val="20"/>
        </w:rPr>
        <w:endnoteRef/>
      </w:r>
      <w:r w:rsidRPr="00DC2F4A">
        <w:rPr>
          <w:rFonts w:ascii="Times New Roman" w:eastAsiaTheme="majorEastAsia" w:hAnsi="Times New Roman"/>
        </w:rPr>
        <w:t xml:space="preserve"> </w:t>
      </w:r>
      <w:r w:rsidRPr="00DC2F4A">
        <w:rPr>
          <w:rFonts w:ascii="Times New Roman" w:eastAsiaTheme="majorEastAsia" w:hAnsi="Times New Roman"/>
          <w:color w:val="000000" w:themeColor="text1"/>
          <w:lang w:val="es"/>
        </w:rPr>
        <w:t xml:space="preserve">Comité de los Derechos Niño, </w:t>
      </w:r>
      <w:hyperlink r:id="rId81">
        <w:r w:rsidRPr="00DC2F4A">
          <w:rPr>
            <w:rStyle w:val="Hyperlink"/>
            <w:rFonts w:ascii="Times New Roman" w:eastAsiaTheme="majorEastAsia" w:hAnsi="Times New Roman"/>
            <w:i/>
            <w:lang w:val="es"/>
          </w:rPr>
          <w:t xml:space="preserve">Observación General No. 4: La salud y el desarrollo de </w:t>
        </w:r>
        <w:r w:rsidR="00B30FA3" w:rsidRPr="00DC2F4A">
          <w:rPr>
            <w:rStyle w:val="Hyperlink"/>
            <w:rFonts w:ascii="Times New Roman" w:eastAsiaTheme="majorEastAsia" w:hAnsi="Times New Roman"/>
            <w:i/>
            <w:lang w:val="es"/>
          </w:rPr>
          <w:t xml:space="preserve">  </w:t>
        </w:r>
        <w:r w:rsidRPr="00DC2F4A">
          <w:rPr>
            <w:rStyle w:val="Hyperlink"/>
            <w:rFonts w:ascii="Times New Roman" w:eastAsiaTheme="majorEastAsia" w:hAnsi="Times New Roman"/>
            <w:i/>
            <w:lang w:val="es"/>
          </w:rPr>
          <w:t>los adolescentes en el contexto de la Convención sobre los Derechos del Niño</w:t>
        </w:r>
      </w:hyperlink>
      <w:r w:rsidRPr="00DC2F4A">
        <w:rPr>
          <w:rFonts w:ascii="Times New Roman" w:eastAsiaTheme="majorEastAsia" w:hAnsi="Times New Roman"/>
          <w:i/>
          <w:color w:val="000000" w:themeColor="text1"/>
          <w:lang w:val="es"/>
        </w:rPr>
        <w:t>,</w:t>
      </w:r>
      <w:r w:rsidRPr="00DC2F4A">
        <w:rPr>
          <w:rFonts w:ascii="Times New Roman" w:eastAsiaTheme="majorEastAsia" w:hAnsi="Times New Roman"/>
          <w:lang w:val="es-ES"/>
        </w:rPr>
        <w:t xml:space="preserve"> párr. 2, 16, 28, 39, </w:t>
      </w:r>
      <w:r w:rsidRPr="00DC2F4A">
        <w:rPr>
          <w:rFonts w:ascii="Times New Roman" w:eastAsiaTheme="majorEastAsia" w:hAnsi="Times New Roman"/>
          <w:lang w:val="es-ES"/>
        </w:rPr>
        <w:t>lit. c), CRC/GC/2003/4, (julio 21, 2003);</w:t>
      </w:r>
    </w:p>
    <w:p w14:paraId="1B7E5E87" w14:textId="77777777" w:rsidR="00B40A4B" w:rsidRPr="00DC2F4A" w:rsidRDefault="00B40A4B" w:rsidP="00DC2F4A">
      <w:pPr>
        <w:spacing w:after="0" w:line="240" w:lineRule="auto"/>
        <w:jc w:val="both"/>
        <w:rPr>
          <w:rFonts w:ascii="Times New Roman" w:hAnsi="Times New Roman" w:cs="Times New Roman"/>
          <w:sz w:val="20"/>
          <w:szCs w:val="20"/>
          <w:lang w:val="es-ES"/>
        </w:rPr>
      </w:pPr>
      <w:r w:rsidRPr="00DC2F4A">
        <w:rPr>
          <w:rFonts w:ascii="Times New Roman" w:eastAsiaTheme="majorEastAsia" w:hAnsi="Times New Roman" w:cs="Times New Roman"/>
          <w:color w:val="000000" w:themeColor="text1"/>
          <w:sz w:val="20"/>
          <w:szCs w:val="20"/>
          <w:lang w:val="es"/>
        </w:rPr>
        <w:t>Comité de los Derechos Niño,</w:t>
      </w:r>
      <w:r w:rsidRPr="00DC2F4A">
        <w:rPr>
          <w:rFonts w:ascii="Times New Roman" w:eastAsiaTheme="majorEastAsia" w:hAnsi="Times New Roman" w:cs="Times New Roman"/>
          <w:i/>
          <w:color w:val="000000" w:themeColor="text1"/>
          <w:sz w:val="20"/>
          <w:szCs w:val="20"/>
          <w:lang w:val="es"/>
        </w:rPr>
        <w:t xml:space="preserve"> </w:t>
      </w:r>
      <w:hyperlink r:id="rId82">
        <w:r w:rsidRPr="00DC2F4A">
          <w:rPr>
            <w:rStyle w:val="Hyperlink"/>
            <w:rFonts w:ascii="Times New Roman" w:eastAsiaTheme="majorEastAsia" w:hAnsi="Times New Roman" w:cs="Times New Roman"/>
            <w:i/>
            <w:sz w:val="20"/>
            <w:szCs w:val="20"/>
            <w:lang w:val="es"/>
          </w:rPr>
          <w:t>Observación general No. 20 sobre la efectividad de los derechos del niño durante la adolescencia.</w:t>
        </w:r>
      </w:hyperlink>
      <w:r w:rsidRPr="00DC2F4A">
        <w:rPr>
          <w:rFonts w:ascii="Times New Roman" w:eastAsiaTheme="majorEastAsia" w:hAnsi="Times New Roman" w:cs="Times New Roman"/>
          <w:sz w:val="20"/>
          <w:szCs w:val="20"/>
          <w:lang w:val="es-ES"/>
        </w:rPr>
        <w:t xml:space="preserve"> párrs. 39 y 60, CRC/C/GC/20, (diciembre 6, 2016); </w:t>
      </w:r>
      <w:r w:rsidRPr="00DC2F4A">
        <w:rPr>
          <w:rFonts w:ascii="Times New Roman" w:eastAsiaTheme="majorEastAsia" w:hAnsi="Times New Roman" w:cs="Times New Roman"/>
          <w:color w:val="000000" w:themeColor="text1"/>
          <w:sz w:val="20"/>
          <w:szCs w:val="20"/>
          <w:lang w:val="es"/>
        </w:rPr>
        <w:t xml:space="preserve">Comité para la Eliminación de la Discriminación contra la Mujer. </w:t>
      </w:r>
      <w:hyperlink r:id="rId83">
        <w:r w:rsidRPr="00DC2F4A">
          <w:rPr>
            <w:rStyle w:val="Hyperlink"/>
            <w:rFonts w:ascii="Times New Roman" w:eastAsiaTheme="majorEastAsia" w:hAnsi="Times New Roman" w:cs="Times New Roman"/>
            <w:i/>
            <w:sz w:val="20"/>
            <w:szCs w:val="20"/>
            <w:lang w:val="es-ES"/>
          </w:rPr>
          <w:t>Recomendación general No. 36 sobre el derecho de las niñas y las mujeres a la educación</w:t>
        </w:r>
      </w:hyperlink>
      <w:r w:rsidRPr="00DC2F4A">
        <w:rPr>
          <w:rFonts w:ascii="Times New Roman" w:eastAsiaTheme="majorEastAsia" w:hAnsi="Times New Roman" w:cs="Times New Roman"/>
          <w:sz w:val="20"/>
          <w:szCs w:val="20"/>
          <w:lang w:val="es-ES"/>
        </w:rPr>
        <w:t>, párr. 68, CEDAW/C/GC/36, (noviembre 27, 2017);</w:t>
      </w:r>
      <w:r w:rsidRPr="00DC2F4A">
        <w:rPr>
          <w:rFonts w:ascii="Times New Roman" w:eastAsiaTheme="majorEastAsia" w:hAnsi="Times New Roman" w:cs="Times New Roman"/>
          <w:color w:val="000000" w:themeColor="text1"/>
          <w:sz w:val="20"/>
          <w:szCs w:val="20"/>
          <w:lang w:val="es"/>
        </w:rPr>
        <w:t xml:space="preserve"> </w:t>
      </w:r>
      <w:r w:rsidRPr="00DC2F4A">
        <w:rPr>
          <w:rFonts w:ascii="Times New Roman" w:eastAsiaTheme="majorEastAsia" w:hAnsi="Times New Roman" w:cs="Times New Roman"/>
          <w:sz w:val="20"/>
          <w:szCs w:val="20"/>
          <w:lang w:val="es-AR"/>
        </w:rPr>
        <w:t xml:space="preserve">Comité para la Eliminación de la Discriminación contra la Mujer. </w:t>
      </w:r>
      <w:hyperlink r:id="rId84">
        <w:r w:rsidRPr="00DC2F4A">
          <w:rPr>
            <w:rStyle w:val="Hyperlink"/>
            <w:rFonts w:ascii="Times New Roman" w:eastAsiaTheme="majorEastAsia" w:hAnsi="Times New Roman" w:cs="Times New Roman"/>
            <w:i/>
            <w:sz w:val="20"/>
            <w:szCs w:val="20"/>
            <w:lang w:val="es-CO"/>
          </w:rPr>
          <w:t>Observaciones finales del Comité para la Eliminación de la Discriminación contra la Mujer: República Bolivariana de Venezuela</w:t>
        </w:r>
        <w:r w:rsidRPr="00DC2F4A">
          <w:rPr>
            <w:rStyle w:val="Hyperlink"/>
            <w:rFonts w:ascii="Times New Roman" w:eastAsiaTheme="majorEastAsia" w:hAnsi="Times New Roman" w:cs="Times New Roman"/>
            <w:sz w:val="20"/>
            <w:szCs w:val="20"/>
            <w:lang w:val="es"/>
          </w:rPr>
          <w:t>,</w:t>
        </w:r>
      </w:hyperlink>
      <w:r w:rsidRPr="00DC2F4A">
        <w:rPr>
          <w:rFonts w:ascii="Times New Roman" w:eastAsiaTheme="majorEastAsia" w:hAnsi="Times New Roman" w:cs="Times New Roman"/>
          <w:color w:val="000000" w:themeColor="text1"/>
          <w:sz w:val="20"/>
          <w:szCs w:val="20"/>
          <w:lang w:val="es"/>
        </w:rPr>
        <w:t xml:space="preserve"> CEDAW/C/VEN/CO/6, párr. 32, (enero 31, 2006); Asamblea General de la ONU. </w:t>
      </w:r>
      <w:hyperlink r:id="rId85">
        <w:r w:rsidRPr="00DC2F4A">
          <w:rPr>
            <w:rStyle w:val="Hyperlink"/>
            <w:rFonts w:ascii="Times New Roman" w:eastAsiaTheme="majorEastAsia" w:hAnsi="Times New Roman" w:cs="Times New Roman"/>
            <w:i/>
            <w:sz w:val="20"/>
            <w:szCs w:val="20"/>
            <w:lang w:val="es"/>
          </w:rPr>
          <w:t>Informe del Comité CEDAW sobre la labor realizada en su 24° período de sesione</w:t>
        </w:r>
        <w:r w:rsidRPr="00DC2F4A">
          <w:rPr>
            <w:rStyle w:val="Hyperlink"/>
            <w:rFonts w:ascii="Times New Roman" w:eastAsiaTheme="majorEastAsia" w:hAnsi="Times New Roman" w:cs="Times New Roman"/>
            <w:sz w:val="20"/>
            <w:szCs w:val="20"/>
            <w:lang w:val="es-ES"/>
          </w:rPr>
          <w:t>s</w:t>
        </w:r>
      </w:hyperlink>
      <w:r w:rsidRPr="00DC2F4A">
        <w:rPr>
          <w:rFonts w:ascii="Times New Roman" w:eastAsiaTheme="majorEastAsia" w:hAnsi="Times New Roman" w:cs="Times New Roman"/>
          <w:sz w:val="20"/>
          <w:szCs w:val="20"/>
          <w:lang w:val="es-ES"/>
        </w:rPr>
        <w:t xml:space="preserve">, </w:t>
      </w:r>
      <w:r w:rsidRPr="00DC2F4A">
        <w:rPr>
          <w:rFonts w:ascii="Times New Roman" w:eastAsiaTheme="majorEastAsia" w:hAnsi="Times New Roman" w:cs="Times New Roman"/>
          <w:sz w:val="20"/>
          <w:szCs w:val="20"/>
          <w:lang w:val="es-AR"/>
        </w:rPr>
        <w:t>párr. 62, A/56/38, (2001</w:t>
      </w:r>
      <w:r w:rsidRPr="00DC2F4A">
        <w:rPr>
          <w:rFonts w:ascii="Times New Roman" w:eastAsiaTheme="majorEastAsia" w:hAnsi="Times New Roman" w:cs="Times New Roman"/>
          <w:sz w:val="20"/>
          <w:szCs w:val="20"/>
          <w:lang w:val="es-AR"/>
        </w:rPr>
        <w:t>);Comisión Interamericana de Derechos Humanos.</w:t>
      </w:r>
      <w:r w:rsidRPr="00DC2F4A">
        <w:rPr>
          <w:rFonts w:ascii="Times New Roman" w:eastAsiaTheme="majorEastAsia" w:hAnsi="Times New Roman" w:cs="Times New Roman"/>
          <w:i/>
          <w:sz w:val="20"/>
          <w:szCs w:val="20"/>
          <w:lang w:val="es-AR"/>
        </w:rPr>
        <w:t xml:space="preserve"> </w:t>
      </w:r>
      <w:hyperlink r:id="rId86">
        <w:r w:rsidRPr="00DC2F4A">
          <w:rPr>
            <w:rStyle w:val="Hyperlink"/>
            <w:rFonts w:ascii="Times New Roman" w:eastAsiaTheme="majorEastAsia" w:hAnsi="Times New Roman" w:cs="Times New Roman"/>
            <w:i/>
            <w:sz w:val="20"/>
            <w:szCs w:val="20"/>
            <w:lang w:val="es-AR"/>
          </w:rPr>
          <w:t>Derecho del niño y la niña a la familia. Cuidado alternativo. Poniendo fin a la institucionalización en las Américas,</w:t>
        </w:r>
      </w:hyperlink>
      <w:r w:rsidRPr="00DC2F4A">
        <w:rPr>
          <w:rFonts w:ascii="Times New Roman" w:eastAsiaTheme="majorEastAsia" w:hAnsi="Times New Roman" w:cs="Times New Roman"/>
          <w:sz w:val="20"/>
          <w:szCs w:val="20"/>
          <w:lang w:val="es-AR"/>
        </w:rPr>
        <w:t xml:space="preserve"> OEA/Ser.L/V/II. Doc. 54/13, párr. 609 (octubre 17, 2013); OMS &amp; Human Reproduction Programme. </w:t>
      </w:r>
      <w:hyperlink r:id="rId87">
        <w:r w:rsidRPr="00DC2F4A">
          <w:rPr>
            <w:rStyle w:val="Hyperlink"/>
            <w:rFonts w:ascii="Times New Roman" w:eastAsiaTheme="majorEastAsia" w:hAnsi="Times New Roman" w:cs="Times New Roman"/>
            <w:i/>
            <w:sz w:val="20"/>
            <w:szCs w:val="20"/>
            <w:lang w:val="es-AR"/>
          </w:rPr>
          <w:t>La salud sexual y su relación con la salud reproductiva: un enfoque operativo</w:t>
        </w:r>
      </w:hyperlink>
      <w:r w:rsidRPr="00DC2F4A">
        <w:rPr>
          <w:rFonts w:ascii="Times New Roman" w:eastAsiaTheme="majorEastAsia" w:hAnsi="Times New Roman" w:cs="Times New Roman"/>
          <w:sz w:val="20"/>
          <w:szCs w:val="20"/>
          <w:lang w:val="es-AR"/>
        </w:rPr>
        <w:t>. pág 3. (septiembre 20, 2017).</w:t>
      </w:r>
    </w:p>
  </w:endnote>
  <w:endnote w:id="75">
    <w:p w14:paraId="59FD1C9C" w14:textId="77777777" w:rsidR="00B40A4B" w:rsidRPr="00DC2F4A" w:rsidRDefault="00B40A4B" w:rsidP="00DC2F4A">
      <w:pPr>
        <w:spacing w:after="0" w:line="240" w:lineRule="auto"/>
        <w:jc w:val="both"/>
        <w:rPr>
          <w:rFonts w:ascii="Times New Roman" w:eastAsiaTheme="majorEastAsia" w:hAnsi="Times New Roman" w:cs="Times New Roman"/>
          <w:sz w:val="20"/>
          <w:szCs w:val="20"/>
          <w:lang w:val="es-CO"/>
        </w:rPr>
      </w:pPr>
      <w:r w:rsidRPr="00DC2F4A">
        <w:rPr>
          <w:rStyle w:val="EndnoteReference"/>
          <w:rFonts w:cs="Times New Roman"/>
          <w:sz w:val="20"/>
          <w:szCs w:val="20"/>
        </w:rPr>
        <w:endnoteRef/>
      </w:r>
      <w:r w:rsidRPr="00DC2F4A">
        <w:rPr>
          <w:rFonts w:ascii="Times New Roman" w:hAnsi="Times New Roman" w:cs="Times New Roman"/>
          <w:b/>
          <w:sz w:val="20"/>
          <w:szCs w:val="20"/>
          <w:lang w:val="es-CO"/>
        </w:rPr>
        <w:t xml:space="preserve"> </w:t>
      </w:r>
      <w:r w:rsidRPr="00DC2F4A">
        <w:rPr>
          <w:rFonts w:ascii="Times New Roman" w:hAnsi="Times New Roman" w:cs="Times New Roman"/>
          <w:sz w:val="20"/>
          <w:szCs w:val="20"/>
          <w:lang w:val="es-CO"/>
        </w:rPr>
        <w:t xml:space="preserve">Comité de los Derechos del Niño. </w:t>
      </w:r>
      <w:r w:rsidRPr="00DC2F4A">
        <w:rPr>
          <w:rFonts w:ascii="Times New Roman" w:eastAsiaTheme="majorEastAsia" w:hAnsi="Times New Roman" w:cs="Times New Roman"/>
          <w:color w:val="000000" w:themeColor="text1"/>
          <w:sz w:val="20"/>
          <w:szCs w:val="20"/>
          <w:lang w:val="es"/>
        </w:rPr>
        <w:t>Comité de los Derechos Niño,</w:t>
      </w:r>
      <w:r w:rsidRPr="00DC2F4A">
        <w:rPr>
          <w:rFonts w:ascii="Times New Roman" w:eastAsiaTheme="majorEastAsia" w:hAnsi="Times New Roman" w:cs="Times New Roman"/>
          <w:i/>
          <w:color w:val="000000" w:themeColor="text1"/>
          <w:sz w:val="20"/>
          <w:szCs w:val="20"/>
          <w:lang w:val="es"/>
        </w:rPr>
        <w:t xml:space="preserve"> </w:t>
      </w:r>
      <w:hyperlink r:id="rId88">
        <w:r w:rsidRPr="00DC2F4A">
          <w:rPr>
            <w:rStyle w:val="Hyperlink"/>
            <w:rFonts w:ascii="Times New Roman" w:eastAsiaTheme="majorEastAsia" w:hAnsi="Times New Roman" w:cs="Times New Roman"/>
            <w:i/>
            <w:sz w:val="20"/>
            <w:szCs w:val="20"/>
            <w:lang w:val="es"/>
          </w:rPr>
          <w:t>Observación general No. 20 sobre la efectividad de los derechos del niño durante la adolescencia.</w:t>
        </w:r>
      </w:hyperlink>
      <w:r w:rsidRPr="00DC2F4A">
        <w:rPr>
          <w:rFonts w:ascii="Times New Roman" w:eastAsiaTheme="majorEastAsia" w:hAnsi="Times New Roman" w:cs="Times New Roman"/>
          <w:sz w:val="20"/>
          <w:szCs w:val="20"/>
          <w:lang w:val="es-ES"/>
        </w:rPr>
        <w:t xml:space="preserve"> Párr. 60, CRC/C/GC/20, (diciembre 6, 2016) y </w:t>
      </w:r>
      <w:r w:rsidRPr="00DC2F4A">
        <w:rPr>
          <w:rFonts w:ascii="Times New Roman" w:eastAsiaTheme="majorEastAsia" w:hAnsi="Times New Roman" w:cs="Times New Roman"/>
          <w:sz w:val="20"/>
          <w:szCs w:val="20"/>
          <w:lang w:val="es-CO"/>
        </w:rPr>
        <w:t xml:space="preserve">Comité de Derechos Económicos, Sociales y Culturales, </w:t>
      </w:r>
      <w:hyperlink r:id="rId89" w:history="1">
        <w:r w:rsidRPr="00DC2F4A">
          <w:rPr>
            <w:rStyle w:val="Hyperlink"/>
            <w:rFonts w:ascii="Times New Roman" w:eastAsiaTheme="majorEastAsia" w:hAnsi="Times New Roman" w:cs="Times New Roman"/>
            <w:i/>
            <w:sz w:val="20"/>
            <w:szCs w:val="20"/>
            <w:lang w:val="es-CO"/>
          </w:rPr>
          <w:t>Observación general núm. 22 (2016), relativa al derecho a la salud sexual y reproductiva (artículo 12 del Pacto  Internacional de Derechos Económicos, Sociales y Culturales)</w:t>
        </w:r>
      </w:hyperlink>
      <w:r w:rsidRPr="00DC2F4A">
        <w:rPr>
          <w:rFonts w:ascii="Times New Roman" w:eastAsiaTheme="majorEastAsia" w:hAnsi="Times New Roman" w:cs="Times New Roman"/>
          <w:i/>
          <w:sz w:val="20"/>
          <w:szCs w:val="20"/>
          <w:lang w:val="es-CO"/>
        </w:rPr>
        <w:t xml:space="preserve">, </w:t>
      </w:r>
      <w:r w:rsidRPr="00DC2F4A">
        <w:rPr>
          <w:rFonts w:ascii="Times New Roman" w:eastAsiaTheme="majorEastAsia" w:hAnsi="Times New Roman" w:cs="Times New Roman"/>
          <w:sz w:val="20"/>
          <w:szCs w:val="20"/>
          <w:lang w:val="es-CO"/>
        </w:rPr>
        <w:t>párr. 44, E/C.12/GC/22, (mayo 2, 2016).</w:t>
      </w:r>
    </w:p>
  </w:endnote>
  <w:endnote w:id="76">
    <w:p w14:paraId="5E3F7605" w14:textId="77777777" w:rsidR="00B40A4B" w:rsidRPr="00DC2F4A" w:rsidRDefault="00B40A4B" w:rsidP="00DC2F4A">
      <w:pPr>
        <w:pStyle w:val="EndnoteText"/>
        <w:jc w:val="both"/>
        <w:rPr>
          <w:rFonts w:ascii="Times New Roman" w:eastAsiaTheme="majorEastAsia" w:hAnsi="Times New Roman"/>
        </w:rPr>
      </w:pPr>
      <w:r w:rsidRPr="00DC2F4A">
        <w:rPr>
          <w:rStyle w:val="EndnoteReference"/>
          <w:rFonts w:eastAsiaTheme="majorEastAsia"/>
          <w:sz w:val="20"/>
        </w:rPr>
        <w:endnoteRef/>
      </w:r>
      <w:r w:rsidRPr="00DC2F4A">
        <w:rPr>
          <w:rFonts w:ascii="Times New Roman" w:eastAsiaTheme="majorEastAsia" w:hAnsi="Times New Roman"/>
        </w:rPr>
        <w:t xml:space="preserve"> Comité de Derechos Económicos, Sociales y Culturales, </w:t>
      </w:r>
      <w:hyperlink r:id="rId90">
        <w:r w:rsidRPr="00DC2F4A">
          <w:rPr>
            <w:rStyle w:val="Hyperlink"/>
            <w:rFonts w:ascii="Times New Roman" w:eastAsiaTheme="majorEastAsia" w:hAnsi="Times New Roman"/>
            <w:i/>
          </w:rPr>
          <w:t>Observaciones finales sobre el tercer informe periódico de Guatemala</w:t>
        </w:r>
      </w:hyperlink>
      <w:r w:rsidRPr="00DC2F4A">
        <w:rPr>
          <w:rFonts w:ascii="Times New Roman" w:eastAsiaTheme="majorEastAsia" w:hAnsi="Times New Roman"/>
        </w:rPr>
        <w:t>, párr. 23, E/C.12/GTM/CO/3, (diciembre 9, 2014)</w:t>
      </w:r>
    </w:p>
  </w:endnote>
  <w:endnote w:id="77">
    <w:p w14:paraId="439F867E" w14:textId="77777777" w:rsidR="00B40A4B" w:rsidRPr="00DC2F4A" w:rsidRDefault="00B40A4B" w:rsidP="00DC2F4A">
      <w:pPr>
        <w:pStyle w:val="EndnoteText"/>
        <w:jc w:val="both"/>
        <w:rPr>
          <w:rFonts w:ascii="Times New Roman" w:hAnsi="Times New Roman"/>
        </w:rPr>
      </w:pPr>
      <w:r w:rsidRPr="00DC2F4A">
        <w:rPr>
          <w:rStyle w:val="EndnoteReference"/>
          <w:rFonts w:eastAsiaTheme="majorEastAsia"/>
          <w:sz w:val="20"/>
        </w:rPr>
        <w:endnoteRef/>
      </w:r>
      <w:r w:rsidRPr="00DC2F4A">
        <w:rPr>
          <w:rFonts w:ascii="Times New Roman" w:eastAsiaTheme="majorEastAsia" w:hAnsi="Times New Roman"/>
        </w:rPr>
        <w:t xml:space="preserve"> Comité de los Derechos del Niño. </w:t>
      </w:r>
      <w:hyperlink r:id="rId91">
        <w:r w:rsidRPr="00DC2F4A">
          <w:rPr>
            <w:rStyle w:val="Hyperlink"/>
            <w:rFonts w:ascii="Times New Roman" w:eastAsiaTheme="majorEastAsia" w:hAnsi="Times New Roman"/>
            <w:i/>
          </w:rPr>
          <w:t>Observaciones finales sobre los informes periódicos quinto y sexto combinados de Guatemala.</w:t>
        </w:r>
      </w:hyperlink>
      <w:r w:rsidRPr="00DC2F4A">
        <w:rPr>
          <w:rFonts w:ascii="Times New Roman" w:eastAsiaTheme="majorEastAsia" w:hAnsi="Times New Roman"/>
          <w:i/>
        </w:rPr>
        <w:t xml:space="preserve"> </w:t>
      </w:r>
      <w:r w:rsidRPr="00DC2F4A">
        <w:rPr>
          <w:rFonts w:ascii="Times New Roman" w:eastAsiaTheme="majorEastAsia" w:hAnsi="Times New Roman"/>
        </w:rPr>
        <w:t>párr. 33. CRC/C/GTM/CO/5-6. (febrero 28, 2018).</w:t>
      </w:r>
    </w:p>
  </w:endnote>
  <w:endnote w:id="78">
    <w:p w14:paraId="4A16F6E3" w14:textId="2EAAFE44" w:rsidR="000C53B3" w:rsidRPr="00133707" w:rsidRDefault="000C53B3" w:rsidP="00DC2F4A">
      <w:pPr>
        <w:pStyle w:val="EndnoteText"/>
        <w:jc w:val="both"/>
        <w:rPr>
          <w:sz w:val="18"/>
          <w:szCs w:val="18"/>
          <w:lang w:val="en-US"/>
        </w:rPr>
      </w:pPr>
      <w:r w:rsidRPr="00DC2F4A">
        <w:rPr>
          <w:rStyle w:val="EndnoteReference"/>
          <w:sz w:val="20"/>
        </w:rPr>
        <w:endnoteRef/>
      </w:r>
      <w:r w:rsidRPr="00DC2F4A">
        <w:rPr>
          <w:rFonts w:ascii="Times New Roman" w:hAnsi="Times New Roman"/>
        </w:rPr>
        <w:t xml:space="preserve"> Corte IDH. </w:t>
      </w:r>
      <w:hyperlink r:id="rId92" w:history="1">
        <w:r w:rsidRPr="00DC2F4A">
          <w:rPr>
            <w:rStyle w:val="Hyperlink"/>
            <w:rFonts w:ascii="Times New Roman" w:hAnsi="Times New Roman"/>
          </w:rPr>
          <w:t>Caso Guzmán Albarracín y otras Vs. Ecuador. Fondo, Reparaciones y Costas. Sentencia de 24 de junio de 2020</w:t>
        </w:r>
      </w:hyperlink>
      <w:r w:rsidRPr="00DC2F4A">
        <w:rPr>
          <w:rFonts w:ascii="Times New Roman" w:hAnsi="Times New Roman"/>
        </w:rPr>
        <w:t xml:space="preserve">. Serie C No. 405. </w:t>
      </w:r>
      <w:r w:rsidRPr="00DC2F4A">
        <w:rPr>
          <w:rFonts w:ascii="Times New Roman" w:hAnsi="Times New Roman"/>
          <w:lang w:val="en-US"/>
        </w:rPr>
        <w:t>Párr. 139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5521350"/>
      <w:docPartObj>
        <w:docPartGallery w:val="Page Numbers (Bottom of Page)"/>
        <w:docPartUnique/>
      </w:docPartObj>
    </w:sdtPr>
    <w:sdtContent>
      <w:p w14:paraId="4F1BC051" w14:textId="5EDBFACE" w:rsidR="00506300" w:rsidRDefault="00506300">
        <w:pPr>
          <w:pStyle w:val="Footer"/>
          <w:jc w:val="right"/>
        </w:pPr>
        <w:r>
          <w:fldChar w:fldCharType="begin"/>
        </w:r>
        <w:r>
          <w:instrText>PAGE   \* MERGEFORMAT</w:instrText>
        </w:r>
        <w:r>
          <w:fldChar w:fldCharType="separate"/>
        </w:r>
        <w:r>
          <w:rPr>
            <w:lang w:val="es-ES"/>
          </w:rPr>
          <w:t>2</w:t>
        </w:r>
        <w:r>
          <w:fldChar w:fldCharType="end"/>
        </w:r>
      </w:p>
    </w:sdtContent>
  </w:sdt>
  <w:p w14:paraId="3F477914" w14:textId="77777777" w:rsidR="00506300" w:rsidRDefault="005063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E09B1" w14:textId="77777777" w:rsidR="004178AF" w:rsidRDefault="004178AF" w:rsidP="00F22AFF">
      <w:pPr>
        <w:spacing w:after="0" w:line="240" w:lineRule="auto"/>
      </w:pPr>
      <w:r>
        <w:separator/>
      </w:r>
    </w:p>
  </w:footnote>
  <w:footnote w:type="continuationSeparator" w:id="0">
    <w:p w14:paraId="2A01D4C2" w14:textId="77777777" w:rsidR="004178AF" w:rsidRDefault="004178AF" w:rsidP="00F22AFF">
      <w:pPr>
        <w:spacing w:after="0" w:line="240" w:lineRule="auto"/>
      </w:pPr>
      <w:r>
        <w:continuationSeparator/>
      </w:r>
    </w:p>
  </w:footnote>
  <w:footnote w:type="continuationNotice" w:id="1">
    <w:p w14:paraId="2FB18EBE" w14:textId="77777777" w:rsidR="004178AF" w:rsidRDefault="004178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C88FA" w14:textId="3BE920E7" w:rsidR="006E4FA5" w:rsidRDefault="00397F16" w:rsidP="006E4FA5">
    <w:pPr>
      <w:pStyle w:val="Header"/>
      <w:rPr>
        <w:color w:val="000000"/>
        <w:shd w:val="clear" w:color="auto" w:fill="FFFFFF"/>
      </w:rPr>
    </w:pPr>
    <w:r>
      <w:rPr>
        <w:noProof/>
        <w:color w:val="000000"/>
        <w:shd w:val="clear" w:color="auto" w:fill="FFFFFF"/>
      </w:rPr>
      <w:drawing>
        <wp:anchor distT="0" distB="0" distL="114300" distR="114300" simplePos="0" relativeHeight="251658240" behindDoc="1" locked="0" layoutInCell="1" allowOverlap="1" wp14:anchorId="03576BAD" wp14:editId="5504997A">
          <wp:simplePos x="0" y="0"/>
          <wp:positionH relativeFrom="column">
            <wp:posOffset>4527550</wp:posOffset>
          </wp:positionH>
          <wp:positionV relativeFrom="paragraph">
            <wp:posOffset>-69850</wp:posOffset>
          </wp:positionV>
          <wp:extent cx="1304925" cy="597535"/>
          <wp:effectExtent l="0" t="0" r="9525" b="0"/>
          <wp:wrapTight wrapText="bothSides">
            <wp:wrapPolygon edited="0">
              <wp:start x="2523" y="0"/>
              <wp:lineTo x="0" y="4132"/>
              <wp:lineTo x="0" y="9641"/>
              <wp:lineTo x="315" y="13084"/>
              <wp:lineTo x="3469" y="18593"/>
              <wp:lineTo x="3784" y="19970"/>
              <wp:lineTo x="16712" y="19970"/>
              <wp:lineTo x="21442" y="17216"/>
              <wp:lineTo x="21442" y="13084"/>
              <wp:lineTo x="15451" y="12395"/>
              <wp:lineTo x="5045" y="0"/>
              <wp:lineTo x="2523" y="0"/>
            </wp:wrapPolygon>
          </wp:wrapTight>
          <wp:docPr id="11049872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597535"/>
                  </a:xfrm>
                  <a:prstGeom prst="rect">
                    <a:avLst/>
                  </a:prstGeom>
                  <a:noFill/>
                </pic:spPr>
              </pic:pic>
            </a:graphicData>
          </a:graphic>
        </wp:anchor>
      </w:drawing>
    </w:r>
    <w:r w:rsidR="003E5D80">
      <w:rPr>
        <w:noProof/>
      </w:rPr>
      <w:drawing>
        <wp:inline distT="0" distB="0" distL="0" distR="0" wp14:anchorId="7F9040CB" wp14:editId="27915329">
          <wp:extent cx="1162050" cy="476250"/>
          <wp:effectExtent l="0" t="0" r="0" b="0"/>
          <wp:docPr id="1" name="Imagen 3"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n 3" descr="Text&#10;&#10;Description automatically generated"/>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162050" cy="476250"/>
                  </a:xfrm>
                  <a:prstGeom prst="rect">
                    <a:avLst/>
                  </a:prstGeom>
                  <a:noFill/>
                  <a:ln>
                    <a:noFill/>
                  </a:ln>
                </pic:spPr>
              </pic:pic>
            </a:graphicData>
          </a:graphic>
        </wp:inline>
      </w:drawing>
    </w:r>
    <w:r w:rsidR="006E4FA5">
      <w:rPr>
        <w:color w:val="000000"/>
        <w:shd w:val="clear" w:color="auto" w:fill="FFFFFF"/>
      </w:rPr>
      <w:t xml:space="preserve"> </w:t>
    </w:r>
  </w:p>
  <w:p w14:paraId="4D3BB185" w14:textId="1845C1B4" w:rsidR="003E5D80" w:rsidRDefault="00D219E4">
    <w:pPr>
      <w:pStyle w:val="Header"/>
    </w:pPr>
    <w:r>
      <w:rPr>
        <w:color w:val="000000"/>
        <w:shd w:val="clear" w:color="auto" w:fill="FFFFFF"/>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39EA"/>
    <w:multiLevelType w:val="hybridMultilevel"/>
    <w:tmpl w:val="653AF82A"/>
    <w:lvl w:ilvl="0" w:tplc="165AFD3E">
      <w:start w:val="1"/>
      <w:numFmt w:val="lowerLetter"/>
      <w:pStyle w:val="Heading2"/>
      <w:lvlText w:val="%1."/>
      <w:lvlJc w:val="left"/>
      <w:pPr>
        <w:ind w:left="864" w:hanging="72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 w15:restartNumberingAfterBreak="0">
    <w:nsid w:val="04D45856"/>
    <w:multiLevelType w:val="hybridMultilevel"/>
    <w:tmpl w:val="97401370"/>
    <w:lvl w:ilvl="0" w:tplc="F6A8489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BC7F13"/>
    <w:multiLevelType w:val="hybridMultilevel"/>
    <w:tmpl w:val="7B3E6E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736FC3"/>
    <w:multiLevelType w:val="hybridMultilevel"/>
    <w:tmpl w:val="A0C41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C24B56"/>
    <w:multiLevelType w:val="hybridMultilevel"/>
    <w:tmpl w:val="4BB2642E"/>
    <w:lvl w:ilvl="0" w:tplc="D108BCF8">
      <w:start w:val="1"/>
      <w:numFmt w:val="upperRoman"/>
      <w:lvlText w:val="%1."/>
      <w:lvlJc w:val="left"/>
      <w:pPr>
        <w:ind w:left="1080" w:hanging="720"/>
      </w:pPr>
      <w:rPr>
        <w:rFonts w:hint="default"/>
        <w:lang w:val="es-E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371C39"/>
    <w:multiLevelType w:val="hybridMultilevel"/>
    <w:tmpl w:val="E9621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0B5409"/>
    <w:multiLevelType w:val="hybridMultilevel"/>
    <w:tmpl w:val="6D12A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A413AC"/>
    <w:multiLevelType w:val="hybridMultilevel"/>
    <w:tmpl w:val="E1E81E5C"/>
    <w:lvl w:ilvl="0" w:tplc="FFFFFFFF">
      <w:start w:val="1"/>
      <w:numFmt w:val="decimal"/>
      <w:lvlText w:val="%1."/>
      <w:lvlJc w:val="left"/>
      <w:pPr>
        <w:ind w:left="720" w:hanging="72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FC5B10"/>
    <w:multiLevelType w:val="hybridMultilevel"/>
    <w:tmpl w:val="7E7834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233CA4"/>
    <w:multiLevelType w:val="hybridMultilevel"/>
    <w:tmpl w:val="1F347514"/>
    <w:lvl w:ilvl="0" w:tplc="E9B093A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604F61"/>
    <w:multiLevelType w:val="hybridMultilevel"/>
    <w:tmpl w:val="8B861428"/>
    <w:lvl w:ilvl="0" w:tplc="040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78348EE"/>
    <w:multiLevelType w:val="hybridMultilevel"/>
    <w:tmpl w:val="CE02A57E"/>
    <w:lvl w:ilvl="0" w:tplc="5A20112A">
      <w:start w:val="1"/>
      <w:numFmt w:val="decimal"/>
      <w:lvlText w:val="%1."/>
      <w:lvlJc w:val="left"/>
      <w:pPr>
        <w:ind w:left="720" w:hanging="720"/>
      </w:pPr>
      <w:rPr>
        <w:rFonts w:hint="default"/>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46EF737F"/>
    <w:multiLevelType w:val="hybridMultilevel"/>
    <w:tmpl w:val="78E0BFA0"/>
    <w:lvl w:ilvl="0" w:tplc="F82C727E">
      <w:start w:val="1"/>
      <w:numFmt w:val="decimal"/>
      <w:pStyle w:val="Recomendaciones"/>
      <w:lvlText w:val="%1."/>
      <w:lvlJc w:val="left"/>
      <w:pPr>
        <w:ind w:left="1440" w:hanging="360"/>
      </w:pPr>
      <w:rPr>
        <w:rFonts w:asciiTheme="minorHAnsi" w:eastAsiaTheme="minorHAnsi" w:hAnsiTheme="minorHAnsi"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2AD0E7D"/>
    <w:multiLevelType w:val="hybridMultilevel"/>
    <w:tmpl w:val="F89861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402EF2"/>
    <w:multiLevelType w:val="hybridMultilevel"/>
    <w:tmpl w:val="6FCEBE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90FB1"/>
    <w:multiLevelType w:val="hybridMultilevel"/>
    <w:tmpl w:val="44B08412"/>
    <w:lvl w:ilvl="0" w:tplc="476AFDF2">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F31FE6"/>
    <w:multiLevelType w:val="hybridMultilevel"/>
    <w:tmpl w:val="F2566A48"/>
    <w:lvl w:ilvl="0" w:tplc="3C32D784">
      <w:start w:val="7"/>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9777CE"/>
    <w:multiLevelType w:val="hybridMultilevel"/>
    <w:tmpl w:val="1DDE2824"/>
    <w:lvl w:ilvl="0" w:tplc="FFFFFFFF">
      <w:start w:val="1"/>
      <w:numFmt w:val="decimal"/>
      <w:lvlText w:val="%1."/>
      <w:lvlJc w:val="left"/>
      <w:pPr>
        <w:ind w:left="720" w:hanging="72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6DE66FF8"/>
    <w:multiLevelType w:val="hybridMultilevel"/>
    <w:tmpl w:val="B734C3A6"/>
    <w:lvl w:ilvl="0" w:tplc="098206DE">
      <w:start w:val="1"/>
      <w:numFmt w:val="decimal"/>
      <w:pStyle w:val="Ttulo21"/>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9" w15:restartNumberingAfterBreak="0">
    <w:nsid w:val="6F9159CA"/>
    <w:multiLevelType w:val="hybridMultilevel"/>
    <w:tmpl w:val="5440A87C"/>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9D2B60"/>
    <w:multiLevelType w:val="hybridMultilevel"/>
    <w:tmpl w:val="76C4B4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6D5185E"/>
    <w:multiLevelType w:val="hybridMultilevel"/>
    <w:tmpl w:val="ED428D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2255362">
    <w:abstractNumId w:val="20"/>
  </w:num>
  <w:num w:numId="2" w16cid:durableId="904681727">
    <w:abstractNumId w:val="1"/>
  </w:num>
  <w:num w:numId="3" w16cid:durableId="1355811720">
    <w:abstractNumId w:val="0"/>
  </w:num>
  <w:num w:numId="4" w16cid:durableId="11018808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83640511">
    <w:abstractNumId w:val="18"/>
  </w:num>
  <w:num w:numId="6" w16cid:durableId="80758324">
    <w:abstractNumId w:val="0"/>
    <w:lvlOverride w:ilvl="0">
      <w:startOverride w:val="1"/>
    </w:lvlOverride>
  </w:num>
  <w:num w:numId="7" w16cid:durableId="526479560">
    <w:abstractNumId w:val="4"/>
  </w:num>
  <w:num w:numId="8" w16cid:durableId="1485928982">
    <w:abstractNumId w:val="19"/>
  </w:num>
  <w:num w:numId="9" w16cid:durableId="363942565">
    <w:abstractNumId w:val="11"/>
  </w:num>
  <w:num w:numId="10" w16cid:durableId="924461470">
    <w:abstractNumId w:val="15"/>
  </w:num>
  <w:num w:numId="11" w16cid:durableId="133644146">
    <w:abstractNumId w:val="8"/>
  </w:num>
  <w:num w:numId="12" w16cid:durableId="1599144807">
    <w:abstractNumId w:val="9"/>
  </w:num>
  <w:num w:numId="13" w16cid:durableId="13508723">
    <w:abstractNumId w:val="2"/>
  </w:num>
  <w:num w:numId="14" w16cid:durableId="1520585040">
    <w:abstractNumId w:val="14"/>
  </w:num>
  <w:num w:numId="15" w16cid:durableId="1752502646">
    <w:abstractNumId w:val="12"/>
  </w:num>
  <w:num w:numId="16" w16cid:durableId="2072731015">
    <w:abstractNumId w:val="17"/>
  </w:num>
  <w:num w:numId="17" w16cid:durableId="35785259">
    <w:abstractNumId w:val="10"/>
  </w:num>
  <w:num w:numId="18" w16cid:durableId="1472822697">
    <w:abstractNumId w:val="5"/>
  </w:num>
  <w:num w:numId="19" w16cid:durableId="793212349">
    <w:abstractNumId w:val="6"/>
  </w:num>
  <w:num w:numId="20" w16cid:durableId="1045132475">
    <w:abstractNumId w:val="21"/>
  </w:num>
  <w:num w:numId="21" w16cid:durableId="1910726121">
    <w:abstractNumId w:val="3"/>
  </w:num>
  <w:num w:numId="22" w16cid:durableId="148639779">
    <w:abstractNumId w:val="13"/>
  </w:num>
  <w:num w:numId="23" w16cid:durableId="491482353">
    <w:abstractNumId w:val="7"/>
  </w:num>
  <w:num w:numId="24" w16cid:durableId="9738319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515"/>
    <w:rsid w:val="000000A4"/>
    <w:rsid w:val="000010E9"/>
    <w:rsid w:val="000016F1"/>
    <w:rsid w:val="00002440"/>
    <w:rsid w:val="0000532F"/>
    <w:rsid w:val="00012661"/>
    <w:rsid w:val="00016FB5"/>
    <w:rsid w:val="00022BA4"/>
    <w:rsid w:val="00027CD3"/>
    <w:rsid w:val="0003236F"/>
    <w:rsid w:val="00033AE1"/>
    <w:rsid w:val="00037808"/>
    <w:rsid w:val="00043239"/>
    <w:rsid w:val="00047431"/>
    <w:rsid w:val="00053953"/>
    <w:rsid w:val="0006264F"/>
    <w:rsid w:val="00066830"/>
    <w:rsid w:val="00072BFE"/>
    <w:rsid w:val="00075B8C"/>
    <w:rsid w:val="00075C6B"/>
    <w:rsid w:val="000768CC"/>
    <w:rsid w:val="00082B6B"/>
    <w:rsid w:val="00093896"/>
    <w:rsid w:val="0009799A"/>
    <w:rsid w:val="000A0122"/>
    <w:rsid w:val="000A0355"/>
    <w:rsid w:val="000A18A1"/>
    <w:rsid w:val="000C29C5"/>
    <w:rsid w:val="000C2AA5"/>
    <w:rsid w:val="000C53B3"/>
    <w:rsid w:val="000C5874"/>
    <w:rsid w:val="000D0FC4"/>
    <w:rsid w:val="000E4501"/>
    <w:rsid w:val="000F0970"/>
    <w:rsid w:val="000F20DB"/>
    <w:rsid w:val="000F3184"/>
    <w:rsid w:val="000F3BD1"/>
    <w:rsid w:val="000F3D9E"/>
    <w:rsid w:val="001018D5"/>
    <w:rsid w:val="00101D3A"/>
    <w:rsid w:val="00105CB0"/>
    <w:rsid w:val="00107BCF"/>
    <w:rsid w:val="00107EDA"/>
    <w:rsid w:val="00113528"/>
    <w:rsid w:val="00130C94"/>
    <w:rsid w:val="00131D4F"/>
    <w:rsid w:val="00133707"/>
    <w:rsid w:val="00143F5A"/>
    <w:rsid w:val="00151304"/>
    <w:rsid w:val="001522C3"/>
    <w:rsid w:val="00152926"/>
    <w:rsid w:val="0015301E"/>
    <w:rsid w:val="001577A1"/>
    <w:rsid w:val="00161CC9"/>
    <w:rsid w:val="00165A96"/>
    <w:rsid w:val="00165DD6"/>
    <w:rsid w:val="001709CE"/>
    <w:rsid w:val="00171351"/>
    <w:rsid w:val="00172EB5"/>
    <w:rsid w:val="00173E81"/>
    <w:rsid w:val="001777E8"/>
    <w:rsid w:val="00191ECF"/>
    <w:rsid w:val="001961FE"/>
    <w:rsid w:val="001A5FCD"/>
    <w:rsid w:val="001B026B"/>
    <w:rsid w:val="001C14EC"/>
    <w:rsid w:val="001C2CE9"/>
    <w:rsid w:val="001C5B4A"/>
    <w:rsid w:val="001D1BDB"/>
    <w:rsid w:val="001D2FC6"/>
    <w:rsid w:val="001D776D"/>
    <w:rsid w:val="001E1184"/>
    <w:rsid w:val="001E2451"/>
    <w:rsid w:val="001E359F"/>
    <w:rsid w:val="001E4BB8"/>
    <w:rsid w:val="001E5629"/>
    <w:rsid w:val="001F680C"/>
    <w:rsid w:val="002035CC"/>
    <w:rsid w:val="00205163"/>
    <w:rsid w:val="002078CB"/>
    <w:rsid w:val="002114E2"/>
    <w:rsid w:val="00211869"/>
    <w:rsid w:val="00216647"/>
    <w:rsid w:val="002173B5"/>
    <w:rsid w:val="00217A8C"/>
    <w:rsid w:val="002238C3"/>
    <w:rsid w:val="00231971"/>
    <w:rsid w:val="002351A0"/>
    <w:rsid w:val="00235D01"/>
    <w:rsid w:val="00240882"/>
    <w:rsid w:val="002430AF"/>
    <w:rsid w:val="002473CB"/>
    <w:rsid w:val="00247AE7"/>
    <w:rsid w:val="002543ED"/>
    <w:rsid w:val="00254429"/>
    <w:rsid w:val="002615DB"/>
    <w:rsid w:val="002707C4"/>
    <w:rsid w:val="0027576E"/>
    <w:rsid w:val="0028513A"/>
    <w:rsid w:val="0028596E"/>
    <w:rsid w:val="00285F78"/>
    <w:rsid w:val="00293BA1"/>
    <w:rsid w:val="00295094"/>
    <w:rsid w:val="0029551E"/>
    <w:rsid w:val="002A3967"/>
    <w:rsid w:val="002A6290"/>
    <w:rsid w:val="002A64F3"/>
    <w:rsid w:val="002A743D"/>
    <w:rsid w:val="002A7919"/>
    <w:rsid w:val="002A7B75"/>
    <w:rsid w:val="002B2573"/>
    <w:rsid w:val="002B2A19"/>
    <w:rsid w:val="002B6BC4"/>
    <w:rsid w:val="002C0BAB"/>
    <w:rsid w:val="002C1CD6"/>
    <w:rsid w:val="002D3CB1"/>
    <w:rsid w:val="002E02C3"/>
    <w:rsid w:val="002E2472"/>
    <w:rsid w:val="002E2FFF"/>
    <w:rsid w:val="002E787E"/>
    <w:rsid w:val="002F0424"/>
    <w:rsid w:val="002F2D2F"/>
    <w:rsid w:val="002F4AB8"/>
    <w:rsid w:val="002F6742"/>
    <w:rsid w:val="00300B60"/>
    <w:rsid w:val="00304D51"/>
    <w:rsid w:val="00306169"/>
    <w:rsid w:val="0030767C"/>
    <w:rsid w:val="003079E6"/>
    <w:rsid w:val="003167C8"/>
    <w:rsid w:val="003266F1"/>
    <w:rsid w:val="00327CB5"/>
    <w:rsid w:val="0033336B"/>
    <w:rsid w:val="00333A64"/>
    <w:rsid w:val="00341B26"/>
    <w:rsid w:val="003479C0"/>
    <w:rsid w:val="0035159C"/>
    <w:rsid w:val="00351969"/>
    <w:rsid w:val="00355977"/>
    <w:rsid w:val="00356969"/>
    <w:rsid w:val="00375DEA"/>
    <w:rsid w:val="00382A4F"/>
    <w:rsid w:val="003831DE"/>
    <w:rsid w:val="00390410"/>
    <w:rsid w:val="00395139"/>
    <w:rsid w:val="00397F16"/>
    <w:rsid w:val="003A4F0D"/>
    <w:rsid w:val="003A63F2"/>
    <w:rsid w:val="003C0937"/>
    <w:rsid w:val="003C2E6A"/>
    <w:rsid w:val="003C3C59"/>
    <w:rsid w:val="003C5A1A"/>
    <w:rsid w:val="003E057D"/>
    <w:rsid w:val="003E5D80"/>
    <w:rsid w:val="003F3F24"/>
    <w:rsid w:val="003F47DB"/>
    <w:rsid w:val="00402586"/>
    <w:rsid w:val="004044C1"/>
    <w:rsid w:val="0041073E"/>
    <w:rsid w:val="004178AF"/>
    <w:rsid w:val="00420A2B"/>
    <w:rsid w:val="00433E9D"/>
    <w:rsid w:val="00435573"/>
    <w:rsid w:val="00436286"/>
    <w:rsid w:val="00437001"/>
    <w:rsid w:val="0044151E"/>
    <w:rsid w:val="0044365F"/>
    <w:rsid w:val="00445953"/>
    <w:rsid w:val="00453813"/>
    <w:rsid w:val="00455B96"/>
    <w:rsid w:val="00460B39"/>
    <w:rsid w:val="00460F21"/>
    <w:rsid w:val="004640F6"/>
    <w:rsid w:val="00466DAE"/>
    <w:rsid w:val="00472794"/>
    <w:rsid w:val="00480E2D"/>
    <w:rsid w:val="004814B7"/>
    <w:rsid w:val="00482AC9"/>
    <w:rsid w:val="00486FC3"/>
    <w:rsid w:val="004879C4"/>
    <w:rsid w:val="00493367"/>
    <w:rsid w:val="00495080"/>
    <w:rsid w:val="00495D32"/>
    <w:rsid w:val="004A32BE"/>
    <w:rsid w:val="004A4089"/>
    <w:rsid w:val="004B013E"/>
    <w:rsid w:val="004B7AB5"/>
    <w:rsid w:val="004D4397"/>
    <w:rsid w:val="004D77D1"/>
    <w:rsid w:val="004E207B"/>
    <w:rsid w:val="004E2679"/>
    <w:rsid w:val="004E4655"/>
    <w:rsid w:val="00506300"/>
    <w:rsid w:val="00510189"/>
    <w:rsid w:val="005110E7"/>
    <w:rsid w:val="005176DB"/>
    <w:rsid w:val="005179E5"/>
    <w:rsid w:val="00520C5A"/>
    <w:rsid w:val="0052215D"/>
    <w:rsid w:val="005273B2"/>
    <w:rsid w:val="00530616"/>
    <w:rsid w:val="00534F08"/>
    <w:rsid w:val="0053512E"/>
    <w:rsid w:val="00536D63"/>
    <w:rsid w:val="00542981"/>
    <w:rsid w:val="005435CD"/>
    <w:rsid w:val="00546D3A"/>
    <w:rsid w:val="005528D0"/>
    <w:rsid w:val="00554DCD"/>
    <w:rsid w:val="005569F3"/>
    <w:rsid w:val="00561907"/>
    <w:rsid w:val="00562542"/>
    <w:rsid w:val="00566738"/>
    <w:rsid w:val="00571195"/>
    <w:rsid w:val="005719E9"/>
    <w:rsid w:val="00577345"/>
    <w:rsid w:val="005816A8"/>
    <w:rsid w:val="00582CD0"/>
    <w:rsid w:val="00587595"/>
    <w:rsid w:val="005945A7"/>
    <w:rsid w:val="005947ED"/>
    <w:rsid w:val="005A2BFA"/>
    <w:rsid w:val="005A5760"/>
    <w:rsid w:val="005B017F"/>
    <w:rsid w:val="005B0E6D"/>
    <w:rsid w:val="005B50C0"/>
    <w:rsid w:val="005C33C9"/>
    <w:rsid w:val="005C427A"/>
    <w:rsid w:val="005C4967"/>
    <w:rsid w:val="005C4B0C"/>
    <w:rsid w:val="005C52D0"/>
    <w:rsid w:val="005D471F"/>
    <w:rsid w:val="005E2C1C"/>
    <w:rsid w:val="005E302F"/>
    <w:rsid w:val="005E3387"/>
    <w:rsid w:val="005E6A15"/>
    <w:rsid w:val="005F08A4"/>
    <w:rsid w:val="005F7C8A"/>
    <w:rsid w:val="00606981"/>
    <w:rsid w:val="0060757B"/>
    <w:rsid w:val="00610078"/>
    <w:rsid w:val="00611276"/>
    <w:rsid w:val="00631BA7"/>
    <w:rsid w:val="006321F2"/>
    <w:rsid w:val="00636ABF"/>
    <w:rsid w:val="00636DB4"/>
    <w:rsid w:val="006370CB"/>
    <w:rsid w:val="00642329"/>
    <w:rsid w:val="0064383D"/>
    <w:rsid w:val="006456C4"/>
    <w:rsid w:val="00650C12"/>
    <w:rsid w:val="00650C42"/>
    <w:rsid w:val="00650FDB"/>
    <w:rsid w:val="00652E1F"/>
    <w:rsid w:val="0065329A"/>
    <w:rsid w:val="00653674"/>
    <w:rsid w:val="00660D14"/>
    <w:rsid w:val="0066169B"/>
    <w:rsid w:val="00662CC9"/>
    <w:rsid w:val="006643EB"/>
    <w:rsid w:val="006662AB"/>
    <w:rsid w:val="00666F1C"/>
    <w:rsid w:val="0067273E"/>
    <w:rsid w:val="006731D2"/>
    <w:rsid w:val="00674E91"/>
    <w:rsid w:val="006864ED"/>
    <w:rsid w:val="00686A31"/>
    <w:rsid w:val="00695EE5"/>
    <w:rsid w:val="006A384F"/>
    <w:rsid w:val="006B3285"/>
    <w:rsid w:val="006C03BB"/>
    <w:rsid w:val="006C051B"/>
    <w:rsid w:val="006C3ED6"/>
    <w:rsid w:val="006C5AA2"/>
    <w:rsid w:val="006D35E0"/>
    <w:rsid w:val="006D3FE1"/>
    <w:rsid w:val="006D4B9C"/>
    <w:rsid w:val="006D5319"/>
    <w:rsid w:val="006E0CC0"/>
    <w:rsid w:val="006E4FA5"/>
    <w:rsid w:val="006E5725"/>
    <w:rsid w:val="006E63F5"/>
    <w:rsid w:val="006F0139"/>
    <w:rsid w:val="006F2779"/>
    <w:rsid w:val="006F665B"/>
    <w:rsid w:val="007013F5"/>
    <w:rsid w:val="00703619"/>
    <w:rsid w:val="00703BD0"/>
    <w:rsid w:val="00710A1C"/>
    <w:rsid w:val="0071347B"/>
    <w:rsid w:val="00714251"/>
    <w:rsid w:val="00714536"/>
    <w:rsid w:val="00714744"/>
    <w:rsid w:val="007222D1"/>
    <w:rsid w:val="007276C1"/>
    <w:rsid w:val="00731B62"/>
    <w:rsid w:val="00734939"/>
    <w:rsid w:val="00737F18"/>
    <w:rsid w:val="00740E91"/>
    <w:rsid w:val="0074521C"/>
    <w:rsid w:val="00747641"/>
    <w:rsid w:val="007517FC"/>
    <w:rsid w:val="007575BF"/>
    <w:rsid w:val="00760F54"/>
    <w:rsid w:val="00763373"/>
    <w:rsid w:val="00772E0E"/>
    <w:rsid w:val="00774E1B"/>
    <w:rsid w:val="00794004"/>
    <w:rsid w:val="007A0214"/>
    <w:rsid w:val="007A3CDD"/>
    <w:rsid w:val="007A77A6"/>
    <w:rsid w:val="007B2514"/>
    <w:rsid w:val="007B33C9"/>
    <w:rsid w:val="007B3428"/>
    <w:rsid w:val="007B642D"/>
    <w:rsid w:val="007C6AD0"/>
    <w:rsid w:val="007D3E8C"/>
    <w:rsid w:val="007D3EE2"/>
    <w:rsid w:val="007D5400"/>
    <w:rsid w:val="007D7124"/>
    <w:rsid w:val="007E1A66"/>
    <w:rsid w:val="007E40DF"/>
    <w:rsid w:val="007E538D"/>
    <w:rsid w:val="007E5D49"/>
    <w:rsid w:val="007F083B"/>
    <w:rsid w:val="007F4F58"/>
    <w:rsid w:val="007F794A"/>
    <w:rsid w:val="008011A5"/>
    <w:rsid w:val="00803DAB"/>
    <w:rsid w:val="00811EF2"/>
    <w:rsid w:val="008121DB"/>
    <w:rsid w:val="008231CC"/>
    <w:rsid w:val="00823222"/>
    <w:rsid w:val="00827094"/>
    <w:rsid w:val="00827732"/>
    <w:rsid w:val="00833E12"/>
    <w:rsid w:val="00842747"/>
    <w:rsid w:val="00842783"/>
    <w:rsid w:val="00846671"/>
    <w:rsid w:val="00854B8D"/>
    <w:rsid w:val="00861623"/>
    <w:rsid w:val="00864DBD"/>
    <w:rsid w:val="008652C6"/>
    <w:rsid w:val="0086792D"/>
    <w:rsid w:val="0087036F"/>
    <w:rsid w:val="00871B9A"/>
    <w:rsid w:val="00881A4B"/>
    <w:rsid w:val="00883E0B"/>
    <w:rsid w:val="00884240"/>
    <w:rsid w:val="00885F93"/>
    <w:rsid w:val="00897F6E"/>
    <w:rsid w:val="008A1301"/>
    <w:rsid w:val="008A318F"/>
    <w:rsid w:val="008A4924"/>
    <w:rsid w:val="008B23EB"/>
    <w:rsid w:val="008B48F7"/>
    <w:rsid w:val="008B7FA0"/>
    <w:rsid w:val="008C32B1"/>
    <w:rsid w:val="008D0D32"/>
    <w:rsid w:val="008D10B0"/>
    <w:rsid w:val="008D235C"/>
    <w:rsid w:val="008D4E1B"/>
    <w:rsid w:val="008E2E01"/>
    <w:rsid w:val="008E3670"/>
    <w:rsid w:val="008E67E1"/>
    <w:rsid w:val="008E70BC"/>
    <w:rsid w:val="008F0816"/>
    <w:rsid w:val="008F0EFC"/>
    <w:rsid w:val="008F47F3"/>
    <w:rsid w:val="009045BF"/>
    <w:rsid w:val="009078D6"/>
    <w:rsid w:val="00912C6A"/>
    <w:rsid w:val="009136DF"/>
    <w:rsid w:val="00916219"/>
    <w:rsid w:val="00916965"/>
    <w:rsid w:val="009332C1"/>
    <w:rsid w:val="0093467E"/>
    <w:rsid w:val="0093712D"/>
    <w:rsid w:val="00941E89"/>
    <w:rsid w:val="009566FC"/>
    <w:rsid w:val="00956862"/>
    <w:rsid w:val="00956CB5"/>
    <w:rsid w:val="00957122"/>
    <w:rsid w:val="0095755D"/>
    <w:rsid w:val="00961495"/>
    <w:rsid w:val="00964781"/>
    <w:rsid w:val="00965B9F"/>
    <w:rsid w:val="0098097D"/>
    <w:rsid w:val="00981EF6"/>
    <w:rsid w:val="00983F1C"/>
    <w:rsid w:val="0098466C"/>
    <w:rsid w:val="00985D60"/>
    <w:rsid w:val="00990664"/>
    <w:rsid w:val="009918E7"/>
    <w:rsid w:val="00995820"/>
    <w:rsid w:val="009A0180"/>
    <w:rsid w:val="009A4AD2"/>
    <w:rsid w:val="009A4B37"/>
    <w:rsid w:val="009A58F9"/>
    <w:rsid w:val="009B0D40"/>
    <w:rsid w:val="009B0FE9"/>
    <w:rsid w:val="009B5E69"/>
    <w:rsid w:val="009C4AB4"/>
    <w:rsid w:val="009C4C07"/>
    <w:rsid w:val="009C739A"/>
    <w:rsid w:val="009C7872"/>
    <w:rsid w:val="009D0932"/>
    <w:rsid w:val="009D25A8"/>
    <w:rsid w:val="009D44A4"/>
    <w:rsid w:val="009E67EF"/>
    <w:rsid w:val="009F1BDD"/>
    <w:rsid w:val="009F53FE"/>
    <w:rsid w:val="00A00633"/>
    <w:rsid w:val="00A0456F"/>
    <w:rsid w:val="00A06848"/>
    <w:rsid w:val="00A0F9E4"/>
    <w:rsid w:val="00A1018B"/>
    <w:rsid w:val="00A122ED"/>
    <w:rsid w:val="00A12A99"/>
    <w:rsid w:val="00A161CC"/>
    <w:rsid w:val="00A233BA"/>
    <w:rsid w:val="00A24C4E"/>
    <w:rsid w:val="00A24F9E"/>
    <w:rsid w:val="00A25FF0"/>
    <w:rsid w:val="00A30917"/>
    <w:rsid w:val="00A31C94"/>
    <w:rsid w:val="00A32B25"/>
    <w:rsid w:val="00A34EEF"/>
    <w:rsid w:val="00A362DE"/>
    <w:rsid w:val="00A378EC"/>
    <w:rsid w:val="00A415E9"/>
    <w:rsid w:val="00A43275"/>
    <w:rsid w:val="00A44569"/>
    <w:rsid w:val="00A46284"/>
    <w:rsid w:val="00A46F9F"/>
    <w:rsid w:val="00A537EF"/>
    <w:rsid w:val="00A566E0"/>
    <w:rsid w:val="00A56FB9"/>
    <w:rsid w:val="00A574A6"/>
    <w:rsid w:val="00A57B05"/>
    <w:rsid w:val="00A6037E"/>
    <w:rsid w:val="00A603E4"/>
    <w:rsid w:val="00A60861"/>
    <w:rsid w:val="00A60E5B"/>
    <w:rsid w:val="00A663BC"/>
    <w:rsid w:val="00A7449F"/>
    <w:rsid w:val="00A8384D"/>
    <w:rsid w:val="00A87AA3"/>
    <w:rsid w:val="00A93269"/>
    <w:rsid w:val="00A95355"/>
    <w:rsid w:val="00A9C6E3"/>
    <w:rsid w:val="00AA2830"/>
    <w:rsid w:val="00AA43DE"/>
    <w:rsid w:val="00AA65D8"/>
    <w:rsid w:val="00AB0A5F"/>
    <w:rsid w:val="00AB384F"/>
    <w:rsid w:val="00AB5277"/>
    <w:rsid w:val="00AC2698"/>
    <w:rsid w:val="00AC35C7"/>
    <w:rsid w:val="00AC45FE"/>
    <w:rsid w:val="00AD1652"/>
    <w:rsid w:val="00AD5C52"/>
    <w:rsid w:val="00AD5E02"/>
    <w:rsid w:val="00AD5F1B"/>
    <w:rsid w:val="00AE1FBE"/>
    <w:rsid w:val="00AE47C6"/>
    <w:rsid w:val="00AE4B11"/>
    <w:rsid w:val="00AE6079"/>
    <w:rsid w:val="00AF0CBA"/>
    <w:rsid w:val="00AF2666"/>
    <w:rsid w:val="00AF3552"/>
    <w:rsid w:val="00AF5451"/>
    <w:rsid w:val="00B033D3"/>
    <w:rsid w:val="00B1092A"/>
    <w:rsid w:val="00B12F76"/>
    <w:rsid w:val="00B20570"/>
    <w:rsid w:val="00B21EA0"/>
    <w:rsid w:val="00B2420B"/>
    <w:rsid w:val="00B30FA3"/>
    <w:rsid w:val="00B37B06"/>
    <w:rsid w:val="00B40A4B"/>
    <w:rsid w:val="00B42FA7"/>
    <w:rsid w:val="00B44F9A"/>
    <w:rsid w:val="00B45E0F"/>
    <w:rsid w:val="00B51ACB"/>
    <w:rsid w:val="00B579EC"/>
    <w:rsid w:val="00B642C7"/>
    <w:rsid w:val="00B66783"/>
    <w:rsid w:val="00B676B5"/>
    <w:rsid w:val="00B70BCD"/>
    <w:rsid w:val="00B73431"/>
    <w:rsid w:val="00B73A01"/>
    <w:rsid w:val="00B810CE"/>
    <w:rsid w:val="00B838EC"/>
    <w:rsid w:val="00B83957"/>
    <w:rsid w:val="00B86DA6"/>
    <w:rsid w:val="00B873E4"/>
    <w:rsid w:val="00B90BFB"/>
    <w:rsid w:val="00B92288"/>
    <w:rsid w:val="00B94F6E"/>
    <w:rsid w:val="00BA3BE3"/>
    <w:rsid w:val="00BB079B"/>
    <w:rsid w:val="00BB2275"/>
    <w:rsid w:val="00BC2FE2"/>
    <w:rsid w:val="00BC66C4"/>
    <w:rsid w:val="00BD0A18"/>
    <w:rsid w:val="00BD0F87"/>
    <w:rsid w:val="00BE3F84"/>
    <w:rsid w:val="00BE5EEA"/>
    <w:rsid w:val="00BF0DC6"/>
    <w:rsid w:val="00BF1CD5"/>
    <w:rsid w:val="00BF37AF"/>
    <w:rsid w:val="00C01FF1"/>
    <w:rsid w:val="00C13738"/>
    <w:rsid w:val="00C15AA9"/>
    <w:rsid w:val="00C170ED"/>
    <w:rsid w:val="00C17888"/>
    <w:rsid w:val="00C23305"/>
    <w:rsid w:val="00C32711"/>
    <w:rsid w:val="00C41B6C"/>
    <w:rsid w:val="00C466D3"/>
    <w:rsid w:val="00C578C9"/>
    <w:rsid w:val="00C61645"/>
    <w:rsid w:val="00C65AEB"/>
    <w:rsid w:val="00C70F32"/>
    <w:rsid w:val="00C73729"/>
    <w:rsid w:val="00C76303"/>
    <w:rsid w:val="00C77435"/>
    <w:rsid w:val="00C8008A"/>
    <w:rsid w:val="00C8257A"/>
    <w:rsid w:val="00C871E6"/>
    <w:rsid w:val="00C87D78"/>
    <w:rsid w:val="00C91BBD"/>
    <w:rsid w:val="00C91F64"/>
    <w:rsid w:val="00C92565"/>
    <w:rsid w:val="00C92C12"/>
    <w:rsid w:val="00C93282"/>
    <w:rsid w:val="00C96094"/>
    <w:rsid w:val="00C9738C"/>
    <w:rsid w:val="00CA2261"/>
    <w:rsid w:val="00CA275A"/>
    <w:rsid w:val="00CA5E48"/>
    <w:rsid w:val="00CB05C8"/>
    <w:rsid w:val="00CB1F16"/>
    <w:rsid w:val="00CD1793"/>
    <w:rsid w:val="00CD392A"/>
    <w:rsid w:val="00CD628C"/>
    <w:rsid w:val="00CD66B0"/>
    <w:rsid w:val="00CE318B"/>
    <w:rsid w:val="00CE6A87"/>
    <w:rsid w:val="00CF3FF9"/>
    <w:rsid w:val="00CF54D5"/>
    <w:rsid w:val="00D01556"/>
    <w:rsid w:val="00D056C3"/>
    <w:rsid w:val="00D070D7"/>
    <w:rsid w:val="00D12EA7"/>
    <w:rsid w:val="00D13AFA"/>
    <w:rsid w:val="00D13B6B"/>
    <w:rsid w:val="00D219E4"/>
    <w:rsid w:val="00D27429"/>
    <w:rsid w:val="00D309A9"/>
    <w:rsid w:val="00D3335F"/>
    <w:rsid w:val="00D37923"/>
    <w:rsid w:val="00D4316A"/>
    <w:rsid w:val="00D4397C"/>
    <w:rsid w:val="00D43FF7"/>
    <w:rsid w:val="00D472B9"/>
    <w:rsid w:val="00D47B4D"/>
    <w:rsid w:val="00D56020"/>
    <w:rsid w:val="00D5769B"/>
    <w:rsid w:val="00D6150E"/>
    <w:rsid w:val="00D67833"/>
    <w:rsid w:val="00D736B4"/>
    <w:rsid w:val="00D74119"/>
    <w:rsid w:val="00D75668"/>
    <w:rsid w:val="00D77EFB"/>
    <w:rsid w:val="00D806D0"/>
    <w:rsid w:val="00D814B6"/>
    <w:rsid w:val="00D879C1"/>
    <w:rsid w:val="00D9202B"/>
    <w:rsid w:val="00D9222D"/>
    <w:rsid w:val="00D92305"/>
    <w:rsid w:val="00D93F9D"/>
    <w:rsid w:val="00D942EA"/>
    <w:rsid w:val="00D95515"/>
    <w:rsid w:val="00DB2CCE"/>
    <w:rsid w:val="00DB3EFC"/>
    <w:rsid w:val="00DB5279"/>
    <w:rsid w:val="00DC1DB1"/>
    <w:rsid w:val="00DC2983"/>
    <w:rsid w:val="00DC2F41"/>
    <w:rsid w:val="00DC2F4A"/>
    <w:rsid w:val="00DC49E1"/>
    <w:rsid w:val="00DC6704"/>
    <w:rsid w:val="00DD10DF"/>
    <w:rsid w:val="00DD4527"/>
    <w:rsid w:val="00DD6174"/>
    <w:rsid w:val="00DD6341"/>
    <w:rsid w:val="00DE047B"/>
    <w:rsid w:val="00DE3031"/>
    <w:rsid w:val="00DE47AA"/>
    <w:rsid w:val="00DF4D3C"/>
    <w:rsid w:val="00E06BF8"/>
    <w:rsid w:val="00E079E3"/>
    <w:rsid w:val="00E1109A"/>
    <w:rsid w:val="00E15AC7"/>
    <w:rsid w:val="00E201E0"/>
    <w:rsid w:val="00E20858"/>
    <w:rsid w:val="00E2465D"/>
    <w:rsid w:val="00E26E40"/>
    <w:rsid w:val="00E27C38"/>
    <w:rsid w:val="00E34962"/>
    <w:rsid w:val="00E42CC0"/>
    <w:rsid w:val="00E45ACB"/>
    <w:rsid w:val="00E567D1"/>
    <w:rsid w:val="00E62679"/>
    <w:rsid w:val="00E63404"/>
    <w:rsid w:val="00E705F8"/>
    <w:rsid w:val="00E70A06"/>
    <w:rsid w:val="00E73316"/>
    <w:rsid w:val="00E74BFD"/>
    <w:rsid w:val="00E841C7"/>
    <w:rsid w:val="00E84D0D"/>
    <w:rsid w:val="00E86A0A"/>
    <w:rsid w:val="00E918CD"/>
    <w:rsid w:val="00E93911"/>
    <w:rsid w:val="00E95536"/>
    <w:rsid w:val="00E97969"/>
    <w:rsid w:val="00EA016F"/>
    <w:rsid w:val="00EA137A"/>
    <w:rsid w:val="00EB0EA9"/>
    <w:rsid w:val="00EB2468"/>
    <w:rsid w:val="00EB31FA"/>
    <w:rsid w:val="00EB40A8"/>
    <w:rsid w:val="00EC0841"/>
    <w:rsid w:val="00EC17B8"/>
    <w:rsid w:val="00EC3808"/>
    <w:rsid w:val="00EC3900"/>
    <w:rsid w:val="00ED4E7F"/>
    <w:rsid w:val="00EE28F0"/>
    <w:rsid w:val="00EE401E"/>
    <w:rsid w:val="00EF50BE"/>
    <w:rsid w:val="00EF5242"/>
    <w:rsid w:val="00EF52F8"/>
    <w:rsid w:val="00EF5801"/>
    <w:rsid w:val="00EF5EB9"/>
    <w:rsid w:val="00F14201"/>
    <w:rsid w:val="00F21591"/>
    <w:rsid w:val="00F22AFF"/>
    <w:rsid w:val="00F26B41"/>
    <w:rsid w:val="00F31203"/>
    <w:rsid w:val="00F31A48"/>
    <w:rsid w:val="00F45125"/>
    <w:rsid w:val="00F46AB5"/>
    <w:rsid w:val="00F5470D"/>
    <w:rsid w:val="00F655E2"/>
    <w:rsid w:val="00F74051"/>
    <w:rsid w:val="00F74AA6"/>
    <w:rsid w:val="00F7582E"/>
    <w:rsid w:val="00F7690B"/>
    <w:rsid w:val="00F8665E"/>
    <w:rsid w:val="00F868AB"/>
    <w:rsid w:val="00F91DF5"/>
    <w:rsid w:val="00F96328"/>
    <w:rsid w:val="00F975E4"/>
    <w:rsid w:val="00FA6771"/>
    <w:rsid w:val="00FA76C3"/>
    <w:rsid w:val="00FB09BA"/>
    <w:rsid w:val="00FB4C9C"/>
    <w:rsid w:val="00FB5F2B"/>
    <w:rsid w:val="00FB6F6C"/>
    <w:rsid w:val="00FC6C0A"/>
    <w:rsid w:val="00FD0D98"/>
    <w:rsid w:val="00FE7F17"/>
    <w:rsid w:val="00FF13D3"/>
    <w:rsid w:val="00FF3854"/>
    <w:rsid w:val="00FF496D"/>
    <w:rsid w:val="00FF635D"/>
    <w:rsid w:val="01A1628F"/>
    <w:rsid w:val="01D829EF"/>
    <w:rsid w:val="01DB2F68"/>
    <w:rsid w:val="01F9BA81"/>
    <w:rsid w:val="0228A47F"/>
    <w:rsid w:val="0287B8B7"/>
    <w:rsid w:val="030BDA6D"/>
    <w:rsid w:val="032502CA"/>
    <w:rsid w:val="04840E3B"/>
    <w:rsid w:val="052D633A"/>
    <w:rsid w:val="059B6DC1"/>
    <w:rsid w:val="06BA8F0C"/>
    <w:rsid w:val="07F6784B"/>
    <w:rsid w:val="0848A5D3"/>
    <w:rsid w:val="0882AB68"/>
    <w:rsid w:val="093B253B"/>
    <w:rsid w:val="09CFB75F"/>
    <w:rsid w:val="09ED9BBB"/>
    <w:rsid w:val="0A9DC60C"/>
    <w:rsid w:val="0BD3DC92"/>
    <w:rsid w:val="0BED5504"/>
    <w:rsid w:val="0DEA5986"/>
    <w:rsid w:val="0E1A56F4"/>
    <w:rsid w:val="0E30301B"/>
    <w:rsid w:val="0E4D187D"/>
    <w:rsid w:val="0EC5A0F1"/>
    <w:rsid w:val="0EDDB36C"/>
    <w:rsid w:val="102D5F7C"/>
    <w:rsid w:val="1039001A"/>
    <w:rsid w:val="1167D0DD"/>
    <w:rsid w:val="12650225"/>
    <w:rsid w:val="137B23FD"/>
    <w:rsid w:val="139CE29A"/>
    <w:rsid w:val="13A0FF9A"/>
    <w:rsid w:val="13E44238"/>
    <w:rsid w:val="14159BEC"/>
    <w:rsid w:val="143C8CF6"/>
    <w:rsid w:val="1489A630"/>
    <w:rsid w:val="14CDD543"/>
    <w:rsid w:val="151D8C13"/>
    <w:rsid w:val="156EB688"/>
    <w:rsid w:val="1585F3BE"/>
    <w:rsid w:val="1597D37E"/>
    <w:rsid w:val="15B1918B"/>
    <w:rsid w:val="160FB06C"/>
    <w:rsid w:val="1646CAF1"/>
    <w:rsid w:val="1672E616"/>
    <w:rsid w:val="16785601"/>
    <w:rsid w:val="1680FCB9"/>
    <w:rsid w:val="16990764"/>
    <w:rsid w:val="1754C1F6"/>
    <w:rsid w:val="175E1DAD"/>
    <w:rsid w:val="177C9533"/>
    <w:rsid w:val="17B40129"/>
    <w:rsid w:val="17BDEA04"/>
    <w:rsid w:val="18A9338C"/>
    <w:rsid w:val="18DA5C5E"/>
    <w:rsid w:val="18E9324D"/>
    <w:rsid w:val="190FFE19"/>
    <w:rsid w:val="19AFF6C3"/>
    <w:rsid w:val="19FA0FE8"/>
    <w:rsid w:val="1AABCE7A"/>
    <w:rsid w:val="1B41C632"/>
    <w:rsid w:val="1B7E49B4"/>
    <w:rsid w:val="1CE79785"/>
    <w:rsid w:val="1CF40935"/>
    <w:rsid w:val="1D9768A6"/>
    <w:rsid w:val="1DBCA370"/>
    <w:rsid w:val="1F65F7BA"/>
    <w:rsid w:val="1F916A7A"/>
    <w:rsid w:val="2006FB83"/>
    <w:rsid w:val="206C9406"/>
    <w:rsid w:val="20B13DE8"/>
    <w:rsid w:val="21167C77"/>
    <w:rsid w:val="221B5303"/>
    <w:rsid w:val="2245F2A5"/>
    <w:rsid w:val="251307A7"/>
    <w:rsid w:val="2574C144"/>
    <w:rsid w:val="26678FE1"/>
    <w:rsid w:val="26B37CD6"/>
    <w:rsid w:val="26CC61F0"/>
    <w:rsid w:val="28799C37"/>
    <w:rsid w:val="28EE1B40"/>
    <w:rsid w:val="28F47027"/>
    <w:rsid w:val="291E0D1F"/>
    <w:rsid w:val="2A45392B"/>
    <w:rsid w:val="2A89EBA1"/>
    <w:rsid w:val="2AC6DB1F"/>
    <w:rsid w:val="2B144AA2"/>
    <w:rsid w:val="2B2F2526"/>
    <w:rsid w:val="2B537C74"/>
    <w:rsid w:val="2B801E1C"/>
    <w:rsid w:val="2BCEDDDE"/>
    <w:rsid w:val="2BE1098C"/>
    <w:rsid w:val="2CEB3C03"/>
    <w:rsid w:val="2E23656D"/>
    <w:rsid w:val="2E28473A"/>
    <w:rsid w:val="2E7A26D6"/>
    <w:rsid w:val="2ED3E6E4"/>
    <w:rsid w:val="2ED42D9C"/>
    <w:rsid w:val="2F18AA4E"/>
    <w:rsid w:val="306FFDFD"/>
    <w:rsid w:val="30A4E81C"/>
    <w:rsid w:val="3124A8E3"/>
    <w:rsid w:val="318B4D76"/>
    <w:rsid w:val="31DA2991"/>
    <w:rsid w:val="3211224D"/>
    <w:rsid w:val="3294FD86"/>
    <w:rsid w:val="3298922A"/>
    <w:rsid w:val="32DE4998"/>
    <w:rsid w:val="32F65849"/>
    <w:rsid w:val="330F9D38"/>
    <w:rsid w:val="3340D432"/>
    <w:rsid w:val="359E953D"/>
    <w:rsid w:val="35C39BED"/>
    <w:rsid w:val="368538BB"/>
    <w:rsid w:val="36E8668F"/>
    <w:rsid w:val="3757E5CB"/>
    <w:rsid w:val="37C930B9"/>
    <w:rsid w:val="38F3B62C"/>
    <w:rsid w:val="38FB9682"/>
    <w:rsid w:val="39F01477"/>
    <w:rsid w:val="3A3E7B19"/>
    <w:rsid w:val="3A71BF6F"/>
    <w:rsid w:val="3A722772"/>
    <w:rsid w:val="3B12B953"/>
    <w:rsid w:val="3D11ED6E"/>
    <w:rsid w:val="3D2662EC"/>
    <w:rsid w:val="3DC5C6E3"/>
    <w:rsid w:val="3F3381CD"/>
    <w:rsid w:val="3F33CF1F"/>
    <w:rsid w:val="3F622CE6"/>
    <w:rsid w:val="3FF46860"/>
    <w:rsid w:val="40F60E54"/>
    <w:rsid w:val="41484A34"/>
    <w:rsid w:val="41CF97C8"/>
    <w:rsid w:val="427DB394"/>
    <w:rsid w:val="429A9872"/>
    <w:rsid w:val="42B19A21"/>
    <w:rsid w:val="42D13DBC"/>
    <w:rsid w:val="43090CD0"/>
    <w:rsid w:val="44005B98"/>
    <w:rsid w:val="457DF69E"/>
    <w:rsid w:val="459C2BF9"/>
    <w:rsid w:val="4601791A"/>
    <w:rsid w:val="46197490"/>
    <w:rsid w:val="46AE2E16"/>
    <w:rsid w:val="47347085"/>
    <w:rsid w:val="48D040E6"/>
    <w:rsid w:val="48E17BBD"/>
    <w:rsid w:val="4AFC46F4"/>
    <w:rsid w:val="4B19A419"/>
    <w:rsid w:val="4B1EB8CB"/>
    <w:rsid w:val="4B4766D8"/>
    <w:rsid w:val="4B842D8B"/>
    <w:rsid w:val="4B9CAC5D"/>
    <w:rsid w:val="4BE242DD"/>
    <w:rsid w:val="4C212094"/>
    <w:rsid w:val="4DB79148"/>
    <w:rsid w:val="4E0C8AFF"/>
    <w:rsid w:val="4E53240F"/>
    <w:rsid w:val="4EB2A90F"/>
    <w:rsid w:val="4F279490"/>
    <w:rsid w:val="512269BF"/>
    <w:rsid w:val="51C71940"/>
    <w:rsid w:val="52866175"/>
    <w:rsid w:val="53EC1196"/>
    <w:rsid w:val="548FA2A3"/>
    <w:rsid w:val="55B6B174"/>
    <w:rsid w:val="57BD7DA3"/>
    <w:rsid w:val="57E2F8C3"/>
    <w:rsid w:val="582CD340"/>
    <w:rsid w:val="587FDDD8"/>
    <w:rsid w:val="58BF82B9"/>
    <w:rsid w:val="58EE5236"/>
    <w:rsid w:val="595DD00F"/>
    <w:rsid w:val="59BAE3BB"/>
    <w:rsid w:val="5A77BA0E"/>
    <w:rsid w:val="5B5E93CC"/>
    <w:rsid w:val="5B6A2CA5"/>
    <w:rsid w:val="5BD40D42"/>
    <w:rsid w:val="5BF7237B"/>
    <w:rsid w:val="5C297ECD"/>
    <w:rsid w:val="5CE9A2E3"/>
    <w:rsid w:val="5D92F3DC"/>
    <w:rsid w:val="5DA27F71"/>
    <w:rsid w:val="5DC54F2E"/>
    <w:rsid w:val="5E1D5C8C"/>
    <w:rsid w:val="5E3684E9"/>
    <w:rsid w:val="5F5D93BA"/>
    <w:rsid w:val="5F611F8F"/>
    <w:rsid w:val="6271FFD3"/>
    <w:rsid w:val="62F87128"/>
    <w:rsid w:val="63AD50C0"/>
    <w:rsid w:val="64B369DC"/>
    <w:rsid w:val="652904C7"/>
    <w:rsid w:val="656C8AE3"/>
    <w:rsid w:val="66DE728F"/>
    <w:rsid w:val="6809F0DC"/>
    <w:rsid w:val="6836EABC"/>
    <w:rsid w:val="69075E2E"/>
    <w:rsid w:val="69226DC3"/>
    <w:rsid w:val="698D0A8C"/>
    <w:rsid w:val="69902E83"/>
    <w:rsid w:val="69E6A037"/>
    <w:rsid w:val="6A1B3A13"/>
    <w:rsid w:val="6A26A9D6"/>
    <w:rsid w:val="6A39A312"/>
    <w:rsid w:val="6A67DA1C"/>
    <w:rsid w:val="6A79646A"/>
    <w:rsid w:val="6A7C7098"/>
    <w:rsid w:val="6BB47A07"/>
    <w:rsid w:val="6BD57373"/>
    <w:rsid w:val="6C1534CB"/>
    <w:rsid w:val="6C22EE65"/>
    <w:rsid w:val="6C97AFF5"/>
    <w:rsid w:val="6D4E83BE"/>
    <w:rsid w:val="6D504A68"/>
    <w:rsid w:val="6D7143D4"/>
    <w:rsid w:val="6D9F7ADE"/>
    <w:rsid w:val="6DB23BCA"/>
    <w:rsid w:val="6E3B6DDC"/>
    <w:rsid w:val="6E6E89FF"/>
    <w:rsid w:val="6E889B7F"/>
    <w:rsid w:val="6F1178F1"/>
    <w:rsid w:val="6F423424"/>
    <w:rsid w:val="6F5A8F27"/>
    <w:rsid w:val="6F8F51F6"/>
    <w:rsid w:val="70886005"/>
    <w:rsid w:val="70B72B10"/>
    <w:rsid w:val="711659CB"/>
    <w:rsid w:val="716B2118"/>
    <w:rsid w:val="71E38405"/>
    <w:rsid w:val="72922FE9"/>
    <w:rsid w:val="72ADD266"/>
    <w:rsid w:val="72D397AA"/>
    <w:rsid w:val="739BED39"/>
    <w:rsid w:val="74E26009"/>
    <w:rsid w:val="758384DA"/>
    <w:rsid w:val="77130C45"/>
    <w:rsid w:val="7765A10C"/>
    <w:rsid w:val="77814389"/>
    <w:rsid w:val="77D1C744"/>
    <w:rsid w:val="78898540"/>
    <w:rsid w:val="79248E2E"/>
    <w:rsid w:val="7A27785D"/>
    <w:rsid w:val="7A50CD93"/>
    <w:rsid w:val="7A7EB591"/>
    <w:rsid w:val="7B0D50A4"/>
    <w:rsid w:val="7B19F0E4"/>
    <w:rsid w:val="7BC5C790"/>
    <w:rsid w:val="7C19FE98"/>
    <w:rsid w:val="7C6F86A7"/>
    <w:rsid w:val="7C82822B"/>
    <w:rsid w:val="7DC3A7B9"/>
    <w:rsid w:val="7F1E241F"/>
    <w:rsid w:val="7F5F781A"/>
    <w:rsid w:val="7F95B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E3A1D5"/>
  <w15:chartTrackingRefBased/>
  <w15:docId w15:val="{6EAD4904-786D-4FF1-A6A6-BFDCD3005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EA9"/>
    <w:pPr>
      <w:spacing w:line="256" w:lineRule="auto"/>
    </w:pPr>
    <w:rPr>
      <w:kern w:val="0"/>
      <w14:ligatures w14:val="none"/>
    </w:rPr>
  </w:style>
  <w:style w:type="paragraph" w:styleId="Heading2">
    <w:name w:val="heading 2"/>
    <w:basedOn w:val="Normal"/>
    <w:link w:val="Heading2Char"/>
    <w:uiPriority w:val="9"/>
    <w:qFormat/>
    <w:rsid w:val="00C76303"/>
    <w:pPr>
      <w:keepNext/>
      <w:numPr>
        <w:numId w:val="3"/>
      </w:numPr>
      <w:spacing w:before="240" w:line="259" w:lineRule="auto"/>
      <w:jc w:val="both"/>
      <w:outlineLvl w:val="1"/>
    </w:pPr>
    <w:rPr>
      <w:sz w:val="20"/>
      <w:szCs w:val="20"/>
      <w:u w:val="single"/>
      <w:lang w:val="es-C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cabezado1">
    <w:name w:val="Encabezado1"/>
    <w:basedOn w:val="Normal"/>
    <w:next w:val="Normal"/>
    <w:qFormat/>
    <w:rsid w:val="00D95515"/>
    <w:pPr>
      <w:spacing w:after="360"/>
      <w:jc w:val="both"/>
    </w:pPr>
    <w:rPr>
      <w:rFonts w:ascii="Times New Roman" w:hAnsi="Times New Roman"/>
      <w:lang w:val="es-CO"/>
    </w:rPr>
  </w:style>
  <w:style w:type="character" w:customStyle="1" w:styleId="TextoCartaChar">
    <w:name w:val="Texto Carta Char"/>
    <w:basedOn w:val="DefaultParagraphFont"/>
    <w:link w:val="TextoCarta"/>
    <w:locked/>
    <w:rsid w:val="001E4BB8"/>
  </w:style>
  <w:style w:type="paragraph" w:customStyle="1" w:styleId="TextoCarta">
    <w:name w:val="Texto Carta"/>
    <w:basedOn w:val="Normal"/>
    <w:link w:val="TextoCartaChar"/>
    <w:qFormat/>
    <w:rsid w:val="001E4BB8"/>
    <w:pPr>
      <w:ind w:firstLine="720"/>
      <w:jc w:val="both"/>
    </w:pPr>
    <w:rPr>
      <w:kern w:val="2"/>
      <w14:ligatures w14:val="standardContextual"/>
    </w:rPr>
  </w:style>
  <w:style w:type="paragraph" w:styleId="ListParagraph">
    <w:name w:val="List Paragraph"/>
    <w:aliases w:val="Párrafo de lista1,List Paragraph2,Lista vistosa - Énfasis 11,List Paragraph1,List Paragraph11"/>
    <w:basedOn w:val="Normal"/>
    <w:link w:val="ListParagraphChar"/>
    <w:uiPriority w:val="34"/>
    <w:qFormat/>
    <w:rsid w:val="00EC0841"/>
    <w:pPr>
      <w:ind w:left="720"/>
      <w:contextualSpacing/>
    </w:pPr>
  </w:style>
  <w:style w:type="character" w:styleId="Hyperlink">
    <w:name w:val="Hyperlink"/>
    <w:uiPriority w:val="99"/>
    <w:unhideWhenUsed/>
    <w:rsid w:val="00F22AFF"/>
    <w:rPr>
      <w:color w:val="0563C1"/>
      <w:u w:val="single"/>
    </w:rPr>
  </w:style>
  <w:style w:type="paragraph" w:styleId="EndnoteText">
    <w:name w:val="endnote text"/>
    <w:basedOn w:val="Normal"/>
    <w:link w:val="EndnoteTextChar"/>
    <w:uiPriority w:val="99"/>
    <w:unhideWhenUsed/>
    <w:rsid w:val="00F22AFF"/>
    <w:pPr>
      <w:spacing w:after="0" w:line="240" w:lineRule="auto"/>
    </w:pPr>
    <w:rPr>
      <w:rFonts w:ascii="Calibri" w:eastAsia="Calibri" w:hAnsi="Calibri" w:cs="Times New Roman"/>
      <w:sz w:val="20"/>
      <w:szCs w:val="20"/>
      <w:lang w:val="es-CO"/>
    </w:rPr>
  </w:style>
  <w:style w:type="character" w:customStyle="1" w:styleId="EndnoteTextChar">
    <w:name w:val="Endnote Text Char"/>
    <w:basedOn w:val="DefaultParagraphFont"/>
    <w:link w:val="EndnoteText"/>
    <w:uiPriority w:val="99"/>
    <w:rsid w:val="00F22AFF"/>
    <w:rPr>
      <w:rFonts w:ascii="Calibri" w:eastAsia="Calibri" w:hAnsi="Calibri" w:cs="Times New Roman"/>
      <w:kern w:val="0"/>
      <w:sz w:val="20"/>
      <w:szCs w:val="20"/>
      <w:lang w:val="es-CO"/>
      <w14:ligatures w14:val="none"/>
    </w:rPr>
  </w:style>
  <w:style w:type="character" w:styleId="EndnoteReference">
    <w:name w:val="endnote reference"/>
    <w:uiPriority w:val="99"/>
    <w:rsid w:val="00F22AFF"/>
    <w:rPr>
      <w:rFonts w:ascii="Times New Roman" w:hAnsi="Times New Roman"/>
      <w:b/>
      <w:sz w:val="24"/>
      <w:vertAlign w:val="superscript"/>
    </w:rPr>
  </w:style>
  <w:style w:type="character" w:customStyle="1" w:styleId="Heading2Char">
    <w:name w:val="Heading 2 Char"/>
    <w:basedOn w:val="DefaultParagraphFont"/>
    <w:link w:val="Heading2"/>
    <w:uiPriority w:val="9"/>
    <w:rsid w:val="00C76303"/>
    <w:rPr>
      <w:kern w:val="0"/>
      <w:sz w:val="20"/>
      <w:szCs w:val="20"/>
      <w:u w:val="single"/>
      <w:lang w:val="es-CO"/>
      <w14:ligatures w14:val="none"/>
    </w:rPr>
  </w:style>
  <w:style w:type="paragraph" w:customStyle="1" w:styleId="Cita1">
    <w:name w:val="Cita1"/>
    <w:basedOn w:val="TextoCarta"/>
    <w:link w:val="CitaChar"/>
    <w:qFormat/>
    <w:rsid w:val="00C76303"/>
    <w:pPr>
      <w:spacing w:line="259" w:lineRule="auto"/>
      <w:ind w:left="720" w:firstLine="0"/>
    </w:pPr>
    <w:rPr>
      <w:i/>
      <w:kern w:val="0"/>
      <w:lang w:val="es-CO"/>
      <w14:ligatures w14:val="none"/>
    </w:rPr>
  </w:style>
  <w:style w:type="character" w:customStyle="1" w:styleId="CitaChar">
    <w:name w:val="Cita Char"/>
    <w:basedOn w:val="TextoCartaChar"/>
    <w:link w:val="Cita1"/>
    <w:rsid w:val="00C76303"/>
    <w:rPr>
      <w:i/>
      <w:kern w:val="0"/>
      <w:lang w:val="es-CO"/>
      <w14:ligatures w14:val="none"/>
    </w:rPr>
  </w:style>
  <w:style w:type="paragraph" w:customStyle="1" w:styleId="Ttulo21">
    <w:name w:val="Título 21"/>
    <w:basedOn w:val="Normal"/>
    <w:qFormat/>
    <w:rsid w:val="00C578C9"/>
    <w:pPr>
      <w:keepNext/>
      <w:numPr>
        <w:numId w:val="5"/>
      </w:numPr>
      <w:spacing w:before="240" w:line="259" w:lineRule="auto"/>
      <w:ind w:left="1296" w:hanging="576"/>
      <w:jc w:val="both"/>
    </w:pPr>
    <w:rPr>
      <w:u w:val="single"/>
      <w:lang w:val="es-CO"/>
    </w:rPr>
  </w:style>
  <w:style w:type="paragraph" w:customStyle="1" w:styleId="paragraph">
    <w:name w:val="paragraph"/>
    <w:basedOn w:val="Normal"/>
    <w:rsid w:val="00BD0A18"/>
    <w:pPr>
      <w:spacing w:before="100" w:beforeAutospacing="1" w:after="100" w:afterAutospacing="1" w:line="240" w:lineRule="auto"/>
    </w:pPr>
    <w:rPr>
      <w:rFonts w:ascii="Times New Roman" w:eastAsia="Times New Roman" w:hAnsi="Times New Roman" w:cs="Times New Roman"/>
      <w:sz w:val="24"/>
      <w:szCs w:val="24"/>
      <w:lang w:val="en-CA"/>
    </w:rPr>
  </w:style>
  <w:style w:type="character" w:customStyle="1" w:styleId="normaltextrun">
    <w:name w:val="normaltextrun"/>
    <w:basedOn w:val="DefaultParagraphFont"/>
    <w:rsid w:val="00BD0A18"/>
  </w:style>
  <w:style w:type="character" w:customStyle="1" w:styleId="superscript">
    <w:name w:val="superscript"/>
    <w:basedOn w:val="DefaultParagraphFont"/>
    <w:rsid w:val="000000A4"/>
  </w:style>
  <w:style w:type="character" w:customStyle="1" w:styleId="eop">
    <w:name w:val="eop"/>
    <w:basedOn w:val="DefaultParagraphFont"/>
    <w:rsid w:val="000000A4"/>
  </w:style>
  <w:style w:type="paragraph" w:styleId="FootnoteText">
    <w:name w:val="footnote text"/>
    <w:basedOn w:val="Normal"/>
    <w:link w:val="FootnoteTextChar"/>
    <w:uiPriority w:val="99"/>
    <w:semiHidden/>
    <w:unhideWhenUsed/>
    <w:rsid w:val="00981E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81EF6"/>
    <w:rPr>
      <w:kern w:val="0"/>
      <w:sz w:val="20"/>
      <w:szCs w:val="20"/>
      <w14:ligatures w14:val="none"/>
    </w:rPr>
  </w:style>
  <w:style w:type="character" w:styleId="FootnoteReference">
    <w:name w:val="footnote reference"/>
    <w:basedOn w:val="DefaultParagraphFont"/>
    <w:uiPriority w:val="99"/>
    <w:semiHidden/>
    <w:unhideWhenUsed/>
    <w:rsid w:val="00981EF6"/>
    <w:rPr>
      <w:vertAlign w:val="superscript"/>
    </w:rPr>
  </w:style>
  <w:style w:type="character" w:styleId="UnresolvedMention">
    <w:name w:val="Unresolved Mention"/>
    <w:basedOn w:val="DefaultParagraphFont"/>
    <w:uiPriority w:val="99"/>
    <w:semiHidden/>
    <w:unhideWhenUsed/>
    <w:rsid w:val="00DE47AA"/>
    <w:rPr>
      <w:color w:val="605E5C"/>
      <w:shd w:val="clear" w:color="auto" w:fill="E1DFDD"/>
    </w:rPr>
  </w:style>
  <w:style w:type="character" w:styleId="FollowedHyperlink">
    <w:name w:val="FollowedHyperlink"/>
    <w:basedOn w:val="DefaultParagraphFont"/>
    <w:uiPriority w:val="99"/>
    <w:semiHidden/>
    <w:unhideWhenUsed/>
    <w:rsid w:val="00983F1C"/>
    <w:rPr>
      <w:color w:val="954F72" w:themeColor="followedHyperlink"/>
      <w:u w:val="single"/>
    </w:rPr>
  </w:style>
  <w:style w:type="paragraph" w:styleId="Header">
    <w:name w:val="header"/>
    <w:basedOn w:val="Normal"/>
    <w:link w:val="HeaderChar"/>
    <w:uiPriority w:val="99"/>
    <w:unhideWhenUsed/>
    <w:rsid w:val="00F312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203"/>
    <w:rPr>
      <w:kern w:val="0"/>
      <w14:ligatures w14:val="none"/>
    </w:rPr>
  </w:style>
  <w:style w:type="paragraph" w:styleId="Footer">
    <w:name w:val="footer"/>
    <w:basedOn w:val="Normal"/>
    <w:link w:val="FooterChar"/>
    <w:uiPriority w:val="99"/>
    <w:unhideWhenUsed/>
    <w:rsid w:val="00F312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203"/>
    <w:rPr>
      <w:kern w:val="0"/>
      <w14:ligatures w14:val="none"/>
    </w:rPr>
  </w:style>
  <w:style w:type="paragraph" w:customStyle="1" w:styleId="Recomendaciones">
    <w:name w:val="Recomendaciones"/>
    <w:basedOn w:val="Normal"/>
    <w:link w:val="RecomendacionesChar"/>
    <w:qFormat/>
    <w:rsid w:val="006C051B"/>
    <w:pPr>
      <w:numPr>
        <w:numId w:val="15"/>
      </w:numPr>
      <w:spacing w:line="259" w:lineRule="auto"/>
      <w:ind w:left="1296" w:hanging="576"/>
      <w:jc w:val="both"/>
    </w:pPr>
    <w:rPr>
      <w:lang w:val="es-CO"/>
    </w:rPr>
  </w:style>
  <w:style w:type="character" w:customStyle="1" w:styleId="RecomendacionesChar">
    <w:name w:val="Recomendaciones Char"/>
    <w:basedOn w:val="DefaultParagraphFont"/>
    <w:link w:val="Recomendaciones"/>
    <w:rsid w:val="006C051B"/>
    <w:rPr>
      <w:kern w:val="0"/>
      <w:lang w:val="es-CO"/>
      <w14:ligatures w14:val="none"/>
    </w:rPr>
  </w:style>
  <w:style w:type="character" w:styleId="CommentReference">
    <w:name w:val="annotation reference"/>
    <w:basedOn w:val="DefaultParagraphFont"/>
    <w:uiPriority w:val="99"/>
    <w:semiHidden/>
    <w:unhideWhenUsed/>
    <w:rsid w:val="00714536"/>
    <w:rPr>
      <w:sz w:val="16"/>
      <w:szCs w:val="16"/>
    </w:rPr>
  </w:style>
  <w:style w:type="paragraph" w:styleId="CommentText">
    <w:name w:val="annotation text"/>
    <w:basedOn w:val="Normal"/>
    <w:link w:val="CommentTextChar"/>
    <w:uiPriority w:val="99"/>
    <w:unhideWhenUsed/>
    <w:rsid w:val="00714536"/>
    <w:pPr>
      <w:spacing w:line="240" w:lineRule="auto"/>
    </w:pPr>
    <w:rPr>
      <w:sz w:val="20"/>
      <w:szCs w:val="20"/>
    </w:rPr>
  </w:style>
  <w:style w:type="character" w:customStyle="1" w:styleId="CommentTextChar">
    <w:name w:val="Comment Text Char"/>
    <w:basedOn w:val="DefaultParagraphFont"/>
    <w:link w:val="CommentText"/>
    <w:uiPriority w:val="99"/>
    <w:rsid w:val="00714536"/>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14536"/>
    <w:rPr>
      <w:b/>
      <w:bCs/>
    </w:rPr>
  </w:style>
  <w:style w:type="character" w:customStyle="1" w:styleId="CommentSubjectChar">
    <w:name w:val="Comment Subject Char"/>
    <w:basedOn w:val="CommentTextChar"/>
    <w:link w:val="CommentSubject"/>
    <w:uiPriority w:val="99"/>
    <w:semiHidden/>
    <w:rsid w:val="00714536"/>
    <w:rPr>
      <w:b/>
      <w:bCs/>
      <w:kern w:val="0"/>
      <w:sz w:val="20"/>
      <w:szCs w:val="20"/>
      <w14:ligatures w14:val="none"/>
    </w:rPr>
  </w:style>
  <w:style w:type="paragraph" w:styleId="Revision">
    <w:name w:val="Revision"/>
    <w:hidden/>
    <w:uiPriority w:val="99"/>
    <w:semiHidden/>
    <w:rsid w:val="002B2A19"/>
    <w:pPr>
      <w:spacing w:after="0" w:line="240" w:lineRule="auto"/>
    </w:pPr>
    <w:rPr>
      <w:kern w:val="0"/>
      <w14:ligatures w14:val="none"/>
    </w:rPr>
  </w:style>
  <w:style w:type="character" w:customStyle="1" w:styleId="ListParagraphChar">
    <w:name w:val="List Paragraph Char"/>
    <w:aliases w:val="Párrafo de lista1 Char,List Paragraph2 Char,Lista vistosa - Énfasis 11 Char,List Paragraph1 Char,List Paragraph11 Char"/>
    <w:link w:val="ListParagraph"/>
    <w:uiPriority w:val="34"/>
    <w:locked/>
    <w:rsid w:val="00D43FF7"/>
    <w:rPr>
      <w:kern w:val="0"/>
      <w14:ligatures w14:val="none"/>
    </w:rPr>
  </w:style>
  <w:style w:type="paragraph" w:styleId="BodyText">
    <w:name w:val="Body Text"/>
    <w:basedOn w:val="Normal"/>
    <w:link w:val="BodyTextChar"/>
    <w:uiPriority w:val="1"/>
    <w:qFormat/>
    <w:rsid w:val="009D44A4"/>
    <w:pPr>
      <w:widowControl w:val="0"/>
      <w:autoSpaceDE w:val="0"/>
      <w:autoSpaceDN w:val="0"/>
      <w:spacing w:after="0" w:line="240" w:lineRule="auto"/>
    </w:pPr>
    <w:rPr>
      <w:rFonts w:ascii="Arial MT" w:eastAsia="Arial MT" w:hAnsi="Arial MT" w:cs="Arial MT"/>
      <w:lang w:val="es-ES"/>
    </w:rPr>
  </w:style>
  <w:style w:type="character" w:customStyle="1" w:styleId="BodyTextChar">
    <w:name w:val="Body Text Char"/>
    <w:basedOn w:val="DefaultParagraphFont"/>
    <w:link w:val="BodyText"/>
    <w:uiPriority w:val="1"/>
    <w:rsid w:val="009D44A4"/>
    <w:rPr>
      <w:rFonts w:ascii="Arial MT" w:eastAsia="Arial MT" w:hAnsi="Arial MT" w:cs="Arial MT"/>
      <w:kern w:val="0"/>
      <w:lang w:val="es-ES"/>
      <w14:ligatures w14:val="none"/>
    </w:rPr>
  </w:style>
  <w:style w:type="paragraph" w:customStyle="1" w:styleId="pf0">
    <w:name w:val="pf0"/>
    <w:basedOn w:val="Normal"/>
    <w:rsid w:val="00FB6F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FB6F6C"/>
    <w:rPr>
      <w:rFonts w:ascii="Segoe UI" w:hAnsi="Segoe UI" w:cs="Segoe UI" w:hint="default"/>
      <w:sz w:val="18"/>
      <w:szCs w:val="18"/>
    </w:rPr>
  </w:style>
  <w:style w:type="paragraph" w:styleId="NoSpacing">
    <w:name w:val="No Spacing"/>
    <w:uiPriority w:val="1"/>
    <w:qFormat/>
    <w:pPr>
      <w:spacing w:after="0" w:line="240" w:lineRule="auto"/>
    </w:pPr>
  </w:style>
  <w:style w:type="paragraph" w:styleId="NormalWeb">
    <w:name w:val="Normal (Web)"/>
    <w:basedOn w:val="Normal"/>
    <w:uiPriority w:val="99"/>
    <w:unhideWhenUsed/>
    <w:rsid w:val="000F09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acimagecontainer">
    <w:name w:val="wacimagecontainer"/>
    <w:basedOn w:val="DefaultParagraphFont"/>
    <w:rsid w:val="00D21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842123">
      <w:bodyDiv w:val="1"/>
      <w:marLeft w:val="0"/>
      <w:marRight w:val="0"/>
      <w:marTop w:val="0"/>
      <w:marBottom w:val="0"/>
      <w:divBdr>
        <w:top w:val="none" w:sz="0" w:space="0" w:color="auto"/>
        <w:left w:val="none" w:sz="0" w:space="0" w:color="auto"/>
        <w:bottom w:val="none" w:sz="0" w:space="0" w:color="auto"/>
        <w:right w:val="none" w:sz="0" w:space="0" w:color="auto"/>
      </w:divBdr>
    </w:div>
    <w:div w:id="86731219">
      <w:bodyDiv w:val="1"/>
      <w:marLeft w:val="0"/>
      <w:marRight w:val="0"/>
      <w:marTop w:val="0"/>
      <w:marBottom w:val="0"/>
      <w:divBdr>
        <w:top w:val="none" w:sz="0" w:space="0" w:color="auto"/>
        <w:left w:val="none" w:sz="0" w:space="0" w:color="auto"/>
        <w:bottom w:val="none" w:sz="0" w:space="0" w:color="auto"/>
        <w:right w:val="none" w:sz="0" w:space="0" w:color="auto"/>
      </w:divBdr>
    </w:div>
    <w:div w:id="626397898">
      <w:bodyDiv w:val="1"/>
      <w:marLeft w:val="0"/>
      <w:marRight w:val="0"/>
      <w:marTop w:val="0"/>
      <w:marBottom w:val="0"/>
      <w:divBdr>
        <w:top w:val="none" w:sz="0" w:space="0" w:color="auto"/>
        <w:left w:val="none" w:sz="0" w:space="0" w:color="auto"/>
        <w:bottom w:val="none" w:sz="0" w:space="0" w:color="auto"/>
        <w:right w:val="none" w:sz="0" w:space="0" w:color="auto"/>
      </w:divBdr>
    </w:div>
    <w:div w:id="1191575951">
      <w:bodyDiv w:val="1"/>
      <w:marLeft w:val="0"/>
      <w:marRight w:val="0"/>
      <w:marTop w:val="0"/>
      <w:marBottom w:val="0"/>
      <w:divBdr>
        <w:top w:val="none" w:sz="0" w:space="0" w:color="auto"/>
        <w:left w:val="none" w:sz="0" w:space="0" w:color="auto"/>
        <w:bottom w:val="none" w:sz="0" w:space="0" w:color="auto"/>
        <w:right w:val="none" w:sz="0" w:space="0" w:color="auto"/>
      </w:divBdr>
    </w:div>
    <w:div w:id="1268274936">
      <w:bodyDiv w:val="1"/>
      <w:marLeft w:val="0"/>
      <w:marRight w:val="0"/>
      <w:marTop w:val="0"/>
      <w:marBottom w:val="0"/>
      <w:divBdr>
        <w:top w:val="none" w:sz="0" w:space="0" w:color="auto"/>
        <w:left w:val="none" w:sz="0" w:space="0" w:color="auto"/>
        <w:bottom w:val="none" w:sz="0" w:space="0" w:color="auto"/>
        <w:right w:val="none" w:sz="0" w:space="0" w:color="auto"/>
      </w:divBdr>
      <w:divsChild>
        <w:div w:id="259024062">
          <w:marLeft w:val="0"/>
          <w:marRight w:val="0"/>
          <w:marTop w:val="0"/>
          <w:marBottom w:val="0"/>
          <w:divBdr>
            <w:top w:val="none" w:sz="0" w:space="0" w:color="auto"/>
            <w:left w:val="none" w:sz="0" w:space="0" w:color="auto"/>
            <w:bottom w:val="none" w:sz="0" w:space="0" w:color="auto"/>
            <w:right w:val="none" w:sz="0" w:space="0" w:color="auto"/>
          </w:divBdr>
        </w:div>
        <w:div w:id="388381439">
          <w:marLeft w:val="0"/>
          <w:marRight w:val="0"/>
          <w:marTop w:val="0"/>
          <w:marBottom w:val="0"/>
          <w:divBdr>
            <w:top w:val="none" w:sz="0" w:space="0" w:color="auto"/>
            <w:left w:val="none" w:sz="0" w:space="0" w:color="auto"/>
            <w:bottom w:val="none" w:sz="0" w:space="0" w:color="auto"/>
            <w:right w:val="none" w:sz="0" w:space="0" w:color="auto"/>
          </w:divBdr>
        </w:div>
        <w:div w:id="505022562">
          <w:marLeft w:val="0"/>
          <w:marRight w:val="0"/>
          <w:marTop w:val="0"/>
          <w:marBottom w:val="0"/>
          <w:divBdr>
            <w:top w:val="none" w:sz="0" w:space="0" w:color="auto"/>
            <w:left w:val="none" w:sz="0" w:space="0" w:color="auto"/>
            <w:bottom w:val="none" w:sz="0" w:space="0" w:color="auto"/>
            <w:right w:val="none" w:sz="0" w:space="0" w:color="auto"/>
          </w:divBdr>
        </w:div>
        <w:div w:id="700864319">
          <w:marLeft w:val="0"/>
          <w:marRight w:val="0"/>
          <w:marTop w:val="0"/>
          <w:marBottom w:val="0"/>
          <w:divBdr>
            <w:top w:val="none" w:sz="0" w:space="0" w:color="auto"/>
            <w:left w:val="none" w:sz="0" w:space="0" w:color="auto"/>
            <w:bottom w:val="none" w:sz="0" w:space="0" w:color="auto"/>
            <w:right w:val="none" w:sz="0" w:space="0" w:color="auto"/>
          </w:divBdr>
        </w:div>
        <w:div w:id="719942950">
          <w:marLeft w:val="0"/>
          <w:marRight w:val="0"/>
          <w:marTop w:val="0"/>
          <w:marBottom w:val="0"/>
          <w:divBdr>
            <w:top w:val="none" w:sz="0" w:space="0" w:color="auto"/>
            <w:left w:val="none" w:sz="0" w:space="0" w:color="auto"/>
            <w:bottom w:val="none" w:sz="0" w:space="0" w:color="auto"/>
            <w:right w:val="none" w:sz="0" w:space="0" w:color="auto"/>
          </w:divBdr>
        </w:div>
        <w:div w:id="1340429946">
          <w:marLeft w:val="0"/>
          <w:marRight w:val="0"/>
          <w:marTop w:val="0"/>
          <w:marBottom w:val="0"/>
          <w:divBdr>
            <w:top w:val="none" w:sz="0" w:space="0" w:color="auto"/>
            <w:left w:val="none" w:sz="0" w:space="0" w:color="auto"/>
            <w:bottom w:val="none" w:sz="0" w:space="0" w:color="auto"/>
            <w:right w:val="none" w:sz="0" w:space="0" w:color="auto"/>
          </w:divBdr>
        </w:div>
        <w:div w:id="1454594180">
          <w:marLeft w:val="0"/>
          <w:marRight w:val="0"/>
          <w:marTop w:val="0"/>
          <w:marBottom w:val="0"/>
          <w:divBdr>
            <w:top w:val="none" w:sz="0" w:space="0" w:color="auto"/>
            <w:left w:val="none" w:sz="0" w:space="0" w:color="auto"/>
            <w:bottom w:val="none" w:sz="0" w:space="0" w:color="auto"/>
            <w:right w:val="none" w:sz="0" w:space="0" w:color="auto"/>
          </w:divBdr>
        </w:div>
        <w:div w:id="1869639329">
          <w:marLeft w:val="0"/>
          <w:marRight w:val="0"/>
          <w:marTop w:val="0"/>
          <w:marBottom w:val="0"/>
          <w:divBdr>
            <w:top w:val="none" w:sz="0" w:space="0" w:color="auto"/>
            <w:left w:val="none" w:sz="0" w:space="0" w:color="auto"/>
            <w:bottom w:val="none" w:sz="0" w:space="0" w:color="auto"/>
            <w:right w:val="none" w:sz="0" w:space="0" w:color="auto"/>
          </w:divBdr>
        </w:div>
        <w:div w:id="1882666555">
          <w:marLeft w:val="0"/>
          <w:marRight w:val="0"/>
          <w:marTop w:val="0"/>
          <w:marBottom w:val="0"/>
          <w:divBdr>
            <w:top w:val="none" w:sz="0" w:space="0" w:color="auto"/>
            <w:left w:val="none" w:sz="0" w:space="0" w:color="auto"/>
            <w:bottom w:val="none" w:sz="0" w:space="0" w:color="auto"/>
            <w:right w:val="none" w:sz="0" w:space="0" w:color="auto"/>
          </w:divBdr>
        </w:div>
      </w:divsChild>
    </w:div>
    <w:div w:id="1324821326">
      <w:bodyDiv w:val="1"/>
      <w:marLeft w:val="0"/>
      <w:marRight w:val="0"/>
      <w:marTop w:val="0"/>
      <w:marBottom w:val="0"/>
      <w:divBdr>
        <w:top w:val="none" w:sz="0" w:space="0" w:color="auto"/>
        <w:left w:val="none" w:sz="0" w:space="0" w:color="auto"/>
        <w:bottom w:val="none" w:sz="0" w:space="0" w:color="auto"/>
        <w:right w:val="none" w:sz="0" w:space="0" w:color="auto"/>
      </w:divBdr>
    </w:div>
    <w:div w:id="1507790734">
      <w:bodyDiv w:val="1"/>
      <w:marLeft w:val="0"/>
      <w:marRight w:val="0"/>
      <w:marTop w:val="0"/>
      <w:marBottom w:val="0"/>
      <w:divBdr>
        <w:top w:val="none" w:sz="0" w:space="0" w:color="auto"/>
        <w:left w:val="none" w:sz="0" w:space="0" w:color="auto"/>
        <w:bottom w:val="none" w:sz="0" w:space="0" w:color="auto"/>
        <w:right w:val="none" w:sz="0" w:space="0" w:color="auto"/>
      </w:divBdr>
    </w:div>
    <w:div w:id="151769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26" Type="http://schemas.openxmlformats.org/officeDocument/2006/relationships/hyperlink" Target="http://www.oas.org/es/cidh/docs/anual/2018/docs/IA2018cap.4B.NI-es.pdf" TargetMode="External"/><Relationship Id="rId21" Type="http://schemas.openxmlformats.org/officeDocument/2006/relationships/hyperlink" Target="https://www.who.int/es/publications/i/item/9789240039483" TargetMode="External"/><Relationship Id="rId42" Type="http://schemas.openxmlformats.org/officeDocument/2006/relationships/hyperlink" Target="https://guatemala.unfpa.org/sites/default/files/pub-pdf/Planovi%202020-2029%20%2808012020%29%20%281%29.pdf" TargetMode="External"/><Relationship Id="rId47" Type="http://schemas.openxmlformats.org/officeDocument/2006/relationships/hyperlink" Target="https://clacaidigital.info/bitstream/handle/123456789/979/Embarazo.ni%C3%B1as.adolescentes.Guatemala.pdf?sequence=5&amp;isAllowed=y" TargetMode="External"/><Relationship Id="rId63" Type="http://schemas.openxmlformats.org/officeDocument/2006/relationships/hyperlink" Target="https://tbinternet.ohchr.org/_layouts/15/treatybodyexternal/Download.aspx?symbolno=CRC%2FC%2F93%2FD%2F136%2F2021" TargetMode="External"/><Relationship Id="rId68" Type="http://schemas.openxmlformats.org/officeDocument/2006/relationships/hyperlink" Target="https://guatemala.unfpa.org/sites/default/files/pub-pdf/PLANEA%202018-22.pdf" TargetMode="External"/><Relationship Id="rId84" Type="http://schemas.openxmlformats.org/officeDocument/2006/relationships/hyperlink" Target="https://undocs.org/Home/Mobile?FinalSymbol=CEDAW%2FC%2FVEN%2FCO%2F6&amp;Language=E&amp;DeviceType=Desktop&amp;LangRequested=False" TargetMode="External"/><Relationship Id="rId89" Type="http://schemas.openxmlformats.org/officeDocument/2006/relationships/hyperlink" Target="https://documents-dds-ny.un.org/doc/UNDOC/GEN/G16/089/35/PDF/G1608935.pdf?OpenElement" TargetMode="External"/><Relationship Id="rId16" Type="http://schemas.openxmlformats.org/officeDocument/2006/relationships/hyperlink" Target="https://elcomun.es/2022/03/18/movilizacion-social-tumba-la-ley-5272-contra-las-mujeres-en-guatemala/" TargetMode="External"/><Relationship Id="rId11" Type="http://schemas.openxmlformats.org/officeDocument/2006/relationships/hyperlink" Target="https://www.unicef.org/lac/media/1336/file/PDF_Acelerar_el_progreso_hacia_la_reducci%C3%B3n_del_embarazo_en_la_adolescen.pdf" TargetMode="External"/><Relationship Id="rId32" Type="http://schemas.openxmlformats.org/officeDocument/2006/relationships/hyperlink" Target="https://documents-dds-ny.un.org/doc/UNDOC/GEN/G19/261/15/PDF/G1926115.pdf?OpenElement" TargetMode="External"/><Relationship Id="rId37" Type="http://schemas.openxmlformats.org/officeDocument/2006/relationships/hyperlink" Target="https://tbinternet.ohchr.org/_layouts/15/treatybodyexternal/Download.aspx?symbolno=CRC%2FC%2FGTM%2F7&amp;Lang=es" TargetMode="External"/><Relationship Id="rId53" Type="http://schemas.openxmlformats.org/officeDocument/2006/relationships/hyperlink" Target="https://documents-dds-ny.un.org/doc/UNDOC/GEN/G16/257/21/PDF/G1625721.pdf?OpenElement" TargetMode="External"/><Relationship Id="rId58" Type="http://schemas.openxmlformats.org/officeDocument/2006/relationships/hyperlink" Target="https://undocs.org/Home/Mobile?FinalSymbol=CAT%2FC%2FCR%2F32%2F5&amp;Language=E&amp;DeviceType=Desktop&amp;LangRequested=False" TargetMode="External"/><Relationship Id="rId74" Type="http://schemas.openxmlformats.org/officeDocument/2006/relationships/hyperlink" Target="https://undocs.org/Home/Mobile?FinalSymbol=CEDAW%2FC%2FECU%2FCO%2F8-9&amp;Language=E&amp;DeviceType=Desktop&amp;LangRequested=False" TargetMode="External"/><Relationship Id="rId79" Type="http://schemas.openxmlformats.org/officeDocument/2006/relationships/hyperlink" Target="https://undocs.org/Home/Mobile?FinalSymbol=A%2F66%2F254&amp;Language=E&amp;DeviceType=Desktop&amp;LangRequested=False" TargetMode="External"/><Relationship Id="rId5" Type="http://schemas.openxmlformats.org/officeDocument/2006/relationships/hyperlink" Target="https://plan-international.es/girls-get-equal/embarazo-adolescente" TargetMode="External"/><Relationship Id="rId90" Type="http://schemas.openxmlformats.org/officeDocument/2006/relationships/hyperlink" Target="https://undocs.org/Home/Mobile?FinalSymbol=E%2FC.12%2FGTM%2FCO%2F3&amp;Language=E&amp;DeviceType=Desktop&amp;LangRequested=False" TargetMode="External"/><Relationship Id="rId14" Type="http://schemas.openxmlformats.org/officeDocument/2006/relationships/hyperlink" Target="https://www.congreso.gob.gt/detalle_pdf/iniciativas/66" TargetMode="External"/><Relationship Id="rId22" Type="http://schemas.openxmlformats.org/officeDocument/2006/relationships/hyperlink" Target="https://reproductiverights.org/nuevas-directrices-aborto-oms-hoja-informativa-espanol/" TargetMode="External"/><Relationship Id="rId27" Type="http://schemas.openxmlformats.org/officeDocument/2006/relationships/hyperlink" Target="https://www.oas.org/es/cidh/docs/anual/2018/docs/IA2018cap.5RD-es.pdf" TargetMode="External"/><Relationship Id="rId30" Type="http://schemas.openxmlformats.org/officeDocument/2006/relationships/hyperlink" Target="https://tbinternet.ohchr.org/_layouts/15/treatybodyexternal/Download.aspx?symbolno=CEDAW%2FC%2FGC%2F30&amp;Lang=en" TargetMode="External"/><Relationship Id="rId35" Type="http://schemas.openxmlformats.org/officeDocument/2006/relationships/hyperlink" Target="https://www.undocs.org/Home/Mobile?FinalSymbol=CCPR%2FC%2FGTM%2FCO%2F4&amp;Language=E&amp;DeviceType=Desktop&amp;LangRequested=False" TargetMode="External"/><Relationship Id="rId43" Type="http://schemas.openxmlformats.org/officeDocument/2006/relationships/hyperlink" Target="https://osarguatemala.org/embarazos-en-adolescentes-del-ano-2015-al-2019/" TargetMode="External"/><Relationship Id="rId48" Type="http://schemas.openxmlformats.org/officeDocument/2006/relationships/hyperlink" Target="https://www.pagina12.com.ar/71418-el-crimen-de-la-maternidad-forzada" TargetMode="External"/><Relationship Id="rId56" Type="http://schemas.openxmlformats.org/officeDocument/2006/relationships/hyperlink" Target="https://documents-dds-ny.un.org/doc/UNDOC/GEN/G06/432/49/PDF/G0643249.pdf?OpenElement" TargetMode="External"/><Relationship Id="rId64" Type="http://schemas.openxmlformats.org/officeDocument/2006/relationships/hyperlink" Target="https://corteidh.or.cr/docs/casos/articulos/seriec_405_esp.pdf" TargetMode="External"/><Relationship Id="rId69" Type="http://schemas.openxmlformats.org/officeDocument/2006/relationships/hyperlink" Target="https://miraquetemiro.org/downloads/mira_que_te_miro_resumen_global.pdf?v=oct18-3" TargetMode="External"/><Relationship Id="rId77" Type="http://schemas.openxmlformats.org/officeDocument/2006/relationships/hyperlink" Target="https://tbinternet.ohchr.org/_layouts/15/treatybodyexternal/Download.aspx?symbolno=CEDAW%2FC%2FGC%2F31%2FCRC%2FC%2FGC%2F18&amp;Lang=en" TargetMode="External"/><Relationship Id="rId8" Type="http://schemas.openxmlformats.org/officeDocument/2006/relationships/hyperlink" Target="https://abortion-policies.srhr.org/documents/countries/02-Guatemala-First-and-Second-Trimester-post-abortion-care-2011.pdf" TargetMode="External"/><Relationship Id="rId51" Type="http://schemas.openxmlformats.org/officeDocument/2006/relationships/hyperlink" Target="https://www.undocs.org/Home/Mobile?FinalSymbol=CCPR%2FC%2F85%2FD%2F1153%2F2003&amp;Language=E&amp;DeviceType=Desktop&amp;LangRequested=False" TargetMode="External"/><Relationship Id="rId72" Type="http://schemas.openxmlformats.org/officeDocument/2006/relationships/hyperlink" Target="https://tbinternet.ohchr.org/_layouts/15/treatybodyexternal/Download.aspx?symbolno=INT%2FCEDAW%2FGEC%2F4733&amp;Lang=en" TargetMode="External"/><Relationship Id="rId80" Type="http://schemas.openxmlformats.org/officeDocument/2006/relationships/hyperlink" Target="https://undocs.org/Home/Mobile?FinalSymbol=A%2F68%2F362&amp;Language=E&amp;DeviceType=Desktop&amp;LangRequested=False" TargetMode="External"/><Relationship Id="rId85" Type="http://schemas.openxmlformats.org/officeDocument/2006/relationships/hyperlink" Target="https://tbinternet.ohchr.org/_layouts/15/treatybodyexternal/Download.aspx?symbolno=A%2f56%2f38(SUPP)" TargetMode="External"/><Relationship Id="rId3" Type="http://schemas.openxmlformats.org/officeDocument/2006/relationships/hyperlink" Target="https://hchr.org.mx/wp/wp-content/themes/hchr/images/doc_pub/GT-DiscriminacionMujeresInformeAnual.pdf" TargetMode="External"/><Relationship Id="rId12" Type="http://schemas.openxmlformats.org/officeDocument/2006/relationships/hyperlink" Target="http://www.un.org/depts/los/LEGISLATIONANDTREATIES/PDFFILES/GTM_codigo_penal.pdf" TargetMode="External"/><Relationship Id="rId17" Type="http://schemas.openxmlformats.org/officeDocument/2006/relationships/hyperlink" Target="https://www.reproductiverights.org/sites/crr.civicactions.net/files/documents/180903%20ST%20Guatemala_5272_SIGNED.pdf" TargetMode="External"/><Relationship Id="rId25" Type="http://schemas.openxmlformats.org/officeDocument/2006/relationships/hyperlink" Target="https://www.ohchr.org/es/documents/general-comments-and-recommendations/general-comment-no-22-2016-right-sexual-and" TargetMode="External"/><Relationship Id="rId33" Type="http://schemas.openxmlformats.org/officeDocument/2006/relationships/hyperlink" Target="https://apps.who.int/iris/bitstream/handle/10665/349316/9789240039483-eng.pdf?sequence=1&amp;isAllowed=y" TargetMode="External"/><Relationship Id="rId38" Type="http://schemas.openxmlformats.org/officeDocument/2006/relationships/hyperlink" Target="https://www.who.int/es/publications/i/item/9789240039483" TargetMode="External"/><Relationship Id="rId46" Type="http://schemas.openxmlformats.org/officeDocument/2006/relationships/hyperlink" Target="https://siplan.segeplan.gob.gt/documentos/3800_16243_PLAN%20ESTATEGICO%202023%20-%202027%20ABRIL%202022.docx.pdf" TargetMode="External"/><Relationship Id="rId59" Type="http://schemas.openxmlformats.org/officeDocument/2006/relationships/hyperlink" Target="https://www.undocs.org/Home/Mobile?FinalSymbol=A%2FHRC%2F31%2F57&amp;Language=E&amp;DeviceType=Desktop&amp;LangRequested=False" TargetMode="External"/><Relationship Id="rId67" Type="http://schemas.openxmlformats.org/officeDocument/2006/relationships/hyperlink" Target="https://www.unwomen.org/sites/default/files/Headquarters/Attachments/Sections/Library/Publications/2019/Promoting-gender-equality-in-SRMNCAH-Programming-guide-es.pdf" TargetMode="External"/><Relationship Id="rId20" Type="http://schemas.openxmlformats.org/officeDocument/2006/relationships/hyperlink" Target="https://reproductiverights.org/nuevas-directrices-aborto-oms-hoja-informativa-espanol/" TargetMode="External"/><Relationship Id="rId41" Type="http://schemas.openxmlformats.org/officeDocument/2006/relationships/hyperlink" Target="https://guatemala.unfpa.org/sites/default/files/pub-pdf/Planovi%202020-2029%20%2808012020%29%20%281%29.pdf" TargetMode="External"/><Relationship Id="rId54" Type="http://schemas.openxmlformats.org/officeDocument/2006/relationships/hyperlink" Target="https://daccess-ods.un.org/access.nsf/Get?OpenAgent&amp;DS=CEDAW/C/GC/35&amp;Lang=S" TargetMode="External"/><Relationship Id="rId62" Type="http://schemas.openxmlformats.org/officeDocument/2006/relationships/hyperlink" Target="https://lac.unfpa.org/es/publications/acelerar-el-progreso-hacia-la-reducci%C3%B3n-del-embarazo-adolescente-en-am%C3%A9rica-latina-y-el" TargetMode="External"/><Relationship Id="rId70" Type="http://schemas.openxmlformats.org/officeDocument/2006/relationships/hyperlink" Target="https://undocs.org/Home/Mobile?FinalSymbol=E%2FC.12%2FGC%2F22&amp;Language=E&amp;DeviceType=Desktop&amp;LangRequested=False" TargetMode="External"/><Relationship Id="rId75" Type="http://schemas.openxmlformats.org/officeDocument/2006/relationships/hyperlink" Target="https://undocs.org/Home/Mobile?FinalSymbol=CEDAW%2FC%2FCZE%2FCO%2F6&amp;Language=E&amp;DeviceType=Desktop&amp;LangRequested=False" TargetMode="External"/><Relationship Id="rId83" Type="http://schemas.openxmlformats.org/officeDocument/2006/relationships/hyperlink" Target="https://tbinternet.ohchr.org/_layouts/15/treatybodyexternal/Download.aspx?symbolno=CEDAW%2FC%2FGC%2F36&amp;Lang=en" TargetMode="External"/><Relationship Id="rId88" Type="http://schemas.openxmlformats.org/officeDocument/2006/relationships/hyperlink" Target="https://tbinternet.ohchr.org/_layouts/15/treatybodyexternal/Download.aspx?symbolno=CRC%2FC%2FGC%2F20&amp;Lang=en" TargetMode="External"/><Relationship Id="rId91" Type="http://schemas.openxmlformats.org/officeDocument/2006/relationships/hyperlink" Target="https://undocs.org/Home/Mobile?FinalSymbol=CRC%2FC%2FGTM%2FCO%2F5-6&amp;Language=E&amp;DeviceType=Desktop&amp;LangRequested=False" TargetMode="External"/><Relationship Id="rId1" Type="http://schemas.openxmlformats.org/officeDocument/2006/relationships/hyperlink" Target="http://www.un.org/depts/los/LEGISLATIONANDTREATIES/PDFFILES/GTM_codigo_penal.pdf" TargetMode="External"/><Relationship Id="rId6" Type="http://schemas.openxmlformats.org/officeDocument/2006/relationships/hyperlink" Target="https://news.svet.gob.gt/noticias/gobierno-de-guatemala-presenta-ruta-de-atenci%C3%B3n-ni%C3%B1as-embarazadas-menores-de-14-a%C3%B1os" TargetMode="External"/><Relationship Id="rId15" Type="http://schemas.openxmlformats.org/officeDocument/2006/relationships/hyperlink" Target="https://www.bbc.com/mundo/noticias-america-latina-60677336" TargetMode="External"/><Relationship Id="rId23" Type="http://schemas.openxmlformats.org/officeDocument/2006/relationships/hyperlink" Target="https://undocs.org/Home/Mobile?FinalSymbol=CCPR%2FC%2FGC%2F36&amp;Language=E&amp;DeviceType=Desktop&amp;LangRequested=False" TargetMode="External"/><Relationship Id="rId28" Type="http://schemas.openxmlformats.org/officeDocument/2006/relationships/hyperlink" Target="https://www.researchgate.net/publication/258280298_Who_Seeks_Abortions_at_or_After_20_Weeks" TargetMode="External"/><Relationship Id="rId36" Type="http://schemas.openxmlformats.org/officeDocument/2006/relationships/hyperlink" Target="https://tbinternet.ohchr.org/_layouts/15/treatybodyexternal/Download.aspx?symbolno=CEDAW%2FC%2FGTM%2FCO%2F10&amp;Lang=en" TargetMode="External"/><Relationship Id="rId49" Type="http://schemas.openxmlformats.org/officeDocument/2006/relationships/hyperlink" Target="https://guatemala.unfpa.org/sites/default/files/pub-pdf/Informe%20CEDAW%20PDH.pdf" TargetMode="External"/><Relationship Id="rId57" Type="http://schemas.openxmlformats.org/officeDocument/2006/relationships/hyperlink" Target="https://undocs.org/Home/Mobile?FinalSymbol=CAT%2FC%2FNIC%2FCO%2F1&amp;Language=E&amp;DeviceType=Desktop&amp;LangRequested=False" TargetMode="External"/><Relationship Id="rId10" Type="http://schemas.openxmlformats.org/officeDocument/2006/relationships/hyperlink" Target="https://www.unfpa.org/adolescent-pregnancy" TargetMode="External"/><Relationship Id="rId31" Type="http://schemas.openxmlformats.org/officeDocument/2006/relationships/hyperlink" Target="https://undocs.org/Home/Mobile?FinalSymbol=E%2FC.12%2FGC%2F22&amp;Language=E&amp;DeviceType=Desktop&amp;LangRequested=False" TargetMode="External"/><Relationship Id="rId44" Type="http://schemas.openxmlformats.org/officeDocument/2006/relationships/hyperlink" Target="https://osarguatemala.org/embarazos-y-registro-de-nacimientos-de-madres-adolescentes-ano-2019/" TargetMode="External"/><Relationship Id="rId52" Type="http://schemas.openxmlformats.org/officeDocument/2006/relationships/hyperlink" Target="https://undocs.org/Home/Mobile?FinalSymbol=CCPR%2FC%2F119%2FD%2F2425%2F2014&amp;Language=E&amp;DeviceType=Desktop&amp;LangRequested=False" TargetMode="External"/><Relationship Id="rId60" Type="http://schemas.openxmlformats.org/officeDocument/2006/relationships/hyperlink" Target="https://www.undocs.org/Home/Mobile?FinalSymbol=A%2FHRC%2F31%2F57&amp;Language=E&amp;DeviceType=Desktop&amp;LangRequested=False" TargetMode="External"/><Relationship Id="rId65" Type="http://schemas.openxmlformats.org/officeDocument/2006/relationships/hyperlink" Target="https://www.no-ficcion.com/projects/transcripcion-fatima-contra-guatemala" TargetMode="External"/><Relationship Id="rId73" Type="http://schemas.openxmlformats.org/officeDocument/2006/relationships/hyperlink" Target="https://undocs.org/Home/Mobile?FinalSymbol=CEDAW%2FC%2FNIC%2FCO%2F6&amp;Language=E&amp;DeviceType=Desktop&amp;LangRequested=False" TargetMode="External"/><Relationship Id="rId78" Type="http://schemas.openxmlformats.org/officeDocument/2006/relationships/hyperlink" Target="https://undocs.org/Home/Mobile?FinalSymbol=A%2FHRC%2F22%2F53&amp;Language=E&amp;DeviceType=Desktop&amp;LangRequested=False" TargetMode="External"/><Relationship Id="rId81" Type="http://schemas.openxmlformats.org/officeDocument/2006/relationships/hyperlink" Target="https://tbinternet.ohchr.org/_layouts/15/treatybodyexternal/Download.aspx?symbolno=CRC%2FGC%2F2003%2F4&amp;Lang=en" TargetMode="External"/><Relationship Id="rId86" Type="http://schemas.openxmlformats.org/officeDocument/2006/relationships/hyperlink" Target="https://www.acnur.org/fileadmin/Documentos/BDL/2014/9526.pdf" TargetMode="External"/><Relationship Id="rId4" Type="http://schemas.openxmlformats.org/officeDocument/2006/relationships/hyperlink" Target="https://lac.unfpa.org/es/temas/embarazo-en-adolescentes" TargetMode="External"/><Relationship Id="rId9" Type="http://schemas.openxmlformats.org/officeDocument/2006/relationships/hyperlink" Target="http://www.who.int/news-room/fact-sheets/detail/adolescent-pregnancy" TargetMode="External"/><Relationship Id="rId13" Type="http://schemas.openxmlformats.org/officeDocument/2006/relationships/hyperlink" Target="http://www.sipi.siteal.iipe.unesco.org/sites/default/files/sipi_normativa/ley-contra-la-violencia-sexual-explotacion-y-trata-de-personas_-_decreto_9-2009_-guatemala.pdf" TargetMode="External"/><Relationship Id="rId18" Type="http://schemas.openxmlformats.org/officeDocument/2006/relationships/hyperlink" Target="http://www.oacnudh.org.gt/images/CONTENIDOS/Documentos/Estandares_internacionales_aplicables_iniciativa_5272.pdf" TargetMode="External"/><Relationship Id="rId39" Type="http://schemas.openxmlformats.org/officeDocument/2006/relationships/hyperlink" Target="https://mingob.gob.gt/wp-content/uploads/2020/09/PLANEA-Prevencio%CC%81n-del-Embarazo-en-Adolecentes.pdf" TargetMode="External"/><Relationship Id="rId34" Type="http://schemas.openxmlformats.org/officeDocument/2006/relationships/hyperlink" Target="https://docstore.ohchr.org/SelfServices/FilesHandler.ashx?enc=4slQ6QSmlBEDzFEovLCuW2ftrAjknEvaE1NWDeffh6ZpamxDFzl6bBqMBPVSUI7RJtWb4%2Bz0LwBqRzFjcyUac8QzqC9rln%2FGTYdBLOL9Um9qHCFHCGUdjccj9bsArFDI" TargetMode="External"/><Relationship Id="rId50" Type="http://schemas.openxmlformats.org/officeDocument/2006/relationships/hyperlink" Target="https://daccess-ods.un.org/tmp/5958214.40219879.html" TargetMode="External"/><Relationship Id="rId55" Type="http://schemas.openxmlformats.org/officeDocument/2006/relationships/hyperlink" Target="https://undocs.org/Home/Mobile?FinalSymbol=CEDAW%2FC%2F50%2FD%2F22%2F2009&amp;Language=E&amp;DeviceType=Desktop&amp;LangRequested=False" TargetMode="External"/><Relationship Id="rId76" Type="http://schemas.openxmlformats.org/officeDocument/2006/relationships/hyperlink" Target="https://www.refworld.org/docid/4fdb288e2.html" TargetMode="External"/><Relationship Id="rId7" Type="http://schemas.openxmlformats.org/officeDocument/2006/relationships/hyperlink" Target="https://issuu.com/svetcomunicacionsocial/docs/rutas_internas0310" TargetMode="External"/><Relationship Id="rId71" Type="http://schemas.openxmlformats.org/officeDocument/2006/relationships/hyperlink" Target="https://www2.ohchr.org/english/bodies/cedaw/docs/a.54.38.rev.1.pdf" TargetMode="External"/><Relationship Id="rId92" Type="http://schemas.openxmlformats.org/officeDocument/2006/relationships/hyperlink" Target="https://www.corteidh.or.cr/docs/casos/articulos/seriec_405_esp.pdf" TargetMode="External"/><Relationship Id="rId2" Type="http://schemas.openxmlformats.org/officeDocument/2006/relationships/hyperlink" Target="http://www.un.org/depts/los/LEGISLATIONANDTREATIES/PDFFILES/GTM_codigo_penal.pdf" TargetMode="External"/><Relationship Id="rId29" Type="http://schemas.openxmlformats.org/officeDocument/2006/relationships/hyperlink" Target="https://tbinternet.ohchr.org/_layouts/15/treatybodyexternal/Download.aspx?symbolno=CRC%2FC%2F93%2FD%2F136%2F2021" TargetMode="External"/><Relationship Id="rId24" Type="http://schemas.openxmlformats.org/officeDocument/2006/relationships/hyperlink" Target="https://undocs.org/Home/Mobile?FinalSymbol=CEDAW%2FC%2FGC%2F30&amp;Language=E&amp;DeviceType=Desktop&amp;LangRequested=False" TargetMode="External"/><Relationship Id="rId40" Type="http://schemas.openxmlformats.org/officeDocument/2006/relationships/hyperlink" Target="https://osarguatemala.org/registros-de-nacimiento-y-embarazos-en-madres-adolescentes-ano-2023/" TargetMode="External"/><Relationship Id="rId45" Type="http://schemas.openxmlformats.org/officeDocument/2006/relationships/hyperlink" Target="https://osarguatemala.org/embarazos-y-partos-de-madres-entre-10-y-19-2018/" TargetMode="External"/><Relationship Id="rId66" Type="http://schemas.openxmlformats.org/officeDocument/2006/relationships/hyperlink" Target="https://reproductiverights.org/innovative-litigation-filed-against-three-countries-to-protect-girls-rights-in-latin-america/" TargetMode="External"/><Relationship Id="rId87" Type="http://schemas.openxmlformats.org/officeDocument/2006/relationships/hyperlink" Target="https://www.who.int/es/publications/i/item/978924151288" TargetMode="External"/><Relationship Id="rId61" Type="http://schemas.openxmlformats.org/officeDocument/2006/relationships/hyperlink" Target="https://documents-dds-ny.un.org/doc/UNDOC/GEN/G20/109/88/PDF/G2010988.pdf?OpenElement" TargetMode="External"/><Relationship Id="rId82" Type="http://schemas.openxmlformats.org/officeDocument/2006/relationships/hyperlink" Target="https://tbinternet.ohchr.org/_layouts/15/treatybodyexternal/Download.aspx?symbolno=CRC%2FC%2FGC%2F20&amp;Lang=en" TargetMode="External"/><Relationship Id="rId19" Type="http://schemas.openxmlformats.org/officeDocument/2006/relationships/hyperlink" Target="https://www.who.int/es/publications/i/item/9789240039483" TargetMode="External"/></Relationships>
</file>

<file path=word/_rels/header1.xml.rels><?xml version="1.0" encoding="UTF-8" standalone="yes"?>
<Relationships xmlns="http://schemas.openxmlformats.org/package/2006/relationships"><Relationship Id="rId3" Type="http://schemas.openxmlformats.org/officeDocument/2006/relationships/image" Target="cid:image001.png@01D8B3D7.F86DB6F0"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5420c68d-3a28-4a0e-822e-6cbf27b7375d" xsi:nil="true"/>
    <lcf76f155ced4ddcb4097134ff3c332f xmlns="11d9c3d8-88ca-41c8-819f-23186d238f58">
      <Terms xmlns="http://schemas.microsoft.com/office/infopath/2007/PartnerControls"/>
    </lcf76f155ced4ddcb4097134ff3c332f>
    <TCconlaquesepag_x00f3_ xmlns="11d9c3d8-88ca-41c8-819f-23186d238f58">
      <UserInfo>
        <DisplayName/>
        <AccountId xsi:nil="true"/>
        <AccountType/>
      </UserInfo>
    </TCconlaquesepag_x00f3_>
    <SharedWithUsers xmlns="5420c68d-3a28-4a0e-822e-6cbf27b7375d">
      <UserInfo>
        <DisplayName>Fernanda Vanegas</DisplayName>
        <AccountId>18</AccountId>
        <AccountType/>
      </UserInfo>
      <UserInfo>
        <DisplayName>Paulina Jimenez</DisplayName>
        <AccountId>13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0575A62FAE047498B4F442CB92FEF4F" ma:contentTypeVersion="15" ma:contentTypeDescription="Crear nuevo documento." ma:contentTypeScope="" ma:versionID="26df78b42df677f28ffa6b59b773a729">
  <xsd:schema xmlns:xsd="http://www.w3.org/2001/XMLSchema" xmlns:xs="http://www.w3.org/2001/XMLSchema" xmlns:p="http://schemas.microsoft.com/office/2006/metadata/properties" xmlns:ns2="11d9c3d8-88ca-41c8-819f-23186d238f58" xmlns:ns3="5420c68d-3a28-4a0e-822e-6cbf27b7375d" targetNamespace="http://schemas.microsoft.com/office/2006/metadata/properties" ma:root="true" ma:fieldsID="f161de5503bcd879af9b66f8e9204cff" ns2:_="" ns3:_="">
    <xsd:import namespace="11d9c3d8-88ca-41c8-819f-23186d238f58"/>
    <xsd:import namespace="5420c68d-3a28-4a0e-822e-6cbf27b7375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TCconlaquesepag_x00f3_"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d9c3d8-88ca-41c8-819f-23186d238f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4db032e-73db-4e5a-8f41-4badddda096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TCconlaquesepag_x00f3_" ma:index="20" nillable="true" ma:displayName="TC con la que se pagó" ma:format="Dropdown" ma:list="UserInfo" ma:SharePointGroup="0" ma:internalName="TCconlaquesepag_x00f3_">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420c68d-3a28-4a0e-822e-6cbf27b7375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77775c86-caa7-4152-8d46-119e0788e48e}" ma:internalName="TaxCatchAll" ma:showField="CatchAllData" ma:web="5420c68d-3a28-4a0e-822e-6cbf27b737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12BB42-8068-43E3-9D0F-8977C700A59C}">
  <ds:schemaRefs>
    <ds:schemaRef ds:uri="http://schemas.openxmlformats.org/officeDocument/2006/bibliography"/>
  </ds:schemaRefs>
</ds:datastoreItem>
</file>

<file path=customXml/itemProps2.xml><?xml version="1.0" encoding="utf-8"?>
<ds:datastoreItem xmlns:ds="http://schemas.openxmlformats.org/officeDocument/2006/customXml" ds:itemID="{02F754D7-0F49-4DD1-B5B8-9635878FE488}">
  <ds:schemaRefs>
    <ds:schemaRef ds:uri="http://schemas.microsoft.com/office/2006/metadata/properties"/>
    <ds:schemaRef ds:uri="http://schemas.microsoft.com/office/infopath/2007/PartnerControls"/>
    <ds:schemaRef ds:uri="5420c68d-3a28-4a0e-822e-6cbf27b7375d"/>
    <ds:schemaRef ds:uri="11d9c3d8-88ca-41c8-819f-23186d238f58"/>
  </ds:schemaRefs>
</ds:datastoreItem>
</file>

<file path=customXml/itemProps3.xml><?xml version="1.0" encoding="utf-8"?>
<ds:datastoreItem xmlns:ds="http://schemas.openxmlformats.org/officeDocument/2006/customXml" ds:itemID="{AD409513-E848-42E0-B354-49548BB53DFD}">
  <ds:schemaRefs>
    <ds:schemaRef ds:uri="http://schemas.microsoft.com/sharepoint/v3/contenttype/forms"/>
  </ds:schemaRefs>
</ds:datastoreItem>
</file>

<file path=customXml/itemProps4.xml><?xml version="1.0" encoding="utf-8"?>
<ds:datastoreItem xmlns:ds="http://schemas.openxmlformats.org/officeDocument/2006/customXml" ds:itemID="{EBDFBBFB-8A99-47DC-B46A-A2A93103BB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d9c3d8-88ca-41c8-819f-23186d238f58"/>
    <ds:schemaRef ds:uri="5420c68d-3a28-4a0e-822e-6cbf27b737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18</Pages>
  <Words>6085</Words>
  <Characters>34689</Characters>
  <Application>Microsoft Office Word</Application>
  <DocSecurity>0</DocSecurity>
  <Lines>289</Lines>
  <Paragraphs>81</Paragraphs>
  <ScaleCrop>false</ScaleCrop>
  <Company/>
  <LinksUpToDate>false</LinksUpToDate>
  <CharactersWithSpaces>40693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Jimenez</dc:creator>
  <cp:keywords/>
  <dc:description/>
  <cp:lastModifiedBy>James Boit</cp:lastModifiedBy>
  <cp:revision>2</cp:revision>
  <cp:lastPrinted>2024-01-31T18:01:00Z</cp:lastPrinted>
  <dcterms:created xsi:type="dcterms:W3CDTF">2024-04-21T12:36:00Z</dcterms:created>
  <dcterms:modified xsi:type="dcterms:W3CDTF">2024-04-21T12:36:00Z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c6fd2e7383f878aea208a4c791a02ba22ff4a8019d5421919845cc49c630a072</vt:lpwstr>
  </property>
  <property fmtid="{D5CDD505-2E9C-101B-9397-08002B2CF9AE}" pid="3" name="ContentTypeId">
    <vt:lpwstr>0x01010030575A62FAE047498B4F442CB92FEF4F</vt:lpwstr>
  </property>
  <property fmtid="{D5CDD505-2E9C-101B-9397-08002B2CF9AE}" pid="4" name="MediaServiceImageTags">
    <vt:lpwstr/>
  </property>
</Properties>
</file>