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6D821" w14:textId="77777777" w:rsidR="00BC7BA5" w:rsidRPr="008A6DE8" w:rsidRDefault="00BC7BA5" w:rsidP="00BC7BA5">
      <w:pPr>
        <w:jc w:val="both"/>
        <w:rPr>
          <w:rFonts w:cstheme="minorHAnsi"/>
          <w:sz w:val="24"/>
          <w:szCs w:val="24"/>
        </w:rPr>
      </w:pPr>
    </w:p>
    <w:p w14:paraId="7BFE4339" w14:textId="77777777" w:rsidR="00BC7BA5" w:rsidRPr="008A6DE8" w:rsidRDefault="00BC7BA5" w:rsidP="00BC7BA5">
      <w:pPr>
        <w:jc w:val="both"/>
        <w:rPr>
          <w:rFonts w:cstheme="minorHAnsi"/>
          <w:sz w:val="24"/>
          <w:szCs w:val="24"/>
        </w:rPr>
      </w:pPr>
    </w:p>
    <w:p w14:paraId="6465EEB8" w14:textId="77777777" w:rsidR="00BC7BA5" w:rsidRPr="008A6DE8" w:rsidRDefault="00BC7BA5" w:rsidP="00BC7BA5">
      <w:pPr>
        <w:jc w:val="both"/>
        <w:rPr>
          <w:rFonts w:cstheme="minorHAnsi"/>
          <w:sz w:val="24"/>
          <w:szCs w:val="24"/>
        </w:rPr>
      </w:pPr>
    </w:p>
    <w:p w14:paraId="3584035A" w14:textId="77777777" w:rsidR="00BC7BA5" w:rsidRPr="008A6DE8" w:rsidRDefault="00BC7BA5" w:rsidP="00BC7BA5">
      <w:pPr>
        <w:pStyle w:val="Default"/>
        <w:spacing w:line="276" w:lineRule="auto"/>
        <w:jc w:val="both"/>
        <w:rPr>
          <w:rFonts w:asciiTheme="minorHAnsi" w:hAnsiTheme="minorHAnsi" w:cstheme="minorHAnsi"/>
        </w:rPr>
      </w:pPr>
    </w:p>
    <w:p w14:paraId="24816CDD" w14:textId="77777777" w:rsidR="00BC7BA5" w:rsidRDefault="00BC7BA5" w:rsidP="00BC7BA5">
      <w:pPr>
        <w:pStyle w:val="Default"/>
        <w:spacing w:line="276" w:lineRule="auto"/>
        <w:jc w:val="both"/>
        <w:rPr>
          <w:rFonts w:asciiTheme="minorHAnsi" w:hAnsiTheme="minorHAnsi" w:cstheme="minorHAnsi"/>
          <w:b/>
          <w:bCs/>
        </w:rPr>
      </w:pPr>
    </w:p>
    <w:p w14:paraId="143A139C" w14:textId="77777777" w:rsidR="00BC7BA5" w:rsidRDefault="00BC7BA5" w:rsidP="00BC7BA5">
      <w:pPr>
        <w:pStyle w:val="Default"/>
        <w:spacing w:line="276" w:lineRule="auto"/>
        <w:jc w:val="both"/>
        <w:rPr>
          <w:rFonts w:asciiTheme="minorHAnsi" w:hAnsiTheme="minorHAnsi" w:cstheme="minorHAnsi"/>
          <w:b/>
          <w:bCs/>
        </w:rPr>
      </w:pPr>
    </w:p>
    <w:p w14:paraId="130EF96D" w14:textId="77777777" w:rsidR="00BC7BA5" w:rsidRPr="007B54E8" w:rsidRDefault="00BC7BA5" w:rsidP="00BC7BA5">
      <w:pPr>
        <w:pStyle w:val="Default"/>
        <w:spacing w:line="276" w:lineRule="auto"/>
        <w:jc w:val="both"/>
        <w:rPr>
          <w:rFonts w:asciiTheme="minorHAnsi" w:hAnsiTheme="minorHAnsi" w:cstheme="minorHAnsi"/>
          <w:sz w:val="32"/>
          <w:szCs w:val="32"/>
        </w:rPr>
      </w:pPr>
      <w:r w:rsidRPr="007B54E8">
        <w:rPr>
          <w:rFonts w:asciiTheme="minorHAnsi" w:hAnsiTheme="minorHAnsi" w:cstheme="minorHAnsi"/>
          <w:b/>
          <w:bCs/>
          <w:sz w:val="32"/>
          <w:szCs w:val="32"/>
        </w:rPr>
        <w:t xml:space="preserve">Comité de Derechos Económicos, Sociales y Culturales </w:t>
      </w:r>
    </w:p>
    <w:p w14:paraId="40839574" w14:textId="77777777" w:rsidR="00BC7BA5" w:rsidRPr="007B54E8" w:rsidRDefault="00BC7BA5" w:rsidP="00BC7BA5">
      <w:pPr>
        <w:pStyle w:val="Default"/>
        <w:spacing w:line="276" w:lineRule="auto"/>
        <w:jc w:val="both"/>
        <w:rPr>
          <w:rFonts w:asciiTheme="minorHAnsi" w:hAnsiTheme="minorHAnsi" w:cstheme="minorHAnsi"/>
          <w:sz w:val="32"/>
          <w:szCs w:val="32"/>
        </w:rPr>
      </w:pPr>
      <w:r w:rsidRPr="007B54E8">
        <w:rPr>
          <w:rFonts w:asciiTheme="minorHAnsi" w:hAnsiTheme="minorHAnsi" w:cstheme="minorHAnsi"/>
          <w:b/>
          <w:bCs/>
          <w:sz w:val="32"/>
          <w:szCs w:val="32"/>
        </w:rPr>
        <w:t>79°</w:t>
      </w:r>
      <w:r w:rsidRPr="007B54E8">
        <w:rPr>
          <w:rFonts w:asciiTheme="minorHAnsi" w:hAnsiTheme="minorHAnsi" w:cstheme="minorHAnsi"/>
          <w:sz w:val="32"/>
          <w:szCs w:val="32"/>
        </w:rPr>
        <w:t xml:space="preserve"> </w:t>
      </w:r>
      <w:r w:rsidRPr="007B54E8">
        <w:rPr>
          <w:rFonts w:asciiTheme="minorHAnsi" w:hAnsiTheme="minorHAnsi" w:cstheme="minorHAnsi"/>
          <w:b/>
          <w:bCs/>
          <w:sz w:val="32"/>
          <w:szCs w:val="32"/>
        </w:rPr>
        <w:t xml:space="preserve">período de sesiones </w:t>
      </w:r>
    </w:p>
    <w:p w14:paraId="1309483A" w14:textId="77777777" w:rsidR="00BC7BA5" w:rsidRPr="007B54E8" w:rsidRDefault="00BC7BA5" w:rsidP="00BC7BA5">
      <w:pPr>
        <w:pStyle w:val="Default"/>
        <w:spacing w:line="276" w:lineRule="auto"/>
        <w:jc w:val="both"/>
        <w:rPr>
          <w:rFonts w:asciiTheme="minorHAnsi" w:hAnsiTheme="minorHAnsi" w:cstheme="minorHAnsi"/>
          <w:b/>
          <w:bCs/>
          <w:sz w:val="32"/>
          <w:szCs w:val="32"/>
        </w:rPr>
      </w:pPr>
    </w:p>
    <w:p w14:paraId="66249EAD" w14:textId="77777777" w:rsidR="00BC7BA5" w:rsidRPr="007B54E8" w:rsidRDefault="00BC7BA5" w:rsidP="00BC7BA5">
      <w:pPr>
        <w:pStyle w:val="Default"/>
        <w:spacing w:line="276" w:lineRule="auto"/>
        <w:jc w:val="both"/>
        <w:rPr>
          <w:rFonts w:asciiTheme="minorHAnsi" w:hAnsiTheme="minorHAnsi" w:cstheme="minorHAnsi"/>
          <w:b/>
          <w:bCs/>
          <w:sz w:val="32"/>
          <w:szCs w:val="32"/>
        </w:rPr>
      </w:pPr>
    </w:p>
    <w:p w14:paraId="25E8493C" w14:textId="77777777" w:rsidR="00BC7BA5" w:rsidRDefault="00BC7BA5" w:rsidP="00BC7BA5">
      <w:pPr>
        <w:pStyle w:val="Default"/>
        <w:spacing w:line="276" w:lineRule="auto"/>
        <w:jc w:val="both"/>
        <w:rPr>
          <w:rFonts w:asciiTheme="minorHAnsi" w:hAnsiTheme="minorHAnsi" w:cstheme="minorHAnsi"/>
          <w:b/>
          <w:bCs/>
        </w:rPr>
      </w:pPr>
    </w:p>
    <w:p w14:paraId="5B4E5C56" w14:textId="77777777" w:rsidR="00BC7BA5" w:rsidRDefault="00BC7BA5" w:rsidP="00BC7BA5">
      <w:pPr>
        <w:pStyle w:val="Default"/>
        <w:spacing w:line="276" w:lineRule="auto"/>
        <w:jc w:val="both"/>
        <w:rPr>
          <w:rFonts w:asciiTheme="minorHAnsi" w:hAnsiTheme="minorHAnsi" w:cstheme="minorHAnsi"/>
          <w:b/>
          <w:bCs/>
        </w:rPr>
      </w:pPr>
    </w:p>
    <w:p w14:paraId="68392B67" w14:textId="77777777" w:rsidR="00BC7BA5" w:rsidRDefault="00BC7BA5" w:rsidP="00BC7BA5">
      <w:pPr>
        <w:pStyle w:val="Default"/>
        <w:spacing w:line="276" w:lineRule="auto"/>
        <w:jc w:val="both"/>
        <w:rPr>
          <w:rFonts w:asciiTheme="minorHAnsi" w:hAnsiTheme="minorHAnsi" w:cstheme="minorHAnsi"/>
          <w:b/>
          <w:bCs/>
        </w:rPr>
      </w:pPr>
    </w:p>
    <w:p w14:paraId="7442F84A" w14:textId="77777777" w:rsidR="00BC7BA5" w:rsidRDefault="00BC7BA5" w:rsidP="00BC7BA5">
      <w:pPr>
        <w:pStyle w:val="Default"/>
        <w:spacing w:line="276" w:lineRule="auto"/>
        <w:jc w:val="both"/>
        <w:rPr>
          <w:rFonts w:asciiTheme="minorHAnsi" w:hAnsiTheme="minorHAnsi" w:cstheme="minorHAnsi"/>
          <w:b/>
          <w:bCs/>
        </w:rPr>
      </w:pPr>
    </w:p>
    <w:p w14:paraId="483C21F9" w14:textId="77777777" w:rsidR="00BC7BA5" w:rsidRDefault="00BC7BA5" w:rsidP="00BC7BA5">
      <w:pPr>
        <w:pStyle w:val="Default"/>
        <w:spacing w:line="276" w:lineRule="auto"/>
        <w:jc w:val="both"/>
        <w:rPr>
          <w:rFonts w:asciiTheme="minorHAnsi" w:hAnsiTheme="minorHAnsi" w:cstheme="minorHAnsi"/>
          <w:b/>
          <w:bCs/>
        </w:rPr>
      </w:pPr>
    </w:p>
    <w:p w14:paraId="45F0274C" w14:textId="77777777" w:rsidR="00BC7BA5" w:rsidRDefault="00BC7BA5" w:rsidP="00BC7BA5">
      <w:pPr>
        <w:pStyle w:val="Default"/>
        <w:spacing w:line="276" w:lineRule="auto"/>
        <w:jc w:val="both"/>
        <w:rPr>
          <w:rFonts w:asciiTheme="minorHAnsi" w:hAnsiTheme="minorHAnsi" w:cstheme="minorHAnsi"/>
          <w:b/>
          <w:bCs/>
        </w:rPr>
      </w:pPr>
    </w:p>
    <w:p w14:paraId="29206048" w14:textId="77777777" w:rsidR="00BC7BA5" w:rsidRDefault="00BC7BA5" w:rsidP="00BC7BA5">
      <w:pPr>
        <w:pStyle w:val="Default"/>
        <w:spacing w:line="276" w:lineRule="auto"/>
        <w:jc w:val="both"/>
        <w:rPr>
          <w:rFonts w:asciiTheme="minorHAnsi" w:hAnsiTheme="minorHAnsi" w:cstheme="minorHAnsi"/>
          <w:b/>
          <w:bCs/>
        </w:rPr>
      </w:pPr>
    </w:p>
    <w:p w14:paraId="5A1A838B" w14:textId="77777777" w:rsidR="00BC7BA5" w:rsidRPr="0081777B" w:rsidRDefault="00BC7BA5" w:rsidP="00BC7BA5">
      <w:pPr>
        <w:pStyle w:val="Default"/>
        <w:spacing w:line="276" w:lineRule="auto"/>
        <w:jc w:val="both"/>
        <w:rPr>
          <w:rFonts w:asciiTheme="minorHAnsi" w:hAnsiTheme="minorHAnsi" w:cstheme="minorHAnsi"/>
          <w:b/>
          <w:bCs/>
          <w:sz w:val="32"/>
          <w:szCs w:val="32"/>
        </w:rPr>
      </w:pPr>
      <w:r w:rsidRPr="0081777B">
        <w:rPr>
          <w:rFonts w:asciiTheme="minorHAnsi" w:hAnsiTheme="minorHAnsi" w:cstheme="minorHAnsi"/>
          <w:b/>
          <w:bCs/>
          <w:sz w:val="32"/>
          <w:szCs w:val="32"/>
        </w:rPr>
        <w:t xml:space="preserve">Informe de la Institución Nacional de Derechos Humanos y Defensoría del Pueblo de la República Oriental del Uruguay </w:t>
      </w:r>
    </w:p>
    <w:p w14:paraId="46356016" w14:textId="77777777" w:rsidR="00BC7BA5" w:rsidRPr="008A6DE8" w:rsidRDefault="00BC7BA5" w:rsidP="00BC7BA5">
      <w:pPr>
        <w:pStyle w:val="Default"/>
        <w:spacing w:line="276" w:lineRule="auto"/>
        <w:jc w:val="both"/>
        <w:rPr>
          <w:rFonts w:asciiTheme="minorHAnsi" w:hAnsiTheme="minorHAnsi" w:cstheme="minorHAnsi"/>
          <w:b/>
          <w:bCs/>
        </w:rPr>
      </w:pPr>
    </w:p>
    <w:p w14:paraId="08B3F7C0" w14:textId="77777777" w:rsidR="00BC7BA5" w:rsidRPr="008A6DE8" w:rsidRDefault="00BC7BA5" w:rsidP="00BC7BA5">
      <w:pPr>
        <w:pStyle w:val="Default"/>
        <w:spacing w:line="276" w:lineRule="auto"/>
        <w:jc w:val="both"/>
        <w:rPr>
          <w:rFonts w:asciiTheme="minorHAnsi" w:hAnsiTheme="minorHAnsi" w:cstheme="minorHAnsi"/>
          <w:b/>
          <w:bCs/>
        </w:rPr>
      </w:pPr>
    </w:p>
    <w:p w14:paraId="7B34265C" w14:textId="77777777" w:rsidR="00BC7BA5" w:rsidRPr="008A6DE8" w:rsidRDefault="00BC7BA5" w:rsidP="00BC7BA5">
      <w:pPr>
        <w:pStyle w:val="Default"/>
        <w:spacing w:line="276" w:lineRule="auto"/>
        <w:jc w:val="both"/>
        <w:rPr>
          <w:rFonts w:asciiTheme="minorHAnsi" w:hAnsiTheme="minorHAnsi" w:cstheme="minorHAnsi"/>
          <w:b/>
          <w:bCs/>
        </w:rPr>
      </w:pPr>
    </w:p>
    <w:p w14:paraId="1AB09EAC" w14:textId="77777777" w:rsidR="00BC7BA5" w:rsidRPr="008A6DE8" w:rsidRDefault="00BC7BA5" w:rsidP="00BC7BA5">
      <w:pPr>
        <w:pStyle w:val="Default"/>
        <w:spacing w:line="276" w:lineRule="auto"/>
        <w:jc w:val="both"/>
        <w:rPr>
          <w:rFonts w:asciiTheme="minorHAnsi" w:hAnsiTheme="minorHAnsi" w:cstheme="minorHAnsi"/>
          <w:b/>
          <w:bCs/>
        </w:rPr>
      </w:pPr>
    </w:p>
    <w:p w14:paraId="04C3DAB8" w14:textId="77777777" w:rsidR="00BC7BA5" w:rsidRDefault="00BC7BA5" w:rsidP="00BC7BA5">
      <w:pPr>
        <w:pStyle w:val="Default"/>
        <w:spacing w:line="276" w:lineRule="auto"/>
        <w:jc w:val="both"/>
        <w:rPr>
          <w:rFonts w:asciiTheme="minorHAnsi" w:hAnsiTheme="minorHAnsi" w:cstheme="minorHAnsi"/>
          <w:b/>
          <w:bCs/>
        </w:rPr>
      </w:pPr>
    </w:p>
    <w:p w14:paraId="68AA7B17" w14:textId="77777777" w:rsidR="00BC7BA5" w:rsidRDefault="00BC7BA5" w:rsidP="00BC7BA5">
      <w:pPr>
        <w:pStyle w:val="Default"/>
        <w:spacing w:line="276" w:lineRule="auto"/>
        <w:jc w:val="both"/>
        <w:rPr>
          <w:rFonts w:asciiTheme="minorHAnsi" w:hAnsiTheme="minorHAnsi" w:cstheme="minorHAnsi"/>
          <w:b/>
          <w:bCs/>
        </w:rPr>
      </w:pPr>
    </w:p>
    <w:p w14:paraId="6F410EAC" w14:textId="77777777" w:rsidR="00BC7BA5" w:rsidRDefault="00BC7BA5" w:rsidP="00BC7BA5">
      <w:pPr>
        <w:pStyle w:val="Default"/>
        <w:spacing w:line="276" w:lineRule="auto"/>
        <w:jc w:val="both"/>
        <w:rPr>
          <w:rFonts w:asciiTheme="minorHAnsi" w:hAnsiTheme="minorHAnsi" w:cstheme="minorHAnsi"/>
          <w:b/>
          <w:bCs/>
        </w:rPr>
      </w:pPr>
    </w:p>
    <w:p w14:paraId="2DDCDD36" w14:textId="77777777" w:rsidR="00BC7BA5" w:rsidRDefault="00BC7BA5" w:rsidP="00BC7BA5">
      <w:pPr>
        <w:pStyle w:val="Default"/>
        <w:spacing w:line="276" w:lineRule="auto"/>
        <w:jc w:val="both"/>
        <w:rPr>
          <w:rFonts w:asciiTheme="minorHAnsi" w:hAnsiTheme="minorHAnsi" w:cstheme="minorHAnsi"/>
          <w:b/>
          <w:bCs/>
        </w:rPr>
      </w:pPr>
    </w:p>
    <w:p w14:paraId="0D1F3CDB" w14:textId="77777777" w:rsidR="00BC7BA5" w:rsidRDefault="00BC7BA5" w:rsidP="00BC7BA5">
      <w:pPr>
        <w:pStyle w:val="Default"/>
        <w:spacing w:line="276" w:lineRule="auto"/>
        <w:jc w:val="both"/>
        <w:rPr>
          <w:rFonts w:asciiTheme="minorHAnsi" w:hAnsiTheme="minorHAnsi" w:cstheme="minorHAnsi"/>
          <w:b/>
          <w:bCs/>
        </w:rPr>
      </w:pPr>
    </w:p>
    <w:p w14:paraId="026E680B" w14:textId="77777777" w:rsidR="00BC7BA5" w:rsidRDefault="00BC7BA5" w:rsidP="00BC7BA5">
      <w:pPr>
        <w:pStyle w:val="Default"/>
        <w:spacing w:line="276" w:lineRule="auto"/>
        <w:jc w:val="both"/>
        <w:rPr>
          <w:rFonts w:asciiTheme="minorHAnsi" w:hAnsiTheme="minorHAnsi" w:cstheme="minorHAnsi"/>
          <w:b/>
          <w:bCs/>
        </w:rPr>
      </w:pPr>
    </w:p>
    <w:p w14:paraId="609A103D" w14:textId="77777777" w:rsidR="00BC7BA5" w:rsidRDefault="00BC7BA5" w:rsidP="00BC7BA5">
      <w:pPr>
        <w:pStyle w:val="Default"/>
        <w:spacing w:line="276" w:lineRule="auto"/>
        <w:jc w:val="both"/>
        <w:rPr>
          <w:rFonts w:asciiTheme="minorHAnsi" w:hAnsiTheme="minorHAnsi" w:cstheme="minorHAnsi"/>
          <w:b/>
          <w:bCs/>
        </w:rPr>
      </w:pPr>
    </w:p>
    <w:p w14:paraId="116DCE61" w14:textId="77777777" w:rsidR="00BC7BA5" w:rsidRDefault="00BC7BA5" w:rsidP="00BC7BA5">
      <w:pPr>
        <w:pStyle w:val="Default"/>
        <w:spacing w:line="276" w:lineRule="auto"/>
        <w:jc w:val="both"/>
        <w:rPr>
          <w:rFonts w:asciiTheme="minorHAnsi" w:hAnsiTheme="minorHAnsi" w:cstheme="minorHAnsi"/>
          <w:b/>
          <w:bCs/>
        </w:rPr>
      </w:pPr>
    </w:p>
    <w:p w14:paraId="3C931E07" w14:textId="77777777" w:rsidR="00BC7BA5" w:rsidRDefault="00BC7BA5" w:rsidP="00BC7BA5">
      <w:pPr>
        <w:pStyle w:val="Default"/>
        <w:spacing w:line="276" w:lineRule="auto"/>
        <w:jc w:val="both"/>
        <w:rPr>
          <w:rFonts w:asciiTheme="minorHAnsi" w:hAnsiTheme="minorHAnsi" w:cstheme="minorHAnsi"/>
          <w:b/>
          <w:bCs/>
        </w:rPr>
      </w:pPr>
    </w:p>
    <w:p w14:paraId="72F3D49F" w14:textId="77777777" w:rsidR="00BC7BA5" w:rsidRDefault="00BC7BA5" w:rsidP="00BC7BA5">
      <w:pPr>
        <w:pStyle w:val="Default"/>
        <w:spacing w:line="276" w:lineRule="auto"/>
        <w:jc w:val="both"/>
        <w:rPr>
          <w:rFonts w:asciiTheme="minorHAnsi" w:hAnsiTheme="minorHAnsi" w:cstheme="minorHAnsi"/>
          <w:b/>
          <w:bCs/>
        </w:rPr>
      </w:pPr>
    </w:p>
    <w:p w14:paraId="5E83DFCA" w14:textId="03319224" w:rsidR="00BC7BA5" w:rsidRPr="008A6DE8" w:rsidRDefault="00BC7BA5" w:rsidP="00BC7BA5">
      <w:pPr>
        <w:pStyle w:val="Default"/>
        <w:spacing w:line="276" w:lineRule="auto"/>
        <w:jc w:val="both"/>
        <w:rPr>
          <w:rFonts w:asciiTheme="minorHAnsi" w:hAnsiTheme="minorHAnsi" w:cstheme="minorHAnsi"/>
        </w:rPr>
      </w:pPr>
      <w:r w:rsidRPr="008A6DE8">
        <w:rPr>
          <w:rFonts w:asciiTheme="minorHAnsi" w:hAnsiTheme="minorHAnsi" w:cstheme="minorHAnsi"/>
          <w:b/>
          <w:bCs/>
        </w:rPr>
        <w:t>10 de enero 2026</w:t>
      </w:r>
    </w:p>
    <w:p w14:paraId="042D3FD3" w14:textId="77777777" w:rsidR="00BC7BA5" w:rsidRDefault="00BC7BA5" w:rsidP="00BC7BA5">
      <w:pPr>
        <w:spacing w:after="160" w:line="259" w:lineRule="auto"/>
        <w:rPr>
          <w:rFonts w:cstheme="minorHAnsi"/>
          <w:sz w:val="24"/>
          <w:szCs w:val="24"/>
        </w:rPr>
      </w:pPr>
      <w:r>
        <w:rPr>
          <w:rFonts w:cstheme="minorHAnsi"/>
          <w:sz w:val="24"/>
          <w:szCs w:val="24"/>
        </w:rPr>
        <w:br w:type="page"/>
      </w:r>
    </w:p>
    <w:sdt>
      <w:sdtPr>
        <w:rPr>
          <w:rFonts w:asciiTheme="minorHAnsi" w:eastAsiaTheme="minorEastAsia" w:hAnsiTheme="minorHAnsi" w:cstheme="minorBidi"/>
          <w:color w:val="auto"/>
          <w:sz w:val="22"/>
          <w:szCs w:val="22"/>
          <w:lang w:val="es-ES" w:eastAsia="es-ES"/>
        </w:rPr>
        <w:id w:val="-1437139656"/>
        <w:docPartObj>
          <w:docPartGallery w:val="Table of Contents"/>
          <w:docPartUnique/>
        </w:docPartObj>
      </w:sdtPr>
      <w:sdtEndPr>
        <w:rPr>
          <w:b/>
          <w:bCs/>
        </w:rPr>
      </w:sdtEndPr>
      <w:sdtContent>
        <w:p w14:paraId="56F6234B" w14:textId="77777777" w:rsidR="00BC7BA5" w:rsidRDefault="00BC7BA5" w:rsidP="00BC7BA5">
          <w:pPr>
            <w:pStyle w:val="TtuloTDC"/>
            <w:rPr>
              <w:lang w:val="es-ES"/>
            </w:rPr>
          </w:pPr>
          <w:r>
            <w:rPr>
              <w:lang w:val="es-ES"/>
            </w:rPr>
            <w:t>Contenido</w:t>
          </w:r>
        </w:p>
        <w:p w14:paraId="3BB4E371" w14:textId="77777777" w:rsidR="00BC7BA5" w:rsidRDefault="00BC7BA5" w:rsidP="00BC7BA5">
          <w:pPr>
            <w:rPr>
              <w:lang w:eastAsia="es-UY"/>
            </w:rPr>
          </w:pPr>
        </w:p>
        <w:p w14:paraId="25862ECF" w14:textId="77777777" w:rsidR="00BC7BA5" w:rsidRPr="00F85DBF" w:rsidRDefault="00BC7BA5" w:rsidP="00BC7BA5">
          <w:pPr>
            <w:rPr>
              <w:lang w:eastAsia="es-UY"/>
            </w:rPr>
          </w:pPr>
        </w:p>
        <w:p w14:paraId="27BE7CFD" w14:textId="77777777" w:rsidR="00BC7BA5" w:rsidRDefault="00BC7BA5" w:rsidP="00BC7BA5">
          <w:pPr>
            <w:pStyle w:val="TDC2"/>
            <w:tabs>
              <w:tab w:val="right" w:leader="dot" w:pos="8494"/>
            </w:tabs>
            <w:rPr>
              <w:noProof/>
              <w:lang w:val="es-UY" w:eastAsia="es-UY"/>
            </w:rPr>
          </w:pPr>
          <w:r>
            <w:rPr>
              <w:b/>
              <w:bCs/>
            </w:rPr>
            <w:fldChar w:fldCharType="begin"/>
          </w:r>
          <w:r>
            <w:rPr>
              <w:b/>
              <w:bCs/>
            </w:rPr>
            <w:instrText xml:space="preserve"> TOC \o "1-3" \h \z \u </w:instrText>
          </w:r>
          <w:r>
            <w:rPr>
              <w:b/>
              <w:bCs/>
            </w:rPr>
            <w:fldChar w:fldCharType="separate"/>
          </w:r>
          <w:hyperlink w:anchor="_Toc219025488" w:history="1">
            <w:r w:rsidRPr="00DA6B10">
              <w:rPr>
                <w:rStyle w:val="Hipervnculo"/>
                <w:noProof/>
              </w:rPr>
              <w:t>I. Introducción</w:t>
            </w:r>
            <w:r>
              <w:rPr>
                <w:noProof/>
                <w:webHidden/>
              </w:rPr>
              <w:tab/>
            </w:r>
            <w:r>
              <w:rPr>
                <w:noProof/>
                <w:webHidden/>
              </w:rPr>
              <w:fldChar w:fldCharType="begin"/>
            </w:r>
            <w:r>
              <w:rPr>
                <w:noProof/>
                <w:webHidden/>
              </w:rPr>
              <w:instrText xml:space="preserve"> PAGEREF _Toc219025488 \h </w:instrText>
            </w:r>
            <w:r>
              <w:rPr>
                <w:noProof/>
                <w:webHidden/>
              </w:rPr>
            </w:r>
            <w:r>
              <w:rPr>
                <w:noProof/>
                <w:webHidden/>
              </w:rPr>
              <w:fldChar w:fldCharType="separate"/>
            </w:r>
            <w:r>
              <w:rPr>
                <w:noProof/>
                <w:webHidden/>
              </w:rPr>
              <w:t>3</w:t>
            </w:r>
            <w:r>
              <w:rPr>
                <w:noProof/>
                <w:webHidden/>
              </w:rPr>
              <w:fldChar w:fldCharType="end"/>
            </w:r>
          </w:hyperlink>
        </w:p>
        <w:p w14:paraId="51CDBBD1" w14:textId="77777777" w:rsidR="00BC7BA5" w:rsidRDefault="00000000" w:rsidP="00BC7BA5">
          <w:pPr>
            <w:pStyle w:val="TDC2"/>
            <w:tabs>
              <w:tab w:val="right" w:leader="dot" w:pos="8494"/>
            </w:tabs>
            <w:rPr>
              <w:noProof/>
              <w:lang w:val="es-UY" w:eastAsia="es-UY"/>
            </w:rPr>
          </w:pPr>
          <w:hyperlink w:anchor="_Toc219025489" w:history="1">
            <w:r w:rsidR="00BC7BA5" w:rsidRPr="00DA6B10">
              <w:rPr>
                <w:rStyle w:val="Hipervnculo"/>
                <w:noProof/>
              </w:rPr>
              <w:t>II. Presentación de la Institución Nacional de Derechos Humanos y Defensoría del Pueblo</w:t>
            </w:r>
            <w:r w:rsidR="00BC7BA5">
              <w:rPr>
                <w:noProof/>
                <w:webHidden/>
              </w:rPr>
              <w:tab/>
            </w:r>
            <w:r w:rsidR="00BC7BA5">
              <w:rPr>
                <w:noProof/>
                <w:webHidden/>
              </w:rPr>
              <w:fldChar w:fldCharType="begin"/>
            </w:r>
            <w:r w:rsidR="00BC7BA5">
              <w:rPr>
                <w:noProof/>
                <w:webHidden/>
              </w:rPr>
              <w:instrText xml:space="preserve"> PAGEREF _Toc219025489 \h </w:instrText>
            </w:r>
            <w:r w:rsidR="00BC7BA5">
              <w:rPr>
                <w:noProof/>
                <w:webHidden/>
              </w:rPr>
            </w:r>
            <w:r w:rsidR="00BC7BA5">
              <w:rPr>
                <w:noProof/>
                <w:webHidden/>
              </w:rPr>
              <w:fldChar w:fldCharType="separate"/>
            </w:r>
            <w:r w:rsidR="00BC7BA5">
              <w:rPr>
                <w:noProof/>
                <w:webHidden/>
              </w:rPr>
              <w:t>3</w:t>
            </w:r>
            <w:r w:rsidR="00BC7BA5">
              <w:rPr>
                <w:noProof/>
                <w:webHidden/>
              </w:rPr>
              <w:fldChar w:fldCharType="end"/>
            </w:r>
          </w:hyperlink>
        </w:p>
        <w:p w14:paraId="5CAB2CD2" w14:textId="77777777" w:rsidR="00BC7BA5" w:rsidRDefault="00000000" w:rsidP="00BC7BA5">
          <w:pPr>
            <w:pStyle w:val="TDC2"/>
            <w:tabs>
              <w:tab w:val="right" w:leader="dot" w:pos="8494"/>
            </w:tabs>
            <w:rPr>
              <w:noProof/>
              <w:lang w:val="es-UY" w:eastAsia="es-UY"/>
            </w:rPr>
          </w:pPr>
          <w:hyperlink w:anchor="_Toc219025490" w:history="1">
            <w:r w:rsidR="00BC7BA5" w:rsidRPr="00DA6B10">
              <w:rPr>
                <w:rStyle w:val="Hipervnculo"/>
                <w:noProof/>
              </w:rPr>
              <w:t>III. La INDDHH y el seguimiento de los derechos económicos, sociales y culturales</w:t>
            </w:r>
            <w:r w:rsidR="00BC7BA5">
              <w:rPr>
                <w:noProof/>
                <w:webHidden/>
              </w:rPr>
              <w:tab/>
            </w:r>
            <w:r w:rsidR="00BC7BA5">
              <w:rPr>
                <w:noProof/>
                <w:webHidden/>
              </w:rPr>
              <w:fldChar w:fldCharType="begin"/>
            </w:r>
            <w:r w:rsidR="00BC7BA5">
              <w:rPr>
                <w:noProof/>
                <w:webHidden/>
              </w:rPr>
              <w:instrText xml:space="preserve"> PAGEREF _Toc219025490 \h </w:instrText>
            </w:r>
            <w:r w:rsidR="00BC7BA5">
              <w:rPr>
                <w:noProof/>
                <w:webHidden/>
              </w:rPr>
            </w:r>
            <w:r w:rsidR="00BC7BA5">
              <w:rPr>
                <w:noProof/>
                <w:webHidden/>
              </w:rPr>
              <w:fldChar w:fldCharType="separate"/>
            </w:r>
            <w:r w:rsidR="00BC7BA5">
              <w:rPr>
                <w:noProof/>
                <w:webHidden/>
              </w:rPr>
              <w:t>4</w:t>
            </w:r>
            <w:r w:rsidR="00BC7BA5">
              <w:rPr>
                <w:noProof/>
                <w:webHidden/>
              </w:rPr>
              <w:fldChar w:fldCharType="end"/>
            </w:r>
          </w:hyperlink>
        </w:p>
        <w:p w14:paraId="2DE363B5" w14:textId="77777777" w:rsidR="00BC7BA5" w:rsidRDefault="00000000" w:rsidP="00BC7BA5">
          <w:pPr>
            <w:pStyle w:val="TDC2"/>
            <w:tabs>
              <w:tab w:val="right" w:leader="dot" w:pos="8494"/>
            </w:tabs>
            <w:rPr>
              <w:noProof/>
              <w:lang w:val="es-UY" w:eastAsia="es-UY"/>
            </w:rPr>
          </w:pPr>
          <w:hyperlink w:anchor="_Toc219025491" w:history="1">
            <w:r w:rsidR="00BC7BA5" w:rsidRPr="00DA6B10">
              <w:rPr>
                <w:rStyle w:val="Hipervnculo"/>
                <w:noProof/>
              </w:rPr>
              <w:t>IV. Protección de niñas, niños y adolescentes (artículo 10)</w:t>
            </w:r>
            <w:r w:rsidR="00BC7BA5">
              <w:rPr>
                <w:noProof/>
                <w:webHidden/>
              </w:rPr>
              <w:tab/>
            </w:r>
            <w:r w:rsidR="00BC7BA5">
              <w:rPr>
                <w:noProof/>
                <w:webHidden/>
              </w:rPr>
              <w:fldChar w:fldCharType="begin"/>
            </w:r>
            <w:r w:rsidR="00BC7BA5">
              <w:rPr>
                <w:noProof/>
                <w:webHidden/>
              </w:rPr>
              <w:instrText xml:space="preserve"> PAGEREF _Toc219025491 \h </w:instrText>
            </w:r>
            <w:r w:rsidR="00BC7BA5">
              <w:rPr>
                <w:noProof/>
                <w:webHidden/>
              </w:rPr>
            </w:r>
            <w:r w:rsidR="00BC7BA5">
              <w:rPr>
                <w:noProof/>
                <w:webHidden/>
              </w:rPr>
              <w:fldChar w:fldCharType="separate"/>
            </w:r>
            <w:r w:rsidR="00BC7BA5">
              <w:rPr>
                <w:noProof/>
                <w:webHidden/>
              </w:rPr>
              <w:t>7</w:t>
            </w:r>
            <w:r w:rsidR="00BC7BA5">
              <w:rPr>
                <w:noProof/>
                <w:webHidden/>
              </w:rPr>
              <w:fldChar w:fldCharType="end"/>
            </w:r>
          </w:hyperlink>
        </w:p>
        <w:p w14:paraId="0774F46B" w14:textId="77777777" w:rsidR="00BC7BA5" w:rsidRDefault="00000000" w:rsidP="00BC7BA5">
          <w:pPr>
            <w:pStyle w:val="TDC3"/>
            <w:tabs>
              <w:tab w:val="right" w:leader="dot" w:pos="8494"/>
            </w:tabs>
            <w:rPr>
              <w:noProof/>
              <w:lang w:val="es-UY" w:eastAsia="es-UY"/>
            </w:rPr>
          </w:pPr>
          <w:hyperlink w:anchor="_Toc219025492" w:history="1">
            <w:r w:rsidR="00BC7BA5" w:rsidRPr="00DA6B10">
              <w:rPr>
                <w:rStyle w:val="Hipervnculo"/>
                <w:noProof/>
              </w:rPr>
              <w:t>Los derechos de niñas, niños y adolescentes</w:t>
            </w:r>
            <w:r w:rsidR="00BC7BA5">
              <w:rPr>
                <w:noProof/>
                <w:webHidden/>
              </w:rPr>
              <w:tab/>
            </w:r>
            <w:r w:rsidR="00BC7BA5">
              <w:rPr>
                <w:noProof/>
                <w:webHidden/>
              </w:rPr>
              <w:fldChar w:fldCharType="begin"/>
            </w:r>
            <w:r w:rsidR="00BC7BA5">
              <w:rPr>
                <w:noProof/>
                <w:webHidden/>
              </w:rPr>
              <w:instrText xml:space="preserve"> PAGEREF _Toc219025492 \h </w:instrText>
            </w:r>
            <w:r w:rsidR="00BC7BA5">
              <w:rPr>
                <w:noProof/>
                <w:webHidden/>
              </w:rPr>
            </w:r>
            <w:r w:rsidR="00BC7BA5">
              <w:rPr>
                <w:noProof/>
                <w:webHidden/>
              </w:rPr>
              <w:fldChar w:fldCharType="separate"/>
            </w:r>
            <w:r w:rsidR="00BC7BA5">
              <w:rPr>
                <w:noProof/>
                <w:webHidden/>
              </w:rPr>
              <w:t>7</w:t>
            </w:r>
            <w:r w:rsidR="00BC7BA5">
              <w:rPr>
                <w:noProof/>
                <w:webHidden/>
              </w:rPr>
              <w:fldChar w:fldCharType="end"/>
            </w:r>
          </w:hyperlink>
        </w:p>
        <w:p w14:paraId="2CD1624C" w14:textId="77777777" w:rsidR="00BC7BA5" w:rsidRDefault="00000000" w:rsidP="00BC7BA5">
          <w:pPr>
            <w:pStyle w:val="TDC3"/>
            <w:tabs>
              <w:tab w:val="right" w:leader="dot" w:pos="8494"/>
            </w:tabs>
            <w:rPr>
              <w:noProof/>
              <w:lang w:val="es-UY" w:eastAsia="es-UY"/>
            </w:rPr>
          </w:pPr>
          <w:hyperlink w:anchor="_Toc219025493" w:history="1">
            <w:r w:rsidR="00BC7BA5" w:rsidRPr="00DA6B10">
              <w:rPr>
                <w:rStyle w:val="Hipervnculo"/>
                <w:noProof/>
              </w:rPr>
              <w:t>Niñas, niños y adolescentes en el sistema de protección estatal</w:t>
            </w:r>
            <w:r w:rsidR="00BC7BA5">
              <w:rPr>
                <w:noProof/>
                <w:webHidden/>
              </w:rPr>
              <w:tab/>
            </w:r>
            <w:r w:rsidR="00BC7BA5">
              <w:rPr>
                <w:noProof/>
                <w:webHidden/>
              </w:rPr>
              <w:fldChar w:fldCharType="begin"/>
            </w:r>
            <w:r w:rsidR="00BC7BA5">
              <w:rPr>
                <w:noProof/>
                <w:webHidden/>
              </w:rPr>
              <w:instrText xml:space="preserve"> PAGEREF _Toc219025493 \h </w:instrText>
            </w:r>
            <w:r w:rsidR="00BC7BA5">
              <w:rPr>
                <w:noProof/>
                <w:webHidden/>
              </w:rPr>
            </w:r>
            <w:r w:rsidR="00BC7BA5">
              <w:rPr>
                <w:noProof/>
                <w:webHidden/>
              </w:rPr>
              <w:fldChar w:fldCharType="separate"/>
            </w:r>
            <w:r w:rsidR="00BC7BA5">
              <w:rPr>
                <w:noProof/>
                <w:webHidden/>
              </w:rPr>
              <w:t>8</w:t>
            </w:r>
            <w:r w:rsidR="00BC7BA5">
              <w:rPr>
                <w:noProof/>
                <w:webHidden/>
              </w:rPr>
              <w:fldChar w:fldCharType="end"/>
            </w:r>
          </w:hyperlink>
        </w:p>
        <w:p w14:paraId="77B4C4A3" w14:textId="77777777" w:rsidR="00BC7BA5" w:rsidRDefault="00000000" w:rsidP="00BC7BA5">
          <w:pPr>
            <w:pStyle w:val="TDC2"/>
            <w:tabs>
              <w:tab w:val="right" w:leader="dot" w:pos="8494"/>
            </w:tabs>
            <w:rPr>
              <w:noProof/>
              <w:lang w:val="es-UY" w:eastAsia="es-UY"/>
            </w:rPr>
          </w:pPr>
          <w:hyperlink w:anchor="_Toc219025494" w:history="1">
            <w:r w:rsidR="00BC7BA5" w:rsidRPr="00DA6B10">
              <w:rPr>
                <w:rStyle w:val="Hipervnculo"/>
                <w:noProof/>
                <w:lang w:val="es-UY"/>
              </w:rPr>
              <w:t>V. Niñas, niños y adolescentes en el sistema de protección estatal. Derecho a la salud mental (artículo 12).</w:t>
            </w:r>
            <w:r w:rsidR="00BC7BA5">
              <w:rPr>
                <w:noProof/>
                <w:webHidden/>
              </w:rPr>
              <w:tab/>
            </w:r>
            <w:r w:rsidR="00BC7BA5">
              <w:rPr>
                <w:noProof/>
                <w:webHidden/>
              </w:rPr>
              <w:fldChar w:fldCharType="begin"/>
            </w:r>
            <w:r w:rsidR="00BC7BA5">
              <w:rPr>
                <w:noProof/>
                <w:webHidden/>
              </w:rPr>
              <w:instrText xml:space="preserve"> PAGEREF _Toc219025494 \h </w:instrText>
            </w:r>
            <w:r w:rsidR="00BC7BA5">
              <w:rPr>
                <w:noProof/>
                <w:webHidden/>
              </w:rPr>
            </w:r>
            <w:r w:rsidR="00BC7BA5">
              <w:rPr>
                <w:noProof/>
                <w:webHidden/>
              </w:rPr>
              <w:fldChar w:fldCharType="separate"/>
            </w:r>
            <w:r w:rsidR="00BC7BA5">
              <w:rPr>
                <w:noProof/>
                <w:webHidden/>
              </w:rPr>
              <w:t>9</w:t>
            </w:r>
            <w:r w:rsidR="00BC7BA5">
              <w:rPr>
                <w:noProof/>
                <w:webHidden/>
              </w:rPr>
              <w:fldChar w:fldCharType="end"/>
            </w:r>
          </w:hyperlink>
        </w:p>
        <w:p w14:paraId="6CE8A8E8" w14:textId="77777777" w:rsidR="00BC7BA5" w:rsidRDefault="00000000" w:rsidP="00BC7BA5">
          <w:pPr>
            <w:pStyle w:val="TDC2"/>
            <w:tabs>
              <w:tab w:val="right" w:leader="dot" w:pos="8494"/>
            </w:tabs>
            <w:rPr>
              <w:noProof/>
              <w:lang w:val="es-UY" w:eastAsia="es-UY"/>
            </w:rPr>
          </w:pPr>
          <w:hyperlink w:anchor="_Toc219025495" w:history="1">
            <w:r w:rsidR="00BC7BA5" w:rsidRPr="00DA6B10">
              <w:rPr>
                <w:rStyle w:val="Hipervnculo"/>
                <w:noProof/>
              </w:rPr>
              <w:t>VI. Derecho a un nivel de vida adecuado. El derecho a la alimentación adecuada</w:t>
            </w:r>
            <w:r w:rsidR="00BC7BA5">
              <w:rPr>
                <w:noProof/>
                <w:webHidden/>
              </w:rPr>
              <w:tab/>
            </w:r>
            <w:r w:rsidR="00BC7BA5">
              <w:rPr>
                <w:noProof/>
                <w:webHidden/>
              </w:rPr>
              <w:fldChar w:fldCharType="begin"/>
            </w:r>
            <w:r w:rsidR="00BC7BA5">
              <w:rPr>
                <w:noProof/>
                <w:webHidden/>
              </w:rPr>
              <w:instrText xml:space="preserve"> PAGEREF _Toc219025495 \h </w:instrText>
            </w:r>
            <w:r w:rsidR="00BC7BA5">
              <w:rPr>
                <w:noProof/>
                <w:webHidden/>
              </w:rPr>
            </w:r>
            <w:r w:rsidR="00BC7BA5">
              <w:rPr>
                <w:noProof/>
                <w:webHidden/>
              </w:rPr>
              <w:fldChar w:fldCharType="separate"/>
            </w:r>
            <w:r w:rsidR="00BC7BA5">
              <w:rPr>
                <w:noProof/>
                <w:webHidden/>
              </w:rPr>
              <w:t>10</w:t>
            </w:r>
            <w:r w:rsidR="00BC7BA5">
              <w:rPr>
                <w:noProof/>
                <w:webHidden/>
              </w:rPr>
              <w:fldChar w:fldCharType="end"/>
            </w:r>
          </w:hyperlink>
        </w:p>
        <w:p w14:paraId="34A4CAB0" w14:textId="77777777" w:rsidR="00BC7BA5" w:rsidRDefault="00000000" w:rsidP="00BC7BA5">
          <w:pPr>
            <w:pStyle w:val="TDC2"/>
            <w:tabs>
              <w:tab w:val="right" w:leader="dot" w:pos="8494"/>
            </w:tabs>
            <w:rPr>
              <w:noProof/>
              <w:lang w:val="es-UY" w:eastAsia="es-UY"/>
            </w:rPr>
          </w:pPr>
          <w:hyperlink w:anchor="_Toc219025496" w:history="1">
            <w:r w:rsidR="00BC7BA5" w:rsidRPr="00DA6B10">
              <w:rPr>
                <w:rStyle w:val="Hipervnculo"/>
                <w:noProof/>
              </w:rPr>
              <w:t>(Artículo 11).</w:t>
            </w:r>
            <w:r w:rsidR="00BC7BA5">
              <w:rPr>
                <w:noProof/>
                <w:webHidden/>
              </w:rPr>
              <w:tab/>
            </w:r>
            <w:r w:rsidR="00BC7BA5">
              <w:rPr>
                <w:noProof/>
                <w:webHidden/>
              </w:rPr>
              <w:fldChar w:fldCharType="begin"/>
            </w:r>
            <w:r w:rsidR="00BC7BA5">
              <w:rPr>
                <w:noProof/>
                <w:webHidden/>
              </w:rPr>
              <w:instrText xml:space="preserve"> PAGEREF _Toc219025496 \h </w:instrText>
            </w:r>
            <w:r w:rsidR="00BC7BA5">
              <w:rPr>
                <w:noProof/>
                <w:webHidden/>
              </w:rPr>
            </w:r>
            <w:r w:rsidR="00BC7BA5">
              <w:rPr>
                <w:noProof/>
                <w:webHidden/>
              </w:rPr>
              <w:fldChar w:fldCharType="separate"/>
            </w:r>
            <w:r w:rsidR="00BC7BA5">
              <w:rPr>
                <w:noProof/>
                <w:webHidden/>
              </w:rPr>
              <w:t>10</w:t>
            </w:r>
            <w:r w:rsidR="00BC7BA5">
              <w:rPr>
                <w:noProof/>
                <w:webHidden/>
              </w:rPr>
              <w:fldChar w:fldCharType="end"/>
            </w:r>
          </w:hyperlink>
        </w:p>
        <w:p w14:paraId="310085E6" w14:textId="77777777" w:rsidR="00BC7BA5" w:rsidRDefault="00BC7BA5" w:rsidP="00BC7BA5">
          <w:r>
            <w:rPr>
              <w:b/>
              <w:bCs/>
            </w:rPr>
            <w:fldChar w:fldCharType="end"/>
          </w:r>
        </w:p>
      </w:sdtContent>
    </w:sdt>
    <w:p w14:paraId="7C1D98BA" w14:textId="77777777" w:rsidR="00BC7BA5" w:rsidRPr="008A6DE8" w:rsidRDefault="00BC7BA5" w:rsidP="00BC7BA5">
      <w:pPr>
        <w:spacing w:after="160"/>
        <w:jc w:val="both"/>
        <w:rPr>
          <w:rFonts w:cstheme="minorHAnsi"/>
          <w:sz w:val="24"/>
          <w:szCs w:val="24"/>
        </w:rPr>
      </w:pPr>
      <w:r w:rsidRPr="008A6DE8">
        <w:rPr>
          <w:rFonts w:cstheme="minorHAnsi"/>
          <w:sz w:val="24"/>
          <w:szCs w:val="24"/>
        </w:rPr>
        <w:br w:type="page"/>
      </w:r>
    </w:p>
    <w:p w14:paraId="1678FF0D" w14:textId="77777777" w:rsidR="00BC7BA5" w:rsidRPr="008A6DE8" w:rsidRDefault="00BC7BA5" w:rsidP="00BC7BA5">
      <w:pPr>
        <w:pStyle w:val="Ttulo2"/>
      </w:pPr>
      <w:bookmarkStart w:id="0" w:name="_Toc219025488"/>
      <w:r w:rsidRPr="008A6DE8">
        <w:lastRenderedPageBreak/>
        <w:t>I. Introducción</w:t>
      </w:r>
      <w:bookmarkEnd w:id="0"/>
      <w:r w:rsidRPr="008A6DE8">
        <w:t xml:space="preserve"> </w:t>
      </w:r>
    </w:p>
    <w:p w14:paraId="3ADD435B" w14:textId="77777777" w:rsidR="00BC7BA5" w:rsidRPr="008A6DE8" w:rsidRDefault="00BC7BA5" w:rsidP="00BC7BA5">
      <w:pPr>
        <w:pStyle w:val="Default"/>
        <w:spacing w:line="276" w:lineRule="auto"/>
        <w:jc w:val="both"/>
        <w:rPr>
          <w:rFonts w:asciiTheme="minorHAnsi" w:hAnsiTheme="minorHAnsi" w:cstheme="minorHAnsi"/>
        </w:rPr>
      </w:pPr>
    </w:p>
    <w:p w14:paraId="556DC549" w14:textId="77777777" w:rsidR="00BC7BA5" w:rsidRPr="00F34957" w:rsidRDefault="00BC7BA5" w:rsidP="00BC7BA5">
      <w:pPr>
        <w:pStyle w:val="Default"/>
        <w:numPr>
          <w:ilvl w:val="0"/>
          <w:numId w:val="21"/>
        </w:numPr>
        <w:spacing w:line="276" w:lineRule="auto"/>
        <w:jc w:val="both"/>
        <w:rPr>
          <w:rFonts w:asciiTheme="minorHAnsi" w:hAnsiTheme="minorHAnsi" w:cstheme="minorHAnsi"/>
          <w:sz w:val="22"/>
          <w:szCs w:val="22"/>
        </w:rPr>
      </w:pPr>
      <w:r w:rsidRPr="00F34957">
        <w:rPr>
          <w:rFonts w:asciiTheme="minorHAnsi" w:hAnsiTheme="minorHAnsi" w:cstheme="minorHAnsi"/>
          <w:sz w:val="22"/>
          <w:szCs w:val="22"/>
        </w:rPr>
        <w:t xml:space="preserve">La Institución Nacional de Derechos Humanos y Defensoría del Pueblo de la República Oriental del Uruguay (INDDHH) presenta este informe para el 79° período de sesiones del Comité de Derechos Económicos, Sociales y Culturales en el que se considerará el 6° informe periódico presentado por Uruguay, para contribuir al fortalecimiento del Estado de Derecho y a la protección efectiva de los derechos humanos en el país. </w:t>
      </w:r>
    </w:p>
    <w:p w14:paraId="6F366971" w14:textId="77777777" w:rsidR="00BC7BA5" w:rsidRPr="00F34957" w:rsidRDefault="00BC7BA5" w:rsidP="00BC7BA5">
      <w:pPr>
        <w:pStyle w:val="Default"/>
        <w:numPr>
          <w:ilvl w:val="0"/>
          <w:numId w:val="21"/>
        </w:numPr>
        <w:spacing w:line="276" w:lineRule="auto"/>
        <w:jc w:val="both"/>
        <w:rPr>
          <w:rFonts w:asciiTheme="minorHAnsi" w:hAnsiTheme="minorHAnsi" w:cstheme="minorHAnsi"/>
          <w:sz w:val="22"/>
          <w:szCs w:val="22"/>
        </w:rPr>
      </w:pPr>
      <w:r w:rsidRPr="00F34957">
        <w:rPr>
          <w:rFonts w:asciiTheme="minorHAnsi" w:hAnsiTheme="minorHAnsi" w:cstheme="minorHAnsi"/>
          <w:sz w:val="22"/>
          <w:szCs w:val="22"/>
        </w:rPr>
        <w:t xml:space="preserve">La INDDHH expresa su satisfacción por los avances logrados en varios aspectos referidos a la promoción y defensa de los derechos económicos, sociales y culturales en el país contemplados en el Pacto Internacional de Derechos Económicos Sociales y Culturales. Estos avances no se destacarán en el presente informe, ya que constan en la comunicación realizada por el Estado uruguayo. </w:t>
      </w:r>
    </w:p>
    <w:p w14:paraId="157811C9" w14:textId="77777777" w:rsidR="00BC7BA5" w:rsidRPr="00F34957" w:rsidRDefault="00BC7BA5" w:rsidP="00BC7BA5">
      <w:pPr>
        <w:pStyle w:val="Default"/>
        <w:numPr>
          <w:ilvl w:val="0"/>
          <w:numId w:val="21"/>
        </w:numPr>
        <w:spacing w:line="276" w:lineRule="auto"/>
        <w:jc w:val="both"/>
        <w:rPr>
          <w:rFonts w:asciiTheme="minorHAnsi" w:hAnsiTheme="minorHAnsi" w:cstheme="minorHAnsi"/>
          <w:sz w:val="22"/>
          <w:szCs w:val="22"/>
        </w:rPr>
      </w:pPr>
      <w:r w:rsidRPr="00F34957">
        <w:rPr>
          <w:rFonts w:asciiTheme="minorHAnsi" w:hAnsiTheme="minorHAnsi" w:cstheme="minorHAnsi"/>
          <w:sz w:val="22"/>
          <w:szCs w:val="22"/>
        </w:rPr>
        <w:t>La INDDHH presenta este segundo informe al Comité para fortalecer las competencias establecidas en su marco legal que, en consonancia con los Principios de París, establece que la INDDHH tiene la atribución de colaborar con los órganos de Naciones Unidas que sean competentes en las esferas de la promoción y protección de los derechos humanos, así como para colaborar con una cultura de promoción, protección y defensa de los derechos humanos en el país.</w:t>
      </w:r>
    </w:p>
    <w:p w14:paraId="3A4EF7B4" w14:textId="77777777" w:rsidR="00BC7BA5" w:rsidRPr="008A6DE8" w:rsidRDefault="00BC7BA5" w:rsidP="00BC7BA5">
      <w:pPr>
        <w:pStyle w:val="Default"/>
        <w:spacing w:line="276" w:lineRule="auto"/>
        <w:jc w:val="both"/>
        <w:rPr>
          <w:rFonts w:asciiTheme="minorHAnsi" w:hAnsiTheme="minorHAnsi" w:cstheme="minorHAnsi"/>
        </w:rPr>
      </w:pPr>
    </w:p>
    <w:p w14:paraId="02818A43" w14:textId="77777777" w:rsidR="00BC7BA5" w:rsidRPr="008A6DE8" w:rsidRDefault="00BC7BA5" w:rsidP="00BC7BA5">
      <w:pPr>
        <w:pStyle w:val="Ttulo2"/>
      </w:pPr>
      <w:bookmarkStart w:id="1" w:name="_Toc219025489"/>
      <w:r w:rsidRPr="008A6DE8">
        <w:t>II. Presentación de la Institución Nacional de Derechos Humanos y Defensoría del Pueblo</w:t>
      </w:r>
      <w:bookmarkEnd w:id="1"/>
      <w:r w:rsidRPr="008A6DE8">
        <w:t xml:space="preserve"> </w:t>
      </w:r>
    </w:p>
    <w:p w14:paraId="3EA1E5F6" w14:textId="77777777" w:rsidR="00BC7BA5" w:rsidRPr="008A6DE8" w:rsidRDefault="00BC7BA5" w:rsidP="00BC7BA5">
      <w:pPr>
        <w:pStyle w:val="Default"/>
        <w:spacing w:line="276" w:lineRule="auto"/>
        <w:jc w:val="both"/>
        <w:rPr>
          <w:rFonts w:asciiTheme="minorHAnsi" w:hAnsiTheme="minorHAnsi" w:cstheme="minorHAnsi"/>
        </w:rPr>
      </w:pPr>
    </w:p>
    <w:p w14:paraId="63FFDBFE" w14:textId="77777777" w:rsidR="00BC7BA5" w:rsidRPr="00F34957" w:rsidRDefault="00BC7BA5" w:rsidP="00BC7BA5">
      <w:pPr>
        <w:pStyle w:val="Default"/>
        <w:numPr>
          <w:ilvl w:val="0"/>
          <w:numId w:val="21"/>
        </w:numPr>
        <w:spacing w:line="276" w:lineRule="auto"/>
        <w:jc w:val="both"/>
        <w:rPr>
          <w:rFonts w:asciiTheme="minorHAnsi" w:hAnsiTheme="minorHAnsi" w:cstheme="minorHAnsi"/>
          <w:sz w:val="22"/>
          <w:szCs w:val="22"/>
        </w:rPr>
      </w:pPr>
      <w:r w:rsidRPr="00F34957">
        <w:rPr>
          <w:rFonts w:asciiTheme="minorHAnsi" w:hAnsiTheme="minorHAnsi" w:cstheme="minorHAnsi"/>
          <w:sz w:val="22"/>
          <w:szCs w:val="22"/>
        </w:rPr>
        <w:t>La INDDHH es un órgano estatal autónomo que funciona en el ámbito del Poder Legislativo y tiene por cometido la defensa, promoción y protección en toda su extensión de los derechos humanos reconocidos por la Constitución y el Derecho Internacional</w:t>
      </w:r>
      <w:r w:rsidRPr="00F34957">
        <w:rPr>
          <w:rStyle w:val="Refdenotaalpie"/>
          <w:rFonts w:asciiTheme="minorHAnsi" w:hAnsiTheme="minorHAnsi" w:cstheme="minorHAnsi"/>
          <w:sz w:val="22"/>
          <w:szCs w:val="22"/>
        </w:rPr>
        <w:footnoteReference w:id="1"/>
      </w:r>
      <w:r w:rsidRPr="00F34957">
        <w:rPr>
          <w:rFonts w:asciiTheme="minorHAnsi" w:hAnsiTheme="minorHAnsi" w:cstheme="minorHAnsi"/>
          <w:sz w:val="22"/>
          <w:szCs w:val="22"/>
        </w:rPr>
        <w:t xml:space="preserve">. </w:t>
      </w:r>
    </w:p>
    <w:p w14:paraId="69A79702" w14:textId="77777777" w:rsidR="00BC7BA5" w:rsidRPr="00F34957" w:rsidRDefault="00BC7BA5" w:rsidP="00BC7BA5">
      <w:pPr>
        <w:pStyle w:val="Default"/>
        <w:numPr>
          <w:ilvl w:val="0"/>
          <w:numId w:val="21"/>
        </w:numPr>
        <w:spacing w:line="276" w:lineRule="auto"/>
        <w:jc w:val="both"/>
        <w:rPr>
          <w:rFonts w:asciiTheme="minorHAnsi" w:hAnsiTheme="minorHAnsi" w:cstheme="minorHAnsi"/>
          <w:sz w:val="22"/>
          <w:szCs w:val="22"/>
        </w:rPr>
      </w:pPr>
      <w:r w:rsidRPr="00F34957">
        <w:rPr>
          <w:rFonts w:asciiTheme="minorHAnsi" w:hAnsiTheme="minorHAnsi" w:cstheme="minorHAnsi"/>
          <w:sz w:val="22"/>
          <w:szCs w:val="22"/>
        </w:rPr>
        <w:t xml:space="preserve">Es un mecanismo complementario de otros ya existentes, destinado a otorgar mayores garantías a las personas en el goce efectivo de sus derechos y para verificar que las leyes, las prácticas administrativas y políticas públicas, se ajusten a las normas internacionales protectoras de los derechos humanos. </w:t>
      </w:r>
    </w:p>
    <w:p w14:paraId="5D590B9B" w14:textId="77777777" w:rsidR="00BC7BA5" w:rsidRPr="00F34957" w:rsidRDefault="00BC7BA5" w:rsidP="00BC7BA5">
      <w:pPr>
        <w:pStyle w:val="Default"/>
        <w:numPr>
          <w:ilvl w:val="0"/>
          <w:numId w:val="21"/>
        </w:numPr>
        <w:spacing w:line="276" w:lineRule="auto"/>
        <w:jc w:val="both"/>
        <w:rPr>
          <w:rFonts w:asciiTheme="minorHAnsi" w:hAnsiTheme="minorHAnsi" w:cstheme="minorHAnsi"/>
          <w:sz w:val="22"/>
          <w:szCs w:val="22"/>
        </w:rPr>
      </w:pPr>
      <w:r w:rsidRPr="00F34957">
        <w:rPr>
          <w:rFonts w:asciiTheme="minorHAnsi" w:hAnsiTheme="minorHAnsi" w:cstheme="minorHAnsi"/>
          <w:sz w:val="22"/>
          <w:szCs w:val="22"/>
        </w:rPr>
        <w:t>Se trata de una Institución que ha sido parte de la estructura del Estado uruguayo por más de una década y que ha sido reconocida desde el año 2016 por el Subcomité de Acreditación de GANHRI con la categoría A. Esta acreditación representa un reconocimiento al esfuerzo del Estado uruguayo y la INDDHH por la consolidación de una organización estatal e independiente dedicada a la promoción y protección de los Derechos Humanos de todas las personas, consagrados en la Constitución de la República y el Derecho Internacional.</w:t>
      </w:r>
    </w:p>
    <w:p w14:paraId="3C1F1805" w14:textId="77777777" w:rsidR="00BC7BA5" w:rsidRPr="00F34957" w:rsidRDefault="00BC7BA5" w:rsidP="00BC7BA5">
      <w:pPr>
        <w:pStyle w:val="Prrafodelista"/>
        <w:numPr>
          <w:ilvl w:val="0"/>
          <w:numId w:val="21"/>
        </w:numPr>
        <w:jc w:val="both"/>
        <w:rPr>
          <w:rFonts w:cstheme="minorHAnsi"/>
        </w:rPr>
      </w:pPr>
      <w:r w:rsidRPr="00F34957">
        <w:rPr>
          <w:rFonts w:cstheme="minorHAnsi"/>
        </w:rPr>
        <w:t xml:space="preserve">La INDDHH presentó por primera vez un </w:t>
      </w:r>
      <w:r w:rsidRPr="00F34957">
        <w:rPr>
          <w:rStyle w:val="Hipervnculo"/>
          <w:rFonts w:cstheme="minorHAnsi"/>
        </w:rPr>
        <w:t>informe ante el Comité DESC</w:t>
      </w:r>
      <w:r w:rsidRPr="00F34957">
        <w:rPr>
          <w:rStyle w:val="Refdenotaalpie"/>
          <w:rFonts w:cstheme="minorHAnsi"/>
        </w:rPr>
        <w:footnoteReference w:id="2"/>
      </w:r>
      <w:r w:rsidRPr="00F34957">
        <w:rPr>
          <w:rFonts w:cstheme="minorHAnsi"/>
        </w:rPr>
        <w:t xml:space="preserve"> en oportunidad del tratamiento del quinto informe periódico en 2017. Desde entonces, la INDDHH ha profundizado la atención a los derechos económicos, sociales, culturales y ambientales, a través de diferentes líneas de acción, entre las que se destaca el desarrollo del Mirador DESCA</w:t>
      </w:r>
      <w:r w:rsidRPr="00F34957">
        <w:rPr>
          <w:rStyle w:val="Refdenotaalpie"/>
          <w:rFonts w:cstheme="minorHAnsi"/>
        </w:rPr>
        <w:footnoteReference w:id="3"/>
      </w:r>
      <w:r w:rsidRPr="00F34957">
        <w:rPr>
          <w:rFonts w:cstheme="minorHAnsi"/>
        </w:rPr>
        <w:t xml:space="preserve">. </w:t>
      </w:r>
    </w:p>
    <w:p w14:paraId="0FE94213" w14:textId="77777777" w:rsidR="00BC7BA5" w:rsidRPr="00B52CBD" w:rsidRDefault="00BC7BA5" w:rsidP="00BC7BA5">
      <w:pPr>
        <w:pStyle w:val="Prrafodelista"/>
        <w:ind w:left="360"/>
        <w:jc w:val="both"/>
        <w:rPr>
          <w:rFonts w:cstheme="minorHAnsi"/>
          <w:sz w:val="24"/>
          <w:szCs w:val="24"/>
        </w:rPr>
      </w:pPr>
    </w:p>
    <w:p w14:paraId="0298869B" w14:textId="77777777" w:rsidR="00BC7BA5" w:rsidRDefault="00BC7BA5" w:rsidP="00BC7BA5">
      <w:pPr>
        <w:pStyle w:val="Ttulo2"/>
      </w:pPr>
      <w:bookmarkStart w:id="2" w:name="_Toc219025490"/>
      <w:r>
        <w:t>III. La INDDHH y el seguimiento de los derechos económicos, sociales y culturales</w:t>
      </w:r>
      <w:bookmarkEnd w:id="2"/>
      <w:r>
        <w:t xml:space="preserve"> </w:t>
      </w:r>
    </w:p>
    <w:p w14:paraId="3070A886" w14:textId="77777777" w:rsidR="00BC7BA5" w:rsidRPr="00F34957" w:rsidRDefault="00BC7BA5" w:rsidP="00BC7BA5"/>
    <w:p w14:paraId="6CFDE9B5" w14:textId="77777777" w:rsidR="00BC7BA5" w:rsidRPr="00F34957" w:rsidRDefault="00BC7BA5" w:rsidP="00BC7BA5">
      <w:pPr>
        <w:pStyle w:val="Prrafodelista"/>
        <w:numPr>
          <w:ilvl w:val="0"/>
          <w:numId w:val="21"/>
        </w:numPr>
        <w:spacing w:after="0"/>
        <w:jc w:val="both"/>
        <w:rPr>
          <w:rFonts w:cstheme="minorHAnsi"/>
        </w:rPr>
      </w:pPr>
      <w:r w:rsidRPr="00F34957">
        <w:rPr>
          <w:rFonts w:cstheme="minorHAnsi"/>
        </w:rPr>
        <w:t xml:space="preserve">El Mirador DESCA es una plataforma en línea creada por la INDDHH y la Facultad de Ciencias Sociales (FCS-UDELAR) para monitorear y visibilizar el cumplimiento de los Derechos Económicos, Sociales, Culturales y Ambientales (DESCA) en Uruguay. </w:t>
      </w:r>
    </w:p>
    <w:p w14:paraId="63FBAB1B" w14:textId="77777777" w:rsidR="00BC7BA5" w:rsidRPr="00F34957" w:rsidRDefault="00BC7BA5" w:rsidP="00BC7BA5">
      <w:pPr>
        <w:pStyle w:val="Prrafodelista"/>
        <w:numPr>
          <w:ilvl w:val="0"/>
          <w:numId w:val="21"/>
        </w:numPr>
        <w:spacing w:after="0"/>
        <w:jc w:val="both"/>
        <w:rPr>
          <w:rFonts w:cstheme="minorHAnsi"/>
        </w:rPr>
      </w:pPr>
      <w:r w:rsidRPr="00F34957">
        <w:rPr>
          <w:rFonts w:cstheme="minorHAnsi"/>
        </w:rPr>
        <w:t>El objetivo del Mirador DESCA es presentar información que refleje los compromisos asumidos por Uruguay en materia de Derechos Económicos, Sociales, Culturales y Ambientales (DESCA) y que permitan el seguimiento de avances y brechas respecto a poblaciones vulnerables.</w:t>
      </w:r>
    </w:p>
    <w:p w14:paraId="48E00971" w14:textId="77777777" w:rsidR="00BC7BA5" w:rsidRPr="00F34957" w:rsidRDefault="00BC7BA5" w:rsidP="00BC7BA5">
      <w:pPr>
        <w:pStyle w:val="Prrafodelista"/>
        <w:numPr>
          <w:ilvl w:val="0"/>
          <w:numId w:val="21"/>
        </w:numPr>
        <w:spacing w:after="0"/>
        <w:jc w:val="both"/>
        <w:rPr>
          <w:rFonts w:cstheme="minorHAnsi"/>
        </w:rPr>
      </w:pPr>
      <w:r w:rsidRPr="00F34957">
        <w:rPr>
          <w:rFonts w:cstheme="minorHAnsi"/>
        </w:rPr>
        <w:t>La información del Mirador DESCA surge de una base de datos consolidada a partir de fuentes permanentes (nacionales e internacionales) y registros continuos del Sistema Estadístico Nacional. La información fue sistematizada para mostrar la evolución de la adecuación de Uruguay a los parámetros que surgen de la consideración de los compromisos asumidos con el sistema internacional de derechos humanos. La actualización de datos se realiza de forma periódica y en función de disponibilidad de nueva información en las fuentes utilizadas.</w:t>
      </w:r>
    </w:p>
    <w:p w14:paraId="55D71DB3" w14:textId="77777777" w:rsidR="00BC7BA5" w:rsidRPr="00F34957" w:rsidRDefault="00BC7BA5" w:rsidP="00BC7BA5">
      <w:pPr>
        <w:pStyle w:val="Prrafodelista"/>
        <w:numPr>
          <w:ilvl w:val="0"/>
          <w:numId w:val="21"/>
        </w:numPr>
        <w:spacing w:after="0"/>
        <w:jc w:val="both"/>
        <w:rPr>
          <w:rFonts w:cstheme="minorHAnsi"/>
        </w:rPr>
      </w:pPr>
      <w:r w:rsidRPr="00F34957">
        <w:rPr>
          <w:rFonts w:cstheme="minorHAnsi"/>
        </w:rPr>
        <w:t>El Mirador DESCA fue elaborado en atención a la Observación General número 10 del Comité que define que las INDH tienen un rol fundamental en la protección de los DESCA (que incluye examinar las leyes y las disposiciones administrativas que se proyecten y las vigentes, para cerciorarse de su adecuación a los estándares internacionales, prestar asesoramiento técnico y realizar estudios en relación con los DESCA, elaborar criterios nacionales de referencia que permitan medir el grado de cumplimiento de las obligaciones que impone el Pacto, realizar investigaciones y de estudios con vistas a determinar la medida en que se llevan a la práctica los DESCA en general y en relación con poblaciones particularmente vulnerables, y, vigilar la observancia de derechos específicos y preparar informes dirigidos a las autoridades públicas y a la sociedad civil).</w:t>
      </w:r>
    </w:p>
    <w:p w14:paraId="389B3A37" w14:textId="77777777" w:rsidR="00BC7BA5" w:rsidRPr="00F34957" w:rsidRDefault="00BC7BA5" w:rsidP="00BC7BA5">
      <w:pPr>
        <w:pStyle w:val="Prrafodelista"/>
        <w:numPr>
          <w:ilvl w:val="0"/>
          <w:numId w:val="21"/>
        </w:numPr>
        <w:jc w:val="both"/>
        <w:rPr>
          <w:rFonts w:cstheme="minorHAnsi"/>
        </w:rPr>
      </w:pPr>
      <w:r w:rsidRPr="00F34957">
        <w:rPr>
          <w:rFonts w:cstheme="minorHAnsi"/>
        </w:rPr>
        <w:t>El Mirador presenta información sobre el estado de los derechos salud, educación, vivienda, seguridad social, trabajo, alimentación y ambiente en Uruguay. Compara el ejercicio de estos derechos entre diferentes grupos poblacionales (niños, mujeres, afrodescendientes, personas con discapacidad, migrantes, población LGBTI y población privada de libertad) y el promedio nacional, identificando desigualdades.</w:t>
      </w:r>
    </w:p>
    <w:p w14:paraId="36150FD2" w14:textId="77777777" w:rsidR="00BC7BA5" w:rsidRPr="00F34957" w:rsidRDefault="00BC7BA5" w:rsidP="00BC7BA5">
      <w:pPr>
        <w:pStyle w:val="Prrafodelista"/>
        <w:numPr>
          <w:ilvl w:val="0"/>
          <w:numId w:val="21"/>
        </w:numPr>
        <w:jc w:val="both"/>
        <w:rPr>
          <w:rFonts w:cstheme="minorHAnsi"/>
        </w:rPr>
      </w:pPr>
      <w:r w:rsidRPr="00F34957">
        <w:rPr>
          <w:rFonts w:cstheme="minorHAnsi"/>
        </w:rPr>
        <w:t xml:space="preserve">La herramienta, disponible en línea, ofrece datos sobre la normativa internacional y nacional, las políticas públicas implementadas y los resultados efectivos de los derechos. El Mirador habilita la descarga de gráficos y tablas para entender la situación de los DESCA en el país y el esfuerzo económico del Estado. </w:t>
      </w:r>
    </w:p>
    <w:p w14:paraId="610CBBD6" w14:textId="77777777" w:rsidR="00BC7BA5" w:rsidRPr="00F34957" w:rsidRDefault="00BC7BA5" w:rsidP="00BC7BA5">
      <w:pPr>
        <w:pStyle w:val="Prrafodelista"/>
        <w:numPr>
          <w:ilvl w:val="0"/>
          <w:numId w:val="21"/>
        </w:numPr>
        <w:jc w:val="both"/>
        <w:rPr>
          <w:rFonts w:cstheme="minorHAnsi"/>
        </w:rPr>
      </w:pPr>
      <w:r w:rsidRPr="00F34957">
        <w:rPr>
          <w:rFonts w:cstheme="minorHAnsi"/>
        </w:rPr>
        <w:t xml:space="preserve">Por otra parte, se puede señalar otra línea de acción relevante de la INDDHH vinculada a la creación de unidades de trabajo específicas dentro de la INDDHH destinadas a dar seguimiento a las brechas en la realización de derechos de poblaciones definidas como grupos de especial protección: personas afrodescendientes, personas mayores, personas migrantes, personas con discapacidad (unidad hoy consagrada por ley como Mecanismo de Vigilancia y Monitoreo de la Convención sobre los derechos de las personas con discapacidad) y la unidad especializada de género. </w:t>
      </w:r>
    </w:p>
    <w:p w14:paraId="408EE4B2" w14:textId="77777777" w:rsidR="00BC7BA5" w:rsidRPr="00F34957" w:rsidRDefault="00BC7BA5" w:rsidP="00BC7BA5">
      <w:pPr>
        <w:pStyle w:val="Prrafodelista"/>
        <w:numPr>
          <w:ilvl w:val="0"/>
          <w:numId w:val="21"/>
        </w:numPr>
        <w:jc w:val="both"/>
        <w:rPr>
          <w:rFonts w:cstheme="minorHAnsi"/>
        </w:rPr>
      </w:pPr>
      <w:r w:rsidRPr="00F34957">
        <w:rPr>
          <w:rFonts w:cstheme="minorHAnsi"/>
        </w:rPr>
        <w:t xml:space="preserve">Estas unidades trabajan en conjunto con el área de recepción de denuncias y articulan las respuestas institucionales a las denuncias de discriminación. La INDDHH realiza la tarea de protección y promoción de los derechos económicos, sociales, culturales y ambientales, también desde su área de Defensoría del Pueblo que canaliza las denuncias y planteos que los ciudadanos y ciudadanas realizan sobre posibles vulneraciones. </w:t>
      </w:r>
    </w:p>
    <w:p w14:paraId="44E86657" w14:textId="77777777" w:rsidR="00BC7BA5" w:rsidRPr="00F34957" w:rsidRDefault="00BC7BA5" w:rsidP="00BC7BA5">
      <w:pPr>
        <w:pStyle w:val="Prrafodelista"/>
        <w:numPr>
          <w:ilvl w:val="0"/>
          <w:numId w:val="21"/>
        </w:numPr>
        <w:jc w:val="both"/>
        <w:rPr>
          <w:rFonts w:cstheme="minorHAnsi"/>
        </w:rPr>
      </w:pPr>
      <w:r w:rsidRPr="00F34957">
        <w:rPr>
          <w:rFonts w:cstheme="minorHAnsi"/>
        </w:rPr>
        <w:lastRenderedPageBreak/>
        <w:t>Las denuncias son analizadas e investigadas por un equipo de profesionales expertos en derechos humanos que sustancian esos casos e informan al Consejo Directivo de la INDDHH, la que realiza recomendaciones, planteos, observaciones o propuestas a los organismos concernidos en los planteos.</w:t>
      </w:r>
    </w:p>
    <w:p w14:paraId="22AB041B" w14:textId="77777777" w:rsidR="00BC7BA5" w:rsidRPr="00F34957" w:rsidRDefault="00BC7BA5" w:rsidP="00BC7BA5">
      <w:pPr>
        <w:pStyle w:val="Prrafodelista"/>
        <w:numPr>
          <w:ilvl w:val="0"/>
          <w:numId w:val="21"/>
        </w:numPr>
        <w:jc w:val="both"/>
        <w:rPr>
          <w:rFonts w:cstheme="minorHAnsi"/>
        </w:rPr>
      </w:pPr>
      <w:r w:rsidRPr="00F34957">
        <w:rPr>
          <w:rFonts w:cstheme="minorHAnsi"/>
        </w:rPr>
        <w:t xml:space="preserve">Así, entre los múltiples temas que se tramitan se realizan gestiones sobre vulneración de derechos en la dimensión del derecho al trabajo (situaciones de acoso, abusos de poder, acceso a capacitaciones o a seguros sociales), del derecho a la educación (acceso a prestaciones de personas con discapacidad, accesibilidad educativa, conflictos en centros educativos que alteran el clima pedagógico), derechos vinculados a la vida digna y los derechos sociales (acceso a vivienda, adjudicación de derechos de la seguridad social, accesibilidad en el transporte), derecho a la protección familiar (accesibilidad de mecanismos de apoyo a la crianza, a la protección de la primera infancia, transparencia de los procesos de adopción y de desinstitucionalización), derecho a la salud y la salud mental (acceso a tratamientos de alto costo, cuidados y buen trato de las instituciones sanitarias, acceso a asistencia para el consumo problemático de sustancias) y el derecho a un ambiente sano (solicitud de medias provisionales para impedir consumación de perjuicios ante el inicio de exploración de hidrocarburos, medidas de participación comunitaria ante emprendimientos de impacto ambiental). </w:t>
      </w:r>
    </w:p>
    <w:p w14:paraId="15C933E3" w14:textId="77777777" w:rsidR="00BC7BA5" w:rsidRPr="00F34957" w:rsidRDefault="00BC7BA5" w:rsidP="00BC7BA5">
      <w:pPr>
        <w:pStyle w:val="Prrafodelista"/>
        <w:numPr>
          <w:ilvl w:val="0"/>
          <w:numId w:val="21"/>
        </w:numPr>
        <w:jc w:val="both"/>
        <w:rPr>
          <w:rFonts w:cstheme="minorHAnsi"/>
        </w:rPr>
      </w:pPr>
      <w:r w:rsidRPr="00F34957">
        <w:rPr>
          <w:rFonts w:cstheme="minorHAnsi"/>
        </w:rPr>
        <w:t>El derecho a un ambiente sano también es monitoreado por el Área de Ambiente de la INDDHH creada recientemente atendiendo a demandas de la sociedad civil y al monitoreo de los compromisos internacionales de Uruguay en la materia.</w:t>
      </w:r>
    </w:p>
    <w:p w14:paraId="62D84828" w14:textId="77777777" w:rsidR="00BC7BA5" w:rsidRPr="00F34957" w:rsidRDefault="00BC7BA5" w:rsidP="00BC7BA5">
      <w:pPr>
        <w:pStyle w:val="Prrafodelista"/>
        <w:numPr>
          <w:ilvl w:val="0"/>
          <w:numId w:val="21"/>
        </w:numPr>
        <w:jc w:val="both"/>
        <w:rPr>
          <w:rFonts w:cstheme="minorHAnsi"/>
        </w:rPr>
      </w:pPr>
      <w:r w:rsidRPr="00F34957">
        <w:rPr>
          <w:rFonts w:cstheme="minorHAnsi"/>
        </w:rPr>
        <w:t>Por último, debe destacarse que la INDDHH en su despliegue como Mecanismo Nacional de Prevención de la Tortura ha realizado un monitoreo sistemático y riguroso de la situación de las infancias que se encuentran en el sistema de protección estatal. Este monitoreo ha puesto en evidencia los severos obstáculos que enfrentan niñas, niños y adolescentes para disfrutar plenamente de sus derechos económicos, sociales y culturales.</w:t>
      </w:r>
    </w:p>
    <w:p w14:paraId="1E550551" w14:textId="77777777" w:rsidR="00BC7BA5" w:rsidRPr="00F34957" w:rsidRDefault="00BC7BA5" w:rsidP="00BC7BA5">
      <w:pPr>
        <w:pStyle w:val="Prrafodelista"/>
        <w:numPr>
          <w:ilvl w:val="0"/>
          <w:numId w:val="21"/>
        </w:numPr>
        <w:jc w:val="both"/>
        <w:rPr>
          <w:rFonts w:cstheme="minorHAnsi"/>
        </w:rPr>
      </w:pPr>
      <w:r w:rsidRPr="00F34957">
        <w:rPr>
          <w:rFonts w:cstheme="minorHAnsi"/>
        </w:rPr>
        <w:t>Además, la INDDHH está trabajando sobre los DESCA en otros ámbitos en articulación con organizaciones de la sociedad civil y organismos estatales. En particular, el derecho a la alimentación desde el Grupo de Trabajo</w:t>
      </w:r>
      <w:r w:rsidRPr="00F34957">
        <w:rPr>
          <w:rStyle w:val="Refdenotaalpie"/>
          <w:rFonts w:cstheme="minorHAnsi"/>
        </w:rPr>
        <w:footnoteReference w:id="4"/>
      </w:r>
      <w:r w:rsidRPr="00F34957">
        <w:rPr>
          <w:rFonts w:cstheme="minorHAnsi"/>
        </w:rPr>
        <w:t xml:space="preserve"> sobre el derecho a la alimentación adecuada y el derecho a los Cuidados, tema abordado en la XIV Asamblea Nacional de DDHH</w:t>
      </w:r>
      <w:r w:rsidRPr="00F34957">
        <w:rPr>
          <w:rStyle w:val="Refdenotaalpie"/>
          <w:rFonts w:cstheme="minorHAnsi"/>
        </w:rPr>
        <w:footnoteReference w:id="5"/>
      </w:r>
      <w:r w:rsidRPr="00F34957">
        <w:rPr>
          <w:rFonts w:cstheme="minorHAnsi"/>
        </w:rPr>
        <w:t>, y, tratado en el marco del Grupo de Trabajo sobre licencias para cuidados parentales.</w:t>
      </w:r>
    </w:p>
    <w:p w14:paraId="3EB9C5A6" w14:textId="77777777" w:rsidR="00BC7BA5" w:rsidRPr="00F34957" w:rsidRDefault="00BC7BA5" w:rsidP="00BC7BA5">
      <w:pPr>
        <w:pStyle w:val="Prrafodelista"/>
        <w:numPr>
          <w:ilvl w:val="0"/>
          <w:numId w:val="21"/>
        </w:numPr>
        <w:jc w:val="both"/>
        <w:rPr>
          <w:rFonts w:cstheme="minorHAnsi"/>
        </w:rPr>
      </w:pPr>
      <w:r w:rsidRPr="00F34957">
        <w:rPr>
          <w:rFonts w:cstheme="minorHAnsi"/>
        </w:rPr>
        <w:t xml:space="preserve">La INDDHH quiere resaltar que, de cara a la revisión del sexto informe periódico de Uruguay, con el apoyo de la Asociación Nacional de ONG, se programaron 4 jornadas dirigidas a organizaciones de la sociedad civil interesadas en presentar informes ante el Comité DESC. Se jerarquizaron los siguientes temas: Pobreza y Derechos Humanos; Derecho a la Vivienda adecuada; Derecho a la Educación; y, Derecho a la Salud con énfasis en salud mental. </w:t>
      </w:r>
    </w:p>
    <w:p w14:paraId="77E0473F" w14:textId="77777777" w:rsidR="00BC7BA5" w:rsidRPr="00F34957" w:rsidRDefault="00BC7BA5" w:rsidP="00BC7BA5">
      <w:pPr>
        <w:pStyle w:val="Prrafodelista"/>
        <w:numPr>
          <w:ilvl w:val="0"/>
          <w:numId w:val="21"/>
        </w:numPr>
        <w:jc w:val="both"/>
        <w:rPr>
          <w:rFonts w:cstheme="minorHAnsi"/>
        </w:rPr>
      </w:pPr>
      <w:r w:rsidRPr="00F34957">
        <w:rPr>
          <w:rFonts w:cstheme="minorHAnsi"/>
        </w:rPr>
        <w:t>En virtud de este trabajo sostenido de la INDDHH en el seguimiento del cumplimiento del Estado uruguayo de sus obligaciones relativas a los DESCA y los énfasis de trabajo de la institución, este informe aborda aquellos puntos en que la INDDHH cuenta con mayor cantidad de elementos complementarios a los informados por el Estado y las organizaciones de la sociedad civil y que considera deben ser abordados en ocasión de la revisión del 6° informe periódico presentado por Uruguay.</w:t>
      </w:r>
    </w:p>
    <w:p w14:paraId="721A22D6" w14:textId="77777777" w:rsidR="00BC7BA5" w:rsidRPr="00F34957" w:rsidRDefault="00BC7BA5" w:rsidP="00BC7BA5">
      <w:pPr>
        <w:pStyle w:val="Prrafodelista"/>
        <w:numPr>
          <w:ilvl w:val="0"/>
          <w:numId w:val="21"/>
        </w:numPr>
        <w:jc w:val="both"/>
        <w:rPr>
          <w:rFonts w:cstheme="minorHAnsi"/>
        </w:rPr>
      </w:pPr>
      <w:r w:rsidRPr="00F34957">
        <w:rPr>
          <w:rFonts w:cstheme="minorHAnsi"/>
        </w:rPr>
        <w:t>Por ello, este informe se concentra fundamentalmente en los artículos 10, 11 y 12 del Pacto y recoge para ello los aspectos consignados en la lista de cuestiones del Comité al Estado uruguayo.</w:t>
      </w:r>
    </w:p>
    <w:p w14:paraId="6FB75BC2" w14:textId="77777777" w:rsidR="00BC7BA5" w:rsidRPr="00F34957" w:rsidRDefault="00BC7BA5" w:rsidP="00BC7BA5">
      <w:pPr>
        <w:pStyle w:val="Prrafodelista"/>
        <w:numPr>
          <w:ilvl w:val="0"/>
          <w:numId w:val="21"/>
        </w:numPr>
        <w:jc w:val="both"/>
        <w:rPr>
          <w:rFonts w:cstheme="minorHAnsi"/>
        </w:rPr>
      </w:pPr>
      <w:r w:rsidRPr="00F34957">
        <w:rPr>
          <w:rFonts w:cstheme="minorHAnsi"/>
        </w:rPr>
        <w:t xml:space="preserve">Ello sin perjuicio de que la INDDHH señala la importancia de continuar fortaleciendo las políticas públicas destinadas a promover los derechos relativos a condiciones de trabajo equitativas y satisfactorias, a la </w:t>
      </w:r>
      <w:r w:rsidRPr="00F34957">
        <w:rPr>
          <w:rFonts w:cstheme="minorHAnsi"/>
        </w:rPr>
        <w:lastRenderedPageBreak/>
        <w:t xml:space="preserve">seguridad social, a un nivel de vida adecuado, al máximo estándar posible de salud física y mental, a la educación y al disfrute de los beneficios de la cultura. </w:t>
      </w:r>
    </w:p>
    <w:p w14:paraId="68481098" w14:textId="77777777" w:rsidR="00BC7BA5" w:rsidRPr="00F34957" w:rsidRDefault="00BC7BA5" w:rsidP="00BC7BA5">
      <w:pPr>
        <w:pStyle w:val="Prrafodelista"/>
        <w:numPr>
          <w:ilvl w:val="0"/>
          <w:numId w:val="21"/>
        </w:numPr>
        <w:jc w:val="both"/>
        <w:rPr>
          <w:rFonts w:cstheme="minorHAnsi"/>
        </w:rPr>
      </w:pPr>
      <w:r w:rsidRPr="00F34957">
        <w:rPr>
          <w:rFonts w:cstheme="minorHAnsi"/>
        </w:rPr>
        <w:t>En particular, la INDDHH insiste en que el país continúe trabajando en la superación de aquellos obstáculos al pleno ejercicio de los derechos económicos, sociales y culturales ya consignados por la INDDHH en informes a otros órganos de tratados tales como CEDAW, CERD y CAT, y, el informe presentado en ocasión del EPU al Consejo de Derechos Humanos. Así como también en las resoluciones y recomendaciones hechas al Estado uruguayo</w:t>
      </w:r>
      <w:r w:rsidRPr="00F34957">
        <w:rPr>
          <w:rStyle w:val="Refdenotaalpie"/>
          <w:rFonts w:cstheme="minorHAnsi"/>
        </w:rPr>
        <w:footnoteReference w:id="6"/>
      </w:r>
      <w:r w:rsidRPr="00F34957">
        <w:rPr>
          <w:rFonts w:cstheme="minorHAnsi"/>
        </w:rPr>
        <w:t xml:space="preserve"> (principalmente aquellas vinculadas a los derechos de las personas migrantes, las personas con discapacidad, las mujeres y las personas afrodescendientes en relación a las brechas manifiestas en la realización y disfrute de sus derechos económicos, sociales y culturales). </w:t>
      </w:r>
    </w:p>
    <w:p w14:paraId="2FB17F72" w14:textId="77777777" w:rsidR="00BC7BA5" w:rsidRDefault="00BC7BA5" w:rsidP="00BC7BA5">
      <w:pPr>
        <w:pStyle w:val="Ttulo2"/>
      </w:pPr>
    </w:p>
    <w:p w14:paraId="4773054A" w14:textId="77777777" w:rsidR="00BC7BA5" w:rsidRDefault="00BC7BA5" w:rsidP="00BC7BA5">
      <w:pPr>
        <w:pStyle w:val="Ttulo2"/>
      </w:pPr>
      <w:bookmarkStart w:id="3" w:name="_Toc219025491"/>
      <w:r>
        <w:t xml:space="preserve">IV. </w:t>
      </w:r>
      <w:r w:rsidRPr="00FD6458">
        <w:t xml:space="preserve">Protección de </w:t>
      </w:r>
      <w:r>
        <w:t>niñas, niños y adolescentes</w:t>
      </w:r>
      <w:r w:rsidRPr="00FD6458">
        <w:t xml:space="preserve"> (artículo 10)</w:t>
      </w:r>
      <w:bookmarkEnd w:id="3"/>
    </w:p>
    <w:p w14:paraId="229ECFA9" w14:textId="77777777" w:rsidR="00BC7BA5" w:rsidRDefault="00BC7BA5" w:rsidP="0097778A">
      <w:pPr>
        <w:pStyle w:val="Ttulo2"/>
      </w:pPr>
      <w:bookmarkStart w:id="4" w:name="_Toc219025492"/>
      <w:r>
        <w:t>Los derechos de niñas, niños y adolescentes</w:t>
      </w:r>
      <w:bookmarkEnd w:id="4"/>
    </w:p>
    <w:p w14:paraId="41914FD3" w14:textId="77777777" w:rsidR="00BC7BA5" w:rsidRPr="00F34957" w:rsidRDefault="00BC7BA5" w:rsidP="00BC7BA5">
      <w:pPr>
        <w:jc w:val="both"/>
        <w:rPr>
          <w:rFonts w:cstheme="minorHAnsi"/>
        </w:rPr>
      </w:pPr>
    </w:p>
    <w:p w14:paraId="19E73305" w14:textId="6D10020D" w:rsidR="00F23ADC" w:rsidRPr="00F34957" w:rsidRDefault="00BC7BA5" w:rsidP="0033425F">
      <w:pPr>
        <w:pStyle w:val="Prrafodelista"/>
        <w:numPr>
          <w:ilvl w:val="0"/>
          <w:numId w:val="21"/>
        </w:numPr>
        <w:jc w:val="both"/>
        <w:rPr>
          <w:rFonts w:cstheme="minorHAnsi"/>
        </w:rPr>
      </w:pPr>
      <w:r w:rsidRPr="00F34957">
        <w:rPr>
          <w:rFonts w:cstheme="minorHAnsi"/>
        </w:rPr>
        <w:t xml:space="preserve">La situación de las infancias en Uruguay es actualmente uno de los temas presentes en la agenda pública. Así lo revelan tanto las definiciones del presupuesto nacional para el próximo quinquenio como iniciativas del cuerpo legislativo. </w:t>
      </w:r>
      <w:r w:rsidR="00F23ADC" w:rsidRPr="00F34957">
        <w:rPr>
          <w:rFonts w:cstheme="minorHAnsi"/>
        </w:rPr>
        <w:t xml:space="preserve">En Uruguay la pobreza se concentra mayoritariamente en los hogares con más niños, niñas y adolescentes. </w:t>
      </w:r>
    </w:p>
    <w:p w14:paraId="478CD1EE" w14:textId="77777777" w:rsidR="00BC7BA5" w:rsidRPr="00F34957" w:rsidRDefault="00BC7BA5" w:rsidP="00BC7BA5">
      <w:pPr>
        <w:pStyle w:val="Prrafodelista"/>
        <w:numPr>
          <w:ilvl w:val="0"/>
          <w:numId w:val="21"/>
        </w:numPr>
        <w:jc w:val="both"/>
        <w:rPr>
          <w:rFonts w:cstheme="minorHAnsi"/>
        </w:rPr>
      </w:pPr>
      <w:r w:rsidRPr="00F34957">
        <w:rPr>
          <w:rFonts w:cstheme="minorHAnsi"/>
        </w:rPr>
        <w:t>De acuerdo a estudios realizados por UNICEF</w:t>
      </w:r>
      <w:r w:rsidRPr="00F34957">
        <w:rPr>
          <w:rStyle w:val="Refdenotaalpie"/>
          <w:rFonts w:cstheme="minorHAnsi"/>
        </w:rPr>
        <w:footnoteReference w:id="7"/>
      </w:r>
      <w:r w:rsidRPr="00F34957">
        <w:rPr>
          <w:rFonts w:cstheme="minorHAnsi"/>
        </w:rPr>
        <w:t xml:space="preserve">, en los últimos treinta años, la tasa de pobreza en niñas, niños y adolescentes ha sido entre 1,5 y 2 veces la de pobreza general. Si bien en los últimos dos años la pobreza de niñas, niños y adolescentes descendió, en 2023 aún había alrededor de 150.000 niños y adolescentes viviendo bajo la línea de pobreza. </w:t>
      </w:r>
    </w:p>
    <w:p w14:paraId="005E6085" w14:textId="77777777" w:rsidR="00BC7BA5" w:rsidRPr="00F34957" w:rsidRDefault="00BC7BA5" w:rsidP="00BC7BA5">
      <w:pPr>
        <w:pStyle w:val="Prrafodelista"/>
        <w:numPr>
          <w:ilvl w:val="0"/>
          <w:numId w:val="21"/>
        </w:numPr>
        <w:jc w:val="both"/>
        <w:rPr>
          <w:rFonts w:cstheme="minorHAnsi"/>
        </w:rPr>
      </w:pPr>
      <w:r w:rsidRPr="00F34957">
        <w:rPr>
          <w:rFonts w:cstheme="minorHAnsi"/>
        </w:rPr>
        <w:t>La pobreza monetaria en los hogares con niñas, niños y adolescentes implica una escasez de recursos tal que afecta sus posibilidades de acceder a un nivel de vida adecuado, que incluye sus derechos a la alimentación, la vivienda y la educación.</w:t>
      </w:r>
    </w:p>
    <w:p w14:paraId="3FA9859D" w14:textId="77777777" w:rsidR="00BC7BA5" w:rsidRPr="00F34957" w:rsidRDefault="00BC7BA5" w:rsidP="00BC7BA5">
      <w:pPr>
        <w:pStyle w:val="Prrafodelista"/>
        <w:numPr>
          <w:ilvl w:val="0"/>
          <w:numId w:val="21"/>
        </w:numPr>
        <w:jc w:val="both"/>
        <w:rPr>
          <w:rFonts w:cstheme="minorHAnsi"/>
        </w:rPr>
      </w:pPr>
      <w:r w:rsidRPr="00F34957">
        <w:rPr>
          <w:rFonts w:cstheme="minorHAnsi"/>
        </w:rPr>
        <w:t>El gráfico 1 que se presenta a continuación refiere al derecho a la vivienda y muestra como uno de los indicadores claves, el hacinamiento, mantiene su mayor prevalencia en los hogares de los niños y niñas. El gráfico evidencia que las viviendas en las que residen niños y niñas de 0 a 5 años son las que muestran mayores niveles de hacinamiento, seguidas de las viviendas en las que residen niños y niñas de 6 a 12. Este ordenamiento por edades se mantiene constante en toda la serie (2006 – 2024).</w:t>
      </w:r>
    </w:p>
    <w:p w14:paraId="6577B3D2" w14:textId="77777777" w:rsidR="00BC7BA5" w:rsidRPr="00F34957" w:rsidRDefault="00BC7BA5" w:rsidP="00BC7BA5">
      <w:pPr>
        <w:pStyle w:val="Prrafodelista"/>
        <w:numPr>
          <w:ilvl w:val="0"/>
          <w:numId w:val="21"/>
        </w:numPr>
        <w:jc w:val="both"/>
        <w:rPr>
          <w:rFonts w:cstheme="minorHAnsi"/>
        </w:rPr>
      </w:pPr>
      <w:r w:rsidRPr="00F34957">
        <w:rPr>
          <w:rFonts w:cstheme="minorHAnsi"/>
        </w:rPr>
        <w:t xml:space="preserve">Preocupa a la INDDHH esta situación de las infancias que converge con otras vulneraciones de derechos y no ha sido revertida a pesar de los esfuerzos estatales. </w:t>
      </w:r>
    </w:p>
    <w:p w14:paraId="3C3A7B12" w14:textId="77777777" w:rsidR="00BC7BA5" w:rsidRDefault="00BC7BA5" w:rsidP="00BC7BA5">
      <w:pPr>
        <w:jc w:val="both"/>
        <w:rPr>
          <w:rFonts w:cstheme="minorHAnsi"/>
        </w:rPr>
      </w:pPr>
    </w:p>
    <w:p w14:paraId="2A903E14" w14:textId="77777777" w:rsidR="00BC7BA5" w:rsidRDefault="00BC7BA5" w:rsidP="00BC7BA5">
      <w:pPr>
        <w:jc w:val="both"/>
        <w:rPr>
          <w:rFonts w:cstheme="minorHAnsi"/>
        </w:rPr>
      </w:pPr>
    </w:p>
    <w:p w14:paraId="2AEBBCE3" w14:textId="77777777" w:rsidR="00F34957" w:rsidRDefault="00F34957" w:rsidP="00BC7BA5">
      <w:pPr>
        <w:jc w:val="both"/>
        <w:rPr>
          <w:rFonts w:cstheme="minorHAnsi"/>
        </w:rPr>
      </w:pPr>
    </w:p>
    <w:p w14:paraId="1D5AC910" w14:textId="77777777" w:rsidR="00F34957" w:rsidRDefault="00F34957" w:rsidP="00BC7BA5">
      <w:pPr>
        <w:jc w:val="both"/>
        <w:rPr>
          <w:rFonts w:cstheme="minorHAnsi"/>
        </w:rPr>
      </w:pPr>
    </w:p>
    <w:p w14:paraId="7AAA4540" w14:textId="77777777" w:rsidR="00BC7BA5" w:rsidRPr="00F85DBF" w:rsidRDefault="00BC7BA5" w:rsidP="00BC7BA5">
      <w:pPr>
        <w:jc w:val="both"/>
        <w:rPr>
          <w:rFonts w:cstheme="minorHAnsi"/>
        </w:rPr>
      </w:pPr>
      <w:r w:rsidRPr="00F85DBF">
        <w:rPr>
          <w:rFonts w:cstheme="minorHAnsi"/>
        </w:rPr>
        <w:lastRenderedPageBreak/>
        <w:t>GRÁFICO 1</w:t>
      </w:r>
    </w:p>
    <w:p w14:paraId="712FAD18" w14:textId="77777777" w:rsidR="00BC7BA5" w:rsidRDefault="00BC7BA5" w:rsidP="00BC7BA5">
      <w:pPr>
        <w:jc w:val="both"/>
        <w:rPr>
          <w:rFonts w:cstheme="minorHAnsi"/>
          <w:b/>
          <w:sz w:val="24"/>
          <w:szCs w:val="24"/>
        </w:rPr>
      </w:pPr>
      <w:r>
        <w:rPr>
          <w:rFonts w:cstheme="minorHAnsi"/>
          <w:b/>
          <w:noProof/>
          <w:sz w:val="24"/>
          <w:szCs w:val="24"/>
          <w:lang w:val="es-UY" w:eastAsia="es-UY"/>
        </w:rPr>
        <w:drawing>
          <wp:inline distT="0" distB="0" distL="0" distR="0" wp14:anchorId="38485977" wp14:editId="4A9D07E4">
            <wp:extent cx="6124004" cy="25927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50838" cy="2604066"/>
                    </a:xfrm>
                    <a:prstGeom prst="rect">
                      <a:avLst/>
                    </a:prstGeom>
                    <a:noFill/>
                  </pic:spPr>
                </pic:pic>
              </a:graphicData>
            </a:graphic>
          </wp:inline>
        </w:drawing>
      </w:r>
    </w:p>
    <w:p w14:paraId="4D1073DE" w14:textId="77777777" w:rsidR="00BC7BA5" w:rsidRPr="0081777B" w:rsidRDefault="00BC7BA5" w:rsidP="00BC7BA5">
      <w:pPr>
        <w:rPr>
          <w:rFonts w:cstheme="minorHAnsi"/>
          <w:sz w:val="20"/>
          <w:szCs w:val="20"/>
        </w:rPr>
      </w:pPr>
      <w:r>
        <w:rPr>
          <w:rFonts w:cstheme="minorHAnsi"/>
          <w:sz w:val="20"/>
          <w:szCs w:val="20"/>
        </w:rPr>
        <w:t>FUENTE: Mirador</w:t>
      </w:r>
      <w:r w:rsidRPr="0081777B">
        <w:rPr>
          <w:rFonts w:cstheme="minorHAnsi"/>
          <w:sz w:val="20"/>
          <w:szCs w:val="20"/>
        </w:rPr>
        <w:t xml:space="preserve"> DESCA</w:t>
      </w:r>
    </w:p>
    <w:p w14:paraId="0B39F91F" w14:textId="77777777" w:rsidR="00BC7BA5" w:rsidRDefault="00BC7BA5" w:rsidP="00F34957">
      <w:pPr>
        <w:pStyle w:val="Ttulo3"/>
      </w:pPr>
    </w:p>
    <w:p w14:paraId="4A16DC33" w14:textId="77777777" w:rsidR="00BC7BA5" w:rsidRDefault="00BC7BA5" w:rsidP="00F34957">
      <w:pPr>
        <w:pStyle w:val="Ttulo3"/>
      </w:pPr>
    </w:p>
    <w:p w14:paraId="6A0A645F" w14:textId="77777777" w:rsidR="00BC7BA5" w:rsidRDefault="00BC7BA5" w:rsidP="0097778A">
      <w:pPr>
        <w:pStyle w:val="Ttulo2"/>
      </w:pPr>
      <w:bookmarkStart w:id="5" w:name="_Toc219025493"/>
      <w:r>
        <w:t>Niñas, niños y adolescentes en el sistema de protección estatal</w:t>
      </w:r>
      <w:bookmarkEnd w:id="5"/>
    </w:p>
    <w:p w14:paraId="2BB9742B" w14:textId="77777777" w:rsidR="00BC7BA5" w:rsidRPr="00F34957" w:rsidRDefault="00BC7BA5" w:rsidP="00BC7BA5"/>
    <w:p w14:paraId="04AA5F6E" w14:textId="77777777" w:rsidR="00BC7BA5" w:rsidRPr="00F34957" w:rsidRDefault="00BC7BA5" w:rsidP="00BC7BA5">
      <w:pPr>
        <w:pStyle w:val="Prrafodelista"/>
        <w:numPr>
          <w:ilvl w:val="0"/>
          <w:numId w:val="21"/>
        </w:numPr>
        <w:jc w:val="both"/>
        <w:rPr>
          <w:rFonts w:cstheme="minorHAnsi"/>
          <w:lang w:val="es-UY"/>
        </w:rPr>
      </w:pPr>
      <w:r w:rsidRPr="00F34957">
        <w:t>Uruguay presenta altos índices de institucionalización de niñas, niños y adolescentes y se ubica como el país con la tercera tasa más elevada de América Latina (321 niñas, niños y adolescentes cada 100.000)</w:t>
      </w:r>
      <w:r w:rsidRPr="00F34957">
        <w:rPr>
          <w:rStyle w:val="Refdenotaalpie"/>
        </w:rPr>
        <w:footnoteReference w:id="8"/>
      </w:r>
      <w:r w:rsidRPr="00F34957">
        <w:t>.</w:t>
      </w:r>
    </w:p>
    <w:p w14:paraId="171BAF38" w14:textId="77777777" w:rsidR="00BC7BA5" w:rsidRPr="00F34957" w:rsidRDefault="00BC7BA5" w:rsidP="00BC7BA5">
      <w:pPr>
        <w:pStyle w:val="Prrafodelista"/>
        <w:numPr>
          <w:ilvl w:val="0"/>
          <w:numId w:val="21"/>
        </w:numPr>
        <w:jc w:val="both"/>
        <w:rPr>
          <w:rFonts w:cstheme="minorHAnsi"/>
          <w:lang w:val="es-UY"/>
        </w:rPr>
      </w:pPr>
      <w:r w:rsidRPr="00F34957">
        <w:rPr>
          <w:rFonts w:cstheme="minorHAnsi"/>
          <w:lang w:val="es-UY"/>
        </w:rPr>
        <w:t xml:space="preserve">Desde 2014, el MNP monitorea el sistema de protección de niñas, niños y adolescentes del Instituto del Niño y Adolescente del Uruguay (INAU) de acuerdo a su mandato de prevenir situaciones de malos tratos y con énfasis que se han jerarquizado en función de las problemáticas detectadas. </w:t>
      </w:r>
    </w:p>
    <w:p w14:paraId="1C1DA9EC" w14:textId="77777777" w:rsidR="00BC7BA5" w:rsidRPr="00F34957" w:rsidRDefault="00BC7BA5" w:rsidP="00BC7BA5">
      <w:pPr>
        <w:pStyle w:val="Prrafodelista"/>
        <w:numPr>
          <w:ilvl w:val="0"/>
          <w:numId w:val="21"/>
        </w:numPr>
        <w:jc w:val="both"/>
        <w:rPr>
          <w:rFonts w:cstheme="minorHAnsi"/>
          <w:lang w:val="es-UY"/>
        </w:rPr>
      </w:pPr>
      <w:r w:rsidRPr="00F34957">
        <w:rPr>
          <w:rFonts w:cstheme="minorHAnsi"/>
          <w:lang w:val="es-UY"/>
        </w:rPr>
        <w:t>Durante el periodo de 2023 hasta comienzos de 2025, se priorizó el monitoreo de los centros de atención del sistema de protección especial por regiones y con foco en centros para adolescentes. El monitoreo evidenció vulneraciones de derechos fundamentales de niñas, niños y adolescentes bajo la protección del Estado. Se destacan en este informe al Comité las vinculadas al derecho a la salud mental.</w:t>
      </w:r>
    </w:p>
    <w:p w14:paraId="390C8D83" w14:textId="77777777" w:rsidR="00BC7BA5" w:rsidRDefault="00BC7BA5" w:rsidP="00BC7BA5">
      <w:pPr>
        <w:pStyle w:val="Ttulo2"/>
        <w:rPr>
          <w:lang w:val="es-UY"/>
        </w:rPr>
      </w:pPr>
    </w:p>
    <w:p w14:paraId="319DBF12" w14:textId="77777777" w:rsidR="00BC7BA5" w:rsidRDefault="00BC7BA5" w:rsidP="00BC7BA5">
      <w:pPr>
        <w:pStyle w:val="Ttulo2"/>
        <w:rPr>
          <w:sz w:val="24"/>
          <w:szCs w:val="24"/>
        </w:rPr>
      </w:pPr>
      <w:bookmarkStart w:id="6" w:name="_Toc219025494"/>
      <w:r>
        <w:rPr>
          <w:lang w:val="es-UY"/>
        </w:rPr>
        <w:t>V. Niñas, niños y adolescentes en el sistema de protección estatal. Derecho a la salud mental (artículo 12).</w:t>
      </w:r>
      <w:bookmarkEnd w:id="6"/>
    </w:p>
    <w:p w14:paraId="0BB7DF46" w14:textId="77777777" w:rsidR="00BC7BA5" w:rsidRPr="00F34957" w:rsidRDefault="00BC7BA5" w:rsidP="00BC7BA5">
      <w:pPr>
        <w:jc w:val="both"/>
      </w:pPr>
    </w:p>
    <w:p w14:paraId="27FD29B8" w14:textId="77777777" w:rsidR="00BC7BA5" w:rsidRPr="00F34957" w:rsidRDefault="00BC7BA5" w:rsidP="00BC7BA5">
      <w:pPr>
        <w:pStyle w:val="Prrafodelista"/>
        <w:numPr>
          <w:ilvl w:val="0"/>
          <w:numId w:val="21"/>
        </w:numPr>
        <w:jc w:val="both"/>
      </w:pPr>
      <w:r w:rsidRPr="00F34957">
        <w:t xml:space="preserve">La atención en salud mental constituye un nudo crítico no solo para el sistema de protección, sino también en términos generales. Sin embargo, cuando se trata de niñas, niños y adolescentes que se encuentran bajo protección del Estado, ello afecta de manera específica y refuerza las vulnerabilidades y vulneraciones. </w:t>
      </w:r>
    </w:p>
    <w:p w14:paraId="36362E8B" w14:textId="77777777" w:rsidR="00BC7BA5" w:rsidRPr="00F34957" w:rsidRDefault="00BC7BA5" w:rsidP="00BC7BA5">
      <w:pPr>
        <w:pStyle w:val="Prrafodelista"/>
        <w:numPr>
          <w:ilvl w:val="0"/>
          <w:numId w:val="21"/>
        </w:numPr>
        <w:jc w:val="both"/>
      </w:pPr>
      <w:r w:rsidRPr="00F34957">
        <w:lastRenderedPageBreak/>
        <w:t xml:space="preserve">La falta de dispositivos y profesionales para la atención integral en salud mental es un problema estructural del sistema de salud. Se informaron demoras en el acceso a valoración psicológica y psiquiátrica y tratamientos respectivos en los prestadores de salud. Se registraron casos de esperas excesivas que alcanzaron hasta ocho meses para una primera consulta. </w:t>
      </w:r>
    </w:p>
    <w:p w14:paraId="57A454E6" w14:textId="77777777" w:rsidR="00BC7BA5" w:rsidRPr="00F34957" w:rsidRDefault="00BC7BA5" w:rsidP="00BC7BA5">
      <w:pPr>
        <w:pStyle w:val="Prrafodelista"/>
        <w:numPr>
          <w:ilvl w:val="0"/>
          <w:numId w:val="21"/>
        </w:numPr>
        <w:jc w:val="both"/>
      </w:pPr>
      <w:r w:rsidRPr="00F34957">
        <w:t xml:space="preserve">Debe tenerse en cuenta que las niñas, niños y adolescentes que ingresan y transitan el sistema de protección especial tienen una historia signada por daños (como violencias y abusos), que es preciso atender de forma inmediata. </w:t>
      </w:r>
    </w:p>
    <w:p w14:paraId="5659E38E" w14:textId="77777777" w:rsidR="00BC7BA5" w:rsidRPr="00F34957" w:rsidRDefault="00BC7BA5" w:rsidP="00BC7BA5">
      <w:pPr>
        <w:pStyle w:val="Prrafodelista"/>
        <w:numPr>
          <w:ilvl w:val="0"/>
          <w:numId w:val="21"/>
        </w:numPr>
        <w:jc w:val="both"/>
      </w:pPr>
      <w:r w:rsidRPr="00F34957">
        <w:t>En el monitoreo se constató que el 56 % de los centros de protección había tenido en el último mes una niña, niño o adolescente hospitalizada/o por razones de salud mental. En el 53 % de los centros del país se registraron situaciones de intento de autoeliminación. Tanto en Montevideo como en el interior del país, se observaron prolongadas esperas para el ingreso a centros de atención integral en salud mental. En promedio, deben esperar nueve meses para que se concrete el traslado solicitado, y en algunas situaciones se han superado los dieciocho meses</w:t>
      </w:r>
      <w:r w:rsidRPr="00F34957">
        <w:rPr>
          <w:vertAlign w:val="superscript"/>
        </w:rPr>
        <w:footnoteReference w:id="9"/>
      </w:r>
      <w:r w:rsidRPr="00F34957">
        <w:t xml:space="preserve">. </w:t>
      </w:r>
    </w:p>
    <w:p w14:paraId="517B9CEB" w14:textId="77777777" w:rsidR="00BC7BA5" w:rsidRPr="00F34957" w:rsidRDefault="00BC7BA5" w:rsidP="00BC7BA5">
      <w:pPr>
        <w:pStyle w:val="Prrafodelista"/>
        <w:numPr>
          <w:ilvl w:val="0"/>
          <w:numId w:val="21"/>
        </w:numPr>
        <w:jc w:val="both"/>
      </w:pPr>
      <w:r w:rsidRPr="00F34957">
        <w:t xml:space="preserve">Como se ha señalado, las niñas, niños y adolescentes que ingresan al sistema de protección suelen presentar significativos niveles de daño acumulado, producto de trayectorias vitales marcadas por múltiples vulneraciones. En consecuencia, requieren una atención integral que incluya abordajes en salud mental personalizados, específicos, consistentes, sostenidos en el tiempo y en cercanía territorial. </w:t>
      </w:r>
    </w:p>
    <w:p w14:paraId="0E3FD783" w14:textId="77777777" w:rsidR="00BC7BA5" w:rsidRPr="00F34957" w:rsidRDefault="00BC7BA5" w:rsidP="00BC7BA5">
      <w:pPr>
        <w:pStyle w:val="Prrafodelista"/>
        <w:numPr>
          <w:ilvl w:val="0"/>
          <w:numId w:val="21"/>
        </w:numPr>
        <w:jc w:val="both"/>
      </w:pPr>
      <w:r w:rsidRPr="00F34957">
        <w:t xml:space="preserve">Estos abordajes deben superar una perspectiva meramente sanitarista y no pueden reducirse exclusivamente a intervenciones desde la psicología o la psiquiatría, atención que incluso es insuficiente. La INDDHH exhorta al Estado uruguayo a tomar medidas rápidas y efectivas en esta materia. </w:t>
      </w:r>
    </w:p>
    <w:p w14:paraId="423B84E5" w14:textId="77777777" w:rsidR="00BC7BA5" w:rsidRPr="00F34957" w:rsidRDefault="00BC7BA5" w:rsidP="00BC7BA5">
      <w:pPr>
        <w:pStyle w:val="Prrafodelista"/>
        <w:numPr>
          <w:ilvl w:val="0"/>
          <w:numId w:val="21"/>
        </w:numPr>
        <w:jc w:val="both"/>
      </w:pPr>
      <w:r w:rsidRPr="00F34957">
        <w:t>Por otro lado, en el monitoreo que realiza el MNP se sigue constatando que permanecen internadas/os niñas, niños y adolescentes en centros de atención en salud mental por episodios de crisis agudas, a pesar del alta médica. En setiembre del 2025, el 28 % de las niñas, niños y adolescentes del sistema de protección estatal que se encontraban en centros para atención a episodios de crisis agudas, permanecían internados a pesar de poseer el alta médica. El promedio de tiempo de internación posterior al alta médica, alcanzaba tres meses. Registrando una internación de 9 meses posterior a que se había dado el alta médica.</w:t>
      </w:r>
    </w:p>
    <w:p w14:paraId="006629E6" w14:textId="77777777" w:rsidR="00BC7BA5" w:rsidRPr="00F34957" w:rsidRDefault="00BC7BA5" w:rsidP="00BC7BA5">
      <w:pPr>
        <w:pStyle w:val="Prrafodelista"/>
        <w:numPr>
          <w:ilvl w:val="0"/>
          <w:numId w:val="21"/>
        </w:numPr>
        <w:jc w:val="both"/>
      </w:pPr>
      <w:r w:rsidRPr="00F34957">
        <w:t xml:space="preserve">La INDDHH ha señalado que mantener a una niña, niño o adolescente internado más allá del alta médica es nocivo para su desarrollo integral, no pudiendo el Estado alegar condiciones de vulnerabilidad de los mismos (pobreza, ausencia de familia entre otras), o falta de lugares adecuados. </w:t>
      </w:r>
    </w:p>
    <w:p w14:paraId="6A6214D3" w14:textId="77777777" w:rsidR="00BC7BA5" w:rsidRPr="008A6DE8" w:rsidRDefault="00BC7BA5" w:rsidP="00BC7BA5">
      <w:pPr>
        <w:jc w:val="both"/>
        <w:rPr>
          <w:rFonts w:cstheme="minorHAnsi"/>
          <w:sz w:val="24"/>
          <w:szCs w:val="24"/>
        </w:rPr>
      </w:pPr>
    </w:p>
    <w:p w14:paraId="723B928A" w14:textId="12520420" w:rsidR="00BC7BA5" w:rsidRDefault="00BC7BA5" w:rsidP="0097778A">
      <w:pPr>
        <w:pStyle w:val="Ttulo2"/>
        <w:jc w:val="both"/>
      </w:pPr>
      <w:bookmarkStart w:id="7" w:name="_Toc219025495"/>
      <w:r>
        <w:t xml:space="preserve">VI. </w:t>
      </w:r>
      <w:r w:rsidRPr="00FD6458">
        <w:t>Dere</w:t>
      </w:r>
      <w:r>
        <w:t xml:space="preserve">cho a un nivel de vida adecuado. El derecho a la alimentación </w:t>
      </w:r>
      <w:proofErr w:type="gramStart"/>
      <w:r>
        <w:t>adecuada</w:t>
      </w:r>
      <w:bookmarkEnd w:id="7"/>
      <w:r w:rsidR="0097778A">
        <w:t xml:space="preserve"> </w:t>
      </w:r>
      <w:r w:rsidRPr="00FD6458">
        <w:t xml:space="preserve"> </w:t>
      </w:r>
      <w:bookmarkStart w:id="8" w:name="_Toc219025496"/>
      <w:r w:rsidRPr="00FD6458">
        <w:t>(</w:t>
      </w:r>
      <w:proofErr w:type="gramEnd"/>
      <w:r w:rsidRPr="00FD6458">
        <w:t>Artículo 11)</w:t>
      </w:r>
      <w:r>
        <w:t>.</w:t>
      </w:r>
      <w:bookmarkEnd w:id="8"/>
      <w:r>
        <w:t xml:space="preserve"> </w:t>
      </w:r>
    </w:p>
    <w:p w14:paraId="7271BFE6" w14:textId="77777777" w:rsidR="00BC7BA5" w:rsidRPr="00F34957" w:rsidRDefault="00BC7BA5" w:rsidP="00BC7BA5"/>
    <w:p w14:paraId="10DBDFDB" w14:textId="77777777" w:rsidR="00BC7BA5" w:rsidRPr="00F34957" w:rsidRDefault="00BC7BA5" w:rsidP="00BC7BA5">
      <w:pPr>
        <w:pStyle w:val="Prrafodelista"/>
        <w:numPr>
          <w:ilvl w:val="0"/>
          <w:numId w:val="21"/>
        </w:numPr>
        <w:jc w:val="both"/>
      </w:pPr>
      <w:r w:rsidRPr="00F34957">
        <w:t xml:space="preserve">Uruguay no cuenta aún con una ley marco sobre el derecho a la alimentación. Este desafío sigue vigente a pesar de que es un compromiso en el que el Parlamento ha trabajado en diferentes legislaturas. Si bien se ha llegado a importantes acuerdos, estos no han sido suficientes como para aprobar una ley que garantice el derecho a la alimentación adecuada y ordene la dispersión normativa sobre el derecho a la alimentación en el país. </w:t>
      </w:r>
    </w:p>
    <w:p w14:paraId="5E278D6D" w14:textId="77777777" w:rsidR="00BC7BA5" w:rsidRPr="00F34957" w:rsidRDefault="00BC7BA5" w:rsidP="00BC7BA5">
      <w:pPr>
        <w:pStyle w:val="Prrafodelista"/>
        <w:numPr>
          <w:ilvl w:val="0"/>
          <w:numId w:val="21"/>
        </w:numPr>
        <w:jc w:val="both"/>
      </w:pPr>
      <w:r w:rsidRPr="00F34957">
        <w:t xml:space="preserve">Esta preocupación llevó a la INDDHH a convocar a un Grupo de Trabajo (GT) que se reunió durante 2024 y 2025 con el objetivo de discutir la pertinencia de una ley marco que ordene el necesario abordaje intersectorial que requiere este tema. El grupo contó con la participación de representantes de organizaciones sociales e instituciones estatales cuyo trabajo se vincula con el derecho a la alimentación, además del acompañamiento </w:t>
      </w:r>
      <w:r w:rsidRPr="00F34957">
        <w:lastRenderedPageBreak/>
        <w:t>y la asesoría técnica de la Organización de las Naciones Unidas para la Alimentación y la Agricultura (FAO) desde su inicio.</w:t>
      </w:r>
    </w:p>
    <w:p w14:paraId="2E6989A2" w14:textId="77777777" w:rsidR="00BC7BA5" w:rsidRPr="00F34957" w:rsidRDefault="00BC7BA5" w:rsidP="00BC7BA5">
      <w:pPr>
        <w:pStyle w:val="Prrafodelista"/>
        <w:numPr>
          <w:ilvl w:val="0"/>
          <w:numId w:val="21"/>
        </w:numPr>
        <w:jc w:val="both"/>
      </w:pPr>
      <w:r w:rsidRPr="00F34957">
        <w:t xml:space="preserve">El GT trató de generar un proceso lógico respecto del análisis y su adecuación a la legislación uruguaya, aunque el objetivo no era arribar a un documento con formato de proyecto de ley, sino a un informe que aporte elementos para evidenciar la necesidad de un marco normativo, así como los elementos claves para asegurar su operatividad. </w:t>
      </w:r>
    </w:p>
    <w:p w14:paraId="21D1C912" w14:textId="77777777" w:rsidR="00BC7BA5" w:rsidRPr="00F34957" w:rsidRDefault="00BC7BA5" w:rsidP="00BC7BA5">
      <w:pPr>
        <w:pStyle w:val="Prrafodelista"/>
        <w:numPr>
          <w:ilvl w:val="0"/>
          <w:numId w:val="21"/>
        </w:numPr>
        <w:jc w:val="both"/>
      </w:pPr>
      <w:r w:rsidRPr="00F34957">
        <w:t xml:space="preserve">En este marco, todas las dimensiones del derecho a la alimentación fueron abordadas y analizadas. Preocupan a la INDDHH en particular las referidas a la accesibilidad. Los ingresos de los hogares son un dato relevante en esta dimensión y las dificultades de acceso económico a los alimentos son un problema prevalente en el país. </w:t>
      </w:r>
    </w:p>
    <w:p w14:paraId="081B7A61" w14:textId="77777777" w:rsidR="00BC7BA5" w:rsidRPr="00F34957" w:rsidRDefault="00BC7BA5" w:rsidP="00BC7BA5">
      <w:pPr>
        <w:pStyle w:val="Prrafodelista"/>
        <w:numPr>
          <w:ilvl w:val="0"/>
          <w:numId w:val="21"/>
        </w:numPr>
        <w:jc w:val="both"/>
      </w:pPr>
      <w:r w:rsidRPr="00F34957">
        <w:t xml:space="preserve">De acuerdo al tercer informe de prevalencia de inseguridad alimentaria elaborado por el INE, INDA-MIDES y MSP, para 2024 de cada 1000 hogares, 137 habían reducido la cantidad de alimentos que consumían por falta de dinero u otros recursos, alguna vez en los últimos 12 meses (esto equivale a una prevalencia de inseguridad alimentaria moderada o grave de un 13,7 % de los hogares). </w:t>
      </w:r>
    </w:p>
    <w:p w14:paraId="21328F9E" w14:textId="77777777" w:rsidR="00BC7BA5" w:rsidRPr="00F34957" w:rsidRDefault="00BC7BA5" w:rsidP="00BC7BA5">
      <w:pPr>
        <w:pStyle w:val="Prrafodelista"/>
        <w:numPr>
          <w:ilvl w:val="0"/>
          <w:numId w:val="21"/>
        </w:numPr>
        <w:jc w:val="both"/>
      </w:pPr>
      <w:r w:rsidRPr="00F34957">
        <w:t>En cuanto a personas la prevalencia es de 15,1%, es decir que cada 1000 personas, 151 vivían en hogares con inseguridad alimentaria moderada o grave</w:t>
      </w:r>
      <w:r w:rsidRPr="00F34957">
        <w:rPr>
          <w:rStyle w:val="Refdenotaalpie"/>
        </w:rPr>
        <w:footnoteReference w:id="10"/>
      </w:r>
      <w:r w:rsidRPr="00F34957">
        <w:t xml:space="preserve">. Se entiende por inseguridad alimentaria cuando una persona carece de acceso regular a suficientes alimentos inocuos y nutritivos para llevar una vida activa y saludable. En un país con suficiencia de alimentos como Uruguay, la inseguridad alimentaria está asociada a las dificultades de acceso a una alimentación nutritiva por motivos económicos. </w:t>
      </w:r>
    </w:p>
    <w:p w14:paraId="2BBC529A" w14:textId="77777777" w:rsidR="00BC7BA5" w:rsidRPr="00F34957" w:rsidRDefault="00BC7BA5" w:rsidP="00BC7BA5">
      <w:pPr>
        <w:pStyle w:val="Prrafodelista"/>
        <w:numPr>
          <w:ilvl w:val="0"/>
          <w:numId w:val="21"/>
        </w:numPr>
        <w:jc w:val="both"/>
      </w:pPr>
      <w:r w:rsidRPr="00F34957">
        <w:t>Por otra parte, también se indica que 19 de cada 1000 hogares se habían quedado sin alimentos por falta de dinero u otros recursos y que alguna persona del hogar no había comido en todo el día, al menos una vez en los últimos 12 meses (la prevalencia de inseguridad alimentaria grave en los hogares se estimó en 1,9%). Mientras que la estimación de inseguridad alimentaria grave en personas correspondió a 2,2%, es decir, cada 1000 personas, 22 vivían en hogares con inseguridad alimentaria grave</w:t>
      </w:r>
      <w:r w:rsidRPr="00F34957">
        <w:rPr>
          <w:rStyle w:val="Refdenotaalpie"/>
        </w:rPr>
        <w:footnoteReference w:id="11"/>
      </w:r>
      <w:r w:rsidRPr="00F34957">
        <w:t xml:space="preserve">. </w:t>
      </w:r>
    </w:p>
    <w:p w14:paraId="72B9AC3E" w14:textId="77777777" w:rsidR="00BC7BA5" w:rsidRPr="00F34957" w:rsidRDefault="00BC7BA5" w:rsidP="00BC7BA5">
      <w:pPr>
        <w:pStyle w:val="Prrafodelista"/>
        <w:numPr>
          <w:ilvl w:val="0"/>
          <w:numId w:val="21"/>
        </w:numPr>
        <w:jc w:val="both"/>
      </w:pPr>
      <w:r w:rsidRPr="00F34957">
        <w:t xml:space="preserve">Otro indicador que revela la situación del derecho a la alimentación en Uruguay es la existencia de cientos de ollas, merenderos y canastas populares que se organizan en los territorios para preparar y compartir alimentos con personas, familias y comunidades en situación de inseguridad alimentaria (ver gráfico 2 con información sobre el número de personas que asisten a comedores y merenderos). </w:t>
      </w:r>
    </w:p>
    <w:p w14:paraId="5811BF9B" w14:textId="77777777" w:rsidR="00BC7BA5" w:rsidRPr="00F34957" w:rsidRDefault="00BC7BA5" w:rsidP="00BC7BA5">
      <w:pPr>
        <w:pStyle w:val="Prrafodelista"/>
        <w:numPr>
          <w:ilvl w:val="0"/>
          <w:numId w:val="21"/>
        </w:numPr>
        <w:jc w:val="both"/>
      </w:pPr>
      <w:r w:rsidRPr="00F34957">
        <w:t>La existencia de tantas iniciativas auto organizadas entre vecinos y vecinas, familias y organizaciones sociales y barriales, además de poner en evidencia la falta de acceso regular y suficiente de alimentos de un sector importante de la población, revela la ausencia de políticas estatales que garanticen este derecho humano a la alimentación, así como también aquellos otros derechos que lo hacen posible como el derecho al trabajo, la vivienda, la salud, la seguridad social y la educación, entre otros.</w:t>
      </w:r>
    </w:p>
    <w:p w14:paraId="3BF08B87" w14:textId="77777777" w:rsidR="00BC7BA5" w:rsidRPr="00F34957" w:rsidRDefault="00BC7BA5" w:rsidP="00BC7BA5">
      <w:pPr>
        <w:pStyle w:val="Prrafodelista"/>
        <w:numPr>
          <w:ilvl w:val="0"/>
          <w:numId w:val="21"/>
        </w:numPr>
        <w:jc w:val="both"/>
      </w:pPr>
      <w:r w:rsidRPr="00F34957">
        <w:t>La INDDHH continuará trabajando y cooperando para promover la aprobación de una ley marco que garantice el derecho a una alimentación adecuada en Uruguay.</w:t>
      </w:r>
    </w:p>
    <w:p w14:paraId="16259B4E" w14:textId="77777777" w:rsidR="00BC7BA5" w:rsidRPr="00F34957" w:rsidRDefault="00BC7BA5" w:rsidP="00BC7BA5">
      <w:pPr>
        <w:jc w:val="both"/>
      </w:pPr>
    </w:p>
    <w:p w14:paraId="3BC3A9F9" w14:textId="77777777" w:rsidR="00BC7BA5" w:rsidRDefault="00BC7BA5" w:rsidP="00BC7BA5">
      <w:pPr>
        <w:jc w:val="both"/>
        <w:rPr>
          <w:sz w:val="20"/>
          <w:szCs w:val="20"/>
        </w:rPr>
      </w:pPr>
    </w:p>
    <w:p w14:paraId="5C5C767E" w14:textId="77777777" w:rsidR="00BC7BA5" w:rsidRDefault="00BC7BA5" w:rsidP="00BC7BA5">
      <w:pPr>
        <w:jc w:val="both"/>
        <w:rPr>
          <w:sz w:val="20"/>
          <w:szCs w:val="20"/>
        </w:rPr>
      </w:pPr>
    </w:p>
    <w:p w14:paraId="623AB316" w14:textId="77777777" w:rsidR="00BC7BA5" w:rsidRDefault="00BC7BA5" w:rsidP="00BC7BA5">
      <w:pPr>
        <w:jc w:val="both"/>
        <w:rPr>
          <w:sz w:val="20"/>
          <w:szCs w:val="20"/>
        </w:rPr>
      </w:pPr>
    </w:p>
    <w:p w14:paraId="2A911671" w14:textId="77777777" w:rsidR="00BC7BA5" w:rsidRDefault="00BC7BA5" w:rsidP="00BC7BA5">
      <w:pPr>
        <w:jc w:val="both"/>
        <w:rPr>
          <w:sz w:val="20"/>
          <w:szCs w:val="20"/>
        </w:rPr>
      </w:pPr>
    </w:p>
    <w:p w14:paraId="1B16B309" w14:textId="77777777" w:rsidR="00BC7BA5" w:rsidRPr="00F85DBF" w:rsidRDefault="00BC7BA5" w:rsidP="00BC7BA5">
      <w:pPr>
        <w:jc w:val="both"/>
        <w:rPr>
          <w:sz w:val="20"/>
          <w:szCs w:val="20"/>
        </w:rPr>
      </w:pPr>
      <w:r w:rsidRPr="00F85DBF">
        <w:rPr>
          <w:sz w:val="20"/>
          <w:szCs w:val="20"/>
        </w:rPr>
        <w:t>GRÁFICO 2</w:t>
      </w:r>
    </w:p>
    <w:p w14:paraId="50DF2CC5" w14:textId="77777777" w:rsidR="00BC7BA5" w:rsidRDefault="00BC7BA5" w:rsidP="00BC7BA5">
      <w:pPr>
        <w:jc w:val="both"/>
      </w:pPr>
      <w:r>
        <w:rPr>
          <w:noProof/>
          <w:lang w:val="es-UY" w:eastAsia="es-UY"/>
        </w:rPr>
        <w:drawing>
          <wp:inline distT="0" distB="0" distL="0" distR="0" wp14:anchorId="0544919F" wp14:editId="3293216E">
            <wp:extent cx="6010212" cy="3535419"/>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9054" cy="3558267"/>
                    </a:xfrm>
                    <a:prstGeom prst="rect">
                      <a:avLst/>
                    </a:prstGeom>
                    <a:noFill/>
                  </pic:spPr>
                </pic:pic>
              </a:graphicData>
            </a:graphic>
          </wp:inline>
        </w:drawing>
      </w:r>
    </w:p>
    <w:p w14:paraId="1CC56CDE" w14:textId="77777777" w:rsidR="00BC7BA5" w:rsidRPr="00BD0AED" w:rsidRDefault="00BC7BA5" w:rsidP="00BC7BA5">
      <w:pPr>
        <w:jc w:val="both"/>
      </w:pPr>
    </w:p>
    <w:p w14:paraId="5CEE3852" w14:textId="77777777" w:rsidR="00BC7BA5" w:rsidRPr="0081777B" w:rsidRDefault="00BC7BA5" w:rsidP="00BC7BA5">
      <w:pPr>
        <w:rPr>
          <w:rFonts w:cstheme="minorHAnsi"/>
          <w:sz w:val="20"/>
          <w:szCs w:val="20"/>
        </w:rPr>
      </w:pPr>
      <w:r>
        <w:rPr>
          <w:rFonts w:cstheme="minorHAnsi"/>
          <w:sz w:val="20"/>
          <w:szCs w:val="20"/>
        </w:rPr>
        <w:t>FUENTE: Mirador</w:t>
      </w:r>
      <w:r w:rsidRPr="0081777B">
        <w:rPr>
          <w:rFonts w:cstheme="minorHAnsi"/>
          <w:sz w:val="20"/>
          <w:szCs w:val="20"/>
        </w:rPr>
        <w:t xml:space="preserve"> DESCA</w:t>
      </w:r>
    </w:p>
    <w:p w14:paraId="39F37A0E" w14:textId="77777777" w:rsidR="00BC7BA5" w:rsidRPr="00942CB5" w:rsidRDefault="00BC7BA5" w:rsidP="00BC7BA5">
      <w:pPr>
        <w:jc w:val="both"/>
        <w:rPr>
          <w:rFonts w:cstheme="minorHAnsi"/>
          <w:sz w:val="24"/>
          <w:szCs w:val="24"/>
        </w:rPr>
      </w:pPr>
    </w:p>
    <w:p w14:paraId="4C9E43E0" w14:textId="77777777" w:rsidR="00BC7BA5" w:rsidRPr="008A6DE8" w:rsidRDefault="00BC7BA5" w:rsidP="00BC7BA5">
      <w:pPr>
        <w:jc w:val="both"/>
        <w:rPr>
          <w:rFonts w:cstheme="minorHAnsi"/>
          <w:sz w:val="24"/>
          <w:szCs w:val="24"/>
        </w:rPr>
      </w:pPr>
    </w:p>
    <w:p w14:paraId="6E9ECB94" w14:textId="77777777" w:rsidR="00BC7BA5" w:rsidRPr="008A6DE8" w:rsidRDefault="00BC7BA5" w:rsidP="00BC7BA5">
      <w:pPr>
        <w:jc w:val="both"/>
        <w:rPr>
          <w:rFonts w:cstheme="minorHAnsi"/>
          <w:sz w:val="24"/>
          <w:szCs w:val="24"/>
        </w:rPr>
      </w:pPr>
    </w:p>
    <w:p w14:paraId="5CF4D97C" w14:textId="77777777" w:rsidR="00BC7BA5" w:rsidRPr="008A6DE8" w:rsidRDefault="00BC7BA5" w:rsidP="00BC7BA5">
      <w:pPr>
        <w:jc w:val="both"/>
        <w:rPr>
          <w:rFonts w:cstheme="minorHAnsi"/>
          <w:sz w:val="24"/>
          <w:szCs w:val="24"/>
        </w:rPr>
      </w:pPr>
    </w:p>
    <w:p w14:paraId="3EE14D55" w14:textId="1BD4C183" w:rsidR="00141C44" w:rsidRPr="00554C0A" w:rsidRDefault="00141C44" w:rsidP="00141C44">
      <w:pPr>
        <w:rPr>
          <w:rFonts w:ascii="Sancoale Slab Norm Regular" w:hAnsi="Sancoale Slab Norm Regular"/>
          <w:sz w:val="24"/>
          <w:szCs w:val="24"/>
        </w:rPr>
      </w:pPr>
    </w:p>
    <w:sectPr w:rsidR="00141C44" w:rsidRPr="00554C0A" w:rsidSect="00F34957">
      <w:headerReference w:type="default" r:id="rId9"/>
      <w:footerReference w:type="default" r:id="rId10"/>
      <w:pgSz w:w="11906" w:h="16838"/>
      <w:pgMar w:top="1134" w:right="851" w:bottom="567" w:left="851"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DC005" w14:textId="77777777" w:rsidR="0096603D" w:rsidRDefault="0096603D" w:rsidP="002F225F">
      <w:pPr>
        <w:spacing w:after="0" w:line="240" w:lineRule="auto"/>
      </w:pPr>
      <w:r>
        <w:separator/>
      </w:r>
    </w:p>
  </w:endnote>
  <w:endnote w:type="continuationSeparator" w:id="0">
    <w:p w14:paraId="41D8221E" w14:textId="77777777" w:rsidR="0096603D" w:rsidRDefault="0096603D" w:rsidP="002F2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Sancoale Slab Norm Light">
    <w:panose1 w:val="02000503050000020004"/>
    <w:charset w:val="00"/>
    <w:family w:val="modern"/>
    <w:notTrueType/>
    <w:pitch w:val="variable"/>
    <w:sig w:usb0="A00000AF" w:usb1="5000005B" w:usb2="00000000" w:usb3="00000000" w:csb0="00000193" w:csb1="00000000"/>
  </w:font>
  <w:font w:name="Sancoale Slab Norm Regular">
    <w:panose1 w:val="02000503050000020004"/>
    <w:charset w:val="00"/>
    <w:family w:val="modern"/>
    <w:notTrueType/>
    <w:pitch w:val="variable"/>
    <w:sig w:usb0="A00000AF" w:usb1="5000005B" w:usb2="00000000" w:usb3="00000000" w:csb0="000001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62375"/>
      <w:docPartObj>
        <w:docPartGallery w:val="Page Numbers (Bottom of Page)"/>
        <w:docPartUnique/>
      </w:docPartObj>
    </w:sdtPr>
    <w:sdtContent>
      <w:p w14:paraId="2294425F" w14:textId="090BE6B4" w:rsidR="00BC7BA5" w:rsidRDefault="00BC7BA5">
        <w:pPr>
          <w:pStyle w:val="Piedepgina"/>
          <w:jc w:val="right"/>
        </w:pPr>
        <w:r>
          <w:fldChar w:fldCharType="begin"/>
        </w:r>
        <w:r>
          <w:instrText>PAGE   \* MERGEFORMAT</w:instrText>
        </w:r>
        <w:r>
          <w:fldChar w:fldCharType="separate"/>
        </w:r>
        <w:r>
          <w:t>2</w:t>
        </w:r>
        <w:r>
          <w:fldChar w:fldCharType="end"/>
        </w:r>
      </w:p>
    </w:sdtContent>
  </w:sdt>
  <w:p w14:paraId="76EC29A0" w14:textId="595164C8" w:rsidR="006204C8" w:rsidRDefault="006204C8" w:rsidP="008C24C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ECF1B" w14:textId="77777777" w:rsidR="0096603D" w:rsidRDefault="0096603D" w:rsidP="002F225F">
      <w:pPr>
        <w:spacing w:after="0" w:line="240" w:lineRule="auto"/>
      </w:pPr>
      <w:r>
        <w:separator/>
      </w:r>
    </w:p>
  </w:footnote>
  <w:footnote w:type="continuationSeparator" w:id="0">
    <w:p w14:paraId="5EF50581" w14:textId="77777777" w:rsidR="0096603D" w:rsidRDefault="0096603D" w:rsidP="002F225F">
      <w:pPr>
        <w:spacing w:after="0" w:line="240" w:lineRule="auto"/>
      </w:pPr>
      <w:r>
        <w:continuationSeparator/>
      </w:r>
    </w:p>
  </w:footnote>
  <w:footnote w:id="1">
    <w:p w14:paraId="51765A4B" w14:textId="77777777" w:rsidR="00BC7BA5" w:rsidRPr="00B52CBD" w:rsidRDefault="00BC7BA5" w:rsidP="00BC7BA5">
      <w:pPr>
        <w:pStyle w:val="Textonotapie"/>
      </w:pPr>
      <w:r>
        <w:rPr>
          <w:rStyle w:val="Refdenotaalpie"/>
        </w:rPr>
        <w:footnoteRef/>
      </w:r>
      <w:r>
        <w:t xml:space="preserve"> </w:t>
      </w:r>
      <w:r w:rsidRPr="00B52CBD">
        <w:t xml:space="preserve">Fue creada por la ley 18446 de 24 de diciembre de 2008 (modificada posteriormente por la Ley 18806 y 19763) en cumplimiento de los Principios de París, adoptados por la Asamblea General de las Naciones Unidas, por Resolución 48/134 de 1993, así como de los compromisos asumidos en la Declaración y Programa de Acción de Viena, emanados de la Conferencia Mundial de Derechos Humanos del año 1993. Su primer Consejo Directivo asumió funciones el 22 de junio de 2012, momento en que empieza a funcionar la INDDHH. </w:t>
      </w:r>
    </w:p>
    <w:p w14:paraId="4472C736" w14:textId="77777777" w:rsidR="00BC7BA5" w:rsidRDefault="00BC7BA5" w:rsidP="00BC7BA5">
      <w:pPr>
        <w:pStyle w:val="Textonotapie"/>
      </w:pPr>
    </w:p>
  </w:footnote>
  <w:footnote w:id="2">
    <w:p w14:paraId="025145E7" w14:textId="77777777" w:rsidR="00BC7BA5" w:rsidRDefault="00BC7BA5" w:rsidP="00BC7BA5">
      <w:pPr>
        <w:pStyle w:val="Textonotapie"/>
      </w:pPr>
      <w:r>
        <w:rPr>
          <w:rStyle w:val="Refdenotaalpie"/>
        </w:rPr>
        <w:footnoteRef/>
      </w:r>
      <w:r w:rsidRPr="0054125E">
        <w:t xml:space="preserve"> Disponible en </w:t>
      </w:r>
      <w:hyperlink r:id="rId1" w:history="1">
        <w:r w:rsidRPr="00F23515">
          <w:rPr>
            <w:rStyle w:val="Hipervnculo"/>
          </w:rPr>
          <w:t>https://tbinternet.ohchr.org/_layouts/15/treatybodyexternal/Download.aspx?symbolno=INT%2FCESCR%2FCSS%2FURY%2F27400&amp;Lang=en</w:t>
        </w:r>
      </w:hyperlink>
    </w:p>
    <w:p w14:paraId="02F355E2" w14:textId="77777777" w:rsidR="00BC7BA5" w:rsidRPr="0054125E" w:rsidRDefault="00BC7BA5" w:rsidP="00BC7BA5">
      <w:pPr>
        <w:pStyle w:val="Textonotapie"/>
      </w:pPr>
    </w:p>
    <w:p w14:paraId="4C3283F6" w14:textId="77777777" w:rsidR="00BC7BA5" w:rsidRPr="0054125E" w:rsidRDefault="00BC7BA5" w:rsidP="00BC7BA5">
      <w:pPr>
        <w:pStyle w:val="Textonotapie"/>
      </w:pPr>
    </w:p>
  </w:footnote>
  <w:footnote w:id="3">
    <w:p w14:paraId="48FD626F" w14:textId="77777777" w:rsidR="00BC7BA5" w:rsidRDefault="00BC7BA5" w:rsidP="00BC7BA5">
      <w:pPr>
        <w:pStyle w:val="Textonotapie"/>
        <w:rPr>
          <w:rFonts w:cstheme="minorHAnsi"/>
          <w:sz w:val="24"/>
          <w:szCs w:val="24"/>
        </w:rPr>
      </w:pPr>
      <w:r>
        <w:rPr>
          <w:rStyle w:val="Refdenotaalpie"/>
        </w:rPr>
        <w:footnoteRef/>
      </w:r>
      <w:r>
        <w:t xml:space="preserve"> </w:t>
      </w:r>
      <w:hyperlink r:id="rId2" w:history="1">
        <w:r w:rsidRPr="000D567D">
          <w:rPr>
            <w:rStyle w:val="Hipervnculo"/>
            <w:rFonts w:cstheme="minorHAnsi"/>
            <w:sz w:val="24"/>
            <w:szCs w:val="24"/>
          </w:rPr>
          <w:t>www.miradordesca.uy</w:t>
        </w:r>
      </w:hyperlink>
    </w:p>
    <w:p w14:paraId="3BB60801" w14:textId="77777777" w:rsidR="00BC7BA5" w:rsidRPr="00172D3C" w:rsidRDefault="00BC7BA5" w:rsidP="00BC7BA5">
      <w:pPr>
        <w:pStyle w:val="Textonotapie"/>
      </w:pPr>
    </w:p>
  </w:footnote>
  <w:footnote w:id="4">
    <w:p w14:paraId="515DD35F" w14:textId="77777777" w:rsidR="00BC7BA5" w:rsidRDefault="00BC7BA5" w:rsidP="00BC7BA5">
      <w:pPr>
        <w:pStyle w:val="Textonotapie"/>
      </w:pPr>
      <w:r>
        <w:rPr>
          <w:rStyle w:val="Refdenotaalpie"/>
        </w:rPr>
        <w:footnoteRef/>
      </w:r>
      <w:r>
        <w:t xml:space="preserve"> El artículo 66 de la ley 18446 prevé la creación de Grupos de Trabajo integrados por miembros de la INDDHH, representantes de organizaciones sociales y de organismos estatales con el objetivo de elaborar </w:t>
      </w:r>
      <w:r w:rsidRPr="00D763B4">
        <w:fldChar w:fldCharType="begin"/>
      </w:r>
      <w:r w:rsidRPr="00302814">
        <w:instrText xml:space="preserve">https://tbinternet.ohchr.org/_layouts/15/treatybodyexternal/Download.aspx?symbolno=INT%2FCESCR%2FCSS%2FURY%2F27400&amp;Lang=en" </w:instrText>
      </w:r>
      <w:r w:rsidRPr="00D763B4">
        <w:fldChar w:fldCharType="separate"/>
      </w:r>
      <w:r w:rsidRPr="00302814">
        <w:rPr>
          <w:u w:val="single"/>
        </w:rPr>
        <w:t>tbinternet.ohchr.org/_layouts/15/treatybodyexternal/Download.aspx?symbolno=INT%2FCESCR%2FCSS%2FURY%2F27400&amp;Lang=en</w:t>
      </w:r>
      <w:r w:rsidRPr="00D763B4">
        <w:fldChar w:fldCharType="end"/>
      </w:r>
      <w:r w:rsidRPr="00D763B4">
        <w:fldChar w:fldCharType="begin"/>
      </w:r>
      <w:r w:rsidRPr="00302814">
        <w:instrText xml:space="preserve">https://tbinternet.ohchr.org/_layouts/15/treatybodyexternal/Download.aspx?symbolno=INT%2FCESCR%2FCSS%2FURY%2F27400&amp;Lang=en" </w:instrText>
      </w:r>
      <w:r w:rsidRPr="00D763B4">
        <w:fldChar w:fldCharType="separate"/>
      </w:r>
      <w:r w:rsidRPr="00302814">
        <w:rPr>
          <w:u w:val="single"/>
        </w:rPr>
        <w:t>tbinternet.ohchr.org/_layouts/15/treatybodyexternal/Download.aspx?symbolno=INT%2FCESCR%2FCSS%2FURY%2F27400&amp;Lang=en</w:t>
      </w:r>
      <w:r w:rsidRPr="00D763B4">
        <w:fldChar w:fldCharType="end"/>
      </w:r>
      <w:r w:rsidRPr="00D763B4">
        <w:fldChar w:fldCharType="begin"/>
      </w:r>
      <w:r w:rsidRPr="00302814">
        <w:instrText xml:space="preserve">https://tbinternet.ohchr.org/_layouts/15/treatybodyexternal/Download.aspx?symbolno=INT%2FCESCR%2FCSS%2FURY%2F27400&amp;Lang=en" </w:instrText>
      </w:r>
      <w:r w:rsidRPr="00D763B4">
        <w:fldChar w:fldCharType="separate"/>
      </w:r>
      <w:r w:rsidRPr="00302814">
        <w:rPr>
          <w:u w:val="single"/>
        </w:rPr>
        <w:t>tbinternet.ohchr.org/_layouts/15/treatybodyexternal/Download.aspx?symbolno=INT%2FCESCR%2FCSS%2FURY%2F27400&amp;Lang=en</w:t>
      </w:r>
      <w:r w:rsidRPr="00D763B4">
        <w:fldChar w:fldCharType="end"/>
      </w:r>
      <w:r w:rsidRPr="00D763B4">
        <w:fldChar w:fldCharType="begin"/>
      </w:r>
      <w:r w:rsidRPr="00302814">
        <w:instrText xml:space="preserve">https://tbinternet.ohchr.org/_layouts/15/treatybodyexternal/Download.aspx?symbolno=INT%2FCESCR%2FCSS%2FURY%2F27400&amp;Lang=en" </w:instrText>
      </w:r>
      <w:r w:rsidRPr="00D763B4">
        <w:fldChar w:fldCharType="separate"/>
      </w:r>
      <w:r w:rsidRPr="00302814">
        <w:rPr>
          <w:u w:val="single"/>
        </w:rPr>
        <w:t>tbinternet.ohchr.org/_layouts/15/treatybodyexternal/Download.aspx?symbolno=INT%2FCESCR%2FCSS%2FURY%2F27400&amp;Lang=en</w:t>
      </w:r>
      <w:r w:rsidRPr="00D763B4">
        <w:fldChar w:fldCharType="end"/>
      </w:r>
      <w:r w:rsidRPr="00D763B4">
        <w:fldChar w:fldCharType="begin"/>
      </w:r>
      <w:r w:rsidRPr="00302814">
        <w:instrText xml:space="preserve">https://tbinternet.ohchr.org/_layouts/15/treatybodyexternal/Download.aspx?symbolno=INT%2FCESCR%2FCSS%2FURY%2F27400&amp;Lang=en" </w:instrText>
      </w:r>
      <w:r w:rsidRPr="00D763B4">
        <w:fldChar w:fldCharType="separate"/>
      </w:r>
      <w:r w:rsidRPr="00302814">
        <w:rPr>
          <w:u w:val="single"/>
        </w:rPr>
        <w:t>tbinternet.ohchr.org/_layouts/15/treatybodyexternal/Download.aspx?symbolno=INT%2FCESCR%2FCSS%2FURY%2F27400&amp;Lang=en</w:t>
      </w:r>
      <w:r w:rsidRPr="00D763B4">
        <w:fldChar w:fldCharType="end"/>
      </w:r>
      <w:r>
        <w:rPr>
          <w:lang w:val="es-ES"/>
        </w:rPr>
        <w:fldChar w:fldCharType="begin"/>
      </w:r>
      <w:r w:rsidRPr="00302814">
        <w:instrText xml:space="preserve">https://tbinternet.ohchr.org/_layouts/15/treatybodyexternal/Download.aspx?symbolno=INT%2FCESCR%2FCSS%2FURY%2F27400&amp;Lang=en" </w:instrText>
      </w:r>
      <w:r>
        <w:rPr>
          <w:lang w:val="es-ES"/>
        </w:rPr>
        <w:fldChar w:fldCharType="separate"/>
      </w:r>
      <w:r w:rsidRPr="00302814">
        <w:rPr>
          <w:rStyle w:val="Hipervnculo"/>
        </w:rPr>
        <w:t>tbinternet.ohchr.org/_layouts/15/treatybodyexternal/Download.aspx?symbolno=INT%2FCESCR%2FCSS%2FURY%2F27400&amp;Lang=en</w:t>
      </w:r>
      <w:r>
        <w:rPr>
          <w:rStyle w:val="Hipervnculo"/>
          <w:lang w:val="en-US"/>
        </w:rPr>
        <w:fldChar w:fldCharType="end"/>
      </w:r>
      <w:r w:rsidRPr="00D763B4">
        <w:rPr>
          <w:color w:val="0000FF"/>
          <w:u w:val="single"/>
          <w:lang w:val="es-ES"/>
        </w:rPr>
        <w:fldChar w:fldCharType="begin"/>
      </w:r>
      <w:r w:rsidRPr="00302814">
        <w:rPr>
          <w:color w:val="0000FF"/>
          <w:u w:val="single"/>
        </w:rPr>
        <w:instrText xml:space="preserve">https://tbinternet.ohchr.org/_layouts/15/treatybodyexternal/Download.aspx?symbolno=INT%2FCESCR%2FCSS%2FURY%2F27400&amp;Lang=en" </w:instrText>
      </w:r>
      <w:r w:rsidRPr="00D763B4">
        <w:rPr>
          <w:color w:val="0000FF"/>
          <w:u w:val="single"/>
          <w:lang w:val="es-ES"/>
        </w:rPr>
        <w:fldChar w:fldCharType="separate"/>
      </w:r>
      <w:r w:rsidRPr="00302814">
        <w:rPr>
          <w:color w:val="0000FF"/>
          <w:u w:val="single"/>
        </w:rPr>
        <w:t>tbinternet.ohchr.org/_layouts/15/treatybodyexternal/Download.aspx?symbolno=INT%2FCESCR%2FCSS%2FURY%2F27400&amp;Lang=en</w:t>
      </w:r>
      <w:r w:rsidRPr="00D763B4">
        <w:rPr>
          <w:color w:val="0000FF"/>
          <w:u w:val="single"/>
          <w:lang w:val="en-US"/>
        </w:rPr>
        <w:fldChar w:fldCharType="end"/>
      </w:r>
      <w:r>
        <w:t>proyectos de informes, propuestas, recomendaciones, estudios y otros trabajos.</w:t>
      </w:r>
    </w:p>
  </w:footnote>
  <w:footnote w:id="5">
    <w:p w14:paraId="1782C885" w14:textId="77777777" w:rsidR="00BC7BA5" w:rsidRPr="00552363" w:rsidRDefault="00BC7BA5" w:rsidP="00BC7BA5">
      <w:pPr>
        <w:pStyle w:val="Textonotapie"/>
        <w:rPr>
          <w:lang w:val="es-MX"/>
        </w:rPr>
      </w:pPr>
      <w:r>
        <w:rPr>
          <w:rStyle w:val="Refdenotaalpie"/>
        </w:rPr>
        <w:footnoteRef/>
      </w:r>
      <w:r>
        <w:t xml:space="preserve"> </w:t>
      </w:r>
      <w:r>
        <w:rPr>
          <w:lang w:val="es-MX"/>
        </w:rPr>
        <w:t>Ver informe Asamblea Nacional de Derechos Humanos en www.inddhh.gub.uy</w:t>
      </w:r>
    </w:p>
  </w:footnote>
  <w:footnote w:id="6">
    <w:p w14:paraId="0F53441A" w14:textId="77777777" w:rsidR="00BC7BA5" w:rsidRPr="00552363" w:rsidRDefault="00BC7BA5" w:rsidP="00BC7BA5">
      <w:pPr>
        <w:pStyle w:val="Textonotapie"/>
        <w:rPr>
          <w:lang w:val="es-MX"/>
        </w:rPr>
      </w:pPr>
      <w:r>
        <w:rPr>
          <w:rStyle w:val="Refdenotaalpie"/>
        </w:rPr>
        <w:footnoteRef/>
      </w:r>
      <w:r>
        <w:t xml:space="preserve"> </w:t>
      </w:r>
      <w:r>
        <w:rPr>
          <w:lang w:val="es-MX"/>
        </w:rPr>
        <w:t>Ver corpus de resoluciones de la INDDHH en www.inddhh.gub.uy</w:t>
      </w:r>
    </w:p>
  </w:footnote>
  <w:footnote w:id="7">
    <w:p w14:paraId="08684C40" w14:textId="77777777" w:rsidR="00BC7BA5" w:rsidRDefault="00BC7BA5" w:rsidP="00BC7BA5">
      <w:pPr>
        <w:pStyle w:val="Textonotapie"/>
      </w:pPr>
      <w:r>
        <w:rPr>
          <w:rStyle w:val="Refdenotaalpie"/>
        </w:rPr>
        <w:footnoteRef/>
      </w:r>
      <w:r>
        <w:t xml:space="preserve"> Informe disponible en </w:t>
      </w:r>
    </w:p>
    <w:p w14:paraId="2441EC92" w14:textId="77777777" w:rsidR="00BC7BA5" w:rsidRDefault="00BC7BA5" w:rsidP="00BC7BA5">
      <w:pPr>
        <w:pStyle w:val="Textonotapie"/>
      </w:pPr>
      <w:r w:rsidRPr="00D604A7">
        <w:t>//efaidnbmnnnibpcajpcglclefindmkaj/https://bibliotecaunicef.uy/opac_css/doc_num.php?explnum_id=318</w:t>
      </w:r>
    </w:p>
    <w:p w14:paraId="101D7528" w14:textId="77777777" w:rsidR="00BC7BA5" w:rsidRPr="00D604A7" w:rsidRDefault="00BC7BA5" w:rsidP="00BC7BA5">
      <w:pPr>
        <w:pStyle w:val="Textonotapie"/>
      </w:pPr>
    </w:p>
  </w:footnote>
  <w:footnote w:id="8">
    <w:p w14:paraId="55244A62" w14:textId="77777777" w:rsidR="00BC7BA5" w:rsidRPr="008C6C8A" w:rsidRDefault="00BC7BA5" w:rsidP="00BC7BA5">
      <w:pPr>
        <w:pStyle w:val="Textonotapie"/>
        <w:rPr>
          <w:lang w:val="en-US"/>
        </w:rPr>
      </w:pPr>
      <w:r>
        <w:rPr>
          <w:rStyle w:val="Refdenotaalpie"/>
        </w:rPr>
        <w:footnoteRef/>
      </w:r>
      <w:r>
        <w:t xml:space="preserve"> Ver La infancia como prioridad: seis desafíos claves de políticas públicas en Uruguay. </w:t>
      </w:r>
      <w:r w:rsidRPr="008C6C8A">
        <w:rPr>
          <w:lang w:val="en-US"/>
        </w:rPr>
        <w:t>UNICEF 2024.</w:t>
      </w:r>
    </w:p>
  </w:footnote>
  <w:footnote w:id="9">
    <w:p w14:paraId="6C467D0C" w14:textId="77777777" w:rsidR="00BC7BA5" w:rsidRPr="008C6C8A" w:rsidRDefault="00BC7BA5" w:rsidP="00BC7BA5">
      <w:pPr>
        <w:pStyle w:val="Textonotapie"/>
        <w:rPr>
          <w:u w:val="single"/>
          <w:lang w:val="en-US"/>
        </w:rPr>
      </w:pPr>
      <w:r>
        <w:rPr>
          <w:rStyle w:val="Refdenotaalpie"/>
        </w:rPr>
        <w:footnoteRef/>
      </w:r>
      <w:r w:rsidRPr="008C6C8A">
        <w:rPr>
          <w:lang w:val="en-US"/>
        </w:rPr>
        <w:t xml:space="preserve"> https://www.gub.uy/institucion-nacional-derechos-humanos-uruguay/comunicacion/publicaciones/panorama-infancias-adolescencias-clave-regional-ninas-ninos-adolescentes</w:t>
      </w:r>
    </w:p>
  </w:footnote>
  <w:footnote w:id="10">
    <w:p w14:paraId="67382154" w14:textId="77777777" w:rsidR="00BC7BA5" w:rsidRPr="00BD0AED" w:rsidRDefault="00BC7BA5" w:rsidP="00BC7BA5">
      <w:pPr>
        <w:pStyle w:val="Default"/>
        <w:rPr>
          <w:lang w:val="es-MX"/>
        </w:rPr>
      </w:pPr>
      <w:r>
        <w:rPr>
          <w:rStyle w:val="Refdenotaalpie"/>
        </w:rPr>
        <w:footnoteRef/>
      </w:r>
      <w:r>
        <w:t xml:space="preserve"> </w:t>
      </w:r>
      <w:r w:rsidRPr="00BD0AED">
        <w:rPr>
          <w:rFonts w:ascii="Calibri" w:hAnsi="Calibri" w:cs="Calibri"/>
          <w:sz w:val="16"/>
          <w:szCs w:val="16"/>
        </w:rPr>
        <w:t xml:space="preserve">Estado del Sistema Agroalimentario Informe de Nivel 1 Pre-CCA Uruguay, FAO, pág. 29. </w:t>
      </w:r>
    </w:p>
  </w:footnote>
  <w:footnote w:id="11">
    <w:p w14:paraId="6F6389FA" w14:textId="77777777" w:rsidR="00BC7BA5" w:rsidRPr="00BD0AED" w:rsidRDefault="00BC7BA5" w:rsidP="00BC7BA5">
      <w:pPr>
        <w:pStyle w:val="Textonotapie"/>
        <w:rPr>
          <w:lang w:val="es-MX"/>
        </w:rPr>
      </w:pPr>
      <w:r>
        <w:rPr>
          <w:rStyle w:val="Refdenotaalpie"/>
        </w:rPr>
        <w:footnoteRef/>
      </w:r>
      <w:r>
        <w:t xml:space="preserve"> </w:t>
      </w:r>
      <w:r w:rsidRPr="00BD0AED">
        <w:rPr>
          <w:rFonts w:ascii="Calibri" w:hAnsi="Calibri" w:cs="Calibri"/>
          <w:color w:val="000000"/>
          <w:sz w:val="10"/>
          <w:szCs w:val="10"/>
        </w:rPr>
        <w:t xml:space="preserve"> </w:t>
      </w:r>
      <w:r w:rsidRPr="00BD0AED">
        <w:rPr>
          <w:rFonts w:ascii="Calibri" w:hAnsi="Calibri" w:cs="Calibri"/>
          <w:color w:val="000000"/>
          <w:sz w:val="16"/>
          <w:szCs w:val="16"/>
        </w:rPr>
        <w:t xml:space="preserve">Informe disponible en: </w:t>
      </w:r>
      <w:r w:rsidRPr="00BD0AED">
        <w:rPr>
          <w:rFonts w:ascii="Calibri" w:hAnsi="Calibri" w:cs="Calibri"/>
          <w:color w:val="1154CC"/>
          <w:sz w:val="16"/>
          <w:szCs w:val="16"/>
        </w:rPr>
        <w:t xml:space="preserve">https://www.gub.uy/ministerio-desarrollo-social/sites/ministerio-desarrollo-social/files/documentos/publicaciones/Prevalencia%20de%20inseguridad%20alimentaria%20en%20hogares%20de%20Uruguay%202024.pdf </w:t>
      </w:r>
      <w:r w:rsidRPr="00BD0AED">
        <w:rPr>
          <w:rFonts w:ascii="Calibri" w:hAnsi="Calibri" w:cs="Calibri"/>
          <w:color w:val="000000"/>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7F1B" w14:textId="4E1C0629" w:rsidR="006204C8" w:rsidRDefault="00957634">
    <w:pPr>
      <w:pStyle w:val="Encabezado"/>
    </w:pPr>
    <w:r w:rsidRPr="00957634">
      <w:rPr>
        <w:noProof/>
        <w:lang w:val="es-UY" w:eastAsia="es-UY"/>
      </w:rPr>
      <w:drawing>
        <wp:inline distT="0" distB="0" distL="0" distR="0" wp14:anchorId="24253BA5" wp14:editId="4B72E525">
          <wp:extent cx="2394072" cy="713602"/>
          <wp:effectExtent l="0" t="0" r="0" b="0"/>
          <wp:docPr id="2" name="Imagen 2" descr="Logo inddhh horizontal colo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ddhh horizontal color">
                    <a:extLst>
                      <a:ext uri="{C183D7F6-B498-43B3-948B-1728B52AA6E4}">
                        <adec:decorative xmlns:adec="http://schemas.microsoft.com/office/drawing/2017/decorative" val="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437" cy="715499"/>
                  </a:xfrm>
                  <a:prstGeom prst="rect">
                    <a:avLst/>
                  </a:prstGeom>
                  <a:noFill/>
                  <a:ln>
                    <a:noFill/>
                  </a:ln>
                </pic:spPr>
              </pic:pic>
            </a:graphicData>
          </a:graphic>
        </wp:inline>
      </w:drawing>
    </w:r>
    <w:r w:rsidR="006204C8">
      <w:rPr>
        <w:noProof/>
      </w:rPr>
      <w:t xml:space="preserve">                                                                       </w:t>
    </w:r>
  </w:p>
  <w:p w14:paraId="386138FA" w14:textId="77777777" w:rsidR="006204C8" w:rsidRDefault="006204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9023D9E"/>
    <w:lvl w:ilvl="0">
      <w:start w:val="1"/>
      <w:numFmt w:val="bullet"/>
      <w:pStyle w:val="Listaconvietas"/>
      <w:lvlText w:val=""/>
      <w:lvlJc w:val="left"/>
      <w:pPr>
        <w:tabs>
          <w:tab w:val="num" w:pos="2629"/>
        </w:tabs>
        <w:ind w:left="2629" w:hanging="360"/>
      </w:pPr>
      <w:rPr>
        <w:rFonts w:ascii="Symbol" w:hAnsi="Symbol" w:hint="default"/>
      </w:rPr>
    </w:lvl>
  </w:abstractNum>
  <w:abstractNum w:abstractNumId="1" w15:restartNumberingAfterBreak="0">
    <w:nsid w:val="00000001"/>
    <w:multiLevelType w:val="singleLevel"/>
    <w:tmpl w:val="00000001"/>
    <w:name w:val="WW8Num4"/>
    <w:lvl w:ilvl="0">
      <w:numFmt w:val="bullet"/>
      <w:lvlText w:val="-"/>
      <w:lvlJc w:val="left"/>
      <w:pPr>
        <w:tabs>
          <w:tab w:val="num" w:pos="0"/>
        </w:tabs>
        <w:ind w:left="720" w:hanging="360"/>
      </w:pPr>
      <w:rPr>
        <w:rFonts w:ascii="Helvetica" w:hAnsi="Helvetica" w:cs="Helvetica" w:hint="default"/>
        <w:color w:val="404040"/>
        <w:sz w:val="21"/>
        <w:lang w:val="es-UY" w:eastAsia="ar-SA"/>
      </w:rPr>
    </w:lvl>
  </w:abstractNum>
  <w:abstractNum w:abstractNumId="2" w15:restartNumberingAfterBreak="0">
    <w:nsid w:val="00000002"/>
    <w:multiLevelType w:val="multilevel"/>
    <w:tmpl w:val="00000002"/>
    <w:name w:val="WWNum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3" w15:restartNumberingAfterBreak="0">
    <w:nsid w:val="08BB2109"/>
    <w:multiLevelType w:val="multilevel"/>
    <w:tmpl w:val="13FCF40C"/>
    <w:lvl w:ilvl="0">
      <w:start w:val="1"/>
      <w:numFmt w:val="decimal"/>
      <w:lvlText w:val="%1."/>
      <w:lvlJc w:val="left"/>
      <w:pPr>
        <w:tabs>
          <w:tab w:val="num" w:pos="1430"/>
        </w:tabs>
        <w:ind w:left="1430" w:hanging="720"/>
      </w:pPr>
      <w:rPr>
        <w:rFonts w:hint="default"/>
        <w:b/>
        <w:bCs/>
      </w:rPr>
    </w:lvl>
    <w:lvl w:ilvl="1">
      <w:start w:val="1"/>
      <w:numFmt w:val="lowerLetter"/>
      <w:lvlText w:val="%2."/>
      <w:lvlJc w:val="left"/>
      <w:pPr>
        <w:tabs>
          <w:tab w:val="num" w:pos="2150"/>
        </w:tabs>
        <w:ind w:left="2150" w:hanging="720"/>
      </w:pPr>
      <w:rPr>
        <w:rFonts w:hint="default"/>
      </w:rPr>
    </w:lvl>
    <w:lvl w:ilvl="2">
      <w:start w:val="1"/>
      <w:numFmt w:val="decimal"/>
      <w:lvlText w:val="%3."/>
      <w:lvlJc w:val="left"/>
      <w:pPr>
        <w:tabs>
          <w:tab w:val="num" w:pos="2870"/>
        </w:tabs>
        <w:ind w:left="2870" w:hanging="720"/>
      </w:pPr>
      <w:rPr>
        <w:rFonts w:hint="default"/>
      </w:rPr>
    </w:lvl>
    <w:lvl w:ilvl="3">
      <w:start w:val="1"/>
      <w:numFmt w:val="decimal"/>
      <w:lvlText w:val="%4."/>
      <w:lvlJc w:val="left"/>
      <w:pPr>
        <w:tabs>
          <w:tab w:val="num" w:pos="3590"/>
        </w:tabs>
        <w:ind w:left="3590" w:hanging="720"/>
      </w:pPr>
      <w:rPr>
        <w:rFonts w:hint="default"/>
      </w:rPr>
    </w:lvl>
    <w:lvl w:ilvl="4">
      <w:start w:val="1"/>
      <w:numFmt w:val="decimal"/>
      <w:lvlText w:val="%5."/>
      <w:lvlJc w:val="left"/>
      <w:pPr>
        <w:tabs>
          <w:tab w:val="num" w:pos="4310"/>
        </w:tabs>
        <w:ind w:left="4310" w:hanging="720"/>
      </w:pPr>
      <w:rPr>
        <w:rFonts w:hint="default"/>
      </w:rPr>
    </w:lvl>
    <w:lvl w:ilvl="5">
      <w:start w:val="1"/>
      <w:numFmt w:val="decimal"/>
      <w:lvlText w:val="%6."/>
      <w:lvlJc w:val="left"/>
      <w:pPr>
        <w:tabs>
          <w:tab w:val="num" w:pos="5030"/>
        </w:tabs>
        <w:ind w:left="5030" w:hanging="720"/>
      </w:pPr>
      <w:rPr>
        <w:rFonts w:hint="default"/>
      </w:rPr>
    </w:lvl>
    <w:lvl w:ilvl="6">
      <w:start w:val="1"/>
      <w:numFmt w:val="decimal"/>
      <w:lvlText w:val="%7."/>
      <w:lvlJc w:val="left"/>
      <w:pPr>
        <w:tabs>
          <w:tab w:val="num" w:pos="5750"/>
        </w:tabs>
        <w:ind w:left="5750" w:hanging="720"/>
      </w:pPr>
      <w:rPr>
        <w:rFonts w:hint="default"/>
      </w:rPr>
    </w:lvl>
    <w:lvl w:ilvl="7">
      <w:start w:val="1"/>
      <w:numFmt w:val="decimal"/>
      <w:lvlText w:val="%8."/>
      <w:lvlJc w:val="left"/>
      <w:pPr>
        <w:tabs>
          <w:tab w:val="num" w:pos="6470"/>
        </w:tabs>
        <w:ind w:left="6470" w:hanging="720"/>
      </w:pPr>
      <w:rPr>
        <w:rFonts w:hint="default"/>
      </w:rPr>
    </w:lvl>
    <w:lvl w:ilvl="8">
      <w:start w:val="1"/>
      <w:numFmt w:val="decimal"/>
      <w:lvlText w:val="%9."/>
      <w:lvlJc w:val="left"/>
      <w:pPr>
        <w:tabs>
          <w:tab w:val="num" w:pos="7190"/>
        </w:tabs>
        <w:ind w:left="7190" w:hanging="720"/>
      </w:pPr>
      <w:rPr>
        <w:rFonts w:hint="default"/>
      </w:rPr>
    </w:lvl>
  </w:abstractNum>
  <w:abstractNum w:abstractNumId="4" w15:restartNumberingAfterBreak="0">
    <w:nsid w:val="0E057665"/>
    <w:multiLevelType w:val="hybridMultilevel"/>
    <w:tmpl w:val="66D09DE0"/>
    <w:lvl w:ilvl="0" w:tplc="E334BCFA">
      <w:start w:val="1"/>
      <w:numFmt w:val="lowerLetter"/>
      <w:lvlText w:val="%1)"/>
      <w:lvlJc w:val="left"/>
      <w:pPr>
        <w:ind w:left="720" w:hanging="360"/>
      </w:pPr>
      <w:rPr>
        <w:rFonts w:cs="Sancoale Slab Norm Light" w:hint="default"/>
        <w:b w:val="0"/>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15:restartNumberingAfterBreak="0">
    <w:nsid w:val="179F722F"/>
    <w:multiLevelType w:val="hybridMultilevel"/>
    <w:tmpl w:val="A77E0A1A"/>
    <w:lvl w:ilvl="0" w:tplc="9210E8E8">
      <w:start w:val="14"/>
      <w:numFmt w:val="bullet"/>
      <w:lvlText w:val="-"/>
      <w:lvlJc w:val="left"/>
      <w:pPr>
        <w:ind w:left="927" w:hanging="360"/>
      </w:pPr>
      <w:rPr>
        <w:rFonts w:ascii="Sancoale Slab Norm Regular" w:eastAsia="Calibri" w:hAnsi="Sancoale Slab Norm Regular" w:cs="Calibri" w:hint="default"/>
        <w:i w:val="0"/>
      </w:rPr>
    </w:lvl>
    <w:lvl w:ilvl="1" w:tplc="380A0003" w:tentative="1">
      <w:start w:val="1"/>
      <w:numFmt w:val="bullet"/>
      <w:lvlText w:val="o"/>
      <w:lvlJc w:val="left"/>
      <w:pPr>
        <w:ind w:left="1647" w:hanging="360"/>
      </w:pPr>
      <w:rPr>
        <w:rFonts w:ascii="Courier New" w:hAnsi="Courier New" w:cs="Courier New" w:hint="default"/>
      </w:rPr>
    </w:lvl>
    <w:lvl w:ilvl="2" w:tplc="380A0005" w:tentative="1">
      <w:start w:val="1"/>
      <w:numFmt w:val="bullet"/>
      <w:lvlText w:val=""/>
      <w:lvlJc w:val="left"/>
      <w:pPr>
        <w:ind w:left="2367" w:hanging="360"/>
      </w:pPr>
      <w:rPr>
        <w:rFonts w:ascii="Wingdings" w:hAnsi="Wingdings" w:cs="Wingdings" w:hint="default"/>
      </w:rPr>
    </w:lvl>
    <w:lvl w:ilvl="3" w:tplc="380A0001" w:tentative="1">
      <w:start w:val="1"/>
      <w:numFmt w:val="bullet"/>
      <w:lvlText w:val=""/>
      <w:lvlJc w:val="left"/>
      <w:pPr>
        <w:ind w:left="3087" w:hanging="360"/>
      </w:pPr>
      <w:rPr>
        <w:rFonts w:ascii="Symbol" w:hAnsi="Symbol" w:cs="Symbol" w:hint="default"/>
      </w:rPr>
    </w:lvl>
    <w:lvl w:ilvl="4" w:tplc="380A0003" w:tentative="1">
      <w:start w:val="1"/>
      <w:numFmt w:val="bullet"/>
      <w:lvlText w:val="o"/>
      <w:lvlJc w:val="left"/>
      <w:pPr>
        <w:ind w:left="3807" w:hanging="360"/>
      </w:pPr>
      <w:rPr>
        <w:rFonts w:ascii="Courier New" w:hAnsi="Courier New" w:cs="Courier New" w:hint="default"/>
      </w:rPr>
    </w:lvl>
    <w:lvl w:ilvl="5" w:tplc="380A0005" w:tentative="1">
      <w:start w:val="1"/>
      <w:numFmt w:val="bullet"/>
      <w:lvlText w:val=""/>
      <w:lvlJc w:val="left"/>
      <w:pPr>
        <w:ind w:left="4527" w:hanging="360"/>
      </w:pPr>
      <w:rPr>
        <w:rFonts w:ascii="Wingdings" w:hAnsi="Wingdings" w:cs="Wingdings" w:hint="default"/>
      </w:rPr>
    </w:lvl>
    <w:lvl w:ilvl="6" w:tplc="380A0001" w:tentative="1">
      <w:start w:val="1"/>
      <w:numFmt w:val="bullet"/>
      <w:lvlText w:val=""/>
      <w:lvlJc w:val="left"/>
      <w:pPr>
        <w:ind w:left="5247" w:hanging="360"/>
      </w:pPr>
      <w:rPr>
        <w:rFonts w:ascii="Symbol" w:hAnsi="Symbol" w:cs="Symbol" w:hint="default"/>
      </w:rPr>
    </w:lvl>
    <w:lvl w:ilvl="7" w:tplc="380A0003" w:tentative="1">
      <w:start w:val="1"/>
      <w:numFmt w:val="bullet"/>
      <w:lvlText w:val="o"/>
      <w:lvlJc w:val="left"/>
      <w:pPr>
        <w:ind w:left="5967" w:hanging="360"/>
      </w:pPr>
      <w:rPr>
        <w:rFonts w:ascii="Courier New" w:hAnsi="Courier New" w:cs="Courier New" w:hint="default"/>
      </w:rPr>
    </w:lvl>
    <w:lvl w:ilvl="8" w:tplc="380A0005" w:tentative="1">
      <w:start w:val="1"/>
      <w:numFmt w:val="bullet"/>
      <w:lvlText w:val=""/>
      <w:lvlJc w:val="left"/>
      <w:pPr>
        <w:ind w:left="6687" w:hanging="360"/>
      </w:pPr>
      <w:rPr>
        <w:rFonts w:ascii="Wingdings" w:hAnsi="Wingdings" w:cs="Wingdings" w:hint="default"/>
      </w:rPr>
    </w:lvl>
  </w:abstractNum>
  <w:abstractNum w:abstractNumId="6" w15:restartNumberingAfterBreak="0">
    <w:nsid w:val="1AEE56F5"/>
    <w:multiLevelType w:val="hybridMultilevel"/>
    <w:tmpl w:val="76003DCA"/>
    <w:lvl w:ilvl="0" w:tplc="D3447F94">
      <w:start w:val="1"/>
      <w:numFmt w:val="bullet"/>
      <w:lvlText w:val="-"/>
      <w:lvlJc w:val="left"/>
      <w:pPr>
        <w:ind w:left="1070" w:hanging="360"/>
      </w:pPr>
      <w:rPr>
        <w:rFonts w:ascii="Sylfaen" w:hAnsi="Sylfaen" w:hint="default"/>
      </w:rPr>
    </w:lvl>
    <w:lvl w:ilvl="1" w:tplc="380A0003" w:tentative="1">
      <w:start w:val="1"/>
      <w:numFmt w:val="bullet"/>
      <w:lvlText w:val="o"/>
      <w:lvlJc w:val="left"/>
      <w:pPr>
        <w:ind w:left="2160" w:hanging="360"/>
      </w:pPr>
      <w:rPr>
        <w:rFonts w:ascii="Courier New" w:hAnsi="Courier New" w:cs="Courier New" w:hint="default"/>
      </w:rPr>
    </w:lvl>
    <w:lvl w:ilvl="2" w:tplc="380A0005" w:tentative="1">
      <w:start w:val="1"/>
      <w:numFmt w:val="bullet"/>
      <w:lvlText w:val=""/>
      <w:lvlJc w:val="left"/>
      <w:pPr>
        <w:ind w:left="2880" w:hanging="360"/>
      </w:pPr>
      <w:rPr>
        <w:rFonts w:ascii="Wingdings" w:hAnsi="Wingdings" w:hint="default"/>
      </w:rPr>
    </w:lvl>
    <w:lvl w:ilvl="3" w:tplc="380A0001" w:tentative="1">
      <w:start w:val="1"/>
      <w:numFmt w:val="bullet"/>
      <w:lvlText w:val=""/>
      <w:lvlJc w:val="left"/>
      <w:pPr>
        <w:ind w:left="3600" w:hanging="360"/>
      </w:pPr>
      <w:rPr>
        <w:rFonts w:ascii="Symbol" w:hAnsi="Symbol" w:hint="default"/>
      </w:rPr>
    </w:lvl>
    <w:lvl w:ilvl="4" w:tplc="380A0003" w:tentative="1">
      <w:start w:val="1"/>
      <w:numFmt w:val="bullet"/>
      <w:lvlText w:val="o"/>
      <w:lvlJc w:val="left"/>
      <w:pPr>
        <w:ind w:left="4320" w:hanging="360"/>
      </w:pPr>
      <w:rPr>
        <w:rFonts w:ascii="Courier New" w:hAnsi="Courier New" w:cs="Courier New" w:hint="default"/>
      </w:rPr>
    </w:lvl>
    <w:lvl w:ilvl="5" w:tplc="380A0005" w:tentative="1">
      <w:start w:val="1"/>
      <w:numFmt w:val="bullet"/>
      <w:lvlText w:val=""/>
      <w:lvlJc w:val="left"/>
      <w:pPr>
        <w:ind w:left="5040" w:hanging="360"/>
      </w:pPr>
      <w:rPr>
        <w:rFonts w:ascii="Wingdings" w:hAnsi="Wingdings" w:hint="default"/>
      </w:rPr>
    </w:lvl>
    <w:lvl w:ilvl="6" w:tplc="380A0001" w:tentative="1">
      <w:start w:val="1"/>
      <w:numFmt w:val="bullet"/>
      <w:lvlText w:val=""/>
      <w:lvlJc w:val="left"/>
      <w:pPr>
        <w:ind w:left="5760" w:hanging="360"/>
      </w:pPr>
      <w:rPr>
        <w:rFonts w:ascii="Symbol" w:hAnsi="Symbol" w:hint="default"/>
      </w:rPr>
    </w:lvl>
    <w:lvl w:ilvl="7" w:tplc="380A0003" w:tentative="1">
      <w:start w:val="1"/>
      <w:numFmt w:val="bullet"/>
      <w:lvlText w:val="o"/>
      <w:lvlJc w:val="left"/>
      <w:pPr>
        <w:ind w:left="6480" w:hanging="360"/>
      </w:pPr>
      <w:rPr>
        <w:rFonts w:ascii="Courier New" w:hAnsi="Courier New" w:cs="Courier New" w:hint="default"/>
      </w:rPr>
    </w:lvl>
    <w:lvl w:ilvl="8" w:tplc="380A0005" w:tentative="1">
      <w:start w:val="1"/>
      <w:numFmt w:val="bullet"/>
      <w:lvlText w:val=""/>
      <w:lvlJc w:val="left"/>
      <w:pPr>
        <w:ind w:left="7200" w:hanging="360"/>
      </w:pPr>
      <w:rPr>
        <w:rFonts w:ascii="Wingdings" w:hAnsi="Wingdings" w:hint="default"/>
      </w:rPr>
    </w:lvl>
  </w:abstractNum>
  <w:abstractNum w:abstractNumId="7" w15:restartNumberingAfterBreak="0">
    <w:nsid w:val="253519D4"/>
    <w:multiLevelType w:val="hybridMultilevel"/>
    <w:tmpl w:val="002E4304"/>
    <w:lvl w:ilvl="0" w:tplc="D3447F94">
      <w:start w:val="1"/>
      <w:numFmt w:val="bullet"/>
      <w:lvlText w:val="-"/>
      <w:lvlJc w:val="left"/>
      <w:pPr>
        <w:ind w:left="1145" w:hanging="360"/>
      </w:pPr>
      <w:rPr>
        <w:rFonts w:ascii="Sylfaen" w:hAnsi="Sylfaen" w:hint="default"/>
      </w:rPr>
    </w:lvl>
    <w:lvl w:ilvl="1" w:tplc="380A0003" w:tentative="1">
      <w:start w:val="1"/>
      <w:numFmt w:val="bullet"/>
      <w:lvlText w:val="o"/>
      <w:lvlJc w:val="left"/>
      <w:pPr>
        <w:ind w:left="1865" w:hanging="360"/>
      </w:pPr>
      <w:rPr>
        <w:rFonts w:ascii="Courier New" w:hAnsi="Courier New" w:cs="Courier New" w:hint="default"/>
      </w:rPr>
    </w:lvl>
    <w:lvl w:ilvl="2" w:tplc="380A0005" w:tentative="1">
      <w:start w:val="1"/>
      <w:numFmt w:val="bullet"/>
      <w:lvlText w:val=""/>
      <w:lvlJc w:val="left"/>
      <w:pPr>
        <w:ind w:left="2585" w:hanging="360"/>
      </w:pPr>
      <w:rPr>
        <w:rFonts w:ascii="Wingdings" w:hAnsi="Wingdings" w:hint="default"/>
      </w:rPr>
    </w:lvl>
    <w:lvl w:ilvl="3" w:tplc="380A0001" w:tentative="1">
      <w:start w:val="1"/>
      <w:numFmt w:val="bullet"/>
      <w:lvlText w:val=""/>
      <w:lvlJc w:val="left"/>
      <w:pPr>
        <w:ind w:left="3305" w:hanging="360"/>
      </w:pPr>
      <w:rPr>
        <w:rFonts w:ascii="Symbol" w:hAnsi="Symbol" w:hint="default"/>
      </w:rPr>
    </w:lvl>
    <w:lvl w:ilvl="4" w:tplc="380A0003" w:tentative="1">
      <w:start w:val="1"/>
      <w:numFmt w:val="bullet"/>
      <w:lvlText w:val="o"/>
      <w:lvlJc w:val="left"/>
      <w:pPr>
        <w:ind w:left="4025" w:hanging="360"/>
      </w:pPr>
      <w:rPr>
        <w:rFonts w:ascii="Courier New" w:hAnsi="Courier New" w:cs="Courier New" w:hint="default"/>
      </w:rPr>
    </w:lvl>
    <w:lvl w:ilvl="5" w:tplc="380A0005" w:tentative="1">
      <w:start w:val="1"/>
      <w:numFmt w:val="bullet"/>
      <w:lvlText w:val=""/>
      <w:lvlJc w:val="left"/>
      <w:pPr>
        <w:ind w:left="4745" w:hanging="360"/>
      </w:pPr>
      <w:rPr>
        <w:rFonts w:ascii="Wingdings" w:hAnsi="Wingdings" w:hint="default"/>
      </w:rPr>
    </w:lvl>
    <w:lvl w:ilvl="6" w:tplc="380A0001" w:tentative="1">
      <w:start w:val="1"/>
      <w:numFmt w:val="bullet"/>
      <w:lvlText w:val=""/>
      <w:lvlJc w:val="left"/>
      <w:pPr>
        <w:ind w:left="5465" w:hanging="360"/>
      </w:pPr>
      <w:rPr>
        <w:rFonts w:ascii="Symbol" w:hAnsi="Symbol" w:hint="default"/>
      </w:rPr>
    </w:lvl>
    <w:lvl w:ilvl="7" w:tplc="380A0003" w:tentative="1">
      <w:start w:val="1"/>
      <w:numFmt w:val="bullet"/>
      <w:lvlText w:val="o"/>
      <w:lvlJc w:val="left"/>
      <w:pPr>
        <w:ind w:left="6185" w:hanging="360"/>
      </w:pPr>
      <w:rPr>
        <w:rFonts w:ascii="Courier New" w:hAnsi="Courier New" w:cs="Courier New" w:hint="default"/>
      </w:rPr>
    </w:lvl>
    <w:lvl w:ilvl="8" w:tplc="380A0005" w:tentative="1">
      <w:start w:val="1"/>
      <w:numFmt w:val="bullet"/>
      <w:lvlText w:val=""/>
      <w:lvlJc w:val="left"/>
      <w:pPr>
        <w:ind w:left="6905" w:hanging="360"/>
      </w:pPr>
      <w:rPr>
        <w:rFonts w:ascii="Wingdings" w:hAnsi="Wingdings" w:hint="default"/>
      </w:rPr>
    </w:lvl>
  </w:abstractNum>
  <w:abstractNum w:abstractNumId="8" w15:restartNumberingAfterBreak="0">
    <w:nsid w:val="255C027E"/>
    <w:multiLevelType w:val="multilevel"/>
    <w:tmpl w:val="13FCF40C"/>
    <w:lvl w:ilvl="0">
      <w:start w:val="1"/>
      <w:numFmt w:val="decimal"/>
      <w:lvlText w:val="%1."/>
      <w:lvlJc w:val="left"/>
      <w:pPr>
        <w:tabs>
          <w:tab w:val="num" w:pos="1430"/>
        </w:tabs>
        <w:ind w:left="1430" w:hanging="720"/>
      </w:pPr>
      <w:rPr>
        <w:rFonts w:hint="default"/>
        <w:b/>
        <w:bCs/>
      </w:rPr>
    </w:lvl>
    <w:lvl w:ilvl="1">
      <w:start w:val="1"/>
      <w:numFmt w:val="lowerLetter"/>
      <w:lvlText w:val="%2."/>
      <w:lvlJc w:val="left"/>
      <w:pPr>
        <w:tabs>
          <w:tab w:val="num" w:pos="2150"/>
        </w:tabs>
        <w:ind w:left="2150" w:hanging="720"/>
      </w:pPr>
      <w:rPr>
        <w:rFonts w:hint="default"/>
      </w:rPr>
    </w:lvl>
    <w:lvl w:ilvl="2">
      <w:start w:val="1"/>
      <w:numFmt w:val="decimal"/>
      <w:lvlText w:val="%3."/>
      <w:lvlJc w:val="left"/>
      <w:pPr>
        <w:tabs>
          <w:tab w:val="num" w:pos="2870"/>
        </w:tabs>
        <w:ind w:left="2870" w:hanging="720"/>
      </w:pPr>
      <w:rPr>
        <w:rFonts w:hint="default"/>
      </w:rPr>
    </w:lvl>
    <w:lvl w:ilvl="3">
      <w:start w:val="1"/>
      <w:numFmt w:val="decimal"/>
      <w:lvlText w:val="%4."/>
      <w:lvlJc w:val="left"/>
      <w:pPr>
        <w:tabs>
          <w:tab w:val="num" w:pos="3590"/>
        </w:tabs>
        <w:ind w:left="3590" w:hanging="720"/>
      </w:pPr>
      <w:rPr>
        <w:rFonts w:hint="default"/>
      </w:rPr>
    </w:lvl>
    <w:lvl w:ilvl="4">
      <w:start w:val="1"/>
      <w:numFmt w:val="decimal"/>
      <w:lvlText w:val="%5."/>
      <w:lvlJc w:val="left"/>
      <w:pPr>
        <w:tabs>
          <w:tab w:val="num" w:pos="4310"/>
        </w:tabs>
        <w:ind w:left="4310" w:hanging="720"/>
      </w:pPr>
      <w:rPr>
        <w:rFonts w:hint="default"/>
      </w:rPr>
    </w:lvl>
    <w:lvl w:ilvl="5">
      <w:start w:val="1"/>
      <w:numFmt w:val="decimal"/>
      <w:lvlText w:val="%6."/>
      <w:lvlJc w:val="left"/>
      <w:pPr>
        <w:tabs>
          <w:tab w:val="num" w:pos="5030"/>
        </w:tabs>
        <w:ind w:left="5030" w:hanging="720"/>
      </w:pPr>
      <w:rPr>
        <w:rFonts w:hint="default"/>
      </w:rPr>
    </w:lvl>
    <w:lvl w:ilvl="6">
      <w:start w:val="1"/>
      <w:numFmt w:val="decimal"/>
      <w:lvlText w:val="%7."/>
      <w:lvlJc w:val="left"/>
      <w:pPr>
        <w:tabs>
          <w:tab w:val="num" w:pos="5750"/>
        </w:tabs>
        <w:ind w:left="5750" w:hanging="720"/>
      </w:pPr>
      <w:rPr>
        <w:rFonts w:hint="default"/>
      </w:rPr>
    </w:lvl>
    <w:lvl w:ilvl="7">
      <w:start w:val="1"/>
      <w:numFmt w:val="decimal"/>
      <w:lvlText w:val="%8."/>
      <w:lvlJc w:val="left"/>
      <w:pPr>
        <w:tabs>
          <w:tab w:val="num" w:pos="6470"/>
        </w:tabs>
        <w:ind w:left="6470" w:hanging="720"/>
      </w:pPr>
      <w:rPr>
        <w:rFonts w:hint="default"/>
      </w:rPr>
    </w:lvl>
    <w:lvl w:ilvl="8">
      <w:start w:val="1"/>
      <w:numFmt w:val="decimal"/>
      <w:lvlText w:val="%9."/>
      <w:lvlJc w:val="left"/>
      <w:pPr>
        <w:tabs>
          <w:tab w:val="num" w:pos="7190"/>
        </w:tabs>
        <w:ind w:left="7190" w:hanging="720"/>
      </w:pPr>
      <w:rPr>
        <w:rFonts w:hint="default"/>
      </w:rPr>
    </w:lvl>
  </w:abstractNum>
  <w:abstractNum w:abstractNumId="9" w15:restartNumberingAfterBreak="0">
    <w:nsid w:val="34B845EE"/>
    <w:multiLevelType w:val="hybridMultilevel"/>
    <w:tmpl w:val="D78E0F66"/>
    <w:lvl w:ilvl="0" w:tplc="040A0001">
      <w:start w:val="1"/>
      <w:numFmt w:val="bullet"/>
      <w:lvlText w:val=""/>
      <w:lvlJc w:val="left"/>
      <w:pPr>
        <w:ind w:left="2484" w:hanging="360"/>
      </w:pPr>
      <w:rPr>
        <w:rFonts w:ascii="Symbol" w:hAnsi="Symbol" w:hint="default"/>
      </w:rPr>
    </w:lvl>
    <w:lvl w:ilvl="1" w:tplc="040A0003" w:tentative="1">
      <w:start w:val="1"/>
      <w:numFmt w:val="bullet"/>
      <w:lvlText w:val="o"/>
      <w:lvlJc w:val="left"/>
      <w:pPr>
        <w:ind w:left="3204" w:hanging="360"/>
      </w:pPr>
      <w:rPr>
        <w:rFonts w:ascii="Courier New" w:hAnsi="Courier New" w:cs="Courier New" w:hint="default"/>
      </w:rPr>
    </w:lvl>
    <w:lvl w:ilvl="2" w:tplc="040A0005" w:tentative="1">
      <w:start w:val="1"/>
      <w:numFmt w:val="bullet"/>
      <w:lvlText w:val=""/>
      <w:lvlJc w:val="left"/>
      <w:pPr>
        <w:ind w:left="3924" w:hanging="360"/>
      </w:pPr>
      <w:rPr>
        <w:rFonts w:ascii="Wingdings" w:hAnsi="Wingdings" w:hint="default"/>
      </w:rPr>
    </w:lvl>
    <w:lvl w:ilvl="3" w:tplc="040A0001" w:tentative="1">
      <w:start w:val="1"/>
      <w:numFmt w:val="bullet"/>
      <w:lvlText w:val=""/>
      <w:lvlJc w:val="left"/>
      <w:pPr>
        <w:ind w:left="4644" w:hanging="360"/>
      </w:pPr>
      <w:rPr>
        <w:rFonts w:ascii="Symbol" w:hAnsi="Symbol" w:hint="default"/>
      </w:rPr>
    </w:lvl>
    <w:lvl w:ilvl="4" w:tplc="040A0003" w:tentative="1">
      <w:start w:val="1"/>
      <w:numFmt w:val="bullet"/>
      <w:lvlText w:val="o"/>
      <w:lvlJc w:val="left"/>
      <w:pPr>
        <w:ind w:left="5364" w:hanging="360"/>
      </w:pPr>
      <w:rPr>
        <w:rFonts w:ascii="Courier New" w:hAnsi="Courier New" w:cs="Courier New" w:hint="default"/>
      </w:rPr>
    </w:lvl>
    <w:lvl w:ilvl="5" w:tplc="040A0005" w:tentative="1">
      <w:start w:val="1"/>
      <w:numFmt w:val="bullet"/>
      <w:lvlText w:val=""/>
      <w:lvlJc w:val="left"/>
      <w:pPr>
        <w:ind w:left="6084" w:hanging="360"/>
      </w:pPr>
      <w:rPr>
        <w:rFonts w:ascii="Wingdings" w:hAnsi="Wingdings" w:hint="default"/>
      </w:rPr>
    </w:lvl>
    <w:lvl w:ilvl="6" w:tplc="040A0001" w:tentative="1">
      <w:start w:val="1"/>
      <w:numFmt w:val="bullet"/>
      <w:lvlText w:val=""/>
      <w:lvlJc w:val="left"/>
      <w:pPr>
        <w:ind w:left="6804" w:hanging="360"/>
      </w:pPr>
      <w:rPr>
        <w:rFonts w:ascii="Symbol" w:hAnsi="Symbol" w:hint="default"/>
      </w:rPr>
    </w:lvl>
    <w:lvl w:ilvl="7" w:tplc="040A0003" w:tentative="1">
      <w:start w:val="1"/>
      <w:numFmt w:val="bullet"/>
      <w:lvlText w:val="o"/>
      <w:lvlJc w:val="left"/>
      <w:pPr>
        <w:ind w:left="7524" w:hanging="360"/>
      </w:pPr>
      <w:rPr>
        <w:rFonts w:ascii="Courier New" w:hAnsi="Courier New" w:cs="Courier New" w:hint="default"/>
      </w:rPr>
    </w:lvl>
    <w:lvl w:ilvl="8" w:tplc="040A0005" w:tentative="1">
      <w:start w:val="1"/>
      <w:numFmt w:val="bullet"/>
      <w:lvlText w:val=""/>
      <w:lvlJc w:val="left"/>
      <w:pPr>
        <w:ind w:left="8244" w:hanging="360"/>
      </w:pPr>
      <w:rPr>
        <w:rFonts w:ascii="Wingdings" w:hAnsi="Wingdings" w:hint="default"/>
      </w:rPr>
    </w:lvl>
  </w:abstractNum>
  <w:abstractNum w:abstractNumId="10" w15:restartNumberingAfterBreak="0">
    <w:nsid w:val="3896183C"/>
    <w:multiLevelType w:val="hybridMultilevel"/>
    <w:tmpl w:val="C1E0567A"/>
    <w:lvl w:ilvl="0" w:tplc="D3447F94">
      <w:start w:val="1"/>
      <w:numFmt w:val="bullet"/>
      <w:lvlText w:val="-"/>
      <w:lvlJc w:val="left"/>
      <w:pPr>
        <w:ind w:left="1145" w:hanging="360"/>
      </w:pPr>
      <w:rPr>
        <w:rFonts w:ascii="Sylfaen" w:hAnsi="Sylfaen" w:hint="default"/>
      </w:rPr>
    </w:lvl>
    <w:lvl w:ilvl="1" w:tplc="380A0003" w:tentative="1">
      <w:start w:val="1"/>
      <w:numFmt w:val="bullet"/>
      <w:lvlText w:val="o"/>
      <w:lvlJc w:val="left"/>
      <w:pPr>
        <w:ind w:left="1865" w:hanging="360"/>
      </w:pPr>
      <w:rPr>
        <w:rFonts w:ascii="Courier New" w:hAnsi="Courier New" w:cs="Courier New" w:hint="default"/>
      </w:rPr>
    </w:lvl>
    <w:lvl w:ilvl="2" w:tplc="380A0005" w:tentative="1">
      <w:start w:val="1"/>
      <w:numFmt w:val="bullet"/>
      <w:lvlText w:val=""/>
      <w:lvlJc w:val="left"/>
      <w:pPr>
        <w:ind w:left="2585" w:hanging="360"/>
      </w:pPr>
      <w:rPr>
        <w:rFonts w:ascii="Wingdings" w:hAnsi="Wingdings" w:hint="default"/>
      </w:rPr>
    </w:lvl>
    <w:lvl w:ilvl="3" w:tplc="380A0001" w:tentative="1">
      <w:start w:val="1"/>
      <w:numFmt w:val="bullet"/>
      <w:lvlText w:val=""/>
      <w:lvlJc w:val="left"/>
      <w:pPr>
        <w:ind w:left="3305" w:hanging="360"/>
      </w:pPr>
      <w:rPr>
        <w:rFonts w:ascii="Symbol" w:hAnsi="Symbol" w:hint="default"/>
      </w:rPr>
    </w:lvl>
    <w:lvl w:ilvl="4" w:tplc="380A0003" w:tentative="1">
      <w:start w:val="1"/>
      <w:numFmt w:val="bullet"/>
      <w:lvlText w:val="o"/>
      <w:lvlJc w:val="left"/>
      <w:pPr>
        <w:ind w:left="4025" w:hanging="360"/>
      </w:pPr>
      <w:rPr>
        <w:rFonts w:ascii="Courier New" w:hAnsi="Courier New" w:cs="Courier New" w:hint="default"/>
      </w:rPr>
    </w:lvl>
    <w:lvl w:ilvl="5" w:tplc="380A0005" w:tentative="1">
      <w:start w:val="1"/>
      <w:numFmt w:val="bullet"/>
      <w:lvlText w:val=""/>
      <w:lvlJc w:val="left"/>
      <w:pPr>
        <w:ind w:left="4745" w:hanging="360"/>
      </w:pPr>
      <w:rPr>
        <w:rFonts w:ascii="Wingdings" w:hAnsi="Wingdings" w:hint="default"/>
      </w:rPr>
    </w:lvl>
    <w:lvl w:ilvl="6" w:tplc="380A0001" w:tentative="1">
      <w:start w:val="1"/>
      <w:numFmt w:val="bullet"/>
      <w:lvlText w:val=""/>
      <w:lvlJc w:val="left"/>
      <w:pPr>
        <w:ind w:left="5465" w:hanging="360"/>
      </w:pPr>
      <w:rPr>
        <w:rFonts w:ascii="Symbol" w:hAnsi="Symbol" w:hint="default"/>
      </w:rPr>
    </w:lvl>
    <w:lvl w:ilvl="7" w:tplc="380A0003" w:tentative="1">
      <w:start w:val="1"/>
      <w:numFmt w:val="bullet"/>
      <w:lvlText w:val="o"/>
      <w:lvlJc w:val="left"/>
      <w:pPr>
        <w:ind w:left="6185" w:hanging="360"/>
      </w:pPr>
      <w:rPr>
        <w:rFonts w:ascii="Courier New" w:hAnsi="Courier New" w:cs="Courier New" w:hint="default"/>
      </w:rPr>
    </w:lvl>
    <w:lvl w:ilvl="8" w:tplc="380A0005" w:tentative="1">
      <w:start w:val="1"/>
      <w:numFmt w:val="bullet"/>
      <w:lvlText w:val=""/>
      <w:lvlJc w:val="left"/>
      <w:pPr>
        <w:ind w:left="6905" w:hanging="360"/>
      </w:pPr>
      <w:rPr>
        <w:rFonts w:ascii="Wingdings" w:hAnsi="Wingdings" w:hint="default"/>
      </w:rPr>
    </w:lvl>
  </w:abstractNum>
  <w:abstractNum w:abstractNumId="11" w15:restartNumberingAfterBreak="0">
    <w:nsid w:val="4E722FAE"/>
    <w:multiLevelType w:val="hybridMultilevel"/>
    <w:tmpl w:val="78908A38"/>
    <w:lvl w:ilvl="0" w:tplc="F2C61B98">
      <w:start w:val="1"/>
      <w:numFmt w:val="decimal"/>
      <w:lvlText w:val="%1."/>
      <w:lvlJc w:val="left"/>
      <w:pPr>
        <w:ind w:left="720" w:hanging="360"/>
      </w:pPr>
      <w:rPr>
        <w:color w:val="auto"/>
      </w:rPr>
    </w:lvl>
    <w:lvl w:ilvl="1" w:tplc="11A08C2C">
      <w:start w:val="14"/>
      <w:numFmt w:val="bullet"/>
      <w:lvlText w:val="-"/>
      <w:lvlJc w:val="left"/>
      <w:pPr>
        <w:ind w:left="1211" w:hanging="360"/>
      </w:pPr>
      <w:rPr>
        <w:rFonts w:ascii="Sancoale Slab Norm Regular" w:eastAsiaTheme="minorHAnsi" w:hAnsi="Sancoale Slab Norm Regular" w:cstheme="minorHAnsi" w:hint="default"/>
        <w:color w:val="auto"/>
      </w:rPr>
    </w:lvl>
    <w:lvl w:ilvl="2" w:tplc="380A001B">
      <w:start w:val="1"/>
      <w:numFmt w:val="lowerRoman"/>
      <w:lvlText w:val="%3."/>
      <w:lvlJc w:val="right"/>
      <w:pPr>
        <w:ind w:left="2160" w:hanging="180"/>
      </w:pPr>
    </w:lvl>
    <w:lvl w:ilvl="3" w:tplc="380A000F">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2" w15:restartNumberingAfterBreak="0">
    <w:nsid w:val="558E7A6A"/>
    <w:multiLevelType w:val="hybridMultilevel"/>
    <w:tmpl w:val="A6C68B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E326295"/>
    <w:multiLevelType w:val="hybridMultilevel"/>
    <w:tmpl w:val="6F94EFCC"/>
    <w:lvl w:ilvl="0" w:tplc="35BCEC5E">
      <w:numFmt w:val="bullet"/>
      <w:lvlText w:val="-"/>
      <w:lvlJc w:val="left"/>
      <w:pPr>
        <w:ind w:left="786" w:hanging="360"/>
      </w:pPr>
      <w:rPr>
        <w:rFonts w:ascii="Garamond" w:eastAsiaTheme="minorEastAsia" w:hAnsi="Garamond" w:cstheme="minorHAnsi" w:hint="default"/>
      </w:rPr>
    </w:lvl>
    <w:lvl w:ilvl="1" w:tplc="380A0003" w:tentative="1">
      <w:start w:val="1"/>
      <w:numFmt w:val="bullet"/>
      <w:lvlText w:val="o"/>
      <w:lvlJc w:val="left"/>
      <w:pPr>
        <w:ind w:left="1506" w:hanging="360"/>
      </w:pPr>
      <w:rPr>
        <w:rFonts w:ascii="Courier New" w:hAnsi="Courier New" w:cs="Courier New" w:hint="default"/>
      </w:rPr>
    </w:lvl>
    <w:lvl w:ilvl="2" w:tplc="380A0005" w:tentative="1">
      <w:start w:val="1"/>
      <w:numFmt w:val="bullet"/>
      <w:lvlText w:val=""/>
      <w:lvlJc w:val="left"/>
      <w:pPr>
        <w:ind w:left="2226" w:hanging="360"/>
      </w:pPr>
      <w:rPr>
        <w:rFonts w:ascii="Wingdings" w:hAnsi="Wingdings" w:hint="default"/>
      </w:rPr>
    </w:lvl>
    <w:lvl w:ilvl="3" w:tplc="380A0001" w:tentative="1">
      <w:start w:val="1"/>
      <w:numFmt w:val="bullet"/>
      <w:lvlText w:val=""/>
      <w:lvlJc w:val="left"/>
      <w:pPr>
        <w:ind w:left="2946" w:hanging="360"/>
      </w:pPr>
      <w:rPr>
        <w:rFonts w:ascii="Symbol" w:hAnsi="Symbol" w:hint="default"/>
      </w:rPr>
    </w:lvl>
    <w:lvl w:ilvl="4" w:tplc="380A0003" w:tentative="1">
      <w:start w:val="1"/>
      <w:numFmt w:val="bullet"/>
      <w:lvlText w:val="o"/>
      <w:lvlJc w:val="left"/>
      <w:pPr>
        <w:ind w:left="3666" w:hanging="360"/>
      </w:pPr>
      <w:rPr>
        <w:rFonts w:ascii="Courier New" w:hAnsi="Courier New" w:cs="Courier New" w:hint="default"/>
      </w:rPr>
    </w:lvl>
    <w:lvl w:ilvl="5" w:tplc="380A0005" w:tentative="1">
      <w:start w:val="1"/>
      <w:numFmt w:val="bullet"/>
      <w:lvlText w:val=""/>
      <w:lvlJc w:val="left"/>
      <w:pPr>
        <w:ind w:left="4386" w:hanging="360"/>
      </w:pPr>
      <w:rPr>
        <w:rFonts w:ascii="Wingdings" w:hAnsi="Wingdings" w:hint="default"/>
      </w:rPr>
    </w:lvl>
    <w:lvl w:ilvl="6" w:tplc="380A0001" w:tentative="1">
      <w:start w:val="1"/>
      <w:numFmt w:val="bullet"/>
      <w:lvlText w:val=""/>
      <w:lvlJc w:val="left"/>
      <w:pPr>
        <w:ind w:left="5106" w:hanging="360"/>
      </w:pPr>
      <w:rPr>
        <w:rFonts w:ascii="Symbol" w:hAnsi="Symbol" w:hint="default"/>
      </w:rPr>
    </w:lvl>
    <w:lvl w:ilvl="7" w:tplc="380A0003" w:tentative="1">
      <w:start w:val="1"/>
      <w:numFmt w:val="bullet"/>
      <w:lvlText w:val="o"/>
      <w:lvlJc w:val="left"/>
      <w:pPr>
        <w:ind w:left="5826" w:hanging="360"/>
      </w:pPr>
      <w:rPr>
        <w:rFonts w:ascii="Courier New" w:hAnsi="Courier New" w:cs="Courier New" w:hint="default"/>
      </w:rPr>
    </w:lvl>
    <w:lvl w:ilvl="8" w:tplc="380A0005" w:tentative="1">
      <w:start w:val="1"/>
      <w:numFmt w:val="bullet"/>
      <w:lvlText w:val=""/>
      <w:lvlJc w:val="left"/>
      <w:pPr>
        <w:ind w:left="6546" w:hanging="360"/>
      </w:pPr>
      <w:rPr>
        <w:rFonts w:ascii="Wingdings" w:hAnsi="Wingdings" w:hint="default"/>
      </w:rPr>
    </w:lvl>
  </w:abstractNum>
  <w:abstractNum w:abstractNumId="14" w15:restartNumberingAfterBreak="0">
    <w:nsid w:val="5F8C58FF"/>
    <w:multiLevelType w:val="hybridMultilevel"/>
    <w:tmpl w:val="1D20DC2C"/>
    <w:lvl w:ilvl="0" w:tplc="D3447F94">
      <w:start w:val="1"/>
      <w:numFmt w:val="bullet"/>
      <w:lvlText w:val="-"/>
      <w:lvlJc w:val="left"/>
      <w:pPr>
        <w:ind w:left="785" w:hanging="360"/>
      </w:pPr>
      <w:rPr>
        <w:rFonts w:ascii="Sylfaen" w:hAnsi="Sylfaen" w:hint="default"/>
        <w:color w:val="auto"/>
      </w:rPr>
    </w:lvl>
    <w:lvl w:ilvl="1" w:tplc="380A0003" w:tentative="1">
      <w:start w:val="1"/>
      <w:numFmt w:val="bullet"/>
      <w:lvlText w:val="o"/>
      <w:lvlJc w:val="left"/>
      <w:pPr>
        <w:ind w:left="1505" w:hanging="360"/>
      </w:pPr>
      <w:rPr>
        <w:rFonts w:ascii="Courier New" w:hAnsi="Courier New" w:cs="Courier New" w:hint="default"/>
      </w:rPr>
    </w:lvl>
    <w:lvl w:ilvl="2" w:tplc="380A0005" w:tentative="1">
      <w:start w:val="1"/>
      <w:numFmt w:val="bullet"/>
      <w:lvlText w:val=""/>
      <w:lvlJc w:val="left"/>
      <w:pPr>
        <w:ind w:left="2225" w:hanging="360"/>
      </w:pPr>
      <w:rPr>
        <w:rFonts w:ascii="Wingdings" w:hAnsi="Wingdings" w:cs="Wingdings" w:hint="default"/>
      </w:rPr>
    </w:lvl>
    <w:lvl w:ilvl="3" w:tplc="380A0001" w:tentative="1">
      <w:start w:val="1"/>
      <w:numFmt w:val="bullet"/>
      <w:lvlText w:val=""/>
      <w:lvlJc w:val="left"/>
      <w:pPr>
        <w:ind w:left="2945" w:hanging="360"/>
      </w:pPr>
      <w:rPr>
        <w:rFonts w:ascii="Symbol" w:hAnsi="Symbol" w:cs="Symbol" w:hint="default"/>
      </w:rPr>
    </w:lvl>
    <w:lvl w:ilvl="4" w:tplc="380A0003" w:tentative="1">
      <w:start w:val="1"/>
      <w:numFmt w:val="bullet"/>
      <w:lvlText w:val="o"/>
      <w:lvlJc w:val="left"/>
      <w:pPr>
        <w:ind w:left="3665" w:hanging="360"/>
      </w:pPr>
      <w:rPr>
        <w:rFonts w:ascii="Courier New" w:hAnsi="Courier New" w:cs="Courier New" w:hint="default"/>
      </w:rPr>
    </w:lvl>
    <w:lvl w:ilvl="5" w:tplc="380A0005" w:tentative="1">
      <w:start w:val="1"/>
      <w:numFmt w:val="bullet"/>
      <w:lvlText w:val=""/>
      <w:lvlJc w:val="left"/>
      <w:pPr>
        <w:ind w:left="4385" w:hanging="360"/>
      </w:pPr>
      <w:rPr>
        <w:rFonts w:ascii="Wingdings" w:hAnsi="Wingdings" w:cs="Wingdings" w:hint="default"/>
      </w:rPr>
    </w:lvl>
    <w:lvl w:ilvl="6" w:tplc="380A0001" w:tentative="1">
      <w:start w:val="1"/>
      <w:numFmt w:val="bullet"/>
      <w:lvlText w:val=""/>
      <w:lvlJc w:val="left"/>
      <w:pPr>
        <w:ind w:left="5105" w:hanging="360"/>
      </w:pPr>
      <w:rPr>
        <w:rFonts w:ascii="Symbol" w:hAnsi="Symbol" w:cs="Symbol" w:hint="default"/>
      </w:rPr>
    </w:lvl>
    <w:lvl w:ilvl="7" w:tplc="380A0003" w:tentative="1">
      <w:start w:val="1"/>
      <w:numFmt w:val="bullet"/>
      <w:lvlText w:val="o"/>
      <w:lvlJc w:val="left"/>
      <w:pPr>
        <w:ind w:left="5825" w:hanging="360"/>
      </w:pPr>
      <w:rPr>
        <w:rFonts w:ascii="Courier New" w:hAnsi="Courier New" w:cs="Courier New" w:hint="default"/>
      </w:rPr>
    </w:lvl>
    <w:lvl w:ilvl="8" w:tplc="380A0005" w:tentative="1">
      <w:start w:val="1"/>
      <w:numFmt w:val="bullet"/>
      <w:lvlText w:val=""/>
      <w:lvlJc w:val="left"/>
      <w:pPr>
        <w:ind w:left="6545" w:hanging="360"/>
      </w:pPr>
      <w:rPr>
        <w:rFonts w:ascii="Wingdings" w:hAnsi="Wingdings" w:cs="Wingdings" w:hint="default"/>
      </w:rPr>
    </w:lvl>
  </w:abstractNum>
  <w:abstractNum w:abstractNumId="15" w15:restartNumberingAfterBreak="0">
    <w:nsid w:val="61374B51"/>
    <w:multiLevelType w:val="hybridMultilevel"/>
    <w:tmpl w:val="6BF410AA"/>
    <w:lvl w:ilvl="0" w:tplc="11A08C2C">
      <w:start w:val="14"/>
      <w:numFmt w:val="bullet"/>
      <w:lvlText w:val="-"/>
      <w:lvlJc w:val="left"/>
      <w:pPr>
        <w:ind w:left="1211" w:hanging="360"/>
      </w:pPr>
      <w:rPr>
        <w:rFonts w:ascii="Sancoale Slab Norm Regular" w:eastAsiaTheme="minorHAnsi" w:hAnsi="Sancoale Slab Norm Regular" w:cstheme="minorHAnsi" w:hint="default"/>
        <w:color w:val="auto"/>
      </w:rPr>
    </w:lvl>
    <w:lvl w:ilvl="1" w:tplc="380A0003">
      <w:start w:val="1"/>
      <w:numFmt w:val="bullet"/>
      <w:lvlText w:val="o"/>
      <w:lvlJc w:val="left"/>
      <w:pPr>
        <w:ind w:left="1931" w:hanging="360"/>
      </w:pPr>
      <w:rPr>
        <w:rFonts w:ascii="Courier New" w:hAnsi="Courier New" w:cs="Courier New" w:hint="default"/>
      </w:rPr>
    </w:lvl>
    <w:lvl w:ilvl="2" w:tplc="380A0005" w:tentative="1">
      <w:start w:val="1"/>
      <w:numFmt w:val="bullet"/>
      <w:lvlText w:val=""/>
      <w:lvlJc w:val="left"/>
      <w:pPr>
        <w:ind w:left="2651" w:hanging="360"/>
      </w:pPr>
      <w:rPr>
        <w:rFonts w:ascii="Wingdings" w:hAnsi="Wingdings" w:hint="default"/>
      </w:rPr>
    </w:lvl>
    <w:lvl w:ilvl="3" w:tplc="380A0001" w:tentative="1">
      <w:start w:val="1"/>
      <w:numFmt w:val="bullet"/>
      <w:lvlText w:val=""/>
      <w:lvlJc w:val="left"/>
      <w:pPr>
        <w:ind w:left="3371" w:hanging="360"/>
      </w:pPr>
      <w:rPr>
        <w:rFonts w:ascii="Symbol" w:hAnsi="Symbol" w:hint="default"/>
      </w:rPr>
    </w:lvl>
    <w:lvl w:ilvl="4" w:tplc="380A0003" w:tentative="1">
      <w:start w:val="1"/>
      <w:numFmt w:val="bullet"/>
      <w:lvlText w:val="o"/>
      <w:lvlJc w:val="left"/>
      <w:pPr>
        <w:ind w:left="4091" w:hanging="360"/>
      </w:pPr>
      <w:rPr>
        <w:rFonts w:ascii="Courier New" w:hAnsi="Courier New" w:cs="Courier New" w:hint="default"/>
      </w:rPr>
    </w:lvl>
    <w:lvl w:ilvl="5" w:tplc="380A0005" w:tentative="1">
      <w:start w:val="1"/>
      <w:numFmt w:val="bullet"/>
      <w:lvlText w:val=""/>
      <w:lvlJc w:val="left"/>
      <w:pPr>
        <w:ind w:left="4811" w:hanging="360"/>
      </w:pPr>
      <w:rPr>
        <w:rFonts w:ascii="Wingdings" w:hAnsi="Wingdings" w:hint="default"/>
      </w:rPr>
    </w:lvl>
    <w:lvl w:ilvl="6" w:tplc="380A0001" w:tentative="1">
      <w:start w:val="1"/>
      <w:numFmt w:val="bullet"/>
      <w:lvlText w:val=""/>
      <w:lvlJc w:val="left"/>
      <w:pPr>
        <w:ind w:left="5531" w:hanging="360"/>
      </w:pPr>
      <w:rPr>
        <w:rFonts w:ascii="Symbol" w:hAnsi="Symbol" w:hint="default"/>
      </w:rPr>
    </w:lvl>
    <w:lvl w:ilvl="7" w:tplc="380A0003" w:tentative="1">
      <w:start w:val="1"/>
      <w:numFmt w:val="bullet"/>
      <w:lvlText w:val="o"/>
      <w:lvlJc w:val="left"/>
      <w:pPr>
        <w:ind w:left="6251" w:hanging="360"/>
      </w:pPr>
      <w:rPr>
        <w:rFonts w:ascii="Courier New" w:hAnsi="Courier New" w:cs="Courier New" w:hint="default"/>
      </w:rPr>
    </w:lvl>
    <w:lvl w:ilvl="8" w:tplc="380A0005" w:tentative="1">
      <w:start w:val="1"/>
      <w:numFmt w:val="bullet"/>
      <w:lvlText w:val=""/>
      <w:lvlJc w:val="left"/>
      <w:pPr>
        <w:ind w:left="6971" w:hanging="360"/>
      </w:pPr>
      <w:rPr>
        <w:rFonts w:ascii="Wingdings" w:hAnsi="Wingdings" w:hint="default"/>
      </w:rPr>
    </w:lvl>
  </w:abstractNum>
  <w:abstractNum w:abstractNumId="16" w15:restartNumberingAfterBreak="0">
    <w:nsid w:val="6D906C6F"/>
    <w:multiLevelType w:val="hybridMultilevel"/>
    <w:tmpl w:val="6A940880"/>
    <w:lvl w:ilvl="0" w:tplc="123ABA96">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7" w15:restartNumberingAfterBreak="0">
    <w:nsid w:val="6F3C0F6D"/>
    <w:multiLevelType w:val="hybridMultilevel"/>
    <w:tmpl w:val="FC807130"/>
    <w:lvl w:ilvl="0" w:tplc="11A08C2C">
      <w:start w:val="14"/>
      <w:numFmt w:val="bullet"/>
      <w:lvlText w:val="-"/>
      <w:lvlJc w:val="left"/>
      <w:pPr>
        <w:ind w:left="1146" w:hanging="360"/>
      </w:pPr>
      <w:rPr>
        <w:rFonts w:ascii="Sancoale Slab Norm Regular" w:eastAsiaTheme="minorHAnsi" w:hAnsi="Sancoale Slab Norm Regular" w:cstheme="minorHAnsi" w:hint="default"/>
        <w:color w:val="auto"/>
      </w:rPr>
    </w:lvl>
    <w:lvl w:ilvl="1" w:tplc="380A0003" w:tentative="1">
      <w:start w:val="1"/>
      <w:numFmt w:val="bullet"/>
      <w:lvlText w:val="o"/>
      <w:lvlJc w:val="left"/>
      <w:pPr>
        <w:ind w:left="1866" w:hanging="360"/>
      </w:pPr>
      <w:rPr>
        <w:rFonts w:ascii="Courier New" w:hAnsi="Courier New" w:cs="Courier New" w:hint="default"/>
      </w:rPr>
    </w:lvl>
    <w:lvl w:ilvl="2" w:tplc="380A0005" w:tentative="1">
      <w:start w:val="1"/>
      <w:numFmt w:val="bullet"/>
      <w:lvlText w:val=""/>
      <w:lvlJc w:val="left"/>
      <w:pPr>
        <w:ind w:left="2586" w:hanging="360"/>
      </w:pPr>
      <w:rPr>
        <w:rFonts w:ascii="Wingdings" w:hAnsi="Wingdings" w:hint="default"/>
      </w:rPr>
    </w:lvl>
    <w:lvl w:ilvl="3" w:tplc="380A0001" w:tentative="1">
      <w:start w:val="1"/>
      <w:numFmt w:val="bullet"/>
      <w:lvlText w:val=""/>
      <w:lvlJc w:val="left"/>
      <w:pPr>
        <w:ind w:left="3306" w:hanging="360"/>
      </w:pPr>
      <w:rPr>
        <w:rFonts w:ascii="Symbol" w:hAnsi="Symbol" w:hint="default"/>
      </w:rPr>
    </w:lvl>
    <w:lvl w:ilvl="4" w:tplc="380A0003" w:tentative="1">
      <w:start w:val="1"/>
      <w:numFmt w:val="bullet"/>
      <w:lvlText w:val="o"/>
      <w:lvlJc w:val="left"/>
      <w:pPr>
        <w:ind w:left="4026" w:hanging="360"/>
      </w:pPr>
      <w:rPr>
        <w:rFonts w:ascii="Courier New" w:hAnsi="Courier New" w:cs="Courier New" w:hint="default"/>
      </w:rPr>
    </w:lvl>
    <w:lvl w:ilvl="5" w:tplc="380A0005" w:tentative="1">
      <w:start w:val="1"/>
      <w:numFmt w:val="bullet"/>
      <w:lvlText w:val=""/>
      <w:lvlJc w:val="left"/>
      <w:pPr>
        <w:ind w:left="4746" w:hanging="360"/>
      </w:pPr>
      <w:rPr>
        <w:rFonts w:ascii="Wingdings" w:hAnsi="Wingdings" w:hint="default"/>
      </w:rPr>
    </w:lvl>
    <w:lvl w:ilvl="6" w:tplc="380A0001" w:tentative="1">
      <w:start w:val="1"/>
      <w:numFmt w:val="bullet"/>
      <w:lvlText w:val=""/>
      <w:lvlJc w:val="left"/>
      <w:pPr>
        <w:ind w:left="5466" w:hanging="360"/>
      </w:pPr>
      <w:rPr>
        <w:rFonts w:ascii="Symbol" w:hAnsi="Symbol" w:hint="default"/>
      </w:rPr>
    </w:lvl>
    <w:lvl w:ilvl="7" w:tplc="380A0003" w:tentative="1">
      <w:start w:val="1"/>
      <w:numFmt w:val="bullet"/>
      <w:lvlText w:val="o"/>
      <w:lvlJc w:val="left"/>
      <w:pPr>
        <w:ind w:left="6186" w:hanging="360"/>
      </w:pPr>
      <w:rPr>
        <w:rFonts w:ascii="Courier New" w:hAnsi="Courier New" w:cs="Courier New" w:hint="default"/>
      </w:rPr>
    </w:lvl>
    <w:lvl w:ilvl="8" w:tplc="380A0005" w:tentative="1">
      <w:start w:val="1"/>
      <w:numFmt w:val="bullet"/>
      <w:lvlText w:val=""/>
      <w:lvlJc w:val="left"/>
      <w:pPr>
        <w:ind w:left="6906" w:hanging="360"/>
      </w:pPr>
      <w:rPr>
        <w:rFonts w:ascii="Wingdings" w:hAnsi="Wingdings" w:hint="default"/>
      </w:rPr>
    </w:lvl>
  </w:abstractNum>
  <w:abstractNum w:abstractNumId="18" w15:restartNumberingAfterBreak="0">
    <w:nsid w:val="74900F1F"/>
    <w:multiLevelType w:val="hybridMultilevel"/>
    <w:tmpl w:val="03BA42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98E091B"/>
    <w:multiLevelType w:val="hybridMultilevel"/>
    <w:tmpl w:val="FF52804A"/>
    <w:lvl w:ilvl="0" w:tplc="D3447F94">
      <w:start w:val="1"/>
      <w:numFmt w:val="bullet"/>
      <w:lvlText w:val="-"/>
      <w:lvlJc w:val="left"/>
      <w:pPr>
        <w:ind w:left="1429" w:hanging="360"/>
      </w:pPr>
      <w:rPr>
        <w:rFonts w:ascii="Sylfaen" w:hAnsi="Sylfaen" w:hint="default"/>
      </w:rPr>
    </w:lvl>
    <w:lvl w:ilvl="1" w:tplc="380A0003" w:tentative="1">
      <w:start w:val="1"/>
      <w:numFmt w:val="bullet"/>
      <w:lvlText w:val="o"/>
      <w:lvlJc w:val="left"/>
      <w:pPr>
        <w:ind w:left="2149" w:hanging="360"/>
      </w:pPr>
      <w:rPr>
        <w:rFonts w:ascii="Courier New" w:hAnsi="Courier New" w:cs="Courier New" w:hint="default"/>
      </w:rPr>
    </w:lvl>
    <w:lvl w:ilvl="2" w:tplc="380A0005" w:tentative="1">
      <w:start w:val="1"/>
      <w:numFmt w:val="bullet"/>
      <w:lvlText w:val=""/>
      <w:lvlJc w:val="left"/>
      <w:pPr>
        <w:ind w:left="2869" w:hanging="360"/>
      </w:pPr>
      <w:rPr>
        <w:rFonts w:ascii="Wingdings" w:hAnsi="Wingdings" w:hint="default"/>
      </w:rPr>
    </w:lvl>
    <w:lvl w:ilvl="3" w:tplc="380A0001" w:tentative="1">
      <w:start w:val="1"/>
      <w:numFmt w:val="bullet"/>
      <w:lvlText w:val=""/>
      <w:lvlJc w:val="left"/>
      <w:pPr>
        <w:ind w:left="3589" w:hanging="360"/>
      </w:pPr>
      <w:rPr>
        <w:rFonts w:ascii="Symbol" w:hAnsi="Symbol" w:hint="default"/>
      </w:rPr>
    </w:lvl>
    <w:lvl w:ilvl="4" w:tplc="380A0003" w:tentative="1">
      <w:start w:val="1"/>
      <w:numFmt w:val="bullet"/>
      <w:lvlText w:val="o"/>
      <w:lvlJc w:val="left"/>
      <w:pPr>
        <w:ind w:left="4309" w:hanging="360"/>
      </w:pPr>
      <w:rPr>
        <w:rFonts w:ascii="Courier New" w:hAnsi="Courier New" w:cs="Courier New" w:hint="default"/>
      </w:rPr>
    </w:lvl>
    <w:lvl w:ilvl="5" w:tplc="380A0005" w:tentative="1">
      <w:start w:val="1"/>
      <w:numFmt w:val="bullet"/>
      <w:lvlText w:val=""/>
      <w:lvlJc w:val="left"/>
      <w:pPr>
        <w:ind w:left="5029" w:hanging="360"/>
      </w:pPr>
      <w:rPr>
        <w:rFonts w:ascii="Wingdings" w:hAnsi="Wingdings" w:hint="default"/>
      </w:rPr>
    </w:lvl>
    <w:lvl w:ilvl="6" w:tplc="380A0001" w:tentative="1">
      <w:start w:val="1"/>
      <w:numFmt w:val="bullet"/>
      <w:lvlText w:val=""/>
      <w:lvlJc w:val="left"/>
      <w:pPr>
        <w:ind w:left="5749" w:hanging="360"/>
      </w:pPr>
      <w:rPr>
        <w:rFonts w:ascii="Symbol" w:hAnsi="Symbol" w:hint="default"/>
      </w:rPr>
    </w:lvl>
    <w:lvl w:ilvl="7" w:tplc="380A0003" w:tentative="1">
      <w:start w:val="1"/>
      <w:numFmt w:val="bullet"/>
      <w:lvlText w:val="o"/>
      <w:lvlJc w:val="left"/>
      <w:pPr>
        <w:ind w:left="6469" w:hanging="360"/>
      </w:pPr>
      <w:rPr>
        <w:rFonts w:ascii="Courier New" w:hAnsi="Courier New" w:cs="Courier New" w:hint="default"/>
      </w:rPr>
    </w:lvl>
    <w:lvl w:ilvl="8" w:tplc="380A0005" w:tentative="1">
      <w:start w:val="1"/>
      <w:numFmt w:val="bullet"/>
      <w:lvlText w:val=""/>
      <w:lvlJc w:val="left"/>
      <w:pPr>
        <w:ind w:left="7189" w:hanging="360"/>
      </w:pPr>
      <w:rPr>
        <w:rFonts w:ascii="Wingdings" w:hAnsi="Wingdings" w:hint="default"/>
      </w:rPr>
    </w:lvl>
  </w:abstractNum>
  <w:abstractNum w:abstractNumId="20" w15:restartNumberingAfterBreak="0">
    <w:nsid w:val="7BCF0D5A"/>
    <w:multiLevelType w:val="hybridMultilevel"/>
    <w:tmpl w:val="44A61B3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551841835">
    <w:abstractNumId w:val="8"/>
  </w:num>
  <w:num w:numId="2" w16cid:durableId="1383015342">
    <w:abstractNumId w:val="19"/>
  </w:num>
  <w:num w:numId="3" w16cid:durableId="1345940018">
    <w:abstractNumId w:val="17"/>
  </w:num>
  <w:num w:numId="4" w16cid:durableId="1093622903">
    <w:abstractNumId w:val="0"/>
  </w:num>
  <w:num w:numId="5" w16cid:durableId="1358042467">
    <w:abstractNumId w:val="6"/>
  </w:num>
  <w:num w:numId="6" w16cid:durableId="1133476766">
    <w:abstractNumId w:val="7"/>
  </w:num>
  <w:num w:numId="7" w16cid:durableId="1083263374">
    <w:abstractNumId w:val="10"/>
  </w:num>
  <w:num w:numId="8" w16cid:durableId="1207067959">
    <w:abstractNumId w:val="14"/>
  </w:num>
  <w:num w:numId="9" w16cid:durableId="83841304">
    <w:abstractNumId w:val="11"/>
  </w:num>
  <w:num w:numId="10" w16cid:durableId="1330215092">
    <w:abstractNumId w:val="15"/>
  </w:num>
  <w:num w:numId="11" w16cid:durableId="770853068">
    <w:abstractNumId w:val="5"/>
  </w:num>
  <w:num w:numId="12" w16cid:durableId="1533881917">
    <w:abstractNumId w:val="13"/>
  </w:num>
  <w:num w:numId="13" w16cid:durableId="695930590">
    <w:abstractNumId w:val="3"/>
  </w:num>
  <w:num w:numId="14" w16cid:durableId="788473402">
    <w:abstractNumId w:val="4"/>
  </w:num>
  <w:num w:numId="15" w16cid:durableId="1347320424">
    <w:abstractNumId w:val="1"/>
  </w:num>
  <w:num w:numId="16" w16cid:durableId="1148789284">
    <w:abstractNumId w:val="2"/>
  </w:num>
  <w:num w:numId="17" w16cid:durableId="1775054106">
    <w:abstractNumId w:val="16"/>
  </w:num>
  <w:num w:numId="18" w16cid:durableId="613486741">
    <w:abstractNumId w:val="9"/>
  </w:num>
  <w:num w:numId="19" w16cid:durableId="2047680803">
    <w:abstractNumId w:val="18"/>
  </w:num>
  <w:num w:numId="20" w16cid:durableId="10807555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8636683">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F07"/>
    <w:rsid w:val="00001E20"/>
    <w:rsid w:val="00002DC4"/>
    <w:rsid w:val="00004BC1"/>
    <w:rsid w:val="00004D2E"/>
    <w:rsid w:val="000065D7"/>
    <w:rsid w:val="00017BF0"/>
    <w:rsid w:val="00025466"/>
    <w:rsid w:val="000324C0"/>
    <w:rsid w:val="00033BA4"/>
    <w:rsid w:val="000359E4"/>
    <w:rsid w:val="00035FF3"/>
    <w:rsid w:val="000378EB"/>
    <w:rsid w:val="000408CC"/>
    <w:rsid w:val="00041D7B"/>
    <w:rsid w:val="00042A27"/>
    <w:rsid w:val="000435EF"/>
    <w:rsid w:val="00043E7D"/>
    <w:rsid w:val="00044960"/>
    <w:rsid w:val="000468D2"/>
    <w:rsid w:val="00046BF4"/>
    <w:rsid w:val="00047C42"/>
    <w:rsid w:val="000511D1"/>
    <w:rsid w:val="00053FEA"/>
    <w:rsid w:val="0005477E"/>
    <w:rsid w:val="000617C7"/>
    <w:rsid w:val="000617F3"/>
    <w:rsid w:val="0006208E"/>
    <w:rsid w:val="0006556E"/>
    <w:rsid w:val="00070E34"/>
    <w:rsid w:val="000738D1"/>
    <w:rsid w:val="0007425D"/>
    <w:rsid w:val="00075429"/>
    <w:rsid w:val="00076878"/>
    <w:rsid w:val="00081027"/>
    <w:rsid w:val="00081503"/>
    <w:rsid w:val="00082A2B"/>
    <w:rsid w:val="0008399E"/>
    <w:rsid w:val="000840CA"/>
    <w:rsid w:val="00085DF7"/>
    <w:rsid w:val="00094452"/>
    <w:rsid w:val="00095DA9"/>
    <w:rsid w:val="000A15A7"/>
    <w:rsid w:val="000A2101"/>
    <w:rsid w:val="000B7046"/>
    <w:rsid w:val="000C0C73"/>
    <w:rsid w:val="000C2498"/>
    <w:rsid w:val="000C4DA5"/>
    <w:rsid w:val="000D06BC"/>
    <w:rsid w:val="000D675D"/>
    <w:rsid w:val="000E182C"/>
    <w:rsid w:val="000E1D33"/>
    <w:rsid w:val="000E1E8F"/>
    <w:rsid w:val="000E5E31"/>
    <w:rsid w:val="000F0B2F"/>
    <w:rsid w:val="000F0F17"/>
    <w:rsid w:val="000F3EF7"/>
    <w:rsid w:val="000F5A8D"/>
    <w:rsid w:val="00101097"/>
    <w:rsid w:val="00101695"/>
    <w:rsid w:val="0010316D"/>
    <w:rsid w:val="001053C5"/>
    <w:rsid w:val="0011276C"/>
    <w:rsid w:val="00120B5A"/>
    <w:rsid w:val="00120BEB"/>
    <w:rsid w:val="00120FFE"/>
    <w:rsid w:val="00125740"/>
    <w:rsid w:val="00125ABA"/>
    <w:rsid w:val="001366D5"/>
    <w:rsid w:val="00141C44"/>
    <w:rsid w:val="00142BE6"/>
    <w:rsid w:val="00145D69"/>
    <w:rsid w:val="00146EC7"/>
    <w:rsid w:val="00153DBA"/>
    <w:rsid w:val="00154315"/>
    <w:rsid w:val="001543EC"/>
    <w:rsid w:val="001612D2"/>
    <w:rsid w:val="00171371"/>
    <w:rsid w:val="00174516"/>
    <w:rsid w:val="00174A15"/>
    <w:rsid w:val="00175D5D"/>
    <w:rsid w:val="00176A02"/>
    <w:rsid w:val="00180EA0"/>
    <w:rsid w:val="0018312B"/>
    <w:rsid w:val="00190DF2"/>
    <w:rsid w:val="00190FC7"/>
    <w:rsid w:val="001A05A4"/>
    <w:rsid w:val="001A6E3E"/>
    <w:rsid w:val="001B15D4"/>
    <w:rsid w:val="001B1845"/>
    <w:rsid w:val="001B53D0"/>
    <w:rsid w:val="001B79AC"/>
    <w:rsid w:val="001C4948"/>
    <w:rsid w:val="001C5319"/>
    <w:rsid w:val="001D0BDA"/>
    <w:rsid w:val="001E32BD"/>
    <w:rsid w:val="001E3A38"/>
    <w:rsid w:val="001E5E43"/>
    <w:rsid w:val="001E69F7"/>
    <w:rsid w:val="001F3541"/>
    <w:rsid w:val="001F3784"/>
    <w:rsid w:val="001F450C"/>
    <w:rsid w:val="001F6F6B"/>
    <w:rsid w:val="0020151C"/>
    <w:rsid w:val="00202358"/>
    <w:rsid w:val="00204CE9"/>
    <w:rsid w:val="002068F4"/>
    <w:rsid w:val="00214842"/>
    <w:rsid w:val="00215052"/>
    <w:rsid w:val="00222924"/>
    <w:rsid w:val="0022406B"/>
    <w:rsid w:val="002355ED"/>
    <w:rsid w:val="00241637"/>
    <w:rsid w:val="00242D28"/>
    <w:rsid w:val="0024402A"/>
    <w:rsid w:val="002449A3"/>
    <w:rsid w:val="002504C0"/>
    <w:rsid w:val="00251A3B"/>
    <w:rsid w:val="0025384D"/>
    <w:rsid w:val="00263D4F"/>
    <w:rsid w:val="00267218"/>
    <w:rsid w:val="00271384"/>
    <w:rsid w:val="00280DE7"/>
    <w:rsid w:val="0028507B"/>
    <w:rsid w:val="00292831"/>
    <w:rsid w:val="00295BDD"/>
    <w:rsid w:val="002A2173"/>
    <w:rsid w:val="002A2416"/>
    <w:rsid w:val="002A4E95"/>
    <w:rsid w:val="002A5262"/>
    <w:rsid w:val="002B0913"/>
    <w:rsid w:val="002B1C82"/>
    <w:rsid w:val="002B2278"/>
    <w:rsid w:val="002B4291"/>
    <w:rsid w:val="002C2479"/>
    <w:rsid w:val="002C7688"/>
    <w:rsid w:val="002D0AB5"/>
    <w:rsid w:val="002D187A"/>
    <w:rsid w:val="002D232F"/>
    <w:rsid w:val="002D2421"/>
    <w:rsid w:val="002D2E75"/>
    <w:rsid w:val="002D3AA1"/>
    <w:rsid w:val="002D512B"/>
    <w:rsid w:val="002D5B2F"/>
    <w:rsid w:val="002E15FA"/>
    <w:rsid w:val="002E51C0"/>
    <w:rsid w:val="002F0603"/>
    <w:rsid w:val="002F225F"/>
    <w:rsid w:val="002F5AB2"/>
    <w:rsid w:val="00302F27"/>
    <w:rsid w:val="0030474E"/>
    <w:rsid w:val="00312AE6"/>
    <w:rsid w:val="00316A54"/>
    <w:rsid w:val="00317477"/>
    <w:rsid w:val="00317C40"/>
    <w:rsid w:val="00323E55"/>
    <w:rsid w:val="00326FEF"/>
    <w:rsid w:val="0032767B"/>
    <w:rsid w:val="00333530"/>
    <w:rsid w:val="003357F7"/>
    <w:rsid w:val="00335A56"/>
    <w:rsid w:val="00341082"/>
    <w:rsid w:val="0034680A"/>
    <w:rsid w:val="003476B5"/>
    <w:rsid w:val="00351CB1"/>
    <w:rsid w:val="00353979"/>
    <w:rsid w:val="00355841"/>
    <w:rsid w:val="00355C19"/>
    <w:rsid w:val="00357563"/>
    <w:rsid w:val="00357F1C"/>
    <w:rsid w:val="0036125E"/>
    <w:rsid w:val="00362F9C"/>
    <w:rsid w:val="003657F9"/>
    <w:rsid w:val="00377F7C"/>
    <w:rsid w:val="00383001"/>
    <w:rsid w:val="00383E0D"/>
    <w:rsid w:val="00387628"/>
    <w:rsid w:val="00387645"/>
    <w:rsid w:val="00392548"/>
    <w:rsid w:val="003A0D2B"/>
    <w:rsid w:val="003A37CE"/>
    <w:rsid w:val="003A78D4"/>
    <w:rsid w:val="003B48C3"/>
    <w:rsid w:val="003B6D3B"/>
    <w:rsid w:val="003B71A4"/>
    <w:rsid w:val="003B759B"/>
    <w:rsid w:val="003B77E2"/>
    <w:rsid w:val="003C6379"/>
    <w:rsid w:val="003C723D"/>
    <w:rsid w:val="003D028D"/>
    <w:rsid w:val="003D1CB4"/>
    <w:rsid w:val="003D3CEF"/>
    <w:rsid w:val="003D6304"/>
    <w:rsid w:val="003D6F7E"/>
    <w:rsid w:val="003E097C"/>
    <w:rsid w:val="003E1BF6"/>
    <w:rsid w:val="003E3311"/>
    <w:rsid w:val="003E681A"/>
    <w:rsid w:val="003E6FEF"/>
    <w:rsid w:val="003F32A2"/>
    <w:rsid w:val="003F45AD"/>
    <w:rsid w:val="003F45B0"/>
    <w:rsid w:val="00400136"/>
    <w:rsid w:val="0040097D"/>
    <w:rsid w:val="004027F3"/>
    <w:rsid w:val="004050D1"/>
    <w:rsid w:val="00410690"/>
    <w:rsid w:val="00411044"/>
    <w:rsid w:val="00417328"/>
    <w:rsid w:val="00421042"/>
    <w:rsid w:val="00421C48"/>
    <w:rsid w:val="00421CD8"/>
    <w:rsid w:val="0042434F"/>
    <w:rsid w:val="004244F6"/>
    <w:rsid w:val="004260DB"/>
    <w:rsid w:val="004318B4"/>
    <w:rsid w:val="00432089"/>
    <w:rsid w:val="00436EE8"/>
    <w:rsid w:val="00437CE6"/>
    <w:rsid w:val="00440395"/>
    <w:rsid w:val="00440D3A"/>
    <w:rsid w:val="00441663"/>
    <w:rsid w:val="0044493B"/>
    <w:rsid w:val="0045362B"/>
    <w:rsid w:val="0045740F"/>
    <w:rsid w:val="004608D0"/>
    <w:rsid w:val="004637A1"/>
    <w:rsid w:val="00463ED4"/>
    <w:rsid w:val="0046482C"/>
    <w:rsid w:val="00464A52"/>
    <w:rsid w:val="004655D0"/>
    <w:rsid w:val="00472A2A"/>
    <w:rsid w:val="00481ED5"/>
    <w:rsid w:val="00485001"/>
    <w:rsid w:val="004917EB"/>
    <w:rsid w:val="004962E2"/>
    <w:rsid w:val="004A38B4"/>
    <w:rsid w:val="004A45B6"/>
    <w:rsid w:val="004B0146"/>
    <w:rsid w:val="004C1B48"/>
    <w:rsid w:val="004C1CFA"/>
    <w:rsid w:val="004C3555"/>
    <w:rsid w:val="004C3EAD"/>
    <w:rsid w:val="004D033E"/>
    <w:rsid w:val="004D51C2"/>
    <w:rsid w:val="004D709C"/>
    <w:rsid w:val="004E1522"/>
    <w:rsid w:val="004E240A"/>
    <w:rsid w:val="004F30F3"/>
    <w:rsid w:val="004F52E4"/>
    <w:rsid w:val="004F728C"/>
    <w:rsid w:val="00502F07"/>
    <w:rsid w:val="00506101"/>
    <w:rsid w:val="005066F8"/>
    <w:rsid w:val="00510CBD"/>
    <w:rsid w:val="005118CA"/>
    <w:rsid w:val="005252B6"/>
    <w:rsid w:val="00526CCF"/>
    <w:rsid w:val="005349A5"/>
    <w:rsid w:val="005375E8"/>
    <w:rsid w:val="0055156E"/>
    <w:rsid w:val="00551750"/>
    <w:rsid w:val="00554C0A"/>
    <w:rsid w:val="00562C7D"/>
    <w:rsid w:val="00566C0F"/>
    <w:rsid w:val="0056766D"/>
    <w:rsid w:val="00571A97"/>
    <w:rsid w:val="00571F2A"/>
    <w:rsid w:val="00582AF1"/>
    <w:rsid w:val="00583902"/>
    <w:rsid w:val="00584784"/>
    <w:rsid w:val="00584E75"/>
    <w:rsid w:val="00585F93"/>
    <w:rsid w:val="00587D88"/>
    <w:rsid w:val="00593A30"/>
    <w:rsid w:val="00593C2F"/>
    <w:rsid w:val="005A0F05"/>
    <w:rsid w:val="005A3EE9"/>
    <w:rsid w:val="005A4073"/>
    <w:rsid w:val="005A5583"/>
    <w:rsid w:val="005B217A"/>
    <w:rsid w:val="005B3CBA"/>
    <w:rsid w:val="005C426C"/>
    <w:rsid w:val="005C50B9"/>
    <w:rsid w:val="005C5216"/>
    <w:rsid w:val="005C660A"/>
    <w:rsid w:val="005D1632"/>
    <w:rsid w:val="005D71EA"/>
    <w:rsid w:val="005E4B58"/>
    <w:rsid w:val="005F2218"/>
    <w:rsid w:val="005F3E65"/>
    <w:rsid w:val="005F6C37"/>
    <w:rsid w:val="00600D74"/>
    <w:rsid w:val="00604105"/>
    <w:rsid w:val="00613231"/>
    <w:rsid w:val="006204C8"/>
    <w:rsid w:val="006218F0"/>
    <w:rsid w:val="00622B3C"/>
    <w:rsid w:val="0062742B"/>
    <w:rsid w:val="00631509"/>
    <w:rsid w:val="00633853"/>
    <w:rsid w:val="0063658A"/>
    <w:rsid w:val="00640803"/>
    <w:rsid w:val="00640BD8"/>
    <w:rsid w:val="006455E1"/>
    <w:rsid w:val="00651191"/>
    <w:rsid w:val="00652387"/>
    <w:rsid w:val="00652FE8"/>
    <w:rsid w:val="006542C8"/>
    <w:rsid w:val="006543FA"/>
    <w:rsid w:val="00670EB6"/>
    <w:rsid w:val="006726D9"/>
    <w:rsid w:val="00675239"/>
    <w:rsid w:val="006766E7"/>
    <w:rsid w:val="0068294A"/>
    <w:rsid w:val="0069145A"/>
    <w:rsid w:val="006925E7"/>
    <w:rsid w:val="00696EB6"/>
    <w:rsid w:val="00697830"/>
    <w:rsid w:val="006A041E"/>
    <w:rsid w:val="006A5F56"/>
    <w:rsid w:val="006B0723"/>
    <w:rsid w:val="006B6296"/>
    <w:rsid w:val="006D42DD"/>
    <w:rsid w:val="006D639A"/>
    <w:rsid w:val="006F1EB9"/>
    <w:rsid w:val="006F46D8"/>
    <w:rsid w:val="006F5798"/>
    <w:rsid w:val="006F5D73"/>
    <w:rsid w:val="007007B4"/>
    <w:rsid w:val="00701140"/>
    <w:rsid w:val="00701AB7"/>
    <w:rsid w:val="00705D4C"/>
    <w:rsid w:val="0071098F"/>
    <w:rsid w:val="007261DC"/>
    <w:rsid w:val="00726B43"/>
    <w:rsid w:val="007332BA"/>
    <w:rsid w:val="007375F4"/>
    <w:rsid w:val="00737CCE"/>
    <w:rsid w:val="00742D52"/>
    <w:rsid w:val="00743337"/>
    <w:rsid w:val="007458FB"/>
    <w:rsid w:val="00745D70"/>
    <w:rsid w:val="00746D8E"/>
    <w:rsid w:val="00747FCE"/>
    <w:rsid w:val="00767DE6"/>
    <w:rsid w:val="00767E81"/>
    <w:rsid w:val="0077124E"/>
    <w:rsid w:val="00772001"/>
    <w:rsid w:val="0077768E"/>
    <w:rsid w:val="00785322"/>
    <w:rsid w:val="00792B96"/>
    <w:rsid w:val="00794218"/>
    <w:rsid w:val="00797336"/>
    <w:rsid w:val="007A29E5"/>
    <w:rsid w:val="007A313D"/>
    <w:rsid w:val="007A4004"/>
    <w:rsid w:val="007A585D"/>
    <w:rsid w:val="007B0CA2"/>
    <w:rsid w:val="007B302D"/>
    <w:rsid w:val="007B672B"/>
    <w:rsid w:val="007B6CEF"/>
    <w:rsid w:val="007C502C"/>
    <w:rsid w:val="007D14FE"/>
    <w:rsid w:val="007D1585"/>
    <w:rsid w:val="007D1ADC"/>
    <w:rsid w:val="007D1D17"/>
    <w:rsid w:val="007D6D3C"/>
    <w:rsid w:val="007E408F"/>
    <w:rsid w:val="007F3ED8"/>
    <w:rsid w:val="007F566C"/>
    <w:rsid w:val="007F79BC"/>
    <w:rsid w:val="0080226F"/>
    <w:rsid w:val="00804643"/>
    <w:rsid w:val="0081191A"/>
    <w:rsid w:val="00815725"/>
    <w:rsid w:val="00816B84"/>
    <w:rsid w:val="00827605"/>
    <w:rsid w:val="008302AA"/>
    <w:rsid w:val="008313CF"/>
    <w:rsid w:val="00842A13"/>
    <w:rsid w:val="008467A8"/>
    <w:rsid w:val="0084693B"/>
    <w:rsid w:val="00852E2D"/>
    <w:rsid w:val="0085484B"/>
    <w:rsid w:val="00856D7A"/>
    <w:rsid w:val="00866649"/>
    <w:rsid w:val="00867BDF"/>
    <w:rsid w:val="00877377"/>
    <w:rsid w:val="008870DA"/>
    <w:rsid w:val="00893FD3"/>
    <w:rsid w:val="008A253D"/>
    <w:rsid w:val="008B1BF3"/>
    <w:rsid w:val="008B319F"/>
    <w:rsid w:val="008B50DB"/>
    <w:rsid w:val="008C24C2"/>
    <w:rsid w:val="008C7F48"/>
    <w:rsid w:val="008C7F55"/>
    <w:rsid w:val="008D17F1"/>
    <w:rsid w:val="008D1CCD"/>
    <w:rsid w:val="008D32FE"/>
    <w:rsid w:val="008D7F73"/>
    <w:rsid w:val="008E1A50"/>
    <w:rsid w:val="008E229C"/>
    <w:rsid w:val="008E74B8"/>
    <w:rsid w:val="008F0988"/>
    <w:rsid w:val="008F0CD3"/>
    <w:rsid w:val="008F5F9E"/>
    <w:rsid w:val="009026D8"/>
    <w:rsid w:val="00902913"/>
    <w:rsid w:val="0090518E"/>
    <w:rsid w:val="00921234"/>
    <w:rsid w:val="009214E8"/>
    <w:rsid w:val="00922F76"/>
    <w:rsid w:val="009230F4"/>
    <w:rsid w:val="00924D6A"/>
    <w:rsid w:val="0092574A"/>
    <w:rsid w:val="00925F77"/>
    <w:rsid w:val="00927D26"/>
    <w:rsid w:val="00931371"/>
    <w:rsid w:val="009327A3"/>
    <w:rsid w:val="009327EA"/>
    <w:rsid w:val="009337C6"/>
    <w:rsid w:val="00940609"/>
    <w:rsid w:val="009441E8"/>
    <w:rsid w:val="009443BF"/>
    <w:rsid w:val="00945075"/>
    <w:rsid w:val="00946AC7"/>
    <w:rsid w:val="00947DB7"/>
    <w:rsid w:val="00947F1C"/>
    <w:rsid w:val="00957202"/>
    <w:rsid w:val="00957634"/>
    <w:rsid w:val="0096603D"/>
    <w:rsid w:val="009679F6"/>
    <w:rsid w:val="00971CE4"/>
    <w:rsid w:val="0097770A"/>
    <w:rsid w:val="0097778A"/>
    <w:rsid w:val="00980869"/>
    <w:rsid w:val="00986419"/>
    <w:rsid w:val="00993363"/>
    <w:rsid w:val="00993E78"/>
    <w:rsid w:val="009B15EE"/>
    <w:rsid w:val="009B1985"/>
    <w:rsid w:val="009C0702"/>
    <w:rsid w:val="009C3AC5"/>
    <w:rsid w:val="009C62AA"/>
    <w:rsid w:val="009D1EE2"/>
    <w:rsid w:val="009E19F2"/>
    <w:rsid w:val="009E454F"/>
    <w:rsid w:val="009E5580"/>
    <w:rsid w:val="009E5C70"/>
    <w:rsid w:val="009F63F7"/>
    <w:rsid w:val="009F74A8"/>
    <w:rsid w:val="00A03191"/>
    <w:rsid w:val="00A06AC7"/>
    <w:rsid w:val="00A06CF0"/>
    <w:rsid w:val="00A133B1"/>
    <w:rsid w:val="00A13E61"/>
    <w:rsid w:val="00A16DC5"/>
    <w:rsid w:val="00A20DC9"/>
    <w:rsid w:val="00A221BA"/>
    <w:rsid w:val="00A2252A"/>
    <w:rsid w:val="00A2333A"/>
    <w:rsid w:val="00A259D1"/>
    <w:rsid w:val="00A2611B"/>
    <w:rsid w:val="00A30F16"/>
    <w:rsid w:val="00A31504"/>
    <w:rsid w:val="00A31CB8"/>
    <w:rsid w:val="00A32B21"/>
    <w:rsid w:val="00A40413"/>
    <w:rsid w:val="00A41434"/>
    <w:rsid w:val="00A439C1"/>
    <w:rsid w:val="00A5614E"/>
    <w:rsid w:val="00A637A9"/>
    <w:rsid w:val="00A66445"/>
    <w:rsid w:val="00A668FF"/>
    <w:rsid w:val="00A6704D"/>
    <w:rsid w:val="00A77E13"/>
    <w:rsid w:val="00A84CAC"/>
    <w:rsid w:val="00A92252"/>
    <w:rsid w:val="00A96858"/>
    <w:rsid w:val="00A973E3"/>
    <w:rsid w:val="00AA1F47"/>
    <w:rsid w:val="00AA5092"/>
    <w:rsid w:val="00AA7A45"/>
    <w:rsid w:val="00AB05D0"/>
    <w:rsid w:val="00AB1A3B"/>
    <w:rsid w:val="00AB2AC2"/>
    <w:rsid w:val="00AB2FF4"/>
    <w:rsid w:val="00AC02A1"/>
    <w:rsid w:val="00AC100C"/>
    <w:rsid w:val="00AC5342"/>
    <w:rsid w:val="00AC6E42"/>
    <w:rsid w:val="00AD1519"/>
    <w:rsid w:val="00AD647E"/>
    <w:rsid w:val="00AE2CF9"/>
    <w:rsid w:val="00AE75E7"/>
    <w:rsid w:val="00AF5A83"/>
    <w:rsid w:val="00B004E1"/>
    <w:rsid w:val="00B02A88"/>
    <w:rsid w:val="00B05949"/>
    <w:rsid w:val="00B13110"/>
    <w:rsid w:val="00B22437"/>
    <w:rsid w:val="00B27E30"/>
    <w:rsid w:val="00B27EC0"/>
    <w:rsid w:val="00B32643"/>
    <w:rsid w:val="00B4202B"/>
    <w:rsid w:val="00B42496"/>
    <w:rsid w:val="00B42C4D"/>
    <w:rsid w:val="00B464A3"/>
    <w:rsid w:val="00B47D59"/>
    <w:rsid w:val="00B52ECF"/>
    <w:rsid w:val="00B53987"/>
    <w:rsid w:val="00B55B62"/>
    <w:rsid w:val="00B56575"/>
    <w:rsid w:val="00B630E8"/>
    <w:rsid w:val="00B633D5"/>
    <w:rsid w:val="00B64015"/>
    <w:rsid w:val="00B67BC5"/>
    <w:rsid w:val="00B67ED3"/>
    <w:rsid w:val="00B735A4"/>
    <w:rsid w:val="00B76762"/>
    <w:rsid w:val="00B825F6"/>
    <w:rsid w:val="00B8471B"/>
    <w:rsid w:val="00B90057"/>
    <w:rsid w:val="00B90D76"/>
    <w:rsid w:val="00B915A4"/>
    <w:rsid w:val="00B97FFE"/>
    <w:rsid w:val="00BA6CCB"/>
    <w:rsid w:val="00BB16A3"/>
    <w:rsid w:val="00BB5173"/>
    <w:rsid w:val="00BB62C3"/>
    <w:rsid w:val="00BC0FA7"/>
    <w:rsid w:val="00BC2786"/>
    <w:rsid w:val="00BC362B"/>
    <w:rsid w:val="00BC61D6"/>
    <w:rsid w:val="00BC7BA5"/>
    <w:rsid w:val="00BD11F1"/>
    <w:rsid w:val="00BD4743"/>
    <w:rsid w:val="00BD6B43"/>
    <w:rsid w:val="00BE0DC2"/>
    <w:rsid w:val="00BE1A3B"/>
    <w:rsid w:val="00BE1F47"/>
    <w:rsid w:val="00BE36DA"/>
    <w:rsid w:val="00BE3723"/>
    <w:rsid w:val="00BE4FE0"/>
    <w:rsid w:val="00BE51A1"/>
    <w:rsid w:val="00BE6A15"/>
    <w:rsid w:val="00BE7E0C"/>
    <w:rsid w:val="00BF1E76"/>
    <w:rsid w:val="00BF4844"/>
    <w:rsid w:val="00BF48C7"/>
    <w:rsid w:val="00BF539A"/>
    <w:rsid w:val="00BF66A8"/>
    <w:rsid w:val="00C030E5"/>
    <w:rsid w:val="00C131E1"/>
    <w:rsid w:val="00C15E6C"/>
    <w:rsid w:val="00C17885"/>
    <w:rsid w:val="00C2210C"/>
    <w:rsid w:val="00C244DC"/>
    <w:rsid w:val="00C2706D"/>
    <w:rsid w:val="00C30061"/>
    <w:rsid w:val="00C31697"/>
    <w:rsid w:val="00C33130"/>
    <w:rsid w:val="00C332E5"/>
    <w:rsid w:val="00C42310"/>
    <w:rsid w:val="00C45697"/>
    <w:rsid w:val="00C558C3"/>
    <w:rsid w:val="00C57915"/>
    <w:rsid w:val="00C70B75"/>
    <w:rsid w:val="00C73C02"/>
    <w:rsid w:val="00C763B7"/>
    <w:rsid w:val="00C82FB7"/>
    <w:rsid w:val="00C87B8B"/>
    <w:rsid w:val="00C90F18"/>
    <w:rsid w:val="00C91F5B"/>
    <w:rsid w:val="00C939FD"/>
    <w:rsid w:val="00CA15BE"/>
    <w:rsid w:val="00CA2149"/>
    <w:rsid w:val="00CA257A"/>
    <w:rsid w:val="00CA4465"/>
    <w:rsid w:val="00CA5A5A"/>
    <w:rsid w:val="00CB1685"/>
    <w:rsid w:val="00CB607E"/>
    <w:rsid w:val="00CC2676"/>
    <w:rsid w:val="00CC5E3A"/>
    <w:rsid w:val="00CD1441"/>
    <w:rsid w:val="00CD3A76"/>
    <w:rsid w:val="00CD43E8"/>
    <w:rsid w:val="00CE2414"/>
    <w:rsid w:val="00CE4A92"/>
    <w:rsid w:val="00CF65FD"/>
    <w:rsid w:val="00D00E1D"/>
    <w:rsid w:val="00D0390E"/>
    <w:rsid w:val="00D05A93"/>
    <w:rsid w:val="00D150D5"/>
    <w:rsid w:val="00D154EE"/>
    <w:rsid w:val="00D22DC7"/>
    <w:rsid w:val="00D22ED4"/>
    <w:rsid w:val="00D247C6"/>
    <w:rsid w:val="00D2593C"/>
    <w:rsid w:val="00D300DB"/>
    <w:rsid w:val="00D368B4"/>
    <w:rsid w:val="00D61328"/>
    <w:rsid w:val="00D6205D"/>
    <w:rsid w:val="00D6467E"/>
    <w:rsid w:val="00D64A6E"/>
    <w:rsid w:val="00D67679"/>
    <w:rsid w:val="00D67A9F"/>
    <w:rsid w:val="00D73958"/>
    <w:rsid w:val="00D74B1E"/>
    <w:rsid w:val="00D75400"/>
    <w:rsid w:val="00D81CCA"/>
    <w:rsid w:val="00D82E63"/>
    <w:rsid w:val="00D870DB"/>
    <w:rsid w:val="00DA01BF"/>
    <w:rsid w:val="00DA2119"/>
    <w:rsid w:val="00DA3791"/>
    <w:rsid w:val="00DA4366"/>
    <w:rsid w:val="00DA7836"/>
    <w:rsid w:val="00DC1658"/>
    <w:rsid w:val="00DC188F"/>
    <w:rsid w:val="00DC304C"/>
    <w:rsid w:val="00DC65E8"/>
    <w:rsid w:val="00DC709A"/>
    <w:rsid w:val="00DD2658"/>
    <w:rsid w:val="00DD6974"/>
    <w:rsid w:val="00DD7889"/>
    <w:rsid w:val="00DF3B12"/>
    <w:rsid w:val="00E0159E"/>
    <w:rsid w:val="00E0170D"/>
    <w:rsid w:val="00E153A2"/>
    <w:rsid w:val="00E27843"/>
    <w:rsid w:val="00E30BED"/>
    <w:rsid w:val="00E327E5"/>
    <w:rsid w:val="00E3625B"/>
    <w:rsid w:val="00E411C1"/>
    <w:rsid w:val="00E41D09"/>
    <w:rsid w:val="00E4275E"/>
    <w:rsid w:val="00E610C8"/>
    <w:rsid w:val="00E62619"/>
    <w:rsid w:val="00E64379"/>
    <w:rsid w:val="00E675B3"/>
    <w:rsid w:val="00E766BC"/>
    <w:rsid w:val="00E80943"/>
    <w:rsid w:val="00E86860"/>
    <w:rsid w:val="00E87369"/>
    <w:rsid w:val="00E87E36"/>
    <w:rsid w:val="00EA0478"/>
    <w:rsid w:val="00EA167C"/>
    <w:rsid w:val="00EA62DA"/>
    <w:rsid w:val="00EB3E02"/>
    <w:rsid w:val="00EB4C0F"/>
    <w:rsid w:val="00EB77E7"/>
    <w:rsid w:val="00EB7B9E"/>
    <w:rsid w:val="00EC1B8E"/>
    <w:rsid w:val="00EC4FBB"/>
    <w:rsid w:val="00EC54F6"/>
    <w:rsid w:val="00ED06D3"/>
    <w:rsid w:val="00ED53BB"/>
    <w:rsid w:val="00EF616F"/>
    <w:rsid w:val="00EF64B2"/>
    <w:rsid w:val="00F0300B"/>
    <w:rsid w:val="00F05512"/>
    <w:rsid w:val="00F07718"/>
    <w:rsid w:val="00F16474"/>
    <w:rsid w:val="00F204D6"/>
    <w:rsid w:val="00F2148C"/>
    <w:rsid w:val="00F22891"/>
    <w:rsid w:val="00F23ADC"/>
    <w:rsid w:val="00F23C1D"/>
    <w:rsid w:val="00F3054D"/>
    <w:rsid w:val="00F30BAC"/>
    <w:rsid w:val="00F31A41"/>
    <w:rsid w:val="00F336A9"/>
    <w:rsid w:val="00F33879"/>
    <w:rsid w:val="00F34957"/>
    <w:rsid w:val="00F42EC1"/>
    <w:rsid w:val="00F44227"/>
    <w:rsid w:val="00F45AEA"/>
    <w:rsid w:val="00F47FFD"/>
    <w:rsid w:val="00F517CF"/>
    <w:rsid w:val="00F564EF"/>
    <w:rsid w:val="00F60037"/>
    <w:rsid w:val="00F632FE"/>
    <w:rsid w:val="00F63B15"/>
    <w:rsid w:val="00F63CB4"/>
    <w:rsid w:val="00F70FD8"/>
    <w:rsid w:val="00F72FF8"/>
    <w:rsid w:val="00F75BA1"/>
    <w:rsid w:val="00F7698E"/>
    <w:rsid w:val="00F76B0F"/>
    <w:rsid w:val="00F77432"/>
    <w:rsid w:val="00F7782E"/>
    <w:rsid w:val="00F83542"/>
    <w:rsid w:val="00F83952"/>
    <w:rsid w:val="00F84185"/>
    <w:rsid w:val="00F85E0E"/>
    <w:rsid w:val="00F85F07"/>
    <w:rsid w:val="00F92681"/>
    <w:rsid w:val="00F94AA0"/>
    <w:rsid w:val="00F97A7D"/>
    <w:rsid w:val="00FA3E80"/>
    <w:rsid w:val="00FA53DE"/>
    <w:rsid w:val="00FA5F97"/>
    <w:rsid w:val="00FB1B35"/>
    <w:rsid w:val="00FB23F1"/>
    <w:rsid w:val="00FB2A91"/>
    <w:rsid w:val="00FC1767"/>
    <w:rsid w:val="00FC31D6"/>
    <w:rsid w:val="00FC6D92"/>
    <w:rsid w:val="00FD339A"/>
    <w:rsid w:val="00FD67B0"/>
    <w:rsid w:val="00FE31D2"/>
    <w:rsid w:val="00FE394D"/>
    <w:rsid w:val="00FF0A2A"/>
    <w:rsid w:val="00FF1696"/>
    <w:rsid w:val="00FF2E87"/>
  </w:rsids>
  <m:mathPr>
    <m:mathFont m:val="Cambria Math"/>
    <m:brkBin m:val="before"/>
    <m:brkBinSub m:val="--"/>
    <m:smallFrac m:val="0"/>
    <m:dispDef/>
    <m:lMargin m:val="0"/>
    <m:rMargin m:val="0"/>
    <m:defJc m:val="centerGroup"/>
    <m:wrapIndent m:val="1440"/>
    <m:intLim m:val="subSup"/>
    <m:naryLim m:val="undOvr"/>
  </m:mathPr>
  <w:themeFontLang w:val="es-U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767439"/>
  <w15:docId w15:val="{0D97EA80-C115-416F-B900-290D1E66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1C1"/>
  </w:style>
  <w:style w:type="paragraph" w:styleId="Ttulo1">
    <w:name w:val="heading 1"/>
    <w:basedOn w:val="Normal"/>
    <w:next w:val="Normal"/>
    <w:link w:val="Ttulo1Car"/>
    <w:uiPriority w:val="9"/>
    <w:qFormat/>
    <w:rsid w:val="00BC7BA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BC7BA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ar"/>
    <w:uiPriority w:val="9"/>
    <w:qFormat/>
    <w:rsid w:val="00F84185"/>
    <w:pPr>
      <w:spacing w:before="100" w:beforeAutospacing="1" w:after="100" w:afterAutospacing="1" w:line="240" w:lineRule="auto"/>
      <w:outlineLvl w:val="2"/>
    </w:pPr>
    <w:rPr>
      <w:rFonts w:ascii="Times New Roman" w:eastAsia="Times New Roman" w:hAnsi="Times New Roman" w:cs="Times New Roman"/>
      <w:b/>
      <w:bCs/>
      <w:sz w:val="27"/>
      <w:szCs w:val="27"/>
      <w:lang w:val="es-UY" w:eastAsia="es-UY"/>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22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225F"/>
  </w:style>
  <w:style w:type="paragraph" w:styleId="Piedepgina">
    <w:name w:val="footer"/>
    <w:basedOn w:val="Normal"/>
    <w:link w:val="PiedepginaCar"/>
    <w:uiPriority w:val="99"/>
    <w:unhideWhenUsed/>
    <w:rsid w:val="002F22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225F"/>
  </w:style>
  <w:style w:type="paragraph" w:styleId="Textodeglobo">
    <w:name w:val="Balloon Text"/>
    <w:basedOn w:val="Normal"/>
    <w:link w:val="TextodegloboCar"/>
    <w:uiPriority w:val="99"/>
    <w:semiHidden/>
    <w:unhideWhenUsed/>
    <w:rsid w:val="002F22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225F"/>
    <w:rPr>
      <w:rFonts w:ascii="Tahoma" w:hAnsi="Tahoma" w:cs="Tahoma"/>
      <w:sz w:val="16"/>
      <w:szCs w:val="16"/>
    </w:rPr>
  </w:style>
  <w:style w:type="paragraph" w:styleId="Prrafodelista">
    <w:name w:val="List Paragraph"/>
    <w:basedOn w:val="Normal"/>
    <w:uiPriority w:val="34"/>
    <w:qFormat/>
    <w:rsid w:val="00B27E30"/>
    <w:pPr>
      <w:ind w:left="720"/>
      <w:contextualSpacing/>
    </w:pPr>
  </w:style>
  <w:style w:type="paragraph" w:styleId="Textonotaalfinal">
    <w:name w:val="endnote text"/>
    <w:basedOn w:val="Normal"/>
    <w:link w:val="TextonotaalfinalCar"/>
    <w:uiPriority w:val="99"/>
    <w:semiHidden/>
    <w:unhideWhenUsed/>
    <w:rsid w:val="00DC188F"/>
    <w:rPr>
      <w:rFonts w:ascii="Calibri" w:eastAsia="Times New Roman" w:hAnsi="Calibri" w:cs="Times New Roman"/>
      <w:sz w:val="20"/>
      <w:szCs w:val="20"/>
    </w:rPr>
  </w:style>
  <w:style w:type="character" w:customStyle="1" w:styleId="TextonotaalfinalCar">
    <w:name w:val="Texto nota al final Car"/>
    <w:basedOn w:val="Fuentedeprrafopredeter"/>
    <w:link w:val="Textonotaalfinal"/>
    <w:uiPriority w:val="99"/>
    <w:semiHidden/>
    <w:rsid w:val="00DC188F"/>
    <w:rPr>
      <w:rFonts w:ascii="Calibri" w:eastAsia="Times New Roman" w:hAnsi="Calibri" w:cs="Times New Roman"/>
      <w:sz w:val="20"/>
      <w:szCs w:val="20"/>
      <w:lang w:eastAsia="es-ES"/>
    </w:rPr>
  </w:style>
  <w:style w:type="character" w:styleId="Refdenotaalfinal">
    <w:name w:val="endnote reference"/>
    <w:basedOn w:val="Fuentedeprrafopredeter"/>
    <w:uiPriority w:val="99"/>
    <w:semiHidden/>
    <w:unhideWhenUsed/>
    <w:rsid w:val="00DC188F"/>
    <w:rPr>
      <w:vertAlign w:val="superscript"/>
    </w:rPr>
  </w:style>
  <w:style w:type="character" w:customStyle="1" w:styleId="object">
    <w:name w:val="object"/>
    <w:basedOn w:val="Fuentedeprrafopredeter"/>
    <w:rsid w:val="00D67679"/>
  </w:style>
  <w:style w:type="character" w:styleId="nfasis">
    <w:name w:val="Emphasis"/>
    <w:basedOn w:val="Fuentedeprrafopredeter"/>
    <w:uiPriority w:val="20"/>
    <w:qFormat/>
    <w:rsid w:val="009230F4"/>
    <w:rPr>
      <w:i/>
      <w:iCs/>
    </w:rPr>
  </w:style>
  <w:style w:type="character" w:customStyle="1" w:styleId="Ttulo3Car">
    <w:name w:val="Título 3 Car"/>
    <w:basedOn w:val="Fuentedeprrafopredeter"/>
    <w:link w:val="Ttulo3"/>
    <w:uiPriority w:val="9"/>
    <w:rsid w:val="00F84185"/>
    <w:rPr>
      <w:rFonts w:ascii="Times New Roman" w:eastAsia="Times New Roman" w:hAnsi="Times New Roman" w:cs="Times New Roman"/>
      <w:b/>
      <w:bCs/>
      <w:sz w:val="27"/>
      <w:szCs w:val="27"/>
      <w:lang w:val="es-UY" w:eastAsia="es-UY"/>
    </w:rPr>
  </w:style>
  <w:style w:type="character" w:styleId="Hipervnculo">
    <w:name w:val="Hyperlink"/>
    <w:basedOn w:val="Fuentedeprrafopredeter"/>
    <w:uiPriority w:val="99"/>
    <w:unhideWhenUsed/>
    <w:rsid w:val="00F84185"/>
    <w:rPr>
      <w:color w:val="0000FF"/>
      <w:u w:val="single"/>
    </w:rPr>
  </w:style>
  <w:style w:type="character" w:customStyle="1" w:styleId="zmsearchresult">
    <w:name w:val="zmsearchresult"/>
    <w:basedOn w:val="Fuentedeprrafopredeter"/>
    <w:rsid w:val="00F45AEA"/>
  </w:style>
  <w:style w:type="character" w:styleId="Refdecomentario">
    <w:name w:val="annotation reference"/>
    <w:basedOn w:val="Fuentedeprrafopredeter"/>
    <w:uiPriority w:val="99"/>
    <w:semiHidden/>
    <w:unhideWhenUsed/>
    <w:rsid w:val="001F6F6B"/>
    <w:rPr>
      <w:sz w:val="16"/>
      <w:szCs w:val="16"/>
    </w:rPr>
  </w:style>
  <w:style w:type="paragraph" w:styleId="Textocomentario">
    <w:name w:val="annotation text"/>
    <w:basedOn w:val="Normal"/>
    <w:link w:val="TextocomentarioCar"/>
    <w:uiPriority w:val="99"/>
    <w:semiHidden/>
    <w:unhideWhenUsed/>
    <w:rsid w:val="001F6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F6F6B"/>
    <w:rPr>
      <w:sz w:val="20"/>
      <w:szCs w:val="20"/>
    </w:rPr>
  </w:style>
  <w:style w:type="paragraph" w:styleId="Asuntodelcomentario">
    <w:name w:val="annotation subject"/>
    <w:basedOn w:val="Textocomentario"/>
    <w:next w:val="Textocomentario"/>
    <w:link w:val="AsuntodelcomentarioCar"/>
    <w:uiPriority w:val="99"/>
    <w:semiHidden/>
    <w:unhideWhenUsed/>
    <w:rsid w:val="001F6F6B"/>
    <w:rPr>
      <w:b/>
      <w:bCs/>
    </w:rPr>
  </w:style>
  <w:style w:type="character" w:customStyle="1" w:styleId="AsuntodelcomentarioCar">
    <w:name w:val="Asunto del comentario Car"/>
    <w:basedOn w:val="TextocomentarioCar"/>
    <w:link w:val="Asuntodelcomentario"/>
    <w:uiPriority w:val="99"/>
    <w:semiHidden/>
    <w:rsid w:val="001F6F6B"/>
    <w:rPr>
      <w:b/>
      <w:bCs/>
      <w:sz w:val="20"/>
      <w:szCs w:val="20"/>
    </w:rPr>
  </w:style>
  <w:style w:type="paragraph" w:customStyle="1" w:styleId="xmsonormal">
    <w:name w:val="xmsonormal"/>
    <w:basedOn w:val="Normal"/>
    <w:rsid w:val="00081027"/>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paragraph" w:styleId="Listaconvietas">
    <w:name w:val="List Bullet"/>
    <w:basedOn w:val="Normal"/>
    <w:uiPriority w:val="99"/>
    <w:unhideWhenUsed/>
    <w:rsid w:val="007F3ED8"/>
    <w:pPr>
      <w:numPr>
        <w:numId w:val="4"/>
      </w:numPr>
      <w:contextualSpacing/>
    </w:pPr>
  </w:style>
  <w:style w:type="character" w:styleId="Textoennegrita">
    <w:name w:val="Strong"/>
    <w:qFormat/>
    <w:rsid w:val="00D6467E"/>
    <w:rPr>
      <w:b/>
      <w:bCs/>
    </w:rPr>
  </w:style>
  <w:style w:type="character" w:customStyle="1" w:styleId="Refdecomentario1">
    <w:name w:val="Ref. de comentario1"/>
    <w:rsid w:val="00D6467E"/>
    <w:rPr>
      <w:sz w:val="16"/>
      <w:szCs w:val="16"/>
    </w:rPr>
  </w:style>
  <w:style w:type="paragraph" w:styleId="NormalWeb">
    <w:name w:val="Normal (Web)"/>
    <w:basedOn w:val="Normal"/>
    <w:uiPriority w:val="99"/>
    <w:unhideWhenUsed/>
    <w:rsid w:val="001E3A38"/>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character" w:styleId="Refdenotaalpie">
    <w:name w:val="footnote reference"/>
    <w:uiPriority w:val="99"/>
    <w:semiHidden/>
    <w:unhideWhenUsed/>
    <w:rsid w:val="002A5262"/>
    <w:rPr>
      <w:vertAlign w:val="superscript"/>
    </w:rPr>
  </w:style>
  <w:style w:type="paragraph" w:customStyle="1" w:styleId="Standard">
    <w:name w:val="Standard"/>
    <w:rsid w:val="002A526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Prrafodelista1">
    <w:name w:val="Párrafo de lista1"/>
    <w:basedOn w:val="Normal"/>
    <w:rsid w:val="00145D69"/>
    <w:pPr>
      <w:suppressAutoHyphens/>
      <w:spacing w:after="0" w:line="100" w:lineRule="atLeast"/>
      <w:ind w:left="720"/>
    </w:pPr>
    <w:rPr>
      <w:rFonts w:ascii="Times New Roman" w:eastAsia="SimSun" w:hAnsi="Times New Roman" w:cs="Times New Roman"/>
      <w:kern w:val="1"/>
      <w:sz w:val="24"/>
      <w:szCs w:val="24"/>
      <w:lang w:val="es-UY" w:eastAsia="hi-IN" w:bidi="hi-IN"/>
    </w:rPr>
  </w:style>
  <w:style w:type="character" w:customStyle="1" w:styleId="Mencinsinresolver1">
    <w:name w:val="Mención sin resolver1"/>
    <w:basedOn w:val="Fuentedeprrafopredeter"/>
    <w:uiPriority w:val="99"/>
    <w:semiHidden/>
    <w:unhideWhenUsed/>
    <w:rsid w:val="00440395"/>
    <w:rPr>
      <w:color w:val="605E5C"/>
      <w:shd w:val="clear" w:color="auto" w:fill="E1DFDD"/>
    </w:rPr>
  </w:style>
  <w:style w:type="character" w:styleId="Hipervnculovisitado">
    <w:name w:val="FollowedHyperlink"/>
    <w:basedOn w:val="Fuentedeprrafopredeter"/>
    <w:uiPriority w:val="99"/>
    <w:semiHidden/>
    <w:unhideWhenUsed/>
    <w:rsid w:val="00946AC7"/>
    <w:rPr>
      <w:color w:val="800080" w:themeColor="followedHyperlink"/>
      <w:u w:val="single"/>
    </w:rPr>
  </w:style>
  <w:style w:type="paragraph" w:styleId="Textonotapie">
    <w:name w:val="footnote text"/>
    <w:basedOn w:val="Normal"/>
    <w:link w:val="TextonotapieCar"/>
    <w:uiPriority w:val="99"/>
    <w:semiHidden/>
    <w:unhideWhenUsed/>
    <w:rsid w:val="0044493B"/>
    <w:pPr>
      <w:spacing w:after="0" w:line="240" w:lineRule="auto"/>
    </w:pPr>
    <w:rPr>
      <w:rFonts w:eastAsiaTheme="minorHAnsi"/>
      <w:sz w:val="20"/>
      <w:szCs w:val="20"/>
      <w:lang w:val="es-UY" w:eastAsia="en-US"/>
    </w:rPr>
  </w:style>
  <w:style w:type="character" w:customStyle="1" w:styleId="TextonotapieCar">
    <w:name w:val="Texto nota pie Car"/>
    <w:basedOn w:val="Fuentedeprrafopredeter"/>
    <w:link w:val="Textonotapie"/>
    <w:uiPriority w:val="99"/>
    <w:semiHidden/>
    <w:rsid w:val="0044493B"/>
    <w:rPr>
      <w:rFonts w:eastAsiaTheme="minorHAnsi"/>
      <w:sz w:val="20"/>
      <w:szCs w:val="20"/>
      <w:lang w:val="es-UY" w:eastAsia="en-US"/>
    </w:rPr>
  </w:style>
  <w:style w:type="character" w:customStyle="1" w:styleId="Ttulo2Car">
    <w:name w:val="Título 2 Car"/>
    <w:basedOn w:val="Fuentedeprrafopredeter"/>
    <w:link w:val="Ttulo2"/>
    <w:uiPriority w:val="9"/>
    <w:rsid w:val="00BC7BA5"/>
    <w:rPr>
      <w:rFonts w:asciiTheme="majorHAnsi" w:eastAsiaTheme="majorEastAsia" w:hAnsiTheme="majorHAnsi" w:cstheme="majorBidi"/>
      <w:color w:val="365F91" w:themeColor="accent1" w:themeShade="BF"/>
      <w:sz w:val="26"/>
      <w:szCs w:val="26"/>
    </w:rPr>
  </w:style>
  <w:style w:type="paragraph" w:customStyle="1" w:styleId="Default">
    <w:name w:val="Default"/>
    <w:rsid w:val="00BC7BA5"/>
    <w:pPr>
      <w:autoSpaceDE w:val="0"/>
      <w:autoSpaceDN w:val="0"/>
      <w:adjustRightInd w:val="0"/>
      <w:spacing w:after="0" w:line="240" w:lineRule="auto"/>
    </w:pPr>
    <w:rPr>
      <w:rFonts w:ascii="Times New Roman" w:eastAsiaTheme="minorHAnsi" w:hAnsi="Times New Roman" w:cs="Times New Roman"/>
      <w:color w:val="000000"/>
      <w:sz w:val="24"/>
      <w:szCs w:val="24"/>
      <w:lang w:val="es-UY" w:eastAsia="en-US"/>
    </w:rPr>
  </w:style>
  <w:style w:type="character" w:customStyle="1" w:styleId="Ttulo1Car">
    <w:name w:val="Título 1 Car"/>
    <w:basedOn w:val="Fuentedeprrafopredeter"/>
    <w:link w:val="Ttulo1"/>
    <w:uiPriority w:val="9"/>
    <w:rsid w:val="00BC7BA5"/>
    <w:rPr>
      <w:rFonts w:asciiTheme="majorHAnsi" w:eastAsiaTheme="majorEastAsia" w:hAnsiTheme="majorHAnsi" w:cstheme="majorBidi"/>
      <w:color w:val="365F91" w:themeColor="accent1" w:themeShade="BF"/>
      <w:sz w:val="32"/>
      <w:szCs w:val="32"/>
    </w:rPr>
  </w:style>
  <w:style w:type="paragraph" w:styleId="TtuloTDC">
    <w:name w:val="TOC Heading"/>
    <w:basedOn w:val="Ttulo1"/>
    <w:next w:val="Normal"/>
    <w:uiPriority w:val="39"/>
    <w:unhideWhenUsed/>
    <w:qFormat/>
    <w:rsid w:val="00BC7BA5"/>
    <w:pPr>
      <w:spacing w:line="259" w:lineRule="auto"/>
      <w:outlineLvl w:val="9"/>
    </w:pPr>
    <w:rPr>
      <w:lang w:val="es-UY" w:eastAsia="es-UY"/>
    </w:rPr>
  </w:style>
  <w:style w:type="paragraph" w:styleId="TDC2">
    <w:name w:val="toc 2"/>
    <w:basedOn w:val="Normal"/>
    <w:next w:val="Normal"/>
    <w:autoRedefine/>
    <w:uiPriority w:val="39"/>
    <w:unhideWhenUsed/>
    <w:rsid w:val="00BC7BA5"/>
    <w:pPr>
      <w:spacing w:after="100"/>
      <w:ind w:left="220"/>
    </w:pPr>
  </w:style>
  <w:style w:type="paragraph" w:styleId="TDC3">
    <w:name w:val="toc 3"/>
    <w:basedOn w:val="Normal"/>
    <w:next w:val="Normal"/>
    <w:autoRedefine/>
    <w:uiPriority w:val="39"/>
    <w:unhideWhenUsed/>
    <w:rsid w:val="00BC7BA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3703">
      <w:bodyDiv w:val="1"/>
      <w:marLeft w:val="0"/>
      <w:marRight w:val="0"/>
      <w:marTop w:val="0"/>
      <w:marBottom w:val="0"/>
      <w:divBdr>
        <w:top w:val="none" w:sz="0" w:space="0" w:color="auto"/>
        <w:left w:val="none" w:sz="0" w:space="0" w:color="auto"/>
        <w:bottom w:val="none" w:sz="0" w:space="0" w:color="auto"/>
        <w:right w:val="none" w:sz="0" w:space="0" w:color="auto"/>
      </w:divBdr>
    </w:div>
    <w:div w:id="399865768">
      <w:bodyDiv w:val="1"/>
      <w:marLeft w:val="0"/>
      <w:marRight w:val="0"/>
      <w:marTop w:val="0"/>
      <w:marBottom w:val="0"/>
      <w:divBdr>
        <w:top w:val="none" w:sz="0" w:space="0" w:color="auto"/>
        <w:left w:val="none" w:sz="0" w:space="0" w:color="auto"/>
        <w:bottom w:val="none" w:sz="0" w:space="0" w:color="auto"/>
        <w:right w:val="none" w:sz="0" w:space="0" w:color="auto"/>
      </w:divBdr>
    </w:div>
    <w:div w:id="414976746">
      <w:bodyDiv w:val="1"/>
      <w:marLeft w:val="0"/>
      <w:marRight w:val="0"/>
      <w:marTop w:val="0"/>
      <w:marBottom w:val="0"/>
      <w:divBdr>
        <w:top w:val="none" w:sz="0" w:space="0" w:color="auto"/>
        <w:left w:val="none" w:sz="0" w:space="0" w:color="auto"/>
        <w:bottom w:val="none" w:sz="0" w:space="0" w:color="auto"/>
        <w:right w:val="none" w:sz="0" w:space="0" w:color="auto"/>
      </w:divBdr>
    </w:div>
    <w:div w:id="519204486">
      <w:bodyDiv w:val="1"/>
      <w:marLeft w:val="0"/>
      <w:marRight w:val="0"/>
      <w:marTop w:val="0"/>
      <w:marBottom w:val="0"/>
      <w:divBdr>
        <w:top w:val="none" w:sz="0" w:space="0" w:color="auto"/>
        <w:left w:val="none" w:sz="0" w:space="0" w:color="auto"/>
        <w:bottom w:val="none" w:sz="0" w:space="0" w:color="auto"/>
        <w:right w:val="none" w:sz="0" w:space="0" w:color="auto"/>
      </w:divBdr>
    </w:div>
    <w:div w:id="556161637">
      <w:bodyDiv w:val="1"/>
      <w:marLeft w:val="0"/>
      <w:marRight w:val="0"/>
      <w:marTop w:val="0"/>
      <w:marBottom w:val="0"/>
      <w:divBdr>
        <w:top w:val="none" w:sz="0" w:space="0" w:color="auto"/>
        <w:left w:val="none" w:sz="0" w:space="0" w:color="auto"/>
        <w:bottom w:val="none" w:sz="0" w:space="0" w:color="auto"/>
        <w:right w:val="none" w:sz="0" w:space="0" w:color="auto"/>
      </w:divBdr>
    </w:div>
    <w:div w:id="598609537">
      <w:bodyDiv w:val="1"/>
      <w:marLeft w:val="0"/>
      <w:marRight w:val="0"/>
      <w:marTop w:val="0"/>
      <w:marBottom w:val="0"/>
      <w:divBdr>
        <w:top w:val="none" w:sz="0" w:space="0" w:color="auto"/>
        <w:left w:val="none" w:sz="0" w:space="0" w:color="auto"/>
        <w:bottom w:val="none" w:sz="0" w:space="0" w:color="auto"/>
        <w:right w:val="none" w:sz="0" w:space="0" w:color="auto"/>
      </w:divBdr>
    </w:div>
    <w:div w:id="736902064">
      <w:bodyDiv w:val="1"/>
      <w:marLeft w:val="0"/>
      <w:marRight w:val="0"/>
      <w:marTop w:val="0"/>
      <w:marBottom w:val="0"/>
      <w:divBdr>
        <w:top w:val="none" w:sz="0" w:space="0" w:color="auto"/>
        <w:left w:val="none" w:sz="0" w:space="0" w:color="auto"/>
        <w:bottom w:val="none" w:sz="0" w:space="0" w:color="auto"/>
        <w:right w:val="none" w:sz="0" w:space="0" w:color="auto"/>
      </w:divBdr>
    </w:div>
    <w:div w:id="1032996151">
      <w:bodyDiv w:val="1"/>
      <w:marLeft w:val="0"/>
      <w:marRight w:val="0"/>
      <w:marTop w:val="0"/>
      <w:marBottom w:val="0"/>
      <w:divBdr>
        <w:top w:val="none" w:sz="0" w:space="0" w:color="auto"/>
        <w:left w:val="none" w:sz="0" w:space="0" w:color="auto"/>
        <w:bottom w:val="none" w:sz="0" w:space="0" w:color="auto"/>
        <w:right w:val="none" w:sz="0" w:space="0" w:color="auto"/>
      </w:divBdr>
    </w:div>
    <w:div w:id="1205170088">
      <w:bodyDiv w:val="1"/>
      <w:marLeft w:val="0"/>
      <w:marRight w:val="0"/>
      <w:marTop w:val="0"/>
      <w:marBottom w:val="0"/>
      <w:divBdr>
        <w:top w:val="none" w:sz="0" w:space="0" w:color="auto"/>
        <w:left w:val="none" w:sz="0" w:space="0" w:color="auto"/>
        <w:bottom w:val="none" w:sz="0" w:space="0" w:color="auto"/>
        <w:right w:val="none" w:sz="0" w:space="0" w:color="auto"/>
      </w:divBdr>
      <w:divsChild>
        <w:div w:id="95951976">
          <w:marLeft w:val="0"/>
          <w:marRight w:val="0"/>
          <w:marTop w:val="0"/>
          <w:marBottom w:val="0"/>
          <w:divBdr>
            <w:top w:val="none" w:sz="0" w:space="0" w:color="auto"/>
            <w:left w:val="none" w:sz="0" w:space="0" w:color="auto"/>
            <w:bottom w:val="none" w:sz="0" w:space="0" w:color="auto"/>
            <w:right w:val="none" w:sz="0" w:space="0" w:color="auto"/>
          </w:divBdr>
          <w:divsChild>
            <w:div w:id="1664165113">
              <w:marLeft w:val="0"/>
              <w:marRight w:val="0"/>
              <w:marTop w:val="0"/>
              <w:marBottom w:val="0"/>
              <w:divBdr>
                <w:top w:val="none" w:sz="0" w:space="0" w:color="auto"/>
                <w:left w:val="none" w:sz="0" w:space="0" w:color="auto"/>
                <w:bottom w:val="none" w:sz="0" w:space="0" w:color="auto"/>
                <w:right w:val="none" w:sz="0" w:space="0" w:color="auto"/>
              </w:divBdr>
              <w:divsChild>
                <w:div w:id="4195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17725">
      <w:bodyDiv w:val="1"/>
      <w:marLeft w:val="0"/>
      <w:marRight w:val="0"/>
      <w:marTop w:val="0"/>
      <w:marBottom w:val="0"/>
      <w:divBdr>
        <w:top w:val="none" w:sz="0" w:space="0" w:color="auto"/>
        <w:left w:val="none" w:sz="0" w:space="0" w:color="auto"/>
        <w:bottom w:val="none" w:sz="0" w:space="0" w:color="auto"/>
        <w:right w:val="none" w:sz="0" w:space="0" w:color="auto"/>
      </w:divBdr>
    </w:div>
    <w:div w:id="1297099732">
      <w:bodyDiv w:val="1"/>
      <w:marLeft w:val="0"/>
      <w:marRight w:val="0"/>
      <w:marTop w:val="0"/>
      <w:marBottom w:val="0"/>
      <w:divBdr>
        <w:top w:val="none" w:sz="0" w:space="0" w:color="auto"/>
        <w:left w:val="none" w:sz="0" w:space="0" w:color="auto"/>
        <w:bottom w:val="none" w:sz="0" w:space="0" w:color="auto"/>
        <w:right w:val="none" w:sz="0" w:space="0" w:color="auto"/>
      </w:divBdr>
    </w:div>
    <w:div w:id="1509635214">
      <w:bodyDiv w:val="1"/>
      <w:marLeft w:val="0"/>
      <w:marRight w:val="0"/>
      <w:marTop w:val="0"/>
      <w:marBottom w:val="0"/>
      <w:divBdr>
        <w:top w:val="none" w:sz="0" w:space="0" w:color="auto"/>
        <w:left w:val="none" w:sz="0" w:space="0" w:color="auto"/>
        <w:bottom w:val="none" w:sz="0" w:space="0" w:color="auto"/>
        <w:right w:val="none" w:sz="0" w:space="0" w:color="auto"/>
      </w:divBdr>
    </w:div>
    <w:div w:id="1560097454">
      <w:bodyDiv w:val="1"/>
      <w:marLeft w:val="0"/>
      <w:marRight w:val="0"/>
      <w:marTop w:val="0"/>
      <w:marBottom w:val="0"/>
      <w:divBdr>
        <w:top w:val="none" w:sz="0" w:space="0" w:color="auto"/>
        <w:left w:val="none" w:sz="0" w:space="0" w:color="auto"/>
        <w:bottom w:val="none" w:sz="0" w:space="0" w:color="auto"/>
        <w:right w:val="none" w:sz="0" w:space="0" w:color="auto"/>
      </w:divBdr>
      <w:divsChild>
        <w:div w:id="341320371">
          <w:marLeft w:val="0"/>
          <w:marRight w:val="0"/>
          <w:marTop w:val="0"/>
          <w:marBottom w:val="0"/>
          <w:divBdr>
            <w:top w:val="none" w:sz="0" w:space="0" w:color="auto"/>
            <w:left w:val="none" w:sz="0" w:space="0" w:color="auto"/>
            <w:bottom w:val="none" w:sz="0" w:space="0" w:color="auto"/>
            <w:right w:val="none" w:sz="0" w:space="0" w:color="auto"/>
          </w:divBdr>
        </w:div>
        <w:div w:id="863594392">
          <w:marLeft w:val="0"/>
          <w:marRight w:val="0"/>
          <w:marTop w:val="0"/>
          <w:marBottom w:val="0"/>
          <w:divBdr>
            <w:top w:val="none" w:sz="0" w:space="0" w:color="auto"/>
            <w:left w:val="none" w:sz="0" w:space="0" w:color="auto"/>
            <w:bottom w:val="none" w:sz="0" w:space="0" w:color="auto"/>
            <w:right w:val="none" w:sz="0" w:space="0" w:color="auto"/>
          </w:divBdr>
        </w:div>
        <w:div w:id="935136145">
          <w:marLeft w:val="0"/>
          <w:marRight w:val="0"/>
          <w:marTop w:val="0"/>
          <w:marBottom w:val="0"/>
          <w:divBdr>
            <w:top w:val="none" w:sz="0" w:space="0" w:color="auto"/>
            <w:left w:val="none" w:sz="0" w:space="0" w:color="auto"/>
            <w:bottom w:val="none" w:sz="0" w:space="0" w:color="auto"/>
            <w:right w:val="none" w:sz="0" w:space="0" w:color="auto"/>
          </w:divBdr>
        </w:div>
        <w:div w:id="1902054405">
          <w:marLeft w:val="0"/>
          <w:marRight w:val="0"/>
          <w:marTop w:val="0"/>
          <w:marBottom w:val="0"/>
          <w:divBdr>
            <w:top w:val="none" w:sz="0" w:space="0" w:color="auto"/>
            <w:left w:val="none" w:sz="0" w:space="0" w:color="auto"/>
            <w:bottom w:val="none" w:sz="0" w:space="0" w:color="auto"/>
            <w:right w:val="none" w:sz="0" w:space="0" w:color="auto"/>
          </w:divBdr>
        </w:div>
        <w:div w:id="1913009042">
          <w:marLeft w:val="0"/>
          <w:marRight w:val="0"/>
          <w:marTop w:val="0"/>
          <w:marBottom w:val="0"/>
          <w:divBdr>
            <w:top w:val="none" w:sz="0" w:space="0" w:color="auto"/>
            <w:left w:val="none" w:sz="0" w:space="0" w:color="auto"/>
            <w:bottom w:val="none" w:sz="0" w:space="0" w:color="auto"/>
            <w:right w:val="none" w:sz="0" w:space="0" w:color="auto"/>
          </w:divBdr>
        </w:div>
        <w:div w:id="2110083664">
          <w:marLeft w:val="0"/>
          <w:marRight w:val="0"/>
          <w:marTop w:val="0"/>
          <w:marBottom w:val="0"/>
          <w:divBdr>
            <w:top w:val="none" w:sz="0" w:space="0" w:color="auto"/>
            <w:left w:val="none" w:sz="0" w:space="0" w:color="auto"/>
            <w:bottom w:val="none" w:sz="0" w:space="0" w:color="auto"/>
            <w:right w:val="none" w:sz="0" w:space="0" w:color="auto"/>
          </w:divBdr>
        </w:div>
      </w:divsChild>
    </w:div>
    <w:div w:id="1967420496">
      <w:bodyDiv w:val="1"/>
      <w:marLeft w:val="0"/>
      <w:marRight w:val="0"/>
      <w:marTop w:val="0"/>
      <w:marBottom w:val="0"/>
      <w:divBdr>
        <w:top w:val="none" w:sz="0" w:space="0" w:color="auto"/>
        <w:left w:val="none" w:sz="0" w:space="0" w:color="auto"/>
        <w:bottom w:val="none" w:sz="0" w:space="0" w:color="auto"/>
        <w:right w:val="none" w:sz="0" w:space="0" w:color="auto"/>
      </w:divBdr>
      <w:divsChild>
        <w:div w:id="164789101">
          <w:marLeft w:val="0"/>
          <w:marRight w:val="0"/>
          <w:marTop w:val="0"/>
          <w:marBottom w:val="0"/>
          <w:divBdr>
            <w:top w:val="none" w:sz="0" w:space="0" w:color="auto"/>
            <w:left w:val="none" w:sz="0" w:space="0" w:color="auto"/>
            <w:bottom w:val="none" w:sz="0" w:space="0" w:color="auto"/>
            <w:right w:val="none" w:sz="0" w:space="0" w:color="auto"/>
          </w:divBdr>
        </w:div>
        <w:div w:id="297687199">
          <w:marLeft w:val="0"/>
          <w:marRight w:val="0"/>
          <w:marTop w:val="0"/>
          <w:marBottom w:val="0"/>
          <w:divBdr>
            <w:top w:val="none" w:sz="0" w:space="0" w:color="auto"/>
            <w:left w:val="none" w:sz="0" w:space="0" w:color="auto"/>
            <w:bottom w:val="none" w:sz="0" w:space="0" w:color="auto"/>
            <w:right w:val="none" w:sz="0" w:space="0" w:color="auto"/>
          </w:divBdr>
        </w:div>
        <w:div w:id="784033554">
          <w:marLeft w:val="0"/>
          <w:marRight w:val="0"/>
          <w:marTop w:val="0"/>
          <w:marBottom w:val="0"/>
          <w:divBdr>
            <w:top w:val="none" w:sz="0" w:space="0" w:color="auto"/>
            <w:left w:val="none" w:sz="0" w:space="0" w:color="auto"/>
            <w:bottom w:val="none" w:sz="0" w:space="0" w:color="auto"/>
            <w:right w:val="none" w:sz="0" w:space="0" w:color="auto"/>
          </w:divBdr>
        </w:div>
        <w:div w:id="1039743577">
          <w:marLeft w:val="0"/>
          <w:marRight w:val="0"/>
          <w:marTop w:val="0"/>
          <w:marBottom w:val="0"/>
          <w:divBdr>
            <w:top w:val="none" w:sz="0" w:space="0" w:color="auto"/>
            <w:left w:val="none" w:sz="0" w:space="0" w:color="auto"/>
            <w:bottom w:val="none" w:sz="0" w:space="0" w:color="auto"/>
            <w:right w:val="none" w:sz="0" w:space="0" w:color="auto"/>
          </w:divBdr>
        </w:div>
        <w:div w:id="1156267133">
          <w:marLeft w:val="0"/>
          <w:marRight w:val="0"/>
          <w:marTop w:val="0"/>
          <w:marBottom w:val="0"/>
          <w:divBdr>
            <w:top w:val="none" w:sz="0" w:space="0" w:color="auto"/>
            <w:left w:val="none" w:sz="0" w:space="0" w:color="auto"/>
            <w:bottom w:val="none" w:sz="0" w:space="0" w:color="auto"/>
            <w:right w:val="none" w:sz="0" w:space="0" w:color="auto"/>
          </w:divBdr>
        </w:div>
        <w:div w:id="1846092647">
          <w:marLeft w:val="0"/>
          <w:marRight w:val="0"/>
          <w:marTop w:val="0"/>
          <w:marBottom w:val="0"/>
          <w:divBdr>
            <w:top w:val="none" w:sz="0" w:space="0" w:color="auto"/>
            <w:left w:val="none" w:sz="0" w:space="0" w:color="auto"/>
            <w:bottom w:val="none" w:sz="0" w:space="0" w:color="auto"/>
            <w:right w:val="none" w:sz="0" w:space="0" w:color="auto"/>
          </w:divBdr>
        </w:div>
        <w:div w:id="2120643734">
          <w:marLeft w:val="0"/>
          <w:marRight w:val="0"/>
          <w:marTop w:val="0"/>
          <w:marBottom w:val="0"/>
          <w:divBdr>
            <w:top w:val="none" w:sz="0" w:space="0" w:color="auto"/>
            <w:left w:val="none" w:sz="0" w:space="0" w:color="auto"/>
            <w:bottom w:val="none" w:sz="0" w:space="0" w:color="auto"/>
            <w:right w:val="none" w:sz="0" w:space="0" w:color="auto"/>
          </w:divBdr>
          <w:divsChild>
            <w:div w:id="9724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239590">
      <w:bodyDiv w:val="1"/>
      <w:marLeft w:val="0"/>
      <w:marRight w:val="0"/>
      <w:marTop w:val="0"/>
      <w:marBottom w:val="0"/>
      <w:divBdr>
        <w:top w:val="none" w:sz="0" w:space="0" w:color="auto"/>
        <w:left w:val="none" w:sz="0" w:space="0" w:color="auto"/>
        <w:bottom w:val="none" w:sz="0" w:space="0" w:color="auto"/>
        <w:right w:val="none" w:sz="0" w:space="0" w:color="auto"/>
      </w:divBdr>
    </w:div>
    <w:div w:id="2044206260">
      <w:bodyDiv w:val="1"/>
      <w:marLeft w:val="0"/>
      <w:marRight w:val="0"/>
      <w:marTop w:val="0"/>
      <w:marBottom w:val="0"/>
      <w:divBdr>
        <w:top w:val="none" w:sz="0" w:space="0" w:color="auto"/>
        <w:left w:val="none" w:sz="0" w:space="0" w:color="auto"/>
        <w:bottom w:val="none" w:sz="0" w:space="0" w:color="auto"/>
        <w:right w:val="none" w:sz="0" w:space="0" w:color="auto"/>
      </w:divBdr>
      <w:divsChild>
        <w:div w:id="1004671693">
          <w:marLeft w:val="0"/>
          <w:marRight w:val="0"/>
          <w:marTop w:val="0"/>
          <w:marBottom w:val="0"/>
          <w:divBdr>
            <w:top w:val="none" w:sz="0" w:space="0" w:color="auto"/>
            <w:left w:val="none" w:sz="0" w:space="0" w:color="auto"/>
            <w:bottom w:val="none" w:sz="0" w:space="0" w:color="auto"/>
            <w:right w:val="none" w:sz="0" w:space="0" w:color="auto"/>
          </w:divBdr>
        </w:div>
        <w:div w:id="1427843884">
          <w:marLeft w:val="0"/>
          <w:marRight w:val="0"/>
          <w:marTop w:val="0"/>
          <w:marBottom w:val="0"/>
          <w:divBdr>
            <w:top w:val="none" w:sz="0" w:space="0" w:color="auto"/>
            <w:left w:val="none" w:sz="0" w:space="0" w:color="auto"/>
            <w:bottom w:val="none" w:sz="0" w:space="0" w:color="auto"/>
            <w:right w:val="none" w:sz="0" w:space="0" w:color="auto"/>
          </w:divBdr>
        </w:div>
        <w:div w:id="1529416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miradordesca.uy" TargetMode="External"/><Relationship Id="rId1" Type="http://schemas.openxmlformats.org/officeDocument/2006/relationships/hyperlink" Target="https://tbinternet.ohchr.org/_layouts/15/treatybodyexternal/Download.aspx?symbolno=INT%2FCESCR%2FCSS%2FURY%2F27400&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3515</Words>
  <Characters>19338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Lacabanne</dc:creator>
  <cp:keywords/>
  <dc:description/>
  <cp:lastModifiedBy>Ana Laura Fernandez</cp:lastModifiedBy>
  <cp:revision>2</cp:revision>
  <cp:lastPrinted>2024-06-18T14:47:00Z</cp:lastPrinted>
  <dcterms:created xsi:type="dcterms:W3CDTF">2026-01-13T19:09:00Z</dcterms:created>
  <dcterms:modified xsi:type="dcterms:W3CDTF">2026-01-13T19:09:00Z</dcterms:modified>
</cp:coreProperties>
</file>