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02D6F7" w14:textId="77777777" w:rsidR="00335DA5" w:rsidRDefault="00335DA5" w:rsidP="0092055D">
      <w:pPr>
        <w:spacing w:after="0" w:line="312" w:lineRule="auto"/>
        <w:ind w:left="426" w:hanging="426"/>
        <w:jc w:val="center"/>
        <w:rPr>
          <w:b/>
          <w:sz w:val="28"/>
          <w:szCs w:val="28"/>
        </w:rPr>
      </w:pPr>
    </w:p>
    <w:p w14:paraId="3DB57025" w14:textId="77777777" w:rsidR="00335DA5" w:rsidRDefault="00335DA5" w:rsidP="0092055D">
      <w:pPr>
        <w:spacing w:after="0" w:line="312" w:lineRule="auto"/>
        <w:ind w:left="425" w:hanging="425"/>
        <w:jc w:val="center"/>
        <w:rPr>
          <w:b/>
          <w:sz w:val="28"/>
          <w:szCs w:val="28"/>
        </w:rPr>
      </w:pPr>
      <w:r w:rsidRPr="00EF2264">
        <w:rPr>
          <w:b/>
          <w:sz w:val="28"/>
          <w:szCs w:val="28"/>
        </w:rPr>
        <w:t xml:space="preserve">ANALYSIS ARTICLE 12 OF THE ICESCR </w:t>
      </w:r>
    </w:p>
    <w:p w14:paraId="0F9E1E7B" w14:textId="1FF81EB7" w:rsidR="00335DA5" w:rsidRDefault="00335DA5" w:rsidP="0092055D">
      <w:pPr>
        <w:spacing w:after="0" w:line="312" w:lineRule="auto"/>
        <w:ind w:left="425" w:hanging="425"/>
        <w:jc w:val="center"/>
        <w:rPr>
          <w:b/>
          <w:sz w:val="28"/>
          <w:szCs w:val="28"/>
        </w:rPr>
      </w:pPr>
      <w:r w:rsidRPr="00EF2264">
        <w:rPr>
          <w:b/>
          <w:sz w:val="28"/>
          <w:szCs w:val="28"/>
        </w:rPr>
        <w:t>RIGHT TO PHYSICAL AND MENTAL HEALTH</w:t>
      </w:r>
    </w:p>
    <w:p w14:paraId="00000001" w14:textId="1BA1E8B7" w:rsidR="009934F1" w:rsidRPr="00EF2264" w:rsidRDefault="00EF2264" w:rsidP="0092055D">
      <w:pPr>
        <w:spacing w:after="0" w:line="312" w:lineRule="auto"/>
        <w:ind w:left="425" w:hanging="425"/>
        <w:jc w:val="center"/>
        <w:rPr>
          <w:b/>
          <w:sz w:val="28"/>
          <w:szCs w:val="28"/>
        </w:rPr>
      </w:pPr>
      <w:r w:rsidRPr="00EF2264">
        <w:rPr>
          <w:b/>
          <w:sz w:val="28"/>
          <w:szCs w:val="28"/>
        </w:rPr>
        <w:t xml:space="preserve">of the Brazilian State's responses to the questions posed by the </w:t>
      </w:r>
      <w:r w:rsidR="00335DA5">
        <w:rPr>
          <w:b/>
          <w:sz w:val="28"/>
          <w:szCs w:val="28"/>
        </w:rPr>
        <w:t>C</w:t>
      </w:r>
      <w:r w:rsidRPr="00EF2264">
        <w:rPr>
          <w:b/>
          <w:sz w:val="28"/>
          <w:szCs w:val="28"/>
        </w:rPr>
        <w:t>ESCR</w:t>
      </w:r>
      <w:r w:rsidR="00335DA5">
        <w:rPr>
          <w:b/>
          <w:sz w:val="28"/>
          <w:szCs w:val="28"/>
        </w:rPr>
        <w:t>/UN</w:t>
      </w:r>
      <w:r w:rsidRPr="00EF2264">
        <w:rPr>
          <w:b/>
          <w:sz w:val="28"/>
          <w:szCs w:val="28"/>
        </w:rPr>
        <w:t xml:space="preserve"> regarding contained in the III Periodic Report of Brazil </w:t>
      </w:r>
    </w:p>
    <w:p w14:paraId="00000002" w14:textId="77777777" w:rsidR="009934F1" w:rsidRDefault="009934F1" w:rsidP="0092055D">
      <w:pPr>
        <w:spacing w:after="0" w:line="312" w:lineRule="auto"/>
        <w:ind w:left="426" w:hanging="426"/>
        <w:jc w:val="both"/>
      </w:pPr>
    </w:p>
    <w:p w14:paraId="2AB604AD" w14:textId="77777777" w:rsidR="001B3F3B" w:rsidRDefault="001B3F3B" w:rsidP="0092055D">
      <w:pPr>
        <w:spacing w:after="0" w:line="312" w:lineRule="auto"/>
        <w:ind w:left="426" w:hanging="426"/>
        <w:jc w:val="both"/>
      </w:pPr>
    </w:p>
    <w:p w14:paraId="1B2015EB" w14:textId="77777777" w:rsidR="001B3F3B" w:rsidRPr="00EF2264" w:rsidRDefault="001B3F3B" w:rsidP="0092055D">
      <w:pPr>
        <w:spacing w:after="0" w:line="312" w:lineRule="auto"/>
        <w:ind w:left="426" w:hanging="426"/>
        <w:jc w:val="both"/>
      </w:pPr>
    </w:p>
    <w:p w14:paraId="00000003" w14:textId="77777777" w:rsidR="009934F1" w:rsidRPr="00EF2264" w:rsidRDefault="00EF2264" w:rsidP="0092055D">
      <w:pPr>
        <w:spacing w:after="0" w:line="312" w:lineRule="auto"/>
        <w:ind w:left="426" w:hanging="426"/>
        <w:jc w:val="both"/>
        <w:rPr>
          <w:b/>
        </w:rPr>
      </w:pPr>
      <w:r w:rsidRPr="00EF2264">
        <w:rPr>
          <w:b/>
        </w:rPr>
        <w:t>Introduction</w:t>
      </w:r>
    </w:p>
    <w:p w14:paraId="0AF8E147" w14:textId="77777777" w:rsidR="001B3F3B" w:rsidRDefault="001B3F3B" w:rsidP="0092055D">
      <w:pPr>
        <w:spacing w:after="0" w:line="312" w:lineRule="auto"/>
        <w:ind w:left="426" w:hanging="426"/>
        <w:jc w:val="both"/>
      </w:pPr>
    </w:p>
    <w:p w14:paraId="00000004" w14:textId="047F08FD" w:rsidR="009934F1" w:rsidRPr="00EF2264" w:rsidRDefault="001B3F3B" w:rsidP="0092055D">
      <w:pPr>
        <w:spacing w:after="0" w:line="312" w:lineRule="auto"/>
        <w:ind w:left="426" w:hanging="426"/>
        <w:jc w:val="both"/>
      </w:pPr>
      <w:r>
        <w:t xml:space="preserve">01. </w:t>
      </w:r>
      <w:r w:rsidR="00EF2264" w:rsidRPr="00EF2264">
        <w:t>The oversight conducted by civil society over the Brazilian state's commitments to implementing the International Covenant on Economic, Social and Cultural Rights (ICESCR) provides independent information, reports and analyses regarding the human rights situation in the country and enables the identification of gaps and challenges in the implementation of human rights, as well as providing recommendations for improvement.</w:t>
      </w:r>
    </w:p>
    <w:p w14:paraId="00000005" w14:textId="1554ED64" w:rsidR="009934F1" w:rsidRPr="00EF2264" w:rsidRDefault="001B3F3B" w:rsidP="0092055D">
      <w:pPr>
        <w:spacing w:after="0" w:line="312" w:lineRule="auto"/>
        <w:ind w:left="426" w:hanging="426"/>
        <w:jc w:val="both"/>
      </w:pPr>
      <w:r>
        <w:t xml:space="preserve">02. </w:t>
      </w:r>
      <w:r w:rsidR="00EF2264" w:rsidRPr="00EF2264">
        <w:t xml:space="preserve">With this objective in mind, the Centro de </w:t>
      </w:r>
      <w:proofErr w:type="spellStart"/>
      <w:r w:rsidR="00EF2264" w:rsidRPr="00EF2264">
        <w:t>Educação</w:t>
      </w:r>
      <w:proofErr w:type="spellEnd"/>
      <w:r w:rsidR="00EF2264" w:rsidRPr="00EF2264">
        <w:t xml:space="preserve"> e </w:t>
      </w:r>
      <w:proofErr w:type="spellStart"/>
      <w:r w:rsidR="00EF2264" w:rsidRPr="00EF2264">
        <w:t>Assessoramento</w:t>
      </w:r>
      <w:proofErr w:type="spellEnd"/>
      <w:r w:rsidR="00EF2264" w:rsidRPr="00EF2264">
        <w:t xml:space="preserve"> Popular (CEAP – Center for Education and Assistance), a civil society organization dedicated to fostering a democratic and people-centered societal vision for Brazil, offers a concise analysis of the Brazilian State's responses to the questions posed by the ESCR Committee. These inquiries pertain to the details encompassing the state of the Right to Physical and Mental Health, as outlined within the III Periodic Report of Brazil. The primary intention of this undertaking is to enhance transparency and hold the Brazilian government accountable.</w:t>
      </w:r>
    </w:p>
    <w:p w14:paraId="00000006" w14:textId="5F7C8292" w:rsidR="009934F1" w:rsidRPr="00EF2264" w:rsidRDefault="001B3F3B" w:rsidP="0092055D">
      <w:pPr>
        <w:spacing w:after="0" w:line="312" w:lineRule="auto"/>
        <w:ind w:left="426" w:hanging="426"/>
        <w:jc w:val="both"/>
      </w:pPr>
      <w:r>
        <w:t xml:space="preserve">03. </w:t>
      </w:r>
      <w:r w:rsidR="00EF2264" w:rsidRPr="00EF2264">
        <w:t xml:space="preserve">The document addresses the four inquiries concerning Physical and Mental Health found in the "Lista de </w:t>
      </w:r>
      <w:proofErr w:type="spellStart"/>
      <w:r w:rsidR="00EF2264" w:rsidRPr="00EF2264">
        <w:t>cuestiones</w:t>
      </w:r>
      <w:proofErr w:type="spellEnd"/>
      <w:r w:rsidR="00EF2264" w:rsidRPr="00EF2264">
        <w:t xml:space="preserve"> </w:t>
      </w:r>
      <w:proofErr w:type="spellStart"/>
      <w:r w:rsidR="00EF2264" w:rsidRPr="00EF2264">
        <w:t>relativa</w:t>
      </w:r>
      <w:proofErr w:type="spellEnd"/>
      <w:r w:rsidR="00EF2264" w:rsidRPr="00EF2264">
        <w:t xml:space="preserve"> al </w:t>
      </w:r>
      <w:proofErr w:type="spellStart"/>
      <w:r w:rsidR="00EF2264" w:rsidRPr="00EF2264">
        <w:t>tercer</w:t>
      </w:r>
      <w:proofErr w:type="spellEnd"/>
      <w:r w:rsidR="00EF2264" w:rsidRPr="00EF2264">
        <w:t xml:space="preserve"> </w:t>
      </w:r>
      <w:proofErr w:type="spellStart"/>
      <w:r w:rsidR="00EF2264" w:rsidRPr="00EF2264">
        <w:t>informe</w:t>
      </w:r>
      <w:proofErr w:type="spellEnd"/>
      <w:r w:rsidR="00EF2264" w:rsidRPr="00EF2264">
        <w:t xml:space="preserve"> </w:t>
      </w:r>
      <w:proofErr w:type="spellStart"/>
      <w:r w:rsidR="00EF2264" w:rsidRPr="00EF2264">
        <w:t>periódico</w:t>
      </w:r>
      <w:proofErr w:type="spellEnd"/>
      <w:r w:rsidR="00EF2264" w:rsidRPr="00EF2264">
        <w:t xml:space="preserve"> de Brasil" </w:t>
      </w:r>
      <w:r w:rsidR="000C089F" w:rsidRPr="00EF2264">
        <w:rPr>
          <w:rStyle w:val="FootnoteReference"/>
        </w:rPr>
        <w:footnoteReference w:id="1"/>
      </w:r>
      <w:r w:rsidR="00EF2264" w:rsidRPr="00EF2264">
        <w:t xml:space="preserve">(List of </w:t>
      </w:r>
      <w:r>
        <w:t>issues</w:t>
      </w:r>
      <w:r w:rsidR="00EF2264" w:rsidRPr="00EF2264">
        <w:t xml:space="preserve"> relating to Brazil's third periodic report). These queries, specifically numbered 27, 28, 29, and 20, are detailed on pages 06 to 07. The analysis entails an assessment of the sufficiency of the Brazilian government's responses to these inquiries, highlighting any potential inadequacies in the provided answers.</w:t>
      </w:r>
      <w:r w:rsidR="000C089F" w:rsidRPr="00EF2264">
        <w:rPr>
          <w:rStyle w:val="FootnoteReference"/>
        </w:rPr>
        <w:footnoteReference w:id="2"/>
      </w:r>
    </w:p>
    <w:p w14:paraId="00000007" w14:textId="77777777" w:rsidR="009934F1" w:rsidRDefault="009934F1" w:rsidP="0092055D">
      <w:pPr>
        <w:spacing w:after="0" w:line="312" w:lineRule="auto"/>
        <w:ind w:left="426" w:hanging="426"/>
        <w:jc w:val="both"/>
        <w:rPr>
          <w:b/>
        </w:rPr>
      </w:pPr>
    </w:p>
    <w:p w14:paraId="6064DB82" w14:textId="77777777" w:rsidR="0092055D" w:rsidRDefault="0092055D" w:rsidP="0092055D">
      <w:pPr>
        <w:spacing w:after="0" w:line="312" w:lineRule="auto"/>
        <w:ind w:left="426" w:hanging="426"/>
        <w:jc w:val="both"/>
        <w:rPr>
          <w:b/>
        </w:rPr>
      </w:pPr>
    </w:p>
    <w:p w14:paraId="4C2B9345" w14:textId="77777777" w:rsidR="0092055D" w:rsidRDefault="0092055D" w:rsidP="0092055D">
      <w:pPr>
        <w:spacing w:after="0" w:line="312" w:lineRule="auto"/>
        <w:ind w:left="426" w:hanging="426"/>
        <w:jc w:val="both"/>
        <w:rPr>
          <w:b/>
        </w:rPr>
      </w:pPr>
    </w:p>
    <w:p w14:paraId="0B7385B5" w14:textId="77777777" w:rsidR="0092055D" w:rsidRPr="00EF2264" w:rsidRDefault="0092055D" w:rsidP="0092055D">
      <w:pPr>
        <w:spacing w:after="0" w:line="312" w:lineRule="auto"/>
        <w:ind w:left="426" w:hanging="426"/>
        <w:jc w:val="both"/>
        <w:rPr>
          <w:b/>
        </w:rPr>
      </w:pPr>
    </w:p>
    <w:p w14:paraId="00000008" w14:textId="0739FE6C" w:rsidR="009934F1" w:rsidRPr="00EF2264" w:rsidRDefault="00EF2264" w:rsidP="0092055D">
      <w:pPr>
        <w:spacing w:after="0" w:line="312" w:lineRule="auto"/>
        <w:ind w:left="426" w:hanging="426"/>
        <w:jc w:val="both"/>
        <w:rPr>
          <w:b/>
        </w:rPr>
      </w:pPr>
      <w:r w:rsidRPr="00EF2264">
        <w:rPr>
          <w:b/>
        </w:rPr>
        <w:lastRenderedPageBreak/>
        <w:t xml:space="preserve">Question 27 </w:t>
      </w:r>
      <w:r w:rsidR="001B3F3B">
        <w:rPr>
          <w:b/>
        </w:rPr>
        <w:t>–</w:t>
      </w:r>
      <w:r w:rsidRPr="00EF2264">
        <w:rPr>
          <w:b/>
        </w:rPr>
        <w:t xml:space="preserve"> On the Impact of EC 95/2016 on Health</w:t>
      </w:r>
    </w:p>
    <w:p w14:paraId="233144A9" w14:textId="77777777" w:rsidR="001B3F3B" w:rsidRDefault="001B3F3B" w:rsidP="0092055D">
      <w:pPr>
        <w:spacing w:after="0" w:line="312" w:lineRule="auto"/>
        <w:ind w:left="426" w:hanging="426"/>
        <w:jc w:val="both"/>
      </w:pPr>
    </w:p>
    <w:p w14:paraId="00000009" w14:textId="41622F02" w:rsidR="009934F1" w:rsidRPr="00EF2264" w:rsidRDefault="001B3F3B" w:rsidP="0092055D">
      <w:pPr>
        <w:spacing w:after="0" w:line="312" w:lineRule="auto"/>
        <w:ind w:left="426" w:hanging="426"/>
        <w:jc w:val="both"/>
      </w:pPr>
      <w:r>
        <w:t xml:space="preserve">04. </w:t>
      </w:r>
      <w:r w:rsidR="00EF2264" w:rsidRPr="00EF2264">
        <w:t xml:space="preserve">Question 27 requested brief information on the health sector financing model implemented in 2019, along with insights into the extent to which Constitutional Amendment No. 95 of 2016's framework for minimum expenditure and allocation in healthcare enabled the State Party to allocate sufficient resources for the effective operation of the public health system. Within the same line of inquiry, the Committee </w:t>
      </w:r>
      <w:proofErr w:type="spellStart"/>
      <w:r w:rsidR="00EF2264" w:rsidRPr="00EF2264">
        <w:t>inquires</w:t>
      </w:r>
      <w:proofErr w:type="spellEnd"/>
      <w:r w:rsidR="00EF2264" w:rsidRPr="00EF2264">
        <w:t xml:space="preserve"> about evaluations conducted of its impact on the effective realization of the right to health and the State Party's ability to respond to health crises, such as the COVID-19 pandemic and the Zika fever epidemic.</w:t>
      </w:r>
    </w:p>
    <w:p w14:paraId="0000000A" w14:textId="5C8B0E95" w:rsidR="009934F1" w:rsidRPr="00EF2264" w:rsidRDefault="001B3F3B" w:rsidP="0092055D">
      <w:pPr>
        <w:spacing w:after="0" w:line="312" w:lineRule="auto"/>
        <w:ind w:left="426" w:hanging="426"/>
        <w:jc w:val="both"/>
      </w:pPr>
      <w:r>
        <w:t xml:space="preserve">05. </w:t>
      </w:r>
      <w:r w:rsidR="00EF2264" w:rsidRPr="00EF2264">
        <w:t>The response from the Brazilian government included a link that, upon accessing, should have displayed the brochure title "Changes in Health Financing". This document contained the responses and additional information to the posed questions. Regrettably, the provided link did not lead to the referred document</w:t>
      </w:r>
      <w:r w:rsidR="000C089F" w:rsidRPr="00EF2264">
        <w:rPr>
          <w:rStyle w:val="FootnoteReference"/>
        </w:rPr>
        <w:footnoteReference w:id="3"/>
      </w:r>
      <w:r w:rsidR="00EF2264" w:rsidRPr="00EF2264">
        <w:t>, but rather directed to the login page of the National Confederation of Municipalities.</w:t>
      </w:r>
      <w:r>
        <w:rPr>
          <w:rStyle w:val="FootnoteReference"/>
        </w:rPr>
        <w:footnoteReference w:id="4"/>
      </w:r>
      <w:r w:rsidR="00EF2264" w:rsidRPr="00EF2264">
        <w:t xml:space="preserve"> </w:t>
      </w:r>
    </w:p>
    <w:p w14:paraId="0000000B" w14:textId="556DDF56" w:rsidR="009934F1" w:rsidRPr="00EF2264" w:rsidRDefault="001B3F3B" w:rsidP="0092055D">
      <w:pPr>
        <w:spacing w:after="0" w:line="312" w:lineRule="auto"/>
        <w:ind w:left="426" w:hanging="426"/>
        <w:jc w:val="both"/>
      </w:pPr>
      <w:r>
        <w:t xml:space="preserve">06. </w:t>
      </w:r>
      <w:r w:rsidR="00EF2264" w:rsidRPr="00EF2264">
        <w:t>It becomes evident upon analysis of the document, sourced from the National Confederation of Municipalities, that it lacks a substantive response to inquiries concerning health sector financing. The content proves challenging to comprehend, even for those acquainted with the previous financing framework. Notably, it presents inaccurate details about the new healthcare financing model. The document's concluding remarks underscore "the significant innovation introduced by the present transfer model" and highlight the "clear segregation of budgetary and financial streams" as advancements, underscoring the enhanced "utilization of resources for improved financial healthcare management." Essentially, the focus seems to shift towards financial and administrative aspects, potentially overshadowing the priority of furnishing adequate physical and mental health services.</w:t>
      </w:r>
    </w:p>
    <w:p w14:paraId="0000000C" w14:textId="645817E1" w:rsidR="009934F1" w:rsidRDefault="001B3F3B" w:rsidP="0092055D">
      <w:pPr>
        <w:spacing w:after="0" w:line="312" w:lineRule="auto"/>
        <w:ind w:left="426" w:hanging="426"/>
        <w:jc w:val="both"/>
      </w:pPr>
      <w:r>
        <w:t xml:space="preserve">07. </w:t>
      </w:r>
      <w:r w:rsidR="00EF2264" w:rsidRPr="00EF2264">
        <w:t>It is apparent that the response provided by the Brazilian state is deemed inadequate in addressing queries pertaining to the availability of sufficient resources to uphold the effective operation of healthcare services. Furthermore, the response lacks an evaluation of its impact on the capacity to respond to potential health crises.</w:t>
      </w:r>
    </w:p>
    <w:p w14:paraId="6361D147" w14:textId="77777777" w:rsidR="001B3F3B" w:rsidRPr="00EF2264" w:rsidRDefault="001B3F3B" w:rsidP="0092055D">
      <w:pPr>
        <w:spacing w:after="0" w:line="312" w:lineRule="auto"/>
        <w:ind w:left="426" w:hanging="426"/>
        <w:jc w:val="both"/>
      </w:pPr>
    </w:p>
    <w:p w14:paraId="0000000D" w14:textId="7573767A" w:rsidR="009934F1" w:rsidRPr="00EF2264" w:rsidRDefault="001B3F3B" w:rsidP="0092055D">
      <w:pPr>
        <w:spacing w:after="0" w:line="312" w:lineRule="auto"/>
        <w:ind w:left="426" w:hanging="426"/>
        <w:jc w:val="both"/>
        <w:rPr>
          <w:b/>
          <w:u w:val="single"/>
        </w:rPr>
      </w:pPr>
      <w:r w:rsidRPr="001B3F3B">
        <w:rPr>
          <w:bCs/>
        </w:rPr>
        <w:t xml:space="preserve">08. </w:t>
      </w:r>
      <w:r w:rsidR="00EF2264" w:rsidRPr="00EF2264">
        <w:rPr>
          <w:b/>
          <w:u w:val="single"/>
        </w:rPr>
        <w:t>It is suggested that the Committee:</w:t>
      </w:r>
    </w:p>
    <w:p w14:paraId="0000000E" w14:textId="69DD1684" w:rsidR="009934F1" w:rsidRPr="00EF2264" w:rsidRDefault="001B3F3B" w:rsidP="0092055D">
      <w:pPr>
        <w:spacing w:after="0" w:line="312" w:lineRule="auto"/>
        <w:ind w:left="426" w:hanging="426"/>
        <w:jc w:val="both"/>
      </w:pPr>
      <w:r>
        <w:t>08.1.</w:t>
      </w:r>
      <w:r w:rsidR="00EF2264" w:rsidRPr="00EF2264">
        <w:t xml:space="preserve"> Request information from the Brazilian state pertaining to the following aspects: a) the process of implementing the novel health financing system; b) the current status of this policy (whether active, concluded, suspended, restructured, replaced); c) an evaluation of outcomes considering the intended objectives and purposes of the new financing approach; </w:t>
      </w:r>
      <w:r w:rsidR="00EF2264" w:rsidRPr="00EF2264">
        <w:lastRenderedPageBreak/>
        <w:t>d) current data and historical trends elucidating the changes brought forth by this policy. This information is essential for assessing whether health funding is sufficient, since insufficient public health funding can lead to substantial consequences in realizing the Right to Physical and Mental Health. Inadequate resource allocation can impede the healthcare system's capacity to meet the needs of a growing population, resulting in long waiting lines, scarcities of essential medications, and inadequately-equipped medical facilities. Moreover, neglecting investment in disease prevention can exacerbate the prevalence of preventable illnesses and a undermine the quality of the healthcare services provided.</w:t>
      </w:r>
    </w:p>
    <w:p w14:paraId="0000000F" w14:textId="4B30FCE5" w:rsidR="009934F1" w:rsidRPr="00EF2264" w:rsidRDefault="001B3F3B" w:rsidP="0092055D">
      <w:pPr>
        <w:spacing w:after="0" w:line="312" w:lineRule="auto"/>
        <w:ind w:left="426" w:hanging="426"/>
        <w:jc w:val="both"/>
        <w:rPr>
          <w:b/>
        </w:rPr>
      </w:pPr>
      <w:r>
        <w:t>08.2.</w:t>
      </w:r>
      <w:r w:rsidR="00EF2264" w:rsidRPr="00EF2264">
        <w:t xml:space="preserve"> Recommend that the Brazilian government undertake a comprehensive assessment of the adoption of the new National Primary Care Policy (New PNAB), sanctioned by the federal government in 2017, which introduced the concept of Popular Health Plans, potentially fostering a heightened commercialization of healthcare services to the detriment of the constitutionally guaranteed rights. The transformation in Primary Care persisted with the promulgation of Ordinance No. 2,979/2019, which established the "</w:t>
      </w:r>
      <w:proofErr w:type="spellStart"/>
      <w:r w:rsidR="00EF2264" w:rsidRPr="00EF2264">
        <w:t>Previne</w:t>
      </w:r>
      <w:proofErr w:type="spellEnd"/>
      <w:r w:rsidR="00EF2264" w:rsidRPr="00EF2264">
        <w:t xml:space="preserve"> Brasil Program", subsequently altering the financing structure of primary care. This Ordinance became effective in 2021, posing a departure from the tenets of universal healthcare, as it delineates the allocation of healthcare funds to municipalities not based on the traditional per capita principle, but rather on the enrollment numbers within programs sanctioned by the Ministry of Health.</w:t>
      </w:r>
    </w:p>
    <w:p w14:paraId="1D279C98" w14:textId="77777777" w:rsidR="001B3F3B" w:rsidRDefault="001B3F3B" w:rsidP="0092055D">
      <w:pPr>
        <w:spacing w:after="0" w:line="312" w:lineRule="auto"/>
        <w:ind w:left="426" w:hanging="426"/>
        <w:jc w:val="both"/>
        <w:rPr>
          <w:b/>
        </w:rPr>
      </w:pPr>
      <w:bookmarkStart w:id="0" w:name="_gjdgxs" w:colFirst="0" w:colLast="0"/>
      <w:bookmarkEnd w:id="0"/>
    </w:p>
    <w:p w14:paraId="00000010" w14:textId="4B75AA6A" w:rsidR="009934F1" w:rsidRPr="00EF2264" w:rsidRDefault="00EF2264" w:rsidP="0092055D">
      <w:pPr>
        <w:spacing w:after="0" w:line="312" w:lineRule="auto"/>
        <w:ind w:left="426" w:hanging="426"/>
        <w:jc w:val="both"/>
        <w:rPr>
          <w:b/>
        </w:rPr>
      </w:pPr>
      <w:r w:rsidRPr="00EF2264">
        <w:rPr>
          <w:b/>
        </w:rPr>
        <w:t xml:space="preserve">Question 28 </w:t>
      </w:r>
      <w:r w:rsidR="001B3F3B">
        <w:rPr>
          <w:b/>
        </w:rPr>
        <w:t>–</w:t>
      </w:r>
      <w:r w:rsidRPr="00EF2264">
        <w:rPr>
          <w:b/>
        </w:rPr>
        <w:t xml:space="preserve"> Fight against Covid-19</w:t>
      </w:r>
    </w:p>
    <w:p w14:paraId="32E3A1C7" w14:textId="77777777" w:rsidR="001B3F3B" w:rsidRDefault="001B3F3B" w:rsidP="0092055D">
      <w:pPr>
        <w:spacing w:after="0" w:line="312" w:lineRule="auto"/>
        <w:ind w:left="426" w:hanging="426"/>
        <w:jc w:val="both"/>
      </w:pPr>
    </w:p>
    <w:p w14:paraId="00000011" w14:textId="47548762" w:rsidR="009934F1" w:rsidRPr="00EF2264" w:rsidRDefault="001B3F3B" w:rsidP="0092055D">
      <w:pPr>
        <w:spacing w:after="0" w:line="312" w:lineRule="auto"/>
        <w:ind w:left="426" w:hanging="426"/>
        <w:jc w:val="both"/>
      </w:pPr>
      <w:r>
        <w:t xml:space="preserve">09. </w:t>
      </w:r>
      <w:r w:rsidR="00EF2264" w:rsidRPr="00EF2264">
        <w:t xml:space="preserve">Question 28 pertained to the factors contributing to the delay in disbursing funds designated for combating the </w:t>
      </w:r>
      <w:r>
        <w:t>Covid</w:t>
      </w:r>
      <w:r w:rsidR="00EF2264" w:rsidRPr="00EF2264">
        <w:t xml:space="preserve">-19 pandemic and executing the Emergency Plan to Combat </w:t>
      </w:r>
      <w:r>
        <w:t>Covid</w:t>
      </w:r>
      <w:r w:rsidR="00EF2264" w:rsidRPr="00EF2264">
        <w:t xml:space="preserve">-19 in Indigenous Territories, the efficacy of measures enacted to curb the spread of the pandemic and ensure adequate healthcare, notably in indigenous territories, was a central inquiry. In the same inquiry, data was requested on the outcomes of strategies undertaken by the State Party in the face of disproportionate rates of </w:t>
      </w:r>
      <w:r>
        <w:t>Covid</w:t>
      </w:r>
      <w:r w:rsidR="00EF2264" w:rsidRPr="00EF2264">
        <w:t xml:space="preserve">-19 infection and mortality among disadvantaged and marginalized segments of society. The question also solicited insights into the impact of measures aimed at increasing the administration of vaccines for specific age groups or priority populations, as outlined in paragraph 248 of the State Party's report. An assessment of how the </w:t>
      </w:r>
      <w:r>
        <w:t>Covid</w:t>
      </w:r>
      <w:r w:rsidR="00EF2264" w:rsidRPr="00EF2264">
        <w:t>-19 pandemic affected the healthcare system was also explicitly requested.</w:t>
      </w:r>
    </w:p>
    <w:p w14:paraId="00000012" w14:textId="7F026E1B" w:rsidR="009934F1" w:rsidRPr="00EF2264" w:rsidRDefault="001B3F3B" w:rsidP="0092055D">
      <w:pPr>
        <w:spacing w:after="0" w:line="312" w:lineRule="auto"/>
        <w:ind w:left="426" w:hanging="426"/>
        <w:jc w:val="both"/>
      </w:pPr>
      <w:r>
        <w:t xml:space="preserve">10. </w:t>
      </w:r>
      <w:r w:rsidR="00EF2264" w:rsidRPr="00EF2264">
        <w:t xml:space="preserve">In addressing these inquiries, the Brazilian state highlighted the distribution of emergency relief and food provisions to indigenous communities. It underscored that in 2021, the Unified Health System (SUS) supplied indigenous communities with medicines, vaccines, </w:t>
      </w:r>
      <w:r w:rsidR="00EF2264" w:rsidRPr="00EF2264">
        <w:lastRenderedPageBreak/>
        <w:t>medical consultations and exams, and food. However, this response is deemed insufficient to address the comprehensive scope pf the question, since it only focused on questions relating to the indigenous population. It is essential to point out that these initiatives aimed at indigenous communities were undertaken subsequent to substantial mobilization by indigenous peoples and organized civil society. Notably, a health protocol for entry into indigenous territories was only established in August 2020, following Recommendation No. 11/2020-MPF issued by the Federal Public Prosecutor's Office on April 2.</w:t>
      </w:r>
    </w:p>
    <w:p w14:paraId="00000013" w14:textId="2E42CA1E" w:rsidR="009934F1" w:rsidRPr="00EF2264" w:rsidRDefault="001B3F3B" w:rsidP="0092055D">
      <w:pPr>
        <w:spacing w:after="0" w:line="312" w:lineRule="auto"/>
        <w:ind w:left="426" w:hanging="426"/>
        <w:jc w:val="both"/>
      </w:pPr>
      <w:r>
        <w:t xml:space="preserve">11. </w:t>
      </w:r>
      <w:r w:rsidR="00EF2264" w:rsidRPr="00EF2264">
        <w:t xml:space="preserve">Upon the availability of immunization against Covid-19, the recognition of indigenous peoples as a priority demographic group only materialized following persistent advocacy from indigenous movements and civil. </w:t>
      </w:r>
      <w:r w:rsidR="00EF2264" w:rsidRPr="001B3F3B">
        <w:t>However, at that moment, priority was exclusively granted to those dwelling in villages, specifically those residing within demarcated or non-demarcated indigenous lands and under the coverage of the Ministry of Health's Special Secretariat for Indigenous Health (</w:t>
      </w:r>
      <w:proofErr w:type="spellStart"/>
      <w:r w:rsidR="00EF2264" w:rsidRPr="001B3F3B">
        <w:t>Sesai</w:t>
      </w:r>
      <w:proofErr w:type="spellEnd"/>
      <w:r w:rsidR="00EF2264" w:rsidRPr="001B3F3B">
        <w:t>). Individuals residing in urban localities and those in rural areas not enrolled in the Indigenous Health Care Subsystem (</w:t>
      </w:r>
      <w:proofErr w:type="spellStart"/>
      <w:r w:rsidR="00EF2264" w:rsidRPr="001B3F3B">
        <w:t>S</w:t>
      </w:r>
      <w:r>
        <w:t>esai</w:t>
      </w:r>
      <w:proofErr w:type="spellEnd"/>
      <w:r w:rsidR="00EF2264" w:rsidRPr="001B3F3B">
        <w:t>-SUS) were excluded from this prioritization.</w:t>
      </w:r>
    </w:p>
    <w:p w14:paraId="00000014" w14:textId="4B8AE249" w:rsidR="009934F1" w:rsidRPr="00EF2264" w:rsidRDefault="001B3F3B" w:rsidP="0092055D">
      <w:pPr>
        <w:spacing w:after="0" w:line="312" w:lineRule="auto"/>
        <w:ind w:left="426" w:hanging="426"/>
        <w:jc w:val="both"/>
      </w:pPr>
      <w:r>
        <w:t xml:space="preserve">12. </w:t>
      </w:r>
      <w:r w:rsidR="00EF2264" w:rsidRPr="00EF2264">
        <w:t>On March 16, 2021, Supreme Court Justice Luís Roberto Barroso mandated the inclusion of indigenous individuals residing in urban centers and non-designated territories that grapple with "SUS access barriers" within the vaccination priority. Despite this ruling, compliance was not immediate. In April 2021, the matter was deliberated upon in the Federal Chamber due to the non-compliance with the ruling</w:t>
      </w:r>
      <w:r w:rsidR="00935551" w:rsidRPr="00EF2264">
        <w:rPr>
          <w:rStyle w:val="FootnoteReference"/>
        </w:rPr>
        <w:footnoteReference w:id="5"/>
      </w:r>
      <w:r w:rsidR="00EF2264" w:rsidRPr="00EF2264">
        <w:t>.</w:t>
      </w:r>
    </w:p>
    <w:p w14:paraId="70E0B3A5" w14:textId="77777777" w:rsidR="0092055D" w:rsidRDefault="0092055D" w:rsidP="0092055D">
      <w:pPr>
        <w:spacing w:after="0" w:line="312" w:lineRule="auto"/>
        <w:ind w:left="426" w:hanging="426"/>
        <w:jc w:val="both"/>
        <w:rPr>
          <w:bCs/>
        </w:rPr>
      </w:pPr>
    </w:p>
    <w:p w14:paraId="00000015" w14:textId="12E4DC36" w:rsidR="009934F1" w:rsidRPr="00EF2264" w:rsidRDefault="001B3F3B" w:rsidP="0092055D">
      <w:pPr>
        <w:spacing w:after="0" w:line="312" w:lineRule="auto"/>
        <w:ind w:left="426" w:hanging="426"/>
        <w:jc w:val="both"/>
        <w:rPr>
          <w:b/>
          <w:u w:val="single"/>
        </w:rPr>
      </w:pPr>
      <w:r>
        <w:rPr>
          <w:bCs/>
        </w:rPr>
        <w:t xml:space="preserve">13. </w:t>
      </w:r>
      <w:r w:rsidR="00EF2264" w:rsidRPr="00EF2264">
        <w:rPr>
          <w:b/>
          <w:u w:val="single"/>
        </w:rPr>
        <w:t>It is suggested that the Committee</w:t>
      </w:r>
    </w:p>
    <w:p w14:paraId="00000016" w14:textId="725F03DA" w:rsidR="009934F1" w:rsidRPr="00EF2264" w:rsidRDefault="001B3F3B" w:rsidP="0092055D">
      <w:pPr>
        <w:spacing w:after="0" w:line="312" w:lineRule="auto"/>
        <w:ind w:left="426" w:hanging="426"/>
        <w:jc w:val="both"/>
      </w:pPr>
      <w:r>
        <w:t>13.1.</w:t>
      </w:r>
      <w:r w:rsidR="00EF2264" w:rsidRPr="00EF2264">
        <w:t xml:space="preserve"> Recommend that the Brazilian state implement comprehensive public indigenous health policies that take into account the priorities and specificities of indigenous populations, such as those listed below:</w:t>
      </w:r>
    </w:p>
    <w:p w14:paraId="00000017" w14:textId="77777777" w:rsidR="009934F1" w:rsidRPr="00EF2264" w:rsidRDefault="00EF2264" w:rsidP="0092055D">
      <w:pPr>
        <w:spacing w:after="0" w:line="312" w:lineRule="auto"/>
        <w:ind w:left="426"/>
        <w:jc w:val="both"/>
      </w:pPr>
      <w:r w:rsidRPr="00EF2264">
        <w:t>1. Autonomy and Self-Governance: Indigenous health principles emphasize the proactive involvement of indigenous communities in health-related deliberations. This entails community management of health services and the crafting of policies attuned to the particular requirements of these communities.</w:t>
      </w:r>
    </w:p>
    <w:p w14:paraId="00000018" w14:textId="77777777" w:rsidR="009934F1" w:rsidRPr="00EF2264" w:rsidRDefault="00EF2264" w:rsidP="0092055D">
      <w:pPr>
        <w:spacing w:after="0" w:line="312" w:lineRule="auto"/>
        <w:ind w:left="426"/>
        <w:jc w:val="both"/>
      </w:pPr>
      <w:bookmarkStart w:id="1" w:name="_30j0zll" w:colFirst="0" w:colLast="0"/>
      <w:bookmarkEnd w:id="1"/>
      <w:r w:rsidRPr="00EF2264">
        <w:t>2. Intercultural Approach: The objective entails harmonizing traditional indigenous wisdom with Western medical practices, ensuring healthcare provisions that honor the cultural perspectives and worldviews of these communities.</w:t>
      </w:r>
    </w:p>
    <w:p w14:paraId="0000001A" w14:textId="77777777" w:rsidR="009934F1" w:rsidRPr="00EF2264" w:rsidRDefault="00EF2264" w:rsidP="0092055D">
      <w:pPr>
        <w:spacing w:after="0" w:line="312" w:lineRule="auto"/>
        <w:ind w:left="426"/>
        <w:jc w:val="both"/>
      </w:pPr>
      <w:r w:rsidRPr="00EF2264">
        <w:t xml:space="preserve">3. Territorial Connection: Indigenous health recognizes the inherent link between community well-being and their ancestral lands. Safeguarding and attaining land rights are </w:t>
      </w:r>
      <w:r w:rsidRPr="00EF2264">
        <w:lastRenderedPageBreak/>
        <w:t>pivotal in ensuring the holistic physical, emotional, and spiritual health of these communities.</w:t>
      </w:r>
    </w:p>
    <w:p w14:paraId="0000001C" w14:textId="77777777" w:rsidR="009934F1" w:rsidRPr="00EF2264" w:rsidRDefault="00EF2264" w:rsidP="0092055D">
      <w:pPr>
        <w:spacing w:after="0" w:line="312" w:lineRule="auto"/>
        <w:ind w:left="426"/>
        <w:jc w:val="both"/>
      </w:pPr>
      <w:r w:rsidRPr="00EF2264">
        <w:t>4. Communal Perspective: Indigenous health underscores the significance of communal caregiving and mutual support among community members. Health is regarded as a collective commitment, wherein each individual plays an active part in advancing both personal and communal welfare.</w:t>
      </w:r>
    </w:p>
    <w:p w14:paraId="0000001D" w14:textId="7C178B75" w:rsidR="009934F1" w:rsidRPr="00EF2264" w:rsidRDefault="001B3F3B" w:rsidP="0092055D">
      <w:pPr>
        <w:spacing w:after="0" w:line="312" w:lineRule="auto"/>
        <w:ind w:left="426" w:hanging="426"/>
        <w:jc w:val="both"/>
      </w:pPr>
      <w:r>
        <w:t>13.2.</w:t>
      </w:r>
      <w:r w:rsidR="00EF2264" w:rsidRPr="00EF2264">
        <w:t xml:space="preserve"> That the Brazilian state avoid being passive and prevent the squandering of allocated funds within the healthcare budget, a circumstance witnessed during the formidable challenges of the Covid-19 pandemic in 2020. By the close of November 2020, the National Health Council disclosed that the Ministry of Health had left unutilized a sum of R$</w:t>
      </w:r>
      <w:r>
        <w:t xml:space="preserve"> </w:t>
      </w:r>
      <w:r w:rsidR="00EF2264" w:rsidRPr="00EF2264">
        <w:t>3.4 billion, made available through extraordinary credit in May of that same year. Furthermore, it underscored the loss of an additional R$</w:t>
      </w:r>
      <w:r>
        <w:t xml:space="preserve"> </w:t>
      </w:r>
      <w:r w:rsidR="00EF2264" w:rsidRPr="00EF2264">
        <w:t>74.7 million due to the expiration of three Provisional Measures, while emphasizing approximately R$</w:t>
      </w:r>
      <w:r>
        <w:t xml:space="preserve"> </w:t>
      </w:r>
      <w:r w:rsidR="00EF2264" w:rsidRPr="00EF2264">
        <w:t>2.2 billion that remained uncommitted. The non-utilization of these resources detrimentally affected healthcare provisions, particularly for the most vulnerable populations.</w:t>
      </w:r>
    </w:p>
    <w:p w14:paraId="1099AE54" w14:textId="77777777" w:rsidR="001B3F3B" w:rsidRDefault="001B3F3B" w:rsidP="0092055D">
      <w:pPr>
        <w:spacing w:after="0" w:line="312" w:lineRule="auto"/>
        <w:ind w:left="426" w:hanging="426"/>
        <w:jc w:val="both"/>
        <w:rPr>
          <w:b/>
        </w:rPr>
      </w:pPr>
    </w:p>
    <w:p w14:paraId="0000001E" w14:textId="2931E7D3" w:rsidR="009934F1" w:rsidRPr="00EF2264" w:rsidRDefault="00EF2264" w:rsidP="0092055D">
      <w:pPr>
        <w:spacing w:after="0" w:line="312" w:lineRule="auto"/>
        <w:ind w:left="426" w:hanging="426"/>
        <w:jc w:val="both"/>
        <w:rPr>
          <w:b/>
        </w:rPr>
      </w:pPr>
      <w:r w:rsidRPr="00EF2264">
        <w:rPr>
          <w:b/>
        </w:rPr>
        <w:t xml:space="preserve">Question 29 </w:t>
      </w:r>
      <w:r w:rsidR="001B3F3B">
        <w:rPr>
          <w:b/>
        </w:rPr>
        <w:t>–</w:t>
      </w:r>
      <w:r w:rsidRPr="00EF2264">
        <w:rPr>
          <w:b/>
        </w:rPr>
        <w:t xml:space="preserve"> Abortion, and Sexual and Reproductive Health</w:t>
      </w:r>
    </w:p>
    <w:p w14:paraId="1344AFDF" w14:textId="77777777" w:rsidR="001B3F3B" w:rsidRDefault="001B3F3B" w:rsidP="0092055D">
      <w:pPr>
        <w:spacing w:after="0" w:line="312" w:lineRule="auto"/>
        <w:ind w:left="426" w:hanging="426"/>
        <w:jc w:val="both"/>
      </w:pPr>
    </w:p>
    <w:p w14:paraId="0000001F" w14:textId="66DD86E0" w:rsidR="009934F1" w:rsidRPr="00EF2264" w:rsidRDefault="001B3F3B" w:rsidP="0092055D">
      <w:pPr>
        <w:spacing w:after="0" w:line="312" w:lineRule="auto"/>
        <w:ind w:left="426" w:hanging="426"/>
        <w:jc w:val="both"/>
      </w:pPr>
      <w:r>
        <w:t xml:space="preserve">14. </w:t>
      </w:r>
      <w:r w:rsidR="00EF2264" w:rsidRPr="00EF2264">
        <w:t>The advancement pertaining to the restrictive abortion legislation within the State Party, which currently subjects women undergoing the procedure to penalties, constitutes the focal point of query 29. The Committee further solicited an explication of the impediments hindering the attainment of comprehensive access to high-quality sexual and reproductive healthcare, along with maternal health provisions, within the State Party. In specific, it sought an elucidation of the underlying factors contributing to the elevated prevalence of unintended pregnancies in the State Party. This elucidation should encompass, among other facets, statistical data elucidating the extent to which sexual health endeavors are addressing this concern within the framework of reproductive health matters.</w:t>
      </w:r>
    </w:p>
    <w:p w14:paraId="00000020" w14:textId="7A370DF1" w:rsidR="009934F1" w:rsidRPr="00EF2264" w:rsidRDefault="001B3F3B" w:rsidP="0092055D">
      <w:pPr>
        <w:spacing w:after="0" w:line="312" w:lineRule="auto"/>
        <w:ind w:left="426" w:hanging="426"/>
        <w:jc w:val="both"/>
      </w:pPr>
      <w:r>
        <w:t xml:space="preserve">15. </w:t>
      </w:r>
      <w:r w:rsidR="00EF2264" w:rsidRPr="00EF2264">
        <w:t xml:space="preserve">The response to query 29 is deemed unsatisfactory. Instead of addressing advancements in not penalizing women who undergo abortion, the state preferred to reiterate its position, in line with Article 3 of the Universal Declaration of Human Rights, which refers to the right to life and underscores that there is no reference within the Pact (ICESCR) to a possible "right" to abortion. It accentuates, in contrast, that Article 10 of the Pact "explicitly safeguards the family: "The widest possible protection and assistance should be accorded to the family, which is the natural and fundamental group unit of society [...]". The state also asserts its full respect for legal provisions permitting abortions in highly specific circumstances and reports a disagreement over whether the term "sexual and reproductive healthcare" encompasses the right to abortion. According to the Brazilian state, the right to </w:t>
      </w:r>
      <w:r w:rsidR="00EF2264" w:rsidRPr="00EF2264">
        <w:lastRenderedPageBreak/>
        <w:t>sexuality and reproduction has an interpretative dimension and is adapted to domestic legislation in Article 226, Paragraph 7 of the Federal Constitution, which establishes that family planning is grounded in principles of human dignity. Furthermore, it underscores that in Brazil, abortion is not punishable when carried out by medical professionals, if the pregnancy jeopardizes the mother's life, if it results from rape or if anencephaly is detected in the fetus. Addressing women's comprehensive health concerning sexuality and reproduction, the State delineates that this is divided between safeguarding and fortifying maternal and child health. As such, women's sexual and reproductive healthcare is intertwined with a global perspective of all stages of the life cycle, which include sexuality and reproduction and, therefore, the stages of pregnancy, childbirth and the puerperium.</w:t>
      </w:r>
    </w:p>
    <w:p w14:paraId="00000021" w14:textId="3B0A4628" w:rsidR="009934F1" w:rsidRPr="00EF2264" w:rsidRDefault="001B3F3B" w:rsidP="0092055D">
      <w:pPr>
        <w:spacing w:after="0" w:line="312" w:lineRule="auto"/>
        <w:ind w:left="426" w:hanging="426"/>
        <w:jc w:val="both"/>
      </w:pPr>
      <w:r>
        <w:t xml:space="preserve">16. </w:t>
      </w:r>
      <w:r w:rsidR="00EF2264" w:rsidRPr="00EF2264">
        <w:t>This response highlights that the state disregards the fundamental right of women to make determinations regarding their own bodies, including safe and legal access to pregnancy termination when chosen. Lack of accessible, safe abortion can exert adverse effects on women's overall health and welfare, exposing them to risks impacting both their physical and mental well-being. It is essential, however, to emphasize that decriminalizing abortion does not equate to advocating for abortion as a contraceptive method. It objective is to ensure women's autonomy, safety and health, all the while honoring their individual choices.</w:t>
      </w:r>
    </w:p>
    <w:p w14:paraId="00000022" w14:textId="12D891AA" w:rsidR="009934F1" w:rsidRPr="00EF2264" w:rsidRDefault="001B3F3B" w:rsidP="0092055D">
      <w:pPr>
        <w:spacing w:after="0" w:line="312" w:lineRule="auto"/>
        <w:ind w:left="426" w:hanging="426"/>
        <w:jc w:val="both"/>
      </w:pPr>
      <w:r>
        <w:t xml:space="preserve">17. </w:t>
      </w:r>
      <w:r w:rsidR="00EF2264" w:rsidRPr="00EF2264">
        <w:t>Regarding the matter of non-punishment for abortions as stipulated by law, it is pertinent to underscore that these instances, even if provided for by law, frequently encounter barriers imposed by those entrusted with upholding the law. An example transpired in São Mateus, E</w:t>
      </w:r>
      <w:r>
        <w:t>spírito Santo</w:t>
      </w:r>
      <w:r w:rsidR="00EF2264" w:rsidRPr="00EF2264">
        <w:t xml:space="preserve">, in 2020, involving a 10-year-old girl who had been victimized by her uncle's rape and subsequently became pregnant. Regrettably, an endeavor to impede legal compliance unfolded when the then Minister of Women, Family and Human Rights, Damares Alves, orchestrated an operation with the aim of keeping the girl in a hospital, allowing the pregnancy to progress and culminate in childbirth, regardless of the life-threatening jeopardy this posed to the girl. The Attorney General's Office initiated an investigation into the case. Through extensive mobilization, effective communication, and strategic coordination, judicial authorization to terminate the pregnancy was eventually secure. The young girl had to travel to Recife for the procedure. Another example of misconduct by those responsible for upholding the law is the case of an 11-year-old girl, who was taken to a hospital in </w:t>
      </w:r>
      <w:proofErr w:type="spellStart"/>
      <w:r w:rsidR="00EF2264" w:rsidRPr="00EF2264">
        <w:t>Florianópolis</w:t>
      </w:r>
      <w:proofErr w:type="spellEnd"/>
      <w:r w:rsidR="00EF2264" w:rsidRPr="00EF2264">
        <w:t xml:space="preserve"> for an abortion. However, the pregnancy had surpassed the hospital's established gestational time limit, prompting a legal intervention. Notably, Judge Joana Ribeiro Zimmer chose to place the girl in protective care until childbirth, using as a justification in one of the court orders the "risk" of the mother potentially pursuing "methods to terminate baby's life". Moreover, during a hearing in the case, the judge inquired: "Can you bear to stay a little longer? We have 30,000 couples </w:t>
      </w:r>
      <w:r w:rsidR="00EF2264" w:rsidRPr="00EF2264">
        <w:lastRenderedPageBreak/>
        <w:t>eager for the baby, willing to accept the baby. Today's sorrow for you and your daughter is the happiness of a couple," as conveyed during the hearing. Subsequently, following activism and decisive intervention by the Santa Catarina Public Prosecutor's Office, the necessary procedure was eventually assured.</w:t>
      </w:r>
    </w:p>
    <w:p w14:paraId="00000023" w14:textId="45B1BB32" w:rsidR="009934F1" w:rsidRPr="00EF2264" w:rsidRDefault="001B3F3B" w:rsidP="0092055D">
      <w:pPr>
        <w:spacing w:after="0" w:line="312" w:lineRule="auto"/>
        <w:ind w:left="426" w:hanging="426"/>
        <w:jc w:val="both"/>
      </w:pPr>
      <w:r>
        <w:t xml:space="preserve">18. </w:t>
      </w:r>
      <w:r w:rsidR="00EF2264" w:rsidRPr="00EF2264">
        <w:t>It is essential to recognize that ensuring unfettered access to secure abortions constitutes an imperative for the holistic realization of women's entitlement to physical and mental health. The decriminalization of abortion allows women to have access to safe procedures overseen by competent professionals within suitable healthcare settings. This reduces the hazards tied to complications and mortality stemming from clandestine, unsafe abortions, such as maternal mortality rates. Moreover, the decriminalization of abortion stands as a linchpin of gender equality, as it restores to women the autonomy to determine matters pertaining to their own health and reproductive life. This empowerment makes it possible for them to plan their families and their lives in consonance with their individual needs and aspirations. Most notably, the pathway to legal abortion amplifies a nation's reproductive healthcare apparatus, ensuring the availability of comprehensive services that span the gamut from family planning to post-abortion support. This should encompass the provision of effective contraceptive methods, preventive measures against sexually transmitted infections, and inclusive reproductive counseling services.</w:t>
      </w:r>
    </w:p>
    <w:p w14:paraId="6CB3F0AB" w14:textId="77777777" w:rsidR="001B3F3B" w:rsidRDefault="001B3F3B" w:rsidP="0092055D">
      <w:pPr>
        <w:spacing w:after="0" w:line="312" w:lineRule="auto"/>
        <w:ind w:left="426" w:hanging="426"/>
        <w:jc w:val="both"/>
        <w:rPr>
          <w:b/>
          <w:u w:val="single"/>
        </w:rPr>
      </w:pPr>
    </w:p>
    <w:p w14:paraId="00000024" w14:textId="65CAF3AF" w:rsidR="009934F1" w:rsidRPr="00EF2264" w:rsidRDefault="001B3F3B" w:rsidP="0092055D">
      <w:pPr>
        <w:spacing w:after="0" w:line="312" w:lineRule="auto"/>
        <w:ind w:left="426" w:hanging="426"/>
        <w:jc w:val="both"/>
        <w:rPr>
          <w:b/>
          <w:u w:val="single"/>
        </w:rPr>
      </w:pPr>
      <w:r>
        <w:rPr>
          <w:bCs/>
        </w:rPr>
        <w:t xml:space="preserve">19. </w:t>
      </w:r>
      <w:r w:rsidR="00EF2264" w:rsidRPr="00EF2264">
        <w:rPr>
          <w:b/>
          <w:u w:val="single"/>
        </w:rPr>
        <w:t>It is suggested that the Committee:</w:t>
      </w:r>
    </w:p>
    <w:p w14:paraId="00000025" w14:textId="605C31A8" w:rsidR="009934F1" w:rsidRPr="00EF2264" w:rsidRDefault="001B3F3B" w:rsidP="0092055D">
      <w:pPr>
        <w:spacing w:after="0" w:line="312" w:lineRule="auto"/>
        <w:ind w:left="426" w:hanging="426"/>
        <w:jc w:val="both"/>
      </w:pPr>
      <w:r>
        <w:t>19.1.</w:t>
      </w:r>
      <w:r w:rsidR="00EF2264" w:rsidRPr="00EF2264">
        <w:t xml:space="preserve"> Recommend that the Brazilian government initiate thorough inquiries into instances where law enforcement and healthcare mechanisms have operated in contravention of the provisions set forth in Law No. 2.848 of December 7, 1940</w:t>
      </w:r>
      <w:r w:rsidR="00935551" w:rsidRPr="00EF2264">
        <w:rPr>
          <w:rStyle w:val="FootnoteReference"/>
        </w:rPr>
        <w:footnoteReference w:id="6"/>
      </w:r>
      <w:r w:rsidR="00EF2264" w:rsidRPr="00EF2264">
        <w:t>, as subsequently regulated in 1999 by the Technical Standard for the Prevention and Treatment of Conditions Arising from Sexual Violence against Women and Adolescents</w:t>
      </w:r>
      <w:r w:rsidR="00935551" w:rsidRPr="00EF2264">
        <w:rPr>
          <w:rStyle w:val="FootnoteReference"/>
        </w:rPr>
        <w:footnoteReference w:id="7"/>
      </w:r>
      <w:r w:rsidR="00EF2264" w:rsidRPr="00EF2264">
        <w:t>, and undertake appropriate punitive measures if deemed necessary. The Technical Standard of 1999, further updated in 2005</w:t>
      </w:r>
      <w:r w:rsidR="00935551" w:rsidRPr="00EF2264">
        <w:rPr>
          <w:rStyle w:val="FootnoteReference"/>
        </w:rPr>
        <w:footnoteReference w:id="8"/>
      </w:r>
      <w:r w:rsidR="00EF2264" w:rsidRPr="00EF2264">
        <w:t xml:space="preserve"> and 2011</w:t>
      </w:r>
      <w:r w:rsidR="00935551" w:rsidRPr="00EF2264">
        <w:rPr>
          <w:rStyle w:val="FootnoteReference"/>
        </w:rPr>
        <w:footnoteReference w:id="9"/>
      </w:r>
      <w:r w:rsidR="00EF2264" w:rsidRPr="00EF2264">
        <w:t>, absolves women from the obligation to furnish a police report or a report from the Institute of Forensic Medicine (IML). As per these stipulations, the sole requisite document essential for the termination of a pregnancy stemming from a rape incident would be the written consent of the woman concerned.</w:t>
      </w:r>
    </w:p>
    <w:p w14:paraId="00000026" w14:textId="5919D8F5" w:rsidR="009934F1" w:rsidRPr="00EF2264" w:rsidRDefault="001B3F3B" w:rsidP="0092055D">
      <w:pPr>
        <w:spacing w:after="0" w:line="312" w:lineRule="auto"/>
        <w:ind w:left="426" w:hanging="426"/>
        <w:jc w:val="both"/>
      </w:pPr>
      <w:r>
        <w:lastRenderedPageBreak/>
        <w:t>19.2.</w:t>
      </w:r>
      <w:r w:rsidR="00EF2264" w:rsidRPr="00EF2264">
        <w:t xml:space="preserve"> That the Brazilian state ensure the availability of legal abortion services in as many municipalities and healthcare institutions as feasible, as a significant number of women are compelled to travel over 1000 kilometers to undergo the procedure. Leveraging Brazil's existing healthcare infrastructure and the wide reach of primary care networks presents an auspicious avenue for enhancing the accessibility of law-sanctioned abortion services.</w:t>
      </w:r>
    </w:p>
    <w:p w14:paraId="7A726209" w14:textId="77777777" w:rsidR="001B3F3B" w:rsidRDefault="001B3F3B" w:rsidP="0092055D">
      <w:pPr>
        <w:spacing w:after="0" w:line="312" w:lineRule="auto"/>
        <w:ind w:left="426" w:hanging="426"/>
        <w:jc w:val="both"/>
        <w:rPr>
          <w:b/>
        </w:rPr>
      </w:pPr>
    </w:p>
    <w:p w14:paraId="00000027" w14:textId="15E7D8BC" w:rsidR="009934F1" w:rsidRPr="00EF2264" w:rsidRDefault="00EF2264" w:rsidP="0092055D">
      <w:pPr>
        <w:spacing w:after="0" w:line="312" w:lineRule="auto"/>
        <w:ind w:left="426" w:hanging="426"/>
        <w:jc w:val="both"/>
        <w:rPr>
          <w:b/>
        </w:rPr>
      </w:pPr>
      <w:r w:rsidRPr="00EF2264">
        <w:rPr>
          <w:b/>
        </w:rPr>
        <w:t xml:space="preserve">Question 30 </w:t>
      </w:r>
      <w:r w:rsidR="001B3F3B">
        <w:rPr>
          <w:b/>
        </w:rPr>
        <w:t>–</w:t>
      </w:r>
      <w:r w:rsidRPr="00EF2264">
        <w:rPr>
          <w:b/>
        </w:rPr>
        <w:t xml:space="preserve"> Mental Health</w:t>
      </w:r>
    </w:p>
    <w:p w14:paraId="42D1506E" w14:textId="77777777" w:rsidR="001B3F3B" w:rsidRDefault="001B3F3B" w:rsidP="0092055D">
      <w:pPr>
        <w:pBdr>
          <w:top w:val="nil"/>
          <w:left w:val="nil"/>
          <w:bottom w:val="nil"/>
          <w:right w:val="nil"/>
          <w:between w:val="nil"/>
        </w:pBdr>
        <w:spacing w:after="0" w:line="312" w:lineRule="auto"/>
        <w:ind w:left="426" w:hanging="426"/>
        <w:jc w:val="both"/>
      </w:pPr>
    </w:p>
    <w:p w14:paraId="00000028" w14:textId="4EEB070E" w:rsidR="009934F1" w:rsidRPr="00EF2264" w:rsidRDefault="001B3F3B" w:rsidP="0092055D">
      <w:pPr>
        <w:pBdr>
          <w:top w:val="nil"/>
          <w:left w:val="nil"/>
          <w:bottom w:val="nil"/>
          <w:right w:val="nil"/>
          <w:between w:val="nil"/>
        </w:pBdr>
        <w:spacing w:after="0" w:line="312" w:lineRule="auto"/>
        <w:ind w:left="426" w:hanging="426"/>
        <w:jc w:val="both"/>
      </w:pPr>
      <w:r>
        <w:t xml:space="preserve">20. </w:t>
      </w:r>
      <w:r w:rsidR="00EF2264" w:rsidRPr="00EF2264">
        <w:t>Question 30 from the Committee centers on the Psychiatric Reform Act, seeking comprehensive information on the alignment of services introduced by the Act with the mental health exigencies within the State. This pertains specifically to factors encompassing availability, equitable access, economic feasibility, and the caliber of care, with special emphasis on segments such as children, youth, and individuals residing in marginalized and underserved regions. The inquiry further seeks an update on the progress made in implementing the measures unveiled in December 2017 aimed at enhancing mental health services within the public healthcare system, elucidating the extent to which they are congruous with the community-centered ethos of the Psychiatric Reform Act. Concluding, it solicits insights into the State's contemplation of expanding harm reduction services for individuals engaged in substance use and urges the provision of information detailing the steps taken to ensure that addiction treatment, inclusive of private sector provisions, is grounded in scientific principles and aligns with human rights precepts.</w:t>
      </w:r>
    </w:p>
    <w:p w14:paraId="00000029" w14:textId="2FC94909" w:rsidR="009934F1" w:rsidRPr="00EF2264" w:rsidRDefault="001B3F3B" w:rsidP="0092055D">
      <w:pPr>
        <w:pBdr>
          <w:top w:val="nil"/>
          <w:left w:val="nil"/>
          <w:bottom w:val="nil"/>
          <w:right w:val="nil"/>
          <w:between w:val="nil"/>
        </w:pBdr>
        <w:spacing w:after="0" w:line="312" w:lineRule="auto"/>
        <w:ind w:left="426" w:hanging="426"/>
        <w:jc w:val="both"/>
      </w:pPr>
      <w:r>
        <w:t xml:space="preserve">21. </w:t>
      </w:r>
      <w:r w:rsidR="00EF2264" w:rsidRPr="00EF2264">
        <w:t xml:space="preserve">The Brazilian State's response to the inquiry is deemed unsatisfactory, given its lack of substantive engagement with the posed questions. The State's communication outlines its response to the national public health emergency triggered by </w:t>
      </w:r>
      <w:r>
        <w:t>Covid</w:t>
      </w:r>
      <w:r w:rsidR="00EF2264" w:rsidRPr="00EF2264">
        <w:t xml:space="preserve">-19, wherein the Ministry of Health took the exceptional and temporary measure of allocating federal resources to implement support measures for the Psychosocial Care Network (RAPS) across 1,789 municipalities and federal districts. Additionally, the State states that it has taken steps to reinforce mental health services throughout the </w:t>
      </w:r>
      <w:r>
        <w:t>Covid</w:t>
      </w:r>
      <w:r w:rsidR="00EF2264" w:rsidRPr="00EF2264">
        <w:t xml:space="preserve">-19 pandemic. These measures include the initiation of a videoconference-based psychological care service targeting healthcare professionals at the forefront of the pandemic response; as of November 31,2021, this service has catered to 5,554 professionals. Furthermore, there has been augmented funding for the Psychosocial Care Network (RAPS) to address the exigencies arising from the global public health emergency posed by </w:t>
      </w:r>
      <w:r>
        <w:t>Covid</w:t>
      </w:r>
      <w:r w:rsidR="00EF2264" w:rsidRPr="00EF2264">
        <w:t>-19.</w:t>
      </w:r>
    </w:p>
    <w:p w14:paraId="0000002A" w14:textId="0801051C" w:rsidR="009934F1" w:rsidRPr="00EF2264" w:rsidRDefault="001B3F3B" w:rsidP="0092055D">
      <w:pPr>
        <w:pBdr>
          <w:top w:val="nil"/>
          <w:left w:val="nil"/>
          <w:bottom w:val="nil"/>
          <w:right w:val="nil"/>
          <w:between w:val="nil"/>
        </w:pBdr>
        <w:spacing w:after="0" w:line="312" w:lineRule="auto"/>
        <w:ind w:left="426" w:hanging="426"/>
        <w:jc w:val="both"/>
      </w:pPr>
      <w:r>
        <w:t xml:space="preserve">22. </w:t>
      </w:r>
      <w:r w:rsidR="00EF2264" w:rsidRPr="00EF2264">
        <w:t>As articulated by Sérgio Tamai, the Secretary-Director of the Brazilian Association of Psychiatry, in his address to the Chamber of Deputies on April 25, 2022</w:t>
      </w:r>
      <w:r w:rsidR="00935551" w:rsidRPr="00EF2264">
        <w:rPr>
          <w:rStyle w:val="FootnoteReference"/>
        </w:rPr>
        <w:footnoteReference w:id="10"/>
      </w:r>
      <w:r w:rsidR="00EF2264" w:rsidRPr="00EF2264">
        <w:t xml:space="preserve">, a significant </w:t>
      </w:r>
      <w:r w:rsidR="00EF2264" w:rsidRPr="00EF2264">
        <w:lastRenderedPageBreak/>
        <w:t>obstacle to the lasting and impactful consolidation of the psychiatric reform lies in the persisting insufficiencies within the care network for individuals with mental health conditions. These deficiencies are evident in both the Unified Health System (SUS) and the private healthcare system.</w:t>
      </w:r>
    </w:p>
    <w:p w14:paraId="0000002B" w14:textId="3BDA358B" w:rsidR="009934F1" w:rsidRPr="00EF2264" w:rsidRDefault="001B3F3B" w:rsidP="0092055D">
      <w:pPr>
        <w:pBdr>
          <w:top w:val="nil"/>
          <w:left w:val="nil"/>
          <w:bottom w:val="nil"/>
          <w:right w:val="nil"/>
          <w:between w:val="nil"/>
        </w:pBdr>
        <w:spacing w:after="0" w:line="312" w:lineRule="auto"/>
        <w:ind w:left="426" w:hanging="426"/>
        <w:jc w:val="both"/>
      </w:pPr>
      <w:r>
        <w:t xml:space="preserve">23. </w:t>
      </w:r>
      <w:r w:rsidR="00EF2264" w:rsidRPr="00EF2264">
        <w:t>It is of significance to highlight that in the year 2020, on July 24th, the National Drug Policy Council issued Resolution No. 3. The primary objective of this resolution was to permit and establish regulations for the admission of adolescents with drug addiction into therapeutic communities. However, this resolution suffered from substantial deficiencies and ran afoul of the regulations safeguarding the rights of children and adolescents as outlined in both the Federal Constitution and the Statute of the Child and Adolescent. Notably, the Union lacked oversight over the quantity of adolescents accommodated within these therapeutic communities, which posed a significant infringement on their rights.</w:t>
      </w:r>
    </w:p>
    <w:p w14:paraId="0000002C" w14:textId="2B9C529E" w:rsidR="009934F1" w:rsidRPr="00EF2264" w:rsidRDefault="001B3F3B" w:rsidP="0092055D">
      <w:pPr>
        <w:pBdr>
          <w:top w:val="nil"/>
          <w:left w:val="nil"/>
          <w:bottom w:val="nil"/>
          <w:right w:val="nil"/>
          <w:between w:val="nil"/>
        </w:pBdr>
        <w:spacing w:after="0" w:line="312" w:lineRule="auto"/>
        <w:ind w:left="426" w:hanging="426"/>
        <w:jc w:val="both"/>
      </w:pPr>
      <w:r>
        <w:t xml:space="preserve">24. </w:t>
      </w:r>
      <w:r w:rsidR="00EF2264" w:rsidRPr="00EF2264">
        <w:t>Regarding mental health, the most recent Mental Health Conference took place in 2010. This underscores a shortfall in efforts to enhance public policies directed at the provision of mental health care.</w:t>
      </w:r>
    </w:p>
    <w:p w14:paraId="357DBBEC" w14:textId="77777777" w:rsidR="001B3F3B" w:rsidRDefault="001B3F3B" w:rsidP="0092055D">
      <w:pPr>
        <w:pBdr>
          <w:top w:val="nil"/>
          <w:left w:val="nil"/>
          <w:bottom w:val="nil"/>
          <w:right w:val="nil"/>
          <w:between w:val="nil"/>
        </w:pBdr>
        <w:spacing w:after="0" w:line="312" w:lineRule="auto"/>
        <w:ind w:left="426" w:hanging="426"/>
        <w:jc w:val="both"/>
        <w:rPr>
          <w:b/>
          <w:u w:val="single"/>
        </w:rPr>
      </w:pPr>
    </w:p>
    <w:p w14:paraId="0000002D" w14:textId="3B5942B4" w:rsidR="009934F1" w:rsidRPr="00EF2264" w:rsidRDefault="001B3F3B" w:rsidP="0092055D">
      <w:pPr>
        <w:pBdr>
          <w:top w:val="nil"/>
          <w:left w:val="nil"/>
          <w:bottom w:val="nil"/>
          <w:right w:val="nil"/>
          <w:between w:val="nil"/>
        </w:pBdr>
        <w:spacing w:after="0" w:line="312" w:lineRule="auto"/>
        <w:ind w:left="426" w:hanging="426"/>
        <w:jc w:val="both"/>
        <w:rPr>
          <w:b/>
          <w:u w:val="single"/>
        </w:rPr>
      </w:pPr>
      <w:r>
        <w:rPr>
          <w:bCs/>
        </w:rPr>
        <w:t xml:space="preserve">25. </w:t>
      </w:r>
      <w:r w:rsidR="00EF2264" w:rsidRPr="00EF2264">
        <w:rPr>
          <w:b/>
          <w:u w:val="single"/>
        </w:rPr>
        <w:t>It is suggested that the Committee:</w:t>
      </w:r>
    </w:p>
    <w:p w14:paraId="0000002E" w14:textId="5AD2E8C5" w:rsidR="009934F1" w:rsidRPr="00EF2264" w:rsidRDefault="001B3F3B" w:rsidP="0092055D">
      <w:pPr>
        <w:spacing w:after="0" w:line="312" w:lineRule="auto"/>
        <w:ind w:left="426" w:hanging="426"/>
        <w:jc w:val="both"/>
      </w:pPr>
      <w:r>
        <w:t>25.1.</w:t>
      </w:r>
      <w:r w:rsidR="00EF2264" w:rsidRPr="00EF2264">
        <w:t xml:space="preserve"> Inquire of the state regarding the "Guidelines for a Comprehensive Mental Health Care Model in Brazil," promulgated by the Ministry of Health. As per the assessment of the National Health Council, these guidelines embody regressions linked to a centralized and hospital-centered psychiatric biomedical model. This stance diverges from the tenets of the Psychiatric Reform, the Psychosocial Care Model, and Deinstitutionalization. Such an approach carries the potential for regressive tendencies and the "modernization" of erstwhile institutions and practices. These developments pose a challenge to human dignity, human rights, and the provision of care within the realm of mental health and psychosocial support.</w:t>
      </w:r>
    </w:p>
    <w:p w14:paraId="0000002F" w14:textId="307E6C33" w:rsidR="009934F1" w:rsidRPr="00EF2264" w:rsidRDefault="001B3F3B" w:rsidP="0092055D">
      <w:pPr>
        <w:pBdr>
          <w:top w:val="nil"/>
          <w:left w:val="nil"/>
          <w:bottom w:val="nil"/>
          <w:right w:val="nil"/>
          <w:between w:val="nil"/>
        </w:pBdr>
        <w:spacing w:after="0" w:line="312" w:lineRule="auto"/>
        <w:ind w:left="426" w:hanging="426"/>
        <w:jc w:val="both"/>
      </w:pPr>
      <w:r>
        <w:t xml:space="preserve">25.2. </w:t>
      </w:r>
      <w:r w:rsidR="00EF2264" w:rsidRPr="00EF2264">
        <w:t>Recommend that the Brazilian state undertake a comprehensive study to examine the principal modifications introduced to the Psychiatric Reform vis-à-vis its antecedent norm, elucidating the rationale behind their incorporation. Furthermore, request the presentation of details regarding the procedural aspects pertaining to the execution of said Policy, encompassing the primary initiatives undertaken within its ambit. Additionally, encourage the provision of insights into the challenges necessitating its recalibration, along with a current assessment of its status (operative, concluded, paused, restructured, or replaced). In tandem, seek an exposition of the outcomes realized vis-à-vis the stipulated objectives and aspirations of the aforementioned Policy. Lastly, solicit access to present-day metrics and historical datasets delineating the resultant transformations.</w:t>
      </w:r>
    </w:p>
    <w:p w14:paraId="00000030" w14:textId="44E56BC7" w:rsidR="009934F1" w:rsidRDefault="001B3F3B" w:rsidP="0092055D">
      <w:pPr>
        <w:pBdr>
          <w:top w:val="nil"/>
          <w:left w:val="nil"/>
          <w:bottom w:val="nil"/>
          <w:right w:val="nil"/>
          <w:between w:val="nil"/>
        </w:pBdr>
        <w:spacing w:after="0" w:line="312" w:lineRule="auto"/>
        <w:ind w:left="426" w:hanging="426"/>
        <w:jc w:val="both"/>
      </w:pPr>
      <w:r>
        <w:lastRenderedPageBreak/>
        <w:t>25.3.</w:t>
      </w:r>
      <w:r w:rsidR="00EF2264" w:rsidRPr="00EF2264">
        <w:t xml:space="preserve"> Recommend that the Brazilian state uphold the established quadrennial frequency for convening the National Mental Health Conference. These gatherings play a pivotal role in shaping state policies related to mental health, alcohol, and other substances. Furthermore, they provide guidance to governmental policies across all tiers of the federation within the context of a decentralized and interconnected healthcare system.</w:t>
      </w:r>
    </w:p>
    <w:p w14:paraId="43305ED3" w14:textId="77777777" w:rsidR="00335DA5" w:rsidRDefault="00335DA5" w:rsidP="0092055D">
      <w:pPr>
        <w:pBdr>
          <w:top w:val="nil"/>
          <w:left w:val="nil"/>
          <w:bottom w:val="nil"/>
          <w:right w:val="nil"/>
          <w:between w:val="nil"/>
        </w:pBdr>
        <w:spacing w:after="0" w:line="312" w:lineRule="auto"/>
        <w:ind w:left="426" w:hanging="426"/>
        <w:jc w:val="both"/>
      </w:pPr>
    </w:p>
    <w:p w14:paraId="2E658334" w14:textId="0DAD9005" w:rsidR="00335DA5" w:rsidRDefault="00335DA5" w:rsidP="0092055D">
      <w:pPr>
        <w:pBdr>
          <w:top w:val="nil"/>
          <w:left w:val="nil"/>
          <w:bottom w:val="nil"/>
          <w:right w:val="nil"/>
          <w:between w:val="nil"/>
        </w:pBdr>
        <w:spacing w:after="0" w:line="312" w:lineRule="auto"/>
        <w:ind w:left="425" w:hanging="425"/>
        <w:jc w:val="right"/>
        <w:rPr>
          <w:lang w:val="pt-BR"/>
        </w:rPr>
      </w:pPr>
      <w:r w:rsidRPr="00335DA5">
        <w:rPr>
          <w:lang w:val="pt-BR"/>
        </w:rPr>
        <w:t>Passo Fundo, RS, Brasil, 28 de a</w:t>
      </w:r>
      <w:r>
        <w:rPr>
          <w:lang w:val="pt-BR"/>
        </w:rPr>
        <w:t>gosto de 2023.</w:t>
      </w:r>
    </w:p>
    <w:p w14:paraId="40047603" w14:textId="77777777" w:rsidR="00335DA5" w:rsidRDefault="00335DA5" w:rsidP="0092055D">
      <w:pPr>
        <w:pBdr>
          <w:top w:val="nil"/>
          <w:left w:val="nil"/>
          <w:bottom w:val="nil"/>
          <w:right w:val="nil"/>
          <w:between w:val="nil"/>
        </w:pBdr>
        <w:spacing w:after="0" w:line="312" w:lineRule="auto"/>
        <w:ind w:left="425" w:hanging="425"/>
        <w:jc w:val="right"/>
        <w:rPr>
          <w:lang w:val="pt-BR"/>
        </w:rPr>
      </w:pPr>
    </w:p>
    <w:p w14:paraId="37BEB394" w14:textId="77777777" w:rsidR="00E74039" w:rsidRDefault="00E74039" w:rsidP="0092055D">
      <w:pPr>
        <w:pBdr>
          <w:top w:val="nil"/>
          <w:left w:val="nil"/>
          <w:bottom w:val="nil"/>
          <w:right w:val="nil"/>
          <w:between w:val="nil"/>
        </w:pBdr>
        <w:spacing w:after="0" w:line="312" w:lineRule="auto"/>
        <w:ind w:left="425" w:hanging="425"/>
        <w:jc w:val="right"/>
        <w:rPr>
          <w:lang w:val="pt-BR"/>
        </w:rPr>
      </w:pPr>
    </w:p>
    <w:p w14:paraId="43FA6244" w14:textId="77777777" w:rsidR="00E74039" w:rsidRDefault="00E74039" w:rsidP="0092055D">
      <w:pPr>
        <w:pBdr>
          <w:top w:val="nil"/>
          <w:left w:val="nil"/>
          <w:bottom w:val="nil"/>
          <w:right w:val="nil"/>
          <w:between w:val="nil"/>
        </w:pBdr>
        <w:spacing w:after="0" w:line="312" w:lineRule="auto"/>
        <w:ind w:left="425" w:hanging="425"/>
        <w:jc w:val="right"/>
        <w:rPr>
          <w:lang w:val="pt-BR"/>
        </w:rPr>
      </w:pPr>
    </w:p>
    <w:p w14:paraId="7FA12D00" w14:textId="1C7EA62A" w:rsidR="00335DA5" w:rsidRDefault="00335DA5" w:rsidP="0092055D">
      <w:pPr>
        <w:pBdr>
          <w:top w:val="nil"/>
          <w:left w:val="nil"/>
          <w:bottom w:val="nil"/>
          <w:right w:val="nil"/>
          <w:between w:val="nil"/>
        </w:pBdr>
        <w:spacing w:after="0" w:line="312" w:lineRule="auto"/>
        <w:ind w:left="425" w:hanging="425"/>
        <w:jc w:val="right"/>
        <w:rPr>
          <w:lang w:val="pt-BR"/>
        </w:rPr>
      </w:pPr>
      <w:r>
        <w:rPr>
          <w:lang w:val="pt-BR"/>
        </w:rPr>
        <w:t>CENTRO DE EDUCAÇÃO E ASSESSORAMENTO POPULAR – CEAP</w:t>
      </w:r>
    </w:p>
    <w:p w14:paraId="6A9795FD" w14:textId="77777777" w:rsidR="001B3F3B" w:rsidRDefault="001B3F3B" w:rsidP="0092055D">
      <w:pPr>
        <w:pBdr>
          <w:top w:val="nil"/>
          <w:left w:val="nil"/>
          <w:bottom w:val="nil"/>
          <w:right w:val="nil"/>
          <w:between w:val="nil"/>
        </w:pBdr>
        <w:spacing w:after="0" w:line="312" w:lineRule="auto"/>
        <w:ind w:left="425" w:hanging="425"/>
        <w:jc w:val="right"/>
        <w:rPr>
          <w:lang w:val="pt-BR"/>
        </w:rPr>
      </w:pPr>
    </w:p>
    <w:p w14:paraId="4B96FFA7" w14:textId="6D42479B" w:rsidR="001B3F3B" w:rsidRDefault="00E74039" w:rsidP="0092055D">
      <w:pPr>
        <w:pBdr>
          <w:top w:val="nil"/>
          <w:left w:val="nil"/>
          <w:bottom w:val="nil"/>
          <w:right w:val="nil"/>
          <w:between w:val="nil"/>
        </w:pBdr>
        <w:spacing w:after="0" w:line="312" w:lineRule="auto"/>
        <w:ind w:left="425" w:hanging="425"/>
        <w:jc w:val="right"/>
        <w:rPr>
          <w:lang w:val="pt-BR"/>
        </w:rPr>
      </w:pPr>
      <w:r>
        <w:rPr>
          <w:lang w:val="pt-BR"/>
        </w:rPr>
        <w:t>Support</w:t>
      </w:r>
    </w:p>
    <w:p w14:paraId="06E77519" w14:textId="77777777" w:rsidR="00E74039" w:rsidRDefault="00E74039" w:rsidP="0092055D">
      <w:pPr>
        <w:pBdr>
          <w:top w:val="nil"/>
          <w:left w:val="nil"/>
          <w:bottom w:val="nil"/>
          <w:right w:val="nil"/>
          <w:between w:val="nil"/>
        </w:pBdr>
        <w:spacing w:after="0" w:line="312" w:lineRule="auto"/>
        <w:ind w:left="425" w:hanging="425"/>
        <w:jc w:val="right"/>
        <w:rPr>
          <w:lang w:val="pt-BR"/>
        </w:rPr>
      </w:pPr>
    </w:p>
    <w:p w14:paraId="2B83238D" w14:textId="77777777" w:rsidR="00E74039" w:rsidRPr="00E74039" w:rsidRDefault="00E74039" w:rsidP="0092055D">
      <w:pPr>
        <w:pBdr>
          <w:top w:val="nil"/>
          <w:left w:val="nil"/>
          <w:bottom w:val="nil"/>
          <w:right w:val="nil"/>
          <w:between w:val="nil"/>
        </w:pBdr>
        <w:spacing w:after="0" w:line="312" w:lineRule="auto"/>
        <w:ind w:left="425" w:hanging="425"/>
        <w:jc w:val="right"/>
        <w:rPr>
          <w:lang w:val="pt-BR"/>
        </w:rPr>
      </w:pPr>
      <w:r w:rsidRPr="00E74039">
        <w:rPr>
          <w:lang w:val="pt-BR"/>
        </w:rPr>
        <w:t>Articulação para o Monitoramento dos Direitos Humanos no Brasil – AMDH</w:t>
      </w:r>
    </w:p>
    <w:p w14:paraId="60F7A7DF" w14:textId="77777777" w:rsidR="00E74039" w:rsidRPr="00E74039" w:rsidRDefault="00E74039" w:rsidP="0092055D">
      <w:pPr>
        <w:pBdr>
          <w:top w:val="nil"/>
          <w:left w:val="nil"/>
          <w:bottom w:val="nil"/>
          <w:right w:val="nil"/>
          <w:between w:val="nil"/>
        </w:pBdr>
        <w:spacing w:after="0" w:line="312" w:lineRule="auto"/>
        <w:ind w:left="425" w:hanging="425"/>
        <w:jc w:val="right"/>
        <w:rPr>
          <w:lang w:val="pt-BR"/>
        </w:rPr>
      </w:pPr>
      <w:r w:rsidRPr="00E74039">
        <w:rPr>
          <w:lang w:val="pt-BR"/>
        </w:rPr>
        <w:t>Comissão de Direitos Humanos de Passo Fundo – CDHPF</w:t>
      </w:r>
    </w:p>
    <w:p w14:paraId="17EFF313" w14:textId="77777777" w:rsidR="00E74039" w:rsidRPr="00E74039" w:rsidRDefault="00E74039" w:rsidP="0092055D">
      <w:pPr>
        <w:pStyle w:val="Default"/>
        <w:spacing w:line="312" w:lineRule="auto"/>
        <w:ind w:left="425" w:hanging="425"/>
        <w:jc w:val="right"/>
        <w:rPr>
          <w:color w:val="auto"/>
        </w:rPr>
      </w:pPr>
      <w:r w:rsidRPr="00E74039">
        <w:rPr>
          <w:color w:val="auto"/>
        </w:rPr>
        <w:t>Fórum Nacional de Luta pelo Direito Humano à Saúde – Fórum DH Saúde</w:t>
      </w:r>
    </w:p>
    <w:p w14:paraId="6B4CEA4E" w14:textId="77777777" w:rsidR="00E74039" w:rsidRPr="00E74039" w:rsidRDefault="00E74039" w:rsidP="0092055D">
      <w:pPr>
        <w:pStyle w:val="Default"/>
        <w:spacing w:line="312" w:lineRule="auto"/>
        <w:ind w:left="425" w:hanging="425"/>
        <w:jc w:val="right"/>
        <w:rPr>
          <w:color w:val="auto"/>
        </w:rPr>
      </w:pPr>
      <w:r w:rsidRPr="00E74039">
        <w:rPr>
          <w:color w:val="auto"/>
        </w:rPr>
        <w:t xml:space="preserve">Movimento Nacional de Direitos Humanos – MNDH  </w:t>
      </w:r>
    </w:p>
    <w:p w14:paraId="66D9D735" w14:textId="02060E54" w:rsidR="00335DA5" w:rsidRPr="00335DA5" w:rsidRDefault="00335DA5" w:rsidP="0092055D">
      <w:pPr>
        <w:pBdr>
          <w:top w:val="nil"/>
          <w:left w:val="nil"/>
          <w:bottom w:val="nil"/>
          <w:right w:val="nil"/>
          <w:between w:val="nil"/>
        </w:pBdr>
        <w:spacing w:after="0" w:line="312" w:lineRule="auto"/>
        <w:ind w:left="426" w:hanging="426"/>
        <w:jc w:val="both"/>
        <w:rPr>
          <w:b/>
          <w:lang w:val="pt-BR"/>
        </w:rPr>
      </w:pPr>
    </w:p>
    <w:sectPr w:rsidR="00335DA5" w:rsidRPr="00335DA5" w:rsidSect="001B3F3B">
      <w:headerReference w:type="default" r:id="rId7"/>
      <w:pgSz w:w="11906" w:h="16838"/>
      <w:pgMar w:top="1417" w:right="1133" w:bottom="1135"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A96AF8" w14:textId="77777777" w:rsidR="00106B91" w:rsidRDefault="00106B91" w:rsidP="000C089F">
      <w:pPr>
        <w:spacing w:after="0" w:line="240" w:lineRule="auto"/>
      </w:pPr>
      <w:r>
        <w:separator/>
      </w:r>
    </w:p>
  </w:endnote>
  <w:endnote w:type="continuationSeparator" w:id="0">
    <w:p w14:paraId="308A67BA" w14:textId="77777777" w:rsidR="00106B91" w:rsidRDefault="00106B91" w:rsidP="000C08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AF5F47" w14:textId="77777777" w:rsidR="00106B91" w:rsidRDefault="00106B91" w:rsidP="000C089F">
      <w:pPr>
        <w:spacing w:after="0" w:line="240" w:lineRule="auto"/>
      </w:pPr>
      <w:r>
        <w:separator/>
      </w:r>
    </w:p>
  </w:footnote>
  <w:footnote w:type="continuationSeparator" w:id="0">
    <w:p w14:paraId="4A2EDD8D" w14:textId="77777777" w:rsidR="00106B91" w:rsidRDefault="00106B91" w:rsidP="000C089F">
      <w:pPr>
        <w:spacing w:after="0" w:line="240" w:lineRule="auto"/>
      </w:pPr>
      <w:r>
        <w:continuationSeparator/>
      </w:r>
    </w:p>
  </w:footnote>
  <w:footnote w:id="1">
    <w:p w14:paraId="38926F64" w14:textId="02EFD4B2" w:rsidR="000C089F" w:rsidRPr="0092055D" w:rsidRDefault="000C089F" w:rsidP="001B3F3B">
      <w:pPr>
        <w:pStyle w:val="FootnoteText"/>
        <w:ind w:left="142" w:hanging="142"/>
        <w:rPr>
          <w:sz w:val="18"/>
          <w:szCs w:val="18"/>
          <w:lang w:val="it-IT"/>
        </w:rPr>
      </w:pPr>
      <w:r w:rsidRPr="001B3F3B">
        <w:rPr>
          <w:rStyle w:val="FootnoteReference"/>
          <w:sz w:val="18"/>
          <w:szCs w:val="18"/>
        </w:rPr>
        <w:footnoteRef/>
      </w:r>
      <w:r w:rsidRPr="0092055D">
        <w:rPr>
          <w:sz w:val="18"/>
          <w:szCs w:val="18"/>
          <w:lang w:val="it-IT"/>
        </w:rPr>
        <w:t xml:space="preserve"> Document E/C12/BRA/Q/3. </w:t>
      </w:r>
      <w:r w:rsidR="001B3F3B" w:rsidRPr="0092055D">
        <w:rPr>
          <w:sz w:val="18"/>
          <w:szCs w:val="18"/>
          <w:lang w:val="it-IT"/>
        </w:rPr>
        <w:t>Available in</w:t>
      </w:r>
      <w:r w:rsidRPr="0092055D">
        <w:rPr>
          <w:sz w:val="18"/>
          <w:szCs w:val="18"/>
          <w:lang w:val="it-IT"/>
        </w:rPr>
        <w:t xml:space="preserve"> </w:t>
      </w:r>
      <w:hyperlink r:id="rId1">
        <w:r w:rsidRPr="0092055D">
          <w:rPr>
            <w:sz w:val="18"/>
            <w:szCs w:val="18"/>
            <w:u w:val="single"/>
            <w:lang w:val="it-IT"/>
          </w:rPr>
          <w:t>https://tbinternet.ohchr.org/_layouts/15/treatybodyexternal/Download.aspx?symbolno=E%2FC.12%2FBRA%2FQ%2F3&amp;Lang=en</w:t>
        </w:r>
      </w:hyperlink>
    </w:p>
  </w:footnote>
  <w:footnote w:id="2">
    <w:p w14:paraId="4F225F6E" w14:textId="09640C49" w:rsidR="000C089F" w:rsidRPr="0092055D" w:rsidRDefault="000C089F" w:rsidP="001B3F3B">
      <w:pPr>
        <w:pStyle w:val="FootnoteText"/>
        <w:ind w:left="142" w:hanging="142"/>
        <w:rPr>
          <w:sz w:val="18"/>
          <w:szCs w:val="18"/>
          <w:lang w:val="it-IT"/>
        </w:rPr>
      </w:pPr>
      <w:r w:rsidRPr="001B3F3B">
        <w:rPr>
          <w:rStyle w:val="FootnoteReference"/>
          <w:sz w:val="18"/>
          <w:szCs w:val="18"/>
        </w:rPr>
        <w:footnoteRef/>
      </w:r>
      <w:r w:rsidRPr="0092055D">
        <w:rPr>
          <w:sz w:val="18"/>
          <w:szCs w:val="18"/>
          <w:lang w:val="it-IT"/>
        </w:rPr>
        <w:t xml:space="preserve"> Document E/C.12/BRA/RQ/3. </w:t>
      </w:r>
      <w:r w:rsidR="001B3F3B" w:rsidRPr="0092055D">
        <w:rPr>
          <w:sz w:val="18"/>
          <w:szCs w:val="18"/>
          <w:lang w:val="it-IT"/>
        </w:rPr>
        <w:t>Available in</w:t>
      </w:r>
      <w:r w:rsidRPr="0092055D">
        <w:rPr>
          <w:sz w:val="18"/>
          <w:szCs w:val="18"/>
          <w:lang w:val="it-IT"/>
        </w:rPr>
        <w:t xml:space="preserve"> </w:t>
      </w:r>
      <w:hyperlink r:id="rId2">
        <w:r w:rsidRPr="0092055D">
          <w:rPr>
            <w:sz w:val="18"/>
            <w:szCs w:val="18"/>
            <w:u w:val="single"/>
            <w:lang w:val="it-IT"/>
          </w:rPr>
          <w:t>https://tbinternet.ohchr.org/_layouts/15/treatybodyexternal/Download.aspx?symbolno=E%2FC.12%2FBRA%2FRQ%2F3&amp;Lang=en</w:t>
        </w:r>
      </w:hyperlink>
    </w:p>
  </w:footnote>
  <w:footnote w:id="3">
    <w:p w14:paraId="5BF3857E" w14:textId="412083E8" w:rsidR="000C089F" w:rsidRPr="001B3F3B" w:rsidRDefault="000C089F" w:rsidP="001B3F3B">
      <w:pPr>
        <w:spacing w:after="0" w:line="240" w:lineRule="auto"/>
        <w:ind w:left="142" w:hanging="142"/>
        <w:rPr>
          <w:sz w:val="18"/>
          <w:szCs w:val="18"/>
        </w:rPr>
      </w:pPr>
      <w:r w:rsidRPr="001B3F3B">
        <w:rPr>
          <w:rStyle w:val="FootnoteReference"/>
          <w:sz w:val="18"/>
          <w:szCs w:val="18"/>
        </w:rPr>
        <w:footnoteRef/>
      </w:r>
      <w:r w:rsidR="001B3F3B" w:rsidRPr="001B3F3B">
        <w:rPr>
          <w:sz w:val="18"/>
          <w:szCs w:val="18"/>
        </w:rPr>
        <w:t xml:space="preserve">See </w:t>
      </w:r>
      <w:hyperlink r:id="rId3" w:history="1">
        <w:r w:rsidR="001B3F3B" w:rsidRPr="001B3F3B">
          <w:rPr>
            <w:rStyle w:val="Hyperlink"/>
            <w:color w:val="auto"/>
            <w:sz w:val="18"/>
            <w:szCs w:val="18"/>
          </w:rPr>
          <w:t>www.cnm.org.br/cms/biblioteca/Mudan%C3%A7as%20no%20Financiamento%20da%20Sa%C3%BAde.pdf</w:t>
        </w:r>
      </w:hyperlink>
    </w:p>
  </w:footnote>
  <w:footnote w:id="4">
    <w:p w14:paraId="5DBB5B45" w14:textId="68307367" w:rsidR="001B3F3B" w:rsidRPr="001B3F3B" w:rsidRDefault="001B3F3B" w:rsidP="001B3F3B">
      <w:pPr>
        <w:pStyle w:val="FootnoteText"/>
        <w:rPr>
          <w:sz w:val="18"/>
          <w:szCs w:val="18"/>
        </w:rPr>
      </w:pPr>
      <w:r w:rsidRPr="001B3F3B">
        <w:rPr>
          <w:rStyle w:val="FootnoteReference"/>
          <w:sz w:val="18"/>
          <w:szCs w:val="18"/>
        </w:rPr>
        <w:footnoteRef/>
      </w:r>
      <w:r w:rsidRPr="001B3F3B">
        <w:rPr>
          <w:sz w:val="18"/>
          <w:szCs w:val="18"/>
        </w:rPr>
        <w:t xml:space="preserve"> The accurate link to the document indicated by Brazil is as follows: </w:t>
      </w:r>
      <w:hyperlink r:id="rId4" w:history="1">
        <w:r w:rsidRPr="001B3F3B">
          <w:rPr>
            <w:rStyle w:val="Hyperlink"/>
            <w:color w:val="auto"/>
            <w:sz w:val="18"/>
            <w:szCs w:val="18"/>
          </w:rPr>
          <w:t>www.conasems.org.br/wp-content/uploads/2018/08/Mudan%C3%A7as-no-Financiamento-da-Sa%C3%BAde.pdf</w:t>
        </w:r>
      </w:hyperlink>
      <w:r w:rsidRPr="001B3F3B">
        <w:rPr>
          <w:sz w:val="18"/>
          <w:szCs w:val="18"/>
          <w:u w:val="single"/>
        </w:rPr>
        <w:t xml:space="preserve"> </w:t>
      </w:r>
    </w:p>
  </w:footnote>
  <w:footnote w:id="5">
    <w:p w14:paraId="6F17AB9F" w14:textId="362989BF" w:rsidR="00935551" w:rsidRPr="001B3F3B" w:rsidRDefault="00935551" w:rsidP="001B3F3B">
      <w:pPr>
        <w:pStyle w:val="FootnoteText"/>
        <w:ind w:left="142" w:hanging="142"/>
        <w:rPr>
          <w:sz w:val="18"/>
          <w:szCs w:val="18"/>
        </w:rPr>
      </w:pPr>
      <w:r w:rsidRPr="001B3F3B">
        <w:rPr>
          <w:rStyle w:val="FootnoteReference"/>
          <w:sz w:val="18"/>
          <w:szCs w:val="18"/>
        </w:rPr>
        <w:footnoteRef/>
      </w:r>
      <w:r w:rsidRPr="001B3F3B">
        <w:rPr>
          <w:sz w:val="18"/>
          <w:szCs w:val="18"/>
        </w:rPr>
        <w:t xml:space="preserve"> </w:t>
      </w:r>
      <w:r w:rsidR="001B3F3B" w:rsidRPr="001B3F3B">
        <w:rPr>
          <w:sz w:val="18"/>
          <w:szCs w:val="18"/>
        </w:rPr>
        <w:t xml:space="preserve">See </w:t>
      </w:r>
      <w:hyperlink r:id="rId5" w:history="1">
        <w:r w:rsidR="001B3F3B" w:rsidRPr="001B3F3B">
          <w:rPr>
            <w:rStyle w:val="Hyperlink"/>
            <w:color w:val="auto"/>
            <w:sz w:val="18"/>
            <w:szCs w:val="18"/>
          </w:rPr>
          <w:t>www.camara.leg.br/noticias/748432-debatedores-pedem-prioridade-para-a-vacinacao-de-indigenas-que-vivem-em-areas-urbanas/</w:t>
        </w:r>
      </w:hyperlink>
    </w:p>
  </w:footnote>
  <w:footnote w:id="6">
    <w:p w14:paraId="3F3FE7D5" w14:textId="4BE9DBAA" w:rsidR="00935551" w:rsidRPr="001B3F3B" w:rsidRDefault="00935551" w:rsidP="001B3F3B">
      <w:pPr>
        <w:pStyle w:val="FootnoteText"/>
        <w:ind w:left="142" w:hanging="142"/>
        <w:rPr>
          <w:sz w:val="18"/>
          <w:szCs w:val="18"/>
          <w:lang w:val="pt-BR"/>
        </w:rPr>
      </w:pPr>
      <w:r w:rsidRPr="001B3F3B">
        <w:rPr>
          <w:rStyle w:val="FootnoteReference"/>
          <w:sz w:val="18"/>
          <w:szCs w:val="18"/>
        </w:rPr>
        <w:footnoteRef/>
      </w:r>
      <w:r w:rsidRPr="001B3F3B">
        <w:rPr>
          <w:sz w:val="18"/>
          <w:szCs w:val="18"/>
          <w:lang w:val="pt-BR"/>
        </w:rPr>
        <w:t xml:space="preserve"> Brasil. Presidência da República. Casa Civil. Decreto-Lei n. 2.848, de 7 de dezembro de 1940. Código Penal. Diário Oficial da União 1940; 31 dez.</w:t>
      </w:r>
    </w:p>
  </w:footnote>
  <w:footnote w:id="7">
    <w:p w14:paraId="6BF7F599" w14:textId="3804A5BB" w:rsidR="00935551" w:rsidRPr="001B3F3B" w:rsidRDefault="00935551" w:rsidP="001B3F3B">
      <w:pPr>
        <w:pStyle w:val="FootnoteText"/>
        <w:ind w:left="142" w:hanging="142"/>
        <w:rPr>
          <w:sz w:val="18"/>
          <w:szCs w:val="18"/>
          <w:lang w:val="pt-BR"/>
        </w:rPr>
      </w:pPr>
      <w:r w:rsidRPr="001B3F3B">
        <w:rPr>
          <w:rStyle w:val="FootnoteReference"/>
          <w:sz w:val="18"/>
          <w:szCs w:val="18"/>
        </w:rPr>
        <w:footnoteRef/>
      </w:r>
      <w:r w:rsidRPr="001B3F3B">
        <w:rPr>
          <w:sz w:val="18"/>
          <w:szCs w:val="18"/>
          <w:lang w:val="pt-BR"/>
        </w:rPr>
        <w:t xml:space="preserve"> Brasil. Ministério da Saúde (MS). Secretaria de Políticas de Saúde. Prevenção e tratamento dos agravos resultantes da violência sexual contra mulheres e adolescentes: norma técnica. Brasília: MS; 1999.</w:t>
      </w:r>
    </w:p>
  </w:footnote>
  <w:footnote w:id="8">
    <w:p w14:paraId="07BAE3EF" w14:textId="7364842E" w:rsidR="00935551" w:rsidRPr="001B3F3B" w:rsidRDefault="00935551" w:rsidP="001B3F3B">
      <w:pPr>
        <w:pStyle w:val="FootnoteText"/>
        <w:ind w:left="142" w:hanging="142"/>
        <w:rPr>
          <w:sz w:val="18"/>
          <w:szCs w:val="18"/>
          <w:lang w:val="pt-BR"/>
        </w:rPr>
      </w:pPr>
      <w:r w:rsidRPr="001B3F3B">
        <w:rPr>
          <w:rStyle w:val="FootnoteReference"/>
          <w:sz w:val="18"/>
          <w:szCs w:val="18"/>
        </w:rPr>
        <w:footnoteRef/>
      </w:r>
      <w:r w:rsidRPr="001B3F3B">
        <w:rPr>
          <w:sz w:val="18"/>
          <w:szCs w:val="18"/>
          <w:lang w:val="pt-BR"/>
        </w:rPr>
        <w:t xml:space="preserve"> Brasil. Ministério da Saúde (MS). Secretaria de Atenção à Saúde. Departamento de Ações Programáticas Estratégicas. </w:t>
      </w:r>
      <w:r w:rsidRPr="001B3F3B">
        <w:rPr>
          <w:i/>
          <w:sz w:val="18"/>
          <w:szCs w:val="18"/>
          <w:lang w:val="pt-BR"/>
        </w:rPr>
        <w:t>Atenção humanizada ao abortamento: norma técnica</w:t>
      </w:r>
      <w:r w:rsidRPr="001B3F3B">
        <w:rPr>
          <w:sz w:val="18"/>
          <w:szCs w:val="18"/>
          <w:lang w:val="pt-BR"/>
        </w:rPr>
        <w:t> Brasília: MS; 2005.</w:t>
      </w:r>
    </w:p>
  </w:footnote>
  <w:footnote w:id="9">
    <w:p w14:paraId="52B40537" w14:textId="77777777" w:rsidR="00935551" w:rsidRPr="001B3F3B" w:rsidRDefault="00935551" w:rsidP="001B3F3B">
      <w:pPr>
        <w:pBdr>
          <w:top w:val="nil"/>
          <w:left w:val="nil"/>
          <w:bottom w:val="nil"/>
          <w:right w:val="nil"/>
          <w:between w:val="nil"/>
        </w:pBdr>
        <w:spacing w:after="0" w:line="240" w:lineRule="auto"/>
        <w:ind w:left="142" w:hanging="142"/>
        <w:rPr>
          <w:sz w:val="18"/>
          <w:szCs w:val="18"/>
          <w:lang w:val="pt-BR"/>
        </w:rPr>
      </w:pPr>
      <w:r w:rsidRPr="001B3F3B">
        <w:rPr>
          <w:rStyle w:val="FootnoteReference"/>
          <w:sz w:val="18"/>
          <w:szCs w:val="18"/>
        </w:rPr>
        <w:footnoteRef/>
      </w:r>
      <w:r w:rsidRPr="001B3F3B">
        <w:rPr>
          <w:sz w:val="18"/>
          <w:szCs w:val="18"/>
          <w:lang w:val="pt-BR"/>
        </w:rPr>
        <w:t xml:space="preserve"> Brasil. Ministério da Saúde (MS). Secretaria de Atenção à Saúde. Departamento de Ações Programáticas Estratégicas. Área Técnica de Saúde da Mulher. Prevenção e tratamento dos agravos resultantes da violência sexual contra mulheres e adolescentes: norma técnica 3ª ed. atual. </w:t>
      </w:r>
      <w:r w:rsidRPr="001B3F3B">
        <w:rPr>
          <w:sz w:val="18"/>
          <w:szCs w:val="18"/>
          <w:lang w:val="pt-BR"/>
        </w:rPr>
        <w:t>e ampl. Brasília: MS; 2011.</w:t>
      </w:r>
    </w:p>
    <w:p w14:paraId="595B50DA" w14:textId="5F38F209" w:rsidR="00935551" w:rsidRPr="001B3F3B" w:rsidRDefault="00935551" w:rsidP="001B3F3B">
      <w:pPr>
        <w:pStyle w:val="FootnoteText"/>
        <w:ind w:left="142" w:hanging="142"/>
        <w:rPr>
          <w:sz w:val="18"/>
          <w:szCs w:val="18"/>
          <w:lang w:val="pt-BR"/>
        </w:rPr>
      </w:pPr>
    </w:p>
  </w:footnote>
  <w:footnote w:id="10">
    <w:p w14:paraId="25FE5A88" w14:textId="02336717" w:rsidR="00935551" w:rsidRPr="001B3F3B" w:rsidRDefault="00935551" w:rsidP="001B3F3B">
      <w:pPr>
        <w:pStyle w:val="FootnoteText"/>
        <w:ind w:left="142" w:hanging="142"/>
        <w:rPr>
          <w:sz w:val="18"/>
          <w:szCs w:val="18"/>
          <w:lang w:val="pt-BR"/>
        </w:rPr>
      </w:pPr>
      <w:r w:rsidRPr="001B3F3B">
        <w:rPr>
          <w:rStyle w:val="FootnoteReference"/>
          <w:sz w:val="18"/>
          <w:szCs w:val="18"/>
        </w:rPr>
        <w:footnoteRef/>
      </w:r>
      <w:r w:rsidRPr="001B3F3B">
        <w:rPr>
          <w:sz w:val="18"/>
          <w:szCs w:val="18"/>
          <w:lang w:val="pt-BR"/>
        </w:rPr>
        <w:t xml:space="preserve"> </w:t>
      </w:r>
      <w:hyperlink r:id="rId6" w:anchor=":~:text=A%20Lei%20da%20Reforma%20Psiqui%C3%A1trica%20prev%C3%AA%20que%20os%20pacientes%20sejam,do%20doente%20ao%20conv%C3%ADvio%20social" w:history="1">
        <w:r w:rsidR="001B3F3B" w:rsidRPr="001B3F3B">
          <w:rPr>
            <w:rStyle w:val="Hyperlink"/>
            <w:color w:val="auto"/>
            <w:sz w:val="18"/>
            <w:szCs w:val="18"/>
            <w:lang w:val="pt-BR"/>
          </w:rPr>
          <w:t>www.camara.leg.br/noticias/868531-lei-da-reforma-psiquiatrica-completa-21-anos-em-meio-a-avancos-e-desafios/#:~:text=A%20Lei%20da%20Reforma%20Psiqui%C3%A1trica%20prev%C3%AA%20que%20os%20pacientes%20sejam,do%20doente%20ao%20conv%C3%ADvio%20social</w:t>
        </w:r>
      </w:hyperlink>
      <w:r w:rsidRPr="001B3F3B">
        <w:rPr>
          <w:sz w:val="18"/>
          <w:szCs w:val="18"/>
          <w:lang w:val="pt-BR"/>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6"/>
      <w:gridCol w:w="7520"/>
    </w:tblGrid>
    <w:tr w:rsidR="00335DA5" w14:paraId="511B18AC" w14:textId="720A2DDD" w:rsidTr="00335DA5">
      <w:tc>
        <w:tcPr>
          <w:tcW w:w="1560" w:type="dxa"/>
        </w:tcPr>
        <w:p w14:paraId="56F35BF1" w14:textId="77777777" w:rsidR="00335DA5" w:rsidRDefault="00335DA5" w:rsidP="000674C8">
          <w:pPr>
            <w:pStyle w:val="Header"/>
          </w:pPr>
          <w:r w:rsidRPr="00335DA5">
            <w:rPr>
              <w:noProof/>
            </w:rPr>
            <w:drawing>
              <wp:inline distT="0" distB="0" distL="0" distR="0" wp14:anchorId="178E5C72" wp14:editId="6083918E">
                <wp:extent cx="1021080" cy="671195"/>
                <wp:effectExtent l="0" t="0" r="7620" b="0"/>
                <wp:docPr id="492520575" name="Imagem 492520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84596"/>
                        <a:stretch/>
                      </pic:blipFill>
                      <pic:spPr bwMode="auto">
                        <a:xfrm>
                          <a:off x="0" y="0"/>
                          <a:ext cx="1021080" cy="67119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7796" w:type="dxa"/>
        </w:tcPr>
        <w:p w14:paraId="08F8E6DD" w14:textId="77777777" w:rsidR="00335DA5" w:rsidRPr="00335DA5" w:rsidRDefault="00335DA5" w:rsidP="00335DA5">
          <w:pPr>
            <w:pStyle w:val="Header"/>
            <w:rPr>
              <w:rFonts w:ascii="Arial" w:hAnsi="Arial" w:cs="Arial"/>
              <w:b/>
              <w:bCs/>
              <w:lang w:val="pt-BR"/>
            </w:rPr>
          </w:pPr>
          <w:r w:rsidRPr="00335DA5">
            <w:rPr>
              <w:rFonts w:ascii="Arial" w:hAnsi="Arial" w:cs="Arial"/>
              <w:b/>
              <w:bCs/>
              <w:lang w:val="pt-BR"/>
            </w:rPr>
            <w:t>CENTRO DE EDUCAÇÃO E ASSESSORAMENTO POPULAR</w:t>
          </w:r>
        </w:p>
        <w:p w14:paraId="4FBD55B8" w14:textId="77777777" w:rsidR="00335DA5" w:rsidRPr="00335DA5" w:rsidRDefault="00335DA5" w:rsidP="00335DA5">
          <w:pPr>
            <w:pStyle w:val="Header"/>
            <w:rPr>
              <w:sz w:val="20"/>
              <w:szCs w:val="20"/>
              <w:lang w:val="pt-BR"/>
            </w:rPr>
          </w:pPr>
          <w:r w:rsidRPr="00335DA5">
            <w:rPr>
              <w:sz w:val="20"/>
              <w:szCs w:val="20"/>
              <w:lang w:val="pt-BR"/>
            </w:rPr>
            <w:t>Rua Anibal Bilhar, 865 – Vila Lucas Araújo – 99074-470 – Passo Fundo – RS</w:t>
          </w:r>
        </w:p>
        <w:p w14:paraId="43C05706" w14:textId="77777777" w:rsidR="00335DA5" w:rsidRPr="00335DA5" w:rsidRDefault="00335DA5" w:rsidP="00335DA5">
          <w:pPr>
            <w:pStyle w:val="Header"/>
            <w:rPr>
              <w:sz w:val="20"/>
              <w:szCs w:val="20"/>
              <w:lang w:val="pt-BR"/>
            </w:rPr>
          </w:pPr>
          <w:r w:rsidRPr="00335DA5">
            <w:rPr>
              <w:sz w:val="20"/>
              <w:szCs w:val="20"/>
              <w:lang w:val="pt-BR"/>
            </w:rPr>
            <w:t xml:space="preserve">Fone: +55 54 3313-6325 </w:t>
          </w:r>
        </w:p>
        <w:p w14:paraId="0B8E6BE1" w14:textId="6305E7FE" w:rsidR="00335DA5" w:rsidRPr="00335DA5" w:rsidRDefault="00335DA5" w:rsidP="000674C8">
          <w:pPr>
            <w:pStyle w:val="Header"/>
            <w:rPr>
              <w:sz w:val="20"/>
              <w:szCs w:val="20"/>
              <w:lang w:val="pt-BR"/>
            </w:rPr>
          </w:pPr>
          <w:r w:rsidRPr="00335DA5">
            <w:rPr>
              <w:sz w:val="20"/>
              <w:szCs w:val="20"/>
              <w:lang w:val="pt-BR"/>
            </w:rPr>
            <w:t xml:space="preserve">E-mail: </w:t>
          </w:r>
          <w:hyperlink r:id="rId2" w:history="1">
            <w:r w:rsidRPr="00335DA5">
              <w:rPr>
                <w:rStyle w:val="Hyperlink"/>
                <w:color w:val="auto"/>
                <w:sz w:val="20"/>
                <w:szCs w:val="20"/>
                <w:lang w:val="pt-BR"/>
              </w:rPr>
              <w:t>ceap@ceap-rs.org.br</w:t>
            </w:r>
          </w:hyperlink>
          <w:r w:rsidRPr="00335DA5">
            <w:rPr>
              <w:sz w:val="20"/>
              <w:szCs w:val="20"/>
              <w:lang w:val="pt-BR"/>
            </w:rPr>
            <w:t xml:space="preserve"> URL: </w:t>
          </w:r>
          <w:hyperlink r:id="rId3" w:history="1">
            <w:r w:rsidRPr="00335DA5">
              <w:rPr>
                <w:rStyle w:val="Hyperlink"/>
                <w:color w:val="auto"/>
                <w:sz w:val="20"/>
                <w:szCs w:val="20"/>
                <w:lang w:val="pt-BR"/>
              </w:rPr>
              <w:t>www.ceap-rs.org.br</w:t>
            </w:r>
          </w:hyperlink>
          <w:r w:rsidRPr="00335DA5">
            <w:rPr>
              <w:sz w:val="20"/>
              <w:szCs w:val="20"/>
              <w:lang w:val="pt-BR"/>
            </w:rPr>
            <w:t xml:space="preserve"> </w:t>
          </w:r>
        </w:p>
      </w:tc>
    </w:tr>
  </w:tbl>
  <w:p w14:paraId="04829224" w14:textId="77777777" w:rsidR="00335DA5" w:rsidRDefault="00335DA5"/>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34F1"/>
    <w:rsid w:val="000C089F"/>
    <w:rsid w:val="00106B91"/>
    <w:rsid w:val="001B3F3B"/>
    <w:rsid w:val="00254A46"/>
    <w:rsid w:val="00335DA5"/>
    <w:rsid w:val="006855FA"/>
    <w:rsid w:val="007C6FD8"/>
    <w:rsid w:val="0092055D"/>
    <w:rsid w:val="00935551"/>
    <w:rsid w:val="009934F1"/>
    <w:rsid w:val="00D14159"/>
    <w:rsid w:val="00E74039"/>
    <w:rsid w:val="00EF2264"/>
    <w:rsid w:val="00F528E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4A85FC"/>
  <w15:docId w15:val="{0369BD83-D864-4392-8B1E-F2C3B887F4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FootnoteText">
    <w:name w:val="footnote text"/>
    <w:basedOn w:val="Normal"/>
    <w:link w:val="FootnoteTextChar"/>
    <w:uiPriority w:val="99"/>
    <w:semiHidden/>
    <w:unhideWhenUsed/>
    <w:rsid w:val="000C089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C089F"/>
    <w:rPr>
      <w:sz w:val="20"/>
      <w:szCs w:val="20"/>
    </w:rPr>
  </w:style>
  <w:style w:type="character" w:styleId="FootnoteReference">
    <w:name w:val="footnote reference"/>
    <w:basedOn w:val="DefaultParagraphFont"/>
    <w:uiPriority w:val="99"/>
    <w:semiHidden/>
    <w:unhideWhenUsed/>
    <w:rsid w:val="000C089F"/>
    <w:rPr>
      <w:vertAlign w:val="superscript"/>
    </w:rPr>
  </w:style>
  <w:style w:type="character" w:styleId="Hyperlink">
    <w:name w:val="Hyperlink"/>
    <w:basedOn w:val="DefaultParagraphFont"/>
    <w:uiPriority w:val="99"/>
    <w:unhideWhenUsed/>
    <w:rsid w:val="00935551"/>
    <w:rPr>
      <w:color w:val="0000FF" w:themeColor="hyperlink"/>
      <w:u w:val="single"/>
    </w:rPr>
  </w:style>
  <w:style w:type="character" w:styleId="UnresolvedMention">
    <w:name w:val="Unresolved Mention"/>
    <w:basedOn w:val="DefaultParagraphFont"/>
    <w:uiPriority w:val="99"/>
    <w:semiHidden/>
    <w:unhideWhenUsed/>
    <w:rsid w:val="00935551"/>
    <w:rPr>
      <w:color w:val="605E5C"/>
      <w:shd w:val="clear" w:color="auto" w:fill="E1DFDD"/>
    </w:rPr>
  </w:style>
  <w:style w:type="paragraph" w:styleId="Header">
    <w:name w:val="header"/>
    <w:basedOn w:val="Normal"/>
    <w:link w:val="HeaderChar"/>
    <w:uiPriority w:val="99"/>
    <w:unhideWhenUsed/>
    <w:rsid w:val="00D14159"/>
    <w:pPr>
      <w:tabs>
        <w:tab w:val="center" w:pos="4252"/>
        <w:tab w:val="right" w:pos="8504"/>
      </w:tabs>
      <w:spacing w:after="0" w:line="240" w:lineRule="auto"/>
    </w:pPr>
  </w:style>
  <w:style w:type="character" w:customStyle="1" w:styleId="HeaderChar">
    <w:name w:val="Header Char"/>
    <w:basedOn w:val="DefaultParagraphFont"/>
    <w:link w:val="Header"/>
    <w:uiPriority w:val="99"/>
    <w:rsid w:val="00D14159"/>
  </w:style>
  <w:style w:type="paragraph" w:styleId="Footer">
    <w:name w:val="footer"/>
    <w:basedOn w:val="Normal"/>
    <w:link w:val="FooterChar"/>
    <w:uiPriority w:val="99"/>
    <w:unhideWhenUsed/>
    <w:rsid w:val="00D14159"/>
    <w:pPr>
      <w:tabs>
        <w:tab w:val="center" w:pos="4252"/>
        <w:tab w:val="right" w:pos="8504"/>
      </w:tabs>
      <w:spacing w:after="0" w:line="240" w:lineRule="auto"/>
    </w:pPr>
  </w:style>
  <w:style w:type="character" w:customStyle="1" w:styleId="FooterChar">
    <w:name w:val="Footer Char"/>
    <w:basedOn w:val="DefaultParagraphFont"/>
    <w:link w:val="Footer"/>
    <w:uiPriority w:val="99"/>
    <w:rsid w:val="00D14159"/>
  </w:style>
  <w:style w:type="table" w:styleId="TableGrid">
    <w:name w:val="Table Grid"/>
    <w:basedOn w:val="TableNormal"/>
    <w:uiPriority w:val="39"/>
    <w:rsid w:val="00335D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35DA5"/>
    <w:pPr>
      <w:autoSpaceDE w:val="0"/>
      <w:autoSpaceDN w:val="0"/>
      <w:adjustRightInd w:val="0"/>
      <w:spacing w:after="0" w:line="240" w:lineRule="auto"/>
    </w:pPr>
    <w:rPr>
      <w:rFonts w:eastAsia="Calibri"/>
      <w:color w:val="000000"/>
      <w:lang w:val="pt-BR"/>
    </w:rPr>
  </w:style>
  <w:style w:type="paragraph" w:styleId="ListParagraph">
    <w:name w:val="List Paragraph"/>
    <w:basedOn w:val="Normal"/>
    <w:uiPriority w:val="34"/>
    <w:qFormat/>
    <w:rsid w:val="001B3F3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www.cnm.org.br/cms/biblioteca/Mudan%C3%A7as%20no%20Financiamento%20da%20Sa%C3%BAde.pdf" TargetMode="External"/><Relationship Id="rId2" Type="http://schemas.openxmlformats.org/officeDocument/2006/relationships/hyperlink" Target="https://tbinternet.ohchr.org/_layouts/15/treatybodyexternal/Download.aspx?symbolno=E%2FC.12%2FBRA%2FRQ%2F3&amp;Lang=en" TargetMode="External"/><Relationship Id="rId1" Type="http://schemas.openxmlformats.org/officeDocument/2006/relationships/hyperlink" Target="https://tbinternet.ohchr.org/_layouts/15/treatybodyexternal/Download.aspx?symbolno=E%2FC.12%2FBRA%2FQ%2F3&amp;Lang=en" TargetMode="External"/><Relationship Id="rId6" Type="http://schemas.openxmlformats.org/officeDocument/2006/relationships/hyperlink" Target="http://www.camara.leg.br/noticias/868531-lei-da-reforma-psiquiatrica-completa-21-anos-em-meio-a-avancos-e-desafios/" TargetMode="External"/><Relationship Id="rId5" Type="http://schemas.openxmlformats.org/officeDocument/2006/relationships/hyperlink" Target="http://www.camara.leg.br/noticias/748432-debatedores-pedem-prioridade-para-a-vacinacao-de-indigenas-que-vivem-em-areas-urbanas/" TargetMode="External"/><Relationship Id="rId4" Type="http://schemas.openxmlformats.org/officeDocument/2006/relationships/hyperlink" Target="http://www.conasems.org.br/wp-content/uploads/2018/08/Mudan%C3%A7as-no-Financiamento-da-Sa%C3%BAde.pdf"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http://www.ceap-rs.org.br" TargetMode="External"/><Relationship Id="rId2" Type="http://schemas.openxmlformats.org/officeDocument/2006/relationships/hyperlink" Target="mailto:ceap@ceap-rs.org.br" TargetMode="External"/><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710D79-9C38-4B0B-9D11-C6B6046EBB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3572</Words>
  <Characters>21367</Characters>
  <Application>Microsoft Office Word</Application>
  <DocSecurity>0</DocSecurity>
  <Lines>331</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Jonia</dc:creator>
  <cp:lastModifiedBy>Celine Reynaud</cp:lastModifiedBy>
  <cp:revision>2</cp:revision>
  <dcterms:created xsi:type="dcterms:W3CDTF">2023-08-28T13:13:00Z</dcterms:created>
  <dcterms:modified xsi:type="dcterms:W3CDTF">2023-08-28T13:13:00Z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ef7433e5448d0bad7fa07af314d47f3b99bf01e9c30fd786662a46e6be44c38a</vt:lpwstr>
  </property>
</Properties>
</file>