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ayout w:type="fixed"/>
        <w:tblLook w:val="04A0" w:firstRow="1" w:lastRow="0" w:firstColumn="1" w:lastColumn="0" w:noHBand="0" w:noVBand="1"/>
      </w:tblPr>
      <w:tblGrid>
        <w:gridCol w:w="4541"/>
        <w:gridCol w:w="4315"/>
      </w:tblGrid>
      <w:tr w:rsidR="00EB1197" w:rsidRPr="0018632F" w14:paraId="42FDC4A0" w14:textId="77777777" w:rsidTr="009A4920">
        <w:tc>
          <w:tcPr>
            <w:tcW w:w="4541" w:type="dxa"/>
          </w:tcPr>
          <w:p w14:paraId="05F3DB58" w14:textId="77777777" w:rsidR="00EB1197" w:rsidRPr="0018632F" w:rsidRDefault="00EB1197" w:rsidP="009A4920">
            <w:pPr>
              <w:widowControl w:val="0"/>
              <w:rPr>
                <w:rFonts w:asciiTheme="majorBidi" w:hAnsiTheme="majorBidi" w:cstheme="majorBidi"/>
              </w:rPr>
            </w:pPr>
            <w:r w:rsidRPr="0018632F">
              <w:rPr>
                <w:rFonts w:asciiTheme="majorBidi" w:hAnsiTheme="majorBidi" w:cstheme="majorBidi"/>
                <w:noProof/>
              </w:rPr>
              <w:drawing>
                <wp:anchor distT="0" distB="0" distL="114300" distR="114300" simplePos="0" relativeHeight="251659264" behindDoc="0" locked="0" layoutInCell="1" allowOverlap="1" wp14:anchorId="6BED5982" wp14:editId="0B8FAFFD">
                  <wp:simplePos x="0" y="0"/>
                  <wp:positionH relativeFrom="margin">
                    <wp:posOffset>872118</wp:posOffset>
                  </wp:positionH>
                  <wp:positionV relativeFrom="margin">
                    <wp:posOffset>0</wp:posOffset>
                  </wp:positionV>
                  <wp:extent cx="898525" cy="887095"/>
                  <wp:effectExtent l="0" t="0" r="3175" b="1905"/>
                  <wp:wrapTight wrapText="bothSides">
                    <wp:wrapPolygon edited="0">
                      <wp:start x="0" y="0"/>
                      <wp:lineTo x="0" y="21337"/>
                      <wp:lineTo x="21371" y="21337"/>
                      <wp:lineTo x="2137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JA_english_med.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898525" cy="887095"/>
                          </a:xfrm>
                          <a:prstGeom prst="rect">
                            <a:avLst/>
                          </a:prstGeom>
                        </pic:spPr>
                      </pic:pic>
                    </a:graphicData>
                  </a:graphic>
                </wp:anchor>
              </w:drawing>
            </w:r>
          </w:p>
          <w:p w14:paraId="77328027" w14:textId="77777777" w:rsidR="00EB1197" w:rsidRPr="0018632F" w:rsidRDefault="00EB1197" w:rsidP="009A4920">
            <w:pPr>
              <w:widowControl w:val="0"/>
              <w:rPr>
                <w:rFonts w:asciiTheme="majorBidi" w:hAnsiTheme="majorBidi" w:cstheme="majorBidi"/>
              </w:rPr>
            </w:pPr>
          </w:p>
          <w:p w14:paraId="676B596B" w14:textId="77777777" w:rsidR="00EB1197" w:rsidRPr="0018632F" w:rsidRDefault="00EB1197" w:rsidP="009A4920">
            <w:pPr>
              <w:widowControl w:val="0"/>
              <w:rPr>
                <w:rFonts w:asciiTheme="majorBidi" w:hAnsiTheme="majorBidi" w:cstheme="majorBidi"/>
              </w:rPr>
            </w:pPr>
          </w:p>
        </w:tc>
        <w:tc>
          <w:tcPr>
            <w:tcW w:w="4315" w:type="dxa"/>
          </w:tcPr>
          <w:p w14:paraId="1C524473" w14:textId="77777777" w:rsidR="00EB1197" w:rsidRPr="0018632F" w:rsidRDefault="00EB1197" w:rsidP="009A4920">
            <w:pPr>
              <w:widowControl w:val="0"/>
              <w:rPr>
                <w:rFonts w:asciiTheme="majorBidi" w:hAnsiTheme="majorBidi" w:cstheme="majorBidi"/>
                <w:b/>
              </w:rPr>
            </w:pPr>
            <w:r w:rsidRPr="0018632F">
              <w:rPr>
                <w:rFonts w:asciiTheme="majorBidi" w:hAnsiTheme="majorBidi" w:cstheme="majorBidi"/>
                <w:b/>
              </w:rPr>
              <w:t>CRC (87th Session)</w:t>
            </w:r>
          </w:p>
          <w:p w14:paraId="1B18BCCE" w14:textId="02B87983" w:rsidR="00EB1197" w:rsidRPr="0018632F" w:rsidRDefault="00EB1197" w:rsidP="009A4920">
            <w:pPr>
              <w:widowControl w:val="0"/>
              <w:rPr>
                <w:rFonts w:asciiTheme="majorBidi" w:hAnsiTheme="majorBidi" w:cstheme="majorBidi"/>
              </w:rPr>
            </w:pPr>
            <w:r w:rsidRPr="0018632F">
              <w:rPr>
                <w:rFonts w:asciiTheme="majorBidi" w:hAnsiTheme="majorBidi" w:cstheme="majorBidi"/>
              </w:rPr>
              <w:t xml:space="preserve">Country name: </w:t>
            </w:r>
            <w:r>
              <w:rPr>
                <w:rFonts w:asciiTheme="majorBidi" w:hAnsiTheme="majorBidi" w:cstheme="majorBidi"/>
              </w:rPr>
              <w:t xml:space="preserve">Philippines </w:t>
            </w:r>
          </w:p>
          <w:p w14:paraId="1F0FFA30" w14:textId="77777777" w:rsidR="00EB1197" w:rsidRPr="0018632F" w:rsidRDefault="00EB1197" w:rsidP="009A4920">
            <w:pPr>
              <w:widowControl w:val="0"/>
              <w:rPr>
                <w:rFonts w:asciiTheme="majorBidi" w:hAnsiTheme="majorBidi" w:cstheme="majorBidi"/>
              </w:rPr>
            </w:pPr>
          </w:p>
        </w:tc>
      </w:tr>
      <w:tr w:rsidR="00EB1197" w:rsidRPr="0018632F" w14:paraId="786965EA" w14:textId="77777777" w:rsidTr="009A4920">
        <w:tc>
          <w:tcPr>
            <w:tcW w:w="8856" w:type="dxa"/>
            <w:gridSpan w:val="2"/>
          </w:tcPr>
          <w:p w14:paraId="1C6D0904" w14:textId="77777777" w:rsidR="00EB1197" w:rsidRPr="0018632F" w:rsidRDefault="00EB1197" w:rsidP="009A4920">
            <w:pPr>
              <w:widowControl w:val="0"/>
              <w:jc w:val="center"/>
              <w:rPr>
                <w:rFonts w:asciiTheme="majorBidi" w:eastAsia="Times New Roman" w:hAnsiTheme="majorBidi" w:cstheme="majorBidi"/>
                <w:b/>
                <w:color w:val="222222"/>
                <w:shd w:val="clear" w:color="auto" w:fill="FFFFFF"/>
              </w:rPr>
            </w:pPr>
            <w:r w:rsidRPr="0018632F">
              <w:rPr>
                <w:rFonts w:asciiTheme="majorBidi" w:eastAsia="Times New Roman" w:hAnsiTheme="majorBidi" w:cstheme="majorBidi"/>
                <w:b/>
                <w:color w:val="222222"/>
                <w:shd w:val="clear" w:color="auto" w:fill="FFFFFF"/>
              </w:rPr>
              <w:t>Appropriate pretrial detention times for children</w:t>
            </w:r>
          </w:p>
          <w:p w14:paraId="1DFF9E98" w14:textId="77777777" w:rsidR="00EB1197" w:rsidRPr="0018632F" w:rsidRDefault="00EB1197" w:rsidP="009A4920">
            <w:pPr>
              <w:widowControl w:val="0"/>
              <w:rPr>
                <w:rFonts w:asciiTheme="majorBidi" w:eastAsia="Times New Roman" w:hAnsiTheme="majorBidi" w:cstheme="majorBidi"/>
                <w:color w:val="222222"/>
                <w:shd w:val="clear" w:color="auto" w:fill="FFFFFF"/>
              </w:rPr>
            </w:pPr>
          </w:p>
          <w:p w14:paraId="7273F346" w14:textId="77777777" w:rsidR="00EB1197" w:rsidRPr="0018632F" w:rsidRDefault="00EB1197" w:rsidP="009A4920">
            <w:pPr>
              <w:widowControl w:val="0"/>
              <w:rPr>
                <w:rFonts w:asciiTheme="majorBidi" w:eastAsia="Times New Roman" w:hAnsiTheme="majorBidi" w:cstheme="majorBidi"/>
                <w:color w:val="222222"/>
                <w:shd w:val="clear" w:color="auto" w:fill="FFFFFF"/>
              </w:rPr>
            </w:pPr>
            <w:r w:rsidRPr="0018632F">
              <w:rPr>
                <w:rFonts w:asciiTheme="majorBidi" w:eastAsia="Times New Roman" w:hAnsiTheme="majorBidi" w:cstheme="majorBidi"/>
                <w:color w:val="222222"/>
                <w:shd w:val="clear" w:color="auto" w:fill="FFFFFF"/>
              </w:rPr>
              <w:t>Cluster of rights:</w:t>
            </w:r>
          </w:p>
          <w:p w14:paraId="6548BE43" w14:textId="77777777" w:rsidR="00EB1197" w:rsidRPr="0018632F" w:rsidRDefault="00EB1197" w:rsidP="009A4920">
            <w:pPr>
              <w:pStyle w:val="NormalWeb"/>
              <w:widowControl w:val="0"/>
              <w:spacing w:before="0" w:beforeAutospacing="0" w:after="0" w:afterAutospacing="0"/>
              <w:rPr>
                <w:rFonts w:asciiTheme="majorBidi" w:hAnsiTheme="majorBidi" w:cstheme="majorBidi"/>
                <w:color w:val="222222"/>
                <w:shd w:val="clear" w:color="auto" w:fill="FFFFFF"/>
              </w:rPr>
            </w:pPr>
          </w:p>
          <w:p w14:paraId="32B7F7AB" w14:textId="77777777" w:rsidR="00EB1197" w:rsidRPr="0018632F" w:rsidRDefault="00EB1197" w:rsidP="009A4920">
            <w:pPr>
              <w:pStyle w:val="NormalWeb"/>
              <w:widowControl w:val="0"/>
              <w:spacing w:before="0" w:beforeAutospacing="0" w:after="0" w:afterAutospacing="0"/>
              <w:rPr>
                <w:rFonts w:asciiTheme="majorBidi" w:hAnsiTheme="majorBidi" w:cstheme="majorBidi"/>
                <w:color w:val="222222"/>
                <w:shd w:val="clear" w:color="auto" w:fill="FFFFFF"/>
              </w:rPr>
            </w:pPr>
            <w:r w:rsidRPr="0018632F">
              <w:rPr>
                <w:rFonts w:asciiTheme="majorBidi" w:hAnsiTheme="majorBidi" w:cstheme="majorBidi"/>
                <w:color w:val="222222"/>
                <w:shd w:val="clear" w:color="auto" w:fill="FFFFFF"/>
              </w:rPr>
              <w:t>Right to lawful deprivation of liberty</w:t>
            </w:r>
          </w:p>
          <w:p w14:paraId="56A5211A" w14:textId="77777777" w:rsidR="00EB1197" w:rsidRPr="0018632F" w:rsidRDefault="00EB1197" w:rsidP="009A4920">
            <w:pPr>
              <w:pStyle w:val="NormalWeb"/>
              <w:widowControl w:val="0"/>
              <w:spacing w:before="0" w:beforeAutospacing="0" w:after="0" w:afterAutospacing="0"/>
              <w:rPr>
                <w:rFonts w:asciiTheme="majorBidi" w:hAnsiTheme="majorBidi" w:cstheme="majorBidi"/>
                <w:color w:val="222222"/>
                <w:shd w:val="clear" w:color="auto" w:fill="FFFFFF"/>
              </w:rPr>
            </w:pPr>
            <w:r w:rsidRPr="0018632F">
              <w:rPr>
                <w:rFonts w:asciiTheme="majorBidi" w:hAnsiTheme="majorBidi" w:cstheme="majorBidi"/>
                <w:color w:val="222222"/>
                <w:shd w:val="clear" w:color="auto" w:fill="FFFFFF"/>
              </w:rPr>
              <w:t>Right to speedy trial and brevity of pretrial detention</w:t>
            </w:r>
          </w:p>
          <w:p w14:paraId="17F3D550" w14:textId="77777777" w:rsidR="00EB1197" w:rsidRPr="0018632F" w:rsidRDefault="00EB1197" w:rsidP="009A4920">
            <w:pPr>
              <w:pStyle w:val="NormalWeb"/>
              <w:widowControl w:val="0"/>
              <w:spacing w:before="0" w:beforeAutospacing="0" w:after="0" w:afterAutospacing="0"/>
              <w:rPr>
                <w:rFonts w:asciiTheme="majorBidi" w:hAnsiTheme="majorBidi" w:cstheme="majorBidi"/>
                <w:color w:val="222222"/>
                <w:shd w:val="clear" w:color="auto" w:fill="FFFFFF"/>
              </w:rPr>
            </w:pPr>
            <w:r w:rsidRPr="0018632F">
              <w:rPr>
                <w:rFonts w:asciiTheme="majorBidi" w:hAnsiTheme="majorBidi" w:cstheme="majorBidi"/>
                <w:color w:val="222222"/>
                <w:shd w:val="clear" w:color="auto" w:fill="FFFFFF"/>
              </w:rPr>
              <w:t>Convention on the Rights of the Child Article 37(b)</w:t>
            </w:r>
          </w:p>
          <w:p w14:paraId="004B2300" w14:textId="77777777" w:rsidR="00EB1197" w:rsidRPr="0018632F" w:rsidRDefault="00EB1197" w:rsidP="009A4920">
            <w:pPr>
              <w:pStyle w:val="NormalWeb"/>
              <w:widowControl w:val="0"/>
              <w:spacing w:before="0" w:beforeAutospacing="0" w:after="0" w:afterAutospacing="0"/>
              <w:rPr>
                <w:rFonts w:asciiTheme="majorBidi" w:hAnsiTheme="majorBidi" w:cstheme="majorBidi"/>
                <w:color w:val="222222"/>
                <w:shd w:val="clear" w:color="auto" w:fill="FFFFFF"/>
              </w:rPr>
            </w:pPr>
            <w:r w:rsidRPr="0018632F">
              <w:rPr>
                <w:rFonts w:asciiTheme="majorBidi" w:hAnsiTheme="majorBidi" w:cstheme="majorBidi"/>
                <w:color w:val="222222"/>
                <w:shd w:val="clear" w:color="auto" w:fill="FFFFFF"/>
              </w:rPr>
              <w:t>Convention Against Torture Article 2</w:t>
            </w:r>
          </w:p>
          <w:p w14:paraId="5D8A6EAC" w14:textId="77777777" w:rsidR="00EB1197" w:rsidRPr="0018632F" w:rsidRDefault="00EB1197" w:rsidP="009A4920">
            <w:pPr>
              <w:widowControl w:val="0"/>
              <w:rPr>
                <w:rFonts w:asciiTheme="majorBidi" w:eastAsia="Times New Roman" w:hAnsiTheme="majorBidi" w:cstheme="majorBidi"/>
                <w:color w:val="222222"/>
                <w:shd w:val="clear" w:color="auto" w:fill="FFFFFF"/>
              </w:rPr>
            </w:pPr>
          </w:p>
          <w:p w14:paraId="22C494C1" w14:textId="77777777" w:rsidR="00EB1197" w:rsidRPr="0018632F" w:rsidRDefault="00EB1197" w:rsidP="009A4920">
            <w:pPr>
              <w:widowControl w:val="0"/>
              <w:rPr>
                <w:rFonts w:asciiTheme="majorBidi" w:eastAsia="Times New Roman" w:hAnsiTheme="majorBidi" w:cstheme="majorBidi"/>
                <w:color w:val="222222"/>
                <w:shd w:val="clear" w:color="auto" w:fill="FFFFFF"/>
              </w:rPr>
            </w:pPr>
            <w:r w:rsidRPr="0018632F">
              <w:rPr>
                <w:rFonts w:asciiTheme="majorBidi" w:eastAsia="Times New Roman" w:hAnsiTheme="majorBidi" w:cstheme="majorBidi"/>
                <w:color w:val="222222"/>
                <w:shd w:val="clear" w:color="auto" w:fill="FFFFFF"/>
              </w:rPr>
              <w:t>Areas of concern:</w:t>
            </w:r>
          </w:p>
          <w:p w14:paraId="6A8B70ED" w14:textId="77777777" w:rsidR="00EB1197" w:rsidRPr="0018632F" w:rsidRDefault="00EB1197" w:rsidP="009A4920">
            <w:pPr>
              <w:widowControl w:val="0"/>
              <w:rPr>
                <w:rFonts w:asciiTheme="majorBidi" w:eastAsia="Times New Roman" w:hAnsiTheme="majorBidi" w:cstheme="majorBidi"/>
                <w:color w:val="222222"/>
                <w:shd w:val="clear" w:color="auto" w:fill="FFFFFF"/>
              </w:rPr>
            </w:pPr>
          </w:p>
          <w:p w14:paraId="02781283" w14:textId="7F99E9CC" w:rsidR="00EB1197" w:rsidRPr="0018632F" w:rsidRDefault="00EB1197" w:rsidP="009A4920">
            <w:pPr>
              <w:widowControl w:val="0"/>
              <w:rPr>
                <w:rFonts w:asciiTheme="majorBidi" w:hAnsiTheme="majorBidi" w:cstheme="majorBidi"/>
              </w:rPr>
            </w:pPr>
            <w:r w:rsidRPr="0018632F">
              <w:rPr>
                <w:rFonts w:asciiTheme="majorBidi" w:hAnsiTheme="majorBidi" w:cstheme="majorBidi"/>
              </w:rPr>
              <w:t>International law strictly limits the circumstances in which children can be placed in detention while awaiting trial or while under investigation before being charged. Pretrial detention should only be used in exceptional circumstances—where it is necessary to ensure the child’s appearance at the court proceedings, or where the child is an immediate danger to himself/herself or others.</w:t>
            </w:r>
            <w:r w:rsidRPr="0018632F">
              <w:rPr>
                <w:rFonts w:asciiTheme="majorBidi" w:hAnsiTheme="majorBidi" w:cstheme="majorBidi"/>
                <w:vertAlign w:val="superscript"/>
              </w:rPr>
              <w:footnoteReference w:id="1"/>
            </w:r>
            <w:r w:rsidRPr="0018632F">
              <w:rPr>
                <w:rFonts w:asciiTheme="majorBidi" w:hAnsiTheme="majorBidi" w:cstheme="majorBidi"/>
              </w:rPr>
              <w:t xml:space="preserve"> The Convention on the Rights of the Child permits pretrial detention only as a measure of last resort and for </w:t>
            </w:r>
            <w:r w:rsidRPr="0018632F">
              <w:rPr>
                <w:rFonts w:asciiTheme="majorBidi" w:hAnsiTheme="majorBidi" w:cstheme="majorBidi"/>
                <w:iCs/>
              </w:rPr>
              <w:t>the shortest appropriate period of time</w:t>
            </w:r>
            <w:r w:rsidRPr="0018632F">
              <w:rPr>
                <w:rFonts w:asciiTheme="majorBidi" w:hAnsiTheme="majorBidi" w:cstheme="majorBidi"/>
              </w:rPr>
              <w:t>.</w:t>
            </w:r>
            <w:bookmarkStart w:id="0" w:name="_Ref509599856"/>
            <w:r w:rsidRPr="0018632F">
              <w:rPr>
                <w:rFonts w:asciiTheme="majorBidi" w:hAnsiTheme="majorBidi" w:cstheme="majorBidi"/>
                <w:vertAlign w:val="superscript"/>
              </w:rPr>
              <w:footnoteReference w:id="2"/>
            </w:r>
            <w:bookmarkEnd w:id="0"/>
            <w:r w:rsidRPr="0018632F">
              <w:rPr>
                <w:rFonts w:asciiTheme="majorBidi" w:hAnsiTheme="majorBidi" w:cstheme="majorBidi"/>
              </w:rPr>
              <w:t> However, it is not entirely clear what an </w:t>
            </w:r>
            <w:r w:rsidRPr="0018632F">
              <w:rPr>
                <w:rFonts w:asciiTheme="majorBidi" w:hAnsiTheme="majorBidi" w:cstheme="majorBidi"/>
                <w:iCs/>
              </w:rPr>
              <w:t>appropriate period of time is.</w:t>
            </w:r>
            <w:r w:rsidRPr="0018632F">
              <w:rPr>
                <w:rFonts w:asciiTheme="majorBidi" w:hAnsiTheme="majorBidi" w:cstheme="majorBidi"/>
              </w:rPr>
              <w:t xml:space="preserve"> The Committee on the Rights of the Child, in General Comment 10, recommended that children who are detained should be formally charged within thirty days and that once charged, a final decision should be made by the court within six months.</w:t>
            </w:r>
            <w:bookmarkStart w:id="1" w:name="_Ref511739094"/>
            <w:r w:rsidRPr="0018632F">
              <w:rPr>
                <w:rStyle w:val="FootnoteReference"/>
                <w:rFonts w:asciiTheme="majorBidi" w:hAnsiTheme="majorBidi" w:cstheme="majorBidi"/>
              </w:rPr>
              <w:footnoteReference w:id="3"/>
            </w:r>
            <w:bookmarkEnd w:id="1"/>
            <w:r w:rsidRPr="0018632F">
              <w:rPr>
                <w:rFonts w:asciiTheme="majorBidi" w:hAnsiTheme="majorBidi" w:cstheme="majorBidi"/>
              </w:rPr>
              <w:t xml:space="preserve"> The Committee additionally recommended that any such detention should be reviewed regularly by a competent body.</w:t>
            </w:r>
            <w:r w:rsidRPr="0018632F">
              <w:rPr>
                <w:rStyle w:val="FootnoteReference"/>
                <w:rFonts w:asciiTheme="majorBidi" w:hAnsiTheme="majorBidi" w:cstheme="majorBidi"/>
              </w:rPr>
              <w:footnoteReference w:id="4"/>
            </w:r>
            <w:r w:rsidRPr="0018632F">
              <w:rPr>
                <w:rFonts w:asciiTheme="majorBidi" w:hAnsiTheme="majorBidi" w:cstheme="majorBidi"/>
              </w:rPr>
              <w:t xml:space="preserve"> These recommendations can and should be strengthened.</w:t>
            </w:r>
          </w:p>
          <w:p w14:paraId="536AD9F8" w14:textId="77777777" w:rsidR="00EB1197" w:rsidRPr="0018632F" w:rsidRDefault="00EB1197" w:rsidP="009A4920">
            <w:pPr>
              <w:widowControl w:val="0"/>
              <w:rPr>
                <w:rFonts w:asciiTheme="majorBidi" w:hAnsiTheme="majorBidi" w:cstheme="majorBidi"/>
              </w:rPr>
            </w:pPr>
          </w:p>
          <w:p w14:paraId="4538E9A5" w14:textId="77777777" w:rsidR="00EB1197" w:rsidRPr="0018632F" w:rsidRDefault="00EB1197" w:rsidP="009A4920">
            <w:pPr>
              <w:widowControl w:val="0"/>
              <w:rPr>
                <w:rFonts w:asciiTheme="majorBidi" w:hAnsiTheme="majorBidi" w:cstheme="majorBidi"/>
              </w:rPr>
            </w:pPr>
            <w:r w:rsidRPr="0018632F">
              <w:rPr>
                <w:rFonts w:asciiTheme="majorBidi" w:hAnsiTheme="majorBidi" w:cstheme="majorBidi"/>
              </w:rPr>
              <w:t>Defendants in pretrial detention are more likely to be abused, mistreated and tortured,</w:t>
            </w:r>
            <w:bookmarkStart w:id="2" w:name="_Ref509596657"/>
            <w:r w:rsidRPr="0018632F">
              <w:rPr>
                <w:rFonts w:asciiTheme="majorBidi" w:hAnsiTheme="majorBidi" w:cstheme="majorBidi"/>
                <w:vertAlign w:val="superscript"/>
              </w:rPr>
              <w:footnoteReference w:id="5"/>
            </w:r>
            <w:bookmarkEnd w:id="2"/>
            <w:r w:rsidRPr="0018632F">
              <w:rPr>
                <w:rFonts w:asciiTheme="majorBidi" w:hAnsiTheme="majorBidi" w:cstheme="majorBidi"/>
              </w:rPr>
              <w:t xml:space="preserve"> and children are particularly vulnerable. In many countries, the lack of adequate facilities, food and sanitation, insufficient access to education and training, and compromised contact with family and friends makes even short periods of time in pretrial detention traumatic for children. Detention has been shown to significantly increase the risk of depression, suicide, </w:t>
            </w:r>
            <w:r>
              <w:rPr>
                <w:rFonts w:asciiTheme="majorBidi" w:hAnsiTheme="majorBidi" w:cstheme="majorBidi"/>
              </w:rPr>
              <w:t>dropping out of school</w:t>
            </w:r>
            <w:r w:rsidRPr="0018632F">
              <w:rPr>
                <w:rFonts w:asciiTheme="majorBidi" w:hAnsiTheme="majorBidi" w:cstheme="majorBidi"/>
              </w:rPr>
              <w:t>, and drug use among children.</w:t>
            </w:r>
            <w:bookmarkStart w:id="3" w:name="_Ref509598336"/>
            <w:r w:rsidRPr="0018632F">
              <w:rPr>
                <w:rFonts w:asciiTheme="majorBidi" w:hAnsiTheme="majorBidi" w:cstheme="majorBidi"/>
                <w:vertAlign w:val="superscript"/>
              </w:rPr>
              <w:footnoteReference w:id="6"/>
            </w:r>
            <w:bookmarkEnd w:id="3"/>
            <w:r w:rsidRPr="0018632F">
              <w:rPr>
                <w:rFonts w:asciiTheme="majorBidi" w:hAnsiTheme="majorBidi" w:cstheme="majorBidi"/>
              </w:rPr>
              <w:t xml:space="preserve"> Unfortunately, </w:t>
            </w:r>
            <w:r w:rsidRPr="0018632F">
              <w:rPr>
                <w:rFonts w:asciiTheme="majorBidi" w:hAnsiTheme="majorBidi" w:cstheme="majorBidi"/>
              </w:rPr>
              <w:lastRenderedPageBreak/>
              <w:t>in many countries the majority of children in detention are awaiting trial and may spend months or years behind bars before having their cases resolved. Even in jurisdictions that have successfully implemented alternatives to detention, children still spend months or years in pretrial detention, often longer than any sentence they might receive on conviction. It is common for children to receive conditional release or diversion after months of pretrial detention</w:t>
            </w:r>
            <w:r w:rsidRPr="0018632F">
              <w:rPr>
                <w:rFonts w:asciiTheme="majorBidi" w:hAnsiTheme="majorBidi" w:cstheme="majorBidi"/>
                <w:vertAlign w:val="superscript"/>
              </w:rPr>
              <w:footnoteReference w:id="7"/>
            </w:r>
            <w:r w:rsidRPr="0018632F">
              <w:rPr>
                <w:rFonts w:asciiTheme="majorBidi" w:hAnsiTheme="majorBidi" w:cstheme="majorBidi"/>
              </w:rPr>
              <w:t xml:space="preserve">. This means that the most significant deprivation of </w:t>
            </w:r>
            <w:r>
              <w:rPr>
                <w:rFonts w:asciiTheme="majorBidi" w:hAnsiTheme="majorBidi" w:cstheme="majorBidi"/>
              </w:rPr>
              <w:t xml:space="preserve">children’s </w:t>
            </w:r>
            <w:r w:rsidRPr="0018632F">
              <w:rPr>
                <w:rFonts w:asciiTheme="majorBidi" w:hAnsiTheme="majorBidi" w:cstheme="majorBidi"/>
              </w:rPr>
              <w:t xml:space="preserve">liberty occurs while awaiting trial, when </w:t>
            </w:r>
            <w:r>
              <w:rPr>
                <w:rFonts w:asciiTheme="majorBidi" w:hAnsiTheme="majorBidi" w:cstheme="majorBidi"/>
              </w:rPr>
              <w:t>they</w:t>
            </w:r>
            <w:r w:rsidRPr="0018632F">
              <w:rPr>
                <w:rFonts w:asciiTheme="majorBidi" w:hAnsiTheme="majorBidi" w:cstheme="majorBidi"/>
              </w:rPr>
              <w:t xml:space="preserve"> are ostensibly presumed innocent.</w:t>
            </w:r>
          </w:p>
          <w:p w14:paraId="336834A9" w14:textId="77777777" w:rsidR="00EB1197" w:rsidRPr="0018632F" w:rsidRDefault="00EB1197" w:rsidP="009A4920">
            <w:pPr>
              <w:widowControl w:val="0"/>
              <w:rPr>
                <w:rFonts w:asciiTheme="majorBidi" w:hAnsiTheme="majorBidi" w:cstheme="majorBidi"/>
              </w:rPr>
            </w:pPr>
          </w:p>
          <w:p w14:paraId="3FB90971" w14:textId="77777777" w:rsidR="00EB1197" w:rsidRPr="0018632F" w:rsidRDefault="00EB1197" w:rsidP="009A4920">
            <w:pPr>
              <w:widowControl w:val="0"/>
              <w:rPr>
                <w:rFonts w:asciiTheme="majorBidi" w:hAnsiTheme="majorBidi" w:cstheme="majorBidi"/>
              </w:rPr>
            </w:pPr>
            <w:r w:rsidRPr="0018632F">
              <w:rPr>
                <w:rFonts w:asciiTheme="majorBidi" w:hAnsiTheme="majorBidi" w:cstheme="majorBidi"/>
              </w:rPr>
              <w:t xml:space="preserve">In 2018, Juvenile Justice Advocates International coauthored a report titled </w:t>
            </w:r>
            <w:r w:rsidRPr="0018632F">
              <w:rPr>
                <w:rFonts w:asciiTheme="majorBidi" w:hAnsiTheme="majorBidi" w:cstheme="majorBidi"/>
                <w:i/>
                <w:iCs/>
              </w:rPr>
              <w:t>Children in Pretrial Detention: Promoting Stronger International Time Limits</w:t>
            </w:r>
            <w:r w:rsidRPr="0018632F">
              <w:rPr>
                <w:rFonts w:asciiTheme="majorBidi" w:hAnsiTheme="majorBidi" w:cstheme="majorBidi"/>
              </w:rPr>
              <w:t xml:space="preserve">. The report is the first global study of the legally permissible length of pretrial detention of children. Looking at the legal limits in 118 countries, the report found that 26% of the countries examined have no time limit and 40% of countries have limits that allow exceptions and extensions, which risks indefinite detention. The report also found that countries have not been collecting or reporting data concerning the actual length of time children spend in detention while awaiting trial. </w:t>
            </w:r>
          </w:p>
          <w:p w14:paraId="38AC09EB" w14:textId="77777777" w:rsidR="00EB1197" w:rsidRPr="0018632F" w:rsidRDefault="00EB1197" w:rsidP="009A4920">
            <w:pPr>
              <w:widowControl w:val="0"/>
              <w:rPr>
                <w:rFonts w:asciiTheme="majorBidi" w:hAnsiTheme="majorBidi" w:cstheme="majorBidi"/>
              </w:rPr>
            </w:pPr>
          </w:p>
          <w:p w14:paraId="3B055C5B" w14:textId="77777777" w:rsidR="00EB1197" w:rsidRPr="0018632F" w:rsidRDefault="00EB1197" w:rsidP="009A4920">
            <w:pPr>
              <w:widowControl w:val="0"/>
              <w:rPr>
                <w:rFonts w:asciiTheme="majorBidi" w:hAnsiTheme="majorBidi" w:cstheme="majorBidi"/>
              </w:rPr>
            </w:pPr>
            <w:r w:rsidRPr="0018632F">
              <w:rPr>
                <w:rFonts w:asciiTheme="majorBidi" w:hAnsiTheme="majorBidi" w:cstheme="majorBidi"/>
              </w:rPr>
              <w:t xml:space="preserve">The </w:t>
            </w:r>
            <w:r w:rsidRPr="0018632F">
              <w:rPr>
                <w:rFonts w:asciiTheme="majorBidi" w:hAnsiTheme="majorBidi" w:cstheme="majorBidi"/>
                <w:i/>
              </w:rPr>
              <w:t>Children in Pretrial Detention: Promoting Stronger International Time Limits</w:t>
            </w:r>
            <w:r w:rsidRPr="0018632F">
              <w:rPr>
                <w:rFonts w:asciiTheme="majorBidi" w:hAnsiTheme="majorBidi" w:cstheme="majorBidi"/>
              </w:rPr>
              <w:t xml:space="preserve"> report serves as a baseline for the Committee to expand on country practices regarding times of pretrial detention of children. </w:t>
            </w:r>
          </w:p>
          <w:p w14:paraId="57B4DCAF" w14:textId="77777777" w:rsidR="00EB1197" w:rsidRPr="0018632F" w:rsidRDefault="00EB1197" w:rsidP="009A4920">
            <w:pPr>
              <w:widowControl w:val="0"/>
              <w:rPr>
                <w:rFonts w:asciiTheme="majorBidi" w:eastAsia="Times New Roman" w:hAnsiTheme="majorBidi" w:cstheme="majorBidi"/>
                <w:color w:val="222222"/>
                <w:shd w:val="clear" w:color="auto" w:fill="FFFFFF"/>
              </w:rPr>
            </w:pPr>
            <w:r w:rsidRPr="0018632F">
              <w:rPr>
                <w:rFonts w:asciiTheme="majorBidi" w:hAnsiTheme="majorBidi" w:cstheme="majorBidi"/>
              </w:rPr>
              <w:br w:type="page"/>
            </w:r>
            <w:bookmarkStart w:id="4" w:name="_4g83oi30h3up" w:colFirst="0" w:colLast="0"/>
            <w:bookmarkEnd w:id="4"/>
          </w:p>
          <w:p w14:paraId="5083064E" w14:textId="77777777" w:rsidR="00EB1197" w:rsidRPr="0018632F" w:rsidRDefault="00EB1197" w:rsidP="009A4920">
            <w:pPr>
              <w:widowControl w:val="0"/>
              <w:rPr>
                <w:rFonts w:asciiTheme="majorBidi" w:eastAsia="Times New Roman" w:hAnsiTheme="majorBidi" w:cstheme="majorBidi"/>
                <w:color w:val="222222"/>
                <w:shd w:val="clear" w:color="auto" w:fill="FFFFFF"/>
              </w:rPr>
            </w:pPr>
            <w:r w:rsidRPr="0018632F">
              <w:rPr>
                <w:rFonts w:asciiTheme="majorBidi" w:eastAsia="Times New Roman" w:hAnsiTheme="majorBidi" w:cstheme="majorBidi"/>
                <w:color w:val="222222"/>
                <w:shd w:val="clear" w:color="auto" w:fill="FFFFFF"/>
              </w:rPr>
              <w:t>Methodology:</w:t>
            </w:r>
          </w:p>
          <w:p w14:paraId="4D95CB48" w14:textId="77777777" w:rsidR="00EB1197" w:rsidRPr="0018632F" w:rsidRDefault="00EB1197" w:rsidP="009A4920">
            <w:pPr>
              <w:widowControl w:val="0"/>
              <w:rPr>
                <w:rFonts w:asciiTheme="majorBidi" w:eastAsia="Times New Roman" w:hAnsiTheme="majorBidi" w:cstheme="majorBidi"/>
                <w:color w:val="222222"/>
                <w:shd w:val="clear" w:color="auto" w:fill="FFFFFF"/>
              </w:rPr>
            </w:pPr>
          </w:p>
          <w:p w14:paraId="06A4670C" w14:textId="77777777" w:rsidR="00EB1197" w:rsidRPr="0018632F" w:rsidRDefault="00EB1197" w:rsidP="009A4920">
            <w:pPr>
              <w:widowControl w:val="0"/>
              <w:rPr>
                <w:rFonts w:asciiTheme="majorBidi" w:eastAsia="Times New Roman" w:hAnsiTheme="majorBidi" w:cstheme="majorBidi"/>
                <w:color w:val="222222"/>
                <w:shd w:val="clear" w:color="auto" w:fill="FFFFFF"/>
              </w:rPr>
            </w:pPr>
            <w:r w:rsidRPr="0018632F">
              <w:rPr>
                <w:rFonts w:asciiTheme="majorBidi" w:eastAsia="Times New Roman" w:hAnsiTheme="majorBidi" w:cstheme="majorBidi"/>
                <w:color w:val="222222"/>
                <w:shd w:val="clear" w:color="auto" w:fill="FFFFFF"/>
              </w:rPr>
              <w:t xml:space="preserve">This alternative report is based on the </w:t>
            </w:r>
            <w:r w:rsidRPr="0018632F">
              <w:rPr>
                <w:rFonts w:asciiTheme="majorBidi" w:eastAsia="Times New Roman" w:hAnsiTheme="majorBidi" w:cstheme="majorBidi"/>
                <w:i/>
                <w:color w:val="222222"/>
                <w:shd w:val="clear" w:color="auto" w:fill="FFFFFF"/>
              </w:rPr>
              <w:t xml:space="preserve">Children in Pretrial Detention </w:t>
            </w:r>
            <w:r w:rsidRPr="0018632F">
              <w:rPr>
                <w:rFonts w:asciiTheme="majorBidi" w:eastAsia="Times New Roman" w:hAnsiTheme="majorBidi" w:cstheme="majorBidi"/>
                <w:color w:val="222222"/>
                <w:shd w:val="clear" w:color="auto" w:fill="FFFFFF"/>
              </w:rPr>
              <w:t>report on pretrial detention times of 118 CRC State parties.</w:t>
            </w:r>
            <w:r w:rsidRPr="0018632F">
              <w:rPr>
                <w:rStyle w:val="FootnoteReference"/>
                <w:rFonts w:asciiTheme="majorBidi" w:eastAsia="Times New Roman" w:hAnsiTheme="majorBidi" w:cstheme="majorBidi"/>
                <w:color w:val="222222"/>
                <w:shd w:val="clear" w:color="auto" w:fill="FFFFFF"/>
              </w:rPr>
              <w:footnoteReference w:id="8"/>
            </w:r>
            <w:r w:rsidRPr="0018632F">
              <w:rPr>
                <w:rFonts w:asciiTheme="majorBidi" w:eastAsia="Times New Roman" w:hAnsiTheme="majorBidi" w:cstheme="majorBidi"/>
                <w:color w:val="222222"/>
                <w:shd w:val="clear" w:color="auto" w:fill="FFFFFF"/>
              </w:rPr>
              <w:t xml:space="preserve"> The report reviewed statutes or court rules in force at the time that the data was collected. </w:t>
            </w:r>
          </w:p>
          <w:p w14:paraId="6C11DB53" w14:textId="77777777" w:rsidR="00EB1197" w:rsidRPr="0018632F" w:rsidRDefault="00EB1197" w:rsidP="009A4920">
            <w:pPr>
              <w:widowControl w:val="0"/>
              <w:rPr>
                <w:rFonts w:asciiTheme="majorBidi" w:eastAsia="Times New Roman" w:hAnsiTheme="majorBidi" w:cstheme="majorBidi"/>
                <w:color w:val="222222"/>
                <w:shd w:val="clear" w:color="auto" w:fill="FFFFFF"/>
              </w:rPr>
            </w:pPr>
          </w:p>
          <w:p w14:paraId="0417E030" w14:textId="77777777" w:rsidR="00EB1197" w:rsidRPr="0018632F" w:rsidRDefault="00EB1197" w:rsidP="009A4920">
            <w:pPr>
              <w:widowControl w:val="0"/>
              <w:rPr>
                <w:rFonts w:asciiTheme="majorBidi" w:eastAsia="Times New Roman" w:hAnsiTheme="majorBidi" w:cstheme="majorBidi"/>
                <w:color w:val="222222"/>
                <w:shd w:val="clear" w:color="auto" w:fill="FFFFFF"/>
              </w:rPr>
            </w:pPr>
            <w:r w:rsidRPr="0018632F">
              <w:rPr>
                <w:rFonts w:asciiTheme="majorBidi" w:eastAsia="Times New Roman" w:hAnsiTheme="majorBidi" w:cstheme="majorBidi"/>
                <w:color w:val="222222"/>
                <w:shd w:val="clear" w:color="auto" w:fill="FFFFFF"/>
              </w:rPr>
              <w:t>Where possible, the report defines the statutory time period of pretrial detention as the statutory maximum length of detention from arrest the case is resolved and a sentence is established. However, some jurisdictions define pretrial detention</w:t>
            </w:r>
            <w:r w:rsidRPr="0018632F" w:rsidDel="002B3A25">
              <w:rPr>
                <w:rFonts w:asciiTheme="majorBidi" w:eastAsia="Times New Roman" w:hAnsiTheme="majorBidi" w:cstheme="majorBidi"/>
                <w:color w:val="222222"/>
                <w:shd w:val="clear" w:color="auto" w:fill="FFFFFF"/>
              </w:rPr>
              <w:t xml:space="preserve"> </w:t>
            </w:r>
            <w:r w:rsidRPr="0018632F">
              <w:rPr>
                <w:rFonts w:asciiTheme="majorBidi" w:eastAsia="Times New Roman" w:hAnsiTheme="majorBidi" w:cstheme="majorBidi"/>
                <w:color w:val="222222"/>
                <w:shd w:val="clear" w:color="auto" w:fill="FFFFFF"/>
              </w:rPr>
              <w:t xml:space="preserve">differently or set limits based on alternative procedural milestones. Where this is the case, the statutory time period of pretrial detention was based on the national law’s definition of pretrial detention. </w:t>
            </w:r>
          </w:p>
          <w:p w14:paraId="23004D9B" w14:textId="77777777" w:rsidR="00EB1197" w:rsidRPr="0018632F" w:rsidRDefault="00EB1197" w:rsidP="009A4920">
            <w:pPr>
              <w:widowControl w:val="0"/>
              <w:rPr>
                <w:rFonts w:asciiTheme="majorBidi" w:eastAsia="Times New Roman" w:hAnsiTheme="majorBidi" w:cstheme="majorBidi"/>
                <w:color w:val="222222"/>
                <w:shd w:val="clear" w:color="auto" w:fill="FFFFFF"/>
              </w:rPr>
            </w:pPr>
          </w:p>
          <w:p w14:paraId="5DAE07AD" w14:textId="77777777" w:rsidR="00EB1197" w:rsidRPr="0018632F" w:rsidRDefault="00EB1197" w:rsidP="009A4920">
            <w:pPr>
              <w:widowControl w:val="0"/>
              <w:rPr>
                <w:rFonts w:asciiTheme="majorBidi" w:eastAsia="Times New Roman" w:hAnsiTheme="majorBidi" w:cstheme="majorBidi"/>
                <w:color w:val="222222"/>
                <w:shd w:val="clear" w:color="auto" w:fill="FFFFFF"/>
              </w:rPr>
            </w:pPr>
            <w:r w:rsidRPr="0018632F">
              <w:rPr>
                <w:rFonts w:asciiTheme="majorBidi" w:hAnsiTheme="majorBidi" w:cstheme="majorBidi"/>
              </w:rPr>
              <w:t xml:space="preserve">Most jurisdictions did not indicate any time limit for children in pretrial detention pending appeal. For the sake of uniformity, only limits based on pretrial detention before the first adjudication were used. </w:t>
            </w:r>
          </w:p>
        </w:tc>
      </w:tr>
    </w:tbl>
    <w:p w14:paraId="7E77BBB0" w14:textId="77777777" w:rsidR="00EB1197" w:rsidRDefault="00EB1197" w:rsidP="00EB1197">
      <w:pPr>
        <w:widowControl w:val="0"/>
        <w:rPr>
          <w:rFonts w:asciiTheme="majorBidi" w:hAnsiTheme="majorBidi" w:cstheme="majorBidi"/>
        </w:rPr>
      </w:pPr>
    </w:p>
    <w:p w14:paraId="52684E8A" w14:textId="21E06740" w:rsidR="00EB1197" w:rsidRPr="0018632F" w:rsidRDefault="00AD6550" w:rsidP="00EB1197">
      <w:pPr>
        <w:widowControl w:val="0"/>
        <w:jc w:val="center"/>
        <w:rPr>
          <w:rFonts w:asciiTheme="majorBidi" w:hAnsiTheme="majorBidi" w:cstheme="majorBidi"/>
          <w:b/>
        </w:rPr>
      </w:pPr>
      <w:r>
        <w:rPr>
          <w:rFonts w:asciiTheme="majorBidi" w:hAnsiTheme="majorBidi" w:cstheme="majorBidi"/>
          <w:b/>
          <w:bCs/>
          <w:sz w:val="28"/>
          <w:szCs w:val="28"/>
        </w:rPr>
        <w:lastRenderedPageBreak/>
        <w:t>Philippines</w:t>
      </w:r>
    </w:p>
    <w:p w14:paraId="0699EADD" w14:textId="77777777" w:rsidR="00EB1197" w:rsidRPr="0018632F" w:rsidRDefault="00EB1197" w:rsidP="00EB1197">
      <w:pPr>
        <w:widowControl w:val="0"/>
        <w:rPr>
          <w:rFonts w:asciiTheme="majorBidi" w:hAnsiTheme="majorBidi" w:cstheme="majorBidi"/>
        </w:rPr>
      </w:pPr>
    </w:p>
    <w:tbl>
      <w:tblPr>
        <w:tblStyle w:val="TableGrid"/>
        <w:tblW w:w="8856" w:type="dxa"/>
        <w:tblLayout w:type="fixed"/>
        <w:tblLook w:val="04A0" w:firstRow="1" w:lastRow="0" w:firstColumn="1" w:lastColumn="0" w:noHBand="0" w:noVBand="1"/>
      </w:tblPr>
      <w:tblGrid>
        <w:gridCol w:w="2141"/>
        <w:gridCol w:w="6715"/>
      </w:tblGrid>
      <w:tr w:rsidR="00EB1197" w:rsidRPr="0018632F" w14:paraId="2E9ACF93" w14:textId="77777777" w:rsidTr="009A4920">
        <w:tc>
          <w:tcPr>
            <w:tcW w:w="8856" w:type="dxa"/>
            <w:gridSpan w:val="2"/>
          </w:tcPr>
          <w:p w14:paraId="59D3D4E2" w14:textId="5245C06A" w:rsidR="00EB1197" w:rsidRPr="0018632F" w:rsidRDefault="00AD6550" w:rsidP="009A4920">
            <w:pPr>
              <w:widowControl w:val="0"/>
              <w:rPr>
                <w:rFonts w:asciiTheme="majorBidi" w:hAnsiTheme="majorBidi" w:cstheme="majorBidi"/>
              </w:rPr>
            </w:pPr>
            <w:r>
              <w:rPr>
                <w:rFonts w:asciiTheme="majorBidi" w:hAnsiTheme="majorBidi" w:cstheme="majorBidi"/>
              </w:rPr>
              <w:t xml:space="preserve">Philippines has no limit on the detention of children </w:t>
            </w:r>
            <w:r w:rsidR="00F41073">
              <w:rPr>
                <w:rFonts w:asciiTheme="majorBidi" w:hAnsiTheme="majorBidi" w:cstheme="majorBidi"/>
              </w:rPr>
              <w:t xml:space="preserve">or adults </w:t>
            </w:r>
            <w:r>
              <w:rPr>
                <w:rFonts w:asciiTheme="majorBidi" w:hAnsiTheme="majorBidi" w:cstheme="majorBidi"/>
              </w:rPr>
              <w:t xml:space="preserve">awaiting trial. </w:t>
            </w:r>
            <w:r w:rsidR="00F41073">
              <w:rPr>
                <w:rFonts w:asciiTheme="majorBidi" w:hAnsiTheme="majorBidi" w:cstheme="majorBidi"/>
              </w:rPr>
              <w:t xml:space="preserve">An accused person may be detained </w:t>
            </w:r>
            <w:r w:rsidR="00A42A7B">
              <w:rPr>
                <w:rFonts w:asciiTheme="majorBidi" w:hAnsiTheme="majorBidi" w:cstheme="majorBidi"/>
              </w:rPr>
              <w:t>while awaiting trial for a period equal to the maximum imprisonment possible for the crime with which he/she is charged.</w:t>
            </w:r>
          </w:p>
        </w:tc>
      </w:tr>
      <w:tr w:rsidR="00EB1197" w:rsidRPr="0018632F" w14:paraId="2761ECA0" w14:textId="77777777" w:rsidTr="009A4920">
        <w:tc>
          <w:tcPr>
            <w:tcW w:w="2141" w:type="dxa"/>
          </w:tcPr>
          <w:p w14:paraId="0419FC58" w14:textId="77777777" w:rsidR="00EB1197" w:rsidRPr="0018632F" w:rsidRDefault="00EB1197" w:rsidP="009A4920">
            <w:pPr>
              <w:widowControl w:val="0"/>
              <w:rPr>
                <w:rFonts w:asciiTheme="majorBidi" w:hAnsiTheme="majorBidi" w:cstheme="majorBidi"/>
              </w:rPr>
            </w:pPr>
            <w:r w:rsidRPr="0018632F">
              <w:rPr>
                <w:rFonts w:asciiTheme="majorBidi" w:hAnsiTheme="majorBidi" w:cstheme="majorBidi"/>
              </w:rPr>
              <w:t>Statute Citation</w:t>
            </w:r>
          </w:p>
        </w:tc>
        <w:tc>
          <w:tcPr>
            <w:tcW w:w="6715" w:type="dxa"/>
          </w:tcPr>
          <w:p w14:paraId="2D70329C" w14:textId="1A126B61" w:rsidR="00A42A7B" w:rsidRPr="00A42A7B" w:rsidRDefault="00A42A7B" w:rsidP="00A42A7B">
            <w:pPr>
              <w:widowControl w:val="0"/>
              <w:ind w:hanging="2"/>
              <w:rPr>
                <w:rFonts w:asciiTheme="majorBidi" w:hAnsiTheme="majorBidi" w:cstheme="majorBidi"/>
                <w:b/>
              </w:rPr>
            </w:pPr>
            <w:r w:rsidRPr="00A42A7B">
              <w:rPr>
                <w:rFonts w:asciiTheme="majorBidi" w:hAnsiTheme="majorBidi" w:cstheme="majorBidi"/>
                <w:b/>
              </w:rPr>
              <w:t>Republic Act No. 10592</w:t>
            </w:r>
          </w:p>
          <w:p w14:paraId="445264F6" w14:textId="77777777" w:rsidR="00A42A7B" w:rsidRPr="00A42A7B" w:rsidRDefault="00A42A7B" w:rsidP="00A42A7B">
            <w:pPr>
              <w:widowControl w:val="0"/>
              <w:ind w:hanging="2"/>
              <w:rPr>
                <w:rFonts w:asciiTheme="majorBidi" w:hAnsiTheme="majorBidi" w:cstheme="majorBidi"/>
                <w:bCs/>
              </w:rPr>
            </w:pPr>
          </w:p>
          <w:p w14:paraId="78956BCE" w14:textId="3CDB814E" w:rsidR="00A42A7B" w:rsidRDefault="00A42A7B" w:rsidP="00A42A7B">
            <w:pPr>
              <w:widowControl w:val="0"/>
              <w:ind w:hanging="2"/>
              <w:rPr>
                <w:rFonts w:asciiTheme="majorBidi" w:hAnsiTheme="majorBidi" w:cstheme="majorBidi"/>
                <w:bCs/>
              </w:rPr>
            </w:pPr>
            <w:r w:rsidRPr="00A42A7B">
              <w:rPr>
                <w:rFonts w:asciiTheme="majorBidi" w:hAnsiTheme="majorBidi" w:cstheme="majorBidi"/>
                <w:bCs/>
              </w:rPr>
              <w:t xml:space="preserve">An Act Amending Articles 29, 94, 97, 98 And 99 Of Act No. 3815, As Amended, Otherwise Known </w:t>
            </w:r>
            <w:r>
              <w:rPr>
                <w:rFonts w:asciiTheme="majorBidi" w:hAnsiTheme="majorBidi" w:cstheme="majorBidi"/>
                <w:bCs/>
              </w:rPr>
              <w:t>a</w:t>
            </w:r>
            <w:r w:rsidRPr="00A42A7B">
              <w:rPr>
                <w:rFonts w:asciiTheme="majorBidi" w:hAnsiTheme="majorBidi" w:cstheme="majorBidi"/>
                <w:bCs/>
              </w:rPr>
              <w:t xml:space="preserve">s </w:t>
            </w:r>
            <w:r>
              <w:rPr>
                <w:rFonts w:asciiTheme="majorBidi" w:hAnsiTheme="majorBidi" w:cstheme="majorBidi"/>
                <w:bCs/>
              </w:rPr>
              <w:t>t</w:t>
            </w:r>
            <w:r w:rsidRPr="00A42A7B">
              <w:rPr>
                <w:rFonts w:asciiTheme="majorBidi" w:hAnsiTheme="majorBidi" w:cstheme="majorBidi"/>
                <w:bCs/>
              </w:rPr>
              <w:t>he Revised Penal Code</w:t>
            </w:r>
          </w:p>
          <w:p w14:paraId="4B97035A" w14:textId="77777777" w:rsidR="00A42A7B" w:rsidRDefault="00A42A7B" w:rsidP="00A42A7B">
            <w:pPr>
              <w:widowControl w:val="0"/>
              <w:ind w:hanging="2"/>
              <w:rPr>
                <w:rFonts w:asciiTheme="majorBidi" w:hAnsiTheme="majorBidi" w:cstheme="majorBidi"/>
                <w:bCs/>
              </w:rPr>
            </w:pPr>
          </w:p>
          <w:p w14:paraId="519E755E" w14:textId="1755A491" w:rsidR="00A42A7B" w:rsidRPr="00A42A7B" w:rsidRDefault="00A42A7B" w:rsidP="00A42A7B">
            <w:pPr>
              <w:widowControl w:val="0"/>
              <w:ind w:hanging="2"/>
              <w:rPr>
                <w:rFonts w:asciiTheme="majorBidi" w:hAnsiTheme="majorBidi" w:cstheme="majorBidi"/>
                <w:bCs/>
              </w:rPr>
            </w:pPr>
            <w:r w:rsidRPr="00A42A7B">
              <w:rPr>
                <w:rFonts w:asciiTheme="majorBidi" w:hAnsiTheme="majorBidi" w:cstheme="majorBidi"/>
                <w:bCs/>
              </w:rPr>
              <w:t>Section 1. Article 29 of Act No. 3815, as amended, otherwise known as the Revised Penal Code, is hereby further amended to read as follows:</w:t>
            </w:r>
          </w:p>
          <w:p w14:paraId="47097615" w14:textId="77777777" w:rsidR="00A42A7B" w:rsidRPr="00A42A7B" w:rsidRDefault="00A42A7B" w:rsidP="00A42A7B">
            <w:pPr>
              <w:widowControl w:val="0"/>
              <w:ind w:hanging="2"/>
              <w:rPr>
                <w:rFonts w:asciiTheme="majorBidi" w:hAnsiTheme="majorBidi" w:cstheme="majorBidi"/>
                <w:bCs/>
              </w:rPr>
            </w:pPr>
          </w:p>
          <w:p w14:paraId="5103E2CA" w14:textId="4EAB3B0F" w:rsidR="00A42A7B" w:rsidRPr="00A42A7B" w:rsidRDefault="00A42A7B" w:rsidP="00A42A7B">
            <w:pPr>
              <w:widowControl w:val="0"/>
              <w:ind w:hanging="2"/>
              <w:rPr>
                <w:rFonts w:asciiTheme="majorBidi" w:hAnsiTheme="majorBidi" w:cstheme="majorBidi"/>
                <w:bCs/>
              </w:rPr>
            </w:pPr>
            <w:r w:rsidRPr="00A42A7B">
              <w:rPr>
                <w:rFonts w:asciiTheme="majorBidi" w:hAnsiTheme="majorBidi" w:cstheme="majorBidi"/>
                <w:bCs/>
              </w:rPr>
              <w:t>ART. 29. Period of preventive imprisonment deducted from term of imprisonment. – Offenders or accused who have undergone preventive imprisonment shall be credited in the service of their sentence consisting of deprivation of liberty, with the full time during which they have undergone preventive imprisonment if the detention prisoner agrees voluntarily in writing after being informed of the effects thereof and with the assistance of counsel to abide by the same disciplinary rules imposed upon convicted prisoners, except in the following cases:</w:t>
            </w:r>
          </w:p>
          <w:p w14:paraId="766E6654" w14:textId="1A058358" w:rsidR="00A42A7B" w:rsidRPr="00A42A7B" w:rsidRDefault="00A42A7B" w:rsidP="00A42A7B">
            <w:pPr>
              <w:widowControl w:val="0"/>
              <w:ind w:firstLine="448"/>
              <w:rPr>
                <w:rFonts w:asciiTheme="majorBidi" w:hAnsiTheme="majorBidi" w:cstheme="majorBidi"/>
                <w:bCs/>
              </w:rPr>
            </w:pPr>
            <w:r w:rsidRPr="00A42A7B">
              <w:rPr>
                <w:rFonts w:asciiTheme="majorBidi" w:hAnsiTheme="majorBidi" w:cstheme="majorBidi"/>
                <w:bCs/>
              </w:rPr>
              <w:t>1. When they are recidivists, or have been convicted previously twice or more times of any crime; and</w:t>
            </w:r>
          </w:p>
          <w:p w14:paraId="543320F0" w14:textId="608C9917" w:rsidR="00A42A7B" w:rsidRPr="00A42A7B" w:rsidRDefault="00A42A7B" w:rsidP="00A42A7B">
            <w:pPr>
              <w:widowControl w:val="0"/>
              <w:ind w:firstLine="448"/>
              <w:rPr>
                <w:rFonts w:asciiTheme="majorBidi" w:hAnsiTheme="majorBidi" w:cstheme="majorBidi"/>
                <w:bCs/>
              </w:rPr>
            </w:pPr>
            <w:r w:rsidRPr="00A42A7B">
              <w:rPr>
                <w:rFonts w:asciiTheme="majorBidi" w:hAnsiTheme="majorBidi" w:cstheme="majorBidi"/>
                <w:bCs/>
              </w:rPr>
              <w:t>2. When upon being summoned for the execution of their sentence they have failed to surrender voluntarily.</w:t>
            </w:r>
          </w:p>
          <w:p w14:paraId="48838B53" w14:textId="77777777" w:rsidR="00A42A7B" w:rsidRPr="00A42A7B" w:rsidRDefault="00A42A7B" w:rsidP="00A42A7B">
            <w:pPr>
              <w:widowControl w:val="0"/>
              <w:ind w:hanging="2"/>
              <w:rPr>
                <w:rFonts w:asciiTheme="majorBidi" w:hAnsiTheme="majorBidi" w:cstheme="majorBidi"/>
                <w:bCs/>
              </w:rPr>
            </w:pPr>
          </w:p>
          <w:p w14:paraId="7984DDD1" w14:textId="0CD9E432" w:rsidR="00A42A7B" w:rsidRPr="00A42A7B" w:rsidRDefault="00A42A7B" w:rsidP="00A42A7B">
            <w:pPr>
              <w:widowControl w:val="0"/>
              <w:ind w:hanging="2"/>
              <w:rPr>
                <w:rFonts w:asciiTheme="majorBidi" w:hAnsiTheme="majorBidi" w:cstheme="majorBidi"/>
                <w:bCs/>
              </w:rPr>
            </w:pPr>
            <w:r w:rsidRPr="00A42A7B">
              <w:rPr>
                <w:rFonts w:asciiTheme="majorBidi" w:hAnsiTheme="majorBidi" w:cstheme="majorBidi"/>
                <w:bCs/>
              </w:rPr>
              <w:t>If the detention prisoner does not agree to abide by the same disciplinary rules imposed upon convicted prisoners, he shall do so in writing with the assistance of a counsel and shall be credited in the service of his sentence with four-fifths of the time during which he has undergone preventive imprisonment.</w:t>
            </w:r>
          </w:p>
          <w:p w14:paraId="793EA5FD" w14:textId="77777777" w:rsidR="00A42A7B" w:rsidRPr="00A42A7B" w:rsidRDefault="00A42A7B" w:rsidP="00A42A7B">
            <w:pPr>
              <w:widowControl w:val="0"/>
              <w:ind w:hanging="2"/>
              <w:rPr>
                <w:rFonts w:asciiTheme="majorBidi" w:hAnsiTheme="majorBidi" w:cstheme="majorBidi"/>
                <w:bCs/>
              </w:rPr>
            </w:pPr>
          </w:p>
          <w:p w14:paraId="7372DFE8" w14:textId="4031ED48" w:rsidR="00A42A7B" w:rsidRPr="00A42A7B" w:rsidRDefault="00A42A7B" w:rsidP="00A42A7B">
            <w:pPr>
              <w:widowControl w:val="0"/>
              <w:ind w:hanging="2"/>
              <w:rPr>
                <w:rFonts w:asciiTheme="majorBidi" w:hAnsiTheme="majorBidi" w:cstheme="majorBidi"/>
                <w:bCs/>
              </w:rPr>
            </w:pPr>
            <w:r w:rsidRPr="00A42A7B">
              <w:rPr>
                <w:rFonts w:asciiTheme="majorBidi" w:hAnsiTheme="majorBidi" w:cstheme="majorBidi"/>
                <w:bCs/>
              </w:rPr>
              <w:t xml:space="preserve">Credit for preventive imprisonment for the penalty of </w:t>
            </w:r>
            <w:r w:rsidRPr="00A42A7B">
              <w:rPr>
                <w:rFonts w:asciiTheme="majorBidi" w:hAnsiTheme="majorBidi" w:cstheme="majorBidi"/>
                <w:bCs/>
                <w:i/>
                <w:iCs/>
              </w:rPr>
              <w:t>reclusion</w:t>
            </w:r>
            <w:r w:rsidRPr="00A42A7B">
              <w:rPr>
                <w:rFonts w:asciiTheme="majorBidi" w:hAnsiTheme="majorBidi" w:cstheme="majorBidi"/>
                <w:bCs/>
              </w:rPr>
              <w:t xml:space="preserve"> </w:t>
            </w:r>
            <w:proofErr w:type="spellStart"/>
            <w:r w:rsidRPr="00A42A7B">
              <w:rPr>
                <w:rFonts w:asciiTheme="majorBidi" w:hAnsiTheme="majorBidi" w:cstheme="majorBidi"/>
                <w:bCs/>
                <w:i/>
                <w:iCs/>
              </w:rPr>
              <w:t>perpetua</w:t>
            </w:r>
            <w:proofErr w:type="spellEnd"/>
            <w:r w:rsidRPr="00A42A7B">
              <w:rPr>
                <w:rFonts w:asciiTheme="majorBidi" w:hAnsiTheme="majorBidi" w:cstheme="majorBidi"/>
                <w:bCs/>
              </w:rPr>
              <w:t xml:space="preserve"> shall be deducted from thirty (30) years.</w:t>
            </w:r>
          </w:p>
          <w:p w14:paraId="1904B102" w14:textId="77777777" w:rsidR="00A42A7B" w:rsidRPr="00A42A7B" w:rsidRDefault="00A42A7B" w:rsidP="00A42A7B">
            <w:pPr>
              <w:widowControl w:val="0"/>
              <w:ind w:hanging="2"/>
              <w:rPr>
                <w:rFonts w:asciiTheme="majorBidi" w:hAnsiTheme="majorBidi" w:cstheme="majorBidi"/>
                <w:bCs/>
              </w:rPr>
            </w:pPr>
          </w:p>
          <w:p w14:paraId="63FACB9B" w14:textId="0176D2C3" w:rsidR="00EB1197" w:rsidRPr="0018632F" w:rsidRDefault="00A42A7B" w:rsidP="00A42A7B">
            <w:pPr>
              <w:widowControl w:val="0"/>
              <w:ind w:hanging="2"/>
              <w:rPr>
                <w:rFonts w:asciiTheme="majorBidi" w:hAnsiTheme="majorBidi" w:cstheme="majorBidi"/>
                <w:bCs/>
              </w:rPr>
            </w:pPr>
            <w:r w:rsidRPr="00A42A7B">
              <w:rPr>
                <w:rFonts w:asciiTheme="majorBidi" w:hAnsiTheme="majorBidi" w:cstheme="majorBidi"/>
                <w:bCs/>
              </w:rPr>
              <w:t xml:space="preserve">Whenever an accused has undergone preventive imprisonment for a period equal to the possible maximum imprisonment of the offense charged to which he may be sentenced and his case is not yet terminated, he shall be released immediately without prejudice to the continuation of the trial thereof or the proceeding on appeal, if the same is under review. Computation of preventive imprisonment for purposes of immediate release under this paragraph shall be the actual period of detention with good conduct time allowance: Provided, however, That if the accused is absent </w:t>
            </w:r>
            <w:r w:rsidRPr="00A42A7B">
              <w:rPr>
                <w:rFonts w:asciiTheme="majorBidi" w:hAnsiTheme="majorBidi" w:cstheme="majorBidi"/>
                <w:bCs/>
              </w:rPr>
              <w:lastRenderedPageBreak/>
              <w:t xml:space="preserve">without justifiable cause at any stage of the trial, the court may </w:t>
            </w:r>
            <w:r w:rsidRPr="00A42A7B">
              <w:rPr>
                <w:rFonts w:asciiTheme="majorBidi" w:hAnsiTheme="majorBidi" w:cstheme="majorBidi"/>
                <w:bCs/>
                <w:i/>
                <w:iCs/>
              </w:rPr>
              <w:t>motu proprio</w:t>
            </w:r>
            <w:r w:rsidRPr="00A42A7B">
              <w:rPr>
                <w:rFonts w:asciiTheme="majorBidi" w:hAnsiTheme="majorBidi" w:cstheme="majorBidi"/>
                <w:bCs/>
              </w:rPr>
              <w:t xml:space="preserve"> order the </w:t>
            </w:r>
            <w:proofErr w:type="spellStart"/>
            <w:r w:rsidRPr="00A42A7B">
              <w:rPr>
                <w:rFonts w:asciiTheme="majorBidi" w:hAnsiTheme="majorBidi" w:cstheme="majorBidi"/>
                <w:bCs/>
              </w:rPr>
              <w:t>rearrest</w:t>
            </w:r>
            <w:proofErr w:type="spellEnd"/>
            <w:r w:rsidRPr="00A42A7B">
              <w:rPr>
                <w:rFonts w:asciiTheme="majorBidi" w:hAnsiTheme="majorBidi" w:cstheme="majorBidi"/>
                <w:bCs/>
              </w:rPr>
              <w:t xml:space="preserve"> of the accused: Provided, finally, That recidivists, habitual delinquents, escapees and persons charged with heinous crimes are excluded from the coverage of this Act. In case the maximum penalty to which the accused may be sentenced is </w:t>
            </w:r>
            <w:proofErr w:type="spellStart"/>
            <w:r w:rsidRPr="00A42A7B">
              <w:rPr>
                <w:rFonts w:asciiTheme="majorBidi" w:hAnsiTheme="majorBidi" w:cstheme="majorBidi"/>
                <w:bCs/>
                <w:i/>
                <w:iCs/>
              </w:rPr>
              <w:t>lestierro</w:t>
            </w:r>
            <w:proofErr w:type="spellEnd"/>
            <w:r w:rsidRPr="00A42A7B">
              <w:rPr>
                <w:rFonts w:asciiTheme="majorBidi" w:hAnsiTheme="majorBidi" w:cstheme="majorBidi"/>
                <w:bCs/>
              </w:rPr>
              <w:t>, he shall be released after thirty (30) days of preventive imprisonment.</w:t>
            </w:r>
          </w:p>
        </w:tc>
      </w:tr>
      <w:tr w:rsidR="00EB1197" w:rsidRPr="0018632F" w14:paraId="50FC7F88" w14:textId="77777777" w:rsidTr="009A4920">
        <w:tc>
          <w:tcPr>
            <w:tcW w:w="2141" w:type="dxa"/>
          </w:tcPr>
          <w:p w14:paraId="72BF7E81" w14:textId="77777777" w:rsidR="00EB1197" w:rsidRPr="0018632F" w:rsidRDefault="00EB1197" w:rsidP="009A4920">
            <w:pPr>
              <w:widowControl w:val="0"/>
              <w:rPr>
                <w:rFonts w:asciiTheme="majorBidi" w:hAnsiTheme="majorBidi" w:cstheme="majorBidi"/>
              </w:rPr>
            </w:pPr>
            <w:r w:rsidRPr="0018632F">
              <w:rPr>
                <w:rFonts w:asciiTheme="majorBidi" w:hAnsiTheme="majorBidi" w:cstheme="majorBidi"/>
              </w:rPr>
              <w:lastRenderedPageBreak/>
              <w:t>Recommended changes to statutory limit according to international law:</w:t>
            </w:r>
          </w:p>
        </w:tc>
        <w:tc>
          <w:tcPr>
            <w:tcW w:w="6715" w:type="dxa"/>
          </w:tcPr>
          <w:p w14:paraId="37650689" w14:textId="69BCB241" w:rsidR="00EB1197" w:rsidRPr="0018632F" w:rsidRDefault="00EB1197" w:rsidP="00EB1197">
            <w:pPr>
              <w:pStyle w:val="ListParagraph"/>
              <w:widowControl w:val="0"/>
              <w:numPr>
                <w:ilvl w:val="0"/>
                <w:numId w:val="4"/>
              </w:numPr>
              <w:spacing w:after="160" w:line="259" w:lineRule="auto"/>
              <w:ind w:left="354"/>
              <w:rPr>
                <w:rFonts w:asciiTheme="majorBidi" w:hAnsiTheme="majorBidi" w:cstheme="majorBidi"/>
              </w:rPr>
            </w:pPr>
            <w:r w:rsidRPr="0018632F">
              <w:rPr>
                <w:rFonts w:asciiTheme="majorBidi" w:hAnsiTheme="majorBidi" w:cstheme="majorBidi"/>
              </w:rPr>
              <w:t xml:space="preserve">JJAI recommends that </w:t>
            </w:r>
            <w:r w:rsidR="00AD6550">
              <w:rPr>
                <w:rFonts w:asciiTheme="majorBidi" w:hAnsiTheme="majorBidi" w:cstheme="majorBidi"/>
              </w:rPr>
              <w:t>Philippines</w:t>
            </w:r>
            <w:r w:rsidRPr="0018632F">
              <w:rPr>
                <w:rFonts w:asciiTheme="majorBidi" w:hAnsiTheme="majorBidi" w:cstheme="majorBidi"/>
              </w:rPr>
              <w:t xml:space="preserve"> starts working towards a 30-day </w:t>
            </w:r>
            <w:r>
              <w:rPr>
                <w:rFonts w:asciiTheme="majorBidi" w:hAnsiTheme="majorBidi" w:cstheme="majorBidi"/>
              </w:rPr>
              <w:t xml:space="preserve">limit </w:t>
            </w:r>
            <w:r w:rsidRPr="0018632F">
              <w:rPr>
                <w:rFonts w:asciiTheme="majorBidi" w:hAnsiTheme="majorBidi" w:cstheme="majorBidi"/>
              </w:rPr>
              <w:t xml:space="preserve">for children detained while awaiting trial under all courts. </w:t>
            </w:r>
          </w:p>
          <w:p w14:paraId="39B8905C" w14:textId="77777777" w:rsidR="00EB1197" w:rsidRPr="0018632F" w:rsidRDefault="00EB1197" w:rsidP="00EB1197">
            <w:pPr>
              <w:pStyle w:val="ListParagraph"/>
              <w:widowControl w:val="0"/>
              <w:numPr>
                <w:ilvl w:val="0"/>
                <w:numId w:val="4"/>
              </w:numPr>
              <w:spacing w:after="160" w:line="259" w:lineRule="auto"/>
              <w:ind w:left="354"/>
              <w:rPr>
                <w:rFonts w:asciiTheme="majorBidi" w:hAnsiTheme="majorBidi" w:cstheme="majorBidi"/>
              </w:rPr>
            </w:pPr>
            <w:r w:rsidRPr="0018632F">
              <w:rPr>
                <w:rFonts w:asciiTheme="majorBidi" w:hAnsiTheme="majorBidi" w:cstheme="majorBidi"/>
              </w:rPr>
              <w:t xml:space="preserve">JJAI recommends that pretrial detention only be allowed to be extended once by a judge for up to 30 more days based upon the procedural needs of the case. </w:t>
            </w:r>
            <w:r>
              <w:rPr>
                <w:rFonts w:asciiTheme="majorBidi" w:hAnsiTheme="majorBidi" w:cstheme="majorBidi"/>
              </w:rPr>
              <w:t xml:space="preserve">The </w:t>
            </w:r>
            <w:r w:rsidRPr="0018632F">
              <w:rPr>
                <w:rFonts w:asciiTheme="majorBidi" w:hAnsiTheme="majorBidi" w:cstheme="majorBidi"/>
              </w:rPr>
              <w:t xml:space="preserve">statute </w:t>
            </w:r>
            <w:r>
              <w:rPr>
                <w:rFonts w:asciiTheme="majorBidi" w:hAnsiTheme="majorBidi" w:cstheme="majorBidi"/>
              </w:rPr>
              <w:t xml:space="preserve">should clearly define </w:t>
            </w:r>
            <w:r w:rsidRPr="0018632F">
              <w:rPr>
                <w:rFonts w:asciiTheme="majorBidi" w:hAnsiTheme="majorBidi" w:cstheme="majorBidi"/>
              </w:rPr>
              <w:t xml:space="preserve">the </w:t>
            </w:r>
            <w:r>
              <w:rPr>
                <w:rFonts w:asciiTheme="majorBidi" w:hAnsiTheme="majorBidi" w:cstheme="majorBidi"/>
              </w:rPr>
              <w:t>permissible</w:t>
            </w:r>
            <w:r w:rsidRPr="0018632F">
              <w:rPr>
                <w:rFonts w:asciiTheme="majorBidi" w:hAnsiTheme="majorBidi" w:cstheme="majorBidi"/>
              </w:rPr>
              <w:t xml:space="preserve"> needs for extending pretrial detentio</w:t>
            </w:r>
            <w:r>
              <w:rPr>
                <w:rFonts w:asciiTheme="majorBidi" w:hAnsiTheme="majorBidi" w:cstheme="majorBidi"/>
              </w:rPr>
              <w:t>n</w:t>
            </w:r>
            <w:r w:rsidRPr="0018632F">
              <w:rPr>
                <w:rFonts w:asciiTheme="majorBidi" w:hAnsiTheme="majorBidi" w:cstheme="majorBidi"/>
              </w:rPr>
              <w:t xml:space="preserve">. </w:t>
            </w:r>
          </w:p>
          <w:p w14:paraId="5144EA59" w14:textId="0D4A8AE4" w:rsidR="00F92608" w:rsidRDefault="00F92608" w:rsidP="00EB1197">
            <w:pPr>
              <w:pStyle w:val="ListParagraph"/>
              <w:widowControl w:val="0"/>
              <w:numPr>
                <w:ilvl w:val="0"/>
                <w:numId w:val="4"/>
              </w:numPr>
              <w:spacing w:after="160" w:line="259" w:lineRule="auto"/>
              <w:ind w:left="354"/>
              <w:rPr>
                <w:rFonts w:asciiTheme="majorBidi" w:hAnsiTheme="majorBidi" w:cstheme="majorBidi"/>
              </w:rPr>
            </w:pPr>
            <w:r>
              <w:rPr>
                <w:rFonts w:asciiTheme="majorBidi" w:hAnsiTheme="majorBidi" w:cstheme="majorBidi"/>
              </w:rPr>
              <w:t>Adjudications involving juveniles must be prioritized for speedy resolution.</w:t>
            </w:r>
          </w:p>
          <w:p w14:paraId="7886E40C" w14:textId="6C4940B9" w:rsidR="00EB1197" w:rsidRPr="0018632F" w:rsidRDefault="00EB1197" w:rsidP="00EB1197">
            <w:pPr>
              <w:pStyle w:val="ListParagraph"/>
              <w:widowControl w:val="0"/>
              <w:numPr>
                <w:ilvl w:val="0"/>
                <w:numId w:val="4"/>
              </w:numPr>
              <w:spacing w:after="160" w:line="259" w:lineRule="auto"/>
              <w:ind w:left="354"/>
              <w:rPr>
                <w:rFonts w:asciiTheme="majorBidi" w:hAnsiTheme="majorBidi" w:cstheme="majorBidi"/>
              </w:rPr>
            </w:pPr>
            <w:r w:rsidRPr="0018632F">
              <w:rPr>
                <w:rFonts w:asciiTheme="majorBidi" w:hAnsiTheme="majorBidi" w:cstheme="majorBidi"/>
              </w:rPr>
              <w:t xml:space="preserve">Children who are in detention for the statutory maximum number of days should be placed in supervised release immediately and </w:t>
            </w:r>
            <w:r>
              <w:rPr>
                <w:rFonts w:asciiTheme="majorBidi" w:hAnsiTheme="majorBidi" w:cstheme="majorBidi"/>
              </w:rPr>
              <w:t xml:space="preserve">should </w:t>
            </w:r>
            <w:r w:rsidRPr="0018632F">
              <w:rPr>
                <w:rFonts w:asciiTheme="majorBidi" w:hAnsiTheme="majorBidi" w:cstheme="majorBidi"/>
              </w:rPr>
              <w:t>not re-detained for the same offense.</w:t>
            </w:r>
          </w:p>
          <w:p w14:paraId="69E79D43" w14:textId="35E6F9CB" w:rsidR="00EB1197" w:rsidRDefault="00EB1197" w:rsidP="00EB1197">
            <w:pPr>
              <w:pStyle w:val="ListParagraph"/>
              <w:widowControl w:val="0"/>
              <w:numPr>
                <w:ilvl w:val="0"/>
                <w:numId w:val="4"/>
              </w:numPr>
              <w:spacing w:after="160" w:line="259" w:lineRule="auto"/>
              <w:ind w:left="361"/>
              <w:rPr>
                <w:rFonts w:asciiTheme="majorBidi" w:hAnsiTheme="majorBidi" w:cstheme="majorBidi"/>
              </w:rPr>
            </w:pPr>
            <w:r>
              <w:rPr>
                <w:rFonts w:asciiTheme="majorBidi" w:hAnsiTheme="majorBidi" w:cstheme="majorBidi"/>
              </w:rPr>
              <w:t xml:space="preserve">Children who are </w:t>
            </w:r>
            <w:r w:rsidR="00F92608">
              <w:rPr>
                <w:rFonts w:asciiTheme="majorBidi" w:hAnsiTheme="majorBidi" w:cstheme="majorBidi"/>
              </w:rPr>
              <w:t>detained while awaiting trial</w:t>
            </w:r>
            <w:r>
              <w:rPr>
                <w:rFonts w:asciiTheme="majorBidi" w:hAnsiTheme="majorBidi" w:cstheme="majorBidi"/>
              </w:rPr>
              <w:t xml:space="preserve"> should be placed in appropriate, juvenile-only facilities and should never be placed in adult detention facilities.</w:t>
            </w:r>
          </w:p>
          <w:p w14:paraId="75890BBF" w14:textId="77777777" w:rsidR="00EB1197" w:rsidRPr="0018632F" w:rsidRDefault="00EB1197" w:rsidP="00EB1197">
            <w:pPr>
              <w:pStyle w:val="ListParagraph"/>
              <w:widowControl w:val="0"/>
              <w:numPr>
                <w:ilvl w:val="0"/>
                <w:numId w:val="4"/>
              </w:numPr>
              <w:spacing w:after="160" w:line="259" w:lineRule="auto"/>
              <w:ind w:left="361"/>
              <w:rPr>
                <w:rFonts w:asciiTheme="majorBidi" w:hAnsiTheme="majorBidi" w:cstheme="majorBidi"/>
              </w:rPr>
            </w:pPr>
            <w:r w:rsidRPr="0018632F">
              <w:rPr>
                <w:rFonts w:asciiTheme="majorBidi" w:hAnsiTheme="majorBidi" w:cstheme="majorBidi"/>
              </w:rPr>
              <w:t xml:space="preserve">Recruitment and trainings for a </w:t>
            </w:r>
            <w:proofErr w:type="gramStart"/>
            <w:r w:rsidRPr="0018632F">
              <w:rPr>
                <w:rFonts w:asciiTheme="majorBidi" w:hAnsiTheme="majorBidi" w:cstheme="majorBidi"/>
              </w:rPr>
              <w:t>sufficient number of</w:t>
            </w:r>
            <w:proofErr w:type="gramEnd"/>
            <w:r w:rsidRPr="0018632F">
              <w:rPr>
                <w:rFonts w:asciiTheme="majorBidi" w:hAnsiTheme="majorBidi" w:cstheme="majorBidi"/>
              </w:rPr>
              <w:t xml:space="preserve"> prison personnel to ensure the adequate treatment of detainees are to be ensured along with adequate access to medical and psychological treatment for juvenile detainees</w:t>
            </w:r>
            <w:r>
              <w:rPr>
                <w:rFonts w:asciiTheme="majorBidi" w:hAnsiTheme="majorBidi" w:cstheme="majorBidi"/>
              </w:rPr>
              <w:t>.</w:t>
            </w:r>
          </w:p>
          <w:p w14:paraId="25949A9F" w14:textId="77777777" w:rsidR="00EB1197" w:rsidRPr="0018632F" w:rsidRDefault="00EB1197" w:rsidP="00EB1197">
            <w:pPr>
              <w:pStyle w:val="ListParagraph"/>
              <w:widowControl w:val="0"/>
              <w:numPr>
                <w:ilvl w:val="0"/>
                <w:numId w:val="4"/>
              </w:numPr>
              <w:spacing w:after="160" w:line="259" w:lineRule="auto"/>
              <w:ind w:left="361"/>
              <w:rPr>
                <w:rFonts w:asciiTheme="majorBidi" w:hAnsiTheme="majorBidi" w:cstheme="majorBidi"/>
              </w:rPr>
            </w:pPr>
            <w:r w:rsidRPr="0018632F">
              <w:rPr>
                <w:rFonts w:asciiTheme="majorBidi" w:hAnsiTheme="majorBidi" w:cstheme="majorBidi"/>
              </w:rPr>
              <w:t>Necessary measures to provide juvenile detainees with perspectives for their future, including their full reintegration into the society should be ensured</w:t>
            </w:r>
            <w:r>
              <w:rPr>
                <w:rFonts w:asciiTheme="majorBidi" w:hAnsiTheme="majorBidi" w:cstheme="majorBidi"/>
              </w:rPr>
              <w:t>.</w:t>
            </w:r>
          </w:p>
        </w:tc>
      </w:tr>
      <w:tr w:rsidR="00EB1197" w:rsidRPr="0018632F" w14:paraId="69976AEA" w14:textId="77777777" w:rsidTr="009A4920">
        <w:tc>
          <w:tcPr>
            <w:tcW w:w="2141" w:type="dxa"/>
          </w:tcPr>
          <w:p w14:paraId="01B55FF9" w14:textId="77777777" w:rsidR="00EB1197" w:rsidRPr="0018632F" w:rsidRDefault="00EB1197" w:rsidP="009A4920">
            <w:pPr>
              <w:widowControl w:val="0"/>
              <w:rPr>
                <w:rFonts w:asciiTheme="majorBidi" w:hAnsiTheme="majorBidi" w:cstheme="majorBidi"/>
              </w:rPr>
            </w:pPr>
            <w:r w:rsidRPr="0018632F">
              <w:rPr>
                <w:rFonts w:asciiTheme="majorBidi" w:hAnsiTheme="majorBidi" w:cstheme="majorBidi"/>
              </w:rPr>
              <w:t>Additional Information on the country</w:t>
            </w:r>
          </w:p>
        </w:tc>
        <w:tc>
          <w:tcPr>
            <w:tcW w:w="6715" w:type="dxa"/>
          </w:tcPr>
          <w:p w14:paraId="262F8596" w14:textId="3858E8D1" w:rsidR="00EB1197" w:rsidRDefault="00EB1197" w:rsidP="00EB1197">
            <w:pPr>
              <w:pStyle w:val="ListParagraph"/>
              <w:widowControl w:val="0"/>
              <w:numPr>
                <w:ilvl w:val="0"/>
                <w:numId w:val="3"/>
              </w:numPr>
              <w:spacing w:after="160" w:line="259" w:lineRule="auto"/>
              <w:rPr>
                <w:rFonts w:asciiTheme="majorBidi" w:hAnsiTheme="majorBidi" w:cstheme="majorBidi"/>
              </w:rPr>
            </w:pPr>
            <w:r>
              <w:rPr>
                <w:rFonts w:asciiTheme="majorBidi" w:hAnsiTheme="majorBidi" w:cstheme="majorBidi"/>
              </w:rPr>
              <w:t xml:space="preserve">The </w:t>
            </w:r>
            <w:r w:rsidR="00AD6550">
              <w:rPr>
                <w:rFonts w:asciiTheme="majorBidi" w:hAnsiTheme="majorBidi" w:cstheme="majorBidi"/>
              </w:rPr>
              <w:t xml:space="preserve">Juvenile Justice and Welfare Act </w:t>
            </w:r>
            <w:r w:rsidR="00F41073">
              <w:rPr>
                <w:rFonts w:asciiTheme="majorBidi" w:hAnsiTheme="majorBidi" w:cstheme="majorBidi"/>
              </w:rPr>
              <w:t>establishes a minimum age of criminal responsibility of 15 years</w:t>
            </w:r>
            <w:r>
              <w:rPr>
                <w:rFonts w:asciiTheme="majorBidi" w:hAnsiTheme="majorBidi" w:cstheme="majorBidi"/>
              </w:rPr>
              <w:t xml:space="preserve">. </w:t>
            </w:r>
            <w:r w:rsidR="00F41073">
              <w:rPr>
                <w:rFonts w:asciiTheme="majorBidi" w:hAnsiTheme="majorBidi" w:cstheme="majorBidi"/>
              </w:rPr>
              <w:t xml:space="preserve">It also exempts from criminal liability children between the ages of 15 and 18 who have not acted with discernment. </w:t>
            </w:r>
          </w:p>
          <w:p w14:paraId="082492D4" w14:textId="308737E1" w:rsidR="00EB1197" w:rsidRDefault="00F92608" w:rsidP="00EB1197">
            <w:pPr>
              <w:pStyle w:val="ListParagraph"/>
              <w:widowControl w:val="0"/>
              <w:numPr>
                <w:ilvl w:val="0"/>
                <w:numId w:val="3"/>
              </w:numPr>
              <w:spacing w:after="160" w:line="259" w:lineRule="auto"/>
              <w:rPr>
                <w:rFonts w:asciiTheme="majorBidi" w:hAnsiTheme="majorBidi" w:cstheme="majorBidi"/>
              </w:rPr>
            </w:pPr>
            <w:r>
              <w:rPr>
                <w:rFonts w:asciiTheme="majorBidi" w:hAnsiTheme="majorBidi" w:cstheme="majorBidi"/>
              </w:rPr>
              <w:t>The Philippines has</w:t>
            </w:r>
            <w:r w:rsidR="00E060A3">
              <w:rPr>
                <w:rFonts w:asciiTheme="majorBidi" w:hAnsiTheme="majorBidi" w:cstheme="majorBidi"/>
              </w:rPr>
              <w:t xml:space="preserve"> the most crowded incarceration system</w:t>
            </w:r>
            <w:r w:rsidR="00E060A3">
              <w:rPr>
                <w:rStyle w:val="FootnoteReference"/>
                <w:rFonts w:asciiTheme="majorBidi" w:hAnsiTheme="majorBidi" w:cstheme="majorBidi"/>
              </w:rPr>
              <w:footnoteReference w:id="9"/>
            </w:r>
            <w:r w:rsidR="00E060A3">
              <w:rPr>
                <w:rFonts w:asciiTheme="majorBidi" w:hAnsiTheme="majorBidi" w:cstheme="majorBidi"/>
              </w:rPr>
              <w:t xml:space="preserve"> and</w:t>
            </w:r>
            <w:r>
              <w:rPr>
                <w:rFonts w:asciiTheme="majorBidi" w:hAnsiTheme="majorBidi" w:cstheme="majorBidi"/>
              </w:rPr>
              <w:t xml:space="preserve"> one of the highest numbers of pretrial detainees in the world (75,000 in 2014)</w:t>
            </w:r>
            <w:r w:rsidR="001A2EB8">
              <w:rPr>
                <w:rFonts w:asciiTheme="majorBidi" w:hAnsiTheme="majorBidi" w:cstheme="majorBidi"/>
              </w:rPr>
              <w:t>.</w:t>
            </w:r>
            <w:r>
              <w:rPr>
                <w:rStyle w:val="FootnoteReference"/>
                <w:rFonts w:asciiTheme="majorBidi" w:hAnsiTheme="majorBidi" w:cstheme="majorBidi"/>
              </w:rPr>
              <w:footnoteReference w:id="10"/>
            </w:r>
          </w:p>
          <w:p w14:paraId="4E778070" w14:textId="72F00D3E" w:rsidR="00C91685" w:rsidRDefault="00C91685" w:rsidP="00EB1197">
            <w:pPr>
              <w:pStyle w:val="ListParagraph"/>
              <w:widowControl w:val="0"/>
              <w:numPr>
                <w:ilvl w:val="0"/>
                <w:numId w:val="3"/>
              </w:numPr>
              <w:spacing w:after="160" w:line="259" w:lineRule="auto"/>
              <w:rPr>
                <w:rFonts w:asciiTheme="majorBidi" w:hAnsiTheme="majorBidi" w:cstheme="majorBidi"/>
              </w:rPr>
            </w:pPr>
            <w:r>
              <w:rPr>
                <w:rFonts w:asciiTheme="majorBidi" w:hAnsiTheme="majorBidi" w:cstheme="majorBidi"/>
              </w:rPr>
              <w:t xml:space="preserve">75% of the prison population in the Philippines are pretrial </w:t>
            </w:r>
            <w:r>
              <w:rPr>
                <w:rFonts w:asciiTheme="majorBidi" w:hAnsiTheme="majorBidi" w:cstheme="majorBidi"/>
              </w:rPr>
              <w:lastRenderedPageBreak/>
              <w:t>detainees.</w:t>
            </w:r>
            <w:r>
              <w:rPr>
                <w:rStyle w:val="FootnoteReference"/>
                <w:rFonts w:asciiTheme="majorBidi" w:hAnsiTheme="majorBidi" w:cstheme="majorBidi"/>
              </w:rPr>
              <w:footnoteReference w:id="11"/>
            </w:r>
            <w:r>
              <w:rPr>
                <w:rFonts w:asciiTheme="majorBidi" w:hAnsiTheme="majorBidi" w:cstheme="majorBidi"/>
              </w:rPr>
              <w:t xml:space="preserve"> </w:t>
            </w:r>
          </w:p>
          <w:p w14:paraId="5171C3A1" w14:textId="60908773" w:rsidR="001A2EB8" w:rsidRPr="0018632F" w:rsidRDefault="001A2EB8" w:rsidP="00EB1197">
            <w:pPr>
              <w:pStyle w:val="ListParagraph"/>
              <w:widowControl w:val="0"/>
              <w:numPr>
                <w:ilvl w:val="0"/>
                <w:numId w:val="3"/>
              </w:numPr>
              <w:spacing w:after="160" w:line="259" w:lineRule="auto"/>
              <w:rPr>
                <w:rFonts w:asciiTheme="majorBidi" w:hAnsiTheme="majorBidi" w:cstheme="majorBidi"/>
              </w:rPr>
            </w:pPr>
            <w:r>
              <w:rPr>
                <w:rFonts w:asciiTheme="majorBidi" w:hAnsiTheme="majorBidi" w:cstheme="majorBidi"/>
              </w:rPr>
              <w:t>The Philippine criminal justice system is severely backlogged, causing pretrial detainees to spend months or years in jail before their cases are adjudicated.</w:t>
            </w:r>
            <w:r>
              <w:rPr>
                <w:rStyle w:val="FootnoteReference"/>
                <w:rFonts w:asciiTheme="majorBidi" w:hAnsiTheme="majorBidi" w:cstheme="majorBidi"/>
              </w:rPr>
              <w:footnoteReference w:id="12"/>
            </w:r>
            <w:r>
              <w:rPr>
                <w:rFonts w:asciiTheme="majorBidi" w:hAnsiTheme="majorBidi" w:cstheme="majorBidi"/>
              </w:rPr>
              <w:t xml:space="preserve"> </w:t>
            </w:r>
          </w:p>
          <w:p w14:paraId="7E21967E" w14:textId="5C9B30F4" w:rsidR="00EB1197" w:rsidRPr="0018632F" w:rsidRDefault="00EB1197" w:rsidP="00EB1197">
            <w:pPr>
              <w:pStyle w:val="ListParagraph"/>
              <w:widowControl w:val="0"/>
              <w:numPr>
                <w:ilvl w:val="0"/>
                <w:numId w:val="3"/>
              </w:numPr>
              <w:rPr>
                <w:rFonts w:asciiTheme="majorBidi" w:hAnsiTheme="majorBidi" w:cstheme="majorBidi"/>
              </w:rPr>
            </w:pPr>
            <w:r w:rsidRPr="003F2B67">
              <w:rPr>
                <w:rFonts w:ascii="Times New Roman" w:hAnsi="Times New Roman" w:cs="Times New Roman"/>
              </w:rPr>
              <w:t xml:space="preserve">Committee on the Rights of the Child, </w:t>
            </w:r>
            <w:r w:rsidR="00F41073">
              <w:rPr>
                <w:rFonts w:ascii="Times New Roman" w:hAnsi="Times New Roman" w:cs="Times New Roman"/>
                <w:i/>
              </w:rPr>
              <w:t>Consideration of Reports Submitted by State Parties Under Article 44 of the Convention: Concluding</w:t>
            </w:r>
            <w:r w:rsidRPr="00114C3E">
              <w:rPr>
                <w:rFonts w:ascii="Times New Roman" w:hAnsi="Times New Roman" w:cs="Times New Roman"/>
                <w:i/>
              </w:rPr>
              <w:t xml:space="preserve"> Observations</w:t>
            </w:r>
            <w:r w:rsidR="00F41073">
              <w:rPr>
                <w:rFonts w:ascii="Times New Roman" w:hAnsi="Times New Roman" w:cs="Times New Roman"/>
                <w:i/>
              </w:rPr>
              <w:t>: The Philippines</w:t>
            </w:r>
            <w:r w:rsidRPr="003F2B67">
              <w:rPr>
                <w:rFonts w:ascii="Times New Roman" w:hAnsi="Times New Roman" w:cs="Times New Roman"/>
              </w:rPr>
              <w:t>, ¶</w:t>
            </w:r>
            <w:r>
              <w:rPr>
                <w:rFonts w:ascii="Times New Roman" w:hAnsi="Times New Roman" w:cs="Times New Roman"/>
              </w:rPr>
              <w:t>¶</w:t>
            </w:r>
            <w:r w:rsidR="00F41073">
              <w:rPr>
                <w:rFonts w:ascii="Times New Roman" w:hAnsi="Times New Roman" w:cs="Times New Roman"/>
              </w:rPr>
              <w:t> 80</w:t>
            </w:r>
            <w:r w:rsidRPr="00114C3E">
              <w:rPr>
                <w:rFonts w:ascii="Times New Roman" w:hAnsi="Times New Roman" w:cs="Times New Roman"/>
              </w:rPr>
              <w:t>,</w:t>
            </w:r>
            <w:r>
              <w:rPr>
                <w:rFonts w:ascii="Times New Roman" w:hAnsi="Times New Roman" w:cs="Times New Roman"/>
              </w:rPr>
              <w:t xml:space="preserve"> </w:t>
            </w:r>
            <w:r w:rsidR="00F41073">
              <w:rPr>
                <w:rFonts w:ascii="Times New Roman" w:hAnsi="Times New Roman" w:cs="Times New Roman"/>
              </w:rPr>
              <w:t>81</w:t>
            </w:r>
            <w:r w:rsidRPr="00114C3E">
              <w:rPr>
                <w:rFonts w:ascii="Times New Roman" w:hAnsi="Times New Roman" w:cs="Times New Roman"/>
              </w:rPr>
              <w:t xml:space="preserve"> U.N. Doc. CRC/C/</w:t>
            </w:r>
            <w:r w:rsidR="00F41073">
              <w:rPr>
                <w:rFonts w:ascii="Times New Roman" w:hAnsi="Times New Roman" w:cs="Times New Roman"/>
              </w:rPr>
              <w:t>PHL</w:t>
            </w:r>
            <w:r w:rsidRPr="00114C3E">
              <w:rPr>
                <w:rFonts w:ascii="Times New Roman" w:hAnsi="Times New Roman" w:cs="Times New Roman"/>
              </w:rPr>
              <w:t>/CO/3-</w:t>
            </w:r>
            <w:r w:rsidR="00F41073">
              <w:rPr>
                <w:rFonts w:ascii="Times New Roman" w:hAnsi="Times New Roman" w:cs="Times New Roman"/>
              </w:rPr>
              <w:t>4</w:t>
            </w:r>
            <w:r w:rsidRPr="00114C3E">
              <w:rPr>
                <w:rFonts w:ascii="Times New Roman" w:hAnsi="Times New Roman" w:cs="Times New Roman"/>
              </w:rPr>
              <w:t xml:space="preserve"> (</w:t>
            </w:r>
            <w:r w:rsidR="00F41073">
              <w:rPr>
                <w:rFonts w:ascii="Times New Roman" w:hAnsi="Times New Roman" w:cs="Times New Roman"/>
              </w:rPr>
              <w:t>Oct</w:t>
            </w:r>
            <w:r w:rsidRPr="00114C3E">
              <w:rPr>
                <w:rFonts w:ascii="Times New Roman" w:hAnsi="Times New Roman" w:cs="Times New Roman"/>
              </w:rPr>
              <w:t xml:space="preserve">. </w:t>
            </w:r>
            <w:r>
              <w:rPr>
                <w:rFonts w:ascii="Times New Roman" w:hAnsi="Times New Roman" w:cs="Times New Roman"/>
              </w:rPr>
              <w:t>2</w:t>
            </w:r>
            <w:r w:rsidR="00F41073">
              <w:rPr>
                <w:rFonts w:ascii="Times New Roman" w:hAnsi="Times New Roman" w:cs="Times New Roman"/>
              </w:rPr>
              <w:t>2</w:t>
            </w:r>
            <w:r w:rsidRPr="00114C3E">
              <w:rPr>
                <w:rFonts w:ascii="Times New Roman" w:hAnsi="Times New Roman" w:cs="Times New Roman"/>
              </w:rPr>
              <w:t>, 20</w:t>
            </w:r>
            <w:r w:rsidR="00F41073">
              <w:rPr>
                <w:rFonts w:ascii="Times New Roman" w:hAnsi="Times New Roman" w:cs="Times New Roman"/>
              </w:rPr>
              <w:t>09</w:t>
            </w:r>
            <w:r w:rsidRPr="00114C3E">
              <w:rPr>
                <w:rFonts w:ascii="Times New Roman" w:hAnsi="Times New Roman" w:cs="Times New Roman"/>
              </w:rPr>
              <w:t>),</w:t>
            </w:r>
            <w:r>
              <w:t xml:space="preserve"> </w:t>
            </w:r>
            <w:r w:rsidR="00F41073" w:rsidRPr="00F41073">
              <w:rPr>
                <w:rFonts w:ascii="Times New Roman" w:hAnsi="Times New Roman" w:cs="Times New Roman"/>
              </w:rPr>
              <w:t>https://tbinternet.ohchr.org/_layouts/15/treatybodyexternal/Download.aspx?symbolno=CRC/C/PHL/CO/3-4&amp;Lang=En</w:t>
            </w:r>
            <w:r>
              <w:rPr>
                <w:rFonts w:ascii="Times New Roman" w:hAnsi="Times New Roman" w:cs="Times New Roman"/>
              </w:rPr>
              <w:t>.</w:t>
            </w:r>
          </w:p>
        </w:tc>
      </w:tr>
      <w:tr w:rsidR="00EB1197" w:rsidRPr="0018632F" w14:paraId="0ACB69DF" w14:textId="77777777" w:rsidTr="009A4920">
        <w:tc>
          <w:tcPr>
            <w:tcW w:w="2141" w:type="dxa"/>
          </w:tcPr>
          <w:p w14:paraId="70ED78AF" w14:textId="77777777" w:rsidR="00EB1197" w:rsidRPr="0018632F" w:rsidRDefault="00EB1197" w:rsidP="009A4920">
            <w:pPr>
              <w:widowControl w:val="0"/>
              <w:rPr>
                <w:rFonts w:asciiTheme="majorBidi" w:hAnsiTheme="majorBidi" w:cstheme="majorBidi"/>
              </w:rPr>
            </w:pPr>
            <w:r w:rsidRPr="0018632F">
              <w:rPr>
                <w:rFonts w:asciiTheme="majorBidi" w:hAnsiTheme="majorBidi" w:cstheme="majorBidi"/>
              </w:rPr>
              <w:lastRenderedPageBreak/>
              <w:t>Questions for the state party related to child pretrial detention time limits:</w:t>
            </w:r>
          </w:p>
        </w:tc>
        <w:tc>
          <w:tcPr>
            <w:tcW w:w="6715" w:type="dxa"/>
          </w:tcPr>
          <w:p w14:paraId="389B6B60" w14:textId="6BBCBBC5" w:rsidR="00F92608" w:rsidRPr="00F92608" w:rsidRDefault="00F92608" w:rsidP="00EB1197">
            <w:pPr>
              <w:pStyle w:val="ListParagraph"/>
              <w:widowControl w:val="0"/>
              <w:numPr>
                <w:ilvl w:val="1"/>
                <w:numId w:val="2"/>
              </w:numPr>
              <w:pBdr>
                <w:top w:val="nil"/>
                <w:left w:val="nil"/>
                <w:bottom w:val="nil"/>
                <w:right w:val="nil"/>
                <w:between w:val="nil"/>
              </w:pBdr>
              <w:spacing w:after="160" w:line="259" w:lineRule="auto"/>
              <w:ind w:left="360"/>
              <w:rPr>
                <w:rFonts w:asciiTheme="majorBidi" w:hAnsiTheme="majorBidi" w:cstheme="majorBidi"/>
              </w:rPr>
            </w:pPr>
            <w:r>
              <w:rPr>
                <w:rFonts w:asciiTheme="majorBidi" w:hAnsiTheme="majorBidi" w:cstheme="majorBidi"/>
              </w:rPr>
              <w:t>Data on the number of children in pretrial detention.</w:t>
            </w:r>
          </w:p>
          <w:p w14:paraId="613BBE12" w14:textId="40C3F504" w:rsidR="00EB1197" w:rsidRDefault="00EB1197" w:rsidP="00EB1197">
            <w:pPr>
              <w:pStyle w:val="ListParagraph"/>
              <w:widowControl w:val="0"/>
              <w:numPr>
                <w:ilvl w:val="1"/>
                <w:numId w:val="2"/>
              </w:numPr>
              <w:pBdr>
                <w:top w:val="nil"/>
                <w:left w:val="nil"/>
                <w:bottom w:val="nil"/>
                <w:right w:val="nil"/>
                <w:between w:val="nil"/>
              </w:pBdr>
              <w:spacing w:after="160" w:line="259" w:lineRule="auto"/>
              <w:ind w:left="360"/>
              <w:rPr>
                <w:rFonts w:asciiTheme="majorBidi" w:hAnsiTheme="majorBidi" w:cstheme="majorBidi"/>
              </w:rPr>
            </w:pPr>
            <w:r w:rsidRPr="00B52B85">
              <w:rPr>
                <w:rFonts w:ascii="Times New Roman" w:hAnsi="Times New Roman" w:cs="Times New Roman"/>
              </w:rPr>
              <w:t xml:space="preserve">Data on the average time children </w:t>
            </w:r>
            <w:proofErr w:type="gramStart"/>
            <w:r w:rsidRPr="00B52B85">
              <w:rPr>
                <w:rFonts w:ascii="Times New Roman" w:hAnsi="Times New Roman" w:cs="Times New Roman"/>
              </w:rPr>
              <w:t>actually spend</w:t>
            </w:r>
            <w:proofErr w:type="gramEnd"/>
            <w:r w:rsidRPr="00B52B85">
              <w:rPr>
                <w:rFonts w:ascii="Times New Roman" w:hAnsi="Times New Roman" w:cs="Times New Roman"/>
              </w:rPr>
              <w:t xml:space="preserve"> in pretrial detention</w:t>
            </w:r>
            <w:r>
              <w:rPr>
                <w:rFonts w:asciiTheme="majorBidi" w:hAnsiTheme="majorBidi" w:cstheme="majorBidi"/>
              </w:rPr>
              <w:t>.</w:t>
            </w:r>
          </w:p>
          <w:p w14:paraId="4BF792FA" w14:textId="449C71BB" w:rsidR="00EB1197" w:rsidRDefault="00EB1197" w:rsidP="00EB1197">
            <w:pPr>
              <w:pStyle w:val="ListParagraph"/>
              <w:widowControl w:val="0"/>
              <w:numPr>
                <w:ilvl w:val="1"/>
                <w:numId w:val="2"/>
              </w:numPr>
              <w:pBdr>
                <w:top w:val="nil"/>
                <w:left w:val="nil"/>
                <w:bottom w:val="nil"/>
                <w:right w:val="nil"/>
                <w:between w:val="nil"/>
              </w:pBdr>
              <w:spacing w:after="160" w:line="259" w:lineRule="auto"/>
              <w:ind w:left="360"/>
              <w:rPr>
                <w:rFonts w:asciiTheme="majorBidi" w:hAnsiTheme="majorBidi" w:cstheme="majorBidi"/>
              </w:rPr>
            </w:pPr>
            <w:r>
              <w:rPr>
                <w:rFonts w:asciiTheme="majorBidi" w:hAnsiTheme="majorBidi" w:cstheme="majorBidi"/>
              </w:rPr>
              <w:t>Data on the number of children detained because of inability to p</w:t>
            </w:r>
            <w:r w:rsidR="00F92608">
              <w:rPr>
                <w:rFonts w:asciiTheme="majorBidi" w:hAnsiTheme="majorBidi" w:cstheme="majorBidi"/>
              </w:rPr>
              <w:t>ost</w:t>
            </w:r>
            <w:r>
              <w:rPr>
                <w:rFonts w:asciiTheme="majorBidi" w:hAnsiTheme="majorBidi" w:cstheme="majorBidi"/>
              </w:rPr>
              <w:t xml:space="preserve"> bail.</w:t>
            </w:r>
          </w:p>
          <w:p w14:paraId="73CE63DF" w14:textId="77777777" w:rsidR="00EB1197" w:rsidRDefault="00EB1197" w:rsidP="00EB1197">
            <w:pPr>
              <w:pStyle w:val="ListParagraph"/>
              <w:widowControl w:val="0"/>
              <w:numPr>
                <w:ilvl w:val="1"/>
                <w:numId w:val="2"/>
              </w:numPr>
              <w:pBdr>
                <w:top w:val="nil"/>
                <w:left w:val="nil"/>
                <w:bottom w:val="nil"/>
                <w:right w:val="nil"/>
                <w:between w:val="nil"/>
              </w:pBdr>
              <w:spacing w:after="160" w:line="259" w:lineRule="auto"/>
              <w:ind w:left="360"/>
              <w:rPr>
                <w:rFonts w:asciiTheme="majorBidi" w:hAnsiTheme="majorBidi" w:cstheme="majorBidi"/>
              </w:rPr>
            </w:pPr>
            <w:r>
              <w:rPr>
                <w:rFonts w:asciiTheme="majorBidi" w:hAnsiTheme="majorBidi" w:cstheme="majorBidi"/>
              </w:rPr>
              <w:t>Data on the number of children detained with adults.</w:t>
            </w:r>
          </w:p>
          <w:p w14:paraId="4FDA6729" w14:textId="77777777" w:rsidR="00EB1197" w:rsidRDefault="00EB1197" w:rsidP="00EB1197">
            <w:pPr>
              <w:pStyle w:val="ListParagraph"/>
              <w:widowControl w:val="0"/>
              <w:numPr>
                <w:ilvl w:val="1"/>
                <w:numId w:val="2"/>
              </w:numPr>
              <w:pBdr>
                <w:top w:val="nil"/>
                <w:left w:val="nil"/>
                <w:bottom w:val="nil"/>
                <w:right w:val="nil"/>
                <w:between w:val="nil"/>
              </w:pBdr>
              <w:spacing w:after="160" w:line="259" w:lineRule="auto"/>
              <w:ind w:left="360"/>
              <w:rPr>
                <w:rFonts w:asciiTheme="majorBidi" w:hAnsiTheme="majorBidi" w:cstheme="majorBidi"/>
              </w:rPr>
            </w:pPr>
            <w:r w:rsidRPr="0018632F">
              <w:rPr>
                <w:rFonts w:asciiTheme="majorBidi" w:hAnsiTheme="majorBidi" w:cstheme="majorBidi"/>
              </w:rPr>
              <w:t>Data on duration of pretrial detention as it varies by race, gender, religion or other relevant characteristics.</w:t>
            </w:r>
          </w:p>
          <w:p w14:paraId="08B46132" w14:textId="77777777" w:rsidR="00EB1197" w:rsidRPr="0018632F" w:rsidRDefault="00EB1197" w:rsidP="00EB1197">
            <w:pPr>
              <w:pStyle w:val="ListParagraph"/>
              <w:widowControl w:val="0"/>
              <w:numPr>
                <w:ilvl w:val="1"/>
                <w:numId w:val="2"/>
              </w:numPr>
              <w:pBdr>
                <w:top w:val="nil"/>
                <w:left w:val="nil"/>
                <w:bottom w:val="nil"/>
                <w:right w:val="nil"/>
                <w:between w:val="nil"/>
              </w:pBdr>
              <w:spacing w:after="160" w:line="259" w:lineRule="auto"/>
              <w:ind w:left="360"/>
              <w:rPr>
                <w:rFonts w:asciiTheme="majorBidi" w:hAnsiTheme="majorBidi" w:cstheme="majorBidi"/>
              </w:rPr>
            </w:pPr>
            <w:r>
              <w:rPr>
                <w:rFonts w:asciiTheme="majorBidi" w:hAnsiTheme="majorBidi" w:cstheme="majorBidi"/>
              </w:rPr>
              <w:t>Information</w:t>
            </w:r>
            <w:r w:rsidRPr="0018632F">
              <w:rPr>
                <w:rFonts w:asciiTheme="majorBidi" w:hAnsiTheme="majorBidi" w:cstheme="majorBidi"/>
              </w:rPr>
              <w:t xml:space="preserve"> on efforts to reduce the length of pretrial detention and expedite cases.</w:t>
            </w:r>
          </w:p>
          <w:p w14:paraId="0B0171B7" w14:textId="77777777" w:rsidR="00EB1197" w:rsidRPr="0018632F" w:rsidRDefault="00EB1197" w:rsidP="00EB1197">
            <w:pPr>
              <w:pStyle w:val="ListParagraph"/>
              <w:widowControl w:val="0"/>
              <w:numPr>
                <w:ilvl w:val="1"/>
                <w:numId w:val="2"/>
              </w:numPr>
              <w:pBdr>
                <w:top w:val="nil"/>
                <w:left w:val="nil"/>
                <w:bottom w:val="nil"/>
                <w:right w:val="nil"/>
                <w:between w:val="nil"/>
              </w:pBdr>
              <w:spacing w:after="160" w:line="259" w:lineRule="auto"/>
              <w:ind w:left="360"/>
              <w:rPr>
                <w:rFonts w:asciiTheme="majorBidi" w:hAnsiTheme="majorBidi" w:cstheme="majorBidi"/>
              </w:rPr>
            </w:pPr>
            <w:r w:rsidRPr="0018632F">
              <w:rPr>
                <w:rFonts w:asciiTheme="majorBidi" w:hAnsiTheme="majorBidi" w:cstheme="majorBidi"/>
              </w:rPr>
              <w:t>Information on how appeals and other challenges affect duration of pretrial detention.</w:t>
            </w:r>
          </w:p>
          <w:p w14:paraId="517435F2" w14:textId="77777777" w:rsidR="00EB1197" w:rsidRPr="0018632F" w:rsidRDefault="00EB1197" w:rsidP="00EB1197">
            <w:pPr>
              <w:pStyle w:val="ListParagraph"/>
              <w:widowControl w:val="0"/>
              <w:numPr>
                <w:ilvl w:val="1"/>
                <w:numId w:val="2"/>
              </w:numPr>
              <w:pBdr>
                <w:top w:val="nil"/>
                <w:left w:val="nil"/>
                <w:bottom w:val="nil"/>
                <w:right w:val="nil"/>
                <w:between w:val="nil"/>
              </w:pBdr>
              <w:spacing w:after="160" w:line="259" w:lineRule="auto"/>
              <w:ind w:left="360"/>
              <w:rPr>
                <w:rFonts w:asciiTheme="majorBidi" w:hAnsiTheme="majorBidi" w:cstheme="majorBidi"/>
              </w:rPr>
            </w:pPr>
            <w:r w:rsidRPr="0018632F">
              <w:rPr>
                <w:rFonts w:asciiTheme="majorBidi" w:hAnsiTheme="majorBidi" w:cstheme="majorBidi"/>
              </w:rPr>
              <w:t>Information on the procedure and conditions for imposing solitary confinement, including oversight of its use</w:t>
            </w:r>
          </w:p>
          <w:p w14:paraId="72467527" w14:textId="77777777" w:rsidR="00EB1197" w:rsidRPr="0018632F" w:rsidRDefault="00EB1197" w:rsidP="00EB1197">
            <w:pPr>
              <w:pStyle w:val="ListParagraph"/>
              <w:widowControl w:val="0"/>
              <w:numPr>
                <w:ilvl w:val="1"/>
                <w:numId w:val="2"/>
              </w:numPr>
              <w:pBdr>
                <w:top w:val="nil"/>
                <w:left w:val="nil"/>
                <w:bottom w:val="nil"/>
                <w:right w:val="nil"/>
                <w:between w:val="nil"/>
              </w:pBdr>
              <w:spacing w:after="160" w:line="259" w:lineRule="auto"/>
              <w:ind w:left="360"/>
              <w:rPr>
                <w:rFonts w:asciiTheme="majorBidi" w:hAnsiTheme="majorBidi" w:cstheme="majorBidi"/>
              </w:rPr>
            </w:pPr>
            <w:r w:rsidRPr="0018632F">
              <w:rPr>
                <w:rFonts w:asciiTheme="majorBidi" w:hAnsiTheme="majorBidi" w:cstheme="majorBidi"/>
              </w:rPr>
              <w:t>Data on the number of detained persons placed in solitary confinement</w:t>
            </w:r>
            <w:r>
              <w:rPr>
                <w:rFonts w:asciiTheme="majorBidi" w:hAnsiTheme="majorBidi" w:cstheme="majorBidi"/>
              </w:rPr>
              <w:t>.</w:t>
            </w:r>
          </w:p>
          <w:p w14:paraId="14095D1F" w14:textId="77777777" w:rsidR="00EB1197" w:rsidRDefault="00EB1197" w:rsidP="00EB1197">
            <w:pPr>
              <w:pStyle w:val="ListParagraph"/>
              <w:widowControl w:val="0"/>
              <w:numPr>
                <w:ilvl w:val="1"/>
                <w:numId w:val="2"/>
              </w:numPr>
              <w:pBdr>
                <w:top w:val="nil"/>
                <w:left w:val="nil"/>
                <w:bottom w:val="nil"/>
                <w:right w:val="nil"/>
                <w:between w:val="nil"/>
              </w:pBdr>
              <w:spacing w:after="160" w:line="259" w:lineRule="auto"/>
              <w:ind w:left="360"/>
              <w:rPr>
                <w:rFonts w:asciiTheme="majorBidi" w:hAnsiTheme="majorBidi" w:cstheme="majorBidi"/>
              </w:rPr>
            </w:pPr>
            <w:r w:rsidRPr="0018632F">
              <w:rPr>
                <w:rFonts w:asciiTheme="majorBidi" w:hAnsiTheme="majorBidi" w:cstheme="majorBidi"/>
              </w:rPr>
              <w:t>Data on the maximum and average duration of solitary confinement</w:t>
            </w:r>
            <w:r>
              <w:rPr>
                <w:rFonts w:asciiTheme="majorBidi" w:hAnsiTheme="majorBidi" w:cstheme="majorBidi"/>
              </w:rPr>
              <w:t>.</w:t>
            </w:r>
          </w:p>
          <w:p w14:paraId="46461CCB" w14:textId="77777777" w:rsidR="00EB1197" w:rsidRPr="00E30F94" w:rsidRDefault="00EB1197" w:rsidP="00EB1197">
            <w:pPr>
              <w:pStyle w:val="ListParagraph"/>
              <w:widowControl w:val="0"/>
              <w:numPr>
                <w:ilvl w:val="1"/>
                <w:numId w:val="2"/>
              </w:numPr>
              <w:pBdr>
                <w:top w:val="nil"/>
                <w:left w:val="nil"/>
                <w:bottom w:val="nil"/>
                <w:right w:val="nil"/>
                <w:between w:val="nil"/>
              </w:pBdr>
              <w:spacing w:after="160" w:line="259" w:lineRule="auto"/>
              <w:ind w:left="360"/>
              <w:rPr>
                <w:rFonts w:asciiTheme="majorBidi" w:hAnsiTheme="majorBidi" w:cstheme="majorBidi"/>
              </w:rPr>
            </w:pPr>
            <w:r w:rsidRPr="00B05446">
              <w:rPr>
                <w:rFonts w:asciiTheme="majorBidi" w:hAnsiTheme="majorBidi" w:cstheme="majorBidi"/>
              </w:rPr>
              <w:t>Information on the safeguards applied to inmates in disciplinary procedures.</w:t>
            </w:r>
          </w:p>
        </w:tc>
      </w:tr>
      <w:tr w:rsidR="00EB1197" w:rsidRPr="0018632F" w14:paraId="4FD15EA5" w14:textId="77777777" w:rsidTr="009A4920">
        <w:tc>
          <w:tcPr>
            <w:tcW w:w="2141" w:type="dxa"/>
          </w:tcPr>
          <w:p w14:paraId="38A9467C" w14:textId="77777777" w:rsidR="00EB1197" w:rsidRPr="0018632F" w:rsidRDefault="00EB1197" w:rsidP="009A4920">
            <w:pPr>
              <w:widowControl w:val="0"/>
              <w:rPr>
                <w:rFonts w:asciiTheme="majorBidi" w:hAnsiTheme="majorBidi" w:cstheme="majorBidi"/>
              </w:rPr>
            </w:pPr>
            <w:r w:rsidRPr="0018632F">
              <w:rPr>
                <w:rFonts w:asciiTheme="majorBidi" w:hAnsiTheme="majorBidi" w:cstheme="majorBidi"/>
              </w:rPr>
              <w:t>Link to Global Study</w:t>
            </w:r>
          </w:p>
        </w:tc>
        <w:tc>
          <w:tcPr>
            <w:tcW w:w="6715" w:type="dxa"/>
          </w:tcPr>
          <w:p w14:paraId="5101DEE9" w14:textId="77777777" w:rsidR="00EB1197" w:rsidRPr="0018632F" w:rsidRDefault="004F1837" w:rsidP="009A4920">
            <w:pPr>
              <w:widowControl w:val="0"/>
              <w:shd w:val="clear" w:color="auto" w:fill="FFFFFF"/>
              <w:rPr>
                <w:rFonts w:asciiTheme="majorBidi" w:hAnsiTheme="majorBidi" w:cstheme="majorBidi"/>
                <w:color w:val="222222"/>
              </w:rPr>
            </w:pPr>
            <w:hyperlink r:id="rId8" w:history="1">
              <w:r w:rsidR="00EB1197" w:rsidRPr="007F034C">
                <w:rPr>
                  <w:rStyle w:val="Hyperlink"/>
                  <w:rFonts w:asciiTheme="majorBidi" w:hAnsiTheme="majorBidi" w:cstheme="majorBidi"/>
                </w:rPr>
                <w:t>https://jjimexico.org/ptd-report/</w:t>
              </w:r>
            </w:hyperlink>
          </w:p>
        </w:tc>
      </w:tr>
    </w:tbl>
    <w:p w14:paraId="2E28BD27" w14:textId="77777777" w:rsidR="00EB1197" w:rsidRPr="00C273EE" w:rsidRDefault="00EB1197" w:rsidP="00EB1197"/>
    <w:p w14:paraId="0760C08F" w14:textId="23E780CB" w:rsidR="00C027E2" w:rsidRPr="00EB1197" w:rsidRDefault="00C027E2" w:rsidP="00EB1197">
      <w:bookmarkStart w:id="5" w:name="_GoBack"/>
      <w:bookmarkEnd w:id="5"/>
    </w:p>
    <w:sectPr w:rsidR="00C027E2" w:rsidRPr="00EB1197" w:rsidSect="00D458B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104C4C" w14:textId="77777777" w:rsidR="004F1837" w:rsidRDefault="004F1837" w:rsidP="00A42A05">
      <w:r>
        <w:separator/>
      </w:r>
    </w:p>
  </w:endnote>
  <w:endnote w:type="continuationSeparator" w:id="0">
    <w:p w14:paraId="3C1C64EC" w14:textId="77777777" w:rsidR="004F1837" w:rsidRDefault="004F1837" w:rsidP="00A42A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1636B1" w14:textId="77777777" w:rsidR="004F1837" w:rsidRDefault="004F1837" w:rsidP="00A42A05">
      <w:r>
        <w:separator/>
      </w:r>
    </w:p>
  </w:footnote>
  <w:footnote w:type="continuationSeparator" w:id="0">
    <w:p w14:paraId="1911A93E" w14:textId="77777777" w:rsidR="004F1837" w:rsidRDefault="004F1837" w:rsidP="00A42A05">
      <w:r>
        <w:continuationSeparator/>
      </w:r>
    </w:p>
  </w:footnote>
  <w:footnote w:id="1">
    <w:p w14:paraId="225F35C8" w14:textId="77777777" w:rsidR="00EB1197" w:rsidRPr="00C91685" w:rsidRDefault="00EB1197" w:rsidP="00F92608">
      <w:pPr>
        <w:widowControl w:val="0"/>
        <w:rPr>
          <w:rFonts w:asciiTheme="majorBidi" w:eastAsia="Calibri" w:hAnsiTheme="majorBidi" w:cstheme="majorBidi"/>
          <w:sz w:val="20"/>
          <w:szCs w:val="20"/>
        </w:rPr>
      </w:pPr>
      <w:r w:rsidRPr="00C91685">
        <w:rPr>
          <w:rFonts w:asciiTheme="majorBidi" w:hAnsiTheme="majorBidi" w:cstheme="majorBidi"/>
          <w:sz w:val="20"/>
          <w:szCs w:val="20"/>
          <w:vertAlign w:val="superscript"/>
        </w:rPr>
        <w:footnoteRef/>
      </w:r>
      <w:r w:rsidRPr="00C91685">
        <w:rPr>
          <w:rFonts w:asciiTheme="majorBidi" w:eastAsia="Calibri" w:hAnsiTheme="majorBidi" w:cstheme="majorBidi"/>
          <w:sz w:val="20"/>
          <w:szCs w:val="20"/>
        </w:rPr>
        <w:t xml:space="preserve"> Patrick Webb &amp; William Allen </w:t>
      </w:r>
      <w:proofErr w:type="spellStart"/>
      <w:r w:rsidRPr="00C91685">
        <w:rPr>
          <w:rFonts w:asciiTheme="majorBidi" w:eastAsia="Calibri" w:hAnsiTheme="majorBidi" w:cstheme="majorBidi"/>
          <w:sz w:val="20"/>
          <w:szCs w:val="20"/>
        </w:rPr>
        <w:t>Kritsonis</w:t>
      </w:r>
      <w:proofErr w:type="spellEnd"/>
      <w:r w:rsidRPr="00C91685">
        <w:rPr>
          <w:rFonts w:asciiTheme="majorBidi" w:eastAsia="Calibri" w:hAnsiTheme="majorBidi" w:cstheme="majorBidi"/>
          <w:sz w:val="20"/>
          <w:szCs w:val="20"/>
        </w:rPr>
        <w:t xml:space="preserve">, </w:t>
      </w:r>
      <w:r w:rsidRPr="00C91685">
        <w:rPr>
          <w:rFonts w:asciiTheme="majorBidi" w:eastAsia="Calibri" w:hAnsiTheme="majorBidi" w:cstheme="majorBidi"/>
          <w:i/>
          <w:sz w:val="20"/>
          <w:szCs w:val="20"/>
        </w:rPr>
        <w:t>Controlling those Kids: Social Control and the Use of Pretrial Detention among Youth in the United States of America: National Implications</w:t>
      </w:r>
      <w:r w:rsidRPr="00C91685">
        <w:rPr>
          <w:rFonts w:asciiTheme="majorBidi" w:eastAsia="Calibri" w:hAnsiTheme="majorBidi" w:cstheme="majorBidi"/>
          <w:sz w:val="20"/>
          <w:szCs w:val="20"/>
        </w:rPr>
        <w:t xml:space="preserve">, </w:t>
      </w:r>
      <w:r w:rsidRPr="00C91685">
        <w:rPr>
          <w:rFonts w:asciiTheme="majorBidi" w:eastAsia="Calibri" w:hAnsiTheme="majorBidi" w:cstheme="majorBidi"/>
          <w:smallCaps/>
          <w:sz w:val="20"/>
          <w:szCs w:val="20"/>
        </w:rPr>
        <w:t xml:space="preserve">ERIC </w:t>
      </w:r>
      <w:r w:rsidRPr="00C91685">
        <w:rPr>
          <w:rFonts w:asciiTheme="majorBidi" w:eastAsia="Calibri" w:hAnsiTheme="majorBidi" w:cstheme="majorBidi"/>
          <w:sz w:val="20"/>
          <w:szCs w:val="20"/>
        </w:rPr>
        <w:t>(Oct. 2006), https://eric.ed.gov/?id=ED493565.</w:t>
      </w:r>
      <w:r w:rsidRPr="00C91685" w:rsidDel="00253B3B">
        <w:rPr>
          <w:rFonts w:asciiTheme="majorBidi" w:eastAsia="Calibri" w:hAnsiTheme="majorBidi" w:cstheme="majorBidi"/>
          <w:sz w:val="20"/>
          <w:szCs w:val="20"/>
        </w:rPr>
        <w:t xml:space="preserve"> </w:t>
      </w:r>
    </w:p>
  </w:footnote>
  <w:footnote w:id="2">
    <w:p w14:paraId="399F0E53" w14:textId="77777777" w:rsidR="00EB1197" w:rsidRPr="00C91685" w:rsidRDefault="00EB1197" w:rsidP="00F92608">
      <w:pPr>
        <w:widowControl w:val="0"/>
        <w:rPr>
          <w:rFonts w:asciiTheme="majorBidi" w:eastAsia="Calibri" w:hAnsiTheme="majorBidi" w:cstheme="majorBidi"/>
          <w:sz w:val="20"/>
          <w:szCs w:val="20"/>
        </w:rPr>
      </w:pPr>
      <w:r w:rsidRPr="00C91685">
        <w:rPr>
          <w:rFonts w:asciiTheme="majorBidi" w:hAnsiTheme="majorBidi" w:cstheme="majorBidi"/>
          <w:sz w:val="20"/>
          <w:szCs w:val="20"/>
          <w:vertAlign w:val="superscript"/>
        </w:rPr>
        <w:footnoteRef/>
      </w:r>
      <w:r w:rsidRPr="00C91685">
        <w:rPr>
          <w:rFonts w:asciiTheme="majorBidi" w:eastAsia="Calibri" w:hAnsiTheme="majorBidi" w:cstheme="majorBidi"/>
          <w:sz w:val="20"/>
          <w:szCs w:val="20"/>
        </w:rPr>
        <w:t xml:space="preserve"> </w:t>
      </w:r>
      <w:r w:rsidRPr="00C91685">
        <w:rPr>
          <w:rFonts w:asciiTheme="majorBidi" w:hAnsiTheme="majorBidi" w:cstheme="majorBidi"/>
          <w:sz w:val="20"/>
          <w:szCs w:val="20"/>
        </w:rPr>
        <w:t>G.A. Res. 44/25, Convention on the Rights of the Child, art. 37(b) (Nov. 20, 1989) [hereinafter CRC].</w:t>
      </w:r>
    </w:p>
  </w:footnote>
  <w:footnote w:id="3">
    <w:p w14:paraId="25F569BC" w14:textId="77777777" w:rsidR="00EB1197" w:rsidRPr="00C91685" w:rsidRDefault="00EB1197" w:rsidP="00F92608">
      <w:pPr>
        <w:pStyle w:val="FootnoteText"/>
        <w:widowControl w:val="0"/>
        <w:jc w:val="left"/>
        <w:rPr>
          <w:rFonts w:asciiTheme="majorBidi" w:hAnsiTheme="majorBidi" w:cstheme="majorBidi"/>
        </w:rPr>
      </w:pPr>
      <w:r w:rsidRPr="00C91685">
        <w:rPr>
          <w:rStyle w:val="FootnoteReference"/>
          <w:rFonts w:asciiTheme="majorBidi" w:hAnsiTheme="majorBidi" w:cstheme="majorBidi"/>
        </w:rPr>
        <w:footnoteRef/>
      </w:r>
      <w:r w:rsidRPr="00C91685">
        <w:rPr>
          <w:rFonts w:asciiTheme="majorBidi" w:hAnsiTheme="majorBidi" w:cstheme="majorBidi"/>
        </w:rPr>
        <w:t xml:space="preserve"> Comm. on the Rights of the Child, </w:t>
      </w:r>
      <w:r w:rsidRPr="00C91685">
        <w:rPr>
          <w:rFonts w:asciiTheme="majorBidi" w:hAnsiTheme="majorBidi" w:cstheme="majorBidi"/>
          <w:bCs/>
        </w:rPr>
        <w:t>General Comment 10: Children's Rights in Juvenile Justice</w:t>
      </w:r>
      <w:r w:rsidRPr="00C91685">
        <w:rPr>
          <w:rFonts w:asciiTheme="majorBidi" w:hAnsiTheme="majorBidi" w:cstheme="majorBidi"/>
        </w:rPr>
        <w:t>, § 80, U.N. Doc. CRC/C/GC/10 (Apr. 25, 2007) [hereinafter CRC General Comment 10].</w:t>
      </w:r>
    </w:p>
  </w:footnote>
  <w:footnote w:id="4">
    <w:p w14:paraId="52E61422" w14:textId="77777777" w:rsidR="00EB1197" w:rsidRPr="00C91685" w:rsidRDefault="00EB1197" w:rsidP="00F92608">
      <w:pPr>
        <w:pStyle w:val="FootnoteText"/>
        <w:widowControl w:val="0"/>
        <w:jc w:val="left"/>
        <w:rPr>
          <w:rFonts w:asciiTheme="majorBidi" w:hAnsiTheme="majorBidi" w:cstheme="majorBidi"/>
        </w:rPr>
      </w:pPr>
      <w:r w:rsidRPr="00C91685">
        <w:rPr>
          <w:rStyle w:val="FootnoteReference"/>
          <w:rFonts w:asciiTheme="majorBidi" w:hAnsiTheme="majorBidi" w:cstheme="majorBidi"/>
        </w:rPr>
        <w:footnoteRef/>
      </w:r>
      <w:r w:rsidRPr="00C91685">
        <w:rPr>
          <w:rFonts w:asciiTheme="majorBidi" w:hAnsiTheme="majorBidi" w:cstheme="majorBidi"/>
        </w:rPr>
        <w:t xml:space="preserve"> </w:t>
      </w:r>
      <w:r w:rsidRPr="00C91685">
        <w:rPr>
          <w:rFonts w:asciiTheme="majorBidi" w:hAnsiTheme="majorBidi" w:cstheme="majorBidi"/>
          <w:i/>
        </w:rPr>
        <w:t xml:space="preserve">Id. </w:t>
      </w:r>
      <w:r w:rsidRPr="00C91685">
        <w:rPr>
          <w:rFonts w:asciiTheme="majorBidi" w:hAnsiTheme="majorBidi" w:cstheme="majorBidi"/>
        </w:rPr>
        <w:t>¶ 83 (specifying that regular review is “preferably every two weeks”).</w:t>
      </w:r>
    </w:p>
  </w:footnote>
  <w:footnote w:id="5">
    <w:p w14:paraId="5F9F3717" w14:textId="77777777" w:rsidR="00EB1197" w:rsidRPr="00C91685" w:rsidRDefault="00EB1197" w:rsidP="00F92608">
      <w:pPr>
        <w:widowControl w:val="0"/>
        <w:rPr>
          <w:rFonts w:asciiTheme="majorBidi" w:eastAsia="Calibri" w:hAnsiTheme="majorBidi" w:cstheme="majorBidi"/>
          <w:sz w:val="20"/>
          <w:szCs w:val="20"/>
        </w:rPr>
      </w:pPr>
      <w:r w:rsidRPr="00C91685">
        <w:rPr>
          <w:rFonts w:asciiTheme="majorBidi" w:hAnsiTheme="majorBidi" w:cstheme="majorBidi"/>
          <w:sz w:val="20"/>
          <w:szCs w:val="20"/>
          <w:vertAlign w:val="superscript"/>
        </w:rPr>
        <w:footnoteRef/>
      </w:r>
      <w:r w:rsidRPr="00C91685">
        <w:rPr>
          <w:rFonts w:asciiTheme="majorBidi" w:eastAsia="Calibri" w:hAnsiTheme="majorBidi" w:cstheme="majorBidi"/>
          <w:sz w:val="20"/>
          <w:szCs w:val="20"/>
        </w:rPr>
        <w:t xml:space="preserve"> </w:t>
      </w:r>
      <w:r w:rsidRPr="00C91685">
        <w:rPr>
          <w:rFonts w:asciiTheme="majorBidi" w:hAnsiTheme="majorBidi" w:cstheme="majorBidi"/>
          <w:sz w:val="20"/>
          <w:szCs w:val="20"/>
        </w:rPr>
        <w:t xml:space="preserve">Moritz </w:t>
      </w:r>
      <w:proofErr w:type="spellStart"/>
      <w:r w:rsidRPr="00C91685">
        <w:rPr>
          <w:rFonts w:asciiTheme="majorBidi" w:hAnsiTheme="majorBidi" w:cstheme="majorBidi"/>
          <w:sz w:val="20"/>
          <w:szCs w:val="20"/>
        </w:rPr>
        <w:t>Birk</w:t>
      </w:r>
      <w:proofErr w:type="spellEnd"/>
      <w:r w:rsidRPr="00C91685">
        <w:rPr>
          <w:rFonts w:asciiTheme="majorBidi" w:hAnsiTheme="majorBidi" w:cstheme="majorBidi"/>
          <w:sz w:val="20"/>
          <w:szCs w:val="20"/>
        </w:rPr>
        <w:t xml:space="preserve"> et. al., </w:t>
      </w:r>
      <w:r w:rsidRPr="00C91685">
        <w:rPr>
          <w:rFonts w:asciiTheme="majorBidi" w:eastAsia="Calibri" w:hAnsiTheme="majorBidi" w:cstheme="majorBidi"/>
          <w:i/>
          <w:sz w:val="20"/>
          <w:szCs w:val="20"/>
        </w:rPr>
        <w:t>Pretrial Detention and Torture: Why Pretrial Detainees Face the Greatest Risk</w:t>
      </w:r>
      <w:r w:rsidRPr="00C91685">
        <w:rPr>
          <w:rFonts w:asciiTheme="majorBidi" w:eastAsia="Calibri" w:hAnsiTheme="majorBidi" w:cstheme="majorBidi"/>
          <w:sz w:val="20"/>
          <w:szCs w:val="20"/>
        </w:rPr>
        <w:t xml:space="preserve">, 27, </w:t>
      </w:r>
      <w:r w:rsidRPr="00C91685">
        <w:rPr>
          <w:rFonts w:asciiTheme="majorBidi" w:eastAsia="Calibri" w:hAnsiTheme="majorBidi" w:cstheme="majorBidi"/>
          <w:smallCaps/>
          <w:sz w:val="20"/>
          <w:szCs w:val="20"/>
        </w:rPr>
        <w:t>Open Soc’y Found</w:t>
      </w:r>
      <w:r w:rsidRPr="00C91685">
        <w:rPr>
          <w:rFonts w:asciiTheme="majorBidi" w:eastAsia="Calibri" w:hAnsiTheme="majorBidi" w:cstheme="majorBidi"/>
          <w:sz w:val="20"/>
          <w:szCs w:val="20"/>
        </w:rPr>
        <w:t xml:space="preserve">. (2011), </w:t>
      </w:r>
      <w:hyperlink r:id="rId1" w:history="1">
        <w:r w:rsidRPr="00C91685">
          <w:rPr>
            <w:rStyle w:val="Hyperlink"/>
            <w:rFonts w:asciiTheme="majorBidi" w:eastAsia="Calibri" w:hAnsiTheme="majorBidi" w:cstheme="majorBidi"/>
            <w:sz w:val="20"/>
            <w:szCs w:val="20"/>
            <w:u w:val="none"/>
          </w:rPr>
          <w:t>https://www.opensocietyfoundations.org/sites/default/files/pretrial-detention-and-torture-06222011.pdf</w:t>
        </w:r>
      </w:hyperlink>
      <w:r w:rsidRPr="00C91685">
        <w:rPr>
          <w:rFonts w:asciiTheme="majorBidi" w:eastAsia="Calibri" w:hAnsiTheme="majorBidi" w:cstheme="majorBidi"/>
          <w:sz w:val="20"/>
          <w:szCs w:val="20"/>
        </w:rPr>
        <w:t xml:space="preserve">. </w:t>
      </w:r>
    </w:p>
  </w:footnote>
  <w:footnote w:id="6">
    <w:p w14:paraId="7A1145EB" w14:textId="77777777" w:rsidR="00EB1197" w:rsidRPr="00C91685" w:rsidRDefault="00EB1197" w:rsidP="00F92608">
      <w:pPr>
        <w:widowControl w:val="0"/>
        <w:rPr>
          <w:rFonts w:asciiTheme="majorBidi" w:eastAsia="Calibri" w:hAnsiTheme="majorBidi" w:cstheme="majorBidi"/>
          <w:sz w:val="20"/>
          <w:szCs w:val="20"/>
        </w:rPr>
      </w:pPr>
      <w:r w:rsidRPr="00C91685">
        <w:rPr>
          <w:rFonts w:asciiTheme="majorBidi" w:hAnsiTheme="majorBidi" w:cstheme="majorBidi"/>
          <w:sz w:val="20"/>
          <w:szCs w:val="20"/>
          <w:vertAlign w:val="superscript"/>
        </w:rPr>
        <w:footnoteRef/>
      </w:r>
      <w:r w:rsidRPr="00C91685">
        <w:rPr>
          <w:rFonts w:asciiTheme="majorBidi" w:eastAsia="Calibri" w:hAnsiTheme="majorBidi" w:cstheme="majorBidi"/>
          <w:sz w:val="20"/>
          <w:szCs w:val="20"/>
        </w:rPr>
        <w:t xml:space="preserve"> Barry Holman &amp; Jason </w:t>
      </w:r>
      <w:proofErr w:type="spellStart"/>
      <w:r w:rsidRPr="00C91685">
        <w:rPr>
          <w:rFonts w:asciiTheme="majorBidi" w:eastAsia="Calibri" w:hAnsiTheme="majorBidi" w:cstheme="majorBidi"/>
          <w:sz w:val="20"/>
          <w:szCs w:val="20"/>
        </w:rPr>
        <w:t>Ziedenberg</w:t>
      </w:r>
      <w:proofErr w:type="spellEnd"/>
      <w:r w:rsidRPr="00C91685">
        <w:rPr>
          <w:rFonts w:asciiTheme="majorBidi" w:eastAsia="Calibri" w:hAnsiTheme="majorBidi" w:cstheme="majorBidi"/>
          <w:sz w:val="20"/>
          <w:szCs w:val="20"/>
        </w:rPr>
        <w:t xml:space="preserve">. </w:t>
      </w:r>
      <w:r w:rsidRPr="00C91685">
        <w:rPr>
          <w:rFonts w:asciiTheme="majorBidi" w:eastAsia="Calibri" w:hAnsiTheme="majorBidi" w:cstheme="majorBidi"/>
          <w:i/>
          <w:sz w:val="20"/>
          <w:szCs w:val="20"/>
        </w:rPr>
        <w:t>The Dangers of Detention: The Impact of Incarcerating Youth in Detention and Other Secure Facilities</w:t>
      </w:r>
      <w:r w:rsidRPr="00C91685">
        <w:rPr>
          <w:rFonts w:asciiTheme="majorBidi" w:eastAsia="Calibri" w:hAnsiTheme="majorBidi" w:cstheme="majorBidi"/>
          <w:sz w:val="20"/>
          <w:szCs w:val="20"/>
        </w:rPr>
        <w:t xml:space="preserve">, 3–10, </w:t>
      </w:r>
      <w:r w:rsidRPr="00C91685">
        <w:rPr>
          <w:rFonts w:asciiTheme="majorBidi" w:eastAsia="Calibri" w:hAnsiTheme="majorBidi" w:cstheme="majorBidi"/>
          <w:smallCaps/>
          <w:sz w:val="20"/>
          <w:szCs w:val="20"/>
        </w:rPr>
        <w:t xml:space="preserve">Just. </w:t>
      </w:r>
      <w:proofErr w:type="spellStart"/>
      <w:r w:rsidRPr="00C91685">
        <w:rPr>
          <w:rFonts w:asciiTheme="majorBidi" w:eastAsia="Calibri" w:hAnsiTheme="majorBidi" w:cstheme="majorBidi"/>
          <w:smallCaps/>
          <w:sz w:val="20"/>
          <w:szCs w:val="20"/>
        </w:rPr>
        <w:t>Pol’y</w:t>
      </w:r>
      <w:proofErr w:type="spellEnd"/>
      <w:r w:rsidRPr="00C91685">
        <w:rPr>
          <w:rFonts w:asciiTheme="majorBidi" w:eastAsia="Calibri" w:hAnsiTheme="majorBidi" w:cstheme="majorBidi"/>
          <w:smallCaps/>
          <w:sz w:val="20"/>
          <w:szCs w:val="20"/>
        </w:rPr>
        <w:t xml:space="preserve"> Inst.</w:t>
      </w:r>
      <w:r w:rsidRPr="00C91685">
        <w:rPr>
          <w:rFonts w:asciiTheme="majorBidi" w:eastAsia="Calibri" w:hAnsiTheme="majorBidi" w:cstheme="majorBidi"/>
          <w:sz w:val="20"/>
          <w:szCs w:val="20"/>
        </w:rPr>
        <w:t xml:space="preserve"> (Nov. 28, 2006), </w:t>
      </w:r>
      <w:hyperlink r:id="rId2" w:history="1">
        <w:r w:rsidRPr="00C91685">
          <w:rPr>
            <w:rStyle w:val="Hyperlink"/>
            <w:rFonts w:asciiTheme="majorBidi" w:eastAsia="Calibri" w:hAnsiTheme="majorBidi" w:cstheme="majorBidi"/>
            <w:sz w:val="20"/>
            <w:szCs w:val="20"/>
            <w:u w:val="none"/>
          </w:rPr>
          <w:t>http://www.justicepolicy.org/images/upload/06-11_rep_dangersofdetention_jj.pdf</w:t>
        </w:r>
      </w:hyperlink>
      <w:r w:rsidRPr="00C91685">
        <w:rPr>
          <w:rFonts w:asciiTheme="majorBidi" w:eastAsia="Calibri" w:hAnsiTheme="majorBidi" w:cstheme="majorBidi"/>
          <w:sz w:val="20"/>
          <w:szCs w:val="20"/>
        </w:rPr>
        <w:t xml:space="preserve">. </w:t>
      </w:r>
    </w:p>
  </w:footnote>
  <w:footnote w:id="7">
    <w:p w14:paraId="03B43D0A" w14:textId="77777777" w:rsidR="00EB1197" w:rsidRPr="00C91685" w:rsidRDefault="00EB1197" w:rsidP="00F92608">
      <w:pPr>
        <w:widowControl w:val="0"/>
        <w:rPr>
          <w:rFonts w:asciiTheme="majorBidi" w:eastAsia="Calibri" w:hAnsiTheme="majorBidi" w:cstheme="majorBidi"/>
          <w:sz w:val="20"/>
          <w:lang w:val="es-MX"/>
        </w:rPr>
      </w:pPr>
      <w:r w:rsidRPr="00C91685">
        <w:rPr>
          <w:rFonts w:asciiTheme="majorBidi" w:hAnsiTheme="majorBidi" w:cstheme="majorBidi"/>
          <w:sz w:val="20"/>
          <w:szCs w:val="20"/>
          <w:vertAlign w:val="superscript"/>
        </w:rPr>
        <w:footnoteRef/>
      </w:r>
      <w:r w:rsidRPr="00C91685">
        <w:rPr>
          <w:rFonts w:asciiTheme="majorBidi" w:eastAsia="Calibri" w:hAnsiTheme="majorBidi" w:cstheme="majorBidi"/>
          <w:sz w:val="20"/>
          <w:szCs w:val="20"/>
          <w:lang w:val="es-MX"/>
        </w:rPr>
        <w:t xml:space="preserve"> </w:t>
      </w:r>
      <w:proofErr w:type="spellStart"/>
      <w:r w:rsidRPr="00C91685">
        <w:rPr>
          <w:rFonts w:asciiTheme="majorBidi" w:eastAsia="Calibri" w:hAnsiTheme="majorBidi" w:cstheme="majorBidi"/>
          <w:i/>
          <w:sz w:val="20"/>
          <w:szCs w:val="20"/>
          <w:lang w:val="es-MX"/>
        </w:rPr>
        <w:t>See</w:t>
      </w:r>
      <w:proofErr w:type="spellEnd"/>
      <w:r w:rsidRPr="00C91685">
        <w:rPr>
          <w:rFonts w:asciiTheme="majorBidi" w:eastAsia="Calibri" w:hAnsiTheme="majorBidi" w:cstheme="majorBidi"/>
          <w:i/>
          <w:sz w:val="20"/>
          <w:szCs w:val="20"/>
          <w:lang w:val="es-MX"/>
        </w:rPr>
        <w:t xml:space="preserve">, </w:t>
      </w:r>
      <w:proofErr w:type="spellStart"/>
      <w:r w:rsidRPr="00C91685">
        <w:rPr>
          <w:rFonts w:asciiTheme="majorBidi" w:eastAsia="Calibri" w:hAnsiTheme="majorBidi" w:cstheme="majorBidi"/>
          <w:i/>
          <w:sz w:val="20"/>
          <w:szCs w:val="20"/>
          <w:lang w:val="es-MX"/>
        </w:rPr>
        <w:t>e.g</w:t>
      </w:r>
      <w:proofErr w:type="spellEnd"/>
      <w:r w:rsidRPr="00C91685">
        <w:rPr>
          <w:rFonts w:asciiTheme="majorBidi" w:eastAsia="Calibri" w:hAnsiTheme="majorBidi" w:cstheme="majorBidi"/>
          <w:i/>
          <w:sz w:val="20"/>
          <w:szCs w:val="20"/>
          <w:lang w:val="es-MX"/>
        </w:rPr>
        <w:t>.</w:t>
      </w:r>
      <w:r w:rsidRPr="00C91685">
        <w:rPr>
          <w:rFonts w:asciiTheme="majorBidi" w:eastAsia="Calibri" w:hAnsiTheme="majorBidi" w:cstheme="majorBidi"/>
          <w:sz w:val="20"/>
          <w:szCs w:val="20"/>
          <w:lang w:val="es-MX"/>
        </w:rPr>
        <w:t xml:space="preserve">, </w:t>
      </w:r>
      <w:r w:rsidRPr="00C91685">
        <w:rPr>
          <w:rFonts w:asciiTheme="majorBidi" w:hAnsiTheme="majorBidi" w:cstheme="majorBidi"/>
          <w:i/>
          <w:sz w:val="20"/>
          <w:szCs w:val="20"/>
          <w:lang w:val="es-MX"/>
        </w:rPr>
        <w:t>Diagnóstico del Sistema de Justicia Para Adolescentes del Estado de Chihuahua: “Buenas Prácticas para las Alternativas a la Detención”</w:t>
      </w:r>
      <w:r w:rsidRPr="00C91685">
        <w:rPr>
          <w:rFonts w:asciiTheme="majorBidi" w:hAnsiTheme="majorBidi" w:cstheme="majorBidi"/>
          <w:sz w:val="20"/>
          <w:szCs w:val="20"/>
          <w:lang w:val="es-MX"/>
        </w:rPr>
        <w:t xml:space="preserve">, 8–10, </w:t>
      </w:r>
      <w:r w:rsidRPr="00C91685">
        <w:rPr>
          <w:rFonts w:asciiTheme="majorBidi" w:hAnsiTheme="majorBidi" w:cstheme="majorBidi"/>
          <w:smallCaps/>
          <w:sz w:val="20"/>
          <w:szCs w:val="20"/>
          <w:lang w:val="es-MX"/>
        </w:rPr>
        <w:t xml:space="preserve">Justicia Juvenil </w:t>
      </w:r>
      <w:proofErr w:type="spellStart"/>
      <w:r w:rsidRPr="00C91685">
        <w:rPr>
          <w:rFonts w:asciiTheme="majorBidi" w:hAnsiTheme="majorBidi" w:cstheme="majorBidi"/>
          <w:smallCaps/>
          <w:sz w:val="20"/>
          <w:szCs w:val="20"/>
          <w:lang w:val="es-MX"/>
        </w:rPr>
        <w:t>Int’l</w:t>
      </w:r>
      <w:proofErr w:type="spellEnd"/>
      <w:r w:rsidRPr="00C91685">
        <w:rPr>
          <w:rFonts w:asciiTheme="majorBidi" w:hAnsiTheme="majorBidi" w:cstheme="majorBidi"/>
          <w:sz w:val="20"/>
          <w:szCs w:val="20"/>
          <w:lang w:val="es-MX"/>
        </w:rPr>
        <w:t xml:space="preserve"> (Sept. 2017) https://jjimexico.org/projects/chihuahua</w:t>
      </w:r>
      <w:r w:rsidRPr="00C91685">
        <w:rPr>
          <w:rFonts w:asciiTheme="majorBidi" w:hAnsiTheme="majorBidi" w:cstheme="majorBidi"/>
          <w:color w:val="FF0000"/>
          <w:sz w:val="20"/>
          <w:szCs w:val="20"/>
          <w:lang w:val="es-MX"/>
        </w:rPr>
        <w:t xml:space="preserve"> </w:t>
      </w:r>
      <w:r w:rsidRPr="00C91685">
        <w:rPr>
          <w:rFonts w:asciiTheme="majorBidi" w:hAnsiTheme="majorBidi" w:cstheme="majorBidi"/>
          <w:sz w:val="20"/>
          <w:szCs w:val="20"/>
          <w:lang w:val="es-MX"/>
        </w:rPr>
        <w:t>[</w:t>
      </w:r>
      <w:proofErr w:type="spellStart"/>
      <w:r w:rsidRPr="00C91685">
        <w:rPr>
          <w:rFonts w:asciiTheme="majorBidi" w:hAnsiTheme="majorBidi" w:cstheme="majorBidi"/>
          <w:sz w:val="20"/>
          <w:szCs w:val="20"/>
          <w:lang w:val="es-MX"/>
        </w:rPr>
        <w:t>hereinafter</w:t>
      </w:r>
      <w:proofErr w:type="spellEnd"/>
      <w:r w:rsidRPr="00C91685">
        <w:rPr>
          <w:rFonts w:asciiTheme="majorBidi" w:hAnsiTheme="majorBidi" w:cstheme="majorBidi"/>
          <w:sz w:val="20"/>
          <w:szCs w:val="20"/>
          <w:lang w:val="es-MX"/>
        </w:rPr>
        <w:t xml:space="preserve"> </w:t>
      </w:r>
      <w:r w:rsidRPr="00C91685">
        <w:rPr>
          <w:rFonts w:asciiTheme="majorBidi" w:hAnsiTheme="majorBidi" w:cstheme="majorBidi"/>
          <w:i/>
          <w:sz w:val="20"/>
          <w:szCs w:val="20"/>
          <w:lang w:val="es-MX"/>
        </w:rPr>
        <w:t>Diagnóstico 2017</w:t>
      </w:r>
      <w:r w:rsidRPr="00C91685">
        <w:rPr>
          <w:rFonts w:asciiTheme="majorBidi" w:hAnsiTheme="majorBidi" w:cstheme="majorBidi"/>
          <w:sz w:val="20"/>
          <w:szCs w:val="20"/>
          <w:lang w:val="es-MX"/>
        </w:rPr>
        <w:t>].</w:t>
      </w:r>
    </w:p>
  </w:footnote>
  <w:footnote w:id="8">
    <w:p w14:paraId="34965511" w14:textId="77777777" w:rsidR="00EB1197" w:rsidRPr="00C91685" w:rsidRDefault="00EB1197" w:rsidP="00F92608">
      <w:pPr>
        <w:pStyle w:val="FootnoteText"/>
        <w:widowControl w:val="0"/>
        <w:jc w:val="left"/>
        <w:rPr>
          <w:rFonts w:asciiTheme="majorBidi" w:hAnsiTheme="majorBidi" w:cstheme="majorBidi"/>
        </w:rPr>
      </w:pPr>
      <w:r w:rsidRPr="00C91685">
        <w:rPr>
          <w:rStyle w:val="FootnoteReference"/>
          <w:rFonts w:asciiTheme="majorBidi" w:hAnsiTheme="majorBidi" w:cstheme="majorBidi"/>
        </w:rPr>
        <w:footnoteRef/>
      </w:r>
      <w:r w:rsidRPr="00C91685">
        <w:rPr>
          <w:rFonts w:asciiTheme="majorBidi" w:hAnsiTheme="majorBidi" w:cstheme="majorBidi"/>
        </w:rPr>
        <w:t xml:space="preserve"> Additional methodological information available in </w:t>
      </w:r>
      <w:r w:rsidRPr="00C91685">
        <w:rPr>
          <w:rFonts w:asciiTheme="majorBidi" w:hAnsiTheme="majorBidi" w:cstheme="majorBidi"/>
          <w:i/>
        </w:rPr>
        <w:t xml:space="preserve">Children in Pretrial Detention: Promoting Stronger International Time Limits, </w:t>
      </w:r>
      <w:r w:rsidRPr="00C91685">
        <w:rPr>
          <w:rFonts w:asciiTheme="majorBidi" w:hAnsiTheme="majorBidi" w:cstheme="majorBidi"/>
          <w:smallCaps/>
        </w:rPr>
        <w:t>Juvenile Justice Advocates Int’l.</w:t>
      </w:r>
      <w:r w:rsidRPr="00C91685">
        <w:rPr>
          <w:rFonts w:asciiTheme="majorBidi" w:hAnsiTheme="majorBidi" w:cstheme="majorBidi"/>
        </w:rPr>
        <w:t xml:space="preserve"> (May, 2018) (available at </w:t>
      </w:r>
      <w:proofErr w:type="gramStart"/>
      <w:r w:rsidRPr="00C91685">
        <w:rPr>
          <w:rFonts w:asciiTheme="majorBidi" w:hAnsiTheme="majorBidi" w:cstheme="majorBidi"/>
        </w:rPr>
        <w:t>https:jjimexico.org</w:t>
      </w:r>
      <w:proofErr w:type="gramEnd"/>
      <w:r w:rsidRPr="00C91685">
        <w:rPr>
          <w:rFonts w:asciiTheme="majorBidi" w:hAnsiTheme="majorBidi" w:cstheme="majorBidi"/>
        </w:rPr>
        <w:t>/ptd-report/)</w:t>
      </w:r>
    </w:p>
  </w:footnote>
  <w:footnote w:id="9">
    <w:p w14:paraId="0013A7CA" w14:textId="69E0B016" w:rsidR="00E060A3" w:rsidRPr="00C91685" w:rsidRDefault="00E060A3">
      <w:pPr>
        <w:pStyle w:val="FootnoteText"/>
        <w:rPr>
          <w:rFonts w:asciiTheme="majorBidi" w:hAnsiTheme="majorBidi" w:cstheme="majorBidi"/>
        </w:rPr>
      </w:pPr>
      <w:r w:rsidRPr="00C91685">
        <w:rPr>
          <w:rStyle w:val="FootnoteReference"/>
          <w:rFonts w:asciiTheme="majorBidi" w:hAnsiTheme="majorBidi" w:cstheme="majorBidi"/>
        </w:rPr>
        <w:footnoteRef/>
      </w:r>
      <w:r w:rsidRPr="00C91685">
        <w:rPr>
          <w:rFonts w:asciiTheme="majorBidi" w:hAnsiTheme="majorBidi" w:cstheme="majorBidi"/>
        </w:rPr>
        <w:t xml:space="preserve"> Aurora </w:t>
      </w:r>
      <w:proofErr w:type="spellStart"/>
      <w:r w:rsidRPr="00C91685">
        <w:rPr>
          <w:rFonts w:asciiTheme="majorBidi" w:hAnsiTheme="majorBidi" w:cstheme="majorBidi"/>
        </w:rPr>
        <w:t>Almendral</w:t>
      </w:r>
      <w:proofErr w:type="spellEnd"/>
      <w:r w:rsidRPr="00C91685">
        <w:rPr>
          <w:rFonts w:asciiTheme="majorBidi" w:hAnsiTheme="majorBidi" w:cstheme="majorBidi"/>
        </w:rPr>
        <w:t xml:space="preserve">, </w:t>
      </w:r>
      <w:proofErr w:type="gramStart"/>
      <w:r w:rsidRPr="00C91685">
        <w:rPr>
          <w:rFonts w:asciiTheme="majorBidi" w:hAnsiTheme="majorBidi" w:cstheme="majorBidi"/>
          <w:i/>
          <w:iCs/>
        </w:rPr>
        <w:t>Where</w:t>
      </w:r>
      <w:proofErr w:type="gramEnd"/>
      <w:r w:rsidRPr="00C91685">
        <w:rPr>
          <w:rFonts w:asciiTheme="majorBidi" w:hAnsiTheme="majorBidi" w:cstheme="majorBidi"/>
          <w:i/>
          <w:iCs/>
        </w:rPr>
        <w:t xml:space="preserve"> 518 Inmates Sleep in Space for 170, and Gangs Hold It Together</w:t>
      </w:r>
      <w:r w:rsidRPr="00C91685">
        <w:rPr>
          <w:rFonts w:asciiTheme="majorBidi" w:hAnsiTheme="majorBidi" w:cstheme="majorBidi"/>
        </w:rPr>
        <w:t xml:space="preserve">, N.Y. </w:t>
      </w:r>
      <w:r w:rsidRPr="00C91685">
        <w:rPr>
          <w:rFonts w:asciiTheme="majorBidi" w:hAnsiTheme="majorBidi" w:cstheme="majorBidi"/>
          <w:smallCaps/>
        </w:rPr>
        <w:t>Times</w:t>
      </w:r>
      <w:r w:rsidRPr="00C91685">
        <w:rPr>
          <w:rFonts w:asciiTheme="majorBidi" w:hAnsiTheme="majorBidi" w:cstheme="majorBidi"/>
        </w:rPr>
        <w:t xml:space="preserve"> (Jan. 7, 2019), https://www.nytimes.com/2019/01/07/world/asia/philippines-manila-jail-overcrowding.html.</w:t>
      </w:r>
    </w:p>
  </w:footnote>
  <w:footnote w:id="10">
    <w:p w14:paraId="38FE71D0" w14:textId="4710D85D" w:rsidR="00F92608" w:rsidRPr="00C91685" w:rsidRDefault="00F92608" w:rsidP="00F92608">
      <w:pPr>
        <w:pStyle w:val="FootnoteText"/>
        <w:jc w:val="left"/>
        <w:rPr>
          <w:rFonts w:asciiTheme="majorBidi" w:hAnsiTheme="majorBidi" w:cstheme="majorBidi"/>
        </w:rPr>
      </w:pPr>
      <w:r w:rsidRPr="00C91685">
        <w:rPr>
          <w:rStyle w:val="FootnoteReference"/>
          <w:rFonts w:asciiTheme="majorBidi" w:hAnsiTheme="majorBidi" w:cstheme="majorBidi"/>
        </w:rPr>
        <w:footnoteRef/>
      </w:r>
      <w:r w:rsidRPr="00C91685">
        <w:rPr>
          <w:rFonts w:asciiTheme="majorBidi" w:hAnsiTheme="majorBidi" w:cstheme="majorBidi"/>
        </w:rPr>
        <w:t xml:space="preserve"> </w:t>
      </w:r>
      <w:r w:rsidRPr="00C91685">
        <w:rPr>
          <w:rFonts w:asciiTheme="majorBidi" w:hAnsiTheme="majorBidi" w:cstheme="majorBidi"/>
          <w:i/>
          <w:iCs/>
        </w:rPr>
        <w:t>Close to three million people in pre-trial detention worldwide, new report shows</w:t>
      </w:r>
      <w:r w:rsidRPr="00C91685">
        <w:rPr>
          <w:rFonts w:asciiTheme="majorBidi" w:hAnsiTheme="majorBidi" w:cstheme="majorBidi"/>
        </w:rPr>
        <w:t>, Prison Studies (June 18, 2014), https://www.prisonstudies.org/news/close-three-million-people-pre-trial-detention-worldwide-new-report-shows.</w:t>
      </w:r>
    </w:p>
  </w:footnote>
  <w:footnote w:id="11">
    <w:p w14:paraId="7E38EB39" w14:textId="4F716742" w:rsidR="00C91685" w:rsidRPr="00C91685" w:rsidRDefault="00C91685">
      <w:pPr>
        <w:pStyle w:val="FootnoteText"/>
        <w:rPr>
          <w:rFonts w:asciiTheme="majorBidi" w:hAnsiTheme="majorBidi" w:cstheme="majorBidi"/>
        </w:rPr>
      </w:pPr>
      <w:r w:rsidRPr="00C91685">
        <w:rPr>
          <w:rStyle w:val="FootnoteReference"/>
          <w:rFonts w:asciiTheme="majorBidi" w:hAnsiTheme="majorBidi" w:cstheme="majorBidi"/>
        </w:rPr>
        <w:footnoteRef/>
      </w:r>
      <w:r w:rsidRPr="00C91685">
        <w:rPr>
          <w:rFonts w:asciiTheme="majorBidi" w:hAnsiTheme="majorBidi" w:cstheme="majorBidi"/>
        </w:rPr>
        <w:t xml:space="preserve">World Prison Brief Data: </w:t>
      </w:r>
      <w:r w:rsidRPr="00C91685">
        <w:rPr>
          <w:rFonts w:asciiTheme="majorBidi" w:hAnsiTheme="majorBidi" w:cstheme="majorBidi"/>
        </w:rPr>
        <w:t>Philippines</w:t>
      </w:r>
      <w:r w:rsidRPr="00C91685">
        <w:rPr>
          <w:rFonts w:asciiTheme="majorBidi" w:hAnsiTheme="majorBidi" w:cstheme="majorBidi"/>
        </w:rPr>
        <w:t xml:space="preserve">, </w:t>
      </w:r>
      <w:r w:rsidRPr="00C91685">
        <w:rPr>
          <w:rFonts w:asciiTheme="majorBidi" w:hAnsiTheme="majorBidi" w:cstheme="majorBidi"/>
          <w:smallCaps/>
        </w:rPr>
        <w:t>Prison Studies</w:t>
      </w:r>
      <w:r w:rsidRPr="00C91685">
        <w:rPr>
          <w:rFonts w:asciiTheme="majorBidi" w:hAnsiTheme="majorBidi" w:cstheme="majorBidi"/>
        </w:rPr>
        <w:t xml:space="preserve">, </w:t>
      </w:r>
      <w:r w:rsidRPr="00C91685">
        <w:rPr>
          <w:rFonts w:asciiTheme="majorBidi" w:hAnsiTheme="majorBidi" w:cstheme="majorBidi"/>
        </w:rPr>
        <w:t>https://www.prisonstudies.org/country/philippines</w:t>
      </w:r>
      <w:r w:rsidRPr="00C91685">
        <w:rPr>
          <w:rFonts w:asciiTheme="majorBidi" w:hAnsiTheme="majorBidi" w:cstheme="majorBidi"/>
        </w:rPr>
        <w:t>.</w:t>
      </w:r>
    </w:p>
  </w:footnote>
  <w:footnote w:id="12">
    <w:p w14:paraId="23A936A6" w14:textId="3D20AF74" w:rsidR="001A2EB8" w:rsidRPr="00C91685" w:rsidRDefault="001A2EB8">
      <w:pPr>
        <w:pStyle w:val="FootnoteText"/>
        <w:rPr>
          <w:rFonts w:asciiTheme="majorBidi" w:hAnsiTheme="majorBidi" w:cstheme="majorBidi"/>
        </w:rPr>
      </w:pPr>
      <w:r w:rsidRPr="00C91685">
        <w:rPr>
          <w:rStyle w:val="FootnoteReference"/>
          <w:rFonts w:asciiTheme="majorBidi" w:hAnsiTheme="majorBidi" w:cstheme="majorBidi"/>
        </w:rPr>
        <w:footnoteRef/>
      </w:r>
      <w:r w:rsidRPr="00C91685">
        <w:rPr>
          <w:rFonts w:asciiTheme="majorBidi" w:hAnsiTheme="majorBidi" w:cstheme="majorBidi"/>
        </w:rPr>
        <w:t xml:space="preserve"> </w:t>
      </w:r>
      <w:proofErr w:type="spellStart"/>
      <w:r w:rsidRPr="00C91685">
        <w:rPr>
          <w:rFonts w:asciiTheme="majorBidi" w:hAnsiTheme="majorBidi" w:cstheme="majorBidi"/>
        </w:rPr>
        <w:t>Almendral</w:t>
      </w:r>
      <w:proofErr w:type="spellEnd"/>
      <w:r w:rsidRPr="00C91685">
        <w:rPr>
          <w:rFonts w:asciiTheme="majorBidi" w:hAnsiTheme="majorBidi" w:cstheme="majorBidi"/>
        </w:rPr>
        <w:t xml:space="preserve">, </w:t>
      </w:r>
      <w:r w:rsidRPr="00C91685">
        <w:rPr>
          <w:rFonts w:asciiTheme="majorBidi" w:hAnsiTheme="majorBidi" w:cstheme="majorBidi"/>
          <w:i/>
          <w:iCs/>
        </w:rPr>
        <w:t>supra</w:t>
      </w:r>
      <w:r w:rsidRPr="00C91685">
        <w:rPr>
          <w:rFonts w:asciiTheme="majorBidi" w:hAnsiTheme="majorBidi" w:cstheme="majorBidi"/>
        </w:rPr>
        <w:t xml:space="preserve"> note 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D786E4B"/>
    <w:multiLevelType w:val="hybridMultilevel"/>
    <w:tmpl w:val="E15AEA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45911F32"/>
    <w:multiLevelType w:val="hybridMultilevel"/>
    <w:tmpl w:val="87684882"/>
    <w:lvl w:ilvl="0" w:tplc="0409000F">
      <w:start w:val="1"/>
      <w:numFmt w:val="decimal"/>
      <w:lvlText w:val="%1."/>
      <w:lvlJc w:val="left"/>
      <w:pPr>
        <w:ind w:left="720" w:hanging="360"/>
      </w:pPr>
      <w:rPr>
        <w:rFonts w:hint="default"/>
      </w:rPr>
    </w:lvl>
    <w:lvl w:ilvl="1" w:tplc="04090001">
      <w:start w:val="1"/>
      <w:numFmt w:val="bullet"/>
      <w:lvlText w:val=""/>
      <w:lvlJc w:val="left"/>
      <w:pPr>
        <w:ind w:left="72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260265B"/>
    <w:multiLevelType w:val="hybridMultilevel"/>
    <w:tmpl w:val="79A08A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5C0059F"/>
    <w:multiLevelType w:val="hybridMultilevel"/>
    <w:tmpl w:val="8CAC47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29D0"/>
    <w:rsid w:val="000766CE"/>
    <w:rsid w:val="001829D0"/>
    <w:rsid w:val="001A2EB8"/>
    <w:rsid w:val="0034410B"/>
    <w:rsid w:val="00394F22"/>
    <w:rsid w:val="004A7919"/>
    <w:rsid w:val="004F1837"/>
    <w:rsid w:val="008A1547"/>
    <w:rsid w:val="008F47C8"/>
    <w:rsid w:val="00A359BF"/>
    <w:rsid w:val="00A42A05"/>
    <w:rsid w:val="00A42A7B"/>
    <w:rsid w:val="00AD6168"/>
    <w:rsid w:val="00AD6550"/>
    <w:rsid w:val="00B37933"/>
    <w:rsid w:val="00BC7726"/>
    <w:rsid w:val="00C027E2"/>
    <w:rsid w:val="00C10891"/>
    <w:rsid w:val="00C7552D"/>
    <w:rsid w:val="00C91685"/>
    <w:rsid w:val="00CB49DE"/>
    <w:rsid w:val="00D303CB"/>
    <w:rsid w:val="00DF6D86"/>
    <w:rsid w:val="00DF7B86"/>
    <w:rsid w:val="00E060A3"/>
    <w:rsid w:val="00E27751"/>
    <w:rsid w:val="00EB1197"/>
    <w:rsid w:val="00F41073"/>
    <w:rsid w:val="00F92608"/>
    <w:rsid w:val="00FC5FE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71BBE0"/>
  <w15:chartTrackingRefBased/>
  <w15:docId w15:val="{5E85038E-D8C1-4277-90AC-D40D16E3E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2A05"/>
    <w:pPr>
      <w:spacing w:after="0" w:line="240" w:lineRule="auto"/>
    </w:pPr>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49DE"/>
    <w:pPr>
      <w:ind w:left="720"/>
      <w:contextualSpacing/>
    </w:pPr>
  </w:style>
  <w:style w:type="table" w:styleId="TableGrid">
    <w:name w:val="Table Grid"/>
    <w:basedOn w:val="TableNormal"/>
    <w:uiPriority w:val="59"/>
    <w:rsid w:val="00A42A05"/>
    <w:pPr>
      <w:spacing w:after="0" w:line="240" w:lineRule="auto"/>
    </w:pPr>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42A05"/>
    <w:pPr>
      <w:spacing w:before="100" w:beforeAutospacing="1" w:after="100" w:afterAutospacing="1"/>
    </w:pPr>
    <w:rPr>
      <w:rFonts w:ascii="Times New Roman" w:eastAsia="Times New Roman" w:hAnsi="Times New Roman" w:cs="Times New Roman"/>
    </w:rPr>
  </w:style>
  <w:style w:type="paragraph" w:styleId="FootnoteText">
    <w:name w:val="footnote text"/>
    <w:basedOn w:val="Normal"/>
    <w:link w:val="FootnoteTextChar"/>
    <w:uiPriority w:val="99"/>
    <w:unhideWhenUsed/>
    <w:rsid w:val="00A42A05"/>
    <w:pPr>
      <w:pBdr>
        <w:top w:val="nil"/>
        <w:left w:val="nil"/>
        <w:bottom w:val="nil"/>
        <w:right w:val="nil"/>
        <w:between w:val="nil"/>
      </w:pBdr>
      <w:jc w:val="both"/>
    </w:pPr>
    <w:rPr>
      <w:rFonts w:ascii="Times New Roman" w:eastAsia="Times New Roman" w:hAnsi="Times New Roman" w:cs="Times New Roman"/>
      <w:color w:val="000000"/>
      <w:sz w:val="20"/>
      <w:szCs w:val="20"/>
    </w:rPr>
  </w:style>
  <w:style w:type="character" w:customStyle="1" w:styleId="FootnoteTextChar">
    <w:name w:val="Footnote Text Char"/>
    <w:basedOn w:val="DefaultParagraphFont"/>
    <w:link w:val="FootnoteText"/>
    <w:uiPriority w:val="99"/>
    <w:rsid w:val="00A42A05"/>
    <w:rPr>
      <w:rFonts w:ascii="Times New Roman" w:eastAsia="Times New Roman" w:hAnsi="Times New Roman" w:cs="Times New Roman"/>
      <w:color w:val="000000"/>
      <w:sz w:val="20"/>
      <w:szCs w:val="20"/>
    </w:rPr>
  </w:style>
  <w:style w:type="character" w:styleId="FootnoteReference">
    <w:name w:val="footnote reference"/>
    <w:basedOn w:val="DefaultParagraphFont"/>
    <w:uiPriority w:val="99"/>
    <w:unhideWhenUsed/>
    <w:rsid w:val="00A42A05"/>
    <w:rPr>
      <w:vertAlign w:val="superscript"/>
    </w:rPr>
  </w:style>
  <w:style w:type="character" w:styleId="Hyperlink">
    <w:name w:val="Hyperlink"/>
    <w:basedOn w:val="DefaultParagraphFont"/>
    <w:uiPriority w:val="99"/>
    <w:unhideWhenUsed/>
    <w:rsid w:val="00A42A05"/>
    <w:rPr>
      <w:color w:val="auto"/>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79664">
      <w:bodyDiv w:val="1"/>
      <w:marLeft w:val="0"/>
      <w:marRight w:val="0"/>
      <w:marTop w:val="0"/>
      <w:marBottom w:val="0"/>
      <w:divBdr>
        <w:top w:val="none" w:sz="0" w:space="0" w:color="auto"/>
        <w:left w:val="none" w:sz="0" w:space="0" w:color="auto"/>
        <w:bottom w:val="none" w:sz="0" w:space="0" w:color="auto"/>
        <w:right w:val="none" w:sz="0" w:space="0" w:color="auto"/>
      </w:divBdr>
    </w:div>
    <w:div w:id="140468922">
      <w:bodyDiv w:val="1"/>
      <w:marLeft w:val="0"/>
      <w:marRight w:val="0"/>
      <w:marTop w:val="0"/>
      <w:marBottom w:val="0"/>
      <w:divBdr>
        <w:top w:val="none" w:sz="0" w:space="0" w:color="auto"/>
        <w:left w:val="none" w:sz="0" w:space="0" w:color="auto"/>
        <w:bottom w:val="none" w:sz="0" w:space="0" w:color="auto"/>
        <w:right w:val="none" w:sz="0" w:space="0" w:color="auto"/>
      </w:divBdr>
    </w:div>
    <w:div w:id="414712556">
      <w:bodyDiv w:val="1"/>
      <w:marLeft w:val="0"/>
      <w:marRight w:val="0"/>
      <w:marTop w:val="0"/>
      <w:marBottom w:val="0"/>
      <w:divBdr>
        <w:top w:val="none" w:sz="0" w:space="0" w:color="auto"/>
        <w:left w:val="none" w:sz="0" w:space="0" w:color="auto"/>
        <w:bottom w:val="none" w:sz="0" w:space="0" w:color="auto"/>
        <w:right w:val="none" w:sz="0" w:space="0" w:color="auto"/>
      </w:divBdr>
    </w:div>
    <w:div w:id="630211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jimexico.org/ptd-report/" TargetMode="Externa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about:blank" TargetMode="External"/><Relationship Id="rId1"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E1F368C-206A-43FE-A387-0D5DFD3A0013}"/>
</file>

<file path=customXml/itemProps2.xml><?xml version="1.0" encoding="utf-8"?>
<ds:datastoreItem xmlns:ds="http://schemas.openxmlformats.org/officeDocument/2006/customXml" ds:itemID="{A3486CDF-12F0-42D6-90F7-2C590F6A9414}"/>
</file>

<file path=customXml/itemProps3.xml><?xml version="1.0" encoding="utf-8"?>
<ds:datastoreItem xmlns:ds="http://schemas.openxmlformats.org/officeDocument/2006/customXml" ds:itemID="{535AAA92-E828-4AD8-8AF1-59A433653F0D}"/>
</file>

<file path=docProps/app.xml><?xml version="1.0" encoding="utf-8"?>
<Properties xmlns="http://schemas.openxmlformats.org/officeDocument/2006/extended-properties" xmlns:vt="http://schemas.openxmlformats.org/officeDocument/2006/docPropsVTypes">
  <Template>Normal</Template>
  <TotalTime>100</TotalTime>
  <Pages>5</Pages>
  <Words>1532</Words>
  <Characters>8734</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Noor Tarabishy</dc:creator>
  <cp:keywords/>
  <dc:description/>
  <cp:lastModifiedBy>Noor Tarabishy</cp:lastModifiedBy>
  <cp:revision>6</cp:revision>
  <dcterms:created xsi:type="dcterms:W3CDTF">2020-02-25T16:10:00Z</dcterms:created>
  <dcterms:modified xsi:type="dcterms:W3CDTF">2020-02-27T15:58:00Z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