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19EFB" w14:textId="77777777" w:rsidR="007428C7" w:rsidRPr="00D5611D" w:rsidRDefault="007428C7" w:rsidP="007428C7">
      <w:pPr>
        <w:spacing w:after="0"/>
        <w:jc w:val="both"/>
        <w:rPr>
          <w:rFonts w:ascii="Times New Roman" w:eastAsia="Times New Roman" w:hAnsi="Times New Roman" w:cs="Times New Roman"/>
          <w:b/>
          <w:bCs/>
          <w:color w:val="404040"/>
          <w:lang w:val="en-US" w:eastAsia="lt-LT"/>
        </w:rPr>
      </w:pPr>
    </w:p>
    <w:p w14:paraId="1FBB2E0C" w14:textId="04B67338" w:rsidR="007428C7" w:rsidRPr="00D5611D" w:rsidRDefault="007428C7" w:rsidP="007428C7">
      <w:pPr>
        <w:spacing w:after="0"/>
        <w:jc w:val="both"/>
        <w:rPr>
          <w:rFonts w:ascii="Times New Roman" w:eastAsia="Times New Roman" w:hAnsi="Times New Roman" w:cs="Times New Roman"/>
          <w:b/>
          <w:bCs/>
          <w:color w:val="404040"/>
          <w:lang w:val="en-US" w:eastAsia="lt-LT"/>
        </w:rPr>
      </w:pPr>
      <w:r w:rsidRPr="00D5611D">
        <w:rPr>
          <w:rFonts w:ascii="Times New Roman" w:eastAsia="Times New Roman" w:hAnsi="Times New Roman" w:cs="Times New Roman"/>
          <w:b/>
          <w:bCs/>
          <w:color w:val="404040"/>
          <w:lang w:val="en-US" w:eastAsia="lt-LT"/>
        </w:rPr>
        <w:t>Appendix No 11</w:t>
      </w:r>
    </w:p>
    <w:p w14:paraId="2753A941" w14:textId="4F515EB3" w:rsidR="004A6AEF" w:rsidRPr="00D5611D" w:rsidRDefault="004A6AEF" w:rsidP="005A2DD9">
      <w:pPr>
        <w:spacing w:after="0"/>
        <w:jc w:val="both"/>
        <w:rPr>
          <w:rFonts w:ascii="Times New Roman" w:eastAsia="Times New Roman" w:hAnsi="Times New Roman" w:cs="Times New Roman"/>
          <w:color w:val="404040"/>
          <w:lang w:val="en-US" w:eastAsia="lt-LT"/>
        </w:rPr>
      </w:pPr>
    </w:p>
    <w:p w14:paraId="7FAAC992" w14:textId="54CE17F0" w:rsidR="007F075A" w:rsidRPr="00D5611D" w:rsidRDefault="007F075A" w:rsidP="005A2DD9">
      <w:pPr>
        <w:spacing w:after="0"/>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Measures taken to ensure the effective enforcement of its labour legislation and accountability for labour rights violations</w:t>
      </w:r>
    </w:p>
    <w:p w14:paraId="01792A4F" w14:textId="2058BD31" w:rsidR="007F075A" w:rsidRPr="00D5611D" w:rsidRDefault="007F075A" w:rsidP="005A2DD9">
      <w:pPr>
        <w:spacing w:after="0"/>
        <w:jc w:val="both"/>
        <w:rPr>
          <w:rFonts w:ascii="Times New Roman" w:eastAsia="Times New Roman" w:hAnsi="Times New Roman" w:cs="Times New Roman"/>
          <w:color w:val="404040"/>
          <w:lang w:val="en-US" w:eastAsia="lt-LT"/>
        </w:rPr>
      </w:pPr>
    </w:p>
    <w:tbl>
      <w:tblPr>
        <w:tblStyle w:val="Lentelstinklelis"/>
        <w:tblW w:w="0" w:type="auto"/>
        <w:tblLook w:val="04A0" w:firstRow="1" w:lastRow="0" w:firstColumn="1" w:lastColumn="0" w:noHBand="0" w:noVBand="1"/>
      </w:tblPr>
      <w:tblGrid>
        <w:gridCol w:w="4508"/>
        <w:gridCol w:w="4508"/>
      </w:tblGrid>
      <w:tr w:rsidR="007F075A" w:rsidRPr="00D5611D" w14:paraId="3A658E48" w14:textId="77777777" w:rsidTr="001417EB">
        <w:tc>
          <w:tcPr>
            <w:tcW w:w="4508" w:type="dxa"/>
            <w:shd w:val="clear" w:color="auto" w:fill="4472C4" w:themeFill="accent1"/>
          </w:tcPr>
          <w:p w14:paraId="6E661E13" w14:textId="3E6A4595" w:rsidR="007F075A" w:rsidRPr="00D5611D" w:rsidRDefault="007F075A" w:rsidP="005A2DD9">
            <w:pPr>
              <w:jc w:val="both"/>
              <w:rPr>
                <w:rFonts w:ascii="Times New Roman" w:eastAsia="Times New Roman" w:hAnsi="Times New Roman" w:cs="Times New Roman"/>
                <w:b/>
                <w:bCs/>
                <w:color w:val="404040"/>
                <w:lang w:val="en-US" w:eastAsia="lt-LT"/>
              </w:rPr>
            </w:pPr>
            <w:r w:rsidRPr="00D5611D">
              <w:rPr>
                <w:rFonts w:ascii="Times New Roman" w:eastAsia="Times New Roman" w:hAnsi="Times New Roman" w:cs="Times New Roman"/>
                <w:b/>
                <w:bCs/>
                <w:color w:val="404040"/>
                <w:lang w:val="en-US" w:eastAsia="lt-LT"/>
              </w:rPr>
              <w:t>Measure</w:t>
            </w:r>
          </w:p>
        </w:tc>
        <w:tc>
          <w:tcPr>
            <w:tcW w:w="4508" w:type="dxa"/>
            <w:shd w:val="clear" w:color="auto" w:fill="4472C4" w:themeFill="accent1"/>
          </w:tcPr>
          <w:p w14:paraId="5E9CA4A7" w14:textId="5BD93385" w:rsidR="007F075A" w:rsidRPr="00D5611D" w:rsidRDefault="006F531D" w:rsidP="005A2DD9">
            <w:pPr>
              <w:jc w:val="both"/>
              <w:rPr>
                <w:rFonts w:ascii="Times New Roman" w:eastAsia="Times New Roman" w:hAnsi="Times New Roman" w:cs="Times New Roman"/>
                <w:b/>
                <w:bCs/>
                <w:color w:val="404040"/>
                <w:lang w:val="en-US" w:eastAsia="lt-LT"/>
              </w:rPr>
            </w:pPr>
            <w:r w:rsidRPr="00D5611D">
              <w:rPr>
                <w:rFonts w:ascii="Times New Roman" w:eastAsia="Times New Roman" w:hAnsi="Times New Roman" w:cs="Times New Roman"/>
                <w:b/>
                <w:bCs/>
                <w:color w:val="404040"/>
                <w:lang w:val="en-US" w:eastAsia="lt-LT"/>
              </w:rPr>
              <w:t>Purpose</w:t>
            </w:r>
          </w:p>
        </w:tc>
      </w:tr>
      <w:tr w:rsidR="007F075A" w:rsidRPr="00D5611D" w14:paraId="4ADFD7E4" w14:textId="77777777" w:rsidTr="007F075A">
        <w:tc>
          <w:tcPr>
            <w:tcW w:w="4508" w:type="dxa"/>
          </w:tcPr>
          <w:p w14:paraId="65104469" w14:textId="229B91F0" w:rsidR="007F075A" w:rsidRPr="00D5611D" w:rsidRDefault="007F075A" w:rsidP="005A2DD9">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Amendments to Article 96 of the Code of Administrative Offences (CAO) have entered into force on 1 May 2020.</w:t>
            </w:r>
          </w:p>
        </w:tc>
        <w:tc>
          <w:tcPr>
            <w:tcW w:w="4508" w:type="dxa"/>
          </w:tcPr>
          <w:p w14:paraId="3C1D4B55" w14:textId="369BB6B0" w:rsidR="007F075A" w:rsidRPr="00D5611D" w:rsidRDefault="006F531D" w:rsidP="005A2DD9">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Administrative liability has been strengthened for violations of labour laws, occupational </w:t>
            </w:r>
            <w:proofErr w:type="gramStart"/>
            <w:r w:rsidRPr="00D5611D">
              <w:rPr>
                <w:rFonts w:ascii="Times New Roman" w:eastAsia="Times New Roman" w:hAnsi="Times New Roman" w:cs="Times New Roman"/>
                <w:color w:val="404040"/>
                <w:lang w:val="en-US" w:eastAsia="lt-LT"/>
              </w:rPr>
              <w:t>safety</w:t>
            </w:r>
            <w:proofErr w:type="gramEnd"/>
            <w:r w:rsidRPr="00D5611D">
              <w:rPr>
                <w:rFonts w:ascii="Times New Roman" w:eastAsia="Times New Roman" w:hAnsi="Times New Roman" w:cs="Times New Roman"/>
                <w:color w:val="404040"/>
                <w:lang w:val="en-US" w:eastAsia="lt-LT"/>
              </w:rPr>
              <w:t xml:space="preserve"> and health regulations (minimum threshold increased).</w:t>
            </w:r>
          </w:p>
        </w:tc>
      </w:tr>
      <w:tr w:rsidR="007F075A" w:rsidRPr="00D5611D" w14:paraId="51D13E13" w14:textId="77777777" w:rsidTr="007F075A">
        <w:tc>
          <w:tcPr>
            <w:tcW w:w="4508" w:type="dxa"/>
          </w:tcPr>
          <w:p w14:paraId="086A21C5" w14:textId="18D55A7B" w:rsidR="007F075A" w:rsidRPr="00D5611D" w:rsidRDefault="006F531D" w:rsidP="005A2DD9">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Amendments to Articles 96, 98, 99, 100, 101 and 150 of the CAO have entered into force on 1 November 2021.</w:t>
            </w:r>
          </w:p>
        </w:tc>
        <w:tc>
          <w:tcPr>
            <w:tcW w:w="4508" w:type="dxa"/>
          </w:tcPr>
          <w:p w14:paraId="6A9E312B" w14:textId="7E8E2A82" w:rsidR="007F075A" w:rsidRPr="00D5611D" w:rsidRDefault="006F531D" w:rsidP="005A2DD9">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Administrative liability has been strengthened for repeated violations of labour laws, occupational </w:t>
            </w:r>
            <w:proofErr w:type="gramStart"/>
            <w:r w:rsidRPr="00D5611D">
              <w:rPr>
                <w:rFonts w:ascii="Times New Roman" w:eastAsia="Times New Roman" w:hAnsi="Times New Roman" w:cs="Times New Roman"/>
                <w:color w:val="404040"/>
                <w:lang w:val="en-US" w:eastAsia="lt-LT"/>
              </w:rPr>
              <w:t>safety</w:t>
            </w:r>
            <w:proofErr w:type="gramEnd"/>
            <w:r w:rsidRPr="00D5611D">
              <w:rPr>
                <w:rFonts w:ascii="Times New Roman" w:eastAsia="Times New Roman" w:hAnsi="Times New Roman" w:cs="Times New Roman"/>
                <w:color w:val="404040"/>
                <w:lang w:val="en-US" w:eastAsia="lt-LT"/>
              </w:rPr>
              <w:t xml:space="preserve"> and health regulations, as well as violations of the procedure for calculating and paying wages (minimum threshold increased), violations of working time accounting (increased minimum amounts of fines), infringements of working conditions for posted workers (disproportionately low fines increased). It is important that Art. 150 of CAO </w:t>
            </w:r>
            <w:r w:rsidR="001C12F5">
              <w:rPr>
                <w:rFonts w:ascii="Times New Roman" w:eastAsia="Times New Roman" w:hAnsi="Times New Roman" w:cs="Times New Roman"/>
                <w:color w:val="404040"/>
                <w:lang w:val="en-US" w:eastAsia="lt-LT"/>
              </w:rPr>
              <w:t>was</w:t>
            </w:r>
            <w:r w:rsidRPr="00D5611D">
              <w:rPr>
                <w:rFonts w:ascii="Times New Roman" w:eastAsia="Times New Roman" w:hAnsi="Times New Roman" w:cs="Times New Roman"/>
                <w:color w:val="404040"/>
                <w:lang w:val="en-US" w:eastAsia="lt-LT"/>
              </w:rPr>
              <w:t xml:space="preserve"> also amended - from now on there will be two separate parts, which provide for penalties for undeclared self-employed activities (fines also increased).</w:t>
            </w:r>
          </w:p>
        </w:tc>
      </w:tr>
      <w:tr w:rsidR="007F075A" w:rsidRPr="00D5611D" w14:paraId="73462BB1" w14:textId="77777777" w:rsidTr="007F075A">
        <w:tc>
          <w:tcPr>
            <w:tcW w:w="4508" w:type="dxa"/>
          </w:tcPr>
          <w:p w14:paraId="6347379E" w14:textId="19031F83" w:rsidR="007F075A" w:rsidRPr="00D5611D" w:rsidRDefault="006F531D" w:rsidP="005A2DD9">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An amendment to para. 3 of Art. 139 of the Labour Code has entered into force on 1 January 2022</w:t>
            </w:r>
          </w:p>
        </w:tc>
        <w:tc>
          <w:tcPr>
            <w:tcW w:w="4508" w:type="dxa"/>
          </w:tcPr>
          <w:p w14:paraId="3DD376D6" w14:textId="32057867" w:rsidR="006F531D" w:rsidRPr="00D5611D" w:rsidRDefault="006F531D" w:rsidP="006F531D">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Wages and other employment-related benefits, as well as per diems and reimbursement of mission expenses, must be paid by transfer to the employee's designated payment account, except for seafarers covered by the procedure for payment of wages established by the Law on Merchant Shipping of the Republic of Lithuania. This amendment strengthens the right of employees to transparent and fair pay for work, reduces shadow in employment and facilitates evidence in labour dispute commissions under the State Labour Inspectorate.</w:t>
            </w:r>
          </w:p>
          <w:p w14:paraId="3E2D84A3" w14:textId="77777777" w:rsidR="007F075A" w:rsidRPr="00D5611D" w:rsidRDefault="007F075A" w:rsidP="005A2DD9">
            <w:pPr>
              <w:jc w:val="both"/>
              <w:rPr>
                <w:rFonts w:ascii="Times New Roman" w:eastAsia="Times New Roman" w:hAnsi="Times New Roman" w:cs="Times New Roman"/>
                <w:color w:val="404040"/>
                <w:lang w:val="en-US" w:eastAsia="lt-LT"/>
              </w:rPr>
            </w:pPr>
          </w:p>
        </w:tc>
      </w:tr>
    </w:tbl>
    <w:p w14:paraId="60FA3AE2" w14:textId="7DA68333" w:rsidR="005A1D36" w:rsidRPr="00D5611D" w:rsidRDefault="005A1D36" w:rsidP="005A2DD9">
      <w:pPr>
        <w:spacing w:after="0"/>
        <w:jc w:val="both"/>
        <w:rPr>
          <w:rFonts w:ascii="Times New Roman" w:eastAsia="Times New Roman" w:hAnsi="Times New Roman" w:cs="Times New Roman"/>
          <w:color w:val="404040"/>
          <w:lang w:val="en-US" w:eastAsia="lt-LT"/>
        </w:rPr>
      </w:pPr>
    </w:p>
    <w:p w14:paraId="780431B0" w14:textId="53F31802" w:rsidR="006F531D" w:rsidRPr="00D5611D" w:rsidRDefault="006F531D" w:rsidP="005A2DD9">
      <w:pPr>
        <w:spacing w:after="0"/>
        <w:jc w:val="both"/>
        <w:rPr>
          <w:rFonts w:ascii="Times New Roman" w:eastAsia="Times New Roman" w:hAnsi="Times New Roman" w:cs="Times New Roman"/>
          <w:color w:val="404040"/>
          <w:lang w:val="en-US" w:eastAsia="lt-LT"/>
        </w:rPr>
      </w:pPr>
    </w:p>
    <w:sectPr w:rsidR="006F531D" w:rsidRPr="00D5611D" w:rsidSect="007D4DCD">
      <w:footerReference w:type="default" r:id="rId8"/>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2E4A4" w14:textId="77777777" w:rsidR="004B2AE9" w:rsidRDefault="004B2AE9" w:rsidP="000F4006">
      <w:pPr>
        <w:spacing w:after="0" w:line="240" w:lineRule="auto"/>
      </w:pPr>
      <w:r>
        <w:separator/>
      </w:r>
    </w:p>
  </w:endnote>
  <w:endnote w:type="continuationSeparator" w:id="0">
    <w:p w14:paraId="7B085E99" w14:textId="77777777" w:rsidR="004B2AE9" w:rsidRDefault="004B2AE9"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3B213" w14:textId="77777777" w:rsidR="004B2AE9" w:rsidRDefault="004B2AE9" w:rsidP="000F4006">
      <w:pPr>
        <w:spacing w:after="0" w:line="240" w:lineRule="auto"/>
      </w:pPr>
      <w:r>
        <w:separator/>
      </w:r>
    </w:p>
  </w:footnote>
  <w:footnote w:type="continuationSeparator" w:id="0">
    <w:p w14:paraId="127DF0C0" w14:textId="77777777" w:rsidR="004B2AE9" w:rsidRDefault="004B2AE9"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4A4D"/>
    <w:rsid w:val="00177DD4"/>
    <w:rsid w:val="001822D2"/>
    <w:rsid w:val="001A59F1"/>
    <w:rsid w:val="001A6428"/>
    <w:rsid w:val="001B0964"/>
    <w:rsid w:val="001B1944"/>
    <w:rsid w:val="001C0D0E"/>
    <w:rsid w:val="001C12F5"/>
    <w:rsid w:val="001C3AEA"/>
    <w:rsid w:val="001D2C6D"/>
    <w:rsid w:val="001D622C"/>
    <w:rsid w:val="001D6E41"/>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2AE9"/>
    <w:rsid w:val="004B37DF"/>
    <w:rsid w:val="004C5612"/>
    <w:rsid w:val="004D2AD6"/>
    <w:rsid w:val="004D2DD6"/>
    <w:rsid w:val="004D53ED"/>
    <w:rsid w:val="004E51B0"/>
    <w:rsid w:val="004F4EE7"/>
    <w:rsid w:val="00501DDF"/>
    <w:rsid w:val="00511D85"/>
    <w:rsid w:val="00517AE8"/>
    <w:rsid w:val="00531F13"/>
    <w:rsid w:val="00533D4E"/>
    <w:rsid w:val="00541543"/>
    <w:rsid w:val="00544FF2"/>
    <w:rsid w:val="00545527"/>
    <w:rsid w:val="00565FD4"/>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811CB"/>
    <w:rsid w:val="00B84162"/>
    <w:rsid w:val="00B87958"/>
    <w:rsid w:val="00B90B3C"/>
    <w:rsid w:val="00BA10F4"/>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B28B1"/>
    <w:rsid w:val="00CC0C6B"/>
    <w:rsid w:val="00CC48F3"/>
    <w:rsid w:val="00CD1870"/>
    <w:rsid w:val="00CE2406"/>
    <w:rsid w:val="00CE4063"/>
    <w:rsid w:val="00D033F8"/>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7D1E72EC-75FB-48E3-AA10-2B87958CD8B9}"/>
</file>

<file path=customXml/itemProps3.xml><?xml version="1.0" encoding="utf-8"?>
<ds:datastoreItem xmlns:ds="http://schemas.openxmlformats.org/officeDocument/2006/customXml" ds:itemID="{632FE432-7295-46A4-9DF4-C8DB348CA519}"/>
</file>

<file path=customXml/itemProps4.xml><?xml version="1.0" encoding="utf-8"?>
<ds:datastoreItem xmlns:ds="http://schemas.openxmlformats.org/officeDocument/2006/customXml" ds:itemID="{A2790CEE-C40D-4E2F-B924-1BB02040EE60}"/>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1491</Characters>
  <Application>Microsoft Office Word</Application>
  <DocSecurity>0</DocSecurity>
  <Lines>21</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3</cp:revision>
  <cp:lastPrinted>2022-02-28T19:22:00Z</cp:lastPrinted>
  <dcterms:created xsi:type="dcterms:W3CDTF">2022-04-01T11:18:00Z</dcterms:created>
  <dcterms:modified xsi:type="dcterms:W3CDTF">2022-04-01T11:18:00Z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