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1F8183" w14:textId="77777777" w:rsidR="00A352D7" w:rsidRDefault="00D64A82" w:rsidP="00403EA9">
      <w:pPr>
        <w:jc w:val="center"/>
      </w:pPr>
      <w:r>
        <w:rPr>
          <w:color w:val="2B579A"/>
          <w:shd w:val="clear" w:color="auto" w:fill="E6E6E6"/>
        </w:rPr>
        <w:drawing>
          <wp:inline distT="0" distB="0" distL="0" distR="0" wp14:anchorId="2E5EF20F" wp14:editId="14C75896">
            <wp:extent cx="3627120" cy="25831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7120" cy="2583180"/>
                    </a:xfrm>
                    <a:prstGeom prst="rect">
                      <a:avLst/>
                    </a:prstGeom>
                    <a:noFill/>
                    <a:ln>
                      <a:noFill/>
                    </a:ln>
                  </pic:spPr>
                </pic:pic>
              </a:graphicData>
            </a:graphic>
          </wp:inline>
        </w:drawing>
      </w:r>
    </w:p>
    <w:p w14:paraId="21B848D9" w14:textId="77777777" w:rsidR="00D64A82" w:rsidRDefault="00D64A82"/>
    <w:p w14:paraId="55A7924F" w14:textId="77777777" w:rsidR="007F60FE" w:rsidRDefault="007F60FE" w:rsidP="00D64A82">
      <w:pPr>
        <w:jc w:val="center"/>
        <w:rPr>
          <w:rFonts w:ascii="Times New Roman" w:hAnsi="Times New Roman" w:cs="Times New Roman"/>
          <w:b/>
          <w:bCs/>
          <w:sz w:val="44"/>
          <w:szCs w:val="44"/>
        </w:rPr>
      </w:pPr>
    </w:p>
    <w:p w14:paraId="35CF6089" w14:textId="3E9E3016" w:rsidR="00D64A82" w:rsidRPr="00D64A82" w:rsidRDefault="00AB387E" w:rsidP="00D64A82">
      <w:pPr>
        <w:jc w:val="center"/>
        <w:rPr>
          <w:rFonts w:ascii="Times New Roman" w:hAnsi="Times New Roman" w:cs="Times New Roman"/>
          <w:b/>
          <w:bCs/>
          <w:sz w:val="44"/>
          <w:szCs w:val="44"/>
        </w:rPr>
      </w:pPr>
      <w:r>
        <w:rPr>
          <w:rFonts w:ascii="Times New Roman" w:hAnsi="Times New Roman" w:cs="Times New Roman"/>
          <w:b/>
          <w:bCs/>
          <w:sz w:val="44"/>
          <w:szCs w:val="44"/>
        </w:rPr>
        <w:t>BOLIVIA</w:t>
      </w:r>
    </w:p>
    <w:p w14:paraId="6FB727FB" w14:textId="29BD5129" w:rsidR="00D64A82" w:rsidRPr="00445A43" w:rsidRDefault="009B62A8" w:rsidP="009B62A8">
      <w:pPr>
        <w:jc w:val="center"/>
        <w:rPr>
          <w:rFonts w:ascii="Times New Roman" w:hAnsi="Times New Roman" w:cs="Times New Roman"/>
          <w:sz w:val="28"/>
          <w:szCs w:val="28"/>
        </w:rPr>
      </w:pPr>
      <w:r w:rsidRPr="00445A43">
        <w:rPr>
          <w:rFonts w:ascii="Times New Roman" w:hAnsi="Times New Roman" w:cs="Times New Roman"/>
          <w:b/>
          <w:bCs/>
          <w:sz w:val="28"/>
          <w:szCs w:val="28"/>
        </w:rPr>
        <w:t xml:space="preserve">Fourth </w:t>
      </w:r>
      <w:r w:rsidR="002B5C64" w:rsidRPr="00445A43">
        <w:rPr>
          <w:rFonts w:ascii="Times New Roman" w:hAnsi="Times New Roman" w:cs="Times New Roman"/>
          <w:b/>
          <w:bCs/>
          <w:sz w:val="28"/>
          <w:szCs w:val="28"/>
        </w:rPr>
        <w:t>P</w:t>
      </w:r>
      <w:r w:rsidRPr="00445A43">
        <w:rPr>
          <w:rFonts w:ascii="Times New Roman" w:hAnsi="Times New Roman" w:cs="Times New Roman"/>
          <w:b/>
          <w:bCs/>
          <w:sz w:val="28"/>
          <w:szCs w:val="28"/>
        </w:rPr>
        <w:t xml:space="preserve">eriodic </w:t>
      </w:r>
      <w:r w:rsidR="002B5C64" w:rsidRPr="00445A43">
        <w:rPr>
          <w:rFonts w:ascii="Times New Roman" w:hAnsi="Times New Roman" w:cs="Times New Roman"/>
          <w:b/>
          <w:bCs/>
          <w:sz w:val="28"/>
          <w:szCs w:val="28"/>
        </w:rPr>
        <w:t>R</w:t>
      </w:r>
      <w:r w:rsidRPr="00445A43">
        <w:rPr>
          <w:rFonts w:ascii="Times New Roman" w:hAnsi="Times New Roman" w:cs="Times New Roman"/>
          <w:b/>
          <w:bCs/>
          <w:sz w:val="28"/>
          <w:szCs w:val="28"/>
        </w:rPr>
        <w:t xml:space="preserve">eport </w:t>
      </w:r>
    </w:p>
    <w:p w14:paraId="6085BB92" w14:textId="77777777" w:rsidR="00D64A82" w:rsidRPr="00445A43" w:rsidRDefault="00D64A82" w:rsidP="00D64A82">
      <w:pPr>
        <w:jc w:val="center"/>
        <w:rPr>
          <w:rFonts w:ascii="Times New Roman" w:hAnsi="Times New Roman" w:cs="Times New Roman"/>
          <w:sz w:val="28"/>
          <w:szCs w:val="28"/>
        </w:rPr>
      </w:pPr>
    </w:p>
    <w:p w14:paraId="2BA43E4D" w14:textId="46406906" w:rsidR="00D64A82" w:rsidRPr="00445A43" w:rsidRDefault="00D64A82" w:rsidP="00445A43">
      <w:pPr>
        <w:jc w:val="center"/>
        <w:rPr>
          <w:rFonts w:ascii="Times New Roman" w:hAnsi="Times New Roman" w:cs="Times New Roman"/>
          <w:b/>
          <w:bCs/>
          <w:sz w:val="28"/>
          <w:szCs w:val="28"/>
        </w:rPr>
      </w:pPr>
      <w:r w:rsidRPr="00445A43">
        <w:rPr>
          <w:rFonts w:ascii="Times New Roman" w:hAnsi="Times New Roman" w:cs="Times New Roman"/>
          <w:b/>
          <w:bCs/>
          <w:sz w:val="28"/>
          <w:szCs w:val="28"/>
        </w:rPr>
        <w:t>NGO Submission to the U.N. Human Rights Committee</w:t>
      </w:r>
    </w:p>
    <w:p w14:paraId="6EADBA57" w14:textId="77777777" w:rsidR="00A62FBB" w:rsidRDefault="00055285" w:rsidP="00A62FBB">
      <w:pPr>
        <w:spacing w:after="0"/>
        <w:jc w:val="center"/>
        <w:rPr>
          <w:rFonts w:ascii="Times New Roman" w:hAnsi="Times New Roman" w:cs="Times New Roman"/>
          <w:b/>
          <w:bCs/>
          <w:sz w:val="28"/>
          <w:szCs w:val="28"/>
        </w:rPr>
      </w:pPr>
      <w:r w:rsidRPr="00445A43">
        <w:rPr>
          <w:rFonts w:ascii="Times New Roman" w:hAnsi="Times New Roman" w:cs="Times New Roman"/>
          <w:b/>
          <w:bCs/>
          <w:sz w:val="28"/>
          <w:szCs w:val="28"/>
        </w:rPr>
        <w:t>Consideration of State Report</w:t>
      </w:r>
      <w:r w:rsidR="006213AB" w:rsidRPr="00445A43">
        <w:rPr>
          <w:rFonts w:ascii="Times New Roman" w:hAnsi="Times New Roman" w:cs="Times New Roman"/>
          <w:b/>
          <w:bCs/>
          <w:sz w:val="28"/>
          <w:szCs w:val="28"/>
        </w:rPr>
        <w:t xml:space="preserve"> </w:t>
      </w:r>
    </w:p>
    <w:p w14:paraId="56F6EADC" w14:textId="07053ACF" w:rsidR="00D64A82" w:rsidRPr="00445A43" w:rsidRDefault="00F6383F" w:rsidP="00A62FBB">
      <w:pPr>
        <w:spacing w:after="0"/>
        <w:jc w:val="center"/>
        <w:rPr>
          <w:rFonts w:ascii="Times New Roman" w:hAnsi="Times New Roman" w:cs="Times New Roman"/>
          <w:b/>
          <w:bCs/>
          <w:sz w:val="28"/>
          <w:szCs w:val="28"/>
        </w:rPr>
      </w:pPr>
      <w:r w:rsidRPr="00445A43">
        <w:rPr>
          <w:rFonts w:ascii="Times New Roman" w:hAnsi="Times New Roman" w:cs="Times New Roman"/>
          <w:b/>
          <w:bCs/>
          <w:sz w:val="28"/>
          <w:szCs w:val="28"/>
        </w:rPr>
        <w:t>134</w:t>
      </w:r>
      <w:r w:rsidR="008314BB" w:rsidRPr="00445A43">
        <w:rPr>
          <w:rFonts w:ascii="Times New Roman" w:hAnsi="Times New Roman" w:cs="Times New Roman"/>
          <w:b/>
          <w:bCs/>
          <w:sz w:val="28"/>
          <w:szCs w:val="28"/>
        </w:rPr>
        <w:t>th</w:t>
      </w:r>
      <w:r w:rsidRPr="00445A43">
        <w:rPr>
          <w:rFonts w:ascii="Times New Roman" w:hAnsi="Times New Roman" w:cs="Times New Roman"/>
          <w:b/>
          <w:bCs/>
          <w:sz w:val="28"/>
          <w:szCs w:val="28"/>
        </w:rPr>
        <w:t xml:space="preserve"> </w:t>
      </w:r>
      <w:r w:rsidR="00E94C9F" w:rsidRPr="00445A43">
        <w:rPr>
          <w:rFonts w:ascii="Times New Roman" w:hAnsi="Times New Roman" w:cs="Times New Roman"/>
          <w:b/>
          <w:bCs/>
          <w:sz w:val="28"/>
          <w:szCs w:val="28"/>
        </w:rPr>
        <w:t xml:space="preserve">Session </w:t>
      </w:r>
      <w:r w:rsidRPr="00445A43">
        <w:rPr>
          <w:rFonts w:ascii="Times New Roman" w:hAnsi="Times New Roman" w:cs="Times New Roman"/>
          <w:b/>
          <w:bCs/>
          <w:sz w:val="28"/>
          <w:szCs w:val="28"/>
        </w:rPr>
        <w:t>(</w:t>
      </w:r>
      <w:r w:rsidR="00411926" w:rsidRPr="00445A43">
        <w:rPr>
          <w:rFonts w:ascii="Times New Roman" w:hAnsi="Times New Roman" w:cs="Times New Roman"/>
          <w:b/>
          <w:bCs/>
          <w:sz w:val="28"/>
          <w:szCs w:val="28"/>
        </w:rPr>
        <w:t>Feb</w:t>
      </w:r>
      <w:r w:rsidR="006C6003" w:rsidRPr="00445A43">
        <w:rPr>
          <w:rFonts w:ascii="Times New Roman" w:hAnsi="Times New Roman" w:cs="Times New Roman"/>
          <w:b/>
          <w:bCs/>
          <w:sz w:val="28"/>
          <w:szCs w:val="28"/>
        </w:rPr>
        <w:t>ruary</w:t>
      </w:r>
      <w:r w:rsidR="00411926" w:rsidRPr="00445A43">
        <w:rPr>
          <w:rFonts w:ascii="Times New Roman" w:hAnsi="Times New Roman" w:cs="Times New Roman"/>
          <w:b/>
          <w:bCs/>
          <w:sz w:val="28"/>
          <w:szCs w:val="28"/>
        </w:rPr>
        <w:t xml:space="preserve"> 28</w:t>
      </w:r>
      <w:r w:rsidR="006C6003" w:rsidRPr="00445A43">
        <w:rPr>
          <w:rFonts w:ascii="Times New Roman" w:hAnsi="Times New Roman" w:cs="Times New Roman"/>
          <w:b/>
          <w:bCs/>
          <w:sz w:val="28"/>
          <w:szCs w:val="28"/>
        </w:rPr>
        <w:t>, 2022</w:t>
      </w:r>
      <w:r w:rsidR="00411926" w:rsidRPr="00445A43">
        <w:rPr>
          <w:rFonts w:ascii="Times New Roman" w:hAnsi="Times New Roman" w:cs="Times New Roman"/>
          <w:b/>
          <w:bCs/>
          <w:sz w:val="28"/>
          <w:szCs w:val="28"/>
        </w:rPr>
        <w:t xml:space="preserve"> </w:t>
      </w:r>
      <w:r w:rsidR="006C6003" w:rsidRPr="00445A43">
        <w:rPr>
          <w:rFonts w:ascii="Times New Roman" w:hAnsi="Times New Roman" w:cs="Times New Roman"/>
          <w:b/>
          <w:bCs/>
          <w:sz w:val="28"/>
          <w:szCs w:val="28"/>
        </w:rPr>
        <w:t>–</w:t>
      </w:r>
      <w:r w:rsidR="000F13FA" w:rsidRPr="00445A43">
        <w:rPr>
          <w:rFonts w:ascii="Times New Roman" w:hAnsi="Times New Roman" w:cs="Times New Roman"/>
          <w:b/>
          <w:bCs/>
          <w:sz w:val="28"/>
          <w:szCs w:val="28"/>
        </w:rPr>
        <w:t xml:space="preserve"> </w:t>
      </w:r>
      <w:r w:rsidR="004655D4" w:rsidRPr="00445A43">
        <w:rPr>
          <w:rFonts w:ascii="Times New Roman" w:hAnsi="Times New Roman" w:cs="Times New Roman"/>
          <w:b/>
          <w:bCs/>
          <w:sz w:val="28"/>
          <w:szCs w:val="28"/>
        </w:rPr>
        <w:t>Mar</w:t>
      </w:r>
      <w:r w:rsidR="006C6003" w:rsidRPr="00445A43">
        <w:rPr>
          <w:rFonts w:ascii="Times New Roman" w:hAnsi="Times New Roman" w:cs="Times New Roman"/>
          <w:b/>
          <w:bCs/>
          <w:sz w:val="28"/>
          <w:szCs w:val="28"/>
        </w:rPr>
        <w:t>ch 2</w:t>
      </w:r>
      <w:r w:rsidR="006D0AD8" w:rsidRPr="00445A43">
        <w:rPr>
          <w:rFonts w:ascii="Times New Roman" w:hAnsi="Times New Roman" w:cs="Times New Roman"/>
          <w:b/>
          <w:bCs/>
          <w:sz w:val="28"/>
          <w:szCs w:val="28"/>
        </w:rPr>
        <w:t>5</w:t>
      </w:r>
      <w:r w:rsidR="006C6003" w:rsidRPr="00445A43">
        <w:rPr>
          <w:rFonts w:ascii="Times New Roman" w:hAnsi="Times New Roman" w:cs="Times New Roman"/>
          <w:b/>
          <w:bCs/>
          <w:sz w:val="28"/>
          <w:szCs w:val="28"/>
        </w:rPr>
        <w:t>, 2022)</w:t>
      </w:r>
    </w:p>
    <w:p w14:paraId="3B3AF656" w14:textId="77777777" w:rsidR="007F60FE" w:rsidRDefault="007F60FE" w:rsidP="00D64A82">
      <w:pPr>
        <w:jc w:val="center"/>
        <w:rPr>
          <w:rFonts w:ascii="Times New Roman" w:hAnsi="Times New Roman" w:cs="Times New Roman"/>
          <w:b/>
          <w:bCs/>
          <w:sz w:val="24"/>
          <w:szCs w:val="24"/>
        </w:rPr>
      </w:pPr>
    </w:p>
    <w:p w14:paraId="597A79A0" w14:textId="72FF3650" w:rsidR="007F60FE" w:rsidRDefault="007F60FE" w:rsidP="00A62FBB">
      <w:pPr>
        <w:spacing w:after="0"/>
        <w:jc w:val="center"/>
        <w:rPr>
          <w:rFonts w:ascii="Times New Roman" w:hAnsi="Times New Roman" w:cs="Times New Roman"/>
          <w:b/>
          <w:bCs/>
          <w:sz w:val="24"/>
          <w:szCs w:val="24"/>
        </w:rPr>
      </w:pPr>
      <w:r>
        <w:rPr>
          <w:rFonts w:ascii="Times New Roman" w:hAnsi="Times New Roman" w:cs="Times New Roman"/>
          <w:b/>
          <w:bCs/>
          <w:sz w:val="24"/>
          <w:szCs w:val="24"/>
        </w:rPr>
        <w:t>The Carter Center</w:t>
      </w:r>
    </w:p>
    <w:p w14:paraId="36E04A29" w14:textId="4243B9C8" w:rsidR="00EC2491" w:rsidRPr="00D64A82" w:rsidRDefault="00EC2491" w:rsidP="00A62FBB">
      <w:pPr>
        <w:spacing w:after="0"/>
        <w:jc w:val="center"/>
        <w:rPr>
          <w:b/>
          <w:bCs/>
          <w:i/>
          <w:iCs/>
        </w:rPr>
      </w:pPr>
      <w:r>
        <w:rPr>
          <w:rFonts w:ascii="Times New Roman" w:hAnsi="Times New Roman" w:cs="Times New Roman"/>
          <w:b/>
          <w:bCs/>
          <w:sz w:val="24"/>
          <w:szCs w:val="24"/>
        </w:rPr>
        <w:t xml:space="preserve">January </w:t>
      </w:r>
      <w:r w:rsidR="007F2D2C">
        <w:rPr>
          <w:rFonts w:ascii="Times New Roman" w:hAnsi="Times New Roman" w:cs="Times New Roman"/>
          <w:b/>
          <w:bCs/>
          <w:sz w:val="24"/>
          <w:szCs w:val="24"/>
        </w:rPr>
        <w:t>31, 2022</w:t>
      </w:r>
    </w:p>
    <w:p w14:paraId="725A7BA7" w14:textId="77777777" w:rsidR="00D64A82" w:rsidRPr="00D64A82" w:rsidRDefault="00D64A82" w:rsidP="00D64A82">
      <w:pPr>
        <w:spacing w:after="0" w:line="240" w:lineRule="auto"/>
        <w:rPr>
          <w:rFonts w:ascii="Times New Roman" w:hAnsi="Times New Roman" w:cs="Times New Roman"/>
          <w:sz w:val="24"/>
          <w:szCs w:val="24"/>
        </w:rPr>
      </w:pPr>
    </w:p>
    <w:p w14:paraId="2AC712C6" w14:textId="77777777" w:rsidR="00445A43" w:rsidRDefault="00445A43" w:rsidP="00D64A82">
      <w:pPr>
        <w:spacing w:after="0" w:line="240" w:lineRule="auto"/>
        <w:rPr>
          <w:rFonts w:ascii="Times New Roman" w:hAnsi="Times New Roman" w:cs="Times New Roman"/>
          <w:b/>
          <w:bCs/>
          <w:sz w:val="24"/>
          <w:szCs w:val="24"/>
        </w:rPr>
      </w:pPr>
    </w:p>
    <w:p w14:paraId="3D7F6C40" w14:textId="77777777" w:rsidR="009207B6" w:rsidRDefault="009207B6" w:rsidP="00D64A82">
      <w:pPr>
        <w:spacing w:after="0" w:line="240" w:lineRule="auto"/>
        <w:rPr>
          <w:rFonts w:ascii="Times New Roman" w:hAnsi="Times New Roman" w:cs="Times New Roman"/>
          <w:b/>
          <w:bCs/>
          <w:sz w:val="24"/>
          <w:szCs w:val="24"/>
        </w:rPr>
      </w:pPr>
    </w:p>
    <w:p w14:paraId="372C985F" w14:textId="77777777" w:rsidR="009207B6" w:rsidRDefault="009207B6" w:rsidP="00D64A82">
      <w:pPr>
        <w:spacing w:after="0" w:line="240" w:lineRule="auto"/>
        <w:rPr>
          <w:rFonts w:ascii="Times New Roman" w:hAnsi="Times New Roman" w:cs="Times New Roman"/>
          <w:b/>
          <w:bCs/>
          <w:sz w:val="24"/>
          <w:szCs w:val="24"/>
        </w:rPr>
      </w:pPr>
    </w:p>
    <w:p w14:paraId="1446AF81" w14:textId="5C68AFC9" w:rsidR="00D64A82" w:rsidRPr="00D64A82" w:rsidRDefault="00D64A82" w:rsidP="00D64A82">
      <w:pPr>
        <w:spacing w:after="0" w:line="240" w:lineRule="auto"/>
        <w:rPr>
          <w:rFonts w:ascii="Times New Roman" w:hAnsi="Times New Roman" w:cs="Times New Roman"/>
          <w:sz w:val="24"/>
          <w:szCs w:val="24"/>
        </w:rPr>
      </w:pPr>
      <w:r w:rsidRPr="00D64A82">
        <w:rPr>
          <w:rFonts w:ascii="Times New Roman" w:hAnsi="Times New Roman" w:cs="Times New Roman"/>
          <w:b/>
          <w:bCs/>
          <w:sz w:val="24"/>
          <w:szCs w:val="24"/>
        </w:rPr>
        <w:t xml:space="preserve">Submitted by: The Carter Center </w:t>
      </w:r>
    </w:p>
    <w:p w14:paraId="76C7A8D3" w14:textId="77777777" w:rsidR="00D64A82" w:rsidRPr="00D64A82" w:rsidRDefault="00D64A82" w:rsidP="00D64A82">
      <w:pPr>
        <w:spacing w:after="0" w:line="240" w:lineRule="auto"/>
        <w:rPr>
          <w:rFonts w:ascii="Times New Roman" w:hAnsi="Times New Roman" w:cs="Times New Roman"/>
          <w:sz w:val="24"/>
          <w:szCs w:val="24"/>
        </w:rPr>
      </w:pPr>
      <w:r w:rsidRPr="00D64A82">
        <w:rPr>
          <w:rFonts w:ascii="Times New Roman" w:hAnsi="Times New Roman" w:cs="Times New Roman"/>
          <w:b/>
          <w:bCs/>
          <w:sz w:val="24"/>
          <w:szCs w:val="24"/>
        </w:rPr>
        <w:t xml:space="preserve">Contact name: David Carroll, Director, Democracy Program </w:t>
      </w:r>
    </w:p>
    <w:p w14:paraId="64A492FF" w14:textId="484D8046" w:rsidR="00D64A82" w:rsidRPr="00A25CCB" w:rsidRDefault="00D64A82" w:rsidP="00D64A82">
      <w:pPr>
        <w:spacing w:after="0" w:line="240" w:lineRule="auto"/>
        <w:rPr>
          <w:rFonts w:ascii="Times New Roman" w:hAnsi="Times New Roman" w:cs="Times New Roman"/>
          <w:sz w:val="24"/>
          <w:szCs w:val="24"/>
          <w:lang w:val="fr-FR"/>
        </w:rPr>
      </w:pPr>
      <w:r w:rsidRPr="00A25CCB">
        <w:rPr>
          <w:rFonts w:ascii="Times New Roman" w:hAnsi="Times New Roman" w:cs="Times New Roman"/>
          <w:b/>
          <w:bCs/>
          <w:sz w:val="24"/>
          <w:szCs w:val="24"/>
          <w:lang w:val="fr-FR"/>
        </w:rPr>
        <w:t xml:space="preserve">Contact </w:t>
      </w:r>
      <w:proofErr w:type="gramStart"/>
      <w:r w:rsidRPr="00A25CCB">
        <w:rPr>
          <w:rFonts w:ascii="Times New Roman" w:hAnsi="Times New Roman" w:cs="Times New Roman"/>
          <w:b/>
          <w:bCs/>
          <w:sz w:val="24"/>
          <w:szCs w:val="24"/>
          <w:lang w:val="fr-FR"/>
        </w:rPr>
        <w:t>email:</w:t>
      </w:r>
      <w:proofErr w:type="gramEnd"/>
      <w:r w:rsidRPr="00A25CCB">
        <w:rPr>
          <w:rFonts w:ascii="Times New Roman" w:hAnsi="Times New Roman" w:cs="Times New Roman"/>
          <w:b/>
          <w:bCs/>
          <w:sz w:val="24"/>
          <w:szCs w:val="24"/>
          <w:lang w:val="fr-FR"/>
        </w:rPr>
        <w:t xml:space="preserve"> </w:t>
      </w:r>
      <w:r w:rsidR="005F5360" w:rsidRPr="00A25CCB">
        <w:rPr>
          <w:rFonts w:ascii="Times New Roman" w:hAnsi="Times New Roman" w:cs="Times New Roman"/>
          <w:b/>
          <w:bCs/>
          <w:sz w:val="24"/>
          <w:szCs w:val="24"/>
          <w:lang w:val="fr-FR"/>
        </w:rPr>
        <w:t>david.carroll@cartercenter.org</w:t>
      </w:r>
    </w:p>
    <w:p w14:paraId="18A833A8" w14:textId="77777777" w:rsidR="00D64A82" w:rsidRPr="007A6E9C" w:rsidRDefault="00D64A82" w:rsidP="00D64A82">
      <w:pPr>
        <w:spacing w:after="0" w:line="240" w:lineRule="auto"/>
        <w:rPr>
          <w:rFonts w:ascii="Times New Roman" w:hAnsi="Times New Roman" w:cs="Times New Roman"/>
          <w:b/>
          <w:bCs/>
          <w:sz w:val="24"/>
          <w:szCs w:val="24"/>
        </w:rPr>
      </w:pPr>
      <w:r w:rsidRPr="007A6E9C">
        <w:rPr>
          <w:rFonts w:ascii="Times New Roman" w:hAnsi="Times New Roman" w:cs="Times New Roman"/>
          <w:b/>
          <w:bCs/>
          <w:sz w:val="24"/>
          <w:szCs w:val="24"/>
        </w:rPr>
        <w:t xml:space="preserve">Website: </w:t>
      </w:r>
      <w:hyperlink r:id="rId12" w:history="1">
        <w:r w:rsidRPr="007A6E9C">
          <w:rPr>
            <w:rStyle w:val="Hyperlink"/>
            <w:rFonts w:ascii="Times New Roman" w:hAnsi="Times New Roman" w:cs="Times New Roman"/>
            <w:b/>
            <w:bCs/>
            <w:sz w:val="24"/>
            <w:szCs w:val="24"/>
          </w:rPr>
          <w:t>www.cartercenter.org</w:t>
        </w:r>
      </w:hyperlink>
    </w:p>
    <w:p w14:paraId="7BFCCA48" w14:textId="77777777" w:rsidR="007F60FE" w:rsidRDefault="007F60FE" w:rsidP="00D64A82">
      <w:pPr>
        <w:spacing w:after="0" w:line="240" w:lineRule="auto"/>
        <w:rPr>
          <w:rFonts w:ascii="Times New Roman" w:hAnsi="Times New Roman" w:cs="Times New Roman"/>
          <w:b/>
          <w:bCs/>
          <w:sz w:val="24"/>
          <w:szCs w:val="24"/>
        </w:rPr>
      </w:pPr>
    </w:p>
    <w:p w14:paraId="42527114" w14:textId="77777777" w:rsidR="007F60FE" w:rsidRDefault="007F60FE" w:rsidP="00D64A82">
      <w:pPr>
        <w:spacing w:after="0" w:line="240" w:lineRule="auto"/>
        <w:rPr>
          <w:rFonts w:ascii="Times New Roman" w:hAnsi="Times New Roman" w:cs="Times New Roman"/>
          <w:b/>
          <w:bCs/>
          <w:sz w:val="24"/>
          <w:szCs w:val="24"/>
        </w:rPr>
      </w:pPr>
    </w:p>
    <w:p w14:paraId="425713C1" w14:textId="77777777" w:rsidR="00445A43" w:rsidRDefault="00445A43" w:rsidP="00D64A82">
      <w:pPr>
        <w:spacing w:after="0" w:line="240" w:lineRule="auto"/>
        <w:rPr>
          <w:rFonts w:ascii="Times New Roman" w:hAnsi="Times New Roman" w:cs="Times New Roman"/>
          <w:b/>
          <w:bCs/>
          <w:sz w:val="24"/>
          <w:szCs w:val="24"/>
        </w:rPr>
      </w:pPr>
    </w:p>
    <w:p w14:paraId="35F5E15C" w14:textId="77777777" w:rsidR="00445A43" w:rsidRDefault="00445A43" w:rsidP="00D64A82">
      <w:pPr>
        <w:spacing w:after="0" w:line="240" w:lineRule="auto"/>
        <w:rPr>
          <w:rFonts w:ascii="Times New Roman" w:hAnsi="Times New Roman" w:cs="Times New Roman"/>
          <w:b/>
          <w:bCs/>
          <w:sz w:val="24"/>
          <w:szCs w:val="24"/>
        </w:rPr>
      </w:pPr>
    </w:p>
    <w:p w14:paraId="2CB3556B" w14:textId="77777777" w:rsidR="00445A43" w:rsidRDefault="00445A43" w:rsidP="00D64A82">
      <w:pPr>
        <w:spacing w:after="0" w:line="240" w:lineRule="auto"/>
        <w:rPr>
          <w:rFonts w:ascii="Times New Roman" w:hAnsi="Times New Roman" w:cs="Times New Roman"/>
          <w:b/>
          <w:bCs/>
          <w:sz w:val="24"/>
          <w:szCs w:val="24"/>
        </w:rPr>
      </w:pPr>
    </w:p>
    <w:p w14:paraId="5124F78B" w14:textId="77777777" w:rsidR="002E0327" w:rsidRDefault="002E0327" w:rsidP="00D64A82">
      <w:pPr>
        <w:spacing w:after="0" w:line="240" w:lineRule="auto"/>
        <w:rPr>
          <w:rFonts w:ascii="Times New Roman" w:hAnsi="Times New Roman" w:cs="Times New Roman"/>
          <w:b/>
          <w:bCs/>
          <w:sz w:val="24"/>
          <w:szCs w:val="24"/>
        </w:rPr>
      </w:pPr>
    </w:p>
    <w:p w14:paraId="07D2608B" w14:textId="28AEB365" w:rsidR="00D64A82" w:rsidRDefault="00D64A82" w:rsidP="00D64A82">
      <w:pPr>
        <w:spacing w:after="0" w:line="240" w:lineRule="auto"/>
        <w:rPr>
          <w:rFonts w:ascii="Times New Roman" w:hAnsi="Times New Roman" w:cs="Times New Roman"/>
          <w:b/>
          <w:bCs/>
          <w:sz w:val="24"/>
          <w:szCs w:val="24"/>
        </w:rPr>
      </w:pPr>
      <w:r w:rsidRPr="00D64A82">
        <w:rPr>
          <w:rFonts w:ascii="Times New Roman" w:hAnsi="Times New Roman" w:cs="Times New Roman"/>
          <w:b/>
          <w:bCs/>
          <w:sz w:val="24"/>
          <w:szCs w:val="24"/>
        </w:rPr>
        <w:t xml:space="preserve">Reporting Organization </w:t>
      </w:r>
    </w:p>
    <w:p w14:paraId="2CCE63ED" w14:textId="77777777" w:rsidR="00D64A82" w:rsidRPr="00D64A82" w:rsidRDefault="00D64A82" w:rsidP="00D64A82">
      <w:pPr>
        <w:spacing w:after="0" w:line="240" w:lineRule="auto"/>
        <w:rPr>
          <w:rFonts w:ascii="Times New Roman" w:hAnsi="Times New Roman" w:cs="Times New Roman"/>
          <w:sz w:val="24"/>
          <w:szCs w:val="24"/>
        </w:rPr>
      </w:pPr>
    </w:p>
    <w:p w14:paraId="04DC541E" w14:textId="77777777" w:rsidR="00D64A82" w:rsidRDefault="00D64A82" w:rsidP="008E7E64">
      <w:pPr>
        <w:spacing w:after="0" w:line="240" w:lineRule="auto"/>
        <w:jc w:val="both"/>
        <w:rPr>
          <w:rFonts w:ascii="Times New Roman" w:hAnsi="Times New Roman" w:cs="Times New Roman"/>
          <w:sz w:val="24"/>
          <w:szCs w:val="24"/>
        </w:rPr>
      </w:pPr>
      <w:r w:rsidRPr="00D64A82">
        <w:rPr>
          <w:rFonts w:ascii="Times New Roman" w:hAnsi="Times New Roman" w:cs="Times New Roman"/>
          <w:sz w:val="24"/>
          <w:szCs w:val="24"/>
        </w:rPr>
        <w:t xml:space="preserve">The Carter Center is a not-for-profit, nongovernmental organization that has helped to improve life for people in more than 80 countries by resolving conflicts; advancing democracy, human rights, and economic opportunity; preventing diseases; and improving mental health care. The Carter Center was founded in 1982 by former U.S. President Jimmy Carter and his wife, Rosalynn, in partnership with Emory University to advance peace and health worldwide. </w:t>
      </w:r>
    </w:p>
    <w:p w14:paraId="1393AE49" w14:textId="77777777" w:rsidR="00D64A82" w:rsidRPr="00D64A82" w:rsidRDefault="00D64A82" w:rsidP="008E7E64">
      <w:pPr>
        <w:spacing w:after="0" w:line="240" w:lineRule="auto"/>
        <w:jc w:val="both"/>
        <w:rPr>
          <w:rFonts w:ascii="Times New Roman" w:hAnsi="Times New Roman" w:cs="Times New Roman"/>
          <w:sz w:val="24"/>
          <w:szCs w:val="24"/>
        </w:rPr>
      </w:pPr>
    </w:p>
    <w:p w14:paraId="2391E084" w14:textId="1DD00F50" w:rsidR="00D64A82" w:rsidRDefault="00D64A82" w:rsidP="008E7E64">
      <w:pPr>
        <w:spacing w:after="0" w:line="240" w:lineRule="auto"/>
        <w:jc w:val="both"/>
        <w:rPr>
          <w:rFonts w:ascii="Times New Roman" w:hAnsi="Times New Roman" w:cs="Times New Roman"/>
          <w:sz w:val="24"/>
          <w:szCs w:val="24"/>
        </w:rPr>
      </w:pPr>
      <w:r w:rsidRPr="00D64A82">
        <w:rPr>
          <w:rFonts w:ascii="Times New Roman" w:hAnsi="Times New Roman" w:cs="Times New Roman"/>
          <w:sz w:val="24"/>
          <w:szCs w:val="24"/>
        </w:rPr>
        <w:t>The Carter Center’s Democracy Program works globally to promote democratic elections and governance consistent with human rights. The Center has monitored more than 1</w:t>
      </w:r>
      <w:r>
        <w:rPr>
          <w:rFonts w:ascii="Times New Roman" w:hAnsi="Times New Roman" w:cs="Times New Roman"/>
          <w:sz w:val="24"/>
          <w:szCs w:val="24"/>
        </w:rPr>
        <w:t>1</w:t>
      </w:r>
      <w:r w:rsidR="009E325F">
        <w:rPr>
          <w:rFonts w:ascii="Times New Roman" w:hAnsi="Times New Roman" w:cs="Times New Roman"/>
          <w:sz w:val="24"/>
          <w:szCs w:val="24"/>
        </w:rPr>
        <w:t>3</w:t>
      </w:r>
      <w:r w:rsidRPr="00D64A82">
        <w:rPr>
          <w:rFonts w:ascii="Times New Roman" w:hAnsi="Times New Roman" w:cs="Times New Roman"/>
          <w:sz w:val="24"/>
          <w:szCs w:val="24"/>
        </w:rPr>
        <w:t xml:space="preserve"> elections in 38 countries since 1989, forging many of the techniques now common to the field. Recognizing that democratic transitions involve much more than elections, the Center also conducts long-term monitoring of political transitions and works to strengthen civil society organizations to support democratic governance. The Democratic Election Standards (DES) initiative aims to build consensus on standards for democratic elections, based on state obligations under public international law.</w:t>
      </w:r>
    </w:p>
    <w:p w14:paraId="5824C502" w14:textId="15A6D2D8" w:rsidR="004A1EF1" w:rsidRDefault="004A1EF1" w:rsidP="008E7E64">
      <w:pPr>
        <w:spacing w:after="0" w:line="240" w:lineRule="auto"/>
        <w:jc w:val="both"/>
        <w:rPr>
          <w:rFonts w:ascii="Times New Roman" w:hAnsi="Times New Roman" w:cs="Times New Roman"/>
          <w:sz w:val="24"/>
          <w:szCs w:val="24"/>
        </w:rPr>
      </w:pPr>
    </w:p>
    <w:p w14:paraId="3BF35846" w14:textId="61067BC3" w:rsidR="004A1EF1" w:rsidRDefault="004A1EF1" w:rsidP="008E7E64">
      <w:pPr>
        <w:spacing w:after="0" w:line="240" w:lineRule="auto"/>
        <w:jc w:val="both"/>
        <w:rPr>
          <w:rFonts w:ascii="Times New Roman" w:hAnsi="Times New Roman" w:cs="Times New Roman"/>
          <w:b/>
          <w:bCs/>
          <w:sz w:val="24"/>
          <w:szCs w:val="24"/>
        </w:rPr>
      </w:pPr>
      <w:r w:rsidRPr="004A1EF1">
        <w:rPr>
          <w:rFonts w:ascii="Times New Roman" w:hAnsi="Times New Roman" w:cs="Times New Roman"/>
          <w:b/>
          <w:bCs/>
          <w:sz w:val="24"/>
          <w:szCs w:val="24"/>
        </w:rPr>
        <w:t xml:space="preserve">The Carter Center in </w:t>
      </w:r>
      <w:r w:rsidR="00326DD3">
        <w:rPr>
          <w:rFonts w:ascii="Times New Roman" w:hAnsi="Times New Roman" w:cs="Times New Roman"/>
          <w:b/>
          <w:bCs/>
          <w:sz w:val="24"/>
          <w:szCs w:val="24"/>
        </w:rPr>
        <w:t>Bolivia</w:t>
      </w:r>
    </w:p>
    <w:p w14:paraId="5E624EC2" w14:textId="2631178F" w:rsidR="004A1EF1" w:rsidRDefault="004A1EF1" w:rsidP="008E7E64">
      <w:pPr>
        <w:spacing w:after="0" w:line="240" w:lineRule="auto"/>
        <w:jc w:val="both"/>
        <w:rPr>
          <w:rFonts w:ascii="Times New Roman" w:hAnsi="Times New Roman" w:cs="Times New Roman"/>
          <w:sz w:val="24"/>
          <w:szCs w:val="24"/>
        </w:rPr>
      </w:pPr>
    </w:p>
    <w:p w14:paraId="30DBA20D" w14:textId="750EA71E" w:rsidR="00E152B2" w:rsidRPr="00E152B2" w:rsidRDefault="00CF275B" w:rsidP="008E7E64">
      <w:pPr>
        <w:spacing w:after="0" w:line="240" w:lineRule="auto"/>
        <w:jc w:val="both"/>
        <w:rPr>
          <w:rFonts w:ascii="Times New Roman" w:hAnsi="Times New Roman" w:cs="Times New Roman"/>
          <w:sz w:val="24"/>
          <w:szCs w:val="24"/>
        </w:rPr>
      </w:pPr>
      <w:r w:rsidRPr="00CF275B">
        <w:rPr>
          <w:rFonts w:ascii="Times New Roman" w:hAnsi="Times New Roman" w:cs="Times New Roman"/>
          <w:sz w:val="24"/>
          <w:szCs w:val="24"/>
        </w:rPr>
        <w:t>The Carter Center has considerable experience in Bolivia, maintaining a field office from 2006-2012 and observing voter registration and elections in 2009.</w:t>
      </w:r>
      <w:r w:rsidR="00DE114F">
        <w:rPr>
          <w:rFonts w:ascii="Times New Roman" w:hAnsi="Times New Roman" w:cs="Times New Roman"/>
          <w:sz w:val="24"/>
          <w:szCs w:val="24"/>
        </w:rPr>
        <w:t xml:space="preserve"> </w:t>
      </w:r>
      <w:r w:rsidR="00E152B2" w:rsidRPr="00E152B2">
        <w:rPr>
          <w:rFonts w:ascii="Times New Roman" w:hAnsi="Times New Roman" w:cs="Times New Roman"/>
          <w:sz w:val="24"/>
          <w:szCs w:val="24"/>
        </w:rPr>
        <w:t>The Carter Center was the first organization to deploy an election needs assessment mission to Bolivia in December 2019</w:t>
      </w:r>
      <w:r w:rsidR="00A83EFE">
        <w:rPr>
          <w:rFonts w:ascii="Times New Roman" w:hAnsi="Times New Roman" w:cs="Times New Roman"/>
          <w:sz w:val="24"/>
          <w:szCs w:val="24"/>
        </w:rPr>
        <w:t>, after the October 2019 electoral crisis.</w:t>
      </w:r>
      <w:r w:rsidR="00E152B2" w:rsidRPr="00E152B2">
        <w:rPr>
          <w:rFonts w:ascii="Times New Roman" w:hAnsi="Times New Roman" w:cs="Times New Roman"/>
          <w:sz w:val="24"/>
          <w:szCs w:val="24"/>
        </w:rPr>
        <w:t xml:space="preserve"> </w:t>
      </w:r>
    </w:p>
    <w:p w14:paraId="74E4A2BD" w14:textId="77777777" w:rsidR="00E152B2" w:rsidRPr="00E152B2" w:rsidRDefault="00E152B2" w:rsidP="008E7E64">
      <w:pPr>
        <w:spacing w:after="0" w:line="240" w:lineRule="auto"/>
        <w:jc w:val="both"/>
        <w:rPr>
          <w:rFonts w:ascii="Times New Roman" w:hAnsi="Times New Roman" w:cs="Times New Roman"/>
          <w:sz w:val="24"/>
          <w:szCs w:val="24"/>
        </w:rPr>
      </w:pPr>
    </w:p>
    <w:p w14:paraId="50079C6B" w14:textId="1034A1AA" w:rsidR="00730993" w:rsidRPr="00403EA9" w:rsidRDefault="00E152B2" w:rsidP="008E7E64">
      <w:pPr>
        <w:spacing w:after="0" w:line="240" w:lineRule="auto"/>
        <w:jc w:val="both"/>
        <w:rPr>
          <w:rFonts w:ascii="Times New Roman" w:hAnsi="Times New Roman" w:cs="Times New Roman"/>
          <w:bCs/>
          <w:sz w:val="24"/>
          <w:szCs w:val="24"/>
        </w:rPr>
      </w:pPr>
      <w:r w:rsidRPr="00E152B2">
        <w:rPr>
          <w:rFonts w:ascii="Times New Roman" w:hAnsi="Times New Roman" w:cs="Times New Roman"/>
          <w:sz w:val="24"/>
          <w:szCs w:val="24"/>
        </w:rPr>
        <w:t>Following the assessment mission, The Carter Center was invited by Bolivia’s Supreme Electoral Tribunal (TSE) to observe the new general elections, originally set for May 3, 2020</w:t>
      </w:r>
      <w:r w:rsidR="008E2F61">
        <w:rPr>
          <w:rFonts w:ascii="Times New Roman" w:hAnsi="Times New Roman" w:cs="Times New Roman"/>
          <w:sz w:val="24"/>
          <w:szCs w:val="24"/>
        </w:rPr>
        <w:t xml:space="preserve">, then postponed </w:t>
      </w:r>
      <w:r w:rsidR="002D38EF">
        <w:rPr>
          <w:rFonts w:ascii="Times New Roman" w:hAnsi="Times New Roman" w:cs="Times New Roman"/>
          <w:sz w:val="24"/>
          <w:szCs w:val="24"/>
        </w:rPr>
        <w:t>to October 18, 2020</w:t>
      </w:r>
      <w:r w:rsidRPr="00E152B2">
        <w:rPr>
          <w:rFonts w:ascii="Times New Roman" w:hAnsi="Times New Roman" w:cs="Times New Roman"/>
          <w:sz w:val="24"/>
          <w:szCs w:val="24"/>
        </w:rPr>
        <w:t xml:space="preserve">. </w:t>
      </w:r>
      <w:r w:rsidR="007F75FF" w:rsidRPr="007F75FF">
        <w:rPr>
          <w:rFonts w:ascii="Times New Roman" w:hAnsi="Times New Roman" w:cs="Times New Roman"/>
          <w:bCs/>
          <w:sz w:val="24"/>
          <w:szCs w:val="24"/>
          <w:lang w:val="en-GB"/>
        </w:rPr>
        <w:t xml:space="preserve">The Carter </w:t>
      </w:r>
      <w:proofErr w:type="spellStart"/>
      <w:r w:rsidR="007F75FF" w:rsidRPr="007F75FF">
        <w:rPr>
          <w:rFonts w:ascii="Times New Roman" w:hAnsi="Times New Roman" w:cs="Times New Roman"/>
          <w:bCs/>
          <w:sz w:val="24"/>
          <w:szCs w:val="24"/>
          <w:lang w:val="en-GB"/>
        </w:rPr>
        <w:t>Center’s</w:t>
      </w:r>
      <w:proofErr w:type="spellEnd"/>
      <w:r w:rsidR="007F75FF" w:rsidRPr="007F75FF">
        <w:rPr>
          <w:rFonts w:ascii="Times New Roman" w:hAnsi="Times New Roman" w:cs="Times New Roman"/>
          <w:bCs/>
          <w:sz w:val="24"/>
          <w:szCs w:val="24"/>
          <w:lang w:val="en-GB"/>
        </w:rPr>
        <w:t xml:space="preserve"> intention of deploying a full-scale international election observation mission (IEOM) for the 2020 elections was frustrated by the eruption of the COVID-19 pandemic. Instead</w:t>
      </w:r>
      <w:r w:rsidR="007F75FF" w:rsidRPr="007F75FF">
        <w:rPr>
          <w:rFonts w:ascii="Times New Roman" w:hAnsi="Times New Roman" w:cs="Times New Roman"/>
          <w:bCs/>
          <w:sz w:val="24"/>
          <w:szCs w:val="24"/>
        </w:rPr>
        <w:t xml:space="preserve">, </w:t>
      </w:r>
      <w:r w:rsidR="0062330F">
        <w:rPr>
          <w:rFonts w:ascii="Times New Roman" w:hAnsi="Times New Roman" w:cs="Times New Roman"/>
          <w:bCs/>
          <w:sz w:val="24"/>
          <w:szCs w:val="24"/>
        </w:rPr>
        <w:t>t</w:t>
      </w:r>
      <w:r w:rsidR="007F75FF" w:rsidRPr="007F75FF">
        <w:rPr>
          <w:rFonts w:ascii="Times New Roman" w:hAnsi="Times New Roman" w:cs="Times New Roman"/>
          <w:bCs/>
          <w:sz w:val="24"/>
          <w:szCs w:val="24"/>
        </w:rPr>
        <w:t xml:space="preserve">he Center implemented a small 4-person </w:t>
      </w:r>
      <w:r w:rsidR="007F75FF">
        <w:rPr>
          <w:rFonts w:ascii="Times New Roman" w:hAnsi="Times New Roman" w:cs="Times New Roman"/>
          <w:bCs/>
          <w:sz w:val="24"/>
          <w:szCs w:val="24"/>
        </w:rPr>
        <w:t>Electoral Expert Mission (</w:t>
      </w:r>
      <w:r w:rsidR="007F75FF" w:rsidRPr="007F75FF">
        <w:rPr>
          <w:rFonts w:ascii="Times New Roman" w:hAnsi="Times New Roman" w:cs="Times New Roman"/>
          <w:bCs/>
          <w:sz w:val="24"/>
          <w:szCs w:val="24"/>
        </w:rPr>
        <w:t>EEM</w:t>
      </w:r>
      <w:r w:rsidR="007F75FF">
        <w:rPr>
          <w:rFonts w:ascii="Times New Roman" w:hAnsi="Times New Roman" w:cs="Times New Roman"/>
          <w:bCs/>
          <w:sz w:val="24"/>
          <w:szCs w:val="24"/>
        </w:rPr>
        <w:t>)</w:t>
      </w:r>
      <w:r w:rsidR="007F75FF" w:rsidRPr="007F75FF">
        <w:rPr>
          <w:rFonts w:ascii="Times New Roman" w:hAnsi="Times New Roman" w:cs="Times New Roman"/>
          <w:bCs/>
          <w:sz w:val="24"/>
          <w:szCs w:val="24"/>
        </w:rPr>
        <w:t xml:space="preserve"> to assess the electoral process. </w:t>
      </w:r>
      <w:r w:rsidR="007F75FF">
        <w:rPr>
          <w:rFonts w:ascii="Times New Roman" w:hAnsi="Times New Roman" w:cs="Times New Roman"/>
          <w:sz w:val="24"/>
          <w:szCs w:val="24"/>
        </w:rPr>
        <w:t>The EEM</w:t>
      </w:r>
      <w:r w:rsidR="35E55BE6" w:rsidRPr="35E55BE6">
        <w:rPr>
          <w:rFonts w:ascii="Times New Roman" w:hAnsi="Times New Roman" w:cs="Times New Roman"/>
          <w:sz w:val="24"/>
          <w:szCs w:val="24"/>
        </w:rPr>
        <w:t xml:space="preserve"> started to be implemented remotely in mid-July 2020, and eventually two members of the mission were deployed in La Paz between October and November. The mission continued working through December 2020.</w:t>
      </w:r>
      <w:r w:rsidR="00DD532A">
        <w:rPr>
          <w:rFonts w:ascii="Times New Roman" w:hAnsi="Times New Roman" w:cs="Times New Roman"/>
          <w:sz w:val="24"/>
          <w:szCs w:val="24"/>
        </w:rPr>
        <w:t xml:space="preserve"> </w:t>
      </w:r>
      <w:hyperlink r:id="rId13" w:history="1">
        <w:r w:rsidR="00DD532A" w:rsidRPr="00C83F74">
          <w:rPr>
            <w:rStyle w:val="Hyperlink"/>
            <w:rFonts w:ascii="Times New Roman" w:hAnsi="Times New Roman" w:cs="Times New Roman"/>
            <w:sz w:val="24"/>
            <w:szCs w:val="24"/>
          </w:rPr>
          <w:t xml:space="preserve">The </w:t>
        </w:r>
        <w:r w:rsidR="003F1615" w:rsidRPr="00C83F74">
          <w:rPr>
            <w:rStyle w:val="Hyperlink"/>
            <w:rFonts w:ascii="Times New Roman" w:hAnsi="Times New Roman" w:cs="Times New Roman"/>
            <w:sz w:val="24"/>
            <w:szCs w:val="24"/>
          </w:rPr>
          <w:t xml:space="preserve">Carter Center’s election report </w:t>
        </w:r>
        <w:r w:rsidR="00A429A5" w:rsidRPr="00C83F74">
          <w:rPr>
            <w:rStyle w:val="Hyperlink"/>
            <w:rFonts w:ascii="Times New Roman" w:hAnsi="Times New Roman" w:cs="Times New Roman"/>
            <w:sz w:val="24"/>
            <w:szCs w:val="24"/>
          </w:rPr>
          <w:t>can be accessed here</w:t>
        </w:r>
      </w:hyperlink>
      <w:r w:rsidR="00A429A5">
        <w:rPr>
          <w:rFonts w:ascii="Times New Roman" w:hAnsi="Times New Roman" w:cs="Times New Roman"/>
          <w:sz w:val="24"/>
          <w:szCs w:val="24"/>
        </w:rPr>
        <w:t>.</w:t>
      </w:r>
    </w:p>
    <w:p w14:paraId="2085FAB1" w14:textId="77777777" w:rsidR="002B31FE" w:rsidRDefault="002B31FE" w:rsidP="008E7E64">
      <w:pPr>
        <w:spacing w:after="0" w:line="240" w:lineRule="auto"/>
        <w:jc w:val="both"/>
        <w:rPr>
          <w:rFonts w:ascii="Times New Roman" w:hAnsi="Times New Roman" w:cs="Times New Roman"/>
          <w:sz w:val="24"/>
          <w:szCs w:val="24"/>
        </w:rPr>
      </w:pPr>
    </w:p>
    <w:p w14:paraId="58DCC1BA" w14:textId="33C29293" w:rsidR="00875AE7" w:rsidRDefault="00875AE7" w:rsidP="008E7E64">
      <w:pPr>
        <w:spacing w:after="0" w:line="240" w:lineRule="auto"/>
        <w:jc w:val="both"/>
        <w:rPr>
          <w:rFonts w:ascii="Times New Roman" w:hAnsi="Times New Roman" w:cs="Times New Roman"/>
          <w:b/>
          <w:bCs/>
          <w:sz w:val="24"/>
          <w:szCs w:val="24"/>
        </w:rPr>
      </w:pPr>
      <w:r w:rsidRPr="00875AE7">
        <w:rPr>
          <w:rFonts w:ascii="Times New Roman" w:hAnsi="Times New Roman" w:cs="Times New Roman"/>
          <w:b/>
          <w:bCs/>
          <w:sz w:val="24"/>
          <w:szCs w:val="24"/>
        </w:rPr>
        <w:t xml:space="preserve">Methodology </w:t>
      </w:r>
    </w:p>
    <w:p w14:paraId="4A7DD01E" w14:textId="57A5EA03" w:rsidR="009E55DA" w:rsidRDefault="009E55DA" w:rsidP="008E7E64">
      <w:pPr>
        <w:spacing w:after="0" w:line="240" w:lineRule="auto"/>
        <w:jc w:val="both"/>
        <w:rPr>
          <w:rFonts w:ascii="Times New Roman" w:hAnsi="Times New Roman" w:cs="Times New Roman"/>
          <w:b/>
          <w:bCs/>
          <w:sz w:val="24"/>
          <w:szCs w:val="24"/>
        </w:rPr>
      </w:pPr>
    </w:p>
    <w:p w14:paraId="77BE51CD" w14:textId="463975FF" w:rsidR="00D2415F" w:rsidRPr="00F62C1F" w:rsidRDefault="009E55DA" w:rsidP="008E7E64">
      <w:pPr>
        <w:spacing w:after="0" w:line="240" w:lineRule="auto"/>
        <w:jc w:val="both"/>
        <w:rPr>
          <w:rFonts w:ascii="Times New Roman" w:hAnsi="Times New Roman" w:cs="Times New Roman"/>
          <w:sz w:val="24"/>
          <w:szCs w:val="24"/>
        </w:rPr>
      </w:pPr>
      <w:r w:rsidRPr="009E55DA">
        <w:rPr>
          <w:rFonts w:ascii="Times New Roman" w:hAnsi="Times New Roman" w:cs="Times New Roman"/>
          <w:sz w:val="24"/>
          <w:szCs w:val="24"/>
        </w:rPr>
        <w:t xml:space="preserve">The Carter Center works in accordance with the Declaration of Principles for International Observation. It </w:t>
      </w:r>
      <w:r w:rsidR="00DB32AD" w:rsidRPr="00F62C1F">
        <w:rPr>
          <w:rFonts w:ascii="Times New Roman" w:hAnsi="Times New Roman" w:cs="Times New Roman"/>
          <w:sz w:val="24"/>
          <w:szCs w:val="24"/>
        </w:rPr>
        <w:t>assessed</w:t>
      </w:r>
      <w:r w:rsidRPr="009E55DA">
        <w:rPr>
          <w:rFonts w:ascii="Times New Roman" w:hAnsi="Times New Roman" w:cs="Times New Roman"/>
          <w:sz w:val="24"/>
          <w:szCs w:val="24"/>
        </w:rPr>
        <w:t xml:space="preserve"> the </w:t>
      </w:r>
      <w:r w:rsidR="00DB32AD" w:rsidRPr="00F62C1F">
        <w:rPr>
          <w:rFonts w:ascii="Times New Roman" w:hAnsi="Times New Roman" w:cs="Times New Roman"/>
          <w:sz w:val="24"/>
          <w:szCs w:val="24"/>
        </w:rPr>
        <w:t>Bolivian</w:t>
      </w:r>
      <w:r w:rsidRPr="009E55DA">
        <w:rPr>
          <w:rFonts w:ascii="Times New Roman" w:hAnsi="Times New Roman" w:cs="Times New Roman"/>
          <w:sz w:val="24"/>
          <w:szCs w:val="24"/>
        </w:rPr>
        <w:t xml:space="preserve"> process in the light of the national legal framework and the principles and commitments on democratic elections enshrined in the regional and international instrument</w:t>
      </w:r>
      <w:r w:rsidR="00F62C1F" w:rsidRPr="00F62C1F">
        <w:rPr>
          <w:rFonts w:ascii="Times New Roman" w:hAnsi="Times New Roman" w:cs="Times New Roman"/>
          <w:sz w:val="24"/>
          <w:szCs w:val="24"/>
        </w:rPr>
        <w:t>s, which are also ratified by Bolivia</w:t>
      </w:r>
      <w:r w:rsidRPr="009E55DA">
        <w:rPr>
          <w:rFonts w:ascii="Times New Roman" w:hAnsi="Times New Roman" w:cs="Times New Roman"/>
          <w:sz w:val="24"/>
          <w:szCs w:val="24"/>
        </w:rPr>
        <w:t xml:space="preserve">. </w:t>
      </w:r>
    </w:p>
    <w:p w14:paraId="1A42AB1B" w14:textId="77777777" w:rsidR="001E676C" w:rsidRPr="001E676C" w:rsidRDefault="001E676C" w:rsidP="008E7E64">
      <w:pPr>
        <w:spacing w:after="0" w:line="240" w:lineRule="auto"/>
        <w:jc w:val="both"/>
        <w:rPr>
          <w:rFonts w:ascii="Times New Roman" w:hAnsi="Times New Roman" w:cs="Times New Roman"/>
          <w:bCs/>
          <w:sz w:val="24"/>
          <w:szCs w:val="24"/>
        </w:rPr>
      </w:pPr>
    </w:p>
    <w:p w14:paraId="0AAAE7BB" w14:textId="77777777" w:rsidR="001E676C" w:rsidRPr="001E676C" w:rsidRDefault="001E676C" w:rsidP="008E7E64">
      <w:pPr>
        <w:spacing w:after="0" w:line="240" w:lineRule="auto"/>
        <w:jc w:val="both"/>
        <w:rPr>
          <w:rFonts w:ascii="Times New Roman" w:hAnsi="Times New Roman" w:cs="Times New Roman"/>
          <w:bCs/>
          <w:sz w:val="24"/>
          <w:szCs w:val="24"/>
        </w:rPr>
      </w:pPr>
      <w:r w:rsidRPr="001E676C">
        <w:rPr>
          <w:rFonts w:ascii="Times New Roman" w:hAnsi="Times New Roman" w:cs="Times New Roman"/>
          <w:bCs/>
          <w:sz w:val="24"/>
          <w:szCs w:val="24"/>
        </w:rPr>
        <w:t xml:space="preserve">The EEM’s work focused on analysis of the legal framework for elections and of the election administration’s degree of independence, impartiality, transparency and technical efficiency, respect for political participation rights, and freedom of the press― particularly in the context of </w:t>
      </w:r>
      <w:r w:rsidRPr="001E676C">
        <w:rPr>
          <w:rFonts w:ascii="Times New Roman" w:hAnsi="Times New Roman" w:cs="Times New Roman"/>
          <w:bCs/>
          <w:sz w:val="24"/>
          <w:szCs w:val="24"/>
        </w:rPr>
        <w:lastRenderedPageBreak/>
        <w:t>the pandemic.  Due to its limited size and scope, and without long-term or short-term observers, the EEM was not able to observe the campaign, nor to conduct firsthand observation of the voting and counting processes.  With its small team, however, the EEM did make a limited assessment of the results aggregation process.</w:t>
      </w:r>
    </w:p>
    <w:p w14:paraId="26C7BBFD" w14:textId="77777777" w:rsidR="00730993" w:rsidRDefault="00730993" w:rsidP="008E7E64">
      <w:pPr>
        <w:spacing w:after="0" w:line="240" w:lineRule="auto"/>
        <w:jc w:val="both"/>
        <w:rPr>
          <w:rFonts w:ascii="Times New Roman" w:hAnsi="Times New Roman" w:cs="Times New Roman"/>
          <w:bCs/>
          <w:sz w:val="24"/>
          <w:szCs w:val="24"/>
        </w:rPr>
      </w:pPr>
    </w:p>
    <w:p w14:paraId="6E03943F" w14:textId="225B7C7F" w:rsidR="00730993" w:rsidRDefault="00730993" w:rsidP="008E7E64">
      <w:pPr>
        <w:spacing w:after="0" w:line="240" w:lineRule="auto"/>
        <w:jc w:val="both"/>
        <w:rPr>
          <w:rFonts w:ascii="Times New Roman" w:hAnsi="Times New Roman" w:cs="Times New Roman"/>
          <w:sz w:val="24"/>
          <w:szCs w:val="24"/>
        </w:rPr>
      </w:pPr>
      <w:r w:rsidRPr="00802CC9">
        <w:rPr>
          <w:rFonts w:ascii="Times New Roman" w:hAnsi="Times New Roman" w:cs="Times New Roman"/>
          <w:bCs/>
          <w:sz w:val="24"/>
          <w:szCs w:val="24"/>
        </w:rPr>
        <w:t xml:space="preserve">The Carter Center </w:t>
      </w:r>
      <w:r w:rsidR="000B78E9">
        <w:rPr>
          <w:rFonts w:ascii="Times New Roman" w:hAnsi="Times New Roman" w:cs="Times New Roman"/>
          <w:bCs/>
          <w:sz w:val="24"/>
          <w:szCs w:val="24"/>
        </w:rPr>
        <w:t>partnered</w:t>
      </w:r>
      <w:r w:rsidRPr="00802CC9">
        <w:rPr>
          <w:rFonts w:ascii="Times New Roman" w:hAnsi="Times New Roman" w:cs="Times New Roman"/>
          <w:bCs/>
          <w:sz w:val="24"/>
          <w:szCs w:val="24"/>
        </w:rPr>
        <w:t xml:space="preserve"> with</w:t>
      </w:r>
      <w:r>
        <w:rPr>
          <w:rFonts w:ascii="Times New Roman" w:hAnsi="Times New Roman" w:cs="Times New Roman"/>
          <w:bCs/>
          <w:sz w:val="24"/>
          <w:szCs w:val="24"/>
        </w:rPr>
        <w:t xml:space="preserve"> local organization</w:t>
      </w:r>
      <w:r w:rsidRPr="00802CC9">
        <w:rPr>
          <w:rFonts w:ascii="Times New Roman" w:hAnsi="Times New Roman" w:cs="Times New Roman"/>
          <w:bCs/>
          <w:sz w:val="24"/>
          <w:szCs w:val="24"/>
        </w:rPr>
        <w:t xml:space="preserve"> </w:t>
      </w:r>
      <w:proofErr w:type="spellStart"/>
      <w:r w:rsidRPr="00802CC9">
        <w:rPr>
          <w:rFonts w:ascii="Times New Roman" w:hAnsi="Times New Roman" w:cs="Times New Roman"/>
          <w:bCs/>
          <w:i/>
          <w:iCs/>
          <w:sz w:val="24"/>
          <w:szCs w:val="24"/>
        </w:rPr>
        <w:t>Chequea</w:t>
      </w:r>
      <w:proofErr w:type="spellEnd"/>
      <w:r w:rsidRPr="00802CC9">
        <w:rPr>
          <w:rFonts w:ascii="Times New Roman" w:hAnsi="Times New Roman" w:cs="Times New Roman"/>
          <w:bCs/>
          <w:i/>
          <w:iCs/>
          <w:sz w:val="24"/>
          <w:szCs w:val="24"/>
        </w:rPr>
        <w:t xml:space="preserve"> Bolivia</w:t>
      </w:r>
      <w:r w:rsidR="000B78E9">
        <w:rPr>
          <w:rFonts w:ascii="Times New Roman" w:hAnsi="Times New Roman" w:cs="Times New Roman"/>
          <w:bCs/>
          <w:sz w:val="24"/>
          <w:szCs w:val="24"/>
        </w:rPr>
        <w:t xml:space="preserve"> </w:t>
      </w:r>
      <w:r w:rsidRPr="00802CC9">
        <w:rPr>
          <w:rFonts w:ascii="Times New Roman" w:hAnsi="Times New Roman" w:cs="Times New Roman"/>
          <w:bCs/>
          <w:sz w:val="24"/>
          <w:szCs w:val="24"/>
        </w:rPr>
        <w:t>to counter election-related disinformation during the election process. The Center provide</w:t>
      </w:r>
      <w:r w:rsidR="00694F3E">
        <w:rPr>
          <w:rFonts w:ascii="Times New Roman" w:hAnsi="Times New Roman" w:cs="Times New Roman"/>
          <w:bCs/>
          <w:sz w:val="24"/>
          <w:szCs w:val="24"/>
        </w:rPr>
        <w:t>d</w:t>
      </w:r>
      <w:r w:rsidRPr="00802CC9">
        <w:rPr>
          <w:rFonts w:ascii="Times New Roman" w:hAnsi="Times New Roman" w:cs="Times New Roman"/>
          <w:bCs/>
          <w:sz w:val="24"/>
          <w:szCs w:val="24"/>
        </w:rPr>
        <w:t xml:space="preserve"> technical and financial assistance to facilitate identification and mitigation of disinformation that could:</w:t>
      </w:r>
      <w:r>
        <w:rPr>
          <w:rFonts w:ascii="Times New Roman" w:hAnsi="Times New Roman" w:cs="Times New Roman"/>
          <w:bCs/>
          <w:sz w:val="24"/>
          <w:szCs w:val="24"/>
        </w:rPr>
        <w:t xml:space="preserve"> s</w:t>
      </w:r>
      <w:r w:rsidRPr="00802CC9">
        <w:rPr>
          <w:rFonts w:ascii="Times New Roman" w:hAnsi="Times New Roman" w:cs="Times New Roman"/>
          <w:bCs/>
          <w:sz w:val="24"/>
          <w:szCs w:val="24"/>
        </w:rPr>
        <w:t>uppress voter participation in the electoral process</w:t>
      </w:r>
      <w:r>
        <w:rPr>
          <w:rFonts w:ascii="Times New Roman" w:hAnsi="Times New Roman" w:cs="Times New Roman"/>
          <w:bCs/>
          <w:sz w:val="24"/>
          <w:szCs w:val="24"/>
        </w:rPr>
        <w:t>; t</w:t>
      </w:r>
      <w:r w:rsidRPr="00802CC9">
        <w:rPr>
          <w:rFonts w:ascii="Times New Roman" w:hAnsi="Times New Roman" w:cs="Times New Roman"/>
          <w:bCs/>
          <w:sz w:val="24"/>
          <w:szCs w:val="24"/>
        </w:rPr>
        <w:t>rigger hostility or violence that could affect election security</w:t>
      </w:r>
      <w:r>
        <w:rPr>
          <w:rFonts w:ascii="Times New Roman" w:hAnsi="Times New Roman" w:cs="Times New Roman"/>
          <w:bCs/>
          <w:sz w:val="24"/>
          <w:szCs w:val="24"/>
        </w:rPr>
        <w:t>; u</w:t>
      </w:r>
      <w:r w:rsidRPr="00802CC9">
        <w:rPr>
          <w:rFonts w:ascii="Times New Roman" w:hAnsi="Times New Roman" w:cs="Times New Roman"/>
          <w:bCs/>
          <w:sz w:val="24"/>
          <w:szCs w:val="24"/>
        </w:rPr>
        <w:t>nduly undermine trust in the process or outcome</w:t>
      </w:r>
      <w:r>
        <w:rPr>
          <w:rFonts w:ascii="Times New Roman" w:hAnsi="Times New Roman" w:cs="Times New Roman"/>
          <w:bCs/>
          <w:sz w:val="24"/>
          <w:szCs w:val="24"/>
        </w:rPr>
        <w:t>.</w:t>
      </w:r>
    </w:p>
    <w:p w14:paraId="337E99AA" w14:textId="77777777" w:rsidR="00730993" w:rsidRPr="003B660C" w:rsidRDefault="00730993" w:rsidP="008E7E64">
      <w:pPr>
        <w:spacing w:after="0" w:line="240" w:lineRule="auto"/>
        <w:jc w:val="both"/>
        <w:rPr>
          <w:rFonts w:ascii="Times New Roman" w:hAnsi="Times New Roman" w:cs="Times New Roman"/>
          <w:bCs/>
          <w:sz w:val="24"/>
          <w:szCs w:val="24"/>
        </w:rPr>
      </w:pPr>
    </w:p>
    <w:p w14:paraId="6D437259" w14:textId="2AC3E8CF" w:rsidR="00AB202B" w:rsidRPr="00AB202B" w:rsidRDefault="00AB202B" w:rsidP="008E7E64">
      <w:pPr>
        <w:spacing w:after="0" w:line="240" w:lineRule="auto"/>
        <w:jc w:val="both"/>
        <w:rPr>
          <w:rFonts w:ascii="Times New Roman" w:hAnsi="Times New Roman" w:cs="Times New Roman"/>
          <w:bCs/>
          <w:sz w:val="24"/>
          <w:szCs w:val="24"/>
          <w:lang w:val="en-GB"/>
        </w:rPr>
      </w:pPr>
      <w:r w:rsidRPr="00AB202B">
        <w:rPr>
          <w:rFonts w:ascii="Times New Roman" w:hAnsi="Times New Roman" w:cs="Times New Roman"/>
          <w:bCs/>
          <w:sz w:val="24"/>
          <w:szCs w:val="24"/>
          <w:lang w:val="en-GB"/>
        </w:rPr>
        <w:t xml:space="preserve">This </w:t>
      </w:r>
      <w:r w:rsidR="00BF3611">
        <w:rPr>
          <w:rFonts w:ascii="Times New Roman" w:hAnsi="Times New Roman" w:cs="Times New Roman"/>
          <w:bCs/>
          <w:sz w:val="24"/>
          <w:szCs w:val="24"/>
          <w:lang w:val="en-GB"/>
        </w:rPr>
        <w:t>submission</w:t>
      </w:r>
      <w:r w:rsidRPr="00AB202B">
        <w:rPr>
          <w:rFonts w:ascii="Times New Roman" w:hAnsi="Times New Roman" w:cs="Times New Roman"/>
          <w:bCs/>
          <w:sz w:val="24"/>
          <w:szCs w:val="24"/>
          <w:lang w:val="en-GB"/>
        </w:rPr>
        <w:t xml:space="preserve"> is based on an analysis</w:t>
      </w:r>
      <w:r>
        <w:rPr>
          <w:rFonts w:ascii="Times New Roman" w:hAnsi="Times New Roman" w:cs="Times New Roman"/>
          <w:bCs/>
          <w:sz w:val="24"/>
          <w:szCs w:val="24"/>
          <w:lang w:val="en-GB"/>
        </w:rPr>
        <w:t xml:space="preserve"> </w:t>
      </w:r>
      <w:r w:rsidRPr="00AB202B">
        <w:rPr>
          <w:rFonts w:ascii="Times New Roman" w:hAnsi="Times New Roman" w:cs="Times New Roman"/>
          <w:bCs/>
          <w:sz w:val="24"/>
          <w:szCs w:val="24"/>
          <w:lang w:val="en-GB"/>
        </w:rPr>
        <w:t xml:space="preserve">of the degree to which commitments in Article 25 and other election-related articles of the ICCPR have been adhered to in Bolivia’s 2020 election process, from the beginning of the EEM (20/07/2020) until the end of the process. </w:t>
      </w:r>
    </w:p>
    <w:p w14:paraId="3FB4F304" w14:textId="1BDBACA8" w:rsidR="00993261" w:rsidRPr="00A64D06" w:rsidRDefault="00993261" w:rsidP="008E7E64">
      <w:pPr>
        <w:spacing w:after="0" w:line="240" w:lineRule="auto"/>
        <w:jc w:val="both"/>
        <w:rPr>
          <w:rFonts w:ascii="Times New Roman" w:hAnsi="Times New Roman" w:cs="Times New Roman"/>
          <w:b/>
          <w:bCs/>
          <w:sz w:val="24"/>
          <w:szCs w:val="24"/>
        </w:rPr>
      </w:pPr>
    </w:p>
    <w:p w14:paraId="557B7874" w14:textId="12AC1FB0" w:rsidR="00993261" w:rsidRDefault="00993261" w:rsidP="008E7E64">
      <w:pPr>
        <w:spacing w:after="0" w:line="240" w:lineRule="auto"/>
        <w:jc w:val="both"/>
        <w:rPr>
          <w:rFonts w:ascii="Times New Roman" w:hAnsi="Times New Roman" w:cs="Times New Roman"/>
          <w:b/>
          <w:bCs/>
          <w:sz w:val="24"/>
          <w:szCs w:val="24"/>
        </w:rPr>
      </w:pPr>
      <w:r w:rsidRPr="00A25CCB">
        <w:rPr>
          <w:rFonts w:ascii="Times New Roman" w:hAnsi="Times New Roman" w:cs="Times New Roman"/>
          <w:b/>
          <w:bCs/>
          <w:sz w:val="24"/>
          <w:szCs w:val="24"/>
        </w:rPr>
        <w:t xml:space="preserve">The Carter Center </w:t>
      </w:r>
      <w:r w:rsidR="00B41B4E" w:rsidRPr="00A25CCB">
        <w:rPr>
          <w:rFonts w:ascii="Times New Roman" w:hAnsi="Times New Roman" w:cs="Times New Roman"/>
          <w:b/>
          <w:bCs/>
          <w:sz w:val="24"/>
          <w:szCs w:val="24"/>
        </w:rPr>
        <w:t>Alternative Report</w:t>
      </w:r>
    </w:p>
    <w:p w14:paraId="482171DB" w14:textId="77777777" w:rsidR="00FD77DA" w:rsidRDefault="00FD77DA" w:rsidP="008E7E64">
      <w:pPr>
        <w:spacing w:after="0" w:line="240" w:lineRule="auto"/>
        <w:jc w:val="both"/>
        <w:rPr>
          <w:rFonts w:ascii="Times New Roman" w:hAnsi="Times New Roman" w:cs="Times New Roman"/>
          <w:b/>
          <w:bCs/>
          <w:sz w:val="24"/>
          <w:szCs w:val="24"/>
        </w:rPr>
      </w:pPr>
    </w:p>
    <w:p w14:paraId="70486386" w14:textId="761D6BE2" w:rsidR="00956817" w:rsidRDefault="00FD77DA" w:rsidP="008E7E64">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Overview </w:t>
      </w:r>
    </w:p>
    <w:p w14:paraId="61C0AB3F" w14:textId="37766A53" w:rsidR="00A125BA" w:rsidRDefault="00A125BA" w:rsidP="008E7E64">
      <w:pPr>
        <w:spacing w:after="0" w:line="240" w:lineRule="auto"/>
        <w:jc w:val="both"/>
        <w:rPr>
          <w:rFonts w:ascii="Times New Roman" w:hAnsi="Times New Roman" w:cs="Times New Roman"/>
          <w:b/>
          <w:bCs/>
          <w:sz w:val="24"/>
          <w:szCs w:val="24"/>
        </w:rPr>
      </w:pPr>
    </w:p>
    <w:p w14:paraId="4CA740DF" w14:textId="77777777" w:rsidR="00A125BA" w:rsidRPr="00A125BA" w:rsidRDefault="00A125BA" w:rsidP="008E7E64">
      <w:pPr>
        <w:spacing w:after="0" w:line="240" w:lineRule="auto"/>
        <w:jc w:val="both"/>
        <w:rPr>
          <w:rFonts w:ascii="Times New Roman" w:hAnsi="Times New Roman" w:cs="Times New Roman"/>
          <w:b/>
          <w:bCs/>
          <w:sz w:val="24"/>
          <w:szCs w:val="24"/>
          <w:lang w:val="en-GB"/>
        </w:rPr>
      </w:pPr>
      <w:r w:rsidRPr="00A125BA">
        <w:rPr>
          <w:rFonts w:ascii="Times New Roman" w:hAnsi="Times New Roman" w:cs="Times New Roman"/>
          <w:b/>
          <w:bCs/>
          <w:sz w:val="24"/>
          <w:szCs w:val="24"/>
          <w:lang w:val="en-GB"/>
        </w:rPr>
        <w:t xml:space="preserve">2020 Elections’ Context </w:t>
      </w:r>
    </w:p>
    <w:p w14:paraId="47708CDE" w14:textId="77777777" w:rsidR="00A125BA" w:rsidRPr="00A125BA" w:rsidRDefault="00A125BA" w:rsidP="008E7E64">
      <w:pPr>
        <w:spacing w:after="0" w:line="240" w:lineRule="auto"/>
        <w:jc w:val="both"/>
        <w:rPr>
          <w:rFonts w:ascii="Times New Roman" w:hAnsi="Times New Roman" w:cs="Times New Roman"/>
          <w:sz w:val="24"/>
          <w:szCs w:val="24"/>
          <w:lang w:val="en-GB"/>
        </w:rPr>
      </w:pPr>
    </w:p>
    <w:p w14:paraId="43D90308" w14:textId="65DF97CC" w:rsidR="00A125BA" w:rsidRPr="00A125BA" w:rsidRDefault="00A125BA" w:rsidP="008E7E64">
      <w:pPr>
        <w:spacing w:after="0" w:line="240" w:lineRule="auto"/>
        <w:jc w:val="both"/>
        <w:rPr>
          <w:rFonts w:ascii="Times New Roman" w:hAnsi="Times New Roman" w:cs="Times New Roman"/>
          <w:sz w:val="24"/>
          <w:szCs w:val="24"/>
          <w:lang w:val="en-GB"/>
        </w:rPr>
      </w:pPr>
      <w:r w:rsidRPr="00A125BA">
        <w:rPr>
          <w:rFonts w:ascii="Times New Roman" w:hAnsi="Times New Roman" w:cs="Times New Roman"/>
          <w:sz w:val="24"/>
          <w:szCs w:val="24"/>
          <w:lang w:val="en-GB"/>
        </w:rPr>
        <w:t>In the midst of a post-electoral crisis characterised by extreme polarisation between the country’s political and social forces and numerous episodes of violence, complex negotiations enabled approval of the 24 November 2019 Exceptional and Transitory Law for holding general elections (</w:t>
      </w:r>
      <w:r w:rsidRPr="00A125BA">
        <w:rPr>
          <w:rFonts w:ascii="Times New Roman" w:hAnsi="Times New Roman" w:cs="Times New Roman"/>
          <w:i/>
          <w:sz w:val="24"/>
          <w:szCs w:val="24"/>
          <w:lang w:val="en-GB"/>
        </w:rPr>
        <w:t xml:space="preserve">Ley de </w:t>
      </w:r>
      <w:proofErr w:type="spellStart"/>
      <w:r w:rsidRPr="00A125BA">
        <w:rPr>
          <w:rFonts w:ascii="Times New Roman" w:hAnsi="Times New Roman" w:cs="Times New Roman"/>
          <w:i/>
          <w:sz w:val="24"/>
          <w:szCs w:val="24"/>
          <w:lang w:val="en-GB"/>
        </w:rPr>
        <w:t>Régimen</w:t>
      </w:r>
      <w:proofErr w:type="spellEnd"/>
      <w:r w:rsidRPr="00A125BA">
        <w:rPr>
          <w:rFonts w:ascii="Times New Roman" w:hAnsi="Times New Roman" w:cs="Times New Roman"/>
          <w:i/>
          <w:sz w:val="24"/>
          <w:szCs w:val="24"/>
          <w:lang w:val="en-GB"/>
        </w:rPr>
        <w:t xml:space="preserve"> </w:t>
      </w:r>
      <w:proofErr w:type="spellStart"/>
      <w:r w:rsidRPr="00A125BA">
        <w:rPr>
          <w:rFonts w:ascii="Times New Roman" w:hAnsi="Times New Roman" w:cs="Times New Roman"/>
          <w:i/>
          <w:sz w:val="24"/>
          <w:szCs w:val="24"/>
          <w:lang w:val="en-GB"/>
        </w:rPr>
        <w:t>Excepcional</w:t>
      </w:r>
      <w:proofErr w:type="spellEnd"/>
      <w:r w:rsidRPr="00A125BA">
        <w:rPr>
          <w:rFonts w:ascii="Times New Roman" w:hAnsi="Times New Roman" w:cs="Times New Roman"/>
          <w:i/>
          <w:sz w:val="24"/>
          <w:szCs w:val="24"/>
          <w:lang w:val="en-GB"/>
        </w:rPr>
        <w:t xml:space="preserve"> y </w:t>
      </w:r>
      <w:proofErr w:type="spellStart"/>
      <w:r w:rsidRPr="00A125BA">
        <w:rPr>
          <w:rFonts w:ascii="Times New Roman" w:hAnsi="Times New Roman" w:cs="Times New Roman"/>
          <w:i/>
          <w:sz w:val="24"/>
          <w:szCs w:val="24"/>
          <w:lang w:val="en-GB"/>
        </w:rPr>
        <w:t>Transitorio</w:t>
      </w:r>
      <w:proofErr w:type="spellEnd"/>
      <w:r w:rsidRPr="00A125BA">
        <w:rPr>
          <w:rFonts w:ascii="Times New Roman" w:hAnsi="Times New Roman" w:cs="Times New Roman"/>
          <w:i/>
          <w:sz w:val="24"/>
          <w:szCs w:val="24"/>
          <w:lang w:val="en-GB"/>
        </w:rPr>
        <w:t xml:space="preserve"> para la </w:t>
      </w:r>
      <w:proofErr w:type="spellStart"/>
      <w:r w:rsidRPr="00A125BA">
        <w:rPr>
          <w:rFonts w:ascii="Times New Roman" w:hAnsi="Times New Roman" w:cs="Times New Roman"/>
          <w:i/>
          <w:sz w:val="24"/>
          <w:szCs w:val="24"/>
          <w:lang w:val="en-GB"/>
        </w:rPr>
        <w:t>realización</w:t>
      </w:r>
      <w:proofErr w:type="spellEnd"/>
      <w:r w:rsidRPr="00A125BA">
        <w:rPr>
          <w:rFonts w:ascii="Times New Roman" w:hAnsi="Times New Roman" w:cs="Times New Roman"/>
          <w:i/>
          <w:sz w:val="24"/>
          <w:szCs w:val="24"/>
          <w:lang w:val="en-GB"/>
        </w:rPr>
        <w:t xml:space="preserve"> de </w:t>
      </w:r>
      <w:proofErr w:type="spellStart"/>
      <w:r w:rsidRPr="00A125BA">
        <w:rPr>
          <w:rFonts w:ascii="Times New Roman" w:hAnsi="Times New Roman" w:cs="Times New Roman"/>
          <w:i/>
          <w:sz w:val="24"/>
          <w:szCs w:val="24"/>
          <w:lang w:val="en-GB"/>
        </w:rPr>
        <w:t>elecciones</w:t>
      </w:r>
      <w:proofErr w:type="spellEnd"/>
      <w:r w:rsidRPr="00A125BA">
        <w:rPr>
          <w:rFonts w:ascii="Times New Roman" w:hAnsi="Times New Roman" w:cs="Times New Roman"/>
          <w:i/>
          <w:sz w:val="24"/>
          <w:szCs w:val="24"/>
          <w:lang w:val="en-GB"/>
        </w:rPr>
        <w:t xml:space="preserve"> </w:t>
      </w:r>
      <w:proofErr w:type="spellStart"/>
      <w:r w:rsidRPr="00A125BA">
        <w:rPr>
          <w:rFonts w:ascii="Times New Roman" w:hAnsi="Times New Roman" w:cs="Times New Roman"/>
          <w:i/>
          <w:sz w:val="24"/>
          <w:szCs w:val="24"/>
          <w:lang w:val="en-GB"/>
        </w:rPr>
        <w:t>generales</w:t>
      </w:r>
      <w:proofErr w:type="spellEnd"/>
      <w:r w:rsidRPr="00A125BA">
        <w:rPr>
          <w:rFonts w:ascii="Times New Roman" w:hAnsi="Times New Roman" w:cs="Times New Roman"/>
          <w:i/>
          <w:sz w:val="24"/>
          <w:szCs w:val="24"/>
          <w:lang w:val="en-GB"/>
        </w:rPr>
        <w:t xml:space="preserve"> de 24 de </w:t>
      </w:r>
      <w:proofErr w:type="spellStart"/>
      <w:r w:rsidRPr="00A125BA">
        <w:rPr>
          <w:rFonts w:ascii="Times New Roman" w:hAnsi="Times New Roman" w:cs="Times New Roman"/>
          <w:i/>
          <w:sz w:val="24"/>
          <w:szCs w:val="24"/>
          <w:lang w:val="en-GB"/>
        </w:rPr>
        <w:t>noviembre</w:t>
      </w:r>
      <w:proofErr w:type="spellEnd"/>
      <w:r w:rsidRPr="00A125BA">
        <w:rPr>
          <w:rFonts w:ascii="Times New Roman" w:hAnsi="Times New Roman" w:cs="Times New Roman"/>
          <w:i/>
          <w:sz w:val="24"/>
          <w:szCs w:val="24"/>
          <w:lang w:val="en-GB"/>
        </w:rPr>
        <w:t xml:space="preserve"> de 2019</w:t>
      </w:r>
      <w:r w:rsidRPr="00A125BA">
        <w:rPr>
          <w:rFonts w:ascii="Times New Roman" w:hAnsi="Times New Roman" w:cs="Times New Roman"/>
          <w:sz w:val="24"/>
          <w:szCs w:val="24"/>
          <w:lang w:val="en-GB"/>
        </w:rPr>
        <w:t xml:space="preserve">), which decreed the cancellation of the October 2019 elections and established deadlines for a new </w:t>
      </w:r>
      <w:r w:rsidR="00FF38F5" w:rsidRPr="00FF38F5">
        <w:rPr>
          <w:rFonts w:ascii="Times New Roman" w:hAnsi="Times New Roman" w:cs="Times New Roman"/>
          <w:iCs/>
          <w:sz w:val="24"/>
          <w:szCs w:val="24"/>
          <w:lang w:val="en-GB"/>
        </w:rPr>
        <w:t>Supreme Electoral Tribunal (TSE)</w:t>
      </w:r>
      <w:r w:rsidRPr="00A125BA">
        <w:rPr>
          <w:rFonts w:ascii="Times New Roman" w:hAnsi="Times New Roman" w:cs="Times New Roman"/>
          <w:i/>
          <w:sz w:val="24"/>
          <w:szCs w:val="24"/>
          <w:lang w:val="en-GB"/>
        </w:rPr>
        <w:t xml:space="preserve"> </w:t>
      </w:r>
      <w:r w:rsidRPr="00A125BA">
        <w:rPr>
          <w:rFonts w:ascii="Times New Roman" w:hAnsi="Times New Roman" w:cs="Times New Roman"/>
          <w:sz w:val="24"/>
          <w:szCs w:val="24"/>
          <w:lang w:val="en-GB"/>
        </w:rPr>
        <w:t xml:space="preserve"> to organise a new electoral process. Among other provisions, the law suspended the requirement to hold primary elections to determine presidential candidates and introduced a prohibition on running for those who had already served two terms in their elected positions.  </w:t>
      </w:r>
    </w:p>
    <w:p w14:paraId="77561056" w14:textId="77777777" w:rsidR="00A125BA" w:rsidRPr="00A125BA" w:rsidRDefault="00A125BA" w:rsidP="008E7E64">
      <w:pPr>
        <w:spacing w:after="0" w:line="240" w:lineRule="auto"/>
        <w:jc w:val="both"/>
        <w:rPr>
          <w:rFonts w:ascii="Times New Roman" w:hAnsi="Times New Roman" w:cs="Times New Roman"/>
          <w:sz w:val="24"/>
          <w:szCs w:val="24"/>
          <w:lang w:val="en-GB"/>
        </w:rPr>
      </w:pPr>
    </w:p>
    <w:p w14:paraId="712EE7B7" w14:textId="02235D79" w:rsidR="008D598E" w:rsidRDefault="00A125BA" w:rsidP="008E7E64">
      <w:pPr>
        <w:spacing w:after="0" w:line="240" w:lineRule="auto"/>
        <w:jc w:val="both"/>
        <w:rPr>
          <w:rFonts w:ascii="Times New Roman" w:hAnsi="Times New Roman" w:cs="Times New Roman"/>
          <w:sz w:val="24"/>
          <w:szCs w:val="24"/>
          <w:lang w:val="en-GB"/>
        </w:rPr>
      </w:pPr>
      <w:r w:rsidRPr="00A125BA">
        <w:rPr>
          <w:rFonts w:ascii="Times New Roman" w:hAnsi="Times New Roman" w:cs="Times New Roman"/>
          <w:sz w:val="24"/>
          <w:szCs w:val="24"/>
          <w:lang w:val="en-GB"/>
        </w:rPr>
        <w:t>Notwithstanding this exceptional law, the 2020 electoral process is framed by the same legislation as</w:t>
      </w:r>
      <w:r w:rsidR="00357123">
        <w:rPr>
          <w:rFonts w:ascii="Times New Roman" w:hAnsi="Times New Roman" w:cs="Times New Roman"/>
          <w:sz w:val="24"/>
          <w:szCs w:val="24"/>
          <w:lang w:val="en-GB"/>
        </w:rPr>
        <w:t xml:space="preserve"> the</w:t>
      </w:r>
      <w:r w:rsidRPr="00A125BA">
        <w:rPr>
          <w:rFonts w:ascii="Times New Roman" w:hAnsi="Times New Roman" w:cs="Times New Roman"/>
          <w:sz w:val="24"/>
          <w:szCs w:val="24"/>
          <w:lang w:val="en-GB"/>
        </w:rPr>
        <w:t xml:space="preserve"> 2019 elections, and in this respect most observations on the legal framework’s weakness regarding ICCPR Article 25 and associated commitments identified by the international election missions</w:t>
      </w:r>
      <w:r w:rsidRPr="00A125BA">
        <w:rPr>
          <w:rFonts w:ascii="Times New Roman" w:hAnsi="Times New Roman" w:cs="Times New Roman"/>
          <w:sz w:val="24"/>
          <w:szCs w:val="24"/>
          <w:vertAlign w:val="superscript"/>
          <w:lang w:val="es-ES"/>
        </w:rPr>
        <w:footnoteReference w:id="2"/>
      </w:r>
      <w:r w:rsidRPr="00A125BA">
        <w:rPr>
          <w:rFonts w:ascii="Times New Roman" w:hAnsi="Times New Roman" w:cs="Times New Roman"/>
          <w:sz w:val="24"/>
          <w:szCs w:val="24"/>
          <w:lang w:val="en-GB"/>
        </w:rPr>
        <w:t xml:space="preserve"> and in 2019 remain valid. Nonetheless, the most significant criticisms of the 2019 process, which ultimately resulted in its cancellation, were mo</w:t>
      </w:r>
      <w:r w:rsidR="00747963">
        <w:rPr>
          <w:rFonts w:ascii="Times New Roman" w:hAnsi="Times New Roman" w:cs="Times New Roman"/>
          <w:sz w:val="24"/>
          <w:szCs w:val="24"/>
          <w:lang w:val="en-GB"/>
        </w:rPr>
        <w:t>stly</w:t>
      </w:r>
      <w:r w:rsidRPr="00A125BA">
        <w:rPr>
          <w:rFonts w:ascii="Times New Roman" w:hAnsi="Times New Roman" w:cs="Times New Roman"/>
          <w:sz w:val="24"/>
          <w:szCs w:val="24"/>
          <w:lang w:val="en-GB"/>
        </w:rPr>
        <w:t xml:space="preserve"> based on the praxis of the former TSE, particularly during the consolidation of results, </w:t>
      </w:r>
      <w:proofErr w:type="gramStart"/>
      <w:r w:rsidRPr="00A125BA">
        <w:rPr>
          <w:rFonts w:ascii="Times New Roman" w:hAnsi="Times New Roman" w:cs="Times New Roman"/>
          <w:sz w:val="24"/>
          <w:szCs w:val="24"/>
          <w:lang w:val="en-GB"/>
        </w:rPr>
        <w:t>than</w:t>
      </w:r>
      <w:proofErr w:type="gramEnd"/>
      <w:r w:rsidRPr="00A125BA">
        <w:rPr>
          <w:rFonts w:ascii="Times New Roman" w:hAnsi="Times New Roman" w:cs="Times New Roman"/>
          <w:sz w:val="24"/>
          <w:szCs w:val="24"/>
          <w:lang w:val="en-GB"/>
        </w:rPr>
        <w:t xml:space="preserve"> they were on the election’s legal framework. </w:t>
      </w:r>
    </w:p>
    <w:p w14:paraId="4BECD7FB" w14:textId="77777777" w:rsidR="008D598E" w:rsidRDefault="008D598E" w:rsidP="008E7E64">
      <w:pPr>
        <w:spacing w:after="0" w:line="240" w:lineRule="auto"/>
        <w:jc w:val="both"/>
        <w:rPr>
          <w:rFonts w:ascii="Times New Roman" w:hAnsi="Times New Roman" w:cs="Times New Roman"/>
          <w:sz w:val="24"/>
          <w:szCs w:val="24"/>
          <w:lang w:val="en-GB"/>
        </w:rPr>
      </w:pPr>
    </w:p>
    <w:p w14:paraId="0B03E1B0" w14:textId="21B83C28" w:rsidR="00A125BA" w:rsidRPr="00A125BA" w:rsidRDefault="00A125BA" w:rsidP="008E7E64">
      <w:pPr>
        <w:spacing w:after="0" w:line="240" w:lineRule="auto"/>
        <w:jc w:val="both"/>
        <w:rPr>
          <w:rFonts w:ascii="Times New Roman" w:hAnsi="Times New Roman" w:cs="Times New Roman"/>
          <w:sz w:val="24"/>
          <w:szCs w:val="24"/>
          <w:lang w:val="en-GB"/>
        </w:rPr>
      </w:pPr>
      <w:r w:rsidRPr="00A125BA">
        <w:rPr>
          <w:rFonts w:ascii="Times New Roman" w:hAnsi="Times New Roman" w:cs="Times New Roman"/>
          <w:sz w:val="24"/>
          <w:szCs w:val="24"/>
          <w:lang w:val="en-GB"/>
        </w:rPr>
        <w:t>Th</w:t>
      </w:r>
      <w:r w:rsidR="003F192E">
        <w:rPr>
          <w:rFonts w:ascii="Times New Roman" w:hAnsi="Times New Roman" w:cs="Times New Roman"/>
          <w:sz w:val="24"/>
          <w:szCs w:val="24"/>
          <w:lang w:val="en-GB"/>
        </w:rPr>
        <w:t xml:space="preserve">e Carter </w:t>
      </w:r>
      <w:proofErr w:type="spellStart"/>
      <w:r w:rsidR="003F192E">
        <w:rPr>
          <w:rFonts w:ascii="Times New Roman" w:hAnsi="Times New Roman" w:cs="Times New Roman"/>
          <w:sz w:val="24"/>
          <w:szCs w:val="24"/>
          <w:lang w:val="en-GB"/>
        </w:rPr>
        <w:t>Center</w:t>
      </w:r>
      <w:r w:rsidR="00937620">
        <w:rPr>
          <w:rFonts w:ascii="Times New Roman" w:hAnsi="Times New Roman" w:cs="Times New Roman"/>
          <w:sz w:val="24"/>
          <w:szCs w:val="24"/>
          <w:lang w:val="en-GB"/>
        </w:rPr>
        <w:t>’s</w:t>
      </w:r>
      <w:proofErr w:type="spellEnd"/>
      <w:r w:rsidRPr="00A125BA">
        <w:rPr>
          <w:rFonts w:ascii="Times New Roman" w:hAnsi="Times New Roman" w:cs="Times New Roman"/>
          <w:sz w:val="24"/>
          <w:szCs w:val="24"/>
          <w:lang w:val="en-GB"/>
        </w:rPr>
        <w:t xml:space="preserve"> </w:t>
      </w:r>
      <w:r w:rsidR="00937620">
        <w:rPr>
          <w:rFonts w:ascii="Times New Roman" w:hAnsi="Times New Roman" w:cs="Times New Roman"/>
          <w:sz w:val="24"/>
          <w:szCs w:val="24"/>
          <w:lang w:val="en-GB"/>
        </w:rPr>
        <w:t xml:space="preserve">submission </w:t>
      </w:r>
      <w:r w:rsidRPr="00A125BA">
        <w:rPr>
          <w:rFonts w:ascii="Times New Roman" w:hAnsi="Times New Roman" w:cs="Times New Roman"/>
          <w:sz w:val="24"/>
          <w:szCs w:val="24"/>
          <w:lang w:val="en-GB"/>
        </w:rPr>
        <w:t xml:space="preserve">aims to highlight some of the areas of applicable electoral legislation in Bolivia which may not meet the standards set by the ICCPR’s Article 25, insofar as these have been discernible during the EEM’s activity, as well as to underline the notable efforts to enhance the transparency of all stages of the process and the neutrality and impartiality of election administration displayed by the TSE that organised the 2020 general elections. </w:t>
      </w:r>
    </w:p>
    <w:p w14:paraId="784FB023" w14:textId="77777777" w:rsidR="00DC578E" w:rsidRDefault="00DC578E" w:rsidP="008E7E64">
      <w:pPr>
        <w:spacing w:after="0" w:line="240" w:lineRule="auto"/>
        <w:jc w:val="both"/>
        <w:rPr>
          <w:rFonts w:ascii="Times New Roman" w:hAnsi="Times New Roman" w:cs="Times New Roman"/>
          <w:bCs/>
          <w:sz w:val="24"/>
          <w:szCs w:val="24"/>
        </w:rPr>
      </w:pPr>
    </w:p>
    <w:p w14:paraId="56DC602C" w14:textId="7365AE2A" w:rsidR="004D2815" w:rsidRPr="004D2815" w:rsidRDefault="004D2815" w:rsidP="008E7E64">
      <w:pPr>
        <w:spacing w:after="0" w:line="240" w:lineRule="auto"/>
        <w:jc w:val="both"/>
        <w:rPr>
          <w:rFonts w:ascii="Times New Roman" w:hAnsi="Times New Roman" w:cs="Times New Roman"/>
          <w:sz w:val="24"/>
          <w:szCs w:val="24"/>
        </w:rPr>
      </w:pPr>
      <w:r w:rsidRPr="653945BE">
        <w:rPr>
          <w:rFonts w:ascii="Times New Roman" w:hAnsi="Times New Roman" w:cs="Times New Roman"/>
          <w:sz w:val="24"/>
          <w:szCs w:val="24"/>
        </w:rPr>
        <w:t xml:space="preserve">However, the </w:t>
      </w:r>
      <w:r w:rsidR="00F018E1" w:rsidRPr="653945BE">
        <w:rPr>
          <w:rFonts w:ascii="Times New Roman" w:hAnsi="Times New Roman" w:cs="Times New Roman"/>
          <w:sz w:val="24"/>
          <w:szCs w:val="24"/>
        </w:rPr>
        <w:t xml:space="preserve">EEM </w:t>
      </w:r>
      <w:r w:rsidRPr="653945BE">
        <w:rPr>
          <w:rFonts w:ascii="Times New Roman" w:hAnsi="Times New Roman" w:cs="Times New Roman"/>
          <w:sz w:val="24"/>
          <w:szCs w:val="24"/>
        </w:rPr>
        <w:t xml:space="preserve">also found some shortcomings in the legislative framework for elections in relation to the right to political participation enshrined in Article 25 of the ICCPR. The mission's final report, published in March 2021, expanded on the analysis of the 2020 elections and included recommendations, some of which are reproduced in this report because of their connection to Article 25 of the ICCPR. </w:t>
      </w:r>
    </w:p>
    <w:p w14:paraId="5F625D5C" w14:textId="77777777" w:rsidR="004D2815" w:rsidRPr="004D2815" w:rsidRDefault="004D2815" w:rsidP="008E7E64">
      <w:pPr>
        <w:spacing w:after="0" w:line="240" w:lineRule="auto"/>
        <w:jc w:val="both"/>
        <w:rPr>
          <w:rFonts w:ascii="Times New Roman" w:hAnsi="Times New Roman" w:cs="Times New Roman"/>
          <w:bCs/>
          <w:sz w:val="24"/>
          <w:szCs w:val="24"/>
        </w:rPr>
      </w:pPr>
    </w:p>
    <w:p w14:paraId="5BA48968" w14:textId="55824342" w:rsidR="004D2815" w:rsidRDefault="004D2815" w:rsidP="008E7E64">
      <w:pPr>
        <w:spacing w:after="0" w:line="240" w:lineRule="auto"/>
        <w:jc w:val="both"/>
        <w:rPr>
          <w:rFonts w:ascii="Times New Roman" w:hAnsi="Times New Roman" w:cs="Times New Roman"/>
          <w:bCs/>
          <w:sz w:val="24"/>
          <w:szCs w:val="24"/>
        </w:rPr>
      </w:pPr>
      <w:r w:rsidRPr="004D2815">
        <w:rPr>
          <w:rFonts w:ascii="Times New Roman" w:hAnsi="Times New Roman" w:cs="Times New Roman"/>
          <w:bCs/>
          <w:sz w:val="24"/>
          <w:szCs w:val="24"/>
        </w:rPr>
        <w:t xml:space="preserve">The Carter Center's election expert mission also warned of the persistence in Bolivia of a tradition of severe political instrumentalization of the courts and the prosecutor's office in the months leading up to the election. </w:t>
      </w:r>
      <w:proofErr w:type="gramStart"/>
      <w:r w:rsidRPr="004D2815">
        <w:rPr>
          <w:rFonts w:ascii="Times New Roman" w:hAnsi="Times New Roman" w:cs="Times New Roman"/>
          <w:bCs/>
          <w:sz w:val="24"/>
          <w:szCs w:val="24"/>
        </w:rPr>
        <w:t>In light of</w:t>
      </w:r>
      <w:proofErr w:type="gramEnd"/>
      <w:r w:rsidRPr="004D2815">
        <w:rPr>
          <w:rFonts w:ascii="Times New Roman" w:hAnsi="Times New Roman" w:cs="Times New Roman"/>
          <w:bCs/>
          <w:sz w:val="24"/>
          <w:szCs w:val="24"/>
        </w:rPr>
        <w:t xml:space="preserve"> the post-election events, the Carter Center can but note that this practice persists, even if roles have changed.</w:t>
      </w:r>
    </w:p>
    <w:p w14:paraId="015B1B30" w14:textId="1F2EBC9B" w:rsidR="005B4C32" w:rsidRDefault="005B4C32" w:rsidP="008E7E64">
      <w:pPr>
        <w:spacing w:after="0" w:line="240" w:lineRule="auto"/>
        <w:jc w:val="both"/>
        <w:rPr>
          <w:rFonts w:ascii="Times New Roman" w:hAnsi="Times New Roman" w:cs="Times New Roman"/>
          <w:bCs/>
          <w:sz w:val="24"/>
          <w:szCs w:val="24"/>
        </w:rPr>
      </w:pPr>
    </w:p>
    <w:p w14:paraId="25627173" w14:textId="4EE8E882" w:rsidR="002B5B1E" w:rsidRDefault="35E55BE6" w:rsidP="00376959">
      <w:pPr>
        <w:spacing w:after="0" w:line="240" w:lineRule="auto"/>
        <w:jc w:val="center"/>
        <w:rPr>
          <w:rFonts w:ascii="Times New Roman" w:hAnsi="Times New Roman" w:cs="Times New Roman"/>
          <w:b/>
          <w:bCs/>
          <w:i/>
          <w:iCs/>
          <w:sz w:val="24"/>
          <w:szCs w:val="24"/>
        </w:rPr>
      </w:pPr>
      <w:r w:rsidRPr="35E55BE6">
        <w:rPr>
          <w:rFonts w:ascii="Times New Roman" w:hAnsi="Times New Roman" w:cs="Times New Roman"/>
          <w:sz w:val="24"/>
          <w:szCs w:val="24"/>
        </w:rPr>
        <w:t>******************************************************************************</w:t>
      </w:r>
      <w:r w:rsidR="005C244D" w:rsidRPr="005C244D">
        <w:rPr>
          <w:rFonts w:ascii="Times New Roman" w:hAnsi="Times New Roman" w:cs="Times New Roman"/>
          <w:b/>
          <w:bCs/>
          <w:i/>
          <w:iCs/>
          <w:sz w:val="24"/>
          <w:szCs w:val="24"/>
        </w:rPr>
        <w:t>Article 22</w:t>
      </w:r>
      <w:r w:rsidR="3CDF392E" w:rsidRPr="11E3F8D1">
        <w:rPr>
          <w:rFonts w:ascii="Times New Roman" w:hAnsi="Times New Roman" w:cs="Times New Roman"/>
          <w:b/>
          <w:bCs/>
          <w:i/>
          <w:iCs/>
          <w:sz w:val="24"/>
          <w:szCs w:val="24"/>
        </w:rPr>
        <w:t xml:space="preserve"> and 25</w:t>
      </w:r>
    </w:p>
    <w:p w14:paraId="441C3521" w14:textId="77777777" w:rsidR="00445A43" w:rsidRPr="00445A43" w:rsidRDefault="00445A43" w:rsidP="008E7E64">
      <w:pPr>
        <w:spacing w:after="0" w:line="240" w:lineRule="auto"/>
        <w:jc w:val="both"/>
        <w:rPr>
          <w:rFonts w:ascii="Times New Roman" w:hAnsi="Times New Roman" w:cs="Times New Roman"/>
          <w:b/>
          <w:bCs/>
          <w:i/>
          <w:iCs/>
          <w:sz w:val="24"/>
          <w:szCs w:val="24"/>
        </w:rPr>
      </w:pPr>
    </w:p>
    <w:p w14:paraId="19496334" w14:textId="0B470105" w:rsidR="007145D5" w:rsidRPr="00A25CCB" w:rsidRDefault="007145D5" w:rsidP="008E7E64">
      <w:pPr>
        <w:pStyle w:val="ListParagraph"/>
        <w:numPr>
          <w:ilvl w:val="0"/>
          <w:numId w:val="7"/>
        </w:numPr>
        <w:spacing w:after="0" w:line="240" w:lineRule="auto"/>
        <w:jc w:val="both"/>
        <w:rPr>
          <w:rFonts w:ascii="Times New Roman" w:hAnsi="Times New Roman" w:cs="Times New Roman"/>
          <w:b/>
          <w:bCs/>
          <w:iCs/>
          <w:sz w:val="24"/>
          <w:szCs w:val="24"/>
          <w:u w:val="single"/>
          <w:lang w:val="en-GB"/>
        </w:rPr>
      </w:pPr>
      <w:r w:rsidRPr="00A25CCB">
        <w:rPr>
          <w:rFonts w:ascii="Times New Roman" w:hAnsi="Times New Roman" w:cs="Times New Roman"/>
          <w:b/>
          <w:bCs/>
          <w:iCs/>
          <w:sz w:val="24"/>
          <w:szCs w:val="24"/>
          <w:u w:val="single"/>
          <w:lang w:val="en-GB"/>
        </w:rPr>
        <w:t xml:space="preserve">Disproportionate legal sanctions leading to cancellation of political parties </w:t>
      </w:r>
    </w:p>
    <w:p w14:paraId="3DFED384" w14:textId="2C93E949" w:rsidR="00D14EF0" w:rsidRPr="005B4C32" w:rsidRDefault="00D14EF0" w:rsidP="008E7E64">
      <w:pPr>
        <w:pStyle w:val="ListParagraph"/>
        <w:spacing w:after="0" w:line="240" w:lineRule="auto"/>
        <w:jc w:val="both"/>
        <w:rPr>
          <w:rFonts w:ascii="Times New Roman" w:hAnsi="Times New Roman" w:cs="Times New Roman"/>
          <w:b/>
          <w:bCs/>
          <w:iCs/>
          <w:sz w:val="24"/>
          <w:szCs w:val="24"/>
          <w:lang w:val="en-GB"/>
        </w:rPr>
      </w:pPr>
    </w:p>
    <w:p w14:paraId="2F6F930A" w14:textId="77777777" w:rsidR="007145D5" w:rsidRPr="007145D5" w:rsidRDefault="007145D5" w:rsidP="008E7E64">
      <w:pPr>
        <w:spacing w:after="0" w:line="240" w:lineRule="auto"/>
        <w:jc w:val="both"/>
        <w:rPr>
          <w:rFonts w:ascii="Times New Roman" w:hAnsi="Times New Roman" w:cs="Times New Roman"/>
          <w:b/>
          <w:bCs/>
          <w:iCs/>
          <w:sz w:val="24"/>
          <w:szCs w:val="24"/>
          <w:lang w:val="en-GB"/>
        </w:rPr>
      </w:pPr>
    </w:p>
    <w:p w14:paraId="6668B59B" w14:textId="3C67CEFC" w:rsidR="007145D5" w:rsidRPr="007145D5" w:rsidRDefault="007145D5" w:rsidP="008E7E64">
      <w:pPr>
        <w:spacing w:after="0" w:line="240" w:lineRule="auto"/>
        <w:jc w:val="both"/>
        <w:rPr>
          <w:rFonts w:ascii="Times New Roman" w:hAnsi="Times New Roman" w:cs="Times New Roman"/>
          <w:sz w:val="24"/>
          <w:szCs w:val="24"/>
          <w:lang w:val="en-GB"/>
        </w:rPr>
      </w:pPr>
      <w:r w:rsidRPr="007145D5">
        <w:rPr>
          <w:rFonts w:ascii="Times New Roman" w:hAnsi="Times New Roman" w:cs="Times New Roman"/>
          <w:sz w:val="24"/>
          <w:szCs w:val="24"/>
          <w:lang w:val="en-GB"/>
        </w:rPr>
        <w:t xml:space="preserve">The Election Law instructs the TSE to </w:t>
      </w:r>
      <w:r w:rsidRPr="35E55BE6">
        <w:rPr>
          <w:rFonts w:ascii="Times New Roman" w:hAnsi="Times New Roman" w:cs="Times New Roman"/>
          <w:b/>
          <w:bCs/>
          <w:i/>
          <w:iCs/>
          <w:sz w:val="24"/>
          <w:szCs w:val="24"/>
          <w:lang w:val="en-GB"/>
        </w:rPr>
        <w:t>sanction political parties who divulge internal opinion polls with immediate cancellation of their status as a legally registered party</w:t>
      </w:r>
      <w:r w:rsidRPr="007145D5">
        <w:rPr>
          <w:rFonts w:ascii="Times New Roman" w:hAnsi="Times New Roman" w:cs="Times New Roman"/>
          <w:sz w:val="24"/>
          <w:szCs w:val="24"/>
          <w:lang w:val="en-GB"/>
        </w:rPr>
        <w:t>, as well as applying a fine.</w:t>
      </w:r>
      <w:r w:rsidRPr="007145D5">
        <w:rPr>
          <w:rFonts w:ascii="Times New Roman" w:hAnsi="Times New Roman" w:cs="Times New Roman"/>
          <w:sz w:val="24"/>
          <w:szCs w:val="24"/>
          <w:vertAlign w:val="superscript"/>
          <w:lang w:val="en-GB"/>
        </w:rPr>
        <w:footnoteReference w:id="3"/>
      </w:r>
      <w:r w:rsidRPr="007145D5">
        <w:rPr>
          <w:rFonts w:ascii="Times New Roman" w:hAnsi="Times New Roman" w:cs="Times New Roman"/>
          <w:sz w:val="24"/>
          <w:szCs w:val="24"/>
          <w:lang w:val="en-GB"/>
        </w:rPr>
        <w:t xml:space="preserve"> The party or coalition thus ceases to </w:t>
      </w:r>
      <w:r w:rsidR="188FE012" w:rsidRPr="007145D5">
        <w:rPr>
          <w:rFonts w:ascii="Times New Roman" w:hAnsi="Times New Roman" w:cs="Times New Roman"/>
          <w:sz w:val="24"/>
          <w:szCs w:val="24"/>
          <w:lang w:val="en-GB"/>
        </w:rPr>
        <w:t>exist,</w:t>
      </w:r>
      <w:r w:rsidRPr="007145D5">
        <w:rPr>
          <w:rFonts w:ascii="Times New Roman" w:hAnsi="Times New Roman" w:cs="Times New Roman"/>
          <w:sz w:val="24"/>
          <w:szCs w:val="24"/>
          <w:lang w:val="en-GB"/>
        </w:rPr>
        <w:t xml:space="preserve"> and </w:t>
      </w:r>
      <w:proofErr w:type="gramStart"/>
      <w:r w:rsidRPr="007145D5">
        <w:rPr>
          <w:rFonts w:ascii="Times New Roman" w:hAnsi="Times New Roman" w:cs="Times New Roman"/>
          <w:sz w:val="24"/>
          <w:szCs w:val="24"/>
          <w:lang w:val="en-GB"/>
        </w:rPr>
        <w:t>all of</w:t>
      </w:r>
      <w:proofErr w:type="gramEnd"/>
      <w:r w:rsidRPr="007145D5">
        <w:rPr>
          <w:rFonts w:ascii="Times New Roman" w:hAnsi="Times New Roman" w:cs="Times New Roman"/>
          <w:sz w:val="24"/>
          <w:szCs w:val="24"/>
          <w:lang w:val="en-GB"/>
        </w:rPr>
        <w:t xml:space="preserve"> its candidates are excluded from the electoral race. It was the view of the EEM that such a radical sanction is disproportionate and contrary to </w:t>
      </w:r>
      <w:proofErr w:type="gramStart"/>
      <w:r w:rsidRPr="007145D5">
        <w:rPr>
          <w:rFonts w:ascii="Times New Roman" w:hAnsi="Times New Roman" w:cs="Times New Roman"/>
          <w:sz w:val="24"/>
          <w:szCs w:val="24"/>
          <w:lang w:val="en-GB"/>
        </w:rPr>
        <w:t>a number of</w:t>
      </w:r>
      <w:proofErr w:type="gramEnd"/>
      <w:r w:rsidRPr="007145D5">
        <w:rPr>
          <w:rFonts w:ascii="Times New Roman" w:hAnsi="Times New Roman" w:cs="Times New Roman"/>
          <w:sz w:val="24"/>
          <w:szCs w:val="24"/>
          <w:lang w:val="en-GB"/>
        </w:rPr>
        <w:t xml:space="preserve"> international standards for democratic elections, namely article 25 of the ICCPR. </w:t>
      </w:r>
    </w:p>
    <w:p w14:paraId="5A0BE661" w14:textId="77777777" w:rsidR="007145D5" w:rsidRPr="007145D5" w:rsidRDefault="007145D5" w:rsidP="008E7E64">
      <w:pPr>
        <w:spacing w:after="0" w:line="240" w:lineRule="auto"/>
        <w:jc w:val="both"/>
        <w:rPr>
          <w:rFonts w:ascii="Times New Roman" w:hAnsi="Times New Roman" w:cs="Times New Roman"/>
          <w:sz w:val="24"/>
          <w:szCs w:val="24"/>
          <w:lang w:val="en-GB"/>
        </w:rPr>
      </w:pPr>
    </w:p>
    <w:p w14:paraId="159206BC" w14:textId="757C6EE3" w:rsidR="007145D5" w:rsidRPr="007145D5" w:rsidRDefault="007145D5" w:rsidP="008E7E64">
      <w:pPr>
        <w:spacing w:after="0" w:line="240" w:lineRule="auto"/>
        <w:jc w:val="both"/>
        <w:rPr>
          <w:rFonts w:ascii="Times New Roman" w:hAnsi="Times New Roman" w:cs="Times New Roman"/>
          <w:sz w:val="24"/>
          <w:szCs w:val="24"/>
          <w:lang w:val="en-GB"/>
        </w:rPr>
      </w:pPr>
      <w:r w:rsidRPr="007145D5">
        <w:rPr>
          <w:rFonts w:ascii="Times New Roman" w:hAnsi="Times New Roman" w:cs="Times New Roman"/>
          <w:sz w:val="24"/>
          <w:szCs w:val="24"/>
          <w:lang w:val="en-GB"/>
        </w:rPr>
        <w:t>In this context, the TSE issued a Resolution</w:t>
      </w:r>
      <w:r w:rsidRPr="007145D5">
        <w:rPr>
          <w:rFonts w:ascii="Times New Roman" w:hAnsi="Times New Roman" w:cs="Times New Roman"/>
          <w:sz w:val="24"/>
          <w:szCs w:val="24"/>
          <w:vertAlign w:val="superscript"/>
          <w:lang w:val="en-GB"/>
        </w:rPr>
        <w:footnoteReference w:id="4"/>
      </w:r>
      <w:r w:rsidRPr="007145D5">
        <w:rPr>
          <w:rFonts w:ascii="Times New Roman" w:hAnsi="Times New Roman" w:cs="Times New Roman"/>
          <w:sz w:val="24"/>
          <w:szCs w:val="24"/>
          <w:lang w:val="en-GB"/>
        </w:rPr>
        <w:t xml:space="preserve"> , in response to the defence document submitted by </w:t>
      </w:r>
      <w:r w:rsidR="00D25C4D">
        <w:rPr>
          <w:rFonts w:ascii="Times New Roman" w:hAnsi="Times New Roman" w:cs="Times New Roman"/>
          <w:sz w:val="24"/>
          <w:szCs w:val="24"/>
          <w:lang w:val="en-GB"/>
        </w:rPr>
        <w:t xml:space="preserve">the Movement towards Socialism </w:t>
      </w:r>
      <w:r w:rsidR="00001F55">
        <w:rPr>
          <w:rFonts w:ascii="Times New Roman" w:hAnsi="Times New Roman" w:cs="Times New Roman"/>
          <w:sz w:val="24"/>
          <w:szCs w:val="24"/>
          <w:lang w:val="en-GB"/>
        </w:rPr>
        <w:t>(</w:t>
      </w:r>
      <w:proofErr w:type="spellStart"/>
      <w:r w:rsidR="00001F55" w:rsidRPr="35E55BE6">
        <w:rPr>
          <w:rFonts w:ascii="Times New Roman" w:hAnsi="Times New Roman" w:cs="Times New Roman"/>
          <w:i/>
          <w:iCs/>
          <w:sz w:val="24"/>
          <w:szCs w:val="24"/>
          <w:lang w:val="en-GB"/>
        </w:rPr>
        <w:t>Movimiento</w:t>
      </w:r>
      <w:proofErr w:type="spellEnd"/>
      <w:r w:rsidR="00001F55" w:rsidRPr="35E55BE6">
        <w:rPr>
          <w:rFonts w:ascii="Times New Roman" w:hAnsi="Times New Roman" w:cs="Times New Roman"/>
          <w:i/>
          <w:iCs/>
          <w:sz w:val="24"/>
          <w:szCs w:val="24"/>
          <w:lang w:val="en-GB"/>
        </w:rPr>
        <w:t xml:space="preserve"> </w:t>
      </w:r>
      <w:r w:rsidR="0025387D" w:rsidRPr="35E55BE6">
        <w:rPr>
          <w:rFonts w:ascii="Times New Roman" w:hAnsi="Times New Roman" w:cs="Times New Roman"/>
          <w:i/>
          <w:iCs/>
          <w:sz w:val="24"/>
          <w:szCs w:val="24"/>
          <w:lang w:val="en-GB"/>
        </w:rPr>
        <w:t>al</w:t>
      </w:r>
      <w:r w:rsidR="00001F55" w:rsidRPr="35E55BE6">
        <w:rPr>
          <w:rFonts w:ascii="Times New Roman" w:hAnsi="Times New Roman" w:cs="Times New Roman"/>
          <w:i/>
          <w:iCs/>
          <w:sz w:val="24"/>
          <w:szCs w:val="24"/>
          <w:lang w:val="en-GB"/>
        </w:rPr>
        <w:t xml:space="preserve"> </w:t>
      </w:r>
      <w:proofErr w:type="spellStart"/>
      <w:r w:rsidR="00001F55" w:rsidRPr="35E55BE6">
        <w:rPr>
          <w:rFonts w:ascii="Times New Roman" w:hAnsi="Times New Roman" w:cs="Times New Roman"/>
          <w:i/>
          <w:iCs/>
          <w:sz w:val="24"/>
          <w:szCs w:val="24"/>
          <w:lang w:val="en-GB"/>
        </w:rPr>
        <w:t>Socialismo</w:t>
      </w:r>
      <w:proofErr w:type="spellEnd"/>
      <w:r w:rsidR="00001F55">
        <w:rPr>
          <w:rFonts w:ascii="Times New Roman" w:hAnsi="Times New Roman" w:cs="Times New Roman"/>
          <w:sz w:val="24"/>
          <w:szCs w:val="24"/>
          <w:lang w:val="en-GB"/>
        </w:rPr>
        <w:t xml:space="preserve"> </w:t>
      </w:r>
      <w:r w:rsidR="0025387D">
        <w:rPr>
          <w:rFonts w:ascii="Times New Roman" w:hAnsi="Times New Roman" w:cs="Times New Roman"/>
          <w:sz w:val="24"/>
          <w:szCs w:val="24"/>
          <w:lang w:val="en-GB"/>
        </w:rPr>
        <w:t xml:space="preserve">– </w:t>
      </w:r>
      <w:r w:rsidRPr="007145D5">
        <w:rPr>
          <w:rFonts w:ascii="Times New Roman" w:hAnsi="Times New Roman" w:cs="Times New Roman"/>
          <w:sz w:val="24"/>
          <w:szCs w:val="24"/>
          <w:lang w:val="en-GB"/>
        </w:rPr>
        <w:t>MAS</w:t>
      </w:r>
      <w:r w:rsidR="0025387D">
        <w:rPr>
          <w:rFonts w:ascii="Times New Roman" w:hAnsi="Times New Roman" w:cs="Times New Roman"/>
          <w:sz w:val="24"/>
          <w:szCs w:val="24"/>
          <w:lang w:val="en-GB"/>
        </w:rPr>
        <w:t>)</w:t>
      </w:r>
      <w:r w:rsidRPr="007145D5">
        <w:rPr>
          <w:rFonts w:ascii="Times New Roman" w:hAnsi="Times New Roman" w:cs="Times New Roman"/>
          <w:sz w:val="24"/>
          <w:szCs w:val="24"/>
          <w:lang w:val="en-GB"/>
        </w:rPr>
        <w:t xml:space="preserve"> alliance concerning 12 of the 26 complaints which called for the cancellation of the party’s legal status following its presidential candidate’s revelation of an internal opinion poll during a television interview.</w:t>
      </w:r>
      <w:r w:rsidRPr="007145D5">
        <w:rPr>
          <w:rFonts w:ascii="Times New Roman" w:hAnsi="Times New Roman" w:cs="Times New Roman"/>
          <w:sz w:val="24"/>
          <w:szCs w:val="24"/>
          <w:vertAlign w:val="superscript"/>
          <w:lang w:val="en-GB"/>
        </w:rPr>
        <w:footnoteReference w:id="5"/>
      </w:r>
      <w:r w:rsidRPr="007145D5">
        <w:rPr>
          <w:rFonts w:ascii="Times New Roman" w:hAnsi="Times New Roman" w:cs="Times New Roman"/>
          <w:sz w:val="24"/>
          <w:szCs w:val="24"/>
          <w:lang w:val="en-GB"/>
        </w:rPr>
        <w:t xml:space="preserve"> In its resolution, the TSE recognised that the draconian sanction provoked grave doubts as to its constitutionality. The TSE thus determined to refer these doubts to the Constitutional Court (</w:t>
      </w:r>
      <w:r w:rsidRPr="35E55BE6">
        <w:rPr>
          <w:rFonts w:ascii="Times New Roman" w:hAnsi="Times New Roman" w:cs="Times New Roman"/>
          <w:i/>
          <w:iCs/>
          <w:sz w:val="24"/>
          <w:szCs w:val="24"/>
          <w:lang w:val="en-GB"/>
        </w:rPr>
        <w:t xml:space="preserve">Tribunal </w:t>
      </w:r>
      <w:proofErr w:type="spellStart"/>
      <w:r w:rsidRPr="35E55BE6">
        <w:rPr>
          <w:rFonts w:ascii="Times New Roman" w:hAnsi="Times New Roman" w:cs="Times New Roman"/>
          <w:i/>
          <w:iCs/>
          <w:sz w:val="24"/>
          <w:szCs w:val="24"/>
          <w:lang w:val="en-GB"/>
        </w:rPr>
        <w:t>Constitucional</w:t>
      </w:r>
      <w:proofErr w:type="spellEnd"/>
      <w:r w:rsidRPr="35E55BE6">
        <w:rPr>
          <w:rFonts w:ascii="Times New Roman" w:hAnsi="Times New Roman" w:cs="Times New Roman"/>
          <w:i/>
          <w:iCs/>
          <w:sz w:val="24"/>
          <w:szCs w:val="24"/>
          <w:lang w:val="en-GB"/>
        </w:rPr>
        <w:t xml:space="preserve"> </w:t>
      </w:r>
      <w:proofErr w:type="spellStart"/>
      <w:r w:rsidRPr="35E55BE6">
        <w:rPr>
          <w:rFonts w:ascii="Times New Roman" w:hAnsi="Times New Roman" w:cs="Times New Roman"/>
          <w:i/>
          <w:iCs/>
          <w:sz w:val="24"/>
          <w:szCs w:val="24"/>
          <w:lang w:val="en-GB"/>
        </w:rPr>
        <w:t>Plurinacional</w:t>
      </w:r>
      <w:proofErr w:type="spellEnd"/>
      <w:r w:rsidRPr="007145D5">
        <w:rPr>
          <w:rFonts w:ascii="Times New Roman" w:hAnsi="Times New Roman" w:cs="Times New Roman"/>
          <w:sz w:val="24"/>
          <w:szCs w:val="24"/>
          <w:lang w:val="en-GB"/>
        </w:rPr>
        <w:t>)</w:t>
      </w:r>
      <w:r w:rsidRPr="007145D5">
        <w:rPr>
          <w:rFonts w:ascii="Times New Roman" w:hAnsi="Times New Roman" w:cs="Times New Roman"/>
          <w:sz w:val="24"/>
          <w:szCs w:val="24"/>
          <w:vertAlign w:val="superscript"/>
          <w:lang w:val="en-GB"/>
        </w:rPr>
        <w:footnoteReference w:id="6"/>
      </w:r>
      <w:r w:rsidRPr="007145D5">
        <w:rPr>
          <w:rFonts w:ascii="Times New Roman" w:hAnsi="Times New Roman" w:cs="Times New Roman"/>
          <w:sz w:val="24"/>
          <w:szCs w:val="24"/>
          <w:lang w:val="en-GB"/>
        </w:rPr>
        <w:t xml:space="preserve"> before determining either the 26 complaints made against MAS, or the complaints received on the same grounds (revealing internal polls) against other political organisations (</w:t>
      </w:r>
      <w:proofErr w:type="spellStart"/>
      <w:r w:rsidRPr="35E55BE6">
        <w:rPr>
          <w:rFonts w:ascii="Times New Roman" w:hAnsi="Times New Roman" w:cs="Times New Roman"/>
          <w:i/>
          <w:iCs/>
          <w:sz w:val="24"/>
          <w:szCs w:val="24"/>
          <w:lang w:val="en-GB"/>
        </w:rPr>
        <w:t>Creemos</w:t>
      </w:r>
      <w:proofErr w:type="spellEnd"/>
      <w:r w:rsidRPr="35E55BE6">
        <w:rPr>
          <w:rFonts w:ascii="Times New Roman" w:hAnsi="Times New Roman" w:cs="Times New Roman"/>
          <w:i/>
          <w:iCs/>
          <w:sz w:val="24"/>
          <w:szCs w:val="24"/>
          <w:lang w:val="en-GB"/>
        </w:rPr>
        <w:t xml:space="preserve">, </w:t>
      </w:r>
      <w:proofErr w:type="spellStart"/>
      <w:r w:rsidRPr="35E55BE6">
        <w:rPr>
          <w:rFonts w:ascii="Times New Roman" w:hAnsi="Times New Roman" w:cs="Times New Roman"/>
          <w:i/>
          <w:iCs/>
          <w:sz w:val="24"/>
          <w:szCs w:val="24"/>
          <w:lang w:val="en-GB"/>
        </w:rPr>
        <w:t>Juntos</w:t>
      </w:r>
      <w:proofErr w:type="spellEnd"/>
      <w:r w:rsidRPr="007145D5">
        <w:rPr>
          <w:rFonts w:ascii="Times New Roman" w:hAnsi="Times New Roman" w:cs="Times New Roman"/>
          <w:sz w:val="24"/>
          <w:szCs w:val="24"/>
          <w:lang w:val="en-GB"/>
        </w:rPr>
        <w:t xml:space="preserve"> and </w:t>
      </w:r>
      <w:r w:rsidRPr="35E55BE6">
        <w:rPr>
          <w:rFonts w:ascii="Times New Roman" w:hAnsi="Times New Roman" w:cs="Times New Roman"/>
          <w:i/>
          <w:iCs/>
          <w:sz w:val="24"/>
          <w:szCs w:val="24"/>
          <w:lang w:val="en-GB"/>
        </w:rPr>
        <w:t>CC</w:t>
      </w:r>
      <w:r w:rsidRPr="007145D5">
        <w:rPr>
          <w:rFonts w:ascii="Times New Roman" w:hAnsi="Times New Roman" w:cs="Times New Roman"/>
          <w:sz w:val="24"/>
          <w:szCs w:val="24"/>
          <w:lang w:val="en-GB"/>
        </w:rPr>
        <w:t xml:space="preserve">). </w:t>
      </w:r>
    </w:p>
    <w:p w14:paraId="1E191891" w14:textId="77777777" w:rsidR="007145D5" w:rsidRPr="007145D5" w:rsidRDefault="007145D5" w:rsidP="008E7E64">
      <w:pPr>
        <w:spacing w:after="0" w:line="240" w:lineRule="auto"/>
        <w:jc w:val="both"/>
        <w:rPr>
          <w:rFonts w:ascii="Times New Roman" w:hAnsi="Times New Roman" w:cs="Times New Roman"/>
          <w:sz w:val="24"/>
          <w:szCs w:val="24"/>
          <w:lang w:val="en-GB"/>
        </w:rPr>
      </w:pPr>
    </w:p>
    <w:p w14:paraId="43D023FB" w14:textId="547CC81C" w:rsidR="007145D5" w:rsidRPr="007145D5" w:rsidRDefault="007145D5" w:rsidP="008E7E64">
      <w:pPr>
        <w:spacing w:after="0" w:line="240" w:lineRule="auto"/>
        <w:jc w:val="both"/>
        <w:rPr>
          <w:rFonts w:ascii="Times New Roman" w:hAnsi="Times New Roman" w:cs="Times New Roman"/>
          <w:sz w:val="24"/>
          <w:szCs w:val="24"/>
          <w:lang w:val="en-GB"/>
        </w:rPr>
      </w:pPr>
      <w:proofErr w:type="gramStart"/>
      <w:r w:rsidRPr="007145D5">
        <w:rPr>
          <w:rFonts w:ascii="Times New Roman" w:hAnsi="Times New Roman" w:cs="Times New Roman"/>
          <w:sz w:val="24"/>
          <w:szCs w:val="24"/>
          <w:lang w:val="en-GB"/>
        </w:rPr>
        <w:t>It is clear that the</w:t>
      </w:r>
      <w:proofErr w:type="gramEnd"/>
      <w:r w:rsidRPr="007145D5">
        <w:rPr>
          <w:rFonts w:ascii="Times New Roman" w:hAnsi="Times New Roman" w:cs="Times New Roman"/>
          <w:sz w:val="24"/>
          <w:szCs w:val="24"/>
          <w:lang w:val="en-GB"/>
        </w:rPr>
        <w:t xml:space="preserve"> sanction, applied to MAS or any other relevant party, would have </w:t>
      </w:r>
      <w:r w:rsidR="132337A0" w:rsidRPr="007145D5">
        <w:rPr>
          <w:rFonts w:ascii="Times New Roman" w:hAnsi="Times New Roman" w:cs="Times New Roman"/>
          <w:sz w:val="24"/>
          <w:szCs w:val="24"/>
          <w:lang w:val="en-GB"/>
        </w:rPr>
        <w:t>been detrimental</w:t>
      </w:r>
      <w:r w:rsidRPr="007145D5">
        <w:rPr>
          <w:rFonts w:ascii="Times New Roman" w:hAnsi="Times New Roman" w:cs="Times New Roman"/>
          <w:sz w:val="24"/>
          <w:szCs w:val="24"/>
          <w:lang w:val="en-GB"/>
        </w:rPr>
        <w:t xml:space="preserve"> </w:t>
      </w:r>
      <w:r w:rsidR="132337A0" w:rsidRPr="007145D5">
        <w:rPr>
          <w:rFonts w:ascii="Times New Roman" w:hAnsi="Times New Roman" w:cs="Times New Roman"/>
          <w:sz w:val="24"/>
          <w:szCs w:val="24"/>
          <w:lang w:val="en-GB"/>
        </w:rPr>
        <w:t xml:space="preserve">to the election process and further deteriorated </w:t>
      </w:r>
      <w:r w:rsidRPr="007145D5">
        <w:rPr>
          <w:rFonts w:ascii="Times New Roman" w:hAnsi="Times New Roman" w:cs="Times New Roman"/>
          <w:sz w:val="24"/>
          <w:szCs w:val="24"/>
          <w:lang w:val="en-GB"/>
        </w:rPr>
        <w:t xml:space="preserve">the already tense and polarised country. At the same time, the law which provides for this sanction was promoted and approved by the </w:t>
      </w:r>
      <w:r w:rsidRPr="007145D5">
        <w:rPr>
          <w:rFonts w:ascii="Times New Roman" w:hAnsi="Times New Roman" w:cs="Times New Roman"/>
          <w:sz w:val="24"/>
          <w:szCs w:val="24"/>
          <w:lang w:val="en-GB"/>
        </w:rPr>
        <w:lastRenderedPageBreak/>
        <w:t>MAS government and legislators in 2010. In addition, it was applied during the 2015 regional elections in Beni, against a party which at the time was running against MAS.</w:t>
      </w:r>
      <w:r w:rsidRPr="007145D5">
        <w:rPr>
          <w:rFonts w:ascii="Times New Roman" w:hAnsi="Times New Roman" w:cs="Times New Roman"/>
          <w:sz w:val="24"/>
          <w:szCs w:val="24"/>
          <w:vertAlign w:val="superscript"/>
          <w:lang w:val="en-GB"/>
        </w:rPr>
        <w:footnoteReference w:id="7"/>
      </w:r>
    </w:p>
    <w:p w14:paraId="23011B98" w14:textId="77777777" w:rsidR="007145D5" w:rsidRPr="007145D5" w:rsidRDefault="007145D5" w:rsidP="008E7E64">
      <w:pPr>
        <w:spacing w:after="0" w:line="240" w:lineRule="auto"/>
        <w:jc w:val="both"/>
        <w:rPr>
          <w:rFonts w:ascii="Times New Roman" w:hAnsi="Times New Roman" w:cs="Times New Roman"/>
          <w:sz w:val="24"/>
          <w:szCs w:val="24"/>
          <w:lang w:val="en-GB"/>
        </w:rPr>
      </w:pPr>
    </w:p>
    <w:p w14:paraId="7C8C4DAA" w14:textId="77777777" w:rsidR="007145D5" w:rsidRPr="007145D5" w:rsidRDefault="007145D5" w:rsidP="008E7E64">
      <w:pPr>
        <w:spacing w:after="0" w:line="240" w:lineRule="auto"/>
        <w:jc w:val="both"/>
        <w:rPr>
          <w:rFonts w:ascii="Times New Roman" w:hAnsi="Times New Roman" w:cs="Times New Roman"/>
          <w:sz w:val="24"/>
          <w:szCs w:val="24"/>
          <w:lang w:val="en-GB"/>
        </w:rPr>
      </w:pPr>
      <w:r w:rsidRPr="007145D5">
        <w:rPr>
          <w:rFonts w:ascii="Times New Roman" w:hAnsi="Times New Roman" w:cs="Times New Roman"/>
          <w:sz w:val="24"/>
          <w:szCs w:val="24"/>
          <w:lang w:val="en-GB"/>
        </w:rPr>
        <w:t>The TSE questions the constitutionality of Article 136.III of the Election Law principally because, in its view, it jeopardises the rights to active and passive suffrage, and the right to political participation.</w:t>
      </w:r>
      <w:r w:rsidRPr="007145D5">
        <w:rPr>
          <w:rFonts w:ascii="Times New Roman" w:hAnsi="Times New Roman" w:cs="Times New Roman"/>
          <w:sz w:val="24"/>
          <w:szCs w:val="24"/>
          <w:vertAlign w:val="superscript"/>
          <w:lang w:val="en-GB"/>
        </w:rPr>
        <w:footnoteReference w:id="8"/>
      </w:r>
      <w:r w:rsidRPr="007145D5">
        <w:rPr>
          <w:rFonts w:ascii="Times New Roman" w:hAnsi="Times New Roman" w:cs="Times New Roman"/>
          <w:sz w:val="24"/>
          <w:szCs w:val="24"/>
          <w:lang w:val="en-GB"/>
        </w:rPr>
        <w:t xml:space="preserve"> In line with article 25 of the ICCPR, the TSE reasons that although these rights may, like all others, be subject to certain limits through sanctions established by law, these must be reasonable and proportionate to the gravity of the sanctioned behaviours, which is not the case in Article 136.III of the Election Law.</w:t>
      </w:r>
      <w:r w:rsidRPr="007145D5">
        <w:rPr>
          <w:rFonts w:ascii="Times New Roman" w:hAnsi="Times New Roman" w:cs="Times New Roman"/>
          <w:sz w:val="24"/>
          <w:szCs w:val="24"/>
          <w:vertAlign w:val="superscript"/>
          <w:lang w:val="en-GB"/>
        </w:rPr>
        <w:footnoteReference w:id="9"/>
      </w:r>
      <w:r w:rsidRPr="007145D5">
        <w:rPr>
          <w:rFonts w:ascii="Times New Roman" w:hAnsi="Times New Roman" w:cs="Times New Roman"/>
          <w:sz w:val="24"/>
          <w:szCs w:val="24"/>
          <w:lang w:val="en-GB"/>
        </w:rPr>
        <w:t xml:space="preserve"> </w:t>
      </w:r>
    </w:p>
    <w:p w14:paraId="2D8C5C7C" w14:textId="77777777" w:rsidR="007145D5" w:rsidRPr="007145D5" w:rsidRDefault="007145D5" w:rsidP="008E7E64">
      <w:pPr>
        <w:spacing w:after="0" w:line="240" w:lineRule="auto"/>
        <w:jc w:val="both"/>
        <w:rPr>
          <w:rFonts w:ascii="Times New Roman" w:hAnsi="Times New Roman" w:cs="Times New Roman"/>
          <w:b/>
          <w:bCs/>
          <w:iCs/>
          <w:sz w:val="24"/>
          <w:szCs w:val="24"/>
          <w:lang w:val="en-GB"/>
        </w:rPr>
      </w:pPr>
    </w:p>
    <w:p w14:paraId="7CC4BFE9" w14:textId="6A612FF4" w:rsidR="007145D5" w:rsidRPr="007145D5" w:rsidRDefault="35E55BE6" w:rsidP="008E7E64">
      <w:pPr>
        <w:spacing w:after="0" w:line="240" w:lineRule="auto"/>
        <w:jc w:val="both"/>
        <w:rPr>
          <w:rFonts w:ascii="Times New Roman" w:hAnsi="Times New Roman" w:cs="Times New Roman"/>
          <w:sz w:val="24"/>
          <w:szCs w:val="24"/>
          <w:lang w:val="en-GB"/>
        </w:rPr>
      </w:pPr>
      <w:r w:rsidRPr="35E55BE6">
        <w:rPr>
          <w:rFonts w:ascii="Times New Roman" w:hAnsi="Times New Roman" w:cs="Times New Roman"/>
          <w:sz w:val="24"/>
          <w:szCs w:val="24"/>
          <w:lang w:val="en-GB"/>
        </w:rPr>
        <w:t>In the same vein, Article 58.1 (j) of the Law on Political Organisations (LOP, Law 1096 of 1 September 2018) establishes that ‘</w:t>
      </w:r>
      <w:r w:rsidRPr="35E55BE6">
        <w:rPr>
          <w:rFonts w:ascii="Times New Roman" w:hAnsi="Times New Roman" w:cs="Times New Roman"/>
          <w:b/>
          <w:bCs/>
          <w:i/>
          <w:iCs/>
          <w:sz w:val="24"/>
          <w:szCs w:val="24"/>
          <w:lang w:val="en-GB"/>
        </w:rPr>
        <w:t xml:space="preserve">the TSE will cancel the legal status of political parties and associations </w:t>
      </w:r>
      <w:r w:rsidRPr="35E55BE6">
        <w:rPr>
          <w:rFonts w:ascii="Times New Roman" w:hAnsi="Times New Roman" w:cs="Times New Roman"/>
          <w:b/>
          <w:bCs/>
          <w:sz w:val="24"/>
          <w:szCs w:val="24"/>
          <w:lang w:val="en-GB"/>
        </w:rPr>
        <w:t xml:space="preserve">upon verified violations of the restrictions established by this Law concerning private and public financing and financial reporting mechanisms.’ </w:t>
      </w:r>
      <w:r w:rsidRPr="35E55BE6">
        <w:rPr>
          <w:rFonts w:ascii="Times New Roman" w:hAnsi="Times New Roman" w:cs="Times New Roman"/>
          <w:sz w:val="24"/>
          <w:szCs w:val="24"/>
          <w:lang w:val="en-GB"/>
        </w:rPr>
        <w:t xml:space="preserve">It should be noted that the application of this extreme sanction is not applied only after several repeated violations, as are other sanctions in the same article of the law. There is no mention, either, of the gravity of the violation required to merit having the party’s legal status cancelled. Finally, unlike the other violations sanctioned by cancellation of legal status established in the same article of the law, in this case the TSE </w:t>
      </w:r>
      <w:r w:rsidR="4D5E4B01" w:rsidRPr="57930126">
        <w:rPr>
          <w:rFonts w:ascii="Times New Roman" w:hAnsi="Times New Roman" w:cs="Times New Roman"/>
          <w:sz w:val="24"/>
          <w:szCs w:val="24"/>
          <w:lang w:val="en-GB"/>
        </w:rPr>
        <w:t xml:space="preserve">has no </w:t>
      </w:r>
      <w:r w:rsidR="4D5E4B01" w:rsidRPr="7AE5172D">
        <w:rPr>
          <w:rFonts w:ascii="Times New Roman" w:hAnsi="Times New Roman" w:cs="Times New Roman"/>
          <w:sz w:val="24"/>
          <w:szCs w:val="24"/>
          <w:lang w:val="en-GB"/>
        </w:rPr>
        <w:t xml:space="preserve">discretion to </w:t>
      </w:r>
      <w:r w:rsidRPr="57930126">
        <w:rPr>
          <w:rFonts w:ascii="Times New Roman" w:hAnsi="Times New Roman" w:cs="Times New Roman"/>
          <w:sz w:val="24"/>
          <w:szCs w:val="24"/>
          <w:lang w:val="en-GB"/>
        </w:rPr>
        <w:t xml:space="preserve"> </w:t>
      </w:r>
      <w:r w:rsidRPr="35E55BE6">
        <w:rPr>
          <w:rFonts w:ascii="Times New Roman" w:hAnsi="Times New Roman" w:cs="Times New Roman"/>
          <w:sz w:val="24"/>
          <w:szCs w:val="24"/>
          <w:lang w:val="en-GB"/>
        </w:rPr>
        <w:t xml:space="preserve"> establish a scale of the seriousness of possible violations, </w:t>
      </w:r>
      <w:r w:rsidR="7136F7A0" w:rsidRPr="65F6BCE3">
        <w:rPr>
          <w:rFonts w:ascii="Times New Roman" w:hAnsi="Times New Roman" w:cs="Times New Roman"/>
          <w:sz w:val="24"/>
          <w:szCs w:val="24"/>
          <w:lang w:val="en-GB"/>
        </w:rPr>
        <w:t>even though</w:t>
      </w:r>
      <w:r w:rsidRPr="35E55BE6">
        <w:rPr>
          <w:rFonts w:ascii="Times New Roman" w:hAnsi="Times New Roman" w:cs="Times New Roman"/>
          <w:sz w:val="24"/>
          <w:szCs w:val="24"/>
          <w:lang w:val="en-GB"/>
        </w:rPr>
        <w:t xml:space="preserve"> it does have that power in con</w:t>
      </w:r>
      <w:r w:rsidRPr="35E55BE6">
        <w:rPr>
          <w:rFonts w:ascii="Times New Roman" w:hAnsi="Times New Roman" w:cs="Times New Roman"/>
          <w:sz w:val="24"/>
          <w:szCs w:val="24"/>
          <w:lang w:val="en-GB"/>
        </w:rPr>
        <w:t>nection to other viol</w:t>
      </w:r>
      <w:r w:rsidRPr="35E55BE6">
        <w:rPr>
          <w:rFonts w:ascii="Times New Roman" w:hAnsi="Times New Roman" w:cs="Times New Roman"/>
          <w:sz w:val="24"/>
          <w:szCs w:val="24"/>
          <w:lang w:val="en-GB"/>
        </w:rPr>
        <w:t xml:space="preserve">ations established in the same article. Because of its excessively broad definition of the violations and the gravity of the corresponding sanction, Article 58.1(j) represents a threat to political parties </w:t>
      </w:r>
      <w:r w:rsidR="1AD0C067" w:rsidRPr="23031674">
        <w:rPr>
          <w:rFonts w:ascii="Times New Roman" w:hAnsi="Times New Roman" w:cs="Times New Roman"/>
          <w:sz w:val="24"/>
          <w:szCs w:val="24"/>
          <w:lang w:val="en-GB"/>
        </w:rPr>
        <w:t xml:space="preserve">and </w:t>
      </w:r>
      <w:r w:rsidR="1AD0C067" w:rsidRPr="2D595C36">
        <w:rPr>
          <w:rFonts w:ascii="Times New Roman" w:hAnsi="Times New Roman" w:cs="Times New Roman"/>
          <w:sz w:val="24"/>
          <w:szCs w:val="24"/>
          <w:lang w:val="en-GB"/>
        </w:rPr>
        <w:t xml:space="preserve">freedom of </w:t>
      </w:r>
      <w:r w:rsidR="1AD0C067" w:rsidRPr="3BB9EFCA">
        <w:rPr>
          <w:rFonts w:ascii="Times New Roman" w:hAnsi="Times New Roman" w:cs="Times New Roman"/>
          <w:sz w:val="24"/>
          <w:szCs w:val="24"/>
          <w:lang w:val="en-GB"/>
        </w:rPr>
        <w:t xml:space="preserve">association. </w:t>
      </w:r>
      <w:r w:rsidRPr="35E55BE6">
        <w:rPr>
          <w:rFonts w:ascii="Times New Roman" w:hAnsi="Times New Roman" w:cs="Times New Roman"/>
          <w:sz w:val="24"/>
          <w:szCs w:val="24"/>
          <w:lang w:val="en-GB"/>
        </w:rPr>
        <w:t xml:space="preserve"> As such, it is no small detail that on 3rd September, the </w:t>
      </w:r>
      <w:proofErr w:type="spellStart"/>
      <w:r w:rsidRPr="35E55BE6">
        <w:rPr>
          <w:rFonts w:ascii="Times New Roman" w:hAnsi="Times New Roman" w:cs="Times New Roman"/>
          <w:i/>
          <w:iCs/>
          <w:sz w:val="24"/>
          <w:szCs w:val="24"/>
          <w:lang w:val="en-GB"/>
        </w:rPr>
        <w:t>Creemos</w:t>
      </w:r>
      <w:proofErr w:type="spellEnd"/>
      <w:r w:rsidRPr="35E55BE6">
        <w:rPr>
          <w:rFonts w:ascii="Times New Roman" w:hAnsi="Times New Roman" w:cs="Times New Roman"/>
          <w:sz w:val="24"/>
          <w:szCs w:val="24"/>
          <w:lang w:val="en-GB"/>
        </w:rPr>
        <w:t xml:space="preserve"> alliance presented a complaint against the MAS alliance on these grounds, calling for the cancellation of its legal status and, consequently, the cancellation of all of MAS’ candidacies.</w:t>
      </w:r>
    </w:p>
    <w:p w14:paraId="460F7B44" w14:textId="6A115ACE" w:rsidR="35E55BE6" w:rsidRDefault="35E55BE6" w:rsidP="008E7E64">
      <w:pPr>
        <w:spacing w:after="0" w:line="240" w:lineRule="auto"/>
        <w:jc w:val="both"/>
        <w:rPr>
          <w:rFonts w:ascii="Times New Roman" w:hAnsi="Times New Roman" w:cs="Times New Roman"/>
          <w:sz w:val="24"/>
          <w:szCs w:val="24"/>
          <w:lang w:val="en-GB"/>
        </w:rPr>
      </w:pPr>
    </w:p>
    <w:p w14:paraId="69681AFE" w14:textId="5EAA5FA5" w:rsidR="35E55BE6" w:rsidRDefault="35E55BE6" w:rsidP="008E7E64">
      <w:pPr>
        <w:spacing w:after="0" w:line="240" w:lineRule="auto"/>
        <w:jc w:val="both"/>
        <w:rPr>
          <w:rFonts w:ascii="Times New Roman" w:hAnsi="Times New Roman" w:cs="Times New Roman"/>
          <w:b/>
          <w:bCs/>
          <w:sz w:val="24"/>
          <w:szCs w:val="24"/>
        </w:rPr>
      </w:pPr>
      <w:r w:rsidRPr="35E55BE6">
        <w:rPr>
          <w:rFonts w:ascii="Times New Roman" w:hAnsi="Times New Roman" w:cs="Times New Roman"/>
          <w:b/>
          <w:bCs/>
          <w:sz w:val="24"/>
          <w:szCs w:val="24"/>
        </w:rPr>
        <w:t xml:space="preserve">Recommendations </w:t>
      </w:r>
    </w:p>
    <w:p w14:paraId="4B8E623B" w14:textId="77777777" w:rsidR="35E55BE6" w:rsidRDefault="35E55BE6" w:rsidP="008E7E64">
      <w:pPr>
        <w:spacing w:after="0" w:line="240" w:lineRule="auto"/>
        <w:jc w:val="both"/>
        <w:rPr>
          <w:rFonts w:ascii="Times New Roman" w:hAnsi="Times New Roman" w:cs="Times New Roman"/>
          <w:sz w:val="24"/>
          <w:szCs w:val="24"/>
        </w:rPr>
      </w:pPr>
    </w:p>
    <w:p w14:paraId="2175CDB8" w14:textId="7E9C1163" w:rsidR="35E55BE6" w:rsidRDefault="35E55BE6" w:rsidP="008E7E64">
      <w:pPr>
        <w:spacing w:after="0" w:line="240" w:lineRule="auto"/>
        <w:jc w:val="both"/>
        <w:rPr>
          <w:rFonts w:ascii="Times New Roman" w:hAnsi="Times New Roman" w:cs="Times New Roman"/>
          <w:sz w:val="24"/>
          <w:szCs w:val="24"/>
        </w:rPr>
      </w:pPr>
      <w:r w:rsidRPr="35E55BE6">
        <w:rPr>
          <w:rFonts w:ascii="Times New Roman" w:hAnsi="Times New Roman" w:cs="Times New Roman"/>
          <w:i/>
          <w:iCs/>
          <w:sz w:val="24"/>
          <w:szCs w:val="24"/>
        </w:rPr>
        <w:t>Limitations on the right to stand</w:t>
      </w:r>
      <w:r w:rsidRPr="35E55BE6">
        <w:rPr>
          <w:rFonts w:ascii="Times New Roman" w:hAnsi="Times New Roman" w:cs="Times New Roman"/>
          <w:sz w:val="24"/>
          <w:szCs w:val="24"/>
        </w:rPr>
        <w:t xml:space="preserve">. The Carter Center considers that priority should be given to replacing the sanction of cancellation of a political party’s legal status, currently provided-for by articles 136.III of the Electoral Law and 58.1(k) of the law on political parties, with other sanctions, more proportionate to the sanctioned offenses, and which do not jeopardize political pluralism.  </w:t>
      </w:r>
    </w:p>
    <w:p w14:paraId="27985638" w14:textId="77777777" w:rsidR="009B10C1" w:rsidRPr="002B5B1E" w:rsidRDefault="009B10C1" w:rsidP="008E7E64">
      <w:pPr>
        <w:spacing w:after="0" w:line="240" w:lineRule="auto"/>
        <w:jc w:val="both"/>
        <w:rPr>
          <w:rFonts w:ascii="Times New Roman" w:hAnsi="Times New Roman" w:cs="Times New Roman"/>
          <w:b/>
          <w:bCs/>
          <w:iCs/>
          <w:sz w:val="24"/>
          <w:szCs w:val="24"/>
          <w:lang w:val="en-GB"/>
        </w:rPr>
      </w:pPr>
    </w:p>
    <w:p w14:paraId="75A12E67" w14:textId="77777777" w:rsidR="00806CFC" w:rsidRPr="00A25CCB" w:rsidRDefault="00806CFC" w:rsidP="008E7E64">
      <w:pPr>
        <w:pStyle w:val="ListParagraph"/>
        <w:numPr>
          <w:ilvl w:val="0"/>
          <w:numId w:val="7"/>
        </w:numPr>
        <w:spacing w:after="0" w:line="240" w:lineRule="auto"/>
        <w:jc w:val="both"/>
        <w:rPr>
          <w:rFonts w:ascii="Times New Roman" w:hAnsi="Times New Roman" w:cs="Times New Roman"/>
          <w:b/>
          <w:sz w:val="24"/>
          <w:szCs w:val="24"/>
          <w:u w:val="single"/>
        </w:rPr>
      </w:pPr>
      <w:r w:rsidRPr="00A25CCB">
        <w:rPr>
          <w:rFonts w:ascii="Times New Roman" w:hAnsi="Times New Roman" w:cs="Times New Roman"/>
          <w:b/>
          <w:sz w:val="24"/>
          <w:szCs w:val="24"/>
          <w:u w:val="single"/>
        </w:rPr>
        <w:t>Sound framework for election observation given transparent TSE, though legislation unreasonably limits EOM quick counts</w:t>
      </w:r>
    </w:p>
    <w:p w14:paraId="437E095F" w14:textId="77777777" w:rsidR="00806CFC" w:rsidRPr="00806CFC" w:rsidRDefault="00806CFC" w:rsidP="008E7E64">
      <w:pPr>
        <w:spacing w:after="0" w:line="240" w:lineRule="auto"/>
        <w:jc w:val="both"/>
        <w:rPr>
          <w:rFonts w:ascii="Times New Roman" w:hAnsi="Times New Roman" w:cs="Times New Roman"/>
          <w:b/>
          <w:sz w:val="24"/>
          <w:szCs w:val="24"/>
        </w:rPr>
      </w:pPr>
    </w:p>
    <w:p w14:paraId="553A6757" w14:textId="2AC431E0" w:rsidR="00806CFC" w:rsidRPr="00806CFC" w:rsidRDefault="00806CFC" w:rsidP="008E7E64">
      <w:pPr>
        <w:spacing w:after="0" w:line="240" w:lineRule="auto"/>
        <w:jc w:val="both"/>
        <w:rPr>
          <w:rFonts w:ascii="Times New Roman" w:hAnsi="Times New Roman" w:cs="Times New Roman"/>
          <w:bCs/>
          <w:sz w:val="24"/>
          <w:szCs w:val="24"/>
        </w:rPr>
      </w:pPr>
      <w:r w:rsidRPr="35E55BE6">
        <w:rPr>
          <w:rFonts w:ascii="Times New Roman" w:hAnsi="Times New Roman" w:cs="Times New Roman"/>
          <w:sz w:val="24"/>
          <w:szCs w:val="24"/>
        </w:rPr>
        <w:t xml:space="preserve">Overall, the Bolivian legal framework adequately provides for the rights and responsibilities of national and international election observation activities and recognizes their role in contributing </w:t>
      </w:r>
      <w:r w:rsidRPr="35E55BE6">
        <w:rPr>
          <w:rFonts w:ascii="Times New Roman" w:hAnsi="Times New Roman" w:cs="Times New Roman"/>
          <w:sz w:val="24"/>
          <w:szCs w:val="24"/>
        </w:rPr>
        <w:lastRenderedPageBreak/>
        <w:t>to the transparency of the electoral process.</w:t>
      </w:r>
      <w:r w:rsidRPr="35E55BE6">
        <w:rPr>
          <w:rFonts w:ascii="Times New Roman" w:hAnsi="Times New Roman" w:cs="Times New Roman"/>
          <w:sz w:val="24"/>
          <w:szCs w:val="24"/>
          <w:vertAlign w:val="superscript"/>
        </w:rPr>
        <w:footnoteReference w:id="10"/>
      </w:r>
      <w:r w:rsidRPr="35E55BE6">
        <w:rPr>
          <w:rFonts w:ascii="Times New Roman" w:hAnsi="Times New Roman" w:cs="Times New Roman"/>
          <w:sz w:val="24"/>
          <w:szCs w:val="24"/>
        </w:rPr>
        <w:t xml:space="preserve"> The law requires election observation missions (EOMs) to be impartial, objective, independent and to not obstruct the process. International missions in particular are called on to refrain from interference.</w:t>
      </w:r>
      <w:r w:rsidRPr="35E55BE6">
        <w:rPr>
          <w:rFonts w:ascii="Times New Roman" w:hAnsi="Times New Roman" w:cs="Times New Roman"/>
          <w:sz w:val="24"/>
          <w:szCs w:val="24"/>
          <w:vertAlign w:val="superscript"/>
        </w:rPr>
        <w:footnoteReference w:id="11"/>
      </w:r>
      <w:r w:rsidRPr="35E55BE6">
        <w:rPr>
          <w:rFonts w:ascii="Times New Roman" w:hAnsi="Times New Roman" w:cs="Times New Roman"/>
          <w:sz w:val="24"/>
          <w:szCs w:val="24"/>
        </w:rPr>
        <w:t xml:space="preserve"> For its part, the </w:t>
      </w:r>
      <w:r w:rsidR="00E33F66" w:rsidRPr="35E55BE6">
        <w:rPr>
          <w:rFonts w:ascii="Times New Roman" w:hAnsi="Times New Roman" w:cs="Times New Roman"/>
          <w:sz w:val="24"/>
          <w:szCs w:val="24"/>
        </w:rPr>
        <w:t>Pluri</w:t>
      </w:r>
      <w:r w:rsidR="006C69FD" w:rsidRPr="35E55BE6">
        <w:rPr>
          <w:rFonts w:ascii="Times New Roman" w:hAnsi="Times New Roman" w:cs="Times New Roman"/>
          <w:sz w:val="24"/>
          <w:szCs w:val="24"/>
        </w:rPr>
        <w:t>-national Electoral Body (</w:t>
      </w:r>
      <w:proofErr w:type="spellStart"/>
      <w:r w:rsidRPr="35E55BE6">
        <w:rPr>
          <w:rFonts w:ascii="Times New Roman" w:hAnsi="Times New Roman" w:cs="Times New Roman"/>
          <w:i/>
          <w:iCs/>
          <w:sz w:val="24"/>
          <w:szCs w:val="24"/>
        </w:rPr>
        <w:t>Órgano</w:t>
      </w:r>
      <w:proofErr w:type="spellEnd"/>
      <w:r w:rsidRPr="35E55BE6">
        <w:rPr>
          <w:rFonts w:ascii="Times New Roman" w:hAnsi="Times New Roman" w:cs="Times New Roman"/>
          <w:i/>
          <w:iCs/>
          <w:sz w:val="24"/>
          <w:szCs w:val="24"/>
        </w:rPr>
        <w:t xml:space="preserve"> Electoral </w:t>
      </w:r>
      <w:proofErr w:type="spellStart"/>
      <w:r w:rsidRPr="35E55BE6">
        <w:rPr>
          <w:rFonts w:ascii="Times New Roman" w:hAnsi="Times New Roman" w:cs="Times New Roman"/>
          <w:i/>
          <w:iCs/>
          <w:sz w:val="24"/>
          <w:szCs w:val="24"/>
        </w:rPr>
        <w:t>Plurinacional</w:t>
      </w:r>
      <w:proofErr w:type="spellEnd"/>
      <w:r w:rsidRPr="35E55BE6">
        <w:rPr>
          <w:rFonts w:ascii="Times New Roman" w:hAnsi="Times New Roman" w:cs="Times New Roman"/>
          <w:sz w:val="24"/>
          <w:szCs w:val="24"/>
        </w:rPr>
        <w:t xml:space="preserve"> </w:t>
      </w:r>
      <w:r w:rsidR="006C69FD" w:rsidRPr="35E55BE6">
        <w:rPr>
          <w:rFonts w:ascii="Times New Roman" w:hAnsi="Times New Roman" w:cs="Times New Roman"/>
          <w:sz w:val="24"/>
          <w:szCs w:val="24"/>
        </w:rPr>
        <w:t xml:space="preserve">- </w:t>
      </w:r>
      <w:r w:rsidRPr="35E55BE6">
        <w:rPr>
          <w:rFonts w:ascii="Times New Roman" w:hAnsi="Times New Roman" w:cs="Times New Roman"/>
          <w:sz w:val="24"/>
          <w:szCs w:val="24"/>
        </w:rPr>
        <w:t xml:space="preserve">OEP) must ensure that election observation missions may carry out their </w:t>
      </w:r>
      <w:proofErr w:type="gramStart"/>
      <w:r w:rsidRPr="35E55BE6">
        <w:rPr>
          <w:rFonts w:ascii="Times New Roman" w:hAnsi="Times New Roman" w:cs="Times New Roman"/>
          <w:sz w:val="24"/>
          <w:szCs w:val="24"/>
        </w:rPr>
        <w:t>work, and</w:t>
      </w:r>
      <w:proofErr w:type="gramEnd"/>
      <w:r w:rsidRPr="35E55BE6">
        <w:rPr>
          <w:rFonts w:ascii="Times New Roman" w:hAnsi="Times New Roman" w:cs="Times New Roman"/>
          <w:sz w:val="24"/>
          <w:szCs w:val="24"/>
        </w:rPr>
        <w:t xml:space="preserve"> is required by law to provide EOMS with the general, electoral, and statistical information they request for this purpose.</w:t>
      </w:r>
      <w:r w:rsidRPr="35E55BE6">
        <w:rPr>
          <w:rFonts w:ascii="Times New Roman" w:hAnsi="Times New Roman" w:cs="Times New Roman"/>
          <w:sz w:val="24"/>
          <w:szCs w:val="24"/>
          <w:vertAlign w:val="superscript"/>
        </w:rPr>
        <w:footnoteReference w:id="12"/>
      </w:r>
    </w:p>
    <w:p w14:paraId="3C9B48AD" w14:textId="77777777" w:rsidR="00806CFC" w:rsidRPr="00806CFC" w:rsidRDefault="00806CFC" w:rsidP="008E7E64">
      <w:pPr>
        <w:spacing w:after="0" w:line="240" w:lineRule="auto"/>
        <w:jc w:val="both"/>
        <w:rPr>
          <w:rFonts w:ascii="Times New Roman" w:hAnsi="Times New Roman" w:cs="Times New Roman"/>
          <w:bCs/>
          <w:sz w:val="24"/>
          <w:szCs w:val="24"/>
        </w:rPr>
      </w:pPr>
    </w:p>
    <w:p w14:paraId="5881995E" w14:textId="77777777" w:rsidR="006C69FD" w:rsidRDefault="00806CFC" w:rsidP="008E7E64">
      <w:pPr>
        <w:spacing w:after="0" w:line="240" w:lineRule="auto"/>
        <w:jc w:val="both"/>
        <w:rPr>
          <w:rFonts w:ascii="Times New Roman" w:hAnsi="Times New Roman" w:cs="Times New Roman"/>
          <w:bCs/>
          <w:sz w:val="24"/>
          <w:szCs w:val="24"/>
        </w:rPr>
      </w:pPr>
      <w:r w:rsidRPr="35E55BE6">
        <w:rPr>
          <w:rFonts w:ascii="Times New Roman" w:hAnsi="Times New Roman" w:cs="Times New Roman"/>
          <w:sz w:val="24"/>
          <w:szCs w:val="24"/>
        </w:rPr>
        <w:t xml:space="preserve">All missions, national and international, must be accredited by the OEP, and must also enter into an agreement with the OEP which defines the scope and plan for the proposed observation, and which provides details on mission’s member </w:t>
      </w:r>
      <w:r w:rsidR="00F672BC" w:rsidRPr="35E55BE6">
        <w:rPr>
          <w:rFonts w:ascii="Times New Roman" w:hAnsi="Times New Roman" w:cs="Times New Roman"/>
          <w:sz w:val="24"/>
          <w:szCs w:val="24"/>
        </w:rPr>
        <w:t>organizations</w:t>
      </w:r>
      <w:r w:rsidRPr="35E55BE6">
        <w:rPr>
          <w:rFonts w:ascii="Times New Roman" w:hAnsi="Times New Roman" w:cs="Times New Roman"/>
          <w:sz w:val="24"/>
          <w:szCs w:val="24"/>
        </w:rPr>
        <w:t xml:space="preserve"> and individuals, as well as information on its budget and funding sources.</w:t>
      </w:r>
      <w:r w:rsidRPr="35E55BE6">
        <w:rPr>
          <w:rFonts w:ascii="Times New Roman" w:hAnsi="Times New Roman" w:cs="Times New Roman"/>
          <w:sz w:val="24"/>
          <w:szCs w:val="24"/>
          <w:vertAlign w:val="superscript"/>
        </w:rPr>
        <w:footnoteReference w:id="13"/>
      </w:r>
      <w:r w:rsidRPr="35E55BE6">
        <w:rPr>
          <w:rFonts w:ascii="Times New Roman" w:hAnsi="Times New Roman" w:cs="Times New Roman"/>
          <w:sz w:val="24"/>
          <w:szCs w:val="24"/>
        </w:rPr>
        <w:t xml:space="preserve"> The OEP is responsible for providing more detailed regulation.</w:t>
      </w:r>
      <w:r w:rsidRPr="35E55BE6">
        <w:rPr>
          <w:rFonts w:ascii="Times New Roman" w:hAnsi="Times New Roman" w:cs="Times New Roman"/>
          <w:sz w:val="24"/>
          <w:szCs w:val="24"/>
          <w:vertAlign w:val="superscript"/>
        </w:rPr>
        <w:footnoteReference w:id="14"/>
      </w:r>
      <w:r w:rsidRPr="35E55BE6">
        <w:rPr>
          <w:rFonts w:ascii="Times New Roman" w:hAnsi="Times New Roman" w:cs="Times New Roman"/>
          <w:sz w:val="24"/>
          <w:szCs w:val="24"/>
        </w:rPr>
        <w:t xml:space="preserve"> In view of the required agreement, and the OEP-issued regulation, the OEP has a critical role in interpreting the law and shaping conditions for election observation. </w:t>
      </w:r>
    </w:p>
    <w:p w14:paraId="4A3960E5" w14:textId="77777777" w:rsidR="006C69FD" w:rsidRDefault="006C69FD" w:rsidP="008E7E64">
      <w:pPr>
        <w:spacing w:after="0" w:line="240" w:lineRule="auto"/>
        <w:jc w:val="both"/>
        <w:rPr>
          <w:rFonts w:ascii="Times New Roman" w:hAnsi="Times New Roman" w:cs="Times New Roman"/>
          <w:bCs/>
          <w:sz w:val="24"/>
          <w:szCs w:val="24"/>
        </w:rPr>
      </w:pPr>
    </w:p>
    <w:p w14:paraId="2C3FE70C" w14:textId="569F6414" w:rsidR="00806CFC" w:rsidRPr="00806CFC" w:rsidRDefault="00806CFC" w:rsidP="008E7E64">
      <w:pPr>
        <w:spacing w:after="0" w:line="240" w:lineRule="auto"/>
        <w:jc w:val="both"/>
        <w:rPr>
          <w:rFonts w:ascii="Times New Roman" w:hAnsi="Times New Roman" w:cs="Times New Roman"/>
          <w:bCs/>
          <w:sz w:val="24"/>
          <w:szCs w:val="24"/>
        </w:rPr>
      </w:pPr>
      <w:r w:rsidRPr="35E55BE6">
        <w:rPr>
          <w:rFonts w:ascii="Times New Roman" w:hAnsi="Times New Roman" w:cs="Times New Roman"/>
          <w:sz w:val="24"/>
          <w:szCs w:val="24"/>
        </w:rPr>
        <w:t>The TSE nominated in December 2019, issued a regulation on election observation guaranteeing the work of and providing support for national and international observation missions. Moreover, the TSE clearly adopted a positive and flexible approach aimed at facilitating transparency at all stages of the electoral process. As such, the 2020 TSE’s interpretation of accreditation requirements, and the degree of detail it required of EOMs’ planned observation, were in line with international standards for the transparency of democratic elections. Further, it should be noted that under Bolivian Law, vote counting is public, and the TSE must provide copies of results forms not only to political party representatives, but also to elections observers.</w:t>
      </w:r>
      <w:r w:rsidRPr="35E55BE6">
        <w:rPr>
          <w:rFonts w:ascii="Times New Roman" w:hAnsi="Times New Roman" w:cs="Times New Roman"/>
          <w:sz w:val="24"/>
          <w:szCs w:val="24"/>
          <w:vertAlign w:val="superscript"/>
        </w:rPr>
        <w:footnoteReference w:id="15"/>
      </w:r>
    </w:p>
    <w:p w14:paraId="2A8F74CD" w14:textId="77777777" w:rsidR="00806CFC" w:rsidRPr="00806CFC" w:rsidRDefault="00806CFC" w:rsidP="008E7E64">
      <w:pPr>
        <w:spacing w:after="0" w:line="240" w:lineRule="auto"/>
        <w:jc w:val="both"/>
        <w:rPr>
          <w:rFonts w:ascii="Times New Roman" w:hAnsi="Times New Roman" w:cs="Times New Roman"/>
          <w:bCs/>
          <w:sz w:val="24"/>
          <w:szCs w:val="24"/>
        </w:rPr>
      </w:pPr>
    </w:p>
    <w:p w14:paraId="2DF0097D" w14:textId="6E700580" w:rsidR="003F70B0" w:rsidRDefault="00806CFC" w:rsidP="008E7E64">
      <w:pPr>
        <w:spacing w:after="0" w:line="240" w:lineRule="auto"/>
        <w:jc w:val="both"/>
        <w:rPr>
          <w:rFonts w:ascii="Times New Roman" w:hAnsi="Times New Roman" w:cs="Times New Roman"/>
          <w:bCs/>
          <w:sz w:val="24"/>
          <w:szCs w:val="24"/>
        </w:rPr>
      </w:pPr>
      <w:r w:rsidRPr="00806CFC">
        <w:rPr>
          <w:rFonts w:ascii="Times New Roman" w:hAnsi="Times New Roman" w:cs="Times New Roman"/>
          <w:bCs/>
          <w:sz w:val="24"/>
          <w:szCs w:val="24"/>
        </w:rPr>
        <w:t xml:space="preserve">Nonetheless, Bolivian law creates undue obstacles for election observation missions who may wish to carry out quick counts, also known as parallel vote tabulation, which, when carried out by impartial and professional bodies, may serve to strengthen confidence in election results. The obstacles are administrative and logistical, but also due to a lack of clarity in the law, which leaves civil society </w:t>
      </w:r>
      <w:r w:rsidR="00AA567B" w:rsidRPr="00806CFC">
        <w:rPr>
          <w:rFonts w:ascii="Times New Roman" w:hAnsi="Times New Roman" w:cs="Times New Roman"/>
          <w:bCs/>
          <w:sz w:val="24"/>
          <w:szCs w:val="24"/>
        </w:rPr>
        <w:t>organizations</w:t>
      </w:r>
      <w:r w:rsidRPr="00806CFC">
        <w:rPr>
          <w:rFonts w:ascii="Times New Roman" w:hAnsi="Times New Roman" w:cs="Times New Roman"/>
          <w:bCs/>
          <w:sz w:val="24"/>
          <w:szCs w:val="24"/>
        </w:rPr>
        <w:t xml:space="preserve"> vulnerable to restrictive interpretations. The main difficulty arises from conflating the strict regulation of opinion polls and exit polls with the regulation for quick counts, despite the fact that opinion polls and quick counts are conceptually and practically very </w:t>
      </w:r>
      <w:proofErr w:type="gramStart"/>
      <w:r w:rsidRPr="00806CFC">
        <w:rPr>
          <w:rFonts w:ascii="Times New Roman" w:hAnsi="Times New Roman" w:cs="Times New Roman"/>
          <w:bCs/>
          <w:sz w:val="24"/>
          <w:szCs w:val="24"/>
        </w:rPr>
        <w:t>different, and</w:t>
      </w:r>
      <w:proofErr w:type="gramEnd"/>
      <w:r w:rsidRPr="00806CFC">
        <w:rPr>
          <w:rFonts w:ascii="Times New Roman" w:hAnsi="Times New Roman" w:cs="Times New Roman"/>
          <w:bCs/>
          <w:sz w:val="24"/>
          <w:szCs w:val="24"/>
        </w:rPr>
        <w:t xml:space="preserve"> are carried out at different stages of the process. The current legislation effectively issues criteria for opinion polls, but also applies them, to a greater or lesser degree according to interpretation, to quick counts. </w:t>
      </w:r>
    </w:p>
    <w:p w14:paraId="22261951" w14:textId="77777777" w:rsidR="003F70B0" w:rsidRDefault="003F70B0" w:rsidP="008E7E64">
      <w:pPr>
        <w:spacing w:after="0" w:line="240" w:lineRule="auto"/>
        <w:jc w:val="both"/>
        <w:rPr>
          <w:rFonts w:ascii="Times New Roman" w:hAnsi="Times New Roman" w:cs="Times New Roman"/>
          <w:bCs/>
          <w:sz w:val="24"/>
          <w:szCs w:val="24"/>
        </w:rPr>
      </w:pPr>
    </w:p>
    <w:p w14:paraId="5C80B436" w14:textId="31D46625" w:rsidR="00806CFC" w:rsidRPr="00806CFC" w:rsidRDefault="00806CFC" w:rsidP="008E7E64">
      <w:pPr>
        <w:spacing w:after="0" w:line="240" w:lineRule="auto"/>
        <w:jc w:val="both"/>
        <w:rPr>
          <w:rFonts w:ascii="Times New Roman" w:hAnsi="Times New Roman" w:cs="Times New Roman"/>
          <w:sz w:val="24"/>
          <w:szCs w:val="24"/>
        </w:rPr>
      </w:pPr>
      <w:r w:rsidRPr="35E55BE6">
        <w:rPr>
          <w:rFonts w:ascii="Times New Roman" w:hAnsi="Times New Roman" w:cs="Times New Roman"/>
          <w:sz w:val="24"/>
          <w:szCs w:val="24"/>
        </w:rPr>
        <w:t xml:space="preserve">Firstly, </w:t>
      </w:r>
      <w:proofErr w:type="gramStart"/>
      <w:r w:rsidRPr="35E55BE6">
        <w:rPr>
          <w:rFonts w:ascii="Times New Roman" w:hAnsi="Times New Roman" w:cs="Times New Roman"/>
          <w:sz w:val="24"/>
          <w:szCs w:val="24"/>
        </w:rPr>
        <w:t>in order to</w:t>
      </w:r>
      <w:proofErr w:type="gramEnd"/>
      <w:r w:rsidRPr="35E55BE6">
        <w:rPr>
          <w:rFonts w:ascii="Times New Roman" w:hAnsi="Times New Roman" w:cs="Times New Roman"/>
          <w:sz w:val="24"/>
          <w:szCs w:val="24"/>
        </w:rPr>
        <w:t xml:space="preserve"> carry out any of the three activities</w:t>
      </w:r>
      <w:r w:rsidR="00D831C3" w:rsidRPr="35E55BE6">
        <w:rPr>
          <w:rFonts w:ascii="Times New Roman" w:hAnsi="Times New Roman" w:cs="Times New Roman"/>
          <w:sz w:val="24"/>
          <w:szCs w:val="24"/>
        </w:rPr>
        <w:t xml:space="preserve"> (opinion polls. exit polls and quick counts)</w:t>
      </w:r>
      <w:r w:rsidRPr="35E55BE6">
        <w:rPr>
          <w:rFonts w:ascii="Times New Roman" w:hAnsi="Times New Roman" w:cs="Times New Roman"/>
          <w:sz w:val="24"/>
          <w:szCs w:val="24"/>
        </w:rPr>
        <w:t xml:space="preserve">, </w:t>
      </w:r>
      <w:r w:rsidR="0070489A" w:rsidRPr="35E55BE6">
        <w:rPr>
          <w:rFonts w:ascii="Times New Roman" w:hAnsi="Times New Roman" w:cs="Times New Roman"/>
          <w:sz w:val="24"/>
          <w:szCs w:val="24"/>
        </w:rPr>
        <w:t>organizations</w:t>
      </w:r>
      <w:r w:rsidRPr="35E55BE6">
        <w:rPr>
          <w:rFonts w:ascii="Times New Roman" w:hAnsi="Times New Roman" w:cs="Times New Roman"/>
          <w:sz w:val="24"/>
          <w:szCs w:val="24"/>
        </w:rPr>
        <w:t xml:space="preserve"> must register with the TSE, in a process which is separate from accreditation for election observation, and which takes place at the latest 30 days after elections are called, while the deadline for EOM accreditation is generally much later – for the 2020 elections, requests should have been submitted up to 15 working days before election day. This timeframe for registering to </w:t>
      </w:r>
      <w:r w:rsidRPr="35E55BE6">
        <w:rPr>
          <w:rFonts w:ascii="Times New Roman" w:hAnsi="Times New Roman" w:cs="Times New Roman"/>
          <w:sz w:val="24"/>
          <w:szCs w:val="24"/>
        </w:rPr>
        <w:lastRenderedPageBreak/>
        <w:t>carry out polls and quick counts, normally corresponding to a deadline 90 days before the elections, is reasonable with regard to the implementation of electoral opinion polls, which by their nature are carried out in the pre-electoral period, and which by law may be published from the time candidate registration is closed, up until the Sunday before election day.</w:t>
      </w:r>
      <w:r w:rsidRPr="35E55BE6">
        <w:rPr>
          <w:rFonts w:ascii="Times New Roman" w:hAnsi="Times New Roman" w:cs="Times New Roman"/>
          <w:sz w:val="24"/>
          <w:szCs w:val="24"/>
          <w:vertAlign w:val="superscript"/>
        </w:rPr>
        <w:footnoteReference w:id="16"/>
      </w:r>
      <w:r w:rsidRPr="35E55BE6">
        <w:rPr>
          <w:rFonts w:ascii="Times New Roman" w:hAnsi="Times New Roman" w:cs="Times New Roman"/>
          <w:sz w:val="24"/>
          <w:szCs w:val="24"/>
        </w:rPr>
        <w:t xml:space="preserve"> For quick counts however, which take place after voting and counting, there is no reasonable need for registration to close so </w:t>
      </w:r>
      <w:r w:rsidR="5F69359E" w:rsidRPr="35E55BE6">
        <w:rPr>
          <w:rFonts w:ascii="Times New Roman" w:hAnsi="Times New Roman" w:cs="Times New Roman"/>
          <w:sz w:val="24"/>
          <w:szCs w:val="24"/>
        </w:rPr>
        <w:t>soon and</w:t>
      </w:r>
      <w:r w:rsidRPr="35E55BE6">
        <w:rPr>
          <w:rFonts w:ascii="Times New Roman" w:hAnsi="Times New Roman" w:cs="Times New Roman"/>
          <w:sz w:val="24"/>
          <w:szCs w:val="24"/>
        </w:rPr>
        <w:t xml:space="preserve"> may constitute an impediment to </w:t>
      </w:r>
      <w:r w:rsidR="00D20184" w:rsidRPr="35E55BE6">
        <w:rPr>
          <w:rFonts w:ascii="Times New Roman" w:hAnsi="Times New Roman" w:cs="Times New Roman"/>
          <w:sz w:val="24"/>
          <w:szCs w:val="24"/>
        </w:rPr>
        <w:t>organizations</w:t>
      </w:r>
      <w:r w:rsidRPr="35E55BE6">
        <w:rPr>
          <w:rFonts w:ascii="Times New Roman" w:hAnsi="Times New Roman" w:cs="Times New Roman"/>
          <w:sz w:val="24"/>
          <w:szCs w:val="24"/>
        </w:rPr>
        <w:t xml:space="preserve"> which finalize their observation capacity during the pre-electoral period. </w:t>
      </w:r>
    </w:p>
    <w:p w14:paraId="508E705B" w14:textId="77777777" w:rsidR="00806CFC" w:rsidRPr="00806CFC" w:rsidRDefault="00806CFC" w:rsidP="008E7E64">
      <w:pPr>
        <w:spacing w:after="0" w:line="240" w:lineRule="auto"/>
        <w:jc w:val="both"/>
        <w:rPr>
          <w:rFonts w:ascii="Times New Roman" w:hAnsi="Times New Roman" w:cs="Times New Roman"/>
          <w:bCs/>
          <w:sz w:val="24"/>
          <w:szCs w:val="24"/>
        </w:rPr>
      </w:pPr>
    </w:p>
    <w:p w14:paraId="03792CC0" w14:textId="3784EF22" w:rsidR="00806CFC" w:rsidRDefault="00806CFC" w:rsidP="008E7E64">
      <w:pPr>
        <w:spacing w:after="0" w:line="240" w:lineRule="auto"/>
        <w:jc w:val="both"/>
        <w:rPr>
          <w:rFonts w:ascii="Times New Roman" w:hAnsi="Times New Roman" w:cs="Times New Roman"/>
          <w:sz w:val="24"/>
          <w:szCs w:val="24"/>
          <w:lang w:val="en-GB"/>
        </w:rPr>
      </w:pPr>
      <w:r w:rsidRPr="2A029ECA">
        <w:rPr>
          <w:rFonts w:ascii="Times New Roman" w:hAnsi="Times New Roman" w:cs="Times New Roman"/>
          <w:sz w:val="24"/>
          <w:szCs w:val="24"/>
          <w:lang w:val="en-GB"/>
        </w:rPr>
        <w:t xml:space="preserve">Secondly, the legal framework for opinion polls is stringent: organisations wishing to carry out opinion polls which will be published must submit significant detail about their plans and methodology at the same time as they register, as well as, with more specific detail, five days before they carry out the poll. It is implied by the fact that the same regulation applies to all three activities that this applies not only to opinion polls (which are referred to specifically in these sections of the law) but also to quick counts (which are not mentioned at this </w:t>
      </w:r>
      <w:r w:rsidR="18BAF383" w:rsidRPr="2A029ECA">
        <w:rPr>
          <w:rFonts w:ascii="Times New Roman" w:hAnsi="Times New Roman" w:cs="Times New Roman"/>
          <w:sz w:val="24"/>
          <w:szCs w:val="24"/>
          <w:lang w:val="en-GB"/>
        </w:rPr>
        <w:t>stage but</w:t>
      </w:r>
      <w:r w:rsidRPr="2A029ECA">
        <w:rPr>
          <w:rFonts w:ascii="Times New Roman" w:hAnsi="Times New Roman" w:cs="Times New Roman"/>
          <w:sz w:val="24"/>
          <w:szCs w:val="24"/>
          <w:lang w:val="en-GB"/>
        </w:rPr>
        <w:t xml:space="preserve"> are addressed at the outset of this section of legislation). Nonetheless, application of these requirements is unclear, and they would more reasonably be applied to opinion and exit polls than to quick counts, the former two relying on eliciting self-reported opinions or actions, while quick counts record elections results.  Apart from the introduction to these regulations, quick counts are only referred to explicitly </w:t>
      </w:r>
      <w:proofErr w:type="gramStart"/>
      <w:r w:rsidRPr="2A029ECA">
        <w:rPr>
          <w:rFonts w:ascii="Times New Roman" w:hAnsi="Times New Roman" w:cs="Times New Roman"/>
          <w:sz w:val="24"/>
          <w:szCs w:val="24"/>
          <w:lang w:val="en-GB"/>
        </w:rPr>
        <w:t>in reference to</w:t>
      </w:r>
      <w:proofErr w:type="gramEnd"/>
      <w:r w:rsidRPr="2A029ECA">
        <w:rPr>
          <w:rFonts w:ascii="Times New Roman" w:hAnsi="Times New Roman" w:cs="Times New Roman"/>
          <w:sz w:val="24"/>
          <w:szCs w:val="24"/>
          <w:lang w:val="en-GB"/>
        </w:rPr>
        <w:t xml:space="preserve"> the times and stage when these may be released (after 8pm on election night – by which time all voting is closed – and when at least 95% of the sample has been counted) and in relation to the requirement that they should be marked as ‘unofficial results’ and must specify whether they include votes cast from abroad. These are reasonable limitations.</w:t>
      </w:r>
    </w:p>
    <w:p w14:paraId="6C8A7C52" w14:textId="77777777" w:rsidR="003F70B0" w:rsidRPr="00806CFC" w:rsidRDefault="003F70B0" w:rsidP="008E7E64">
      <w:pPr>
        <w:spacing w:after="0" w:line="240" w:lineRule="auto"/>
        <w:jc w:val="both"/>
        <w:rPr>
          <w:rFonts w:ascii="Times New Roman" w:hAnsi="Times New Roman" w:cs="Times New Roman"/>
          <w:bCs/>
          <w:sz w:val="24"/>
          <w:szCs w:val="24"/>
          <w:lang w:val="en-GB"/>
        </w:rPr>
      </w:pPr>
    </w:p>
    <w:p w14:paraId="5AB6857C" w14:textId="01D6CCFD" w:rsidR="00806CFC" w:rsidRPr="00806CFC" w:rsidRDefault="00806CFC" w:rsidP="008E7E64">
      <w:pPr>
        <w:spacing w:after="0" w:line="240" w:lineRule="auto"/>
        <w:jc w:val="both"/>
        <w:rPr>
          <w:rFonts w:ascii="Times New Roman" w:hAnsi="Times New Roman" w:cs="Times New Roman"/>
          <w:bCs/>
          <w:sz w:val="24"/>
          <w:szCs w:val="24"/>
        </w:rPr>
      </w:pPr>
      <w:r w:rsidRPr="35E55BE6">
        <w:rPr>
          <w:rFonts w:ascii="Times New Roman" w:hAnsi="Times New Roman" w:cs="Times New Roman"/>
          <w:sz w:val="24"/>
          <w:szCs w:val="24"/>
        </w:rPr>
        <w:t xml:space="preserve">In 2019, a quick count was suspended by the former TSE on the eve of election day, on the grounds that the </w:t>
      </w:r>
      <w:proofErr w:type="spellStart"/>
      <w:r w:rsidRPr="35E55BE6">
        <w:rPr>
          <w:rFonts w:ascii="Times New Roman" w:hAnsi="Times New Roman" w:cs="Times New Roman"/>
          <w:sz w:val="24"/>
          <w:szCs w:val="24"/>
        </w:rPr>
        <w:t>organisation</w:t>
      </w:r>
      <w:proofErr w:type="spellEnd"/>
      <w:r w:rsidRPr="35E55BE6">
        <w:rPr>
          <w:rFonts w:ascii="Times New Roman" w:hAnsi="Times New Roman" w:cs="Times New Roman"/>
          <w:sz w:val="24"/>
          <w:szCs w:val="24"/>
        </w:rPr>
        <w:t xml:space="preserve"> responsible – </w:t>
      </w:r>
      <w:r w:rsidRPr="35E55BE6">
        <w:rPr>
          <w:rFonts w:ascii="Times New Roman" w:hAnsi="Times New Roman" w:cs="Times New Roman"/>
          <w:i/>
          <w:iCs/>
          <w:sz w:val="24"/>
          <w:szCs w:val="24"/>
        </w:rPr>
        <w:t xml:space="preserve">Tu </w:t>
      </w:r>
      <w:proofErr w:type="spellStart"/>
      <w:r w:rsidRPr="35E55BE6">
        <w:rPr>
          <w:rFonts w:ascii="Times New Roman" w:hAnsi="Times New Roman" w:cs="Times New Roman"/>
          <w:i/>
          <w:iCs/>
          <w:sz w:val="24"/>
          <w:szCs w:val="24"/>
        </w:rPr>
        <w:t>Voto</w:t>
      </w:r>
      <w:proofErr w:type="spellEnd"/>
      <w:r w:rsidRPr="35E55BE6">
        <w:rPr>
          <w:rFonts w:ascii="Times New Roman" w:hAnsi="Times New Roman" w:cs="Times New Roman"/>
          <w:i/>
          <w:iCs/>
          <w:sz w:val="24"/>
          <w:szCs w:val="24"/>
        </w:rPr>
        <w:t xml:space="preserve"> </w:t>
      </w:r>
      <w:proofErr w:type="spellStart"/>
      <w:r w:rsidRPr="35E55BE6">
        <w:rPr>
          <w:rFonts w:ascii="Times New Roman" w:hAnsi="Times New Roman" w:cs="Times New Roman"/>
          <w:i/>
          <w:iCs/>
          <w:sz w:val="24"/>
          <w:szCs w:val="24"/>
        </w:rPr>
        <w:t>Cuenta</w:t>
      </w:r>
      <w:proofErr w:type="spellEnd"/>
      <w:r w:rsidRPr="35E55BE6">
        <w:rPr>
          <w:rFonts w:ascii="Times New Roman" w:hAnsi="Times New Roman" w:cs="Times New Roman"/>
          <w:sz w:val="24"/>
          <w:szCs w:val="24"/>
        </w:rPr>
        <w:softHyphen/>
        <w:t xml:space="preserve"> - had only submitted its detailed plan four days before implementation, and not five. </w:t>
      </w:r>
      <w:r w:rsidRPr="35E55BE6">
        <w:rPr>
          <w:rFonts w:ascii="Times New Roman" w:hAnsi="Times New Roman" w:cs="Times New Roman"/>
          <w:i/>
          <w:iCs/>
          <w:sz w:val="24"/>
          <w:szCs w:val="24"/>
        </w:rPr>
        <w:t xml:space="preserve">Tu </w:t>
      </w:r>
      <w:proofErr w:type="spellStart"/>
      <w:r w:rsidRPr="35E55BE6">
        <w:rPr>
          <w:rFonts w:ascii="Times New Roman" w:hAnsi="Times New Roman" w:cs="Times New Roman"/>
          <w:i/>
          <w:iCs/>
          <w:sz w:val="24"/>
          <w:szCs w:val="24"/>
        </w:rPr>
        <w:t>Voto</w:t>
      </w:r>
      <w:proofErr w:type="spellEnd"/>
      <w:r w:rsidRPr="35E55BE6">
        <w:rPr>
          <w:rFonts w:ascii="Times New Roman" w:hAnsi="Times New Roman" w:cs="Times New Roman"/>
          <w:i/>
          <w:iCs/>
          <w:sz w:val="24"/>
          <w:szCs w:val="24"/>
        </w:rPr>
        <w:t xml:space="preserve"> </w:t>
      </w:r>
      <w:proofErr w:type="spellStart"/>
      <w:r w:rsidRPr="35E55BE6">
        <w:rPr>
          <w:rFonts w:ascii="Times New Roman" w:hAnsi="Times New Roman" w:cs="Times New Roman"/>
          <w:i/>
          <w:iCs/>
          <w:sz w:val="24"/>
          <w:szCs w:val="24"/>
        </w:rPr>
        <w:t>Cuenta</w:t>
      </w:r>
      <w:proofErr w:type="spellEnd"/>
      <w:r w:rsidRPr="35E55BE6">
        <w:rPr>
          <w:rFonts w:ascii="Times New Roman" w:hAnsi="Times New Roman" w:cs="Times New Roman"/>
          <w:sz w:val="24"/>
          <w:szCs w:val="24"/>
        </w:rPr>
        <w:t xml:space="preserve"> responded in a statement that this requirement did not apply to quick counts, but only to opinion polls.</w:t>
      </w:r>
      <w:r w:rsidRPr="35E55BE6">
        <w:rPr>
          <w:rFonts w:ascii="Times New Roman" w:hAnsi="Times New Roman" w:cs="Times New Roman"/>
          <w:sz w:val="24"/>
          <w:szCs w:val="24"/>
          <w:vertAlign w:val="superscript"/>
        </w:rPr>
        <w:footnoteReference w:id="17"/>
      </w:r>
      <w:r w:rsidRPr="35E55BE6">
        <w:rPr>
          <w:rFonts w:ascii="Times New Roman" w:hAnsi="Times New Roman" w:cs="Times New Roman"/>
          <w:sz w:val="24"/>
          <w:szCs w:val="24"/>
        </w:rPr>
        <w:t xml:space="preserve"> The Rapporteur on Freedom of Expression for the </w:t>
      </w:r>
      <w:proofErr w:type="spellStart"/>
      <w:r w:rsidRPr="35E55BE6">
        <w:rPr>
          <w:rFonts w:ascii="Times New Roman" w:hAnsi="Times New Roman" w:cs="Times New Roman"/>
          <w:i/>
          <w:iCs/>
          <w:sz w:val="24"/>
          <w:szCs w:val="24"/>
        </w:rPr>
        <w:t>Comisión</w:t>
      </w:r>
      <w:proofErr w:type="spellEnd"/>
      <w:r w:rsidRPr="35E55BE6">
        <w:rPr>
          <w:rFonts w:ascii="Times New Roman" w:hAnsi="Times New Roman" w:cs="Times New Roman"/>
          <w:i/>
          <w:iCs/>
          <w:sz w:val="24"/>
          <w:szCs w:val="24"/>
        </w:rPr>
        <w:t xml:space="preserve"> </w:t>
      </w:r>
      <w:proofErr w:type="spellStart"/>
      <w:r w:rsidRPr="35E55BE6">
        <w:rPr>
          <w:rFonts w:ascii="Times New Roman" w:hAnsi="Times New Roman" w:cs="Times New Roman"/>
          <w:i/>
          <w:iCs/>
          <w:sz w:val="24"/>
          <w:szCs w:val="24"/>
        </w:rPr>
        <w:t>Interamericana</w:t>
      </w:r>
      <w:proofErr w:type="spellEnd"/>
      <w:r w:rsidRPr="35E55BE6">
        <w:rPr>
          <w:rFonts w:ascii="Times New Roman" w:hAnsi="Times New Roman" w:cs="Times New Roman"/>
          <w:i/>
          <w:iCs/>
          <w:sz w:val="24"/>
          <w:szCs w:val="24"/>
        </w:rPr>
        <w:t xml:space="preserve"> de Derechos Humanos</w:t>
      </w:r>
      <w:r w:rsidRPr="35E55BE6">
        <w:rPr>
          <w:rFonts w:ascii="Times New Roman" w:hAnsi="Times New Roman" w:cs="Times New Roman"/>
          <w:sz w:val="24"/>
          <w:szCs w:val="24"/>
        </w:rPr>
        <w:t xml:space="preserve"> lamented the suspension, arguing that while technical or administrative requirements were important to ensure adequate quality of polls, these should not constitute an impediment to publication.</w:t>
      </w:r>
      <w:r w:rsidRPr="35E55BE6">
        <w:rPr>
          <w:rFonts w:ascii="Times New Roman" w:hAnsi="Times New Roman" w:cs="Times New Roman"/>
          <w:sz w:val="24"/>
          <w:szCs w:val="24"/>
          <w:vertAlign w:val="superscript"/>
        </w:rPr>
        <w:footnoteReference w:id="18"/>
      </w:r>
      <w:r w:rsidRPr="35E55BE6">
        <w:rPr>
          <w:rFonts w:ascii="Times New Roman" w:hAnsi="Times New Roman" w:cs="Times New Roman"/>
          <w:sz w:val="24"/>
          <w:szCs w:val="24"/>
        </w:rPr>
        <w:t xml:space="preserve"> </w:t>
      </w:r>
    </w:p>
    <w:p w14:paraId="272BC7AE" w14:textId="77777777" w:rsidR="00806CFC" w:rsidRPr="00806CFC" w:rsidRDefault="00806CFC" w:rsidP="008E7E64">
      <w:pPr>
        <w:spacing w:after="0" w:line="240" w:lineRule="auto"/>
        <w:jc w:val="both"/>
        <w:rPr>
          <w:rFonts w:ascii="Times New Roman" w:hAnsi="Times New Roman" w:cs="Times New Roman"/>
          <w:bCs/>
          <w:sz w:val="24"/>
          <w:szCs w:val="24"/>
        </w:rPr>
      </w:pPr>
    </w:p>
    <w:p w14:paraId="55982BB0" w14:textId="77777777" w:rsidR="00806CFC" w:rsidRPr="00806CFC" w:rsidRDefault="00806CFC" w:rsidP="008E7E64">
      <w:pPr>
        <w:spacing w:after="0" w:line="240" w:lineRule="auto"/>
        <w:jc w:val="both"/>
        <w:rPr>
          <w:rFonts w:ascii="Times New Roman" w:hAnsi="Times New Roman" w:cs="Times New Roman"/>
          <w:bCs/>
          <w:sz w:val="24"/>
          <w:szCs w:val="24"/>
        </w:rPr>
      </w:pPr>
      <w:r w:rsidRPr="00A37904">
        <w:rPr>
          <w:rFonts w:ascii="Times New Roman" w:hAnsi="Times New Roman" w:cs="Times New Roman"/>
          <w:bCs/>
          <w:sz w:val="24"/>
          <w:szCs w:val="24"/>
        </w:rPr>
        <w:t>Election observation missions may be stripped of their accreditation for violating the law, regulation or memorandum of understanding reached with the TSE. Where the law is unclear and interpretations in regulation or praxis are excessively restrictive, this provision may constitute an unreasonably severe sanction negatively impacting the transparency of the process.</w:t>
      </w:r>
      <w:r w:rsidRPr="00806CFC">
        <w:rPr>
          <w:rFonts w:ascii="Times New Roman" w:hAnsi="Times New Roman" w:cs="Times New Roman"/>
          <w:bCs/>
          <w:sz w:val="24"/>
          <w:szCs w:val="24"/>
        </w:rPr>
        <w:t xml:space="preserve"> </w:t>
      </w:r>
    </w:p>
    <w:p w14:paraId="5B72D8C6" w14:textId="77777777" w:rsidR="002B5B1E" w:rsidRPr="002B5B1E" w:rsidRDefault="002B5B1E" w:rsidP="008E7E64">
      <w:pPr>
        <w:spacing w:after="0" w:line="240" w:lineRule="auto"/>
        <w:jc w:val="both"/>
        <w:rPr>
          <w:rFonts w:ascii="Times New Roman" w:hAnsi="Times New Roman" w:cs="Times New Roman"/>
          <w:sz w:val="24"/>
          <w:szCs w:val="24"/>
        </w:rPr>
      </w:pPr>
    </w:p>
    <w:p w14:paraId="5047F1AA" w14:textId="77777777" w:rsidR="00A86C0F" w:rsidRPr="00A25CCB" w:rsidRDefault="00A86C0F" w:rsidP="008E7E64">
      <w:pPr>
        <w:pStyle w:val="ListParagraph"/>
        <w:numPr>
          <w:ilvl w:val="0"/>
          <w:numId w:val="7"/>
        </w:numPr>
        <w:spacing w:after="0" w:line="240" w:lineRule="auto"/>
        <w:jc w:val="both"/>
        <w:rPr>
          <w:rFonts w:ascii="Times New Roman" w:hAnsi="Times New Roman" w:cs="Times New Roman"/>
          <w:b/>
          <w:sz w:val="24"/>
          <w:szCs w:val="24"/>
          <w:u w:val="single"/>
        </w:rPr>
      </w:pPr>
      <w:r w:rsidRPr="00A25CCB">
        <w:rPr>
          <w:rFonts w:ascii="Times New Roman" w:hAnsi="Times New Roman" w:cs="Times New Roman"/>
          <w:b/>
          <w:sz w:val="24"/>
          <w:szCs w:val="24"/>
          <w:u w:val="single"/>
        </w:rPr>
        <w:t>Level playing-field for electoral contestants: sanctions for use of state resources offer relatively little disincentive compared to heavy sanctions for other campaign violations</w:t>
      </w:r>
    </w:p>
    <w:p w14:paraId="730EECA8" w14:textId="77777777" w:rsidR="00A86C0F" w:rsidRPr="00A86C0F" w:rsidRDefault="00A86C0F" w:rsidP="008E7E64">
      <w:pPr>
        <w:spacing w:after="0" w:line="240" w:lineRule="auto"/>
        <w:jc w:val="both"/>
        <w:rPr>
          <w:rFonts w:ascii="Times New Roman" w:hAnsi="Times New Roman" w:cs="Times New Roman"/>
          <w:b/>
          <w:sz w:val="24"/>
          <w:szCs w:val="24"/>
        </w:rPr>
      </w:pPr>
    </w:p>
    <w:p w14:paraId="1E99EA6F" w14:textId="77777777" w:rsidR="00A86C0F" w:rsidRPr="00A86C0F" w:rsidRDefault="00A86C0F" w:rsidP="008E7E64">
      <w:pPr>
        <w:spacing w:after="0" w:line="240" w:lineRule="auto"/>
        <w:jc w:val="both"/>
        <w:rPr>
          <w:rFonts w:ascii="Times New Roman" w:hAnsi="Times New Roman" w:cs="Times New Roman"/>
          <w:bCs/>
          <w:sz w:val="24"/>
          <w:szCs w:val="24"/>
        </w:rPr>
      </w:pPr>
      <w:r w:rsidRPr="00A86C0F">
        <w:rPr>
          <w:rFonts w:ascii="Times New Roman" w:hAnsi="Times New Roman" w:cs="Times New Roman"/>
          <w:bCs/>
          <w:sz w:val="24"/>
          <w:szCs w:val="24"/>
        </w:rPr>
        <w:lastRenderedPageBreak/>
        <w:t xml:space="preserve">The use of state resources in election campaigning is prohibited by the Election Law, but sanctions may not constitute as great a disincentive as the sanctions which apply to other violations, which are more severe. </w:t>
      </w:r>
    </w:p>
    <w:p w14:paraId="11C3727A" w14:textId="77777777" w:rsidR="00A86C0F" w:rsidRPr="00A86C0F" w:rsidRDefault="00A86C0F" w:rsidP="008E7E64">
      <w:pPr>
        <w:spacing w:after="0" w:line="240" w:lineRule="auto"/>
        <w:jc w:val="both"/>
        <w:rPr>
          <w:rFonts w:ascii="Times New Roman" w:hAnsi="Times New Roman" w:cs="Times New Roman"/>
          <w:bCs/>
          <w:sz w:val="24"/>
          <w:szCs w:val="24"/>
        </w:rPr>
      </w:pPr>
    </w:p>
    <w:p w14:paraId="120B771C" w14:textId="77777777" w:rsidR="00A86C0F" w:rsidRPr="00A86C0F" w:rsidRDefault="00A86C0F" w:rsidP="008E7E64">
      <w:pPr>
        <w:spacing w:after="0" w:line="240" w:lineRule="auto"/>
        <w:jc w:val="both"/>
        <w:rPr>
          <w:rFonts w:ascii="Times New Roman" w:hAnsi="Times New Roman" w:cs="Times New Roman"/>
          <w:bCs/>
          <w:sz w:val="24"/>
          <w:szCs w:val="24"/>
        </w:rPr>
      </w:pPr>
      <w:r w:rsidRPr="35E55BE6">
        <w:rPr>
          <w:rFonts w:ascii="Times New Roman" w:hAnsi="Times New Roman" w:cs="Times New Roman"/>
          <w:sz w:val="24"/>
          <w:szCs w:val="24"/>
        </w:rPr>
        <w:t>The Election Law prohibits the use of public goods, resources and services for election campaigning, but the corresponding sanction is limited to removal or destruction of the offending materials, as well as referral of evidence to the Public Prosecutor’s Office if a criminal offence has taken place.</w:t>
      </w:r>
      <w:r w:rsidRPr="35E55BE6">
        <w:rPr>
          <w:rFonts w:ascii="Times New Roman" w:hAnsi="Times New Roman" w:cs="Times New Roman"/>
          <w:sz w:val="24"/>
          <w:szCs w:val="24"/>
          <w:vertAlign w:val="superscript"/>
        </w:rPr>
        <w:footnoteReference w:id="19"/>
      </w:r>
      <w:r w:rsidRPr="35E55BE6">
        <w:rPr>
          <w:rFonts w:ascii="Times New Roman" w:hAnsi="Times New Roman" w:cs="Times New Roman"/>
          <w:sz w:val="24"/>
          <w:szCs w:val="24"/>
        </w:rPr>
        <w:t xml:space="preserve"> The sanction of destruction of campaign materials clearly does not apply to a myriad of ways in which State resources could be used for campaign purposes, and as such there is no administrative sanction at all for the use of State resources and services, though in principle referral for criminal prosecution remains possible. </w:t>
      </w:r>
    </w:p>
    <w:p w14:paraId="5CE516E8" w14:textId="77777777" w:rsidR="00A86C0F" w:rsidRPr="00A86C0F" w:rsidRDefault="00A86C0F" w:rsidP="008E7E64">
      <w:pPr>
        <w:spacing w:after="0" w:line="240" w:lineRule="auto"/>
        <w:jc w:val="both"/>
        <w:rPr>
          <w:rFonts w:ascii="Times New Roman" w:hAnsi="Times New Roman" w:cs="Times New Roman"/>
          <w:bCs/>
          <w:sz w:val="24"/>
          <w:szCs w:val="24"/>
        </w:rPr>
      </w:pPr>
    </w:p>
    <w:p w14:paraId="5BACA2CA" w14:textId="398863BC" w:rsidR="00FD7AA8" w:rsidRPr="00FD7AA8" w:rsidRDefault="00A86C0F" w:rsidP="008E7E64">
      <w:pPr>
        <w:spacing w:after="0" w:line="240" w:lineRule="auto"/>
        <w:jc w:val="both"/>
        <w:rPr>
          <w:rFonts w:ascii="Times New Roman" w:hAnsi="Times New Roman" w:cs="Times New Roman"/>
          <w:sz w:val="24"/>
          <w:szCs w:val="24"/>
        </w:rPr>
      </w:pPr>
      <w:r w:rsidRPr="35E55BE6">
        <w:rPr>
          <w:rFonts w:ascii="Times New Roman" w:hAnsi="Times New Roman" w:cs="Times New Roman"/>
          <w:sz w:val="24"/>
          <w:szCs w:val="24"/>
        </w:rPr>
        <w:t xml:space="preserve">The Election Law also prohibits the use of public locations in </w:t>
      </w:r>
      <w:proofErr w:type="gramStart"/>
      <w:r w:rsidRPr="35E55BE6">
        <w:rPr>
          <w:rFonts w:ascii="Times New Roman" w:hAnsi="Times New Roman" w:cs="Times New Roman"/>
          <w:sz w:val="24"/>
          <w:szCs w:val="24"/>
        </w:rPr>
        <w:t>advertising, and</w:t>
      </w:r>
      <w:proofErr w:type="gramEnd"/>
      <w:r w:rsidRPr="35E55BE6">
        <w:rPr>
          <w:rFonts w:ascii="Times New Roman" w:hAnsi="Times New Roman" w:cs="Times New Roman"/>
          <w:sz w:val="24"/>
          <w:szCs w:val="24"/>
        </w:rPr>
        <w:t xml:space="preserve"> prohibits public servants from using State resources during campaign events or in paid political advertising in the media.</w:t>
      </w:r>
      <w:r w:rsidRPr="35E55BE6">
        <w:rPr>
          <w:rFonts w:ascii="Times New Roman" w:hAnsi="Times New Roman" w:cs="Times New Roman"/>
          <w:sz w:val="24"/>
          <w:szCs w:val="24"/>
          <w:vertAlign w:val="superscript"/>
        </w:rPr>
        <w:footnoteReference w:id="20"/>
      </w:r>
      <w:r w:rsidRPr="35E55BE6">
        <w:rPr>
          <w:rFonts w:ascii="Times New Roman" w:hAnsi="Times New Roman" w:cs="Times New Roman"/>
          <w:sz w:val="24"/>
          <w:szCs w:val="24"/>
        </w:rPr>
        <w:t xml:space="preserve"> Sanctions for violation of these prohibitions are limited, according to the Election Law, to the TSE referring its evidence to the State Comptroller General (</w:t>
      </w:r>
      <w:proofErr w:type="spellStart"/>
      <w:r w:rsidRPr="35E55BE6">
        <w:rPr>
          <w:rFonts w:ascii="Times New Roman" w:hAnsi="Times New Roman" w:cs="Times New Roman"/>
          <w:i/>
          <w:iCs/>
          <w:sz w:val="24"/>
          <w:szCs w:val="24"/>
        </w:rPr>
        <w:t>Contraloria</w:t>
      </w:r>
      <w:proofErr w:type="spellEnd"/>
      <w:r w:rsidRPr="35E55BE6">
        <w:rPr>
          <w:rFonts w:ascii="Times New Roman" w:hAnsi="Times New Roman" w:cs="Times New Roman"/>
          <w:i/>
          <w:iCs/>
          <w:sz w:val="24"/>
          <w:szCs w:val="24"/>
        </w:rPr>
        <w:t xml:space="preserve"> General del Estado) </w:t>
      </w:r>
      <w:r w:rsidRPr="35E55BE6">
        <w:rPr>
          <w:rFonts w:ascii="Times New Roman" w:hAnsi="Times New Roman" w:cs="Times New Roman"/>
          <w:sz w:val="24"/>
          <w:szCs w:val="24"/>
        </w:rPr>
        <w:t>for evaluation, as well as to the public servants’ hierarchy, with a view to dismissal. Again, these sanctions may be of little dissuasive effect for a party in power campaigning for re-election.  The OEP’s 2020 Regulation on Propaganda and Election Campaigning adds to the law’s provisions concerning public servants, emphasizing that no public servant, regardless of rank or manner of appointment, may carry out campaign activities during work hours, nor exploit their position to promote candidates,</w:t>
      </w:r>
      <w:r w:rsidRPr="35E55BE6">
        <w:rPr>
          <w:rFonts w:ascii="Times New Roman" w:hAnsi="Times New Roman" w:cs="Times New Roman"/>
          <w:sz w:val="24"/>
          <w:szCs w:val="24"/>
          <w:vertAlign w:val="superscript"/>
        </w:rPr>
        <w:footnoteReference w:id="21"/>
      </w:r>
      <w:r w:rsidRPr="35E55BE6">
        <w:rPr>
          <w:rFonts w:ascii="Times New Roman" w:hAnsi="Times New Roman" w:cs="Times New Roman"/>
          <w:sz w:val="24"/>
          <w:szCs w:val="24"/>
        </w:rPr>
        <w:t xml:space="preserve"> and the OEP’s 2020 Regulation on Offences and Sanctions qualifies such violations as serious, and incurring a fine of between 40% and 61% of a minimum salary.</w:t>
      </w:r>
      <w:r w:rsidRPr="35E55BE6">
        <w:rPr>
          <w:rFonts w:ascii="Times New Roman" w:hAnsi="Times New Roman" w:cs="Times New Roman"/>
          <w:sz w:val="24"/>
          <w:szCs w:val="24"/>
          <w:vertAlign w:val="superscript"/>
        </w:rPr>
        <w:footnoteReference w:id="22"/>
      </w:r>
      <w:r w:rsidRPr="35E55BE6">
        <w:rPr>
          <w:rFonts w:ascii="Times New Roman" w:hAnsi="Times New Roman" w:cs="Times New Roman"/>
          <w:sz w:val="24"/>
          <w:szCs w:val="24"/>
        </w:rPr>
        <w:t xml:space="preserve"> </w:t>
      </w:r>
    </w:p>
    <w:p w14:paraId="2D63D0AF" w14:textId="692C3AD4" w:rsidR="39E9FEAA" w:rsidRDefault="39E9FEAA" w:rsidP="008E7E64">
      <w:pPr>
        <w:spacing w:after="0" w:line="240" w:lineRule="auto"/>
        <w:jc w:val="both"/>
        <w:rPr>
          <w:rFonts w:ascii="Times New Roman" w:hAnsi="Times New Roman" w:cs="Times New Roman"/>
          <w:sz w:val="24"/>
          <w:szCs w:val="24"/>
        </w:rPr>
      </w:pPr>
    </w:p>
    <w:p w14:paraId="10F82370" w14:textId="28F4326F" w:rsidR="49821505" w:rsidRDefault="49821505" w:rsidP="008E7E64">
      <w:pPr>
        <w:spacing w:after="0" w:line="240" w:lineRule="auto"/>
        <w:jc w:val="both"/>
        <w:rPr>
          <w:rFonts w:ascii="Times New Roman" w:hAnsi="Times New Roman" w:cs="Times New Roman"/>
          <w:sz w:val="24"/>
          <w:szCs w:val="24"/>
          <w:lang w:val="en-GB"/>
        </w:rPr>
      </w:pPr>
      <w:r w:rsidRPr="39E9FEAA">
        <w:rPr>
          <w:rFonts w:ascii="Times New Roman" w:hAnsi="Times New Roman" w:cs="Times New Roman"/>
          <w:b/>
          <w:bCs/>
          <w:sz w:val="24"/>
          <w:szCs w:val="24"/>
        </w:rPr>
        <w:t>Recommendations</w:t>
      </w:r>
      <w:r>
        <w:br/>
      </w:r>
      <w:r>
        <w:br/>
      </w:r>
      <w:r w:rsidRPr="39E9FEAA">
        <w:rPr>
          <w:rFonts w:ascii="Times New Roman" w:hAnsi="Times New Roman" w:cs="Times New Roman"/>
          <w:i/>
          <w:iCs/>
          <w:sz w:val="24"/>
          <w:szCs w:val="24"/>
        </w:rPr>
        <w:t>Campaign finance.</w:t>
      </w:r>
      <w:r w:rsidRPr="39E9FEAA">
        <w:rPr>
          <w:rFonts w:ascii="Times New Roman" w:hAnsi="Times New Roman" w:cs="Times New Roman"/>
          <w:sz w:val="24"/>
          <w:szCs w:val="24"/>
          <w:u w:val="single"/>
        </w:rPr>
        <w:t xml:space="preserve"> </w:t>
      </w:r>
      <w:r w:rsidRPr="39E9FEAA">
        <w:rPr>
          <w:rFonts w:ascii="Times New Roman" w:hAnsi="Times New Roman" w:cs="Times New Roman"/>
          <w:sz w:val="24"/>
          <w:szCs w:val="24"/>
        </w:rPr>
        <w:t>Electoral legislation does not establish campaign spending limits, except for spending on political advertising in the media, which can lead to great inequalities in resources for competing parties. In this respect, and with a view to a more level playing field for political competitors, the Carter Center recommends that Bolivia consider</w:t>
      </w:r>
      <w:r w:rsidR="000E7737">
        <w:rPr>
          <w:rFonts w:ascii="Times New Roman" w:hAnsi="Times New Roman" w:cs="Times New Roman"/>
          <w:sz w:val="24"/>
          <w:szCs w:val="24"/>
        </w:rPr>
        <w:t>s</w:t>
      </w:r>
      <w:r w:rsidRPr="39E9FEAA">
        <w:rPr>
          <w:rFonts w:ascii="Times New Roman" w:hAnsi="Times New Roman" w:cs="Times New Roman"/>
          <w:sz w:val="24"/>
          <w:szCs w:val="24"/>
        </w:rPr>
        <w:t xml:space="preserve"> establishing campaign spending limits for all campaign spending, not just political advertising in the media, as is currently the case.</w:t>
      </w:r>
      <w:r>
        <w:br/>
      </w:r>
      <w:r>
        <w:br/>
      </w:r>
      <w:r w:rsidRPr="39E9FEAA">
        <w:rPr>
          <w:rFonts w:ascii="Times New Roman" w:hAnsi="Times New Roman" w:cs="Times New Roman"/>
          <w:i/>
          <w:iCs/>
          <w:sz w:val="24"/>
          <w:szCs w:val="24"/>
        </w:rPr>
        <w:t>Use of State resources.</w:t>
      </w:r>
      <w:r w:rsidRPr="39E9FEAA">
        <w:rPr>
          <w:rFonts w:ascii="Times New Roman" w:hAnsi="Times New Roman" w:cs="Times New Roman"/>
          <w:sz w:val="24"/>
          <w:szCs w:val="24"/>
        </w:rPr>
        <w:t xml:space="preserve"> Although the use of state resources for campaign purposes is prohibited by law, the associated sanctions have little dissuasive weight. As such, it would be useful to establish sanctions that constitute a greater deterrent for this practice, which has been observed and denounced in several Bolivian electoral processes.</w:t>
      </w:r>
      <w:r>
        <w:br/>
      </w:r>
      <w:r>
        <w:br/>
      </w:r>
      <w:r w:rsidRPr="39E9FEAA">
        <w:rPr>
          <w:rFonts w:ascii="Times New Roman" w:hAnsi="Times New Roman" w:cs="Times New Roman"/>
          <w:i/>
          <w:iCs/>
          <w:sz w:val="24"/>
          <w:szCs w:val="24"/>
        </w:rPr>
        <w:t>Regulation of institutional advertising.</w:t>
      </w:r>
      <w:r w:rsidRPr="39E9FEAA">
        <w:rPr>
          <w:rFonts w:ascii="Times New Roman" w:hAnsi="Times New Roman" w:cs="Times New Roman"/>
          <w:sz w:val="24"/>
          <w:szCs w:val="24"/>
        </w:rPr>
        <w:t xml:space="preserve"> Bolivian news companies depend to a great extent on institutional advertising for their economic survival. As no law establishes these funds' allocation and distribution among the media, successive governments have used budgets for institutional </w:t>
      </w:r>
      <w:r w:rsidRPr="39E9FEAA">
        <w:rPr>
          <w:rFonts w:ascii="Times New Roman" w:hAnsi="Times New Roman" w:cs="Times New Roman"/>
          <w:sz w:val="24"/>
          <w:szCs w:val="24"/>
        </w:rPr>
        <w:lastRenderedPageBreak/>
        <w:t xml:space="preserve">advertising to exert pressure on media companies. The Carter Center recommends that </w:t>
      </w:r>
      <w:r w:rsidRPr="39E9FEAA">
        <w:rPr>
          <w:rFonts w:ascii="Times New Roman" w:hAnsi="Times New Roman" w:cs="Times New Roman"/>
          <w:sz w:val="24"/>
          <w:szCs w:val="24"/>
          <w:lang w:val="en-GB"/>
        </w:rPr>
        <w:t>the distribution of institutional advertising be regulated according to objective and public criteria.</w:t>
      </w:r>
    </w:p>
    <w:p w14:paraId="56730EFA" w14:textId="77777777" w:rsidR="002B5B1E" w:rsidRPr="002B5B1E" w:rsidRDefault="002B5B1E" w:rsidP="008E7E64">
      <w:pPr>
        <w:spacing w:after="0" w:line="240" w:lineRule="auto"/>
        <w:jc w:val="both"/>
        <w:rPr>
          <w:rFonts w:ascii="Times New Roman" w:hAnsi="Times New Roman" w:cs="Times New Roman"/>
          <w:b/>
          <w:sz w:val="24"/>
          <w:szCs w:val="24"/>
        </w:rPr>
      </w:pPr>
    </w:p>
    <w:p w14:paraId="2CB00353" w14:textId="77777777" w:rsidR="00902B76" w:rsidRPr="005860D9" w:rsidRDefault="00902B76" w:rsidP="008E7E64">
      <w:pPr>
        <w:pStyle w:val="ListParagraph"/>
        <w:numPr>
          <w:ilvl w:val="0"/>
          <w:numId w:val="7"/>
        </w:numPr>
        <w:spacing w:after="0" w:line="240" w:lineRule="auto"/>
        <w:jc w:val="both"/>
        <w:rPr>
          <w:rFonts w:ascii="Times New Roman" w:hAnsi="Times New Roman" w:cs="Times New Roman"/>
          <w:b/>
          <w:sz w:val="24"/>
          <w:szCs w:val="24"/>
        </w:rPr>
      </w:pPr>
      <w:r w:rsidRPr="005860D9">
        <w:rPr>
          <w:rFonts w:ascii="Times New Roman" w:hAnsi="Times New Roman" w:cs="Times New Roman"/>
          <w:b/>
          <w:sz w:val="24"/>
          <w:szCs w:val="24"/>
        </w:rPr>
        <w:t>Participation by Non-Governmental Organizations (NGOs)-I</w:t>
      </w:r>
    </w:p>
    <w:p w14:paraId="777C4591" w14:textId="77777777" w:rsidR="00902B76" w:rsidRPr="00902B76" w:rsidRDefault="00902B76" w:rsidP="008E7E64">
      <w:pPr>
        <w:spacing w:after="0" w:line="240" w:lineRule="auto"/>
        <w:jc w:val="both"/>
        <w:rPr>
          <w:rFonts w:ascii="Times New Roman" w:hAnsi="Times New Roman" w:cs="Times New Roman"/>
          <w:b/>
          <w:sz w:val="24"/>
          <w:szCs w:val="24"/>
        </w:rPr>
      </w:pPr>
      <w:r w:rsidRPr="00902B76">
        <w:rPr>
          <w:rFonts w:ascii="Times New Roman" w:hAnsi="Times New Roman" w:cs="Times New Roman"/>
          <w:b/>
          <w:sz w:val="24"/>
          <w:szCs w:val="24"/>
        </w:rPr>
        <w:t xml:space="preserve"> </w:t>
      </w:r>
    </w:p>
    <w:p w14:paraId="7585B147" w14:textId="77777777" w:rsidR="00902B76" w:rsidRPr="00902B76" w:rsidRDefault="00902B76" w:rsidP="008E7E64">
      <w:pPr>
        <w:spacing w:after="0" w:line="240" w:lineRule="auto"/>
        <w:jc w:val="both"/>
        <w:rPr>
          <w:rFonts w:ascii="Times New Roman" w:hAnsi="Times New Roman" w:cs="Times New Roman"/>
          <w:bCs/>
          <w:sz w:val="24"/>
          <w:szCs w:val="24"/>
        </w:rPr>
      </w:pPr>
      <w:r w:rsidRPr="00902B76">
        <w:rPr>
          <w:rFonts w:ascii="Times New Roman" w:hAnsi="Times New Roman" w:cs="Times New Roman"/>
          <w:bCs/>
          <w:sz w:val="24"/>
          <w:szCs w:val="24"/>
        </w:rPr>
        <w:t xml:space="preserve">The Bolivian constitution (art 241) states that the people, through organized civil society, can participate in the design of public policies and exercise social control over public management. In order to implement this </w:t>
      </w:r>
      <w:proofErr w:type="gramStart"/>
      <w:r w:rsidRPr="00902B76">
        <w:rPr>
          <w:rFonts w:ascii="Times New Roman" w:hAnsi="Times New Roman" w:cs="Times New Roman"/>
          <w:bCs/>
          <w:sz w:val="24"/>
          <w:szCs w:val="24"/>
        </w:rPr>
        <w:t>principle</w:t>
      </w:r>
      <w:proofErr w:type="gramEnd"/>
      <w:r w:rsidRPr="00902B76">
        <w:rPr>
          <w:rFonts w:ascii="Times New Roman" w:hAnsi="Times New Roman" w:cs="Times New Roman"/>
          <w:bCs/>
          <w:sz w:val="24"/>
          <w:szCs w:val="24"/>
        </w:rPr>
        <w:t xml:space="preserve"> Law 341 of 2013 (Participation and Social Control Law) sets the general framework for Participation and Social Control and defines its ends, principles, rights and obligations. </w:t>
      </w:r>
    </w:p>
    <w:p w14:paraId="24EED653" w14:textId="77777777" w:rsidR="00902B76" w:rsidRPr="00902B76" w:rsidRDefault="00902B76" w:rsidP="008E7E64">
      <w:pPr>
        <w:spacing w:after="0" w:line="240" w:lineRule="auto"/>
        <w:jc w:val="both"/>
        <w:rPr>
          <w:rFonts w:ascii="Times New Roman" w:hAnsi="Times New Roman" w:cs="Times New Roman"/>
          <w:bCs/>
          <w:sz w:val="24"/>
          <w:szCs w:val="24"/>
        </w:rPr>
      </w:pPr>
    </w:p>
    <w:p w14:paraId="79A0E66C" w14:textId="77777777" w:rsidR="00902B76" w:rsidRPr="00902B76" w:rsidRDefault="00902B76" w:rsidP="008E7E64">
      <w:pPr>
        <w:spacing w:after="0" w:line="240" w:lineRule="auto"/>
        <w:jc w:val="both"/>
        <w:rPr>
          <w:rFonts w:ascii="Times New Roman" w:hAnsi="Times New Roman" w:cs="Times New Roman"/>
          <w:bCs/>
          <w:sz w:val="24"/>
          <w:szCs w:val="24"/>
        </w:rPr>
      </w:pPr>
      <w:r w:rsidRPr="00902B76">
        <w:rPr>
          <w:rFonts w:ascii="Times New Roman" w:hAnsi="Times New Roman" w:cs="Times New Roman"/>
          <w:bCs/>
          <w:sz w:val="24"/>
          <w:szCs w:val="24"/>
        </w:rPr>
        <w:t xml:space="preserve">The Law sets out the type of actors allowed to exercise oversight and control, along with the responsibilities of state agencies and the exceptions to this. The law defines (Art 7) three types of social control actors: a) organic, related to social sectors and legal neighbor or trade union boards, b) communitarian, related to original peoples and nations, intercultural and </w:t>
      </w:r>
      <w:proofErr w:type="spellStart"/>
      <w:r w:rsidRPr="00902B76">
        <w:rPr>
          <w:rFonts w:ascii="Times New Roman" w:hAnsi="Times New Roman" w:cs="Times New Roman"/>
          <w:bCs/>
          <w:sz w:val="24"/>
          <w:szCs w:val="24"/>
        </w:rPr>
        <w:t>Afrobolivian</w:t>
      </w:r>
      <w:proofErr w:type="spellEnd"/>
      <w:r w:rsidRPr="00902B76">
        <w:rPr>
          <w:rFonts w:ascii="Times New Roman" w:hAnsi="Times New Roman" w:cs="Times New Roman"/>
          <w:bCs/>
          <w:sz w:val="24"/>
          <w:szCs w:val="24"/>
        </w:rPr>
        <w:t xml:space="preserve"> communities and those recognized by the constitution as having their own type of organization, and c) circumstantial, related to those grouped for a specific objective and that cease to exist when the objective has been met. </w:t>
      </w:r>
    </w:p>
    <w:p w14:paraId="2CB4A6E3" w14:textId="77777777" w:rsidR="00902B76" w:rsidRPr="00902B76" w:rsidRDefault="00902B76" w:rsidP="008E7E64">
      <w:pPr>
        <w:spacing w:after="0" w:line="240" w:lineRule="auto"/>
        <w:jc w:val="both"/>
        <w:rPr>
          <w:rFonts w:ascii="Times New Roman" w:hAnsi="Times New Roman" w:cs="Times New Roman"/>
          <w:bCs/>
          <w:sz w:val="24"/>
          <w:szCs w:val="24"/>
        </w:rPr>
      </w:pPr>
    </w:p>
    <w:p w14:paraId="29730A70" w14:textId="156BF961" w:rsidR="00902B76" w:rsidRPr="00902B76" w:rsidRDefault="00902B76" w:rsidP="008E7E64">
      <w:pPr>
        <w:spacing w:after="0" w:line="240" w:lineRule="auto"/>
        <w:jc w:val="both"/>
        <w:rPr>
          <w:rFonts w:ascii="Times New Roman" w:hAnsi="Times New Roman" w:cs="Times New Roman"/>
          <w:bCs/>
          <w:sz w:val="24"/>
          <w:szCs w:val="24"/>
        </w:rPr>
      </w:pPr>
      <w:r w:rsidRPr="35E55BE6">
        <w:rPr>
          <w:rFonts w:ascii="Times New Roman" w:hAnsi="Times New Roman" w:cs="Times New Roman"/>
          <w:sz w:val="24"/>
          <w:szCs w:val="24"/>
        </w:rPr>
        <w:t xml:space="preserve">Non-Governmental Organizations (NGOs) are not included in Article 7 or mentioned throughout Law 341.  This can have implications on their legal situation, which can in practice limit the right to access to public information set out on ICCPR article 19 and the right to participate in public affairs in article 25. Civil Society Organizations have indicated this as a concern. Moreover, law 341 required existing CSOs to update their status, and thus apply for registration and meet the requirements, despite being already legally registered prior to 2013. Interviewed organizations raised the issue that re-registration was difficult and lengthy in practice, with many complicated requirements.  According to a 2019 study and survey by ‘Fundación </w:t>
      </w:r>
      <w:proofErr w:type="spellStart"/>
      <w:r w:rsidRPr="35E55BE6">
        <w:rPr>
          <w:rFonts w:ascii="Times New Roman" w:hAnsi="Times New Roman" w:cs="Times New Roman"/>
          <w:sz w:val="24"/>
          <w:szCs w:val="24"/>
        </w:rPr>
        <w:t>Construir</w:t>
      </w:r>
      <w:proofErr w:type="spellEnd"/>
      <w:r w:rsidRPr="35E55BE6">
        <w:rPr>
          <w:rFonts w:ascii="Times New Roman" w:hAnsi="Times New Roman" w:cs="Times New Roman"/>
          <w:sz w:val="24"/>
          <w:szCs w:val="24"/>
        </w:rPr>
        <w:t>’ to 30 Civil Society Organizations, 27% of organizations highlighted that registration took between 6 months and 1 year, while 13% cited the procedure lasted over one year.</w:t>
      </w:r>
      <w:r w:rsidRPr="35E55BE6">
        <w:rPr>
          <w:rFonts w:ascii="Times New Roman" w:hAnsi="Times New Roman" w:cs="Times New Roman"/>
          <w:sz w:val="24"/>
          <w:szCs w:val="24"/>
          <w:vertAlign w:val="superscript"/>
        </w:rPr>
        <w:footnoteReference w:id="23"/>
      </w:r>
      <w:r w:rsidRPr="35E55BE6">
        <w:rPr>
          <w:rFonts w:ascii="Times New Roman" w:hAnsi="Times New Roman" w:cs="Times New Roman"/>
          <w:sz w:val="24"/>
          <w:szCs w:val="24"/>
        </w:rPr>
        <w:t xml:space="preserve"> </w:t>
      </w:r>
    </w:p>
    <w:p w14:paraId="3D643877" w14:textId="77777777" w:rsidR="00902B76" w:rsidRPr="00902B76" w:rsidRDefault="00902B76" w:rsidP="008E7E64">
      <w:pPr>
        <w:spacing w:after="0" w:line="240" w:lineRule="auto"/>
        <w:jc w:val="both"/>
        <w:rPr>
          <w:rFonts w:ascii="Times New Roman" w:hAnsi="Times New Roman" w:cs="Times New Roman"/>
          <w:bCs/>
          <w:sz w:val="24"/>
          <w:szCs w:val="24"/>
        </w:rPr>
      </w:pPr>
      <w:r w:rsidRPr="00902B76">
        <w:rPr>
          <w:rFonts w:ascii="Times New Roman" w:hAnsi="Times New Roman" w:cs="Times New Roman"/>
          <w:bCs/>
          <w:sz w:val="24"/>
          <w:szCs w:val="24"/>
        </w:rPr>
        <w:t xml:space="preserve">Furthermore, article 11 Paragraph 4 of Law 341 limits social control and participation “in the Electoral Body, not able to intervene in the electoral process”. While article 20 indicates how the </w:t>
      </w:r>
      <w:proofErr w:type="spellStart"/>
      <w:r w:rsidRPr="00902B76">
        <w:rPr>
          <w:rFonts w:ascii="Times New Roman" w:hAnsi="Times New Roman" w:cs="Times New Roman"/>
          <w:bCs/>
          <w:sz w:val="24"/>
          <w:szCs w:val="24"/>
        </w:rPr>
        <w:t>Plurinational</w:t>
      </w:r>
      <w:proofErr w:type="spellEnd"/>
      <w:r w:rsidRPr="00902B76">
        <w:rPr>
          <w:rFonts w:ascii="Times New Roman" w:hAnsi="Times New Roman" w:cs="Times New Roman"/>
          <w:bCs/>
          <w:sz w:val="24"/>
          <w:szCs w:val="24"/>
        </w:rPr>
        <w:t xml:space="preserve"> Electoral Body guarantees access to information and accountability, the prohibition on article 11 can result in interpretations effectively limiting the monitoring of electoral processes by civil society, thus restricting the right to access to information and the participation in public affairs, as stated in ICCPR articles 19 and 25.  </w:t>
      </w:r>
    </w:p>
    <w:p w14:paraId="48D6F589" w14:textId="77777777" w:rsidR="00902B76" w:rsidRPr="00902B76" w:rsidRDefault="00902B76" w:rsidP="008E7E64">
      <w:pPr>
        <w:spacing w:after="0" w:line="240" w:lineRule="auto"/>
        <w:jc w:val="both"/>
        <w:rPr>
          <w:rFonts w:ascii="Times New Roman" w:hAnsi="Times New Roman" w:cs="Times New Roman"/>
          <w:b/>
          <w:sz w:val="24"/>
          <w:szCs w:val="24"/>
        </w:rPr>
      </w:pPr>
    </w:p>
    <w:p w14:paraId="79966D78" w14:textId="77777777" w:rsidR="00902B76" w:rsidRPr="005860D9" w:rsidRDefault="00902B76" w:rsidP="008E7E64">
      <w:pPr>
        <w:pStyle w:val="ListParagraph"/>
        <w:numPr>
          <w:ilvl w:val="0"/>
          <w:numId w:val="7"/>
        </w:numPr>
        <w:spacing w:after="0" w:line="240" w:lineRule="auto"/>
        <w:jc w:val="both"/>
        <w:rPr>
          <w:rFonts w:ascii="Times New Roman" w:hAnsi="Times New Roman" w:cs="Times New Roman"/>
          <w:b/>
          <w:sz w:val="24"/>
          <w:szCs w:val="24"/>
        </w:rPr>
      </w:pPr>
      <w:r w:rsidRPr="005860D9">
        <w:rPr>
          <w:rFonts w:ascii="Times New Roman" w:hAnsi="Times New Roman" w:cs="Times New Roman"/>
          <w:b/>
          <w:sz w:val="24"/>
          <w:szCs w:val="24"/>
        </w:rPr>
        <w:t xml:space="preserve">Participation by Non-Governmental Organizations (NGOs)-II  </w:t>
      </w:r>
    </w:p>
    <w:p w14:paraId="1AF29998" w14:textId="77777777" w:rsidR="00902B76" w:rsidRPr="00902B76" w:rsidRDefault="00902B76" w:rsidP="008E7E64">
      <w:pPr>
        <w:spacing w:after="0" w:line="240" w:lineRule="auto"/>
        <w:jc w:val="both"/>
        <w:rPr>
          <w:rFonts w:ascii="Times New Roman" w:hAnsi="Times New Roman" w:cs="Times New Roman"/>
          <w:b/>
          <w:sz w:val="24"/>
          <w:szCs w:val="24"/>
        </w:rPr>
      </w:pPr>
    </w:p>
    <w:p w14:paraId="67FB1F94" w14:textId="77777777" w:rsidR="00902B76" w:rsidRPr="00902B76" w:rsidRDefault="00902B76" w:rsidP="008E7E64">
      <w:pPr>
        <w:spacing w:after="0" w:line="240" w:lineRule="auto"/>
        <w:jc w:val="both"/>
        <w:rPr>
          <w:rFonts w:ascii="Times New Roman" w:hAnsi="Times New Roman" w:cs="Times New Roman"/>
          <w:bCs/>
          <w:sz w:val="24"/>
          <w:szCs w:val="24"/>
        </w:rPr>
      </w:pPr>
      <w:r w:rsidRPr="00902B76">
        <w:rPr>
          <w:rFonts w:ascii="Times New Roman" w:hAnsi="Times New Roman" w:cs="Times New Roman"/>
          <w:bCs/>
          <w:sz w:val="24"/>
          <w:szCs w:val="24"/>
        </w:rPr>
        <w:t xml:space="preserve">Law 351 of 2013 (law for granting legal status) sets out the requirements for registration of social organizations, NGOs, </w:t>
      </w:r>
      <w:proofErr w:type="gramStart"/>
      <w:r w:rsidRPr="00902B76">
        <w:rPr>
          <w:rFonts w:ascii="Times New Roman" w:hAnsi="Times New Roman" w:cs="Times New Roman"/>
          <w:bCs/>
          <w:sz w:val="24"/>
          <w:szCs w:val="24"/>
        </w:rPr>
        <w:t>foundations</w:t>
      </w:r>
      <w:proofErr w:type="gramEnd"/>
      <w:r w:rsidRPr="00902B76">
        <w:rPr>
          <w:rFonts w:ascii="Times New Roman" w:hAnsi="Times New Roman" w:cs="Times New Roman"/>
          <w:bCs/>
          <w:sz w:val="24"/>
          <w:szCs w:val="24"/>
        </w:rPr>
        <w:t xml:space="preserve"> and other non-profits. This Law was regulated by Supreme Decree 1597, which listed numerous requirements and lengthy processes for registration, thus constituting an obstacle for the work of civil society.</w:t>
      </w:r>
    </w:p>
    <w:p w14:paraId="27F755EC" w14:textId="77777777" w:rsidR="00902B76" w:rsidRPr="00902B76" w:rsidRDefault="00902B76" w:rsidP="008E7E64">
      <w:pPr>
        <w:spacing w:after="0" w:line="240" w:lineRule="auto"/>
        <w:jc w:val="both"/>
        <w:rPr>
          <w:rFonts w:ascii="Times New Roman" w:hAnsi="Times New Roman" w:cs="Times New Roman"/>
          <w:bCs/>
          <w:sz w:val="24"/>
          <w:szCs w:val="24"/>
        </w:rPr>
      </w:pPr>
    </w:p>
    <w:p w14:paraId="56A7FA73" w14:textId="77777777" w:rsidR="00902B76" w:rsidRPr="00902B76" w:rsidRDefault="00902B76" w:rsidP="008E7E64">
      <w:pPr>
        <w:spacing w:after="0" w:line="240" w:lineRule="auto"/>
        <w:jc w:val="both"/>
        <w:rPr>
          <w:rFonts w:ascii="Times New Roman" w:hAnsi="Times New Roman" w:cs="Times New Roman"/>
          <w:bCs/>
          <w:sz w:val="24"/>
          <w:szCs w:val="24"/>
        </w:rPr>
      </w:pPr>
      <w:r w:rsidRPr="00902B76">
        <w:rPr>
          <w:rFonts w:ascii="Times New Roman" w:hAnsi="Times New Roman" w:cs="Times New Roman"/>
          <w:bCs/>
          <w:sz w:val="24"/>
          <w:szCs w:val="24"/>
        </w:rPr>
        <w:lastRenderedPageBreak/>
        <w:t xml:space="preserve">A welcome development is the enactment of Supreme Decree 4353 in October 2020, which revoked Decree 1597 and facilitated the registration and operation of civil society organizations and NGOs. Amongst other key changes, Supreme Decree 4353 set deadlines so the Ministry of the Presidency promptly and diligently reviews, </w:t>
      </w:r>
      <w:proofErr w:type="gramStart"/>
      <w:r w:rsidRPr="00902B76">
        <w:rPr>
          <w:rFonts w:ascii="Times New Roman" w:hAnsi="Times New Roman" w:cs="Times New Roman"/>
          <w:bCs/>
          <w:sz w:val="24"/>
          <w:szCs w:val="24"/>
        </w:rPr>
        <w:t>informs</w:t>
      </w:r>
      <w:proofErr w:type="gramEnd"/>
      <w:r w:rsidRPr="00902B76">
        <w:rPr>
          <w:rFonts w:ascii="Times New Roman" w:hAnsi="Times New Roman" w:cs="Times New Roman"/>
          <w:bCs/>
          <w:sz w:val="24"/>
          <w:szCs w:val="24"/>
        </w:rPr>
        <w:t xml:space="preserve"> and grants legal registration. </w:t>
      </w:r>
    </w:p>
    <w:p w14:paraId="05400511" w14:textId="77777777" w:rsidR="00902B76" w:rsidRPr="00902B76" w:rsidRDefault="00902B76" w:rsidP="008E7E64">
      <w:pPr>
        <w:spacing w:after="0" w:line="240" w:lineRule="auto"/>
        <w:jc w:val="both"/>
        <w:rPr>
          <w:rFonts w:ascii="Times New Roman" w:hAnsi="Times New Roman" w:cs="Times New Roman"/>
          <w:bCs/>
          <w:sz w:val="24"/>
          <w:szCs w:val="24"/>
        </w:rPr>
      </w:pPr>
    </w:p>
    <w:p w14:paraId="040F1740" w14:textId="46C85EE4" w:rsidR="00DF7777" w:rsidRPr="00DF7777" w:rsidRDefault="00902B76" w:rsidP="008E7E64">
      <w:pPr>
        <w:spacing w:after="0" w:line="240" w:lineRule="auto"/>
        <w:jc w:val="both"/>
        <w:rPr>
          <w:rFonts w:ascii="Times New Roman" w:hAnsi="Times New Roman" w:cs="Times New Roman"/>
          <w:sz w:val="24"/>
          <w:szCs w:val="24"/>
        </w:rPr>
      </w:pPr>
      <w:r w:rsidRPr="35E55BE6">
        <w:rPr>
          <w:rFonts w:ascii="Times New Roman" w:hAnsi="Times New Roman" w:cs="Times New Roman"/>
          <w:sz w:val="24"/>
          <w:szCs w:val="24"/>
        </w:rPr>
        <w:t xml:space="preserve">However, and </w:t>
      </w:r>
      <w:proofErr w:type="gramStart"/>
      <w:r w:rsidRPr="35E55BE6">
        <w:rPr>
          <w:rFonts w:ascii="Times New Roman" w:hAnsi="Times New Roman" w:cs="Times New Roman"/>
          <w:sz w:val="24"/>
          <w:szCs w:val="24"/>
        </w:rPr>
        <w:t>in spite of</w:t>
      </w:r>
      <w:proofErr w:type="gramEnd"/>
      <w:r w:rsidRPr="35E55BE6">
        <w:rPr>
          <w:rFonts w:ascii="Times New Roman" w:hAnsi="Times New Roman" w:cs="Times New Roman"/>
          <w:sz w:val="24"/>
          <w:szCs w:val="24"/>
        </w:rPr>
        <w:t xml:space="preserve"> this positive decree, Law 351 (Article 14) indicates that the government will revoke the legal status of organizations when they undertake activities different than those referred to in their statutes. This can constitute a disproportionate sanction and limit the activities and operation of the abovementioned organizations. This concern has also been noted by the United Nations Human Rights Committee on its third periodic report of the </w:t>
      </w:r>
      <w:proofErr w:type="spellStart"/>
      <w:r w:rsidRPr="35E55BE6">
        <w:rPr>
          <w:rFonts w:ascii="Times New Roman" w:hAnsi="Times New Roman" w:cs="Times New Roman"/>
          <w:sz w:val="24"/>
          <w:szCs w:val="24"/>
        </w:rPr>
        <w:t>Plurinational</w:t>
      </w:r>
      <w:proofErr w:type="spellEnd"/>
      <w:r w:rsidRPr="35E55BE6">
        <w:rPr>
          <w:rFonts w:ascii="Times New Roman" w:hAnsi="Times New Roman" w:cs="Times New Roman"/>
          <w:sz w:val="24"/>
          <w:szCs w:val="24"/>
        </w:rPr>
        <w:t xml:space="preserve"> State of Bolivia.</w:t>
      </w:r>
      <w:r w:rsidRPr="35E55BE6">
        <w:rPr>
          <w:rFonts w:ascii="Times New Roman" w:hAnsi="Times New Roman" w:cs="Times New Roman"/>
          <w:sz w:val="24"/>
          <w:szCs w:val="24"/>
          <w:vertAlign w:val="superscript"/>
        </w:rPr>
        <w:footnoteReference w:id="24"/>
      </w:r>
      <w:r w:rsidRPr="35E55BE6">
        <w:rPr>
          <w:rFonts w:ascii="Times New Roman" w:hAnsi="Times New Roman" w:cs="Times New Roman"/>
          <w:sz w:val="24"/>
          <w:szCs w:val="24"/>
        </w:rPr>
        <w:t xml:space="preserve"> This can also potentially represent an obstacle for the right of peaceful assembly, as stipulated under ICCPR article 22.</w:t>
      </w:r>
    </w:p>
    <w:p w14:paraId="46BC58B8" w14:textId="1BB5FD50" w:rsidR="302A11A8" w:rsidRDefault="302A11A8" w:rsidP="008E7E64">
      <w:pPr>
        <w:spacing w:after="0" w:line="240" w:lineRule="auto"/>
        <w:jc w:val="both"/>
        <w:rPr>
          <w:rFonts w:ascii="Times New Roman" w:hAnsi="Times New Roman" w:cs="Times New Roman"/>
          <w:sz w:val="24"/>
          <w:szCs w:val="24"/>
        </w:rPr>
      </w:pPr>
    </w:p>
    <w:p w14:paraId="1BFF0E83" w14:textId="32737C58" w:rsidR="007C11E4" w:rsidRPr="00445A43" w:rsidRDefault="2F8B2D7E" w:rsidP="008E7E64">
      <w:pPr>
        <w:spacing w:after="0" w:line="240" w:lineRule="auto"/>
        <w:jc w:val="both"/>
        <w:rPr>
          <w:rFonts w:ascii="Times New Roman" w:hAnsi="Times New Roman" w:cs="Times New Roman"/>
          <w:b/>
          <w:bCs/>
          <w:sz w:val="24"/>
          <w:szCs w:val="24"/>
        </w:rPr>
      </w:pPr>
      <w:r w:rsidRPr="00445A43">
        <w:rPr>
          <w:rFonts w:ascii="Times New Roman" w:hAnsi="Times New Roman" w:cs="Times New Roman"/>
          <w:b/>
          <w:bCs/>
          <w:sz w:val="24"/>
          <w:szCs w:val="24"/>
        </w:rPr>
        <w:t>Recommendation</w:t>
      </w:r>
      <w:r w:rsidR="6F2B4D46" w:rsidRPr="00445A43">
        <w:rPr>
          <w:rFonts w:ascii="Times New Roman" w:hAnsi="Times New Roman" w:cs="Times New Roman"/>
          <w:b/>
          <w:bCs/>
          <w:sz w:val="24"/>
          <w:szCs w:val="24"/>
        </w:rPr>
        <w:t>s</w:t>
      </w:r>
    </w:p>
    <w:p w14:paraId="62282F0F" w14:textId="73B0CF6F" w:rsidR="2154617A" w:rsidRDefault="2154617A" w:rsidP="008E7E64">
      <w:pPr>
        <w:spacing w:after="0" w:line="240" w:lineRule="auto"/>
        <w:jc w:val="both"/>
        <w:rPr>
          <w:rFonts w:ascii="Times New Roman" w:hAnsi="Times New Roman" w:cs="Times New Roman"/>
          <w:sz w:val="24"/>
          <w:szCs w:val="24"/>
        </w:rPr>
      </w:pPr>
    </w:p>
    <w:p w14:paraId="09D95A1C" w14:textId="6A4AAA12" w:rsidR="533730C0" w:rsidRDefault="2F8B2D7E" w:rsidP="008E7E64">
      <w:pPr>
        <w:spacing w:after="0" w:line="240" w:lineRule="auto"/>
        <w:jc w:val="both"/>
        <w:rPr>
          <w:rFonts w:ascii="Times New Roman" w:eastAsia="Times New Roman" w:hAnsi="Times New Roman" w:cs="Times New Roman"/>
          <w:color w:val="000000" w:themeColor="text1"/>
          <w:sz w:val="24"/>
          <w:szCs w:val="24"/>
        </w:rPr>
      </w:pPr>
      <w:r w:rsidRPr="2154617A">
        <w:rPr>
          <w:rFonts w:ascii="Times New Roman" w:eastAsia="Times New Roman" w:hAnsi="Times New Roman" w:cs="Times New Roman"/>
          <w:color w:val="000000" w:themeColor="text1"/>
          <w:sz w:val="24"/>
          <w:szCs w:val="24"/>
        </w:rPr>
        <w:t>The Carter Center considers that priority should be given to</w:t>
      </w:r>
      <w:r w:rsidRPr="23B8263C">
        <w:rPr>
          <w:rFonts w:ascii="Times New Roman" w:eastAsia="Times New Roman" w:hAnsi="Times New Roman" w:cs="Times New Roman"/>
          <w:color w:val="000000" w:themeColor="text1"/>
          <w:sz w:val="24"/>
          <w:szCs w:val="24"/>
        </w:rPr>
        <w:t xml:space="preserve"> </w:t>
      </w:r>
      <w:r w:rsidRPr="46C54554">
        <w:rPr>
          <w:rFonts w:ascii="Times New Roman" w:eastAsia="Times New Roman" w:hAnsi="Times New Roman" w:cs="Times New Roman"/>
          <w:color w:val="000000" w:themeColor="text1"/>
          <w:sz w:val="24"/>
          <w:szCs w:val="24"/>
        </w:rPr>
        <w:t>amend</w:t>
      </w:r>
      <w:r w:rsidRPr="23B8263C">
        <w:rPr>
          <w:rFonts w:ascii="Times New Roman" w:eastAsia="Times New Roman" w:hAnsi="Times New Roman" w:cs="Times New Roman"/>
          <w:color w:val="000000" w:themeColor="text1"/>
          <w:sz w:val="24"/>
          <w:szCs w:val="24"/>
        </w:rPr>
        <w:t xml:space="preserve"> </w:t>
      </w:r>
      <w:r w:rsidRPr="24769980">
        <w:rPr>
          <w:rFonts w:ascii="Times New Roman" w:eastAsia="Times New Roman" w:hAnsi="Times New Roman" w:cs="Times New Roman"/>
          <w:color w:val="000000" w:themeColor="text1"/>
          <w:sz w:val="24"/>
          <w:szCs w:val="24"/>
        </w:rPr>
        <w:t xml:space="preserve">Law 341 </w:t>
      </w:r>
      <w:r w:rsidR="15BCA474" w:rsidRPr="6C060383">
        <w:rPr>
          <w:rFonts w:ascii="Times New Roman" w:eastAsia="Times New Roman" w:hAnsi="Times New Roman" w:cs="Times New Roman"/>
          <w:color w:val="000000" w:themeColor="text1"/>
          <w:sz w:val="24"/>
          <w:szCs w:val="24"/>
        </w:rPr>
        <w:t xml:space="preserve">to </w:t>
      </w:r>
      <w:r w:rsidR="15BCA474" w:rsidRPr="616AC6D2">
        <w:rPr>
          <w:rFonts w:ascii="Times New Roman" w:eastAsia="Times New Roman" w:hAnsi="Times New Roman" w:cs="Times New Roman"/>
          <w:color w:val="000000" w:themeColor="text1"/>
          <w:sz w:val="24"/>
          <w:szCs w:val="24"/>
        </w:rPr>
        <w:t xml:space="preserve">include </w:t>
      </w:r>
      <w:r w:rsidR="15BCA474" w:rsidRPr="1F928403">
        <w:rPr>
          <w:rFonts w:ascii="Times New Roman" w:eastAsia="Times New Roman" w:hAnsi="Times New Roman" w:cs="Times New Roman"/>
          <w:color w:val="000000" w:themeColor="text1"/>
          <w:sz w:val="24"/>
          <w:szCs w:val="24"/>
        </w:rPr>
        <w:t xml:space="preserve">Non-Governmental Organizations (NGOs) </w:t>
      </w:r>
      <w:r w:rsidR="15BCA474" w:rsidRPr="50B6E005">
        <w:rPr>
          <w:rFonts w:ascii="Times New Roman" w:eastAsia="Times New Roman" w:hAnsi="Times New Roman" w:cs="Times New Roman"/>
          <w:color w:val="000000" w:themeColor="text1"/>
          <w:sz w:val="24"/>
          <w:szCs w:val="24"/>
        </w:rPr>
        <w:t>in article</w:t>
      </w:r>
      <w:r w:rsidR="15BCA474" w:rsidRPr="737F082E">
        <w:rPr>
          <w:rFonts w:ascii="Times New Roman" w:eastAsia="Times New Roman" w:hAnsi="Times New Roman" w:cs="Times New Roman"/>
          <w:color w:val="000000" w:themeColor="text1"/>
          <w:sz w:val="24"/>
          <w:szCs w:val="24"/>
        </w:rPr>
        <w:t xml:space="preserve"> </w:t>
      </w:r>
      <w:r w:rsidR="15BCA474" w:rsidRPr="737F082E">
        <w:rPr>
          <w:rFonts w:ascii="Times New Roman" w:eastAsia="Times New Roman" w:hAnsi="Times New Roman" w:cs="Times New Roman"/>
          <w:color w:val="000000" w:themeColor="text1"/>
          <w:sz w:val="24"/>
          <w:szCs w:val="24"/>
        </w:rPr>
        <w:t>7</w:t>
      </w:r>
      <w:r w:rsidR="1CAAB5BB" w:rsidRPr="17FCF35F">
        <w:rPr>
          <w:rFonts w:ascii="Times New Roman" w:eastAsia="Times New Roman" w:hAnsi="Times New Roman" w:cs="Times New Roman"/>
          <w:color w:val="000000" w:themeColor="text1"/>
          <w:sz w:val="24"/>
          <w:szCs w:val="24"/>
        </w:rPr>
        <w:t xml:space="preserve"> </w:t>
      </w:r>
      <w:r w:rsidR="1CAAB5BB" w:rsidRPr="779CEFB2">
        <w:rPr>
          <w:rFonts w:ascii="Times New Roman" w:eastAsia="Times New Roman" w:hAnsi="Times New Roman" w:cs="Times New Roman"/>
          <w:color w:val="000000" w:themeColor="text1"/>
          <w:sz w:val="24"/>
          <w:szCs w:val="24"/>
        </w:rPr>
        <w:t>and</w:t>
      </w:r>
      <w:r w:rsidR="1CAAB5BB" w:rsidRPr="779CEFB2">
        <w:rPr>
          <w:rFonts w:ascii="Times New Roman" w:eastAsia="Times New Roman" w:hAnsi="Times New Roman" w:cs="Times New Roman"/>
          <w:color w:val="000000" w:themeColor="text1"/>
          <w:sz w:val="24"/>
          <w:szCs w:val="24"/>
        </w:rPr>
        <w:t xml:space="preserve"> </w:t>
      </w:r>
      <w:r w:rsidR="1CAAB5BB" w:rsidRPr="2B6E6721">
        <w:rPr>
          <w:rFonts w:ascii="Times New Roman" w:eastAsia="Times New Roman" w:hAnsi="Times New Roman" w:cs="Times New Roman"/>
          <w:color w:val="000000" w:themeColor="text1"/>
          <w:sz w:val="24"/>
          <w:szCs w:val="24"/>
        </w:rPr>
        <w:t xml:space="preserve">amend </w:t>
      </w:r>
      <w:r w:rsidR="1CAAB5BB" w:rsidRPr="779CEFB2">
        <w:rPr>
          <w:rFonts w:ascii="Times New Roman" w:eastAsia="Times New Roman" w:hAnsi="Times New Roman" w:cs="Times New Roman"/>
          <w:color w:val="000000" w:themeColor="text1"/>
          <w:sz w:val="24"/>
          <w:szCs w:val="24"/>
        </w:rPr>
        <w:t xml:space="preserve">article </w:t>
      </w:r>
      <w:r w:rsidR="1CAAB5BB" w:rsidRPr="7AD3F8FC">
        <w:rPr>
          <w:rFonts w:ascii="Times New Roman" w:eastAsia="Times New Roman" w:hAnsi="Times New Roman" w:cs="Times New Roman"/>
          <w:color w:val="000000" w:themeColor="text1"/>
          <w:sz w:val="24"/>
          <w:szCs w:val="24"/>
        </w:rPr>
        <w:t>11 to</w:t>
      </w:r>
      <w:r w:rsidR="1CAAB5BB" w:rsidRPr="36DCE85A">
        <w:rPr>
          <w:rFonts w:ascii="Times New Roman" w:eastAsia="Times New Roman" w:hAnsi="Times New Roman" w:cs="Times New Roman"/>
          <w:color w:val="000000" w:themeColor="text1"/>
          <w:sz w:val="24"/>
          <w:szCs w:val="24"/>
        </w:rPr>
        <w:t xml:space="preserve"> </w:t>
      </w:r>
      <w:r w:rsidR="1CAAB5BB" w:rsidRPr="7F5AEB4C">
        <w:rPr>
          <w:rFonts w:ascii="Times New Roman" w:eastAsia="Times New Roman" w:hAnsi="Times New Roman" w:cs="Times New Roman"/>
          <w:color w:val="000000" w:themeColor="text1"/>
          <w:sz w:val="24"/>
          <w:szCs w:val="24"/>
        </w:rPr>
        <w:t xml:space="preserve">clearly </w:t>
      </w:r>
      <w:r w:rsidR="5C147A07" w:rsidRPr="65A0A7C3">
        <w:rPr>
          <w:rFonts w:ascii="Times New Roman" w:eastAsia="Times New Roman" w:hAnsi="Times New Roman" w:cs="Times New Roman"/>
          <w:color w:val="000000" w:themeColor="text1"/>
          <w:sz w:val="24"/>
          <w:szCs w:val="24"/>
        </w:rPr>
        <w:t>allow</w:t>
      </w:r>
      <w:r w:rsidR="1CAAB5BB" w:rsidRPr="1A309276">
        <w:rPr>
          <w:rFonts w:ascii="Times New Roman" w:eastAsia="Times New Roman" w:hAnsi="Times New Roman" w:cs="Times New Roman"/>
          <w:color w:val="000000" w:themeColor="text1"/>
          <w:sz w:val="24"/>
          <w:szCs w:val="24"/>
        </w:rPr>
        <w:t xml:space="preserve"> </w:t>
      </w:r>
      <w:r w:rsidR="2F61CD3A" w:rsidRPr="4BE33C11">
        <w:rPr>
          <w:rFonts w:ascii="Times New Roman" w:eastAsia="Times New Roman" w:hAnsi="Times New Roman" w:cs="Times New Roman"/>
          <w:color w:val="000000" w:themeColor="text1"/>
          <w:sz w:val="24"/>
          <w:szCs w:val="24"/>
        </w:rPr>
        <w:t xml:space="preserve">CSOs and NGOs </w:t>
      </w:r>
      <w:r w:rsidR="2F61CD3A" w:rsidRPr="4074BAD8">
        <w:rPr>
          <w:rFonts w:ascii="Times New Roman" w:eastAsia="Times New Roman" w:hAnsi="Times New Roman" w:cs="Times New Roman"/>
          <w:color w:val="000000" w:themeColor="text1"/>
          <w:sz w:val="24"/>
          <w:szCs w:val="24"/>
        </w:rPr>
        <w:t xml:space="preserve">monitoring of </w:t>
      </w:r>
      <w:r w:rsidR="2F61CD3A" w:rsidRPr="0718E6E7">
        <w:rPr>
          <w:rFonts w:ascii="Times New Roman" w:eastAsia="Times New Roman" w:hAnsi="Times New Roman" w:cs="Times New Roman"/>
          <w:color w:val="000000" w:themeColor="text1"/>
          <w:sz w:val="24"/>
          <w:szCs w:val="24"/>
        </w:rPr>
        <w:t xml:space="preserve">electoral processes. </w:t>
      </w:r>
      <w:r w:rsidR="1CAAB5BB" w:rsidRPr="4BE33C11">
        <w:rPr>
          <w:rFonts w:ascii="Times New Roman" w:eastAsia="Times New Roman" w:hAnsi="Times New Roman" w:cs="Times New Roman"/>
          <w:color w:val="000000" w:themeColor="text1"/>
          <w:sz w:val="24"/>
          <w:szCs w:val="24"/>
        </w:rPr>
        <w:t xml:space="preserve"> </w:t>
      </w:r>
      <w:r w:rsidR="510AEB4F" w:rsidRPr="3BC0CB06">
        <w:rPr>
          <w:rFonts w:ascii="Times New Roman" w:eastAsia="Times New Roman" w:hAnsi="Times New Roman" w:cs="Times New Roman"/>
          <w:color w:val="000000" w:themeColor="text1"/>
          <w:sz w:val="24"/>
          <w:szCs w:val="24"/>
        </w:rPr>
        <w:t xml:space="preserve">Priority </w:t>
      </w:r>
      <w:r w:rsidR="510AEB4F" w:rsidRPr="0FF24621">
        <w:rPr>
          <w:rFonts w:ascii="Times New Roman" w:eastAsia="Times New Roman" w:hAnsi="Times New Roman" w:cs="Times New Roman"/>
          <w:color w:val="000000" w:themeColor="text1"/>
          <w:sz w:val="24"/>
          <w:szCs w:val="24"/>
        </w:rPr>
        <w:t>should also</w:t>
      </w:r>
      <w:r w:rsidR="510AEB4F" w:rsidRPr="3BC0CB06">
        <w:rPr>
          <w:rFonts w:ascii="Times New Roman" w:eastAsia="Times New Roman" w:hAnsi="Times New Roman" w:cs="Times New Roman"/>
          <w:color w:val="000000" w:themeColor="text1"/>
          <w:sz w:val="24"/>
          <w:szCs w:val="24"/>
        </w:rPr>
        <w:t xml:space="preserve"> be </w:t>
      </w:r>
      <w:r w:rsidR="510AEB4F" w:rsidRPr="0FF24621">
        <w:rPr>
          <w:rFonts w:ascii="Times New Roman" w:eastAsia="Times New Roman" w:hAnsi="Times New Roman" w:cs="Times New Roman"/>
          <w:color w:val="000000" w:themeColor="text1"/>
          <w:sz w:val="24"/>
          <w:szCs w:val="24"/>
        </w:rPr>
        <w:t>given</w:t>
      </w:r>
      <w:r w:rsidR="510AEB4F" w:rsidRPr="1B60C75A">
        <w:rPr>
          <w:rFonts w:ascii="Times New Roman" w:eastAsia="Times New Roman" w:hAnsi="Times New Roman" w:cs="Times New Roman"/>
          <w:color w:val="000000" w:themeColor="text1"/>
          <w:sz w:val="24"/>
          <w:szCs w:val="24"/>
        </w:rPr>
        <w:t xml:space="preserve"> to amend </w:t>
      </w:r>
      <w:r w:rsidR="510AEB4F" w:rsidRPr="38104567">
        <w:rPr>
          <w:rFonts w:ascii="Times New Roman" w:eastAsia="Times New Roman" w:hAnsi="Times New Roman" w:cs="Times New Roman"/>
          <w:color w:val="000000" w:themeColor="text1"/>
          <w:sz w:val="24"/>
          <w:szCs w:val="24"/>
        </w:rPr>
        <w:t xml:space="preserve">Law 351 </w:t>
      </w:r>
      <w:r w:rsidR="510AEB4F" w:rsidRPr="0C41C082">
        <w:rPr>
          <w:rFonts w:ascii="Times New Roman" w:eastAsia="Times New Roman" w:hAnsi="Times New Roman" w:cs="Times New Roman"/>
          <w:color w:val="000000" w:themeColor="text1"/>
          <w:sz w:val="24"/>
          <w:szCs w:val="24"/>
        </w:rPr>
        <w:t xml:space="preserve">(Article </w:t>
      </w:r>
      <w:r w:rsidR="0FA51BC5" w:rsidRPr="0F33D2DD">
        <w:rPr>
          <w:rFonts w:ascii="Times New Roman" w:eastAsia="Times New Roman" w:hAnsi="Times New Roman" w:cs="Times New Roman"/>
          <w:color w:val="000000" w:themeColor="text1"/>
          <w:sz w:val="24"/>
          <w:szCs w:val="24"/>
        </w:rPr>
        <w:t>14) to allow full</w:t>
      </w:r>
      <w:r w:rsidR="510AEB4F" w:rsidRPr="0F33D2DD">
        <w:rPr>
          <w:rFonts w:ascii="Times New Roman" w:eastAsia="Times New Roman" w:hAnsi="Times New Roman" w:cs="Times New Roman"/>
          <w:color w:val="000000" w:themeColor="text1"/>
          <w:sz w:val="24"/>
          <w:szCs w:val="24"/>
        </w:rPr>
        <w:t xml:space="preserve"> </w:t>
      </w:r>
      <w:r w:rsidR="0FA51BC5" w:rsidRPr="55D7FEEB">
        <w:rPr>
          <w:rFonts w:ascii="Times New Roman" w:eastAsia="Times New Roman" w:hAnsi="Times New Roman" w:cs="Times New Roman"/>
          <w:color w:val="000000" w:themeColor="text1"/>
          <w:sz w:val="24"/>
          <w:szCs w:val="24"/>
        </w:rPr>
        <w:t>enjoyment</w:t>
      </w:r>
      <w:r w:rsidR="510AEB4F" w:rsidRPr="55D7FEEB">
        <w:rPr>
          <w:rFonts w:ascii="Times New Roman" w:eastAsia="Times New Roman" w:hAnsi="Times New Roman" w:cs="Times New Roman"/>
          <w:color w:val="000000" w:themeColor="text1"/>
          <w:sz w:val="24"/>
          <w:szCs w:val="24"/>
        </w:rPr>
        <w:t xml:space="preserve"> </w:t>
      </w:r>
      <w:r w:rsidR="0FA51BC5" w:rsidRPr="1C7C2AFA">
        <w:rPr>
          <w:rFonts w:ascii="Times New Roman" w:eastAsia="Times New Roman" w:hAnsi="Times New Roman" w:cs="Times New Roman"/>
          <w:color w:val="000000" w:themeColor="text1"/>
          <w:sz w:val="24"/>
          <w:szCs w:val="24"/>
        </w:rPr>
        <w:t xml:space="preserve">of </w:t>
      </w:r>
      <w:r w:rsidR="0FA51BC5" w:rsidRPr="3FCE4101">
        <w:rPr>
          <w:rFonts w:ascii="Times New Roman" w:eastAsia="Times New Roman" w:hAnsi="Times New Roman" w:cs="Times New Roman"/>
          <w:color w:val="000000" w:themeColor="text1"/>
          <w:sz w:val="24"/>
          <w:szCs w:val="24"/>
        </w:rPr>
        <w:t xml:space="preserve">the right </w:t>
      </w:r>
      <w:r w:rsidR="0FA51BC5" w:rsidRPr="4D16991E">
        <w:rPr>
          <w:rFonts w:ascii="Times New Roman" w:eastAsia="Times New Roman" w:hAnsi="Times New Roman" w:cs="Times New Roman"/>
          <w:color w:val="000000" w:themeColor="text1"/>
          <w:sz w:val="24"/>
          <w:szCs w:val="24"/>
        </w:rPr>
        <w:t xml:space="preserve">of </w:t>
      </w:r>
      <w:r w:rsidR="0FA51BC5" w:rsidRPr="5A5EF13B">
        <w:rPr>
          <w:rFonts w:ascii="Times New Roman" w:eastAsia="Times New Roman" w:hAnsi="Times New Roman" w:cs="Times New Roman"/>
          <w:color w:val="000000" w:themeColor="text1"/>
          <w:sz w:val="24"/>
          <w:szCs w:val="24"/>
        </w:rPr>
        <w:t>peaceful assembly</w:t>
      </w:r>
      <w:r w:rsidR="0FA51BC5" w:rsidRPr="7DB10742">
        <w:rPr>
          <w:rFonts w:ascii="Times New Roman" w:eastAsia="Times New Roman" w:hAnsi="Times New Roman" w:cs="Times New Roman"/>
          <w:color w:val="000000" w:themeColor="text1"/>
          <w:sz w:val="24"/>
          <w:szCs w:val="24"/>
        </w:rPr>
        <w:t xml:space="preserve">. </w:t>
      </w:r>
      <w:r w:rsidR="510AEB4F" w:rsidRPr="5A5EF13B">
        <w:rPr>
          <w:rFonts w:ascii="Times New Roman" w:eastAsia="Times New Roman" w:hAnsi="Times New Roman" w:cs="Times New Roman"/>
          <w:color w:val="000000" w:themeColor="text1"/>
          <w:sz w:val="24"/>
          <w:szCs w:val="24"/>
        </w:rPr>
        <w:t xml:space="preserve"> </w:t>
      </w:r>
    </w:p>
    <w:p w14:paraId="587220CF" w14:textId="4E60B3B6" w:rsidR="35E55BE6" w:rsidRDefault="35E55BE6" w:rsidP="008E7E64">
      <w:pPr>
        <w:spacing w:after="0" w:line="240" w:lineRule="auto"/>
        <w:jc w:val="both"/>
        <w:rPr>
          <w:rFonts w:ascii="Times New Roman" w:hAnsi="Times New Roman" w:cs="Times New Roman"/>
          <w:sz w:val="24"/>
          <w:szCs w:val="24"/>
        </w:rPr>
      </w:pPr>
    </w:p>
    <w:p w14:paraId="3FEB38A9" w14:textId="21E97ED7" w:rsidR="00EC2C53" w:rsidRPr="00445A43" w:rsidRDefault="00EC2C53" w:rsidP="00376959">
      <w:pPr>
        <w:spacing w:after="0" w:line="240" w:lineRule="auto"/>
        <w:jc w:val="center"/>
        <w:rPr>
          <w:rFonts w:ascii="Times New Roman" w:hAnsi="Times New Roman" w:cs="Times New Roman"/>
          <w:b/>
          <w:bCs/>
          <w:i/>
          <w:iCs/>
          <w:sz w:val="24"/>
          <w:szCs w:val="24"/>
        </w:rPr>
      </w:pPr>
      <w:r w:rsidRPr="00445A43">
        <w:rPr>
          <w:rFonts w:ascii="Times New Roman" w:hAnsi="Times New Roman" w:cs="Times New Roman"/>
          <w:b/>
          <w:bCs/>
          <w:i/>
          <w:iCs/>
          <w:sz w:val="24"/>
          <w:szCs w:val="24"/>
        </w:rPr>
        <w:t>Article</w:t>
      </w:r>
      <w:r w:rsidR="77534896" w:rsidRPr="00445A43">
        <w:rPr>
          <w:rFonts w:ascii="Times New Roman" w:hAnsi="Times New Roman" w:cs="Times New Roman"/>
          <w:b/>
          <w:bCs/>
          <w:i/>
          <w:iCs/>
          <w:sz w:val="24"/>
          <w:szCs w:val="24"/>
        </w:rPr>
        <w:t>s</w:t>
      </w:r>
      <w:r w:rsidRPr="00445A43">
        <w:rPr>
          <w:rFonts w:ascii="Times New Roman" w:hAnsi="Times New Roman" w:cs="Times New Roman"/>
          <w:b/>
          <w:bCs/>
          <w:i/>
          <w:iCs/>
          <w:sz w:val="24"/>
          <w:szCs w:val="24"/>
        </w:rPr>
        <w:t xml:space="preserve"> 2</w:t>
      </w:r>
      <w:r w:rsidR="777DD30F" w:rsidRPr="00445A43">
        <w:rPr>
          <w:rFonts w:ascii="Times New Roman" w:hAnsi="Times New Roman" w:cs="Times New Roman"/>
          <w:b/>
          <w:bCs/>
          <w:i/>
          <w:iCs/>
          <w:sz w:val="24"/>
          <w:szCs w:val="24"/>
        </w:rPr>
        <w:t xml:space="preserve"> and 3</w:t>
      </w:r>
    </w:p>
    <w:p w14:paraId="6AD452FC" w14:textId="77777777" w:rsidR="002B5B1E" w:rsidRPr="001A7649" w:rsidRDefault="002B5B1E" w:rsidP="008E7E64">
      <w:pPr>
        <w:spacing w:after="0" w:line="240" w:lineRule="auto"/>
        <w:jc w:val="both"/>
        <w:rPr>
          <w:rFonts w:ascii="Times New Roman" w:hAnsi="Times New Roman" w:cs="Times New Roman"/>
          <w:sz w:val="24"/>
          <w:szCs w:val="24"/>
          <w:u w:val="single"/>
        </w:rPr>
      </w:pPr>
    </w:p>
    <w:p w14:paraId="4164A1AE" w14:textId="77777777" w:rsidR="001D3693" w:rsidRPr="001A7649" w:rsidRDefault="001D3693" w:rsidP="008E7E64">
      <w:pPr>
        <w:pStyle w:val="ListParagraph"/>
        <w:numPr>
          <w:ilvl w:val="0"/>
          <w:numId w:val="7"/>
        </w:numPr>
        <w:spacing w:after="0" w:line="240" w:lineRule="auto"/>
        <w:jc w:val="both"/>
        <w:rPr>
          <w:rFonts w:ascii="Times New Roman" w:hAnsi="Times New Roman" w:cs="Times New Roman"/>
          <w:b/>
          <w:sz w:val="24"/>
          <w:szCs w:val="24"/>
          <w:u w:val="single"/>
        </w:rPr>
      </w:pPr>
      <w:r w:rsidRPr="001A7649">
        <w:rPr>
          <w:rFonts w:ascii="Times New Roman" w:hAnsi="Times New Roman" w:cs="Times New Roman"/>
          <w:b/>
          <w:sz w:val="24"/>
          <w:szCs w:val="24"/>
          <w:u w:val="single"/>
        </w:rPr>
        <w:t>Political violence against women candidates</w:t>
      </w:r>
    </w:p>
    <w:p w14:paraId="4C9B5718" w14:textId="77777777" w:rsidR="001D3693" w:rsidRPr="001D3693" w:rsidRDefault="001D3693" w:rsidP="008E7E64">
      <w:pPr>
        <w:spacing w:after="0" w:line="240" w:lineRule="auto"/>
        <w:jc w:val="both"/>
        <w:rPr>
          <w:rFonts w:ascii="Times New Roman" w:hAnsi="Times New Roman" w:cs="Times New Roman"/>
          <w:b/>
          <w:sz w:val="24"/>
          <w:szCs w:val="24"/>
        </w:rPr>
      </w:pPr>
    </w:p>
    <w:p w14:paraId="7E69071C" w14:textId="77777777" w:rsidR="001D3693" w:rsidRPr="00C34A0B" w:rsidRDefault="001D3693" w:rsidP="008E7E64">
      <w:pPr>
        <w:spacing w:after="0" w:line="240" w:lineRule="auto"/>
        <w:jc w:val="both"/>
        <w:rPr>
          <w:rFonts w:ascii="Times New Roman" w:hAnsi="Times New Roman" w:cs="Times New Roman"/>
          <w:bCs/>
          <w:sz w:val="24"/>
          <w:szCs w:val="24"/>
        </w:rPr>
      </w:pPr>
      <w:r w:rsidRPr="00C34A0B">
        <w:rPr>
          <w:rFonts w:ascii="Times New Roman" w:hAnsi="Times New Roman" w:cs="Times New Roman"/>
          <w:bCs/>
          <w:sz w:val="24"/>
          <w:szCs w:val="24"/>
        </w:rPr>
        <w:t xml:space="preserve">In 2012 Bolivia passed Law 243 on harassment and political violence against women. This law is especially important as the strengthening of women’s representation in government positions has been accompanied by an unfortunate increase in violence against them. According to the Association of Women Councilors of Bolivia, of 589 cases of harassment and political violence against councilwomen presented between 2010 and 2019, </w:t>
      </w:r>
      <w:proofErr w:type="gramStart"/>
      <w:r w:rsidRPr="00C34A0B">
        <w:rPr>
          <w:rFonts w:ascii="Times New Roman" w:hAnsi="Times New Roman" w:cs="Times New Roman"/>
          <w:bCs/>
          <w:sz w:val="24"/>
          <w:szCs w:val="24"/>
        </w:rPr>
        <w:t>not a single one</w:t>
      </w:r>
      <w:proofErr w:type="gramEnd"/>
      <w:r w:rsidRPr="00C34A0B">
        <w:rPr>
          <w:rFonts w:ascii="Times New Roman" w:hAnsi="Times New Roman" w:cs="Times New Roman"/>
          <w:bCs/>
          <w:sz w:val="24"/>
          <w:szCs w:val="24"/>
        </w:rPr>
        <w:t xml:space="preserve"> resulted in effective sanctions. The Carter Center strongly recommends additional training and resources (financial, </w:t>
      </w:r>
      <w:proofErr w:type="gramStart"/>
      <w:r w:rsidRPr="00C34A0B">
        <w:rPr>
          <w:rFonts w:ascii="Times New Roman" w:hAnsi="Times New Roman" w:cs="Times New Roman"/>
          <w:bCs/>
          <w:sz w:val="24"/>
          <w:szCs w:val="24"/>
        </w:rPr>
        <w:t>human</w:t>
      </w:r>
      <w:proofErr w:type="gramEnd"/>
      <w:r w:rsidRPr="00C34A0B">
        <w:rPr>
          <w:rFonts w:ascii="Times New Roman" w:hAnsi="Times New Roman" w:cs="Times New Roman"/>
          <w:bCs/>
          <w:sz w:val="24"/>
          <w:szCs w:val="24"/>
        </w:rPr>
        <w:t xml:space="preserve"> and administrative) for the key institutions in the system to prevent and punish political violence against women.</w:t>
      </w:r>
    </w:p>
    <w:p w14:paraId="1E42C3BF" w14:textId="77777777" w:rsidR="001D3693" w:rsidRPr="001D3693" w:rsidRDefault="001D3693" w:rsidP="008E7E64">
      <w:pPr>
        <w:spacing w:after="0" w:line="240" w:lineRule="auto"/>
        <w:jc w:val="both"/>
        <w:rPr>
          <w:rFonts w:ascii="Times New Roman" w:hAnsi="Times New Roman" w:cs="Times New Roman"/>
          <w:b/>
          <w:sz w:val="24"/>
          <w:szCs w:val="24"/>
          <w:lang w:val="en-GB"/>
        </w:rPr>
      </w:pPr>
    </w:p>
    <w:p w14:paraId="025C328F" w14:textId="77777777" w:rsidR="001D3693" w:rsidRPr="001A7649" w:rsidRDefault="001D3693" w:rsidP="008E7E64">
      <w:pPr>
        <w:pStyle w:val="ListParagraph"/>
        <w:numPr>
          <w:ilvl w:val="0"/>
          <w:numId w:val="7"/>
        </w:numPr>
        <w:spacing w:after="0" w:line="240" w:lineRule="auto"/>
        <w:jc w:val="both"/>
        <w:rPr>
          <w:rFonts w:ascii="Times New Roman" w:hAnsi="Times New Roman" w:cs="Times New Roman"/>
          <w:b/>
          <w:sz w:val="24"/>
          <w:szCs w:val="24"/>
          <w:u w:val="single"/>
        </w:rPr>
      </w:pPr>
      <w:r w:rsidRPr="001A7649">
        <w:rPr>
          <w:rFonts w:ascii="Times New Roman" w:hAnsi="Times New Roman" w:cs="Times New Roman"/>
          <w:b/>
          <w:sz w:val="24"/>
          <w:szCs w:val="24"/>
          <w:u w:val="single"/>
        </w:rPr>
        <w:t xml:space="preserve">Participation and non-discrimination   </w:t>
      </w:r>
    </w:p>
    <w:p w14:paraId="260C45F5" w14:textId="77777777" w:rsidR="001D3693" w:rsidRPr="001D3693" w:rsidRDefault="001D3693" w:rsidP="008E7E64">
      <w:pPr>
        <w:spacing w:after="0" w:line="240" w:lineRule="auto"/>
        <w:jc w:val="both"/>
        <w:rPr>
          <w:rFonts w:ascii="Times New Roman" w:hAnsi="Times New Roman" w:cs="Times New Roman"/>
          <w:b/>
          <w:sz w:val="24"/>
          <w:szCs w:val="24"/>
        </w:rPr>
      </w:pPr>
    </w:p>
    <w:p w14:paraId="3FE48FB7" w14:textId="77777777" w:rsidR="001D3693" w:rsidRPr="00C34A0B" w:rsidRDefault="001D3693" w:rsidP="008E7E64">
      <w:pPr>
        <w:spacing w:after="0" w:line="240" w:lineRule="auto"/>
        <w:jc w:val="both"/>
        <w:rPr>
          <w:rFonts w:ascii="Times New Roman" w:hAnsi="Times New Roman" w:cs="Times New Roman"/>
          <w:bCs/>
          <w:sz w:val="24"/>
          <w:szCs w:val="24"/>
        </w:rPr>
      </w:pPr>
      <w:r w:rsidRPr="00C34A0B">
        <w:rPr>
          <w:rFonts w:ascii="Times New Roman" w:hAnsi="Times New Roman" w:cs="Times New Roman"/>
          <w:bCs/>
          <w:sz w:val="24"/>
          <w:szCs w:val="24"/>
        </w:rPr>
        <w:t>The 2009 Constitution establishes (Article 14) the principle of non-discrimination and that the State will guarantee the rights provided by the Constitution, the laws and international treaties to any person or group. A positive inclusion is that all forms of discrimination are detailed (discrimination based on sex, skin color, age, sexual orientation, gender identity, origin, culture, nationality, citizenship, language, religious belief, ideology, political or philosophical membership, civil status, social or economic condition, occupation, level of education, disability, pregnancy or any other which affects the rights of the people).</w:t>
      </w:r>
    </w:p>
    <w:p w14:paraId="3E6A2371" w14:textId="77777777" w:rsidR="001D3693" w:rsidRPr="00C34A0B" w:rsidRDefault="001D3693" w:rsidP="008E7E64">
      <w:pPr>
        <w:spacing w:after="0" w:line="240" w:lineRule="auto"/>
        <w:jc w:val="both"/>
        <w:rPr>
          <w:rFonts w:ascii="Times New Roman" w:hAnsi="Times New Roman" w:cs="Times New Roman"/>
          <w:bCs/>
          <w:sz w:val="24"/>
          <w:szCs w:val="24"/>
        </w:rPr>
      </w:pPr>
    </w:p>
    <w:p w14:paraId="08DE763A" w14:textId="68D53B3E" w:rsidR="001D3693" w:rsidRPr="00C34A0B" w:rsidRDefault="001D3693" w:rsidP="008E7E64">
      <w:pPr>
        <w:spacing w:after="0" w:line="240" w:lineRule="auto"/>
        <w:jc w:val="both"/>
        <w:rPr>
          <w:rFonts w:ascii="Times New Roman" w:hAnsi="Times New Roman" w:cs="Times New Roman"/>
          <w:bCs/>
          <w:sz w:val="24"/>
          <w:szCs w:val="24"/>
        </w:rPr>
      </w:pPr>
      <w:r w:rsidRPr="00C34A0B">
        <w:rPr>
          <w:rFonts w:ascii="Times New Roman" w:hAnsi="Times New Roman" w:cs="Times New Roman"/>
          <w:bCs/>
          <w:sz w:val="24"/>
          <w:szCs w:val="24"/>
        </w:rPr>
        <w:lastRenderedPageBreak/>
        <w:t xml:space="preserve">Law 45 of 2010 (Law against Racism and any form of discrimination) details the mechanisms and procedures to prevent and sanction acts of racism and any other forms of discrimination. A positive development is its universal application, with no exceptions </w:t>
      </w:r>
      <w:r w:rsidR="008B52E2" w:rsidRPr="00C34A0B">
        <w:rPr>
          <w:rFonts w:ascii="Times New Roman" w:hAnsi="Times New Roman" w:cs="Times New Roman"/>
          <w:bCs/>
          <w:sz w:val="24"/>
          <w:szCs w:val="24"/>
        </w:rPr>
        <w:t>to all</w:t>
      </w:r>
      <w:r w:rsidRPr="00C34A0B">
        <w:rPr>
          <w:rFonts w:ascii="Times New Roman" w:hAnsi="Times New Roman" w:cs="Times New Roman"/>
          <w:bCs/>
          <w:sz w:val="24"/>
          <w:szCs w:val="24"/>
        </w:rPr>
        <w:t xml:space="preserve"> Bolivian citizens, government officials, civil social </w:t>
      </w:r>
      <w:proofErr w:type="gramStart"/>
      <w:r w:rsidRPr="00C34A0B">
        <w:rPr>
          <w:rFonts w:ascii="Times New Roman" w:hAnsi="Times New Roman" w:cs="Times New Roman"/>
          <w:bCs/>
          <w:sz w:val="24"/>
          <w:szCs w:val="24"/>
        </w:rPr>
        <w:t>organizations</w:t>
      </w:r>
      <w:proofErr w:type="gramEnd"/>
      <w:r w:rsidRPr="00C34A0B">
        <w:rPr>
          <w:rFonts w:ascii="Times New Roman" w:hAnsi="Times New Roman" w:cs="Times New Roman"/>
          <w:bCs/>
          <w:sz w:val="24"/>
          <w:szCs w:val="24"/>
        </w:rPr>
        <w:t xml:space="preserve"> and diplomatic missions in the country. Another positive aspect is that definitions in the Law (Article 5) include </w:t>
      </w:r>
      <w:proofErr w:type="gramStart"/>
      <w:r w:rsidRPr="00C34A0B">
        <w:rPr>
          <w:rFonts w:ascii="Times New Roman" w:hAnsi="Times New Roman" w:cs="Times New Roman"/>
          <w:bCs/>
          <w:sz w:val="24"/>
          <w:szCs w:val="24"/>
        </w:rPr>
        <w:t>a number of</w:t>
      </w:r>
      <w:proofErr w:type="gramEnd"/>
      <w:r w:rsidRPr="00C34A0B">
        <w:rPr>
          <w:rFonts w:ascii="Times New Roman" w:hAnsi="Times New Roman" w:cs="Times New Roman"/>
          <w:bCs/>
          <w:sz w:val="24"/>
          <w:szCs w:val="24"/>
        </w:rPr>
        <w:t xml:space="preserve"> conducts (xenophobia, homophobia, transphobia, misogyny) which help identify specific types of discrimination and violence.</w:t>
      </w:r>
    </w:p>
    <w:p w14:paraId="596A502F" w14:textId="77777777" w:rsidR="001D3693" w:rsidRPr="00C34A0B" w:rsidRDefault="001D3693" w:rsidP="008E7E64">
      <w:pPr>
        <w:spacing w:after="0" w:line="240" w:lineRule="auto"/>
        <w:jc w:val="both"/>
        <w:rPr>
          <w:rFonts w:ascii="Times New Roman" w:hAnsi="Times New Roman" w:cs="Times New Roman"/>
          <w:bCs/>
          <w:sz w:val="24"/>
          <w:szCs w:val="24"/>
        </w:rPr>
      </w:pPr>
    </w:p>
    <w:p w14:paraId="5E92EEFE" w14:textId="7D840644" w:rsidR="001D3693" w:rsidRPr="00C34A0B" w:rsidRDefault="001D3693" w:rsidP="008E7E64">
      <w:pPr>
        <w:spacing w:after="0" w:line="240" w:lineRule="auto"/>
        <w:jc w:val="both"/>
        <w:rPr>
          <w:rFonts w:ascii="Times New Roman" w:hAnsi="Times New Roman" w:cs="Times New Roman"/>
          <w:bCs/>
          <w:sz w:val="24"/>
          <w:szCs w:val="24"/>
        </w:rPr>
      </w:pPr>
      <w:r w:rsidRPr="00C34A0B">
        <w:rPr>
          <w:rFonts w:ascii="Times New Roman" w:hAnsi="Times New Roman" w:cs="Times New Roman"/>
          <w:bCs/>
          <w:sz w:val="24"/>
          <w:szCs w:val="24"/>
        </w:rPr>
        <w:t>Law 45 sets out the role of the Vice Minister for decolonization for monitoring the application of the law and the creation of a National Committee against Racism and all forms of Discrimination. However</w:t>
      </w:r>
      <w:r w:rsidR="000B6556">
        <w:rPr>
          <w:rFonts w:ascii="Times New Roman" w:hAnsi="Times New Roman" w:cs="Times New Roman"/>
          <w:bCs/>
          <w:sz w:val="24"/>
          <w:szCs w:val="24"/>
        </w:rPr>
        <w:t>,</w:t>
      </w:r>
      <w:r w:rsidRPr="00C34A0B">
        <w:rPr>
          <w:rFonts w:ascii="Times New Roman" w:hAnsi="Times New Roman" w:cs="Times New Roman"/>
          <w:bCs/>
          <w:sz w:val="24"/>
          <w:szCs w:val="24"/>
        </w:rPr>
        <w:t xml:space="preserve"> </w:t>
      </w:r>
      <w:proofErr w:type="gramStart"/>
      <w:r w:rsidRPr="00C34A0B">
        <w:rPr>
          <w:rFonts w:ascii="Times New Roman" w:hAnsi="Times New Roman" w:cs="Times New Roman"/>
          <w:bCs/>
          <w:sz w:val="24"/>
          <w:szCs w:val="24"/>
        </w:rPr>
        <w:t>both of these</w:t>
      </w:r>
      <w:proofErr w:type="gramEnd"/>
      <w:r w:rsidRPr="00C34A0B">
        <w:rPr>
          <w:rFonts w:ascii="Times New Roman" w:hAnsi="Times New Roman" w:cs="Times New Roman"/>
          <w:bCs/>
          <w:sz w:val="24"/>
          <w:szCs w:val="24"/>
        </w:rPr>
        <w:t xml:space="preserve"> instances are limited in their powers and lack sufficient human, material and financial resources for ensuring compliance. This is in line with interviews to several civil society organizations claiming law 45 lacks mechanisms and support and is rather a declaration of principles than an applicable law. Moreover, as of 10 </w:t>
      </w:r>
      <w:proofErr w:type="gramStart"/>
      <w:r w:rsidRPr="00C34A0B">
        <w:rPr>
          <w:rFonts w:ascii="Times New Roman" w:hAnsi="Times New Roman" w:cs="Times New Roman"/>
          <w:bCs/>
          <w:sz w:val="24"/>
          <w:szCs w:val="24"/>
        </w:rPr>
        <w:t>November,</w:t>
      </w:r>
      <w:proofErr w:type="gramEnd"/>
      <w:r w:rsidRPr="00C34A0B">
        <w:rPr>
          <w:rFonts w:ascii="Times New Roman" w:hAnsi="Times New Roman" w:cs="Times New Roman"/>
          <w:bCs/>
          <w:sz w:val="24"/>
          <w:szCs w:val="24"/>
        </w:rPr>
        <w:t xml:space="preserve"> 2020</w:t>
      </w:r>
      <w:r w:rsidR="000B4FA7">
        <w:rPr>
          <w:rFonts w:ascii="Times New Roman" w:hAnsi="Times New Roman" w:cs="Times New Roman"/>
          <w:bCs/>
          <w:sz w:val="24"/>
          <w:szCs w:val="24"/>
        </w:rPr>
        <w:t>,</w:t>
      </w:r>
      <w:r w:rsidRPr="00C34A0B">
        <w:rPr>
          <w:rFonts w:ascii="Times New Roman" w:hAnsi="Times New Roman" w:cs="Times New Roman"/>
          <w:bCs/>
          <w:sz w:val="24"/>
          <w:szCs w:val="24"/>
        </w:rPr>
        <w:t xml:space="preserve"> not all of the nine departments in Bolivia had working Departmental Committees against Racism and all forms of Discrimination. </w:t>
      </w:r>
    </w:p>
    <w:p w14:paraId="45E770E5" w14:textId="77777777" w:rsidR="001D3693" w:rsidRPr="00C34A0B" w:rsidRDefault="001D3693" w:rsidP="008E7E64">
      <w:pPr>
        <w:spacing w:after="0" w:line="240" w:lineRule="auto"/>
        <w:jc w:val="both"/>
        <w:rPr>
          <w:rFonts w:ascii="Times New Roman" w:hAnsi="Times New Roman" w:cs="Times New Roman"/>
          <w:bCs/>
          <w:sz w:val="24"/>
          <w:szCs w:val="24"/>
        </w:rPr>
      </w:pPr>
    </w:p>
    <w:p w14:paraId="5AE2ED3D" w14:textId="77777777" w:rsidR="001D3693" w:rsidRPr="00C34A0B" w:rsidRDefault="001D3693" w:rsidP="008E7E64">
      <w:pPr>
        <w:spacing w:after="0" w:line="240" w:lineRule="auto"/>
        <w:jc w:val="both"/>
        <w:rPr>
          <w:rFonts w:ascii="Times New Roman" w:hAnsi="Times New Roman" w:cs="Times New Roman"/>
          <w:bCs/>
          <w:sz w:val="24"/>
          <w:szCs w:val="24"/>
        </w:rPr>
      </w:pPr>
      <w:r w:rsidRPr="00C34A0B">
        <w:rPr>
          <w:rFonts w:ascii="Times New Roman" w:hAnsi="Times New Roman" w:cs="Times New Roman"/>
          <w:bCs/>
          <w:sz w:val="24"/>
          <w:szCs w:val="24"/>
        </w:rPr>
        <w:t xml:space="preserve">The positive principles enshrined in the constitution and the law require institutional, </w:t>
      </w:r>
      <w:proofErr w:type="gramStart"/>
      <w:r w:rsidRPr="00C34A0B">
        <w:rPr>
          <w:rFonts w:ascii="Times New Roman" w:hAnsi="Times New Roman" w:cs="Times New Roman"/>
          <w:bCs/>
          <w:sz w:val="24"/>
          <w:szCs w:val="24"/>
        </w:rPr>
        <w:t>educational</w:t>
      </w:r>
      <w:proofErr w:type="gramEnd"/>
      <w:r w:rsidRPr="00C34A0B">
        <w:rPr>
          <w:rFonts w:ascii="Times New Roman" w:hAnsi="Times New Roman" w:cs="Times New Roman"/>
          <w:bCs/>
          <w:sz w:val="24"/>
          <w:szCs w:val="24"/>
        </w:rPr>
        <w:t xml:space="preserve"> and administrative resources for effective implementation.  Without an effective enforcement and support, the state risks limiting the rights contained in ICCPR articles 25 and 26, related to the right to participate in public affairs and access to public service and equality before the law without discrimination, respectively. Raising awareness of the law, training for government officials and private entities and additional authority and resources for the Vice Ministry and the National Committee against Racism and all forms of Discrimination are highly recommended. </w:t>
      </w:r>
    </w:p>
    <w:p w14:paraId="4EB41427" w14:textId="77777777" w:rsidR="001D3693" w:rsidRPr="00C34A0B" w:rsidRDefault="001D3693" w:rsidP="008E7E64">
      <w:pPr>
        <w:spacing w:after="0" w:line="240" w:lineRule="auto"/>
        <w:jc w:val="both"/>
        <w:rPr>
          <w:rFonts w:ascii="Times New Roman" w:hAnsi="Times New Roman" w:cs="Times New Roman"/>
          <w:bCs/>
          <w:sz w:val="24"/>
          <w:szCs w:val="24"/>
        </w:rPr>
      </w:pPr>
    </w:p>
    <w:p w14:paraId="75366EA5" w14:textId="768E0566" w:rsidR="35E55BE6" w:rsidRDefault="35E55BE6" w:rsidP="008E7E64">
      <w:pPr>
        <w:spacing w:after="0" w:line="240" w:lineRule="auto"/>
        <w:jc w:val="both"/>
        <w:rPr>
          <w:rFonts w:ascii="Times New Roman" w:hAnsi="Times New Roman" w:cs="Times New Roman"/>
          <w:sz w:val="24"/>
          <w:szCs w:val="24"/>
        </w:rPr>
      </w:pPr>
      <w:r w:rsidRPr="35E55BE6">
        <w:rPr>
          <w:rFonts w:ascii="Times New Roman" w:hAnsi="Times New Roman" w:cs="Times New Roman"/>
          <w:sz w:val="24"/>
          <w:szCs w:val="24"/>
        </w:rPr>
        <w:t xml:space="preserve">Upon its publication, Law 45 was criticized by many as it was believed </w:t>
      </w:r>
      <w:r w:rsidR="009D1665">
        <w:rPr>
          <w:rFonts w:ascii="Times New Roman" w:hAnsi="Times New Roman" w:cs="Times New Roman"/>
          <w:sz w:val="24"/>
          <w:szCs w:val="24"/>
        </w:rPr>
        <w:t xml:space="preserve">that </w:t>
      </w:r>
      <w:r w:rsidRPr="35E55BE6">
        <w:rPr>
          <w:rFonts w:ascii="Times New Roman" w:hAnsi="Times New Roman" w:cs="Times New Roman"/>
          <w:sz w:val="24"/>
          <w:szCs w:val="24"/>
        </w:rPr>
        <w:t>article 16 threatened freedom of expression and article 19</w:t>
      </w:r>
      <w:r w:rsidR="009D1665">
        <w:rPr>
          <w:rFonts w:ascii="Times New Roman" w:hAnsi="Times New Roman" w:cs="Times New Roman"/>
          <w:sz w:val="24"/>
          <w:szCs w:val="24"/>
        </w:rPr>
        <w:t xml:space="preserve"> of </w:t>
      </w:r>
      <w:r w:rsidR="009E3367" w:rsidRPr="009E3367">
        <w:rPr>
          <w:rFonts w:ascii="Times New Roman" w:hAnsi="Times New Roman" w:cs="Times New Roman"/>
          <w:sz w:val="24"/>
          <w:szCs w:val="24"/>
        </w:rPr>
        <w:t>ICCPR</w:t>
      </w:r>
      <w:r w:rsidRPr="35E55BE6">
        <w:rPr>
          <w:rFonts w:ascii="Times New Roman" w:hAnsi="Times New Roman" w:cs="Times New Roman"/>
          <w:sz w:val="24"/>
          <w:szCs w:val="24"/>
        </w:rPr>
        <w:t xml:space="preserve">, by stating that “media which authorizes and publishes racist and discriminatory ideas can merit economic sanctions and the suspension of its operation license”.  However, guidelines contained in Supreme Decree (SD) 762 of 2011 specified the conducts and sanctions, providing clarity and not affecting freedoms. SD 762 states that losing the operation license is considered a third level sanction, merited only after two previous </w:t>
      </w:r>
      <w:proofErr w:type="gramStart"/>
      <w:r w:rsidRPr="35E55BE6">
        <w:rPr>
          <w:rFonts w:ascii="Times New Roman" w:hAnsi="Times New Roman" w:cs="Times New Roman"/>
          <w:sz w:val="24"/>
          <w:szCs w:val="24"/>
        </w:rPr>
        <w:t>offences</w:t>
      </w:r>
      <w:proofErr w:type="gramEnd"/>
      <w:r w:rsidRPr="35E55BE6">
        <w:rPr>
          <w:rFonts w:ascii="Times New Roman" w:hAnsi="Times New Roman" w:cs="Times New Roman"/>
          <w:sz w:val="24"/>
          <w:szCs w:val="24"/>
        </w:rPr>
        <w:t xml:space="preserve"> and resulting in temporary (not permanent) license suspension</w:t>
      </w:r>
    </w:p>
    <w:p w14:paraId="3DE7832F" w14:textId="77777777" w:rsidR="00445A43" w:rsidRDefault="00445A43" w:rsidP="008E7E64">
      <w:pPr>
        <w:spacing w:after="0" w:line="240" w:lineRule="auto"/>
        <w:jc w:val="both"/>
        <w:rPr>
          <w:rFonts w:ascii="Times New Roman" w:hAnsi="Times New Roman" w:cs="Times New Roman"/>
          <w:b/>
          <w:bCs/>
          <w:sz w:val="24"/>
          <w:szCs w:val="24"/>
        </w:rPr>
      </w:pPr>
    </w:p>
    <w:p w14:paraId="515783EC" w14:textId="6CE5908E" w:rsidR="35E55BE6" w:rsidRDefault="35E55BE6" w:rsidP="008E7E64">
      <w:pPr>
        <w:spacing w:after="0" w:line="240" w:lineRule="auto"/>
        <w:jc w:val="both"/>
        <w:rPr>
          <w:rFonts w:ascii="Times New Roman" w:hAnsi="Times New Roman" w:cs="Times New Roman"/>
          <w:b/>
          <w:bCs/>
          <w:sz w:val="24"/>
          <w:szCs w:val="24"/>
        </w:rPr>
      </w:pPr>
      <w:r w:rsidRPr="00A25CCB">
        <w:rPr>
          <w:rFonts w:ascii="Times New Roman" w:hAnsi="Times New Roman" w:cs="Times New Roman"/>
          <w:b/>
          <w:bCs/>
          <w:sz w:val="24"/>
          <w:szCs w:val="24"/>
        </w:rPr>
        <w:t>Recommendations</w:t>
      </w:r>
    </w:p>
    <w:p w14:paraId="62E65EDE" w14:textId="1A0425DC" w:rsidR="35E55BE6" w:rsidRDefault="35E55BE6" w:rsidP="008E7E64">
      <w:pPr>
        <w:spacing w:after="0" w:line="240" w:lineRule="auto"/>
        <w:jc w:val="both"/>
        <w:rPr>
          <w:rFonts w:ascii="Times New Roman" w:hAnsi="Times New Roman" w:cs="Times New Roman"/>
          <w:sz w:val="24"/>
          <w:szCs w:val="24"/>
        </w:rPr>
      </w:pPr>
    </w:p>
    <w:p w14:paraId="77BEE698" w14:textId="3D29D8C4" w:rsidR="35E55BE6" w:rsidRDefault="35E55BE6" w:rsidP="008E7E64">
      <w:pPr>
        <w:spacing w:after="0" w:line="240" w:lineRule="auto"/>
        <w:jc w:val="both"/>
        <w:rPr>
          <w:rFonts w:ascii="Times New Roman" w:hAnsi="Times New Roman" w:cs="Times New Roman"/>
          <w:sz w:val="24"/>
          <w:szCs w:val="24"/>
        </w:rPr>
      </w:pPr>
      <w:r w:rsidRPr="35E55BE6">
        <w:rPr>
          <w:rFonts w:ascii="Times New Roman" w:hAnsi="Times New Roman" w:cs="Times New Roman"/>
          <w:i/>
          <w:iCs/>
          <w:sz w:val="24"/>
          <w:szCs w:val="24"/>
        </w:rPr>
        <w:t>Participation of vulnerable and underrepresented groups.</w:t>
      </w:r>
      <w:r w:rsidRPr="35E55BE6">
        <w:rPr>
          <w:rFonts w:ascii="Times New Roman" w:hAnsi="Times New Roman" w:cs="Times New Roman"/>
          <w:sz w:val="24"/>
          <w:szCs w:val="24"/>
        </w:rPr>
        <w:t xml:space="preserve"> Since the promulgation of the 2009 Constitution, Bolivia has made important progress in removing barriers to the participation and representation of underrepresented and vulnerable groups in Bolivia, including women, indigenous peoples, people with disabilities, LGBTQI communities and youth. However, a key challenge is the national and local implementation of these laws. The principles and guarantees contained in these progressive laws also require a strong judicial system and adequate support so they can be materialized. In order to improve the political participation of underrepresented and vulnerable groups, The Carter Center recommends that the Bolivian </w:t>
      </w:r>
      <w:proofErr w:type="spellStart"/>
      <w:r w:rsidRPr="35E55BE6">
        <w:rPr>
          <w:rFonts w:ascii="Times New Roman" w:hAnsi="Times New Roman" w:cs="Times New Roman"/>
          <w:sz w:val="24"/>
          <w:szCs w:val="24"/>
        </w:rPr>
        <w:t>Plurinational</w:t>
      </w:r>
      <w:proofErr w:type="spellEnd"/>
      <w:r w:rsidRPr="35E55BE6">
        <w:rPr>
          <w:rFonts w:ascii="Times New Roman" w:hAnsi="Times New Roman" w:cs="Times New Roman"/>
          <w:sz w:val="24"/>
          <w:szCs w:val="24"/>
        </w:rPr>
        <w:t xml:space="preserve"> State allocate sufficient institutional, human, material and financial resources to ensure implementation of and compliance with the following laws: Law 3760 which elevated the United Nations Declaration on the Rights of Indigenous Peoples to national binding law (2007), Law 45 against racism and any form of </w:t>
      </w:r>
      <w:r w:rsidRPr="35E55BE6">
        <w:rPr>
          <w:rFonts w:ascii="Times New Roman" w:hAnsi="Times New Roman" w:cs="Times New Roman"/>
          <w:sz w:val="24"/>
          <w:szCs w:val="24"/>
        </w:rPr>
        <w:lastRenderedPageBreak/>
        <w:t xml:space="preserve">discrimination (2010), Law 243 on political harassment and violence against women (2012), Law 342 on Youth (2013), and Law 348 to guarantee women a life free of violence (2013). </w:t>
      </w:r>
    </w:p>
    <w:p w14:paraId="48DA3D07" w14:textId="77777777" w:rsidR="35E55BE6" w:rsidRDefault="35E55BE6" w:rsidP="008E7E64">
      <w:pPr>
        <w:spacing w:after="0" w:line="240" w:lineRule="auto"/>
        <w:ind w:left="360"/>
        <w:jc w:val="both"/>
        <w:rPr>
          <w:rFonts w:ascii="Times New Roman" w:hAnsi="Times New Roman" w:cs="Times New Roman"/>
          <w:sz w:val="24"/>
          <w:szCs w:val="24"/>
        </w:rPr>
      </w:pPr>
    </w:p>
    <w:p w14:paraId="638074CC" w14:textId="7B048229" w:rsidR="35E55BE6" w:rsidRDefault="35E55BE6" w:rsidP="008E7E64">
      <w:pPr>
        <w:spacing w:after="0" w:line="240" w:lineRule="auto"/>
        <w:jc w:val="both"/>
        <w:rPr>
          <w:rFonts w:ascii="Times New Roman" w:hAnsi="Times New Roman" w:cs="Times New Roman"/>
          <w:sz w:val="24"/>
          <w:szCs w:val="24"/>
        </w:rPr>
      </w:pPr>
      <w:r w:rsidRPr="35E55BE6">
        <w:rPr>
          <w:rFonts w:ascii="Times New Roman" w:hAnsi="Times New Roman" w:cs="Times New Roman"/>
          <w:i/>
          <w:iCs/>
          <w:sz w:val="24"/>
          <w:szCs w:val="24"/>
        </w:rPr>
        <w:t>Women’s rights.</w:t>
      </w:r>
      <w:r w:rsidRPr="35E55BE6">
        <w:rPr>
          <w:rFonts w:ascii="Times New Roman" w:hAnsi="Times New Roman" w:cs="Times New Roman"/>
          <w:sz w:val="24"/>
          <w:szCs w:val="24"/>
        </w:rPr>
        <w:t xml:space="preserve"> The Carter Center recommends additional training and financial, </w:t>
      </w:r>
      <w:proofErr w:type="gramStart"/>
      <w:r w:rsidRPr="35E55BE6">
        <w:rPr>
          <w:rFonts w:ascii="Times New Roman" w:hAnsi="Times New Roman" w:cs="Times New Roman"/>
          <w:sz w:val="24"/>
          <w:szCs w:val="24"/>
        </w:rPr>
        <w:t>human</w:t>
      </w:r>
      <w:proofErr w:type="gramEnd"/>
      <w:r w:rsidRPr="35E55BE6">
        <w:rPr>
          <w:rFonts w:ascii="Times New Roman" w:hAnsi="Times New Roman" w:cs="Times New Roman"/>
          <w:sz w:val="24"/>
          <w:szCs w:val="24"/>
        </w:rPr>
        <w:t xml:space="preserve"> and administrative resources for the different institutions that make up the system to prevent and punish political violence against women, including the Special Force for Fighting against Violence (FELCV); the </w:t>
      </w:r>
      <w:proofErr w:type="spellStart"/>
      <w:r w:rsidRPr="35E55BE6">
        <w:rPr>
          <w:rFonts w:ascii="Times New Roman" w:hAnsi="Times New Roman" w:cs="Times New Roman"/>
          <w:sz w:val="24"/>
          <w:szCs w:val="24"/>
        </w:rPr>
        <w:t>Plurinational</w:t>
      </w:r>
      <w:proofErr w:type="spellEnd"/>
      <w:r w:rsidRPr="35E55BE6">
        <w:rPr>
          <w:rFonts w:ascii="Times New Roman" w:hAnsi="Times New Roman" w:cs="Times New Roman"/>
          <w:sz w:val="24"/>
          <w:szCs w:val="24"/>
        </w:rPr>
        <w:t xml:space="preserve"> Justice System (SIJPLU), the </w:t>
      </w:r>
      <w:proofErr w:type="spellStart"/>
      <w:r w:rsidRPr="35E55BE6">
        <w:rPr>
          <w:rFonts w:ascii="Times New Roman" w:hAnsi="Times New Roman" w:cs="Times New Roman"/>
          <w:sz w:val="24"/>
          <w:szCs w:val="24"/>
        </w:rPr>
        <w:t>Plurinational</w:t>
      </w:r>
      <w:proofErr w:type="spellEnd"/>
      <w:r w:rsidRPr="35E55BE6">
        <w:rPr>
          <w:rFonts w:ascii="Times New Roman" w:hAnsi="Times New Roman" w:cs="Times New Roman"/>
          <w:sz w:val="24"/>
          <w:szCs w:val="24"/>
        </w:rPr>
        <w:t xml:space="preserve"> Victim Support Service (SEPDAVI); the Public Prosecutor (</w:t>
      </w:r>
      <w:proofErr w:type="spellStart"/>
      <w:r w:rsidRPr="35E55BE6">
        <w:rPr>
          <w:rFonts w:ascii="Times New Roman" w:hAnsi="Times New Roman" w:cs="Times New Roman"/>
          <w:sz w:val="24"/>
          <w:szCs w:val="24"/>
        </w:rPr>
        <w:t>Ministerio</w:t>
      </w:r>
      <w:proofErr w:type="spellEnd"/>
      <w:r w:rsidRPr="35E55BE6">
        <w:rPr>
          <w:rFonts w:ascii="Times New Roman" w:hAnsi="Times New Roman" w:cs="Times New Roman"/>
          <w:sz w:val="24"/>
          <w:szCs w:val="24"/>
        </w:rPr>
        <w:t xml:space="preserve"> </w:t>
      </w:r>
      <w:proofErr w:type="spellStart"/>
      <w:r w:rsidRPr="35E55BE6">
        <w:rPr>
          <w:rFonts w:ascii="Times New Roman" w:hAnsi="Times New Roman" w:cs="Times New Roman"/>
          <w:sz w:val="24"/>
          <w:szCs w:val="24"/>
        </w:rPr>
        <w:t>Público</w:t>
      </w:r>
      <w:proofErr w:type="spellEnd"/>
      <w:r w:rsidRPr="35E55BE6">
        <w:rPr>
          <w:rFonts w:ascii="Times New Roman" w:hAnsi="Times New Roman" w:cs="Times New Roman"/>
          <w:sz w:val="24"/>
          <w:szCs w:val="24"/>
        </w:rPr>
        <w:t xml:space="preserve">); Municipal Autonomous Governments; and the </w:t>
      </w:r>
      <w:proofErr w:type="spellStart"/>
      <w:r w:rsidRPr="35E55BE6">
        <w:rPr>
          <w:rFonts w:ascii="Times New Roman" w:hAnsi="Times New Roman" w:cs="Times New Roman"/>
          <w:sz w:val="24"/>
          <w:szCs w:val="24"/>
        </w:rPr>
        <w:t>Plurinational</w:t>
      </w:r>
      <w:proofErr w:type="spellEnd"/>
      <w:r w:rsidRPr="35E55BE6">
        <w:rPr>
          <w:rFonts w:ascii="Times New Roman" w:hAnsi="Times New Roman" w:cs="Times New Roman"/>
          <w:sz w:val="24"/>
          <w:szCs w:val="24"/>
        </w:rPr>
        <w:t xml:space="preserve"> Electoral Body (OEP). The Carter Center recommends granting more legal faculties to the TSE to strengthen the protection and to guarantee the rights of women candidates and in office.</w:t>
      </w:r>
    </w:p>
    <w:p w14:paraId="1545FDED" w14:textId="77777777" w:rsidR="35E55BE6" w:rsidRDefault="35E55BE6" w:rsidP="008E7E64">
      <w:pPr>
        <w:spacing w:after="0" w:line="240" w:lineRule="auto"/>
        <w:jc w:val="both"/>
        <w:rPr>
          <w:rFonts w:ascii="Times New Roman" w:hAnsi="Times New Roman" w:cs="Times New Roman"/>
          <w:sz w:val="24"/>
          <w:szCs w:val="24"/>
        </w:rPr>
      </w:pPr>
    </w:p>
    <w:p w14:paraId="0111E865" w14:textId="39A8444A" w:rsidR="35E55BE6" w:rsidRDefault="35E55BE6" w:rsidP="008E7E64">
      <w:pPr>
        <w:spacing w:after="0" w:line="240" w:lineRule="auto"/>
        <w:jc w:val="both"/>
        <w:rPr>
          <w:rFonts w:ascii="Times New Roman" w:hAnsi="Times New Roman" w:cs="Times New Roman"/>
          <w:sz w:val="24"/>
          <w:szCs w:val="24"/>
        </w:rPr>
      </w:pPr>
      <w:r w:rsidRPr="35E55BE6">
        <w:rPr>
          <w:rFonts w:ascii="Times New Roman" w:hAnsi="Times New Roman" w:cs="Times New Roman"/>
          <w:i/>
          <w:iCs/>
          <w:sz w:val="24"/>
          <w:szCs w:val="24"/>
        </w:rPr>
        <w:t>Rights of indigenous peoples.</w:t>
      </w:r>
      <w:r w:rsidRPr="35E55BE6">
        <w:rPr>
          <w:rFonts w:ascii="Times New Roman" w:hAnsi="Times New Roman" w:cs="Times New Roman"/>
          <w:sz w:val="24"/>
          <w:szCs w:val="24"/>
        </w:rPr>
        <w:t xml:space="preserve"> In 2007, Bolivia enacted Law 3760, which enshrines the United Nations Declaration on the Rights of Indigenous Peoples into binding national law. Bolivia has taken other positive steps in this regard, including establishing seven special constituencies for indigenous communities in the Lower House and establishing the right and procedure to constitute autonomous native rural entities. However, indigenous self-government is sometimes rejected by parts of the population (mainly women and youth), since indigenous customs sometimes means that only elder men can act as representatives. The Carter Center recommends that Bolivia explore mechanisms to harmonize the provisions of indigenous community customs to constitutional rights.</w:t>
      </w:r>
    </w:p>
    <w:p w14:paraId="70DFE962" w14:textId="77777777" w:rsidR="35E55BE6" w:rsidRDefault="35E55BE6" w:rsidP="008E7E64">
      <w:pPr>
        <w:spacing w:after="0" w:line="240" w:lineRule="auto"/>
        <w:jc w:val="both"/>
        <w:rPr>
          <w:rFonts w:ascii="Times New Roman" w:hAnsi="Times New Roman" w:cs="Times New Roman"/>
          <w:sz w:val="24"/>
          <w:szCs w:val="24"/>
        </w:rPr>
      </w:pPr>
    </w:p>
    <w:p w14:paraId="34EB7504" w14:textId="77777777" w:rsidR="35E55BE6" w:rsidRDefault="35E55BE6" w:rsidP="008E7E64">
      <w:pPr>
        <w:spacing w:after="0" w:line="240" w:lineRule="auto"/>
        <w:jc w:val="both"/>
        <w:rPr>
          <w:rFonts w:ascii="Times New Roman" w:hAnsi="Times New Roman" w:cs="Times New Roman"/>
          <w:sz w:val="24"/>
          <w:szCs w:val="24"/>
        </w:rPr>
      </w:pPr>
      <w:r w:rsidRPr="35E55BE6">
        <w:rPr>
          <w:rFonts w:ascii="Times New Roman" w:hAnsi="Times New Roman" w:cs="Times New Roman"/>
          <w:i/>
          <w:iCs/>
          <w:sz w:val="24"/>
          <w:szCs w:val="24"/>
        </w:rPr>
        <w:t>Indigenous people’s participation.</w:t>
      </w:r>
      <w:r w:rsidRPr="35E55BE6">
        <w:rPr>
          <w:rFonts w:ascii="Times New Roman" w:hAnsi="Times New Roman" w:cs="Times New Roman"/>
          <w:sz w:val="24"/>
          <w:szCs w:val="24"/>
        </w:rPr>
        <w:t xml:space="preserve">  The Carter Center noted the efforts of the TSE to facilitate the participation of indigenous peoples in the current election. The TSE reached out directly to indigenous communities located in the 7 departments with special indigenous circumscriptions. The TSE visited diverse and remote communities and provided information and training to explain biosecurity measures and voting procedures. The TSE facilitators involved in this exercise were recommended by their own communities and spoke the local languages, thus improving the reach and effectiveness of the training. For future elections, the Carter Center recommends extending this program to more communities in all nine departments in the country.</w:t>
      </w:r>
    </w:p>
    <w:p w14:paraId="744B84FC" w14:textId="3FCB145E" w:rsidR="35E55BE6" w:rsidRDefault="35E55BE6" w:rsidP="008E7E64">
      <w:pPr>
        <w:spacing w:after="0" w:line="240" w:lineRule="auto"/>
        <w:jc w:val="both"/>
        <w:rPr>
          <w:rFonts w:ascii="Times New Roman" w:hAnsi="Times New Roman" w:cs="Times New Roman"/>
          <w:sz w:val="24"/>
          <w:szCs w:val="24"/>
        </w:rPr>
      </w:pPr>
      <w:r w:rsidRPr="35E55BE6">
        <w:rPr>
          <w:rFonts w:ascii="Times New Roman" w:hAnsi="Times New Roman" w:cs="Times New Roman"/>
          <w:sz w:val="24"/>
          <w:szCs w:val="24"/>
        </w:rPr>
        <w:t xml:space="preserve"> </w:t>
      </w:r>
    </w:p>
    <w:p w14:paraId="75625E42" w14:textId="041E309B" w:rsidR="35E55BE6" w:rsidRDefault="35E55BE6" w:rsidP="008E7E64">
      <w:pPr>
        <w:spacing w:after="0" w:line="240" w:lineRule="auto"/>
        <w:jc w:val="both"/>
        <w:rPr>
          <w:rFonts w:ascii="Times New Roman" w:hAnsi="Times New Roman" w:cs="Times New Roman"/>
          <w:sz w:val="24"/>
          <w:szCs w:val="24"/>
        </w:rPr>
      </w:pPr>
      <w:r w:rsidRPr="35E55BE6">
        <w:rPr>
          <w:rFonts w:ascii="Times New Roman" w:hAnsi="Times New Roman" w:cs="Times New Roman"/>
          <w:i/>
          <w:iCs/>
          <w:sz w:val="24"/>
          <w:szCs w:val="24"/>
        </w:rPr>
        <w:t>Protection mechanisms against discrimination.</w:t>
      </w:r>
      <w:r w:rsidRPr="35E55BE6">
        <w:rPr>
          <w:rFonts w:ascii="Times New Roman" w:hAnsi="Times New Roman" w:cs="Times New Roman"/>
          <w:sz w:val="24"/>
          <w:szCs w:val="24"/>
        </w:rPr>
        <w:t xml:space="preserve"> The Carter Center recommends strengthening institutional, </w:t>
      </w:r>
      <w:proofErr w:type="gramStart"/>
      <w:r w:rsidRPr="35E55BE6">
        <w:rPr>
          <w:rFonts w:ascii="Times New Roman" w:hAnsi="Times New Roman" w:cs="Times New Roman"/>
          <w:sz w:val="24"/>
          <w:szCs w:val="24"/>
        </w:rPr>
        <w:t>educational</w:t>
      </w:r>
      <w:proofErr w:type="gramEnd"/>
      <w:r w:rsidRPr="35E55BE6">
        <w:rPr>
          <w:rFonts w:ascii="Times New Roman" w:hAnsi="Times New Roman" w:cs="Times New Roman"/>
          <w:sz w:val="24"/>
          <w:szCs w:val="24"/>
        </w:rPr>
        <w:t xml:space="preserve"> and administrative resources for the effective implementation of the positive principles enshrined in law 45 against racism and forms of discrimination. This includes strengthening the Vice Minister for decolonization, and the National and Departmental Committees against Racism and all forms of Discrimination, in charge of monitoring the application of the law. The Carter Center also calls on all political organizations to consider the rights, interests and needs of all groups in society in their programs, and the LGBTQI </w:t>
      </w:r>
      <w:proofErr w:type="gramStart"/>
      <w:r w:rsidRPr="35E55BE6">
        <w:rPr>
          <w:rFonts w:ascii="Times New Roman" w:hAnsi="Times New Roman" w:cs="Times New Roman"/>
          <w:sz w:val="24"/>
          <w:szCs w:val="24"/>
        </w:rPr>
        <w:t>community in particular</w:t>
      </w:r>
      <w:proofErr w:type="gramEnd"/>
      <w:r w:rsidRPr="35E55BE6">
        <w:rPr>
          <w:rFonts w:ascii="Times New Roman" w:hAnsi="Times New Roman" w:cs="Times New Roman"/>
          <w:sz w:val="24"/>
          <w:szCs w:val="24"/>
        </w:rPr>
        <w:t>.</w:t>
      </w:r>
    </w:p>
    <w:p w14:paraId="27CD1C8B" w14:textId="77777777" w:rsidR="00445A43" w:rsidRDefault="00445A43" w:rsidP="008E7E64">
      <w:pPr>
        <w:spacing w:after="0" w:line="240" w:lineRule="auto"/>
        <w:jc w:val="both"/>
        <w:rPr>
          <w:rFonts w:ascii="Times New Roman" w:hAnsi="Times New Roman" w:cs="Times New Roman"/>
          <w:sz w:val="24"/>
          <w:szCs w:val="24"/>
        </w:rPr>
      </w:pPr>
    </w:p>
    <w:p w14:paraId="271301E9" w14:textId="77777777" w:rsidR="00376959" w:rsidRDefault="00376959" w:rsidP="008E7E64">
      <w:pPr>
        <w:spacing w:after="0" w:line="240" w:lineRule="auto"/>
        <w:jc w:val="both"/>
        <w:rPr>
          <w:rFonts w:ascii="Times New Roman" w:hAnsi="Times New Roman" w:cs="Times New Roman"/>
          <w:sz w:val="24"/>
          <w:szCs w:val="24"/>
        </w:rPr>
      </w:pPr>
    </w:p>
    <w:p w14:paraId="03C7EB6D" w14:textId="77777777" w:rsidR="00376959" w:rsidRDefault="00376959" w:rsidP="008E7E64">
      <w:pPr>
        <w:spacing w:after="0" w:line="240" w:lineRule="auto"/>
        <w:jc w:val="both"/>
        <w:rPr>
          <w:rFonts w:ascii="Times New Roman" w:hAnsi="Times New Roman" w:cs="Times New Roman"/>
          <w:sz w:val="24"/>
          <w:szCs w:val="24"/>
        </w:rPr>
      </w:pPr>
    </w:p>
    <w:p w14:paraId="293794C6" w14:textId="77777777" w:rsidR="00376959" w:rsidRDefault="00376959" w:rsidP="008E7E64">
      <w:pPr>
        <w:spacing w:after="0" w:line="240" w:lineRule="auto"/>
        <w:jc w:val="both"/>
        <w:rPr>
          <w:rFonts w:ascii="Times New Roman" w:hAnsi="Times New Roman" w:cs="Times New Roman"/>
          <w:sz w:val="24"/>
          <w:szCs w:val="24"/>
        </w:rPr>
      </w:pPr>
    </w:p>
    <w:p w14:paraId="1930C887" w14:textId="77777777" w:rsidR="00376959" w:rsidRDefault="00376959" w:rsidP="008E7E64">
      <w:pPr>
        <w:spacing w:after="0" w:line="240" w:lineRule="auto"/>
        <w:jc w:val="both"/>
        <w:rPr>
          <w:rFonts w:ascii="Times New Roman" w:hAnsi="Times New Roman" w:cs="Times New Roman"/>
          <w:sz w:val="24"/>
          <w:szCs w:val="24"/>
        </w:rPr>
      </w:pPr>
    </w:p>
    <w:p w14:paraId="5D7CD12F" w14:textId="77777777" w:rsidR="00376959" w:rsidRDefault="00376959" w:rsidP="008E7E64">
      <w:pPr>
        <w:spacing w:after="0" w:line="240" w:lineRule="auto"/>
        <w:jc w:val="both"/>
        <w:rPr>
          <w:rFonts w:ascii="Times New Roman" w:hAnsi="Times New Roman" w:cs="Times New Roman"/>
          <w:sz w:val="24"/>
          <w:szCs w:val="24"/>
        </w:rPr>
      </w:pPr>
    </w:p>
    <w:p w14:paraId="6399F824" w14:textId="77777777" w:rsidR="00376959" w:rsidRDefault="00376959" w:rsidP="008E7E64">
      <w:pPr>
        <w:spacing w:after="0" w:line="240" w:lineRule="auto"/>
        <w:jc w:val="both"/>
        <w:rPr>
          <w:rFonts w:ascii="Times New Roman" w:hAnsi="Times New Roman" w:cs="Times New Roman"/>
          <w:b/>
          <w:bCs/>
          <w:i/>
          <w:iCs/>
          <w:sz w:val="24"/>
          <w:szCs w:val="24"/>
        </w:rPr>
      </w:pPr>
    </w:p>
    <w:p w14:paraId="70A62C75" w14:textId="75A0759E" w:rsidR="00EC2C53" w:rsidRPr="00EC2C53" w:rsidRDefault="00EC2C53" w:rsidP="00376959">
      <w:pPr>
        <w:spacing w:after="0" w:line="240" w:lineRule="auto"/>
        <w:jc w:val="center"/>
        <w:rPr>
          <w:rFonts w:ascii="Times New Roman" w:hAnsi="Times New Roman" w:cs="Times New Roman"/>
          <w:b/>
          <w:bCs/>
          <w:sz w:val="24"/>
          <w:szCs w:val="24"/>
        </w:rPr>
      </w:pPr>
      <w:r w:rsidRPr="00EC2C53">
        <w:rPr>
          <w:rFonts w:ascii="Times New Roman" w:hAnsi="Times New Roman" w:cs="Times New Roman"/>
          <w:b/>
          <w:bCs/>
          <w:i/>
          <w:iCs/>
          <w:sz w:val="24"/>
          <w:szCs w:val="24"/>
        </w:rPr>
        <w:lastRenderedPageBreak/>
        <w:t>Article 19</w:t>
      </w:r>
    </w:p>
    <w:p w14:paraId="2189F9AA" w14:textId="77777777" w:rsidR="006851BF" w:rsidRPr="002B5B1E" w:rsidRDefault="006851BF" w:rsidP="008E7E64">
      <w:pPr>
        <w:spacing w:after="0" w:line="240" w:lineRule="auto"/>
        <w:jc w:val="both"/>
        <w:rPr>
          <w:rFonts w:ascii="Times New Roman" w:hAnsi="Times New Roman" w:cs="Times New Roman"/>
          <w:sz w:val="24"/>
          <w:szCs w:val="24"/>
        </w:rPr>
      </w:pPr>
    </w:p>
    <w:p w14:paraId="47D85FB1" w14:textId="5B021537" w:rsidR="00297B0D" w:rsidRPr="001A7649" w:rsidRDefault="00297B0D" w:rsidP="008E7E64">
      <w:pPr>
        <w:pStyle w:val="ListParagraph"/>
        <w:numPr>
          <w:ilvl w:val="0"/>
          <w:numId w:val="7"/>
        </w:numPr>
        <w:spacing w:after="0" w:line="240" w:lineRule="auto"/>
        <w:jc w:val="both"/>
        <w:rPr>
          <w:rFonts w:ascii="Times New Roman" w:hAnsi="Times New Roman" w:cs="Times New Roman"/>
          <w:b/>
          <w:bCs/>
          <w:sz w:val="24"/>
          <w:szCs w:val="24"/>
          <w:u w:val="single"/>
        </w:rPr>
      </w:pPr>
      <w:r w:rsidRPr="653945BE">
        <w:rPr>
          <w:rFonts w:ascii="Times New Roman" w:hAnsi="Times New Roman" w:cs="Times New Roman"/>
          <w:b/>
          <w:bCs/>
          <w:sz w:val="24"/>
          <w:szCs w:val="24"/>
          <w:u w:val="single"/>
        </w:rPr>
        <w:t xml:space="preserve">Freedom of </w:t>
      </w:r>
      <w:r w:rsidR="33789CE4" w:rsidRPr="653945BE">
        <w:rPr>
          <w:rFonts w:ascii="Times New Roman" w:hAnsi="Times New Roman" w:cs="Times New Roman"/>
          <w:b/>
          <w:bCs/>
          <w:sz w:val="24"/>
          <w:szCs w:val="24"/>
          <w:u w:val="single"/>
        </w:rPr>
        <w:t xml:space="preserve">the </w:t>
      </w:r>
      <w:r w:rsidRPr="653945BE">
        <w:rPr>
          <w:rFonts w:ascii="Times New Roman" w:hAnsi="Times New Roman" w:cs="Times New Roman"/>
          <w:b/>
          <w:bCs/>
          <w:sz w:val="24"/>
          <w:szCs w:val="24"/>
          <w:u w:val="single"/>
        </w:rPr>
        <w:t>Press</w:t>
      </w:r>
    </w:p>
    <w:p w14:paraId="52DBD979" w14:textId="77777777" w:rsidR="00297B0D" w:rsidRPr="00297B0D" w:rsidRDefault="00297B0D" w:rsidP="008E7E64">
      <w:pPr>
        <w:spacing w:after="0" w:line="240" w:lineRule="auto"/>
        <w:jc w:val="both"/>
        <w:rPr>
          <w:rFonts w:ascii="Times New Roman" w:hAnsi="Times New Roman" w:cs="Times New Roman"/>
          <w:b/>
          <w:sz w:val="24"/>
          <w:szCs w:val="24"/>
        </w:rPr>
      </w:pPr>
    </w:p>
    <w:p w14:paraId="5732DE6F" w14:textId="3DAC4066" w:rsidR="00297B0D" w:rsidRDefault="00297B0D" w:rsidP="008E7E64">
      <w:pPr>
        <w:spacing w:after="0" w:line="240" w:lineRule="auto"/>
        <w:jc w:val="both"/>
        <w:rPr>
          <w:rFonts w:ascii="Times New Roman" w:hAnsi="Times New Roman" w:cs="Times New Roman"/>
          <w:bCs/>
          <w:sz w:val="24"/>
          <w:szCs w:val="24"/>
          <w:lang w:val="en-GB"/>
        </w:rPr>
      </w:pPr>
      <w:r w:rsidRPr="00297B0D">
        <w:rPr>
          <w:rFonts w:ascii="Times New Roman" w:hAnsi="Times New Roman" w:cs="Times New Roman"/>
          <w:bCs/>
          <w:sz w:val="24"/>
          <w:szCs w:val="24"/>
          <w:lang w:val="en-GB"/>
        </w:rPr>
        <w:t>In March 2020, the government issued two decrees with measures to deal with the pandemic [4199 and 4200, of March 21 and 25, respectively], which included a paragraph calling for criminalisation "disinformation" and "uncertainty":</w:t>
      </w:r>
    </w:p>
    <w:p w14:paraId="142F508A" w14:textId="77777777" w:rsidR="00297B0D" w:rsidRPr="00297B0D" w:rsidRDefault="00297B0D" w:rsidP="008E7E64">
      <w:pPr>
        <w:spacing w:after="0" w:line="240" w:lineRule="auto"/>
        <w:jc w:val="both"/>
        <w:rPr>
          <w:rFonts w:ascii="Times New Roman" w:hAnsi="Times New Roman" w:cs="Times New Roman"/>
          <w:bCs/>
          <w:sz w:val="24"/>
          <w:szCs w:val="24"/>
          <w:lang w:val="en-GB"/>
        </w:rPr>
      </w:pPr>
    </w:p>
    <w:p w14:paraId="558C1C3E" w14:textId="648F9EF1" w:rsidR="00297B0D" w:rsidRDefault="00297B0D" w:rsidP="008E7E64">
      <w:pPr>
        <w:spacing w:after="0" w:line="240" w:lineRule="auto"/>
        <w:jc w:val="both"/>
        <w:rPr>
          <w:rFonts w:ascii="Times New Roman" w:hAnsi="Times New Roman" w:cs="Times New Roman"/>
          <w:bCs/>
          <w:i/>
          <w:iCs/>
          <w:sz w:val="24"/>
          <w:szCs w:val="24"/>
          <w:lang w:val="en-GB"/>
        </w:rPr>
      </w:pPr>
      <w:r w:rsidRPr="00297B0D">
        <w:rPr>
          <w:rFonts w:ascii="Times New Roman" w:hAnsi="Times New Roman" w:cs="Times New Roman"/>
          <w:bCs/>
          <w:i/>
          <w:iCs/>
          <w:sz w:val="24"/>
          <w:szCs w:val="24"/>
          <w:lang w:val="en-GB"/>
        </w:rPr>
        <w:t>"Persons who incite non-compliance of this Supreme Decree or who misinform or create uncertainty in the population shall be subject to criminal prosecution for the commission of crimes against public health.</w:t>
      </w:r>
    </w:p>
    <w:p w14:paraId="74D179A3" w14:textId="77777777" w:rsidR="001D3669" w:rsidRPr="00297B0D" w:rsidRDefault="001D3669" w:rsidP="008E7E64">
      <w:pPr>
        <w:spacing w:after="0" w:line="240" w:lineRule="auto"/>
        <w:jc w:val="both"/>
        <w:rPr>
          <w:rFonts w:ascii="Times New Roman" w:hAnsi="Times New Roman" w:cs="Times New Roman"/>
          <w:bCs/>
          <w:i/>
          <w:iCs/>
          <w:sz w:val="24"/>
          <w:szCs w:val="24"/>
          <w:lang w:val="en-GB"/>
        </w:rPr>
      </w:pPr>
    </w:p>
    <w:p w14:paraId="7B246125" w14:textId="37D0E9DD" w:rsidR="00297B0D" w:rsidRDefault="00297B0D" w:rsidP="008E7E64">
      <w:pPr>
        <w:spacing w:after="0" w:line="240" w:lineRule="auto"/>
        <w:jc w:val="both"/>
        <w:rPr>
          <w:rFonts w:ascii="Times New Roman" w:hAnsi="Times New Roman" w:cs="Times New Roman"/>
          <w:bCs/>
          <w:sz w:val="24"/>
          <w:szCs w:val="24"/>
          <w:lang w:val="en-GB"/>
        </w:rPr>
      </w:pPr>
      <w:r w:rsidRPr="00297B0D">
        <w:rPr>
          <w:rFonts w:ascii="Times New Roman" w:hAnsi="Times New Roman" w:cs="Times New Roman"/>
          <w:bCs/>
          <w:sz w:val="24"/>
          <w:szCs w:val="24"/>
          <w:lang w:val="en-GB"/>
        </w:rPr>
        <w:t>A subsequent decree [4231 of May 7] modified both previous decrees, replacing the references to "disinformation" with a broader scope: "information of any kind, whether in written, printed, or artistic form and/or by any other procedure". This information would be subject to prosecutions for crimes "typified in the Criminal Code”</w:t>
      </w:r>
      <w:r w:rsidR="007F1F4F">
        <w:rPr>
          <w:rFonts w:ascii="Times New Roman" w:hAnsi="Times New Roman" w:cs="Times New Roman"/>
          <w:bCs/>
          <w:sz w:val="24"/>
          <w:szCs w:val="24"/>
          <w:lang w:val="en-GB"/>
        </w:rPr>
        <w:t>:</w:t>
      </w:r>
    </w:p>
    <w:p w14:paraId="6383EC76" w14:textId="77777777" w:rsidR="00297B0D" w:rsidRPr="00297B0D" w:rsidRDefault="00297B0D" w:rsidP="008E7E64">
      <w:pPr>
        <w:spacing w:after="0" w:line="240" w:lineRule="auto"/>
        <w:jc w:val="both"/>
        <w:rPr>
          <w:rFonts w:ascii="Times New Roman" w:hAnsi="Times New Roman" w:cs="Times New Roman"/>
          <w:bCs/>
          <w:sz w:val="24"/>
          <w:szCs w:val="24"/>
          <w:lang w:val="en-GB"/>
        </w:rPr>
      </w:pPr>
    </w:p>
    <w:p w14:paraId="450A5A27" w14:textId="77777777" w:rsidR="007F1F4F" w:rsidRDefault="00297B0D" w:rsidP="008E7E64">
      <w:pPr>
        <w:spacing w:after="0" w:line="240" w:lineRule="auto"/>
        <w:jc w:val="both"/>
        <w:rPr>
          <w:rFonts w:ascii="Times New Roman" w:hAnsi="Times New Roman" w:cs="Times New Roman"/>
          <w:bCs/>
          <w:i/>
          <w:iCs/>
          <w:sz w:val="24"/>
          <w:szCs w:val="24"/>
          <w:lang w:val="en-GB"/>
        </w:rPr>
      </w:pPr>
      <w:r w:rsidRPr="00297B0D">
        <w:rPr>
          <w:rFonts w:ascii="Times New Roman" w:hAnsi="Times New Roman" w:cs="Times New Roman"/>
          <w:bCs/>
          <w:i/>
          <w:iCs/>
          <w:sz w:val="24"/>
          <w:szCs w:val="24"/>
          <w:lang w:val="en-GB"/>
        </w:rPr>
        <w:t>"Persons who incite non-compliance with this Supreme Decree or disseminate information of any kind, whether in written, printed or artistic form and/or by any other procedure that endangers or affects public health, generating uncertainty in the population, shall be subject to complaints for crimes under the Criminal Code"</w:t>
      </w:r>
      <w:r w:rsidR="007F1F4F">
        <w:rPr>
          <w:rFonts w:ascii="Times New Roman" w:hAnsi="Times New Roman" w:cs="Times New Roman"/>
          <w:bCs/>
          <w:i/>
          <w:iCs/>
          <w:sz w:val="24"/>
          <w:szCs w:val="24"/>
          <w:lang w:val="en-GB"/>
        </w:rPr>
        <w:t>.</w:t>
      </w:r>
    </w:p>
    <w:p w14:paraId="3DAFB47D" w14:textId="327B737D" w:rsidR="00297B0D" w:rsidRPr="00297B0D" w:rsidRDefault="00297B0D" w:rsidP="008E7E64">
      <w:pPr>
        <w:spacing w:after="0" w:line="240" w:lineRule="auto"/>
        <w:jc w:val="both"/>
        <w:rPr>
          <w:rFonts w:ascii="Times New Roman" w:hAnsi="Times New Roman" w:cs="Times New Roman"/>
          <w:bCs/>
          <w:i/>
          <w:iCs/>
          <w:sz w:val="24"/>
          <w:szCs w:val="24"/>
          <w:lang w:val="en-GB"/>
        </w:rPr>
      </w:pPr>
      <w:r w:rsidRPr="00297B0D">
        <w:rPr>
          <w:rFonts w:ascii="Times New Roman" w:hAnsi="Times New Roman" w:cs="Times New Roman"/>
          <w:bCs/>
          <w:i/>
          <w:iCs/>
          <w:sz w:val="24"/>
          <w:szCs w:val="24"/>
          <w:lang w:val="en-GB"/>
        </w:rPr>
        <w:t xml:space="preserve"> </w:t>
      </w:r>
    </w:p>
    <w:p w14:paraId="18ABF68E" w14:textId="3931588B" w:rsidR="00297B0D" w:rsidRDefault="00297B0D" w:rsidP="008E7E64">
      <w:pPr>
        <w:spacing w:after="0" w:line="240" w:lineRule="auto"/>
        <w:jc w:val="both"/>
        <w:rPr>
          <w:rFonts w:ascii="Times New Roman" w:hAnsi="Times New Roman" w:cs="Times New Roman"/>
          <w:bCs/>
          <w:sz w:val="24"/>
          <w:szCs w:val="24"/>
          <w:lang w:val="en-GB"/>
        </w:rPr>
      </w:pPr>
      <w:r w:rsidRPr="00297B0D">
        <w:rPr>
          <w:rFonts w:ascii="Times New Roman" w:hAnsi="Times New Roman" w:cs="Times New Roman"/>
          <w:bCs/>
          <w:sz w:val="24"/>
          <w:szCs w:val="24"/>
          <w:lang w:val="en-GB"/>
        </w:rPr>
        <w:t xml:space="preserve">Press associations denounced a serious attack on freedom of information and speech, particularly disconcerting for journalistic reporting, </w:t>
      </w:r>
      <w:proofErr w:type="gramStart"/>
      <w:r w:rsidRPr="00297B0D">
        <w:rPr>
          <w:rFonts w:ascii="Times New Roman" w:hAnsi="Times New Roman" w:cs="Times New Roman"/>
          <w:bCs/>
          <w:sz w:val="24"/>
          <w:szCs w:val="24"/>
          <w:lang w:val="en-GB"/>
        </w:rPr>
        <w:t>despite the fact that</w:t>
      </w:r>
      <w:proofErr w:type="gramEnd"/>
      <w:r w:rsidRPr="00297B0D">
        <w:rPr>
          <w:rFonts w:ascii="Times New Roman" w:hAnsi="Times New Roman" w:cs="Times New Roman"/>
          <w:bCs/>
          <w:sz w:val="24"/>
          <w:szCs w:val="24"/>
          <w:lang w:val="en-GB"/>
        </w:rPr>
        <w:t xml:space="preserve"> Minister of the Presidency, </w:t>
      </w:r>
      <w:proofErr w:type="spellStart"/>
      <w:r w:rsidRPr="00297B0D">
        <w:rPr>
          <w:rFonts w:ascii="Times New Roman" w:hAnsi="Times New Roman" w:cs="Times New Roman"/>
          <w:bCs/>
          <w:sz w:val="24"/>
          <w:szCs w:val="24"/>
          <w:lang w:val="en-GB"/>
        </w:rPr>
        <w:t>Yerko</w:t>
      </w:r>
      <w:proofErr w:type="spellEnd"/>
      <w:r w:rsidRPr="00297B0D">
        <w:rPr>
          <w:rFonts w:ascii="Times New Roman" w:hAnsi="Times New Roman" w:cs="Times New Roman"/>
          <w:bCs/>
          <w:sz w:val="24"/>
          <w:szCs w:val="24"/>
          <w:lang w:val="en-GB"/>
        </w:rPr>
        <w:t xml:space="preserve"> </w:t>
      </w:r>
      <w:proofErr w:type="spellStart"/>
      <w:r w:rsidRPr="00297B0D">
        <w:rPr>
          <w:rFonts w:ascii="Times New Roman" w:hAnsi="Times New Roman" w:cs="Times New Roman"/>
          <w:bCs/>
          <w:sz w:val="24"/>
          <w:szCs w:val="24"/>
          <w:lang w:val="en-GB"/>
        </w:rPr>
        <w:t>Nuñez</w:t>
      </w:r>
      <w:proofErr w:type="spellEnd"/>
      <w:r w:rsidRPr="00297B0D">
        <w:rPr>
          <w:rFonts w:ascii="Times New Roman" w:hAnsi="Times New Roman" w:cs="Times New Roman"/>
          <w:bCs/>
          <w:sz w:val="24"/>
          <w:szCs w:val="24"/>
          <w:lang w:val="en-GB"/>
        </w:rPr>
        <w:t xml:space="preserve">, guaranteed in a press conference that journalists would continue being subject to the Printing Act, the norm that regulates the activity of the Bolivian media since 1925. </w:t>
      </w:r>
    </w:p>
    <w:p w14:paraId="351EA630" w14:textId="77777777" w:rsidR="007F1F4F" w:rsidRPr="00297B0D" w:rsidRDefault="007F1F4F" w:rsidP="008E7E64">
      <w:pPr>
        <w:spacing w:after="0" w:line="240" w:lineRule="auto"/>
        <w:jc w:val="both"/>
        <w:rPr>
          <w:rFonts w:ascii="Times New Roman" w:hAnsi="Times New Roman" w:cs="Times New Roman"/>
          <w:bCs/>
          <w:sz w:val="24"/>
          <w:szCs w:val="24"/>
          <w:lang w:val="en-GB"/>
        </w:rPr>
      </w:pPr>
    </w:p>
    <w:p w14:paraId="181E6295" w14:textId="73DA432B" w:rsidR="00297B0D" w:rsidRDefault="00297B0D" w:rsidP="008E7E64">
      <w:pPr>
        <w:spacing w:after="0" w:line="240" w:lineRule="auto"/>
        <w:jc w:val="both"/>
        <w:rPr>
          <w:rFonts w:ascii="Times New Roman" w:hAnsi="Times New Roman" w:cs="Times New Roman"/>
          <w:bCs/>
          <w:sz w:val="24"/>
          <w:szCs w:val="24"/>
          <w:lang w:val="en-GB"/>
        </w:rPr>
      </w:pPr>
      <w:r w:rsidRPr="00297B0D">
        <w:rPr>
          <w:rFonts w:ascii="Times New Roman" w:hAnsi="Times New Roman" w:cs="Times New Roman"/>
          <w:bCs/>
          <w:sz w:val="24"/>
          <w:szCs w:val="24"/>
          <w:lang w:val="en-GB"/>
        </w:rPr>
        <w:t xml:space="preserve">The Mission in Bolivia of the Office of the United Nations High Commissioner for Human Rights publicly described the measure as "excessive" and asked the Bolivian Government to modify it "so as not to criminalize freedom of expression". </w:t>
      </w:r>
    </w:p>
    <w:p w14:paraId="174FD09E" w14:textId="77777777" w:rsidR="007F1F4F" w:rsidRPr="00297B0D" w:rsidRDefault="007F1F4F" w:rsidP="008E7E64">
      <w:pPr>
        <w:spacing w:after="0" w:line="240" w:lineRule="auto"/>
        <w:jc w:val="both"/>
        <w:rPr>
          <w:rFonts w:ascii="Times New Roman" w:hAnsi="Times New Roman" w:cs="Times New Roman"/>
          <w:bCs/>
          <w:sz w:val="24"/>
          <w:szCs w:val="24"/>
          <w:lang w:val="en-GB"/>
        </w:rPr>
      </w:pPr>
    </w:p>
    <w:p w14:paraId="60B89C0F" w14:textId="0BC13362" w:rsidR="00297B0D" w:rsidRDefault="00297B0D" w:rsidP="008E7E64">
      <w:pPr>
        <w:spacing w:after="0" w:line="240" w:lineRule="auto"/>
        <w:jc w:val="both"/>
        <w:rPr>
          <w:rFonts w:ascii="Times New Roman" w:hAnsi="Times New Roman" w:cs="Times New Roman"/>
          <w:bCs/>
          <w:sz w:val="24"/>
          <w:szCs w:val="24"/>
          <w:lang w:val="en-GB"/>
        </w:rPr>
      </w:pPr>
      <w:r w:rsidRPr="00297B0D">
        <w:rPr>
          <w:rFonts w:ascii="Times New Roman" w:hAnsi="Times New Roman" w:cs="Times New Roman"/>
          <w:bCs/>
          <w:sz w:val="24"/>
          <w:szCs w:val="24"/>
          <w:lang w:val="en-GB"/>
        </w:rPr>
        <w:t xml:space="preserve">Finally, President </w:t>
      </w:r>
      <w:proofErr w:type="spellStart"/>
      <w:r w:rsidRPr="00297B0D">
        <w:rPr>
          <w:rFonts w:ascii="Times New Roman" w:hAnsi="Times New Roman" w:cs="Times New Roman"/>
          <w:bCs/>
          <w:sz w:val="24"/>
          <w:szCs w:val="24"/>
          <w:lang w:val="en-GB"/>
        </w:rPr>
        <w:t>Áñez</w:t>
      </w:r>
      <w:proofErr w:type="spellEnd"/>
      <w:r w:rsidRPr="00297B0D">
        <w:rPr>
          <w:rFonts w:ascii="Times New Roman" w:hAnsi="Times New Roman" w:cs="Times New Roman"/>
          <w:bCs/>
          <w:sz w:val="24"/>
          <w:szCs w:val="24"/>
          <w:lang w:val="en-GB"/>
        </w:rPr>
        <w:t>’ administration issued a fourth decree [4236, May 14] which repealed the controversial articles of the previous three and put an end to the conflict.</w:t>
      </w:r>
    </w:p>
    <w:p w14:paraId="0DDCE4C3" w14:textId="77777777" w:rsidR="001D3669" w:rsidRPr="00297B0D" w:rsidRDefault="001D3669" w:rsidP="008E7E64">
      <w:pPr>
        <w:spacing w:after="0" w:line="240" w:lineRule="auto"/>
        <w:jc w:val="both"/>
        <w:rPr>
          <w:rFonts w:ascii="Times New Roman" w:hAnsi="Times New Roman" w:cs="Times New Roman"/>
          <w:bCs/>
          <w:sz w:val="24"/>
          <w:szCs w:val="24"/>
          <w:lang w:val="en-GB"/>
        </w:rPr>
      </w:pPr>
    </w:p>
    <w:p w14:paraId="5D209053" w14:textId="40E9897A" w:rsidR="003C036C" w:rsidRDefault="00297B0D" w:rsidP="008E7E64">
      <w:pPr>
        <w:spacing w:after="0" w:line="240" w:lineRule="auto"/>
        <w:jc w:val="both"/>
        <w:rPr>
          <w:rFonts w:ascii="Times New Roman" w:hAnsi="Times New Roman" w:cs="Times New Roman"/>
          <w:bCs/>
          <w:sz w:val="24"/>
          <w:szCs w:val="24"/>
        </w:rPr>
      </w:pPr>
      <w:r w:rsidRPr="00297B0D">
        <w:rPr>
          <w:rFonts w:ascii="Times New Roman" w:hAnsi="Times New Roman" w:cs="Times New Roman"/>
          <w:bCs/>
          <w:sz w:val="24"/>
          <w:szCs w:val="24"/>
        </w:rPr>
        <w:t xml:space="preserve">Since the October 2019 elections, the National Association of Bolivian Press has reported more than 50 cases of assault, threats, and intimidation against media professionals, as well as attacks on their media headquarters. No specific government or judicial protection exists, despite an increase in violent incidents. </w:t>
      </w:r>
    </w:p>
    <w:p w14:paraId="2A03740D" w14:textId="6187D00B" w:rsidR="00D80667" w:rsidRDefault="00D80667" w:rsidP="008E7E64">
      <w:pPr>
        <w:spacing w:after="0" w:line="240" w:lineRule="auto"/>
        <w:jc w:val="both"/>
        <w:rPr>
          <w:rFonts w:ascii="Times New Roman" w:hAnsi="Times New Roman" w:cs="Times New Roman"/>
          <w:bCs/>
          <w:sz w:val="24"/>
          <w:szCs w:val="24"/>
        </w:rPr>
      </w:pPr>
    </w:p>
    <w:p w14:paraId="19064B63" w14:textId="5B48BB83" w:rsidR="00376959" w:rsidRDefault="35E55BE6" w:rsidP="00376959">
      <w:pPr>
        <w:spacing w:after="0" w:line="240" w:lineRule="auto"/>
        <w:rPr>
          <w:rFonts w:ascii="Times New Roman" w:hAnsi="Times New Roman" w:cs="Times New Roman"/>
          <w:i/>
          <w:iCs/>
          <w:sz w:val="24"/>
          <w:szCs w:val="24"/>
        </w:rPr>
      </w:pPr>
      <w:r w:rsidRPr="35E55BE6">
        <w:rPr>
          <w:rFonts w:ascii="Times New Roman" w:hAnsi="Times New Roman" w:cs="Times New Roman"/>
          <w:sz w:val="24"/>
          <w:szCs w:val="24"/>
        </w:rPr>
        <w:t>Lastly, although the right to information appears in the CPE and the Assembly recently</w:t>
      </w:r>
      <w:r w:rsidR="00A62FBB">
        <w:rPr>
          <w:rFonts w:ascii="Times New Roman" w:hAnsi="Times New Roman" w:cs="Times New Roman"/>
          <w:sz w:val="24"/>
          <w:szCs w:val="24"/>
        </w:rPr>
        <w:t xml:space="preserve"> </w:t>
      </w:r>
      <w:r w:rsidRPr="35E55BE6">
        <w:rPr>
          <w:rFonts w:ascii="Times New Roman" w:hAnsi="Times New Roman" w:cs="Times New Roman"/>
          <w:sz w:val="24"/>
          <w:szCs w:val="24"/>
        </w:rPr>
        <w:t>promulgated a transparency law, very few state agencies publish reports on their management or respond to requests to provide data to the press. To better ensure that journalists may inform the public and provide scrutiny of government programs, The Carter Center recommends that Bolivia consider specifically legislating the state’s obligation to publish information on its agencies’ work, both</w:t>
      </w:r>
      <w:r w:rsidR="00376959">
        <w:rPr>
          <w:rFonts w:ascii="Times New Roman" w:hAnsi="Times New Roman" w:cs="Times New Roman"/>
          <w:sz w:val="24"/>
          <w:szCs w:val="24"/>
        </w:rPr>
        <w:t xml:space="preserve"> </w:t>
      </w:r>
      <w:r w:rsidRPr="35E55BE6">
        <w:rPr>
          <w:rFonts w:ascii="Times New Roman" w:hAnsi="Times New Roman" w:cs="Times New Roman"/>
          <w:sz w:val="24"/>
          <w:szCs w:val="24"/>
        </w:rPr>
        <w:t xml:space="preserve">on a regular basis and in response to enquiries.   </w:t>
      </w:r>
      <w:r>
        <w:br/>
      </w:r>
      <w:r>
        <w:br/>
      </w:r>
      <w:r w:rsidRPr="00A25CCB">
        <w:rPr>
          <w:rFonts w:ascii="Times New Roman" w:hAnsi="Times New Roman" w:cs="Times New Roman"/>
          <w:b/>
          <w:bCs/>
          <w:sz w:val="24"/>
          <w:szCs w:val="24"/>
        </w:rPr>
        <w:lastRenderedPageBreak/>
        <w:t>Recommendations</w:t>
      </w:r>
      <w:r>
        <w:br/>
      </w:r>
    </w:p>
    <w:p w14:paraId="00377E56" w14:textId="1176E39A" w:rsidR="35E55BE6" w:rsidRDefault="35E55BE6" w:rsidP="00A62FBB">
      <w:pPr>
        <w:spacing w:after="0" w:line="240" w:lineRule="auto"/>
        <w:jc w:val="both"/>
        <w:rPr>
          <w:rFonts w:ascii="Times New Roman" w:hAnsi="Times New Roman" w:cs="Times New Roman"/>
          <w:sz w:val="24"/>
          <w:szCs w:val="24"/>
        </w:rPr>
      </w:pPr>
      <w:r w:rsidRPr="35E55BE6">
        <w:rPr>
          <w:rFonts w:ascii="Times New Roman" w:hAnsi="Times New Roman" w:cs="Times New Roman"/>
          <w:i/>
          <w:iCs/>
          <w:sz w:val="24"/>
          <w:szCs w:val="24"/>
        </w:rPr>
        <w:t>Protection of journalists.</w:t>
      </w:r>
      <w:r w:rsidRPr="35E55BE6">
        <w:rPr>
          <w:rFonts w:ascii="Times New Roman" w:hAnsi="Times New Roman" w:cs="Times New Roman"/>
          <w:sz w:val="24"/>
          <w:szCs w:val="24"/>
        </w:rPr>
        <w:t xml:space="preserve"> Given the high number of threats and assaults against journalists, and the poor efficiency of existing mechanisms to protect journalists, the Carter Center recommends that adoption of legal provisions and accompanying implementation mechanisms to more effectively guarantee that the media and journalists can carry out their work as watchdogs of democracy.</w:t>
      </w:r>
    </w:p>
    <w:p w14:paraId="50219407" w14:textId="0DE67035" w:rsidR="003C036C" w:rsidRDefault="35E55BE6" w:rsidP="008E7E64">
      <w:pPr>
        <w:spacing w:after="0" w:line="240" w:lineRule="auto"/>
        <w:jc w:val="both"/>
        <w:rPr>
          <w:rFonts w:ascii="Times New Roman" w:hAnsi="Times New Roman" w:cs="Times New Roman"/>
          <w:sz w:val="24"/>
          <w:szCs w:val="24"/>
        </w:rPr>
      </w:pPr>
      <w:r>
        <w:br/>
      </w:r>
      <w:r w:rsidRPr="35E55BE6">
        <w:rPr>
          <w:rFonts w:ascii="Times New Roman" w:hAnsi="Times New Roman" w:cs="Times New Roman"/>
          <w:i/>
          <w:iCs/>
          <w:sz w:val="24"/>
          <w:szCs w:val="24"/>
          <w:lang w:val="en-GB"/>
        </w:rPr>
        <w:t xml:space="preserve">Right to information. </w:t>
      </w:r>
      <w:r w:rsidRPr="35E55BE6">
        <w:rPr>
          <w:rFonts w:ascii="Times New Roman" w:hAnsi="Times New Roman" w:cs="Times New Roman"/>
          <w:sz w:val="24"/>
          <w:szCs w:val="24"/>
          <w:lang w:val="en-GB"/>
        </w:rPr>
        <w:t>Although the right to information appears in the Political Constitution of the State (</w:t>
      </w:r>
      <w:proofErr w:type="spellStart"/>
      <w:r w:rsidRPr="35E55BE6">
        <w:rPr>
          <w:rFonts w:ascii="Times New Roman" w:hAnsi="Times New Roman" w:cs="Times New Roman"/>
          <w:i/>
          <w:iCs/>
          <w:sz w:val="24"/>
          <w:szCs w:val="24"/>
        </w:rPr>
        <w:t>Constitución</w:t>
      </w:r>
      <w:proofErr w:type="spellEnd"/>
      <w:r w:rsidRPr="35E55BE6">
        <w:rPr>
          <w:rFonts w:ascii="Times New Roman" w:hAnsi="Times New Roman" w:cs="Times New Roman"/>
          <w:i/>
          <w:iCs/>
          <w:sz w:val="24"/>
          <w:szCs w:val="24"/>
        </w:rPr>
        <w:t xml:space="preserve"> </w:t>
      </w:r>
      <w:proofErr w:type="spellStart"/>
      <w:r w:rsidRPr="35E55BE6">
        <w:rPr>
          <w:rFonts w:ascii="Times New Roman" w:hAnsi="Times New Roman" w:cs="Times New Roman"/>
          <w:i/>
          <w:iCs/>
          <w:sz w:val="24"/>
          <w:szCs w:val="24"/>
        </w:rPr>
        <w:t>Política</w:t>
      </w:r>
      <w:proofErr w:type="spellEnd"/>
      <w:r w:rsidRPr="35E55BE6">
        <w:rPr>
          <w:rFonts w:ascii="Times New Roman" w:hAnsi="Times New Roman" w:cs="Times New Roman"/>
          <w:i/>
          <w:iCs/>
          <w:sz w:val="24"/>
          <w:szCs w:val="24"/>
        </w:rPr>
        <w:t xml:space="preserve"> del Estado – CPE</w:t>
      </w:r>
      <w:r w:rsidRPr="35E55BE6">
        <w:rPr>
          <w:rFonts w:ascii="Times New Roman" w:hAnsi="Times New Roman" w:cs="Times New Roman"/>
          <w:sz w:val="24"/>
          <w:szCs w:val="24"/>
        </w:rPr>
        <w:t xml:space="preserve">) and the Assembly recently promulgated a transparency law, very few state agencies publish reports on their management or respond to requests to provide data to the press. </w:t>
      </w:r>
      <w:proofErr w:type="gramStart"/>
      <w:r w:rsidRPr="35E55BE6">
        <w:rPr>
          <w:rFonts w:ascii="Times New Roman" w:hAnsi="Times New Roman" w:cs="Times New Roman"/>
          <w:sz w:val="24"/>
          <w:szCs w:val="24"/>
        </w:rPr>
        <w:t>In order to</w:t>
      </w:r>
      <w:proofErr w:type="gramEnd"/>
      <w:r w:rsidRPr="35E55BE6">
        <w:rPr>
          <w:rFonts w:ascii="Times New Roman" w:hAnsi="Times New Roman" w:cs="Times New Roman"/>
          <w:sz w:val="24"/>
          <w:szCs w:val="24"/>
        </w:rPr>
        <w:t xml:space="preserve"> better ensure that the media and its journalists may inform the public and provide scrutiny of government programs, the Carter Center recommends that Bolivia regulate the state’s obligation to publish information on its agencies’ work, both on a regular basis and in response to enquiries.  </w:t>
      </w:r>
    </w:p>
    <w:p w14:paraId="5C6B59AC" w14:textId="77777777" w:rsidR="001A7649" w:rsidRDefault="001A7649" w:rsidP="008E7E64">
      <w:pPr>
        <w:spacing w:after="0" w:line="240" w:lineRule="auto"/>
        <w:jc w:val="both"/>
        <w:rPr>
          <w:rFonts w:ascii="Times New Roman" w:hAnsi="Times New Roman" w:cs="Times New Roman"/>
          <w:bCs/>
          <w:sz w:val="24"/>
          <w:szCs w:val="24"/>
        </w:rPr>
      </w:pPr>
    </w:p>
    <w:p w14:paraId="48AA8180" w14:textId="04E2CB60" w:rsidR="00D15EEB" w:rsidRPr="001A7649" w:rsidRDefault="00D15EEB" w:rsidP="008E7E64">
      <w:pPr>
        <w:pStyle w:val="ListParagraph"/>
        <w:numPr>
          <w:ilvl w:val="0"/>
          <w:numId w:val="7"/>
        </w:numPr>
        <w:spacing w:after="0" w:line="240" w:lineRule="auto"/>
        <w:jc w:val="both"/>
        <w:rPr>
          <w:rFonts w:ascii="Times New Roman" w:hAnsi="Times New Roman" w:cs="Times New Roman"/>
          <w:bCs/>
          <w:sz w:val="24"/>
          <w:szCs w:val="24"/>
          <w:u w:val="single"/>
        </w:rPr>
      </w:pPr>
      <w:r w:rsidRPr="001A7649">
        <w:rPr>
          <w:rFonts w:ascii="Times New Roman" w:hAnsi="Times New Roman" w:cs="Times New Roman"/>
          <w:b/>
          <w:sz w:val="24"/>
          <w:szCs w:val="24"/>
          <w:u w:val="single"/>
        </w:rPr>
        <w:t>Political advertising on social media</w:t>
      </w:r>
      <w:r w:rsidRPr="001A7649">
        <w:rPr>
          <w:rFonts w:ascii="Times New Roman" w:hAnsi="Times New Roman" w:cs="Times New Roman"/>
          <w:bCs/>
          <w:sz w:val="24"/>
          <w:szCs w:val="24"/>
          <w:u w:val="single"/>
        </w:rPr>
        <w:t xml:space="preserve">  </w:t>
      </w:r>
    </w:p>
    <w:p w14:paraId="671D2DC2" w14:textId="77777777" w:rsidR="00D15EEB" w:rsidRDefault="00D15EEB" w:rsidP="008E7E64">
      <w:pPr>
        <w:spacing w:after="0" w:line="240" w:lineRule="auto"/>
        <w:jc w:val="both"/>
        <w:rPr>
          <w:rFonts w:ascii="Times New Roman" w:hAnsi="Times New Roman" w:cs="Times New Roman"/>
          <w:bCs/>
          <w:sz w:val="24"/>
          <w:szCs w:val="24"/>
        </w:rPr>
      </w:pPr>
    </w:p>
    <w:p w14:paraId="247FE55C" w14:textId="11EEA0A5" w:rsidR="00BA0DFD" w:rsidRPr="00BA0DFD" w:rsidRDefault="00BA0DFD" w:rsidP="008E7E64">
      <w:pPr>
        <w:spacing w:after="0" w:line="240" w:lineRule="auto"/>
        <w:jc w:val="both"/>
        <w:rPr>
          <w:rFonts w:ascii="Times New Roman" w:hAnsi="Times New Roman" w:cs="Times New Roman"/>
          <w:bCs/>
          <w:sz w:val="24"/>
          <w:szCs w:val="24"/>
        </w:rPr>
      </w:pPr>
      <w:r w:rsidRPr="00BA0DFD">
        <w:rPr>
          <w:rFonts w:ascii="Times New Roman" w:hAnsi="Times New Roman" w:cs="Times New Roman"/>
          <w:bCs/>
          <w:sz w:val="24"/>
          <w:szCs w:val="24"/>
        </w:rPr>
        <w:t xml:space="preserve">Electoral political advertising is extensively regulated in Bolivia, primarily by the Election Law and the law on political parties, alongside regulations issued by the TSE. Although most regulation concerns conventional media, the </w:t>
      </w:r>
      <w:proofErr w:type="gramStart"/>
      <w:r w:rsidRPr="00BA0DFD">
        <w:rPr>
          <w:rFonts w:ascii="Times New Roman" w:hAnsi="Times New Roman" w:cs="Times New Roman"/>
          <w:bCs/>
          <w:sz w:val="24"/>
          <w:szCs w:val="24"/>
        </w:rPr>
        <w:t>law</w:t>
      </w:r>
      <w:proofErr w:type="gramEnd"/>
      <w:r w:rsidRPr="00BA0DFD">
        <w:rPr>
          <w:rFonts w:ascii="Times New Roman" w:hAnsi="Times New Roman" w:cs="Times New Roman"/>
          <w:bCs/>
          <w:sz w:val="24"/>
          <w:szCs w:val="24"/>
        </w:rPr>
        <w:t xml:space="preserve"> and regulations on political advertising hold social networks to the same standards in a number of areas, particularly those concerning allowed timeframes, clear labeling of ads, a ban on governmental ads within the campaign period, and prohibited content and a ban on political advertising by anyone but the parties and candidates in the race. Conventional media must register with the TSE to carry paid political advertising, and this registration must include proposed tariffs, which must be the same for all parties and no higher than recent commercial rates. </w:t>
      </w:r>
    </w:p>
    <w:p w14:paraId="598EBF48" w14:textId="77777777" w:rsidR="00BA0DFD" w:rsidRPr="00BA0DFD" w:rsidRDefault="00BA0DFD" w:rsidP="008E7E64">
      <w:pPr>
        <w:spacing w:after="0" w:line="240" w:lineRule="auto"/>
        <w:jc w:val="both"/>
        <w:rPr>
          <w:rFonts w:ascii="Times New Roman" w:hAnsi="Times New Roman" w:cs="Times New Roman"/>
          <w:bCs/>
          <w:sz w:val="24"/>
          <w:szCs w:val="24"/>
        </w:rPr>
      </w:pPr>
    </w:p>
    <w:p w14:paraId="544D0439" w14:textId="77777777" w:rsidR="00BA0DFD" w:rsidRPr="00BA0DFD" w:rsidRDefault="00BA0DFD" w:rsidP="008E7E64">
      <w:pPr>
        <w:spacing w:after="0" w:line="240" w:lineRule="auto"/>
        <w:jc w:val="both"/>
        <w:rPr>
          <w:rFonts w:ascii="Times New Roman" w:hAnsi="Times New Roman" w:cs="Times New Roman"/>
          <w:bCs/>
          <w:sz w:val="24"/>
          <w:szCs w:val="24"/>
        </w:rPr>
      </w:pPr>
      <w:r w:rsidRPr="00BA0DFD">
        <w:rPr>
          <w:rFonts w:ascii="Times New Roman" w:hAnsi="Times New Roman" w:cs="Times New Roman"/>
          <w:bCs/>
          <w:sz w:val="24"/>
          <w:szCs w:val="24"/>
        </w:rPr>
        <w:t xml:space="preserve">The TSE monitored conventional media to check regulatory compliance and required them to report an account of the income received for political advertising, detailing the amounts charged to each political organization, and specifying the time or space allocated and the rates charged. Regarding social networks, the TSE was limited to monitoring candidates’ official pages. </w:t>
      </w:r>
    </w:p>
    <w:p w14:paraId="29A7DB18" w14:textId="77777777" w:rsidR="00BA0DFD" w:rsidRPr="00BA0DFD" w:rsidRDefault="00BA0DFD" w:rsidP="008E7E64">
      <w:pPr>
        <w:spacing w:after="0" w:line="240" w:lineRule="auto"/>
        <w:jc w:val="both"/>
        <w:rPr>
          <w:rFonts w:ascii="Times New Roman" w:hAnsi="Times New Roman" w:cs="Times New Roman"/>
          <w:bCs/>
          <w:sz w:val="24"/>
          <w:szCs w:val="24"/>
        </w:rPr>
      </w:pPr>
    </w:p>
    <w:p w14:paraId="6780EA79" w14:textId="304CF8D6" w:rsidR="002311F3" w:rsidRDefault="00BA0DFD" w:rsidP="008E7E64">
      <w:pPr>
        <w:spacing w:after="0" w:line="240" w:lineRule="auto"/>
        <w:jc w:val="both"/>
        <w:rPr>
          <w:rFonts w:ascii="Times New Roman" w:hAnsi="Times New Roman" w:cs="Times New Roman"/>
          <w:bCs/>
          <w:sz w:val="24"/>
          <w:szCs w:val="24"/>
        </w:rPr>
      </w:pPr>
      <w:r w:rsidRPr="00BA0DFD">
        <w:rPr>
          <w:rFonts w:ascii="Times New Roman" w:hAnsi="Times New Roman" w:cs="Times New Roman"/>
          <w:bCs/>
          <w:sz w:val="24"/>
          <w:szCs w:val="24"/>
        </w:rPr>
        <w:t xml:space="preserve">The Carter Center’s analysis of paid political advertising on Facebook found </w:t>
      </w:r>
      <w:proofErr w:type="gramStart"/>
      <w:r w:rsidRPr="00BA0DFD">
        <w:rPr>
          <w:rFonts w:ascii="Times New Roman" w:hAnsi="Times New Roman" w:cs="Times New Roman"/>
          <w:bCs/>
          <w:sz w:val="24"/>
          <w:szCs w:val="24"/>
        </w:rPr>
        <w:t>a number of</w:t>
      </w:r>
      <w:proofErr w:type="gramEnd"/>
      <w:r w:rsidRPr="00BA0DFD">
        <w:rPr>
          <w:rFonts w:ascii="Times New Roman" w:hAnsi="Times New Roman" w:cs="Times New Roman"/>
          <w:bCs/>
          <w:sz w:val="24"/>
          <w:szCs w:val="24"/>
        </w:rPr>
        <w:t xml:space="preserve"> areas in which social network activity did not comply with Bolivian regulations, despite Facebook’s commitment to respecting national regulations in the countries in which it operates, in accordance with the 2011 U.N. Guiding Principles on Business and Human Rights. The Carter Center also identified practices that make it difficult for the TSE or other bodies to monitor relevant information related to paid political advertising.</w:t>
      </w:r>
    </w:p>
    <w:p w14:paraId="13F2E47D" w14:textId="68345278" w:rsidR="00603251" w:rsidRDefault="00603251" w:rsidP="008E7E64">
      <w:pPr>
        <w:spacing w:after="0" w:line="240" w:lineRule="auto"/>
        <w:jc w:val="both"/>
        <w:rPr>
          <w:rFonts w:ascii="Times New Roman" w:hAnsi="Times New Roman" w:cs="Times New Roman"/>
          <w:bCs/>
          <w:sz w:val="24"/>
          <w:szCs w:val="24"/>
        </w:rPr>
      </w:pPr>
    </w:p>
    <w:p w14:paraId="233CF1B3" w14:textId="77777777" w:rsidR="00603251" w:rsidRPr="00603251" w:rsidRDefault="35E55BE6" w:rsidP="008E7E64">
      <w:pPr>
        <w:spacing w:after="0" w:line="240" w:lineRule="auto"/>
        <w:jc w:val="both"/>
        <w:rPr>
          <w:rFonts w:ascii="Times New Roman" w:hAnsi="Times New Roman" w:cs="Times New Roman"/>
          <w:sz w:val="24"/>
          <w:szCs w:val="24"/>
        </w:rPr>
      </w:pPr>
      <w:r w:rsidRPr="35E55BE6">
        <w:rPr>
          <w:rFonts w:ascii="Times New Roman" w:hAnsi="Times New Roman" w:cs="Times New Roman"/>
          <w:sz w:val="24"/>
          <w:szCs w:val="24"/>
        </w:rPr>
        <w:t xml:space="preserve">The TSE is responsible for all oversight of election campaigning, including political advertising, and its Intercultural Service for the Strengthening of Democracy (SIFDE) is responsible for monitoring political propaganda in the media. The SIFDE evaluated a dozen cases of political advertising that violated Bolivian legislation, </w:t>
      </w:r>
      <w:proofErr w:type="gramStart"/>
      <w:r w:rsidRPr="35E55BE6">
        <w:rPr>
          <w:rFonts w:ascii="Times New Roman" w:hAnsi="Times New Roman" w:cs="Times New Roman"/>
          <w:sz w:val="24"/>
          <w:szCs w:val="24"/>
        </w:rPr>
        <w:t>as a result of</w:t>
      </w:r>
      <w:proofErr w:type="gramEnd"/>
      <w:r w:rsidRPr="35E55BE6">
        <w:rPr>
          <w:rFonts w:ascii="Times New Roman" w:hAnsi="Times New Roman" w:cs="Times New Roman"/>
          <w:sz w:val="24"/>
          <w:szCs w:val="24"/>
        </w:rPr>
        <w:t xml:space="preserve"> which at least three sanctions were imposed on the interim government of Jeanine </w:t>
      </w:r>
      <w:proofErr w:type="spellStart"/>
      <w:r w:rsidRPr="35E55BE6">
        <w:rPr>
          <w:rFonts w:ascii="Times New Roman" w:hAnsi="Times New Roman" w:cs="Times New Roman"/>
          <w:sz w:val="24"/>
          <w:szCs w:val="24"/>
        </w:rPr>
        <w:t>Áñez</w:t>
      </w:r>
      <w:proofErr w:type="spellEnd"/>
      <w:r w:rsidRPr="35E55BE6">
        <w:rPr>
          <w:rFonts w:ascii="Times New Roman" w:hAnsi="Times New Roman" w:cs="Times New Roman"/>
          <w:sz w:val="24"/>
          <w:szCs w:val="24"/>
        </w:rPr>
        <w:t xml:space="preserve"> for the use of state resources for her party's election campaign and its distribution on online media. Beyond these instances, though, SIFDE’s </w:t>
      </w:r>
      <w:r w:rsidRPr="35E55BE6">
        <w:rPr>
          <w:rFonts w:ascii="Times New Roman" w:hAnsi="Times New Roman" w:cs="Times New Roman"/>
          <w:sz w:val="24"/>
          <w:szCs w:val="24"/>
        </w:rPr>
        <w:lastRenderedPageBreak/>
        <w:t xml:space="preserve">monitoring was limited by a lack of resources and insufficient facilitation of information from social network platforms. </w:t>
      </w:r>
    </w:p>
    <w:p w14:paraId="3FAA212F" w14:textId="23A4E196" w:rsidR="35E55BE6" w:rsidRDefault="35E55BE6" w:rsidP="008E7E64">
      <w:pPr>
        <w:spacing w:after="0" w:line="240" w:lineRule="auto"/>
        <w:jc w:val="both"/>
        <w:rPr>
          <w:rFonts w:ascii="Times New Roman" w:hAnsi="Times New Roman" w:cs="Times New Roman"/>
          <w:sz w:val="24"/>
          <w:szCs w:val="24"/>
        </w:rPr>
      </w:pPr>
    </w:p>
    <w:p w14:paraId="3A4CB53D" w14:textId="207A7F4A" w:rsidR="00603251" w:rsidRDefault="35E55BE6" w:rsidP="008E7E64">
      <w:pPr>
        <w:spacing w:after="0" w:line="240" w:lineRule="auto"/>
        <w:jc w:val="both"/>
        <w:rPr>
          <w:rFonts w:ascii="Times New Roman" w:hAnsi="Times New Roman" w:cs="Times New Roman"/>
          <w:bCs/>
          <w:sz w:val="24"/>
          <w:szCs w:val="24"/>
        </w:rPr>
      </w:pPr>
      <w:r w:rsidRPr="00A25CCB">
        <w:rPr>
          <w:rFonts w:ascii="Times New Roman" w:hAnsi="Times New Roman" w:cs="Times New Roman"/>
          <w:b/>
          <w:bCs/>
          <w:sz w:val="24"/>
          <w:szCs w:val="24"/>
        </w:rPr>
        <w:t>Recommendations</w:t>
      </w:r>
      <w:r>
        <w:br/>
      </w:r>
      <w:r w:rsidRPr="35E55BE6">
        <w:rPr>
          <w:rFonts w:ascii="Times New Roman" w:hAnsi="Times New Roman" w:cs="Times New Roman"/>
          <w:i/>
          <w:iCs/>
          <w:sz w:val="24"/>
          <w:szCs w:val="24"/>
        </w:rPr>
        <w:t>Political advertising on social media.</w:t>
      </w:r>
      <w:r w:rsidRPr="35E55BE6">
        <w:rPr>
          <w:rFonts w:ascii="Times New Roman" w:hAnsi="Times New Roman" w:cs="Times New Roman"/>
          <w:sz w:val="24"/>
          <w:szCs w:val="24"/>
        </w:rPr>
        <w:t xml:space="preserve">  The Center recommends that some provisions of Bolivian law that already apply to traditional media be made more explicitly applicable to social networks. This should include the requirement, for the purposes of a level </w:t>
      </w:r>
      <w:proofErr w:type="gramStart"/>
      <w:r w:rsidRPr="35E55BE6">
        <w:rPr>
          <w:rFonts w:ascii="Times New Roman" w:hAnsi="Times New Roman" w:cs="Times New Roman"/>
          <w:sz w:val="24"/>
          <w:szCs w:val="24"/>
        </w:rPr>
        <w:t>playing-field</w:t>
      </w:r>
      <w:proofErr w:type="gramEnd"/>
      <w:r w:rsidRPr="35E55BE6">
        <w:rPr>
          <w:rFonts w:ascii="Times New Roman" w:hAnsi="Times New Roman" w:cs="Times New Roman"/>
          <w:sz w:val="24"/>
          <w:szCs w:val="24"/>
        </w:rPr>
        <w:t xml:space="preserve"> for campaigning, that rates charged for electoral advertising be the same for all parties. In addition, the TSE could improve its monitoring of social networks </w:t>
      </w:r>
      <w:proofErr w:type="gramStart"/>
      <w:r w:rsidRPr="35E55BE6">
        <w:rPr>
          <w:rFonts w:ascii="Times New Roman" w:hAnsi="Times New Roman" w:cs="Times New Roman"/>
          <w:sz w:val="24"/>
          <w:szCs w:val="24"/>
        </w:rPr>
        <w:t>in order to</w:t>
      </w:r>
      <w:proofErr w:type="gramEnd"/>
      <w:r w:rsidRPr="35E55BE6">
        <w:rPr>
          <w:rFonts w:ascii="Times New Roman" w:hAnsi="Times New Roman" w:cs="Times New Roman"/>
          <w:sz w:val="24"/>
          <w:szCs w:val="24"/>
        </w:rPr>
        <w:t xml:space="preserve"> verify compliance with existing regulation, including permitted timeframes for electoral advertising, clear labelling of paid advertising, including the identity of the contractor, and the existing prohibition on third-party political advertising. In addition to its own monitoring for compliance, the TSE could consider establishing an online reporting mechanism to encourage social media users to report advertisements that may contravene regulations. The TSE could also require all candidates to submit the URL of their official social network pages, </w:t>
      </w:r>
      <w:proofErr w:type="gramStart"/>
      <w:r w:rsidRPr="35E55BE6">
        <w:rPr>
          <w:rFonts w:ascii="Times New Roman" w:hAnsi="Times New Roman" w:cs="Times New Roman"/>
          <w:sz w:val="24"/>
          <w:szCs w:val="24"/>
        </w:rPr>
        <w:t>in order to</w:t>
      </w:r>
      <w:proofErr w:type="gramEnd"/>
      <w:r w:rsidRPr="35E55BE6">
        <w:rPr>
          <w:rFonts w:ascii="Times New Roman" w:hAnsi="Times New Roman" w:cs="Times New Roman"/>
          <w:sz w:val="24"/>
          <w:szCs w:val="24"/>
        </w:rPr>
        <w:t xml:space="preserve"> facilitate the TSE’s existing monitoring of these pages.</w:t>
      </w:r>
    </w:p>
    <w:p w14:paraId="3A38BFB0" w14:textId="62676EAF" w:rsidR="00FE0016" w:rsidRPr="003D3A4D" w:rsidRDefault="00297B0D" w:rsidP="003D3A4D">
      <w:pPr>
        <w:spacing w:after="0" w:line="240" w:lineRule="auto"/>
        <w:rPr>
          <w:rFonts w:ascii="Times New Roman" w:hAnsi="Times New Roman" w:cs="Times New Roman"/>
          <w:bCs/>
          <w:sz w:val="24"/>
          <w:szCs w:val="24"/>
        </w:rPr>
      </w:pPr>
      <w:r w:rsidRPr="00297B0D">
        <w:rPr>
          <w:rFonts w:ascii="Times New Roman" w:hAnsi="Times New Roman" w:cs="Times New Roman"/>
          <w:bCs/>
          <w:sz w:val="24"/>
          <w:szCs w:val="24"/>
        </w:rPr>
        <w:t xml:space="preserve">  </w:t>
      </w:r>
    </w:p>
    <w:p w14:paraId="3B41C66A" w14:textId="77777777" w:rsidR="00836749" w:rsidRDefault="00836749" w:rsidP="00836749">
      <w:pPr>
        <w:spacing w:after="0" w:line="240" w:lineRule="auto"/>
        <w:rPr>
          <w:rFonts w:ascii="Times New Roman" w:hAnsi="Times New Roman" w:cs="Times New Roman"/>
          <w:sz w:val="24"/>
          <w:szCs w:val="24"/>
        </w:rPr>
      </w:pPr>
    </w:p>
    <w:p w14:paraId="44540C15" w14:textId="77777777" w:rsidR="00593257" w:rsidRDefault="00593257" w:rsidP="00593257">
      <w:pPr>
        <w:pStyle w:val="ListParagraph"/>
        <w:spacing w:after="0" w:line="240" w:lineRule="auto"/>
        <w:rPr>
          <w:rFonts w:ascii="Times New Roman" w:hAnsi="Times New Roman" w:cs="Times New Roman"/>
          <w:bCs/>
          <w:iCs/>
          <w:sz w:val="24"/>
          <w:szCs w:val="24"/>
        </w:rPr>
      </w:pPr>
    </w:p>
    <w:p w14:paraId="78F7C15D" w14:textId="77777777" w:rsidR="00593257" w:rsidRPr="00593257" w:rsidRDefault="00593257" w:rsidP="00593257">
      <w:pPr>
        <w:spacing w:after="0" w:line="240" w:lineRule="auto"/>
        <w:rPr>
          <w:rFonts w:ascii="Times New Roman" w:hAnsi="Times New Roman" w:cs="Times New Roman"/>
          <w:bCs/>
          <w:iCs/>
          <w:sz w:val="24"/>
          <w:szCs w:val="24"/>
        </w:rPr>
      </w:pPr>
    </w:p>
    <w:p w14:paraId="4726F621" w14:textId="77777777" w:rsidR="00995B60" w:rsidRPr="00995B60" w:rsidRDefault="00995B60" w:rsidP="00995B60">
      <w:pPr>
        <w:pStyle w:val="ListParagraph"/>
        <w:rPr>
          <w:rFonts w:ascii="Times New Roman" w:hAnsi="Times New Roman" w:cs="Times New Roman"/>
          <w:bCs/>
          <w:iCs/>
          <w:sz w:val="24"/>
          <w:szCs w:val="24"/>
        </w:rPr>
      </w:pPr>
    </w:p>
    <w:p w14:paraId="26C370AF" w14:textId="77777777" w:rsidR="00A77835" w:rsidRPr="006F26B7" w:rsidRDefault="00A77835" w:rsidP="006F26B7">
      <w:pPr>
        <w:spacing w:after="0" w:line="240" w:lineRule="auto"/>
        <w:rPr>
          <w:rFonts w:ascii="Times New Roman" w:hAnsi="Times New Roman" w:cs="Times New Roman"/>
          <w:bCs/>
          <w:iCs/>
          <w:sz w:val="24"/>
          <w:szCs w:val="24"/>
        </w:rPr>
      </w:pPr>
    </w:p>
    <w:p w14:paraId="64AED97E" w14:textId="77777777" w:rsidR="00C12B0A" w:rsidRPr="00C12B0A" w:rsidRDefault="00C12B0A" w:rsidP="00C12B0A">
      <w:pPr>
        <w:spacing w:after="0" w:line="240" w:lineRule="auto"/>
        <w:rPr>
          <w:rFonts w:ascii="Times New Roman" w:hAnsi="Times New Roman" w:cs="Times New Roman"/>
          <w:bCs/>
          <w:iCs/>
          <w:sz w:val="24"/>
          <w:szCs w:val="24"/>
        </w:rPr>
      </w:pPr>
    </w:p>
    <w:sectPr w:rsidR="00C12B0A" w:rsidRPr="00C12B0A" w:rsidSect="00403EA9">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C0F093" w14:textId="77777777" w:rsidR="00A0229E" w:rsidRDefault="00A0229E" w:rsidP="00FA4203">
      <w:pPr>
        <w:spacing w:after="0" w:line="240" w:lineRule="auto"/>
      </w:pPr>
      <w:r>
        <w:separator/>
      </w:r>
    </w:p>
  </w:endnote>
  <w:endnote w:type="continuationSeparator" w:id="0">
    <w:p w14:paraId="6F2E1339" w14:textId="77777777" w:rsidR="00A0229E" w:rsidRDefault="00A0229E" w:rsidP="00FA4203">
      <w:pPr>
        <w:spacing w:after="0" w:line="240" w:lineRule="auto"/>
      </w:pPr>
      <w:r>
        <w:continuationSeparator/>
      </w:r>
    </w:p>
  </w:endnote>
  <w:endnote w:type="continuationNotice" w:id="1">
    <w:p w14:paraId="20202FEA" w14:textId="77777777" w:rsidR="00A0229E" w:rsidRDefault="00A022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810F6" w14:textId="77777777" w:rsidR="005863D1" w:rsidRDefault="005863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572475"/>
      <w:docPartObj>
        <w:docPartGallery w:val="Page Numbers (Bottom of Page)"/>
        <w:docPartUnique/>
      </w:docPartObj>
    </w:sdtPr>
    <w:sdtEndPr>
      <w:rPr>
        <w:noProof/>
      </w:rPr>
    </w:sdtEndPr>
    <w:sdtContent>
      <w:p w14:paraId="648314A2" w14:textId="1B541AF6" w:rsidR="00D87682" w:rsidRDefault="00D876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28E0F3" w14:textId="77777777" w:rsidR="00D87682" w:rsidRDefault="00D876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B3100" w14:textId="77777777" w:rsidR="005863D1" w:rsidRDefault="00586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543EB" w14:textId="77777777" w:rsidR="00A0229E" w:rsidRDefault="00A0229E" w:rsidP="00FA4203">
      <w:pPr>
        <w:spacing w:after="0" w:line="240" w:lineRule="auto"/>
      </w:pPr>
      <w:r>
        <w:separator/>
      </w:r>
    </w:p>
  </w:footnote>
  <w:footnote w:type="continuationSeparator" w:id="0">
    <w:p w14:paraId="695BF3AC" w14:textId="77777777" w:rsidR="00A0229E" w:rsidRDefault="00A0229E" w:rsidP="00FA4203">
      <w:pPr>
        <w:spacing w:after="0" w:line="240" w:lineRule="auto"/>
      </w:pPr>
      <w:r>
        <w:continuationSeparator/>
      </w:r>
    </w:p>
  </w:footnote>
  <w:footnote w:type="continuationNotice" w:id="1">
    <w:p w14:paraId="1EB63317" w14:textId="77777777" w:rsidR="00A0229E" w:rsidRDefault="00A0229E">
      <w:pPr>
        <w:spacing w:after="0" w:line="240" w:lineRule="auto"/>
      </w:pPr>
    </w:p>
  </w:footnote>
  <w:footnote w:id="2">
    <w:p w14:paraId="2EF5DC1A" w14:textId="77777777" w:rsidR="00A125BA" w:rsidRPr="00445A43" w:rsidRDefault="00A125BA" w:rsidP="00A125BA">
      <w:pPr>
        <w:pStyle w:val="FootnoteText"/>
        <w:rPr>
          <w:rFonts w:asciiTheme="majorBidi" w:hAnsiTheme="majorBidi" w:cstheme="majorBidi"/>
          <w:lang w:val="en-GB"/>
        </w:rPr>
      </w:pPr>
      <w:r w:rsidRPr="00445A43">
        <w:rPr>
          <w:rStyle w:val="FootnoteReference"/>
          <w:rFonts w:asciiTheme="majorBidi" w:hAnsiTheme="majorBidi" w:cstheme="majorBidi"/>
          <w:sz w:val="20"/>
        </w:rPr>
        <w:footnoteRef/>
      </w:r>
      <w:r w:rsidRPr="00445A43">
        <w:rPr>
          <w:rFonts w:asciiTheme="majorBidi" w:hAnsiTheme="majorBidi" w:cstheme="majorBidi"/>
          <w:lang w:val="en-GB"/>
        </w:rPr>
        <w:t xml:space="preserve"> Principally, the observation and audit missions of the Organization of American States, and the Electoral Expert Mission deployed by the European Union. </w:t>
      </w:r>
    </w:p>
  </w:footnote>
  <w:footnote w:id="3">
    <w:p w14:paraId="230336B2" w14:textId="77777777" w:rsidR="007145D5" w:rsidRPr="00445A43" w:rsidRDefault="007145D5" w:rsidP="007145D5">
      <w:pPr>
        <w:pStyle w:val="FootnoteText"/>
        <w:jc w:val="both"/>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Article 136.III, Election Law. </w:t>
      </w:r>
    </w:p>
  </w:footnote>
  <w:footnote w:id="4">
    <w:p w14:paraId="4D56179D" w14:textId="77777777" w:rsidR="007145D5" w:rsidRPr="00445A43" w:rsidRDefault="007145D5" w:rsidP="007145D5">
      <w:pPr>
        <w:pStyle w:val="FootnoteText"/>
        <w:jc w:val="both"/>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TSE-RSP-JUR Nº 025/2020 of 3 August.</w:t>
      </w:r>
    </w:p>
  </w:footnote>
  <w:footnote w:id="5">
    <w:p w14:paraId="7AD4D0C7" w14:textId="77777777" w:rsidR="007145D5" w:rsidRPr="00445A43" w:rsidRDefault="007145D5" w:rsidP="007145D5">
      <w:pPr>
        <w:pStyle w:val="FootnoteText"/>
        <w:jc w:val="both"/>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The interview was broadcast by the </w:t>
      </w:r>
      <w:proofErr w:type="spellStart"/>
      <w:r w:rsidRPr="00445A43">
        <w:rPr>
          <w:rFonts w:asciiTheme="majorBidi" w:hAnsiTheme="majorBidi" w:cstheme="majorBidi"/>
        </w:rPr>
        <w:t>Abya</w:t>
      </w:r>
      <w:proofErr w:type="spellEnd"/>
      <w:r w:rsidRPr="00445A43">
        <w:rPr>
          <w:rFonts w:asciiTheme="majorBidi" w:hAnsiTheme="majorBidi" w:cstheme="majorBidi"/>
        </w:rPr>
        <w:t xml:space="preserve"> </w:t>
      </w:r>
      <w:proofErr w:type="spellStart"/>
      <w:r w:rsidRPr="00445A43">
        <w:rPr>
          <w:rFonts w:asciiTheme="majorBidi" w:hAnsiTheme="majorBidi" w:cstheme="majorBidi"/>
        </w:rPr>
        <w:t>Yala</w:t>
      </w:r>
      <w:proofErr w:type="spellEnd"/>
      <w:r w:rsidRPr="00445A43">
        <w:rPr>
          <w:rFonts w:asciiTheme="majorBidi" w:hAnsiTheme="majorBidi" w:cstheme="majorBidi"/>
        </w:rPr>
        <w:t xml:space="preserve"> television station on 15th July. </w:t>
      </w:r>
    </w:p>
  </w:footnote>
  <w:footnote w:id="6">
    <w:p w14:paraId="515A4DF7" w14:textId="3D8C8960" w:rsidR="007145D5" w:rsidRPr="00445A43" w:rsidRDefault="007145D5" w:rsidP="007145D5">
      <w:pPr>
        <w:pStyle w:val="FootnoteText"/>
        <w:jc w:val="both"/>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By means of an </w:t>
      </w:r>
      <w:proofErr w:type="spellStart"/>
      <w:r w:rsidRPr="00445A43">
        <w:rPr>
          <w:rFonts w:asciiTheme="majorBidi" w:hAnsiTheme="majorBidi" w:cstheme="majorBidi"/>
          <w:i/>
        </w:rPr>
        <w:t>Acción</w:t>
      </w:r>
      <w:proofErr w:type="spellEnd"/>
      <w:r w:rsidRPr="00445A43">
        <w:rPr>
          <w:rFonts w:asciiTheme="majorBidi" w:hAnsiTheme="majorBidi" w:cstheme="majorBidi"/>
          <w:i/>
        </w:rPr>
        <w:t xml:space="preserve"> de </w:t>
      </w:r>
      <w:proofErr w:type="spellStart"/>
      <w:r w:rsidRPr="00445A43">
        <w:rPr>
          <w:rFonts w:asciiTheme="majorBidi" w:hAnsiTheme="majorBidi" w:cstheme="majorBidi"/>
          <w:i/>
        </w:rPr>
        <w:t>inconstitucionalidad</w:t>
      </w:r>
      <w:proofErr w:type="spellEnd"/>
      <w:r w:rsidRPr="00445A43">
        <w:rPr>
          <w:rFonts w:asciiTheme="majorBidi" w:hAnsiTheme="majorBidi" w:cstheme="majorBidi"/>
        </w:rPr>
        <w:t xml:space="preserve"> (Art. </w:t>
      </w:r>
      <w:r w:rsidR="005F4EA5" w:rsidRPr="00445A43">
        <w:rPr>
          <w:rFonts w:asciiTheme="majorBidi" w:hAnsiTheme="majorBidi" w:cstheme="majorBidi"/>
        </w:rPr>
        <w:t>73.II of</w:t>
      </w:r>
      <w:r w:rsidRPr="00445A43">
        <w:rPr>
          <w:rFonts w:asciiTheme="majorBidi" w:hAnsiTheme="majorBidi" w:cstheme="majorBidi"/>
        </w:rPr>
        <w:t xml:space="preserve"> the Constitutional Procedural Code), which may be triggered in the framework of any judicial or administrative process which depends on the constitutionality of the applicable norm (in this case, law).</w:t>
      </w:r>
    </w:p>
  </w:footnote>
  <w:footnote w:id="7">
    <w:p w14:paraId="106DD752" w14:textId="77777777" w:rsidR="007145D5" w:rsidRPr="00445A43" w:rsidRDefault="007145D5" w:rsidP="007145D5">
      <w:pPr>
        <w:pStyle w:val="FootnoteText"/>
        <w:jc w:val="both"/>
        <w:rPr>
          <w:rFonts w:asciiTheme="majorBidi" w:hAnsiTheme="majorBidi" w:cstheme="majorBidi"/>
          <w:lang w:val="en-GB"/>
        </w:rPr>
      </w:pPr>
      <w:r w:rsidRPr="00445A43">
        <w:rPr>
          <w:rStyle w:val="FootnoteReference"/>
          <w:rFonts w:asciiTheme="majorBidi" w:hAnsiTheme="majorBidi" w:cstheme="majorBidi"/>
          <w:sz w:val="20"/>
        </w:rPr>
        <w:footnoteRef/>
      </w:r>
      <w:r w:rsidRPr="00445A43">
        <w:rPr>
          <w:rFonts w:asciiTheme="majorBidi" w:hAnsiTheme="majorBidi" w:cstheme="majorBidi"/>
          <w:lang w:val="en-GB"/>
        </w:rPr>
        <w:t xml:space="preserve"> The TSE cancelled the legal status of the regional party </w:t>
      </w:r>
      <w:r w:rsidRPr="00445A43">
        <w:rPr>
          <w:rFonts w:asciiTheme="majorBidi" w:hAnsiTheme="majorBidi" w:cstheme="majorBidi"/>
          <w:i/>
        </w:rPr>
        <w:t xml:space="preserve">Unidad </w:t>
      </w:r>
      <w:proofErr w:type="spellStart"/>
      <w:r w:rsidRPr="00445A43">
        <w:rPr>
          <w:rFonts w:asciiTheme="majorBidi" w:hAnsiTheme="majorBidi" w:cstheme="majorBidi"/>
          <w:i/>
        </w:rPr>
        <w:t>Demócrata</w:t>
      </w:r>
      <w:proofErr w:type="spellEnd"/>
      <w:r w:rsidRPr="00445A43">
        <w:rPr>
          <w:rFonts w:asciiTheme="majorBidi" w:hAnsiTheme="majorBidi" w:cstheme="majorBidi"/>
          <w:i/>
        </w:rPr>
        <w:t xml:space="preserve"> del Beni </w:t>
      </w:r>
      <w:r w:rsidRPr="00445A43">
        <w:rPr>
          <w:rFonts w:asciiTheme="majorBidi" w:hAnsiTheme="majorBidi" w:cstheme="majorBidi"/>
        </w:rPr>
        <w:t>after a spokesperson referred to internal polls in an interview, disqualifying the well-positioned candidate for governor as well as the party’s other 227 candidates.</w:t>
      </w:r>
    </w:p>
  </w:footnote>
  <w:footnote w:id="8">
    <w:p w14:paraId="60EA2F6A" w14:textId="77777777" w:rsidR="007145D5" w:rsidRPr="00445A43" w:rsidRDefault="007145D5" w:rsidP="007145D5">
      <w:pPr>
        <w:pStyle w:val="FootnoteText"/>
        <w:jc w:val="both"/>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This last point is related to the fact that by cancelling a party, its members’ political activity is also ended. </w:t>
      </w:r>
    </w:p>
  </w:footnote>
  <w:footnote w:id="9">
    <w:p w14:paraId="1329F26B" w14:textId="77777777" w:rsidR="007145D5" w:rsidRPr="00445A43" w:rsidRDefault="007145D5" w:rsidP="007145D5">
      <w:pPr>
        <w:pStyle w:val="FootnoteText"/>
        <w:rPr>
          <w:rFonts w:asciiTheme="majorBidi" w:hAnsiTheme="majorBidi" w:cstheme="majorBidi"/>
          <w:lang w:val="en-GB"/>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In the same questionably severe spirit, the Election Law (Article 136.III) sanctions any national or international election observation mission that releases the results of electoral opinion polls with ‘immediate cancellation of their accreditation.’</w:t>
      </w:r>
    </w:p>
  </w:footnote>
  <w:footnote w:id="10">
    <w:p w14:paraId="49D0D1BC" w14:textId="77777777" w:rsidR="00806CFC" w:rsidRPr="00445A43" w:rsidRDefault="00806CFC" w:rsidP="00806CFC">
      <w:pPr>
        <w:spacing w:beforeLines="1" w:before="2" w:afterLines="1" w:after="2"/>
        <w:jc w:val="both"/>
        <w:rPr>
          <w:rFonts w:asciiTheme="majorBidi" w:hAnsiTheme="majorBidi" w:cstheme="majorBidi"/>
          <w:sz w:val="20"/>
          <w:szCs w:val="20"/>
        </w:rPr>
      </w:pPr>
      <w:r w:rsidRPr="00445A43">
        <w:rPr>
          <w:rStyle w:val="FootnoteReference"/>
          <w:rFonts w:asciiTheme="majorBidi" w:hAnsiTheme="majorBidi" w:cstheme="majorBidi"/>
          <w:sz w:val="20"/>
          <w:szCs w:val="20"/>
        </w:rPr>
        <w:footnoteRef/>
      </w:r>
      <w:r w:rsidRPr="00445A43">
        <w:rPr>
          <w:rFonts w:asciiTheme="majorBidi" w:hAnsiTheme="majorBidi" w:cstheme="majorBidi"/>
          <w:sz w:val="20"/>
          <w:szCs w:val="20"/>
        </w:rPr>
        <w:t xml:space="preserve"> The United Nations Human Rights Committee (UNHRC) in General Comment 25, paragraph 20, has affirmed that that ‘there should be independent scrutiny of the voting and counting process and access to judicial review or other equivalent process so that electors have confidence in the security of the ballot and the counting of the votes.’</w:t>
      </w:r>
    </w:p>
  </w:footnote>
  <w:footnote w:id="11">
    <w:p w14:paraId="6B0AE81E" w14:textId="77777777" w:rsidR="00806CFC" w:rsidRPr="00445A43" w:rsidRDefault="00806CFC" w:rsidP="00806CFC">
      <w:pPr>
        <w:pStyle w:val="FootnoteText"/>
        <w:spacing w:beforeLines="1" w:before="2" w:afterLines="1" w:after="2"/>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w:t>
      </w:r>
      <w:r w:rsidRPr="00445A43">
        <w:rPr>
          <w:rFonts w:asciiTheme="majorBidi" w:hAnsiTheme="majorBidi" w:cstheme="majorBidi"/>
          <w:i/>
        </w:rPr>
        <w:t>Article 253 and 255, Election Law (Law nº026 2010)</w:t>
      </w:r>
    </w:p>
  </w:footnote>
  <w:footnote w:id="12">
    <w:p w14:paraId="1C77CA66" w14:textId="77777777" w:rsidR="00806CFC" w:rsidRPr="00445A43" w:rsidRDefault="00806CFC" w:rsidP="00806CFC">
      <w:pPr>
        <w:spacing w:after="0" w:line="240" w:lineRule="auto"/>
        <w:jc w:val="both"/>
        <w:rPr>
          <w:rFonts w:asciiTheme="majorBidi" w:eastAsia="Times New Roman" w:hAnsiTheme="majorBidi" w:cstheme="majorBidi"/>
          <w:color w:val="000000" w:themeColor="text1"/>
          <w:sz w:val="20"/>
          <w:szCs w:val="20"/>
        </w:rPr>
      </w:pPr>
      <w:r w:rsidRPr="00445A43">
        <w:rPr>
          <w:rStyle w:val="FootnoteReference"/>
          <w:rFonts w:asciiTheme="majorBidi" w:hAnsiTheme="majorBidi" w:cstheme="majorBidi"/>
          <w:sz w:val="20"/>
          <w:szCs w:val="20"/>
        </w:rPr>
        <w:footnoteRef/>
      </w:r>
      <w:r w:rsidRPr="00445A43">
        <w:rPr>
          <w:rFonts w:asciiTheme="majorBidi" w:hAnsiTheme="majorBidi" w:cstheme="majorBidi"/>
          <w:sz w:val="20"/>
          <w:szCs w:val="20"/>
        </w:rPr>
        <w:t xml:space="preserve"> Articles 24 and 37.7, </w:t>
      </w:r>
      <w:r w:rsidRPr="00445A43">
        <w:rPr>
          <w:rFonts w:asciiTheme="majorBidi" w:hAnsiTheme="majorBidi" w:cstheme="majorBidi"/>
          <w:i/>
          <w:sz w:val="20"/>
          <w:szCs w:val="20"/>
        </w:rPr>
        <w:t xml:space="preserve">Law 018 on the </w:t>
      </w:r>
      <w:proofErr w:type="spellStart"/>
      <w:r w:rsidRPr="00445A43">
        <w:rPr>
          <w:rFonts w:asciiTheme="majorBidi" w:hAnsiTheme="majorBidi" w:cstheme="majorBidi"/>
          <w:i/>
          <w:sz w:val="20"/>
          <w:szCs w:val="20"/>
        </w:rPr>
        <w:t>Órgano</w:t>
      </w:r>
      <w:proofErr w:type="spellEnd"/>
      <w:r w:rsidRPr="00445A43">
        <w:rPr>
          <w:rFonts w:asciiTheme="majorBidi" w:hAnsiTheme="majorBidi" w:cstheme="majorBidi"/>
          <w:i/>
          <w:sz w:val="20"/>
          <w:szCs w:val="20"/>
        </w:rPr>
        <w:t xml:space="preserve"> Electoral </w:t>
      </w:r>
      <w:proofErr w:type="spellStart"/>
      <w:r w:rsidRPr="00445A43">
        <w:rPr>
          <w:rFonts w:asciiTheme="majorBidi" w:hAnsiTheme="majorBidi" w:cstheme="majorBidi"/>
          <w:i/>
          <w:sz w:val="20"/>
          <w:szCs w:val="20"/>
        </w:rPr>
        <w:t>Plurinacional</w:t>
      </w:r>
      <w:proofErr w:type="spellEnd"/>
      <w:r w:rsidRPr="00445A43">
        <w:rPr>
          <w:rFonts w:asciiTheme="majorBidi" w:hAnsiTheme="majorBidi" w:cstheme="majorBidi"/>
          <w:sz w:val="20"/>
          <w:szCs w:val="20"/>
        </w:rPr>
        <w:t xml:space="preserve">, 2010. </w:t>
      </w:r>
    </w:p>
  </w:footnote>
  <w:footnote w:id="13">
    <w:p w14:paraId="3A9C7C81" w14:textId="77777777" w:rsidR="00806CFC" w:rsidRPr="00445A43" w:rsidRDefault="00806CFC" w:rsidP="00806CFC">
      <w:pPr>
        <w:pStyle w:val="FootnoteText"/>
        <w:spacing w:beforeLines="1" w:before="2" w:afterLines="1" w:after="2"/>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Article 256, Election Law</w:t>
      </w:r>
    </w:p>
  </w:footnote>
  <w:footnote w:id="14">
    <w:p w14:paraId="2061255A" w14:textId="77777777" w:rsidR="00806CFC" w:rsidRPr="00445A43" w:rsidRDefault="00806CFC" w:rsidP="00806CFC">
      <w:pPr>
        <w:pStyle w:val="FootnoteText"/>
        <w:spacing w:beforeLines="1" w:before="2" w:afterLines="1" w:after="2"/>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Article 261 – 262, Election Law</w:t>
      </w:r>
    </w:p>
  </w:footnote>
  <w:footnote w:id="15">
    <w:p w14:paraId="49E2A1EC" w14:textId="77777777" w:rsidR="00806CFC" w:rsidRPr="00445A43" w:rsidRDefault="00806CFC" w:rsidP="00806CFC">
      <w:pPr>
        <w:pStyle w:val="FootnoteText"/>
        <w:spacing w:beforeLines="1" w:before="2" w:afterLines="1" w:after="2"/>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Article 37.8, </w:t>
      </w:r>
      <w:r w:rsidRPr="00445A43">
        <w:rPr>
          <w:rFonts w:asciiTheme="majorBidi" w:hAnsiTheme="majorBidi" w:cstheme="majorBidi"/>
          <w:i/>
        </w:rPr>
        <w:t xml:space="preserve">Law 018 on the </w:t>
      </w:r>
      <w:proofErr w:type="spellStart"/>
      <w:r w:rsidRPr="00445A43">
        <w:rPr>
          <w:rFonts w:asciiTheme="majorBidi" w:hAnsiTheme="majorBidi" w:cstheme="majorBidi"/>
          <w:i/>
        </w:rPr>
        <w:t>Órgano</w:t>
      </w:r>
      <w:proofErr w:type="spellEnd"/>
      <w:r w:rsidRPr="00445A43">
        <w:rPr>
          <w:rFonts w:asciiTheme="majorBidi" w:hAnsiTheme="majorBidi" w:cstheme="majorBidi"/>
          <w:i/>
        </w:rPr>
        <w:t xml:space="preserve"> Electoral </w:t>
      </w:r>
      <w:proofErr w:type="spellStart"/>
      <w:r w:rsidRPr="00445A43">
        <w:rPr>
          <w:rFonts w:asciiTheme="majorBidi" w:hAnsiTheme="majorBidi" w:cstheme="majorBidi"/>
          <w:i/>
        </w:rPr>
        <w:t>Plurinacional</w:t>
      </w:r>
      <w:proofErr w:type="spellEnd"/>
      <w:r w:rsidRPr="00445A43">
        <w:rPr>
          <w:rFonts w:asciiTheme="majorBidi" w:hAnsiTheme="majorBidi" w:cstheme="majorBidi"/>
        </w:rPr>
        <w:t>, 2010.</w:t>
      </w:r>
    </w:p>
  </w:footnote>
  <w:footnote w:id="16">
    <w:p w14:paraId="166AA55E" w14:textId="77777777" w:rsidR="00806CFC" w:rsidRPr="00445A43" w:rsidRDefault="00806CFC" w:rsidP="00806CFC">
      <w:pPr>
        <w:pStyle w:val="FootnoteText"/>
        <w:spacing w:beforeLines="1" w:before="2" w:afterLines="1" w:after="2"/>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Article 130, Election Law. The Law specifies opinion polls may be published until the Sunday before election day, which corresponds to one week before. </w:t>
      </w:r>
    </w:p>
  </w:footnote>
  <w:footnote w:id="17">
    <w:p w14:paraId="1456B755" w14:textId="77777777" w:rsidR="00806CFC" w:rsidRPr="00445A43" w:rsidRDefault="00806CFC" w:rsidP="00806CFC">
      <w:pPr>
        <w:pStyle w:val="FootnoteText"/>
        <w:spacing w:beforeLines="1" w:before="2" w:afterLines="1" w:after="2"/>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w:t>
      </w:r>
      <w:hyperlink r:id="rId1" w:history="1">
        <w:r w:rsidRPr="00445A43">
          <w:rPr>
            <w:rStyle w:val="Hyperlink"/>
            <w:rFonts w:asciiTheme="majorBidi" w:hAnsiTheme="majorBidi" w:cstheme="majorBidi"/>
          </w:rPr>
          <w:t>https://tuvotocuenta.org.bo/Cultura-Estadistica/Aclaracion-Publica</w:t>
        </w:r>
      </w:hyperlink>
      <w:r w:rsidRPr="00445A43">
        <w:rPr>
          <w:rFonts w:asciiTheme="majorBidi" w:hAnsiTheme="majorBidi" w:cstheme="majorBidi"/>
        </w:rPr>
        <w:t>.</w:t>
      </w:r>
    </w:p>
  </w:footnote>
  <w:footnote w:id="18">
    <w:p w14:paraId="5DC3E37C" w14:textId="77777777" w:rsidR="00806CFC" w:rsidRPr="00445A43" w:rsidRDefault="00806CFC" w:rsidP="00806CFC">
      <w:pPr>
        <w:pStyle w:val="FootnoteText"/>
        <w:spacing w:beforeLines="1" w:before="2" w:afterLines="1" w:after="2"/>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https://www.paginasiete.bo/nacional/2019/9/14/relator-de-la-cidh-convencion-americana-prohibe-la-censura-de-difusion-de-encuestas-230965.html#!</w:t>
      </w:r>
    </w:p>
  </w:footnote>
  <w:footnote w:id="19">
    <w:p w14:paraId="08EDF76D" w14:textId="77777777" w:rsidR="00A86C0F" w:rsidRPr="00445A43" w:rsidRDefault="00A86C0F" w:rsidP="00A86C0F">
      <w:pPr>
        <w:pStyle w:val="FootnoteText"/>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Article 125, Election Law</w:t>
      </w:r>
    </w:p>
  </w:footnote>
  <w:footnote w:id="20">
    <w:p w14:paraId="2C39D47C" w14:textId="77777777" w:rsidR="00A86C0F" w:rsidRPr="00445A43" w:rsidRDefault="00A86C0F" w:rsidP="00A86C0F">
      <w:pPr>
        <w:pStyle w:val="FootnoteText"/>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Article 126, Election Law</w:t>
      </w:r>
    </w:p>
  </w:footnote>
  <w:footnote w:id="21">
    <w:p w14:paraId="41996241" w14:textId="77777777" w:rsidR="00A86C0F" w:rsidRPr="00445A43" w:rsidRDefault="00A86C0F" w:rsidP="00A86C0F">
      <w:pPr>
        <w:pStyle w:val="FootnoteText"/>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Article 52, </w:t>
      </w:r>
      <w:proofErr w:type="spellStart"/>
      <w:r w:rsidRPr="00445A43">
        <w:rPr>
          <w:rFonts w:asciiTheme="majorBidi" w:hAnsiTheme="majorBidi" w:cstheme="majorBidi"/>
          <w:i/>
        </w:rPr>
        <w:t>Reglamento</w:t>
      </w:r>
      <w:proofErr w:type="spellEnd"/>
      <w:r w:rsidRPr="00445A43">
        <w:rPr>
          <w:rFonts w:asciiTheme="majorBidi" w:hAnsiTheme="majorBidi" w:cstheme="majorBidi"/>
          <w:i/>
        </w:rPr>
        <w:t xml:space="preserve"> de Propaganda y Campaña Electoral</w:t>
      </w:r>
      <w:r w:rsidRPr="00445A43">
        <w:rPr>
          <w:rFonts w:asciiTheme="majorBidi" w:hAnsiTheme="majorBidi" w:cstheme="majorBidi"/>
        </w:rPr>
        <w:t>, OEP 2020. The reference to the manner of appointment, or ‘</w:t>
      </w:r>
      <w:r w:rsidRPr="00445A43">
        <w:rPr>
          <w:rFonts w:asciiTheme="majorBidi" w:hAnsiTheme="majorBidi" w:cstheme="majorBidi"/>
          <w:i/>
        </w:rPr>
        <w:t xml:space="preserve">forma de </w:t>
      </w:r>
      <w:proofErr w:type="spellStart"/>
      <w:r w:rsidRPr="00445A43">
        <w:rPr>
          <w:rFonts w:asciiTheme="majorBidi" w:hAnsiTheme="majorBidi" w:cstheme="majorBidi"/>
          <w:i/>
        </w:rPr>
        <w:t>designación</w:t>
      </w:r>
      <w:proofErr w:type="spellEnd"/>
      <w:r w:rsidRPr="00445A43">
        <w:rPr>
          <w:rFonts w:asciiTheme="majorBidi" w:hAnsiTheme="majorBidi" w:cstheme="majorBidi"/>
          <w:i/>
        </w:rPr>
        <w:t>,’</w:t>
      </w:r>
      <w:r w:rsidRPr="00445A43">
        <w:rPr>
          <w:rFonts w:asciiTheme="majorBidi" w:hAnsiTheme="majorBidi" w:cstheme="majorBidi"/>
        </w:rPr>
        <w:t xml:space="preserve"> implies that elected officials are as concerned by this point as employees. </w:t>
      </w:r>
    </w:p>
  </w:footnote>
  <w:footnote w:id="22">
    <w:p w14:paraId="345B1CD9" w14:textId="77777777" w:rsidR="00A86C0F" w:rsidRPr="00445A43" w:rsidRDefault="00A86C0F" w:rsidP="00A86C0F">
      <w:pPr>
        <w:pStyle w:val="FootnoteText"/>
        <w:rPr>
          <w:rFonts w:asciiTheme="majorBidi" w:hAnsiTheme="majorBidi" w:cstheme="majorBidi"/>
          <w:lang w:val="es-ES"/>
        </w:rPr>
      </w:pPr>
      <w:r w:rsidRPr="00445A43">
        <w:rPr>
          <w:rStyle w:val="FootnoteReference"/>
          <w:rFonts w:asciiTheme="majorBidi" w:hAnsiTheme="majorBidi" w:cstheme="majorBidi"/>
          <w:sz w:val="20"/>
        </w:rPr>
        <w:footnoteRef/>
      </w:r>
      <w:r w:rsidRPr="00445A43">
        <w:rPr>
          <w:rFonts w:asciiTheme="majorBidi" w:hAnsiTheme="majorBidi" w:cstheme="majorBidi"/>
          <w:lang w:val="es-ES"/>
        </w:rPr>
        <w:t xml:space="preserve"> </w:t>
      </w:r>
      <w:proofErr w:type="spellStart"/>
      <w:r w:rsidRPr="00445A43">
        <w:rPr>
          <w:rFonts w:asciiTheme="majorBidi" w:hAnsiTheme="majorBidi" w:cstheme="majorBidi"/>
          <w:lang w:val="es-ES"/>
        </w:rPr>
        <w:t>Article</w:t>
      </w:r>
      <w:proofErr w:type="spellEnd"/>
      <w:r w:rsidRPr="00445A43">
        <w:rPr>
          <w:rFonts w:asciiTheme="majorBidi" w:hAnsiTheme="majorBidi" w:cstheme="majorBidi"/>
          <w:lang w:val="es-ES"/>
        </w:rPr>
        <w:t xml:space="preserve"> 18, Reglamento de Faltas Electorales y Sanciones, OEP 2020</w:t>
      </w:r>
    </w:p>
  </w:footnote>
  <w:footnote w:id="23">
    <w:p w14:paraId="51FB9CF5" w14:textId="77777777" w:rsidR="00902B76" w:rsidRPr="00445A43" w:rsidRDefault="00902B76" w:rsidP="00902B76">
      <w:pPr>
        <w:pStyle w:val="FootnoteText"/>
        <w:rPr>
          <w:rFonts w:asciiTheme="majorBidi" w:hAnsiTheme="majorBidi" w:cstheme="majorBidi"/>
          <w:lang w:val="en-GB"/>
        </w:rPr>
      </w:pPr>
      <w:r w:rsidRPr="00445A43">
        <w:rPr>
          <w:rStyle w:val="FootnoteReference"/>
          <w:rFonts w:asciiTheme="majorBidi" w:hAnsiTheme="majorBidi" w:cstheme="majorBidi"/>
          <w:sz w:val="20"/>
        </w:rPr>
        <w:footnoteRef/>
      </w:r>
      <w:r w:rsidRPr="00445A43">
        <w:rPr>
          <w:rFonts w:asciiTheme="majorBidi" w:hAnsiTheme="majorBidi" w:cstheme="majorBidi"/>
          <w:lang w:val="es-MX"/>
        </w:rPr>
        <w:t xml:space="preserve"> Fundación Construir (2019) Entorno legal para las Organizaciones de la Sociedad Civil en Bolivia. </w:t>
      </w:r>
      <w:r w:rsidRPr="00445A43">
        <w:rPr>
          <w:rFonts w:asciiTheme="majorBidi" w:hAnsiTheme="majorBidi" w:cstheme="majorBidi"/>
          <w:lang w:val="en-GB"/>
        </w:rPr>
        <w:t xml:space="preserve">La Paz-Bolivia. </w:t>
      </w:r>
    </w:p>
  </w:footnote>
  <w:footnote w:id="24">
    <w:p w14:paraId="3CC15160" w14:textId="77777777" w:rsidR="00902B76" w:rsidRPr="00445A43" w:rsidRDefault="00902B76" w:rsidP="00902B76">
      <w:pPr>
        <w:pStyle w:val="FootnoteText"/>
        <w:rPr>
          <w:rFonts w:asciiTheme="majorBidi" w:hAnsiTheme="majorBidi" w:cstheme="majorBidi"/>
        </w:rPr>
      </w:pPr>
      <w:r w:rsidRPr="00445A43">
        <w:rPr>
          <w:rStyle w:val="FootnoteReference"/>
          <w:rFonts w:asciiTheme="majorBidi" w:hAnsiTheme="majorBidi" w:cstheme="majorBidi"/>
          <w:sz w:val="20"/>
        </w:rPr>
        <w:footnoteRef/>
      </w:r>
      <w:r w:rsidRPr="00445A43">
        <w:rPr>
          <w:rFonts w:asciiTheme="majorBidi" w:hAnsiTheme="majorBidi" w:cstheme="majorBidi"/>
        </w:rPr>
        <w:t xml:space="preserve"> United Nations – Human Rights Committee (2013) Concluding observations on the third periodic report of the </w:t>
      </w:r>
      <w:proofErr w:type="spellStart"/>
      <w:r w:rsidRPr="00445A43">
        <w:rPr>
          <w:rFonts w:asciiTheme="majorBidi" w:hAnsiTheme="majorBidi" w:cstheme="majorBidi"/>
        </w:rPr>
        <w:t>Plurinational</w:t>
      </w:r>
      <w:proofErr w:type="spellEnd"/>
      <w:r w:rsidRPr="00445A43">
        <w:rPr>
          <w:rFonts w:asciiTheme="majorBidi" w:hAnsiTheme="majorBidi" w:cstheme="majorBidi"/>
        </w:rPr>
        <w:t xml:space="preserve"> State of Bolivia - CCPR/C/BOL/CO/3. Available at: </w:t>
      </w:r>
      <w:hyperlink r:id="rId2" w:history="1">
        <w:r w:rsidRPr="00445A43">
          <w:rPr>
            <w:rStyle w:val="Hyperlink"/>
            <w:rFonts w:asciiTheme="majorBidi" w:hAnsiTheme="majorBidi" w:cstheme="majorBidi"/>
          </w:rPr>
          <w:t>https://undocs.org/en/CCPR/C/BOL/CO/3</w:t>
        </w:r>
      </w:hyperlink>
      <w:r w:rsidRPr="00445A43">
        <w:rPr>
          <w:rFonts w:asciiTheme="majorBidi" w:hAnsiTheme="majorBidi" w:cstheme="majorBid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FD6703" w14:textId="77777777" w:rsidR="005863D1" w:rsidRDefault="005863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51735" w14:textId="77777777" w:rsidR="005863D1" w:rsidRDefault="005863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D338B" w14:textId="77777777" w:rsidR="005863D1" w:rsidRDefault="005863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B6D40"/>
    <w:multiLevelType w:val="hybridMultilevel"/>
    <w:tmpl w:val="EE82BAE0"/>
    <w:lvl w:ilvl="0" w:tplc="A7B8D06A">
      <w:start w:val="1"/>
      <w:numFmt w:val="bullet"/>
      <w:lvlText w:val=""/>
      <w:lvlJc w:val="left"/>
      <w:pPr>
        <w:ind w:left="720" w:hanging="360"/>
      </w:pPr>
      <w:rPr>
        <w:rFonts w:ascii="Symbol" w:hAnsi="Symbol" w:hint="default"/>
      </w:rPr>
    </w:lvl>
    <w:lvl w:ilvl="1" w:tplc="2A3A4B0A">
      <w:start w:val="1"/>
      <w:numFmt w:val="bullet"/>
      <w:lvlText w:val="o"/>
      <w:lvlJc w:val="left"/>
      <w:pPr>
        <w:ind w:left="1440" w:hanging="360"/>
      </w:pPr>
      <w:rPr>
        <w:rFonts w:ascii="Courier New" w:hAnsi="Courier New" w:hint="default"/>
      </w:rPr>
    </w:lvl>
    <w:lvl w:ilvl="2" w:tplc="23BC523A">
      <w:start w:val="1"/>
      <w:numFmt w:val="bullet"/>
      <w:lvlText w:val=""/>
      <w:lvlJc w:val="left"/>
      <w:pPr>
        <w:ind w:left="2160" w:hanging="360"/>
      </w:pPr>
      <w:rPr>
        <w:rFonts w:ascii="Wingdings" w:hAnsi="Wingdings" w:hint="default"/>
      </w:rPr>
    </w:lvl>
    <w:lvl w:ilvl="3" w:tplc="10CE1A60">
      <w:start w:val="1"/>
      <w:numFmt w:val="bullet"/>
      <w:lvlText w:val=""/>
      <w:lvlJc w:val="left"/>
      <w:pPr>
        <w:ind w:left="2880" w:hanging="360"/>
      </w:pPr>
      <w:rPr>
        <w:rFonts w:ascii="Symbol" w:hAnsi="Symbol" w:hint="default"/>
      </w:rPr>
    </w:lvl>
    <w:lvl w:ilvl="4" w:tplc="44ACCDE2">
      <w:start w:val="1"/>
      <w:numFmt w:val="bullet"/>
      <w:lvlText w:val="o"/>
      <w:lvlJc w:val="left"/>
      <w:pPr>
        <w:ind w:left="3600" w:hanging="360"/>
      </w:pPr>
      <w:rPr>
        <w:rFonts w:ascii="Courier New" w:hAnsi="Courier New" w:hint="default"/>
      </w:rPr>
    </w:lvl>
    <w:lvl w:ilvl="5" w:tplc="FE9C3928">
      <w:start w:val="1"/>
      <w:numFmt w:val="bullet"/>
      <w:lvlText w:val=""/>
      <w:lvlJc w:val="left"/>
      <w:pPr>
        <w:ind w:left="4320" w:hanging="360"/>
      </w:pPr>
      <w:rPr>
        <w:rFonts w:ascii="Wingdings" w:hAnsi="Wingdings" w:hint="default"/>
      </w:rPr>
    </w:lvl>
    <w:lvl w:ilvl="6" w:tplc="2224343E">
      <w:start w:val="1"/>
      <w:numFmt w:val="bullet"/>
      <w:lvlText w:val=""/>
      <w:lvlJc w:val="left"/>
      <w:pPr>
        <w:ind w:left="5040" w:hanging="360"/>
      </w:pPr>
      <w:rPr>
        <w:rFonts w:ascii="Symbol" w:hAnsi="Symbol" w:hint="default"/>
      </w:rPr>
    </w:lvl>
    <w:lvl w:ilvl="7" w:tplc="905A7766">
      <w:start w:val="1"/>
      <w:numFmt w:val="bullet"/>
      <w:lvlText w:val="o"/>
      <w:lvlJc w:val="left"/>
      <w:pPr>
        <w:ind w:left="5760" w:hanging="360"/>
      </w:pPr>
      <w:rPr>
        <w:rFonts w:ascii="Courier New" w:hAnsi="Courier New" w:hint="default"/>
      </w:rPr>
    </w:lvl>
    <w:lvl w:ilvl="8" w:tplc="FAE6F6A8">
      <w:start w:val="1"/>
      <w:numFmt w:val="bullet"/>
      <w:lvlText w:val=""/>
      <w:lvlJc w:val="left"/>
      <w:pPr>
        <w:ind w:left="6480" w:hanging="360"/>
      </w:pPr>
      <w:rPr>
        <w:rFonts w:ascii="Wingdings" w:hAnsi="Wingdings" w:hint="default"/>
      </w:rPr>
    </w:lvl>
  </w:abstractNum>
  <w:abstractNum w:abstractNumId="1" w15:restartNumberingAfterBreak="0">
    <w:nsid w:val="1C465198"/>
    <w:multiLevelType w:val="hybridMultilevel"/>
    <w:tmpl w:val="F52C4B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E6C5A47"/>
    <w:multiLevelType w:val="hybridMultilevel"/>
    <w:tmpl w:val="35288B88"/>
    <w:lvl w:ilvl="0" w:tplc="736C90A8">
      <w:start w:val="1"/>
      <w:numFmt w:val="bullet"/>
      <w:lvlText w:val=""/>
      <w:lvlJc w:val="left"/>
      <w:pPr>
        <w:ind w:left="720" w:hanging="360"/>
      </w:pPr>
      <w:rPr>
        <w:rFonts w:ascii="Symbol" w:hAnsi="Symbol" w:hint="default"/>
      </w:rPr>
    </w:lvl>
    <w:lvl w:ilvl="1" w:tplc="23CE1E34">
      <w:start w:val="1"/>
      <w:numFmt w:val="bullet"/>
      <w:lvlText w:val="o"/>
      <w:lvlJc w:val="left"/>
      <w:pPr>
        <w:ind w:left="1440" w:hanging="360"/>
      </w:pPr>
      <w:rPr>
        <w:rFonts w:ascii="Courier New" w:hAnsi="Courier New" w:hint="default"/>
      </w:rPr>
    </w:lvl>
    <w:lvl w:ilvl="2" w:tplc="13B42030">
      <w:start w:val="1"/>
      <w:numFmt w:val="bullet"/>
      <w:lvlText w:val=""/>
      <w:lvlJc w:val="left"/>
      <w:pPr>
        <w:ind w:left="2160" w:hanging="360"/>
      </w:pPr>
      <w:rPr>
        <w:rFonts w:ascii="Wingdings" w:hAnsi="Wingdings" w:hint="default"/>
      </w:rPr>
    </w:lvl>
    <w:lvl w:ilvl="3" w:tplc="261C804C">
      <w:start w:val="1"/>
      <w:numFmt w:val="bullet"/>
      <w:lvlText w:val=""/>
      <w:lvlJc w:val="left"/>
      <w:pPr>
        <w:ind w:left="2880" w:hanging="360"/>
      </w:pPr>
      <w:rPr>
        <w:rFonts w:ascii="Symbol" w:hAnsi="Symbol" w:hint="default"/>
      </w:rPr>
    </w:lvl>
    <w:lvl w:ilvl="4" w:tplc="5378B930">
      <w:start w:val="1"/>
      <w:numFmt w:val="bullet"/>
      <w:lvlText w:val="o"/>
      <w:lvlJc w:val="left"/>
      <w:pPr>
        <w:ind w:left="3600" w:hanging="360"/>
      </w:pPr>
      <w:rPr>
        <w:rFonts w:ascii="Courier New" w:hAnsi="Courier New" w:hint="default"/>
      </w:rPr>
    </w:lvl>
    <w:lvl w:ilvl="5" w:tplc="1234C084">
      <w:start w:val="1"/>
      <w:numFmt w:val="bullet"/>
      <w:lvlText w:val=""/>
      <w:lvlJc w:val="left"/>
      <w:pPr>
        <w:ind w:left="4320" w:hanging="360"/>
      </w:pPr>
      <w:rPr>
        <w:rFonts w:ascii="Wingdings" w:hAnsi="Wingdings" w:hint="default"/>
      </w:rPr>
    </w:lvl>
    <w:lvl w:ilvl="6" w:tplc="23305B70">
      <w:start w:val="1"/>
      <w:numFmt w:val="bullet"/>
      <w:lvlText w:val=""/>
      <w:lvlJc w:val="left"/>
      <w:pPr>
        <w:ind w:left="5040" w:hanging="360"/>
      </w:pPr>
      <w:rPr>
        <w:rFonts w:ascii="Symbol" w:hAnsi="Symbol" w:hint="default"/>
      </w:rPr>
    </w:lvl>
    <w:lvl w:ilvl="7" w:tplc="62D4C090">
      <w:start w:val="1"/>
      <w:numFmt w:val="bullet"/>
      <w:lvlText w:val="o"/>
      <w:lvlJc w:val="left"/>
      <w:pPr>
        <w:ind w:left="5760" w:hanging="360"/>
      </w:pPr>
      <w:rPr>
        <w:rFonts w:ascii="Courier New" w:hAnsi="Courier New" w:hint="default"/>
      </w:rPr>
    </w:lvl>
    <w:lvl w:ilvl="8" w:tplc="C7E42FDE">
      <w:start w:val="1"/>
      <w:numFmt w:val="bullet"/>
      <w:lvlText w:val=""/>
      <w:lvlJc w:val="left"/>
      <w:pPr>
        <w:ind w:left="6480" w:hanging="360"/>
      </w:pPr>
      <w:rPr>
        <w:rFonts w:ascii="Wingdings" w:hAnsi="Wingdings" w:hint="default"/>
      </w:rPr>
    </w:lvl>
  </w:abstractNum>
  <w:abstractNum w:abstractNumId="3" w15:restartNumberingAfterBreak="0">
    <w:nsid w:val="25FA2C09"/>
    <w:multiLevelType w:val="hybridMultilevel"/>
    <w:tmpl w:val="55C49E0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350C0E"/>
    <w:multiLevelType w:val="hybridMultilevel"/>
    <w:tmpl w:val="54E65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4C6B6B"/>
    <w:multiLevelType w:val="hybridMultilevel"/>
    <w:tmpl w:val="92D44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C0221A"/>
    <w:multiLevelType w:val="hybridMultilevel"/>
    <w:tmpl w:val="7E5ADBE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A82"/>
    <w:rsid w:val="00001F55"/>
    <w:rsid w:val="00002AB4"/>
    <w:rsid w:val="00006817"/>
    <w:rsid w:val="0001295C"/>
    <w:rsid w:val="000155B1"/>
    <w:rsid w:val="00016FB9"/>
    <w:rsid w:val="0003047D"/>
    <w:rsid w:val="00030F8F"/>
    <w:rsid w:val="00034A7A"/>
    <w:rsid w:val="00040425"/>
    <w:rsid w:val="00044858"/>
    <w:rsid w:val="00046F43"/>
    <w:rsid w:val="00052A85"/>
    <w:rsid w:val="0005323A"/>
    <w:rsid w:val="00055285"/>
    <w:rsid w:val="00055300"/>
    <w:rsid w:val="00056F00"/>
    <w:rsid w:val="00065B19"/>
    <w:rsid w:val="00073D2C"/>
    <w:rsid w:val="00074349"/>
    <w:rsid w:val="00075460"/>
    <w:rsid w:val="00084FF5"/>
    <w:rsid w:val="00085A78"/>
    <w:rsid w:val="00086627"/>
    <w:rsid w:val="00092A80"/>
    <w:rsid w:val="000A28BB"/>
    <w:rsid w:val="000A38D6"/>
    <w:rsid w:val="000A6759"/>
    <w:rsid w:val="000B1918"/>
    <w:rsid w:val="000B3FFB"/>
    <w:rsid w:val="000B4E43"/>
    <w:rsid w:val="000B4FA7"/>
    <w:rsid w:val="000B6556"/>
    <w:rsid w:val="000B75D9"/>
    <w:rsid w:val="000B78E9"/>
    <w:rsid w:val="000C0A2C"/>
    <w:rsid w:val="000C0D6A"/>
    <w:rsid w:val="000C72F9"/>
    <w:rsid w:val="000D2D9A"/>
    <w:rsid w:val="000D32C8"/>
    <w:rsid w:val="000D49B2"/>
    <w:rsid w:val="000E2CB0"/>
    <w:rsid w:val="000E7737"/>
    <w:rsid w:val="000F13FA"/>
    <w:rsid w:val="000F30CF"/>
    <w:rsid w:val="000F5B45"/>
    <w:rsid w:val="000F70B1"/>
    <w:rsid w:val="001055BD"/>
    <w:rsid w:val="00105FC5"/>
    <w:rsid w:val="00110097"/>
    <w:rsid w:val="00112855"/>
    <w:rsid w:val="00126378"/>
    <w:rsid w:val="00130EF4"/>
    <w:rsid w:val="001347B7"/>
    <w:rsid w:val="00134995"/>
    <w:rsid w:val="00134A8C"/>
    <w:rsid w:val="00140A5B"/>
    <w:rsid w:val="00140E4A"/>
    <w:rsid w:val="00141786"/>
    <w:rsid w:val="00145682"/>
    <w:rsid w:val="001571CA"/>
    <w:rsid w:val="00157E7B"/>
    <w:rsid w:val="001678E4"/>
    <w:rsid w:val="00170184"/>
    <w:rsid w:val="0017086F"/>
    <w:rsid w:val="00171B60"/>
    <w:rsid w:val="001747A6"/>
    <w:rsid w:val="0017499A"/>
    <w:rsid w:val="00174F5A"/>
    <w:rsid w:val="00183323"/>
    <w:rsid w:val="001864D4"/>
    <w:rsid w:val="00196892"/>
    <w:rsid w:val="001A45EC"/>
    <w:rsid w:val="001A7649"/>
    <w:rsid w:val="001B490B"/>
    <w:rsid w:val="001B4ADF"/>
    <w:rsid w:val="001B6DFA"/>
    <w:rsid w:val="001B77CF"/>
    <w:rsid w:val="001C0DDF"/>
    <w:rsid w:val="001C1DB9"/>
    <w:rsid w:val="001D0760"/>
    <w:rsid w:val="001D3669"/>
    <w:rsid w:val="001D3693"/>
    <w:rsid w:val="001D6E62"/>
    <w:rsid w:val="001E035A"/>
    <w:rsid w:val="001E3C66"/>
    <w:rsid w:val="001E42DA"/>
    <w:rsid w:val="001E66DD"/>
    <w:rsid w:val="001E676C"/>
    <w:rsid w:val="001F3B60"/>
    <w:rsid w:val="001F61F9"/>
    <w:rsid w:val="001F6260"/>
    <w:rsid w:val="001F6877"/>
    <w:rsid w:val="00210B13"/>
    <w:rsid w:val="00214507"/>
    <w:rsid w:val="0022686D"/>
    <w:rsid w:val="002311F3"/>
    <w:rsid w:val="00232E2F"/>
    <w:rsid w:val="00232F36"/>
    <w:rsid w:val="002458C0"/>
    <w:rsid w:val="00251E01"/>
    <w:rsid w:val="0025387D"/>
    <w:rsid w:val="00254639"/>
    <w:rsid w:val="00255ED3"/>
    <w:rsid w:val="00256990"/>
    <w:rsid w:val="00256FA1"/>
    <w:rsid w:val="0025761C"/>
    <w:rsid w:val="0026432C"/>
    <w:rsid w:val="0027223B"/>
    <w:rsid w:val="002817BF"/>
    <w:rsid w:val="002819A7"/>
    <w:rsid w:val="00282044"/>
    <w:rsid w:val="0028486A"/>
    <w:rsid w:val="00286117"/>
    <w:rsid w:val="0029234C"/>
    <w:rsid w:val="00297B0D"/>
    <w:rsid w:val="002A0C09"/>
    <w:rsid w:val="002A280F"/>
    <w:rsid w:val="002B312F"/>
    <w:rsid w:val="002B31FE"/>
    <w:rsid w:val="002B5B1E"/>
    <w:rsid w:val="002B5C64"/>
    <w:rsid w:val="002B6039"/>
    <w:rsid w:val="002D38EF"/>
    <w:rsid w:val="002D6837"/>
    <w:rsid w:val="002E0327"/>
    <w:rsid w:val="002E24B6"/>
    <w:rsid w:val="002E7B43"/>
    <w:rsid w:val="002E7D18"/>
    <w:rsid w:val="002F42C0"/>
    <w:rsid w:val="002F4D12"/>
    <w:rsid w:val="003032D3"/>
    <w:rsid w:val="00304D01"/>
    <w:rsid w:val="0030611A"/>
    <w:rsid w:val="003063D1"/>
    <w:rsid w:val="00306844"/>
    <w:rsid w:val="00307622"/>
    <w:rsid w:val="003157F1"/>
    <w:rsid w:val="003205EA"/>
    <w:rsid w:val="003228A3"/>
    <w:rsid w:val="00326DD3"/>
    <w:rsid w:val="0032745D"/>
    <w:rsid w:val="00330BF4"/>
    <w:rsid w:val="00330C9B"/>
    <w:rsid w:val="00331039"/>
    <w:rsid w:val="003351BA"/>
    <w:rsid w:val="00341DD1"/>
    <w:rsid w:val="003554A9"/>
    <w:rsid w:val="00356516"/>
    <w:rsid w:val="00357123"/>
    <w:rsid w:val="00363746"/>
    <w:rsid w:val="0037491C"/>
    <w:rsid w:val="00376959"/>
    <w:rsid w:val="003805A9"/>
    <w:rsid w:val="0038233C"/>
    <w:rsid w:val="0038363A"/>
    <w:rsid w:val="00384ED2"/>
    <w:rsid w:val="00394954"/>
    <w:rsid w:val="0039678F"/>
    <w:rsid w:val="003A2810"/>
    <w:rsid w:val="003A2D20"/>
    <w:rsid w:val="003A7669"/>
    <w:rsid w:val="003B5F68"/>
    <w:rsid w:val="003B660C"/>
    <w:rsid w:val="003C036C"/>
    <w:rsid w:val="003C0A4E"/>
    <w:rsid w:val="003C25AA"/>
    <w:rsid w:val="003D3A4D"/>
    <w:rsid w:val="003D5699"/>
    <w:rsid w:val="003D776E"/>
    <w:rsid w:val="003E2349"/>
    <w:rsid w:val="003E2446"/>
    <w:rsid w:val="003E47A2"/>
    <w:rsid w:val="003E5D15"/>
    <w:rsid w:val="003F1615"/>
    <w:rsid w:val="003F192E"/>
    <w:rsid w:val="003F70B0"/>
    <w:rsid w:val="00403EA9"/>
    <w:rsid w:val="00404284"/>
    <w:rsid w:val="00411926"/>
    <w:rsid w:val="004143BD"/>
    <w:rsid w:val="0041607F"/>
    <w:rsid w:val="00416400"/>
    <w:rsid w:val="00417665"/>
    <w:rsid w:val="00424B72"/>
    <w:rsid w:val="004275D2"/>
    <w:rsid w:val="00430FC3"/>
    <w:rsid w:val="004342AC"/>
    <w:rsid w:val="00434EB9"/>
    <w:rsid w:val="00436F74"/>
    <w:rsid w:val="00445A43"/>
    <w:rsid w:val="00453073"/>
    <w:rsid w:val="004530C6"/>
    <w:rsid w:val="0046265E"/>
    <w:rsid w:val="00465458"/>
    <w:rsid w:val="004655D4"/>
    <w:rsid w:val="0047190E"/>
    <w:rsid w:val="00474FC2"/>
    <w:rsid w:val="00477514"/>
    <w:rsid w:val="00480058"/>
    <w:rsid w:val="00485FBC"/>
    <w:rsid w:val="00493C78"/>
    <w:rsid w:val="00494203"/>
    <w:rsid w:val="004A1EF1"/>
    <w:rsid w:val="004A7D9D"/>
    <w:rsid w:val="004B1DBD"/>
    <w:rsid w:val="004C04C2"/>
    <w:rsid w:val="004D2815"/>
    <w:rsid w:val="004D5265"/>
    <w:rsid w:val="004D7CE4"/>
    <w:rsid w:val="004E2BAC"/>
    <w:rsid w:val="004E45B1"/>
    <w:rsid w:val="004E6A33"/>
    <w:rsid w:val="004F4DA7"/>
    <w:rsid w:val="004F7241"/>
    <w:rsid w:val="00505359"/>
    <w:rsid w:val="0050741D"/>
    <w:rsid w:val="00512E03"/>
    <w:rsid w:val="00514D3E"/>
    <w:rsid w:val="005172F1"/>
    <w:rsid w:val="005274AA"/>
    <w:rsid w:val="00540C55"/>
    <w:rsid w:val="00542815"/>
    <w:rsid w:val="00550E8A"/>
    <w:rsid w:val="005517C5"/>
    <w:rsid w:val="00551F57"/>
    <w:rsid w:val="00551FA4"/>
    <w:rsid w:val="00552A66"/>
    <w:rsid w:val="00554D5E"/>
    <w:rsid w:val="00560DA9"/>
    <w:rsid w:val="005615EB"/>
    <w:rsid w:val="005634E4"/>
    <w:rsid w:val="005635A1"/>
    <w:rsid w:val="0056425C"/>
    <w:rsid w:val="00564CF4"/>
    <w:rsid w:val="00571660"/>
    <w:rsid w:val="00574943"/>
    <w:rsid w:val="00576DBA"/>
    <w:rsid w:val="00577CBB"/>
    <w:rsid w:val="00581BC6"/>
    <w:rsid w:val="005860D9"/>
    <w:rsid w:val="005863D1"/>
    <w:rsid w:val="00591BE4"/>
    <w:rsid w:val="00593257"/>
    <w:rsid w:val="0059360C"/>
    <w:rsid w:val="00593E2F"/>
    <w:rsid w:val="00594982"/>
    <w:rsid w:val="005A026F"/>
    <w:rsid w:val="005A1513"/>
    <w:rsid w:val="005A1D5B"/>
    <w:rsid w:val="005A1EFE"/>
    <w:rsid w:val="005A2B74"/>
    <w:rsid w:val="005B3CB5"/>
    <w:rsid w:val="005B4C32"/>
    <w:rsid w:val="005C16DD"/>
    <w:rsid w:val="005C244D"/>
    <w:rsid w:val="005C2C86"/>
    <w:rsid w:val="005C3920"/>
    <w:rsid w:val="005C6705"/>
    <w:rsid w:val="005C6E9F"/>
    <w:rsid w:val="005D40F7"/>
    <w:rsid w:val="005D558C"/>
    <w:rsid w:val="005E5A39"/>
    <w:rsid w:val="005E6D16"/>
    <w:rsid w:val="005F021B"/>
    <w:rsid w:val="005F43CA"/>
    <w:rsid w:val="005F4EA5"/>
    <w:rsid w:val="005F5360"/>
    <w:rsid w:val="00601445"/>
    <w:rsid w:val="00601BCF"/>
    <w:rsid w:val="00603251"/>
    <w:rsid w:val="006073F3"/>
    <w:rsid w:val="006100A2"/>
    <w:rsid w:val="00614484"/>
    <w:rsid w:val="0061724F"/>
    <w:rsid w:val="006213AB"/>
    <w:rsid w:val="00622BE9"/>
    <w:rsid w:val="0062330F"/>
    <w:rsid w:val="00632533"/>
    <w:rsid w:val="00632A4F"/>
    <w:rsid w:val="00635C80"/>
    <w:rsid w:val="006360D9"/>
    <w:rsid w:val="00640187"/>
    <w:rsid w:val="006438AC"/>
    <w:rsid w:val="00646AAE"/>
    <w:rsid w:val="00651672"/>
    <w:rsid w:val="006623AC"/>
    <w:rsid w:val="00662A03"/>
    <w:rsid w:val="0066398A"/>
    <w:rsid w:val="006651C3"/>
    <w:rsid w:val="006677C4"/>
    <w:rsid w:val="0067062A"/>
    <w:rsid w:val="00670D1A"/>
    <w:rsid w:val="006819B4"/>
    <w:rsid w:val="006851BF"/>
    <w:rsid w:val="00685D7C"/>
    <w:rsid w:val="0068736E"/>
    <w:rsid w:val="00692C9A"/>
    <w:rsid w:val="00692E6E"/>
    <w:rsid w:val="00694F3E"/>
    <w:rsid w:val="00696A6F"/>
    <w:rsid w:val="006A0AC7"/>
    <w:rsid w:val="006A350D"/>
    <w:rsid w:val="006A69FA"/>
    <w:rsid w:val="006B08E1"/>
    <w:rsid w:val="006B1318"/>
    <w:rsid w:val="006B2161"/>
    <w:rsid w:val="006B7A12"/>
    <w:rsid w:val="006C2FE3"/>
    <w:rsid w:val="006C3EB7"/>
    <w:rsid w:val="006C6003"/>
    <w:rsid w:val="006C69FD"/>
    <w:rsid w:val="006D0AD8"/>
    <w:rsid w:val="006D2147"/>
    <w:rsid w:val="006D238E"/>
    <w:rsid w:val="006E6FCE"/>
    <w:rsid w:val="006F26B7"/>
    <w:rsid w:val="006F5854"/>
    <w:rsid w:val="006F7B9F"/>
    <w:rsid w:val="00701BFD"/>
    <w:rsid w:val="00702D83"/>
    <w:rsid w:val="0070489A"/>
    <w:rsid w:val="00704D9F"/>
    <w:rsid w:val="00705604"/>
    <w:rsid w:val="00710875"/>
    <w:rsid w:val="007145D5"/>
    <w:rsid w:val="00726ADA"/>
    <w:rsid w:val="00730993"/>
    <w:rsid w:val="00732BB3"/>
    <w:rsid w:val="00740FF0"/>
    <w:rsid w:val="007440A4"/>
    <w:rsid w:val="007440FC"/>
    <w:rsid w:val="00747963"/>
    <w:rsid w:val="00757504"/>
    <w:rsid w:val="0076285E"/>
    <w:rsid w:val="00762B39"/>
    <w:rsid w:val="007630D2"/>
    <w:rsid w:val="0078146E"/>
    <w:rsid w:val="00785039"/>
    <w:rsid w:val="00787A89"/>
    <w:rsid w:val="0079574B"/>
    <w:rsid w:val="00796A0C"/>
    <w:rsid w:val="007A1595"/>
    <w:rsid w:val="007A32D2"/>
    <w:rsid w:val="007A6E9C"/>
    <w:rsid w:val="007B03CB"/>
    <w:rsid w:val="007B4A02"/>
    <w:rsid w:val="007B772E"/>
    <w:rsid w:val="007C11E4"/>
    <w:rsid w:val="007C2A90"/>
    <w:rsid w:val="007C4A7D"/>
    <w:rsid w:val="007C53A2"/>
    <w:rsid w:val="007C6426"/>
    <w:rsid w:val="007D1903"/>
    <w:rsid w:val="007D2F4A"/>
    <w:rsid w:val="007E1869"/>
    <w:rsid w:val="007E6B74"/>
    <w:rsid w:val="007F1F4F"/>
    <w:rsid w:val="007F2D2C"/>
    <w:rsid w:val="007F2FD9"/>
    <w:rsid w:val="007F4A70"/>
    <w:rsid w:val="007F60FE"/>
    <w:rsid w:val="007F6144"/>
    <w:rsid w:val="007F75FF"/>
    <w:rsid w:val="00802CC9"/>
    <w:rsid w:val="00806CFC"/>
    <w:rsid w:val="00811972"/>
    <w:rsid w:val="00812D83"/>
    <w:rsid w:val="00823D52"/>
    <w:rsid w:val="0083144C"/>
    <w:rsid w:val="008314BB"/>
    <w:rsid w:val="008346B6"/>
    <w:rsid w:val="00836749"/>
    <w:rsid w:val="00841B41"/>
    <w:rsid w:val="00841FF9"/>
    <w:rsid w:val="008457DC"/>
    <w:rsid w:val="00847746"/>
    <w:rsid w:val="00847C2A"/>
    <w:rsid w:val="008567DF"/>
    <w:rsid w:val="0086351E"/>
    <w:rsid w:val="00865A3D"/>
    <w:rsid w:val="00870708"/>
    <w:rsid w:val="00874E93"/>
    <w:rsid w:val="00875AE7"/>
    <w:rsid w:val="0088226E"/>
    <w:rsid w:val="008857D8"/>
    <w:rsid w:val="00896902"/>
    <w:rsid w:val="008A057C"/>
    <w:rsid w:val="008A25D7"/>
    <w:rsid w:val="008A4D81"/>
    <w:rsid w:val="008A5398"/>
    <w:rsid w:val="008B5050"/>
    <w:rsid w:val="008B52E2"/>
    <w:rsid w:val="008C04BA"/>
    <w:rsid w:val="008C4FCE"/>
    <w:rsid w:val="008D598E"/>
    <w:rsid w:val="008D7DDC"/>
    <w:rsid w:val="008E2F61"/>
    <w:rsid w:val="008E48C7"/>
    <w:rsid w:val="008E6659"/>
    <w:rsid w:val="008E7E64"/>
    <w:rsid w:val="008F71DC"/>
    <w:rsid w:val="00902B76"/>
    <w:rsid w:val="009049AE"/>
    <w:rsid w:val="009120EE"/>
    <w:rsid w:val="009125D5"/>
    <w:rsid w:val="009207B6"/>
    <w:rsid w:val="00921A37"/>
    <w:rsid w:val="00922D12"/>
    <w:rsid w:val="00923D82"/>
    <w:rsid w:val="00926C6C"/>
    <w:rsid w:val="00931307"/>
    <w:rsid w:val="00937620"/>
    <w:rsid w:val="009405BA"/>
    <w:rsid w:val="00942573"/>
    <w:rsid w:val="009472FE"/>
    <w:rsid w:val="00956817"/>
    <w:rsid w:val="00957EE6"/>
    <w:rsid w:val="00960121"/>
    <w:rsid w:val="00962A3B"/>
    <w:rsid w:val="00963DC5"/>
    <w:rsid w:val="0097122E"/>
    <w:rsid w:val="00973AE5"/>
    <w:rsid w:val="00973C98"/>
    <w:rsid w:val="009744F1"/>
    <w:rsid w:val="0098156B"/>
    <w:rsid w:val="009872BB"/>
    <w:rsid w:val="009906B9"/>
    <w:rsid w:val="009907D9"/>
    <w:rsid w:val="00993261"/>
    <w:rsid w:val="00993A7F"/>
    <w:rsid w:val="009951C6"/>
    <w:rsid w:val="00995B60"/>
    <w:rsid w:val="00996EDC"/>
    <w:rsid w:val="009A457C"/>
    <w:rsid w:val="009A51F8"/>
    <w:rsid w:val="009B09F1"/>
    <w:rsid w:val="009B10C1"/>
    <w:rsid w:val="009B2C9B"/>
    <w:rsid w:val="009B62A8"/>
    <w:rsid w:val="009D1366"/>
    <w:rsid w:val="009D1665"/>
    <w:rsid w:val="009E1E04"/>
    <w:rsid w:val="009E325F"/>
    <w:rsid w:val="009E3367"/>
    <w:rsid w:val="009E40C8"/>
    <w:rsid w:val="009E55DA"/>
    <w:rsid w:val="009F3E6A"/>
    <w:rsid w:val="009F687E"/>
    <w:rsid w:val="009F7EEF"/>
    <w:rsid w:val="00A0229E"/>
    <w:rsid w:val="00A022DE"/>
    <w:rsid w:val="00A03B75"/>
    <w:rsid w:val="00A125BA"/>
    <w:rsid w:val="00A20F63"/>
    <w:rsid w:val="00A25CCB"/>
    <w:rsid w:val="00A31454"/>
    <w:rsid w:val="00A349D7"/>
    <w:rsid w:val="00A352D7"/>
    <w:rsid w:val="00A37904"/>
    <w:rsid w:val="00A4092C"/>
    <w:rsid w:val="00A429A5"/>
    <w:rsid w:val="00A4303A"/>
    <w:rsid w:val="00A43E48"/>
    <w:rsid w:val="00A5031C"/>
    <w:rsid w:val="00A51FC3"/>
    <w:rsid w:val="00A55110"/>
    <w:rsid w:val="00A571D7"/>
    <w:rsid w:val="00A62FBB"/>
    <w:rsid w:val="00A64455"/>
    <w:rsid w:val="00A64D06"/>
    <w:rsid w:val="00A67E58"/>
    <w:rsid w:val="00A71550"/>
    <w:rsid w:val="00A750CA"/>
    <w:rsid w:val="00A77835"/>
    <w:rsid w:val="00A821AA"/>
    <w:rsid w:val="00A83EFE"/>
    <w:rsid w:val="00A86C0F"/>
    <w:rsid w:val="00A93831"/>
    <w:rsid w:val="00A9447B"/>
    <w:rsid w:val="00AA2CAE"/>
    <w:rsid w:val="00AA567B"/>
    <w:rsid w:val="00AA72B4"/>
    <w:rsid w:val="00AB202B"/>
    <w:rsid w:val="00AB387E"/>
    <w:rsid w:val="00AB4E44"/>
    <w:rsid w:val="00AB6D0C"/>
    <w:rsid w:val="00AC5EB7"/>
    <w:rsid w:val="00AC7C76"/>
    <w:rsid w:val="00AD09AA"/>
    <w:rsid w:val="00AD1451"/>
    <w:rsid w:val="00AD5F35"/>
    <w:rsid w:val="00AE11A6"/>
    <w:rsid w:val="00AE3A60"/>
    <w:rsid w:val="00AE56F0"/>
    <w:rsid w:val="00AF1A3D"/>
    <w:rsid w:val="00B02FA4"/>
    <w:rsid w:val="00B10D30"/>
    <w:rsid w:val="00B22B44"/>
    <w:rsid w:val="00B23198"/>
    <w:rsid w:val="00B245F5"/>
    <w:rsid w:val="00B2619C"/>
    <w:rsid w:val="00B33725"/>
    <w:rsid w:val="00B3711C"/>
    <w:rsid w:val="00B37894"/>
    <w:rsid w:val="00B41B4E"/>
    <w:rsid w:val="00B41C10"/>
    <w:rsid w:val="00B44CAD"/>
    <w:rsid w:val="00B46B66"/>
    <w:rsid w:val="00B57C6E"/>
    <w:rsid w:val="00B66397"/>
    <w:rsid w:val="00B74AD7"/>
    <w:rsid w:val="00B74DB6"/>
    <w:rsid w:val="00B7665C"/>
    <w:rsid w:val="00B82114"/>
    <w:rsid w:val="00B85843"/>
    <w:rsid w:val="00B92DA1"/>
    <w:rsid w:val="00B963E0"/>
    <w:rsid w:val="00BA0DFD"/>
    <w:rsid w:val="00BA16A4"/>
    <w:rsid w:val="00BA49AD"/>
    <w:rsid w:val="00BB3224"/>
    <w:rsid w:val="00BB3A7B"/>
    <w:rsid w:val="00BC3844"/>
    <w:rsid w:val="00BD2462"/>
    <w:rsid w:val="00BD24A0"/>
    <w:rsid w:val="00BD698E"/>
    <w:rsid w:val="00BE31ED"/>
    <w:rsid w:val="00BE53D2"/>
    <w:rsid w:val="00BF0355"/>
    <w:rsid w:val="00BF1AE8"/>
    <w:rsid w:val="00BF3611"/>
    <w:rsid w:val="00BF4A87"/>
    <w:rsid w:val="00BF7C47"/>
    <w:rsid w:val="00C02777"/>
    <w:rsid w:val="00C03EF4"/>
    <w:rsid w:val="00C077FA"/>
    <w:rsid w:val="00C12B0A"/>
    <w:rsid w:val="00C205C0"/>
    <w:rsid w:val="00C2313C"/>
    <w:rsid w:val="00C30D43"/>
    <w:rsid w:val="00C328BC"/>
    <w:rsid w:val="00C34A0B"/>
    <w:rsid w:val="00C34AF7"/>
    <w:rsid w:val="00C41D9C"/>
    <w:rsid w:val="00C44FB3"/>
    <w:rsid w:val="00C4643A"/>
    <w:rsid w:val="00C55200"/>
    <w:rsid w:val="00C63D5D"/>
    <w:rsid w:val="00C64661"/>
    <w:rsid w:val="00C64D3C"/>
    <w:rsid w:val="00C77D3C"/>
    <w:rsid w:val="00C81ADB"/>
    <w:rsid w:val="00C81DD9"/>
    <w:rsid w:val="00C82DB7"/>
    <w:rsid w:val="00C83F74"/>
    <w:rsid w:val="00C914AF"/>
    <w:rsid w:val="00C93450"/>
    <w:rsid w:val="00C95E39"/>
    <w:rsid w:val="00CA44DB"/>
    <w:rsid w:val="00CA5D89"/>
    <w:rsid w:val="00CB1B04"/>
    <w:rsid w:val="00CC0709"/>
    <w:rsid w:val="00CC3D81"/>
    <w:rsid w:val="00CC4E85"/>
    <w:rsid w:val="00CD2A14"/>
    <w:rsid w:val="00CE2368"/>
    <w:rsid w:val="00CE39BB"/>
    <w:rsid w:val="00CE3FF1"/>
    <w:rsid w:val="00CE5278"/>
    <w:rsid w:val="00CE5B38"/>
    <w:rsid w:val="00CF275B"/>
    <w:rsid w:val="00CF3BBC"/>
    <w:rsid w:val="00D00B6F"/>
    <w:rsid w:val="00D11A27"/>
    <w:rsid w:val="00D14EF0"/>
    <w:rsid w:val="00D15EEB"/>
    <w:rsid w:val="00D20184"/>
    <w:rsid w:val="00D223B9"/>
    <w:rsid w:val="00D22805"/>
    <w:rsid w:val="00D234E8"/>
    <w:rsid w:val="00D24121"/>
    <w:rsid w:val="00D2415F"/>
    <w:rsid w:val="00D25C4D"/>
    <w:rsid w:val="00D278BD"/>
    <w:rsid w:val="00D45B87"/>
    <w:rsid w:val="00D54168"/>
    <w:rsid w:val="00D62E5D"/>
    <w:rsid w:val="00D64A82"/>
    <w:rsid w:val="00D66939"/>
    <w:rsid w:val="00D710F3"/>
    <w:rsid w:val="00D80667"/>
    <w:rsid w:val="00D81456"/>
    <w:rsid w:val="00D830F3"/>
    <w:rsid w:val="00D831C3"/>
    <w:rsid w:val="00D86E90"/>
    <w:rsid w:val="00D87682"/>
    <w:rsid w:val="00D87864"/>
    <w:rsid w:val="00D90BDC"/>
    <w:rsid w:val="00D92C16"/>
    <w:rsid w:val="00DA6BFD"/>
    <w:rsid w:val="00DB1FB2"/>
    <w:rsid w:val="00DB32AD"/>
    <w:rsid w:val="00DC3C3B"/>
    <w:rsid w:val="00DC578E"/>
    <w:rsid w:val="00DD05AC"/>
    <w:rsid w:val="00DD2F4B"/>
    <w:rsid w:val="00DD532A"/>
    <w:rsid w:val="00DD6162"/>
    <w:rsid w:val="00DD77C9"/>
    <w:rsid w:val="00DE009B"/>
    <w:rsid w:val="00DE114F"/>
    <w:rsid w:val="00DE57AB"/>
    <w:rsid w:val="00DE7A3F"/>
    <w:rsid w:val="00DF15B1"/>
    <w:rsid w:val="00DF651B"/>
    <w:rsid w:val="00DF7777"/>
    <w:rsid w:val="00E00BC9"/>
    <w:rsid w:val="00E03B4A"/>
    <w:rsid w:val="00E04DA7"/>
    <w:rsid w:val="00E050ED"/>
    <w:rsid w:val="00E06A69"/>
    <w:rsid w:val="00E114E1"/>
    <w:rsid w:val="00E12CF7"/>
    <w:rsid w:val="00E13220"/>
    <w:rsid w:val="00E152B2"/>
    <w:rsid w:val="00E166AA"/>
    <w:rsid w:val="00E213A1"/>
    <w:rsid w:val="00E22667"/>
    <w:rsid w:val="00E30064"/>
    <w:rsid w:val="00E33F66"/>
    <w:rsid w:val="00E36139"/>
    <w:rsid w:val="00E41A50"/>
    <w:rsid w:val="00E5455C"/>
    <w:rsid w:val="00E55693"/>
    <w:rsid w:val="00E55A25"/>
    <w:rsid w:val="00E57297"/>
    <w:rsid w:val="00E617BF"/>
    <w:rsid w:val="00E63839"/>
    <w:rsid w:val="00E738BC"/>
    <w:rsid w:val="00E77660"/>
    <w:rsid w:val="00E86657"/>
    <w:rsid w:val="00E86F4B"/>
    <w:rsid w:val="00E9254B"/>
    <w:rsid w:val="00E92C1D"/>
    <w:rsid w:val="00E932E3"/>
    <w:rsid w:val="00E94C9F"/>
    <w:rsid w:val="00EA0E9D"/>
    <w:rsid w:val="00EA3072"/>
    <w:rsid w:val="00EA62DE"/>
    <w:rsid w:val="00EC15AA"/>
    <w:rsid w:val="00EC2491"/>
    <w:rsid w:val="00EC2C53"/>
    <w:rsid w:val="00EC69FD"/>
    <w:rsid w:val="00ED23C0"/>
    <w:rsid w:val="00EE1034"/>
    <w:rsid w:val="00EE599C"/>
    <w:rsid w:val="00F018E1"/>
    <w:rsid w:val="00F1252D"/>
    <w:rsid w:val="00F13A6F"/>
    <w:rsid w:val="00F14DEB"/>
    <w:rsid w:val="00F16F2B"/>
    <w:rsid w:val="00F202B3"/>
    <w:rsid w:val="00F2064D"/>
    <w:rsid w:val="00F21B9A"/>
    <w:rsid w:val="00F224B3"/>
    <w:rsid w:val="00F269DC"/>
    <w:rsid w:val="00F32392"/>
    <w:rsid w:val="00F35A2C"/>
    <w:rsid w:val="00F3643F"/>
    <w:rsid w:val="00F37A0D"/>
    <w:rsid w:val="00F4175D"/>
    <w:rsid w:val="00F45017"/>
    <w:rsid w:val="00F516CD"/>
    <w:rsid w:val="00F51E22"/>
    <w:rsid w:val="00F52649"/>
    <w:rsid w:val="00F54365"/>
    <w:rsid w:val="00F574B2"/>
    <w:rsid w:val="00F57CBE"/>
    <w:rsid w:val="00F62C1F"/>
    <w:rsid w:val="00F6383F"/>
    <w:rsid w:val="00F64781"/>
    <w:rsid w:val="00F65948"/>
    <w:rsid w:val="00F672BC"/>
    <w:rsid w:val="00F674EC"/>
    <w:rsid w:val="00F74A9E"/>
    <w:rsid w:val="00F75055"/>
    <w:rsid w:val="00F83E09"/>
    <w:rsid w:val="00F85EAA"/>
    <w:rsid w:val="00F86138"/>
    <w:rsid w:val="00F878AB"/>
    <w:rsid w:val="00F87ED0"/>
    <w:rsid w:val="00F932B3"/>
    <w:rsid w:val="00F93387"/>
    <w:rsid w:val="00F9491B"/>
    <w:rsid w:val="00F96EF2"/>
    <w:rsid w:val="00FA4203"/>
    <w:rsid w:val="00FB2248"/>
    <w:rsid w:val="00FB457C"/>
    <w:rsid w:val="00FB76AE"/>
    <w:rsid w:val="00FC1C65"/>
    <w:rsid w:val="00FC6142"/>
    <w:rsid w:val="00FD02AA"/>
    <w:rsid w:val="00FD04F2"/>
    <w:rsid w:val="00FD77DA"/>
    <w:rsid w:val="00FD7AA8"/>
    <w:rsid w:val="00FE0016"/>
    <w:rsid w:val="00FE6B93"/>
    <w:rsid w:val="00FF38F5"/>
    <w:rsid w:val="0383653D"/>
    <w:rsid w:val="06726D10"/>
    <w:rsid w:val="0718E6E7"/>
    <w:rsid w:val="091F887C"/>
    <w:rsid w:val="0B8D27B9"/>
    <w:rsid w:val="0C41C082"/>
    <w:rsid w:val="0D0033C6"/>
    <w:rsid w:val="0D15050A"/>
    <w:rsid w:val="0F33D2DD"/>
    <w:rsid w:val="0FA51BC5"/>
    <w:rsid w:val="0FF24621"/>
    <w:rsid w:val="11538029"/>
    <w:rsid w:val="11B42398"/>
    <w:rsid w:val="11E3F8D1"/>
    <w:rsid w:val="132337A0"/>
    <w:rsid w:val="13BAC52D"/>
    <w:rsid w:val="13DF0BDB"/>
    <w:rsid w:val="1548FCB7"/>
    <w:rsid w:val="15BCA474"/>
    <w:rsid w:val="163B15E8"/>
    <w:rsid w:val="16D11E36"/>
    <w:rsid w:val="1716BA51"/>
    <w:rsid w:val="17B34C43"/>
    <w:rsid w:val="17FCF35F"/>
    <w:rsid w:val="188FE012"/>
    <w:rsid w:val="18BAF383"/>
    <w:rsid w:val="1A309276"/>
    <w:rsid w:val="1AD0C067"/>
    <w:rsid w:val="1AF6C06F"/>
    <w:rsid w:val="1B60C75A"/>
    <w:rsid w:val="1C7C2AFA"/>
    <w:rsid w:val="1CAAB5BB"/>
    <w:rsid w:val="1D2ECAD4"/>
    <w:rsid w:val="1F928403"/>
    <w:rsid w:val="1FB413BD"/>
    <w:rsid w:val="2154617A"/>
    <w:rsid w:val="22A62618"/>
    <w:rsid w:val="23031674"/>
    <w:rsid w:val="23732F4D"/>
    <w:rsid w:val="23B8263C"/>
    <w:rsid w:val="24769980"/>
    <w:rsid w:val="258ED4F7"/>
    <w:rsid w:val="265D86F3"/>
    <w:rsid w:val="29C48317"/>
    <w:rsid w:val="2A029ECA"/>
    <w:rsid w:val="2B6E6721"/>
    <w:rsid w:val="2BEF9E2B"/>
    <w:rsid w:val="2C3DF896"/>
    <w:rsid w:val="2C47DE5A"/>
    <w:rsid w:val="2D595C36"/>
    <w:rsid w:val="2E1B828D"/>
    <w:rsid w:val="2F61CD3A"/>
    <w:rsid w:val="2F8B2D7E"/>
    <w:rsid w:val="2F93D689"/>
    <w:rsid w:val="2F96E111"/>
    <w:rsid w:val="2FE51AB9"/>
    <w:rsid w:val="302A11A8"/>
    <w:rsid w:val="30AC1200"/>
    <w:rsid w:val="33789CE4"/>
    <w:rsid w:val="35E55BE6"/>
    <w:rsid w:val="36DCE85A"/>
    <w:rsid w:val="38104567"/>
    <w:rsid w:val="38B6BF3E"/>
    <w:rsid w:val="38F70600"/>
    <w:rsid w:val="39E9FEAA"/>
    <w:rsid w:val="3BA8D199"/>
    <w:rsid w:val="3BB9EFCA"/>
    <w:rsid w:val="3BC0CB06"/>
    <w:rsid w:val="3CDF392E"/>
    <w:rsid w:val="3D82A87D"/>
    <w:rsid w:val="3EB2DD61"/>
    <w:rsid w:val="3F5F89E9"/>
    <w:rsid w:val="3FCE4101"/>
    <w:rsid w:val="4074BAD8"/>
    <w:rsid w:val="4189433C"/>
    <w:rsid w:val="432819EA"/>
    <w:rsid w:val="435D9BF7"/>
    <w:rsid w:val="437EC6A0"/>
    <w:rsid w:val="45B5703F"/>
    <w:rsid w:val="4670D8FB"/>
    <w:rsid w:val="46C54554"/>
    <w:rsid w:val="482F035F"/>
    <w:rsid w:val="49821505"/>
    <w:rsid w:val="49DE06D5"/>
    <w:rsid w:val="4B0FF789"/>
    <w:rsid w:val="4B81B929"/>
    <w:rsid w:val="4BE33C11"/>
    <w:rsid w:val="4CA1AF55"/>
    <w:rsid w:val="4D16991E"/>
    <w:rsid w:val="4D5E4B01"/>
    <w:rsid w:val="4FABBB1D"/>
    <w:rsid w:val="4FCD46B4"/>
    <w:rsid w:val="50B6E005"/>
    <w:rsid w:val="510AEB4F"/>
    <w:rsid w:val="51EF4CBA"/>
    <w:rsid w:val="52E8F718"/>
    <w:rsid w:val="533730C0"/>
    <w:rsid w:val="53AEE6AD"/>
    <w:rsid w:val="54B8E838"/>
    <w:rsid w:val="55D7FEEB"/>
    <w:rsid w:val="573CB935"/>
    <w:rsid w:val="57930126"/>
    <w:rsid w:val="5A2EFE61"/>
    <w:rsid w:val="5A5EF13B"/>
    <w:rsid w:val="5AE9BE92"/>
    <w:rsid w:val="5BBD3A2D"/>
    <w:rsid w:val="5C147A07"/>
    <w:rsid w:val="5F69359E"/>
    <w:rsid w:val="61542F26"/>
    <w:rsid w:val="616AC6D2"/>
    <w:rsid w:val="651E749A"/>
    <w:rsid w:val="653945BE"/>
    <w:rsid w:val="65A0A7C3"/>
    <w:rsid w:val="65F6BCE3"/>
    <w:rsid w:val="67DF9F97"/>
    <w:rsid w:val="6A6AE0F7"/>
    <w:rsid w:val="6A816246"/>
    <w:rsid w:val="6BE1BCD5"/>
    <w:rsid w:val="6C060383"/>
    <w:rsid w:val="6E016A21"/>
    <w:rsid w:val="6F2B4D46"/>
    <w:rsid w:val="6F876612"/>
    <w:rsid w:val="70F37C7C"/>
    <w:rsid w:val="7136F7A0"/>
    <w:rsid w:val="737F082E"/>
    <w:rsid w:val="751C9EF7"/>
    <w:rsid w:val="76680AA1"/>
    <w:rsid w:val="76EC2B70"/>
    <w:rsid w:val="77534896"/>
    <w:rsid w:val="777DD30F"/>
    <w:rsid w:val="779CEFB2"/>
    <w:rsid w:val="792A14F2"/>
    <w:rsid w:val="7AD3F8FC"/>
    <w:rsid w:val="7AE5172D"/>
    <w:rsid w:val="7DB10742"/>
    <w:rsid w:val="7E3BD499"/>
    <w:rsid w:val="7F541010"/>
    <w:rsid w:val="7F5AEB4C"/>
    <w:rsid w:val="7FCCACEC"/>
    <w:rsid w:val="7FD365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C9CC4F"/>
  <w15:chartTrackingRefBased/>
  <w15:docId w15:val="{50D472C7-F1CC-44F8-A247-676DDF91B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64A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4A82"/>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D64A8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64A82"/>
    <w:rPr>
      <w:color w:val="0563C1" w:themeColor="hyperlink"/>
      <w:u w:val="single"/>
    </w:rPr>
  </w:style>
  <w:style w:type="character" w:styleId="UnresolvedMention">
    <w:name w:val="Unresolved Mention"/>
    <w:basedOn w:val="DefaultParagraphFont"/>
    <w:uiPriority w:val="99"/>
    <w:unhideWhenUsed/>
    <w:rsid w:val="00D64A82"/>
    <w:rPr>
      <w:color w:val="605E5C"/>
      <w:shd w:val="clear" w:color="auto" w:fill="E1DFDD"/>
    </w:rPr>
  </w:style>
  <w:style w:type="paragraph" w:styleId="HTMLPreformatted">
    <w:name w:val="HTML Preformatted"/>
    <w:basedOn w:val="Normal"/>
    <w:link w:val="HTMLPreformattedChar"/>
    <w:uiPriority w:val="99"/>
    <w:semiHidden/>
    <w:unhideWhenUsed/>
    <w:rsid w:val="003157F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157F1"/>
    <w:rPr>
      <w:rFonts w:ascii="Consolas" w:hAnsi="Consolas"/>
      <w:sz w:val="20"/>
      <w:szCs w:val="20"/>
    </w:rPr>
  </w:style>
  <w:style w:type="paragraph" w:styleId="EndnoteText">
    <w:name w:val="endnote text"/>
    <w:basedOn w:val="Normal"/>
    <w:link w:val="EndnoteTextChar"/>
    <w:uiPriority w:val="99"/>
    <w:semiHidden/>
    <w:unhideWhenUsed/>
    <w:rsid w:val="00FB457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B457C"/>
    <w:rPr>
      <w:sz w:val="20"/>
      <w:szCs w:val="20"/>
    </w:rPr>
  </w:style>
  <w:style w:type="character" w:styleId="EndnoteReference">
    <w:name w:val="endnote reference"/>
    <w:basedOn w:val="DefaultParagraphFont"/>
    <w:uiPriority w:val="99"/>
    <w:semiHidden/>
    <w:unhideWhenUsed/>
    <w:rsid w:val="00FB457C"/>
    <w:rPr>
      <w:vertAlign w:val="superscript"/>
    </w:rPr>
  </w:style>
  <w:style w:type="paragraph" w:styleId="BalloonText">
    <w:name w:val="Balloon Text"/>
    <w:basedOn w:val="Normal"/>
    <w:link w:val="BalloonTextChar"/>
    <w:uiPriority w:val="99"/>
    <w:semiHidden/>
    <w:unhideWhenUsed/>
    <w:rsid w:val="00CF27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75B"/>
    <w:rPr>
      <w:rFonts w:ascii="Segoe UI" w:hAnsi="Segoe UI" w:cs="Segoe UI"/>
      <w:sz w:val="18"/>
      <w:szCs w:val="18"/>
    </w:rPr>
  </w:style>
  <w:style w:type="paragraph" w:styleId="FootnoteText">
    <w:name w:val="footnote text"/>
    <w:basedOn w:val="Normal"/>
    <w:link w:val="FootnoteTextChar"/>
    <w:uiPriority w:val="99"/>
    <w:unhideWhenUsed/>
    <w:rsid w:val="00065B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5B19"/>
    <w:rPr>
      <w:sz w:val="20"/>
      <w:szCs w:val="20"/>
    </w:rPr>
  </w:style>
  <w:style w:type="character" w:styleId="FootnoteReference">
    <w:name w:val="footnote reference"/>
    <w:aliases w:val="4_G"/>
    <w:rsid w:val="00065B19"/>
    <w:rPr>
      <w:rFonts w:ascii="Times New Roman" w:hAnsi="Times New Roman"/>
      <w:sz w:val="18"/>
      <w:vertAlign w:val="superscript"/>
    </w:rPr>
  </w:style>
  <w:style w:type="paragraph" w:styleId="ListParagraph">
    <w:name w:val="List Paragraph"/>
    <w:basedOn w:val="Normal"/>
    <w:uiPriority w:val="34"/>
    <w:qFormat/>
    <w:rsid w:val="00836749"/>
    <w:pPr>
      <w:ind w:left="720"/>
      <w:contextualSpacing/>
    </w:pPr>
  </w:style>
  <w:style w:type="character" w:styleId="CommentReference">
    <w:name w:val="annotation reference"/>
    <w:basedOn w:val="DefaultParagraphFont"/>
    <w:uiPriority w:val="99"/>
    <w:semiHidden/>
    <w:unhideWhenUsed/>
    <w:rsid w:val="00A55110"/>
    <w:rPr>
      <w:sz w:val="16"/>
      <w:szCs w:val="16"/>
    </w:rPr>
  </w:style>
  <w:style w:type="paragraph" w:styleId="CommentText">
    <w:name w:val="annotation text"/>
    <w:basedOn w:val="Normal"/>
    <w:link w:val="CommentTextChar"/>
    <w:uiPriority w:val="99"/>
    <w:semiHidden/>
    <w:unhideWhenUsed/>
    <w:rsid w:val="00A55110"/>
    <w:pPr>
      <w:spacing w:line="240" w:lineRule="auto"/>
    </w:pPr>
    <w:rPr>
      <w:sz w:val="20"/>
      <w:szCs w:val="20"/>
    </w:rPr>
  </w:style>
  <w:style w:type="character" w:customStyle="1" w:styleId="CommentTextChar">
    <w:name w:val="Comment Text Char"/>
    <w:basedOn w:val="DefaultParagraphFont"/>
    <w:link w:val="CommentText"/>
    <w:uiPriority w:val="99"/>
    <w:semiHidden/>
    <w:rsid w:val="00A55110"/>
    <w:rPr>
      <w:sz w:val="20"/>
      <w:szCs w:val="20"/>
    </w:rPr>
  </w:style>
  <w:style w:type="paragraph" w:styleId="CommentSubject">
    <w:name w:val="annotation subject"/>
    <w:basedOn w:val="CommentText"/>
    <w:next w:val="CommentText"/>
    <w:link w:val="CommentSubjectChar"/>
    <w:uiPriority w:val="99"/>
    <w:semiHidden/>
    <w:unhideWhenUsed/>
    <w:rsid w:val="00A55110"/>
    <w:rPr>
      <w:b/>
      <w:bCs/>
    </w:rPr>
  </w:style>
  <w:style w:type="character" w:customStyle="1" w:styleId="CommentSubjectChar">
    <w:name w:val="Comment Subject Char"/>
    <w:basedOn w:val="CommentTextChar"/>
    <w:link w:val="CommentSubject"/>
    <w:uiPriority w:val="99"/>
    <w:semiHidden/>
    <w:rsid w:val="00A55110"/>
    <w:rPr>
      <w:b/>
      <w:bCs/>
      <w:sz w:val="20"/>
      <w:szCs w:val="20"/>
    </w:rPr>
  </w:style>
  <w:style w:type="paragraph" w:styleId="Header">
    <w:name w:val="header"/>
    <w:basedOn w:val="Normal"/>
    <w:link w:val="HeaderChar"/>
    <w:uiPriority w:val="99"/>
    <w:unhideWhenUsed/>
    <w:rsid w:val="00B74D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DB6"/>
  </w:style>
  <w:style w:type="paragraph" w:styleId="Footer">
    <w:name w:val="footer"/>
    <w:basedOn w:val="Normal"/>
    <w:link w:val="FooterChar"/>
    <w:uiPriority w:val="99"/>
    <w:unhideWhenUsed/>
    <w:rsid w:val="00B74D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DB6"/>
  </w:style>
  <w:style w:type="paragraph" w:styleId="Revision">
    <w:name w:val="Revision"/>
    <w:hidden/>
    <w:uiPriority w:val="99"/>
    <w:semiHidden/>
    <w:rsid w:val="00EC2C53"/>
    <w:pPr>
      <w:spacing w:after="0" w:line="240" w:lineRule="auto"/>
    </w:pPr>
  </w:style>
  <w:style w:type="character" w:styleId="Mention">
    <w:name w:val="Mention"/>
    <w:basedOn w:val="DefaultParagraphFont"/>
    <w:uiPriority w:val="99"/>
    <w:unhideWhenUsed/>
    <w:rsid w:val="001F3B60"/>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766229">
      <w:bodyDiv w:val="1"/>
      <w:marLeft w:val="0"/>
      <w:marRight w:val="0"/>
      <w:marTop w:val="0"/>
      <w:marBottom w:val="0"/>
      <w:divBdr>
        <w:top w:val="none" w:sz="0" w:space="0" w:color="auto"/>
        <w:left w:val="none" w:sz="0" w:space="0" w:color="auto"/>
        <w:bottom w:val="none" w:sz="0" w:space="0" w:color="auto"/>
        <w:right w:val="none" w:sz="0" w:space="0" w:color="auto"/>
      </w:divBdr>
    </w:div>
    <w:div w:id="397168171">
      <w:bodyDiv w:val="1"/>
      <w:marLeft w:val="0"/>
      <w:marRight w:val="0"/>
      <w:marTop w:val="0"/>
      <w:marBottom w:val="0"/>
      <w:divBdr>
        <w:top w:val="none" w:sz="0" w:space="0" w:color="auto"/>
        <w:left w:val="none" w:sz="0" w:space="0" w:color="auto"/>
        <w:bottom w:val="none" w:sz="0" w:space="0" w:color="auto"/>
        <w:right w:val="none" w:sz="0" w:space="0" w:color="auto"/>
      </w:divBdr>
    </w:div>
    <w:div w:id="500000379">
      <w:bodyDiv w:val="1"/>
      <w:marLeft w:val="0"/>
      <w:marRight w:val="0"/>
      <w:marTop w:val="0"/>
      <w:marBottom w:val="0"/>
      <w:divBdr>
        <w:top w:val="none" w:sz="0" w:space="0" w:color="auto"/>
        <w:left w:val="none" w:sz="0" w:space="0" w:color="auto"/>
        <w:bottom w:val="none" w:sz="0" w:space="0" w:color="auto"/>
        <w:right w:val="none" w:sz="0" w:space="0" w:color="auto"/>
      </w:divBdr>
      <w:divsChild>
        <w:div w:id="102237532">
          <w:marLeft w:val="0"/>
          <w:marRight w:val="0"/>
          <w:marTop w:val="0"/>
          <w:marBottom w:val="0"/>
          <w:divBdr>
            <w:top w:val="none" w:sz="0" w:space="0" w:color="auto"/>
            <w:left w:val="none" w:sz="0" w:space="0" w:color="auto"/>
            <w:bottom w:val="none" w:sz="0" w:space="0" w:color="auto"/>
            <w:right w:val="none" w:sz="0" w:space="0" w:color="auto"/>
          </w:divBdr>
          <w:divsChild>
            <w:div w:id="1911766441">
              <w:marLeft w:val="0"/>
              <w:marRight w:val="0"/>
              <w:marTop w:val="0"/>
              <w:marBottom w:val="0"/>
              <w:divBdr>
                <w:top w:val="none" w:sz="0" w:space="0" w:color="auto"/>
                <w:left w:val="none" w:sz="0" w:space="0" w:color="auto"/>
                <w:bottom w:val="none" w:sz="0" w:space="0" w:color="auto"/>
                <w:right w:val="none" w:sz="0" w:space="0" w:color="auto"/>
              </w:divBdr>
              <w:divsChild>
                <w:div w:id="933899790">
                  <w:marLeft w:val="-240"/>
                  <w:marRight w:val="-240"/>
                  <w:marTop w:val="0"/>
                  <w:marBottom w:val="0"/>
                  <w:divBdr>
                    <w:top w:val="none" w:sz="0" w:space="0" w:color="auto"/>
                    <w:left w:val="none" w:sz="0" w:space="0" w:color="auto"/>
                    <w:bottom w:val="none" w:sz="0" w:space="0" w:color="auto"/>
                    <w:right w:val="none" w:sz="0" w:space="0" w:color="auto"/>
                  </w:divBdr>
                  <w:divsChild>
                    <w:div w:id="1551578647">
                      <w:marLeft w:val="0"/>
                      <w:marRight w:val="0"/>
                      <w:marTop w:val="0"/>
                      <w:marBottom w:val="0"/>
                      <w:divBdr>
                        <w:top w:val="none" w:sz="0" w:space="0" w:color="auto"/>
                        <w:left w:val="none" w:sz="0" w:space="0" w:color="auto"/>
                        <w:bottom w:val="none" w:sz="0" w:space="0" w:color="auto"/>
                        <w:right w:val="none" w:sz="0" w:space="0" w:color="auto"/>
                      </w:divBdr>
                      <w:divsChild>
                        <w:div w:id="103771243">
                          <w:marLeft w:val="0"/>
                          <w:marRight w:val="0"/>
                          <w:marTop w:val="0"/>
                          <w:marBottom w:val="0"/>
                          <w:divBdr>
                            <w:top w:val="none" w:sz="0" w:space="0" w:color="auto"/>
                            <w:left w:val="none" w:sz="0" w:space="0" w:color="auto"/>
                            <w:bottom w:val="none" w:sz="0" w:space="0" w:color="auto"/>
                            <w:right w:val="none" w:sz="0" w:space="0" w:color="auto"/>
                          </w:divBdr>
                          <w:divsChild>
                            <w:div w:id="4599281">
                              <w:marLeft w:val="165"/>
                              <w:marRight w:val="165"/>
                              <w:marTop w:val="0"/>
                              <w:marBottom w:val="0"/>
                              <w:divBdr>
                                <w:top w:val="none" w:sz="0" w:space="0" w:color="auto"/>
                                <w:left w:val="none" w:sz="0" w:space="0" w:color="auto"/>
                                <w:bottom w:val="none" w:sz="0" w:space="0" w:color="auto"/>
                                <w:right w:val="none" w:sz="0" w:space="0" w:color="auto"/>
                              </w:divBdr>
                              <w:divsChild>
                                <w:div w:id="816528084">
                                  <w:marLeft w:val="0"/>
                                  <w:marRight w:val="0"/>
                                  <w:marTop w:val="0"/>
                                  <w:marBottom w:val="0"/>
                                  <w:divBdr>
                                    <w:top w:val="none" w:sz="0" w:space="0" w:color="auto"/>
                                    <w:left w:val="none" w:sz="0" w:space="0" w:color="auto"/>
                                    <w:bottom w:val="none" w:sz="0" w:space="0" w:color="auto"/>
                                    <w:right w:val="none" w:sz="0" w:space="0" w:color="auto"/>
                                  </w:divBdr>
                                  <w:divsChild>
                                    <w:div w:id="208418383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41394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3657535">
      <w:bodyDiv w:val="1"/>
      <w:marLeft w:val="0"/>
      <w:marRight w:val="0"/>
      <w:marTop w:val="0"/>
      <w:marBottom w:val="0"/>
      <w:divBdr>
        <w:top w:val="none" w:sz="0" w:space="0" w:color="auto"/>
        <w:left w:val="none" w:sz="0" w:space="0" w:color="auto"/>
        <w:bottom w:val="none" w:sz="0" w:space="0" w:color="auto"/>
        <w:right w:val="none" w:sz="0" w:space="0" w:color="auto"/>
      </w:divBdr>
    </w:div>
    <w:div w:id="771631748">
      <w:bodyDiv w:val="1"/>
      <w:marLeft w:val="0"/>
      <w:marRight w:val="0"/>
      <w:marTop w:val="0"/>
      <w:marBottom w:val="0"/>
      <w:divBdr>
        <w:top w:val="none" w:sz="0" w:space="0" w:color="auto"/>
        <w:left w:val="none" w:sz="0" w:space="0" w:color="auto"/>
        <w:bottom w:val="none" w:sz="0" w:space="0" w:color="auto"/>
        <w:right w:val="none" w:sz="0" w:space="0" w:color="auto"/>
      </w:divBdr>
    </w:div>
    <w:div w:id="917053374">
      <w:bodyDiv w:val="1"/>
      <w:marLeft w:val="0"/>
      <w:marRight w:val="0"/>
      <w:marTop w:val="0"/>
      <w:marBottom w:val="0"/>
      <w:divBdr>
        <w:top w:val="none" w:sz="0" w:space="0" w:color="auto"/>
        <w:left w:val="none" w:sz="0" w:space="0" w:color="auto"/>
        <w:bottom w:val="none" w:sz="0" w:space="0" w:color="auto"/>
        <w:right w:val="none" w:sz="0" w:space="0" w:color="auto"/>
      </w:divBdr>
    </w:div>
    <w:div w:id="1056591841">
      <w:bodyDiv w:val="1"/>
      <w:marLeft w:val="0"/>
      <w:marRight w:val="0"/>
      <w:marTop w:val="0"/>
      <w:marBottom w:val="0"/>
      <w:divBdr>
        <w:top w:val="none" w:sz="0" w:space="0" w:color="auto"/>
        <w:left w:val="none" w:sz="0" w:space="0" w:color="auto"/>
        <w:bottom w:val="none" w:sz="0" w:space="0" w:color="auto"/>
        <w:right w:val="none" w:sz="0" w:space="0" w:color="auto"/>
      </w:divBdr>
    </w:div>
    <w:div w:id="1128821010">
      <w:bodyDiv w:val="1"/>
      <w:marLeft w:val="0"/>
      <w:marRight w:val="0"/>
      <w:marTop w:val="0"/>
      <w:marBottom w:val="0"/>
      <w:divBdr>
        <w:top w:val="none" w:sz="0" w:space="0" w:color="auto"/>
        <w:left w:val="none" w:sz="0" w:space="0" w:color="auto"/>
        <w:bottom w:val="none" w:sz="0" w:space="0" w:color="auto"/>
        <w:right w:val="none" w:sz="0" w:space="0" w:color="auto"/>
      </w:divBdr>
    </w:div>
    <w:div w:id="1143236205">
      <w:bodyDiv w:val="1"/>
      <w:marLeft w:val="0"/>
      <w:marRight w:val="0"/>
      <w:marTop w:val="0"/>
      <w:marBottom w:val="0"/>
      <w:divBdr>
        <w:top w:val="none" w:sz="0" w:space="0" w:color="auto"/>
        <w:left w:val="none" w:sz="0" w:space="0" w:color="auto"/>
        <w:bottom w:val="none" w:sz="0" w:space="0" w:color="auto"/>
        <w:right w:val="none" w:sz="0" w:space="0" w:color="auto"/>
      </w:divBdr>
    </w:div>
    <w:div w:id="1412972736">
      <w:bodyDiv w:val="1"/>
      <w:marLeft w:val="0"/>
      <w:marRight w:val="0"/>
      <w:marTop w:val="0"/>
      <w:marBottom w:val="0"/>
      <w:divBdr>
        <w:top w:val="none" w:sz="0" w:space="0" w:color="auto"/>
        <w:left w:val="none" w:sz="0" w:space="0" w:color="auto"/>
        <w:bottom w:val="none" w:sz="0" w:space="0" w:color="auto"/>
        <w:right w:val="none" w:sz="0" w:space="0" w:color="auto"/>
      </w:divBdr>
    </w:div>
    <w:div w:id="1653365452">
      <w:bodyDiv w:val="1"/>
      <w:marLeft w:val="0"/>
      <w:marRight w:val="0"/>
      <w:marTop w:val="0"/>
      <w:marBottom w:val="0"/>
      <w:divBdr>
        <w:top w:val="none" w:sz="0" w:space="0" w:color="auto"/>
        <w:left w:val="none" w:sz="0" w:space="0" w:color="auto"/>
        <w:bottom w:val="none" w:sz="0" w:space="0" w:color="auto"/>
        <w:right w:val="none" w:sz="0" w:space="0" w:color="auto"/>
      </w:divBdr>
    </w:div>
    <w:div w:id="1672876827">
      <w:bodyDiv w:val="1"/>
      <w:marLeft w:val="0"/>
      <w:marRight w:val="0"/>
      <w:marTop w:val="0"/>
      <w:marBottom w:val="0"/>
      <w:divBdr>
        <w:top w:val="none" w:sz="0" w:space="0" w:color="auto"/>
        <w:left w:val="none" w:sz="0" w:space="0" w:color="auto"/>
        <w:bottom w:val="none" w:sz="0" w:space="0" w:color="auto"/>
        <w:right w:val="none" w:sz="0" w:space="0" w:color="auto"/>
      </w:divBdr>
    </w:div>
    <w:div w:id="1708607677">
      <w:bodyDiv w:val="1"/>
      <w:marLeft w:val="0"/>
      <w:marRight w:val="0"/>
      <w:marTop w:val="0"/>
      <w:marBottom w:val="0"/>
      <w:divBdr>
        <w:top w:val="none" w:sz="0" w:space="0" w:color="auto"/>
        <w:left w:val="none" w:sz="0" w:space="0" w:color="auto"/>
        <w:bottom w:val="none" w:sz="0" w:space="0" w:color="auto"/>
        <w:right w:val="none" w:sz="0" w:space="0" w:color="auto"/>
      </w:divBdr>
    </w:div>
    <w:div w:id="1746996099">
      <w:bodyDiv w:val="1"/>
      <w:marLeft w:val="0"/>
      <w:marRight w:val="0"/>
      <w:marTop w:val="0"/>
      <w:marBottom w:val="0"/>
      <w:divBdr>
        <w:top w:val="none" w:sz="0" w:space="0" w:color="auto"/>
        <w:left w:val="none" w:sz="0" w:space="0" w:color="auto"/>
        <w:bottom w:val="none" w:sz="0" w:space="0" w:color="auto"/>
        <w:right w:val="none" w:sz="0" w:space="0" w:color="auto"/>
      </w:divBdr>
    </w:div>
    <w:div w:id="1781100723">
      <w:bodyDiv w:val="1"/>
      <w:marLeft w:val="0"/>
      <w:marRight w:val="0"/>
      <w:marTop w:val="0"/>
      <w:marBottom w:val="0"/>
      <w:divBdr>
        <w:top w:val="none" w:sz="0" w:space="0" w:color="auto"/>
        <w:left w:val="none" w:sz="0" w:space="0" w:color="auto"/>
        <w:bottom w:val="none" w:sz="0" w:space="0" w:color="auto"/>
        <w:right w:val="none" w:sz="0" w:space="0" w:color="auto"/>
      </w:divBdr>
    </w:div>
    <w:div w:id="1818843618">
      <w:bodyDiv w:val="1"/>
      <w:marLeft w:val="0"/>
      <w:marRight w:val="0"/>
      <w:marTop w:val="0"/>
      <w:marBottom w:val="0"/>
      <w:divBdr>
        <w:top w:val="none" w:sz="0" w:space="0" w:color="auto"/>
        <w:left w:val="none" w:sz="0" w:space="0" w:color="auto"/>
        <w:bottom w:val="none" w:sz="0" w:space="0" w:color="auto"/>
        <w:right w:val="none" w:sz="0" w:space="0" w:color="auto"/>
      </w:divBdr>
    </w:div>
    <w:div w:id="201418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rtercenter.org/resources/pdfs/news/peace_publications/election_reports/bolivia-2020-final-report.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artercenter.or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4A95F1-BA6C-4E37-A452-405AE060B578}">
  <ds:schemaRefs>
    <ds:schemaRef ds:uri="http://schemas.openxmlformats.org/officeDocument/2006/bibliography"/>
  </ds:schemaRefs>
</ds:datastoreItem>
</file>

<file path=customXml/itemProps2.xml><?xml version="1.0" encoding="utf-8"?>
<ds:datastoreItem xmlns:ds="http://schemas.openxmlformats.org/officeDocument/2006/customXml" ds:itemID="{545104CA-29BC-4AA7-A5F8-8A3F9A0FFCE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C4D7C46-AAAA-49CE-9F83-56661A9DB856}"/>
</file>

<file path=customXml/itemProps4.xml><?xml version="1.0" encoding="utf-8"?>
<ds:datastoreItem xmlns:ds="http://schemas.openxmlformats.org/officeDocument/2006/customXml" ds:itemID="{88343D9A-EB1D-4994-9793-F6700BB7CB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6156</Words>
  <Characters>35218</Characters>
  <Application>Microsoft Office Word</Application>
  <DocSecurity>0</DocSecurity>
  <Lines>510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41281</CharactersWithSpaces>
  <SharedDoc>false</SharedDoc>
  <HLinks>
    <vt:vector size="60" baseType="variant">
      <vt:variant>
        <vt:i4>3866750</vt:i4>
      </vt:variant>
      <vt:variant>
        <vt:i4>6</vt:i4>
      </vt:variant>
      <vt:variant>
        <vt:i4>0</vt:i4>
      </vt:variant>
      <vt:variant>
        <vt:i4>5</vt:i4>
      </vt:variant>
      <vt:variant>
        <vt:lpwstr>https://www.cartercenter.org/resources/pdfs/news/peace_publications/election_reports/bolivia-2020-final-report.pdf</vt:lpwstr>
      </vt:variant>
      <vt:variant>
        <vt:lpwstr/>
      </vt:variant>
      <vt:variant>
        <vt:i4>4456540</vt:i4>
      </vt:variant>
      <vt:variant>
        <vt:i4>0</vt:i4>
      </vt:variant>
      <vt:variant>
        <vt:i4>0</vt:i4>
      </vt:variant>
      <vt:variant>
        <vt:i4>5</vt:i4>
      </vt:variant>
      <vt:variant>
        <vt:lpwstr>http://www.cartercenter.org/</vt:lpwstr>
      </vt:variant>
      <vt:variant>
        <vt:lpwstr/>
      </vt:variant>
      <vt:variant>
        <vt:i4>3080313</vt:i4>
      </vt:variant>
      <vt:variant>
        <vt:i4>3</vt:i4>
      </vt:variant>
      <vt:variant>
        <vt:i4>0</vt:i4>
      </vt:variant>
      <vt:variant>
        <vt:i4>5</vt:i4>
      </vt:variant>
      <vt:variant>
        <vt:lpwstr>about:blank</vt:lpwstr>
      </vt:variant>
      <vt:variant>
        <vt:lpwstr/>
      </vt:variant>
      <vt:variant>
        <vt:i4>3080313</vt:i4>
      </vt:variant>
      <vt:variant>
        <vt:i4>0</vt:i4>
      </vt:variant>
      <vt:variant>
        <vt:i4>0</vt:i4>
      </vt:variant>
      <vt:variant>
        <vt:i4>5</vt:i4>
      </vt:variant>
      <vt:variant>
        <vt:lpwstr>about:blank</vt:lpwstr>
      </vt:variant>
      <vt:variant>
        <vt:lpwstr/>
      </vt:variant>
      <vt:variant>
        <vt:i4>2359370</vt:i4>
      </vt:variant>
      <vt:variant>
        <vt:i4>15</vt:i4>
      </vt:variant>
      <vt:variant>
        <vt:i4>0</vt:i4>
      </vt:variant>
      <vt:variant>
        <vt:i4>5</vt:i4>
      </vt:variant>
      <vt:variant>
        <vt:lpwstr>mailto:Obehi.Okojie@cartercenter.org</vt:lpwstr>
      </vt:variant>
      <vt:variant>
        <vt:lpwstr/>
      </vt:variant>
      <vt:variant>
        <vt:i4>1966207</vt:i4>
      </vt:variant>
      <vt:variant>
        <vt:i4>12</vt:i4>
      </vt:variant>
      <vt:variant>
        <vt:i4>0</vt:i4>
      </vt:variant>
      <vt:variant>
        <vt:i4>5</vt:i4>
      </vt:variant>
      <vt:variant>
        <vt:lpwstr>mailto:andrea.nelliferoci@cartercenter.org</vt:lpwstr>
      </vt:variant>
      <vt:variant>
        <vt:lpwstr/>
      </vt:variant>
      <vt:variant>
        <vt:i4>2359370</vt:i4>
      </vt:variant>
      <vt:variant>
        <vt:i4>9</vt:i4>
      </vt:variant>
      <vt:variant>
        <vt:i4>0</vt:i4>
      </vt:variant>
      <vt:variant>
        <vt:i4>5</vt:i4>
      </vt:variant>
      <vt:variant>
        <vt:lpwstr>mailto:Obehi.Okojie@cartercenter.org</vt:lpwstr>
      </vt:variant>
      <vt:variant>
        <vt:lpwstr/>
      </vt:variant>
      <vt:variant>
        <vt:i4>3080208</vt:i4>
      </vt:variant>
      <vt:variant>
        <vt:i4>6</vt:i4>
      </vt:variant>
      <vt:variant>
        <vt:i4>0</vt:i4>
      </vt:variant>
      <vt:variant>
        <vt:i4>5</vt:i4>
      </vt:variant>
      <vt:variant>
        <vt:lpwstr>mailto:avery.davis-roberts@cartercenter.org</vt:lpwstr>
      </vt:variant>
      <vt:variant>
        <vt:lpwstr/>
      </vt:variant>
      <vt:variant>
        <vt:i4>1966207</vt:i4>
      </vt:variant>
      <vt:variant>
        <vt:i4>3</vt:i4>
      </vt:variant>
      <vt:variant>
        <vt:i4>0</vt:i4>
      </vt:variant>
      <vt:variant>
        <vt:i4>5</vt:i4>
      </vt:variant>
      <vt:variant>
        <vt:lpwstr>mailto:andrea.nelliferoci@cartercenter.org</vt:lpwstr>
      </vt:variant>
      <vt:variant>
        <vt:lpwstr/>
      </vt:variant>
      <vt:variant>
        <vt:i4>3080208</vt:i4>
      </vt:variant>
      <vt:variant>
        <vt:i4>0</vt:i4>
      </vt:variant>
      <vt:variant>
        <vt:i4>0</vt:i4>
      </vt:variant>
      <vt:variant>
        <vt:i4>5</vt:i4>
      </vt:variant>
      <vt:variant>
        <vt:lpwstr>mailto:avery.davis-roberts@cartercenter.org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Nelli Feroci</dc:creator>
  <cp:keywords/>
  <dc:description/>
  <cp:lastModifiedBy>Obehi Okojie</cp:lastModifiedBy>
  <cp:revision>2</cp:revision>
  <dcterms:created xsi:type="dcterms:W3CDTF">2022-01-31T21:38:00Z</dcterms:created>
  <dcterms:modified xsi:type="dcterms:W3CDTF">2022-01-31T21:38:00Z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