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CF" w:rsidRPr="00BB52B1" w:rsidRDefault="00BB52B1">
      <w:pPr>
        <w:rPr>
          <w:rFonts w:ascii="Times New Roman" w:hAnsi="Times New Roman" w:cs="Times New Roman"/>
          <w:b/>
          <w:sz w:val="24"/>
          <w:szCs w:val="24"/>
        </w:rPr>
      </w:pPr>
      <w:r w:rsidRPr="00BB52B1">
        <w:rPr>
          <w:rFonts w:ascii="Times New Roman" w:hAnsi="Times New Roman" w:cs="Times New Roman"/>
          <w:b/>
          <w:sz w:val="24"/>
          <w:szCs w:val="24"/>
        </w:rPr>
        <w:t>Anexo 6 Código Judicial (Artículos 2090 y 2091)</w:t>
      </w:r>
    </w:p>
    <w:p w:rsidR="00BB52B1" w:rsidRDefault="00BB52B1" w:rsidP="00BB52B1">
      <w:pPr>
        <w:jc w:val="both"/>
      </w:pPr>
    </w:p>
    <w:p w:rsidR="00BB52B1" w:rsidRDefault="00BB52B1" w:rsidP="00BB52B1">
      <w:pPr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b/>
          <w:bCs/>
          <w:color w:val="000000"/>
          <w:sz w:val="27"/>
          <w:szCs w:val="27"/>
          <w:shd w:val="clear" w:color="auto" w:fill="FFFFFF"/>
        </w:rPr>
        <w:t>Artículo 2091.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(2114)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Si el imputado no se opusiere a declarar, el funcionario instructor le expondrá detalladamente el hecho que se le atribuye, así como las pruebas o indicios existentes contra él, y siempre que no pueda resultar perjuicio para la instrucción, le podrá indicar las fuentes de las mismas.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Hecho esto, invitará al imputado a manifestar cuanto tenga por conveniente, en descargo o aclaración de los hechos, y a indicar las pruebas que estime oportunas.</w:t>
      </w:r>
    </w:p>
    <w:p w:rsidR="00BB52B1" w:rsidRDefault="00BB52B1" w:rsidP="00BB52B1">
      <w:pPr>
        <w:jc w:val="both"/>
        <w:rPr>
          <w:color w:val="000000"/>
          <w:sz w:val="27"/>
          <w:szCs w:val="27"/>
          <w:shd w:val="clear" w:color="auto" w:fill="FFFFFF"/>
        </w:rPr>
      </w:pPr>
    </w:p>
    <w:p w:rsidR="00BB52B1" w:rsidRDefault="00BB52B1" w:rsidP="00BB52B1">
      <w:pPr>
        <w:jc w:val="both"/>
      </w:pPr>
      <w:r>
        <w:rPr>
          <w:b/>
          <w:bCs/>
          <w:color w:val="000000"/>
          <w:sz w:val="27"/>
          <w:szCs w:val="27"/>
          <w:shd w:val="clear" w:color="auto" w:fill="FFFFFF"/>
        </w:rPr>
        <w:t>Artículo 2092.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(2115)</w:t>
      </w:r>
      <w:r>
        <w:rPr>
          <w:rStyle w:val="apple-converted-space"/>
          <w:b/>
          <w:bCs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La indagatoria tendrá, como presupuesto, la existencia del hecho punible y la probable vinculación del imputado. El funcionario de instrucción determinará ésta en resolución razonada, bastando para este efecto, que resulte del proceso, al menos prueba indiciaria.</w:t>
      </w:r>
      <w:bookmarkStart w:id="0" w:name="_GoBack"/>
      <w:bookmarkEnd w:id="0"/>
    </w:p>
    <w:sectPr w:rsidR="00BB52B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2B1"/>
    <w:rsid w:val="00A276CF"/>
    <w:rsid w:val="00BB5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DD98B5-C3AC-47EF-922F-DEE53734B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BB5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8870AA-AA24-4758-91A3-43908F86CEA5}"/>
</file>

<file path=customXml/itemProps2.xml><?xml version="1.0" encoding="utf-8"?>
<ds:datastoreItem xmlns:ds="http://schemas.openxmlformats.org/officeDocument/2006/customXml" ds:itemID="{CCE4205E-53D8-4550-8855-11F01513FC89}"/>
</file>

<file path=customXml/itemProps3.xml><?xml version="1.0" encoding="utf-8"?>
<ds:datastoreItem xmlns:ds="http://schemas.openxmlformats.org/officeDocument/2006/customXml" ds:itemID="{8AF549E5-775F-4575-97CF-E49BBD7749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Rudy</dc:creator>
  <cp:keywords/>
  <dc:description/>
  <cp:lastModifiedBy>Guadalupe Rudy</cp:lastModifiedBy>
  <cp:revision>1</cp:revision>
  <dcterms:created xsi:type="dcterms:W3CDTF">2016-09-23T22:52:00Z</dcterms:created>
  <dcterms:modified xsi:type="dcterms:W3CDTF">2016-09-23T22:59:00Z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