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DC4BDF" w14:textId="77777777" w:rsidR="00F77C80" w:rsidRPr="00C12400" w:rsidRDefault="00F77C80" w:rsidP="00F77C80">
      <w:pPr>
        <w:rPr>
          <w:rFonts w:eastAsia="Times New Roman" w:cstheme="minorHAnsi"/>
          <w:color w:val="17365D"/>
          <w:spacing w:val="5"/>
          <w:kern w:val="28"/>
          <w:sz w:val="36"/>
          <w:szCs w:val="36"/>
        </w:rPr>
      </w:pPr>
      <w:r w:rsidRPr="00C12400">
        <w:rPr>
          <w:rFonts w:eastAsia="Times New Roman" w:cstheme="minorHAnsi"/>
          <w:color w:val="17365D"/>
          <w:spacing w:val="5"/>
          <w:kern w:val="28"/>
          <w:sz w:val="36"/>
          <w:szCs w:val="36"/>
        </w:rPr>
        <w:t xml:space="preserve">European Union Agency for Fundamental Rights, selection of relevant and recent passages from published reports related to </w:t>
      </w:r>
      <w:r>
        <w:rPr>
          <w:rFonts w:eastAsia="Times New Roman" w:cstheme="minorHAnsi"/>
          <w:color w:val="17365D"/>
          <w:spacing w:val="5"/>
          <w:kern w:val="28"/>
          <w:sz w:val="36"/>
          <w:szCs w:val="36"/>
        </w:rPr>
        <w:t>Belgium</w:t>
      </w:r>
    </w:p>
    <w:p w14:paraId="0657673B" w14:textId="77777777" w:rsidR="00F77C80" w:rsidRPr="00C12400" w:rsidRDefault="00F77C80" w:rsidP="00F77C80">
      <w:pPr>
        <w:pBdr>
          <w:bottom w:val="single" w:sz="6" w:space="1" w:color="auto"/>
        </w:pBdr>
        <w:rPr>
          <w:rFonts w:eastAsia="Times New Roman" w:cstheme="minorHAnsi"/>
          <w:color w:val="17365D"/>
          <w:spacing w:val="5"/>
          <w:kern w:val="28"/>
          <w:sz w:val="36"/>
          <w:szCs w:val="36"/>
        </w:rPr>
      </w:pPr>
      <w:r w:rsidRPr="00C12400">
        <w:rPr>
          <w:rFonts w:eastAsia="Times New Roman" w:cstheme="minorHAnsi"/>
          <w:color w:val="17365D"/>
          <w:spacing w:val="5"/>
          <w:kern w:val="28"/>
          <w:sz w:val="36"/>
          <w:szCs w:val="36"/>
        </w:rPr>
        <w:t>fra.europa.eu</w:t>
      </w:r>
    </w:p>
    <w:p w14:paraId="62200545" w14:textId="5A3BDA07" w:rsidR="00F77C80" w:rsidRDefault="00F77C80" w:rsidP="00F77C80">
      <w:pPr>
        <w:rPr>
          <w:rFonts w:eastAsia="Times New Roman" w:cstheme="minorHAnsi"/>
          <w:iCs/>
          <w:color w:val="4F81BD"/>
          <w:spacing w:val="15"/>
          <w:sz w:val="24"/>
          <w:szCs w:val="24"/>
        </w:rPr>
      </w:pPr>
      <w:r>
        <w:rPr>
          <w:rFonts w:eastAsia="Times New Roman" w:cstheme="minorHAnsi"/>
          <w:iCs/>
          <w:color w:val="4F81BD"/>
          <w:spacing w:val="15"/>
          <w:sz w:val="24"/>
          <w:szCs w:val="24"/>
        </w:rPr>
        <w:t>March 2021</w:t>
      </w:r>
      <w:r w:rsidRPr="00C12400">
        <w:rPr>
          <w:rFonts w:eastAsia="Times New Roman" w:cstheme="minorHAnsi"/>
          <w:iCs/>
          <w:color w:val="4F81BD"/>
          <w:spacing w:val="15"/>
          <w:sz w:val="24"/>
          <w:szCs w:val="24"/>
        </w:rPr>
        <w:t>, Vienna</w:t>
      </w:r>
    </w:p>
    <w:p w14:paraId="45281862" w14:textId="77777777" w:rsidR="00D072A6" w:rsidRPr="00C12400" w:rsidRDefault="00D072A6" w:rsidP="00F77C80">
      <w:pPr>
        <w:rPr>
          <w:rFonts w:eastAsia="Times New Roman" w:cstheme="minorHAnsi"/>
          <w:iCs/>
          <w:color w:val="4F81BD"/>
          <w:spacing w:val="15"/>
          <w:sz w:val="24"/>
          <w:szCs w:val="24"/>
        </w:rPr>
      </w:pPr>
    </w:p>
    <w:sdt>
      <w:sdtPr>
        <w:rPr>
          <w:rFonts w:asciiTheme="minorHAnsi" w:eastAsiaTheme="minorHAnsi" w:hAnsiTheme="minorHAnsi" w:cstheme="minorBidi"/>
          <w:color w:val="auto"/>
          <w:sz w:val="22"/>
          <w:szCs w:val="22"/>
          <w:lang w:val="en-GB"/>
        </w:rPr>
        <w:id w:val="-1456323842"/>
        <w:docPartObj>
          <w:docPartGallery w:val="Table of Contents"/>
          <w:docPartUnique/>
        </w:docPartObj>
      </w:sdtPr>
      <w:sdtEndPr>
        <w:rPr>
          <w:b/>
          <w:bCs/>
          <w:noProof/>
        </w:rPr>
      </w:sdtEndPr>
      <w:sdtContent>
        <w:p w14:paraId="017702CF" w14:textId="77777777" w:rsidR="00F77C80" w:rsidRPr="004B63F7" w:rsidRDefault="00F77C80" w:rsidP="00F77C80">
          <w:pPr>
            <w:pStyle w:val="TOCHeading"/>
            <w:rPr>
              <w:lang w:val="en-GB"/>
            </w:rPr>
          </w:pPr>
          <w:r w:rsidRPr="004B63F7">
            <w:rPr>
              <w:lang w:val="en-GB"/>
            </w:rPr>
            <w:t>Contents</w:t>
          </w:r>
        </w:p>
        <w:p w14:paraId="350E195F" w14:textId="35B448E6" w:rsidR="00150279" w:rsidRPr="0039560F" w:rsidRDefault="00F77C80" w:rsidP="00150279">
          <w:pPr>
            <w:pStyle w:val="TOC1"/>
            <w:rPr>
              <w:rFonts w:eastAsiaTheme="minorEastAsia"/>
              <w:b w:val="0"/>
              <w:bCs w:val="0"/>
              <w:lang w:eastAsia="en-GB"/>
            </w:rPr>
          </w:pPr>
          <w:r>
            <w:fldChar w:fldCharType="begin"/>
          </w:r>
          <w:r>
            <w:instrText xml:space="preserve"> TOC \o "1-3" \h \z \u </w:instrText>
          </w:r>
          <w:r>
            <w:fldChar w:fldCharType="separate"/>
          </w:r>
          <w:hyperlink w:anchor="_Toc67933981" w:history="1">
            <w:r w:rsidR="00150279" w:rsidRPr="0039560F">
              <w:rPr>
                <w:rStyle w:val="Hyperlink"/>
                <w:b w:val="0"/>
                <w:bCs w:val="0"/>
              </w:rPr>
              <w:t>Sources</w:t>
            </w:r>
            <w:r w:rsidR="00150279" w:rsidRPr="0039560F">
              <w:rPr>
                <w:b w:val="0"/>
                <w:bCs w:val="0"/>
                <w:webHidden/>
              </w:rPr>
              <w:tab/>
            </w:r>
            <w:r w:rsidR="00150279" w:rsidRPr="0039560F">
              <w:rPr>
                <w:b w:val="0"/>
                <w:bCs w:val="0"/>
                <w:webHidden/>
              </w:rPr>
              <w:fldChar w:fldCharType="begin"/>
            </w:r>
            <w:r w:rsidR="00150279" w:rsidRPr="0039560F">
              <w:rPr>
                <w:b w:val="0"/>
                <w:bCs w:val="0"/>
                <w:webHidden/>
              </w:rPr>
              <w:instrText xml:space="preserve"> PAGEREF _Toc67933981 \h </w:instrText>
            </w:r>
            <w:r w:rsidR="00150279" w:rsidRPr="0039560F">
              <w:rPr>
                <w:b w:val="0"/>
                <w:bCs w:val="0"/>
                <w:webHidden/>
              </w:rPr>
            </w:r>
            <w:r w:rsidR="00150279" w:rsidRPr="0039560F">
              <w:rPr>
                <w:b w:val="0"/>
                <w:bCs w:val="0"/>
                <w:webHidden/>
              </w:rPr>
              <w:fldChar w:fldCharType="separate"/>
            </w:r>
            <w:r w:rsidR="00585516">
              <w:rPr>
                <w:b w:val="0"/>
                <w:bCs w:val="0"/>
                <w:webHidden/>
              </w:rPr>
              <w:t>2</w:t>
            </w:r>
            <w:r w:rsidR="00150279" w:rsidRPr="0039560F">
              <w:rPr>
                <w:b w:val="0"/>
                <w:bCs w:val="0"/>
                <w:webHidden/>
              </w:rPr>
              <w:fldChar w:fldCharType="end"/>
            </w:r>
          </w:hyperlink>
        </w:p>
        <w:p w14:paraId="78F031DE" w14:textId="7CB94CDA" w:rsidR="00150279" w:rsidRPr="00150279" w:rsidRDefault="00150279" w:rsidP="00150279">
          <w:pPr>
            <w:pStyle w:val="TOC1"/>
            <w:rPr>
              <w:rFonts w:eastAsiaTheme="minorEastAsia"/>
              <w:lang w:eastAsia="en-GB"/>
            </w:rPr>
          </w:pPr>
          <w:hyperlink w:anchor="_Toc67933982" w:history="1">
            <w:r w:rsidRPr="0039560F">
              <w:rPr>
                <w:rStyle w:val="Hyperlink"/>
                <w:b w:val="0"/>
                <w:bCs w:val="0"/>
              </w:rPr>
              <w:t>Data Explorers and Tools</w:t>
            </w:r>
            <w:r w:rsidRPr="0039560F">
              <w:rPr>
                <w:b w:val="0"/>
                <w:bCs w:val="0"/>
                <w:webHidden/>
              </w:rPr>
              <w:tab/>
            </w:r>
            <w:r w:rsidRPr="0039560F">
              <w:rPr>
                <w:b w:val="0"/>
                <w:bCs w:val="0"/>
                <w:webHidden/>
              </w:rPr>
              <w:fldChar w:fldCharType="begin"/>
            </w:r>
            <w:r w:rsidRPr="0039560F">
              <w:rPr>
                <w:b w:val="0"/>
                <w:bCs w:val="0"/>
                <w:webHidden/>
              </w:rPr>
              <w:instrText xml:space="preserve"> PAGEREF _Toc67933982 \h </w:instrText>
            </w:r>
            <w:r w:rsidRPr="0039560F">
              <w:rPr>
                <w:b w:val="0"/>
                <w:bCs w:val="0"/>
                <w:webHidden/>
              </w:rPr>
            </w:r>
            <w:r w:rsidRPr="0039560F">
              <w:rPr>
                <w:b w:val="0"/>
                <w:bCs w:val="0"/>
                <w:webHidden/>
              </w:rPr>
              <w:fldChar w:fldCharType="separate"/>
            </w:r>
            <w:r w:rsidR="00585516">
              <w:rPr>
                <w:b w:val="0"/>
                <w:bCs w:val="0"/>
                <w:webHidden/>
              </w:rPr>
              <w:t>2</w:t>
            </w:r>
            <w:r w:rsidRPr="0039560F">
              <w:rPr>
                <w:b w:val="0"/>
                <w:bCs w:val="0"/>
                <w:webHidden/>
              </w:rPr>
              <w:fldChar w:fldCharType="end"/>
            </w:r>
          </w:hyperlink>
        </w:p>
        <w:p w14:paraId="31B6021E" w14:textId="300A0D40" w:rsidR="00150279" w:rsidRPr="00150279" w:rsidRDefault="00150279" w:rsidP="00150279">
          <w:pPr>
            <w:pStyle w:val="TOC1"/>
            <w:rPr>
              <w:rFonts w:eastAsiaTheme="minorEastAsia"/>
              <w:lang w:eastAsia="en-GB"/>
            </w:rPr>
          </w:pPr>
          <w:hyperlink w:anchor="_Toc67933983" w:history="1">
            <w:r w:rsidRPr="00150279">
              <w:rPr>
                <w:rStyle w:val="Hyperlink"/>
              </w:rPr>
              <w:t>1.</w:t>
            </w:r>
            <w:r w:rsidRPr="00150279">
              <w:rPr>
                <w:rFonts w:eastAsiaTheme="minorEastAsia"/>
                <w:lang w:eastAsia="en-GB"/>
              </w:rPr>
              <w:tab/>
            </w:r>
            <w:r w:rsidRPr="00150279">
              <w:rPr>
                <w:rStyle w:val="Hyperlink"/>
              </w:rPr>
              <w:t>Anti-racism legislation and policy</w:t>
            </w:r>
            <w:r w:rsidRPr="00150279">
              <w:rPr>
                <w:webHidden/>
              </w:rPr>
              <w:tab/>
            </w:r>
            <w:r w:rsidRPr="00150279">
              <w:rPr>
                <w:webHidden/>
              </w:rPr>
              <w:fldChar w:fldCharType="begin"/>
            </w:r>
            <w:r w:rsidRPr="00150279">
              <w:rPr>
                <w:webHidden/>
              </w:rPr>
              <w:instrText xml:space="preserve"> PAGEREF _Toc67933983 \h </w:instrText>
            </w:r>
            <w:r w:rsidRPr="00150279">
              <w:rPr>
                <w:webHidden/>
              </w:rPr>
            </w:r>
            <w:r w:rsidRPr="00150279">
              <w:rPr>
                <w:webHidden/>
              </w:rPr>
              <w:fldChar w:fldCharType="separate"/>
            </w:r>
            <w:r w:rsidR="00585516">
              <w:rPr>
                <w:webHidden/>
              </w:rPr>
              <w:t>3</w:t>
            </w:r>
            <w:r w:rsidRPr="00150279">
              <w:rPr>
                <w:webHidden/>
              </w:rPr>
              <w:fldChar w:fldCharType="end"/>
            </w:r>
          </w:hyperlink>
        </w:p>
        <w:p w14:paraId="2E7C051A" w14:textId="1A7828B0" w:rsidR="00150279" w:rsidRDefault="00150279">
          <w:pPr>
            <w:pStyle w:val="TOC2"/>
            <w:tabs>
              <w:tab w:val="right" w:leader="dot" w:pos="9016"/>
            </w:tabs>
            <w:rPr>
              <w:rFonts w:eastAsiaTheme="minorEastAsia"/>
              <w:noProof/>
              <w:lang w:eastAsia="en-GB"/>
            </w:rPr>
          </w:pPr>
          <w:hyperlink w:anchor="_Toc67933984" w:history="1">
            <w:r w:rsidRPr="00D945DD">
              <w:rPr>
                <w:rStyle w:val="Hyperlink"/>
                <w:noProof/>
              </w:rPr>
              <w:t xml:space="preserve">1.1 </w:t>
            </w:r>
            <w:r w:rsidR="00052006">
              <w:rPr>
                <w:rStyle w:val="Hyperlink"/>
                <w:noProof/>
              </w:rPr>
              <w:t xml:space="preserve">       </w:t>
            </w:r>
            <w:r w:rsidRPr="00D945DD">
              <w:rPr>
                <w:rStyle w:val="Hyperlink"/>
                <w:noProof/>
              </w:rPr>
              <w:t>Awareness of anti-racism legislation among affected groups</w:t>
            </w:r>
            <w:r>
              <w:rPr>
                <w:noProof/>
                <w:webHidden/>
              </w:rPr>
              <w:tab/>
            </w:r>
            <w:r>
              <w:rPr>
                <w:noProof/>
                <w:webHidden/>
              </w:rPr>
              <w:fldChar w:fldCharType="begin"/>
            </w:r>
            <w:r>
              <w:rPr>
                <w:noProof/>
                <w:webHidden/>
              </w:rPr>
              <w:instrText xml:space="preserve"> PAGEREF _Toc67933984 \h </w:instrText>
            </w:r>
            <w:r>
              <w:rPr>
                <w:noProof/>
                <w:webHidden/>
              </w:rPr>
            </w:r>
            <w:r>
              <w:rPr>
                <w:noProof/>
                <w:webHidden/>
              </w:rPr>
              <w:fldChar w:fldCharType="separate"/>
            </w:r>
            <w:r w:rsidR="00585516">
              <w:rPr>
                <w:noProof/>
                <w:webHidden/>
              </w:rPr>
              <w:t>5</w:t>
            </w:r>
            <w:r>
              <w:rPr>
                <w:noProof/>
                <w:webHidden/>
              </w:rPr>
              <w:fldChar w:fldCharType="end"/>
            </w:r>
          </w:hyperlink>
        </w:p>
        <w:p w14:paraId="66DC85DE" w14:textId="1F780FB6" w:rsidR="00150279" w:rsidRDefault="00150279" w:rsidP="00150279">
          <w:pPr>
            <w:pStyle w:val="TOC1"/>
            <w:rPr>
              <w:rFonts w:eastAsiaTheme="minorEastAsia"/>
              <w:lang w:eastAsia="en-GB"/>
            </w:rPr>
          </w:pPr>
          <w:hyperlink w:anchor="_Toc67933985" w:history="1">
            <w:r w:rsidRPr="00D945DD">
              <w:rPr>
                <w:rStyle w:val="Hyperlink"/>
              </w:rPr>
              <w:t>2.</w:t>
            </w:r>
            <w:r>
              <w:rPr>
                <w:rFonts w:eastAsiaTheme="minorEastAsia"/>
                <w:lang w:eastAsia="en-GB"/>
              </w:rPr>
              <w:tab/>
            </w:r>
            <w:r w:rsidRPr="00D945DD">
              <w:rPr>
                <w:rStyle w:val="Hyperlink"/>
              </w:rPr>
              <w:t>Integration and inclusion</w:t>
            </w:r>
            <w:r>
              <w:rPr>
                <w:webHidden/>
              </w:rPr>
              <w:tab/>
            </w:r>
            <w:r>
              <w:rPr>
                <w:webHidden/>
              </w:rPr>
              <w:fldChar w:fldCharType="begin"/>
            </w:r>
            <w:r>
              <w:rPr>
                <w:webHidden/>
              </w:rPr>
              <w:instrText xml:space="preserve"> PAGEREF _Toc67933985 \h </w:instrText>
            </w:r>
            <w:r>
              <w:rPr>
                <w:webHidden/>
              </w:rPr>
            </w:r>
            <w:r>
              <w:rPr>
                <w:webHidden/>
              </w:rPr>
              <w:fldChar w:fldCharType="separate"/>
            </w:r>
            <w:r w:rsidR="00585516">
              <w:rPr>
                <w:webHidden/>
              </w:rPr>
              <w:t>5</w:t>
            </w:r>
            <w:r>
              <w:rPr>
                <w:webHidden/>
              </w:rPr>
              <w:fldChar w:fldCharType="end"/>
            </w:r>
          </w:hyperlink>
        </w:p>
        <w:p w14:paraId="3508842B" w14:textId="724EC55E" w:rsidR="00150279" w:rsidRDefault="00150279">
          <w:pPr>
            <w:pStyle w:val="TOC2"/>
            <w:tabs>
              <w:tab w:val="left" w:pos="880"/>
              <w:tab w:val="right" w:leader="dot" w:pos="9016"/>
            </w:tabs>
            <w:rPr>
              <w:rFonts w:eastAsiaTheme="minorEastAsia"/>
              <w:noProof/>
              <w:lang w:eastAsia="en-GB"/>
            </w:rPr>
          </w:pPr>
          <w:hyperlink w:anchor="_Toc67933986" w:history="1">
            <w:r w:rsidRPr="00D945DD">
              <w:rPr>
                <w:rStyle w:val="Hyperlink"/>
                <w:noProof/>
              </w:rPr>
              <w:t>2.1</w:t>
            </w:r>
            <w:r>
              <w:rPr>
                <w:rFonts w:eastAsiaTheme="minorEastAsia"/>
                <w:noProof/>
                <w:lang w:eastAsia="en-GB"/>
              </w:rPr>
              <w:tab/>
            </w:r>
            <w:r w:rsidRPr="00D945DD">
              <w:rPr>
                <w:rStyle w:val="Hyperlink"/>
                <w:noProof/>
              </w:rPr>
              <w:t>Poverty and Hunger</w:t>
            </w:r>
            <w:r>
              <w:rPr>
                <w:noProof/>
                <w:webHidden/>
              </w:rPr>
              <w:tab/>
            </w:r>
            <w:r>
              <w:rPr>
                <w:noProof/>
                <w:webHidden/>
              </w:rPr>
              <w:fldChar w:fldCharType="begin"/>
            </w:r>
            <w:r>
              <w:rPr>
                <w:noProof/>
                <w:webHidden/>
              </w:rPr>
              <w:instrText xml:space="preserve"> PAGEREF _Toc67933986 \h </w:instrText>
            </w:r>
            <w:r>
              <w:rPr>
                <w:noProof/>
                <w:webHidden/>
              </w:rPr>
            </w:r>
            <w:r>
              <w:rPr>
                <w:noProof/>
                <w:webHidden/>
              </w:rPr>
              <w:fldChar w:fldCharType="separate"/>
            </w:r>
            <w:r w:rsidR="00585516">
              <w:rPr>
                <w:noProof/>
                <w:webHidden/>
              </w:rPr>
              <w:t>8</w:t>
            </w:r>
            <w:r>
              <w:rPr>
                <w:noProof/>
                <w:webHidden/>
              </w:rPr>
              <w:fldChar w:fldCharType="end"/>
            </w:r>
          </w:hyperlink>
        </w:p>
        <w:p w14:paraId="22C33C64" w14:textId="5C0EB2F9" w:rsidR="00150279" w:rsidRDefault="00150279">
          <w:pPr>
            <w:pStyle w:val="TOC2"/>
            <w:tabs>
              <w:tab w:val="left" w:pos="880"/>
              <w:tab w:val="right" w:leader="dot" w:pos="9016"/>
            </w:tabs>
            <w:rPr>
              <w:rFonts w:eastAsiaTheme="minorEastAsia"/>
              <w:noProof/>
              <w:lang w:eastAsia="en-GB"/>
            </w:rPr>
          </w:pPr>
          <w:hyperlink w:anchor="_Toc67933987" w:history="1">
            <w:r w:rsidRPr="00D945DD">
              <w:rPr>
                <w:rStyle w:val="Hyperlink"/>
                <w:noProof/>
              </w:rPr>
              <w:t>2.2</w:t>
            </w:r>
            <w:r>
              <w:rPr>
                <w:rFonts w:eastAsiaTheme="minorEastAsia"/>
                <w:noProof/>
                <w:lang w:eastAsia="en-GB"/>
              </w:rPr>
              <w:tab/>
            </w:r>
            <w:r w:rsidRPr="00D945DD">
              <w:rPr>
                <w:rStyle w:val="Hyperlink"/>
                <w:noProof/>
              </w:rPr>
              <w:t>Education</w:t>
            </w:r>
            <w:r>
              <w:rPr>
                <w:noProof/>
                <w:webHidden/>
              </w:rPr>
              <w:tab/>
            </w:r>
            <w:r>
              <w:rPr>
                <w:noProof/>
                <w:webHidden/>
              </w:rPr>
              <w:fldChar w:fldCharType="begin"/>
            </w:r>
            <w:r>
              <w:rPr>
                <w:noProof/>
                <w:webHidden/>
              </w:rPr>
              <w:instrText xml:space="preserve"> PAGEREF _Toc67933987 \h </w:instrText>
            </w:r>
            <w:r>
              <w:rPr>
                <w:noProof/>
                <w:webHidden/>
              </w:rPr>
            </w:r>
            <w:r>
              <w:rPr>
                <w:noProof/>
                <w:webHidden/>
              </w:rPr>
              <w:fldChar w:fldCharType="separate"/>
            </w:r>
            <w:r w:rsidR="00585516">
              <w:rPr>
                <w:noProof/>
                <w:webHidden/>
              </w:rPr>
              <w:t>8</w:t>
            </w:r>
            <w:r>
              <w:rPr>
                <w:noProof/>
                <w:webHidden/>
              </w:rPr>
              <w:fldChar w:fldCharType="end"/>
            </w:r>
          </w:hyperlink>
        </w:p>
        <w:p w14:paraId="36F088D8" w14:textId="6218E463" w:rsidR="00150279" w:rsidRDefault="00150279">
          <w:pPr>
            <w:pStyle w:val="TOC2"/>
            <w:tabs>
              <w:tab w:val="left" w:pos="880"/>
              <w:tab w:val="right" w:leader="dot" w:pos="9016"/>
            </w:tabs>
            <w:rPr>
              <w:rFonts w:eastAsiaTheme="minorEastAsia"/>
              <w:noProof/>
              <w:lang w:eastAsia="en-GB"/>
            </w:rPr>
          </w:pPr>
          <w:hyperlink w:anchor="_Toc67933988" w:history="1">
            <w:r w:rsidRPr="00D945DD">
              <w:rPr>
                <w:rStyle w:val="Hyperlink"/>
                <w:noProof/>
              </w:rPr>
              <w:t>2.3</w:t>
            </w:r>
            <w:r>
              <w:rPr>
                <w:rFonts w:eastAsiaTheme="minorEastAsia"/>
                <w:noProof/>
                <w:lang w:eastAsia="en-GB"/>
              </w:rPr>
              <w:tab/>
            </w:r>
            <w:r w:rsidRPr="00D945DD">
              <w:rPr>
                <w:rStyle w:val="Hyperlink"/>
                <w:noProof/>
              </w:rPr>
              <w:t>Housing</w:t>
            </w:r>
            <w:r>
              <w:rPr>
                <w:noProof/>
                <w:webHidden/>
              </w:rPr>
              <w:tab/>
            </w:r>
            <w:r>
              <w:rPr>
                <w:noProof/>
                <w:webHidden/>
              </w:rPr>
              <w:fldChar w:fldCharType="begin"/>
            </w:r>
            <w:r>
              <w:rPr>
                <w:noProof/>
                <w:webHidden/>
              </w:rPr>
              <w:instrText xml:space="preserve"> PAGEREF _Toc67933988 \h </w:instrText>
            </w:r>
            <w:r>
              <w:rPr>
                <w:noProof/>
                <w:webHidden/>
              </w:rPr>
            </w:r>
            <w:r>
              <w:rPr>
                <w:noProof/>
                <w:webHidden/>
              </w:rPr>
              <w:fldChar w:fldCharType="separate"/>
            </w:r>
            <w:r w:rsidR="00585516">
              <w:rPr>
                <w:noProof/>
                <w:webHidden/>
              </w:rPr>
              <w:t>9</w:t>
            </w:r>
            <w:r>
              <w:rPr>
                <w:noProof/>
                <w:webHidden/>
              </w:rPr>
              <w:fldChar w:fldCharType="end"/>
            </w:r>
          </w:hyperlink>
        </w:p>
        <w:p w14:paraId="44BE8901" w14:textId="1260E405" w:rsidR="00150279" w:rsidRDefault="00150279">
          <w:pPr>
            <w:pStyle w:val="TOC2"/>
            <w:tabs>
              <w:tab w:val="left" w:pos="880"/>
              <w:tab w:val="right" w:leader="dot" w:pos="9016"/>
            </w:tabs>
            <w:rPr>
              <w:rFonts w:eastAsiaTheme="minorEastAsia"/>
              <w:noProof/>
              <w:lang w:eastAsia="en-GB"/>
            </w:rPr>
          </w:pPr>
          <w:hyperlink w:anchor="_Toc67933989" w:history="1">
            <w:r w:rsidRPr="00D945DD">
              <w:rPr>
                <w:rStyle w:val="Hyperlink"/>
                <w:noProof/>
              </w:rPr>
              <w:t>2.4</w:t>
            </w:r>
            <w:r>
              <w:rPr>
                <w:rFonts w:eastAsiaTheme="minorEastAsia"/>
                <w:noProof/>
                <w:lang w:eastAsia="en-GB"/>
              </w:rPr>
              <w:tab/>
            </w:r>
            <w:r w:rsidRPr="00D945DD">
              <w:rPr>
                <w:rStyle w:val="Hyperlink"/>
                <w:noProof/>
              </w:rPr>
              <w:t>Employment</w:t>
            </w:r>
            <w:r>
              <w:rPr>
                <w:noProof/>
                <w:webHidden/>
              </w:rPr>
              <w:tab/>
            </w:r>
            <w:r>
              <w:rPr>
                <w:noProof/>
                <w:webHidden/>
              </w:rPr>
              <w:fldChar w:fldCharType="begin"/>
            </w:r>
            <w:r>
              <w:rPr>
                <w:noProof/>
                <w:webHidden/>
              </w:rPr>
              <w:instrText xml:space="preserve"> PAGEREF _Toc67933989 \h </w:instrText>
            </w:r>
            <w:r>
              <w:rPr>
                <w:noProof/>
                <w:webHidden/>
              </w:rPr>
            </w:r>
            <w:r>
              <w:rPr>
                <w:noProof/>
                <w:webHidden/>
              </w:rPr>
              <w:fldChar w:fldCharType="separate"/>
            </w:r>
            <w:r w:rsidR="00585516">
              <w:rPr>
                <w:noProof/>
                <w:webHidden/>
              </w:rPr>
              <w:t>11</w:t>
            </w:r>
            <w:r>
              <w:rPr>
                <w:noProof/>
                <w:webHidden/>
              </w:rPr>
              <w:fldChar w:fldCharType="end"/>
            </w:r>
          </w:hyperlink>
        </w:p>
        <w:p w14:paraId="5C9AD097" w14:textId="00F813F9" w:rsidR="00150279" w:rsidRDefault="00150279">
          <w:pPr>
            <w:pStyle w:val="TOC2"/>
            <w:tabs>
              <w:tab w:val="left" w:pos="880"/>
              <w:tab w:val="right" w:leader="dot" w:pos="9016"/>
            </w:tabs>
            <w:rPr>
              <w:rFonts w:eastAsiaTheme="minorEastAsia"/>
              <w:noProof/>
              <w:lang w:eastAsia="en-GB"/>
            </w:rPr>
          </w:pPr>
          <w:hyperlink w:anchor="_Toc67933990" w:history="1">
            <w:r w:rsidRPr="00D945DD">
              <w:rPr>
                <w:rStyle w:val="Hyperlink"/>
                <w:noProof/>
              </w:rPr>
              <w:t>2.5</w:t>
            </w:r>
            <w:r>
              <w:rPr>
                <w:rFonts w:eastAsiaTheme="minorEastAsia"/>
                <w:noProof/>
                <w:lang w:eastAsia="en-GB"/>
              </w:rPr>
              <w:tab/>
            </w:r>
            <w:r w:rsidRPr="00D945DD">
              <w:rPr>
                <w:rStyle w:val="Hyperlink"/>
                <w:noProof/>
              </w:rPr>
              <w:t>Health and health care</w:t>
            </w:r>
            <w:r>
              <w:rPr>
                <w:noProof/>
                <w:webHidden/>
              </w:rPr>
              <w:tab/>
            </w:r>
            <w:r>
              <w:rPr>
                <w:noProof/>
                <w:webHidden/>
              </w:rPr>
              <w:fldChar w:fldCharType="begin"/>
            </w:r>
            <w:r>
              <w:rPr>
                <w:noProof/>
                <w:webHidden/>
              </w:rPr>
              <w:instrText xml:space="preserve"> PAGEREF _Toc67933990 \h </w:instrText>
            </w:r>
            <w:r>
              <w:rPr>
                <w:noProof/>
                <w:webHidden/>
              </w:rPr>
            </w:r>
            <w:r>
              <w:rPr>
                <w:noProof/>
                <w:webHidden/>
              </w:rPr>
              <w:fldChar w:fldCharType="separate"/>
            </w:r>
            <w:r w:rsidR="00585516">
              <w:rPr>
                <w:noProof/>
                <w:webHidden/>
              </w:rPr>
              <w:t>11</w:t>
            </w:r>
            <w:r>
              <w:rPr>
                <w:noProof/>
                <w:webHidden/>
              </w:rPr>
              <w:fldChar w:fldCharType="end"/>
            </w:r>
          </w:hyperlink>
        </w:p>
        <w:p w14:paraId="3A4119E8" w14:textId="7EE0A164" w:rsidR="00150279" w:rsidRDefault="00150279" w:rsidP="00150279">
          <w:pPr>
            <w:pStyle w:val="TOC1"/>
            <w:rPr>
              <w:rFonts w:eastAsiaTheme="minorEastAsia"/>
              <w:lang w:eastAsia="en-GB"/>
            </w:rPr>
          </w:pPr>
          <w:hyperlink w:anchor="_Toc67933991" w:history="1">
            <w:r w:rsidRPr="00D945DD">
              <w:rPr>
                <w:rStyle w:val="Hyperlink"/>
              </w:rPr>
              <w:t>3</w:t>
            </w:r>
            <w:r>
              <w:rPr>
                <w:rFonts w:eastAsiaTheme="minorEastAsia"/>
                <w:lang w:eastAsia="en-GB"/>
              </w:rPr>
              <w:tab/>
            </w:r>
            <w:r w:rsidRPr="00D945DD">
              <w:rPr>
                <w:rStyle w:val="Hyperlink"/>
              </w:rPr>
              <w:t>Law enforcement and Policing</w:t>
            </w:r>
            <w:r>
              <w:rPr>
                <w:webHidden/>
              </w:rPr>
              <w:tab/>
            </w:r>
            <w:r>
              <w:rPr>
                <w:webHidden/>
              </w:rPr>
              <w:fldChar w:fldCharType="begin"/>
            </w:r>
            <w:r>
              <w:rPr>
                <w:webHidden/>
              </w:rPr>
              <w:instrText xml:space="preserve"> PAGEREF _Toc67933991 \h </w:instrText>
            </w:r>
            <w:r>
              <w:rPr>
                <w:webHidden/>
              </w:rPr>
            </w:r>
            <w:r>
              <w:rPr>
                <w:webHidden/>
              </w:rPr>
              <w:fldChar w:fldCharType="separate"/>
            </w:r>
            <w:r w:rsidR="00585516">
              <w:rPr>
                <w:webHidden/>
              </w:rPr>
              <w:t>12</w:t>
            </w:r>
            <w:r>
              <w:rPr>
                <w:webHidden/>
              </w:rPr>
              <w:fldChar w:fldCharType="end"/>
            </w:r>
          </w:hyperlink>
        </w:p>
        <w:p w14:paraId="6E8BA615" w14:textId="2E42DB80" w:rsidR="00150279" w:rsidRDefault="00150279" w:rsidP="00150279">
          <w:pPr>
            <w:pStyle w:val="TOC1"/>
            <w:rPr>
              <w:rFonts w:eastAsiaTheme="minorEastAsia"/>
              <w:lang w:eastAsia="en-GB"/>
            </w:rPr>
          </w:pPr>
          <w:hyperlink w:anchor="_Toc67933992" w:history="1">
            <w:r w:rsidRPr="00D945DD">
              <w:rPr>
                <w:rStyle w:val="Hyperlink"/>
              </w:rPr>
              <w:t>4</w:t>
            </w:r>
            <w:r>
              <w:rPr>
                <w:rFonts w:eastAsiaTheme="minorEastAsia"/>
                <w:lang w:eastAsia="en-GB"/>
              </w:rPr>
              <w:tab/>
            </w:r>
            <w:r w:rsidRPr="00D945DD">
              <w:rPr>
                <w:rStyle w:val="Hyperlink"/>
              </w:rPr>
              <w:t>Hate Speech and hate crime</w:t>
            </w:r>
            <w:r>
              <w:rPr>
                <w:webHidden/>
              </w:rPr>
              <w:tab/>
            </w:r>
            <w:r>
              <w:rPr>
                <w:webHidden/>
              </w:rPr>
              <w:fldChar w:fldCharType="begin"/>
            </w:r>
            <w:r>
              <w:rPr>
                <w:webHidden/>
              </w:rPr>
              <w:instrText xml:space="preserve"> PAGEREF _Toc67933992 \h </w:instrText>
            </w:r>
            <w:r>
              <w:rPr>
                <w:webHidden/>
              </w:rPr>
            </w:r>
            <w:r>
              <w:rPr>
                <w:webHidden/>
              </w:rPr>
              <w:fldChar w:fldCharType="separate"/>
            </w:r>
            <w:r w:rsidR="00585516">
              <w:rPr>
                <w:webHidden/>
              </w:rPr>
              <w:t>14</w:t>
            </w:r>
            <w:r>
              <w:rPr>
                <w:webHidden/>
              </w:rPr>
              <w:fldChar w:fldCharType="end"/>
            </w:r>
          </w:hyperlink>
        </w:p>
        <w:p w14:paraId="7E6F546F" w14:textId="466800D3" w:rsidR="00150279" w:rsidRDefault="00150279">
          <w:pPr>
            <w:pStyle w:val="TOC2"/>
            <w:tabs>
              <w:tab w:val="right" w:leader="dot" w:pos="9016"/>
            </w:tabs>
            <w:rPr>
              <w:rFonts w:eastAsiaTheme="minorEastAsia"/>
              <w:noProof/>
              <w:lang w:eastAsia="en-GB"/>
            </w:rPr>
          </w:pPr>
          <w:hyperlink w:anchor="_Toc67933993" w:history="1">
            <w:r w:rsidRPr="00D945DD">
              <w:rPr>
                <w:rStyle w:val="Hyperlink"/>
                <w:noProof/>
              </w:rPr>
              <w:t xml:space="preserve">4.1 </w:t>
            </w:r>
            <w:r w:rsidR="00052006">
              <w:rPr>
                <w:rStyle w:val="Hyperlink"/>
                <w:noProof/>
              </w:rPr>
              <w:t xml:space="preserve">      </w:t>
            </w:r>
            <w:r w:rsidRPr="00D945DD">
              <w:rPr>
                <w:rStyle w:val="Hyperlink"/>
                <w:noProof/>
              </w:rPr>
              <w:t>Reporting, recording and prosecution of hate crime</w:t>
            </w:r>
            <w:r>
              <w:rPr>
                <w:noProof/>
                <w:webHidden/>
              </w:rPr>
              <w:tab/>
            </w:r>
            <w:r>
              <w:rPr>
                <w:noProof/>
                <w:webHidden/>
              </w:rPr>
              <w:fldChar w:fldCharType="begin"/>
            </w:r>
            <w:r>
              <w:rPr>
                <w:noProof/>
                <w:webHidden/>
              </w:rPr>
              <w:instrText xml:space="preserve"> PAGEREF _Toc67933993 \h </w:instrText>
            </w:r>
            <w:r>
              <w:rPr>
                <w:noProof/>
                <w:webHidden/>
              </w:rPr>
            </w:r>
            <w:r>
              <w:rPr>
                <w:noProof/>
                <w:webHidden/>
              </w:rPr>
              <w:fldChar w:fldCharType="separate"/>
            </w:r>
            <w:r w:rsidR="00585516">
              <w:rPr>
                <w:noProof/>
                <w:webHidden/>
              </w:rPr>
              <w:t>15</w:t>
            </w:r>
            <w:r>
              <w:rPr>
                <w:noProof/>
                <w:webHidden/>
              </w:rPr>
              <w:fldChar w:fldCharType="end"/>
            </w:r>
          </w:hyperlink>
        </w:p>
        <w:p w14:paraId="5676A8BD" w14:textId="10071A3E" w:rsidR="00F77C80" w:rsidRDefault="00F77C80" w:rsidP="00F77C80">
          <w:r>
            <w:rPr>
              <w:b/>
              <w:bCs/>
              <w:noProof/>
            </w:rPr>
            <w:fldChar w:fldCharType="end"/>
          </w:r>
        </w:p>
      </w:sdtContent>
    </w:sdt>
    <w:p w14:paraId="543777F3" w14:textId="77777777" w:rsidR="00390DA5" w:rsidRDefault="00390DA5">
      <w:pPr>
        <w:rPr>
          <w:rFonts w:asciiTheme="majorHAnsi" w:eastAsiaTheme="majorEastAsia" w:hAnsiTheme="majorHAnsi" w:cstheme="majorBidi"/>
          <w:color w:val="2E74B5" w:themeColor="accent1" w:themeShade="BF"/>
          <w:sz w:val="32"/>
          <w:szCs w:val="32"/>
        </w:rPr>
      </w:pPr>
      <w:r>
        <w:rPr>
          <w:color w:val="2E74B5" w:themeColor="accent1" w:themeShade="BF"/>
        </w:rPr>
        <w:br w:type="page"/>
      </w:r>
    </w:p>
    <w:p w14:paraId="21344E94" w14:textId="11D930F2" w:rsidR="00F77C80" w:rsidRPr="004B63F7" w:rsidRDefault="00F77C80" w:rsidP="00F77C80">
      <w:pPr>
        <w:pStyle w:val="Heading1"/>
        <w:jc w:val="both"/>
        <w:rPr>
          <w:color w:val="2E74B5" w:themeColor="accent1" w:themeShade="BF"/>
        </w:rPr>
      </w:pPr>
      <w:bookmarkStart w:id="0" w:name="_Toc67933981"/>
      <w:r w:rsidRPr="004B63F7">
        <w:rPr>
          <w:color w:val="2E74B5" w:themeColor="accent1" w:themeShade="BF"/>
        </w:rPr>
        <w:lastRenderedPageBreak/>
        <w:t>Sources</w:t>
      </w:r>
      <w:bookmarkEnd w:id="0"/>
    </w:p>
    <w:p w14:paraId="6EB7372A" w14:textId="3292DD4D" w:rsidR="00F77C80" w:rsidRDefault="00F77C80" w:rsidP="00F77C80">
      <w:r>
        <w:t>This overview contains quotes from the following FRA publications</w:t>
      </w:r>
      <w:r w:rsidR="00B16C1C">
        <w:t xml:space="preserve"> in the context of the </w:t>
      </w:r>
      <w:r w:rsidR="00541AE1">
        <w:t>103</w:t>
      </w:r>
      <w:r w:rsidR="00541AE1" w:rsidRPr="00541AE1">
        <w:rPr>
          <w:vertAlign w:val="superscript"/>
        </w:rPr>
        <w:t>rd</w:t>
      </w:r>
      <w:r w:rsidR="00541AE1">
        <w:t xml:space="preserve"> </w:t>
      </w:r>
      <w:r w:rsidR="00B16C1C">
        <w:t>session of the Committee on the Elimination of Racial Discrimination (CERD)</w:t>
      </w:r>
      <w:r>
        <w:t xml:space="preserve">, categorised under </w:t>
      </w:r>
      <w:r w:rsidR="00DA7EFD">
        <w:t xml:space="preserve">CERD </w:t>
      </w:r>
      <w:r>
        <w:t>relevant headings, with references to</w:t>
      </w:r>
      <w:r w:rsidR="003064D1">
        <w:t xml:space="preserve"> Belgium</w:t>
      </w:r>
      <w:r>
        <w:t xml:space="preserve"> marked in </w:t>
      </w:r>
      <w:r>
        <w:rPr>
          <w:b/>
        </w:rPr>
        <w:t>bold</w:t>
      </w:r>
      <w:r>
        <w:t xml:space="preserve">: </w:t>
      </w:r>
    </w:p>
    <w:bookmarkStart w:id="1" w:name="_Hlk67928217"/>
    <w:p w14:paraId="36F68003" w14:textId="2C68EB59" w:rsidR="00223AE0" w:rsidRDefault="007E7A18" w:rsidP="00223AE0">
      <w:pPr>
        <w:pStyle w:val="ListParagraph"/>
        <w:numPr>
          <w:ilvl w:val="0"/>
          <w:numId w:val="1"/>
        </w:numPr>
      </w:pPr>
      <w:r w:rsidRPr="007F0C0C">
        <w:fldChar w:fldCharType="begin"/>
      </w:r>
      <w:r w:rsidRPr="007F0C0C">
        <w:instrText xml:space="preserve"> HYPERLINK "https://fra.europa.eu/en/publication/2020/covid19-rights-impact-september-1" </w:instrText>
      </w:r>
      <w:r w:rsidRPr="007F0C0C">
        <w:fldChar w:fldCharType="separate"/>
      </w:r>
      <w:r w:rsidR="00223AE0" w:rsidRPr="007F0C0C">
        <w:rPr>
          <w:rStyle w:val="Hyperlink"/>
        </w:rPr>
        <w:t>Coronavirus pandemic in the EU – impact on Roma and Travellers – Bulletin 5</w:t>
      </w:r>
      <w:r w:rsidRPr="007F0C0C">
        <w:rPr>
          <w:rStyle w:val="Hyperlink"/>
        </w:rPr>
        <w:fldChar w:fldCharType="end"/>
      </w:r>
      <w:r w:rsidR="00223AE0">
        <w:t>, September 2020</w:t>
      </w:r>
    </w:p>
    <w:p w14:paraId="0F369D14" w14:textId="0075E571" w:rsidR="00223AE0" w:rsidRDefault="007E7A18" w:rsidP="00F77C80">
      <w:pPr>
        <w:pStyle w:val="ListParagraph"/>
        <w:numPr>
          <w:ilvl w:val="0"/>
          <w:numId w:val="1"/>
        </w:numPr>
      </w:pPr>
      <w:hyperlink r:id="rId12" w:history="1">
        <w:r w:rsidR="00223AE0" w:rsidRPr="004A3206">
          <w:rPr>
            <w:rStyle w:val="Hyperlink"/>
          </w:rPr>
          <w:t>Roma and Trave</w:t>
        </w:r>
        <w:r w:rsidR="00223AE0" w:rsidRPr="004A3206">
          <w:rPr>
            <w:rStyle w:val="Hyperlink"/>
          </w:rPr>
          <w:t>l</w:t>
        </w:r>
        <w:r w:rsidR="00223AE0" w:rsidRPr="004A3206">
          <w:rPr>
            <w:rStyle w:val="Hyperlink"/>
          </w:rPr>
          <w:t>lers in six c</w:t>
        </w:r>
        <w:r w:rsidR="00223AE0" w:rsidRPr="004A3206">
          <w:rPr>
            <w:rStyle w:val="Hyperlink"/>
          </w:rPr>
          <w:t>o</w:t>
        </w:r>
        <w:r w:rsidR="00223AE0" w:rsidRPr="004A3206">
          <w:rPr>
            <w:rStyle w:val="Hyperlink"/>
          </w:rPr>
          <w:t>untries</w:t>
        </w:r>
      </w:hyperlink>
      <w:r w:rsidR="00223AE0">
        <w:t>, September 2020</w:t>
      </w:r>
    </w:p>
    <w:p w14:paraId="45EFD001" w14:textId="2393475D" w:rsidR="00FA5F8A" w:rsidRDefault="00FA5F8A" w:rsidP="00F77C80">
      <w:pPr>
        <w:pStyle w:val="ListParagraph"/>
        <w:numPr>
          <w:ilvl w:val="0"/>
          <w:numId w:val="1"/>
        </w:numPr>
      </w:pPr>
      <w:hyperlink r:id="rId13" w:history="1">
        <w:r w:rsidRPr="00FA5F8A">
          <w:rPr>
            <w:rStyle w:val="Hyperlink"/>
          </w:rPr>
          <w:t>Antisemitism: Overview of antisemitic incidents recorded in the European Union 2009-2019</w:t>
        </w:r>
      </w:hyperlink>
      <w:r>
        <w:t>, September 2020</w:t>
      </w:r>
    </w:p>
    <w:p w14:paraId="69BAEF92" w14:textId="58DB08C5" w:rsidR="00391B99" w:rsidRPr="00391B99" w:rsidRDefault="007E7A18" w:rsidP="00F77C80">
      <w:pPr>
        <w:pStyle w:val="ListParagraph"/>
        <w:numPr>
          <w:ilvl w:val="0"/>
          <w:numId w:val="1"/>
        </w:numPr>
      </w:pPr>
      <w:hyperlink r:id="rId14" w:history="1">
        <w:r w:rsidR="00391B99" w:rsidRPr="00391B99">
          <w:rPr>
            <w:rStyle w:val="Hyperlink"/>
            <w:rFonts w:cstheme="minorHAnsi"/>
          </w:rPr>
          <w:t xml:space="preserve">Strong and effective National Human Rights Institutions – challenges, promising </w:t>
        </w:r>
        <w:proofErr w:type="gramStart"/>
        <w:r w:rsidR="00391B99" w:rsidRPr="00391B99">
          <w:rPr>
            <w:rStyle w:val="Hyperlink"/>
            <w:rFonts w:cstheme="minorHAnsi"/>
          </w:rPr>
          <w:t>practices</w:t>
        </w:r>
        <w:proofErr w:type="gramEnd"/>
        <w:r w:rsidR="00391B99" w:rsidRPr="00391B99">
          <w:rPr>
            <w:rStyle w:val="Hyperlink"/>
            <w:rFonts w:cstheme="minorHAnsi"/>
          </w:rPr>
          <w:t xml:space="preserve"> and opportunities</w:t>
        </w:r>
      </w:hyperlink>
      <w:r w:rsidR="00391B99" w:rsidRPr="00391B99">
        <w:rPr>
          <w:rFonts w:cstheme="minorHAnsi"/>
        </w:rPr>
        <w:t>,</w:t>
      </w:r>
      <w:r w:rsidR="00391B99">
        <w:rPr>
          <w:rFonts w:cstheme="minorHAnsi"/>
        </w:rPr>
        <w:t xml:space="preserve"> September</w:t>
      </w:r>
      <w:r w:rsidR="00391B99" w:rsidRPr="00391B99">
        <w:rPr>
          <w:rFonts w:cstheme="minorHAnsi"/>
        </w:rPr>
        <w:t xml:space="preserve"> 2020</w:t>
      </w:r>
    </w:p>
    <w:p w14:paraId="687D3FBB" w14:textId="0FA404E0" w:rsidR="00223AE0" w:rsidRDefault="007E7A18" w:rsidP="00F77C80">
      <w:pPr>
        <w:pStyle w:val="ListParagraph"/>
        <w:numPr>
          <w:ilvl w:val="0"/>
          <w:numId w:val="1"/>
        </w:numPr>
      </w:pPr>
      <w:hyperlink r:id="rId15" w:history="1">
        <w:r w:rsidR="00223AE0" w:rsidRPr="00B418CF">
          <w:rPr>
            <w:rStyle w:val="Hyperlink"/>
          </w:rPr>
          <w:t>Coronavirus pandemic in the EU – Fundamental Rights Implications – Bulletin 4</w:t>
        </w:r>
      </w:hyperlink>
      <w:r w:rsidR="00223AE0">
        <w:t>, July 2020</w:t>
      </w:r>
    </w:p>
    <w:p w14:paraId="05CC3754" w14:textId="7E45A703" w:rsidR="00F77C80" w:rsidRDefault="007E7A18" w:rsidP="00F77C80">
      <w:pPr>
        <w:pStyle w:val="ListParagraph"/>
        <w:numPr>
          <w:ilvl w:val="0"/>
          <w:numId w:val="1"/>
        </w:numPr>
      </w:pPr>
      <w:hyperlink r:id="rId16" w:history="1">
        <w:r w:rsidR="00F77C80" w:rsidRPr="000B36E2">
          <w:rPr>
            <w:rStyle w:val="Hyperlink"/>
          </w:rPr>
          <w:t xml:space="preserve">Fundamental Rights </w:t>
        </w:r>
        <w:r w:rsidR="00F77C80" w:rsidRPr="000B36E2">
          <w:rPr>
            <w:rStyle w:val="Hyperlink"/>
          </w:rPr>
          <w:t>R</w:t>
        </w:r>
        <w:r w:rsidR="00F77C80" w:rsidRPr="000B36E2">
          <w:rPr>
            <w:rStyle w:val="Hyperlink"/>
          </w:rPr>
          <w:t>eport 2020</w:t>
        </w:r>
      </w:hyperlink>
      <w:r w:rsidR="00F77C80">
        <w:t>, June 2020</w:t>
      </w:r>
    </w:p>
    <w:p w14:paraId="2D559EA5" w14:textId="56CA7EC9" w:rsidR="001F7DB7" w:rsidRDefault="007E7A18" w:rsidP="00F77C80">
      <w:pPr>
        <w:pStyle w:val="ListParagraph"/>
        <w:numPr>
          <w:ilvl w:val="0"/>
          <w:numId w:val="1"/>
        </w:numPr>
      </w:pPr>
      <w:hyperlink r:id="rId17" w:history="1">
        <w:r w:rsidR="007F0C0C">
          <w:rPr>
            <w:rStyle w:val="Hyperlink"/>
          </w:rPr>
          <w:t>Second EU Minorities and Discrimination</w:t>
        </w:r>
        <w:r w:rsidR="001F7DB7" w:rsidRPr="001F7DB7">
          <w:rPr>
            <w:rStyle w:val="Hyperlink"/>
          </w:rPr>
          <w:t xml:space="preserve"> Survey – </w:t>
        </w:r>
        <w:r w:rsidR="007F0C0C">
          <w:rPr>
            <w:rStyle w:val="Hyperlink"/>
          </w:rPr>
          <w:t>Migrant women – selected findings</w:t>
        </w:r>
      </w:hyperlink>
      <w:r w:rsidR="001F7DB7">
        <w:t>, September 2019</w:t>
      </w:r>
    </w:p>
    <w:p w14:paraId="067348BE" w14:textId="508CF522" w:rsidR="00F77C80" w:rsidRDefault="007E7A18" w:rsidP="00F77C80">
      <w:pPr>
        <w:pStyle w:val="ListParagraph"/>
        <w:numPr>
          <w:ilvl w:val="0"/>
          <w:numId w:val="1"/>
        </w:numPr>
      </w:pPr>
      <w:hyperlink r:id="rId18" w:history="1">
        <w:r w:rsidR="00F77C80" w:rsidRPr="00F30C45">
          <w:rPr>
            <w:rStyle w:val="Hyperlink"/>
          </w:rPr>
          <w:t>Fundamental Rights Report 2019</w:t>
        </w:r>
      </w:hyperlink>
      <w:r w:rsidR="00F77C80" w:rsidRPr="00421FB1">
        <w:t>, June 2019</w:t>
      </w:r>
    </w:p>
    <w:p w14:paraId="0FBA4F7B" w14:textId="77777777" w:rsidR="00F77C80" w:rsidRPr="00783408" w:rsidRDefault="007E7A18" w:rsidP="00A23F77">
      <w:pPr>
        <w:pStyle w:val="ListParagraph"/>
        <w:numPr>
          <w:ilvl w:val="0"/>
          <w:numId w:val="1"/>
        </w:numPr>
      </w:pPr>
      <w:hyperlink r:id="rId19" w:history="1">
        <w:r w:rsidR="00F77C80" w:rsidRPr="009177C6">
          <w:rPr>
            <w:rStyle w:val="Hyperlink"/>
          </w:rPr>
          <w:t>Exp</w:t>
        </w:r>
        <w:r w:rsidR="00F77C80" w:rsidRPr="009177C6">
          <w:rPr>
            <w:rStyle w:val="Hyperlink"/>
          </w:rPr>
          <w:t>e</w:t>
        </w:r>
        <w:r w:rsidR="00F77C80" w:rsidRPr="009177C6">
          <w:rPr>
            <w:rStyle w:val="Hyperlink"/>
          </w:rPr>
          <w:t>riences and perceptions of antisemitism - Second survey on discrimination and hate crime against Jews in the EU</w:t>
        </w:r>
      </w:hyperlink>
      <w:r w:rsidR="00F77C80" w:rsidRPr="00783408">
        <w:t>, December 2018</w:t>
      </w:r>
    </w:p>
    <w:p w14:paraId="7987ECD5" w14:textId="77777777" w:rsidR="00F77C80" w:rsidRDefault="007E7A18" w:rsidP="00F77C80">
      <w:pPr>
        <w:pStyle w:val="ListParagraph"/>
        <w:numPr>
          <w:ilvl w:val="0"/>
          <w:numId w:val="1"/>
        </w:numPr>
      </w:pPr>
      <w:hyperlink r:id="rId20" w:history="1">
        <w:r w:rsidR="00F77C80" w:rsidRPr="00B6514E">
          <w:rPr>
            <w:rStyle w:val="Hyperlink"/>
          </w:rPr>
          <w:t>Hate crime recording and data collection p</w:t>
        </w:r>
        <w:r w:rsidR="00F77C80" w:rsidRPr="00B6514E">
          <w:rPr>
            <w:rStyle w:val="Hyperlink"/>
          </w:rPr>
          <w:t>r</w:t>
        </w:r>
        <w:r w:rsidR="00F77C80" w:rsidRPr="00B6514E">
          <w:rPr>
            <w:rStyle w:val="Hyperlink"/>
          </w:rPr>
          <w:t>actice across the EU</w:t>
        </w:r>
      </w:hyperlink>
      <w:r w:rsidR="00F77C80">
        <w:t>, June 2018</w:t>
      </w:r>
    </w:p>
    <w:p w14:paraId="32BF3406" w14:textId="67E04F70" w:rsidR="003403B8" w:rsidRDefault="007E7A18" w:rsidP="003403B8">
      <w:pPr>
        <w:pStyle w:val="ListParagraph"/>
        <w:numPr>
          <w:ilvl w:val="0"/>
          <w:numId w:val="1"/>
        </w:numPr>
      </w:pPr>
      <w:hyperlink r:id="rId21" w:history="1">
        <w:r w:rsidR="00F77C80" w:rsidRPr="00F30C45">
          <w:rPr>
            <w:rStyle w:val="Hyperlink"/>
          </w:rPr>
          <w:t>Fundamental Rights Report 2018</w:t>
        </w:r>
      </w:hyperlink>
      <w:r w:rsidR="00F77C80">
        <w:t>, June 2018</w:t>
      </w:r>
    </w:p>
    <w:bookmarkEnd w:id="1"/>
    <w:p w14:paraId="4237E2D5" w14:textId="505A8417" w:rsidR="00390DA5" w:rsidRDefault="00390DA5" w:rsidP="00F77C80"/>
    <w:p w14:paraId="62CA5747" w14:textId="77777777" w:rsidR="00390DA5" w:rsidRPr="00390DA5" w:rsidRDefault="00390DA5" w:rsidP="00390DA5">
      <w:pPr>
        <w:pStyle w:val="Heading1"/>
        <w:jc w:val="both"/>
        <w:rPr>
          <w:color w:val="2E74B5" w:themeColor="accent1" w:themeShade="BF"/>
        </w:rPr>
      </w:pPr>
      <w:bookmarkStart w:id="2" w:name="_Toc445922776"/>
      <w:bookmarkStart w:id="3" w:name="_Toc462346528"/>
      <w:bookmarkStart w:id="4" w:name="_Toc53703513"/>
      <w:bookmarkStart w:id="5" w:name="_Toc67933982"/>
      <w:r w:rsidRPr="00390DA5">
        <w:rPr>
          <w:color w:val="2E74B5" w:themeColor="accent1" w:themeShade="BF"/>
        </w:rPr>
        <w:t>Data Explorers and Tool</w:t>
      </w:r>
      <w:bookmarkEnd w:id="2"/>
      <w:bookmarkEnd w:id="3"/>
      <w:r w:rsidRPr="00390DA5">
        <w:rPr>
          <w:color w:val="2E74B5" w:themeColor="accent1" w:themeShade="BF"/>
        </w:rPr>
        <w:t>s</w:t>
      </w:r>
      <w:bookmarkEnd w:id="4"/>
      <w:bookmarkEnd w:id="5"/>
    </w:p>
    <w:p w14:paraId="1DCA1B30" w14:textId="64AA8DD9" w:rsidR="00390DA5" w:rsidRPr="00390DA5" w:rsidRDefault="00390DA5" w:rsidP="00390DA5">
      <w:pPr>
        <w:rPr>
          <w:rFonts w:cstheme="minorHAnsi"/>
        </w:rPr>
      </w:pPr>
      <w:r w:rsidRPr="00390DA5">
        <w:rPr>
          <w:rFonts w:cstheme="minorHAnsi"/>
        </w:rPr>
        <w:t>In addition to the relevant passages from recent FRA publications that are presented in this submission,</w:t>
      </w:r>
      <w:r w:rsidRPr="00A86EC1">
        <w:t xml:space="preserve"> </w:t>
      </w:r>
      <w:r w:rsidRPr="00390DA5">
        <w:rPr>
          <w:rFonts w:cstheme="minorHAnsi"/>
        </w:rPr>
        <w:t>valuable information can be found in the</w:t>
      </w:r>
      <w:r>
        <w:rPr>
          <w:rFonts w:cstheme="minorHAnsi"/>
        </w:rPr>
        <w:t xml:space="preserve"> relevant</w:t>
      </w:r>
      <w:r w:rsidRPr="00390DA5">
        <w:rPr>
          <w:rFonts w:cstheme="minorHAnsi"/>
        </w:rPr>
        <w:t xml:space="preserve"> </w:t>
      </w:r>
      <w:r w:rsidRPr="00390DA5">
        <w:rPr>
          <w:rFonts w:cstheme="minorHAnsi"/>
          <w:b/>
        </w:rPr>
        <w:t>data explorers</w:t>
      </w:r>
      <w:r w:rsidRPr="00390DA5">
        <w:rPr>
          <w:rFonts w:cstheme="minorHAnsi"/>
        </w:rPr>
        <w:t xml:space="preserve"> on FRA’s website (available at </w:t>
      </w:r>
      <w:hyperlink r:id="rId22" w:history="1">
        <w:r w:rsidRPr="00390DA5">
          <w:rPr>
            <w:rStyle w:val="Hyperlink"/>
            <w:rFonts w:cstheme="minorHAnsi"/>
          </w:rPr>
          <w:t>https://fra.europa.eu/en/publications-and-resources/data-and-maps</w:t>
        </w:r>
      </w:hyperlink>
      <w:r w:rsidRPr="00390DA5">
        <w:rPr>
          <w:rFonts w:cstheme="minorHAnsi"/>
        </w:rPr>
        <w:t xml:space="preserve">), which allows the comparison of results from some of FRA’s research for all EU Member States, including </w:t>
      </w:r>
      <w:r w:rsidRPr="003D7680">
        <w:rPr>
          <w:rFonts w:cstheme="minorHAnsi"/>
          <w:b/>
          <w:bCs/>
        </w:rPr>
        <w:t>Belgium</w:t>
      </w:r>
      <w:r w:rsidRPr="00390DA5">
        <w:rPr>
          <w:rFonts w:cstheme="minorHAnsi"/>
        </w:rPr>
        <w:t>:</w:t>
      </w:r>
    </w:p>
    <w:p w14:paraId="1B7994EF" w14:textId="3833058B" w:rsidR="00EE175A" w:rsidRDefault="00EE175A" w:rsidP="00F77C80">
      <w:pPr>
        <w:pStyle w:val="ListParagraph"/>
        <w:numPr>
          <w:ilvl w:val="0"/>
          <w:numId w:val="2"/>
        </w:numPr>
      </w:pPr>
      <w:hyperlink r:id="rId23" w:history="1">
        <w:r w:rsidR="00390DA5">
          <w:rPr>
            <w:rStyle w:val="Hyperlink"/>
          </w:rPr>
          <w:t>Data explorer for FRA’s F</w:t>
        </w:r>
        <w:r w:rsidRPr="00EE175A">
          <w:rPr>
            <w:rStyle w:val="Hyperlink"/>
          </w:rPr>
          <w:t>undamental Rig</w:t>
        </w:r>
        <w:r w:rsidRPr="00EE175A">
          <w:rPr>
            <w:rStyle w:val="Hyperlink"/>
          </w:rPr>
          <w:t>h</w:t>
        </w:r>
        <w:r w:rsidRPr="00EE175A">
          <w:rPr>
            <w:rStyle w:val="Hyperlink"/>
          </w:rPr>
          <w:t>ts Survey</w:t>
        </w:r>
      </w:hyperlink>
      <w:r>
        <w:t xml:space="preserve"> (last updated 18 December 2020)</w:t>
      </w:r>
    </w:p>
    <w:p w14:paraId="3E06C2E4" w14:textId="7B4F24F0" w:rsidR="00F77C80" w:rsidRDefault="007E7A18" w:rsidP="00F77C80">
      <w:pPr>
        <w:pStyle w:val="ListParagraph"/>
        <w:numPr>
          <w:ilvl w:val="0"/>
          <w:numId w:val="2"/>
        </w:numPr>
      </w:pPr>
      <w:hyperlink r:id="rId24" w:history="1">
        <w:r w:rsidR="00F77C80" w:rsidRPr="00912515">
          <w:rPr>
            <w:rStyle w:val="Hyperlink"/>
          </w:rPr>
          <w:t>Data explorer for FRA</w:t>
        </w:r>
        <w:r w:rsidR="00F77C80" w:rsidRPr="00912515">
          <w:rPr>
            <w:rStyle w:val="Hyperlink"/>
          </w:rPr>
          <w:t>’</w:t>
        </w:r>
        <w:r w:rsidR="00F77C80" w:rsidRPr="00912515">
          <w:rPr>
            <w:rStyle w:val="Hyperlink"/>
          </w:rPr>
          <w:t xml:space="preserve">s Second </w:t>
        </w:r>
        <w:r w:rsidR="00F77C80">
          <w:rPr>
            <w:rStyle w:val="Hyperlink"/>
          </w:rPr>
          <w:t>Sur</w:t>
        </w:r>
        <w:r w:rsidR="00F77C80">
          <w:rPr>
            <w:rStyle w:val="Hyperlink"/>
          </w:rPr>
          <w:t>v</w:t>
        </w:r>
        <w:r w:rsidR="00F77C80">
          <w:rPr>
            <w:rStyle w:val="Hyperlink"/>
          </w:rPr>
          <w:t xml:space="preserve">ey on </w:t>
        </w:r>
        <w:r w:rsidR="00F77C80" w:rsidRPr="00912515">
          <w:rPr>
            <w:rStyle w:val="Hyperlink"/>
          </w:rPr>
          <w:t>Minorities and Discriminatio</w:t>
        </w:r>
        <w:r w:rsidR="00F77C80">
          <w:rPr>
            <w:rStyle w:val="Hyperlink"/>
          </w:rPr>
          <w:t>n in EU (EU-MIDIS II)</w:t>
        </w:r>
      </w:hyperlink>
      <w:r w:rsidR="00EE175A">
        <w:t xml:space="preserve"> (last updated 4 December 2017)</w:t>
      </w:r>
    </w:p>
    <w:p w14:paraId="46949925" w14:textId="77777777" w:rsidR="00FD4376" w:rsidRDefault="00FD4376" w:rsidP="00390DA5">
      <w:pPr>
        <w:rPr>
          <w:rFonts w:cstheme="minorHAnsi"/>
          <w:lang w:val="en-IE"/>
        </w:rPr>
      </w:pPr>
    </w:p>
    <w:p w14:paraId="0E30AF14" w14:textId="49546ADE" w:rsidR="00390DA5" w:rsidRPr="000428A5" w:rsidRDefault="00390DA5" w:rsidP="00390DA5">
      <w:pPr>
        <w:rPr>
          <w:rFonts w:cstheme="minorHAnsi"/>
          <w:lang w:val="en-IE"/>
        </w:rPr>
      </w:pPr>
      <w:r w:rsidRPr="00FD3CA6">
        <w:rPr>
          <w:rFonts w:cstheme="minorHAnsi"/>
          <w:lang w:val="en-IE"/>
        </w:rPr>
        <w:t>In addition to the data explorers</w:t>
      </w:r>
      <w:r>
        <w:rPr>
          <w:rFonts w:cstheme="minorHAnsi"/>
          <w:lang w:val="en-IE"/>
        </w:rPr>
        <w:t xml:space="preserve">, the FRA website also offers the </w:t>
      </w:r>
      <w:hyperlink r:id="rId25" w:history="1">
        <w:r w:rsidRPr="00FD3CA6">
          <w:rPr>
            <w:rStyle w:val="Hyperlink"/>
            <w:rFonts w:cstheme="minorHAnsi"/>
            <w:lang w:val="en-IE"/>
          </w:rPr>
          <w:t>European Union Fundamental Rights Information System (EFRIS)</w:t>
        </w:r>
      </w:hyperlink>
      <w:r>
        <w:rPr>
          <w:rFonts w:cstheme="minorHAnsi"/>
          <w:lang w:val="en-IE"/>
        </w:rPr>
        <w:t>. EFRIS is a Human Rights Gateway, bringing together data and information from existing human rights databases, and enables viewing and analysis of relevant assessments of fundamental rights in the EU.</w:t>
      </w:r>
    </w:p>
    <w:p w14:paraId="27FFDA45" w14:textId="77777777" w:rsidR="00FD4376" w:rsidRDefault="00FD4376" w:rsidP="00BC2C89">
      <w:pPr>
        <w:rPr>
          <w:bCs/>
          <w:color w:val="000000"/>
          <w:shd w:val="clear" w:color="auto" w:fill="FBFBFB"/>
        </w:rPr>
      </w:pPr>
    </w:p>
    <w:p w14:paraId="229B3AB5" w14:textId="3126B017" w:rsidR="003D0983" w:rsidRDefault="00BC2C89" w:rsidP="00BC2C89">
      <w:pPr>
        <w:rPr>
          <w:bCs/>
          <w:color w:val="000000"/>
          <w:shd w:val="clear" w:color="auto" w:fill="FBFBFB"/>
        </w:rPr>
      </w:pPr>
      <w:r>
        <w:rPr>
          <w:bCs/>
          <w:color w:val="000000"/>
          <w:shd w:val="clear" w:color="auto" w:fill="FBFBFB"/>
        </w:rPr>
        <w:t xml:space="preserve">Finally, for some of FRA’s surveys, </w:t>
      </w:r>
      <w:r w:rsidR="003D0983">
        <w:rPr>
          <w:bCs/>
          <w:color w:val="000000"/>
          <w:shd w:val="clear" w:color="auto" w:fill="FBFBFB"/>
        </w:rPr>
        <w:t>dedicated country sheets are available, showing the main results from the country in question</w:t>
      </w:r>
      <w:r w:rsidR="00B26360">
        <w:rPr>
          <w:bCs/>
          <w:color w:val="000000"/>
          <w:shd w:val="clear" w:color="auto" w:fill="FBFBFB"/>
        </w:rPr>
        <w:t xml:space="preserve">. For </w:t>
      </w:r>
      <w:r w:rsidR="00B26360" w:rsidRPr="00B26360">
        <w:rPr>
          <w:b/>
          <w:color w:val="000000"/>
          <w:shd w:val="clear" w:color="auto" w:fill="FBFBFB"/>
        </w:rPr>
        <w:t>Belgium</w:t>
      </w:r>
      <w:r w:rsidR="00B26360">
        <w:rPr>
          <w:bCs/>
          <w:color w:val="000000"/>
          <w:shd w:val="clear" w:color="auto" w:fill="FBFBFB"/>
        </w:rPr>
        <w:t>, these include</w:t>
      </w:r>
      <w:r w:rsidR="003D0983">
        <w:rPr>
          <w:bCs/>
          <w:color w:val="000000"/>
          <w:shd w:val="clear" w:color="auto" w:fill="FBFBFB"/>
        </w:rPr>
        <w:t xml:space="preserve"> (also annexed to this submission):</w:t>
      </w:r>
    </w:p>
    <w:p w14:paraId="044008BE" w14:textId="702E2065" w:rsidR="003D0983" w:rsidRPr="00B26360" w:rsidRDefault="003D0983" w:rsidP="003D0983">
      <w:pPr>
        <w:pStyle w:val="ListParagraph"/>
        <w:numPr>
          <w:ilvl w:val="0"/>
          <w:numId w:val="5"/>
        </w:numPr>
        <w:rPr>
          <w:rStyle w:val="Hyperlink"/>
          <w:bCs/>
          <w:color w:val="000000"/>
          <w:u w:val="none"/>
          <w:shd w:val="clear" w:color="auto" w:fill="FBFBFB"/>
        </w:rPr>
      </w:pPr>
      <w:r>
        <w:rPr>
          <w:bCs/>
          <w:color w:val="000000"/>
          <w:shd w:val="clear" w:color="auto" w:fill="FBFBFB"/>
        </w:rPr>
        <w:t xml:space="preserve">Roma and Travellers </w:t>
      </w:r>
      <w:r w:rsidRPr="00B26360">
        <w:rPr>
          <w:bCs/>
          <w:color w:val="000000"/>
          <w:shd w:val="clear" w:color="auto" w:fill="FBFBFB"/>
        </w:rPr>
        <w:t xml:space="preserve">in Belgium – Key results from the Roma and Travellers survey 2019, </w:t>
      </w:r>
      <w:r w:rsidRPr="00B26360">
        <w:rPr>
          <w:rStyle w:val="Hyperlink"/>
          <w:bCs/>
          <w:color w:val="000000" w:themeColor="text1"/>
          <w:u w:val="none"/>
          <w:shd w:val="clear" w:color="auto" w:fill="FBFBFB"/>
        </w:rPr>
        <w:t xml:space="preserve">only available in </w:t>
      </w:r>
      <w:hyperlink r:id="rId26" w:history="1">
        <w:r w:rsidRPr="00B26360">
          <w:rPr>
            <w:rStyle w:val="Hyperlink"/>
            <w:bCs/>
            <w:shd w:val="clear" w:color="auto" w:fill="FBFBFB"/>
          </w:rPr>
          <w:t>French</w:t>
        </w:r>
      </w:hyperlink>
      <w:r w:rsidRPr="00B26360">
        <w:rPr>
          <w:rStyle w:val="Hyperlink"/>
          <w:bCs/>
          <w:color w:val="000000" w:themeColor="text1"/>
          <w:u w:val="none"/>
          <w:shd w:val="clear" w:color="auto" w:fill="FBFBFB"/>
        </w:rPr>
        <w:t xml:space="preserve"> and in </w:t>
      </w:r>
      <w:hyperlink r:id="rId27" w:history="1">
        <w:r w:rsidRPr="00B26360">
          <w:rPr>
            <w:rStyle w:val="Hyperlink"/>
            <w:bCs/>
            <w:shd w:val="clear" w:color="auto" w:fill="FBFBFB"/>
          </w:rPr>
          <w:t>D</w:t>
        </w:r>
        <w:r w:rsidRPr="00B26360">
          <w:rPr>
            <w:rStyle w:val="Hyperlink"/>
            <w:bCs/>
            <w:shd w:val="clear" w:color="auto" w:fill="FBFBFB"/>
          </w:rPr>
          <w:t>u</w:t>
        </w:r>
        <w:r w:rsidRPr="00B26360">
          <w:rPr>
            <w:rStyle w:val="Hyperlink"/>
            <w:bCs/>
            <w:shd w:val="clear" w:color="auto" w:fill="FBFBFB"/>
          </w:rPr>
          <w:t>tch</w:t>
        </w:r>
      </w:hyperlink>
    </w:p>
    <w:p w14:paraId="69B725BA" w14:textId="77777777" w:rsidR="00B53E26" w:rsidRDefault="003D0983" w:rsidP="00B53E26">
      <w:pPr>
        <w:pStyle w:val="ListParagraph"/>
        <w:numPr>
          <w:ilvl w:val="0"/>
          <w:numId w:val="5"/>
        </w:numPr>
        <w:rPr>
          <w:bCs/>
          <w:color w:val="000000"/>
          <w:shd w:val="clear" w:color="auto" w:fill="FBFBFB"/>
        </w:rPr>
      </w:pPr>
      <w:hyperlink r:id="rId28" w:history="1">
        <w:r w:rsidRPr="00B26360">
          <w:rPr>
            <w:rStyle w:val="Hyperlink"/>
            <w:bCs/>
            <w:shd w:val="clear" w:color="auto" w:fill="FBFBFB"/>
          </w:rPr>
          <w:t xml:space="preserve">Experiences and perceptions of antisemitism, </w:t>
        </w:r>
        <w:proofErr w:type="gramStart"/>
        <w:r w:rsidRPr="00B26360">
          <w:rPr>
            <w:rStyle w:val="Hyperlink"/>
            <w:bCs/>
            <w:shd w:val="clear" w:color="auto" w:fill="FBFBFB"/>
          </w:rPr>
          <w:t>Second</w:t>
        </w:r>
        <w:proofErr w:type="gramEnd"/>
        <w:r w:rsidRPr="00B26360">
          <w:rPr>
            <w:rStyle w:val="Hyperlink"/>
            <w:bCs/>
            <w:shd w:val="clear" w:color="auto" w:fill="FBFBFB"/>
          </w:rPr>
          <w:t xml:space="preserve"> survey on discrimination and hate crime against Jews in the EU, Factsheet Belgium</w:t>
        </w:r>
      </w:hyperlink>
    </w:p>
    <w:p w14:paraId="1C2F51F2" w14:textId="3EC6BFC1" w:rsidR="00390DA5" w:rsidRPr="00B53E26" w:rsidRDefault="003D0983" w:rsidP="00B53E26">
      <w:pPr>
        <w:pStyle w:val="ListParagraph"/>
        <w:numPr>
          <w:ilvl w:val="0"/>
          <w:numId w:val="5"/>
        </w:numPr>
        <w:rPr>
          <w:bCs/>
          <w:color w:val="000000"/>
          <w:shd w:val="clear" w:color="auto" w:fill="FBFBFB"/>
        </w:rPr>
      </w:pPr>
      <w:hyperlink r:id="rId29" w:history="1">
        <w:r w:rsidRPr="00B53E26">
          <w:rPr>
            <w:rStyle w:val="Hyperlink"/>
            <w:bCs/>
            <w:shd w:val="clear" w:color="auto" w:fill="FBFBFB"/>
          </w:rPr>
          <w:t>Second EU Minorities and Discrimination Survey: Summary of main results Belgium</w:t>
        </w:r>
      </w:hyperlink>
      <w:r w:rsidR="00390DA5" w:rsidRPr="00B53E26">
        <w:rPr>
          <w:rFonts w:asciiTheme="majorHAnsi" w:hAnsiTheme="majorHAnsi" w:cstheme="majorHAnsi"/>
          <w:color w:val="0070C0"/>
          <w:sz w:val="32"/>
          <w:szCs w:val="32"/>
          <w:shd w:val="clear" w:color="auto" w:fill="FBFBFB"/>
        </w:rPr>
        <w:br w:type="page"/>
      </w:r>
    </w:p>
    <w:p w14:paraId="716F84D4" w14:textId="032E3B69" w:rsidR="00670E36" w:rsidRPr="008D734F" w:rsidRDefault="00670E36" w:rsidP="00475D67">
      <w:pPr>
        <w:pStyle w:val="Heading1"/>
        <w:numPr>
          <w:ilvl w:val="0"/>
          <w:numId w:val="7"/>
        </w:numPr>
        <w:jc w:val="both"/>
        <w:rPr>
          <w:color w:val="2E74B5" w:themeColor="accent1" w:themeShade="BF"/>
        </w:rPr>
      </w:pPr>
      <w:bookmarkStart w:id="6" w:name="_Toc67933983"/>
      <w:r w:rsidRPr="008D734F">
        <w:rPr>
          <w:color w:val="2E74B5" w:themeColor="accent1" w:themeShade="BF"/>
        </w:rPr>
        <w:lastRenderedPageBreak/>
        <w:t>Anti-racism legislation</w:t>
      </w:r>
      <w:r w:rsidR="005C1011" w:rsidRPr="008D734F">
        <w:rPr>
          <w:color w:val="2E74B5" w:themeColor="accent1" w:themeShade="BF"/>
        </w:rPr>
        <w:t xml:space="preserve"> and policy</w:t>
      </w:r>
      <w:bookmarkEnd w:id="6"/>
    </w:p>
    <w:p w14:paraId="36E79C7D" w14:textId="1FAFC296" w:rsidR="008E4D98" w:rsidRPr="00E879DC" w:rsidRDefault="00B7621B" w:rsidP="00475D67">
      <w:pPr>
        <w:jc w:val="both"/>
        <w:rPr>
          <w:rFonts w:cstheme="minorHAnsi"/>
          <w:i/>
        </w:rPr>
      </w:pPr>
      <w:r>
        <w:br/>
      </w:r>
      <w:r w:rsidR="008E4D98">
        <w:rPr>
          <w:rFonts w:cstheme="minorHAnsi"/>
        </w:rPr>
        <w:t>“</w:t>
      </w:r>
      <w:r w:rsidR="008E4D98" w:rsidRPr="006A36F5">
        <w:rPr>
          <w:rFonts w:cstheme="minorHAnsi"/>
        </w:rPr>
        <w:t xml:space="preserve">The 1965 International Convention on the Elimination of Racial Discrimination (ICERD) allows that a state may appoint “a body within its national legal order which shall be competent to receive and consider petitions from individuals and groups of individuals within its jurisdiction who claim to be victims of a violation of any of the rights set forth in this convention and who have exhausted other available local remedies.” All 30 countries covered by this study are parties to the convention but of these, only </w:t>
      </w:r>
      <w:r w:rsidR="008E4D98" w:rsidRPr="006A36F5">
        <w:rPr>
          <w:rFonts w:cstheme="minorHAnsi"/>
          <w:b/>
        </w:rPr>
        <w:t>Belgium</w:t>
      </w:r>
      <w:r w:rsidR="008E4D98" w:rsidRPr="006A36F5">
        <w:rPr>
          <w:rFonts w:cstheme="minorHAnsi"/>
        </w:rPr>
        <w:t>, Luxembourg and Romania have made such a declaratio</w:t>
      </w:r>
      <w:r w:rsidR="008E4D98">
        <w:rPr>
          <w:rFonts w:cstheme="minorHAnsi"/>
        </w:rPr>
        <w:t>n</w:t>
      </w:r>
      <w:r w:rsidR="008E4D98" w:rsidRPr="00E879DC">
        <w:rPr>
          <w:rFonts w:cstheme="minorHAnsi"/>
          <w:i/>
        </w:rPr>
        <w:t>.” (</w:t>
      </w:r>
      <w:hyperlink r:id="rId30" w:history="1">
        <w:r w:rsidR="008E4D98" w:rsidRPr="007E7A18">
          <w:rPr>
            <w:rStyle w:val="Hyperlink"/>
            <w:rFonts w:cstheme="minorHAnsi"/>
            <w:i/>
            <w:iCs/>
          </w:rPr>
          <w:t>Strong and effective National Human Rights Institutions – challenges, promising practices and opportunities</w:t>
        </w:r>
      </w:hyperlink>
      <w:r w:rsidR="008E4D98" w:rsidRPr="00E879DC">
        <w:rPr>
          <w:rFonts w:cstheme="minorHAnsi"/>
          <w:i/>
        </w:rPr>
        <w:t>, 2020, p.30)</w:t>
      </w:r>
    </w:p>
    <w:p w14:paraId="79837B38" w14:textId="6E6B2560" w:rsidR="00C63F6B" w:rsidRDefault="00C63F6B" w:rsidP="00475D67">
      <w:pPr>
        <w:jc w:val="both"/>
      </w:pPr>
      <w:r>
        <w:t xml:space="preserve">“The </w:t>
      </w:r>
      <w:r w:rsidRPr="00716F9D">
        <w:rPr>
          <w:b/>
        </w:rPr>
        <w:t>Belgian</w:t>
      </w:r>
      <w:r>
        <w:t xml:space="preserve"> equality body (</w:t>
      </w:r>
      <w:proofErr w:type="spellStart"/>
      <w:r>
        <w:t>Unia</w:t>
      </w:r>
      <w:proofErr w:type="spellEnd"/>
      <w:r>
        <w:t xml:space="preserve">) reported that it is involved in a research project that applies the concept of intersectionality to the analysis of discrimination in the labour market.” </w:t>
      </w:r>
      <w:r w:rsidR="00390DA5" w:rsidRPr="00390DA5">
        <w:rPr>
          <w:i/>
          <w:iCs/>
        </w:rPr>
        <w:t>(</w:t>
      </w:r>
      <w:hyperlink r:id="rId31" w:history="1">
        <w:r w:rsidR="00390DA5" w:rsidRPr="00390DA5">
          <w:rPr>
            <w:rStyle w:val="Hyperlink"/>
            <w:i/>
            <w:iCs/>
          </w:rPr>
          <w:t>Fundamental Rights Report 2020</w:t>
        </w:r>
      </w:hyperlink>
      <w:r w:rsidRPr="00E879DC">
        <w:rPr>
          <w:i/>
        </w:rPr>
        <w:t>, p.43)</w:t>
      </w:r>
    </w:p>
    <w:p w14:paraId="00C1A949" w14:textId="2C6C26C8" w:rsidR="00F6458E" w:rsidRDefault="00F6458E" w:rsidP="00475D67">
      <w:pPr>
        <w:jc w:val="both"/>
        <w:rPr>
          <w:i/>
        </w:rPr>
      </w:pPr>
      <w:r>
        <w:t>“</w:t>
      </w:r>
      <w:r w:rsidR="002C105F">
        <w:t xml:space="preserve">Discrimination testing is a scientific method for generating experimental, objective evidence of discrimination. It usefully complements other evidence, such as surveys on experiences, </w:t>
      </w:r>
      <w:proofErr w:type="gramStart"/>
      <w:r w:rsidR="002C105F">
        <w:t>attitudes</w:t>
      </w:r>
      <w:proofErr w:type="gramEnd"/>
      <w:r w:rsidR="002C105F">
        <w:t xml:space="preserve"> or perceptions. Such tests use fictitious applications to uncover discrimination, often in access to employment, housing, or the use of public or private services. This can be in person (situation testing), through written applications (correspondence testing) or over the phone (mystery calls). […] </w:t>
      </w:r>
      <w:r>
        <w:t xml:space="preserve">Governments and inspectorates in </w:t>
      </w:r>
      <w:r w:rsidRPr="00F6458E">
        <w:rPr>
          <w:b/>
        </w:rPr>
        <w:t>Belgium</w:t>
      </w:r>
      <w:r w:rsidR="00670E36">
        <w:t>, the Netherlands and France</w:t>
      </w:r>
      <w:r>
        <w:t xml:space="preserve"> used discrimination testing to monitor and increase compliance with anti-discrimination legislation.” </w:t>
      </w:r>
      <w:r w:rsidR="00390DA5">
        <w:rPr>
          <w:i/>
        </w:rPr>
        <w:t>(</w:t>
      </w:r>
      <w:hyperlink r:id="rId32" w:history="1">
        <w:r w:rsidR="00390DA5" w:rsidRPr="00390DA5">
          <w:rPr>
            <w:rStyle w:val="Hyperlink"/>
            <w:i/>
            <w:iCs/>
          </w:rPr>
          <w:t>Fundamental Rights Report 2020</w:t>
        </w:r>
      </w:hyperlink>
      <w:r w:rsidRPr="00E879DC">
        <w:rPr>
          <w:i/>
        </w:rPr>
        <w:t xml:space="preserve">, p.43) </w:t>
      </w:r>
    </w:p>
    <w:p w14:paraId="2087FC2F" w14:textId="6E437EE9" w:rsidR="001310BC" w:rsidRDefault="00E879DC" w:rsidP="00475D67">
      <w:pPr>
        <w:jc w:val="both"/>
      </w:pPr>
      <w:r>
        <w:t>“</w:t>
      </w:r>
      <w:r w:rsidR="001310BC">
        <w:t xml:space="preserve">In March 2019, the </w:t>
      </w:r>
      <w:r w:rsidR="001310BC" w:rsidRPr="001310BC">
        <w:rPr>
          <w:b/>
        </w:rPr>
        <w:t>Brussels-Capital Region</w:t>
      </w:r>
      <w:r w:rsidR="001310BC">
        <w:t xml:space="preserve"> adopted its action plan against racism and discrimination. It contains 23 concrete measures including establishing a platform against racism, exchanging good practices and developing of method of data collection. Various bodies will carry out the plan, including the </w:t>
      </w:r>
      <w:r w:rsidR="001310BC" w:rsidRPr="001310BC">
        <w:rPr>
          <w:b/>
        </w:rPr>
        <w:t>Belgian</w:t>
      </w:r>
      <w:r w:rsidR="001310BC">
        <w:t xml:space="preserve"> equality body </w:t>
      </w:r>
      <w:proofErr w:type="spellStart"/>
      <w:r w:rsidR="001310BC">
        <w:t>Unia</w:t>
      </w:r>
      <w:proofErr w:type="spellEnd"/>
      <w:r w:rsidR="001310BC">
        <w:t>, the Institute for the Equality of Women and Men, the labour unions and others.</w:t>
      </w:r>
      <w:r>
        <w:t>”</w:t>
      </w:r>
      <w:r w:rsidR="001310BC">
        <w:t xml:space="preserve"> </w:t>
      </w:r>
      <w:r w:rsidR="00390DA5" w:rsidRPr="00390DA5">
        <w:rPr>
          <w:i/>
          <w:iCs/>
        </w:rPr>
        <w:t>(</w:t>
      </w:r>
      <w:hyperlink r:id="rId33" w:history="1">
        <w:r w:rsidR="00390DA5" w:rsidRPr="00390DA5">
          <w:rPr>
            <w:rStyle w:val="Hyperlink"/>
            <w:i/>
            <w:iCs/>
          </w:rPr>
          <w:t>Fundamental Rights Report 2020</w:t>
        </w:r>
      </w:hyperlink>
      <w:r w:rsidRPr="00E879DC">
        <w:rPr>
          <w:i/>
        </w:rPr>
        <w:t xml:space="preserve">, </w:t>
      </w:r>
      <w:r w:rsidR="001310BC" w:rsidRPr="00E879DC">
        <w:rPr>
          <w:i/>
        </w:rPr>
        <w:t>p.66)</w:t>
      </w:r>
    </w:p>
    <w:p w14:paraId="57803049" w14:textId="4E4C85C7" w:rsidR="003E48FC" w:rsidRDefault="00E879DC" w:rsidP="00475D67">
      <w:pPr>
        <w:jc w:val="both"/>
        <w:rPr>
          <w:i/>
        </w:rPr>
      </w:pPr>
      <w:r>
        <w:t>“</w:t>
      </w:r>
      <w:r w:rsidR="003E48FC">
        <w:t xml:space="preserve">By November 2019, 14 Member States had adopted or endorsed the </w:t>
      </w:r>
      <w:r w:rsidR="00B7621B" w:rsidRPr="00FA5F8A">
        <w:t>[International Holocaust Remembrance Alliance working definition of antisemitism]</w:t>
      </w:r>
      <w:r w:rsidR="003E48FC">
        <w:t xml:space="preserve">: Austria, </w:t>
      </w:r>
      <w:r w:rsidR="003E48FC" w:rsidRPr="00E879DC">
        <w:rPr>
          <w:b/>
        </w:rPr>
        <w:t>Belgium</w:t>
      </w:r>
      <w:r w:rsidR="003E48FC">
        <w:t>, Bulgaria, Czechia, France, Germany, Greece, Hungary, Lithuania, the Netherlands, Romania, Slovakia, Sweden and the United Kingdom.</w:t>
      </w:r>
      <w:r>
        <w:t>”</w:t>
      </w:r>
      <w:r w:rsidR="003E48FC">
        <w:t xml:space="preserve"> </w:t>
      </w:r>
      <w:r w:rsidR="003E48FC" w:rsidRPr="00E879DC">
        <w:rPr>
          <w:i/>
        </w:rPr>
        <w:t>(</w:t>
      </w:r>
      <w:hyperlink r:id="rId34" w:history="1">
        <w:r w:rsidR="00390DA5" w:rsidRPr="00390DA5">
          <w:rPr>
            <w:rStyle w:val="Hyperlink"/>
            <w:i/>
            <w:iCs/>
          </w:rPr>
          <w:t>Fundamental Rights Report 2020</w:t>
        </w:r>
      </w:hyperlink>
      <w:r w:rsidR="003E48FC" w:rsidRPr="00E879DC">
        <w:rPr>
          <w:i/>
        </w:rPr>
        <w:t>, p.62)</w:t>
      </w:r>
    </w:p>
    <w:p w14:paraId="5E67142C" w14:textId="77777777" w:rsidR="00DF4FD3" w:rsidRPr="006855AD" w:rsidRDefault="00DF4FD3" w:rsidP="00475D67">
      <w:pPr>
        <w:jc w:val="both"/>
        <w:rPr>
          <w:rStyle w:val="Hyperlink"/>
          <w:color w:val="auto"/>
          <w:u w:val="none"/>
        </w:rPr>
      </w:pPr>
      <w:r>
        <w:t xml:space="preserve">“Nevertheless, as FRA reported, nationality-based discrimination against third-country nationals is prohibited in </w:t>
      </w:r>
      <w:r w:rsidRPr="00E879DC">
        <w:rPr>
          <w:b/>
        </w:rPr>
        <w:t>Belgium</w:t>
      </w:r>
      <w:r>
        <w:t>, Bulgaria, Cyprus, Finland, France, Hungary, Ireland, Italy, the Netherlands, Portugal, Romania and the United Kingdom.” (</w:t>
      </w:r>
      <w:hyperlink r:id="rId35" w:history="1">
        <w:r w:rsidRPr="00DF4FD3">
          <w:rPr>
            <w:rStyle w:val="Hyperlink"/>
            <w:i/>
            <w:iCs/>
          </w:rPr>
          <w:t>Second EU Minorities and Discrimination Survey – Migrant women – selected findings</w:t>
        </w:r>
      </w:hyperlink>
      <w:r w:rsidRPr="00E879DC">
        <w:rPr>
          <w:i/>
        </w:rPr>
        <w:t>, 2019, p.31</w:t>
      </w:r>
      <w:r>
        <w:t>)</w:t>
      </w:r>
    </w:p>
    <w:p w14:paraId="2B198377" w14:textId="77777777" w:rsidR="00EF068D" w:rsidRDefault="00EF068D" w:rsidP="00475D67">
      <w:pPr>
        <w:jc w:val="both"/>
      </w:pPr>
      <w:r>
        <w:t xml:space="preserve">“In </w:t>
      </w:r>
      <w:proofErr w:type="spellStart"/>
      <w:r w:rsidRPr="00ED0239">
        <w:rPr>
          <w:b/>
          <w:i/>
        </w:rPr>
        <w:t>Lachiri</w:t>
      </w:r>
      <w:proofErr w:type="spellEnd"/>
      <w:r w:rsidRPr="00ED0239">
        <w:rPr>
          <w:b/>
          <w:i/>
        </w:rPr>
        <w:t xml:space="preserve"> v. Belgium</w:t>
      </w:r>
      <w:r w:rsidRPr="00ED0239">
        <w:rPr>
          <w:b/>
        </w:rPr>
        <w:t>,</w:t>
      </w:r>
      <w:r>
        <w:t xml:space="preserve"> the applicant had been excluded from a courtroom on account of her refusal to remove her headscarf. The ECtHR found that the exclusion of an ordinary citizen, not representing the State, from the courtroom had amounted to a  restriction on the exercise of her right to manifest her religion, and the need for the restriction had not been justified, in violation of Article 9 of the ECHR.” (</w:t>
      </w:r>
      <w:hyperlink r:id="rId36" w:history="1">
        <w:r w:rsidRPr="00B7621B">
          <w:rPr>
            <w:rStyle w:val="Hyperlink"/>
            <w:i/>
            <w:iCs/>
          </w:rPr>
          <w:t>Fundamental Rights Report 2019</w:t>
        </w:r>
      </w:hyperlink>
      <w:r w:rsidRPr="00ED0239">
        <w:rPr>
          <w:i/>
        </w:rPr>
        <w:t>, p.71</w:t>
      </w:r>
      <w:r>
        <w:t>)</w:t>
      </w:r>
    </w:p>
    <w:p w14:paraId="0CD54420" w14:textId="77777777" w:rsidR="00EF068D" w:rsidRDefault="00EF068D" w:rsidP="00475D67">
      <w:pPr>
        <w:jc w:val="both"/>
      </w:pPr>
      <w:r>
        <w:t xml:space="preserve">“In </w:t>
      </w:r>
      <w:r w:rsidRPr="00ED0239">
        <w:rPr>
          <w:b/>
        </w:rPr>
        <w:t>Belgium</w:t>
      </w:r>
      <w:r>
        <w:t>, the Tribunal of Ghent ruled in two cases that a burkini ban in swimming pools amounts to indirect discrimination on the ground of religious beliefs. Although it stems from a neutral general requirement to wear a swimming suit to access the pool, it affects Muslim women who want to wear a burkini for religious reasons.” (</w:t>
      </w:r>
      <w:hyperlink r:id="rId37" w:history="1">
        <w:r w:rsidRPr="00B7621B">
          <w:rPr>
            <w:rStyle w:val="Hyperlink"/>
            <w:i/>
            <w:iCs/>
          </w:rPr>
          <w:t>Fundamental Rights Report 2019</w:t>
        </w:r>
      </w:hyperlink>
      <w:r w:rsidRPr="00ED0239">
        <w:rPr>
          <w:i/>
        </w:rPr>
        <w:t>, p.71</w:t>
      </w:r>
      <w:r>
        <w:t>)</w:t>
      </w:r>
    </w:p>
    <w:p w14:paraId="3D8E05FA" w14:textId="72C0BF7D" w:rsidR="00390DA5" w:rsidRDefault="00390DA5" w:rsidP="00475D67">
      <w:pPr>
        <w:jc w:val="both"/>
        <w:rPr>
          <w:i/>
        </w:rPr>
      </w:pPr>
      <w:r>
        <w:lastRenderedPageBreak/>
        <w:t xml:space="preserve">“In </w:t>
      </w:r>
      <w:r w:rsidRPr="00E879DC">
        <w:rPr>
          <w:b/>
        </w:rPr>
        <w:t>Belgium</w:t>
      </w:r>
      <w:r>
        <w:t xml:space="preserve">, the Flemish government’s Department of Work and Social Economy, as part of its broader anti-discrimination policy, has created incentives for economic sectors to develop binding sectoral codes of conduct against all forms of discrimination. The government will financially support actions leading to their adoption. As a further incentive, the government </w:t>
      </w:r>
      <w:proofErr w:type="gramStart"/>
      <w:r>
        <w:t>will</w:t>
      </w:r>
      <w:proofErr w:type="gramEnd"/>
      <w:r>
        <w:t xml:space="preserve"> provide results-based compensation to the sectors if the reports sent in by the sectors receive positive evaluations.” </w:t>
      </w:r>
      <w:r w:rsidRPr="00E879DC">
        <w:rPr>
          <w:i/>
        </w:rPr>
        <w:t>(</w:t>
      </w:r>
      <w:hyperlink r:id="rId38" w:history="1">
        <w:r w:rsidR="00B7621B" w:rsidRPr="00B7621B">
          <w:rPr>
            <w:rStyle w:val="Hyperlink"/>
            <w:i/>
            <w:iCs/>
          </w:rPr>
          <w:t>Fundamental Rights Report 2019</w:t>
        </w:r>
      </w:hyperlink>
      <w:r w:rsidRPr="00E879DC">
        <w:rPr>
          <w:i/>
        </w:rPr>
        <w:t>, p.74)</w:t>
      </w:r>
    </w:p>
    <w:p w14:paraId="114DAFA7" w14:textId="2B6756A2" w:rsidR="00D673C3" w:rsidRDefault="00D673C3" w:rsidP="00475D67">
      <w:pPr>
        <w:jc w:val="both"/>
      </w:pPr>
      <w:r>
        <w:t xml:space="preserve">“In </w:t>
      </w:r>
      <w:r w:rsidRPr="00ED0239">
        <w:rPr>
          <w:b/>
        </w:rPr>
        <w:t>Belgium</w:t>
      </w:r>
      <w:r>
        <w:t>, the Federal Migration Centre (</w:t>
      </w:r>
      <w:proofErr w:type="spellStart"/>
      <w:r>
        <w:t>Myria</w:t>
      </w:r>
      <w:proofErr w:type="spellEnd"/>
      <w:r>
        <w:t xml:space="preserve">) concluded that Bills 2549/001 and 2548/001 of 22 June 2017 modifying the law of 15 December 1980 on removal and detention were not in line with Article 27 of the Dublin III Regulation (Remedies). Considering the latter in combination with Article 47 (right to an effective remedy and to a  fair trial) of the Charter [of Fundamental Rights of the European Union], </w:t>
      </w:r>
      <w:proofErr w:type="spellStart"/>
      <w:r>
        <w:t>Myria</w:t>
      </w:r>
      <w:proofErr w:type="spellEnd"/>
      <w:r>
        <w:t xml:space="preserve"> called for an effective remedy to have a  suspensive effect on an asylum </w:t>
      </w:r>
      <w:proofErr w:type="spellStart"/>
      <w:r>
        <w:t>seeker’s</w:t>
      </w:r>
      <w:proofErr w:type="spellEnd"/>
      <w:r>
        <w:t xml:space="preserve"> transfer where such transfer carried a serious risk of mistreatment. The legislature ultimately did not take this concern into account.” (</w:t>
      </w:r>
      <w:hyperlink r:id="rId39" w:history="1">
        <w:r w:rsidRPr="009A3167">
          <w:rPr>
            <w:rStyle w:val="Hyperlink"/>
            <w:i/>
            <w:iCs/>
          </w:rPr>
          <w:t>Fundamental Rights Report 2018</w:t>
        </w:r>
      </w:hyperlink>
      <w:r w:rsidRPr="00ED0239">
        <w:rPr>
          <w:i/>
        </w:rPr>
        <w:t>, p.45</w:t>
      </w:r>
      <w:r>
        <w:t>)</w:t>
      </w:r>
    </w:p>
    <w:p w14:paraId="2E6245A3" w14:textId="77777777" w:rsidR="004C10F8" w:rsidRDefault="008F2BA8" w:rsidP="00475D67">
      <w:pPr>
        <w:jc w:val="both"/>
      </w:pPr>
      <w:r>
        <w:t>“Restrictions on religious clothing or symbols at work or in public spaces remained a subject of attention in the EU in 2017, particularly regarding face-covering garments worn by some Muslim women. This is evidenced in findings from an analysis of related legislation in the EU 28; in preliminary rulings issued by the CJEU (</w:t>
      </w:r>
      <w:proofErr w:type="spellStart"/>
      <w:r w:rsidRPr="00ED0239">
        <w:rPr>
          <w:i/>
        </w:rPr>
        <w:t>Achbita</w:t>
      </w:r>
      <w:proofErr w:type="spellEnd"/>
      <w:r w:rsidRPr="00ED0239">
        <w:rPr>
          <w:i/>
        </w:rPr>
        <w:t xml:space="preserve"> and </w:t>
      </w:r>
      <w:proofErr w:type="spellStart"/>
      <w:r w:rsidRPr="00ED0239">
        <w:rPr>
          <w:i/>
        </w:rPr>
        <w:t>Bougnaoui</w:t>
      </w:r>
      <w:proofErr w:type="spellEnd"/>
      <w:r>
        <w:t>) and judgments of the European Court of Human Rights (</w:t>
      </w:r>
      <w:r w:rsidRPr="00ED0239">
        <w:rPr>
          <w:i/>
        </w:rPr>
        <w:t xml:space="preserve">ECtHR – </w:t>
      </w:r>
      <w:proofErr w:type="spellStart"/>
      <w:r w:rsidRPr="00ED0239">
        <w:rPr>
          <w:b/>
          <w:i/>
        </w:rPr>
        <w:t>Belcacemi</w:t>
      </w:r>
      <w:proofErr w:type="spellEnd"/>
      <w:r w:rsidRPr="00ED0239">
        <w:rPr>
          <w:b/>
          <w:i/>
        </w:rPr>
        <w:t xml:space="preserve"> and </w:t>
      </w:r>
      <w:proofErr w:type="spellStart"/>
      <w:r w:rsidRPr="00ED0239">
        <w:rPr>
          <w:b/>
          <w:i/>
        </w:rPr>
        <w:t>Oussar</w:t>
      </w:r>
      <w:proofErr w:type="spellEnd"/>
      <w:r w:rsidRPr="00ED0239">
        <w:rPr>
          <w:b/>
          <w:i/>
        </w:rPr>
        <w:t xml:space="preserve"> v. Belgium</w:t>
      </w:r>
      <w:r>
        <w:t xml:space="preserve"> and </w:t>
      </w:r>
      <w:proofErr w:type="spellStart"/>
      <w:r w:rsidRPr="00ED0239">
        <w:rPr>
          <w:b/>
          <w:i/>
        </w:rPr>
        <w:t>Dakir</w:t>
      </w:r>
      <w:proofErr w:type="spellEnd"/>
      <w:r w:rsidRPr="00ED0239">
        <w:rPr>
          <w:b/>
          <w:i/>
        </w:rPr>
        <w:t xml:space="preserve"> v. Belgium</w:t>
      </w:r>
      <w:r>
        <w:t xml:space="preserve">) in 2017. </w:t>
      </w:r>
      <w:r>
        <w:br/>
        <w:t xml:space="preserve">In </w:t>
      </w:r>
      <w:proofErr w:type="spellStart"/>
      <w:r w:rsidRPr="00F23756">
        <w:rPr>
          <w:i/>
        </w:rPr>
        <w:t>Achbita</w:t>
      </w:r>
      <w:proofErr w:type="spellEnd"/>
      <w:r w:rsidRPr="00F23756">
        <w:rPr>
          <w:i/>
        </w:rPr>
        <w:t>,</w:t>
      </w:r>
      <w:r>
        <w:t xml:space="preserve"> the CJEU held that internal rules prohibiting employees from wearing visible political, </w:t>
      </w:r>
      <w:proofErr w:type="gramStart"/>
      <w:r>
        <w:t>philosophical</w:t>
      </w:r>
      <w:proofErr w:type="gramEnd"/>
      <w:r>
        <w:t xml:space="preserve"> or religious signs do not constitute direct discrimination within the meaning of the Employment Equality Directive. The CJEU did hold, however, that such rules may constitute indirect discrimination if they put persons of a specific religion at a particular disadvantage. On 7 October, the </w:t>
      </w:r>
      <w:r w:rsidRPr="00ED0239">
        <w:rPr>
          <w:b/>
        </w:rPr>
        <w:t>Belgian Court of Cassation</w:t>
      </w:r>
      <w:r>
        <w:t xml:space="preserve"> ordered a retrial of the </w:t>
      </w:r>
      <w:proofErr w:type="spellStart"/>
      <w:r w:rsidRPr="00F23756">
        <w:rPr>
          <w:i/>
        </w:rPr>
        <w:t>Achbita</w:t>
      </w:r>
      <w:proofErr w:type="spellEnd"/>
      <w:r w:rsidRPr="00F23756">
        <w:rPr>
          <w:i/>
        </w:rPr>
        <w:t xml:space="preserve"> </w:t>
      </w:r>
      <w:r w:rsidRPr="00F23756">
        <w:t>case</w:t>
      </w:r>
      <w:r>
        <w:t xml:space="preserve">, finding that the arguments of the Antwerp Labour Court had failed to test the employer’s policy of neutrality against the </w:t>
      </w:r>
      <w:r w:rsidRPr="00ED0239">
        <w:rPr>
          <w:b/>
        </w:rPr>
        <w:t xml:space="preserve">Belgium </w:t>
      </w:r>
      <w:r>
        <w:t>antidiscrimination law.</w:t>
      </w:r>
    </w:p>
    <w:p w14:paraId="58724CD6" w14:textId="02310A3C" w:rsidR="008F2BA8" w:rsidRDefault="008F2BA8" w:rsidP="00475D67">
      <w:pPr>
        <w:jc w:val="both"/>
      </w:pPr>
      <w:r>
        <w:t xml:space="preserve">In </w:t>
      </w:r>
      <w:proofErr w:type="spellStart"/>
      <w:r w:rsidRPr="00ED0239">
        <w:rPr>
          <w:b/>
          <w:i/>
        </w:rPr>
        <w:t>Belcacemi</w:t>
      </w:r>
      <w:proofErr w:type="spellEnd"/>
      <w:r w:rsidRPr="00ED0239">
        <w:rPr>
          <w:b/>
          <w:i/>
        </w:rPr>
        <w:t xml:space="preserve"> and </w:t>
      </w:r>
      <w:proofErr w:type="spellStart"/>
      <w:r w:rsidRPr="00ED0239">
        <w:rPr>
          <w:b/>
          <w:i/>
        </w:rPr>
        <w:t>Oussar</w:t>
      </w:r>
      <w:proofErr w:type="spellEnd"/>
      <w:r w:rsidRPr="00ED0239">
        <w:rPr>
          <w:b/>
          <w:i/>
        </w:rPr>
        <w:t xml:space="preserve"> v. Belgium</w:t>
      </w:r>
      <w:r>
        <w:t xml:space="preserve">, as well as in </w:t>
      </w:r>
      <w:proofErr w:type="spellStart"/>
      <w:r w:rsidRPr="00ED0239">
        <w:rPr>
          <w:b/>
          <w:i/>
        </w:rPr>
        <w:t>Dakir</w:t>
      </w:r>
      <w:proofErr w:type="spellEnd"/>
      <w:r w:rsidRPr="00ED0239">
        <w:rPr>
          <w:b/>
          <w:i/>
        </w:rPr>
        <w:t xml:space="preserve"> v. Belgium</w:t>
      </w:r>
      <w:r>
        <w:t xml:space="preserve">, the ECtHR held that banning the wearing in public of face-covering clothing does not violate the right to respect for private and family life (Article 8 of the ECHR); freedom of thought, conscience and religion (Article 9); or the prohibition of discrimination (Article  14). Both cases drew on jurisprudence established by </w:t>
      </w:r>
      <w:r w:rsidRPr="00F23756">
        <w:rPr>
          <w:i/>
        </w:rPr>
        <w:t>S.A.S. v. France,</w:t>
      </w:r>
      <w:r>
        <w:t xml:space="preserve"> where such restrictions were analysed in light of the principle of ‘living together’.” (</w:t>
      </w:r>
      <w:hyperlink r:id="rId40" w:history="1">
        <w:r w:rsidRPr="009A3167">
          <w:rPr>
            <w:rStyle w:val="Hyperlink"/>
            <w:i/>
            <w:iCs/>
          </w:rPr>
          <w:t>Fundamental Rights Report 2018</w:t>
        </w:r>
      </w:hyperlink>
      <w:r w:rsidRPr="007C082F">
        <w:rPr>
          <w:i/>
        </w:rPr>
        <w:t>, pp.56 - 57</w:t>
      </w:r>
      <w:r>
        <w:t>)</w:t>
      </w:r>
    </w:p>
    <w:p w14:paraId="4F6FAC51" w14:textId="77777777" w:rsidR="004C10F8" w:rsidRDefault="006D3600" w:rsidP="00475D67">
      <w:pPr>
        <w:jc w:val="both"/>
      </w:pPr>
      <w:r>
        <w:t xml:space="preserve">“In addition, findings of discrimination testing are accepted in court in </w:t>
      </w:r>
      <w:proofErr w:type="gramStart"/>
      <w:r>
        <w:t>a number of</w:t>
      </w:r>
      <w:proofErr w:type="gramEnd"/>
      <w:r>
        <w:t xml:space="preserve"> EU Member States, including </w:t>
      </w:r>
      <w:r w:rsidRPr="00E879DC">
        <w:rPr>
          <w:b/>
        </w:rPr>
        <w:t>Belgium</w:t>
      </w:r>
      <w:r>
        <w:t xml:space="preserve">, the Czech Republic, Finland, France, Hungary, the Netherlands and Sweden. In 2017, legal developments in the field occurred in </w:t>
      </w:r>
      <w:r w:rsidRPr="00E879DC">
        <w:rPr>
          <w:b/>
        </w:rPr>
        <w:t>Belgium</w:t>
      </w:r>
      <w:r>
        <w:t xml:space="preserve">. In addition, relevant research findings were published in </w:t>
      </w:r>
      <w:r w:rsidRPr="007E7A18">
        <w:rPr>
          <w:b/>
          <w:bCs/>
        </w:rPr>
        <w:t>Belgium</w:t>
      </w:r>
      <w:r>
        <w:t xml:space="preserve">, Finland, the Netherlands, and Sweden. </w:t>
      </w:r>
    </w:p>
    <w:p w14:paraId="47753C5E" w14:textId="687A3959" w:rsidR="006D3600" w:rsidRDefault="006D3600" w:rsidP="00475D67">
      <w:pPr>
        <w:jc w:val="both"/>
      </w:pPr>
      <w:r w:rsidRPr="00E879DC">
        <w:rPr>
          <w:b/>
        </w:rPr>
        <w:t>Flanders and the Brussels-Capital region in Belgium</w:t>
      </w:r>
      <w:r>
        <w:t xml:space="preserve"> adopted instruments that relate to the regulation of situation testing. In July,</w:t>
      </w:r>
      <w:r w:rsidRPr="00E879DC">
        <w:rPr>
          <w:b/>
        </w:rPr>
        <w:t xml:space="preserve"> Flanders</w:t>
      </w:r>
      <w:r>
        <w:t xml:space="preserve"> adopted a decree that obliges companies that want to be accredited as suppliers of service vouchers (</w:t>
      </w:r>
      <w:proofErr w:type="spellStart"/>
      <w:r w:rsidRPr="00E879DC">
        <w:rPr>
          <w:i/>
        </w:rPr>
        <w:t>dienstencheques</w:t>
      </w:r>
      <w:proofErr w:type="spellEnd"/>
      <w:r>
        <w:t>) to perform situation testing (</w:t>
      </w:r>
      <w:proofErr w:type="spellStart"/>
      <w:r w:rsidRPr="00E879DC">
        <w:rPr>
          <w:i/>
        </w:rPr>
        <w:t>praktijktesten</w:t>
      </w:r>
      <w:proofErr w:type="spellEnd"/>
      <w:r>
        <w:t xml:space="preserve">). Having come into force in August, the decree obliges these companies to report breaches of anti-discrimination legislation to the </w:t>
      </w:r>
      <w:r w:rsidRPr="00E879DC">
        <w:rPr>
          <w:b/>
        </w:rPr>
        <w:t>Flemish</w:t>
      </w:r>
      <w:r>
        <w:t xml:space="preserve"> labour inspectorate. </w:t>
      </w:r>
    </w:p>
    <w:p w14:paraId="7799B4CB" w14:textId="77777777" w:rsidR="006D3600" w:rsidRDefault="006D3600" w:rsidP="00475D67">
      <w:pPr>
        <w:jc w:val="both"/>
      </w:pPr>
      <w:r>
        <w:t xml:space="preserve">In October, the </w:t>
      </w:r>
      <w:r w:rsidRPr="00E879DC">
        <w:rPr>
          <w:b/>
        </w:rPr>
        <w:t>Brussels-Capital Region</w:t>
      </w:r>
      <w:r>
        <w:t xml:space="preserve"> adopted an ordinance relating to the use of fictitious CVs for the purposes of situation testing in the labour market. The ordinance, which comes into force in January 2018, allows labour inspectors to perform situation tests to verify whether employers discriminate in recruitment. Labour inspectors can also perform so-called ‘mystery calls’ to see </w:t>
      </w:r>
      <w:r>
        <w:lastRenderedPageBreak/>
        <w:t xml:space="preserve">whether employers would accept instructions to discriminate. Where conclusive, findings of such tests can be used to establish direct or indirect discrimination in legal proceedings.” </w:t>
      </w:r>
      <w:r w:rsidRPr="00E879DC">
        <w:rPr>
          <w:i/>
        </w:rPr>
        <w:t>(</w:t>
      </w:r>
      <w:hyperlink r:id="rId41" w:history="1">
        <w:r w:rsidRPr="009A3167">
          <w:rPr>
            <w:rStyle w:val="Hyperlink"/>
            <w:i/>
            <w:iCs/>
          </w:rPr>
          <w:t>Fundamenta</w:t>
        </w:r>
        <w:r w:rsidRPr="009A3167">
          <w:rPr>
            <w:rStyle w:val="Hyperlink"/>
            <w:i/>
            <w:iCs/>
          </w:rPr>
          <w:t>l</w:t>
        </w:r>
        <w:r w:rsidRPr="009A3167">
          <w:rPr>
            <w:rStyle w:val="Hyperlink"/>
            <w:i/>
            <w:iCs/>
          </w:rPr>
          <w:t xml:space="preserve"> Rights Report 2018</w:t>
        </w:r>
      </w:hyperlink>
      <w:r w:rsidRPr="00E879DC">
        <w:rPr>
          <w:i/>
        </w:rPr>
        <w:t>, p.63)</w:t>
      </w:r>
    </w:p>
    <w:p w14:paraId="5EB9B6FF" w14:textId="77777777" w:rsidR="006D3600" w:rsidRDefault="006D3600" w:rsidP="00475D67">
      <w:pPr>
        <w:jc w:val="both"/>
      </w:pPr>
      <w:r>
        <w:t xml:space="preserve">“Finally, the </w:t>
      </w:r>
      <w:r w:rsidRPr="00E879DC">
        <w:rPr>
          <w:b/>
        </w:rPr>
        <w:t>Flemish Ministry of Culture in Belgium</w:t>
      </w:r>
      <w:r>
        <w:t xml:space="preserve"> recognised caravan culture as part of Flanders’ cultural heritage […].” </w:t>
      </w:r>
      <w:r w:rsidRPr="00E879DC">
        <w:rPr>
          <w:i/>
        </w:rPr>
        <w:t>(</w:t>
      </w:r>
      <w:hyperlink r:id="rId42" w:history="1">
        <w:r w:rsidRPr="009A3167">
          <w:rPr>
            <w:rStyle w:val="Hyperlink"/>
            <w:i/>
            <w:iCs/>
          </w:rPr>
          <w:t>Fundamental Rights Report 2018</w:t>
        </w:r>
      </w:hyperlink>
      <w:r w:rsidRPr="00E879DC">
        <w:rPr>
          <w:i/>
        </w:rPr>
        <w:t>, p.101)</w:t>
      </w:r>
    </w:p>
    <w:p w14:paraId="74A8B80E" w14:textId="77777777" w:rsidR="008D734F" w:rsidRDefault="008D734F" w:rsidP="00475D67">
      <w:pPr>
        <w:jc w:val="both"/>
      </w:pPr>
    </w:p>
    <w:p w14:paraId="5D6FB4AB" w14:textId="3EC1F5C2" w:rsidR="00402978" w:rsidRPr="00402978" w:rsidRDefault="008D734F" w:rsidP="00475D67">
      <w:pPr>
        <w:pStyle w:val="Heading2"/>
        <w:ind w:firstLine="720"/>
        <w:jc w:val="both"/>
      </w:pPr>
      <w:bookmarkStart w:id="7" w:name="_Toc67933984"/>
      <w:r>
        <w:t xml:space="preserve">1.1 </w:t>
      </w:r>
      <w:r w:rsidR="00402978" w:rsidRPr="00402978">
        <w:t>Awareness of anti-racism legislation among affected groups</w:t>
      </w:r>
      <w:bookmarkEnd w:id="7"/>
    </w:p>
    <w:p w14:paraId="08AB54D1" w14:textId="77777777" w:rsidR="00B209F4" w:rsidRDefault="00B209F4" w:rsidP="00475D67">
      <w:pPr>
        <w:jc w:val="both"/>
      </w:pPr>
    </w:p>
    <w:p w14:paraId="2133D929" w14:textId="680AFD7B" w:rsidR="00402978" w:rsidRDefault="00402978" w:rsidP="00475D67">
      <w:pPr>
        <w:jc w:val="both"/>
      </w:pPr>
      <w:r>
        <w:t xml:space="preserve">“Only every second respondent on average (53 %) is aware of laws prohibiting discrimination based on skin colour, ethnic origin or religion in their country of residence. The highest rates are among Roma and Travellers in Sweden (76 %), and the lowest are among Roma in the Netherlands (Figure 4). There are no substantial differences between women and men in their awareness of laws prohibiting discrimination, except in the United Kingdom, where 64 % of male and 50 % of female Gypsies and Travellers are aware of the existence of anti-discrimination legislation, and </w:t>
      </w:r>
      <w:r w:rsidRPr="00402978">
        <w:rPr>
          <w:b/>
        </w:rPr>
        <w:t>Belgium</w:t>
      </w:r>
      <w:r>
        <w:t>, where both Roma and Caravan dweller women are less aware of such legislation than men (Roma women 47 % versus Roma men 54 %; Caravan dweller women 36 % versus Caravan dweller men 44 %).” (</w:t>
      </w:r>
      <w:hyperlink r:id="rId43" w:history="1">
        <w:r w:rsidR="007F0C0C" w:rsidRPr="004A3206">
          <w:rPr>
            <w:rStyle w:val="Hyperlink"/>
            <w:i/>
            <w:iCs/>
          </w:rPr>
          <w:t>Roma and Travellers in six countries</w:t>
        </w:r>
      </w:hyperlink>
      <w:r w:rsidRPr="00402978">
        <w:rPr>
          <w:i/>
        </w:rPr>
        <w:t>, 2020, p.30</w:t>
      </w:r>
      <w:r>
        <w:t>)</w:t>
      </w:r>
    </w:p>
    <w:p w14:paraId="4B916E05" w14:textId="4755171F" w:rsidR="00402978" w:rsidRDefault="00402978" w:rsidP="00475D67">
      <w:pPr>
        <w:jc w:val="both"/>
        <w:rPr>
          <w:rStyle w:val="Hyperlink"/>
          <w:color w:val="000000" w:themeColor="text1"/>
          <w:u w:val="none"/>
        </w:rPr>
      </w:pPr>
      <w:r>
        <w:t xml:space="preserve">“Respondents in the other countries surveyed (e.g. Austria, Germany, France, Hungary, </w:t>
      </w:r>
      <w:r w:rsidRPr="00E879DC">
        <w:rPr>
          <w:b/>
        </w:rPr>
        <w:t>Belgium</w:t>
      </w:r>
      <w:r>
        <w:t xml:space="preserve">, Italy, and Poland) are more convinced that there is a law against denying or trivialising the Holocaust, with 60 % to 89 % saying that the country has a law prohibiting such actions.” </w:t>
      </w:r>
      <w:r w:rsidRPr="007E7A18">
        <w:rPr>
          <w:i/>
        </w:rPr>
        <w:t>(</w:t>
      </w:r>
      <w:hyperlink r:id="rId44" w:history="1">
        <w:r w:rsidR="007E7A18" w:rsidRPr="007E7A18">
          <w:rPr>
            <w:rStyle w:val="Hyperlink"/>
            <w:i/>
          </w:rPr>
          <w:t>Experiences and perceptions of antisemitism - Second survey on discrimination and hate crime against Jews in the EU</w:t>
        </w:r>
      </w:hyperlink>
      <w:r w:rsidRPr="00E879DC">
        <w:rPr>
          <w:rStyle w:val="Hyperlink"/>
          <w:i/>
          <w:color w:val="000000" w:themeColor="text1"/>
          <w:u w:val="none"/>
        </w:rPr>
        <w:t>, 2018, p.67)</w:t>
      </w:r>
    </w:p>
    <w:p w14:paraId="25368E75" w14:textId="58B93F43" w:rsidR="00402978" w:rsidRDefault="00402978" w:rsidP="00475D67">
      <w:pPr>
        <w:jc w:val="both"/>
        <w:rPr>
          <w:rStyle w:val="Hyperlink"/>
          <w:color w:val="000000" w:themeColor="text1"/>
          <w:u w:val="none"/>
        </w:rPr>
      </w:pPr>
      <w:r>
        <w:t xml:space="preserve">“In the countries included in the survey, most respondents are aware of the existence of laws against incitement to violence or hatred against Jews, with the exception of those in Spain (Figure 28). In countries other than Spain, Denmark, the Netherlands and Sweden, more than two thirds of respondents – from 67 % in </w:t>
      </w:r>
      <w:r w:rsidRPr="00402978">
        <w:rPr>
          <w:b/>
        </w:rPr>
        <w:t>Belgium</w:t>
      </w:r>
      <w:r>
        <w:t xml:space="preserve"> to 83 % in France – said that such a law exists. </w:t>
      </w:r>
      <w:r w:rsidRPr="00E879DC">
        <w:rPr>
          <w:i/>
        </w:rPr>
        <w:t>(</w:t>
      </w:r>
      <w:hyperlink r:id="rId45" w:history="1">
        <w:r w:rsidR="007E7A18" w:rsidRPr="007E7A18">
          <w:rPr>
            <w:rStyle w:val="Hyperlink"/>
            <w:i/>
          </w:rPr>
          <w:t>Experiences and perceptions of antisemitism - Second survey on discrimination and hate crime against Jews in the EU</w:t>
        </w:r>
      </w:hyperlink>
      <w:r w:rsidRPr="00E879DC">
        <w:rPr>
          <w:rStyle w:val="Hyperlink"/>
          <w:i/>
          <w:color w:val="000000" w:themeColor="text1"/>
          <w:u w:val="none"/>
        </w:rPr>
        <w:t>, 2018, p.68)</w:t>
      </w:r>
    </w:p>
    <w:p w14:paraId="169CCD01" w14:textId="66A49608" w:rsidR="00B209F4" w:rsidRDefault="00B209F4" w:rsidP="00475D67">
      <w:pPr>
        <w:jc w:val="both"/>
        <w:rPr>
          <w:rFonts w:asciiTheme="majorHAnsi" w:eastAsiaTheme="majorEastAsia" w:hAnsiTheme="majorHAnsi" w:cstheme="majorBidi"/>
          <w:color w:val="2E74B5" w:themeColor="accent1" w:themeShade="BF"/>
          <w:sz w:val="32"/>
          <w:szCs w:val="32"/>
        </w:rPr>
      </w:pPr>
    </w:p>
    <w:p w14:paraId="3EA08BC8" w14:textId="619119EF" w:rsidR="005C1011" w:rsidRPr="008D734F" w:rsidRDefault="005C1011" w:rsidP="00475D67">
      <w:pPr>
        <w:pStyle w:val="Heading1"/>
        <w:numPr>
          <w:ilvl w:val="0"/>
          <w:numId w:val="7"/>
        </w:numPr>
        <w:jc w:val="both"/>
        <w:rPr>
          <w:color w:val="2E74B5" w:themeColor="accent1" w:themeShade="BF"/>
        </w:rPr>
      </w:pPr>
      <w:bookmarkStart w:id="8" w:name="_Toc67933985"/>
      <w:r w:rsidRPr="008D734F">
        <w:rPr>
          <w:color w:val="2E74B5" w:themeColor="accent1" w:themeShade="BF"/>
        </w:rPr>
        <w:t>Integration and inclusion</w:t>
      </w:r>
      <w:bookmarkEnd w:id="8"/>
    </w:p>
    <w:p w14:paraId="23082062" w14:textId="77777777" w:rsidR="007F0C0C" w:rsidRDefault="007F0C0C" w:rsidP="00475D67">
      <w:pPr>
        <w:jc w:val="both"/>
      </w:pPr>
    </w:p>
    <w:p w14:paraId="09CF2566" w14:textId="77777777" w:rsidR="007F0C0C" w:rsidRDefault="007F0C0C" w:rsidP="00475D67">
      <w:pPr>
        <w:jc w:val="both"/>
      </w:pPr>
      <w:r>
        <w:t xml:space="preserve">“Roma in the Netherlands (76 %) and Travellers in Ireland (65 %) have the highest proportions of respondents who felt discriminated against because of their Roma and Traveller background in the 12 months preceding the survey. In contrast, the proportion of respondents who felt discriminated against in </w:t>
      </w:r>
      <w:r w:rsidRPr="005B2E53">
        <w:rPr>
          <w:b/>
        </w:rPr>
        <w:t>Belgium</w:t>
      </w:r>
      <w:r>
        <w:t xml:space="preserve"> is 21 % among the Roma and 19 % among the Travellers.” (</w:t>
      </w:r>
      <w:hyperlink r:id="rId46" w:history="1">
        <w:r w:rsidRPr="004A3206">
          <w:rPr>
            <w:rStyle w:val="Hyperlink"/>
            <w:i/>
            <w:iCs/>
          </w:rPr>
          <w:t>Roma and Travellers in six countries</w:t>
        </w:r>
      </w:hyperlink>
      <w:r w:rsidRPr="005B2E53">
        <w:rPr>
          <w:i/>
        </w:rPr>
        <w:t>, 2020, p.27</w:t>
      </w:r>
      <w:r>
        <w:t>)</w:t>
      </w:r>
    </w:p>
    <w:p w14:paraId="6ADA6CB4" w14:textId="77777777" w:rsidR="007F0C0C" w:rsidRDefault="007F0C0C" w:rsidP="00475D67">
      <w:pPr>
        <w:jc w:val="both"/>
      </w:pPr>
      <w:r>
        <w:t xml:space="preserve">“The feeling of exclusion rises with feeling of being discriminated against for being a Roma or Traveller. </w:t>
      </w:r>
      <w:r w:rsidRPr="002E31F0">
        <w:rPr>
          <w:b/>
        </w:rPr>
        <w:t xml:space="preserve">Belgian </w:t>
      </w:r>
      <w:r>
        <w:t>Roma feel the least excluded (2.4), and Netherlands Roma (7.3) and Travellers (6.1) feel the most excluded.” (</w:t>
      </w:r>
      <w:hyperlink r:id="rId47" w:history="1">
        <w:r w:rsidRPr="004A3206">
          <w:rPr>
            <w:rStyle w:val="Hyperlink"/>
            <w:i/>
            <w:iCs/>
          </w:rPr>
          <w:t>Roma and Travellers in six countries</w:t>
        </w:r>
      </w:hyperlink>
      <w:r w:rsidRPr="002E31F0">
        <w:rPr>
          <w:i/>
        </w:rPr>
        <w:t>, 2020, p.59</w:t>
      </w:r>
      <w:r>
        <w:t xml:space="preserve">) </w:t>
      </w:r>
    </w:p>
    <w:p w14:paraId="58892D80" w14:textId="77777777" w:rsidR="007F0C0C" w:rsidRDefault="007F0C0C" w:rsidP="00475D67">
      <w:pPr>
        <w:jc w:val="both"/>
      </w:pPr>
      <w:r>
        <w:t xml:space="preserve">“Looking specifically at the countries included in the Roma and Travellers Survey (RTS), France has the biggest share of the general population that feels uncomfortable with Roma and Travellers as </w:t>
      </w:r>
      <w:r>
        <w:lastRenderedPageBreak/>
        <w:t xml:space="preserve">neighbours (52 %). In other countries this proportion is lower: 46 % in Ireland, 41 % in </w:t>
      </w:r>
      <w:r w:rsidRPr="00452273">
        <w:rPr>
          <w:b/>
        </w:rPr>
        <w:t>Belgium</w:t>
      </w:r>
      <w:r>
        <w:t>, 38 % in the United Kingdom, 33 % in the Netherlands and 30 % in Sweden.” (</w:t>
      </w:r>
      <w:hyperlink r:id="rId48" w:history="1">
        <w:r w:rsidRPr="004A3206">
          <w:rPr>
            <w:rStyle w:val="Hyperlink"/>
            <w:i/>
            <w:iCs/>
          </w:rPr>
          <w:t>Roma and Travellers in six countries</w:t>
        </w:r>
      </w:hyperlink>
      <w:r w:rsidRPr="00452273">
        <w:rPr>
          <w:i/>
        </w:rPr>
        <w:t>, 2020, p.28</w:t>
      </w:r>
      <w:r>
        <w:t>)</w:t>
      </w:r>
    </w:p>
    <w:p w14:paraId="21A367EF" w14:textId="77777777" w:rsidR="007F0C0C" w:rsidRDefault="007F0C0C" w:rsidP="00475D67">
      <w:pPr>
        <w:jc w:val="both"/>
      </w:pPr>
      <w:r>
        <w:t xml:space="preserve">“Trust in the legal system is higher for Roma in </w:t>
      </w:r>
      <w:r w:rsidRPr="00EA1B4D">
        <w:rPr>
          <w:b/>
        </w:rPr>
        <w:t>Belgium</w:t>
      </w:r>
      <w:r>
        <w:t xml:space="preserve"> (6.3), and Roma and Travellers in Sweden (5.5), but Roma in the Netherlands are substantially less likely to express confidence in country’s legal system. In all six countries surveyed, except for Roma respondents in </w:t>
      </w:r>
      <w:r w:rsidRPr="00EA1B4D">
        <w:rPr>
          <w:b/>
        </w:rPr>
        <w:t>Belgium</w:t>
      </w:r>
      <w:r>
        <w:t xml:space="preserve">, the general population is more likely than Roma and Travellers to trust the legal system. Like trust in the police, there are no notable differences in the level of trust in the legal system between women and men, apart for Caravan dwellers in </w:t>
      </w:r>
      <w:r w:rsidRPr="00EA1B4D">
        <w:rPr>
          <w:b/>
        </w:rPr>
        <w:t>Belgium</w:t>
      </w:r>
      <w:r>
        <w:t>, where women tend to trust it more than men do (4.0 versus 2.4).” (</w:t>
      </w:r>
      <w:hyperlink r:id="rId49" w:history="1">
        <w:r w:rsidRPr="004A3206">
          <w:rPr>
            <w:rStyle w:val="Hyperlink"/>
            <w:i/>
            <w:iCs/>
          </w:rPr>
          <w:t>Roma and Travellers in six countries</w:t>
        </w:r>
      </w:hyperlink>
      <w:r w:rsidRPr="00EA1B4D">
        <w:rPr>
          <w:i/>
        </w:rPr>
        <w:t>, 2020, p.39</w:t>
      </w:r>
      <w:r>
        <w:t>)</w:t>
      </w:r>
    </w:p>
    <w:p w14:paraId="3D50D24A" w14:textId="684DB97A" w:rsidR="001B676F" w:rsidRDefault="00A766A2" w:rsidP="00475D67">
      <w:pPr>
        <w:jc w:val="both"/>
      </w:pPr>
      <w:r>
        <w:t>“</w:t>
      </w:r>
      <w:r w:rsidR="001B676F">
        <w:t xml:space="preserve">Almost every third Roma in </w:t>
      </w:r>
      <w:r w:rsidR="001B676F" w:rsidRPr="00A766A2">
        <w:rPr>
          <w:b/>
        </w:rPr>
        <w:t xml:space="preserve">Belgium </w:t>
      </w:r>
      <w:r w:rsidR="001B676F">
        <w:t xml:space="preserve">(29 %) and every fourth Traveller or Gypsy in the United Kingdom (26 %) and Caravan dweller in </w:t>
      </w:r>
      <w:r w:rsidR="001B676F" w:rsidRPr="00A766A2">
        <w:rPr>
          <w:b/>
        </w:rPr>
        <w:t>Belgium</w:t>
      </w:r>
      <w:r w:rsidR="001B676F">
        <w:t xml:space="preserve"> (23 %) does not have a bank account; in France 14 % of Travellers and in Sweden 9 % of Roma and Travellers do not have one. In 2012, in </w:t>
      </w:r>
      <w:r w:rsidR="001B676F" w:rsidRPr="00A766A2">
        <w:rPr>
          <w:b/>
        </w:rPr>
        <w:t>Belgium</w:t>
      </w:r>
      <w:r w:rsidR="001B676F">
        <w:t>, France, the Netherlands, Sweden and the United Kingdom less than 5 % of the general population did not have a bank account; in Ireland 6 % of the general population did not.</w:t>
      </w:r>
      <w:r>
        <w:t>”</w:t>
      </w:r>
      <w:r w:rsidR="001B676F">
        <w:t xml:space="preserve"> (</w:t>
      </w:r>
      <w:hyperlink r:id="rId50" w:history="1">
        <w:r w:rsidR="007F0C0C" w:rsidRPr="004A3206">
          <w:rPr>
            <w:rStyle w:val="Hyperlink"/>
            <w:i/>
            <w:iCs/>
          </w:rPr>
          <w:t>Roma and Travellers in six countries</w:t>
        </w:r>
      </w:hyperlink>
      <w:r w:rsidR="001B676F">
        <w:t>, 2020, p.61)</w:t>
      </w:r>
    </w:p>
    <w:p w14:paraId="090D1230" w14:textId="77777777" w:rsidR="00D95261" w:rsidRDefault="00D95261" w:rsidP="00475D67">
      <w:pPr>
        <w:jc w:val="both"/>
      </w:pPr>
      <w:r>
        <w:t xml:space="preserve">“The Pears Institute for the Study of Antisemitism conducted a research project in 2016–2017 in </w:t>
      </w:r>
      <w:r w:rsidRPr="00ED0239">
        <w:rPr>
          <w:b/>
        </w:rPr>
        <w:t>Belgium</w:t>
      </w:r>
      <w:r>
        <w:t xml:space="preserve">, France, Germany, the Netherlands and the United Kingdom. It looked at </w:t>
      </w:r>
      <w:proofErr w:type="gramStart"/>
      <w:r>
        <w:t>whether or not</w:t>
      </w:r>
      <w:proofErr w:type="gramEnd"/>
      <w:r>
        <w:t xml:space="preserve"> immigration from the Middle East and North Africa since 2011 has had an impact on antisemitic attitudes and behaviour in Western Europe. While stating that antisemitic attitudes and/or behaviour are disproportionately present among Muslim minorities as well as among people with sympathy for extreme right-wing groups, the project concludes that there is no evidence in any of the countries covered that there is a  connection between migrants and the extent and character of antisemitism in Western Europe. Representatives of some Jewish organisations raised concerns about the methodology and the findings of the research.” (</w:t>
      </w:r>
      <w:hyperlink r:id="rId51" w:history="1">
        <w:r w:rsidRPr="00B7621B">
          <w:rPr>
            <w:rStyle w:val="Hyperlink"/>
            <w:i/>
            <w:iCs/>
          </w:rPr>
          <w:t>Fundamental Rights Report 2019</w:t>
        </w:r>
      </w:hyperlink>
      <w:r w:rsidRPr="00ED0239">
        <w:rPr>
          <w:i/>
        </w:rPr>
        <w:t>, p.91</w:t>
      </w:r>
      <w:r>
        <w:t>)</w:t>
      </w:r>
    </w:p>
    <w:p w14:paraId="165E9732" w14:textId="592F139E" w:rsidR="00E232B3" w:rsidRDefault="00CD68E8" w:rsidP="00475D67">
      <w:pPr>
        <w:jc w:val="both"/>
        <w:rPr>
          <w:rStyle w:val="Hyperlink"/>
          <w:color w:val="000000" w:themeColor="text1"/>
          <w:u w:val="none"/>
        </w:rPr>
      </w:pPr>
      <w:r>
        <w:t>“</w:t>
      </w:r>
      <w:r w:rsidR="00E232B3">
        <w:t>Over 80 % of respondents in five countries (</w:t>
      </w:r>
      <w:r w:rsidR="00E232B3" w:rsidRPr="00CD68E8">
        <w:rPr>
          <w:b/>
        </w:rPr>
        <w:t>Belgium</w:t>
      </w:r>
      <w:r w:rsidR="00E232B3">
        <w:t xml:space="preserve">, France, Germany, Poland, and Sweden) saw antisemitism as ‘a very big’ or ‘a fairly big problem’ – in France, this share reaches 95 % of respondents. A large majority of respondents in Austria, </w:t>
      </w:r>
      <w:r w:rsidR="00E232B3" w:rsidRPr="00CD68E8">
        <w:rPr>
          <w:b/>
        </w:rPr>
        <w:t>Belgium</w:t>
      </w:r>
      <w:r w:rsidR="00E232B3">
        <w:t>, France, Hungary, Italy, Poland, and Sweden saw racism as ‘a very big’ or ‘a fairly big problem’ in the country where they live (depending on the country, between 82 % and 91 % of the respondents hold this view).</w:t>
      </w:r>
      <w:r>
        <w:t>”</w:t>
      </w:r>
      <w:r w:rsidR="00E232B3">
        <w:t xml:space="preserve"> (</w:t>
      </w:r>
      <w:hyperlink r:id="rId52" w:history="1">
        <w:r w:rsidR="007E7A18" w:rsidRPr="007E7A18">
          <w:rPr>
            <w:rStyle w:val="Hyperlink"/>
            <w:i/>
          </w:rPr>
          <w:t>Experiences and perceptions of antisemitism - Second survey on discrimination and hate crime against Jews in the EU</w:t>
        </w:r>
      </w:hyperlink>
      <w:r w:rsidR="00E232B3" w:rsidRPr="00CD68E8">
        <w:rPr>
          <w:rStyle w:val="Hyperlink"/>
          <w:i/>
          <w:color w:val="000000" w:themeColor="text1"/>
          <w:u w:val="none"/>
        </w:rPr>
        <w:t>, 2018, p.15</w:t>
      </w:r>
      <w:r w:rsidR="00E232B3">
        <w:rPr>
          <w:rStyle w:val="Hyperlink"/>
          <w:color w:val="000000" w:themeColor="text1"/>
          <w:u w:val="none"/>
        </w:rPr>
        <w:t>)</w:t>
      </w:r>
    </w:p>
    <w:p w14:paraId="45DB0812" w14:textId="79EEE4D2" w:rsidR="00411734" w:rsidRDefault="00CD68E8" w:rsidP="00475D67">
      <w:pPr>
        <w:jc w:val="both"/>
        <w:rPr>
          <w:rStyle w:val="Hyperlink"/>
          <w:color w:val="000000" w:themeColor="text1"/>
          <w:u w:val="none"/>
        </w:rPr>
      </w:pPr>
      <w:r>
        <w:t>“</w:t>
      </w:r>
      <w:r w:rsidR="00411734">
        <w:t xml:space="preserve">The percentage of respondents indicating that antisemitism increased during the past five years is especially high (about 90 %) in </w:t>
      </w:r>
      <w:r w:rsidR="00411734" w:rsidRPr="00CD68E8">
        <w:rPr>
          <w:b/>
        </w:rPr>
        <w:t>Belgium</w:t>
      </w:r>
      <w:r w:rsidR="00411734">
        <w:t>, France, Germany, the Netherlands, Sweden, and the United Kingdom.</w:t>
      </w:r>
      <w:r>
        <w:t>”</w:t>
      </w:r>
      <w:r w:rsidR="00411734">
        <w:t xml:space="preserve"> (</w:t>
      </w:r>
      <w:hyperlink r:id="rId53" w:history="1">
        <w:r w:rsidR="007E7A18" w:rsidRPr="007E7A18">
          <w:rPr>
            <w:rStyle w:val="Hyperlink"/>
            <w:i/>
          </w:rPr>
          <w:t>Experiences and perceptions of antisemitism - Second survey on discrimination and hate crime against Jews in the EU</w:t>
        </w:r>
      </w:hyperlink>
      <w:r w:rsidR="00411734" w:rsidRPr="00CD68E8">
        <w:rPr>
          <w:rStyle w:val="Hyperlink"/>
          <w:i/>
          <w:color w:val="000000" w:themeColor="text1"/>
          <w:u w:val="none"/>
        </w:rPr>
        <w:t>, 2018, p.18</w:t>
      </w:r>
      <w:r w:rsidR="00411734">
        <w:rPr>
          <w:rStyle w:val="Hyperlink"/>
          <w:color w:val="000000" w:themeColor="text1"/>
          <w:u w:val="none"/>
        </w:rPr>
        <w:t>)</w:t>
      </w:r>
    </w:p>
    <w:p w14:paraId="7ED16923" w14:textId="472AFB7E" w:rsidR="001E2A60" w:rsidRDefault="00FA6095" w:rsidP="00475D67">
      <w:pPr>
        <w:jc w:val="both"/>
        <w:rPr>
          <w:rStyle w:val="Hyperlink"/>
          <w:color w:val="000000" w:themeColor="text1"/>
          <w:u w:val="none"/>
        </w:rPr>
      </w:pPr>
      <w:r>
        <w:t>“</w:t>
      </w:r>
      <w:r w:rsidR="001E2A60">
        <w:t xml:space="preserve">The percentage of respondents indicating that antisemitism on the internet is problematic is especially high (at least 90 %) in </w:t>
      </w:r>
      <w:r w:rsidR="001E2A60" w:rsidRPr="00FA6095">
        <w:rPr>
          <w:b/>
        </w:rPr>
        <w:t>Belgium</w:t>
      </w:r>
      <w:r w:rsidR="001E2A60">
        <w:t xml:space="preserve">, France, Italy, and Poland. In </w:t>
      </w:r>
      <w:r w:rsidR="001E2A60" w:rsidRPr="00FA6095">
        <w:rPr>
          <w:b/>
        </w:rPr>
        <w:t>Belgium</w:t>
      </w:r>
      <w:r w:rsidR="001E2A60">
        <w:t xml:space="preserve"> and France, a majority of respondents rate almost all antisemitic manifestations that the survey asked about as ‘a very big’ or ‘a fairly big’ problem. These are also the countries with the highest proportion of respondents indicating antisemitism in general as a problem.</w:t>
      </w:r>
      <w:r>
        <w:t>”</w:t>
      </w:r>
      <w:r w:rsidR="001E2A60">
        <w:t xml:space="preserve"> (</w:t>
      </w:r>
      <w:hyperlink r:id="rId54" w:history="1">
        <w:r w:rsidR="007E7A18" w:rsidRPr="007E7A18">
          <w:rPr>
            <w:rStyle w:val="Hyperlink"/>
            <w:i/>
          </w:rPr>
          <w:t>Experiences and perceptions of antisemitism - Second survey on discrimination and hate crime against Jews in the EU</w:t>
        </w:r>
      </w:hyperlink>
      <w:r w:rsidR="001E2A60" w:rsidRPr="00FA6095">
        <w:rPr>
          <w:rStyle w:val="Hyperlink"/>
          <w:i/>
          <w:color w:val="000000" w:themeColor="text1"/>
          <w:u w:val="none"/>
        </w:rPr>
        <w:t>, 2018, p.22</w:t>
      </w:r>
      <w:r w:rsidR="001E2A60">
        <w:rPr>
          <w:rStyle w:val="Hyperlink"/>
          <w:color w:val="000000" w:themeColor="text1"/>
          <w:u w:val="none"/>
        </w:rPr>
        <w:t>)</w:t>
      </w:r>
    </w:p>
    <w:p w14:paraId="4CE5AD81" w14:textId="77777777" w:rsidR="002A2933" w:rsidRDefault="002A2933" w:rsidP="00475D67">
      <w:pPr>
        <w:jc w:val="both"/>
      </w:pPr>
    </w:p>
    <w:p w14:paraId="42BB524F" w14:textId="5DE59DDA" w:rsidR="000F1B80" w:rsidRDefault="00FA6095" w:rsidP="00475D67">
      <w:pPr>
        <w:jc w:val="both"/>
        <w:rPr>
          <w:rStyle w:val="Hyperlink"/>
          <w:color w:val="000000" w:themeColor="text1"/>
          <w:u w:val="none"/>
        </w:rPr>
      </w:pPr>
      <w:r>
        <w:lastRenderedPageBreak/>
        <w:t>“</w:t>
      </w:r>
      <w:r w:rsidR="000211EA">
        <w:t>The major</w:t>
      </w:r>
      <w:r w:rsidR="000F1B80">
        <w:t>ity of the respondents in</w:t>
      </w:r>
      <w:r w:rsidR="000F1B80" w:rsidRPr="00FA6095">
        <w:rPr>
          <w:b/>
        </w:rPr>
        <w:t xml:space="preserve"> Belgium</w:t>
      </w:r>
      <w:r w:rsidR="000F1B80">
        <w:t xml:space="preserve"> (84 %), Spain (85 %), and France (80 %) consider antisemitism in the media to be ‘a very big’ or ‘a fairly big’ problem in the country.</w:t>
      </w:r>
      <w:r>
        <w:t>”</w:t>
      </w:r>
      <w:r w:rsidR="000F1B80">
        <w:t xml:space="preserve"> (</w:t>
      </w:r>
      <w:hyperlink r:id="rId55" w:history="1">
        <w:r w:rsidR="007E7A18" w:rsidRPr="007E7A18">
          <w:rPr>
            <w:rStyle w:val="Hyperlink"/>
            <w:i/>
          </w:rPr>
          <w:t>Experiences and perceptions of antisemitism - Second survey on discrimination and hate crime against Jews in the EU</w:t>
        </w:r>
      </w:hyperlink>
      <w:r w:rsidR="000F1B80" w:rsidRPr="00FA6095">
        <w:rPr>
          <w:rStyle w:val="Hyperlink"/>
          <w:i/>
          <w:color w:val="000000" w:themeColor="text1"/>
          <w:u w:val="none"/>
        </w:rPr>
        <w:t>, 2018, p.22</w:t>
      </w:r>
      <w:r w:rsidR="000F1B80">
        <w:rPr>
          <w:rStyle w:val="Hyperlink"/>
          <w:color w:val="000000" w:themeColor="text1"/>
          <w:u w:val="none"/>
        </w:rPr>
        <w:t>)</w:t>
      </w:r>
    </w:p>
    <w:p w14:paraId="27517E70" w14:textId="660C48D5" w:rsidR="00411734" w:rsidRDefault="006F61A4" w:rsidP="00475D67">
      <w:pPr>
        <w:jc w:val="both"/>
        <w:rPr>
          <w:rStyle w:val="Hyperlink"/>
          <w:color w:val="000000" w:themeColor="text1"/>
          <w:u w:val="none"/>
        </w:rPr>
      </w:pPr>
      <w:r>
        <w:t>“</w:t>
      </w:r>
      <w:r w:rsidR="009F790B">
        <w:t xml:space="preserve">Poland, Germany and </w:t>
      </w:r>
      <w:r w:rsidR="009F790B" w:rsidRPr="006F61A4">
        <w:rPr>
          <w:b/>
        </w:rPr>
        <w:t>Belgium</w:t>
      </w:r>
      <w:r w:rsidR="009F790B">
        <w:t xml:space="preserve"> show the highest levels of antisemitic incidents that affect respondents indirectly, either as witnesses (32 %, 29 % and 28 %, respectively) or through their circle of family members and close friends (25 %, 27 % and 28 %, respectively).</w:t>
      </w:r>
      <w:r>
        <w:t>”</w:t>
      </w:r>
      <w:r w:rsidR="009F790B">
        <w:t xml:space="preserve"> (</w:t>
      </w:r>
      <w:hyperlink r:id="rId56" w:history="1">
        <w:r w:rsidR="007E7A18" w:rsidRPr="007E7A18">
          <w:rPr>
            <w:rStyle w:val="Hyperlink"/>
            <w:i/>
          </w:rPr>
          <w:t>Experiences and perceptions of antisemitism - Second survey on discrimination and hate crime against Jews in the EU</w:t>
        </w:r>
      </w:hyperlink>
      <w:r w:rsidR="009F790B" w:rsidRPr="006F61A4">
        <w:rPr>
          <w:rStyle w:val="Hyperlink"/>
          <w:i/>
          <w:color w:val="000000" w:themeColor="text1"/>
          <w:u w:val="none"/>
        </w:rPr>
        <w:t>, 2018, p.32</w:t>
      </w:r>
      <w:r w:rsidR="009F790B">
        <w:rPr>
          <w:rStyle w:val="Hyperlink"/>
          <w:color w:val="000000" w:themeColor="text1"/>
          <w:u w:val="none"/>
        </w:rPr>
        <w:t>)</w:t>
      </w:r>
      <w:r w:rsidR="00C03DA0">
        <w:rPr>
          <w:rStyle w:val="Hyperlink"/>
          <w:color w:val="000000" w:themeColor="text1"/>
          <w:u w:val="none"/>
        </w:rPr>
        <w:t xml:space="preserve"> </w:t>
      </w:r>
    </w:p>
    <w:p w14:paraId="7C6C4B14" w14:textId="08A56C0B" w:rsidR="00C03DA0" w:rsidRDefault="006F61A4" w:rsidP="00475D67">
      <w:pPr>
        <w:jc w:val="both"/>
      </w:pPr>
      <w:r>
        <w:t>“</w:t>
      </w:r>
      <w:r w:rsidR="00C03DA0">
        <w:t xml:space="preserve">Respondents were asked whether and how often they avoid Jewish events or sites, or certain parts of their neighbourhood, because they do not feel safe there as Jews. One third (34 %) of all respondents in the 12 </w:t>
      </w:r>
      <w:r w:rsidR="000211EA">
        <w:t>coun</w:t>
      </w:r>
      <w:r w:rsidR="00C03DA0">
        <w:t xml:space="preserve">tries said that they avoid visiting Jewish events or sites at least occasionally, because, as Jews, they do not feel safe there or on the way there. The highest proportions of respondents indicated this in the Netherlands, France, and </w:t>
      </w:r>
      <w:r w:rsidR="00C03DA0" w:rsidRPr="006F61A4">
        <w:rPr>
          <w:b/>
        </w:rPr>
        <w:t>Belgium</w:t>
      </w:r>
      <w:r w:rsidR="00C03DA0">
        <w:t xml:space="preserve"> (43 %, 41 %, and 37 %, respectively).</w:t>
      </w:r>
      <w:r>
        <w:t>”</w:t>
      </w:r>
      <w:r w:rsidR="00C03DA0">
        <w:t xml:space="preserve"> (</w:t>
      </w:r>
      <w:hyperlink r:id="rId57" w:history="1">
        <w:r w:rsidR="007E7A18" w:rsidRPr="007E7A18">
          <w:rPr>
            <w:rStyle w:val="Hyperlink"/>
            <w:i/>
          </w:rPr>
          <w:t>Experiences and perceptions of antisemitism - Second survey on discrimination and hate crime against Jews in the EU</w:t>
        </w:r>
      </w:hyperlink>
      <w:r w:rsidR="00C03DA0" w:rsidRPr="006F61A4">
        <w:rPr>
          <w:rStyle w:val="Hyperlink"/>
          <w:i/>
          <w:color w:val="000000" w:themeColor="text1"/>
          <w:u w:val="none"/>
        </w:rPr>
        <w:t>, 2018, p.36</w:t>
      </w:r>
      <w:r w:rsidR="00C03DA0">
        <w:rPr>
          <w:rStyle w:val="Hyperlink"/>
          <w:color w:val="000000" w:themeColor="text1"/>
          <w:u w:val="none"/>
        </w:rPr>
        <w:t>)</w:t>
      </w:r>
    </w:p>
    <w:p w14:paraId="6189278A" w14:textId="1222E0BD" w:rsidR="00C03DA0" w:rsidRDefault="006F61A4" w:rsidP="00475D67">
      <w:pPr>
        <w:jc w:val="both"/>
        <w:rPr>
          <w:rStyle w:val="Hyperlink"/>
          <w:color w:val="000000" w:themeColor="text1"/>
          <w:u w:val="none"/>
        </w:rPr>
      </w:pPr>
      <w:r>
        <w:t>“</w:t>
      </w:r>
      <w:r w:rsidR="00C03DA0">
        <w:t>Across the 12 EU Member States surveyed, respondents distributed nearly evenly among those who at least sometimes wear, carry o</w:t>
      </w:r>
      <w:r w:rsidR="000211EA">
        <w:t>r display items that could iden</w:t>
      </w:r>
      <w:r w:rsidR="00C03DA0">
        <w:t xml:space="preserve">tify them as Jewish (49 %) and those who never do (51 %). The highest shares of those who wear, </w:t>
      </w:r>
      <w:proofErr w:type="gramStart"/>
      <w:r w:rsidR="00C03DA0">
        <w:t>carry</w:t>
      </w:r>
      <w:proofErr w:type="gramEnd"/>
      <w:r w:rsidR="00C03DA0">
        <w:t xml:space="preserve"> or display such recognisable items at least sometimes were observed in Poland, Spain, the United Kingdom, Hungary and the Netherlands (61 %, 60 %, 58 %, 58 %, and 57 %, respectively). It was more common for respondents in France, Denmark, and </w:t>
      </w:r>
      <w:r w:rsidR="00C03DA0" w:rsidRPr="006F61A4">
        <w:rPr>
          <w:b/>
        </w:rPr>
        <w:t xml:space="preserve">Belgium </w:t>
      </w:r>
      <w:r w:rsidR="00C03DA0">
        <w:t>to say that they never wear or display these items (62 %, 56 %, and 52 %, respectively) than in the other countries.</w:t>
      </w:r>
      <w:r>
        <w:t>”</w:t>
      </w:r>
      <w:r w:rsidR="00C03DA0">
        <w:t xml:space="preserve"> (</w:t>
      </w:r>
      <w:hyperlink r:id="rId58" w:history="1">
        <w:r w:rsidR="007E7A18" w:rsidRPr="007E7A18">
          <w:rPr>
            <w:rStyle w:val="Hyperlink"/>
            <w:i/>
          </w:rPr>
          <w:t>Experiences and perceptions of antisemitism - Second survey on discrimination and hate crime against Jews in the EU</w:t>
        </w:r>
      </w:hyperlink>
      <w:r w:rsidR="00C03DA0" w:rsidRPr="006F61A4">
        <w:rPr>
          <w:rStyle w:val="Hyperlink"/>
          <w:i/>
          <w:color w:val="000000" w:themeColor="text1"/>
          <w:u w:val="none"/>
        </w:rPr>
        <w:t>, 2018, p.37</w:t>
      </w:r>
      <w:r w:rsidR="00C03DA0">
        <w:rPr>
          <w:rStyle w:val="Hyperlink"/>
          <w:color w:val="000000" w:themeColor="text1"/>
          <w:u w:val="none"/>
        </w:rPr>
        <w:t>)</w:t>
      </w:r>
    </w:p>
    <w:p w14:paraId="65BEBAEA" w14:textId="2C9C3E84" w:rsidR="008166AF" w:rsidRDefault="00250002" w:rsidP="00475D67">
      <w:pPr>
        <w:jc w:val="both"/>
        <w:rPr>
          <w:rStyle w:val="Hyperlink"/>
          <w:color w:val="000000" w:themeColor="text1"/>
          <w:u w:val="none"/>
        </w:rPr>
      </w:pPr>
      <w:r>
        <w:t>“</w:t>
      </w:r>
      <w:r w:rsidR="008166AF">
        <w:t xml:space="preserve">However, in Hungary, </w:t>
      </w:r>
      <w:r w:rsidR="008166AF" w:rsidRPr="00250002">
        <w:rPr>
          <w:b/>
        </w:rPr>
        <w:t>Belgium,</w:t>
      </w:r>
      <w:r w:rsidR="008166AF">
        <w:t xml:space="preserve"> France and Germany, between 40 % and 44 % of respondents indicate that they have considered emigrating in the past five years because they did not feel safe there as Jews.</w:t>
      </w:r>
      <w:r>
        <w:t>”</w:t>
      </w:r>
      <w:r w:rsidR="008166AF">
        <w:t xml:space="preserve"> (</w:t>
      </w:r>
      <w:hyperlink r:id="rId59" w:history="1">
        <w:r w:rsidR="007E7A18" w:rsidRPr="007E7A18">
          <w:rPr>
            <w:rStyle w:val="Hyperlink"/>
            <w:i/>
          </w:rPr>
          <w:t>Experiences and perceptions of antisemitism - Second survey on discrimination and hate crime against Jews in the EU</w:t>
        </w:r>
      </w:hyperlink>
      <w:r w:rsidR="008166AF" w:rsidRPr="00250002">
        <w:rPr>
          <w:rStyle w:val="Hyperlink"/>
          <w:i/>
          <w:color w:val="000000" w:themeColor="text1"/>
          <w:u w:val="none"/>
        </w:rPr>
        <w:t>, 2018, p.38</w:t>
      </w:r>
      <w:r w:rsidR="008166AF">
        <w:rPr>
          <w:rStyle w:val="Hyperlink"/>
          <w:color w:val="000000" w:themeColor="text1"/>
          <w:u w:val="none"/>
        </w:rPr>
        <w:t>)</w:t>
      </w:r>
    </w:p>
    <w:p w14:paraId="61157E6B" w14:textId="70EB4214" w:rsidR="000211EA" w:rsidRDefault="00250002" w:rsidP="00475D67">
      <w:pPr>
        <w:jc w:val="both"/>
        <w:rPr>
          <w:rStyle w:val="Hyperlink"/>
          <w:color w:val="000000" w:themeColor="text1"/>
          <w:u w:val="none"/>
        </w:rPr>
      </w:pPr>
      <w:r>
        <w:t>“</w:t>
      </w:r>
      <w:r w:rsidR="000211EA">
        <w:t xml:space="preserve">In terms of the national governments’ efforts to respond to the security needs of Jewish communities, the survey shows diverse assessments across the countries (Figure 15). Looking at the average results of all 12 countries, a majority of respondents assess these efforts positively – 54 % answered ‘yes, definitely’ or ‘yes, probably’ when asked whether the government responds adequately to the security needs of Jewish communities. Closer examination shows that, while over three quarters of respondents in Italy, Denmark, and </w:t>
      </w:r>
      <w:r w:rsidR="000211EA" w:rsidRPr="00250002">
        <w:rPr>
          <w:b/>
        </w:rPr>
        <w:t>Belgium</w:t>
      </w:r>
      <w:r w:rsidR="000211EA">
        <w:t xml:space="preserve"> (79 %, 78 %, and 75 %, respectively) consider government efforts to be adequate, this is not the case in Sweden and Poland (with 74 % and 64 %, respectively, indicating ‘probably’ or ‘definitely’ not).</w:t>
      </w:r>
      <w:r>
        <w:t>”</w:t>
      </w:r>
      <w:r w:rsidR="000211EA">
        <w:t xml:space="preserve"> (</w:t>
      </w:r>
      <w:hyperlink r:id="rId60" w:history="1">
        <w:r w:rsidR="007E7A18" w:rsidRPr="007E7A18">
          <w:rPr>
            <w:rStyle w:val="Hyperlink"/>
            <w:i/>
          </w:rPr>
          <w:t>Experiences and perceptions of antisemitism - Second survey on discrimination and hate crime against Jews in the EU</w:t>
        </w:r>
      </w:hyperlink>
      <w:r w:rsidR="000211EA" w:rsidRPr="00250002">
        <w:rPr>
          <w:rStyle w:val="Hyperlink"/>
          <w:i/>
          <w:color w:val="000000" w:themeColor="text1"/>
          <w:u w:val="none"/>
        </w:rPr>
        <w:t>, 2018, p.40</w:t>
      </w:r>
      <w:r w:rsidR="000211EA">
        <w:rPr>
          <w:rStyle w:val="Hyperlink"/>
          <w:color w:val="000000" w:themeColor="text1"/>
          <w:u w:val="none"/>
        </w:rPr>
        <w:t>)</w:t>
      </w:r>
    </w:p>
    <w:p w14:paraId="109FBFCB" w14:textId="64A4000A" w:rsidR="000211EA" w:rsidRDefault="00200D42" w:rsidP="00475D67">
      <w:pPr>
        <w:jc w:val="both"/>
        <w:rPr>
          <w:rStyle w:val="Hyperlink"/>
          <w:color w:val="000000" w:themeColor="text1"/>
          <w:u w:val="none"/>
        </w:rPr>
      </w:pPr>
      <w:r>
        <w:t>“</w:t>
      </w:r>
      <w:r w:rsidR="000211EA">
        <w:t xml:space="preserve">Notably, over 85 % of the respondents in </w:t>
      </w:r>
      <w:r w:rsidR="000211EA" w:rsidRPr="00200D42">
        <w:rPr>
          <w:b/>
        </w:rPr>
        <w:t>Belgium</w:t>
      </w:r>
      <w:r w:rsidR="000211EA">
        <w:t xml:space="preserve"> and France, and at least 70 % of the respondents in Spain, Germany and Denmark indicate that the Arab-Israeli conflict has a notable impact on their feelings of safety as Jews (‘a great deal’ or ‘a fair amount’).</w:t>
      </w:r>
      <w:r>
        <w:t>”</w:t>
      </w:r>
      <w:r w:rsidR="000211EA">
        <w:t xml:space="preserve"> (</w:t>
      </w:r>
      <w:hyperlink r:id="rId61" w:history="1">
        <w:r w:rsidR="007E7A18" w:rsidRPr="007E7A18">
          <w:rPr>
            <w:rStyle w:val="Hyperlink"/>
            <w:i/>
          </w:rPr>
          <w:t>Experiences and perceptions of antisemitism - Second survey on discrimination and hate crime against Jews in the EU</w:t>
        </w:r>
      </w:hyperlink>
      <w:r w:rsidR="000211EA" w:rsidRPr="00200D42">
        <w:rPr>
          <w:rStyle w:val="Hyperlink"/>
          <w:i/>
          <w:color w:val="000000" w:themeColor="text1"/>
          <w:u w:val="none"/>
        </w:rPr>
        <w:t>, 2018, p.43</w:t>
      </w:r>
      <w:r w:rsidR="000211EA">
        <w:rPr>
          <w:rStyle w:val="Hyperlink"/>
          <w:color w:val="000000" w:themeColor="text1"/>
          <w:u w:val="none"/>
        </w:rPr>
        <w:t>)</w:t>
      </w:r>
    </w:p>
    <w:p w14:paraId="5B8D77F5" w14:textId="29ED6185" w:rsidR="00CC6DCA" w:rsidRDefault="005C6038" w:rsidP="00475D67">
      <w:pPr>
        <w:jc w:val="both"/>
      </w:pPr>
      <w:r>
        <w:t>“</w:t>
      </w:r>
      <w:r w:rsidR="00CC6DCA">
        <w:t xml:space="preserve">Half of the respondents in </w:t>
      </w:r>
      <w:r w:rsidR="00CC6DCA" w:rsidRPr="005C6038">
        <w:rPr>
          <w:b/>
        </w:rPr>
        <w:t>Belgium</w:t>
      </w:r>
      <w:r w:rsidR="00CC6DCA">
        <w:t xml:space="preserve">, France, Germany, and Spain (50 %–55 % depending on the country) said that people in their country ‘frequently’ or ‘all the time’ blame them for anything done </w:t>
      </w:r>
      <w:r w:rsidR="00CC6DCA">
        <w:lastRenderedPageBreak/>
        <w:t>by the Israeli government (Figure 17).</w:t>
      </w:r>
      <w:r>
        <w:t>”</w:t>
      </w:r>
      <w:r w:rsidR="00E25509">
        <w:t xml:space="preserve"> (</w:t>
      </w:r>
      <w:hyperlink r:id="rId62" w:history="1">
        <w:r w:rsidR="007E7A18" w:rsidRPr="007E7A18">
          <w:rPr>
            <w:rStyle w:val="Hyperlink"/>
            <w:i/>
          </w:rPr>
          <w:t>Experiences and perceptions of antisemitism - Second survey on discrimination and hate crime against Jews in the EU</w:t>
        </w:r>
      </w:hyperlink>
      <w:r w:rsidR="00E25509" w:rsidRPr="005C6038">
        <w:rPr>
          <w:rStyle w:val="Hyperlink"/>
          <w:i/>
          <w:color w:val="000000" w:themeColor="text1"/>
          <w:u w:val="none"/>
        </w:rPr>
        <w:t>, 2018, p.44</w:t>
      </w:r>
      <w:r w:rsidR="00E25509">
        <w:rPr>
          <w:rStyle w:val="Hyperlink"/>
          <w:color w:val="000000" w:themeColor="text1"/>
          <w:u w:val="none"/>
        </w:rPr>
        <w:t>)</w:t>
      </w:r>
    </w:p>
    <w:p w14:paraId="7FAB2052" w14:textId="10F59152" w:rsidR="00AA5D52" w:rsidRDefault="005C6038" w:rsidP="00475D67">
      <w:pPr>
        <w:jc w:val="both"/>
        <w:rPr>
          <w:rStyle w:val="Hyperlink"/>
          <w:color w:val="000000" w:themeColor="text1"/>
          <w:u w:val="none"/>
        </w:rPr>
      </w:pPr>
      <w:r>
        <w:t>“</w:t>
      </w:r>
      <w:r w:rsidR="00E25509">
        <w:t xml:space="preserve">Respondents in Germany, </w:t>
      </w:r>
      <w:r w:rsidR="00E25509" w:rsidRPr="005C6038">
        <w:rPr>
          <w:b/>
        </w:rPr>
        <w:t>Belgium</w:t>
      </w:r>
      <w:r w:rsidR="00E25509">
        <w:t xml:space="preserve"> and Spain also regularly face the statement “Israelis behave ‘like Nazis’ towards the Palestinians” (63 %, 64 % and 68 %, respectively said ‘all the time’ or ‘frequently’).</w:t>
      </w:r>
      <w:r>
        <w:t>”</w:t>
      </w:r>
      <w:r w:rsidR="00E25509">
        <w:t xml:space="preserve"> (</w:t>
      </w:r>
      <w:hyperlink r:id="rId63" w:history="1">
        <w:r w:rsidR="007E7A18" w:rsidRPr="007E7A18">
          <w:rPr>
            <w:rStyle w:val="Hyperlink"/>
            <w:i/>
          </w:rPr>
          <w:t>Experiences and perceptions of antisemitism - Second survey on discrimination and hate crime against Jews in the EU</w:t>
        </w:r>
      </w:hyperlink>
      <w:r w:rsidR="00E25509" w:rsidRPr="005C6038">
        <w:rPr>
          <w:rStyle w:val="Hyperlink"/>
          <w:i/>
          <w:color w:val="000000" w:themeColor="text1"/>
          <w:u w:val="none"/>
        </w:rPr>
        <w:t>, 2018, p.24)</w:t>
      </w:r>
    </w:p>
    <w:p w14:paraId="65628E2F" w14:textId="77777777" w:rsidR="00D95261" w:rsidRDefault="00D95261" w:rsidP="00475D67">
      <w:pPr>
        <w:jc w:val="both"/>
      </w:pPr>
      <w:r>
        <w:t xml:space="preserve">“In </w:t>
      </w:r>
      <w:r w:rsidRPr="00ED0239">
        <w:rPr>
          <w:b/>
        </w:rPr>
        <w:t>Belgium</w:t>
      </w:r>
      <w:r>
        <w:t>, a coalition of more than 100 NGOs has taken a stand against the construction of a new closed centre for the detention of families with children.” (</w:t>
      </w:r>
      <w:hyperlink r:id="rId64" w:history="1">
        <w:r w:rsidRPr="009A3167">
          <w:rPr>
            <w:rStyle w:val="Hyperlink"/>
            <w:i/>
            <w:iCs/>
          </w:rPr>
          <w:t>Fundamental Rights Report 2018</w:t>
        </w:r>
      </w:hyperlink>
      <w:r w:rsidRPr="001A231E">
        <w:rPr>
          <w:i/>
        </w:rPr>
        <w:t>, p.184</w:t>
      </w:r>
      <w:r>
        <w:t>)</w:t>
      </w:r>
    </w:p>
    <w:p w14:paraId="34E58D17" w14:textId="77777777" w:rsidR="00D95261" w:rsidRDefault="00D95261" w:rsidP="00475D67">
      <w:pPr>
        <w:jc w:val="both"/>
        <w:rPr>
          <w:rStyle w:val="Hyperlink"/>
          <w:color w:val="000000" w:themeColor="text1"/>
          <w:u w:val="none"/>
        </w:rPr>
      </w:pPr>
    </w:p>
    <w:p w14:paraId="78521BE3" w14:textId="0CBB755C" w:rsidR="00307560" w:rsidRPr="00307560" w:rsidRDefault="00AA5D52" w:rsidP="00475D67">
      <w:pPr>
        <w:pStyle w:val="Heading2"/>
        <w:numPr>
          <w:ilvl w:val="1"/>
          <w:numId w:val="7"/>
        </w:numPr>
        <w:jc w:val="both"/>
      </w:pPr>
      <w:bookmarkStart w:id="9" w:name="_Toc67933986"/>
      <w:r w:rsidRPr="00AD694B">
        <w:rPr>
          <w:rStyle w:val="Hyperlink"/>
          <w:color w:val="2E74B5" w:themeColor="accent1" w:themeShade="BF"/>
          <w:u w:val="none"/>
        </w:rPr>
        <w:t>Poverty and Hunger</w:t>
      </w:r>
      <w:bookmarkEnd w:id="9"/>
    </w:p>
    <w:p w14:paraId="4ABF012C" w14:textId="77777777" w:rsidR="00FE3D4C" w:rsidRPr="00FE3D4C" w:rsidRDefault="00FE3D4C" w:rsidP="00475D67">
      <w:pPr>
        <w:jc w:val="both"/>
      </w:pPr>
    </w:p>
    <w:p w14:paraId="3B773E31" w14:textId="36DB9CE0" w:rsidR="000B2716" w:rsidRPr="000B2716" w:rsidRDefault="000B2716" w:rsidP="00475D67">
      <w:pPr>
        <w:jc w:val="both"/>
        <w:rPr>
          <w:b/>
        </w:rPr>
      </w:pPr>
      <w:r>
        <w:t xml:space="preserve">“As many as 28 % of Traveller children in Ireland and Sweden and 25 % of Roma children in </w:t>
      </w:r>
      <w:r w:rsidRPr="000B2716">
        <w:rPr>
          <w:b/>
        </w:rPr>
        <w:t xml:space="preserve">Belgium </w:t>
      </w:r>
      <w:r>
        <w:t xml:space="preserve">grow up in severe material deprivation. Levels of severe material deprivation, in particular among children, are still alarmingly high in the other countries: 21 % among Caravan dweller children in </w:t>
      </w:r>
      <w:r w:rsidRPr="00C1783D">
        <w:rPr>
          <w:b/>
        </w:rPr>
        <w:t>Belgium</w:t>
      </w:r>
      <w:r>
        <w:t xml:space="preserve"> and in France, 15 % among Roma children in the Netherlands and 13 % among Gypsy and Traveller children in the United Kingdom.” (</w:t>
      </w:r>
      <w:hyperlink r:id="rId65" w:history="1">
        <w:r w:rsidR="007F0C0C" w:rsidRPr="004A3206">
          <w:rPr>
            <w:rStyle w:val="Hyperlink"/>
            <w:i/>
            <w:iCs/>
          </w:rPr>
          <w:t>Roma and Travellers in six countries</w:t>
        </w:r>
      </w:hyperlink>
      <w:r w:rsidRPr="000B2716">
        <w:rPr>
          <w:i/>
        </w:rPr>
        <w:t>, 2020, p.75</w:t>
      </w:r>
      <w:r>
        <w:t>)</w:t>
      </w:r>
    </w:p>
    <w:p w14:paraId="6899B2D8" w14:textId="62DBCBDB" w:rsidR="000B2716" w:rsidRDefault="000B2716" w:rsidP="00475D67">
      <w:pPr>
        <w:jc w:val="both"/>
      </w:pPr>
      <w:r>
        <w:t xml:space="preserve">“For all survey groups in all countries, except for Travellers in the Netherlands, unexpectedly high rates of adults and children face hunger. In France and Ireland, 10 % of the Travellers surveyed faced hunger at least once in the last month; in </w:t>
      </w:r>
      <w:r w:rsidRPr="000B2716">
        <w:rPr>
          <w:b/>
        </w:rPr>
        <w:t>Belgium</w:t>
      </w:r>
      <w:r>
        <w:t xml:space="preserve"> 15 % of the Roma and 13 % of the Caravan Travellers did so.” (</w:t>
      </w:r>
      <w:hyperlink r:id="rId66" w:history="1">
        <w:r w:rsidR="007F0C0C" w:rsidRPr="004A3206">
          <w:rPr>
            <w:rStyle w:val="Hyperlink"/>
            <w:i/>
            <w:iCs/>
          </w:rPr>
          <w:t>Roma and Travellers in six countries</w:t>
        </w:r>
      </w:hyperlink>
      <w:r w:rsidRPr="000B2716">
        <w:rPr>
          <w:i/>
        </w:rPr>
        <w:t>, 2020, p.77</w:t>
      </w:r>
      <w:r>
        <w:t>)</w:t>
      </w:r>
    </w:p>
    <w:p w14:paraId="18B8FEA9" w14:textId="77777777" w:rsidR="00C87768" w:rsidRDefault="000B2716" w:rsidP="00475D67">
      <w:pPr>
        <w:jc w:val="both"/>
      </w:pPr>
      <w:r>
        <w:t xml:space="preserve">“Most worryingly, the results show unacceptably high rates of adults and children ‘going to bed hungry’ at least once in the last month. In Sweden, every fifth Roma and Traveller, including their children (22 %), say that they went hungry to bed at least once in the last month. Rates are also high in </w:t>
      </w:r>
      <w:r w:rsidRPr="000B2716">
        <w:rPr>
          <w:b/>
        </w:rPr>
        <w:t>Belgium</w:t>
      </w:r>
      <w:r>
        <w:t xml:space="preserve"> (15 % of Roma and 13 % of Caravan dwellers surveyed), France and Ireland (10 % of the Travellers surveyed in both countries).” (</w:t>
      </w:r>
      <w:hyperlink r:id="rId67" w:history="1">
        <w:r w:rsidR="007F0C0C" w:rsidRPr="004A3206">
          <w:rPr>
            <w:rStyle w:val="Hyperlink"/>
            <w:i/>
            <w:iCs/>
          </w:rPr>
          <w:t>Roma and Travellers in six countries</w:t>
        </w:r>
      </w:hyperlink>
      <w:r w:rsidRPr="000B2716">
        <w:rPr>
          <w:i/>
        </w:rPr>
        <w:t>, 2020, p.22</w:t>
      </w:r>
      <w:r>
        <w:t>)</w:t>
      </w:r>
    </w:p>
    <w:p w14:paraId="6AD162EF" w14:textId="06E76E74" w:rsidR="00090CAA" w:rsidRPr="000B2716" w:rsidRDefault="00090CAA" w:rsidP="00475D67">
      <w:pPr>
        <w:jc w:val="both"/>
      </w:pPr>
    </w:p>
    <w:p w14:paraId="7DCD4CC1" w14:textId="06EDF0F2" w:rsidR="003E48FC" w:rsidRDefault="003E48FC" w:rsidP="00475D67">
      <w:pPr>
        <w:pStyle w:val="Heading2"/>
        <w:numPr>
          <w:ilvl w:val="1"/>
          <w:numId w:val="8"/>
        </w:numPr>
        <w:jc w:val="both"/>
      </w:pPr>
      <w:bookmarkStart w:id="10" w:name="_Toc67933987"/>
      <w:r w:rsidRPr="003A100D">
        <w:t>Education</w:t>
      </w:r>
      <w:bookmarkEnd w:id="10"/>
    </w:p>
    <w:p w14:paraId="0CD7365D" w14:textId="77777777" w:rsidR="00054DFA" w:rsidRPr="00054DFA" w:rsidRDefault="00054DFA" w:rsidP="00475D67">
      <w:pPr>
        <w:jc w:val="both"/>
      </w:pPr>
    </w:p>
    <w:p w14:paraId="045E3FA0" w14:textId="22A5754A" w:rsidR="00385BE5" w:rsidRDefault="00B37819" w:rsidP="00475D67">
      <w:pPr>
        <w:jc w:val="both"/>
      </w:pPr>
      <w:r>
        <w:t>“</w:t>
      </w:r>
      <w:r w:rsidR="00385BE5">
        <w:t xml:space="preserve">Compulsory schooling starts in most countries at the age of six and ends at the earliest at the age of 15. The survey results show that with the exceptions of Caravan dwellers in </w:t>
      </w:r>
      <w:r w:rsidR="00385BE5" w:rsidRPr="00B37819">
        <w:rPr>
          <w:b/>
        </w:rPr>
        <w:t>Belgium</w:t>
      </w:r>
      <w:r w:rsidR="00385BE5">
        <w:t xml:space="preserve"> (39 %), Gypsies and Travellers in the United Kingdom (64 %) and Travellers in France (82 %) almost all children age 6–15 years attend education (either pre-primary, primary, lower secondary, upper secondary education or vocational training). There is no difference between girls and boys (Figure 10). Changing the place of living during the year was the major reason for not going to school for Travellers’ children in </w:t>
      </w:r>
      <w:r w:rsidR="00385BE5" w:rsidRPr="00B37819">
        <w:rPr>
          <w:b/>
        </w:rPr>
        <w:t>Belgium</w:t>
      </w:r>
      <w:r w:rsidR="00385BE5">
        <w:t xml:space="preserve"> and France. It is important to note that in </w:t>
      </w:r>
      <w:r w:rsidR="00385BE5" w:rsidRPr="00B37819">
        <w:rPr>
          <w:b/>
        </w:rPr>
        <w:t>Belgium</w:t>
      </w:r>
      <w:r w:rsidR="00385BE5">
        <w:t>, compulsory education is possible through home schooling but this survey did not explicitly ask respondents about home schooling.</w:t>
      </w:r>
      <w:r>
        <w:t>”</w:t>
      </w:r>
      <w:r w:rsidR="00385BE5">
        <w:t xml:space="preserve"> (</w:t>
      </w:r>
      <w:hyperlink r:id="rId68" w:history="1">
        <w:r w:rsidR="007F0C0C" w:rsidRPr="004A3206">
          <w:rPr>
            <w:rStyle w:val="Hyperlink"/>
            <w:i/>
            <w:iCs/>
          </w:rPr>
          <w:t>Roma and Travellers in six countries</w:t>
        </w:r>
      </w:hyperlink>
      <w:r w:rsidR="00385BE5" w:rsidRPr="00B37819">
        <w:rPr>
          <w:i/>
        </w:rPr>
        <w:t>, 2020, p. 45</w:t>
      </w:r>
      <w:r w:rsidR="00385BE5">
        <w:t xml:space="preserve">) </w:t>
      </w:r>
    </w:p>
    <w:p w14:paraId="25079C4D" w14:textId="08CFBECC" w:rsidR="00492842" w:rsidRDefault="00B37819" w:rsidP="00475D67">
      <w:pPr>
        <w:jc w:val="both"/>
      </w:pPr>
      <w:r>
        <w:t>“</w:t>
      </w:r>
      <w:r w:rsidR="00492842">
        <w:t xml:space="preserve">Low educational level can be correlated to the ability to read and write in the national language(s). Whereas only 13 % of all respondents assesses their skill as not good when it comes to speaking (ranging between 24 % of Roma in </w:t>
      </w:r>
      <w:r w:rsidR="00492842" w:rsidRPr="00B37819">
        <w:rPr>
          <w:b/>
        </w:rPr>
        <w:t>Belgium</w:t>
      </w:r>
      <w:r w:rsidR="00492842">
        <w:t xml:space="preserve"> and 5 % of Travellers in Ireland) […].</w:t>
      </w:r>
      <w:r>
        <w:t>”</w:t>
      </w:r>
      <w:r w:rsidR="00492842">
        <w:t xml:space="preserve"> (</w:t>
      </w:r>
      <w:hyperlink r:id="rId69" w:history="1">
        <w:r w:rsidR="007F0C0C" w:rsidRPr="004A3206">
          <w:rPr>
            <w:rStyle w:val="Hyperlink"/>
            <w:i/>
            <w:iCs/>
          </w:rPr>
          <w:t>Roma and Travellers in six countries</w:t>
        </w:r>
      </w:hyperlink>
      <w:r w:rsidR="00492842" w:rsidRPr="00B37819">
        <w:rPr>
          <w:i/>
        </w:rPr>
        <w:t>, 2020, p. 50</w:t>
      </w:r>
      <w:r w:rsidR="00492842">
        <w:t>)</w:t>
      </w:r>
    </w:p>
    <w:p w14:paraId="30982382" w14:textId="77777777" w:rsidR="005706C7" w:rsidRDefault="005706C7" w:rsidP="00475D67">
      <w:pPr>
        <w:jc w:val="both"/>
      </w:pPr>
      <w:r>
        <w:lastRenderedPageBreak/>
        <w:t xml:space="preserve">“In </w:t>
      </w:r>
      <w:r w:rsidRPr="00B37819">
        <w:rPr>
          <w:b/>
        </w:rPr>
        <w:t>Belgium</w:t>
      </w:r>
      <w:r>
        <w:t xml:space="preserve">, the equality body </w:t>
      </w:r>
      <w:proofErr w:type="spellStart"/>
      <w:r>
        <w:t>Unia</w:t>
      </w:r>
      <w:proofErr w:type="spellEnd"/>
      <w:r>
        <w:t xml:space="preserve"> issued its annual report for 2018 in 2019. It emphasises that access to education remains difficult and urgent, and that young Roma are still overrepresented in special education.” (</w:t>
      </w:r>
      <w:hyperlink r:id="rId70" w:history="1">
        <w:r w:rsidRPr="00390DA5">
          <w:rPr>
            <w:rStyle w:val="Hyperlink"/>
            <w:i/>
            <w:iCs/>
          </w:rPr>
          <w:t>Fundamental Rights Report 2020</w:t>
        </w:r>
      </w:hyperlink>
      <w:r w:rsidRPr="00B37819">
        <w:rPr>
          <w:i/>
        </w:rPr>
        <w:t>, p.87</w:t>
      </w:r>
      <w:r>
        <w:t>)</w:t>
      </w:r>
    </w:p>
    <w:p w14:paraId="4ECBC5A0" w14:textId="77777777" w:rsidR="005706C7" w:rsidRDefault="005706C7" w:rsidP="00475D67">
      <w:pPr>
        <w:jc w:val="both"/>
      </w:pPr>
      <w:r>
        <w:t xml:space="preserve">“Education also featured prominently in studies on discrimination. It drew attention from equality bodies and public authorities in </w:t>
      </w:r>
      <w:r w:rsidRPr="00B37819">
        <w:rPr>
          <w:b/>
        </w:rPr>
        <w:t>Belgium</w:t>
      </w:r>
      <w:r>
        <w:t xml:space="preserve">, Cyprus, Denmark, the </w:t>
      </w:r>
      <w:proofErr w:type="gramStart"/>
      <w:r>
        <w:t>Netherlands</w:t>
      </w:r>
      <w:proofErr w:type="gramEnd"/>
      <w:r>
        <w:t xml:space="preserve"> and Portugal. </w:t>
      </w:r>
      <w:r>
        <w:br/>
        <w:t xml:space="preserve">A large-scale study on inequalities and discrimination in education systems looked at ethnic origin, socio-economic origin, sexual </w:t>
      </w:r>
      <w:proofErr w:type="gramStart"/>
      <w:r>
        <w:t>orientation</w:t>
      </w:r>
      <w:proofErr w:type="gramEnd"/>
      <w:r>
        <w:t xml:space="preserve"> and disability, at the request of the </w:t>
      </w:r>
      <w:r w:rsidRPr="00B37819">
        <w:rPr>
          <w:b/>
        </w:rPr>
        <w:t>Belgian Equality Body (</w:t>
      </w:r>
      <w:proofErr w:type="spellStart"/>
      <w:r w:rsidRPr="00B37819">
        <w:rPr>
          <w:b/>
        </w:rPr>
        <w:t>Unia</w:t>
      </w:r>
      <w:proofErr w:type="spellEnd"/>
      <w:r w:rsidRPr="00B37819">
        <w:rPr>
          <w:b/>
        </w:rPr>
        <w:t>)</w:t>
      </w:r>
      <w:r>
        <w:t>. It showed how certain minority groups are redirected towards a less favourable curriculum in higher education. The report made several recommendations to remedy the systemic deficiencies found, including the adoption of registration procedures that contribute better to social diversity; introducing measures to combat harassment of LGBTI pupils; and enhancing reasonable accommodation for pupils with disabilities.” (</w:t>
      </w:r>
      <w:hyperlink r:id="rId71" w:history="1">
        <w:r w:rsidRPr="00B7621B">
          <w:rPr>
            <w:rStyle w:val="Hyperlink"/>
            <w:i/>
            <w:iCs/>
          </w:rPr>
          <w:t>Fundamental Rights Report 2019</w:t>
        </w:r>
      </w:hyperlink>
      <w:r w:rsidRPr="00B37819">
        <w:rPr>
          <w:i/>
        </w:rPr>
        <w:t>, p.75</w:t>
      </w:r>
      <w:r>
        <w:t>)</w:t>
      </w:r>
    </w:p>
    <w:p w14:paraId="48CFD19A" w14:textId="00CAEFCD" w:rsidR="00385BE5" w:rsidRDefault="00385BE5" w:rsidP="00475D67">
      <w:pPr>
        <w:jc w:val="both"/>
      </w:pPr>
    </w:p>
    <w:p w14:paraId="0B6D8296" w14:textId="46FC080B" w:rsidR="003E48FC" w:rsidRDefault="003E48FC" w:rsidP="00475D67">
      <w:pPr>
        <w:pStyle w:val="Heading2"/>
        <w:numPr>
          <w:ilvl w:val="1"/>
          <w:numId w:val="8"/>
        </w:numPr>
        <w:jc w:val="both"/>
      </w:pPr>
      <w:bookmarkStart w:id="11" w:name="_Toc67933988"/>
      <w:r w:rsidRPr="003A100D">
        <w:t>Housing</w:t>
      </w:r>
      <w:bookmarkEnd w:id="11"/>
    </w:p>
    <w:p w14:paraId="197F9B6A" w14:textId="77777777" w:rsidR="00DE48C4" w:rsidRPr="00DE48C4" w:rsidRDefault="00DE48C4" w:rsidP="00475D67">
      <w:pPr>
        <w:jc w:val="both"/>
      </w:pPr>
    </w:p>
    <w:p w14:paraId="1C572543" w14:textId="2BEC2D6F" w:rsidR="007F0C0C" w:rsidRDefault="007F0C0C" w:rsidP="00475D67">
      <w:pPr>
        <w:jc w:val="both"/>
      </w:pPr>
      <w:r>
        <w:t xml:space="preserve">“Roma and Travellers in Ireland, France, </w:t>
      </w:r>
      <w:r w:rsidRPr="00175F65">
        <w:rPr>
          <w:b/>
        </w:rPr>
        <w:t>Belgium</w:t>
      </w:r>
      <w:r>
        <w:t xml:space="preserve"> and the Netherlands were subject to the general restrictions on free movement, which banned them from leaving sites and camps where they stayed, except for urgent reasons, such as accessing medical care, work-related travel for those engaged in the formal economy, essential shopping, providing assistance to vulnerable persons or attending funerals. These restrictions disproportionately affected Travellers, because caravans offer very limited living space for families, and authorised camps and sites are overcrowded. </w:t>
      </w:r>
      <w:r w:rsidR="00CD01F7">
        <w:t>[…]</w:t>
      </w:r>
      <w:r>
        <w:t xml:space="preserve"> In </w:t>
      </w:r>
      <w:r w:rsidRPr="00175F65">
        <w:rPr>
          <w:b/>
        </w:rPr>
        <w:t>Belgium</w:t>
      </w:r>
      <w:r>
        <w:t>, Travellers also had insufficient caravan parking lots, as police reportedly attempted to prevent their settlement in authorised sites.” (</w:t>
      </w:r>
      <w:hyperlink r:id="rId72" w:history="1">
        <w:r w:rsidRPr="007F0C0C">
          <w:rPr>
            <w:rStyle w:val="Hyperlink"/>
            <w:i/>
            <w:iCs/>
          </w:rPr>
          <w:t>Coronavirus pandemic in the EU – impact on Roma and Travellers – Bulletin 5</w:t>
        </w:r>
      </w:hyperlink>
      <w:r w:rsidRPr="00175F65">
        <w:rPr>
          <w:i/>
        </w:rPr>
        <w:t>, 2020, p.12</w:t>
      </w:r>
      <w:r>
        <w:t>)</w:t>
      </w:r>
    </w:p>
    <w:p w14:paraId="563D4106" w14:textId="77777777" w:rsidR="007F0C0C" w:rsidRDefault="007F0C0C" w:rsidP="00475D67">
      <w:pPr>
        <w:jc w:val="both"/>
      </w:pPr>
      <w:r>
        <w:t xml:space="preserve">“In </w:t>
      </w:r>
      <w:r w:rsidRPr="00FC3455">
        <w:rPr>
          <w:b/>
        </w:rPr>
        <w:t>Belgium</w:t>
      </w:r>
      <w:r>
        <w:t>, on 23 March, the Walloon Minister of Housing issued a circular recommending that Travellers currently settled on official or unofficial sites must be able to remain there without hindrance, and asked local authorities to suspend the execution of current or future eviction procedures. Nevertheless, some local authorities had asked groups of Travellers to leave, the National and Walloon Committee for Travellers said. It called on these authorities to allow Travellers to stay where they have settled until the end of the lockdown.” (</w:t>
      </w:r>
      <w:hyperlink r:id="rId73" w:history="1">
        <w:r w:rsidRPr="007F0C0C">
          <w:rPr>
            <w:rStyle w:val="Hyperlink"/>
            <w:i/>
            <w:iCs/>
          </w:rPr>
          <w:t>Coronavirus pandemic in the EU – impact on Roma and Travellers – Bulletin 5</w:t>
        </w:r>
      </w:hyperlink>
      <w:r w:rsidRPr="00FC3455">
        <w:rPr>
          <w:i/>
        </w:rPr>
        <w:t>, 2020, p.22</w:t>
      </w:r>
      <w:r>
        <w:t>)</w:t>
      </w:r>
    </w:p>
    <w:p w14:paraId="06F45A2D" w14:textId="50454E87" w:rsidR="007F0C0C" w:rsidRDefault="007F0C0C" w:rsidP="00475D67">
      <w:pPr>
        <w:jc w:val="both"/>
      </w:pPr>
      <w:r>
        <w:t xml:space="preserve">“In </w:t>
      </w:r>
      <w:r w:rsidRPr="00FC3455">
        <w:rPr>
          <w:b/>
        </w:rPr>
        <w:t>Belgium</w:t>
      </w:r>
      <w:r>
        <w:t>, the Walloon Minister of Housing recommended that local authorities organise access to water and electricity for Gens du voyage during lockdown, but no similar measures were reported in Flanders.” (</w:t>
      </w:r>
      <w:hyperlink r:id="rId74" w:history="1">
        <w:r w:rsidRPr="007F0C0C">
          <w:rPr>
            <w:rStyle w:val="Hyperlink"/>
            <w:i/>
            <w:iCs/>
          </w:rPr>
          <w:t>Coronavirus pandemic in the EU – impact on Roma and Travellers – Bulletin 5</w:t>
        </w:r>
      </w:hyperlink>
      <w:r w:rsidRPr="00FC3455">
        <w:rPr>
          <w:i/>
        </w:rPr>
        <w:t>, 2020, p.23</w:t>
      </w:r>
      <w:r>
        <w:t>)</w:t>
      </w:r>
    </w:p>
    <w:p w14:paraId="67341F67" w14:textId="77777777" w:rsidR="007F0C0C" w:rsidRDefault="007F0C0C" w:rsidP="00475D67">
      <w:pPr>
        <w:jc w:val="both"/>
      </w:pPr>
      <w:r>
        <w:t xml:space="preserve">“Travellers surveyed in </w:t>
      </w:r>
      <w:r w:rsidRPr="00FC3455">
        <w:rPr>
          <w:b/>
        </w:rPr>
        <w:t>Belgium</w:t>
      </w:r>
      <w:r>
        <w:t>, France, the Netherlands and the United Kingdom (Figure 28) live almost exclusively in caravans (96 % and more). Roma in</w:t>
      </w:r>
      <w:r w:rsidRPr="00FC3455">
        <w:rPr>
          <w:b/>
        </w:rPr>
        <w:t xml:space="preserve"> Belgium</w:t>
      </w:r>
      <w:r>
        <w:t xml:space="preserve"> and the Netherlands, and Roma and Travellers in Sweden, mostly live in apartments or houses in varying conditions; very few </w:t>
      </w:r>
      <w:proofErr w:type="gramStart"/>
      <w:r>
        <w:t>live in</w:t>
      </w:r>
      <w:proofErr w:type="gramEnd"/>
      <w:r>
        <w:t xml:space="preserve"> caravans.” (</w:t>
      </w:r>
      <w:hyperlink r:id="rId75" w:history="1">
        <w:r w:rsidRPr="004A3206">
          <w:rPr>
            <w:rStyle w:val="Hyperlink"/>
            <w:i/>
            <w:iCs/>
          </w:rPr>
          <w:t>Roma and Travellers in six countries</w:t>
        </w:r>
      </w:hyperlink>
      <w:r w:rsidRPr="00FC3455">
        <w:rPr>
          <w:i/>
        </w:rPr>
        <w:t>, 2020, p.80</w:t>
      </w:r>
      <w:r>
        <w:t xml:space="preserve">) </w:t>
      </w:r>
    </w:p>
    <w:p w14:paraId="55A58EF4" w14:textId="77777777" w:rsidR="007F0C0C" w:rsidRDefault="007F0C0C" w:rsidP="00475D67">
      <w:pPr>
        <w:jc w:val="both"/>
      </w:pPr>
      <w:r>
        <w:t xml:space="preserve">“More than 90 % of Travellers in Ireland, </w:t>
      </w:r>
      <w:r w:rsidRPr="00CF17C4">
        <w:rPr>
          <w:b/>
        </w:rPr>
        <w:t>Belgium</w:t>
      </w:r>
      <w:r>
        <w:t xml:space="preserve"> and the Netherlands feel that there are not enough places – especially appropriate halting sites – for them to live.” (</w:t>
      </w:r>
      <w:hyperlink r:id="rId76" w:history="1">
        <w:r w:rsidRPr="004A3206">
          <w:rPr>
            <w:rStyle w:val="Hyperlink"/>
            <w:i/>
            <w:iCs/>
          </w:rPr>
          <w:t>Roma and Travellers in six countries</w:t>
        </w:r>
      </w:hyperlink>
      <w:r w:rsidRPr="00CF17C4">
        <w:rPr>
          <w:i/>
        </w:rPr>
        <w:t>, 2020, p.23</w:t>
      </w:r>
      <w:r>
        <w:t xml:space="preserve">) </w:t>
      </w:r>
    </w:p>
    <w:p w14:paraId="4B6A0CFE" w14:textId="77777777" w:rsidR="007F0C0C" w:rsidRDefault="007F0C0C" w:rsidP="00475D67">
      <w:pPr>
        <w:jc w:val="both"/>
      </w:pPr>
      <w:r>
        <w:lastRenderedPageBreak/>
        <w:t xml:space="preserve">“Moreover, around one fifth of the Caravan dwellers in </w:t>
      </w:r>
      <w:r w:rsidRPr="00AF23BE">
        <w:rPr>
          <w:b/>
        </w:rPr>
        <w:t>Belgium</w:t>
      </w:r>
      <w:r>
        <w:t xml:space="preserve"> and of Gypsies and Travellers in the United Kingdom report that they have no access to tap water or electricity at halting sites.” (</w:t>
      </w:r>
      <w:hyperlink r:id="rId77" w:history="1">
        <w:r w:rsidRPr="004A3206">
          <w:rPr>
            <w:rStyle w:val="Hyperlink"/>
            <w:i/>
            <w:iCs/>
          </w:rPr>
          <w:t>Roma and Travellers in six countries</w:t>
        </w:r>
      </w:hyperlink>
      <w:r w:rsidRPr="00AF23BE">
        <w:rPr>
          <w:i/>
        </w:rPr>
        <w:t>, 2020, p.23</w:t>
      </w:r>
      <w:r>
        <w:t>)</w:t>
      </w:r>
    </w:p>
    <w:p w14:paraId="3E814AC2" w14:textId="77777777" w:rsidR="007F0C0C" w:rsidRDefault="007F0C0C" w:rsidP="00475D67">
      <w:pPr>
        <w:jc w:val="both"/>
      </w:pPr>
      <w:r>
        <w:t xml:space="preserve">“Discrimination can be a major barrier to improving and overcoming adverse housing conditions. […] Half of the respondents in Sweden and every third respondent among Roma in </w:t>
      </w:r>
      <w:r w:rsidRPr="00AF23BE">
        <w:rPr>
          <w:b/>
        </w:rPr>
        <w:t>Belgium</w:t>
      </w:r>
      <w:r>
        <w:t xml:space="preserve"> and Travellers in France felt discriminated against in this regard in the five years before the survey.” (</w:t>
      </w:r>
      <w:hyperlink r:id="rId78" w:history="1">
        <w:r w:rsidRPr="004A3206">
          <w:rPr>
            <w:rStyle w:val="Hyperlink"/>
            <w:i/>
            <w:iCs/>
          </w:rPr>
          <w:t>Roma and Travellers in six countries</w:t>
        </w:r>
      </w:hyperlink>
      <w:r w:rsidRPr="00AF23BE">
        <w:rPr>
          <w:i/>
        </w:rPr>
        <w:t>, 2020, p.81</w:t>
      </w:r>
      <w:r>
        <w:t>)</w:t>
      </w:r>
    </w:p>
    <w:p w14:paraId="011DD031" w14:textId="77777777" w:rsidR="007F0C0C" w:rsidRDefault="007F0C0C" w:rsidP="00475D67">
      <w:pPr>
        <w:jc w:val="both"/>
      </w:pPr>
      <w:r>
        <w:t xml:space="preserve">“In </w:t>
      </w:r>
      <w:r w:rsidRPr="00AF23BE">
        <w:rPr>
          <w:b/>
        </w:rPr>
        <w:t>Belgium</w:t>
      </w:r>
      <w:r>
        <w:t xml:space="preserve">, about half of Traveller households have been living in their neighbourhood for more than five years, but a large minority (41 %) moved to their current neighbourhood in the past year, 35 % in the past three months. Similarly, 19 % of Roma households in </w:t>
      </w:r>
      <w:r w:rsidRPr="00AF23BE">
        <w:rPr>
          <w:b/>
        </w:rPr>
        <w:t xml:space="preserve">Belgium </w:t>
      </w:r>
      <w:r>
        <w:t>moved to their current neighbourhood in the year preceding the survey, a relatively high proportion given that they rarely live in caravans.” (</w:t>
      </w:r>
      <w:hyperlink r:id="rId79" w:history="1">
        <w:r w:rsidRPr="004A3206">
          <w:rPr>
            <w:rStyle w:val="Hyperlink"/>
            <w:i/>
            <w:iCs/>
          </w:rPr>
          <w:t>Roma and Travellers in six countries</w:t>
        </w:r>
      </w:hyperlink>
      <w:r w:rsidRPr="00AF23BE">
        <w:rPr>
          <w:i/>
        </w:rPr>
        <w:t>, 2020, p.85</w:t>
      </w:r>
      <w:r>
        <w:t>)</w:t>
      </w:r>
    </w:p>
    <w:p w14:paraId="7DC3ED51" w14:textId="77777777" w:rsidR="007F0C0C" w:rsidRDefault="007F0C0C" w:rsidP="00475D67">
      <w:pPr>
        <w:jc w:val="both"/>
      </w:pPr>
      <w:r>
        <w:t xml:space="preserve">“Around 4 % of all surveyed Roma and Traveller households have either experienced an eviction or been forced to leave by authorities. Households of Caravan dwellers in </w:t>
      </w:r>
      <w:r w:rsidRPr="00AF23BE">
        <w:rPr>
          <w:b/>
        </w:rPr>
        <w:t>Belgium</w:t>
      </w:r>
      <w:r>
        <w:t xml:space="preserve"> (10 %), Roma in </w:t>
      </w:r>
      <w:r w:rsidRPr="00AF23BE">
        <w:rPr>
          <w:b/>
        </w:rPr>
        <w:t>Belgium</w:t>
      </w:r>
      <w:r>
        <w:t xml:space="preserve"> and Travellers in France (both 5 %) reported the highest proportions of evictions in the past five years (Figure 32). Some 29 % of Caravan dwellers in </w:t>
      </w:r>
      <w:r w:rsidRPr="00AF23BE">
        <w:rPr>
          <w:b/>
        </w:rPr>
        <w:t>Belgium</w:t>
      </w:r>
      <w:r>
        <w:t xml:space="preserve"> and 20 % of Travellers in France expect to be evicted or forced to leave in the next six months. (</w:t>
      </w:r>
      <w:hyperlink r:id="rId80" w:history="1">
        <w:r w:rsidRPr="004A3206">
          <w:rPr>
            <w:rStyle w:val="Hyperlink"/>
            <w:i/>
            <w:iCs/>
          </w:rPr>
          <w:t>Roma and Travellers in six countries</w:t>
        </w:r>
      </w:hyperlink>
      <w:r w:rsidRPr="00AF23BE">
        <w:rPr>
          <w:i/>
        </w:rPr>
        <w:t>, 2020, p.86</w:t>
      </w:r>
      <w:r>
        <w:t>)</w:t>
      </w:r>
      <w:r>
        <w:t xml:space="preserve"> </w:t>
      </w:r>
    </w:p>
    <w:p w14:paraId="4A9958E5" w14:textId="77777777" w:rsidR="003907FA" w:rsidRDefault="003907FA" w:rsidP="003907FA">
      <w:pPr>
        <w:jc w:val="both"/>
      </w:pPr>
      <w:r>
        <w:t xml:space="preserve">“Evidence provided to FRA by UNICEF indicated that in </w:t>
      </w:r>
      <w:r w:rsidRPr="00474D3B">
        <w:rPr>
          <w:b/>
        </w:rPr>
        <w:t>Belgium</w:t>
      </w:r>
      <w:r>
        <w:t>, the introduction of an online registration system for asylum seekers resulted in limited access to housing in reception facilities, including for unaccompanied boys aged over 15.” (</w:t>
      </w:r>
      <w:hyperlink r:id="rId81" w:history="1">
        <w:r w:rsidRPr="00B418CF">
          <w:rPr>
            <w:rStyle w:val="Hyperlink"/>
            <w:i/>
            <w:iCs/>
          </w:rPr>
          <w:t>Coronavirus pandemic in the EU – Fundamental Rights Implications – Bulletin 4</w:t>
        </w:r>
      </w:hyperlink>
      <w:r w:rsidRPr="00474D3B">
        <w:rPr>
          <w:i/>
        </w:rPr>
        <w:t>, 2020, p.35</w:t>
      </w:r>
      <w:r>
        <w:t>)</w:t>
      </w:r>
    </w:p>
    <w:p w14:paraId="03375970" w14:textId="4A1AB5F9" w:rsidR="003E48FC" w:rsidRDefault="00474D3B" w:rsidP="00475D67">
      <w:pPr>
        <w:jc w:val="both"/>
      </w:pPr>
      <w:r>
        <w:t>“</w:t>
      </w:r>
      <w:r w:rsidR="003E48FC">
        <w:t xml:space="preserve">Reception capacity also remained far too little in </w:t>
      </w:r>
      <w:r w:rsidR="003E48FC" w:rsidRPr="00474D3B">
        <w:rPr>
          <w:b/>
        </w:rPr>
        <w:t xml:space="preserve">Belgium </w:t>
      </w:r>
      <w:r w:rsidR="003E48FC">
        <w:t xml:space="preserve">and France. In </w:t>
      </w:r>
      <w:r w:rsidR="003E48FC" w:rsidRPr="00C1783D">
        <w:rPr>
          <w:b/>
        </w:rPr>
        <w:t>Belgium</w:t>
      </w:r>
      <w:r w:rsidR="003E48FC">
        <w:t>, the vast majority of centres for asylum applicants reached or exceeded full capacity</w:t>
      </w:r>
      <w:r>
        <w:t>.”</w:t>
      </w:r>
      <w:r w:rsidR="003E48FC">
        <w:t xml:space="preserve"> (</w:t>
      </w:r>
      <w:hyperlink r:id="rId82" w:history="1">
        <w:r w:rsidR="00390DA5" w:rsidRPr="00390DA5">
          <w:rPr>
            <w:rStyle w:val="Hyperlink"/>
            <w:i/>
            <w:iCs/>
          </w:rPr>
          <w:t>Fundamental Rights Report 2020</w:t>
        </w:r>
      </w:hyperlink>
      <w:r w:rsidR="003E48FC" w:rsidRPr="00474D3B">
        <w:rPr>
          <w:i/>
        </w:rPr>
        <w:t>, p.120</w:t>
      </w:r>
      <w:r w:rsidR="003E48FC">
        <w:t>)</w:t>
      </w:r>
    </w:p>
    <w:p w14:paraId="7F6B782B" w14:textId="1ABF193D" w:rsidR="009840DB" w:rsidRDefault="002842A8" w:rsidP="00475D67">
      <w:pPr>
        <w:jc w:val="both"/>
      </w:pPr>
      <w:r>
        <w:t>“</w:t>
      </w:r>
      <w:r w:rsidR="00916519">
        <w:t xml:space="preserve">A wide-ranging study on access to the rental housing market in </w:t>
      </w:r>
      <w:r w:rsidR="00916519" w:rsidRPr="002842A8">
        <w:rPr>
          <w:b/>
        </w:rPr>
        <w:t>Brussels, Belgium</w:t>
      </w:r>
      <w:r w:rsidR="00916519">
        <w:t xml:space="preserve">, showed discrimination on a number of grounds. The study implemented 10,978 correspondence tests and 1,542 situation tests by phone, covering discrimination on the grounds of ethnic origin, age, mental or physical disability, source of income, family composition and gender. For these tests, potential tenants contacted real estate agents in response to vacancies advertised on an online platform. The study also placed 648 mystery calls to real estate agents, with instructions to discriminate on the grounds of either ethnicity or source of income. </w:t>
      </w:r>
    </w:p>
    <w:p w14:paraId="7BD2D9D8" w14:textId="77777777" w:rsidR="009840DB" w:rsidRDefault="00916519" w:rsidP="00475D67">
      <w:pPr>
        <w:jc w:val="both"/>
      </w:pPr>
      <w:r>
        <w:t xml:space="preserve">The correspondence and situation tests found widespread discrimination against potential tenants with North-African or sub-Saharan African names compared to those with French-sounding names. No effect was found for candidates with Eastern European-sounding names. The study also uncovered discrimination based on the source of income, regardless of the actual level of income, which affects people on unemployment benefits. Blind candidates and those with mental disabilities also faced discrimination. The findings indicate gender differences, although in combination with other grounds. For example, female North African and Eastern European candidates were treated less favourably, as were unemployed males and male single parents. </w:t>
      </w:r>
    </w:p>
    <w:p w14:paraId="08D89E05" w14:textId="62FC22E3" w:rsidR="00916519" w:rsidRDefault="00916519" w:rsidP="00475D67">
      <w:pPr>
        <w:jc w:val="both"/>
      </w:pPr>
      <w:r>
        <w:t xml:space="preserve">The mystery calls found that real estate agents do grant discriminatory requests, even when they are aware that this is illegal. When requested to discriminate based on ethnicity, about half of the real estate agents responded that such requests are illegal. About one third noted this in response to </w:t>
      </w:r>
      <w:r>
        <w:lastRenderedPageBreak/>
        <w:t>instructions to discriminate based on the source of income. Nonetheless, about one third of real estate agents granted requests to discriminate based on ethnicity, compared to 16 % for requests based on the source of income. The level of discrimination was found to be influenced by the price category of the housing unit, as well as by the ethnic composition of the municipality where the housing unit is located. Specifically, more discrimination was found for pricier housing units in boroughs where fewer members of ethnic minorities tend to live.</w:t>
      </w:r>
      <w:r w:rsidR="002842A8">
        <w:t>”</w:t>
      </w:r>
      <w:r>
        <w:t xml:space="preserve"> (</w:t>
      </w:r>
      <w:hyperlink r:id="rId83" w:history="1">
        <w:r w:rsidR="009A3167" w:rsidRPr="009A3167">
          <w:rPr>
            <w:rStyle w:val="Hyperlink"/>
            <w:i/>
            <w:iCs/>
          </w:rPr>
          <w:t>Fundamental Rights Report 2018</w:t>
        </w:r>
      </w:hyperlink>
      <w:r w:rsidRPr="002842A8">
        <w:rPr>
          <w:i/>
        </w:rPr>
        <w:t>, p.64</w:t>
      </w:r>
      <w:r>
        <w:t>)</w:t>
      </w:r>
    </w:p>
    <w:p w14:paraId="744DF4EC" w14:textId="7C454124" w:rsidR="00D056CF" w:rsidRDefault="00D056CF" w:rsidP="00475D67">
      <w:pPr>
        <w:jc w:val="both"/>
      </w:pPr>
    </w:p>
    <w:p w14:paraId="26504576" w14:textId="342A9A78" w:rsidR="0006587C" w:rsidRDefault="008820C2" w:rsidP="00475D67">
      <w:pPr>
        <w:pStyle w:val="Heading2"/>
        <w:numPr>
          <w:ilvl w:val="1"/>
          <w:numId w:val="8"/>
        </w:numPr>
        <w:jc w:val="both"/>
      </w:pPr>
      <w:bookmarkStart w:id="12" w:name="_Toc67933989"/>
      <w:r w:rsidRPr="003A100D">
        <w:t>Employment</w:t>
      </w:r>
      <w:bookmarkEnd w:id="12"/>
    </w:p>
    <w:p w14:paraId="4FB0293B" w14:textId="77777777" w:rsidR="00821F18" w:rsidRPr="00821F18" w:rsidRDefault="00821F18" w:rsidP="00475D67">
      <w:pPr>
        <w:jc w:val="both"/>
      </w:pPr>
    </w:p>
    <w:p w14:paraId="6BEAFE41" w14:textId="52C63BF1" w:rsidR="008820C2" w:rsidRDefault="00C30CC8" w:rsidP="00475D67">
      <w:pPr>
        <w:jc w:val="both"/>
      </w:pPr>
      <w:r>
        <w:t>“</w:t>
      </w:r>
      <w:r w:rsidR="008820C2">
        <w:t xml:space="preserve">The proportion of Roma and Travellers in work is very low across all survey countries, the results show, and well below the employment rate of the general population, ranging from 15 % in Ireland to 50 % in </w:t>
      </w:r>
      <w:r w:rsidR="008820C2" w:rsidRPr="00C30CC8">
        <w:rPr>
          <w:b/>
        </w:rPr>
        <w:t>Belgium</w:t>
      </w:r>
      <w:r w:rsidR="008820C2">
        <w:t>.</w:t>
      </w:r>
      <w:r>
        <w:t>”</w:t>
      </w:r>
      <w:r w:rsidR="008820C2">
        <w:t xml:space="preserve"> (</w:t>
      </w:r>
      <w:hyperlink r:id="rId84" w:history="1">
        <w:r w:rsidR="007F0C0C" w:rsidRPr="004A3206">
          <w:rPr>
            <w:rStyle w:val="Hyperlink"/>
            <w:i/>
            <w:iCs/>
          </w:rPr>
          <w:t>Roma and Travellers in six countries</w:t>
        </w:r>
      </w:hyperlink>
      <w:r w:rsidR="008820C2" w:rsidRPr="00C30CC8">
        <w:rPr>
          <w:i/>
        </w:rPr>
        <w:t>, 2020, p.20</w:t>
      </w:r>
      <w:r w:rsidR="008820C2">
        <w:t>)</w:t>
      </w:r>
    </w:p>
    <w:p w14:paraId="6D5C92AB" w14:textId="1595411C" w:rsidR="00CB3A4C" w:rsidRDefault="00C30CC8" w:rsidP="00475D67">
      <w:pPr>
        <w:jc w:val="both"/>
      </w:pPr>
      <w:r>
        <w:t>“</w:t>
      </w:r>
      <w:r w:rsidR="001A1720">
        <w:t xml:space="preserve">Respondents frequently experienced discrimination when looking for work. Every fourth Roma or Traveller respondent felt discriminated against because of being a Roma or Traveller when looking for work in the 12 months preceding the survey and almost every second one in the last five years (Figure 16). </w:t>
      </w:r>
      <w:r w:rsidR="001A1720">
        <w:t xml:space="preserve">[…] </w:t>
      </w:r>
      <w:r w:rsidR="00CB3A4C">
        <w:t xml:space="preserve">Roma in </w:t>
      </w:r>
      <w:r w:rsidR="00CB3A4C" w:rsidRPr="00C30CC8">
        <w:rPr>
          <w:b/>
        </w:rPr>
        <w:t>Belgium</w:t>
      </w:r>
      <w:r w:rsidR="00CB3A4C">
        <w:t xml:space="preserve"> have the lowest discrimination rate when looking for a job in the last 12 months (9 %).</w:t>
      </w:r>
      <w:r>
        <w:t>”</w:t>
      </w:r>
      <w:r w:rsidR="00BA155E">
        <w:t xml:space="preserve"> (</w:t>
      </w:r>
      <w:hyperlink r:id="rId85" w:history="1">
        <w:r w:rsidR="007F0C0C" w:rsidRPr="004A3206">
          <w:rPr>
            <w:rStyle w:val="Hyperlink"/>
            <w:i/>
            <w:iCs/>
          </w:rPr>
          <w:t>Roma and Travellers in six countries</w:t>
        </w:r>
      </w:hyperlink>
      <w:r w:rsidR="00BA155E" w:rsidRPr="00C30CC8">
        <w:rPr>
          <w:i/>
        </w:rPr>
        <w:t>, 2020, p.56</w:t>
      </w:r>
      <w:r w:rsidR="00BA155E">
        <w:t>)</w:t>
      </w:r>
    </w:p>
    <w:p w14:paraId="5CA1A2B9" w14:textId="7B909C8F" w:rsidR="008820C2" w:rsidRDefault="00C30CC8" w:rsidP="00475D67">
      <w:pPr>
        <w:jc w:val="both"/>
      </w:pPr>
      <w:r>
        <w:t>“</w:t>
      </w:r>
      <w:r w:rsidR="00B468FB">
        <w:t>Discrimination at the workplace and when looking for a job can also affect interest in continuing with further education and training. It can affect individuals and their communities, shaping a negative perception of their opportunities in the labour market. Most of the Roma and Travellers who do not have work are also not looking for a job, and women are even less likely to search for work than men. That could reflect entrenched stereotypes about the domestic role of women (Figure 17). Among those currently not working, the percentage not looking for a job is lowest among Belgian Roma with 31% on average.</w:t>
      </w:r>
      <w:r>
        <w:t>”</w:t>
      </w:r>
      <w:r w:rsidR="00CB3A4C">
        <w:t xml:space="preserve"> (</w:t>
      </w:r>
      <w:hyperlink r:id="rId86" w:history="1">
        <w:r w:rsidR="007F0C0C" w:rsidRPr="004A3206">
          <w:rPr>
            <w:rStyle w:val="Hyperlink"/>
            <w:i/>
            <w:iCs/>
          </w:rPr>
          <w:t>Roma and Travellers in six countries</w:t>
        </w:r>
      </w:hyperlink>
      <w:r w:rsidR="00CB3A4C" w:rsidRPr="00C30CC8">
        <w:rPr>
          <w:i/>
        </w:rPr>
        <w:t>, 2020, p.57</w:t>
      </w:r>
      <w:r w:rsidR="00CB3A4C">
        <w:t>)</w:t>
      </w:r>
    </w:p>
    <w:p w14:paraId="4DE165A4" w14:textId="3D1794B4" w:rsidR="00040FD2" w:rsidRDefault="00C30CC8" w:rsidP="00475D67">
      <w:pPr>
        <w:jc w:val="both"/>
      </w:pPr>
      <w:r>
        <w:t>“</w:t>
      </w:r>
      <w:r w:rsidR="00040FD2">
        <w:t xml:space="preserve">The data, which are not </w:t>
      </w:r>
      <w:r w:rsidR="00EA00A3">
        <w:t>disag</w:t>
      </w:r>
      <w:r w:rsidR="00040FD2">
        <w:t xml:space="preserve">gregated by gender, show that an important share of immigrants considered their lack of language skills as an obstacle to getting a suitable job in several countries, e.g. Finland (29 %); Estonia (25.9 %); </w:t>
      </w:r>
      <w:r w:rsidR="00040FD2" w:rsidRPr="00C30CC8">
        <w:rPr>
          <w:b/>
        </w:rPr>
        <w:t>Belgium</w:t>
      </w:r>
      <w:r w:rsidR="00040FD2">
        <w:t xml:space="preserve"> (19.6 %); Austria (19.7 %); Italy (12.1 %); Greece (11.5 %); and Germany (9.8 %)</w:t>
      </w:r>
      <w:r>
        <w:t>”</w:t>
      </w:r>
      <w:r w:rsidR="00040FD2">
        <w:t xml:space="preserve"> (</w:t>
      </w:r>
      <w:hyperlink r:id="rId87" w:history="1">
        <w:r w:rsidR="00DF4FD3" w:rsidRPr="00DF4FD3">
          <w:rPr>
            <w:rStyle w:val="Hyperlink"/>
            <w:i/>
            <w:iCs/>
          </w:rPr>
          <w:t>Second EU Minorities and Discrimination Survey – Migrant women – selected findings</w:t>
        </w:r>
      </w:hyperlink>
      <w:r w:rsidR="00040FD2" w:rsidRPr="00C30CC8">
        <w:rPr>
          <w:i/>
        </w:rPr>
        <w:t>, 2019, p.15</w:t>
      </w:r>
      <w:r w:rsidR="00040FD2">
        <w:t>)</w:t>
      </w:r>
    </w:p>
    <w:p w14:paraId="234A6DAE" w14:textId="4B1F3B43" w:rsidR="006F65A5" w:rsidRDefault="00D850CE" w:rsidP="00475D67">
      <w:pPr>
        <w:jc w:val="both"/>
      </w:pPr>
      <w:r>
        <w:t>“</w:t>
      </w:r>
      <w:r w:rsidR="006F65A5">
        <w:t>However, there a</w:t>
      </w:r>
      <w:r w:rsidR="00A37E91">
        <w:t xml:space="preserve">re certain gender differences </w:t>
      </w:r>
      <w:r w:rsidR="006F65A5">
        <w:t>when looking specific</w:t>
      </w:r>
      <w:r w:rsidR="00A37E91">
        <w:t>ally at experiences of discrimi</w:t>
      </w:r>
      <w:r w:rsidR="006F65A5">
        <w:t xml:space="preserve">nation when looking for work in the past five years between the countries and groups surveyed (Figure 8). For example, the share of women respondents with Turkish descent who experienced such discrimination is higher than that of men in Austria (women 39% – men 23%), Germany (women 29 % – </w:t>
      </w:r>
      <w:r w:rsidR="00A37E91">
        <w:t>men 14 %), Swe</w:t>
      </w:r>
      <w:r w:rsidR="006F65A5">
        <w:t xml:space="preserve">den (women 25 % – men 21 %), and </w:t>
      </w:r>
      <w:r w:rsidR="006F65A5" w:rsidRPr="00D850CE">
        <w:rPr>
          <w:b/>
        </w:rPr>
        <w:t xml:space="preserve">Belgium </w:t>
      </w:r>
      <w:r w:rsidR="006F65A5">
        <w:t>(women 34 % – men 32 %).</w:t>
      </w:r>
      <w:r>
        <w:t>”</w:t>
      </w:r>
      <w:r w:rsidR="006F65A5">
        <w:t xml:space="preserve"> (</w:t>
      </w:r>
      <w:hyperlink r:id="rId88" w:history="1">
        <w:r w:rsidR="00DF4FD3" w:rsidRPr="00DF4FD3">
          <w:rPr>
            <w:rStyle w:val="Hyperlink"/>
            <w:i/>
            <w:iCs/>
          </w:rPr>
          <w:t>Second EU Minorities and Discrimination Survey – Migrant women – selected findings</w:t>
        </w:r>
      </w:hyperlink>
      <w:r w:rsidR="00B34D86" w:rsidRPr="00D850CE">
        <w:rPr>
          <w:i/>
        </w:rPr>
        <w:t>, 2019, p.32</w:t>
      </w:r>
      <w:r w:rsidR="006F65A5">
        <w:t>)</w:t>
      </w:r>
    </w:p>
    <w:p w14:paraId="61132040" w14:textId="77777777" w:rsidR="005358D3" w:rsidRDefault="005358D3" w:rsidP="00475D67">
      <w:pPr>
        <w:jc w:val="both"/>
      </w:pPr>
    </w:p>
    <w:p w14:paraId="1A7302BA" w14:textId="1BCFACF9" w:rsidR="00EE1A32" w:rsidRDefault="00EE1A32" w:rsidP="00475D67">
      <w:pPr>
        <w:pStyle w:val="Heading2"/>
        <w:numPr>
          <w:ilvl w:val="1"/>
          <w:numId w:val="8"/>
        </w:numPr>
        <w:jc w:val="both"/>
      </w:pPr>
      <w:bookmarkStart w:id="13" w:name="_Toc67933990"/>
      <w:r w:rsidRPr="003A100D">
        <w:t>Health and health care</w:t>
      </w:r>
      <w:bookmarkEnd w:id="13"/>
      <w:r w:rsidRPr="003A100D">
        <w:t xml:space="preserve"> </w:t>
      </w:r>
    </w:p>
    <w:p w14:paraId="39EB8810" w14:textId="77777777" w:rsidR="008E5FA2" w:rsidRPr="008E5FA2" w:rsidRDefault="008E5FA2" w:rsidP="00475D67">
      <w:pPr>
        <w:jc w:val="both"/>
      </w:pPr>
    </w:p>
    <w:p w14:paraId="546B39A8" w14:textId="7DF374EE" w:rsidR="00EE1A32" w:rsidRPr="000A5C2B" w:rsidRDefault="00236E02" w:rsidP="00475D67">
      <w:pPr>
        <w:jc w:val="both"/>
      </w:pPr>
      <w:r>
        <w:t>“</w:t>
      </w:r>
      <w:r w:rsidR="00EE1A32">
        <w:t xml:space="preserve">Three out of four (76 %) French Travellers indicate they perceive their own health as very good or good, compared with one in two (55 %) Caravan dwellers in </w:t>
      </w:r>
      <w:r w:rsidR="00EE1A32" w:rsidRPr="00236E02">
        <w:rPr>
          <w:b/>
        </w:rPr>
        <w:t>Belgium</w:t>
      </w:r>
      <w:r w:rsidR="00EE1A32">
        <w:t>.</w:t>
      </w:r>
      <w:r>
        <w:t>”</w:t>
      </w:r>
      <w:r w:rsidR="000A5C2B" w:rsidRPr="000A5C2B">
        <w:t xml:space="preserve"> </w:t>
      </w:r>
      <w:r w:rsidR="000A5C2B">
        <w:t>(</w:t>
      </w:r>
      <w:hyperlink r:id="rId89" w:history="1">
        <w:r w:rsidR="007F0C0C" w:rsidRPr="004A3206">
          <w:rPr>
            <w:rStyle w:val="Hyperlink"/>
            <w:i/>
            <w:iCs/>
          </w:rPr>
          <w:t>Roma and Travellers in six countries</w:t>
        </w:r>
      </w:hyperlink>
      <w:r w:rsidR="000A5C2B" w:rsidRPr="00236E02">
        <w:rPr>
          <w:i/>
        </w:rPr>
        <w:t>, 2020, p.64</w:t>
      </w:r>
      <w:r w:rsidR="000A5C2B">
        <w:t>)</w:t>
      </w:r>
    </w:p>
    <w:p w14:paraId="153A05DA" w14:textId="78993578" w:rsidR="00EE1A32" w:rsidRDefault="00236E02" w:rsidP="00475D67">
      <w:pPr>
        <w:jc w:val="both"/>
      </w:pPr>
      <w:r>
        <w:lastRenderedPageBreak/>
        <w:t>“</w:t>
      </w:r>
      <w:r w:rsidR="00EE1A32">
        <w:t xml:space="preserve">Women assess their health less often as good or very good than men among Caravan dwellers (22 percentage points less) and Roma (21 percentage points less) in </w:t>
      </w:r>
      <w:r w:rsidR="00EE1A32" w:rsidRPr="00236E02">
        <w:rPr>
          <w:b/>
        </w:rPr>
        <w:t>Belgium</w:t>
      </w:r>
      <w:r w:rsidR="00EE1A32">
        <w:t>, and among Roma and Travellers in Sweden (11 percentage points less).</w:t>
      </w:r>
      <w:r>
        <w:t>”</w:t>
      </w:r>
      <w:r w:rsidR="000A5C2B">
        <w:t xml:space="preserve"> (</w:t>
      </w:r>
      <w:hyperlink r:id="rId90" w:history="1">
        <w:r w:rsidR="007F0C0C" w:rsidRPr="004A3206">
          <w:rPr>
            <w:rStyle w:val="Hyperlink"/>
            <w:i/>
            <w:iCs/>
          </w:rPr>
          <w:t>Roma and Travellers in six countries</w:t>
        </w:r>
      </w:hyperlink>
      <w:r w:rsidR="000A5C2B" w:rsidRPr="00236E02">
        <w:rPr>
          <w:i/>
        </w:rPr>
        <w:t>, 2020, p.64</w:t>
      </w:r>
      <w:r w:rsidR="000A5C2B">
        <w:t>)</w:t>
      </w:r>
    </w:p>
    <w:p w14:paraId="37BA9C83" w14:textId="569E75D1" w:rsidR="00EE1A32" w:rsidRDefault="00236E02" w:rsidP="00475D67">
      <w:pPr>
        <w:jc w:val="both"/>
      </w:pPr>
      <w:r>
        <w:t>“</w:t>
      </w:r>
      <w:r w:rsidR="00EE1A32">
        <w:t xml:space="preserve">In Ireland, Sweden and the United Kingdom, every fifth respondent reports pollution, grime and other environmental problems in the local area. The lowest percentages are among </w:t>
      </w:r>
      <w:r w:rsidR="00EE1A32" w:rsidRPr="00236E02">
        <w:rPr>
          <w:b/>
        </w:rPr>
        <w:t>Belgian</w:t>
      </w:r>
      <w:r w:rsidR="00EE1A32">
        <w:t xml:space="preserve"> Roma (11 %) and Dutch Travellers (8 %), who indicate environmental problems notably less often than the general population.</w:t>
      </w:r>
      <w:r>
        <w:t>”</w:t>
      </w:r>
      <w:r w:rsidR="00EE1A32">
        <w:t xml:space="preserve"> (</w:t>
      </w:r>
      <w:hyperlink r:id="rId91" w:history="1">
        <w:r w:rsidR="007F0C0C" w:rsidRPr="004A3206">
          <w:rPr>
            <w:rStyle w:val="Hyperlink"/>
            <w:i/>
            <w:iCs/>
          </w:rPr>
          <w:t>Roma and Travellers in six countries</w:t>
        </w:r>
      </w:hyperlink>
      <w:r w:rsidR="00EE1A32" w:rsidRPr="00236E02">
        <w:rPr>
          <w:i/>
        </w:rPr>
        <w:t>, 2020, p.66</w:t>
      </w:r>
      <w:r w:rsidR="00EE1A32">
        <w:t>)</w:t>
      </w:r>
    </w:p>
    <w:p w14:paraId="0ABC176C" w14:textId="3D045E63" w:rsidR="000C1C53" w:rsidRDefault="00392A62" w:rsidP="00475D67">
      <w:pPr>
        <w:jc w:val="both"/>
      </w:pPr>
      <w:r>
        <w:t>“</w:t>
      </w:r>
      <w:r w:rsidR="000C1C53">
        <w:t xml:space="preserve">The estimated life expectancy at birth of Roma and Traveller women surveyed ranges between 70.1 years in </w:t>
      </w:r>
      <w:r w:rsidR="000C1C53" w:rsidRPr="00392A62">
        <w:rPr>
          <w:b/>
        </w:rPr>
        <w:t>Belgium</w:t>
      </w:r>
      <w:r w:rsidR="000C1C53">
        <w:t xml:space="preserve"> and 75.7 years in the United Kingdom, and that of men between 64.6 years in </w:t>
      </w:r>
      <w:r w:rsidR="000C1C53" w:rsidRPr="00392A62">
        <w:rPr>
          <w:b/>
        </w:rPr>
        <w:t>Belgium</w:t>
      </w:r>
      <w:r w:rsidR="000C1C53">
        <w:t xml:space="preserve"> and 69.0 years in Sweden (see Table 3). The disadvantages of Roma and Travellers compared with the corresponding general populations vary from 8.4 years for male Travellers in Ireland and 7.1 years for female Gypsies and Travellers in the United Kingdom to 14.2 and 13.6 years for male and female Roma and Caravan dwellers in </w:t>
      </w:r>
      <w:r w:rsidR="000C1C53" w:rsidRPr="00392A62">
        <w:rPr>
          <w:b/>
        </w:rPr>
        <w:t>Belgium</w:t>
      </w:r>
      <w:r w:rsidR="000C1C53">
        <w:t>.</w:t>
      </w:r>
      <w:r>
        <w:t>”</w:t>
      </w:r>
      <w:r w:rsidR="000C1C53">
        <w:t xml:space="preserve"> (</w:t>
      </w:r>
      <w:hyperlink r:id="rId92" w:history="1">
        <w:r w:rsidR="007F0C0C" w:rsidRPr="004A3206">
          <w:rPr>
            <w:rStyle w:val="Hyperlink"/>
            <w:i/>
            <w:iCs/>
          </w:rPr>
          <w:t>Roma and Travellers in six countries</w:t>
        </w:r>
      </w:hyperlink>
      <w:r w:rsidR="000C1C53" w:rsidRPr="00392A62">
        <w:rPr>
          <w:i/>
        </w:rPr>
        <w:t>, 2020, p.67</w:t>
      </w:r>
      <w:r w:rsidR="000C1C53">
        <w:t>)</w:t>
      </w:r>
    </w:p>
    <w:p w14:paraId="7DFABCB0" w14:textId="1C249B8C" w:rsidR="00201794" w:rsidRDefault="00392A62" w:rsidP="00475D67">
      <w:pPr>
        <w:jc w:val="both"/>
      </w:pPr>
      <w:r>
        <w:t>“</w:t>
      </w:r>
      <w:r w:rsidR="00201794">
        <w:t xml:space="preserve">In </w:t>
      </w:r>
      <w:r w:rsidR="00201794" w:rsidRPr="00392A62">
        <w:rPr>
          <w:b/>
        </w:rPr>
        <w:t>Belgium</w:t>
      </w:r>
      <w:r w:rsidR="00201794">
        <w:t>, however, both survey groups (Roma and Caravan dwellers) have medical coverage rates of less than 80 % (72 % and 78 %). Among the Caravan dwellers it seems to affect men more (72 % coverage for men, 86 % for women), whereas almost no gender gap can be observed among Roma (women 71 %; men 73 %). Answering no to the question on medical insurance can mean that the respondent lacks medical insurance or that they do not know that they are or can be covered by state medical insurance. In any case, the consequences will be the same, as those who are not aware of their right to medical insurance may not make use of medical services and treatments when necessary.</w:t>
      </w:r>
      <w:r>
        <w:t>”</w:t>
      </w:r>
      <w:r w:rsidR="00201794">
        <w:t xml:space="preserve"> (</w:t>
      </w:r>
      <w:hyperlink r:id="rId93" w:history="1">
        <w:r w:rsidR="007F0C0C" w:rsidRPr="004A3206">
          <w:rPr>
            <w:rStyle w:val="Hyperlink"/>
            <w:i/>
            <w:iCs/>
          </w:rPr>
          <w:t>Roma and Travellers in six countries</w:t>
        </w:r>
      </w:hyperlink>
      <w:r w:rsidR="00201794" w:rsidRPr="00392A62">
        <w:rPr>
          <w:i/>
        </w:rPr>
        <w:t>, 2020, p.68</w:t>
      </w:r>
      <w:r w:rsidR="00201794">
        <w:t>)</w:t>
      </w:r>
    </w:p>
    <w:p w14:paraId="736D0B75" w14:textId="77777777" w:rsidR="00EE1A32" w:rsidRDefault="00EE1A32" w:rsidP="00475D67">
      <w:pPr>
        <w:jc w:val="both"/>
      </w:pPr>
    </w:p>
    <w:p w14:paraId="7D6EBFDA" w14:textId="6277FCCA" w:rsidR="005C1011" w:rsidRPr="008D734F" w:rsidRDefault="00D3592A" w:rsidP="00475D67">
      <w:pPr>
        <w:pStyle w:val="Heading1"/>
        <w:numPr>
          <w:ilvl w:val="0"/>
          <w:numId w:val="8"/>
        </w:numPr>
        <w:jc w:val="both"/>
        <w:rPr>
          <w:color w:val="2E74B5" w:themeColor="accent1" w:themeShade="BF"/>
        </w:rPr>
      </w:pPr>
      <w:bookmarkStart w:id="14" w:name="_Toc67933991"/>
      <w:r>
        <w:rPr>
          <w:color w:val="2E74B5" w:themeColor="accent1" w:themeShade="BF"/>
        </w:rPr>
        <w:t xml:space="preserve">Law enforcement and </w:t>
      </w:r>
      <w:r w:rsidR="005C1011" w:rsidRPr="008D734F">
        <w:rPr>
          <w:color w:val="2E74B5" w:themeColor="accent1" w:themeShade="BF"/>
        </w:rPr>
        <w:t>Policing</w:t>
      </w:r>
      <w:bookmarkEnd w:id="14"/>
      <w:r w:rsidR="005C1011" w:rsidRPr="008D734F">
        <w:rPr>
          <w:color w:val="2E74B5" w:themeColor="accent1" w:themeShade="BF"/>
        </w:rPr>
        <w:t xml:space="preserve"> </w:t>
      </w:r>
    </w:p>
    <w:p w14:paraId="606E9A5D" w14:textId="77777777" w:rsidR="00FA4B94" w:rsidRDefault="004A3206" w:rsidP="00FA4B94">
      <w:pPr>
        <w:jc w:val="both"/>
      </w:pPr>
      <w:r>
        <w:br/>
      </w:r>
      <w:r w:rsidR="00FA4B94">
        <w:t xml:space="preserve">“The findings show that the level of trust in the police is generally low, but this varies across the countries and groups surveyed (Figure 7). The highest level of trust in the police, with an average value of 6.6, is among Roma respondents in </w:t>
      </w:r>
      <w:r w:rsidR="00FA4B94" w:rsidRPr="00B02FB6">
        <w:rPr>
          <w:b/>
        </w:rPr>
        <w:t>Belgium</w:t>
      </w:r>
      <w:r w:rsidR="00FA4B94">
        <w:t xml:space="preserve">, followed by Roma and Travellers in Sweden, with a value of 5.4. Nevertheless, while the level of trust in the police among Roma respondents in </w:t>
      </w:r>
      <w:r w:rsidR="00FA4B94" w:rsidRPr="00B02FB6">
        <w:rPr>
          <w:b/>
        </w:rPr>
        <w:t>Belgium</w:t>
      </w:r>
      <w:r w:rsidR="00FA4B94">
        <w:t xml:space="preserve"> is the same as among the general population (average value 6.5), it is much lower for Caravan dwellers (3.8). A possible explanation for the higher level of trust among Roma in </w:t>
      </w:r>
      <w:r w:rsidR="00FA4B94" w:rsidRPr="00B02FB6">
        <w:rPr>
          <w:b/>
        </w:rPr>
        <w:t xml:space="preserve">Belgium </w:t>
      </w:r>
      <w:r w:rsidR="00FA4B94">
        <w:t>could be the lower level of experiencing discrimination and hate crime, which have a negative impact on the level of trust, as Figure 8 shows.” (</w:t>
      </w:r>
      <w:hyperlink r:id="rId94" w:history="1">
        <w:r w:rsidR="00FA4B94" w:rsidRPr="004A3206">
          <w:rPr>
            <w:rStyle w:val="Hyperlink"/>
            <w:i/>
            <w:iCs/>
          </w:rPr>
          <w:t>Roma and Travellers in six countries</w:t>
        </w:r>
      </w:hyperlink>
      <w:r w:rsidR="00FA4B94" w:rsidRPr="00B02FB6">
        <w:rPr>
          <w:i/>
        </w:rPr>
        <w:t>, 2020, p.38</w:t>
      </w:r>
      <w:r w:rsidR="00FA4B94">
        <w:t>)</w:t>
      </w:r>
    </w:p>
    <w:p w14:paraId="199E5DE8" w14:textId="0E24B928" w:rsidR="00E5656E" w:rsidRDefault="004A3206" w:rsidP="00475D67">
      <w:pPr>
        <w:jc w:val="both"/>
      </w:pPr>
      <w:r>
        <w:t xml:space="preserve">“On 7 May 2019, the large-scale police operation Strike took place in the fight against car scams. It mainly targeted certain persons of Roma origin in </w:t>
      </w:r>
      <w:r w:rsidRPr="00B02FB6">
        <w:rPr>
          <w:b/>
        </w:rPr>
        <w:t>Belgium</w:t>
      </w:r>
      <w:r>
        <w:t xml:space="preserve"> who were suspected to be part of an international criminal organisation with more than 1,000 victims in </w:t>
      </w:r>
      <w:r w:rsidRPr="00B02FB6">
        <w:rPr>
          <w:b/>
        </w:rPr>
        <w:t>Belgium</w:t>
      </w:r>
      <w:r>
        <w:t xml:space="preserve">. It was the largest police operation of the past 20 years. The police raided various caravan sites and arrested 52 persons, of whom they took 24 into custody. Moreover, they seized 90 caravans, deregistered number plates of vehicles that were not seized and blocked bank accounts. Many families were left homeless. </w:t>
      </w:r>
    </w:p>
    <w:p w14:paraId="7E4058FE" w14:textId="26C2C8CE" w:rsidR="00AC3215" w:rsidRDefault="004A3206" w:rsidP="00475D67">
      <w:pPr>
        <w:jc w:val="both"/>
      </w:pPr>
      <w:r>
        <w:t xml:space="preserve">On 11 July 2019, UNIA published a report </w:t>
      </w:r>
      <w:proofErr w:type="gramStart"/>
      <w:r>
        <w:t>on the situation of</w:t>
      </w:r>
      <w:proofErr w:type="gramEnd"/>
      <w:r>
        <w:t xml:space="preserve"> caravan residents following operation Strike. The report expressed serious concern about the possible disproportionate nature of certain police and judicial actions and their impact on people, some aspects of which could be discriminatory and/or lead to inhuman and degrading treatment. </w:t>
      </w:r>
    </w:p>
    <w:p w14:paraId="4B3F80D9" w14:textId="0A39510F" w:rsidR="00AC3215" w:rsidRDefault="004A3206" w:rsidP="00475D67">
      <w:pPr>
        <w:jc w:val="both"/>
      </w:pPr>
      <w:r>
        <w:lastRenderedPageBreak/>
        <w:t xml:space="preserve">On 12 July 2019, the European Roma Rights Centre (ERRC) submitted a collective complaint against </w:t>
      </w:r>
      <w:r w:rsidRPr="00B02FB6">
        <w:rPr>
          <w:b/>
        </w:rPr>
        <w:t>Belgium</w:t>
      </w:r>
      <w:r>
        <w:t xml:space="preserve"> to the European Committee of Social Rights, which monitors compliance with the European Social Charter. </w:t>
      </w:r>
    </w:p>
    <w:p w14:paraId="6CD70762" w14:textId="77777777" w:rsidR="00372C3F" w:rsidRDefault="00993849" w:rsidP="00993849">
      <w:pPr>
        <w:jc w:val="both"/>
      </w:pPr>
      <w:r>
        <w:t xml:space="preserve">On 14 May 2020, the Committee declared the complaint admissible and indicated that the </w:t>
      </w:r>
      <w:r w:rsidRPr="00B02FB6">
        <w:rPr>
          <w:b/>
        </w:rPr>
        <w:t xml:space="preserve">Belgian </w:t>
      </w:r>
      <w:r>
        <w:t xml:space="preserve">government should adopt immediate measures, in particular: “to guarantee that persons whose caravans have been seized are not rendered homeless or forced to live in unacceptable living conditions” and “to ensure that all affected persons have due access to water, sanitation, electricity, necessary medical and social assistance as well as to legal aid, in particular taking into account the needs of the vulnerable groups concerned (including children, persons with disabilities and elderly persons)”. </w:t>
      </w:r>
    </w:p>
    <w:p w14:paraId="76E28490" w14:textId="5EEE08DE" w:rsidR="00993849" w:rsidRDefault="00993849" w:rsidP="00993849">
      <w:pPr>
        <w:jc w:val="both"/>
      </w:pPr>
      <w:r>
        <w:t>The case is pending.”</w:t>
      </w:r>
      <w:r w:rsidRPr="00BB2DB2">
        <w:t xml:space="preserve"> </w:t>
      </w:r>
      <w:r>
        <w:t>(</w:t>
      </w:r>
      <w:hyperlink r:id="rId95" w:history="1">
        <w:r w:rsidRPr="004A3206">
          <w:rPr>
            <w:rStyle w:val="Hyperlink"/>
            <w:i/>
            <w:iCs/>
          </w:rPr>
          <w:t>Roma and Travellers in six countries</w:t>
        </w:r>
      </w:hyperlink>
      <w:r w:rsidRPr="00B02FB6">
        <w:rPr>
          <w:i/>
        </w:rPr>
        <w:t>, 2020, p.39</w:t>
      </w:r>
      <w:r>
        <w:t>)</w:t>
      </w:r>
    </w:p>
    <w:p w14:paraId="05B4F958" w14:textId="77777777" w:rsidR="00B418CF" w:rsidRDefault="00B418CF" w:rsidP="00475D67">
      <w:pPr>
        <w:jc w:val="both"/>
      </w:pPr>
      <w:r>
        <w:t xml:space="preserve">“Similarly, according to seven </w:t>
      </w:r>
      <w:r w:rsidRPr="00B02FB6">
        <w:rPr>
          <w:b/>
        </w:rPr>
        <w:t>Belgian</w:t>
      </w:r>
      <w:r>
        <w:t xml:space="preserve"> human rights organisations joining the campaign Stop ethnic profiling, data from the observatory of police violence suggested stricter enforcement of [COVID-19] containment measures in neighbourhoods with a high proportion of residents with a migrant background.” (</w:t>
      </w:r>
      <w:hyperlink r:id="rId96" w:history="1">
        <w:r w:rsidRPr="00B418CF">
          <w:rPr>
            <w:rStyle w:val="Hyperlink"/>
            <w:i/>
            <w:iCs/>
          </w:rPr>
          <w:t>Coronavirus pandemic in the EU – Fundamental Rights Implications – Bulletin 4</w:t>
        </w:r>
      </w:hyperlink>
      <w:r w:rsidRPr="00B02FB6">
        <w:rPr>
          <w:i/>
        </w:rPr>
        <w:t>, 2020, p.34</w:t>
      </w:r>
      <w:r>
        <w:t>)</w:t>
      </w:r>
    </w:p>
    <w:p w14:paraId="1CC307CF" w14:textId="4A67702B" w:rsidR="005C1011" w:rsidRDefault="00B02FB6" w:rsidP="00475D67">
      <w:pPr>
        <w:jc w:val="both"/>
      </w:pPr>
      <w:r>
        <w:t>“</w:t>
      </w:r>
      <w:r w:rsidR="005C1011">
        <w:t xml:space="preserve">The police are more likely to stop and search persons with ethnic minority backgrounds for identity checks, research in a number of Member States shows. For example, in </w:t>
      </w:r>
      <w:r w:rsidR="005C1011" w:rsidRPr="00B02FB6">
        <w:rPr>
          <w:b/>
        </w:rPr>
        <w:t>Belgium</w:t>
      </w:r>
      <w:r w:rsidR="005C1011">
        <w:t>, young people with an ethnic minority background are three times more likely to be stopped by the police for identity checks, research published by the University of Antwerp in June 2019 reveals. Such profiling can undermine trust in law enforcement among persons with ethnic minority backgrounds, the research findings also show.</w:t>
      </w:r>
      <w:r>
        <w:t>”</w:t>
      </w:r>
      <w:r w:rsidR="005C1011">
        <w:t xml:space="preserve"> (</w:t>
      </w:r>
      <w:hyperlink r:id="rId97" w:history="1">
        <w:r w:rsidR="00390DA5" w:rsidRPr="00390DA5">
          <w:rPr>
            <w:rStyle w:val="Hyperlink"/>
            <w:i/>
            <w:iCs/>
          </w:rPr>
          <w:t>Fundamental Rights Report 2020</w:t>
        </w:r>
      </w:hyperlink>
      <w:r w:rsidR="005C1011" w:rsidRPr="00B02FB6">
        <w:rPr>
          <w:i/>
        </w:rPr>
        <w:t>, p.72</w:t>
      </w:r>
      <w:r w:rsidR="005C1011">
        <w:t>)</w:t>
      </w:r>
    </w:p>
    <w:p w14:paraId="010F531D" w14:textId="6EFA9E81" w:rsidR="005C1011" w:rsidRDefault="00B02FB6" w:rsidP="00475D67">
      <w:pPr>
        <w:jc w:val="both"/>
      </w:pPr>
      <w:r>
        <w:t>“</w:t>
      </w:r>
      <w:r w:rsidR="005C1011">
        <w:t xml:space="preserve">In </w:t>
      </w:r>
      <w:r w:rsidR="005C1011" w:rsidRPr="00B02FB6">
        <w:rPr>
          <w:b/>
        </w:rPr>
        <w:t>Belgium</w:t>
      </w:r>
      <w:r w:rsidR="005C1011">
        <w:t>, Amnesty International interviewed over 48 police officers and officials applying qualitative research methodology in nine local police zones about discriminatory practices during policing and identity checks. Half of the police officers believe that ethnic profiling happens and they often lack the tools to avoid it or prevent it, the research findings reveal. There is no clear and coherent policy on identity checks, according to the interviewees, as there are no guidelines, instructions, training or monitoring on identity checks.</w:t>
      </w:r>
      <w:r>
        <w:t>”</w:t>
      </w:r>
      <w:r w:rsidR="005C1011">
        <w:t xml:space="preserve"> (</w:t>
      </w:r>
      <w:hyperlink r:id="rId98" w:history="1">
        <w:r w:rsidR="00B7621B" w:rsidRPr="00B7621B">
          <w:rPr>
            <w:rStyle w:val="Hyperlink"/>
            <w:i/>
            <w:iCs/>
          </w:rPr>
          <w:t>Fundamental Rights Report 2019</w:t>
        </w:r>
      </w:hyperlink>
      <w:r w:rsidR="005C1011" w:rsidRPr="00B02FB6">
        <w:rPr>
          <w:i/>
        </w:rPr>
        <w:t>, p.97</w:t>
      </w:r>
      <w:r w:rsidR="005C1011">
        <w:t>)</w:t>
      </w:r>
    </w:p>
    <w:p w14:paraId="43F43AE1" w14:textId="12F0DB19" w:rsidR="003E48FC" w:rsidRDefault="00B02FB6" w:rsidP="00475D67">
      <w:pPr>
        <w:jc w:val="both"/>
      </w:pPr>
      <w:r>
        <w:t>“</w:t>
      </w:r>
      <w:r w:rsidR="003E48FC">
        <w:t>Last year, FRA reported an increase in alleged mistreatment of migrants and refugees who crossed borders by circumventing border controls. This trend continued in 2018. Allegations of abusive behaviour by police or border guards concerned</w:t>
      </w:r>
      <w:proofErr w:type="gramStart"/>
      <w:r w:rsidR="003E48FC">
        <w:t xml:space="preserve">, in particular, </w:t>
      </w:r>
      <w:r w:rsidR="003E48FC" w:rsidRPr="00B02FB6">
        <w:rPr>
          <w:b/>
        </w:rPr>
        <w:t>Belgium</w:t>
      </w:r>
      <w:proofErr w:type="gramEnd"/>
      <w:r w:rsidR="003E48FC">
        <w:t xml:space="preserve">, Croatia, France, Greece, and </w:t>
      </w:r>
      <w:r w:rsidR="003E48FC" w:rsidRPr="00B7621B">
        <w:t>Italy.</w:t>
      </w:r>
      <w:r w:rsidRPr="00B7621B">
        <w:t>”</w:t>
      </w:r>
      <w:r w:rsidR="003E48FC" w:rsidRPr="00B7621B">
        <w:rPr>
          <w:i/>
          <w:iCs/>
        </w:rPr>
        <w:t xml:space="preserve"> (</w:t>
      </w:r>
      <w:hyperlink r:id="rId99" w:history="1">
        <w:r w:rsidR="00B7621B" w:rsidRPr="00B7621B">
          <w:rPr>
            <w:rStyle w:val="Hyperlink"/>
            <w:i/>
            <w:iCs/>
          </w:rPr>
          <w:t>Fundamental Rights Report 2019</w:t>
        </w:r>
      </w:hyperlink>
      <w:r w:rsidR="003E48FC" w:rsidRPr="00B02FB6">
        <w:rPr>
          <w:i/>
        </w:rPr>
        <w:t>, p.133</w:t>
      </w:r>
      <w:r w:rsidR="003E48FC">
        <w:t>)</w:t>
      </w:r>
    </w:p>
    <w:p w14:paraId="0B839E30" w14:textId="76907F98" w:rsidR="003E48FC" w:rsidRDefault="00B02FB6" w:rsidP="00475D67">
      <w:pPr>
        <w:jc w:val="both"/>
      </w:pPr>
      <w:r>
        <w:t>“</w:t>
      </w:r>
      <w:r w:rsidR="003E48FC">
        <w:t xml:space="preserve">In </w:t>
      </w:r>
      <w:r w:rsidR="003E48FC" w:rsidRPr="00B02FB6">
        <w:rPr>
          <w:b/>
        </w:rPr>
        <w:t>Belgium</w:t>
      </w:r>
      <w:r w:rsidR="003E48FC">
        <w:t xml:space="preserve"> and France, the alleged mistreatment involved people who intended to travel to the United Kingdom without authorisation. In </w:t>
      </w:r>
      <w:r w:rsidR="003E48FC" w:rsidRPr="00B02FB6">
        <w:rPr>
          <w:b/>
        </w:rPr>
        <w:t>Belgium</w:t>
      </w:r>
      <w:r w:rsidR="003E48FC">
        <w:t>, Médecins du Monde surveyed 440 persons; 51 of them presented credible allegations of police violence – inflicted, for example, when they refused to give their fingerprints.</w:t>
      </w:r>
      <w:r>
        <w:t>”</w:t>
      </w:r>
      <w:r w:rsidR="003E48FC">
        <w:t xml:space="preserve"> (</w:t>
      </w:r>
      <w:hyperlink r:id="rId100" w:history="1">
        <w:r w:rsidR="00B7621B" w:rsidRPr="00B7621B">
          <w:rPr>
            <w:rStyle w:val="Hyperlink"/>
            <w:i/>
            <w:iCs/>
          </w:rPr>
          <w:t>Fundamental Rights Report 2019</w:t>
        </w:r>
      </w:hyperlink>
      <w:r w:rsidR="003E48FC" w:rsidRPr="00B02FB6">
        <w:rPr>
          <w:i/>
        </w:rPr>
        <w:t>, p.133</w:t>
      </w:r>
      <w:r w:rsidR="003E48FC">
        <w:t>)</w:t>
      </w:r>
    </w:p>
    <w:p w14:paraId="7B576447" w14:textId="77777777" w:rsidR="00D3592A" w:rsidRDefault="00D3592A" w:rsidP="00475D67">
      <w:pPr>
        <w:jc w:val="both"/>
      </w:pPr>
      <w:r>
        <w:t xml:space="preserve">“In </w:t>
      </w:r>
      <w:r w:rsidRPr="00E879DC">
        <w:rPr>
          <w:b/>
        </w:rPr>
        <w:t>Belgium</w:t>
      </w:r>
      <w:r>
        <w:t xml:space="preserve">, the Ministry of Security, Interior and Justice included training on ‘Discrimination, hate speech and hate crimes: circular 13/2013’ in its new National Security Plan 2016–2019 to give a bigger role for reference officers responsible for discrimination and hate crime. Furthermore, </w:t>
      </w:r>
      <w:proofErr w:type="gramStart"/>
      <w:r>
        <w:t>in an effort to</w:t>
      </w:r>
      <w:proofErr w:type="gramEnd"/>
      <w:r>
        <w:t xml:space="preserve"> ensure that all citizens are treated equally and to fight ethnic profiling, the police zone of </w:t>
      </w:r>
      <w:proofErr w:type="spellStart"/>
      <w:r>
        <w:t>Mechelen-Willebroek</w:t>
      </w:r>
      <w:proofErr w:type="spellEnd"/>
      <w:r>
        <w:t xml:space="preserve"> has been registering every identity check of civilians since May 2017.” </w:t>
      </w:r>
      <w:r w:rsidRPr="00E879DC">
        <w:rPr>
          <w:i/>
        </w:rPr>
        <w:t>(</w:t>
      </w:r>
      <w:hyperlink r:id="rId101" w:history="1">
        <w:r w:rsidRPr="009A3167">
          <w:rPr>
            <w:rStyle w:val="Hyperlink"/>
            <w:i/>
            <w:iCs/>
          </w:rPr>
          <w:t>Fundamental Rights Report 2018</w:t>
        </w:r>
      </w:hyperlink>
      <w:r w:rsidRPr="00E879DC">
        <w:rPr>
          <w:i/>
        </w:rPr>
        <w:t>, p.87)</w:t>
      </w:r>
    </w:p>
    <w:p w14:paraId="2525C82A" w14:textId="13126DA5" w:rsidR="00133C8A" w:rsidRDefault="00F00E62" w:rsidP="00475D67">
      <w:pPr>
        <w:pStyle w:val="Heading1"/>
        <w:numPr>
          <w:ilvl w:val="0"/>
          <w:numId w:val="8"/>
        </w:numPr>
        <w:jc w:val="both"/>
        <w:rPr>
          <w:color w:val="2E74B5" w:themeColor="accent1" w:themeShade="BF"/>
        </w:rPr>
      </w:pPr>
      <w:bookmarkStart w:id="15" w:name="_Toc67933992"/>
      <w:r w:rsidRPr="008D734F">
        <w:rPr>
          <w:color w:val="2E74B5" w:themeColor="accent1" w:themeShade="BF"/>
        </w:rPr>
        <w:lastRenderedPageBreak/>
        <w:t>Hate Speech and hate crime</w:t>
      </w:r>
      <w:bookmarkEnd w:id="15"/>
    </w:p>
    <w:p w14:paraId="56D77584" w14:textId="77777777" w:rsidR="00C82DAA" w:rsidRDefault="00C82DAA" w:rsidP="00475D67">
      <w:pPr>
        <w:jc w:val="both"/>
      </w:pPr>
    </w:p>
    <w:p w14:paraId="59116671" w14:textId="3ACC9E08" w:rsidR="000C6A7F" w:rsidRDefault="00B02FB6" w:rsidP="00475D67">
      <w:pPr>
        <w:jc w:val="both"/>
      </w:pPr>
      <w:r>
        <w:t>“</w:t>
      </w:r>
      <w:r w:rsidR="000C6A7F">
        <w:t xml:space="preserve">The reported prevalence of hate-motivated harassment is highest among Roma in the Netherlands; 83 % mention experiencing such incidents. </w:t>
      </w:r>
      <w:r w:rsidR="000C6A7F" w:rsidRPr="00B02FB6">
        <w:rPr>
          <w:b/>
        </w:rPr>
        <w:t>Belgian</w:t>
      </w:r>
      <w:r w:rsidR="000C6A7F">
        <w:t xml:space="preserve"> Caravan dwellers and Roma respondents are least likely to experience such incidents (13 % and 16 % respectively).</w:t>
      </w:r>
      <w:r>
        <w:t>”</w:t>
      </w:r>
      <w:r w:rsidR="00C15FF6">
        <w:t xml:space="preserve"> (</w:t>
      </w:r>
      <w:hyperlink r:id="rId102" w:history="1">
        <w:r w:rsidR="007F0C0C" w:rsidRPr="004A3206">
          <w:rPr>
            <w:rStyle w:val="Hyperlink"/>
            <w:i/>
            <w:iCs/>
          </w:rPr>
          <w:t>Roma and Travellers in six countries</w:t>
        </w:r>
      </w:hyperlink>
      <w:r w:rsidR="00C15FF6" w:rsidRPr="00B02FB6">
        <w:rPr>
          <w:i/>
        </w:rPr>
        <w:t>, 2020, p.34</w:t>
      </w:r>
      <w:r w:rsidR="00C15FF6">
        <w:t>)</w:t>
      </w:r>
    </w:p>
    <w:p w14:paraId="357CC30F" w14:textId="7F7ECE19" w:rsidR="00AE606A" w:rsidRDefault="00B02FB6" w:rsidP="00475D67">
      <w:pPr>
        <w:jc w:val="both"/>
        <w:rPr>
          <w:rStyle w:val="Hyperlink"/>
          <w:color w:val="000000" w:themeColor="text1"/>
          <w:u w:val="none"/>
        </w:rPr>
      </w:pPr>
      <w:r>
        <w:t>“</w:t>
      </w:r>
      <w:r w:rsidR="00AE606A">
        <w:t xml:space="preserve">Expressions of hostility towards Jews in the street and other public spaces is considered to be ‘a very big’ or ‘a fairly big problem’ by the large majority of respondents in France (91 %), </w:t>
      </w:r>
      <w:r w:rsidR="00AE606A" w:rsidRPr="00B02FB6">
        <w:rPr>
          <w:b/>
        </w:rPr>
        <w:t>Belgium</w:t>
      </w:r>
      <w:r w:rsidR="00AE606A">
        <w:t xml:space="preserve"> (81 %), Germany (80 %), and the Netherlands (71 %) […].</w:t>
      </w:r>
      <w:r>
        <w:t>”</w:t>
      </w:r>
      <w:r w:rsidR="00AE606A">
        <w:t xml:space="preserve"> (</w:t>
      </w:r>
      <w:hyperlink r:id="rId103" w:history="1">
        <w:r w:rsidR="007E7A18" w:rsidRPr="007E7A18">
          <w:rPr>
            <w:rStyle w:val="Hyperlink"/>
            <w:i/>
          </w:rPr>
          <w:t>Experiences and perceptions of antisemitism - Second survey on discrimination and hate crime against Jews in the EU</w:t>
        </w:r>
      </w:hyperlink>
      <w:r w:rsidR="00AE606A" w:rsidRPr="00B02FB6">
        <w:rPr>
          <w:rStyle w:val="Hyperlink"/>
          <w:i/>
          <w:color w:val="000000" w:themeColor="text1"/>
          <w:u w:val="none"/>
        </w:rPr>
        <w:t>, 2018, p.22</w:t>
      </w:r>
      <w:r w:rsidR="00AE606A">
        <w:rPr>
          <w:rStyle w:val="Hyperlink"/>
          <w:color w:val="000000" w:themeColor="text1"/>
          <w:u w:val="none"/>
        </w:rPr>
        <w:t>)</w:t>
      </w:r>
    </w:p>
    <w:p w14:paraId="0E53DB16" w14:textId="4D0F927C" w:rsidR="007A1740" w:rsidRDefault="00B02FB6" w:rsidP="00475D67">
      <w:pPr>
        <w:jc w:val="both"/>
        <w:rPr>
          <w:rStyle w:val="Hyperlink"/>
          <w:color w:val="000000" w:themeColor="text1"/>
          <w:u w:val="none"/>
        </w:rPr>
      </w:pPr>
      <w:r>
        <w:t>“</w:t>
      </w:r>
      <w:r w:rsidR="007A1740">
        <w:t xml:space="preserve">The survey findings show that 2 % of all respondents experienced a physical attack and 28 % </w:t>
      </w:r>
      <w:r w:rsidR="006B6983">
        <w:t>encountered some form of harass</w:t>
      </w:r>
      <w:r w:rsidR="007A1740">
        <w:t xml:space="preserve">ment because they are Jewish in the 12 months before the survey. Considering the results for each of the EU Member States surveyed, France had the greatest share of respondents who worried about such issues (60 % worried about antisemitic verbal insults and harassment and 58 % about antisemitic physical attacks), followed by Germany (59 % and 47 %, respectively) and </w:t>
      </w:r>
      <w:r w:rsidR="007A1740" w:rsidRPr="00B02FB6">
        <w:rPr>
          <w:b/>
        </w:rPr>
        <w:t>Belgium</w:t>
      </w:r>
      <w:r w:rsidR="007A1740">
        <w:t xml:space="preserve"> (55 % and 41 %, respectively).</w:t>
      </w:r>
      <w:r>
        <w:t>”</w:t>
      </w:r>
      <w:r w:rsidR="007A1740">
        <w:t xml:space="preserve"> (</w:t>
      </w:r>
      <w:hyperlink r:id="rId104" w:history="1">
        <w:r w:rsidR="007E7A18" w:rsidRPr="007E7A18">
          <w:rPr>
            <w:rStyle w:val="Hyperlink"/>
            <w:i/>
          </w:rPr>
          <w:t>Experiences and perceptions of antisemitism - Second survey on discrimination and hate crime against Jews in the EU</w:t>
        </w:r>
      </w:hyperlink>
      <w:r w:rsidR="007A1740" w:rsidRPr="00B02FB6">
        <w:rPr>
          <w:rStyle w:val="Hyperlink"/>
          <w:i/>
          <w:color w:val="000000" w:themeColor="text1"/>
          <w:u w:val="none"/>
        </w:rPr>
        <w:t>, 2018, p.33</w:t>
      </w:r>
      <w:r w:rsidR="007A1740">
        <w:rPr>
          <w:rStyle w:val="Hyperlink"/>
          <w:color w:val="000000" w:themeColor="text1"/>
          <w:u w:val="none"/>
        </w:rPr>
        <w:t>)</w:t>
      </w:r>
    </w:p>
    <w:p w14:paraId="42089D27" w14:textId="0C2E2272" w:rsidR="00AE606A" w:rsidRDefault="00B02FB6" w:rsidP="00475D67">
      <w:pPr>
        <w:jc w:val="both"/>
        <w:rPr>
          <w:rStyle w:val="Hyperlink"/>
          <w:color w:val="000000" w:themeColor="text1"/>
          <w:u w:val="none"/>
        </w:rPr>
      </w:pPr>
      <w:r>
        <w:t>“</w:t>
      </w:r>
      <w:r w:rsidR="00B2528D">
        <w:t xml:space="preserve">Respondents in </w:t>
      </w:r>
      <w:r w:rsidR="00B2528D" w:rsidRPr="00B02FB6">
        <w:rPr>
          <w:b/>
        </w:rPr>
        <w:t xml:space="preserve">Belgium </w:t>
      </w:r>
      <w:r w:rsidR="00B2528D">
        <w:t>and Germany recorded the next highest rates o</w:t>
      </w:r>
      <w:r w:rsidR="006B6983">
        <w:t xml:space="preserve">f concern: in </w:t>
      </w:r>
      <w:r w:rsidR="006B6983" w:rsidRPr="00B02FB6">
        <w:rPr>
          <w:b/>
        </w:rPr>
        <w:t>Belgium</w:t>
      </w:r>
      <w:r w:rsidR="006B6983">
        <w:t>, 65 % wor</w:t>
      </w:r>
      <w:r w:rsidR="00B2528D">
        <w:t>ried that a family member or other close person might be subjected to insult or harassment, and 54 % worried that they might be physically attacked; […]</w:t>
      </w:r>
      <w:r>
        <w:t>.”</w:t>
      </w:r>
      <w:r w:rsidR="00B2528D">
        <w:t xml:space="preserve"> (</w:t>
      </w:r>
      <w:hyperlink r:id="rId105" w:history="1">
        <w:r w:rsidR="007E7A18" w:rsidRPr="007E7A18">
          <w:rPr>
            <w:rStyle w:val="Hyperlink"/>
            <w:i/>
          </w:rPr>
          <w:t>Experiences and perceptions of antisemitism - Second survey on discrimination and hate crime against Jews in the EU</w:t>
        </w:r>
      </w:hyperlink>
      <w:r w:rsidR="00B2528D" w:rsidRPr="00B02FB6">
        <w:rPr>
          <w:rStyle w:val="Hyperlink"/>
          <w:i/>
          <w:color w:val="000000" w:themeColor="text1"/>
          <w:u w:val="none"/>
        </w:rPr>
        <w:t>, 2018, p.35</w:t>
      </w:r>
      <w:r w:rsidR="00B2528D">
        <w:rPr>
          <w:rStyle w:val="Hyperlink"/>
          <w:color w:val="000000" w:themeColor="text1"/>
          <w:u w:val="none"/>
        </w:rPr>
        <w:t>)</w:t>
      </w:r>
    </w:p>
    <w:p w14:paraId="5F81C9EB" w14:textId="5D2BC033" w:rsidR="000527AB" w:rsidRDefault="00B02FB6" w:rsidP="00475D67">
      <w:pPr>
        <w:jc w:val="both"/>
        <w:rPr>
          <w:rStyle w:val="Hyperlink"/>
          <w:color w:val="000000" w:themeColor="text1"/>
          <w:u w:val="none"/>
        </w:rPr>
      </w:pPr>
      <w:r>
        <w:t>“</w:t>
      </w:r>
      <w:r w:rsidR="000527AB">
        <w:t xml:space="preserve">More than one third of respondents in Germany (41 %), </w:t>
      </w:r>
      <w:r w:rsidR="000527AB" w:rsidRPr="00B02FB6">
        <w:rPr>
          <w:b/>
        </w:rPr>
        <w:t>Belgium</w:t>
      </w:r>
      <w:r w:rsidR="000527AB">
        <w:t> (39 %) and the Netherlands (35 %), and close to one third of respondents in Poland, Spain (32 % each) and Sweden (30 %) experienced at least one type of antisemitic harassment in the 12 months before the survey.</w:t>
      </w:r>
      <w:r>
        <w:t>”</w:t>
      </w:r>
      <w:r w:rsidR="000527AB">
        <w:t xml:space="preserve"> (</w:t>
      </w:r>
      <w:hyperlink r:id="rId106" w:history="1">
        <w:r w:rsidR="007E7A18" w:rsidRPr="007E7A18">
          <w:rPr>
            <w:rStyle w:val="Hyperlink"/>
            <w:i/>
          </w:rPr>
          <w:t>Experiences and perceptions of antisemitism - Second survey on discrimination and hate crime against Jews in the EU</w:t>
        </w:r>
      </w:hyperlink>
      <w:r w:rsidR="000527AB" w:rsidRPr="00B02FB6">
        <w:rPr>
          <w:rStyle w:val="Hyperlink"/>
          <w:i/>
          <w:color w:val="000000" w:themeColor="text1"/>
          <w:u w:val="none"/>
        </w:rPr>
        <w:t>, 2018, p.46</w:t>
      </w:r>
      <w:r w:rsidR="000527AB">
        <w:rPr>
          <w:rStyle w:val="Hyperlink"/>
          <w:color w:val="000000" w:themeColor="text1"/>
          <w:u w:val="none"/>
        </w:rPr>
        <w:t>)</w:t>
      </w:r>
    </w:p>
    <w:p w14:paraId="112C13AA" w14:textId="309C8AD9" w:rsidR="00121977" w:rsidRDefault="005133AB" w:rsidP="00475D67">
      <w:pPr>
        <w:jc w:val="both"/>
        <w:rPr>
          <w:rStyle w:val="Hyperlink"/>
          <w:color w:val="000000" w:themeColor="text1"/>
          <w:u w:val="none"/>
        </w:rPr>
      </w:pPr>
      <w:r>
        <w:t>“</w:t>
      </w:r>
      <w:r w:rsidR="008B5651">
        <w:t>H</w:t>
      </w:r>
      <w:r w:rsidR="00121977">
        <w:t>igher shares of res</w:t>
      </w:r>
      <w:r w:rsidR="008B5651">
        <w:t>pondents in Germany, the Nether</w:t>
      </w:r>
      <w:r w:rsidR="00121977">
        <w:t xml:space="preserve">lands and </w:t>
      </w:r>
      <w:r w:rsidR="00121977" w:rsidRPr="005133AB">
        <w:rPr>
          <w:b/>
        </w:rPr>
        <w:t xml:space="preserve">Belgium </w:t>
      </w:r>
      <w:r w:rsidR="00121977">
        <w:t>indic</w:t>
      </w:r>
      <w:r w:rsidR="008B5651">
        <w:t>ate that they personally experi</w:t>
      </w:r>
      <w:r w:rsidR="00121977">
        <w:t>enced offensive or threatening comments because they are Jewish in the 12 months before the survey (29 %, 26 % and 25 %, respect</w:t>
      </w:r>
      <w:r w:rsidR="008B5651">
        <w:t>ively) than in the other EU Mem</w:t>
      </w:r>
      <w:r w:rsidR="00121977">
        <w:t xml:space="preserve">ber States surveyed (Figure 20). Similar proportions of respondents in </w:t>
      </w:r>
      <w:r w:rsidR="00121977" w:rsidRPr="005133AB">
        <w:rPr>
          <w:b/>
        </w:rPr>
        <w:t xml:space="preserve">Belgium </w:t>
      </w:r>
      <w:r w:rsidR="00121977">
        <w:t xml:space="preserve">and Germany say they personally experienced offensive gestures or inappropriate staring because they are Jewish </w:t>
      </w:r>
      <w:r w:rsidR="008B5651">
        <w:t>in the 12 months before the sur</w:t>
      </w:r>
      <w:r w:rsidR="00121977">
        <w:t>vey – 26 % and 24 %, respectively, the highest among the 12 countries.</w:t>
      </w:r>
      <w:r>
        <w:t>”</w:t>
      </w:r>
      <w:r w:rsidR="00121977">
        <w:t xml:space="preserve"> (</w:t>
      </w:r>
      <w:hyperlink r:id="rId107" w:history="1">
        <w:r w:rsidR="007E7A18" w:rsidRPr="007E7A18">
          <w:rPr>
            <w:rStyle w:val="Hyperlink"/>
            <w:i/>
          </w:rPr>
          <w:t>Experiences and perceptions of antisemitism - Second survey on discrimination and hate crime against Jews in the EU</w:t>
        </w:r>
      </w:hyperlink>
      <w:r w:rsidR="00121977" w:rsidRPr="005133AB">
        <w:rPr>
          <w:rStyle w:val="Hyperlink"/>
          <w:i/>
          <w:color w:val="000000" w:themeColor="text1"/>
          <w:u w:val="none"/>
        </w:rPr>
        <w:t>, 2018, p.48</w:t>
      </w:r>
      <w:r w:rsidR="00121977">
        <w:rPr>
          <w:rStyle w:val="Hyperlink"/>
          <w:color w:val="000000" w:themeColor="text1"/>
          <w:u w:val="none"/>
        </w:rPr>
        <w:t>)</w:t>
      </w:r>
    </w:p>
    <w:p w14:paraId="62FB2BAF" w14:textId="669CF7F8" w:rsidR="0022228E" w:rsidRDefault="009951E8" w:rsidP="00475D67">
      <w:pPr>
        <w:jc w:val="both"/>
        <w:rPr>
          <w:rStyle w:val="Hyperlink"/>
          <w:color w:val="000000" w:themeColor="text1"/>
          <w:u w:val="none"/>
        </w:rPr>
      </w:pPr>
      <w:r>
        <w:t>“</w:t>
      </w:r>
      <w:r w:rsidR="0022228E">
        <w:t xml:space="preserve">In the case of the most serious incident of antisemitic harassment, the proportions of victims who referred to antisemitic language during the incident range from 61 %–65 % in France, Denmark, Austria, and Sweden, to 72 %–79 % in </w:t>
      </w:r>
      <w:r w:rsidR="0022228E" w:rsidRPr="009951E8">
        <w:rPr>
          <w:b/>
        </w:rPr>
        <w:t>Belgium</w:t>
      </w:r>
      <w:r w:rsidR="0022228E">
        <w:t>, Hungary and Poland.</w:t>
      </w:r>
      <w:r>
        <w:t>”</w:t>
      </w:r>
      <w:r w:rsidR="0022228E">
        <w:t xml:space="preserve"> (</w:t>
      </w:r>
      <w:hyperlink r:id="rId108" w:history="1">
        <w:r w:rsidR="007E7A18" w:rsidRPr="007E7A18">
          <w:rPr>
            <w:rStyle w:val="Hyperlink"/>
            <w:i/>
          </w:rPr>
          <w:t>Experiences and perceptions of antisemitism - Second survey on discrimination and hate crime against Jews in the EU</w:t>
        </w:r>
      </w:hyperlink>
      <w:r w:rsidR="0022228E" w:rsidRPr="009951E8">
        <w:rPr>
          <w:rStyle w:val="Hyperlink"/>
          <w:i/>
          <w:color w:val="000000" w:themeColor="text1"/>
          <w:u w:val="none"/>
        </w:rPr>
        <w:t>, 2018, p.53</w:t>
      </w:r>
      <w:r w:rsidR="0022228E">
        <w:rPr>
          <w:rStyle w:val="Hyperlink"/>
          <w:color w:val="000000" w:themeColor="text1"/>
          <w:u w:val="none"/>
        </w:rPr>
        <w:t>)</w:t>
      </w:r>
    </w:p>
    <w:p w14:paraId="4FAB18DA" w14:textId="540C4E98" w:rsidR="009C2500" w:rsidRDefault="009951E8" w:rsidP="00475D67">
      <w:pPr>
        <w:jc w:val="both"/>
        <w:rPr>
          <w:rStyle w:val="Hyperlink"/>
          <w:color w:val="000000" w:themeColor="text1"/>
          <w:u w:val="none"/>
        </w:rPr>
      </w:pPr>
      <w:r>
        <w:t>“</w:t>
      </w:r>
      <w:r w:rsidR="000528FC">
        <w:t xml:space="preserve">The results also show some differences in respondents’ perceptions of the perpetrators of the most serious </w:t>
      </w:r>
      <w:proofErr w:type="spellStart"/>
      <w:r w:rsidR="000528FC">
        <w:t>anti</w:t>
      </w:r>
      <w:r w:rsidR="000528FC">
        <w:t>-</w:t>
      </w:r>
      <w:r w:rsidR="000528FC">
        <w:t>semitic</w:t>
      </w:r>
      <w:proofErr w:type="spellEnd"/>
      <w:r w:rsidR="000528FC">
        <w:t xml:space="preserve"> incident of harassment across the 12 survey countries (Table 6). </w:t>
      </w:r>
      <w:r w:rsidR="000B10A9">
        <w:t>The most often mentioned categories across the 12 survey countries – ‘someone I </w:t>
      </w:r>
      <w:proofErr w:type="spellStart"/>
      <w:r w:rsidR="000B10A9">
        <w:t>can not</w:t>
      </w:r>
      <w:proofErr w:type="spellEnd"/>
      <w:r w:rsidR="000B10A9">
        <w:t xml:space="preserve"> describe’ and ‘someone with a Muslim extremist view’ – are also among the top three categories in eight Member States: Austria, </w:t>
      </w:r>
      <w:r w:rsidR="000B10A9" w:rsidRPr="009951E8">
        <w:rPr>
          <w:b/>
        </w:rPr>
        <w:t>Belgium</w:t>
      </w:r>
      <w:r w:rsidR="000B10A9">
        <w:t xml:space="preserve">, Denmark, Germany, France, the Netherlands, Sweden and the United Kingdom (they </w:t>
      </w:r>
      <w:r w:rsidR="000B10A9">
        <w:lastRenderedPageBreak/>
        <w:t>range from 20 % to 40 % and from 22 % to 41 %, respectively).</w:t>
      </w:r>
      <w:r>
        <w:t>”</w:t>
      </w:r>
      <w:r w:rsidR="000B10A9">
        <w:t xml:space="preserve"> (</w:t>
      </w:r>
      <w:hyperlink r:id="rId109" w:history="1">
        <w:r w:rsidR="007E7A18" w:rsidRPr="007E7A18">
          <w:rPr>
            <w:rStyle w:val="Hyperlink"/>
            <w:i/>
          </w:rPr>
          <w:t>Experiences and perceptions of antisemitism - Second survey on discrimination and hate crime against Jews in the EU</w:t>
        </w:r>
      </w:hyperlink>
      <w:r w:rsidR="000B10A9" w:rsidRPr="009951E8">
        <w:rPr>
          <w:rStyle w:val="Hyperlink"/>
          <w:i/>
          <w:color w:val="000000" w:themeColor="text1"/>
          <w:u w:val="none"/>
        </w:rPr>
        <w:t>, 2018, p.54</w:t>
      </w:r>
      <w:r w:rsidR="000B10A9">
        <w:rPr>
          <w:rStyle w:val="Hyperlink"/>
          <w:color w:val="000000" w:themeColor="text1"/>
          <w:u w:val="none"/>
        </w:rPr>
        <w:t>)</w:t>
      </w:r>
    </w:p>
    <w:p w14:paraId="13CD3325" w14:textId="77777777" w:rsidR="001409A5" w:rsidRDefault="001409A5" w:rsidP="00475D67">
      <w:pPr>
        <w:pStyle w:val="Heading2"/>
        <w:jc w:val="both"/>
        <w:rPr>
          <w:rStyle w:val="Hyperlink"/>
          <w:rFonts w:cstheme="majorHAnsi"/>
          <w:color w:val="0070C0"/>
          <w:sz w:val="28"/>
          <w:szCs w:val="28"/>
          <w:u w:val="none"/>
        </w:rPr>
      </w:pPr>
    </w:p>
    <w:p w14:paraId="03C333C4" w14:textId="30C1BF1B" w:rsidR="00552BE8" w:rsidRPr="00DB01DA" w:rsidRDefault="003E1123" w:rsidP="00DB01DA">
      <w:pPr>
        <w:pStyle w:val="Heading2"/>
        <w:ind w:firstLine="720"/>
        <w:rPr>
          <w:rStyle w:val="Hyperlink"/>
          <w:color w:val="2E74B5" w:themeColor="accent1" w:themeShade="BF"/>
          <w:u w:val="none"/>
        </w:rPr>
      </w:pPr>
      <w:bookmarkStart w:id="16" w:name="_Toc67933993"/>
      <w:r w:rsidRPr="00DB01DA">
        <w:rPr>
          <w:rStyle w:val="Hyperlink"/>
          <w:color w:val="2E74B5" w:themeColor="accent1" w:themeShade="BF"/>
          <w:u w:val="none"/>
        </w:rPr>
        <w:t xml:space="preserve">4.1 </w:t>
      </w:r>
      <w:r w:rsidR="00552BE8" w:rsidRPr="00DB01DA">
        <w:rPr>
          <w:rStyle w:val="Hyperlink"/>
          <w:color w:val="2E74B5" w:themeColor="accent1" w:themeShade="BF"/>
          <w:u w:val="none"/>
        </w:rPr>
        <w:t>Reporting</w:t>
      </w:r>
      <w:r w:rsidR="0049260B" w:rsidRPr="00DB01DA">
        <w:rPr>
          <w:rStyle w:val="Hyperlink"/>
          <w:color w:val="2E74B5" w:themeColor="accent1" w:themeShade="BF"/>
          <w:u w:val="none"/>
        </w:rPr>
        <w:t xml:space="preserve">, </w:t>
      </w:r>
      <w:r w:rsidR="0037004B" w:rsidRPr="00DB01DA">
        <w:rPr>
          <w:rStyle w:val="Hyperlink"/>
          <w:color w:val="2E74B5" w:themeColor="accent1" w:themeShade="BF"/>
          <w:u w:val="none"/>
        </w:rPr>
        <w:t>recording</w:t>
      </w:r>
      <w:r w:rsidR="0049260B" w:rsidRPr="00DB01DA">
        <w:rPr>
          <w:rStyle w:val="Hyperlink"/>
          <w:color w:val="2E74B5" w:themeColor="accent1" w:themeShade="BF"/>
          <w:u w:val="none"/>
        </w:rPr>
        <w:t xml:space="preserve"> and prosecution</w:t>
      </w:r>
      <w:r w:rsidR="0037004B" w:rsidRPr="00DB01DA">
        <w:rPr>
          <w:rStyle w:val="Hyperlink"/>
          <w:color w:val="2E74B5" w:themeColor="accent1" w:themeShade="BF"/>
          <w:u w:val="none"/>
        </w:rPr>
        <w:t xml:space="preserve"> of hate crime</w:t>
      </w:r>
      <w:bookmarkEnd w:id="16"/>
    </w:p>
    <w:p w14:paraId="2662BED7" w14:textId="77777777" w:rsidR="009A0DA0" w:rsidRPr="009A0DA0" w:rsidRDefault="009A0DA0" w:rsidP="00475D67">
      <w:pPr>
        <w:jc w:val="both"/>
      </w:pPr>
    </w:p>
    <w:p w14:paraId="27D71009" w14:textId="0A94702A" w:rsidR="00942A60" w:rsidRDefault="009951E8" w:rsidP="00475D67">
      <w:pPr>
        <w:jc w:val="both"/>
      </w:pPr>
      <w:r>
        <w:t>“</w:t>
      </w:r>
      <w:r w:rsidR="00942A60">
        <w:t xml:space="preserve">As many as 93 % of respondents who experienced an incident of harassment in the past five years did not report them anywhere. This is true of all surveyed groups, irrespective of gender, age, income and education. Relatively better outcomes were found among Roma in </w:t>
      </w:r>
      <w:r w:rsidR="00942A60" w:rsidRPr="009951E8">
        <w:rPr>
          <w:b/>
        </w:rPr>
        <w:t>Belgium</w:t>
      </w:r>
      <w:r w:rsidR="00942A60">
        <w:t>; however, even they never reported 84 % of incidents. The rate of non-reporting is comparable to the results for Roma in EU-MIDIS II (90 %).</w:t>
      </w:r>
      <w:r>
        <w:t>”</w:t>
      </w:r>
      <w:r w:rsidR="00C15FF6">
        <w:t xml:space="preserve"> </w:t>
      </w:r>
      <w:r w:rsidR="00450D81">
        <w:t>(</w:t>
      </w:r>
      <w:hyperlink r:id="rId110" w:history="1">
        <w:r w:rsidR="007F0C0C" w:rsidRPr="004A3206">
          <w:rPr>
            <w:rStyle w:val="Hyperlink"/>
            <w:i/>
            <w:iCs/>
          </w:rPr>
          <w:t>Roma and Travellers in six countries</w:t>
        </w:r>
      </w:hyperlink>
      <w:r w:rsidR="00450D81" w:rsidRPr="009951E8">
        <w:rPr>
          <w:i/>
        </w:rPr>
        <w:t>, 2020, p.35</w:t>
      </w:r>
      <w:r w:rsidR="00450D81">
        <w:t>)</w:t>
      </w:r>
    </w:p>
    <w:p w14:paraId="4CC069EA" w14:textId="7C61665A" w:rsidR="0049260B" w:rsidRPr="00FA5F8A" w:rsidRDefault="009951E8" w:rsidP="00475D67">
      <w:pPr>
        <w:jc w:val="both"/>
      </w:pPr>
      <w:r>
        <w:t>“</w:t>
      </w:r>
      <w:r w:rsidR="0049260B">
        <w:t xml:space="preserve">On 7 October 2019, the Criminal Court of Ghent in </w:t>
      </w:r>
      <w:r w:rsidR="0049260B" w:rsidRPr="009951E8">
        <w:rPr>
          <w:b/>
        </w:rPr>
        <w:t>Belgium</w:t>
      </w:r>
      <w:r w:rsidR="0049260B">
        <w:t xml:space="preserve"> delivered a decision condemning a group of football supporters who attacked, with sticks and hand-held fireworks, a squat inhabited by Roma, including young children, in November 2017. Among other things, they were accused of </w:t>
      </w:r>
      <w:r w:rsidR="0049260B" w:rsidRPr="00FA5F8A">
        <w:t xml:space="preserve">threats, vandalism and incitement to hatred or violence through a WhatsApp group. As </w:t>
      </w:r>
      <w:r w:rsidR="0049260B" w:rsidRPr="00FA5F8A">
        <w:rPr>
          <w:b/>
        </w:rPr>
        <w:t xml:space="preserve">Belgium’s </w:t>
      </w:r>
      <w:r w:rsidR="0049260B" w:rsidRPr="00FA5F8A">
        <w:t xml:space="preserve">equality body and national human rights institution (the </w:t>
      </w:r>
      <w:proofErr w:type="spellStart"/>
      <w:r w:rsidR="0049260B" w:rsidRPr="00FA5F8A">
        <w:t>Interfederal</w:t>
      </w:r>
      <w:proofErr w:type="spellEnd"/>
      <w:r w:rsidR="0049260B" w:rsidRPr="00FA5F8A">
        <w:t xml:space="preserve"> Centre for Equal Opportunities and Opposition to Racism, UNIA) stated, this was the first time a Court condemned a racist attack against Roma.</w:t>
      </w:r>
      <w:r w:rsidRPr="00FA5F8A">
        <w:t>”</w:t>
      </w:r>
      <w:r w:rsidR="0049260B" w:rsidRPr="00FA5F8A">
        <w:t xml:space="preserve"> (</w:t>
      </w:r>
      <w:hyperlink r:id="rId111" w:history="1">
        <w:r w:rsidR="007F0C0C" w:rsidRPr="004A3206">
          <w:rPr>
            <w:rStyle w:val="Hyperlink"/>
            <w:i/>
            <w:iCs/>
          </w:rPr>
          <w:t>Roma and Travellers in six countries</w:t>
        </w:r>
      </w:hyperlink>
      <w:r w:rsidR="0049260B" w:rsidRPr="00FA5F8A">
        <w:t>, 2020, p.37)</w:t>
      </w:r>
    </w:p>
    <w:p w14:paraId="0CA780D7" w14:textId="48A471AF" w:rsidR="00FA5F8A" w:rsidRPr="00FA5F8A" w:rsidRDefault="00FA5F8A" w:rsidP="00475D67">
      <w:pPr>
        <w:pStyle w:val="NormalWeb"/>
        <w:jc w:val="both"/>
        <w:rPr>
          <w:rFonts w:asciiTheme="minorHAnsi" w:eastAsiaTheme="minorHAnsi" w:hAnsiTheme="minorHAnsi" w:cstheme="minorBidi"/>
          <w:sz w:val="22"/>
          <w:szCs w:val="22"/>
          <w:lang w:eastAsia="en-US"/>
        </w:rPr>
      </w:pPr>
      <w:r w:rsidRPr="00FA5F8A">
        <w:rPr>
          <w:rFonts w:asciiTheme="minorHAnsi" w:eastAsiaTheme="minorHAnsi" w:hAnsiTheme="minorHAnsi" w:cstheme="minorBidi"/>
          <w:sz w:val="22"/>
          <w:szCs w:val="22"/>
          <w:lang w:eastAsia="en-US"/>
        </w:rPr>
        <w:t>The annual report “</w:t>
      </w:r>
      <w:hyperlink r:id="rId112" w:history="1">
        <w:r w:rsidRPr="00FA5F8A">
          <w:rPr>
            <w:rStyle w:val="Hyperlink"/>
            <w:rFonts w:asciiTheme="minorHAnsi" w:hAnsiTheme="minorHAnsi" w:cstheme="minorHAnsi"/>
            <w:sz w:val="22"/>
            <w:szCs w:val="22"/>
          </w:rPr>
          <w:t>Antisemitism: Overview of antisemitic incidents recorded in the European Union 2009-2019</w:t>
        </w:r>
      </w:hyperlink>
      <w:r w:rsidRPr="00FA5F8A">
        <w:rPr>
          <w:rFonts w:asciiTheme="minorHAnsi" w:hAnsiTheme="minorHAnsi" w:cstheme="minorHAnsi"/>
          <w:sz w:val="22"/>
          <w:szCs w:val="22"/>
        </w:rPr>
        <w:t>”</w:t>
      </w:r>
      <w:r w:rsidRPr="00FA5F8A">
        <w:rPr>
          <w:rFonts w:asciiTheme="minorHAnsi" w:eastAsiaTheme="minorHAnsi" w:hAnsiTheme="minorHAnsi" w:cstheme="minorHAnsi"/>
          <w:sz w:val="22"/>
          <w:szCs w:val="22"/>
          <w:lang w:eastAsia="en-US"/>
        </w:rPr>
        <w:t xml:space="preserve"> provide</w:t>
      </w:r>
      <w:r w:rsidRPr="00FA5F8A">
        <w:rPr>
          <w:rFonts w:asciiTheme="minorHAnsi" w:eastAsiaTheme="minorHAnsi" w:hAnsiTheme="minorHAnsi" w:cstheme="minorBidi"/>
          <w:sz w:val="22"/>
          <w:szCs w:val="22"/>
          <w:lang w:eastAsia="en-US"/>
        </w:rPr>
        <w:t xml:space="preserve">s an update of the most recent figures on antisemitic incidents, covering the period 1 January 2009 – 31 December 2019, across the EU Member States, where data are available. Data for </w:t>
      </w:r>
      <w:r w:rsidRPr="00FA5F8A">
        <w:rPr>
          <w:rFonts w:asciiTheme="minorHAnsi" w:eastAsiaTheme="minorHAnsi" w:hAnsiTheme="minorHAnsi" w:cstheme="minorBidi"/>
          <w:b/>
          <w:bCs/>
          <w:sz w:val="22"/>
          <w:szCs w:val="22"/>
          <w:lang w:eastAsia="en-US"/>
        </w:rPr>
        <w:t>Belgium</w:t>
      </w:r>
      <w:r w:rsidRPr="00FA5F8A">
        <w:rPr>
          <w:rFonts w:asciiTheme="minorHAnsi" w:eastAsiaTheme="minorHAnsi" w:hAnsiTheme="minorHAnsi" w:cstheme="minorBidi"/>
          <w:sz w:val="22"/>
          <w:szCs w:val="22"/>
          <w:lang w:eastAsia="en-US"/>
        </w:rPr>
        <w:t xml:space="preserve"> can be found on pp. 27-31.</w:t>
      </w:r>
    </w:p>
    <w:p w14:paraId="3EC088F7" w14:textId="77777777" w:rsidR="00927249" w:rsidRDefault="00927249" w:rsidP="00475D67">
      <w:pPr>
        <w:jc w:val="both"/>
      </w:pPr>
      <w:r>
        <w:t xml:space="preserve">“The </w:t>
      </w:r>
      <w:r w:rsidRPr="009951E8">
        <w:rPr>
          <w:b/>
        </w:rPr>
        <w:t xml:space="preserve">Belgian equality body </w:t>
      </w:r>
      <w:proofErr w:type="spellStart"/>
      <w:r w:rsidRPr="009951E8">
        <w:rPr>
          <w:b/>
        </w:rPr>
        <w:t>Unia</w:t>
      </w:r>
      <w:proofErr w:type="spellEnd"/>
      <w:r>
        <w:t xml:space="preserve"> received 19 complaints of alleged hate speech and hate crime linked to COVID-19 between 1 April and 30 June, mostly involving people of Asian origin, but also including social media posts blaming migrants for spreading the pandemic.” </w:t>
      </w:r>
      <w:r w:rsidRPr="0060128C">
        <w:rPr>
          <w:i/>
          <w:iCs/>
        </w:rPr>
        <w:t>(</w:t>
      </w:r>
      <w:hyperlink r:id="rId113" w:history="1">
        <w:r w:rsidRPr="00B418CF">
          <w:rPr>
            <w:rStyle w:val="Hyperlink"/>
            <w:i/>
            <w:iCs/>
          </w:rPr>
          <w:t>Coronavirus pandemic in the EU – Fundamental Rights Implications – Bulletin 4</w:t>
        </w:r>
      </w:hyperlink>
      <w:r w:rsidRPr="00B02FB6">
        <w:rPr>
          <w:i/>
        </w:rPr>
        <w:t>, 2020, p.34</w:t>
      </w:r>
      <w:r>
        <w:t>)</w:t>
      </w:r>
    </w:p>
    <w:p w14:paraId="72A5903C" w14:textId="793C7106" w:rsidR="00552BE8" w:rsidRDefault="00283AC8" w:rsidP="00475D67">
      <w:pPr>
        <w:jc w:val="both"/>
        <w:rPr>
          <w:rStyle w:val="Hyperlink"/>
          <w:color w:val="000000" w:themeColor="text1"/>
          <w:u w:val="none"/>
        </w:rPr>
      </w:pPr>
      <w:r w:rsidRPr="00FA5F8A">
        <w:t>“</w:t>
      </w:r>
      <w:r w:rsidR="00552BE8" w:rsidRPr="00FA5F8A">
        <w:t>Comparing the results between the EU Member States in terms of the most serious antisemitic harassment incidents in the past five years shows the highest reporting rates in Austria, the Netherlands and the United Kingdom (21 %–28 %), and the lowest in Spain, Belgium and Denmark (13 %–17 %).</w:t>
      </w:r>
      <w:r w:rsidRPr="00FA5F8A">
        <w:t>”</w:t>
      </w:r>
      <w:r w:rsidR="00552BE8" w:rsidRPr="00FA5F8A">
        <w:t xml:space="preserve"> (</w:t>
      </w:r>
      <w:hyperlink r:id="rId114" w:history="1">
        <w:r w:rsidR="007E7A18" w:rsidRPr="007E7A18">
          <w:rPr>
            <w:rStyle w:val="Hyperlink"/>
            <w:i/>
          </w:rPr>
          <w:t>Experiences and perceptions of antisemitism - Second survey on discrimination and hate crime against Jews in the EU</w:t>
        </w:r>
      </w:hyperlink>
      <w:r w:rsidR="00552BE8" w:rsidRPr="00FA5F8A">
        <w:rPr>
          <w:rStyle w:val="Hyperlink"/>
          <w:i/>
          <w:color w:val="000000" w:themeColor="text1"/>
          <w:u w:val="none"/>
        </w:rPr>
        <w:t>, 2018, p.55</w:t>
      </w:r>
      <w:r w:rsidR="00552BE8" w:rsidRPr="00FA5F8A">
        <w:rPr>
          <w:rStyle w:val="Hyperlink"/>
          <w:color w:val="000000" w:themeColor="text1"/>
          <w:u w:val="none"/>
        </w:rPr>
        <w:t>)</w:t>
      </w:r>
    </w:p>
    <w:p w14:paraId="1EC8E466" w14:textId="2B4A97FC" w:rsidR="00A30D4D" w:rsidRPr="00FA5F8A" w:rsidRDefault="00A30D4D" w:rsidP="00475D67">
      <w:pPr>
        <w:jc w:val="both"/>
        <w:rPr>
          <w:rStyle w:val="Hyperlink"/>
          <w:color w:val="000000" w:themeColor="text1"/>
          <w:u w:val="none"/>
        </w:rPr>
      </w:pPr>
      <w:r>
        <w:rPr>
          <w:rStyle w:val="Hyperlink"/>
          <w:color w:val="000000" w:themeColor="text1"/>
          <w:u w:val="none"/>
        </w:rPr>
        <w:t xml:space="preserve">The report </w:t>
      </w:r>
      <w:hyperlink r:id="rId115" w:history="1">
        <w:r w:rsidR="00B6514E" w:rsidRPr="00B6514E">
          <w:rPr>
            <w:rStyle w:val="Hyperlink"/>
            <w:i/>
            <w:iCs/>
          </w:rPr>
          <w:t>Hate crime recording and data collection practice across the EU</w:t>
        </w:r>
      </w:hyperlink>
      <w:r w:rsidR="00B6514E">
        <w:rPr>
          <w:rStyle w:val="Hyperlink"/>
          <w:color w:val="000000" w:themeColor="text1"/>
          <w:u w:val="none"/>
        </w:rPr>
        <w:t xml:space="preserve"> </w:t>
      </w:r>
      <w:r w:rsidR="001F5F5B">
        <w:rPr>
          <w:rStyle w:val="Hyperlink"/>
          <w:color w:val="000000" w:themeColor="text1"/>
          <w:u w:val="none"/>
        </w:rPr>
        <w:t xml:space="preserve">(2018) </w:t>
      </w:r>
      <w:r w:rsidR="00B6514E">
        <w:rPr>
          <w:rStyle w:val="Hyperlink"/>
          <w:color w:val="000000" w:themeColor="text1"/>
          <w:u w:val="none"/>
        </w:rPr>
        <w:t>p</w:t>
      </w:r>
      <w:r>
        <w:rPr>
          <w:rStyle w:val="Hyperlink"/>
          <w:color w:val="000000" w:themeColor="text1"/>
          <w:u w:val="none"/>
        </w:rPr>
        <w:t xml:space="preserve">rovides rich and detailed information on hate crime recording and data collection systems across the EU. The information on </w:t>
      </w:r>
      <w:r w:rsidRPr="005873FD">
        <w:rPr>
          <w:rStyle w:val="Hyperlink"/>
          <w:b/>
          <w:bCs/>
          <w:color w:val="000000" w:themeColor="text1"/>
          <w:u w:val="none"/>
        </w:rPr>
        <w:t>Belgium</w:t>
      </w:r>
      <w:r>
        <w:rPr>
          <w:rStyle w:val="Hyperlink"/>
          <w:color w:val="000000" w:themeColor="text1"/>
          <w:u w:val="none"/>
        </w:rPr>
        <w:t xml:space="preserve"> – which include information on Belgium’s legal framework; IGO observations and recommendations; recording hate crime; data collection and publication; and cooperation with civil society organisations – can be found on pp. </w:t>
      </w:r>
      <w:r w:rsidR="00F907E6">
        <w:rPr>
          <w:rStyle w:val="Hyperlink"/>
          <w:color w:val="000000" w:themeColor="text1"/>
          <w:u w:val="none"/>
        </w:rPr>
        <w:t>30-32.</w:t>
      </w:r>
    </w:p>
    <w:p w14:paraId="1D7614E2" w14:textId="77777777" w:rsidR="00552BE8" w:rsidRPr="00F00E62" w:rsidRDefault="00552BE8" w:rsidP="00475D67">
      <w:pPr>
        <w:jc w:val="both"/>
        <w:rPr>
          <w:b/>
        </w:rPr>
      </w:pPr>
    </w:p>
    <w:sectPr w:rsidR="00552BE8" w:rsidRPr="00F00E62">
      <w:footerReference w:type="default" r:id="rId1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4D50BE" w14:textId="77777777" w:rsidR="007E7A18" w:rsidRDefault="007E7A18" w:rsidP="008B79C6">
      <w:pPr>
        <w:spacing w:after="0" w:line="240" w:lineRule="auto"/>
      </w:pPr>
      <w:r>
        <w:separator/>
      </w:r>
    </w:p>
  </w:endnote>
  <w:endnote w:type="continuationSeparator" w:id="0">
    <w:p w14:paraId="593963E2" w14:textId="77777777" w:rsidR="007E7A18" w:rsidRDefault="007E7A18" w:rsidP="008B7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4890608"/>
      <w:docPartObj>
        <w:docPartGallery w:val="Page Numbers (Bottom of Page)"/>
        <w:docPartUnique/>
      </w:docPartObj>
    </w:sdtPr>
    <w:sdtEndPr>
      <w:rPr>
        <w:noProof/>
      </w:rPr>
    </w:sdtEndPr>
    <w:sdtContent>
      <w:p w14:paraId="65B510C1" w14:textId="32B8D6F7" w:rsidR="007E7A18" w:rsidRDefault="007E7A18">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2641708F" w14:textId="77777777" w:rsidR="007E7A18" w:rsidRDefault="007E7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E0968D" w14:textId="77777777" w:rsidR="007E7A18" w:rsidRDefault="007E7A18" w:rsidP="008B79C6">
      <w:pPr>
        <w:spacing w:after="0" w:line="240" w:lineRule="auto"/>
      </w:pPr>
      <w:r>
        <w:separator/>
      </w:r>
    </w:p>
  </w:footnote>
  <w:footnote w:type="continuationSeparator" w:id="0">
    <w:p w14:paraId="64A0F04E" w14:textId="77777777" w:rsidR="007E7A18" w:rsidRDefault="007E7A18" w:rsidP="008B79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A95426"/>
    <w:multiLevelType w:val="multilevel"/>
    <w:tmpl w:val="1DD4906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2BEE7F41"/>
    <w:multiLevelType w:val="multilevel"/>
    <w:tmpl w:val="F86AC1E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3E591AEA"/>
    <w:multiLevelType w:val="hybridMultilevel"/>
    <w:tmpl w:val="ED6C0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6119F6"/>
    <w:multiLevelType w:val="hybridMultilevel"/>
    <w:tmpl w:val="0C684662"/>
    <w:lvl w:ilvl="0" w:tplc="7FB0F9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F75294C"/>
    <w:multiLevelType w:val="hybridMultilevel"/>
    <w:tmpl w:val="19786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406B37"/>
    <w:multiLevelType w:val="multilevel"/>
    <w:tmpl w:val="B92ECA26"/>
    <w:lvl w:ilvl="0">
      <w:start w:val="2"/>
      <w:numFmt w:val="decimal"/>
      <w:lvlText w:val="%1"/>
      <w:lvlJc w:val="left"/>
      <w:pPr>
        <w:ind w:left="360" w:hanging="360"/>
      </w:pPr>
      <w:rPr>
        <w:rFonts w:hint="default"/>
      </w:rPr>
    </w:lvl>
    <w:lvl w:ilvl="1">
      <w:start w:val="2"/>
      <w:numFmt w:val="decimal"/>
      <w:lvlText w:val="%1.%2"/>
      <w:lvlJc w:val="left"/>
      <w:pPr>
        <w:ind w:left="1455" w:hanging="360"/>
      </w:pPr>
      <w:rPr>
        <w:rFonts w:hint="default"/>
      </w:rPr>
    </w:lvl>
    <w:lvl w:ilvl="2">
      <w:start w:val="1"/>
      <w:numFmt w:val="decimal"/>
      <w:lvlText w:val="%1.%2.%3"/>
      <w:lvlJc w:val="left"/>
      <w:pPr>
        <w:ind w:left="2910" w:hanging="720"/>
      </w:pPr>
      <w:rPr>
        <w:rFonts w:hint="default"/>
      </w:rPr>
    </w:lvl>
    <w:lvl w:ilvl="3">
      <w:start w:val="1"/>
      <w:numFmt w:val="decimal"/>
      <w:lvlText w:val="%1.%2.%3.%4"/>
      <w:lvlJc w:val="left"/>
      <w:pPr>
        <w:ind w:left="4005" w:hanging="720"/>
      </w:pPr>
      <w:rPr>
        <w:rFonts w:hint="default"/>
      </w:rPr>
    </w:lvl>
    <w:lvl w:ilvl="4">
      <w:start w:val="1"/>
      <w:numFmt w:val="decimal"/>
      <w:lvlText w:val="%1.%2.%3.%4.%5"/>
      <w:lvlJc w:val="left"/>
      <w:pPr>
        <w:ind w:left="5460" w:hanging="1080"/>
      </w:pPr>
      <w:rPr>
        <w:rFonts w:hint="default"/>
      </w:rPr>
    </w:lvl>
    <w:lvl w:ilvl="5">
      <w:start w:val="1"/>
      <w:numFmt w:val="decimal"/>
      <w:lvlText w:val="%1.%2.%3.%4.%5.%6"/>
      <w:lvlJc w:val="left"/>
      <w:pPr>
        <w:ind w:left="6915" w:hanging="1440"/>
      </w:pPr>
      <w:rPr>
        <w:rFonts w:hint="default"/>
      </w:rPr>
    </w:lvl>
    <w:lvl w:ilvl="6">
      <w:start w:val="1"/>
      <w:numFmt w:val="decimal"/>
      <w:lvlText w:val="%1.%2.%3.%4.%5.%6.%7"/>
      <w:lvlJc w:val="left"/>
      <w:pPr>
        <w:ind w:left="8010" w:hanging="1440"/>
      </w:pPr>
      <w:rPr>
        <w:rFonts w:hint="default"/>
      </w:rPr>
    </w:lvl>
    <w:lvl w:ilvl="7">
      <w:start w:val="1"/>
      <w:numFmt w:val="decimal"/>
      <w:lvlText w:val="%1.%2.%3.%4.%5.%6.%7.%8"/>
      <w:lvlJc w:val="left"/>
      <w:pPr>
        <w:ind w:left="9465" w:hanging="1800"/>
      </w:pPr>
      <w:rPr>
        <w:rFonts w:hint="default"/>
      </w:rPr>
    </w:lvl>
    <w:lvl w:ilvl="8">
      <w:start w:val="1"/>
      <w:numFmt w:val="decimal"/>
      <w:lvlText w:val="%1.%2.%3.%4.%5.%6.%7.%8.%9"/>
      <w:lvlJc w:val="left"/>
      <w:pPr>
        <w:ind w:left="10560" w:hanging="1800"/>
      </w:pPr>
      <w:rPr>
        <w:rFonts w:hint="default"/>
      </w:rPr>
    </w:lvl>
  </w:abstractNum>
  <w:abstractNum w:abstractNumId="6" w15:restartNumberingAfterBreak="0">
    <w:nsid w:val="78FE6864"/>
    <w:multiLevelType w:val="hybridMultilevel"/>
    <w:tmpl w:val="12A6E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0313FA"/>
    <w:multiLevelType w:val="hybridMultilevel"/>
    <w:tmpl w:val="89E6D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1"/>
  </w:num>
  <w:num w:numId="5">
    <w:abstractNumId w:val="4"/>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C80"/>
    <w:rsid w:val="00007059"/>
    <w:rsid w:val="000211EA"/>
    <w:rsid w:val="00027EF5"/>
    <w:rsid w:val="00036234"/>
    <w:rsid w:val="00040FD2"/>
    <w:rsid w:val="000420C4"/>
    <w:rsid w:val="00052006"/>
    <w:rsid w:val="000527AB"/>
    <w:rsid w:val="000528FC"/>
    <w:rsid w:val="00054DFA"/>
    <w:rsid w:val="0006587C"/>
    <w:rsid w:val="00065A9C"/>
    <w:rsid w:val="00067F31"/>
    <w:rsid w:val="00090CAA"/>
    <w:rsid w:val="000A5C2B"/>
    <w:rsid w:val="000B10A9"/>
    <w:rsid w:val="000B2716"/>
    <w:rsid w:val="000B39DB"/>
    <w:rsid w:val="000B61BD"/>
    <w:rsid w:val="000C1C53"/>
    <w:rsid w:val="000C6A7F"/>
    <w:rsid w:val="000F1B80"/>
    <w:rsid w:val="000F7ED4"/>
    <w:rsid w:val="001020E2"/>
    <w:rsid w:val="00121977"/>
    <w:rsid w:val="001310BC"/>
    <w:rsid w:val="00133C8A"/>
    <w:rsid w:val="001409A5"/>
    <w:rsid w:val="00150279"/>
    <w:rsid w:val="0016188C"/>
    <w:rsid w:val="00161FD9"/>
    <w:rsid w:val="00175F65"/>
    <w:rsid w:val="00182EEE"/>
    <w:rsid w:val="00184A20"/>
    <w:rsid w:val="001A0AA9"/>
    <w:rsid w:val="001A1720"/>
    <w:rsid w:val="001A231E"/>
    <w:rsid w:val="001A5A0C"/>
    <w:rsid w:val="001B676F"/>
    <w:rsid w:val="001C797A"/>
    <w:rsid w:val="001E2506"/>
    <w:rsid w:val="001E2A60"/>
    <w:rsid w:val="001F5F5B"/>
    <w:rsid w:val="001F7DB7"/>
    <w:rsid w:val="00200D42"/>
    <w:rsid w:val="00201794"/>
    <w:rsid w:val="0022228E"/>
    <w:rsid w:val="00223AE0"/>
    <w:rsid w:val="00236E02"/>
    <w:rsid w:val="00243CA6"/>
    <w:rsid w:val="00250002"/>
    <w:rsid w:val="00267D7E"/>
    <w:rsid w:val="00274A94"/>
    <w:rsid w:val="00283AC8"/>
    <w:rsid w:val="002842A8"/>
    <w:rsid w:val="002A2933"/>
    <w:rsid w:val="002A3890"/>
    <w:rsid w:val="002B0D7C"/>
    <w:rsid w:val="002C105F"/>
    <w:rsid w:val="002C7C23"/>
    <w:rsid w:val="002E31F0"/>
    <w:rsid w:val="003064D1"/>
    <w:rsid w:val="00307560"/>
    <w:rsid w:val="00310BB2"/>
    <w:rsid w:val="0032125E"/>
    <w:rsid w:val="00327A16"/>
    <w:rsid w:val="003403B8"/>
    <w:rsid w:val="0034382D"/>
    <w:rsid w:val="0037004B"/>
    <w:rsid w:val="00372C3F"/>
    <w:rsid w:val="00381E17"/>
    <w:rsid w:val="00385BE5"/>
    <w:rsid w:val="003907FA"/>
    <w:rsid w:val="00390DA5"/>
    <w:rsid w:val="00390F51"/>
    <w:rsid w:val="00391B99"/>
    <w:rsid w:val="00392A62"/>
    <w:rsid w:val="0039492C"/>
    <w:rsid w:val="0039560F"/>
    <w:rsid w:val="003A100D"/>
    <w:rsid w:val="003A61F5"/>
    <w:rsid w:val="003D0983"/>
    <w:rsid w:val="003D7680"/>
    <w:rsid w:val="003E1123"/>
    <w:rsid w:val="003E48FC"/>
    <w:rsid w:val="00402978"/>
    <w:rsid w:val="00411734"/>
    <w:rsid w:val="00426DD5"/>
    <w:rsid w:val="0043446F"/>
    <w:rsid w:val="0043732B"/>
    <w:rsid w:val="0044171C"/>
    <w:rsid w:val="00450D81"/>
    <w:rsid w:val="00451F2D"/>
    <w:rsid w:val="00452273"/>
    <w:rsid w:val="00456242"/>
    <w:rsid w:val="00470546"/>
    <w:rsid w:val="00474D3B"/>
    <w:rsid w:val="00475D67"/>
    <w:rsid w:val="00480DDE"/>
    <w:rsid w:val="0049260B"/>
    <w:rsid w:val="00492842"/>
    <w:rsid w:val="004A3206"/>
    <w:rsid w:val="004B0CAC"/>
    <w:rsid w:val="004C10F8"/>
    <w:rsid w:val="004F4F57"/>
    <w:rsid w:val="005129D1"/>
    <w:rsid w:val="005133AB"/>
    <w:rsid w:val="0053352A"/>
    <w:rsid w:val="005358D3"/>
    <w:rsid w:val="00541AE1"/>
    <w:rsid w:val="00546777"/>
    <w:rsid w:val="00551F96"/>
    <w:rsid w:val="00552BE8"/>
    <w:rsid w:val="005659EC"/>
    <w:rsid w:val="005706C7"/>
    <w:rsid w:val="00585516"/>
    <w:rsid w:val="005873FD"/>
    <w:rsid w:val="005903D2"/>
    <w:rsid w:val="005934FB"/>
    <w:rsid w:val="00596CF5"/>
    <w:rsid w:val="005B2E53"/>
    <w:rsid w:val="005B3B06"/>
    <w:rsid w:val="005C1011"/>
    <w:rsid w:val="005C4796"/>
    <w:rsid w:val="005C6038"/>
    <w:rsid w:val="005D45A7"/>
    <w:rsid w:val="005F04E8"/>
    <w:rsid w:val="0060128C"/>
    <w:rsid w:val="0063330B"/>
    <w:rsid w:val="00661B3D"/>
    <w:rsid w:val="00670E36"/>
    <w:rsid w:val="006720FC"/>
    <w:rsid w:val="006855AD"/>
    <w:rsid w:val="006B6983"/>
    <w:rsid w:val="006D3600"/>
    <w:rsid w:val="006E7C3E"/>
    <w:rsid w:val="006F61A4"/>
    <w:rsid w:val="006F65A5"/>
    <w:rsid w:val="00715604"/>
    <w:rsid w:val="00716F9D"/>
    <w:rsid w:val="00733A3B"/>
    <w:rsid w:val="00777069"/>
    <w:rsid w:val="00783408"/>
    <w:rsid w:val="007A1740"/>
    <w:rsid w:val="007B2826"/>
    <w:rsid w:val="007C082F"/>
    <w:rsid w:val="007E32A2"/>
    <w:rsid w:val="007E4863"/>
    <w:rsid w:val="007E7A18"/>
    <w:rsid w:val="007F0C0C"/>
    <w:rsid w:val="008055FB"/>
    <w:rsid w:val="008166AF"/>
    <w:rsid w:val="0081711F"/>
    <w:rsid w:val="00821F18"/>
    <w:rsid w:val="0083644C"/>
    <w:rsid w:val="00842390"/>
    <w:rsid w:val="00874446"/>
    <w:rsid w:val="00880EBB"/>
    <w:rsid w:val="00881F81"/>
    <w:rsid w:val="008820C2"/>
    <w:rsid w:val="008A4616"/>
    <w:rsid w:val="008B5651"/>
    <w:rsid w:val="008B5661"/>
    <w:rsid w:val="008B79C6"/>
    <w:rsid w:val="008D670D"/>
    <w:rsid w:val="008D71B3"/>
    <w:rsid w:val="008D734F"/>
    <w:rsid w:val="008E4D98"/>
    <w:rsid w:val="008E5FA2"/>
    <w:rsid w:val="008F01F1"/>
    <w:rsid w:val="008F2BA8"/>
    <w:rsid w:val="00916519"/>
    <w:rsid w:val="00925ADC"/>
    <w:rsid w:val="00927249"/>
    <w:rsid w:val="00942A60"/>
    <w:rsid w:val="009604D2"/>
    <w:rsid w:val="009646DE"/>
    <w:rsid w:val="009836BF"/>
    <w:rsid w:val="009840DB"/>
    <w:rsid w:val="00987921"/>
    <w:rsid w:val="00993849"/>
    <w:rsid w:val="009951E8"/>
    <w:rsid w:val="009A09D5"/>
    <w:rsid w:val="009A0DA0"/>
    <w:rsid w:val="009A3167"/>
    <w:rsid w:val="009C2500"/>
    <w:rsid w:val="009F4040"/>
    <w:rsid w:val="009F644C"/>
    <w:rsid w:val="009F790B"/>
    <w:rsid w:val="00A05763"/>
    <w:rsid w:val="00A100D8"/>
    <w:rsid w:val="00A1535E"/>
    <w:rsid w:val="00A16790"/>
    <w:rsid w:val="00A1758E"/>
    <w:rsid w:val="00A23F77"/>
    <w:rsid w:val="00A30D4D"/>
    <w:rsid w:val="00A37E91"/>
    <w:rsid w:val="00A61E2D"/>
    <w:rsid w:val="00A75443"/>
    <w:rsid w:val="00A766A2"/>
    <w:rsid w:val="00A76C9E"/>
    <w:rsid w:val="00A77F83"/>
    <w:rsid w:val="00A84FF3"/>
    <w:rsid w:val="00AA5D52"/>
    <w:rsid w:val="00AB2304"/>
    <w:rsid w:val="00AC1F62"/>
    <w:rsid w:val="00AC3215"/>
    <w:rsid w:val="00AC601D"/>
    <w:rsid w:val="00AD5F08"/>
    <w:rsid w:val="00AD694B"/>
    <w:rsid w:val="00AD7C1E"/>
    <w:rsid w:val="00AE606A"/>
    <w:rsid w:val="00AF23BE"/>
    <w:rsid w:val="00AF29A1"/>
    <w:rsid w:val="00AF6FAA"/>
    <w:rsid w:val="00B01C11"/>
    <w:rsid w:val="00B02FB6"/>
    <w:rsid w:val="00B16C1C"/>
    <w:rsid w:val="00B209F4"/>
    <w:rsid w:val="00B2528D"/>
    <w:rsid w:val="00B26360"/>
    <w:rsid w:val="00B321E3"/>
    <w:rsid w:val="00B34D86"/>
    <w:rsid w:val="00B37819"/>
    <w:rsid w:val="00B418CF"/>
    <w:rsid w:val="00B468FB"/>
    <w:rsid w:val="00B53E26"/>
    <w:rsid w:val="00B6514E"/>
    <w:rsid w:val="00B7621B"/>
    <w:rsid w:val="00BA155E"/>
    <w:rsid w:val="00BB2DB2"/>
    <w:rsid w:val="00BC2C89"/>
    <w:rsid w:val="00BD608E"/>
    <w:rsid w:val="00BD6370"/>
    <w:rsid w:val="00C036A3"/>
    <w:rsid w:val="00C03DA0"/>
    <w:rsid w:val="00C15FF6"/>
    <w:rsid w:val="00C1783D"/>
    <w:rsid w:val="00C30CC8"/>
    <w:rsid w:val="00C35F1B"/>
    <w:rsid w:val="00C50584"/>
    <w:rsid w:val="00C63F6B"/>
    <w:rsid w:val="00C642BD"/>
    <w:rsid w:val="00C6432E"/>
    <w:rsid w:val="00C80CE6"/>
    <w:rsid w:val="00C828CA"/>
    <w:rsid w:val="00C82DAA"/>
    <w:rsid w:val="00C87768"/>
    <w:rsid w:val="00C9144D"/>
    <w:rsid w:val="00C92C93"/>
    <w:rsid w:val="00C947D3"/>
    <w:rsid w:val="00CA2588"/>
    <w:rsid w:val="00CB3A4C"/>
    <w:rsid w:val="00CC6DCA"/>
    <w:rsid w:val="00CD01F7"/>
    <w:rsid w:val="00CD68E8"/>
    <w:rsid w:val="00CF17C4"/>
    <w:rsid w:val="00D056CF"/>
    <w:rsid w:val="00D072A6"/>
    <w:rsid w:val="00D13E1A"/>
    <w:rsid w:val="00D14B69"/>
    <w:rsid w:val="00D339FE"/>
    <w:rsid w:val="00D3592A"/>
    <w:rsid w:val="00D559B2"/>
    <w:rsid w:val="00D607C2"/>
    <w:rsid w:val="00D61617"/>
    <w:rsid w:val="00D673C3"/>
    <w:rsid w:val="00D707D0"/>
    <w:rsid w:val="00D730B0"/>
    <w:rsid w:val="00D82B20"/>
    <w:rsid w:val="00D850CE"/>
    <w:rsid w:val="00D85EC4"/>
    <w:rsid w:val="00D95261"/>
    <w:rsid w:val="00DA5C9D"/>
    <w:rsid w:val="00DA7EFD"/>
    <w:rsid w:val="00DB01DA"/>
    <w:rsid w:val="00DB374F"/>
    <w:rsid w:val="00DE0F63"/>
    <w:rsid w:val="00DE48C4"/>
    <w:rsid w:val="00DE70BE"/>
    <w:rsid w:val="00DF4FD3"/>
    <w:rsid w:val="00E05C9D"/>
    <w:rsid w:val="00E232B3"/>
    <w:rsid w:val="00E25509"/>
    <w:rsid w:val="00E44360"/>
    <w:rsid w:val="00E520A9"/>
    <w:rsid w:val="00E5656E"/>
    <w:rsid w:val="00E62092"/>
    <w:rsid w:val="00E676F4"/>
    <w:rsid w:val="00E879DC"/>
    <w:rsid w:val="00EA00A3"/>
    <w:rsid w:val="00EA1B4D"/>
    <w:rsid w:val="00EA4192"/>
    <w:rsid w:val="00EB1B25"/>
    <w:rsid w:val="00ED0239"/>
    <w:rsid w:val="00ED4F09"/>
    <w:rsid w:val="00EE175A"/>
    <w:rsid w:val="00EE1A32"/>
    <w:rsid w:val="00EF068D"/>
    <w:rsid w:val="00F00E62"/>
    <w:rsid w:val="00F1116E"/>
    <w:rsid w:val="00F17D3F"/>
    <w:rsid w:val="00F21B44"/>
    <w:rsid w:val="00F23756"/>
    <w:rsid w:val="00F500E2"/>
    <w:rsid w:val="00F55556"/>
    <w:rsid w:val="00F6458E"/>
    <w:rsid w:val="00F77C80"/>
    <w:rsid w:val="00F817D8"/>
    <w:rsid w:val="00F907E6"/>
    <w:rsid w:val="00FA4B94"/>
    <w:rsid w:val="00FA5F8A"/>
    <w:rsid w:val="00FA6095"/>
    <w:rsid w:val="00FC3455"/>
    <w:rsid w:val="00FD1088"/>
    <w:rsid w:val="00FD4376"/>
    <w:rsid w:val="00FD7715"/>
    <w:rsid w:val="00FE151A"/>
    <w:rsid w:val="00FE3D4C"/>
    <w:rsid w:val="00FE4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B5BB"/>
  <w15:chartTrackingRefBased/>
  <w15:docId w15:val="{2A73DF61-6B56-4623-A7B3-C6E3A0A1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C80"/>
  </w:style>
  <w:style w:type="paragraph" w:styleId="Heading1">
    <w:name w:val="heading 1"/>
    <w:basedOn w:val="Normal"/>
    <w:next w:val="Normal"/>
    <w:link w:val="Heading1Char"/>
    <w:uiPriority w:val="9"/>
    <w:qFormat/>
    <w:rsid w:val="00F77C80"/>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8D734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D734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C80"/>
    <w:rPr>
      <w:rFonts w:asciiTheme="majorHAnsi" w:eastAsiaTheme="majorEastAsia" w:hAnsiTheme="majorHAnsi" w:cstheme="majorBidi"/>
      <w:sz w:val="32"/>
      <w:szCs w:val="32"/>
    </w:rPr>
  </w:style>
  <w:style w:type="character" w:styleId="Hyperlink">
    <w:name w:val="Hyperlink"/>
    <w:basedOn w:val="DefaultParagraphFont"/>
    <w:uiPriority w:val="99"/>
    <w:unhideWhenUsed/>
    <w:rsid w:val="00F77C80"/>
    <w:rPr>
      <w:color w:val="0563C1" w:themeColor="hyperlink"/>
      <w:u w:val="single"/>
    </w:rPr>
  </w:style>
  <w:style w:type="paragraph" w:styleId="TOCHeading">
    <w:name w:val="TOC Heading"/>
    <w:basedOn w:val="Heading1"/>
    <w:next w:val="Normal"/>
    <w:uiPriority w:val="39"/>
    <w:unhideWhenUsed/>
    <w:qFormat/>
    <w:rsid w:val="00F77C80"/>
    <w:pPr>
      <w:outlineLvl w:val="9"/>
    </w:pPr>
    <w:rPr>
      <w:color w:val="2E74B5" w:themeColor="accent1" w:themeShade="BF"/>
      <w:lang w:val="en-US"/>
    </w:rPr>
  </w:style>
  <w:style w:type="paragraph" w:styleId="TOC1">
    <w:name w:val="toc 1"/>
    <w:basedOn w:val="Normal"/>
    <w:next w:val="Normal"/>
    <w:autoRedefine/>
    <w:uiPriority w:val="39"/>
    <w:unhideWhenUsed/>
    <w:rsid w:val="00150279"/>
    <w:pPr>
      <w:tabs>
        <w:tab w:val="left" w:pos="440"/>
        <w:tab w:val="right" w:leader="dot" w:pos="9016"/>
      </w:tabs>
      <w:spacing w:after="100"/>
    </w:pPr>
    <w:rPr>
      <w:b/>
      <w:bCs/>
      <w:noProof/>
    </w:rPr>
  </w:style>
  <w:style w:type="paragraph" w:styleId="ListParagraph">
    <w:name w:val="List Paragraph"/>
    <w:basedOn w:val="Normal"/>
    <w:uiPriority w:val="34"/>
    <w:qFormat/>
    <w:rsid w:val="00F77C80"/>
    <w:pPr>
      <w:ind w:left="720"/>
      <w:contextualSpacing/>
    </w:pPr>
  </w:style>
  <w:style w:type="character" w:styleId="FollowedHyperlink">
    <w:name w:val="FollowedHyperlink"/>
    <w:basedOn w:val="DefaultParagraphFont"/>
    <w:uiPriority w:val="99"/>
    <w:semiHidden/>
    <w:unhideWhenUsed/>
    <w:rsid w:val="00F6458E"/>
    <w:rPr>
      <w:color w:val="954F72" w:themeColor="followedHyperlink"/>
      <w:u w:val="single"/>
    </w:rPr>
  </w:style>
  <w:style w:type="character" w:styleId="CommentReference">
    <w:name w:val="annotation reference"/>
    <w:basedOn w:val="DefaultParagraphFont"/>
    <w:uiPriority w:val="99"/>
    <w:semiHidden/>
    <w:unhideWhenUsed/>
    <w:rsid w:val="0037004B"/>
    <w:rPr>
      <w:sz w:val="16"/>
      <w:szCs w:val="16"/>
    </w:rPr>
  </w:style>
  <w:style w:type="paragraph" w:styleId="CommentText">
    <w:name w:val="annotation text"/>
    <w:basedOn w:val="Normal"/>
    <w:link w:val="CommentTextChar"/>
    <w:uiPriority w:val="99"/>
    <w:semiHidden/>
    <w:unhideWhenUsed/>
    <w:rsid w:val="0037004B"/>
    <w:pPr>
      <w:spacing w:line="240" w:lineRule="auto"/>
    </w:pPr>
    <w:rPr>
      <w:sz w:val="20"/>
      <w:szCs w:val="20"/>
    </w:rPr>
  </w:style>
  <w:style w:type="character" w:customStyle="1" w:styleId="CommentTextChar">
    <w:name w:val="Comment Text Char"/>
    <w:basedOn w:val="DefaultParagraphFont"/>
    <w:link w:val="CommentText"/>
    <w:uiPriority w:val="99"/>
    <w:semiHidden/>
    <w:rsid w:val="0037004B"/>
    <w:rPr>
      <w:sz w:val="20"/>
      <w:szCs w:val="20"/>
    </w:rPr>
  </w:style>
  <w:style w:type="paragraph" w:styleId="CommentSubject">
    <w:name w:val="annotation subject"/>
    <w:basedOn w:val="CommentText"/>
    <w:next w:val="CommentText"/>
    <w:link w:val="CommentSubjectChar"/>
    <w:uiPriority w:val="99"/>
    <w:semiHidden/>
    <w:unhideWhenUsed/>
    <w:rsid w:val="0037004B"/>
    <w:rPr>
      <w:b/>
      <w:bCs/>
    </w:rPr>
  </w:style>
  <w:style w:type="character" w:customStyle="1" w:styleId="CommentSubjectChar">
    <w:name w:val="Comment Subject Char"/>
    <w:basedOn w:val="CommentTextChar"/>
    <w:link w:val="CommentSubject"/>
    <w:uiPriority w:val="99"/>
    <w:semiHidden/>
    <w:rsid w:val="0037004B"/>
    <w:rPr>
      <w:b/>
      <w:bCs/>
      <w:sz w:val="20"/>
      <w:szCs w:val="20"/>
    </w:rPr>
  </w:style>
  <w:style w:type="paragraph" w:styleId="BalloonText">
    <w:name w:val="Balloon Text"/>
    <w:basedOn w:val="Normal"/>
    <w:link w:val="BalloonTextChar"/>
    <w:uiPriority w:val="99"/>
    <w:semiHidden/>
    <w:unhideWhenUsed/>
    <w:rsid w:val="003700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004B"/>
    <w:rPr>
      <w:rFonts w:ascii="Segoe UI" w:hAnsi="Segoe UI" w:cs="Segoe UI"/>
      <w:sz w:val="18"/>
      <w:szCs w:val="18"/>
    </w:rPr>
  </w:style>
  <w:style w:type="paragraph" w:styleId="Header">
    <w:name w:val="header"/>
    <w:basedOn w:val="Normal"/>
    <w:link w:val="HeaderChar"/>
    <w:uiPriority w:val="99"/>
    <w:unhideWhenUsed/>
    <w:rsid w:val="008B7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9C6"/>
  </w:style>
  <w:style w:type="paragraph" w:styleId="Footer">
    <w:name w:val="footer"/>
    <w:basedOn w:val="Normal"/>
    <w:link w:val="FooterChar"/>
    <w:uiPriority w:val="99"/>
    <w:unhideWhenUsed/>
    <w:rsid w:val="008B7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9C6"/>
  </w:style>
  <w:style w:type="character" w:styleId="UnresolvedMention">
    <w:name w:val="Unresolved Mention"/>
    <w:basedOn w:val="DefaultParagraphFont"/>
    <w:uiPriority w:val="99"/>
    <w:semiHidden/>
    <w:unhideWhenUsed/>
    <w:rsid w:val="00EE175A"/>
    <w:rPr>
      <w:color w:val="605E5C"/>
      <w:shd w:val="clear" w:color="auto" w:fill="E1DFDD"/>
    </w:rPr>
  </w:style>
  <w:style w:type="paragraph" w:styleId="NormalWeb">
    <w:name w:val="Normal (Web)"/>
    <w:basedOn w:val="Normal"/>
    <w:uiPriority w:val="99"/>
    <w:semiHidden/>
    <w:unhideWhenUsed/>
    <w:rsid w:val="00FA5F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D734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D734F"/>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661B3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850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ra.europa.eu/sites/default/files/fra_uploads/fra-2020-roma-and-travellers-survey-country-sheet-belgium_fr.pdf" TargetMode="External"/><Relationship Id="rId117" Type="http://schemas.openxmlformats.org/officeDocument/2006/relationships/fontTable" Target="fontTable.xml"/><Relationship Id="rId21" Type="http://schemas.openxmlformats.org/officeDocument/2006/relationships/hyperlink" Target="https://fra.europa.eu/en/publication/2018/fundamental-rights-report-2018" TargetMode="External"/><Relationship Id="rId42" Type="http://schemas.openxmlformats.org/officeDocument/2006/relationships/hyperlink" Target="https://fra.europa.eu/en/publication/2018/fundamental-rights-report-2018" TargetMode="External"/><Relationship Id="rId47" Type="http://schemas.openxmlformats.org/officeDocument/2006/relationships/hyperlink" Target="https://fra.europa.eu/en/publication/2020/roma-travellers-survey" TargetMode="External"/><Relationship Id="rId63" Type="http://schemas.openxmlformats.org/officeDocument/2006/relationships/hyperlink" Target="https://fra.europa.eu/en/publication/2018/experiences-and-perceptions-antisemitism-second-survey-discrimination-and-hate" TargetMode="External"/><Relationship Id="rId68" Type="http://schemas.openxmlformats.org/officeDocument/2006/relationships/hyperlink" Target="https://fra.europa.eu/en/publication/2020/roma-travellers-survey" TargetMode="External"/><Relationship Id="rId84" Type="http://schemas.openxmlformats.org/officeDocument/2006/relationships/hyperlink" Target="https://fra.europa.eu/en/publication/2020/roma-travellers-survey" TargetMode="External"/><Relationship Id="rId89" Type="http://schemas.openxmlformats.org/officeDocument/2006/relationships/hyperlink" Target="https://fra.europa.eu/en/publication/2020/roma-travellers-survey" TargetMode="External"/><Relationship Id="rId112" Type="http://schemas.openxmlformats.org/officeDocument/2006/relationships/hyperlink" Target="https://fra.europa.eu/en/publication/2020/antisemitism-overview-2009-2019" TargetMode="External"/><Relationship Id="rId16" Type="http://schemas.openxmlformats.org/officeDocument/2006/relationships/hyperlink" Target="https://fra.europa.eu/en/publication/2020/fundamental-rights-report-2020" TargetMode="External"/><Relationship Id="rId107" Type="http://schemas.openxmlformats.org/officeDocument/2006/relationships/hyperlink" Target="https://fra.europa.eu/en/publication/2018/experiences-and-perceptions-antisemitism-second-survey-discrimination-and-hate" TargetMode="External"/><Relationship Id="rId11" Type="http://schemas.openxmlformats.org/officeDocument/2006/relationships/endnotes" Target="endnotes.xml"/><Relationship Id="rId32" Type="http://schemas.openxmlformats.org/officeDocument/2006/relationships/hyperlink" Target="https://fra.europa.eu/en/publication/2020/fundamental-rights-report-2020" TargetMode="External"/><Relationship Id="rId37" Type="http://schemas.openxmlformats.org/officeDocument/2006/relationships/hyperlink" Target="https://fra.europa.eu/en/publication/2019/fundamental-rights-report-2019" TargetMode="External"/><Relationship Id="rId53" Type="http://schemas.openxmlformats.org/officeDocument/2006/relationships/hyperlink" Target="https://fra.europa.eu/en/publication/2018/experiences-and-perceptions-antisemitism-second-survey-discrimination-and-hate" TargetMode="External"/><Relationship Id="rId58" Type="http://schemas.openxmlformats.org/officeDocument/2006/relationships/hyperlink" Target="https://fra.europa.eu/en/publication/2018/experiences-and-perceptions-antisemitism-second-survey-discrimination-and-hate" TargetMode="External"/><Relationship Id="rId74" Type="http://schemas.openxmlformats.org/officeDocument/2006/relationships/hyperlink" Target="https://fra.europa.eu/en/publication/2020/covid19-rights-impact-september-1" TargetMode="External"/><Relationship Id="rId79" Type="http://schemas.openxmlformats.org/officeDocument/2006/relationships/hyperlink" Target="https://fra.europa.eu/en/publication/2020/roma-travellers-survey" TargetMode="External"/><Relationship Id="rId102" Type="http://schemas.openxmlformats.org/officeDocument/2006/relationships/hyperlink" Target="https://fra.europa.eu/en/publication/2020/roma-travellers-survey" TargetMode="External"/><Relationship Id="rId5" Type="http://schemas.openxmlformats.org/officeDocument/2006/relationships/customXml" Target="../customXml/item5.xml"/><Relationship Id="rId90" Type="http://schemas.openxmlformats.org/officeDocument/2006/relationships/hyperlink" Target="https://fra.europa.eu/en/publication/2020/roma-travellers-survey" TargetMode="External"/><Relationship Id="rId95" Type="http://schemas.openxmlformats.org/officeDocument/2006/relationships/hyperlink" Target="https://fra.europa.eu/en/publication/2020/roma-travellers-survey" TargetMode="External"/><Relationship Id="rId22" Type="http://schemas.openxmlformats.org/officeDocument/2006/relationships/hyperlink" Target="https://fra.europa.eu/en/publications-and-resources/data-and-maps" TargetMode="External"/><Relationship Id="rId27" Type="http://schemas.openxmlformats.org/officeDocument/2006/relationships/hyperlink" Target="https://fra.europa.eu/sites/default/files/fra_uploads/fra-2020-roma-and-travellers-survey-country-sheet-belgium_nl.pdf" TargetMode="External"/><Relationship Id="rId43" Type="http://schemas.openxmlformats.org/officeDocument/2006/relationships/hyperlink" Target="https://fra.europa.eu/en/publication/2020/roma-travellers-survey" TargetMode="External"/><Relationship Id="rId48" Type="http://schemas.openxmlformats.org/officeDocument/2006/relationships/hyperlink" Target="https://fra.europa.eu/en/publication/2020/roma-travellers-survey" TargetMode="External"/><Relationship Id="rId64" Type="http://schemas.openxmlformats.org/officeDocument/2006/relationships/hyperlink" Target="https://fra.europa.eu/en/publication/2018/fundamental-rights-report-2018" TargetMode="External"/><Relationship Id="rId69" Type="http://schemas.openxmlformats.org/officeDocument/2006/relationships/hyperlink" Target="https://fra.europa.eu/en/publication/2020/roma-travellers-survey" TargetMode="External"/><Relationship Id="rId113" Type="http://schemas.openxmlformats.org/officeDocument/2006/relationships/hyperlink" Target="https://fra.europa.eu/en/publication/2020/covid19-rights-impact-july-1" TargetMode="External"/><Relationship Id="rId118" Type="http://schemas.openxmlformats.org/officeDocument/2006/relationships/theme" Target="theme/theme1.xml"/><Relationship Id="rId80" Type="http://schemas.openxmlformats.org/officeDocument/2006/relationships/hyperlink" Target="https://fra.europa.eu/en/publication/2020/roma-travellers-survey" TargetMode="External"/><Relationship Id="rId85" Type="http://schemas.openxmlformats.org/officeDocument/2006/relationships/hyperlink" Target="https://fra.europa.eu/en/publication/2020/roma-travellers-survey" TargetMode="External"/><Relationship Id="rId12" Type="http://schemas.openxmlformats.org/officeDocument/2006/relationships/hyperlink" Target="https://fra.europa.eu/en/publication/2020/roma-travellers-survey" TargetMode="External"/><Relationship Id="rId17" Type="http://schemas.openxmlformats.org/officeDocument/2006/relationships/hyperlink" Target="https://fra.europa.eu/sites/default/files/fra_uploads/fra-2019-eu-midis-ii-migrant-women_en.pdf" TargetMode="External"/><Relationship Id="rId33" Type="http://schemas.openxmlformats.org/officeDocument/2006/relationships/hyperlink" Target="https://fra.europa.eu/en/publication/2020/fundamental-rights-report-2020" TargetMode="External"/><Relationship Id="rId38" Type="http://schemas.openxmlformats.org/officeDocument/2006/relationships/hyperlink" Target="https://fra.europa.eu/en/publication/2019/fundamental-rights-report-2019" TargetMode="External"/><Relationship Id="rId59" Type="http://schemas.openxmlformats.org/officeDocument/2006/relationships/hyperlink" Target="https://fra.europa.eu/en/publication/2018/experiences-and-perceptions-antisemitism-second-survey-discrimination-and-hate" TargetMode="External"/><Relationship Id="rId103" Type="http://schemas.openxmlformats.org/officeDocument/2006/relationships/hyperlink" Target="https://fra.europa.eu/en/publication/2018/experiences-and-perceptions-antisemitism-second-survey-discrimination-and-hate" TargetMode="External"/><Relationship Id="rId108" Type="http://schemas.openxmlformats.org/officeDocument/2006/relationships/hyperlink" Target="https://fra.europa.eu/en/publication/2018/experiences-and-perceptions-antisemitism-second-survey-discrimination-and-hate" TargetMode="External"/><Relationship Id="rId54" Type="http://schemas.openxmlformats.org/officeDocument/2006/relationships/hyperlink" Target="https://fra.europa.eu/en/publication/2018/experiences-and-perceptions-antisemitism-second-survey-discrimination-and-hate" TargetMode="External"/><Relationship Id="rId70" Type="http://schemas.openxmlformats.org/officeDocument/2006/relationships/hyperlink" Target="https://fra.europa.eu/en/publication/2020/fundamental-rights-report-2020" TargetMode="External"/><Relationship Id="rId75" Type="http://schemas.openxmlformats.org/officeDocument/2006/relationships/hyperlink" Target="https://fra.europa.eu/en/publication/2020/roma-travellers-survey" TargetMode="External"/><Relationship Id="rId91" Type="http://schemas.openxmlformats.org/officeDocument/2006/relationships/hyperlink" Target="https://fra.europa.eu/en/publication/2020/roma-travellers-survey" TargetMode="External"/><Relationship Id="rId96" Type="http://schemas.openxmlformats.org/officeDocument/2006/relationships/hyperlink" Target="https://fra.europa.eu/en/publication/2020/covid19-rights-impact-july-1" TargetMode="External"/><Relationship Id="rId6" Type="http://schemas.openxmlformats.org/officeDocument/2006/relationships/numbering" Target="numbering.xml"/><Relationship Id="rId23" Type="http://schemas.openxmlformats.org/officeDocument/2006/relationships/hyperlink" Target="https://fra.europa.eu/en/data-and-maps/2021/frs?mdq1=dataset" TargetMode="External"/><Relationship Id="rId28" Type="http://schemas.openxmlformats.org/officeDocument/2006/relationships/hyperlink" Target="https://fra.europa.eu/sites/default/files/fra_uploads/fra-2019-2nd-survey-on-discrimination-and-hate-crime-against-jews-in-eu-ms-country-sheet-belgium_en.pdf" TargetMode="External"/><Relationship Id="rId49" Type="http://schemas.openxmlformats.org/officeDocument/2006/relationships/hyperlink" Target="https://fra.europa.eu/en/publication/2020/roma-travellers-survey" TargetMode="External"/><Relationship Id="rId114" Type="http://schemas.openxmlformats.org/officeDocument/2006/relationships/hyperlink" Target="https://fra.europa.eu/en/publication/2018/experiences-and-perceptions-antisemitism-second-survey-discrimination-and-hate" TargetMode="External"/><Relationship Id="rId10" Type="http://schemas.openxmlformats.org/officeDocument/2006/relationships/footnotes" Target="footnotes.xml"/><Relationship Id="rId31" Type="http://schemas.openxmlformats.org/officeDocument/2006/relationships/hyperlink" Target="https://fra.europa.eu/en/publication/2020/fundamental-rights-report-2020" TargetMode="External"/><Relationship Id="rId44" Type="http://schemas.openxmlformats.org/officeDocument/2006/relationships/hyperlink" Target="https://fra.europa.eu/en/publication/2018/experiences-and-perceptions-antisemitism-second-survey-discrimination-and-hate" TargetMode="External"/><Relationship Id="rId52" Type="http://schemas.openxmlformats.org/officeDocument/2006/relationships/hyperlink" Target="https://fra.europa.eu/en/publication/2018/experiences-and-perceptions-antisemitism-second-survey-discrimination-and-hate" TargetMode="External"/><Relationship Id="rId60" Type="http://schemas.openxmlformats.org/officeDocument/2006/relationships/hyperlink" Target="https://fra.europa.eu/en/publication/2018/experiences-and-perceptions-antisemitism-second-survey-discrimination-and-hate" TargetMode="External"/><Relationship Id="rId65" Type="http://schemas.openxmlformats.org/officeDocument/2006/relationships/hyperlink" Target="https://fra.europa.eu/en/publication/2020/roma-travellers-survey" TargetMode="External"/><Relationship Id="rId73" Type="http://schemas.openxmlformats.org/officeDocument/2006/relationships/hyperlink" Target="https://fra.europa.eu/en/publication/2020/covid19-rights-impact-september-1" TargetMode="External"/><Relationship Id="rId78" Type="http://schemas.openxmlformats.org/officeDocument/2006/relationships/hyperlink" Target="https://fra.europa.eu/en/publication/2020/roma-travellers-survey" TargetMode="External"/><Relationship Id="rId81" Type="http://schemas.openxmlformats.org/officeDocument/2006/relationships/hyperlink" Target="https://fra.europa.eu/en/publication/2020/covid19-rights-impact-july-1" TargetMode="External"/><Relationship Id="rId86" Type="http://schemas.openxmlformats.org/officeDocument/2006/relationships/hyperlink" Target="https://fra.europa.eu/en/publication/2020/roma-travellers-survey" TargetMode="External"/><Relationship Id="rId94" Type="http://schemas.openxmlformats.org/officeDocument/2006/relationships/hyperlink" Target="https://fra.europa.eu/en/publication/2020/roma-travellers-survey" TargetMode="External"/><Relationship Id="rId99" Type="http://schemas.openxmlformats.org/officeDocument/2006/relationships/hyperlink" Target="https://fra.europa.eu/en/publication/2019/fundamental-rights-report-2019" TargetMode="External"/><Relationship Id="rId101" Type="http://schemas.openxmlformats.org/officeDocument/2006/relationships/hyperlink" Target="https://fra.europa.eu/en/publication/2018/fundamental-rights-report-2018" TargetMode="External"/><Relationship Id="rId9" Type="http://schemas.openxmlformats.org/officeDocument/2006/relationships/webSettings" Target="webSettings.xml"/><Relationship Id="rId13" Type="http://schemas.openxmlformats.org/officeDocument/2006/relationships/hyperlink" Target="https://fra.europa.eu/en/publication/2020/antisemitism-overview-2009-2019" TargetMode="External"/><Relationship Id="rId18" Type="http://schemas.openxmlformats.org/officeDocument/2006/relationships/hyperlink" Target="https://fra.europa.eu/en/publication/2019/fundamental-rights-report-2019" TargetMode="External"/><Relationship Id="rId39" Type="http://schemas.openxmlformats.org/officeDocument/2006/relationships/hyperlink" Target="https://fra.europa.eu/en/publication/2018/fundamental-rights-report-2018" TargetMode="External"/><Relationship Id="rId109" Type="http://schemas.openxmlformats.org/officeDocument/2006/relationships/hyperlink" Target="https://fra.europa.eu/en/publication/2018/experiences-and-perceptions-antisemitism-second-survey-discrimination-and-hate" TargetMode="External"/><Relationship Id="rId34" Type="http://schemas.openxmlformats.org/officeDocument/2006/relationships/hyperlink" Target="https://fra.europa.eu/en/publication/2020/fundamental-rights-report-2020" TargetMode="External"/><Relationship Id="rId50" Type="http://schemas.openxmlformats.org/officeDocument/2006/relationships/hyperlink" Target="https://fra.europa.eu/en/publication/2020/roma-travellers-survey" TargetMode="External"/><Relationship Id="rId55" Type="http://schemas.openxmlformats.org/officeDocument/2006/relationships/hyperlink" Target="https://fra.europa.eu/en/publication/2018/experiences-and-perceptions-antisemitism-second-survey-discrimination-and-hate" TargetMode="External"/><Relationship Id="rId76" Type="http://schemas.openxmlformats.org/officeDocument/2006/relationships/hyperlink" Target="https://fra.europa.eu/en/publication/2020/roma-travellers-survey" TargetMode="External"/><Relationship Id="rId97" Type="http://schemas.openxmlformats.org/officeDocument/2006/relationships/hyperlink" Target="https://fra.europa.eu/en/publication/2020/fundamental-rights-report-2020" TargetMode="External"/><Relationship Id="rId104" Type="http://schemas.openxmlformats.org/officeDocument/2006/relationships/hyperlink" Target="https://fra.europa.eu/en/publication/2018/experiences-and-perceptions-antisemitism-second-survey-discrimination-and-hate" TargetMode="External"/><Relationship Id="rId7" Type="http://schemas.openxmlformats.org/officeDocument/2006/relationships/styles" Target="styles.xml"/><Relationship Id="rId71" Type="http://schemas.openxmlformats.org/officeDocument/2006/relationships/hyperlink" Target="https://fra.europa.eu/en/publication/2019/fundamental-rights-report-2019" TargetMode="External"/><Relationship Id="rId92" Type="http://schemas.openxmlformats.org/officeDocument/2006/relationships/hyperlink" Target="https://fra.europa.eu/en/publication/2020/roma-travellers-survey" TargetMode="External"/><Relationship Id="rId2" Type="http://schemas.openxmlformats.org/officeDocument/2006/relationships/customXml" Target="../customXml/item2.xml"/><Relationship Id="rId29" Type="http://schemas.openxmlformats.org/officeDocument/2006/relationships/hyperlink" Target="https://fra.europa.eu/sites/default/files/fra_uploads/fra-2019-eu-midis-ii-summary-results-country-sheet-belgium_en.pdf" TargetMode="External"/><Relationship Id="rId24" Type="http://schemas.openxmlformats.org/officeDocument/2006/relationships/hyperlink" Target="https://fra.europa.eu/en/publications-and-resources/data-and-maps/survey-data-explorer-second-eu-minorities-discrimination-survey?mdq1=country&amp;mdq2=411&amp;plot=inCountry&amp;cntryName=Belgium" TargetMode="External"/><Relationship Id="rId40" Type="http://schemas.openxmlformats.org/officeDocument/2006/relationships/hyperlink" Target="https://fra.europa.eu/en/publication/2018/fundamental-rights-report-2018" TargetMode="External"/><Relationship Id="rId45" Type="http://schemas.openxmlformats.org/officeDocument/2006/relationships/hyperlink" Target="https://fra.europa.eu/en/publication/2018/experiences-and-perceptions-antisemitism-second-survey-discrimination-and-hate" TargetMode="External"/><Relationship Id="rId66" Type="http://schemas.openxmlformats.org/officeDocument/2006/relationships/hyperlink" Target="https://fra.europa.eu/en/publication/2020/roma-travellers-survey" TargetMode="External"/><Relationship Id="rId87" Type="http://schemas.openxmlformats.org/officeDocument/2006/relationships/hyperlink" Target="https://fra.europa.eu/sites/default/files/fra_uploads/fra-2019-eu-midis-ii-migrant-women_en.pdf" TargetMode="External"/><Relationship Id="rId110" Type="http://schemas.openxmlformats.org/officeDocument/2006/relationships/hyperlink" Target="https://fra.europa.eu/en/publication/2020/roma-travellers-survey" TargetMode="External"/><Relationship Id="rId115" Type="http://schemas.openxmlformats.org/officeDocument/2006/relationships/hyperlink" Target="https://fra.europa.eu/en/publication/2018/hate-crime-recording" TargetMode="External"/><Relationship Id="rId61" Type="http://schemas.openxmlformats.org/officeDocument/2006/relationships/hyperlink" Target="https://fra.europa.eu/en/publication/2018/experiences-and-perceptions-antisemitism-second-survey-discrimination-and-hate" TargetMode="External"/><Relationship Id="rId82" Type="http://schemas.openxmlformats.org/officeDocument/2006/relationships/hyperlink" Target="https://fra.europa.eu/en/publication/2020/fundamental-rights-report-2020" TargetMode="External"/><Relationship Id="rId19" Type="http://schemas.openxmlformats.org/officeDocument/2006/relationships/hyperlink" Target="https://fra.europa.eu/en/publication/2018/experiences-and-perceptions-antisemitism-second-survey-discrimination-and-hate" TargetMode="External"/><Relationship Id="rId14" Type="http://schemas.openxmlformats.org/officeDocument/2006/relationships/hyperlink" Target="https://fra.europa.eu/en/publication/2020/strong-effective-nhris" TargetMode="External"/><Relationship Id="rId30" Type="http://schemas.openxmlformats.org/officeDocument/2006/relationships/hyperlink" Target="https://fra.europa.eu/en/publication/2020/strong-effective-nhris" TargetMode="External"/><Relationship Id="rId35" Type="http://schemas.openxmlformats.org/officeDocument/2006/relationships/hyperlink" Target="https://fra.europa.eu/sites/default/files/fra_uploads/fra-2019-eu-midis-ii-migrant-women_en.pdf" TargetMode="External"/><Relationship Id="rId56" Type="http://schemas.openxmlformats.org/officeDocument/2006/relationships/hyperlink" Target="https://fra.europa.eu/en/publication/2018/experiences-and-perceptions-antisemitism-second-survey-discrimination-and-hate" TargetMode="External"/><Relationship Id="rId77" Type="http://schemas.openxmlformats.org/officeDocument/2006/relationships/hyperlink" Target="https://fra.europa.eu/en/publication/2020/roma-travellers-survey" TargetMode="External"/><Relationship Id="rId100" Type="http://schemas.openxmlformats.org/officeDocument/2006/relationships/hyperlink" Target="https://fra.europa.eu/en/publication/2019/fundamental-rights-report-2019" TargetMode="External"/><Relationship Id="rId105" Type="http://schemas.openxmlformats.org/officeDocument/2006/relationships/hyperlink" Target="https://fra.europa.eu/en/publication/2018/experiences-and-perceptions-antisemitism-second-survey-discrimination-and-hate" TargetMode="External"/><Relationship Id="rId8" Type="http://schemas.openxmlformats.org/officeDocument/2006/relationships/settings" Target="settings.xml"/><Relationship Id="rId51" Type="http://schemas.openxmlformats.org/officeDocument/2006/relationships/hyperlink" Target="https://fra.europa.eu/en/publication/2019/fundamental-rights-report-2019" TargetMode="External"/><Relationship Id="rId72" Type="http://schemas.openxmlformats.org/officeDocument/2006/relationships/hyperlink" Target="https://fra.europa.eu/en/publication/2020/covid19-rights-impact-september-1" TargetMode="External"/><Relationship Id="rId93" Type="http://schemas.openxmlformats.org/officeDocument/2006/relationships/hyperlink" Target="https://fra.europa.eu/en/publication/2020/roma-travellers-survey" TargetMode="External"/><Relationship Id="rId98" Type="http://schemas.openxmlformats.org/officeDocument/2006/relationships/hyperlink" Target="https://fra.europa.eu/en/publication/2019/fundamental-rights-report-2019" TargetMode="External"/><Relationship Id="rId3" Type="http://schemas.openxmlformats.org/officeDocument/2006/relationships/customXml" Target="../customXml/item3.xml"/><Relationship Id="rId25" Type="http://schemas.openxmlformats.org/officeDocument/2006/relationships/hyperlink" Target="https://fra.europa.eu/en/databases/efris/" TargetMode="External"/><Relationship Id="rId46" Type="http://schemas.openxmlformats.org/officeDocument/2006/relationships/hyperlink" Target="https://fra.europa.eu/en/publication/2020/roma-travellers-survey" TargetMode="External"/><Relationship Id="rId67" Type="http://schemas.openxmlformats.org/officeDocument/2006/relationships/hyperlink" Target="https://fra.europa.eu/en/publication/2020/roma-travellers-survey" TargetMode="External"/><Relationship Id="rId116" Type="http://schemas.openxmlformats.org/officeDocument/2006/relationships/footer" Target="footer1.xml"/><Relationship Id="rId20" Type="http://schemas.openxmlformats.org/officeDocument/2006/relationships/hyperlink" Target="https://fra.europa.eu/en/publication/2018/hate-crime-recording" TargetMode="External"/><Relationship Id="rId41" Type="http://schemas.openxmlformats.org/officeDocument/2006/relationships/hyperlink" Target="https://fra.europa.eu/en/publication/2018/fundamental-rights-report-2018" TargetMode="External"/><Relationship Id="rId62" Type="http://schemas.openxmlformats.org/officeDocument/2006/relationships/hyperlink" Target="https://fra.europa.eu/en/publication/2018/experiences-and-perceptions-antisemitism-second-survey-discrimination-and-hate" TargetMode="External"/><Relationship Id="rId83" Type="http://schemas.openxmlformats.org/officeDocument/2006/relationships/hyperlink" Target="https://fra.europa.eu/en/publication/2018/fundamental-rights-report-2018" TargetMode="External"/><Relationship Id="rId88" Type="http://schemas.openxmlformats.org/officeDocument/2006/relationships/hyperlink" Target="https://fra.europa.eu/sites/default/files/fra_uploads/fra-2019-eu-midis-ii-migrant-women_en.pdf" TargetMode="External"/><Relationship Id="rId111" Type="http://schemas.openxmlformats.org/officeDocument/2006/relationships/hyperlink" Target="https://fra.europa.eu/en/publication/2020/roma-travellers-survey" TargetMode="External"/><Relationship Id="rId15" Type="http://schemas.openxmlformats.org/officeDocument/2006/relationships/hyperlink" Target="https://fra.europa.eu/en/publication/2020/covid19-rights-impact-july-1" TargetMode="External"/><Relationship Id="rId36" Type="http://schemas.openxmlformats.org/officeDocument/2006/relationships/hyperlink" Target="https://fra.europa.eu/en/publication/2019/fundamental-rights-report-2019" TargetMode="External"/><Relationship Id="rId57" Type="http://schemas.openxmlformats.org/officeDocument/2006/relationships/hyperlink" Target="https://fra.europa.eu/en/publication/2018/experiences-and-perceptions-antisemitism-second-survey-discrimination-and-hate" TargetMode="External"/><Relationship Id="rId106" Type="http://schemas.openxmlformats.org/officeDocument/2006/relationships/hyperlink" Target="https://fra.europa.eu/en/publication/2018/experiences-and-perceptions-antisemitism-second-survey-discrimination-and-h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FRA_DMS" ma:contentTypeID="0x010100CC89E02D79A6574C98EECCB3E8C674F50300E059F05AA86E694E8207262DB947526B" ma:contentTypeVersion="90" ma:contentTypeDescription="" ma:contentTypeScope="" ma:versionID="a6e9bd6fc808fbe866a6e49c207b583a">
  <xsd:schema xmlns:xsd="http://www.w3.org/2001/XMLSchema" xmlns:xs="http://www.w3.org/2001/XMLSchema" xmlns:p="http://schemas.microsoft.com/office/2006/metadata/properties" xmlns:ns2="3a10b4cc-2768-44f5-9b06-5b6dc5e1e431" xmlns:ns3="ee87e4f6-bda7-433d-bf3d-a680213d3006" targetNamespace="http://schemas.microsoft.com/office/2006/metadata/properties" ma:root="true" ma:fieldsID="8e9b1ce3771d7d1a492248607105c95a" ns2:_="" ns3:_="">
    <xsd:import namespace="3a10b4cc-2768-44f5-9b06-5b6dc5e1e431"/>
    <xsd:import namespace="ee87e4f6-bda7-433d-bf3d-a680213d3006"/>
    <xsd:element name="properties">
      <xsd:complexType>
        <xsd:sequence>
          <xsd:element name="documentManagement">
            <xsd:complexType>
              <xsd:all>
                <xsd:element ref="ns2:RegisterMe_x0020_link" minOccurs="0"/>
                <xsd:element ref="ns2:gf037c24a68140d0b87c6bc7306909c8" minOccurs="0"/>
                <xsd:element ref="ns2:TaxCatchAll" minOccurs="0"/>
                <xsd:element ref="ns2:TaxCatchAllLabel" minOccurs="0"/>
                <xsd:element ref="ns2:eec0d762c7b7466583014692ac66b5f1" minOccurs="0"/>
                <xsd:element ref="ns2:k3ab7e069a384603983661ceb0164e59" minOccurs="0"/>
                <xsd:element ref="ns2:f4adba2bb4fb4670b23858d2fad449bb" minOccurs="0"/>
                <xsd:element ref="ns2:e58299b3a45f4bb7a2113c7712c467a3" minOccurs="0"/>
                <xsd:element ref="ns3:SharedWithUsers"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10b4cc-2768-44f5-9b06-5b6dc5e1e431" elementFormDefault="qualified">
    <xsd:import namespace="http://schemas.microsoft.com/office/2006/documentManagement/types"/>
    <xsd:import namespace="http://schemas.microsoft.com/office/infopath/2007/PartnerControls"/>
    <xsd:element name="RegisterMe_x0020_link" ma:index="6" nillable="true" ma:displayName="RegisterMe link" ma:format="Hyperlink" ma:internalName="RegisterMe_x0020_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f037c24a68140d0b87c6bc7306909c8" ma:index="8" ma:taxonomy="true" ma:internalName="gf037c24a68140d0b87c6bc7306909c8" ma:taxonomyFieldName="Year" ma:displayName="Year" ma:default="347;#2021|1f90fabf-46d3-4891-a86f-495aed053e78" ma:fieldId="{0f037c24-a681-40d0-b87c-6bc7306909c8}" ma:sspId="de110eea-2dc3-4557-8db1-f63f1d7e47f1" ma:termSetId="4447fd88-b4bf-4405-954c-7961506ae7cf"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dcbef513-5c5a-4792-b497-68ffa7ee8fab}" ma:internalName="TaxCatchAll" ma:showField="CatchAllData" ma:web="ee87e4f6-bda7-433d-bf3d-a680213d3006">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dcbef513-5c5a-4792-b497-68ffa7ee8fab}" ma:internalName="TaxCatchAllLabel" ma:readOnly="true" ma:showField="CatchAllDataLabel" ma:web="ee87e4f6-bda7-433d-bf3d-a680213d3006">
      <xsd:complexType>
        <xsd:complexContent>
          <xsd:extension base="dms:MultiChoiceLookup">
            <xsd:sequence>
              <xsd:element name="Value" type="dms:Lookup" maxOccurs="unbounded" minOccurs="0" nillable="true"/>
            </xsd:sequence>
          </xsd:extension>
        </xsd:complexContent>
      </xsd:complexType>
    </xsd:element>
    <xsd:element name="eec0d762c7b7466583014692ac66b5f1" ma:index="12" ma:taxonomy="true" ma:internalName="eec0d762c7b7466583014692ac66b5f1" ma:taxonomyFieldName="Content_x0020_Language" ma:displayName="Content Language" ma:default="4;#English|2d2b19a9-1f9f-48bb-ac48-c1a45d7d0217" ma:fieldId="{eec0d762-c7b7-4665-8301-4692ac66b5f1}" ma:sspId="de110eea-2dc3-4557-8db1-f63f1d7e47f1" ma:termSetId="33a78d32-655a-4e6f-9417-97d8e502369a" ma:anchorId="00000000-0000-0000-0000-000000000000" ma:open="false" ma:isKeyword="false">
      <xsd:complexType>
        <xsd:sequence>
          <xsd:element ref="pc:Terms" minOccurs="0" maxOccurs="1"/>
        </xsd:sequence>
      </xsd:complexType>
    </xsd:element>
    <xsd:element name="k3ab7e069a384603983661ceb0164e59" ma:index="14" nillable="true" ma:taxonomy="true" ma:internalName="k3ab7e069a384603983661ceb0164e59" ma:taxonomyFieldName="Group_x0020_By_x0020_PPM" ma:displayName="Group By" ma:default="" ma:fieldId="{43ab7e06-9a38-4603-9836-61ceb0164e59}" ma:sspId="de110eea-2dc3-4557-8db1-f63f1d7e47f1" ma:termSetId="445086b2-e771-4d08-89a5-71e707d692c4" ma:anchorId="00000000-0000-0000-0000-000000000000" ma:open="true" ma:isKeyword="false">
      <xsd:complexType>
        <xsd:sequence>
          <xsd:element ref="pc:Terms" minOccurs="0" maxOccurs="1"/>
        </xsd:sequence>
      </xsd:complexType>
    </xsd:element>
    <xsd:element name="f4adba2bb4fb4670b23858d2fad449bb" ma:index="16" ma:taxonomy="true" ma:internalName="f4adba2bb4fb4670b23858d2fad449bb" ma:taxonomyFieldName="Classification" ma:displayName="Classification" ma:default="6;#Agency use|55d31343-d3aa-4578-af28-fe4fb94c5036" ma:fieldId="{f4adba2b-b4fb-4670-b238-58d2fad449bb}" ma:sspId="de110eea-2dc3-4557-8db1-f63f1d7e47f1" ma:termSetId="e6fcaf45-6ac4-46ea-8c59-4fa7cd2b0d22" ma:anchorId="00000000-0000-0000-0000-000000000000" ma:open="false" ma:isKeyword="false">
      <xsd:complexType>
        <xsd:sequence>
          <xsd:element ref="pc:Terms" minOccurs="0" maxOccurs="1"/>
        </xsd:sequence>
      </xsd:complexType>
    </xsd:element>
    <xsd:element name="e58299b3a45f4bb7a2113c7712c467a3" ma:index="18" nillable="true" ma:taxonomy="true" ma:internalName="e58299b3a45f4bb7a2113c7712c467a3" ma:taxonomyFieldName="Group_x0020_By_x0020_2nd" ma:displayName="Group By 2nd" ma:default="" ma:fieldId="{e58299b3-a45f-4bb7-a211-3c7712c467a3}" ma:sspId="de110eea-2dc3-4557-8db1-f63f1d7e47f1" ma:termSetId="445086b2-e771-4d08-89a5-71e707d692c4"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e87e4f6-bda7-433d-bf3d-a680213d3006"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E3AA59-B229-46C7-970A-3FCA9C5E5352}">
  <ds:schemaRefs>
    <ds:schemaRef ds:uri="http://schemas.microsoft.com/sharepoint/events"/>
  </ds:schemaRefs>
</ds:datastoreItem>
</file>

<file path=customXml/itemProps2.xml><?xml version="1.0" encoding="utf-8"?>
<ds:datastoreItem xmlns:ds="http://schemas.openxmlformats.org/officeDocument/2006/customXml" ds:itemID="{BE6CA2F7-3692-4923-AAB8-B9857C97BEB7}">
  <ds:schemaRefs>
    <ds:schemaRef ds:uri="http://schemas.microsoft.com/sharepoint/v3/contenttype/forms"/>
  </ds:schemaRefs>
</ds:datastoreItem>
</file>

<file path=customXml/itemProps3.xml><?xml version="1.0" encoding="utf-8"?>
<ds:datastoreItem xmlns:ds="http://schemas.openxmlformats.org/officeDocument/2006/customXml" ds:itemID="{53E8C925-4911-473A-9244-39959D2ED009}">
  <ds:schemaRefs>
    <ds:schemaRef ds:uri="http://purl.org/dc/dcmitype/"/>
    <ds:schemaRef ds:uri="3a10b4cc-2768-44f5-9b06-5b6dc5e1e431"/>
    <ds:schemaRef ds:uri="http://schemas.microsoft.com/office/2006/metadata/properties"/>
    <ds:schemaRef ds:uri="http://purl.org/dc/term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ee87e4f6-bda7-433d-bf3d-a680213d3006"/>
  </ds:schemaRefs>
</ds:datastoreItem>
</file>

<file path=customXml/itemProps4.xml><?xml version="1.0" encoding="utf-8"?>
<ds:datastoreItem xmlns:ds="http://schemas.openxmlformats.org/officeDocument/2006/customXml" ds:itemID="{243983FA-01CB-4313-A462-8CB1684FF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10b4cc-2768-44f5-9b06-5b6dc5e1e431"/>
    <ds:schemaRef ds:uri="ee87e4f6-bda7-433d-bf3d-a680213d3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4BFC0B3-9A36-4913-8C1F-F15EC3CE899D}"/>
</file>

<file path=docProps/app.xml><?xml version="1.0" encoding="utf-8"?>
<Properties xmlns="http://schemas.openxmlformats.org/officeDocument/2006/extended-properties" xmlns:vt="http://schemas.openxmlformats.org/officeDocument/2006/docPropsVTypes">
  <Template>Normal.dotm</Template>
  <TotalTime>1</TotalTime>
  <Pages>15</Pages>
  <Words>9075</Words>
  <Characters>51732</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CERD</vt:lpstr>
    </vt:vector>
  </TitlesOfParts>
  <Company>EU Agency for Fundamental Rights</Company>
  <LinksUpToDate>false</LinksUpToDate>
  <CharactersWithSpaces>60686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FRA</dc:creator>
  <cp:keywords/>
  <dc:description/>
  <cp:lastModifiedBy>SMITH-MOLENAAR Marjolijn (FRA)</cp:lastModifiedBy>
  <cp:revision>2</cp:revision>
  <dcterms:created xsi:type="dcterms:W3CDTF">2021-03-29T16:38:00Z</dcterms:created>
  <dcterms:modified xsi:type="dcterms:W3CDTF">2021-03-29T16:38:00Z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_dlc_DocIdItemGuid">
    <vt:lpwstr>81381793-d3eb-41b8-9411-4244545e2038</vt:lpwstr>
  </property>
  <property fmtid="{D5CDD505-2E9C-101B-9397-08002B2CF9AE}" pid="4" name="Content Language">
    <vt:lpwstr>4;#English|2d2b19a9-1f9f-48bb-ac48-c1a45d7d0217</vt:lpwstr>
  </property>
  <property fmtid="{D5CDD505-2E9C-101B-9397-08002B2CF9AE}" pid="5" name="Group By PPM">
    <vt:lpwstr/>
  </property>
  <property fmtid="{D5CDD505-2E9C-101B-9397-08002B2CF9AE}" pid="6" name="Year">
    <vt:lpwstr>347;#2021|1f90fabf-46d3-4891-a86f-495aed053e78</vt:lpwstr>
  </property>
  <property fmtid="{D5CDD505-2E9C-101B-9397-08002B2CF9AE}" pid="7" name="Classification">
    <vt:lpwstr>6;#Agency use|55d31343-d3aa-4578-af28-fe4fb94c5036</vt:lpwstr>
  </property>
  <property fmtid="{D5CDD505-2E9C-101B-9397-08002B2CF9AE}" pid="8" name="Group By 2nd">
    <vt:lpwstr/>
  </property>
</Properties>
</file>